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E04" w:rsidP="00997E04" w:rsidRDefault="00997E04" w14:paraId="77C08E25" w14:textId="270ECF3A">
      <w:pPr>
        <w:jc w:val="center"/>
        <w:rPr>
          <w:rFonts w:ascii="Verdana" w:hAnsi="Verdana"/>
          <w:b/>
          <w:bCs/>
        </w:rPr>
      </w:pPr>
      <w:r>
        <w:rPr>
          <w:rFonts w:ascii="Verdana" w:hAnsi="Verdana"/>
          <w:b/>
          <w:bCs/>
        </w:rPr>
        <w:t>Geannoteerde agenda van de bijeenkomst van de Raad Justitie en Binnenlandse Zaken, 5 en 6 maart 2026</w:t>
      </w:r>
    </w:p>
    <w:p w:rsidR="00997E04" w:rsidP="00997E04" w:rsidRDefault="00997E04" w14:paraId="29B6E195" w14:textId="77777777">
      <w:pPr>
        <w:jc w:val="center"/>
        <w:rPr>
          <w:rFonts w:ascii="Verdana" w:hAnsi="Verdana"/>
          <w:b/>
          <w:bCs/>
        </w:rPr>
      </w:pPr>
    </w:p>
    <w:p w:rsidR="00997E04" w:rsidP="00997E04" w:rsidRDefault="00997E04" w14:paraId="27E75B55" w14:textId="43E697ED">
      <w:pPr>
        <w:pStyle w:val="Lijstalinea"/>
        <w:numPr>
          <w:ilvl w:val="0"/>
          <w:numId w:val="1"/>
        </w:numPr>
        <w:rPr>
          <w:rFonts w:ascii="Verdana" w:hAnsi="Verdana"/>
          <w:b/>
          <w:bCs/>
        </w:rPr>
      </w:pPr>
      <w:r>
        <w:rPr>
          <w:rFonts w:ascii="Verdana" w:hAnsi="Verdana"/>
          <w:b/>
          <w:bCs/>
        </w:rPr>
        <w:t>Binnenlandse Zaken</w:t>
      </w:r>
    </w:p>
    <w:p w:rsidRPr="00E259FA" w:rsidR="00E259FA" w:rsidP="00E259FA" w:rsidRDefault="00E259FA" w14:paraId="601540FD" w14:textId="77777777">
      <w:pPr>
        <w:pStyle w:val="Lijstalinea"/>
        <w:ind w:left="1080"/>
        <w:rPr>
          <w:rFonts w:ascii="Verdana" w:hAnsi="Verdana"/>
          <w:b/>
          <w:bCs/>
        </w:rPr>
      </w:pPr>
    </w:p>
    <w:p w:rsidR="00997E04" w:rsidP="00997E04" w:rsidRDefault="00997E04" w14:paraId="774B9AA8" w14:textId="41FC7DA9">
      <w:pPr>
        <w:pStyle w:val="Lijstalinea"/>
        <w:numPr>
          <w:ilvl w:val="0"/>
          <w:numId w:val="3"/>
        </w:numPr>
        <w:rPr>
          <w:rFonts w:ascii="Verdana" w:hAnsi="Verdana"/>
          <w:b/>
          <w:bCs/>
          <w:sz w:val="18"/>
          <w:szCs w:val="18"/>
        </w:rPr>
      </w:pPr>
      <w:r>
        <w:rPr>
          <w:rFonts w:ascii="Verdana" w:hAnsi="Verdana"/>
          <w:b/>
          <w:bCs/>
          <w:sz w:val="18"/>
          <w:szCs w:val="18"/>
        </w:rPr>
        <w:t>Algemene staat van het Schengengebied</w:t>
      </w:r>
    </w:p>
    <w:p w:rsidR="00997E04" w:rsidP="009E2D40" w:rsidRDefault="00997E04" w14:paraId="1C1A864C" w14:textId="3634A071">
      <w:pPr>
        <w:pStyle w:val="Lijstalinea"/>
        <w:numPr>
          <w:ilvl w:val="1"/>
          <w:numId w:val="3"/>
        </w:numPr>
        <w:ind w:left="993"/>
        <w:rPr>
          <w:rFonts w:ascii="Verdana" w:hAnsi="Verdana"/>
          <w:b/>
          <w:bCs/>
          <w:sz w:val="18"/>
          <w:szCs w:val="18"/>
        </w:rPr>
      </w:pPr>
      <w:r>
        <w:rPr>
          <w:rFonts w:ascii="Verdana" w:hAnsi="Verdana"/>
          <w:b/>
          <w:bCs/>
          <w:sz w:val="18"/>
          <w:szCs w:val="18"/>
        </w:rPr>
        <w:t>Schengen barometer</w:t>
      </w:r>
    </w:p>
    <w:p w:rsidR="009E2D40" w:rsidP="009E2D40" w:rsidRDefault="00997E04" w14:paraId="249B81A1" w14:textId="77777777">
      <w:pPr>
        <w:pStyle w:val="Lijstalinea"/>
        <w:numPr>
          <w:ilvl w:val="1"/>
          <w:numId w:val="3"/>
        </w:numPr>
        <w:tabs>
          <w:tab w:val="left" w:pos="993"/>
        </w:tabs>
        <w:ind w:left="993"/>
        <w:rPr>
          <w:rFonts w:ascii="Verdana" w:hAnsi="Verdana"/>
          <w:b/>
          <w:bCs/>
          <w:sz w:val="18"/>
          <w:szCs w:val="18"/>
        </w:rPr>
      </w:pPr>
      <w:r w:rsidRPr="00997E04">
        <w:rPr>
          <w:rFonts w:ascii="Verdana" w:hAnsi="Verdana"/>
          <w:b/>
          <w:bCs/>
          <w:sz w:val="18"/>
          <w:szCs w:val="18"/>
        </w:rPr>
        <w:t xml:space="preserve">Uitvoering van de prioriteiten van de Schengenraadcyclus: stimuleren van </w:t>
      </w:r>
    </w:p>
    <w:p w:rsidRPr="009E2D40" w:rsidR="009E2D40" w:rsidP="009E2D40" w:rsidRDefault="00997E04" w14:paraId="3EA092B5" w14:textId="2D705D47">
      <w:pPr>
        <w:pStyle w:val="Lijstalinea"/>
        <w:ind w:left="709"/>
        <w:rPr>
          <w:rFonts w:ascii="Verdana" w:hAnsi="Verdana"/>
          <w:b/>
          <w:bCs/>
          <w:sz w:val="18"/>
          <w:szCs w:val="18"/>
        </w:rPr>
      </w:pPr>
      <w:r w:rsidRPr="00997E04">
        <w:rPr>
          <w:rFonts w:ascii="Verdana" w:hAnsi="Verdana"/>
          <w:b/>
          <w:bCs/>
          <w:sz w:val="18"/>
          <w:szCs w:val="18"/>
        </w:rPr>
        <w:t>vrijwillige terugkeer</w:t>
      </w:r>
      <w:r w:rsidR="009E2D40">
        <w:rPr>
          <w:rFonts w:ascii="Verdana" w:hAnsi="Verdana"/>
          <w:b/>
          <w:bCs/>
          <w:sz w:val="18"/>
          <w:szCs w:val="18"/>
        </w:rPr>
        <w:br/>
      </w:r>
      <w:r w:rsidRPr="009E2D40" w:rsidR="009E2D40">
        <w:rPr>
          <w:rFonts w:ascii="Verdana" w:hAnsi="Verdana"/>
          <w:i/>
          <w:iCs/>
          <w:sz w:val="18"/>
          <w:szCs w:val="18"/>
        </w:rPr>
        <w:t>Gedachtewisseling</w:t>
      </w:r>
    </w:p>
    <w:p w:rsidRPr="00283E95" w:rsidR="00283E95" w:rsidP="00283E95" w:rsidRDefault="00283E95" w14:paraId="397275CD" w14:textId="229C2567">
      <w:pPr>
        <w:rPr>
          <w:rFonts w:ascii="Verdana" w:hAnsi="Verdana"/>
          <w:sz w:val="18"/>
          <w:szCs w:val="18"/>
        </w:rPr>
      </w:pPr>
      <w:r w:rsidRPr="00283E95">
        <w:rPr>
          <w:rFonts w:ascii="Verdana" w:hAnsi="Verdana"/>
          <w:sz w:val="18"/>
          <w:szCs w:val="18"/>
        </w:rPr>
        <w:t xml:space="preserve">De lidstaten en Schengengeassocieerde landen zullen in de Schengenraad op basis van een nieuwe Schengenbarometer van gedachten wisselen over de belangrijkste trends en ontwikkelingen in het Schengengebied. Opvallend is het feit dat er ten opzichte van 2024 een daling van 25% is van het aantal irreguliere grensoverschrijdingen aan de buitengrens, waarbij de daling zich in het tweede jaar op rij doorzet. Ook zijn secundaire migratiestromen met 25% gedaald ten opzichte van het voorgaande jaar. De verwachting van de Commissie is dat deze trend zich door zal zetten in 2026, wel met het voorbehoud erbij dat dit anders kan uitpakken als gevolg van geopolitieke ontwikkelingen. Ook is het aantal succesvolle terugkeeroperaties gestegen met 13%. Met betrekking tot buitengrensbeheer vraagt de Commissie aandacht voor de implementatie van de asielgrensprocedure onder het Pact en innovatieve grenssystemen, waaronder het in- en uitreissysteem </w:t>
      </w:r>
      <w:r w:rsidRPr="00297911" w:rsidR="003A6AEA">
        <w:rPr>
          <w:rFonts w:ascii="Verdana" w:hAnsi="Verdana"/>
          <w:i/>
          <w:iCs/>
          <w:sz w:val="18"/>
          <w:szCs w:val="18"/>
        </w:rPr>
        <w:t>Entry/Exit System</w:t>
      </w:r>
      <w:r w:rsidR="003A6AEA">
        <w:rPr>
          <w:rFonts w:ascii="Verdana" w:hAnsi="Verdana"/>
          <w:sz w:val="18"/>
          <w:szCs w:val="18"/>
        </w:rPr>
        <w:t xml:space="preserve"> (EES),</w:t>
      </w:r>
      <w:r w:rsidRPr="00283E95">
        <w:rPr>
          <w:rFonts w:ascii="Verdana" w:hAnsi="Verdana"/>
          <w:sz w:val="18"/>
          <w:szCs w:val="18"/>
        </w:rPr>
        <w:t xml:space="preserve"> maar waarschuwt ook voor de kwetsbaarheid van digitale systemen voor </w:t>
      </w:r>
      <w:r w:rsidRPr="00283E95" w:rsidR="00C54F98">
        <w:rPr>
          <w:rFonts w:ascii="Verdana" w:hAnsi="Verdana"/>
          <w:sz w:val="18"/>
          <w:szCs w:val="18"/>
        </w:rPr>
        <w:t>cybera</w:t>
      </w:r>
      <w:r w:rsidR="00C54F98">
        <w:rPr>
          <w:rFonts w:ascii="Verdana" w:hAnsi="Verdana"/>
          <w:sz w:val="18"/>
          <w:szCs w:val="18"/>
        </w:rPr>
        <w:t>anvallen</w:t>
      </w:r>
      <w:r w:rsidRPr="00283E95">
        <w:rPr>
          <w:rFonts w:ascii="Verdana" w:hAnsi="Verdana"/>
          <w:sz w:val="18"/>
          <w:szCs w:val="18"/>
        </w:rPr>
        <w:t xml:space="preserve">. Met name voldoende capaciteit en middelen voor nationale autoriteiten blijft een aandachtspunt. Daarnaast blijft de Commissie kritisch ten aanzien van de binnengrenscontroles en roept opnieuw op tot nauwere samenwerking van rechtshandhavingsautoriteiten als alternatief. </w:t>
      </w:r>
    </w:p>
    <w:p w:rsidRPr="00283E95" w:rsidR="00283E95" w:rsidP="00283E95" w:rsidRDefault="00283E95" w14:paraId="55A16F36" w14:textId="7DD1EC79">
      <w:pPr>
        <w:rPr>
          <w:rFonts w:ascii="Verdana" w:hAnsi="Verdana"/>
          <w:sz w:val="18"/>
          <w:szCs w:val="18"/>
        </w:rPr>
      </w:pPr>
      <w:r w:rsidRPr="00283E95">
        <w:rPr>
          <w:rFonts w:ascii="Verdana" w:hAnsi="Verdana"/>
          <w:sz w:val="18"/>
          <w:szCs w:val="18"/>
        </w:rPr>
        <w:t xml:space="preserve">Daarnaast wenst het Voorzitterschap strategisch van gedachten te wisselen over het stimuleren van vrijwillige terugkeer, ook in relatie tot gedwongen terugkeer, als onderdeel van de prioriteiten vastgesteld in het kader van de Schengencyclus. Naar verwachting ligt de focus van het Voorzitterschap op het identificeren van elementen om vrijwillige terugkeer te versterken en verbeteren, waaronder steun voor herintegratiestructuren in derde landen. </w:t>
      </w:r>
    </w:p>
    <w:p w:rsidRPr="00283E95" w:rsidR="00283E95" w:rsidP="00283E95" w:rsidRDefault="003A6AEA" w14:paraId="2D344A4D" w14:textId="0E938653">
      <w:pPr>
        <w:rPr>
          <w:rFonts w:ascii="Verdana" w:hAnsi="Verdana"/>
          <w:sz w:val="18"/>
          <w:szCs w:val="18"/>
        </w:rPr>
      </w:pPr>
      <w:r>
        <w:rPr>
          <w:rFonts w:ascii="Verdana" w:hAnsi="Verdana"/>
          <w:sz w:val="18"/>
          <w:szCs w:val="18"/>
        </w:rPr>
        <w:t>Nederland</w:t>
      </w:r>
      <w:r w:rsidRPr="00283E95" w:rsidR="00283E95">
        <w:rPr>
          <w:rFonts w:ascii="Verdana" w:hAnsi="Verdana"/>
          <w:sz w:val="18"/>
          <w:szCs w:val="18"/>
        </w:rPr>
        <w:t xml:space="preserve"> verwelkomt de daling van het aantal irreguliere grensoverschrijdingen naar de EU en secundaire migratiestromen in de EU. Het blijft van permanent belang dat er aandacht is voor het versterken van de buitengrenzen om irreguliere migratie verder tegen te gaan, waaronder het verhogen van de capaciteit, de implementatie van innovatieve grenssystemen en implementatie van het Pact. Dit moet ook bijdragen aan het verder tegengaan van secundaire migratie. Ten aanzien van terugkeer verwelkomt </w:t>
      </w:r>
      <w:r>
        <w:rPr>
          <w:rFonts w:ascii="Verdana" w:hAnsi="Verdana"/>
          <w:sz w:val="18"/>
          <w:szCs w:val="18"/>
        </w:rPr>
        <w:t>Nederland</w:t>
      </w:r>
      <w:r w:rsidRPr="00283E95" w:rsidR="00283E95">
        <w:rPr>
          <w:rFonts w:ascii="Verdana" w:hAnsi="Verdana"/>
          <w:sz w:val="18"/>
          <w:szCs w:val="18"/>
        </w:rPr>
        <w:t xml:space="preserve"> de stijging van het aantal succesvolle terugkeeroperaties. Tegelijk is er nog een lange weg te gaan. Het verbeteren van effectieve terugkeer is een belangrijke prioriteit van </w:t>
      </w:r>
      <w:r>
        <w:rPr>
          <w:rFonts w:ascii="Verdana" w:hAnsi="Verdana"/>
          <w:sz w:val="18"/>
          <w:szCs w:val="18"/>
        </w:rPr>
        <w:t>Nederland</w:t>
      </w:r>
      <w:r w:rsidRPr="00283E95" w:rsidR="00283E95">
        <w:rPr>
          <w:rFonts w:ascii="Verdana" w:hAnsi="Verdana"/>
          <w:sz w:val="18"/>
          <w:szCs w:val="18"/>
        </w:rPr>
        <w:t xml:space="preserve"> als de hoeksteen van een werkend asielsysteem. Vrijwillige terugkeer is daarbij een belangrijke component en Nederland heeft in dat kader ook al verscheidene herintegratieprogramma’s ingericht om vrijwillige terugkeer te stimuleren. Tegelijk ziet </w:t>
      </w:r>
      <w:r>
        <w:rPr>
          <w:rFonts w:ascii="Verdana" w:hAnsi="Verdana"/>
          <w:sz w:val="18"/>
          <w:szCs w:val="18"/>
        </w:rPr>
        <w:t>Nederland</w:t>
      </w:r>
      <w:r w:rsidRPr="00283E95" w:rsidR="00283E95">
        <w:rPr>
          <w:rFonts w:ascii="Verdana" w:hAnsi="Verdana"/>
          <w:sz w:val="18"/>
          <w:szCs w:val="18"/>
        </w:rPr>
        <w:t xml:space="preserve"> er dat belangrijke uitdagingen liggen bij gedwongen terugkeer en dat maatregelen nodig zijn om dit te verbeteren, ook met als doel om vrijwillige terugkeer te bevorderen als de te prefereren optie bij terugkeer van </w:t>
      </w:r>
      <w:proofErr w:type="spellStart"/>
      <w:r w:rsidRPr="00283E95" w:rsidR="00283E95">
        <w:rPr>
          <w:rFonts w:ascii="Verdana" w:hAnsi="Verdana"/>
          <w:sz w:val="18"/>
          <w:szCs w:val="18"/>
        </w:rPr>
        <w:t>vertrekplichtige</w:t>
      </w:r>
      <w:proofErr w:type="spellEnd"/>
      <w:r w:rsidRPr="00283E95" w:rsidR="00283E95">
        <w:rPr>
          <w:rFonts w:ascii="Verdana" w:hAnsi="Verdana"/>
          <w:sz w:val="18"/>
          <w:szCs w:val="18"/>
        </w:rPr>
        <w:t xml:space="preserve"> personen. Het is daarom van belang dat de onderhandelingen over de terugkeerverordening op korte termijn voortgezet kunnen worden met het Europees Parlement en dat er ook aandacht is voor bredere terugkeersamenwerking met derde landen. Andere lidstaten zullen naar verwachting ook het belang benadrukken van een snel onderhandelingsresultaat over de terugkeerverordening en stilstaan bij voorbeelden ten aanzien van vrijwillige terugkeer, alsook aandacht vragen voor de uitdagingen omtrent gedwongen terugkeer en het belang van samenwerking met derde landen. </w:t>
      </w:r>
    </w:p>
    <w:p w:rsidRPr="00283E95" w:rsidR="00283E95" w:rsidP="00997E04" w:rsidRDefault="00283E95" w14:paraId="2CA16684" w14:textId="77777777">
      <w:pPr>
        <w:rPr>
          <w:rFonts w:ascii="Verdana" w:hAnsi="Verdana"/>
          <w:sz w:val="18"/>
          <w:szCs w:val="18"/>
        </w:rPr>
      </w:pPr>
    </w:p>
    <w:p w:rsidRPr="009203F8" w:rsidR="00583F18" w:rsidP="009203F8" w:rsidRDefault="00997E04" w14:paraId="12CE7F00" w14:textId="2D1AD777">
      <w:pPr>
        <w:pStyle w:val="Lijstalinea"/>
        <w:numPr>
          <w:ilvl w:val="0"/>
          <w:numId w:val="3"/>
        </w:numPr>
        <w:rPr>
          <w:rFonts w:ascii="Verdana" w:hAnsi="Verdana"/>
          <w:b/>
          <w:bCs/>
          <w:sz w:val="18"/>
          <w:szCs w:val="18"/>
        </w:rPr>
      </w:pPr>
      <w:r>
        <w:rPr>
          <w:rFonts w:ascii="Verdana" w:hAnsi="Verdana"/>
          <w:b/>
          <w:bCs/>
          <w:sz w:val="18"/>
          <w:szCs w:val="18"/>
        </w:rPr>
        <w:t xml:space="preserve">Implementatie van interoperabiliteit: </w:t>
      </w:r>
      <w:r w:rsidRPr="00997E04">
        <w:rPr>
          <w:rFonts w:ascii="Verdana" w:hAnsi="Verdana"/>
          <w:b/>
          <w:bCs/>
          <w:sz w:val="18"/>
          <w:szCs w:val="18"/>
        </w:rPr>
        <w:t>herziene routekaart voor na 2026</w:t>
      </w:r>
      <w:r w:rsidR="0093523E">
        <w:rPr>
          <w:rFonts w:ascii="Verdana" w:hAnsi="Verdana"/>
          <w:b/>
          <w:bCs/>
          <w:sz w:val="18"/>
          <w:szCs w:val="18"/>
        </w:rPr>
        <w:t xml:space="preserve"> </w:t>
      </w:r>
      <w:r w:rsidR="007221E9">
        <w:rPr>
          <w:rFonts w:ascii="Verdana" w:hAnsi="Verdana"/>
          <w:i/>
          <w:iCs/>
          <w:sz w:val="18"/>
          <w:szCs w:val="18"/>
        </w:rPr>
        <w:t xml:space="preserve">Goedkeuring </w:t>
      </w:r>
    </w:p>
    <w:p w:rsidRPr="00E3666A" w:rsidR="00E3666A" w:rsidP="00E3666A" w:rsidRDefault="00E3666A" w14:paraId="4C71E687" w14:textId="43855F6B">
      <w:pPr>
        <w:spacing w:after="0"/>
        <w:rPr>
          <w:rFonts w:ascii="Verdana" w:hAnsi="Verdana"/>
          <w:sz w:val="18"/>
          <w:szCs w:val="18"/>
        </w:rPr>
      </w:pPr>
      <w:r w:rsidRPr="00E3666A">
        <w:rPr>
          <w:rFonts w:ascii="Verdana" w:hAnsi="Verdana"/>
          <w:sz w:val="18"/>
          <w:szCs w:val="18"/>
        </w:rPr>
        <w:t xml:space="preserve">Tijdens dit agendapunt zal het Voorzitterschap, samen met </w:t>
      </w:r>
      <w:proofErr w:type="spellStart"/>
      <w:r w:rsidRPr="00E3666A">
        <w:rPr>
          <w:rFonts w:ascii="Verdana" w:hAnsi="Verdana"/>
          <w:sz w:val="18"/>
          <w:szCs w:val="18"/>
        </w:rPr>
        <w:t>eu</w:t>
      </w:r>
      <w:proofErr w:type="spellEnd"/>
      <w:r w:rsidRPr="00E3666A">
        <w:rPr>
          <w:rFonts w:ascii="Verdana" w:hAnsi="Verdana"/>
          <w:sz w:val="18"/>
          <w:szCs w:val="18"/>
        </w:rPr>
        <w:t xml:space="preserve">-LISA, de resterende onderdelen van de </w:t>
      </w:r>
      <w:proofErr w:type="spellStart"/>
      <w:r w:rsidRPr="00E3666A">
        <w:rPr>
          <w:rFonts w:ascii="Verdana" w:hAnsi="Verdana"/>
          <w:sz w:val="18"/>
          <w:szCs w:val="18"/>
        </w:rPr>
        <w:t>roadmap</w:t>
      </w:r>
      <w:proofErr w:type="spellEnd"/>
      <w:r w:rsidRPr="00E3666A">
        <w:rPr>
          <w:rFonts w:ascii="Verdana" w:hAnsi="Verdana"/>
          <w:sz w:val="18"/>
          <w:szCs w:val="18"/>
        </w:rPr>
        <w:t xml:space="preserve"> ten aanzien van </w:t>
      </w:r>
      <w:r w:rsidR="00C54F98">
        <w:rPr>
          <w:rFonts w:ascii="Verdana" w:hAnsi="Verdana"/>
          <w:sz w:val="18"/>
          <w:szCs w:val="18"/>
        </w:rPr>
        <w:t>herziene (‘</w:t>
      </w:r>
      <w:proofErr w:type="spellStart"/>
      <w:r w:rsidR="00C54F98">
        <w:rPr>
          <w:rFonts w:ascii="Verdana" w:hAnsi="Verdana"/>
          <w:sz w:val="18"/>
          <w:szCs w:val="18"/>
        </w:rPr>
        <w:t>revised</w:t>
      </w:r>
      <w:proofErr w:type="spellEnd"/>
      <w:r w:rsidR="00C54F98">
        <w:rPr>
          <w:rFonts w:ascii="Verdana" w:hAnsi="Verdana"/>
          <w:sz w:val="18"/>
          <w:szCs w:val="18"/>
        </w:rPr>
        <w:t>’) visuminformatiesysteem</w:t>
      </w:r>
      <w:r w:rsidRPr="00E3666A">
        <w:rPr>
          <w:rFonts w:ascii="Verdana" w:hAnsi="Verdana"/>
          <w:sz w:val="18"/>
          <w:szCs w:val="18"/>
        </w:rPr>
        <w:t xml:space="preserve"> </w:t>
      </w:r>
      <w:r w:rsidR="00C54F98">
        <w:rPr>
          <w:rFonts w:ascii="Verdana" w:hAnsi="Verdana"/>
          <w:sz w:val="18"/>
          <w:szCs w:val="18"/>
        </w:rPr>
        <w:t>(</w:t>
      </w:r>
      <w:r w:rsidRPr="00E3666A">
        <w:rPr>
          <w:rFonts w:ascii="Verdana" w:hAnsi="Verdana"/>
          <w:sz w:val="18"/>
          <w:szCs w:val="18"/>
        </w:rPr>
        <w:t>VIS</w:t>
      </w:r>
      <w:r w:rsidR="00C54F98">
        <w:rPr>
          <w:rFonts w:ascii="Verdana" w:hAnsi="Verdana"/>
          <w:sz w:val="18"/>
          <w:szCs w:val="18"/>
        </w:rPr>
        <w:t>)</w:t>
      </w:r>
      <w:r w:rsidRPr="00E3666A">
        <w:rPr>
          <w:rFonts w:ascii="Verdana" w:hAnsi="Verdana"/>
          <w:sz w:val="18"/>
          <w:szCs w:val="18"/>
        </w:rPr>
        <w:t xml:space="preserve"> presenteren. Deze routekaart is op 29 januari jl. aangenomen door de Management Board van </w:t>
      </w:r>
      <w:proofErr w:type="spellStart"/>
      <w:r w:rsidRPr="00E3666A">
        <w:rPr>
          <w:rFonts w:ascii="Verdana" w:hAnsi="Verdana"/>
          <w:sz w:val="18"/>
          <w:szCs w:val="18"/>
        </w:rPr>
        <w:t>eu</w:t>
      </w:r>
      <w:proofErr w:type="spellEnd"/>
      <w:r w:rsidRPr="00E3666A">
        <w:rPr>
          <w:rFonts w:ascii="Verdana" w:hAnsi="Verdana"/>
          <w:sz w:val="18"/>
          <w:szCs w:val="18"/>
        </w:rPr>
        <w:t xml:space="preserve">-LISA en maakt onderdeel uit van de IO </w:t>
      </w:r>
      <w:proofErr w:type="spellStart"/>
      <w:r w:rsidRPr="00E3666A">
        <w:rPr>
          <w:rFonts w:ascii="Verdana" w:hAnsi="Verdana"/>
          <w:sz w:val="18"/>
          <w:szCs w:val="18"/>
        </w:rPr>
        <w:t>roadmap</w:t>
      </w:r>
      <w:proofErr w:type="spellEnd"/>
      <w:r w:rsidRPr="00E3666A">
        <w:rPr>
          <w:rFonts w:ascii="Verdana" w:hAnsi="Verdana"/>
          <w:sz w:val="18"/>
          <w:szCs w:val="18"/>
        </w:rPr>
        <w:t xml:space="preserve"> die de JBZ-Raad in maart 2025 heeft vastgesteld voor de implementatie van grootschalige IT-systemen en hun onderlinge interoperabiliteit. Nederland heeft eerder gepleit voor een verschuiving van het </w:t>
      </w:r>
      <w:proofErr w:type="spellStart"/>
      <w:r w:rsidRPr="00297911">
        <w:rPr>
          <w:rFonts w:ascii="Verdana" w:hAnsi="Verdana"/>
          <w:i/>
          <w:iCs/>
          <w:sz w:val="18"/>
          <w:szCs w:val="18"/>
        </w:rPr>
        <w:t>revised</w:t>
      </w:r>
      <w:proofErr w:type="spellEnd"/>
      <w:r w:rsidRPr="00E3666A">
        <w:rPr>
          <w:rFonts w:ascii="Verdana" w:hAnsi="Verdana"/>
          <w:sz w:val="18"/>
          <w:szCs w:val="18"/>
        </w:rPr>
        <w:t xml:space="preserve"> VIS naar het vierde kwartaal van 2028. Het </w:t>
      </w:r>
      <w:proofErr w:type="spellStart"/>
      <w:r w:rsidRPr="00297911">
        <w:rPr>
          <w:rFonts w:ascii="Verdana" w:hAnsi="Verdana"/>
          <w:i/>
          <w:iCs/>
          <w:sz w:val="18"/>
          <w:szCs w:val="18"/>
        </w:rPr>
        <w:t>revised</w:t>
      </w:r>
      <w:proofErr w:type="spellEnd"/>
      <w:r w:rsidRPr="00E3666A">
        <w:rPr>
          <w:rFonts w:ascii="Verdana" w:hAnsi="Verdana"/>
          <w:sz w:val="18"/>
          <w:szCs w:val="18"/>
        </w:rPr>
        <w:t xml:space="preserve"> VIS zal nu in twee fasen, Q4 2028 en Q3 2029, worden geïmplementeerd. De Raad zal naar verwachting worden gevraagd om de </w:t>
      </w:r>
      <w:proofErr w:type="spellStart"/>
      <w:r w:rsidRPr="00E3666A">
        <w:rPr>
          <w:rFonts w:ascii="Verdana" w:hAnsi="Verdana"/>
          <w:sz w:val="18"/>
          <w:szCs w:val="18"/>
        </w:rPr>
        <w:t>roadmap</w:t>
      </w:r>
      <w:proofErr w:type="spellEnd"/>
      <w:r w:rsidRPr="00E3666A">
        <w:rPr>
          <w:rFonts w:ascii="Verdana" w:hAnsi="Verdana"/>
          <w:sz w:val="18"/>
          <w:szCs w:val="18"/>
        </w:rPr>
        <w:t xml:space="preserve"> voor </w:t>
      </w:r>
      <w:proofErr w:type="spellStart"/>
      <w:r w:rsidRPr="00297911">
        <w:rPr>
          <w:rFonts w:ascii="Verdana" w:hAnsi="Verdana"/>
          <w:i/>
          <w:iCs/>
          <w:sz w:val="18"/>
          <w:szCs w:val="18"/>
        </w:rPr>
        <w:t>revised</w:t>
      </w:r>
      <w:proofErr w:type="spellEnd"/>
      <w:r w:rsidRPr="00E3666A">
        <w:rPr>
          <w:rFonts w:ascii="Verdana" w:hAnsi="Verdana"/>
          <w:sz w:val="18"/>
          <w:szCs w:val="18"/>
        </w:rPr>
        <w:t xml:space="preserve"> VIS aan te nemen. Nederland </w:t>
      </w:r>
      <w:r>
        <w:rPr>
          <w:rFonts w:ascii="Verdana" w:hAnsi="Verdana"/>
          <w:sz w:val="18"/>
          <w:szCs w:val="18"/>
        </w:rPr>
        <w:t>kan hiermee</w:t>
      </w:r>
      <w:r w:rsidRPr="00E3666A">
        <w:rPr>
          <w:rFonts w:ascii="Verdana" w:hAnsi="Verdana"/>
          <w:sz w:val="18"/>
          <w:szCs w:val="18"/>
        </w:rPr>
        <w:t xml:space="preserve"> instemmen.</w:t>
      </w:r>
    </w:p>
    <w:p w:rsidRPr="00E3666A" w:rsidR="00E3666A" w:rsidP="00E3666A" w:rsidRDefault="00E3666A" w14:paraId="48A5ABB9" w14:textId="77777777">
      <w:pPr>
        <w:spacing w:after="0"/>
        <w:rPr>
          <w:rFonts w:ascii="Verdana" w:hAnsi="Verdana"/>
          <w:sz w:val="18"/>
          <w:szCs w:val="18"/>
        </w:rPr>
      </w:pPr>
    </w:p>
    <w:p w:rsidRPr="00E3666A" w:rsidR="00E3666A" w:rsidP="00E3666A" w:rsidRDefault="00E3666A" w14:paraId="16B9BA84" w14:textId="043C6CF3">
      <w:pPr>
        <w:spacing w:after="0"/>
        <w:rPr>
          <w:rFonts w:ascii="Verdana" w:hAnsi="Verdana"/>
          <w:sz w:val="18"/>
          <w:szCs w:val="18"/>
        </w:rPr>
      </w:pPr>
      <w:r w:rsidRPr="00E3666A">
        <w:rPr>
          <w:rFonts w:ascii="Verdana" w:hAnsi="Verdana"/>
          <w:sz w:val="18"/>
          <w:szCs w:val="18"/>
        </w:rPr>
        <w:t xml:space="preserve">Naar verwachting zal de Commissie ook stilstaan bij de ervaringen en de eerste resultaten van de gefaseerde ingebruikname van het </w:t>
      </w:r>
      <w:r w:rsidRPr="00297911">
        <w:rPr>
          <w:rFonts w:ascii="Verdana" w:hAnsi="Verdana"/>
          <w:i/>
          <w:iCs/>
          <w:sz w:val="18"/>
          <w:szCs w:val="18"/>
        </w:rPr>
        <w:t>Entry/Exit System</w:t>
      </w:r>
      <w:r w:rsidRPr="00E3666A">
        <w:rPr>
          <w:rFonts w:ascii="Verdana" w:hAnsi="Verdana"/>
          <w:sz w:val="18"/>
          <w:szCs w:val="18"/>
        </w:rPr>
        <w:t xml:space="preserve"> (EES), dat op 12 oktober 2025 geleidelijk in gebruik is genomen. De gefaseerde implementatie duurt 180 dagen en eindigt op 9 april 2026. Het EES is op alle grensdoorlaatposten in Nederland in gebruik, maar is nog niet volledig operationeel door technische uitdagingen met de nationale ICT-systemen. Alle inzet is erop gericht om het systeem tijdig volledig operationeel te krijgen. Dat laat onverlet dat het behalen van de deadline van 9 april 2026 afhankelijk blijft van de verdere technische voortgang. Nederland staat in nauw contact met de Commissie over de implementatie van</w:t>
      </w:r>
      <w:r w:rsidR="00C54F98">
        <w:rPr>
          <w:rFonts w:ascii="Verdana" w:hAnsi="Verdana"/>
          <w:sz w:val="18"/>
          <w:szCs w:val="18"/>
        </w:rPr>
        <w:t xml:space="preserve"> het</w:t>
      </w:r>
      <w:r w:rsidRPr="00E3666A">
        <w:rPr>
          <w:rFonts w:ascii="Verdana" w:hAnsi="Verdana"/>
          <w:sz w:val="18"/>
          <w:szCs w:val="18"/>
        </w:rPr>
        <w:t xml:space="preserve"> EES binnen Nederland.</w:t>
      </w:r>
    </w:p>
    <w:p w:rsidRPr="00E3666A" w:rsidR="00E3666A" w:rsidP="00E3666A" w:rsidRDefault="00E3666A" w14:paraId="6E35196A" w14:textId="77777777">
      <w:pPr>
        <w:spacing w:after="0"/>
        <w:rPr>
          <w:rFonts w:ascii="Verdana" w:hAnsi="Verdana"/>
          <w:sz w:val="18"/>
          <w:szCs w:val="18"/>
        </w:rPr>
      </w:pPr>
    </w:p>
    <w:p w:rsidRPr="00E3666A" w:rsidR="00E3666A" w:rsidP="00E3666A" w:rsidRDefault="00E3666A" w14:paraId="061CF1F2" w14:textId="77777777">
      <w:pPr>
        <w:spacing w:after="0"/>
        <w:rPr>
          <w:rFonts w:ascii="Verdana" w:hAnsi="Verdana"/>
          <w:sz w:val="18"/>
          <w:szCs w:val="18"/>
        </w:rPr>
      </w:pPr>
      <w:r w:rsidRPr="00E3666A">
        <w:rPr>
          <w:rFonts w:ascii="Verdana" w:hAnsi="Verdana"/>
          <w:sz w:val="18"/>
          <w:szCs w:val="18"/>
        </w:rPr>
        <w:t xml:space="preserve">Verder zal vooruit worden geblikt op de planning en voorbereidingen voor de implementatie het vernieuwde Eurodac-systeem, dat in juni 2026 in werking zal treden en het European Travel Information </w:t>
      </w:r>
      <w:proofErr w:type="spellStart"/>
      <w:r w:rsidRPr="00E3666A">
        <w:rPr>
          <w:rFonts w:ascii="Verdana" w:hAnsi="Verdana"/>
          <w:sz w:val="18"/>
          <w:szCs w:val="18"/>
        </w:rPr>
        <w:t>and</w:t>
      </w:r>
      <w:proofErr w:type="spellEnd"/>
      <w:r w:rsidRPr="00E3666A">
        <w:rPr>
          <w:rFonts w:ascii="Verdana" w:hAnsi="Verdana"/>
          <w:sz w:val="18"/>
          <w:szCs w:val="18"/>
        </w:rPr>
        <w:t xml:space="preserve"> </w:t>
      </w:r>
      <w:proofErr w:type="spellStart"/>
      <w:r w:rsidRPr="00E3666A">
        <w:rPr>
          <w:rFonts w:ascii="Verdana" w:hAnsi="Verdana"/>
          <w:sz w:val="18"/>
          <w:szCs w:val="18"/>
        </w:rPr>
        <w:t>Authorisation</w:t>
      </w:r>
      <w:proofErr w:type="spellEnd"/>
      <w:r w:rsidRPr="00E3666A">
        <w:rPr>
          <w:rFonts w:ascii="Verdana" w:hAnsi="Verdana"/>
          <w:sz w:val="18"/>
          <w:szCs w:val="18"/>
        </w:rPr>
        <w:t xml:space="preserve"> System (ETIAS), dat gepland staat voor het vierde kwartaal van 2026. </w:t>
      </w:r>
    </w:p>
    <w:p w:rsidRPr="0004433E" w:rsidR="00E3666A" w:rsidP="00E3666A" w:rsidRDefault="00E3666A" w14:paraId="754408CB" w14:textId="77777777">
      <w:pPr>
        <w:spacing w:after="0"/>
        <w:rPr>
          <w:rFonts w:ascii="Verdana" w:hAnsi="Verdana"/>
          <w:sz w:val="18"/>
          <w:szCs w:val="18"/>
        </w:rPr>
      </w:pPr>
    </w:p>
    <w:p w:rsidRPr="00997E04" w:rsidR="00997E04" w:rsidP="00997E04" w:rsidRDefault="00997E04" w14:paraId="485488E7" w14:textId="7B88B671">
      <w:pPr>
        <w:pStyle w:val="Lijstalinea"/>
        <w:numPr>
          <w:ilvl w:val="0"/>
          <w:numId w:val="3"/>
        </w:numPr>
        <w:rPr>
          <w:rFonts w:ascii="Verdana" w:hAnsi="Verdana"/>
          <w:b/>
          <w:bCs/>
          <w:sz w:val="18"/>
          <w:szCs w:val="18"/>
        </w:rPr>
      </w:pPr>
      <w:r>
        <w:rPr>
          <w:rFonts w:ascii="Verdana" w:hAnsi="Verdana"/>
          <w:b/>
          <w:bCs/>
          <w:sz w:val="18"/>
          <w:szCs w:val="18"/>
        </w:rPr>
        <w:t xml:space="preserve">Externe dimensie van migratie </w:t>
      </w:r>
    </w:p>
    <w:p w:rsidR="00997E04" w:rsidP="00997E04" w:rsidRDefault="009E2D40" w14:paraId="64D018F8" w14:textId="771B2ACE">
      <w:pPr>
        <w:pStyle w:val="Lijstalinea"/>
        <w:rPr>
          <w:rFonts w:ascii="Verdana" w:hAnsi="Verdana"/>
          <w:b/>
          <w:bCs/>
          <w:sz w:val="18"/>
          <w:szCs w:val="18"/>
        </w:rPr>
      </w:pPr>
      <w:r w:rsidRPr="009E2D40">
        <w:rPr>
          <w:rFonts w:ascii="Verdana" w:hAnsi="Verdana"/>
          <w:i/>
          <w:iCs/>
          <w:sz w:val="18"/>
          <w:szCs w:val="18"/>
        </w:rPr>
        <w:t>Gedachtewisseling</w:t>
      </w:r>
    </w:p>
    <w:p w:rsidRPr="00283E95" w:rsidR="00283E95" w:rsidP="00283E95" w:rsidRDefault="00283E95" w14:paraId="45632B66" w14:textId="1A8DF587">
      <w:pPr>
        <w:rPr>
          <w:rFonts w:ascii="Verdana" w:hAnsi="Verdana"/>
          <w:sz w:val="18"/>
          <w:szCs w:val="18"/>
        </w:rPr>
      </w:pPr>
      <w:r w:rsidRPr="00283E95">
        <w:rPr>
          <w:rFonts w:ascii="Verdana" w:hAnsi="Verdana"/>
          <w:sz w:val="18"/>
          <w:szCs w:val="18"/>
        </w:rPr>
        <w:t xml:space="preserve">Het Cypriotische voorzitterschap heeft eerder aangegeven belang te hechten aan een ambitieuze inzet op de externe dimensie van migratie onder andere waar het gaat om het bevorderen van terugkeer. Naar verwachting zal het Voorzitterschap lidstaten vragen te reflecteren op de inzet en prioriteiten ten aanzien van Libië en Libanon. </w:t>
      </w:r>
    </w:p>
    <w:p w:rsidRPr="00283E95" w:rsidR="00283E95" w:rsidP="00283E95" w:rsidRDefault="003A6AEA" w14:paraId="6A98E2A2" w14:textId="11F1A6BC">
      <w:pPr>
        <w:rPr>
          <w:rFonts w:ascii="Verdana" w:hAnsi="Verdana"/>
          <w:sz w:val="18"/>
          <w:szCs w:val="18"/>
        </w:rPr>
      </w:pPr>
      <w:r>
        <w:rPr>
          <w:rFonts w:ascii="Verdana" w:hAnsi="Verdana"/>
          <w:sz w:val="18"/>
          <w:szCs w:val="18"/>
        </w:rPr>
        <w:t>Nederland</w:t>
      </w:r>
      <w:r w:rsidRPr="00283E95" w:rsidR="00283E95">
        <w:rPr>
          <w:rFonts w:ascii="Verdana" w:hAnsi="Verdana"/>
          <w:sz w:val="18"/>
          <w:szCs w:val="18"/>
        </w:rPr>
        <w:t xml:space="preserve"> verwelkomt de focus van het Voorzitterschap op Libië en Libanon. Beide landen zijn van strategisch belang als het gaat om zowel het bevorderen van terugkeer als het voorkomen van vertrek. Beide landen liggen op belangrijke migratieroutes naar de EU en vangen veel migranten op. Libanon speelt een cruciale rol in de regio als het gaat om de opvang van Syriërs. Door de recente inzet van de EU op het gebied van migratie in Libanon zijn er positieve resultaten geboekt, onder andere op het gebied van capaciteitsopbouw en ondersteuning vrijwillige terugkeer naar Syrië. Het is van belang dat oog wordt gehouden op de situatie in Libanon in het kader van het bevorderen van terugkeer naar Syrië. Voor Libië zijn er zorgen over de toename van het aantal vertrekken vanuit Oost-Libië richting Europa. In 2025 kwamen vanuit Libië 72,791 migranten irregulier aan in Europa, de meeste in Italië (77%) maar ook Griekenland (23%). Het totaal aantal lag fors hoger dan in 2024 (+64%). Libië was daarmee het belangrijkste transitland vanuit Noord-Afrika naar Europa. </w:t>
      </w:r>
      <w:r>
        <w:rPr>
          <w:rFonts w:ascii="Verdana" w:hAnsi="Verdana"/>
          <w:sz w:val="18"/>
          <w:szCs w:val="18"/>
        </w:rPr>
        <w:t>Nederland</w:t>
      </w:r>
      <w:r w:rsidRPr="00283E95" w:rsidR="00283E95">
        <w:rPr>
          <w:rFonts w:ascii="Verdana" w:hAnsi="Verdana"/>
          <w:sz w:val="18"/>
          <w:szCs w:val="18"/>
        </w:rPr>
        <w:t xml:space="preserve"> ziet meerwaarde in een nauwere samenwerking met Libië en Libanon op het gebied van migratie. Het is voor Libië echter wel van belang dat er oog wordt gehouden voor de politieke complexe situatie in het land en het voorkomen van het schenden van mensenrechten. </w:t>
      </w:r>
    </w:p>
    <w:p w:rsidR="00283E95" w:rsidP="009F1ADC" w:rsidRDefault="00283E95" w14:paraId="4451FE4E" w14:textId="3111196C">
      <w:pPr>
        <w:rPr>
          <w:rFonts w:ascii="Verdana" w:hAnsi="Verdana"/>
          <w:sz w:val="18"/>
          <w:szCs w:val="18"/>
        </w:rPr>
      </w:pPr>
      <w:r w:rsidRPr="00283E95">
        <w:rPr>
          <w:rFonts w:ascii="Verdana" w:hAnsi="Verdana"/>
          <w:sz w:val="18"/>
          <w:szCs w:val="18"/>
        </w:rPr>
        <w:t xml:space="preserve">Veel lidstaten zullen eveneens het belang benadrukken van een gecoördineerde en structurele samenwerking tussen de EU en deze landen. </w:t>
      </w:r>
    </w:p>
    <w:p w:rsidRPr="00283E95" w:rsidR="00826262" w:rsidP="009F1ADC" w:rsidRDefault="00826262" w14:paraId="4CAAAA03" w14:textId="77777777">
      <w:pPr>
        <w:rPr>
          <w:rFonts w:ascii="Verdana" w:hAnsi="Verdana"/>
          <w:sz w:val="18"/>
          <w:szCs w:val="18"/>
        </w:rPr>
      </w:pPr>
    </w:p>
    <w:p w:rsidRPr="009E2D40" w:rsidR="00997E04" w:rsidP="00997E04" w:rsidRDefault="00997E04" w14:paraId="477F49C1" w14:textId="21FAE432">
      <w:pPr>
        <w:pStyle w:val="Lijstalinea"/>
        <w:numPr>
          <w:ilvl w:val="0"/>
          <w:numId w:val="3"/>
        </w:numPr>
        <w:rPr>
          <w:rFonts w:ascii="Verdana" w:hAnsi="Verdana"/>
          <w:b/>
          <w:bCs/>
          <w:sz w:val="18"/>
          <w:szCs w:val="18"/>
        </w:rPr>
      </w:pPr>
      <w:bookmarkStart w:name="_Hlk222845990" w:id="0"/>
      <w:r>
        <w:rPr>
          <w:rFonts w:ascii="Verdana" w:hAnsi="Verdana"/>
          <w:b/>
          <w:bCs/>
          <w:sz w:val="18"/>
          <w:szCs w:val="18"/>
        </w:rPr>
        <w:lastRenderedPageBreak/>
        <w:t xml:space="preserve">Implementatie van het Asiel- en Migratiepact </w:t>
      </w:r>
    </w:p>
    <w:bookmarkEnd w:id="0"/>
    <w:p w:rsidR="009E2D40" w:rsidP="009E2D40" w:rsidRDefault="009E2D40" w14:paraId="7EFF1EB6" w14:textId="7B9D1E6E">
      <w:pPr>
        <w:pStyle w:val="Lijstalinea"/>
        <w:rPr>
          <w:rFonts w:ascii="Verdana" w:hAnsi="Verdana"/>
          <w:i/>
          <w:iCs/>
          <w:sz w:val="18"/>
          <w:szCs w:val="18"/>
        </w:rPr>
      </w:pPr>
      <w:r>
        <w:rPr>
          <w:rFonts w:ascii="Verdana" w:hAnsi="Verdana"/>
          <w:i/>
          <w:iCs/>
          <w:sz w:val="18"/>
          <w:szCs w:val="18"/>
        </w:rPr>
        <w:t>Stand van zaken</w:t>
      </w:r>
    </w:p>
    <w:p w:rsidR="003A6AEA" w:rsidP="009F1ADC" w:rsidRDefault="00283E95" w14:paraId="5318F567" w14:textId="77777777">
      <w:pPr>
        <w:rPr>
          <w:rFonts w:ascii="Verdana" w:hAnsi="Verdana"/>
          <w:sz w:val="18"/>
          <w:szCs w:val="18"/>
        </w:rPr>
      </w:pPr>
      <w:r w:rsidRPr="00283E95">
        <w:rPr>
          <w:rFonts w:ascii="Verdana" w:hAnsi="Verdana"/>
          <w:sz w:val="18"/>
          <w:szCs w:val="18"/>
        </w:rPr>
        <w:t xml:space="preserve">Onder dit agendapunt zal de Commissie een update geven over de stand van zaken van de implementatie van het Asiel- en Migratiepact. In april 2026 zal de Commissie een nieuw rapport uitbrengen over de stand van zaken. </w:t>
      </w:r>
    </w:p>
    <w:p w:rsidRPr="00283E95" w:rsidR="00283E95" w:rsidP="009F1ADC" w:rsidRDefault="003A6AEA" w14:paraId="0CB5FBC1" w14:textId="2E3ED312">
      <w:pPr>
        <w:rPr>
          <w:rFonts w:ascii="Verdana" w:hAnsi="Verdana"/>
          <w:sz w:val="18"/>
          <w:szCs w:val="18"/>
        </w:rPr>
      </w:pPr>
      <w:r>
        <w:rPr>
          <w:rFonts w:ascii="Verdana" w:hAnsi="Verdana"/>
          <w:sz w:val="18"/>
          <w:szCs w:val="18"/>
        </w:rPr>
        <w:t>Nederland</w:t>
      </w:r>
      <w:r w:rsidRPr="00283E95" w:rsidR="00283E95">
        <w:rPr>
          <w:rFonts w:ascii="Verdana" w:hAnsi="Verdana"/>
          <w:sz w:val="18"/>
          <w:szCs w:val="18"/>
        </w:rPr>
        <w:t xml:space="preserve"> verwelkomt de reguliere update van de Commissie, zodat knelpunten en risico’s voor implementatie tijdig geïdentificeerd en aangepakt worden in aanloop naar de inwerkingtreding van het Pact in juni dit jaar. Op basis van het laatste implementatierapport van oktober 2025 heeft </w:t>
      </w:r>
      <w:r>
        <w:rPr>
          <w:rFonts w:ascii="Verdana" w:hAnsi="Verdana"/>
          <w:sz w:val="18"/>
          <w:szCs w:val="18"/>
        </w:rPr>
        <w:t>Nederland</w:t>
      </w:r>
      <w:r w:rsidRPr="00283E95" w:rsidR="00283E95">
        <w:rPr>
          <w:rFonts w:ascii="Verdana" w:hAnsi="Verdana"/>
          <w:sz w:val="18"/>
          <w:szCs w:val="18"/>
        </w:rPr>
        <w:t xml:space="preserve"> specifiek aandacht voor de implementatie van </w:t>
      </w:r>
      <w:proofErr w:type="spellStart"/>
      <w:r w:rsidRPr="00283E95" w:rsidR="00283E95">
        <w:rPr>
          <w:rFonts w:ascii="Verdana" w:hAnsi="Verdana"/>
          <w:sz w:val="18"/>
          <w:szCs w:val="18"/>
        </w:rPr>
        <w:t>Eurodac</w:t>
      </w:r>
      <w:proofErr w:type="spellEnd"/>
      <w:r w:rsidRPr="00283E95" w:rsidR="00283E95">
        <w:rPr>
          <w:rFonts w:ascii="Verdana" w:hAnsi="Verdana"/>
          <w:sz w:val="18"/>
          <w:szCs w:val="18"/>
        </w:rPr>
        <w:t xml:space="preserve">, screening en de asielgrensprocedure, alsook de naleving van het huidige </w:t>
      </w:r>
      <w:proofErr w:type="spellStart"/>
      <w:r w:rsidRPr="00283E95" w:rsidR="00283E95">
        <w:rPr>
          <w:rFonts w:ascii="Verdana" w:hAnsi="Verdana"/>
          <w:i/>
          <w:sz w:val="18"/>
          <w:szCs w:val="18"/>
        </w:rPr>
        <w:t>acquis</w:t>
      </w:r>
      <w:proofErr w:type="spellEnd"/>
      <w:r w:rsidRPr="00283E95" w:rsidR="00283E95">
        <w:rPr>
          <w:rFonts w:ascii="Verdana" w:hAnsi="Verdana"/>
          <w:sz w:val="18"/>
          <w:szCs w:val="18"/>
        </w:rPr>
        <w:t>, specifiek Dublinregels.</w:t>
      </w:r>
    </w:p>
    <w:p w:rsidRPr="009E2D40" w:rsidR="009E2D40" w:rsidP="00997E04" w:rsidRDefault="00997E04" w14:paraId="5AE51BD2" w14:textId="77777777">
      <w:pPr>
        <w:pStyle w:val="Lijstalinea"/>
        <w:numPr>
          <w:ilvl w:val="0"/>
          <w:numId w:val="3"/>
        </w:numPr>
        <w:rPr>
          <w:rFonts w:ascii="Verdana" w:hAnsi="Verdana"/>
          <w:b/>
          <w:bCs/>
          <w:sz w:val="18"/>
          <w:szCs w:val="18"/>
        </w:rPr>
      </w:pPr>
      <w:r w:rsidRPr="00997E04">
        <w:rPr>
          <w:rFonts w:ascii="Verdana" w:hAnsi="Verdana"/>
          <w:b/>
          <w:bCs/>
          <w:sz w:val="18"/>
          <w:szCs w:val="18"/>
        </w:rPr>
        <w:t>Conclusies over het strategisch kader van de EU inzake drugs</w:t>
      </w:r>
      <w:r w:rsidR="0093523E">
        <w:rPr>
          <w:rFonts w:ascii="Verdana" w:hAnsi="Verdana"/>
          <w:b/>
          <w:bCs/>
          <w:sz w:val="18"/>
          <w:szCs w:val="18"/>
        </w:rPr>
        <w:t xml:space="preserve"> </w:t>
      </w:r>
    </w:p>
    <w:p w:rsidRPr="00583F18" w:rsidR="00997E04" w:rsidP="009E2D40" w:rsidRDefault="007221E9" w14:paraId="5D80CF2C" w14:textId="35F502FD">
      <w:pPr>
        <w:pStyle w:val="Lijstalinea"/>
        <w:rPr>
          <w:rFonts w:ascii="Verdana" w:hAnsi="Verdana"/>
          <w:b/>
          <w:bCs/>
          <w:sz w:val="18"/>
          <w:szCs w:val="18"/>
        </w:rPr>
      </w:pPr>
      <w:r>
        <w:rPr>
          <w:rFonts w:ascii="Verdana" w:hAnsi="Verdana"/>
          <w:i/>
          <w:iCs/>
          <w:sz w:val="18"/>
          <w:szCs w:val="18"/>
        </w:rPr>
        <w:t>Goedkeuring</w:t>
      </w:r>
    </w:p>
    <w:p w:rsidRPr="00965DA9" w:rsidR="0027202E" w:rsidP="0027202E" w:rsidRDefault="0027202E" w14:paraId="5BC7D01E" w14:textId="75D8B597">
      <w:pPr>
        <w:rPr>
          <w:rFonts w:ascii="Verdana" w:hAnsi="Verdana"/>
          <w:sz w:val="18"/>
          <w:szCs w:val="18"/>
        </w:rPr>
      </w:pPr>
      <w:r w:rsidRPr="00965DA9">
        <w:rPr>
          <w:rFonts w:ascii="Verdana" w:hAnsi="Verdana"/>
          <w:sz w:val="18"/>
          <w:szCs w:val="18"/>
        </w:rPr>
        <w:t xml:space="preserve">Het Voorzitterschap </w:t>
      </w:r>
      <w:r w:rsidRPr="00965DA9" w:rsidR="009F1ADC">
        <w:rPr>
          <w:rFonts w:ascii="Verdana" w:hAnsi="Verdana"/>
          <w:sz w:val="18"/>
          <w:szCs w:val="18"/>
        </w:rPr>
        <w:t>zal</w:t>
      </w:r>
      <w:r w:rsidRPr="00965DA9">
        <w:rPr>
          <w:rFonts w:ascii="Verdana" w:hAnsi="Verdana"/>
          <w:sz w:val="18"/>
          <w:szCs w:val="18"/>
        </w:rPr>
        <w:t xml:space="preserve"> de Raad vragen in te stemmen met de </w:t>
      </w:r>
      <w:r w:rsidRPr="00965DA9" w:rsidR="009F1ADC">
        <w:rPr>
          <w:rFonts w:ascii="Verdana" w:hAnsi="Verdana"/>
          <w:sz w:val="18"/>
          <w:szCs w:val="18"/>
        </w:rPr>
        <w:t>R</w:t>
      </w:r>
      <w:r w:rsidRPr="00965DA9">
        <w:rPr>
          <w:rFonts w:ascii="Verdana" w:hAnsi="Verdana"/>
          <w:sz w:val="18"/>
          <w:szCs w:val="18"/>
        </w:rPr>
        <w:t xml:space="preserve">aadsconclusies over het strategisch kader van de EU inzake drugs. Deze conclusies zijn opgesteld naar aanleiding van de mededeling van de Commissie over de EU-drugsstrategie, die op 3 december 2025 </w:t>
      </w:r>
      <w:r w:rsidRPr="00965DA9" w:rsidR="00583F18">
        <w:rPr>
          <w:rFonts w:ascii="Verdana" w:hAnsi="Verdana"/>
          <w:sz w:val="18"/>
          <w:szCs w:val="18"/>
        </w:rPr>
        <w:t>is</w:t>
      </w:r>
      <w:r w:rsidRPr="00965DA9">
        <w:rPr>
          <w:rFonts w:ascii="Verdana" w:hAnsi="Verdana"/>
          <w:sz w:val="18"/>
          <w:szCs w:val="18"/>
        </w:rPr>
        <w:t xml:space="preserve"> gepubliceerd.</w:t>
      </w:r>
      <w:r w:rsidRPr="00965DA9" w:rsidR="009F1ADC">
        <w:rPr>
          <w:rFonts w:ascii="Verdana" w:hAnsi="Verdana"/>
          <w:sz w:val="18"/>
          <w:szCs w:val="18"/>
        </w:rPr>
        <w:t xml:space="preserve"> Uw Kamer is via een BNC-fiche over deze mededeling geïnformeerd.</w:t>
      </w:r>
      <w:r w:rsidRPr="00965DA9" w:rsidR="009F1ADC">
        <w:rPr>
          <w:rStyle w:val="Voetnootmarkering"/>
          <w:rFonts w:ascii="Verdana" w:hAnsi="Verdana"/>
          <w:sz w:val="18"/>
          <w:szCs w:val="18"/>
        </w:rPr>
        <w:footnoteReference w:id="1"/>
      </w:r>
      <w:r w:rsidRPr="00965DA9">
        <w:rPr>
          <w:rFonts w:ascii="Verdana" w:hAnsi="Verdana"/>
          <w:sz w:val="18"/>
          <w:szCs w:val="18"/>
        </w:rPr>
        <w:t xml:space="preserve"> De strategie vormt, samen met de toekomstige implementatieraamwerken, het nieuwe strategische kader van de EU op het gebied van drugsbeleid. De </w:t>
      </w:r>
      <w:r w:rsidRPr="00965DA9" w:rsidR="009F1ADC">
        <w:rPr>
          <w:rFonts w:ascii="Verdana" w:hAnsi="Verdana"/>
          <w:sz w:val="18"/>
          <w:szCs w:val="18"/>
        </w:rPr>
        <w:t>R</w:t>
      </w:r>
      <w:r w:rsidRPr="00965DA9">
        <w:rPr>
          <w:rFonts w:ascii="Verdana" w:hAnsi="Verdana"/>
          <w:sz w:val="18"/>
          <w:szCs w:val="18"/>
        </w:rPr>
        <w:t xml:space="preserve">aadsconclusies benadrukken de uitgangspunten van het EU-drugsbeleid, zoals de </w:t>
      </w:r>
      <w:r w:rsidRPr="00965DA9" w:rsidR="009F1ADC">
        <w:rPr>
          <w:rFonts w:ascii="Verdana" w:hAnsi="Verdana"/>
          <w:sz w:val="18"/>
          <w:szCs w:val="18"/>
        </w:rPr>
        <w:t>evenwichtige aanpak</w:t>
      </w:r>
      <w:r w:rsidRPr="00965DA9">
        <w:rPr>
          <w:rFonts w:ascii="Verdana" w:hAnsi="Verdana"/>
          <w:sz w:val="18"/>
          <w:szCs w:val="18"/>
        </w:rPr>
        <w:t xml:space="preserve"> van aanbodvermindering, vraagreductie en schadebeperking</w:t>
      </w:r>
      <w:r w:rsidRPr="00965DA9" w:rsidR="00B05580">
        <w:rPr>
          <w:rFonts w:ascii="Verdana" w:hAnsi="Verdana"/>
          <w:sz w:val="18"/>
          <w:szCs w:val="18"/>
        </w:rPr>
        <w:t>. Ook worden</w:t>
      </w:r>
      <w:r w:rsidRPr="00965DA9" w:rsidR="000807AB">
        <w:rPr>
          <w:rFonts w:ascii="Verdana" w:hAnsi="Verdana"/>
          <w:sz w:val="18"/>
          <w:szCs w:val="18"/>
        </w:rPr>
        <w:t xml:space="preserve"> </w:t>
      </w:r>
      <w:r w:rsidRPr="00965DA9">
        <w:rPr>
          <w:rFonts w:ascii="Verdana" w:hAnsi="Verdana"/>
          <w:sz w:val="18"/>
          <w:szCs w:val="18"/>
        </w:rPr>
        <w:t>de Europese waarden</w:t>
      </w:r>
      <w:r w:rsidRPr="00965DA9" w:rsidR="00B05580">
        <w:rPr>
          <w:rFonts w:ascii="Verdana" w:hAnsi="Verdana"/>
          <w:sz w:val="18"/>
          <w:szCs w:val="18"/>
        </w:rPr>
        <w:t xml:space="preserve"> benadrukt</w:t>
      </w:r>
      <w:r w:rsidRPr="00965DA9">
        <w:rPr>
          <w:rFonts w:ascii="Verdana" w:hAnsi="Verdana"/>
          <w:sz w:val="18"/>
          <w:szCs w:val="18"/>
        </w:rPr>
        <w:t>, waaronder respect voor internationaal recht, mensenrechten en de grondbeginselen van de EU. Deze principes vormen de basis voor de implementatie van de strategie.</w:t>
      </w:r>
      <w:r w:rsidRPr="00965DA9" w:rsidR="000807AB">
        <w:rPr>
          <w:rFonts w:ascii="Verdana" w:hAnsi="Verdana"/>
          <w:sz w:val="18"/>
          <w:szCs w:val="18"/>
        </w:rPr>
        <w:t xml:space="preserve"> Ten aanzien van de externe dimensie wordt ingezet op versterkte multilaterale en bilaterale samenwerking, onder meer in VN-verband en via bestaande dialogen met derde landen en regio’s. </w:t>
      </w:r>
    </w:p>
    <w:p w:rsidRPr="00965DA9" w:rsidR="0027202E" w:rsidP="0027202E" w:rsidRDefault="0027202E" w14:paraId="481DCAA7" w14:textId="135455E2">
      <w:pPr>
        <w:rPr>
          <w:rFonts w:ascii="Verdana" w:hAnsi="Verdana"/>
          <w:sz w:val="18"/>
          <w:szCs w:val="18"/>
        </w:rPr>
      </w:pPr>
      <w:r w:rsidRPr="00965DA9">
        <w:rPr>
          <w:rFonts w:ascii="Verdana" w:hAnsi="Verdana"/>
          <w:sz w:val="18"/>
          <w:szCs w:val="18"/>
        </w:rPr>
        <w:t xml:space="preserve">Om de strategie uit te voeren, zal de Raad, met steun van de Commissie, EDEO, EUDA en Europol, een </w:t>
      </w:r>
      <w:r w:rsidRPr="00965DA9" w:rsidR="004D521B">
        <w:rPr>
          <w:rFonts w:ascii="Verdana" w:hAnsi="Verdana"/>
          <w:sz w:val="18"/>
          <w:szCs w:val="18"/>
        </w:rPr>
        <w:t>uitvoeringsraamwerk</w:t>
      </w:r>
      <w:r w:rsidRPr="00965DA9">
        <w:rPr>
          <w:rFonts w:ascii="Verdana" w:hAnsi="Verdana"/>
          <w:sz w:val="18"/>
          <w:szCs w:val="18"/>
        </w:rPr>
        <w:t xml:space="preserve"> vaststellen. </w:t>
      </w:r>
      <w:r w:rsidRPr="00965DA9" w:rsidR="000807AB">
        <w:rPr>
          <w:rFonts w:ascii="Verdana" w:hAnsi="Verdana"/>
          <w:sz w:val="18"/>
          <w:szCs w:val="18"/>
        </w:rPr>
        <w:t>Het door de Commissie voorgestelde EU-actieplan tegen drugshandel zal daarbij worden betrokken en mogelijk integraal onderdeel vormen van dit kader</w:t>
      </w:r>
      <w:r w:rsidRPr="00965DA9">
        <w:rPr>
          <w:rFonts w:ascii="Verdana" w:hAnsi="Verdana"/>
          <w:sz w:val="18"/>
          <w:szCs w:val="18"/>
        </w:rPr>
        <w:t xml:space="preserve">. De Raad verzoekt de Commissie om een algemene evaluatie uit te voeren </w:t>
      </w:r>
      <w:r w:rsidRPr="00965DA9" w:rsidR="004D521B">
        <w:rPr>
          <w:rFonts w:ascii="Verdana" w:hAnsi="Verdana"/>
          <w:sz w:val="18"/>
          <w:szCs w:val="18"/>
        </w:rPr>
        <w:t xml:space="preserve">van het uitvoeringsraamwerk </w:t>
      </w:r>
      <w:r w:rsidRPr="00965DA9">
        <w:rPr>
          <w:rFonts w:ascii="Verdana" w:hAnsi="Verdana"/>
          <w:sz w:val="18"/>
          <w:szCs w:val="18"/>
        </w:rPr>
        <w:t xml:space="preserve">gebaseerd op specifieke en meetbare indicatoren. De resultaten van deze evaluatie moeten uiterlijk eind 2032 beschikbaar zijn voor het Europees Parlement en de Raad, om te dienen als basis voor de </w:t>
      </w:r>
      <w:r w:rsidRPr="00965DA9" w:rsidR="000807AB">
        <w:rPr>
          <w:rFonts w:ascii="Verdana" w:hAnsi="Verdana"/>
          <w:sz w:val="18"/>
          <w:szCs w:val="18"/>
        </w:rPr>
        <w:t>verdere</w:t>
      </w:r>
      <w:r w:rsidRPr="00965DA9">
        <w:rPr>
          <w:rFonts w:ascii="Verdana" w:hAnsi="Verdana"/>
          <w:sz w:val="18"/>
          <w:szCs w:val="18"/>
        </w:rPr>
        <w:t xml:space="preserve"> ontwikkeling van het EU-drugsbeleid.</w:t>
      </w:r>
      <w:r w:rsidRPr="00965DA9" w:rsidR="004D521B">
        <w:rPr>
          <w:rFonts w:ascii="Verdana" w:hAnsi="Verdana"/>
          <w:sz w:val="18"/>
          <w:szCs w:val="18"/>
        </w:rPr>
        <w:t xml:space="preserve"> </w:t>
      </w:r>
    </w:p>
    <w:p w:rsidRPr="00965DA9" w:rsidR="004D521B" w:rsidP="0027202E" w:rsidRDefault="009F1ADC" w14:paraId="4E3098D9" w14:textId="518E5313">
      <w:pPr>
        <w:rPr>
          <w:rFonts w:ascii="Verdana" w:hAnsi="Verdana"/>
          <w:sz w:val="18"/>
          <w:szCs w:val="18"/>
        </w:rPr>
      </w:pPr>
      <w:r w:rsidRPr="00965DA9">
        <w:rPr>
          <w:rFonts w:ascii="Verdana" w:hAnsi="Verdana"/>
          <w:sz w:val="18"/>
          <w:szCs w:val="18"/>
        </w:rPr>
        <w:t>Nederland</w:t>
      </w:r>
      <w:r w:rsidRPr="00965DA9" w:rsidR="004D521B">
        <w:rPr>
          <w:rFonts w:ascii="Verdana" w:hAnsi="Verdana"/>
          <w:sz w:val="18"/>
          <w:szCs w:val="18"/>
        </w:rPr>
        <w:t xml:space="preserve"> verwelkomt</w:t>
      </w:r>
      <w:r w:rsidRPr="00965DA9" w:rsidR="000807AB">
        <w:rPr>
          <w:rFonts w:ascii="Verdana" w:hAnsi="Verdana"/>
          <w:sz w:val="18"/>
          <w:szCs w:val="18"/>
        </w:rPr>
        <w:t xml:space="preserve"> de </w:t>
      </w:r>
      <w:r w:rsidRPr="00965DA9">
        <w:rPr>
          <w:rFonts w:ascii="Verdana" w:hAnsi="Verdana"/>
          <w:sz w:val="18"/>
          <w:szCs w:val="18"/>
        </w:rPr>
        <w:t>R</w:t>
      </w:r>
      <w:r w:rsidRPr="00965DA9" w:rsidR="000807AB">
        <w:rPr>
          <w:rFonts w:ascii="Verdana" w:hAnsi="Verdana"/>
          <w:sz w:val="18"/>
          <w:szCs w:val="18"/>
        </w:rPr>
        <w:t xml:space="preserve">aadsconclusies en onderschrijft </w:t>
      </w:r>
      <w:r w:rsidRPr="00965DA9" w:rsidR="006725EC">
        <w:rPr>
          <w:rFonts w:ascii="Verdana" w:hAnsi="Verdana"/>
          <w:sz w:val="18"/>
          <w:szCs w:val="18"/>
        </w:rPr>
        <w:t>het</w:t>
      </w:r>
      <w:r w:rsidRPr="00965DA9" w:rsidR="000807AB">
        <w:rPr>
          <w:rFonts w:ascii="Verdana" w:hAnsi="Verdana"/>
          <w:sz w:val="18"/>
          <w:szCs w:val="18"/>
        </w:rPr>
        <w:t xml:space="preserve"> belang van een </w:t>
      </w:r>
      <w:r w:rsidRPr="00965DA9" w:rsidR="006725EC">
        <w:rPr>
          <w:rFonts w:ascii="Verdana" w:hAnsi="Verdana"/>
          <w:sz w:val="18"/>
          <w:szCs w:val="18"/>
        </w:rPr>
        <w:t>geïntegreerde</w:t>
      </w:r>
      <w:r w:rsidRPr="00965DA9" w:rsidR="000807AB">
        <w:rPr>
          <w:rFonts w:ascii="Verdana" w:hAnsi="Verdana"/>
          <w:sz w:val="18"/>
          <w:szCs w:val="18"/>
        </w:rPr>
        <w:t xml:space="preserve"> </w:t>
      </w:r>
      <w:r w:rsidRPr="00965DA9" w:rsidR="006725EC">
        <w:rPr>
          <w:rFonts w:ascii="Verdana" w:hAnsi="Verdana"/>
          <w:sz w:val="18"/>
          <w:szCs w:val="18"/>
        </w:rPr>
        <w:t xml:space="preserve">benadering van het drugsbeleid. </w:t>
      </w:r>
      <w:r w:rsidRPr="00965DA9">
        <w:rPr>
          <w:rFonts w:ascii="Verdana" w:hAnsi="Verdana"/>
          <w:sz w:val="18"/>
          <w:szCs w:val="18"/>
        </w:rPr>
        <w:t>Nederland</w:t>
      </w:r>
      <w:r w:rsidRPr="00965DA9" w:rsidR="006725EC">
        <w:rPr>
          <w:rFonts w:ascii="Verdana" w:hAnsi="Verdana"/>
          <w:sz w:val="18"/>
          <w:szCs w:val="18"/>
        </w:rPr>
        <w:t xml:space="preserve"> acht het van belang dat zowel de volksgezondheidsdimensie als de veiligheidsdimensie, waaronder de aanpak van georganiseerde en ondermijnende drugscriminaliteit, in samenhang worden versterkt. </w:t>
      </w:r>
    </w:p>
    <w:p w:rsidRPr="00965DA9" w:rsidR="00997E04" w:rsidP="00997E04" w:rsidRDefault="00997E04" w14:paraId="40439AE3" w14:textId="715B891D">
      <w:pPr>
        <w:pStyle w:val="Lijstalinea"/>
        <w:numPr>
          <w:ilvl w:val="0"/>
          <w:numId w:val="3"/>
        </w:numPr>
        <w:rPr>
          <w:rFonts w:ascii="Verdana" w:hAnsi="Verdana"/>
          <w:b/>
          <w:bCs/>
          <w:sz w:val="18"/>
          <w:szCs w:val="18"/>
        </w:rPr>
      </w:pPr>
      <w:r w:rsidRPr="00965DA9">
        <w:rPr>
          <w:rFonts w:ascii="Verdana" w:hAnsi="Verdana"/>
          <w:b/>
          <w:bCs/>
          <w:sz w:val="18"/>
          <w:szCs w:val="18"/>
        </w:rPr>
        <w:t>Toekomst van Europol</w:t>
      </w:r>
    </w:p>
    <w:p w:rsidRPr="00965DA9" w:rsidR="001F674E" w:rsidP="001F674E" w:rsidRDefault="001F674E" w14:paraId="157FB187" w14:textId="38191405">
      <w:pPr>
        <w:pStyle w:val="Lijstalinea"/>
        <w:rPr>
          <w:rFonts w:ascii="Verdana" w:hAnsi="Verdana"/>
          <w:i/>
          <w:iCs/>
          <w:sz w:val="18"/>
          <w:szCs w:val="18"/>
        </w:rPr>
      </w:pPr>
      <w:r w:rsidRPr="00965DA9">
        <w:rPr>
          <w:rFonts w:ascii="Verdana" w:hAnsi="Verdana"/>
          <w:i/>
          <w:iCs/>
          <w:sz w:val="18"/>
          <w:szCs w:val="18"/>
        </w:rPr>
        <w:t>Gedachtewisseling</w:t>
      </w:r>
    </w:p>
    <w:p w:rsidRPr="00965DA9" w:rsidR="00507A6D" w:rsidP="00997E04" w:rsidRDefault="00507A6D" w14:paraId="0ADB96DB" w14:textId="38785D5D">
      <w:pPr>
        <w:rPr>
          <w:rFonts w:ascii="Verdana" w:hAnsi="Verdana"/>
          <w:sz w:val="18"/>
          <w:szCs w:val="18"/>
        </w:rPr>
      </w:pPr>
      <w:r w:rsidRPr="00965DA9">
        <w:rPr>
          <w:rFonts w:ascii="Verdana" w:hAnsi="Verdana"/>
          <w:sz w:val="18"/>
          <w:szCs w:val="18"/>
        </w:rPr>
        <w:t xml:space="preserve">Tijdens de Raad zal worden gesproken over de toekomst van Europol in het licht van de veranderende veiligheidscontext. Op moment van schrijven is er nog geen discussiestuk beschikbaar. Naar verwachting zal de discussie voortbouwen op de evaluatie van het huidige mandaat van Europol en </w:t>
      </w:r>
      <w:r w:rsidRPr="00965DA9" w:rsidR="00772C91">
        <w:rPr>
          <w:rFonts w:ascii="Verdana" w:hAnsi="Verdana"/>
          <w:sz w:val="18"/>
          <w:szCs w:val="18"/>
        </w:rPr>
        <w:t>de mogelijke</w:t>
      </w:r>
      <w:r w:rsidRPr="00965DA9">
        <w:rPr>
          <w:rFonts w:ascii="Verdana" w:hAnsi="Verdana"/>
          <w:sz w:val="18"/>
          <w:szCs w:val="18"/>
        </w:rPr>
        <w:t xml:space="preserve"> </w:t>
      </w:r>
      <w:r w:rsidRPr="00965DA9" w:rsidR="00772C91">
        <w:rPr>
          <w:rFonts w:ascii="Verdana" w:hAnsi="Verdana"/>
          <w:sz w:val="18"/>
          <w:szCs w:val="18"/>
        </w:rPr>
        <w:t>uitbreiding van de taken van Europol</w:t>
      </w:r>
      <w:r w:rsidRPr="00965DA9">
        <w:rPr>
          <w:rFonts w:ascii="Verdana" w:hAnsi="Verdana"/>
          <w:sz w:val="18"/>
          <w:szCs w:val="18"/>
        </w:rPr>
        <w:t xml:space="preserve">. De Commissie heeft aangekondigd om in het tweede kwartaal van 2026 een voorstel te publiceren ter versterking van Europol. </w:t>
      </w:r>
    </w:p>
    <w:p w:rsidRPr="00965DA9" w:rsidR="006725EC" w:rsidP="00E259FA" w:rsidRDefault="00D176F2" w14:paraId="411D7312" w14:textId="07259037">
      <w:pPr>
        <w:spacing w:line="276" w:lineRule="auto"/>
        <w:rPr>
          <w:rFonts w:ascii="Verdana" w:hAnsi="Verdana"/>
          <w:sz w:val="18"/>
          <w:szCs w:val="18"/>
        </w:rPr>
      </w:pPr>
      <w:r w:rsidRPr="00965DA9">
        <w:rPr>
          <w:rFonts w:ascii="Verdana" w:hAnsi="Verdana"/>
          <w:sz w:val="18"/>
          <w:szCs w:val="18"/>
        </w:rPr>
        <w:t xml:space="preserve">In de strijd tegen georganiseerde criminaliteit en terrorisme is de gezamenlijke Europese aanpak van groot belang. Europol speelt hierin een onmiskenbare waardevolle rol. Door intensief samen te werken binnen de EU kunnen we grensoverschrijdende misdaad effectief bestrijden, wat bijdraagt aan een veiligere EU. Nederland ziet in positieve zin volop mogelijkheden om de rol van Europol </w:t>
      </w:r>
      <w:r w:rsidRPr="00965DA9">
        <w:rPr>
          <w:rFonts w:ascii="Verdana" w:hAnsi="Verdana"/>
          <w:sz w:val="18"/>
          <w:szCs w:val="18"/>
        </w:rPr>
        <w:lastRenderedPageBreak/>
        <w:t xml:space="preserve">binnen het bestaande mandaat te versterken. Door de huidige taken en verantwoordelijkheden van Europol verder te optimaliseren, kan de samenwerking worden vergroot en kan er nog beter worden ingespeeld op de dynamiek van de georganiseerde criminaliteit. Essentieel is dat Europol altijd in goed overleg met de nationale politiediensten en vooral met behoud van nationale zeggenschap over de onderzoeken blijft werken. </w:t>
      </w:r>
      <w:r w:rsidRPr="00965DA9" w:rsidR="00772C91">
        <w:rPr>
          <w:rFonts w:ascii="Verdana" w:hAnsi="Verdana"/>
          <w:sz w:val="18"/>
          <w:szCs w:val="18"/>
        </w:rPr>
        <w:t xml:space="preserve">Daarbij hecht </w:t>
      </w:r>
      <w:r w:rsidRPr="00965DA9" w:rsidR="00C16D86">
        <w:rPr>
          <w:rFonts w:ascii="Verdana" w:hAnsi="Verdana"/>
          <w:sz w:val="18"/>
          <w:szCs w:val="18"/>
        </w:rPr>
        <w:t>Nederland</w:t>
      </w:r>
      <w:r w:rsidRPr="00965DA9" w:rsidR="00772C91">
        <w:rPr>
          <w:rFonts w:ascii="Verdana" w:hAnsi="Verdana"/>
          <w:sz w:val="18"/>
          <w:szCs w:val="18"/>
        </w:rPr>
        <w:t xml:space="preserve"> grote waarde aan een zorgvuldig en onderbouwd impact assessment bij het aangekondigde voorstel van de Commissie.</w:t>
      </w:r>
    </w:p>
    <w:p w:rsidRPr="00965DA9" w:rsidR="001F674E" w:rsidP="00997E04" w:rsidRDefault="002826B2" w14:paraId="4EDC4D8B" w14:textId="77777777">
      <w:pPr>
        <w:pStyle w:val="Lijstalinea"/>
        <w:numPr>
          <w:ilvl w:val="0"/>
          <w:numId w:val="3"/>
        </w:numPr>
        <w:rPr>
          <w:rFonts w:ascii="Verdana" w:hAnsi="Verdana"/>
          <w:b/>
          <w:bCs/>
          <w:sz w:val="18"/>
          <w:szCs w:val="18"/>
        </w:rPr>
      </w:pPr>
      <w:r w:rsidRPr="00965DA9">
        <w:rPr>
          <w:rFonts w:ascii="Verdana" w:hAnsi="Verdana"/>
          <w:b/>
          <w:bCs/>
          <w:sz w:val="18"/>
          <w:szCs w:val="18"/>
        </w:rPr>
        <w:t xml:space="preserve">Werklunch: </w:t>
      </w:r>
      <w:r w:rsidRPr="00965DA9" w:rsidR="00997E04">
        <w:rPr>
          <w:rFonts w:ascii="Verdana" w:hAnsi="Verdana"/>
          <w:b/>
          <w:bCs/>
          <w:sz w:val="18"/>
          <w:szCs w:val="18"/>
        </w:rPr>
        <w:t>Impact van de huidige geopolitieke situatie op de interne veiligheid van de EU: situatie in Syrië</w:t>
      </w:r>
      <w:r w:rsidRPr="00965DA9" w:rsidR="007221E9">
        <w:rPr>
          <w:rFonts w:ascii="Verdana" w:hAnsi="Verdana"/>
          <w:b/>
          <w:bCs/>
          <w:sz w:val="18"/>
          <w:szCs w:val="18"/>
        </w:rPr>
        <w:t xml:space="preserve"> </w:t>
      </w:r>
    </w:p>
    <w:p w:rsidRPr="00965DA9" w:rsidR="001F674E" w:rsidP="00B05580" w:rsidRDefault="007221E9" w14:paraId="0457E9DC" w14:textId="3EC394B3">
      <w:pPr>
        <w:pStyle w:val="Lijstalinea"/>
        <w:rPr>
          <w:rFonts w:ascii="Verdana" w:hAnsi="Verdana"/>
          <w:b/>
          <w:bCs/>
          <w:sz w:val="18"/>
          <w:szCs w:val="18"/>
        </w:rPr>
      </w:pPr>
      <w:r w:rsidRPr="00965DA9">
        <w:rPr>
          <w:rFonts w:ascii="Verdana" w:hAnsi="Verdana"/>
          <w:i/>
          <w:iCs/>
          <w:sz w:val="18"/>
          <w:szCs w:val="18"/>
        </w:rPr>
        <w:t>Gedachtewisseling</w:t>
      </w:r>
    </w:p>
    <w:p w:rsidRPr="00965DA9" w:rsidR="00772C91" w:rsidP="00997E04" w:rsidRDefault="00BE6C9A" w14:paraId="18165A26" w14:textId="2E28535E">
      <w:pPr>
        <w:rPr>
          <w:rFonts w:ascii="Verdana" w:hAnsi="Verdana"/>
          <w:sz w:val="18"/>
          <w:szCs w:val="18"/>
        </w:rPr>
      </w:pPr>
      <w:r w:rsidRPr="00965DA9">
        <w:rPr>
          <w:rFonts w:ascii="Verdana" w:hAnsi="Verdana"/>
          <w:sz w:val="18"/>
          <w:szCs w:val="18"/>
        </w:rPr>
        <w:t xml:space="preserve">Tijdens de werklunch zal de Raad van gedachten wisselen over de impact van de ontwikkelingen in Syrië </w:t>
      </w:r>
      <w:r w:rsidRPr="00965DA9" w:rsidR="0022439B">
        <w:rPr>
          <w:rFonts w:ascii="Verdana" w:hAnsi="Verdana"/>
          <w:sz w:val="18"/>
          <w:szCs w:val="18"/>
        </w:rPr>
        <w:t xml:space="preserve">en Irak </w:t>
      </w:r>
      <w:r w:rsidRPr="00965DA9">
        <w:rPr>
          <w:rFonts w:ascii="Verdana" w:hAnsi="Verdana"/>
          <w:sz w:val="18"/>
          <w:szCs w:val="18"/>
        </w:rPr>
        <w:t xml:space="preserve">op de interne veiligheid van de Europese Unie. Op het moment van schrijven is </w:t>
      </w:r>
      <w:r w:rsidRPr="00965DA9" w:rsidR="00C16D86">
        <w:rPr>
          <w:rFonts w:ascii="Verdana" w:hAnsi="Verdana"/>
          <w:sz w:val="18"/>
          <w:szCs w:val="18"/>
        </w:rPr>
        <w:t xml:space="preserve">nog </w:t>
      </w:r>
      <w:r w:rsidRPr="00965DA9">
        <w:rPr>
          <w:rFonts w:ascii="Verdana" w:hAnsi="Verdana"/>
          <w:sz w:val="18"/>
          <w:szCs w:val="18"/>
        </w:rPr>
        <w:t>geen discussiestuk beschikbaar. Naar verwachting zal</w:t>
      </w:r>
      <w:r w:rsidRPr="00965DA9" w:rsidR="00C16D86">
        <w:rPr>
          <w:rFonts w:ascii="Verdana" w:hAnsi="Verdana"/>
          <w:sz w:val="18"/>
          <w:szCs w:val="18"/>
        </w:rPr>
        <w:t xml:space="preserve"> de EU </w:t>
      </w:r>
      <w:r w:rsidRPr="00965DA9" w:rsidR="00134EAE">
        <w:rPr>
          <w:rFonts w:ascii="Verdana" w:hAnsi="Verdana"/>
          <w:sz w:val="18"/>
          <w:szCs w:val="18"/>
        </w:rPr>
        <w:t>Contraterrorisme</w:t>
      </w:r>
      <w:r w:rsidRPr="00965DA9">
        <w:rPr>
          <w:rFonts w:ascii="Verdana" w:hAnsi="Verdana"/>
          <w:sz w:val="18"/>
          <w:szCs w:val="18"/>
        </w:rPr>
        <w:t xml:space="preserve"> </w:t>
      </w:r>
      <w:r w:rsidRPr="00965DA9" w:rsidR="00C16D86">
        <w:rPr>
          <w:rFonts w:ascii="Verdana" w:hAnsi="Verdana"/>
          <w:sz w:val="18"/>
          <w:szCs w:val="18"/>
        </w:rPr>
        <w:t>Coördinator</w:t>
      </w:r>
      <w:r w:rsidRPr="00965DA9" w:rsidR="0022439B">
        <w:rPr>
          <w:rFonts w:ascii="Verdana" w:hAnsi="Verdana"/>
          <w:sz w:val="18"/>
          <w:szCs w:val="18"/>
        </w:rPr>
        <w:t xml:space="preserve"> (EU CTC)</w:t>
      </w:r>
      <w:r w:rsidRPr="00965DA9" w:rsidR="00E3666A">
        <w:rPr>
          <w:rFonts w:ascii="Verdana" w:hAnsi="Verdana"/>
          <w:sz w:val="18"/>
          <w:szCs w:val="18"/>
        </w:rPr>
        <w:t xml:space="preserve"> </w:t>
      </w:r>
      <w:r w:rsidRPr="00965DA9">
        <w:rPr>
          <w:rFonts w:ascii="Verdana" w:hAnsi="Verdana"/>
          <w:sz w:val="18"/>
          <w:szCs w:val="18"/>
        </w:rPr>
        <w:t xml:space="preserve">tijdens de Raad een update geven over de recente ontwikkelingen in Syrië en de mogelijke implicaties daarvan voor de EU, waaronder risico’s op radicalisering, terugkeer- of doorreisbewegingen van </w:t>
      </w:r>
      <w:proofErr w:type="spellStart"/>
      <w:r w:rsidRPr="00965DA9">
        <w:rPr>
          <w:rFonts w:ascii="Verdana" w:hAnsi="Verdana"/>
          <w:i/>
          <w:iCs/>
          <w:sz w:val="18"/>
          <w:szCs w:val="18"/>
        </w:rPr>
        <w:t>Foreign</w:t>
      </w:r>
      <w:proofErr w:type="spellEnd"/>
      <w:r w:rsidRPr="00965DA9">
        <w:rPr>
          <w:rFonts w:ascii="Verdana" w:hAnsi="Verdana"/>
          <w:i/>
          <w:iCs/>
          <w:sz w:val="18"/>
          <w:szCs w:val="18"/>
        </w:rPr>
        <w:t xml:space="preserve"> Terrorist </w:t>
      </w:r>
      <w:proofErr w:type="spellStart"/>
      <w:r w:rsidRPr="00965DA9">
        <w:rPr>
          <w:rFonts w:ascii="Verdana" w:hAnsi="Verdana"/>
          <w:i/>
          <w:iCs/>
          <w:sz w:val="18"/>
          <w:szCs w:val="18"/>
        </w:rPr>
        <w:t>Fighters</w:t>
      </w:r>
      <w:proofErr w:type="spellEnd"/>
      <w:r w:rsidRPr="00965DA9">
        <w:rPr>
          <w:rFonts w:ascii="Verdana" w:hAnsi="Verdana"/>
          <w:sz w:val="18"/>
          <w:szCs w:val="18"/>
        </w:rPr>
        <w:t xml:space="preserve"> (</w:t>
      </w:r>
      <w:proofErr w:type="spellStart"/>
      <w:r w:rsidRPr="00965DA9">
        <w:rPr>
          <w:rFonts w:ascii="Verdana" w:hAnsi="Verdana"/>
          <w:sz w:val="18"/>
          <w:szCs w:val="18"/>
        </w:rPr>
        <w:t>FTF’s</w:t>
      </w:r>
      <w:proofErr w:type="spellEnd"/>
      <w:r w:rsidRPr="00965DA9">
        <w:rPr>
          <w:rFonts w:ascii="Verdana" w:hAnsi="Verdana"/>
          <w:sz w:val="18"/>
          <w:szCs w:val="18"/>
        </w:rPr>
        <w:t xml:space="preserve">). </w:t>
      </w:r>
      <w:r w:rsidRPr="00965DA9" w:rsidR="0022439B">
        <w:rPr>
          <w:rFonts w:ascii="Verdana" w:hAnsi="Verdana"/>
          <w:sz w:val="18"/>
          <w:szCs w:val="18"/>
        </w:rPr>
        <w:t xml:space="preserve">Vermoedelijk zal hij ook zijn recent geüpdatete </w:t>
      </w:r>
      <w:r w:rsidRPr="00965DA9" w:rsidR="0022439B">
        <w:rPr>
          <w:rFonts w:ascii="Verdana" w:hAnsi="Verdana"/>
          <w:i/>
          <w:iCs/>
          <w:sz w:val="18"/>
          <w:szCs w:val="18"/>
        </w:rPr>
        <w:t xml:space="preserve">Syria CT Actionplan </w:t>
      </w:r>
      <w:r w:rsidRPr="00965DA9" w:rsidR="0022439B">
        <w:rPr>
          <w:rFonts w:ascii="Verdana" w:hAnsi="Verdana"/>
          <w:sz w:val="18"/>
          <w:szCs w:val="18"/>
        </w:rPr>
        <w:t>toelichten.</w:t>
      </w:r>
    </w:p>
    <w:p w:rsidRPr="00965DA9" w:rsidR="00C16D86" w:rsidP="00997E04" w:rsidRDefault="0022439B" w14:paraId="75E7B538" w14:textId="7AEBCEF9">
      <w:pPr>
        <w:rPr>
          <w:rFonts w:ascii="Verdana" w:hAnsi="Verdana"/>
          <w:sz w:val="18"/>
          <w:szCs w:val="18"/>
        </w:rPr>
      </w:pPr>
      <w:r w:rsidRPr="00965DA9">
        <w:rPr>
          <w:rFonts w:ascii="Verdana" w:hAnsi="Verdana"/>
          <w:sz w:val="18"/>
          <w:szCs w:val="18"/>
        </w:rPr>
        <w:t>Nederland volgt met bijzondere aandacht de ontwikkelingen in Syrië en Irak, met name ten aanzien van de overplaatsing van uitreizigers met een Nederlandse link van detentiecentra in Syrië naar Irak. Daarnaast ten aanzien van de vrouwen en kinderen met een Nederlandse link die zich in opvangkampen in Syrië bevinden. Nederland is positief over de mogelijkheid om met andere EU-lidstaten van gedachten te wisselen over de ontwikkelingen in de regio en de mogelijke gevolgen die dit kan hebben voor de interne veiligheid van de EU.</w:t>
      </w:r>
    </w:p>
    <w:p w:rsidRPr="00965DA9" w:rsidR="003A6AEA" w:rsidP="003A6AEA" w:rsidRDefault="003A6AEA" w14:paraId="706F2142" w14:textId="009EAB25">
      <w:pPr>
        <w:pStyle w:val="Lijstalinea"/>
        <w:numPr>
          <w:ilvl w:val="0"/>
          <w:numId w:val="3"/>
        </w:numPr>
        <w:rPr>
          <w:rFonts w:ascii="Verdana" w:hAnsi="Verdana"/>
          <w:b/>
          <w:bCs/>
          <w:sz w:val="18"/>
          <w:szCs w:val="18"/>
        </w:rPr>
      </w:pPr>
      <w:bookmarkStart w:name="_Hlk222846096" w:id="1"/>
      <w:r w:rsidRPr="00965DA9">
        <w:rPr>
          <w:rFonts w:ascii="Verdana" w:hAnsi="Verdana"/>
          <w:b/>
          <w:bCs/>
          <w:sz w:val="18"/>
          <w:szCs w:val="18"/>
        </w:rPr>
        <w:t>AOB Richtlijn Tijdelijke Bescherming Oekraïne</w:t>
      </w:r>
    </w:p>
    <w:bookmarkEnd w:id="1"/>
    <w:p w:rsidRPr="00965DA9" w:rsidR="003A6AEA" w:rsidP="003A6AEA" w:rsidRDefault="003A6AEA" w14:paraId="1510E690" w14:textId="77777777">
      <w:pPr>
        <w:rPr>
          <w:rFonts w:ascii="Verdana" w:hAnsi="Verdana"/>
          <w:sz w:val="18"/>
          <w:szCs w:val="18"/>
        </w:rPr>
      </w:pPr>
      <w:r w:rsidRPr="00965DA9">
        <w:rPr>
          <w:rFonts w:ascii="Verdana" w:hAnsi="Verdana"/>
          <w:sz w:val="18"/>
          <w:szCs w:val="18"/>
        </w:rPr>
        <w:t xml:space="preserve">Naar verwachting zal de Commissie onder dit agendapunt stilstaan bij de weg voorwaarts ten aanzien van een gecoördineerde aanpak voor de opvang en bescherming van ontheemde Oekraïners. De Speciaal Gezant van de Unie die belast is met het begeleiden van de overgang uit de tijdelijke bescherming op basis van de aanbeveling van de Raad inzake een gecoördineerde aanpak van de overgang uit de tijdelijke bescherming, zal de Raad informeren over de geboekte vooruitgang en de resterende uitdagingen. </w:t>
      </w:r>
    </w:p>
    <w:p w:rsidRPr="00965DA9" w:rsidR="003A6AEA" w:rsidP="003A6AEA" w:rsidRDefault="003A6AEA" w14:paraId="04945104" w14:textId="6620E1D4">
      <w:pPr>
        <w:rPr>
          <w:rFonts w:ascii="Verdana" w:hAnsi="Verdana"/>
          <w:sz w:val="18"/>
          <w:szCs w:val="18"/>
        </w:rPr>
      </w:pPr>
      <w:r w:rsidRPr="00965DA9">
        <w:rPr>
          <w:rFonts w:ascii="Verdana" w:hAnsi="Verdana"/>
          <w:sz w:val="18"/>
          <w:szCs w:val="18"/>
        </w:rPr>
        <w:t xml:space="preserve">Nederland verwelkomt een tijdige bespreking van de opvang en bescherming van ontheemde Oekraïners in aanloop naar maart 2027 als de toepassing van de Richtlijn Tijdelijke Bescherming afloopt.  </w:t>
      </w:r>
    </w:p>
    <w:p w:rsidRPr="00965DA9" w:rsidR="00E3666A" w:rsidP="00997E04" w:rsidRDefault="00E3666A" w14:paraId="1ABB0559" w14:textId="77777777">
      <w:pPr>
        <w:rPr>
          <w:rFonts w:ascii="Verdana" w:hAnsi="Verdana"/>
          <w:i/>
          <w:iCs/>
          <w:sz w:val="18"/>
          <w:szCs w:val="18"/>
        </w:rPr>
      </w:pPr>
    </w:p>
    <w:p w:rsidRPr="00965DA9" w:rsidR="00997E04" w:rsidP="00997E04" w:rsidRDefault="00997E04" w14:paraId="03A849FF" w14:textId="331A737F">
      <w:pPr>
        <w:pStyle w:val="Lijstalinea"/>
        <w:numPr>
          <w:ilvl w:val="0"/>
          <w:numId w:val="1"/>
        </w:numPr>
        <w:rPr>
          <w:rFonts w:ascii="Verdana" w:hAnsi="Verdana"/>
          <w:b/>
          <w:bCs/>
        </w:rPr>
      </w:pPr>
      <w:r w:rsidRPr="00965DA9">
        <w:rPr>
          <w:rFonts w:ascii="Verdana" w:hAnsi="Verdana"/>
          <w:b/>
          <w:bCs/>
        </w:rPr>
        <w:t>Justitie</w:t>
      </w:r>
    </w:p>
    <w:p w:rsidRPr="00965DA9" w:rsidR="009203F8" w:rsidP="009203F8" w:rsidRDefault="009203F8" w14:paraId="208B6207" w14:textId="77777777">
      <w:pPr>
        <w:pStyle w:val="Lijstalinea"/>
        <w:ind w:left="1080"/>
        <w:rPr>
          <w:rFonts w:ascii="Verdana" w:hAnsi="Verdana"/>
          <w:b/>
          <w:bCs/>
        </w:rPr>
      </w:pPr>
    </w:p>
    <w:p w:rsidRPr="00965DA9" w:rsidR="001F674E" w:rsidP="001F674E" w:rsidRDefault="009203F8" w14:paraId="3DFFEDFB" w14:textId="77777777">
      <w:pPr>
        <w:pStyle w:val="Lijstalinea"/>
        <w:numPr>
          <w:ilvl w:val="0"/>
          <w:numId w:val="4"/>
        </w:numPr>
        <w:rPr>
          <w:rFonts w:ascii="Verdana" w:hAnsi="Verdana"/>
          <w:b/>
          <w:bCs/>
          <w:sz w:val="18"/>
          <w:szCs w:val="18"/>
        </w:rPr>
      </w:pPr>
      <w:r w:rsidRPr="00965DA9">
        <w:rPr>
          <w:rFonts w:ascii="Verdana" w:hAnsi="Verdana"/>
          <w:b/>
          <w:bCs/>
          <w:sz w:val="18"/>
          <w:szCs w:val="18"/>
        </w:rPr>
        <w:t>Verordening over</w:t>
      </w:r>
      <w:r w:rsidRPr="00965DA9" w:rsidR="00997E04">
        <w:rPr>
          <w:rFonts w:ascii="Verdana" w:hAnsi="Verdana"/>
          <w:b/>
          <w:bCs/>
          <w:sz w:val="18"/>
          <w:szCs w:val="18"/>
        </w:rPr>
        <w:t xml:space="preserve"> de bescherming van volwassenen</w:t>
      </w:r>
    </w:p>
    <w:p w:rsidRPr="00965DA9" w:rsidR="00E259FA" w:rsidP="001F674E" w:rsidRDefault="00E259FA" w14:paraId="67089678" w14:textId="6E6F96E8">
      <w:pPr>
        <w:pStyle w:val="Lijstalinea"/>
        <w:rPr>
          <w:rFonts w:ascii="Verdana" w:hAnsi="Verdana"/>
          <w:b/>
          <w:bCs/>
          <w:i/>
          <w:iCs/>
          <w:sz w:val="18"/>
          <w:szCs w:val="18"/>
        </w:rPr>
      </w:pPr>
      <w:r w:rsidRPr="00965DA9">
        <w:rPr>
          <w:rFonts w:ascii="Verdana" w:hAnsi="Verdana"/>
          <w:i/>
          <w:iCs/>
          <w:sz w:val="18"/>
          <w:szCs w:val="18"/>
        </w:rPr>
        <w:t xml:space="preserve">Algemene </w:t>
      </w:r>
      <w:r w:rsidRPr="00965DA9" w:rsidR="001F674E">
        <w:rPr>
          <w:rFonts w:ascii="Verdana" w:hAnsi="Verdana"/>
          <w:i/>
          <w:iCs/>
          <w:sz w:val="18"/>
          <w:szCs w:val="18"/>
        </w:rPr>
        <w:t>oriëntatie</w:t>
      </w:r>
    </w:p>
    <w:p w:rsidRPr="00965DA9" w:rsidR="009203F8" w:rsidP="00E259FA" w:rsidRDefault="00E259FA" w14:paraId="4C506BB2" w14:textId="12513AD3">
      <w:pPr>
        <w:rPr>
          <w:rFonts w:ascii="Verdana" w:hAnsi="Verdana"/>
          <w:sz w:val="18"/>
          <w:szCs w:val="18"/>
        </w:rPr>
      </w:pPr>
      <w:r w:rsidRPr="00965DA9">
        <w:rPr>
          <w:rFonts w:ascii="Verdana" w:hAnsi="Verdana"/>
          <w:sz w:val="18"/>
          <w:szCs w:val="18"/>
        </w:rPr>
        <w:t xml:space="preserve">Op 31 mei 2023 heeft de Commissie een voorstel </w:t>
      </w:r>
      <w:r w:rsidRPr="00965DA9" w:rsidR="00C16D86">
        <w:rPr>
          <w:rFonts w:ascii="Verdana" w:hAnsi="Verdana"/>
          <w:sz w:val="18"/>
          <w:szCs w:val="18"/>
        </w:rPr>
        <w:t xml:space="preserve">gepubliceerd </w:t>
      </w:r>
      <w:r w:rsidRPr="00965DA9">
        <w:rPr>
          <w:rFonts w:ascii="Verdana" w:hAnsi="Verdana"/>
          <w:sz w:val="18"/>
          <w:szCs w:val="18"/>
        </w:rPr>
        <w:t>voor een verordening inzake de bescherming van volwassenen in grensoverschrijdende situaties. Het voorstel heeft tot doel de bescherming van kwetsbare volwassenen die in andere lidstaten verblijven, te versterken.</w:t>
      </w:r>
      <w:r w:rsidRPr="00965DA9" w:rsidR="00C16D86">
        <w:rPr>
          <w:rFonts w:ascii="Verdana" w:hAnsi="Verdana"/>
          <w:sz w:val="18"/>
          <w:szCs w:val="18"/>
        </w:rPr>
        <w:t xml:space="preserve"> </w:t>
      </w:r>
    </w:p>
    <w:p w:rsidRPr="00965DA9" w:rsidR="009203F8" w:rsidP="00E259FA" w:rsidRDefault="009203F8" w14:paraId="35D42985" w14:textId="19F42106">
      <w:pPr>
        <w:spacing w:line="276" w:lineRule="auto"/>
        <w:rPr>
          <w:rFonts w:ascii="Verdana" w:hAnsi="Verdana"/>
          <w:sz w:val="18"/>
          <w:szCs w:val="18"/>
        </w:rPr>
      </w:pPr>
      <w:r w:rsidRPr="00965DA9">
        <w:rPr>
          <w:rFonts w:ascii="Verdana" w:hAnsi="Verdana"/>
          <w:sz w:val="18"/>
          <w:szCs w:val="18"/>
        </w:rPr>
        <w:t>Zoals aan uw Kamer gemeld in het BNC-fiche</w:t>
      </w:r>
      <w:r w:rsidRPr="00965DA9" w:rsidR="00C16D86">
        <w:rPr>
          <w:rStyle w:val="Voetnootmarkering"/>
          <w:rFonts w:ascii="Verdana" w:hAnsi="Verdana"/>
          <w:sz w:val="18"/>
          <w:szCs w:val="18"/>
        </w:rPr>
        <w:footnoteReference w:id="2"/>
      </w:r>
      <w:r w:rsidRPr="00965DA9">
        <w:rPr>
          <w:rFonts w:ascii="Verdana" w:hAnsi="Verdana"/>
          <w:sz w:val="18"/>
          <w:szCs w:val="18"/>
        </w:rPr>
        <w:t xml:space="preserve">, steunt </w:t>
      </w:r>
      <w:r w:rsidRPr="00965DA9" w:rsidR="00283E95">
        <w:rPr>
          <w:rFonts w:ascii="Verdana" w:hAnsi="Verdana"/>
          <w:sz w:val="18"/>
          <w:szCs w:val="18"/>
        </w:rPr>
        <w:t>Nederland</w:t>
      </w:r>
      <w:r w:rsidRPr="00965DA9">
        <w:rPr>
          <w:rFonts w:ascii="Verdana" w:hAnsi="Verdana"/>
          <w:sz w:val="18"/>
          <w:szCs w:val="18"/>
        </w:rPr>
        <w:t xml:space="preserve"> de doelstelling van de verordening om de rechtszekerheid voor de burger en de bevoegde autoriteiten te vergroten, de erkenning van beschermingsmaatregelen en vertegenwoordiging in grensoverschrijdende gevallen te faciliteren</w:t>
      </w:r>
      <w:r w:rsidRPr="00965DA9" w:rsidR="00C16D86">
        <w:rPr>
          <w:rFonts w:ascii="Verdana" w:hAnsi="Verdana"/>
          <w:sz w:val="18"/>
          <w:szCs w:val="18"/>
        </w:rPr>
        <w:t>,</w:t>
      </w:r>
      <w:r w:rsidRPr="00965DA9">
        <w:rPr>
          <w:rFonts w:ascii="Verdana" w:hAnsi="Verdana"/>
          <w:sz w:val="18"/>
          <w:szCs w:val="18"/>
        </w:rPr>
        <w:t xml:space="preserve"> en voor snellere en minder kostbare juridische procedures voor burgers in de EU zorg te dragen. Het voorstel voor de verordening hangt samen met een voorstel voor een besluit van de Raad </w:t>
      </w:r>
      <w:r w:rsidRPr="00965DA9">
        <w:rPr>
          <w:rFonts w:ascii="Verdana" w:hAnsi="Verdana"/>
          <w:sz w:val="18"/>
          <w:szCs w:val="18"/>
        </w:rPr>
        <w:lastRenderedPageBreak/>
        <w:t>waarbij de lidstaten van de EU worden gemachtigd partij te worden of te blijven bij het Verdrag inzake de internationale bescherming van volwassenen (hierna: het HVV).</w:t>
      </w:r>
      <w:r w:rsidRPr="00965DA9" w:rsidR="00EB0E48">
        <w:rPr>
          <w:rStyle w:val="Voetnootmarkering"/>
          <w:rFonts w:ascii="Verdana" w:hAnsi="Verdana"/>
          <w:sz w:val="18"/>
          <w:szCs w:val="18"/>
        </w:rPr>
        <w:footnoteReference w:id="3"/>
      </w:r>
      <w:r w:rsidRPr="00965DA9">
        <w:rPr>
          <w:rFonts w:ascii="Verdana" w:hAnsi="Verdana"/>
          <w:sz w:val="18"/>
          <w:szCs w:val="18"/>
        </w:rPr>
        <w:t xml:space="preserve"> </w:t>
      </w:r>
    </w:p>
    <w:p w:rsidRPr="00965DA9" w:rsidR="009203F8" w:rsidP="00E259FA" w:rsidRDefault="009203F8" w14:paraId="69455CA9" w14:textId="47DE6AAD">
      <w:pPr>
        <w:pStyle w:val="Default"/>
        <w:spacing w:line="276" w:lineRule="auto"/>
        <w:rPr>
          <w:rFonts w:cstheme="minorBidi"/>
          <w:bCs/>
          <w:color w:val="auto"/>
          <w:sz w:val="18"/>
          <w:szCs w:val="18"/>
          <w14:ligatures w14:val="none"/>
        </w:rPr>
      </w:pPr>
      <w:r w:rsidRPr="00965DA9">
        <w:rPr>
          <w:rFonts w:cstheme="minorBidi"/>
          <w:bCs/>
          <w:color w:val="auto"/>
          <w:sz w:val="18"/>
          <w:szCs w:val="18"/>
          <w14:ligatures w14:val="none"/>
        </w:rPr>
        <w:t>Het Cypriotisch</w:t>
      </w:r>
      <w:r w:rsidRPr="00965DA9" w:rsidR="00C16D86">
        <w:rPr>
          <w:rFonts w:cstheme="minorBidi"/>
          <w:bCs/>
          <w:color w:val="auto"/>
          <w:sz w:val="18"/>
          <w:szCs w:val="18"/>
          <w14:ligatures w14:val="none"/>
        </w:rPr>
        <w:t>e</w:t>
      </w:r>
      <w:r w:rsidRPr="00965DA9">
        <w:rPr>
          <w:rFonts w:cstheme="minorBidi"/>
          <w:bCs/>
          <w:color w:val="auto"/>
          <w:sz w:val="18"/>
          <w:szCs w:val="18"/>
          <w14:ligatures w14:val="none"/>
        </w:rPr>
        <w:t xml:space="preserve"> voorzitterschap is voornemens tijdens de JBZ-Raad een algemene oriëntatie aan te nemen</w:t>
      </w:r>
      <w:r w:rsidRPr="00965DA9" w:rsidR="00E259FA">
        <w:rPr>
          <w:rFonts w:cstheme="minorBidi"/>
          <w:bCs/>
          <w:color w:val="auto"/>
          <w:sz w:val="18"/>
          <w:szCs w:val="18"/>
          <w14:ligatures w14:val="none"/>
        </w:rPr>
        <w:t xml:space="preserve"> over de gehele verordening</w:t>
      </w:r>
      <w:r w:rsidRPr="00965DA9">
        <w:rPr>
          <w:rFonts w:cstheme="minorBidi"/>
          <w:bCs/>
          <w:color w:val="auto"/>
          <w:sz w:val="18"/>
          <w:szCs w:val="18"/>
          <w14:ligatures w14:val="none"/>
        </w:rPr>
        <w:t xml:space="preserve">. </w:t>
      </w:r>
      <w:r w:rsidRPr="00965DA9" w:rsidR="00E259FA">
        <w:rPr>
          <w:rFonts w:cstheme="minorBidi"/>
          <w:bCs/>
          <w:color w:val="auto"/>
          <w:sz w:val="18"/>
          <w:szCs w:val="18"/>
          <w14:ligatures w14:val="none"/>
        </w:rPr>
        <w:t>Tijdens de JBZ-Raad van juni</w:t>
      </w:r>
      <w:r w:rsidRPr="00965DA9" w:rsidR="00C16D86">
        <w:rPr>
          <w:rFonts w:cstheme="minorBidi"/>
          <w:bCs/>
          <w:color w:val="auto"/>
          <w:sz w:val="18"/>
          <w:szCs w:val="18"/>
          <w14:ligatures w14:val="none"/>
        </w:rPr>
        <w:t xml:space="preserve"> 2025 </w:t>
      </w:r>
      <w:r w:rsidRPr="00965DA9">
        <w:rPr>
          <w:rFonts w:cstheme="minorBidi"/>
          <w:bCs/>
          <w:color w:val="auto"/>
          <w:sz w:val="18"/>
          <w:szCs w:val="18"/>
          <w14:ligatures w14:val="none"/>
        </w:rPr>
        <w:t xml:space="preserve">is er al een algemene </w:t>
      </w:r>
      <w:r w:rsidRPr="00965DA9" w:rsidR="00E259FA">
        <w:rPr>
          <w:rFonts w:cstheme="minorBidi"/>
          <w:bCs/>
          <w:color w:val="auto"/>
          <w:sz w:val="18"/>
          <w:szCs w:val="18"/>
          <w14:ligatures w14:val="none"/>
        </w:rPr>
        <w:t>oriëntatie</w:t>
      </w:r>
      <w:r w:rsidRPr="00965DA9">
        <w:rPr>
          <w:rFonts w:cstheme="minorBidi"/>
          <w:bCs/>
          <w:color w:val="auto"/>
          <w:sz w:val="18"/>
          <w:szCs w:val="18"/>
          <w14:ligatures w14:val="none"/>
        </w:rPr>
        <w:t xml:space="preserve"> bereikt op de eerste vijf hoofdstukken van het voorstel (het toepassingsgebied en de definities, de bevoegdheid, het toepasselijk recht, de erkenning en tenuitvoerlegging van maatregelen en authentieke akten). </w:t>
      </w:r>
      <w:r w:rsidRPr="00965DA9" w:rsidR="00E259FA">
        <w:rPr>
          <w:rFonts w:cstheme="minorBidi"/>
          <w:bCs/>
          <w:color w:val="auto"/>
          <w:sz w:val="18"/>
          <w:szCs w:val="18"/>
          <w14:ligatures w14:val="none"/>
        </w:rPr>
        <w:t xml:space="preserve">De resterende hoofdstukken van het voorstel zien op de grensoverschrijdende samenwerking </w:t>
      </w:r>
      <w:r w:rsidRPr="00965DA9" w:rsidR="00EB0E48">
        <w:rPr>
          <w:rFonts w:cstheme="minorBidi"/>
          <w:bCs/>
          <w:color w:val="auto"/>
          <w:sz w:val="18"/>
          <w:szCs w:val="18"/>
          <w14:ligatures w14:val="none"/>
        </w:rPr>
        <w:t xml:space="preserve">en communicatie </w:t>
      </w:r>
      <w:r w:rsidRPr="00965DA9" w:rsidR="00E259FA">
        <w:rPr>
          <w:rFonts w:cstheme="minorBidi"/>
          <w:bCs/>
          <w:color w:val="auto"/>
          <w:sz w:val="18"/>
          <w:szCs w:val="18"/>
          <w14:ligatures w14:val="none"/>
        </w:rPr>
        <w:t>tussen bevoegde autoriteiten de invoering van een Europees certificaat inzake ondersteuning en vertegenwoordiging</w:t>
      </w:r>
      <w:r w:rsidRPr="00965DA9" w:rsidR="00EB0E48">
        <w:rPr>
          <w:rFonts w:cstheme="minorBidi"/>
          <w:bCs/>
          <w:color w:val="auto"/>
          <w:sz w:val="18"/>
          <w:szCs w:val="18"/>
          <w14:ligatures w14:val="none"/>
        </w:rPr>
        <w:t>, en algemene (slot)bepalingen.</w:t>
      </w:r>
      <w:r w:rsidRPr="00965DA9" w:rsidR="00E259FA">
        <w:rPr>
          <w:rFonts w:cstheme="minorBidi"/>
          <w:bCs/>
          <w:color w:val="auto"/>
          <w:sz w:val="18"/>
          <w:szCs w:val="18"/>
          <w14:ligatures w14:val="none"/>
        </w:rPr>
        <w:t xml:space="preserve"> </w:t>
      </w:r>
      <w:r w:rsidRPr="00965DA9" w:rsidR="00EB0E48">
        <w:rPr>
          <w:rFonts w:cstheme="minorBidi"/>
          <w:bCs/>
          <w:color w:val="auto"/>
          <w:sz w:val="18"/>
          <w:szCs w:val="18"/>
          <w14:ligatures w14:val="none"/>
        </w:rPr>
        <w:t xml:space="preserve">Het voorstel voor een raadsbesluit wordt nog in een later stadium behandeld. </w:t>
      </w:r>
    </w:p>
    <w:p w:rsidRPr="00965DA9" w:rsidR="009203F8" w:rsidP="00E259FA" w:rsidRDefault="009203F8" w14:paraId="2500BE06" w14:textId="77777777">
      <w:pPr>
        <w:pStyle w:val="Default"/>
        <w:spacing w:line="276" w:lineRule="auto"/>
        <w:rPr>
          <w:rFonts w:cstheme="minorBidi"/>
          <w:bCs/>
          <w:color w:val="auto"/>
          <w:sz w:val="18"/>
          <w:szCs w:val="18"/>
          <w14:ligatures w14:val="none"/>
        </w:rPr>
      </w:pPr>
    </w:p>
    <w:p w:rsidRPr="00965DA9" w:rsidR="00B05580" w:rsidP="00005DE6" w:rsidRDefault="00C16D86" w14:paraId="0CDF34E7" w14:textId="57A1FD66">
      <w:pPr>
        <w:pStyle w:val="Default"/>
        <w:spacing w:line="276" w:lineRule="auto"/>
        <w:rPr>
          <w:rFonts w:cstheme="minorBidi"/>
          <w:bCs/>
          <w:color w:val="auto"/>
          <w:sz w:val="18"/>
          <w:szCs w:val="18"/>
          <w14:ligatures w14:val="none"/>
        </w:rPr>
      </w:pPr>
      <w:r w:rsidRPr="00965DA9">
        <w:rPr>
          <w:rFonts w:cstheme="minorBidi"/>
          <w:bCs/>
          <w:color w:val="auto"/>
          <w:sz w:val="18"/>
          <w:szCs w:val="18"/>
          <w14:ligatures w14:val="none"/>
        </w:rPr>
        <w:t>Nederland</w:t>
      </w:r>
      <w:r w:rsidRPr="00965DA9" w:rsidR="009203F8">
        <w:rPr>
          <w:rFonts w:cstheme="minorBidi"/>
          <w:bCs/>
          <w:color w:val="auto"/>
          <w:sz w:val="18"/>
          <w:szCs w:val="18"/>
          <w14:ligatures w14:val="none"/>
        </w:rPr>
        <w:t xml:space="preserve"> kan de </w:t>
      </w:r>
      <w:r w:rsidRPr="00965DA9" w:rsidR="00E259FA">
        <w:rPr>
          <w:rFonts w:cstheme="minorBidi"/>
          <w:bCs/>
          <w:color w:val="auto"/>
          <w:sz w:val="18"/>
          <w:szCs w:val="18"/>
          <w14:ligatures w14:val="none"/>
        </w:rPr>
        <w:t>algemene oriëntatie</w:t>
      </w:r>
      <w:r w:rsidRPr="00965DA9" w:rsidR="009203F8">
        <w:rPr>
          <w:rFonts w:cstheme="minorBidi"/>
          <w:bCs/>
          <w:color w:val="auto"/>
          <w:sz w:val="18"/>
          <w:szCs w:val="18"/>
          <w14:ligatures w14:val="none"/>
        </w:rPr>
        <w:t xml:space="preserve"> steunen. De</w:t>
      </w:r>
      <w:r w:rsidRPr="00965DA9" w:rsidR="00E3666A">
        <w:rPr>
          <w:rFonts w:cstheme="minorBidi"/>
          <w:bCs/>
          <w:color w:val="auto"/>
          <w:sz w:val="18"/>
          <w:szCs w:val="18"/>
          <w14:ligatures w14:val="none"/>
        </w:rPr>
        <w:t xml:space="preserve"> </w:t>
      </w:r>
      <w:r w:rsidRPr="00965DA9" w:rsidR="00EB0E48">
        <w:rPr>
          <w:rFonts w:cstheme="minorBidi"/>
          <w:bCs/>
          <w:color w:val="auto"/>
          <w:sz w:val="18"/>
          <w:szCs w:val="18"/>
          <w14:ligatures w14:val="none"/>
        </w:rPr>
        <w:t>verordening</w:t>
      </w:r>
      <w:r w:rsidRPr="00965DA9" w:rsidR="009203F8">
        <w:rPr>
          <w:rFonts w:cstheme="minorBidi"/>
          <w:bCs/>
          <w:color w:val="auto"/>
          <w:sz w:val="18"/>
          <w:szCs w:val="18"/>
          <w14:ligatures w14:val="none"/>
        </w:rPr>
        <w:t xml:space="preserve"> bouw</w:t>
      </w:r>
      <w:r w:rsidRPr="00965DA9" w:rsidR="00EB0E48">
        <w:rPr>
          <w:rFonts w:cstheme="minorBidi"/>
          <w:bCs/>
          <w:color w:val="auto"/>
          <w:sz w:val="18"/>
          <w:szCs w:val="18"/>
          <w14:ligatures w14:val="none"/>
        </w:rPr>
        <w:t>t</w:t>
      </w:r>
      <w:r w:rsidRPr="00965DA9" w:rsidR="009203F8">
        <w:rPr>
          <w:rFonts w:cstheme="minorBidi"/>
          <w:bCs/>
          <w:color w:val="auto"/>
          <w:sz w:val="18"/>
          <w:szCs w:val="18"/>
          <w14:ligatures w14:val="none"/>
        </w:rPr>
        <w:t xml:space="preserve"> evenwichtig voort op het HVV en het EU </w:t>
      </w:r>
      <w:proofErr w:type="spellStart"/>
      <w:r w:rsidRPr="00965DA9" w:rsidR="009203F8">
        <w:rPr>
          <w:rFonts w:cstheme="minorBidi"/>
          <w:bCs/>
          <w:i/>
          <w:iCs/>
          <w:color w:val="auto"/>
          <w:sz w:val="18"/>
          <w:szCs w:val="18"/>
          <w14:ligatures w14:val="none"/>
        </w:rPr>
        <w:t>acquis</w:t>
      </w:r>
      <w:proofErr w:type="spellEnd"/>
      <w:r w:rsidRPr="00965DA9" w:rsidR="009203F8">
        <w:rPr>
          <w:rFonts w:cstheme="minorBidi"/>
          <w:bCs/>
          <w:color w:val="auto"/>
          <w:sz w:val="18"/>
          <w:szCs w:val="18"/>
          <w14:ligatures w14:val="none"/>
        </w:rPr>
        <w:t>. Met  de verordening wordt een belangrijke stap gezet voor een regeling over de internationale bevoegdheid van de rechter, het toepasselijke recht en de erkenning en tenuitvoerlegging van beschermingsmaatregelen voor kwetsbare volwassenen in</w:t>
      </w:r>
      <w:r w:rsidRPr="00965DA9" w:rsidR="00EB0E48">
        <w:rPr>
          <w:rFonts w:cstheme="minorBidi"/>
          <w:bCs/>
          <w:color w:val="auto"/>
          <w:sz w:val="18"/>
          <w:szCs w:val="18"/>
          <w14:ligatures w14:val="none"/>
        </w:rPr>
        <w:t xml:space="preserve"> grensoverschrijdende situaties binnen de EU</w:t>
      </w:r>
      <w:r w:rsidRPr="00965DA9" w:rsidR="009203F8">
        <w:rPr>
          <w:rFonts w:cstheme="minorBidi"/>
          <w:bCs/>
          <w:color w:val="auto"/>
          <w:sz w:val="18"/>
          <w:szCs w:val="18"/>
          <w14:ligatures w14:val="none"/>
        </w:rPr>
        <w:t xml:space="preserve">. </w:t>
      </w:r>
    </w:p>
    <w:p w:rsidRPr="00965DA9" w:rsidR="00B05580" w:rsidP="00997E04" w:rsidRDefault="00B05580" w14:paraId="20C4FCC6" w14:textId="77777777">
      <w:pPr>
        <w:rPr>
          <w:rFonts w:ascii="Verdana" w:hAnsi="Verdana"/>
          <w:sz w:val="18"/>
          <w:szCs w:val="18"/>
        </w:rPr>
      </w:pPr>
    </w:p>
    <w:p w:rsidRPr="00965DA9" w:rsidR="00997E04" w:rsidP="00A40C78" w:rsidRDefault="00997E04" w14:paraId="7E534D10" w14:textId="786BA866">
      <w:pPr>
        <w:pStyle w:val="Lijstalinea"/>
        <w:numPr>
          <w:ilvl w:val="0"/>
          <w:numId w:val="4"/>
        </w:numPr>
        <w:rPr>
          <w:rFonts w:ascii="Verdana" w:hAnsi="Verdana"/>
          <w:i/>
          <w:iCs/>
          <w:sz w:val="18"/>
          <w:szCs w:val="18"/>
        </w:rPr>
      </w:pPr>
      <w:r w:rsidRPr="00965DA9">
        <w:rPr>
          <w:rFonts w:ascii="Verdana" w:hAnsi="Verdana"/>
          <w:b/>
          <w:bCs/>
          <w:sz w:val="18"/>
          <w:szCs w:val="18"/>
        </w:rPr>
        <w:t>De Russische agressieoorlog tegen Oekraïne: strijd tegen straffeloosheid</w:t>
      </w:r>
      <w:r w:rsidRPr="00965DA9" w:rsidR="00B05580">
        <w:rPr>
          <w:rFonts w:ascii="Verdana" w:hAnsi="Verdana"/>
          <w:b/>
          <w:bCs/>
          <w:sz w:val="18"/>
          <w:szCs w:val="18"/>
        </w:rPr>
        <w:br/>
      </w:r>
      <w:r w:rsidRPr="00965DA9" w:rsidR="001F674E">
        <w:rPr>
          <w:rFonts w:ascii="Verdana" w:hAnsi="Verdana"/>
          <w:i/>
          <w:iCs/>
          <w:sz w:val="18"/>
          <w:szCs w:val="18"/>
        </w:rPr>
        <w:t>Stand van zaken</w:t>
      </w:r>
    </w:p>
    <w:p w:rsidRPr="00965DA9" w:rsidR="00FC5662" w:rsidP="00FC5662" w:rsidRDefault="00FC5662" w14:paraId="11262395" w14:textId="44C05B9A">
      <w:pPr>
        <w:rPr>
          <w:rFonts w:ascii="Verdana" w:hAnsi="Verdana"/>
          <w:sz w:val="18"/>
          <w:szCs w:val="18"/>
        </w:rPr>
      </w:pPr>
      <w:r w:rsidRPr="00965DA9">
        <w:rPr>
          <w:rFonts w:ascii="Verdana" w:hAnsi="Verdana"/>
          <w:sz w:val="18"/>
          <w:szCs w:val="18"/>
        </w:rPr>
        <w:t>Op het moment van schrijven is er geen achtergrondstuk beschikbaar. Naar verwachting zal de Raad de stand van zaken van de strijd tegen straffeloosheid in de context van de Russische agressieoorlog in Oekraïne bespreken. In het bijzonder zal de aandacht uitgaan naar de voortgang ten aanzien van het Speciaal Agressietribunaal, alsmede de voortdurende steun aan het Internationaal Strafhof (ICC).</w:t>
      </w:r>
    </w:p>
    <w:p w:rsidRPr="00965DA9" w:rsidR="00FC5662" w:rsidP="00FC5662" w:rsidRDefault="00FC5662" w14:paraId="7F2FC9D7" w14:textId="77777777">
      <w:pPr>
        <w:rPr>
          <w:rFonts w:ascii="Verdana" w:hAnsi="Verdana"/>
          <w:sz w:val="18"/>
          <w:szCs w:val="18"/>
        </w:rPr>
      </w:pPr>
      <w:r w:rsidRPr="00965DA9">
        <w:rPr>
          <w:rFonts w:ascii="Verdana" w:hAnsi="Verdana"/>
          <w:sz w:val="18"/>
          <w:szCs w:val="18"/>
        </w:rPr>
        <w:t xml:space="preserve">Er zal naar verwachting ook gerefereerd worden aan de diplomatieke conferentie over het oprichtingsverdrag voor de Claims Commissie voor Oekraïne, die op 16 december jl. werd gehouden in Den Haag. Vertegenwoordigers van 35 landen en de EU hebben dit verdrag ondertekend. De volgende stap is ratificatie door minstens 25 landen en voldoende financiële steun alvorens het verdrag daadwerkelijk in werking kan treden. </w:t>
      </w:r>
    </w:p>
    <w:p w:rsidRPr="00965DA9" w:rsidR="00FC5662" w:rsidP="00FC5662" w:rsidRDefault="00FC5662" w14:paraId="675F3E94" w14:textId="485B5F9D">
      <w:pPr>
        <w:rPr>
          <w:rFonts w:ascii="Verdana" w:hAnsi="Verdana"/>
          <w:sz w:val="18"/>
          <w:szCs w:val="18"/>
        </w:rPr>
      </w:pPr>
      <w:r w:rsidRPr="00965DA9">
        <w:rPr>
          <w:rFonts w:ascii="Verdana" w:hAnsi="Verdana"/>
          <w:sz w:val="18"/>
          <w:szCs w:val="18"/>
        </w:rPr>
        <w:t>Nederland blijft zich inzetten voor gerechtigheid voor Oekraïne en de strijd tegen straffeloosheid. Een belangrijk onderdeel daarvan is de oprichting van het Speciaal Tribunaal voor het Misdrijf Agressie tegen Oekraïne. Bij besluit van 17 oktober 2025 heeft de ministerraad ingestemd met vestiging in Nederland van de voorbereidende fases van het Speciaal Tribunaal; over de eventuele vestiging van het operationele tribunaal dient de ministerraad nog te beslissen</w:t>
      </w:r>
      <w:r w:rsidRPr="00965DA9" w:rsidR="003940D7">
        <w:rPr>
          <w:rFonts w:ascii="Verdana" w:hAnsi="Verdana"/>
          <w:sz w:val="18"/>
          <w:szCs w:val="18"/>
        </w:rPr>
        <w:t>.</w:t>
      </w:r>
    </w:p>
    <w:p w:rsidRPr="00965DA9" w:rsidR="00FC5662" w:rsidP="00B14F28" w:rsidRDefault="00FC5662" w14:paraId="780F6357" w14:textId="0970BA02">
      <w:pPr>
        <w:rPr>
          <w:rFonts w:ascii="Verdana" w:hAnsi="Verdana"/>
          <w:sz w:val="18"/>
          <w:szCs w:val="18"/>
        </w:rPr>
      </w:pPr>
      <w:r w:rsidRPr="00965DA9">
        <w:rPr>
          <w:rFonts w:ascii="Verdana" w:hAnsi="Verdana"/>
          <w:sz w:val="18"/>
          <w:szCs w:val="18"/>
        </w:rPr>
        <w:t xml:space="preserve">Tot slot blijft de bescherming van de onafhankelijkheid en effectieve werking van het ICC een prioriteit. </w:t>
      </w:r>
    </w:p>
    <w:p w:rsidRPr="00965DA9" w:rsidR="008C4F8A" w:rsidP="00997E04" w:rsidRDefault="008C4F8A" w14:paraId="2279C7B3" w14:textId="1C12AC9D">
      <w:pPr>
        <w:pStyle w:val="Lijstalinea"/>
        <w:numPr>
          <w:ilvl w:val="0"/>
          <w:numId w:val="4"/>
        </w:numPr>
        <w:rPr>
          <w:rFonts w:ascii="Verdana" w:hAnsi="Verdana"/>
          <w:b/>
          <w:bCs/>
          <w:sz w:val="18"/>
          <w:szCs w:val="18"/>
        </w:rPr>
      </w:pPr>
      <w:r w:rsidRPr="00965DA9">
        <w:rPr>
          <w:rFonts w:ascii="Verdana" w:hAnsi="Verdana"/>
          <w:b/>
          <w:bCs/>
          <w:sz w:val="18"/>
          <w:szCs w:val="18"/>
        </w:rPr>
        <w:t>Werklunch: voortgezet crimineel handelen in detentie</w:t>
      </w:r>
    </w:p>
    <w:p w:rsidRPr="00965DA9" w:rsidR="001F674E" w:rsidP="001F674E" w:rsidRDefault="001F674E" w14:paraId="5001A6E7" w14:textId="102CD0B5">
      <w:pPr>
        <w:pStyle w:val="Lijstalinea"/>
        <w:rPr>
          <w:rFonts w:ascii="Verdana" w:hAnsi="Verdana"/>
          <w:i/>
          <w:iCs/>
          <w:sz w:val="18"/>
          <w:szCs w:val="18"/>
        </w:rPr>
      </w:pPr>
      <w:r w:rsidRPr="00965DA9">
        <w:rPr>
          <w:rFonts w:ascii="Verdana" w:hAnsi="Verdana"/>
          <w:i/>
          <w:iCs/>
          <w:sz w:val="18"/>
          <w:szCs w:val="18"/>
        </w:rPr>
        <w:t>Gedachtewisseling</w:t>
      </w:r>
    </w:p>
    <w:p w:rsidRPr="00965DA9" w:rsidR="00466C13" w:rsidP="003C4221" w:rsidRDefault="003C4221" w14:paraId="6641B713" w14:textId="04D6E221">
      <w:pPr>
        <w:rPr>
          <w:rFonts w:ascii="Verdana" w:hAnsi="Verdana"/>
          <w:sz w:val="18"/>
          <w:szCs w:val="18"/>
        </w:rPr>
      </w:pPr>
      <w:r w:rsidRPr="00965DA9">
        <w:rPr>
          <w:rFonts w:ascii="Verdana" w:hAnsi="Verdana"/>
          <w:sz w:val="18"/>
          <w:szCs w:val="18"/>
        </w:rPr>
        <w:t xml:space="preserve">Tijdens de </w:t>
      </w:r>
      <w:r w:rsidRPr="00965DA9" w:rsidR="00C16D86">
        <w:rPr>
          <w:rFonts w:ascii="Verdana" w:hAnsi="Verdana"/>
          <w:sz w:val="18"/>
          <w:szCs w:val="18"/>
        </w:rPr>
        <w:t>werklunch zal een gedachtewisseling plaatsvinden</w:t>
      </w:r>
      <w:r w:rsidRPr="00965DA9">
        <w:rPr>
          <w:rFonts w:ascii="Verdana" w:hAnsi="Verdana"/>
          <w:sz w:val="18"/>
          <w:szCs w:val="18"/>
        </w:rPr>
        <w:t xml:space="preserve"> over voortgezet crimineel handelen vanuit detentie.</w:t>
      </w:r>
      <w:r w:rsidRPr="00965DA9" w:rsidR="00466C13">
        <w:rPr>
          <w:rFonts w:ascii="Verdana" w:hAnsi="Verdana"/>
          <w:sz w:val="18"/>
          <w:szCs w:val="18"/>
        </w:rPr>
        <w:t xml:space="preserve"> Op moment is van schrijven is </w:t>
      </w:r>
      <w:r w:rsidRPr="00965DA9" w:rsidR="00C16D86">
        <w:rPr>
          <w:rFonts w:ascii="Verdana" w:hAnsi="Verdana"/>
          <w:sz w:val="18"/>
          <w:szCs w:val="18"/>
        </w:rPr>
        <w:t xml:space="preserve">nog niet bekend welke insteek het Voorzitterschap aan de </w:t>
      </w:r>
      <w:r w:rsidRPr="00965DA9" w:rsidR="00B264DA">
        <w:rPr>
          <w:rFonts w:ascii="Verdana" w:hAnsi="Verdana"/>
          <w:sz w:val="18"/>
          <w:szCs w:val="18"/>
        </w:rPr>
        <w:t>gedachtewisseling wil geven</w:t>
      </w:r>
      <w:r w:rsidRPr="00965DA9" w:rsidR="00466C13">
        <w:rPr>
          <w:rFonts w:ascii="Verdana" w:hAnsi="Verdana"/>
          <w:sz w:val="18"/>
          <w:szCs w:val="18"/>
        </w:rPr>
        <w:t xml:space="preserve">. </w:t>
      </w:r>
      <w:r w:rsidRPr="00965DA9">
        <w:rPr>
          <w:rFonts w:ascii="Verdana" w:hAnsi="Verdana"/>
          <w:sz w:val="18"/>
          <w:szCs w:val="18"/>
        </w:rPr>
        <w:t xml:space="preserve"> </w:t>
      </w:r>
    </w:p>
    <w:p w:rsidRPr="00965DA9" w:rsidR="00997E04" w:rsidP="003C4221" w:rsidRDefault="003C4221" w14:paraId="68127288" w14:textId="26129333">
      <w:pPr>
        <w:rPr>
          <w:rFonts w:ascii="Verdana" w:hAnsi="Verdana"/>
          <w:sz w:val="18"/>
          <w:szCs w:val="18"/>
        </w:rPr>
      </w:pPr>
      <w:r w:rsidRPr="00965DA9">
        <w:rPr>
          <w:rFonts w:ascii="Verdana" w:hAnsi="Verdana"/>
          <w:sz w:val="18"/>
          <w:szCs w:val="18"/>
        </w:rPr>
        <w:t xml:space="preserve">De </w:t>
      </w:r>
      <w:r w:rsidRPr="00965DA9" w:rsidR="00B264DA">
        <w:rPr>
          <w:rFonts w:ascii="Verdana" w:hAnsi="Verdana"/>
          <w:sz w:val="18"/>
          <w:szCs w:val="18"/>
        </w:rPr>
        <w:t>discussie</w:t>
      </w:r>
      <w:r w:rsidRPr="00965DA9">
        <w:rPr>
          <w:rFonts w:ascii="Verdana" w:hAnsi="Verdana"/>
          <w:sz w:val="18"/>
          <w:szCs w:val="18"/>
        </w:rPr>
        <w:t xml:space="preserve"> vindt plaats tegen de achtergrond van de recente ontwikkelingen in het EU-drugsbeleid, waaronder de mededeling van de Commissie inzake het EU-actieplan tegen drugshandel (2026–2030). </w:t>
      </w:r>
      <w:r w:rsidRPr="00965DA9" w:rsidR="00466C13">
        <w:rPr>
          <w:rFonts w:ascii="Verdana" w:hAnsi="Verdana"/>
          <w:sz w:val="18"/>
          <w:szCs w:val="18"/>
        </w:rPr>
        <w:t>Daarin wordt benadrukt dat drugshandel niet stopt bij detentie</w:t>
      </w:r>
      <w:r w:rsidRPr="00965DA9" w:rsidR="000E26D5">
        <w:rPr>
          <w:rFonts w:ascii="Verdana" w:hAnsi="Verdana"/>
          <w:sz w:val="18"/>
          <w:szCs w:val="18"/>
        </w:rPr>
        <w:t>. C</w:t>
      </w:r>
      <w:r w:rsidRPr="00965DA9" w:rsidR="00466C13">
        <w:rPr>
          <w:rFonts w:ascii="Verdana" w:hAnsi="Verdana"/>
          <w:sz w:val="18"/>
          <w:szCs w:val="18"/>
        </w:rPr>
        <w:t xml:space="preserve">riminele netwerken maken gebruik van communicatiemiddelen en bezoekers om drugs gevangenissen binnen te smokkelen en criminele activiteiten buiten de muren te coördineren. Met actie 11 van het actieplan wordt voor het eerst expliciet ingezet op een EU-brede aanpak van </w:t>
      </w:r>
      <w:r w:rsidRPr="00965DA9" w:rsidR="00466C13">
        <w:rPr>
          <w:rFonts w:ascii="Verdana" w:hAnsi="Verdana"/>
          <w:sz w:val="18"/>
          <w:szCs w:val="18"/>
        </w:rPr>
        <w:lastRenderedPageBreak/>
        <w:t xml:space="preserve">drugshandel vanuit en binnen detentie-instellingen. Daarbij wordt voorzien in een onderzoek van knelpunten en goede praktijken, onder meer </w:t>
      </w:r>
      <w:r w:rsidRPr="00965DA9" w:rsidR="00005DE6">
        <w:rPr>
          <w:rFonts w:ascii="Verdana" w:hAnsi="Verdana"/>
          <w:sz w:val="18"/>
          <w:szCs w:val="18"/>
        </w:rPr>
        <w:t>door</w:t>
      </w:r>
      <w:r w:rsidRPr="00965DA9" w:rsidR="00466C13">
        <w:rPr>
          <w:rFonts w:ascii="Verdana" w:hAnsi="Verdana"/>
          <w:sz w:val="18"/>
          <w:szCs w:val="18"/>
        </w:rPr>
        <w:t xml:space="preserve"> </w:t>
      </w:r>
      <w:r w:rsidRPr="00965DA9" w:rsidR="00466C13">
        <w:rPr>
          <w:rFonts w:ascii="Verdana" w:hAnsi="Verdana"/>
          <w:i/>
          <w:iCs/>
          <w:sz w:val="18"/>
          <w:szCs w:val="18"/>
        </w:rPr>
        <w:t xml:space="preserve">de European </w:t>
      </w:r>
      <w:proofErr w:type="spellStart"/>
      <w:r w:rsidRPr="00965DA9" w:rsidR="00466C13">
        <w:rPr>
          <w:rFonts w:ascii="Verdana" w:hAnsi="Verdana"/>
          <w:i/>
          <w:iCs/>
          <w:sz w:val="18"/>
          <w:szCs w:val="18"/>
        </w:rPr>
        <w:t>Organisation</w:t>
      </w:r>
      <w:proofErr w:type="spellEnd"/>
      <w:r w:rsidRPr="00965DA9" w:rsidR="00466C13">
        <w:rPr>
          <w:rFonts w:ascii="Verdana" w:hAnsi="Verdana"/>
          <w:i/>
          <w:iCs/>
          <w:sz w:val="18"/>
          <w:szCs w:val="18"/>
        </w:rPr>
        <w:t xml:space="preserve"> of Prison </w:t>
      </w:r>
      <w:proofErr w:type="spellStart"/>
      <w:r w:rsidRPr="00965DA9" w:rsidR="00466C13">
        <w:rPr>
          <w:rFonts w:ascii="Verdana" w:hAnsi="Verdana"/>
          <w:i/>
          <w:iCs/>
          <w:sz w:val="18"/>
          <w:szCs w:val="18"/>
        </w:rPr>
        <w:t>and</w:t>
      </w:r>
      <w:proofErr w:type="spellEnd"/>
      <w:r w:rsidRPr="00965DA9" w:rsidR="00466C13">
        <w:rPr>
          <w:rFonts w:ascii="Verdana" w:hAnsi="Verdana"/>
          <w:i/>
          <w:iCs/>
          <w:sz w:val="18"/>
          <w:szCs w:val="18"/>
        </w:rPr>
        <w:t xml:space="preserve"> </w:t>
      </w:r>
      <w:proofErr w:type="spellStart"/>
      <w:r w:rsidRPr="00965DA9" w:rsidR="00466C13">
        <w:rPr>
          <w:rFonts w:ascii="Verdana" w:hAnsi="Verdana"/>
          <w:i/>
          <w:iCs/>
          <w:sz w:val="18"/>
          <w:szCs w:val="18"/>
        </w:rPr>
        <w:t>Correctional</w:t>
      </w:r>
      <w:proofErr w:type="spellEnd"/>
      <w:r w:rsidRPr="00965DA9" w:rsidR="00466C13">
        <w:rPr>
          <w:rFonts w:ascii="Verdana" w:hAnsi="Verdana"/>
          <w:i/>
          <w:iCs/>
          <w:sz w:val="18"/>
          <w:szCs w:val="18"/>
        </w:rPr>
        <w:t xml:space="preserve"> Services</w:t>
      </w:r>
      <w:r w:rsidRPr="00965DA9" w:rsidR="00466C13">
        <w:rPr>
          <w:rFonts w:ascii="Verdana" w:hAnsi="Verdana"/>
          <w:sz w:val="18"/>
          <w:szCs w:val="18"/>
        </w:rPr>
        <w:t xml:space="preserve"> (</w:t>
      </w:r>
      <w:proofErr w:type="spellStart"/>
      <w:r w:rsidRPr="00965DA9" w:rsidR="00466C13">
        <w:rPr>
          <w:rFonts w:ascii="Verdana" w:hAnsi="Verdana"/>
          <w:sz w:val="18"/>
          <w:szCs w:val="18"/>
        </w:rPr>
        <w:t>EuroPris</w:t>
      </w:r>
      <w:proofErr w:type="spellEnd"/>
      <w:r w:rsidRPr="00965DA9" w:rsidR="00466C13">
        <w:rPr>
          <w:rFonts w:ascii="Verdana" w:hAnsi="Verdana"/>
          <w:sz w:val="18"/>
          <w:szCs w:val="18"/>
        </w:rPr>
        <w:t>),</w:t>
      </w:r>
      <w:r w:rsidRPr="00965DA9" w:rsidR="00005DE6">
        <w:rPr>
          <w:rFonts w:ascii="Verdana" w:hAnsi="Verdana"/>
          <w:sz w:val="18"/>
          <w:szCs w:val="18"/>
        </w:rPr>
        <w:t xml:space="preserve"> </w:t>
      </w:r>
      <w:r w:rsidRPr="00965DA9" w:rsidR="00466C13">
        <w:rPr>
          <w:rFonts w:ascii="Verdana" w:hAnsi="Verdana"/>
          <w:sz w:val="18"/>
          <w:szCs w:val="18"/>
        </w:rPr>
        <w:t xml:space="preserve">en in </w:t>
      </w:r>
      <w:r w:rsidRPr="00965DA9" w:rsidR="00005DE6">
        <w:rPr>
          <w:rFonts w:ascii="Verdana" w:hAnsi="Verdana"/>
          <w:sz w:val="18"/>
          <w:szCs w:val="18"/>
        </w:rPr>
        <w:t xml:space="preserve">de </w:t>
      </w:r>
      <w:r w:rsidRPr="00965DA9" w:rsidR="00466C13">
        <w:rPr>
          <w:rFonts w:ascii="Verdana" w:hAnsi="Verdana"/>
          <w:sz w:val="18"/>
          <w:szCs w:val="18"/>
        </w:rPr>
        <w:t xml:space="preserve">versterking van </w:t>
      </w:r>
      <w:r w:rsidRPr="00965DA9" w:rsidR="00005DE6">
        <w:rPr>
          <w:rFonts w:ascii="Verdana" w:hAnsi="Verdana"/>
          <w:sz w:val="18"/>
          <w:szCs w:val="18"/>
        </w:rPr>
        <w:t xml:space="preserve">de </w:t>
      </w:r>
      <w:r w:rsidRPr="00965DA9" w:rsidR="00466C13">
        <w:rPr>
          <w:rFonts w:ascii="Verdana" w:hAnsi="Verdana"/>
          <w:sz w:val="18"/>
          <w:szCs w:val="18"/>
        </w:rPr>
        <w:t xml:space="preserve">samenwerking tussen gevangenisdiensten en opsporingsautoriteiten.  </w:t>
      </w:r>
    </w:p>
    <w:p w:rsidRPr="00965DA9" w:rsidR="00466C13" w:rsidP="00466C13" w:rsidRDefault="00B264DA" w14:paraId="6DB1B8E8" w14:textId="1452D550">
      <w:pPr>
        <w:rPr>
          <w:rFonts w:ascii="Verdana" w:hAnsi="Verdana"/>
          <w:sz w:val="18"/>
          <w:szCs w:val="18"/>
        </w:rPr>
      </w:pPr>
      <w:r w:rsidRPr="00965DA9">
        <w:rPr>
          <w:rFonts w:ascii="Verdana" w:hAnsi="Verdana"/>
          <w:sz w:val="18"/>
          <w:szCs w:val="18"/>
        </w:rPr>
        <w:t>Nederland</w:t>
      </w:r>
      <w:r w:rsidRPr="00965DA9" w:rsidR="00466C13">
        <w:rPr>
          <w:rFonts w:ascii="Verdana" w:hAnsi="Verdana"/>
          <w:sz w:val="18"/>
          <w:szCs w:val="18"/>
        </w:rPr>
        <w:t xml:space="preserve"> acht het van groot belang dat detentie daadwerkelijk leidt tot het onderbreken van criminele activiteiten en netwerken. High-risk gedetineerden mogen hun criminele activiteiten niet kunnen voortzetten vanuit detentie. In lijn met het eerdere non-paper</w:t>
      </w:r>
      <w:r w:rsidRPr="00965DA9" w:rsidR="00466C13">
        <w:rPr>
          <w:rStyle w:val="Voetnootmarkering"/>
          <w:rFonts w:ascii="Verdana" w:hAnsi="Verdana"/>
          <w:sz w:val="18"/>
          <w:szCs w:val="18"/>
        </w:rPr>
        <w:footnoteReference w:id="4"/>
      </w:r>
      <w:r w:rsidRPr="00965DA9" w:rsidR="00466C13">
        <w:rPr>
          <w:rFonts w:ascii="Verdana" w:hAnsi="Verdana"/>
          <w:sz w:val="18"/>
          <w:szCs w:val="18"/>
        </w:rPr>
        <w:t xml:space="preserve"> steunt</w:t>
      </w:r>
      <w:r w:rsidRPr="00965DA9">
        <w:rPr>
          <w:rFonts w:ascii="Verdana" w:hAnsi="Verdana"/>
          <w:sz w:val="18"/>
          <w:szCs w:val="18"/>
        </w:rPr>
        <w:t xml:space="preserve"> Nederland</w:t>
      </w:r>
      <w:r w:rsidRPr="00965DA9" w:rsidR="00466C13">
        <w:rPr>
          <w:rFonts w:ascii="Verdana" w:hAnsi="Verdana"/>
          <w:sz w:val="18"/>
          <w:szCs w:val="18"/>
        </w:rPr>
        <w:t xml:space="preserve"> versterkte Europese samenwerking op het terrein van informatie-uitwisseling, gezamenlijke analyse en kennisdeling. </w:t>
      </w:r>
      <w:r w:rsidRPr="00965DA9">
        <w:rPr>
          <w:rFonts w:ascii="Verdana" w:hAnsi="Verdana"/>
          <w:sz w:val="18"/>
          <w:szCs w:val="18"/>
        </w:rPr>
        <w:t>Nederland</w:t>
      </w:r>
      <w:r w:rsidRPr="00965DA9" w:rsidR="00466C13">
        <w:rPr>
          <w:rFonts w:ascii="Verdana" w:hAnsi="Verdana"/>
          <w:sz w:val="18"/>
          <w:szCs w:val="18"/>
        </w:rPr>
        <w:t xml:space="preserve"> leert graag van de ervaringen van andere lidstaten en is bereid eigen </w:t>
      </w:r>
      <w:r w:rsidRPr="00965DA9" w:rsidR="00466C13">
        <w:rPr>
          <w:rFonts w:ascii="Verdana" w:hAnsi="Verdana"/>
          <w:i/>
          <w:iCs/>
          <w:sz w:val="18"/>
          <w:szCs w:val="18"/>
        </w:rPr>
        <w:t xml:space="preserve">best </w:t>
      </w:r>
      <w:proofErr w:type="spellStart"/>
      <w:r w:rsidRPr="00965DA9" w:rsidR="00466C13">
        <w:rPr>
          <w:rFonts w:ascii="Verdana" w:hAnsi="Verdana"/>
          <w:i/>
          <w:iCs/>
          <w:sz w:val="18"/>
          <w:szCs w:val="18"/>
        </w:rPr>
        <w:t>practices</w:t>
      </w:r>
      <w:proofErr w:type="spellEnd"/>
      <w:r w:rsidRPr="00965DA9" w:rsidR="00466C13">
        <w:rPr>
          <w:rFonts w:ascii="Verdana" w:hAnsi="Verdana"/>
          <w:sz w:val="18"/>
          <w:szCs w:val="18"/>
        </w:rPr>
        <w:t xml:space="preserve"> te delen om in gezamenlijkheid voortgezet crimineel handelen vanuit detentie effectiever tegen te gaan. </w:t>
      </w:r>
    </w:p>
    <w:p w:rsidRPr="00965DA9" w:rsidR="003C4221" w:rsidP="003C4221" w:rsidRDefault="00466C13" w14:paraId="68D40969" w14:textId="3794D50F">
      <w:pPr>
        <w:rPr>
          <w:rFonts w:ascii="Verdana" w:hAnsi="Verdana"/>
          <w:sz w:val="18"/>
          <w:szCs w:val="18"/>
        </w:rPr>
      </w:pPr>
      <w:r w:rsidRPr="00965DA9">
        <w:rPr>
          <w:rFonts w:ascii="Verdana" w:hAnsi="Verdana"/>
          <w:sz w:val="18"/>
          <w:szCs w:val="18"/>
        </w:rPr>
        <w:t xml:space="preserve">Daarnaast acht </w:t>
      </w:r>
      <w:r w:rsidRPr="00965DA9" w:rsidR="00B264DA">
        <w:rPr>
          <w:rFonts w:ascii="Verdana" w:hAnsi="Verdana"/>
          <w:sz w:val="18"/>
          <w:szCs w:val="18"/>
        </w:rPr>
        <w:t>Nederland</w:t>
      </w:r>
      <w:r w:rsidRPr="00965DA9">
        <w:rPr>
          <w:rFonts w:ascii="Verdana" w:hAnsi="Verdana"/>
          <w:sz w:val="18"/>
          <w:szCs w:val="18"/>
        </w:rPr>
        <w:t xml:space="preserve"> het van belang dat het begrip voortgezet crimineel handelen niet uitsluitend wordt benaderd vanuit de drugscriminaliteit, maar breder wordt geïnterpreteerd, zodat ook andere vormen van georganiseerde criminaliteit en ernstige strafbare feiten die vanuit detentie worden aangestuurd onder de reikwijdte vallen.</w:t>
      </w:r>
    </w:p>
    <w:p w:rsidRPr="00965DA9" w:rsidR="00997E04" w:rsidP="00997E04" w:rsidRDefault="00997E04" w14:paraId="0219C82F" w14:textId="4994BB8B">
      <w:pPr>
        <w:pStyle w:val="Lijstalinea"/>
        <w:numPr>
          <w:ilvl w:val="0"/>
          <w:numId w:val="4"/>
        </w:numPr>
        <w:rPr>
          <w:rFonts w:ascii="Verdana" w:hAnsi="Verdana"/>
          <w:b/>
          <w:bCs/>
          <w:sz w:val="18"/>
          <w:szCs w:val="18"/>
        </w:rPr>
      </w:pPr>
      <w:r w:rsidRPr="00965DA9">
        <w:rPr>
          <w:rFonts w:ascii="Verdana" w:hAnsi="Verdana"/>
          <w:b/>
          <w:bCs/>
          <w:sz w:val="18"/>
          <w:szCs w:val="18"/>
        </w:rPr>
        <w:t>De onafhankelijkheid van advocaten in Europa: de rol van de EU en het Verdrag van de Raad van Europa</w:t>
      </w:r>
      <w:r w:rsidRPr="00965DA9" w:rsidR="0093523E">
        <w:rPr>
          <w:rFonts w:ascii="Verdana" w:hAnsi="Verdana"/>
          <w:b/>
          <w:bCs/>
          <w:sz w:val="18"/>
          <w:szCs w:val="18"/>
        </w:rPr>
        <w:t xml:space="preserve"> </w:t>
      </w:r>
    </w:p>
    <w:p w:rsidRPr="00965DA9" w:rsidR="001F674E" w:rsidP="001F674E" w:rsidRDefault="001F674E" w14:paraId="0DC0AC46" w14:textId="5E827F32">
      <w:pPr>
        <w:pStyle w:val="Lijstalinea"/>
        <w:rPr>
          <w:rFonts w:ascii="Verdana" w:hAnsi="Verdana"/>
          <w:i/>
          <w:iCs/>
          <w:sz w:val="18"/>
          <w:szCs w:val="18"/>
        </w:rPr>
      </w:pPr>
      <w:r w:rsidRPr="00965DA9">
        <w:rPr>
          <w:rFonts w:ascii="Verdana" w:hAnsi="Verdana"/>
          <w:i/>
          <w:iCs/>
          <w:sz w:val="18"/>
          <w:szCs w:val="18"/>
        </w:rPr>
        <w:t>Gedachtewisseling</w:t>
      </w:r>
    </w:p>
    <w:p w:rsidRPr="00965DA9" w:rsidR="001F7F3F" w:rsidP="001F7F3F" w:rsidRDefault="001F7F3F" w14:paraId="6B080EB8" w14:textId="5C12F6EB">
      <w:pPr>
        <w:rPr>
          <w:rFonts w:ascii="Verdana" w:hAnsi="Verdana"/>
          <w:sz w:val="18"/>
          <w:szCs w:val="18"/>
        </w:rPr>
      </w:pPr>
      <w:r w:rsidRPr="00965DA9">
        <w:rPr>
          <w:rFonts w:ascii="Verdana" w:hAnsi="Verdana"/>
          <w:sz w:val="18"/>
          <w:szCs w:val="18"/>
        </w:rPr>
        <w:t xml:space="preserve">De Raad zal worden geïnformeerd over de stand van zaken rond het Verdrag van de Raad van Europa inzake de bescherming van advocaten en de rol van de Europese Unie daarbij. Het </w:t>
      </w:r>
      <w:r w:rsidRPr="00965DA9" w:rsidR="00B264DA">
        <w:rPr>
          <w:rFonts w:ascii="Verdana" w:hAnsi="Verdana"/>
          <w:sz w:val="18"/>
          <w:szCs w:val="18"/>
        </w:rPr>
        <w:t>V</w:t>
      </w:r>
      <w:r w:rsidRPr="00965DA9">
        <w:rPr>
          <w:rFonts w:ascii="Verdana" w:hAnsi="Verdana"/>
          <w:sz w:val="18"/>
          <w:szCs w:val="18"/>
        </w:rPr>
        <w:t>erdrag is en marge van een ministeriële bijeenkomst van het Comité van Ministers van de Raad van Europa opengesteld voor ondertekening en is inmiddels door zeventien lidstaten van de Raad van Europa, waaronder Nederland, ondertekend.</w:t>
      </w:r>
      <w:r w:rsidRPr="00965DA9" w:rsidR="00810C6E">
        <w:t xml:space="preserve"> </w:t>
      </w:r>
      <w:r w:rsidRPr="00965DA9" w:rsidR="00810C6E">
        <w:rPr>
          <w:rFonts w:ascii="Verdana" w:hAnsi="Verdana"/>
          <w:sz w:val="18"/>
          <w:szCs w:val="18"/>
        </w:rPr>
        <w:t xml:space="preserve">Daarnaast zal een gedachtewisseling plaatsvinden over de toenemende voorbeelden van belemmeringen of inmenging in de uitoefening van het beroep van advocaten en de invloed daarvan op de toegang tot het recht, het wederzijds vertrouwen en de effectieve toepassing van het EU recht. Ook zal, in het licht van het verdrag van de Raad van Europa, van gedachten worden gewisseld over de rol van de EU in het adresseren van de risico’s voor het beroep van advocaat. </w:t>
      </w:r>
    </w:p>
    <w:p w:rsidRPr="00965DA9" w:rsidR="00507A6D" w:rsidP="00997E04" w:rsidRDefault="001F7F3F" w14:paraId="1E6BA82F" w14:textId="4275754B">
      <w:pPr>
        <w:rPr>
          <w:rFonts w:ascii="Verdana" w:hAnsi="Verdana"/>
          <w:sz w:val="18"/>
          <w:szCs w:val="18"/>
        </w:rPr>
      </w:pPr>
      <w:r w:rsidRPr="00965DA9">
        <w:rPr>
          <w:rFonts w:ascii="Verdana" w:hAnsi="Verdana"/>
          <w:sz w:val="18"/>
          <w:szCs w:val="18"/>
        </w:rPr>
        <w:t xml:space="preserve">Het </w:t>
      </w:r>
      <w:r w:rsidRPr="00965DA9" w:rsidR="00B264DA">
        <w:rPr>
          <w:rFonts w:ascii="Verdana" w:hAnsi="Verdana"/>
          <w:sz w:val="18"/>
          <w:szCs w:val="18"/>
        </w:rPr>
        <w:t>V</w:t>
      </w:r>
      <w:r w:rsidRPr="00965DA9">
        <w:rPr>
          <w:rFonts w:ascii="Verdana" w:hAnsi="Verdana"/>
          <w:sz w:val="18"/>
          <w:szCs w:val="18"/>
        </w:rPr>
        <w:t xml:space="preserve">erdrag is het eerste juridisch bindende instrument dat specifiek ziet op de bescherming van het advocatenberoep. Het beoogt de onafhankelijke uitoefening van het beroep te waarborgen en bescherming te bieden tegen intimidatie, bedreiging of ongeoorloofde inmenging. Daarmee vormt het </w:t>
      </w:r>
      <w:r w:rsidRPr="00965DA9" w:rsidR="00B264DA">
        <w:rPr>
          <w:rFonts w:ascii="Verdana" w:hAnsi="Verdana"/>
          <w:sz w:val="18"/>
          <w:szCs w:val="18"/>
        </w:rPr>
        <w:t xml:space="preserve">Verdrag </w:t>
      </w:r>
      <w:r w:rsidRPr="00965DA9">
        <w:rPr>
          <w:rFonts w:ascii="Verdana" w:hAnsi="Verdana"/>
          <w:sz w:val="18"/>
          <w:szCs w:val="18"/>
        </w:rPr>
        <w:t>een belangrijke stap ter versterking van de rechtsstaat en de toegang tot recht. Advocaten vervullen een essentiële rol in het functioneren van de rechtsorde</w:t>
      </w:r>
      <w:r w:rsidRPr="00965DA9" w:rsidR="007864E4">
        <w:rPr>
          <w:rFonts w:ascii="Verdana" w:hAnsi="Verdana"/>
          <w:sz w:val="18"/>
          <w:szCs w:val="18"/>
        </w:rPr>
        <w:t xml:space="preserve">. </w:t>
      </w:r>
      <w:r w:rsidRPr="00965DA9">
        <w:rPr>
          <w:rFonts w:ascii="Verdana" w:hAnsi="Verdana"/>
          <w:sz w:val="18"/>
          <w:szCs w:val="18"/>
        </w:rPr>
        <w:t xml:space="preserve">Het publieke vertrouwen in </w:t>
      </w:r>
      <w:r w:rsidRPr="00965DA9" w:rsidR="007864E4">
        <w:rPr>
          <w:rFonts w:ascii="Verdana" w:hAnsi="Verdana"/>
          <w:sz w:val="18"/>
          <w:szCs w:val="18"/>
        </w:rPr>
        <w:t xml:space="preserve">de rechtsstaat </w:t>
      </w:r>
      <w:r w:rsidRPr="00965DA9">
        <w:rPr>
          <w:rFonts w:ascii="Verdana" w:hAnsi="Verdana"/>
          <w:sz w:val="18"/>
          <w:szCs w:val="18"/>
        </w:rPr>
        <w:t>hangt mede samen met hun onafhankelijke positie.</w:t>
      </w:r>
      <w:r w:rsidRPr="00965DA9" w:rsidR="00B264DA">
        <w:rPr>
          <w:rFonts w:ascii="Verdana" w:hAnsi="Verdana"/>
          <w:sz w:val="18"/>
          <w:szCs w:val="18"/>
        </w:rPr>
        <w:t xml:space="preserve"> </w:t>
      </w:r>
    </w:p>
    <w:p w:rsidRPr="00965DA9" w:rsidR="001F7F3F" w:rsidP="00997E04" w:rsidRDefault="00A848A0" w14:paraId="0D4B99B8" w14:textId="0E366144">
      <w:pPr>
        <w:rPr>
          <w:rFonts w:ascii="Verdana" w:hAnsi="Verdana"/>
          <w:sz w:val="18"/>
          <w:szCs w:val="18"/>
        </w:rPr>
      </w:pPr>
      <w:r w:rsidRPr="00965DA9">
        <w:rPr>
          <w:rFonts w:ascii="Verdana" w:hAnsi="Verdana"/>
          <w:sz w:val="18"/>
          <w:szCs w:val="18"/>
        </w:rPr>
        <w:t xml:space="preserve">De Commissie bereidt de noodzakelijke voorstellen voor Raadsbesluiten voor inzake ondertekening en sluiting van het verdrag door de Unie, gebaseerd op afzonderlijke rechtsgrondslagen. De besluitvorming zal plaatsvinden conform artikel 218 VWEU, waarbij ook het Europees Parlement wordt betrokken. </w:t>
      </w:r>
    </w:p>
    <w:p w:rsidRPr="00965DA9" w:rsidR="00466C13" w:rsidP="00997E04" w:rsidRDefault="00810C6E" w14:paraId="4C1D5EF9" w14:textId="14AD034F">
      <w:pPr>
        <w:rPr>
          <w:rFonts w:ascii="Verdana" w:hAnsi="Verdana"/>
          <w:sz w:val="18"/>
          <w:szCs w:val="18"/>
        </w:rPr>
      </w:pPr>
      <w:r w:rsidRPr="00965DA9">
        <w:rPr>
          <w:rFonts w:ascii="Verdana" w:hAnsi="Verdana"/>
          <w:sz w:val="18"/>
          <w:szCs w:val="18"/>
        </w:rPr>
        <w:t xml:space="preserve">Nederland onderschrijft het belang van het Verdrag ten zeerste en heeft het verdrag op 13 mei 2025 ondertekend. Op dit moment wordt gewerkt aan de voorbereiding van de nationale goedkeuringsprocedure voor het Verdrag. </w:t>
      </w:r>
    </w:p>
    <w:p w:rsidRPr="00965DA9" w:rsidR="00810C6E" w:rsidP="00997E04" w:rsidRDefault="00810C6E" w14:paraId="03DE9BA6" w14:textId="5C254F97">
      <w:pPr>
        <w:rPr>
          <w:rFonts w:ascii="Verdana" w:hAnsi="Verdana"/>
          <w:sz w:val="18"/>
          <w:szCs w:val="18"/>
        </w:rPr>
      </w:pPr>
      <w:r w:rsidRPr="00965DA9">
        <w:rPr>
          <w:rFonts w:ascii="Verdana" w:hAnsi="Verdana"/>
          <w:sz w:val="18"/>
          <w:szCs w:val="18"/>
        </w:rPr>
        <w:t>Nederland werkt samen met de Nederlandse orde van advocaten (</w:t>
      </w:r>
      <w:proofErr w:type="spellStart"/>
      <w:r w:rsidRPr="00965DA9">
        <w:rPr>
          <w:rFonts w:ascii="Verdana" w:hAnsi="Verdana"/>
          <w:sz w:val="18"/>
          <w:szCs w:val="18"/>
        </w:rPr>
        <w:t>NOvA</w:t>
      </w:r>
      <w:proofErr w:type="spellEnd"/>
      <w:r w:rsidRPr="00965DA9">
        <w:rPr>
          <w:rFonts w:ascii="Verdana" w:hAnsi="Verdana"/>
          <w:sz w:val="18"/>
          <w:szCs w:val="18"/>
        </w:rPr>
        <w:t xml:space="preserve">) aan het vergroten van de veiligheid en weerbaarheid van de advocatuur. Jaarlijks verstrekken het ministerie van Justitie en Veiligheid en de Nationaal Coördinator Terrorismebestrijding en Veiligheid daartoe een subsidie aan de </w:t>
      </w:r>
      <w:proofErr w:type="spellStart"/>
      <w:r w:rsidRPr="00965DA9">
        <w:rPr>
          <w:rFonts w:ascii="Verdana" w:hAnsi="Verdana"/>
          <w:sz w:val="18"/>
          <w:szCs w:val="18"/>
        </w:rPr>
        <w:t>NOvA</w:t>
      </w:r>
      <w:proofErr w:type="spellEnd"/>
      <w:r w:rsidRPr="00965DA9">
        <w:rPr>
          <w:rFonts w:ascii="Verdana" w:hAnsi="Verdana"/>
          <w:sz w:val="18"/>
          <w:szCs w:val="18"/>
        </w:rPr>
        <w:t xml:space="preserve">. De </w:t>
      </w:r>
      <w:proofErr w:type="spellStart"/>
      <w:r w:rsidRPr="00965DA9">
        <w:rPr>
          <w:rFonts w:ascii="Verdana" w:hAnsi="Verdana"/>
          <w:sz w:val="18"/>
          <w:szCs w:val="18"/>
        </w:rPr>
        <w:t>NOvA</w:t>
      </w:r>
      <w:proofErr w:type="spellEnd"/>
      <w:r w:rsidRPr="00965DA9">
        <w:rPr>
          <w:rFonts w:ascii="Verdana" w:hAnsi="Verdana"/>
          <w:sz w:val="18"/>
          <w:szCs w:val="18"/>
        </w:rPr>
        <w:t xml:space="preserve"> gebruikt de subsidies voor de Taskforce bescherming tegen ondermijning. Binnen deze Taskforce ligt de nadruk op het herkennen van signalen van ondermijning, het aanbieden van preventieve maatregelen en andere ondersteuning van advocaten om hen </w:t>
      </w:r>
      <w:r w:rsidRPr="00965DA9">
        <w:rPr>
          <w:rFonts w:ascii="Verdana" w:hAnsi="Verdana"/>
          <w:sz w:val="18"/>
          <w:szCs w:val="18"/>
        </w:rPr>
        <w:lastRenderedPageBreak/>
        <w:t xml:space="preserve">weerbaarder te maken. Er zijn verschillende initiatieven waaronder initiatieven een weerbaarheidscampagne, weerbaarheidstrainingen, de vertrouwensadvocaat, de noodtelefoon en de noodknop. </w:t>
      </w:r>
    </w:p>
    <w:p w:rsidRPr="00965DA9" w:rsidR="00997E04" w:rsidP="00997E04" w:rsidRDefault="00997E04" w14:paraId="3ED43D95" w14:textId="175C4F84">
      <w:pPr>
        <w:pStyle w:val="Lijstalinea"/>
        <w:numPr>
          <w:ilvl w:val="0"/>
          <w:numId w:val="4"/>
        </w:numPr>
        <w:rPr>
          <w:rFonts w:ascii="Verdana" w:hAnsi="Verdana"/>
          <w:b/>
          <w:bCs/>
          <w:sz w:val="18"/>
          <w:szCs w:val="18"/>
        </w:rPr>
      </w:pPr>
      <w:r w:rsidRPr="00965DA9">
        <w:rPr>
          <w:rFonts w:ascii="Verdana" w:hAnsi="Verdana"/>
          <w:b/>
          <w:bCs/>
          <w:sz w:val="18"/>
          <w:szCs w:val="18"/>
        </w:rPr>
        <w:t>Conclusies over de toepassing van het Handvest van de grondrechten van de Europese Unie 2026</w:t>
      </w:r>
    </w:p>
    <w:p w:rsidRPr="00965DA9" w:rsidR="001F674E" w:rsidP="001F674E" w:rsidRDefault="001F674E" w14:paraId="466E67DE" w14:textId="251B116C">
      <w:pPr>
        <w:pStyle w:val="Lijstalinea"/>
        <w:rPr>
          <w:rFonts w:ascii="Verdana" w:hAnsi="Verdana"/>
          <w:i/>
          <w:iCs/>
          <w:sz w:val="18"/>
          <w:szCs w:val="18"/>
        </w:rPr>
      </w:pPr>
      <w:r w:rsidRPr="00965DA9">
        <w:rPr>
          <w:rFonts w:ascii="Verdana" w:hAnsi="Verdana"/>
          <w:i/>
          <w:iCs/>
          <w:sz w:val="18"/>
          <w:szCs w:val="18"/>
        </w:rPr>
        <w:t>Goedkeuring</w:t>
      </w:r>
    </w:p>
    <w:p w:rsidRPr="00965DA9" w:rsidR="007864E4" w:rsidP="007864E4" w:rsidRDefault="007864E4" w14:paraId="370F2A7A" w14:textId="42570F83">
      <w:pPr>
        <w:rPr>
          <w:rFonts w:ascii="Verdana" w:hAnsi="Verdana"/>
          <w:sz w:val="18"/>
          <w:szCs w:val="18"/>
        </w:rPr>
      </w:pPr>
      <w:r w:rsidRPr="00965DA9">
        <w:rPr>
          <w:rFonts w:ascii="Verdana" w:hAnsi="Verdana"/>
          <w:sz w:val="18"/>
          <w:szCs w:val="18"/>
        </w:rPr>
        <w:t>De</w:t>
      </w:r>
      <w:r w:rsidRPr="00965DA9" w:rsidR="00B264DA">
        <w:rPr>
          <w:rFonts w:ascii="Verdana" w:hAnsi="Verdana"/>
          <w:sz w:val="18"/>
          <w:szCs w:val="18"/>
        </w:rPr>
        <w:t xml:space="preserve"> JBZ-</w:t>
      </w:r>
      <w:r w:rsidRPr="00965DA9">
        <w:rPr>
          <w:rFonts w:ascii="Verdana" w:hAnsi="Verdana"/>
          <w:sz w:val="18"/>
          <w:szCs w:val="18"/>
        </w:rPr>
        <w:t xml:space="preserve">Raad zal naar verwachting conclusies aannemen over het </w:t>
      </w:r>
      <w:r w:rsidRPr="00965DA9" w:rsidR="00B264DA">
        <w:rPr>
          <w:rFonts w:ascii="Verdana" w:hAnsi="Verdana"/>
          <w:sz w:val="18"/>
          <w:szCs w:val="18"/>
        </w:rPr>
        <w:t>j</w:t>
      </w:r>
      <w:r w:rsidRPr="00965DA9">
        <w:rPr>
          <w:rFonts w:ascii="Verdana" w:hAnsi="Verdana"/>
          <w:sz w:val="18"/>
          <w:szCs w:val="18"/>
        </w:rPr>
        <w:t>aarverslag 2025 van de Europese Commissie inzake de toepassing van het Handvest van de grondrechten van de Europese Unie. Met deze conclusies wordt de balans opgemaakt van vijf jaar uitvoering van de Strategie ter versterking van de toepassing van het Handvest en worden richtinggevende aandachtspunten geformuleerd voor verdere versterking van de toepassing ervan op zowel EU- als nationaal niveau.</w:t>
      </w:r>
    </w:p>
    <w:p w:rsidRPr="00965DA9" w:rsidR="00EB3DC0" w:rsidP="00256C72" w:rsidRDefault="00256C72" w14:paraId="39AE0643" w14:textId="77777777">
      <w:pPr>
        <w:rPr>
          <w:rFonts w:ascii="Verdana" w:hAnsi="Verdana"/>
          <w:sz w:val="18"/>
          <w:szCs w:val="18"/>
        </w:rPr>
      </w:pPr>
      <w:r w:rsidRPr="00965DA9">
        <w:rPr>
          <w:rFonts w:ascii="Verdana" w:hAnsi="Verdana"/>
          <w:sz w:val="18"/>
          <w:szCs w:val="18"/>
        </w:rPr>
        <w:t>De conclusies bevestigen dat het Handvest bindend is voor de instellingen van de Unie en voor de lidstaten wanneer zij Unierecht uitvoeren. De tekst benadrukt het belang van versterkte nationale coördinatie, onder meer via nationale Charter-</w:t>
      </w:r>
      <w:proofErr w:type="spellStart"/>
      <w:r w:rsidRPr="00965DA9">
        <w:rPr>
          <w:rFonts w:ascii="Verdana" w:hAnsi="Verdana"/>
          <w:sz w:val="18"/>
          <w:szCs w:val="18"/>
        </w:rPr>
        <w:t>focal</w:t>
      </w:r>
      <w:proofErr w:type="spellEnd"/>
      <w:r w:rsidRPr="00965DA9">
        <w:rPr>
          <w:rFonts w:ascii="Verdana" w:hAnsi="Verdana"/>
          <w:sz w:val="18"/>
          <w:szCs w:val="18"/>
        </w:rPr>
        <w:t xml:space="preserve"> points, en van verdere capaciteitsopbouw, opleiding en bewustwording bij nationale, regionale en lokale autoriteiten</w:t>
      </w:r>
      <w:r w:rsidRPr="00965DA9" w:rsidR="00EB3DC0">
        <w:rPr>
          <w:rFonts w:ascii="Verdana" w:hAnsi="Verdana"/>
          <w:sz w:val="18"/>
          <w:szCs w:val="18"/>
        </w:rPr>
        <w:t xml:space="preserve"> en andere relevante actoren (zoals rechters en officieren van justitie)</w:t>
      </w:r>
      <w:r w:rsidRPr="00965DA9">
        <w:rPr>
          <w:rFonts w:ascii="Verdana" w:hAnsi="Verdana"/>
          <w:sz w:val="18"/>
          <w:szCs w:val="18"/>
        </w:rPr>
        <w:t xml:space="preserve">. </w:t>
      </w:r>
    </w:p>
    <w:p w:rsidRPr="00965DA9" w:rsidR="00256C72" w:rsidP="00256C72" w:rsidRDefault="00256C72" w14:paraId="6C7B6A61" w14:textId="760BB1B9">
      <w:pPr>
        <w:rPr>
          <w:rFonts w:ascii="Verdana" w:hAnsi="Verdana"/>
          <w:sz w:val="18"/>
          <w:szCs w:val="18"/>
        </w:rPr>
      </w:pPr>
      <w:r w:rsidRPr="00965DA9">
        <w:rPr>
          <w:rFonts w:ascii="Verdana" w:hAnsi="Verdana"/>
          <w:sz w:val="18"/>
          <w:szCs w:val="18"/>
        </w:rPr>
        <w:t>Tevens wordt aandacht besteed aan de rol van maatschappelijke organisaties, mensenrechtenverdedigers en onafhankelijke grondrechteninstanties bij de effectieve toepassing van het Handvest. Daarnaast onderstrepen de conclusies het belang van systematische grondrechtenoverwegingen in wetgevings- en beleidsprocessen, waaronder</w:t>
      </w:r>
      <w:r w:rsidRPr="00965DA9" w:rsidR="003E4D1C">
        <w:rPr>
          <w:rFonts w:ascii="Verdana" w:hAnsi="Verdana"/>
          <w:sz w:val="18"/>
          <w:szCs w:val="18"/>
        </w:rPr>
        <w:t xml:space="preserve"> het integreren daarvan in impact assessments</w:t>
      </w:r>
      <w:r w:rsidRPr="00965DA9">
        <w:rPr>
          <w:rFonts w:ascii="Verdana" w:hAnsi="Verdana"/>
          <w:sz w:val="18"/>
          <w:szCs w:val="18"/>
        </w:rPr>
        <w:t xml:space="preserve">. Ook wordt nadrukkelijk gewezen op de samenhang tussen naleving van de rechtsstaat, de toepassing van het Handvest en ontvangst van EU-financiering. Daarbij wordt onderstreept dat respect voor de waarden van artikel 2 VEU en voor het Handvest een voorwaarde vormt voor het beheer van EU-middelen. </w:t>
      </w:r>
    </w:p>
    <w:p w:rsidRPr="00B05580" w:rsidR="00E259FA" w:rsidP="00507A6D" w:rsidRDefault="00B264DA" w14:paraId="04CEF818" w14:textId="77BF75DB">
      <w:pPr>
        <w:rPr>
          <w:rFonts w:ascii="Verdana" w:hAnsi="Verdana"/>
          <w:sz w:val="18"/>
          <w:szCs w:val="18"/>
        </w:rPr>
      </w:pPr>
      <w:r w:rsidRPr="00965DA9">
        <w:rPr>
          <w:rFonts w:ascii="Verdana" w:hAnsi="Verdana"/>
          <w:sz w:val="18"/>
          <w:szCs w:val="18"/>
        </w:rPr>
        <w:t>Nederland</w:t>
      </w:r>
      <w:r w:rsidRPr="00965DA9" w:rsidR="00256C72">
        <w:rPr>
          <w:rFonts w:ascii="Verdana" w:hAnsi="Verdana"/>
          <w:sz w:val="18"/>
          <w:szCs w:val="18"/>
        </w:rPr>
        <w:t xml:space="preserve"> onderschrijft het belang van een effectieve toepassing van het Handvest bij de uitvoering van Unierecht</w:t>
      </w:r>
      <w:r w:rsidRPr="00965DA9" w:rsidR="00EB3DC0">
        <w:rPr>
          <w:rFonts w:ascii="Verdana" w:hAnsi="Verdana"/>
          <w:sz w:val="18"/>
          <w:szCs w:val="18"/>
        </w:rPr>
        <w:t xml:space="preserve"> in de hele EU</w:t>
      </w:r>
      <w:r w:rsidRPr="00965DA9" w:rsidR="00256C72">
        <w:rPr>
          <w:rFonts w:ascii="Verdana" w:hAnsi="Verdana"/>
          <w:sz w:val="18"/>
          <w:szCs w:val="18"/>
        </w:rPr>
        <w:t xml:space="preserve">. Het Handvest vormt een essentieel onderdeel van de Europese rechtsorde en draagt bij aan rechtszekerheid, toegang tot recht en het vertrouwen in de rechtsstaat. Ook zet </w:t>
      </w:r>
      <w:r w:rsidRPr="00965DA9">
        <w:rPr>
          <w:rFonts w:ascii="Verdana" w:hAnsi="Verdana"/>
          <w:sz w:val="18"/>
          <w:szCs w:val="18"/>
        </w:rPr>
        <w:t>Nederland</w:t>
      </w:r>
      <w:r w:rsidRPr="00965DA9" w:rsidR="00256C72">
        <w:rPr>
          <w:rFonts w:ascii="Verdana" w:hAnsi="Verdana"/>
          <w:sz w:val="18"/>
          <w:szCs w:val="18"/>
        </w:rPr>
        <w:t xml:space="preserve"> zich in voor de versterking</w:t>
      </w:r>
      <w:r w:rsidRPr="00965DA9">
        <w:rPr>
          <w:rFonts w:ascii="Verdana" w:hAnsi="Verdana"/>
          <w:sz w:val="18"/>
          <w:szCs w:val="18"/>
        </w:rPr>
        <w:t xml:space="preserve"> </w:t>
      </w:r>
      <w:r w:rsidRPr="00965DA9" w:rsidR="00256C72">
        <w:rPr>
          <w:rFonts w:ascii="Verdana" w:hAnsi="Verdana"/>
          <w:sz w:val="18"/>
          <w:szCs w:val="18"/>
        </w:rPr>
        <w:t xml:space="preserve">en verdere ontwikkeling van het EU-rechtsstaatinstrumentarium. Zo is </w:t>
      </w:r>
      <w:r w:rsidRPr="00965DA9" w:rsidR="003A6AEA">
        <w:rPr>
          <w:rFonts w:ascii="Verdana" w:hAnsi="Verdana"/>
          <w:sz w:val="18"/>
          <w:szCs w:val="18"/>
        </w:rPr>
        <w:t>Nederland</w:t>
      </w:r>
      <w:r w:rsidRPr="00965DA9" w:rsidR="00256C72">
        <w:rPr>
          <w:rFonts w:ascii="Verdana" w:hAnsi="Verdana"/>
          <w:sz w:val="18"/>
          <w:szCs w:val="18"/>
        </w:rPr>
        <w:t xml:space="preserve"> voorstander</w:t>
      </w:r>
      <w:r w:rsidRPr="00965DA9">
        <w:rPr>
          <w:rFonts w:ascii="Verdana" w:hAnsi="Verdana"/>
          <w:sz w:val="18"/>
          <w:szCs w:val="18"/>
        </w:rPr>
        <w:t xml:space="preserve"> </w:t>
      </w:r>
      <w:r w:rsidRPr="00965DA9" w:rsidR="00256C72">
        <w:rPr>
          <w:rFonts w:ascii="Verdana" w:hAnsi="Verdana"/>
          <w:sz w:val="18"/>
          <w:szCs w:val="18"/>
        </w:rPr>
        <w:t>van een koppeling tussen de ontvangst van EU-middelen en de eerbiediging van de beginselen</w:t>
      </w:r>
      <w:r w:rsidRPr="00965DA9">
        <w:rPr>
          <w:rFonts w:ascii="Verdana" w:hAnsi="Verdana"/>
          <w:sz w:val="18"/>
          <w:szCs w:val="18"/>
        </w:rPr>
        <w:t xml:space="preserve"> </w:t>
      </w:r>
      <w:r w:rsidRPr="00965DA9" w:rsidR="00256C72">
        <w:rPr>
          <w:rFonts w:ascii="Verdana" w:hAnsi="Verdana"/>
          <w:sz w:val="18"/>
          <w:szCs w:val="18"/>
        </w:rPr>
        <w:t>van de rechtsstaat en naleving van grondrechten uit het Handvest.</w:t>
      </w:r>
    </w:p>
    <w:sectPr w:rsidRPr="00B05580" w:rsidR="00E259F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5897" w14:textId="77777777" w:rsidR="00702BAD" w:rsidRDefault="00702BAD" w:rsidP="009203F8">
      <w:pPr>
        <w:spacing w:after="0" w:line="240" w:lineRule="auto"/>
      </w:pPr>
      <w:r>
        <w:separator/>
      </w:r>
    </w:p>
  </w:endnote>
  <w:endnote w:type="continuationSeparator" w:id="0">
    <w:p w14:paraId="0065DBFE" w14:textId="77777777" w:rsidR="00702BAD" w:rsidRDefault="00702BAD" w:rsidP="0092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1834"/>
      <w:docPartObj>
        <w:docPartGallery w:val="Page Numbers (Bottom of Page)"/>
        <w:docPartUnique/>
      </w:docPartObj>
    </w:sdtPr>
    <w:sdtEndPr/>
    <w:sdtContent>
      <w:p w14:paraId="6DF04EFD" w14:textId="32B8F34B" w:rsidR="00C54F98" w:rsidRDefault="00C54F98">
        <w:pPr>
          <w:pStyle w:val="Voettekst"/>
          <w:jc w:val="right"/>
        </w:pPr>
        <w:r w:rsidRPr="00297911">
          <w:rPr>
            <w:sz w:val="18"/>
            <w:szCs w:val="18"/>
          </w:rPr>
          <w:fldChar w:fldCharType="begin"/>
        </w:r>
        <w:r w:rsidRPr="00297911">
          <w:rPr>
            <w:sz w:val="18"/>
            <w:szCs w:val="18"/>
          </w:rPr>
          <w:instrText>PAGE   \* MERGEFORMAT</w:instrText>
        </w:r>
        <w:r w:rsidRPr="00297911">
          <w:rPr>
            <w:sz w:val="18"/>
            <w:szCs w:val="18"/>
          </w:rPr>
          <w:fldChar w:fldCharType="separate"/>
        </w:r>
        <w:r w:rsidRPr="00297911">
          <w:rPr>
            <w:sz w:val="18"/>
            <w:szCs w:val="18"/>
          </w:rPr>
          <w:t>2</w:t>
        </w:r>
        <w:r w:rsidRPr="00297911">
          <w:rPr>
            <w:sz w:val="18"/>
            <w:szCs w:val="18"/>
          </w:rPr>
          <w:fldChar w:fldCharType="end"/>
        </w:r>
      </w:p>
    </w:sdtContent>
  </w:sdt>
  <w:p w14:paraId="2720421C" w14:textId="77777777" w:rsidR="00C54F98" w:rsidRDefault="00C54F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319B" w14:textId="77777777" w:rsidR="00702BAD" w:rsidRDefault="00702BAD" w:rsidP="009203F8">
      <w:pPr>
        <w:spacing w:after="0" w:line="240" w:lineRule="auto"/>
      </w:pPr>
      <w:r>
        <w:separator/>
      </w:r>
    </w:p>
  </w:footnote>
  <w:footnote w:type="continuationSeparator" w:id="0">
    <w:p w14:paraId="1A607A79" w14:textId="77777777" w:rsidR="00702BAD" w:rsidRDefault="00702BAD" w:rsidP="009203F8">
      <w:pPr>
        <w:spacing w:after="0" w:line="240" w:lineRule="auto"/>
      </w:pPr>
      <w:r>
        <w:continuationSeparator/>
      </w:r>
    </w:p>
  </w:footnote>
  <w:footnote w:id="1">
    <w:p w14:paraId="7A16DBBD" w14:textId="15EA0D13" w:rsidR="009F1ADC" w:rsidRPr="00EB0E48" w:rsidRDefault="009F1ADC">
      <w:pPr>
        <w:pStyle w:val="Voetnoottekst"/>
        <w:rPr>
          <w:rFonts w:ascii="Verdana" w:hAnsi="Verdana"/>
        </w:rPr>
      </w:pPr>
      <w:r w:rsidRPr="009F1ADC">
        <w:rPr>
          <w:rStyle w:val="Voetnootmarkering"/>
          <w:rFonts w:ascii="Verdana" w:hAnsi="Verdana"/>
          <w:sz w:val="16"/>
          <w:szCs w:val="16"/>
        </w:rPr>
        <w:footnoteRef/>
      </w:r>
      <w:r w:rsidRPr="00EB0E48">
        <w:rPr>
          <w:rFonts w:ascii="Verdana" w:hAnsi="Verdana"/>
          <w:sz w:val="16"/>
          <w:szCs w:val="16"/>
        </w:rPr>
        <w:t xml:space="preserve"> Verwijzing BNC-fiche</w:t>
      </w:r>
    </w:p>
  </w:footnote>
  <w:footnote w:id="2">
    <w:p w14:paraId="2C498AAC" w14:textId="11123183" w:rsidR="00C16D86" w:rsidRPr="00EB0E48" w:rsidRDefault="00C16D86">
      <w:pPr>
        <w:pStyle w:val="Voetnoottekst"/>
        <w:rPr>
          <w:rFonts w:ascii="Verdana" w:hAnsi="Verdana"/>
          <w:sz w:val="16"/>
          <w:szCs w:val="16"/>
        </w:rPr>
      </w:pPr>
      <w:r w:rsidRPr="00C16D86">
        <w:rPr>
          <w:rStyle w:val="Voetnootmarkering"/>
          <w:rFonts w:ascii="Verdana" w:hAnsi="Verdana"/>
          <w:sz w:val="16"/>
          <w:szCs w:val="16"/>
        </w:rPr>
        <w:footnoteRef/>
      </w:r>
      <w:r w:rsidRPr="00EB0E48">
        <w:rPr>
          <w:rFonts w:ascii="Verdana" w:hAnsi="Verdana"/>
          <w:sz w:val="16"/>
          <w:szCs w:val="16"/>
        </w:rPr>
        <w:t xml:space="preserve"> </w:t>
      </w:r>
      <w:r w:rsidR="00EB0E48">
        <w:rPr>
          <w:rFonts w:ascii="Verdana" w:hAnsi="Verdana"/>
          <w:sz w:val="16"/>
          <w:szCs w:val="16"/>
        </w:rPr>
        <w:t>Kamerstukken II 2022/23, 22 112, nr. 3739.</w:t>
      </w:r>
    </w:p>
  </w:footnote>
  <w:footnote w:id="3">
    <w:p w14:paraId="0465D7E7" w14:textId="5979685D" w:rsidR="00EB0E48" w:rsidRPr="00FC5662" w:rsidRDefault="00EB0E48">
      <w:pPr>
        <w:pStyle w:val="Voetnoottekst"/>
        <w:rPr>
          <w:rFonts w:ascii="Verdana" w:hAnsi="Verdana"/>
          <w:sz w:val="16"/>
          <w:szCs w:val="16"/>
        </w:rPr>
      </w:pPr>
      <w:r>
        <w:rPr>
          <w:rStyle w:val="Voetnootmarkering"/>
        </w:rPr>
        <w:footnoteRef/>
      </w:r>
      <w:r>
        <w:t xml:space="preserve"> </w:t>
      </w:r>
      <w:r>
        <w:rPr>
          <w:rFonts w:ascii="Verdana" w:hAnsi="Verdana"/>
          <w:sz w:val="16"/>
          <w:szCs w:val="16"/>
        </w:rPr>
        <w:t xml:space="preserve">Verdrag inzake de internationale bescherming van volwassenen, ’s-Gravenhage, 13-01-2000. </w:t>
      </w:r>
    </w:p>
  </w:footnote>
  <w:footnote w:id="4">
    <w:p w14:paraId="4B1655BE" w14:textId="1072B32E" w:rsidR="00466C13" w:rsidRPr="00423F03" w:rsidRDefault="00466C13">
      <w:pPr>
        <w:pStyle w:val="Voetnoottekst"/>
        <w:rPr>
          <w:rFonts w:ascii="Verdana" w:hAnsi="Verdana"/>
          <w:sz w:val="16"/>
          <w:szCs w:val="16"/>
        </w:rPr>
      </w:pPr>
      <w:r w:rsidRPr="00B264DA">
        <w:rPr>
          <w:rStyle w:val="Voetnootmarkering"/>
          <w:rFonts w:ascii="Verdana" w:hAnsi="Verdana"/>
          <w:sz w:val="16"/>
          <w:szCs w:val="16"/>
        </w:rPr>
        <w:footnoteRef/>
      </w:r>
      <w:r w:rsidRPr="00423F03">
        <w:rPr>
          <w:rFonts w:ascii="Verdana" w:hAnsi="Verdana"/>
          <w:sz w:val="16"/>
          <w:szCs w:val="16"/>
        </w:rPr>
        <w:t xml:space="preserve"> Non-paper </w:t>
      </w:r>
      <w:proofErr w:type="spellStart"/>
      <w:r w:rsidRPr="00423F03">
        <w:rPr>
          <w:rFonts w:ascii="Verdana" w:hAnsi="Verdana"/>
          <w:sz w:val="16"/>
          <w:szCs w:val="16"/>
        </w:rPr>
        <w:t>Continuation</w:t>
      </w:r>
      <w:proofErr w:type="spellEnd"/>
      <w:r w:rsidRPr="00423F03">
        <w:rPr>
          <w:rFonts w:ascii="Verdana" w:hAnsi="Verdana"/>
          <w:sz w:val="16"/>
          <w:szCs w:val="16"/>
        </w:rPr>
        <w:t xml:space="preserve"> of criminal activity in detention</w:t>
      </w:r>
      <w:r w:rsidR="006F57F2" w:rsidRPr="00423F03">
        <w:rPr>
          <w:rFonts w:ascii="Verdana" w:hAnsi="Verdana"/>
          <w:sz w:val="16"/>
          <w:szCs w:val="16"/>
        </w:rPr>
        <w:t>,</w:t>
      </w:r>
      <w:r w:rsidR="00423F03">
        <w:rPr>
          <w:rFonts w:ascii="Verdana" w:hAnsi="Verdana"/>
          <w:sz w:val="16"/>
          <w:szCs w:val="16"/>
        </w:rPr>
        <w:t xml:space="preserve"> </w:t>
      </w:r>
      <w:r w:rsidR="00423F03" w:rsidRPr="00423F03">
        <w:rPr>
          <w:rFonts w:ascii="Verdana" w:hAnsi="Verdana"/>
          <w:sz w:val="16"/>
          <w:szCs w:val="16"/>
        </w:rPr>
        <w:t>bijlage bij de Geannoteerde Agenda JBZ-Raad 4-5 maart 2024, Kamerstuk 32317-872</w:t>
      </w:r>
      <w:r w:rsidR="00423F03">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C5904"/>
    <w:multiLevelType w:val="hybridMultilevel"/>
    <w:tmpl w:val="82068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9D5F78"/>
    <w:multiLevelType w:val="hybridMultilevel"/>
    <w:tmpl w:val="C5E0D688"/>
    <w:lvl w:ilvl="0" w:tplc="0413000F">
      <w:start w:val="1"/>
      <w:numFmt w:val="decimal"/>
      <w:lvlText w:val="%1."/>
      <w:lvlJc w:val="left"/>
      <w:pPr>
        <w:ind w:left="720" w:hanging="360"/>
      </w:pPr>
      <w:rPr>
        <w:rFonts w:hint="default"/>
      </w:rPr>
    </w:lvl>
    <w:lvl w:ilvl="1" w:tplc="04130019">
      <w:start w:val="1"/>
      <w:numFmt w:val="lowerLetter"/>
      <w:lvlText w:val="%2."/>
      <w:lvlJc w:val="left"/>
      <w:pPr>
        <w:ind w:left="1353"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341A83"/>
    <w:multiLevelType w:val="hybridMultilevel"/>
    <w:tmpl w:val="A8ECDF3E"/>
    <w:lvl w:ilvl="0" w:tplc="F618B500">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D75D9B"/>
    <w:multiLevelType w:val="hybridMultilevel"/>
    <w:tmpl w:val="8B829480"/>
    <w:lvl w:ilvl="0" w:tplc="722EB45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882431">
    <w:abstractNumId w:val="3"/>
  </w:num>
  <w:num w:numId="2" w16cid:durableId="2065709768">
    <w:abstractNumId w:val="0"/>
  </w:num>
  <w:num w:numId="3" w16cid:durableId="1262568694">
    <w:abstractNumId w:val="1"/>
  </w:num>
  <w:num w:numId="4" w16cid:durableId="318386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04"/>
    <w:rsid w:val="00005DE6"/>
    <w:rsid w:val="0004433E"/>
    <w:rsid w:val="000807AB"/>
    <w:rsid w:val="000B2F7C"/>
    <w:rsid w:val="000B3E13"/>
    <w:rsid w:val="000E26D5"/>
    <w:rsid w:val="000E7C6E"/>
    <w:rsid w:val="00134EAE"/>
    <w:rsid w:val="001A420E"/>
    <w:rsid w:val="001F674E"/>
    <w:rsid w:val="001F7F3F"/>
    <w:rsid w:val="00217AE3"/>
    <w:rsid w:val="0022439B"/>
    <w:rsid w:val="00256C72"/>
    <w:rsid w:val="00265744"/>
    <w:rsid w:val="0027202E"/>
    <w:rsid w:val="002826B2"/>
    <w:rsid w:val="00283E95"/>
    <w:rsid w:val="00297911"/>
    <w:rsid w:val="002D79B5"/>
    <w:rsid w:val="003940D7"/>
    <w:rsid w:val="003A6AEA"/>
    <w:rsid w:val="003C4221"/>
    <w:rsid w:val="003E4D1C"/>
    <w:rsid w:val="00423F03"/>
    <w:rsid w:val="00430649"/>
    <w:rsid w:val="00466C13"/>
    <w:rsid w:val="004D521B"/>
    <w:rsid w:val="00507A6D"/>
    <w:rsid w:val="00532B87"/>
    <w:rsid w:val="00583F18"/>
    <w:rsid w:val="005E0B5D"/>
    <w:rsid w:val="006725EC"/>
    <w:rsid w:val="00690F66"/>
    <w:rsid w:val="006A3217"/>
    <w:rsid w:val="006B6F7E"/>
    <w:rsid w:val="006C670E"/>
    <w:rsid w:val="006F57F2"/>
    <w:rsid w:val="00702BAD"/>
    <w:rsid w:val="007057DD"/>
    <w:rsid w:val="007221E9"/>
    <w:rsid w:val="00772C91"/>
    <w:rsid w:val="007864E4"/>
    <w:rsid w:val="007C15FD"/>
    <w:rsid w:val="007C1C6E"/>
    <w:rsid w:val="00810C6E"/>
    <w:rsid w:val="00826262"/>
    <w:rsid w:val="00874DF9"/>
    <w:rsid w:val="008C4F8A"/>
    <w:rsid w:val="008E0D34"/>
    <w:rsid w:val="009141B2"/>
    <w:rsid w:val="009203F8"/>
    <w:rsid w:val="0093523E"/>
    <w:rsid w:val="00946567"/>
    <w:rsid w:val="00965DA9"/>
    <w:rsid w:val="009736EA"/>
    <w:rsid w:val="00997E04"/>
    <w:rsid w:val="009E2D40"/>
    <w:rsid w:val="009F1ADC"/>
    <w:rsid w:val="00A233BA"/>
    <w:rsid w:val="00A848A0"/>
    <w:rsid w:val="00B05580"/>
    <w:rsid w:val="00B14F28"/>
    <w:rsid w:val="00B264DA"/>
    <w:rsid w:val="00BA332E"/>
    <w:rsid w:val="00BE6C9A"/>
    <w:rsid w:val="00C16D86"/>
    <w:rsid w:val="00C54F98"/>
    <w:rsid w:val="00C73FBA"/>
    <w:rsid w:val="00CC326B"/>
    <w:rsid w:val="00CC7F27"/>
    <w:rsid w:val="00D176F2"/>
    <w:rsid w:val="00D62478"/>
    <w:rsid w:val="00D83013"/>
    <w:rsid w:val="00DD0A48"/>
    <w:rsid w:val="00E259FA"/>
    <w:rsid w:val="00E3666A"/>
    <w:rsid w:val="00EB0E48"/>
    <w:rsid w:val="00EB3DC0"/>
    <w:rsid w:val="00F21DA5"/>
    <w:rsid w:val="00FB6DDF"/>
    <w:rsid w:val="00FC56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7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7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7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7E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7E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7E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7E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7E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7E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7E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E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7E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7E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7E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7E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7E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7E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7E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7E04"/>
    <w:rPr>
      <w:rFonts w:eastAsiaTheme="majorEastAsia" w:cstheme="majorBidi"/>
      <w:color w:val="272727" w:themeColor="text1" w:themeTint="D8"/>
    </w:rPr>
  </w:style>
  <w:style w:type="paragraph" w:styleId="Titel">
    <w:name w:val="Title"/>
    <w:basedOn w:val="Standaard"/>
    <w:next w:val="Standaard"/>
    <w:link w:val="TitelChar"/>
    <w:uiPriority w:val="10"/>
    <w:qFormat/>
    <w:rsid w:val="00997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7E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7E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7E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7E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7E04"/>
    <w:rPr>
      <w:i/>
      <w:iCs/>
      <w:color w:val="404040" w:themeColor="text1" w:themeTint="BF"/>
    </w:rPr>
  </w:style>
  <w:style w:type="paragraph" w:styleId="Lijstalinea">
    <w:name w:val="List Paragraph"/>
    <w:basedOn w:val="Standaard"/>
    <w:uiPriority w:val="34"/>
    <w:qFormat/>
    <w:rsid w:val="00997E04"/>
    <w:pPr>
      <w:ind w:left="720"/>
      <w:contextualSpacing/>
    </w:pPr>
  </w:style>
  <w:style w:type="character" w:styleId="Intensievebenadrukking">
    <w:name w:val="Intense Emphasis"/>
    <w:basedOn w:val="Standaardalinea-lettertype"/>
    <w:uiPriority w:val="21"/>
    <w:qFormat/>
    <w:rsid w:val="00997E04"/>
    <w:rPr>
      <w:i/>
      <w:iCs/>
      <w:color w:val="0F4761" w:themeColor="accent1" w:themeShade="BF"/>
    </w:rPr>
  </w:style>
  <w:style w:type="paragraph" w:styleId="Duidelijkcitaat">
    <w:name w:val="Intense Quote"/>
    <w:basedOn w:val="Standaard"/>
    <w:next w:val="Standaard"/>
    <w:link w:val="DuidelijkcitaatChar"/>
    <w:uiPriority w:val="30"/>
    <w:qFormat/>
    <w:rsid w:val="00997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7E04"/>
    <w:rPr>
      <w:i/>
      <w:iCs/>
      <w:color w:val="0F4761" w:themeColor="accent1" w:themeShade="BF"/>
    </w:rPr>
  </w:style>
  <w:style w:type="character" w:styleId="Intensieveverwijzing">
    <w:name w:val="Intense Reference"/>
    <w:basedOn w:val="Standaardalinea-lettertype"/>
    <w:uiPriority w:val="32"/>
    <w:qFormat/>
    <w:rsid w:val="00997E0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507A6D"/>
    <w:rPr>
      <w:sz w:val="16"/>
      <w:szCs w:val="16"/>
    </w:rPr>
  </w:style>
  <w:style w:type="paragraph" w:styleId="Tekstopmerking">
    <w:name w:val="annotation text"/>
    <w:basedOn w:val="Standaard"/>
    <w:link w:val="TekstopmerkingChar"/>
    <w:uiPriority w:val="99"/>
    <w:unhideWhenUsed/>
    <w:rsid w:val="00507A6D"/>
    <w:pPr>
      <w:spacing w:line="240" w:lineRule="auto"/>
    </w:pPr>
    <w:rPr>
      <w:sz w:val="20"/>
      <w:szCs w:val="20"/>
    </w:rPr>
  </w:style>
  <w:style w:type="character" w:customStyle="1" w:styleId="TekstopmerkingChar">
    <w:name w:val="Tekst opmerking Char"/>
    <w:basedOn w:val="Standaardalinea-lettertype"/>
    <w:link w:val="Tekstopmerking"/>
    <w:uiPriority w:val="99"/>
    <w:rsid w:val="00507A6D"/>
    <w:rPr>
      <w:sz w:val="20"/>
      <w:szCs w:val="20"/>
    </w:rPr>
  </w:style>
  <w:style w:type="paragraph" w:styleId="Onderwerpvanopmerking">
    <w:name w:val="annotation subject"/>
    <w:basedOn w:val="Tekstopmerking"/>
    <w:next w:val="Tekstopmerking"/>
    <w:link w:val="OnderwerpvanopmerkingChar"/>
    <w:uiPriority w:val="99"/>
    <w:semiHidden/>
    <w:unhideWhenUsed/>
    <w:rsid w:val="00507A6D"/>
    <w:rPr>
      <w:b/>
      <w:bCs/>
    </w:rPr>
  </w:style>
  <w:style w:type="character" w:customStyle="1" w:styleId="OnderwerpvanopmerkingChar">
    <w:name w:val="Onderwerp van opmerking Char"/>
    <w:basedOn w:val="TekstopmerkingChar"/>
    <w:link w:val="Onderwerpvanopmerking"/>
    <w:uiPriority w:val="99"/>
    <w:semiHidden/>
    <w:rsid w:val="00507A6D"/>
    <w:rPr>
      <w:b/>
      <w:bCs/>
      <w:sz w:val="20"/>
      <w:szCs w:val="20"/>
    </w:rPr>
  </w:style>
  <w:style w:type="paragraph" w:customStyle="1" w:styleId="Default">
    <w:name w:val="Default"/>
    <w:rsid w:val="009203F8"/>
    <w:pPr>
      <w:autoSpaceDE w:val="0"/>
      <w:autoSpaceDN w:val="0"/>
      <w:adjustRightInd w:val="0"/>
      <w:spacing w:after="0" w:line="240" w:lineRule="auto"/>
    </w:pPr>
    <w:rPr>
      <w:rFonts w:ascii="Verdana" w:hAnsi="Verdana" w:cs="Verdana"/>
      <w:color w:val="000000"/>
      <w:kern w:val="0"/>
    </w:rPr>
  </w:style>
  <w:style w:type="paragraph" w:styleId="Voetnoottekst">
    <w:name w:val="footnote text"/>
    <w:basedOn w:val="Standaard"/>
    <w:link w:val="VoetnoottekstChar"/>
    <w:uiPriority w:val="99"/>
    <w:semiHidden/>
    <w:unhideWhenUsed/>
    <w:rsid w:val="00466C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6C13"/>
    <w:rPr>
      <w:sz w:val="20"/>
      <w:szCs w:val="20"/>
    </w:rPr>
  </w:style>
  <w:style w:type="character" w:styleId="Voetnootmarkering">
    <w:name w:val="footnote reference"/>
    <w:basedOn w:val="Standaardalinea-lettertype"/>
    <w:uiPriority w:val="99"/>
    <w:semiHidden/>
    <w:unhideWhenUsed/>
    <w:rsid w:val="00466C13"/>
    <w:rPr>
      <w:vertAlign w:val="superscript"/>
    </w:rPr>
  </w:style>
  <w:style w:type="paragraph" w:styleId="Normaalweb">
    <w:name w:val="Normal (Web)"/>
    <w:basedOn w:val="Standaard"/>
    <w:uiPriority w:val="99"/>
    <w:semiHidden/>
    <w:unhideWhenUsed/>
    <w:rsid w:val="00466C13"/>
    <w:rPr>
      <w:rFonts w:ascii="Times New Roman" w:hAnsi="Times New Roman" w:cs="Times New Roman"/>
    </w:rPr>
  </w:style>
  <w:style w:type="paragraph" w:styleId="Revisie">
    <w:name w:val="Revision"/>
    <w:hidden/>
    <w:uiPriority w:val="99"/>
    <w:semiHidden/>
    <w:rsid w:val="00EB0E48"/>
    <w:pPr>
      <w:spacing w:after="0" w:line="240" w:lineRule="auto"/>
    </w:pPr>
  </w:style>
  <w:style w:type="paragraph" w:styleId="Koptekst">
    <w:name w:val="header"/>
    <w:basedOn w:val="Standaard"/>
    <w:link w:val="KoptekstChar"/>
    <w:uiPriority w:val="99"/>
    <w:unhideWhenUsed/>
    <w:rsid w:val="00C54F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4F98"/>
  </w:style>
  <w:style w:type="paragraph" w:styleId="Voettekst">
    <w:name w:val="footer"/>
    <w:basedOn w:val="Standaard"/>
    <w:link w:val="VoettekstChar"/>
    <w:uiPriority w:val="99"/>
    <w:unhideWhenUsed/>
    <w:rsid w:val="00C54F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848">
      <w:bodyDiv w:val="1"/>
      <w:marLeft w:val="0"/>
      <w:marRight w:val="0"/>
      <w:marTop w:val="0"/>
      <w:marBottom w:val="0"/>
      <w:divBdr>
        <w:top w:val="none" w:sz="0" w:space="0" w:color="auto"/>
        <w:left w:val="none" w:sz="0" w:space="0" w:color="auto"/>
        <w:bottom w:val="none" w:sz="0" w:space="0" w:color="auto"/>
        <w:right w:val="none" w:sz="0" w:space="0" w:color="auto"/>
      </w:divBdr>
    </w:div>
    <w:div w:id="68231023">
      <w:bodyDiv w:val="1"/>
      <w:marLeft w:val="0"/>
      <w:marRight w:val="0"/>
      <w:marTop w:val="0"/>
      <w:marBottom w:val="0"/>
      <w:divBdr>
        <w:top w:val="none" w:sz="0" w:space="0" w:color="auto"/>
        <w:left w:val="none" w:sz="0" w:space="0" w:color="auto"/>
        <w:bottom w:val="none" w:sz="0" w:space="0" w:color="auto"/>
        <w:right w:val="none" w:sz="0" w:space="0" w:color="auto"/>
      </w:divBdr>
    </w:div>
    <w:div w:id="229386683">
      <w:bodyDiv w:val="1"/>
      <w:marLeft w:val="0"/>
      <w:marRight w:val="0"/>
      <w:marTop w:val="0"/>
      <w:marBottom w:val="0"/>
      <w:divBdr>
        <w:top w:val="none" w:sz="0" w:space="0" w:color="auto"/>
        <w:left w:val="none" w:sz="0" w:space="0" w:color="auto"/>
        <w:bottom w:val="none" w:sz="0" w:space="0" w:color="auto"/>
        <w:right w:val="none" w:sz="0" w:space="0" w:color="auto"/>
      </w:divBdr>
    </w:div>
    <w:div w:id="325132088">
      <w:bodyDiv w:val="1"/>
      <w:marLeft w:val="0"/>
      <w:marRight w:val="0"/>
      <w:marTop w:val="0"/>
      <w:marBottom w:val="0"/>
      <w:divBdr>
        <w:top w:val="none" w:sz="0" w:space="0" w:color="auto"/>
        <w:left w:val="none" w:sz="0" w:space="0" w:color="auto"/>
        <w:bottom w:val="none" w:sz="0" w:space="0" w:color="auto"/>
        <w:right w:val="none" w:sz="0" w:space="0" w:color="auto"/>
      </w:divBdr>
    </w:div>
    <w:div w:id="1020936139">
      <w:bodyDiv w:val="1"/>
      <w:marLeft w:val="0"/>
      <w:marRight w:val="0"/>
      <w:marTop w:val="0"/>
      <w:marBottom w:val="0"/>
      <w:divBdr>
        <w:top w:val="none" w:sz="0" w:space="0" w:color="auto"/>
        <w:left w:val="none" w:sz="0" w:space="0" w:color="auto"/>
        <w:bottom w:val="none" w:sz="0" w:space="0" w:color="auto"/>
        <w:right w:val="none" w:sz="0" w:space="0" w:color="auto"/>
      </w:divBdr>
    </w:div>
    <w:div w:id="1137337623">
      <w:bodyDiv w:val="1"/>
      <w:marLeft w:val="0"/>
      <w:marRight w:val="0"/>
      <w:marTop w:val="0"/>
      <w:marBottom w:val="0"/>
      <w:divBdr>
        <w:top w:val="none" w:sz="0" w:space="0" w:color="auto"/>
        <w:left w:val="none" w:sz="0" w:space="0" w:color="auto"/>
        <w:bottom w:val="none" w:sz="0" w:space="0" w:color="auto"/>
        <w:right w:val="none" w:sz="0" w:space="0" w:color="auto"/>
      </w:divBdr>
    </w:div>
    <w:div w:id="1300964360">
      <w:bodyDiv w:val="1"/>
      <w:marLeft w:val="0"/>
      <w:marRight w:val="0"/>
      <w:marTop w:val="0"/>
      <w:marBottom w:val="0"/>
      <w:divBdr>
        <w:top w:val="none" w:sz="0" w:space="0" w:color="auto"/>
        <w:left w:val="none" w:sz="0" w:space="0" w:color="auto"/>
        <w:bottom w:val="none" w:sz="0" w:space="0" w:color="auto"/>
        <w:right w:val="none" w:sz="0" w:space="0" w:color="auto"/>
      </w:divBdr>
    </w:div>
    <w:div w:id="1311523188">
      <w:bodyDiv w:val="1"/>
      <w:marLeft w:val="0"/>
      <w:marRight w:val="0"/>
      <w:marTop w:val="0"/>
      <w:marBottom w:val="0"/>
      <w:divBdr>
        <w:top w:val="none" w:sz="0" w:space="0" w:color="auto"/>
        <w:left w:val="none" w:sz="0" w:space="0" w:color="auto"/>
        <w:bottom w:val="none" w:sz="0" w:space="0" w:color="auto"/>
        <w:right w:val="none" w:sz="0" w:space="0" w:color="auto"/>
      </w:divBdr>
    </w:div>
    <w:div w:id="1487354345">
      <w:bodyDiv w:val="1"/>
      <w:marLeft w:val="0"/>
      <w:marRight w:val="0"/>
      <w:marTop w:val="0"/>
      <w:marBottom w:val="0"/>
      <w:divBdr>
        <w:top w:val="none" w:sz="0" w:space="0" w:color="auto"/>
        <w:left w:val="none" w:sz="0" w:space="0" w:color="auto"/>
        <w:bottom w:val="none" w:sz="0" w:space="0" w:color="auto"/>
        <w:right w:val="none" w:sz="0" w:space="0" w:color="auto"/>
      </w:divBdr>
    </w:div>
    <w:div w:id="1633821924">
      <w:bodyDiv w:val="1"/>
      <w:marLeft w:val="0"/>
      <w:marRight w:val="0"/>
      <w:marTop w:val="0"/>
      <w:marBottom w:val="0"/>
      <w:divBdr>
        <w:top w:val="none" w:sz="0" w:space="0" w:color="auto"/>
        <w:left w:val="none" w:sz="0" w:space="0" w:color="auto"/>
        <w:bottom w:val="none" w:sz="0" w:space="0" w:color="auto"/>
        <w:right w:val="none" w:sz="0" w:space="0" w:color="auto"/>
      </w:divBdr>
    </w:div>
    <w:div w:id="1711570660">
      <w:bodyDiv w:val="1"/>
      <w:marLeft w:val="0"/>
      <w:marRight w:val="0"/>
      <w:marTop w:val="0"/>
      <w:marBottom w:val="0"/>
      <w:divBdr>
        <w:top w:val="none" w:sz="0" w:space="0" w:color="auto"/>
        <w:left w:val="none" w:sz="0" w:space="0" w:color="auto"/>
        <w:bottom w:val="none" w:sz="0" w:space="0" w:color="auto"/>
        <w:right w:val="none" w:sz="0" w:space="0" w:color="auto"/>
      </w:divBdr>
    </w:div>
    <w:div w:id="1888487683">
      <w:bodyDiv w:val="1"/>
      <w:marLeft w:val="0"/>
      <w:marRight w:val="0"/>
      <w:marTop w:val="0"/>
      <w:marBottom w:val="0"/>
      <w:divBdr>
        <w:top w:val="none" w:sz="0" w:space="0" w:color="auto"/>
        <w:left w:val="none" w:sz="0" w:space="0" w:color="auto"/>
        <w:bottom w:val="none" w:sz="0" w:space="0" w:color="auto"/>
        <w:right w:val="none" w:sz="0" w:space="0" w:color="auto"/>
      </w:divBdr>
    </w:div>
    <w:div w:id="194596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3773</ap:Words>
  <ap:Characters>20753</ap:Characters>
  <ap:DocSecurity>0</ap:DocSecurity>
  <ap:Lines>172</ap:Lines>
  <ap:Paragraphs>48</ap:Paragraphs>
  <ap:ScaleCrop>false</ap:ScaleCrop>
  <ap:LinksUpToDate>false</ap:LinksUpToDate>
  <ap:CharactersWithSpaces>24478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2026-02-26T15:03:00.0000000Z</dcterms:created>
  <dcterms:modified xsi:type="dcterms:W3CDTF">2026-02-26T15:03:00.0000000Z</dcterms:modified>
  <version/>
  <category/>
</coreProperties>
</file>