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34AC" w:rsidR="003734AC" w:rsidP="002B39E5" w:rsidRDefault="003734AC" w14:paraId="2F8DCB61" w14:textId="77777777">
      <w:pPr>
        <w:rPr>
          <w:rFonts w:eastAsia="DengXian"/>
          <w:lang w:eastAsia="zh-CN"/>
        </w:rPr>
      </w:pPr>
      <w:r w:rsidRPr="003734AC">
        <w:rPr>
          <w:rFonts w:eastAsia="DengXian"/>
          <w:lang w:eastAsia="zh-CN"/>
        </w:rPr>
        <w:t>Geachte Voorzitter,</w:t>
      </w:r>
    </w:p>
    <w:p w:rsidRPr="003734AC" w:rsidR="003734AC" w:rsidP="002B39E5" w:rsidRDefault="003734AC" w14:paraId="6DC01CC1" w14:textId="77777777">
      <w:pPr>
        <w:rPr>
          <w:rFonts w:eastAsia="DengXian"/>
          <w:lang w:eastAsia="zh-CN"/>
        </w:rPr>
      </w:pPr>
    </w:p>
    <w:p w:rsidR="003734AC" w:rsidP="002B39E5" w:rsidRDefault="003734AC" w14:paraId="7E1C141E" w14:textId="77777777">
      <w:pPr>
        <w:rPr>
          <w:rFonts w:eastAsia="DengXian"/>
          <w:lang w:eastAsia="zh-CN"/>
        </w:rPr>
      </w:pPr>
      <w:r w:rsidRPr="003734AC">
        <w:rPr>
          <w:rFonts w:eastAsia="DengXian"/>
          <w:lang w:eastAsia="zh-CN"/>
        </w:rPr>
        <w:t xml:space="preserve">Middels deze brief deel ik, mede namens de staatssecretaris Buitenlandse Handel en Ontwikkelingshulp, met uw Kamer de jaarresultaten van de Netherlands </w:t>
      </w:r>
      <w:proofErr w:type="spellStart"/>
      <w:r w:rsidRPr="003734AC">
        <w:rPr>
          <w:rFonts w:eastAsia="DengXian"/>
          <w:lang w:eastAsia="zh-CN"/>
        </w:rPr>
        <w:t>Foreign</w:t>
      </w:r>
      <w:proofErr w:type="spellEnd"/>
      <w:r w:rsidRPr="003734AC">
        <w:rPr>
          <w:rFonts w:eastAsia="DengXian"/>
          <w:lang w:eastAsia="zh-CN"/>
        </w:rPr>
        <w:t xml:space="preserve"> Investment Agency (hierna: NFIA) en het </w:t>
      </w:r>
      <w:proofErr w:type="spellStart"/>
      <w:r w:rsidRPr="003734AC">
        <w:rPr>
          <w:rFonts w:eastAsia="DengXian"/>
          <w:lang w:eastAsia="zh-CN"/>
        </w:rPr>
        <w:t>Invest</w:t>
      </w:r>
      <w:proofErr w:type="spellEnd"/>
      <w:r w:rsidRPr="003734AC">
        <w:rPr>
          <w:rFonts w:eastAsia="DengXian"/>
          <w:lang w:eastAsia="zh-CN"/>
        </w:rPr>
        <w:t xml:space="preserve"> in Holland netwerk</w:t>
      </w:r>
      <w:r w:rsidRPr="003734AC">
        <w:rPr>
          <w:rFonts w:eastAsia="DengXian"/>
          <w:vertAlign w:val="superscript"/>
          <w:lang w:eastAsia="zh-CN"/>
        </w:rPr>
        <w:footnoteReference w:id="1"/>
      </w:r>
      <w:r w:rsidRPr="003734AC">
        <w:rPr>
          <w:rFonts w:eastAsia="DengXian"/>
          <w:lang w:eastAsia="zh-CN"/>
        </w:rPr>
        <w:t xml:space="preserve"> in 2025. Uw Kamer wordt hier jaarlijks over geïnformeerd.</w:t>
      </w:r>
    </w:p>
    <w:p w:rsidRPr="003734AC" w:rsidR="002B39E5" w:rsidP="002B39E5" w:rsidRDefault="002B39E5" w14:paraId="3656040E" w14:textId="77777777">
      <w:pPr>
        <w:rPr>
          <w:rFonts w:eastAsia="DengXian"/>
          <w:lang w:eastAsia="zh-CN"/>
        </w:rPr>
      </w:pPr>
    </w:p>
    <w:p w:rsidRPr="003734AC" w:rsidR="003734AC" w:rsidP="002B39E5" w:rsidRDefault="003734AC" w14:paraId="163CB46B" w14:textId="77777777">
      <w:pPr>
        <w:rPr>
          <w:rFonts w:eastAsia="DengXian"/>
          <w:lang w:eastAsia="zh-CN"/>
        </w:rPr>
      </w:pPr>
      <w:r w:rsidRPr="003734AC">
        <w:rPr>
          <w:rFonts w:eastAsia="DengXian"/>
          <w:lang w:eastAsia="zh-CN"/>
        </w:rPr>
        <w:t xml:space="preserve">Sinds 2023 ligt in het acquisitiebeleid de focus specifiek op het aantrekken en ondersteunen van investeringen van buitenlandse bedrijven, die onze ecosystemen versterken en bijdragen aan de innovatieve kracht, verduurzaming en digitalisering van onze economie. De voortgang van deze gerichte acquisitie is vorig jaar bevestigd in de </w:t>
      </w:r>
      <w:proofErr w:type="spellStart"/>
      <w:r w:rsidRPr="003734AC">
        <w:rPr>
          <w:rFonts w:eastAsia="DengXian"/>
          <w:lang w:eastAsia="zh-CN"/>
        </w:rPr>
        <w:t>Invest</w:t>
      </w:r>
      <w:proofErr w:type="spellEnd"/>
      <w:r w:rsidRPr="003734AC">
        <w:rPr>
          <w:rFonts w:eastAsia="DengXian"/>
          <w:lang w:eastAsia="zh-CN"/>
        </w:rPr>
        <w:t xml:space="preserve"> in Holland 2025-2030 strategie. Tevens is in de recente evaluatie van de NFIA over de periode 2019-2023, waarover u per brief d.d. 27 november 2025 bent geïnformeerd, bevestigd dat de gekozen strategie de legitimiteit van de inzet van de NFIA versterkt. </w:t>
      </w:r>
    </w:p>
    <w:p w:rsidR="002B39E5" w:rsidP="002B39E5" w:rsidRDefault="002B39E5" w14:paraId="7FB60E23" w14:textId="77777777">
      <w:pPr>
        <w:rPr>
          <w:rFonts w:eastAsia="DengXian"/>
          <w:b/>
          <w:bCs/>
          <w:lang w:eastAsia="zh-CN"/>
        </w:rPr>
      </w:pPr>
    </w:p>
    <w:p w:rsidRPr="003734AC" w:rsidR="003734AC" w:rsidP="002B39E5" w:rsidRDefault="003734AC" w14:paraId="31E2278B" w14:textId="190569BC">
      <w:pPr>
        <w:rPr>
          <w:rFonts w:eastAsia="DengXian"/>
          <w:lang w:eastAsia="zh-CN"/>
        </w:rPr>
      </w:pPr>
      <w:r w:rsidRPr="003734AC">
        <w:rPr>
          <w:rFonts w:eastAsia="DengXian"/>
          <w:b/>
          <w:bCs/>
          <w:lang w:eastAsia="zh-CN"/>
        </w:rPr>
        <w:t xml:space="preserve">Jaarresultaten </w:t>
      </w:r>
      <w:proofErr w:type="spellStart"/>
      <w:r w:rsidRPr="003734AC">
        <w:rPr>
          <w:rFonts w:eastAsia="DengXian"/>
          <w:b/>
          <w:bCs/>
          <w:lang w:eastAsia="zh-CN"/>
        </w:rPr>
        <w:t>Invest</w:t>
      </w:r>
      <w:proofErr w:type="spellEnd"/>
      <w:r w:rsidRPr="003734AC">
        <w:rPr>
          <w:rFonts w:eastAsia="DengXian"/>
          <w:b/>
          <w:bCs/>
          <w:lang w:eastAsia="zh-CN"/>
        </w:rPr>
        <w:t xml:space="preserve"> in Holland 2025 </w:t>
      </w:r>
    </w:p>
    <w:p w:rsidRPr="003734AC" w:rsidR="003734AC" w:rsidP="002B39E5" w:rsidRDefault="003734AC" w14:paraId="4C13BB97" w14:textId="06919EC6">
      <w:pPr>
        <w:rPr>
          <w:rFonts w:eastAsia="DengXian"/>
          <w:lang w:eastAsia="zh-CN"/>
        </w:rPr>
      </w:pPr>
      <w:r w:rsidRPr="003734AC">
        <w:rPr>
          <w:rFonts w:eastAsia="DengXian"/>
          <w:lang w:eastAsia="zh-CN"/>
        </w:rPr>
        <w:t>In het afgelopen jaar hebben NFIA en de partners 180 investeringsprojecten van buitenlandse bedrijven gefaciliteerd. In 2024 waren dit 193 projecten en bestond al 97 procent van de investeringsprojecten uit zogenoemde ‘</w:t>
      </w:r>
      <w:proofErr w:type="spellStart"/>
      <w:r w:rsidRPr="003734AC">
        <w:rPr>
          <w:rFonts w:eastAsia="DengXian"/>
          <w:lang w:eastAsia="zh-CN"/>
        </w:rPr>
        <w:t>value</w:t>
      </w:r>
      <w:proofErr w:type="spellEnd"/>
      <w:r w:rsidRPr="003734AC">
        <w:rPr>
          <w:rFonts w:eastAsia="DengXian"/>
          <w:lang w:eastAsia="zh-CN"/>
        </w:rPr>
        <w:t>’ projecten. Conform de ambitie van de nieuwe acquisitiestrategie bestaat het resultaat in 2025 voor het eerst volledig uit ‘</w:t>
      </w:r>
      <w:proofErr w:type="spellStart"/>
      <w:r w:rsidRPr="003734AC">
        <w:rPr>
          <w:rFonts w:eastAsia="DengXian"/>
          <w:lang w:eastAsia="zh-CN"/>
        </w:rPr>
        <w:t>value</w:t>
      </w:r>
      <w:proofErr w:type="spellEnd"/>
      <w:r w:rsidRPr="003734AC">
        <w:rPr>
          <w:rFonts w:eastAsia="DengXian"/>
          <w:lang w:eastAsia="zh-CN"/>
        </w:rPr>
        <w:t xml:space="preserve"> projecten’. In de samenstelling van de ondersteunde investeringsprojecten is in 2025 ook een verschuiving zichtbaar in de hoofdactiviteit van de projecten. Al enkele jaren neemt het aandeel projecten dat R&amp;D als primaire activiteit heeft toe en in 2025 is dit voor het eerst, met 53</w:t>
      </w:r>
      <w:r w:rsidR="00B779A1">
        <w:rPr>
          <w:rFonts w:eastAsia="DengXian"/>
          <w:lang w:eastAsia="zh-CN"/>
        </w:rPr>
        <w:t> </w:t>
      </w:r>
      <w:r w:rsidRPr="003734AC">
        <w:rPr>
          <w:rFonts w:eastAsia="DengXian"/>
          <w:lang w:eastAsia="zh-CN"/>
        </w:rPr>
        <w:t xml:space="preserve">van de 180 projecten, het grootst. Dit is een indicatie dat de inzet op het binnenhalen van projecten met innovatieve activiteiten vruchten afwerpt. </w:t>
      </w:r>
    </w:p>
    <w:p w:rsidRPr="003734AC" w:rsidR="003734AC" w:rsidP="002B39E5" w:rsidRDefault="00B779A1" w14:paraId="2C105D42" w14:textId="50BAAA54">
      <w:pPr>
        <w:rPr>
          <w:rFonts w:eastAsia="DengXian"/>
          <w:lang w:eastAsia="zh-CN"/>
        </w:rPr>
      </w:pPr>
      <w:r w:rsidRPr="003734AC">
        <w:rPr>
          <w:rFonts w:eastAsia="DengXian"/>
          <w:b/>
          <w:bCs/>
          <w:noProof/>
          <w:lang w:eastAsia="zh-CN"/>
        </w:rPr>
        <w:lastRenderedPageBreak/>
        <mc:AlternateContent>
          <mc:Choice Requires="wps">
            <w:drawing>
              <wp:anchor distT="45720" distB="45720" distL="114300" distR="114300" simplePos="0" relativeHeight="251658240" behindDoc="0" locked="0" layoutInCell="1" allowOverlap="1" wp14:editId="74BDD250" wp14:anchorId="1816E3D4">
                <wp:simplePos x="0" y="0"/>
                <wp:positionH relativeFrom="margin">
                  <wp:posOffset>-53340</wp:posOffset>
                </wp:positionH>
                <wp:positionV relativeFrom="paragraph">
                  <wp:posOffset>1211580</wp:posOffset>
                </wp:positionV>
                <wp:extent cx="5619750" cy="4633595"/>
                <wp:effectExtent l="0" t="0" r="19050" b="1460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633595"/>
                        </a:xfrm>
                        <a:prstGeom prst="rect">
                          <a:avLst/>
                        </a:prstGeom>
                        <a:solidFill>
                          <a:srgbClr val="FFFFFF"/>
                        </a:solidFill>
                        <a:ln w="9525">
                          <a:solidFill>
                            <a:srgbClr val="000000"/>
                          </a:solidFill>
                          <a:miter lim="800000"/>
                          <a:headEnd/>
                          <a:tailEnd/>
                        </a:ln>
                      </wps:spPr>
                      <wps:txbx>
                        <w:txbxContent>
                          <w:p w:rsidR="003734AC" w:rsidP="003734AC" w:rsidRDefault="003734AC" w14:paraId="6FBDE782" w14:textId="551FBE39">
                            <w:pPr>
                              <w:rPr>
                                <w:rFonts w:eastAsia="DengXian"/>
                                <w:kern w:val="2"/>
                                <w:szCs w:val="18"/>
                                <w:lang w:eastAsia="zh-CN"/>
                                <w14:ligatures w14:val="standardContextual"/>
                              </w:rPr>
                            </w:pPr>
                            <w:r w:rsidRPr="00E42A0A">
                              <w:rPr>
                                <w:b/>
                                <w:bCs/>
                                <w:szCs w:val="18"/>
                              </w:rPr>
                              <w:t xml:space="preserve">Astra </w:t>
                            </w:r>
                            <w:proofErr w:type="spellStart"/>
                            <w:r w:rsidRPr="00E42A0A">
                              <w:rPr>
                                <w:b/>
                                <w:bCs/>
                                <w:szCs w:val="18"/>
                              </w:rPr>
                              <w:t>Zeneca</w:t>
                            </w:r>
                            <w:proofErr w:type="spellEnd"/>
                            <w:r>
                              <w:rPr>
                                <w:b/>
                                <w:bCs/>
                                <w:szCs w:val="18"/>
                              </w:rPr>
                              <w:br/>
                            </w:r>
                            <w:r w:rsidRPr="00C43F6A" w:rsidR="00C43F6A">
                              <w:rPr>
                                <w:rFonts w:eastAsia="DengXian"/>
                                <w:kern w:val="2"/>
                                <w:szCs w:val="18"/>
                                <w:lang w:eastAsia="zh-CN"/>
                                <w14:ligatures w14:val="standardContextual"/>
                              </w:rPr>
                              <w:t>Het Brits-Zweedse farmaceutische bedrijf AstraZeneca investeerde in 2025 €70 miljoen in de uitbreiding van zijn productielocatie in Nijmegen. De vestiging speelt een belangrijke rol in de productie, inspectie en distributie van biologische geneesmiddelen, met name voor gebruik bij vroeg klinisch onderzoek, bijvoorbeeld tegen kanker. Met de aanleg van een tweede productielijn vergroot AstraZeneca zijn capaciteit voor duurzame medicijnproductie en groeit het aantal hoogwaardige arbeidsplaatsen. De uitbreiding versterkt</w:t>
                            </w:r>
                            <w:r w:rsidR="00B779A1">
                              <w:rPr>
                                <w:rFonts w:eastAsia="DengXian"/>
                                <w:kern w:val="2"/>
                                <w:szCs w:val="18"/>
                                <w:lang w:eastAsia="zh-CN"/>
                                <w14:ligatures w14:val="standardContextual"/>
                              </w:rPr>
                              <w:t xml:space="preserve"> </w:t>
                            </w:r>
                            <w:r w:rsidRPr="00C43F6A" w:rsidR="00C43F6A">
                              <w:rPr>
                                <w:rFonts w:eastAsia="DengXian"/>
                                <w:kern w:val="2"/>
                                <w:szCs w:val="18"/>
                                <w:lang w:eastAsia="zh-CN"/>
                                <w14:ligatures w14:val="standardContextual"/>
                              </w:rPr>
                              <w:t>het</w:t>
                            </w:r>
                            <w:r w:rsidR="00B779A1">
                              <w:rPr>
                                <w:rFonts w:eastAsia="DengXian"/>
                                <w:kern w:val="2"/>
                                <w:szCs w:val="18"/>
                                <w:lang w:eastAsia="zh-CN"/>
                                <w14:ligatures w14:val="standardContextual"/>
                              </w:rPr>
                              <w:t xml:space="preserve"> </w:t>
                            </w:r>
                            <w:r w:rsidRPr="00C43F6A" w:rsidR="00C43F6A">
                              <w:rPr>
                                <w:rFonts w:eastAsia="DengXian"/>
                                <w:kern w:val="2"/>
                                <w:szCs w:val="18"/>
                                <w:lang w:eastAsia="zh-CN"/>
                                <w14:ligatures w14:val="standardContextual"/>
                              </w:rPr>
                              <w:t>regionale</w:t>
                            </w:r>
                            <w:r w:rsidR="00B779A1">
                              <w:rPr>
                                <w:rFonts w:eastAsia="DengXian"/>
                                <w:kern w:val="2"/>
                                <w:szCs w:val="18"/>
                                <w:lang w:eastAsia="zh-CN"/>
                                <w14:ligatures w14:val="standardContextual"/>
                              </w:rPr>
                              <w:t xml:space="preserve"> </w:t>
                            </w:r>
                            <w:proofErr w:type="spellStart"/>
                            <w:r w:rsidRPr="00C43F6A" w:rsidR="00C43F6A">
                              <w:rPr>
                                <w:rFonts w:eastAsia="DengXian"/>
                                <w:kern w:val="2"/>
                                <w:szCs w:val="18"/>
                                <w:lang w:eastAsia="zh-CN"/>
                                <w14:ligatures w14:val="standardContextual"/>
                              </w:rPr>
                              <w:t>Pharma</w:t>
                            </w:r>
                            <w:proofErr w:type="spellEnd"/>
                            <w:r w:rsidRPr="00C43F6A" w:rsidR="00C43F6A">
                              <w:rPr>
                                <w:rFonts w:eastAsia="DengXian"/>
                                <w:kern w:val="2"/>
                                <w:szCs w:val="18"/>
                                <w:lang w:eastAsia="zh-CN"/>
                                <w14:ligatures w14:val="standardContextual"/>
                              </w:rPr>
                              <w:t> Delta-cluster en draagt bij aan innovatie in duurzame gezondheidszorg. </w:t>
                            </w:r>
                          </w:p>
                          <w:p w:rsidRPr="00C43F6A" w:rsidR="002D4F63" w:rsidP="003734AC" w:rsidRDefault="002D4F63" w14:paraId="701F26ED" w14:textId="77777777">
                            <w:pPr>
                              <w:rPr>
                                <w:rFonts w:eastAsia="DengXian"/>
                                <w:kern w:val="2"/>
                                <w:szCs w:val="18"/>
                                <w:lang w:eastAsia="zh-CN"/>
                                <w14:ligatures w14:val="standardContextual"/>
                              </w:rPr>
                            </w:pPr>
                          </w:p>
                          <w:p w:rsidR="002D4F63" w:rsidP="002D4F63" w:rsidRDefault="002D4F63" w14:paraId="1F83D37A" w14:textId="55F86BFD">
                            <w:pPr>
                              <w:rPr>
                                <w:szCs w:val="18"/>
                              </w:rPr>
                            </w:pPr>
                            <w:proofErr w:type="spellStart"/>
                            <w:r w:rsidRPr="00E42A0A">
                              <w:rPr>
                                <w:b/>
                                <w:bCs/>
                                <w:szCs w:val="18"/>
                              </w:rPr>
                              <w:t>CoeusAI</w:t>
                            </w:r>
                            <w:proofErr w:type="spellEnd"/>
                            <w:r w:rsidRPr="00E42A0A">
                              <w:rPr>
                                <w:b/>
                                <w:bCs/>
                                <w:szCs w:val="18"/>
                              </w:rPr>
                              <w:br/>
                            </w:r>
                            <w:r w:rsidRPr="00642C3C">
                              <w:rPr>
                                <w:szCs w:val="18"/>
                              </w:rPr>
                              <w:t>Het Canadese </w:t>
                            </w:r>
                            <w:proofErr w:type="spellStart"/>
                            <w:r>
                              <w:rPr>
                                <w:szCs w:val="18"/>
                              </w:rPr>
                              <w:t>climate</w:t>
                            </w:r>
                            <w:proofErr w:type="spellEnd"/>
                            <w:r>
                              <w:rPr>
                                <w:szCs w:val="18"/>
                              </w:rPr>
                              <w:t xml:space="preserve"> </w:t>
                            </w:r>
                            <w:proofErr w:type="spellStart"/>
                            <w:r>
                              <w:rPr>
                                <w:szCs w:val="18"/>
                              </w:rPr>
                              <w:t>tech</w:t>
                            </w:r>
                            <w:proofErr w:type="spellEnd"/>
                            <w:r>
                              <w:rPr>
                                <w:szCs w:val="18"/>
                              </w:rPr>
                              <w:t xml:space="preserve"> bedrijf </w:t>
                            </w:r>
                            <w:proofErr w:type="spellStart"/>
                            <w:r w:rsidRPr="00642C3C">
                              <w:rPr>
                                <w:szCs w:val="18"/>
                              </w:rPr>
                              <w:t>CoeusAI</w:t>
                            </w:r>
                            <w:proofErr w:type="spellEnd"/>
                            <w:r w:rsidRPr="00642C3C">
                              <w:rPr>
                                <w:szCs w:val="18"/>
                              </w:rPr>
                              <w:t> open</w:t>
                            </w:r>
                            <w:r>
                              <w:rPr>
                                <w:szCs w:val="18"/>
                              </w:rPr>
                              <w:t>de</w:t>
                            </w:r>
                            <w:r w:rsidRPr="00642C3C">
                              <w:rPr>
                                <w:szCs w:val="18"/>
                              </w:rPr>
                              <w:t xml:space="preserve"> in 2025 zijn </w:t>
                            </w:r>
                            <w:r w:rsidRPr="00A55F0B">
                              <w:rPr>
                                <w:szCs w:val="18"/>
                              </w:rPr>
                              <w:t>wereldwijde hoofdkantoor in Rotterdam</w:t>
                            </w:r>
                            <w:r w:rsidRPr="00642C3C">
                              <w:rPr>
                                <w:szCs w:val="18"/>
                              </w:rPr>
                              <w:t>. </w:t>
                            </w:r>
                            <w:proofErr w:type="spellStart"/>
                            <w:r w:rsidRPr="00642C3C">
                              <w:rPr>
                                <w:szCs w:val="18"/>
                              </w:rPr>
                              <w:t>CoeusAI</w:t>
                            </w:r>
                            <w:proofErr w:type="spellEnd"/>
                            <w:r w:rsidRPr="00642C3C">
                              <w:rPr>
                                <w:szCs w:val="18"/>
                              </w:rPr>
                              <w:t> ontwikkelt een AI-gestuurd platform dat overheden, planners en ontwikkelaars helpt bij de selectie en optimalisatie van locaties voor hernieuwbare</w:t>
                            </w:r>
                            <w:r>
                              <w:rPr>
                                <w:szCs w:val="18"/>
                              </w:rPr>
                              <w:t xml:space="preserve"> </w:t>
                            </w:r>
                            <w:r w:rsidRPr="00642C3C">
                              <w:rPr>
                                <w:szCs w:val="18"/>
                              </w:rPr>
                              <w:t>energieprojecten zoals wind- en zonne-energie en waterstof. Door grote hoeveelheden ruimtelijke en technische data te combineren, helpt het platform om sneller en beter onderbouwde investeringsbeslissingen te nemen. Vanuit Nederland werkt het bedrijf samen met</w:t>
                            </w:r>
                            <w:r w:rsidR="00B779A1">
                              <w:rPr>
                                <w:szCs w:val="18"/>
                              </w:rPr>
                              <w:t xml:space="preserve"> </w:t>
                            </w:r>
                            <w:r w:rsidRPr="00642C3C">
                              <w:rPr>
                                <w:szCs w:val="18"/>
                              </w:rPr>
                              <w:t>energie- en innovatiepartners en draagt het bij aan een efficiëntere en data</w:t>
                            </w:r>
                            <w:r>
                              <w:rPr>
                                <w:szCs w:val="18"/>
                              </w:rPr>
                              <w:t xml:space="preserve"> </w:t>
                            </w:r>
                            <w:r w:rsidRPr="00642C3C">
                              <w:rPr>
                                <w:szCs w:val="18"/>
                              </w:rPr>
                              <w:t>gedreven</w:t>
                            </w:r>
                            <w:r w:rsidR="00B779A1">
                              <w:rPr>
                                <w:szCs w:val="18"/>
                              </w:rPr>
                              <w:t xml:space="preserve"> </w:t>
                            </w:r>
                            <w:r w:rsidRPr="00642C3C">
                              <w:rPr>
                                <w:szCs w:val="18"/>
                              </w:rPr>
                              <w:t>uitvoering van de energietransitie</w:t>
                            </w:r>
                            <w:r>
                              <w:rPr>
                                <w:szCs w:val="18"/>
                              </w:rPr>
                              <w:t xml:space="preserve">. </w:t>
                            </w:r>
                          </w:p>
                          <w:p w:rsidR="002D4F63" w:rsidP="002D4F63" w:rsidRDefault="002D4F63" w14:paraId="0867DCA5" w14:textId="77777777">
                            <w:pPr>
                              <w:rPr>
                                <w:szCs w:val="18"/>
                              </w:rPr>
                            </w:pPr>
                          </w:p>
                          <w:p w:rsidRPr="007F0787" w:rsidR="002D4F63" w:rsidP="002D4F63" w:rsidRDefault="002D4F63" w14:paraId="042B7213" w14:textId="77777777">
                            <w:pPr>
                              <w:rPr>
                                <w:szCs w:val="18"/>
                              </w:rPr>
                            </w:pPr>
                            <w:r w:rsidRPr="007F0787">
                              <w:rPr>
                                <w:b/>
                                <w:bCs/>
                                <w:szCs w:val="18"/>
                              </w:rPr>
                              <w:t xml:space="preserve">Dai Nippon Printing </w:t>
                            </w:r>
                            <w:r>
                              <w:rPr>
                                <w:b/>
                                <w:bCs/>
                                <w:szCs w:val="18"/>
                              </w:rPr>
                              <w:br/>
                            </w:r>
                            <w:r w:rsidRPr="007F0787">
                              <w:rPr>
                                <w:szCs w:val="18"/>
                              </w:rPr>
                              <w:t xml:space="preserve">Met de opening van de eerste buitenlandse R&amp;D-hub buiten Japan op de High Tech Campus Eindhoven verankert Dai Nippon Printing hoogwaardige onderzoeksactiviteiten in Nederland. </w:t>
                            </w:r>
                            <w:r>
                              <w:rPr>
                                <w:szCs w:val="18"/>
                              </w:rPr>
                              <w:t>Vanuit d</w:t>
                            </w:r>
                            <w:r w:rsidRPr="007F0787">
                              <w:rPr>
                                <w:szCs w:val="18"/>
                              </w:rPr>
                              <w:t xml:space="preserve">e nieuwe hub richt </w:t>
                            </w:r>
                            <w:r>
                              <w:rPr>
                                <w:szCs w:val="18"/>
                              </w:rPr>
                              <w:t xml:space="preserve">het bedrijf </w:t>
                            </w:r>
                            <w:r w:rsidRPr="007F0787">
                              <w:rPr>
                                <w:szCs w:val="18"/>
                              </w:rPr>
                              <w:t xml:space="preserve">zich samen met partners zoals TNO en het </w:t>
                            </w:r>
                            <w:proofErr w:type="spellStart"/>
                            <w:r w:rsidRPr="007F0787">
                              <w:rPr>
                                <w:szCs w:val="18"/>
                              </w:rPr>
                              <w:t>Photonic</w:t>
                            </w:r>
                            <w:proofErr w:type="spellEnd"/>
                            <w:r w:rsidRPr="007F0787">
                              <w:rPr>
                                <w:szCs w:val="18"/>
                              </w:rPr>
                              <w:t xml:space="preserve"> Integration Technology Centre op geavanceerde materialen en nieuwe technologieën voor de halfgeleiderindustrie.</w:t>
                            </w:r>
                            <w:r>
                              <w:rPr>
                                <w:szCs w:val="18"/>
                              </w:rPr>
                              <w:t xml:space="preserve"> </w:t>
                            </w:r>
                            <w:r w:rsidRPr="007F0787">
                              <w:rPr>
                                <w:szCs w:val="18"/>
                              </w:rPr>
                              <w:t xml:space="preserve">De keuze voor Nederland als eerste internationale R&amp;D-locatie onderstreept het vertrouwen in het Nederlandse hightech-ecosysteem en heeft een belangrijke voorbeeldfunctie voor andere Japanse bedrijven. De vestiging versterkt de positie van Nederland als aantrekkelijke locatie voor hoogwaardige R&amp;D en technologische samenwerking.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16E3D4">
                <v:stroke joinstyle="miter"/>
                <v:path gradientshapeok="t" o:connecttype="rect"/>
              </v:shapetype>
              <v:shape id="Tekstvak 2" style="position:absolute;margin-left:-4.2pt;margin-top:95.4pt;width:442.5pt;height:364.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">
                <v:textbox>
                  <w:txbxContent>
                    <w:p w:rsidR="003734AC" w:rsidP="003734AC" w:rsidRDefault="003734AC" w14:paraId="6FBDE782" w14:textId="551FBE39">
                      <w:pPr>
                        <w:rPr>
                          <w:rFonts w:eastAsia="DengXian"/>
                          <w:kern w:val="2"/>
                          <w:szCs w:val="18"/>
                          <w:lang w:eastAsia="zh-CN"/>
                          <w14:ligatures w14:val="standardContextual"/>
                        </w:rPr>
                      </w:pPr>
                      <w:r w:rsidRPr="00E42A0A">
                        <w:rPr>
                          <w:b/>
                          <w:bCs/>
                          <w:szCs w:val="18"/>
                        </w:rPr>
                        <w:t xml:space="preserve">Astra </w:t>
                      </w:r>
                      <w:proofErr w:type="spellStart"/>
                      <w:r w:rsidRPr="00E42A0A">
                        <w:rPr>
                          <w:b/>
                          <w:bCs/>
                          <w:szCs w:val="18"/>
                        </w:rPr>
                        <w:t>Zeneca</w:t>
                      </w:r>
                      <w:proofErr w:type="spellEnd"/>
                      <w:r>
                        <w:rPr>
                          <w:b/>
                          <w:bCs/>
                          <w:szCs w:val="18"/>
                        </w:rPr>
                        <w:br/>
                      </w:r>
                      <w:r w:rsidRPr="00C43F6A" w:rsidR="00C43F6A">
                        <w:rPr>
                          <w:rFonts w:eastAsia="DengXian"/>
                          <w:kern w:val="2"/>
                          <w:szCs w:val="18"/>
                          <w:lang w:eastAsia="zh-CN"/>
                          <w14:ligatures w14:val="standardContextual"/>
                        </w:rPr>
                        <w:t>Het Brits-Zweedse farmaceutische bedrijf AstraZeneca investeerde in 2025 €70 miljoen in de uitbreiding van zijn productielocatie in Nijmegen. De vestiging speelt een belangrijke rol in de productie, inspectie en distributie van biologische geneesmiddelen, met name voor gebruik bij vroeg klinisch onderzoek, bijvoorbeeld tegen kanker. Met de aanleg van een tweede productielijn vergroot AstraZeneca zijn capaciteit voor duurzame medicijnproductie en groeit het aantal hoogwaardige arbeidsplaatsen. De uitbreiding versterkt</w:t>
                      </w:r>
                      <w:r w:rsidR="00B779A1">
                        <w:rPr>
                          <w:rFonts w:eastAsia="DengXian"/>
                          <w:kern w:val="2"/>
                          <w:szCs w:val="18"/>
                          <w:lang w:eastAsia="zh-CN"/>
                          <w14:ligatures w14:val="standardContextual"/>
                        </w:rPr>
                        <w:t xml:space="preserve"> </w:t>
                      </w:r>
                      <w:r w:rsidRPr="00C43F6A" w:rsidR="00C43F6A">
                        <w:rPr>
                          <w:rFonts w:eastAsia="DengXian"/>
                          <w:kern w:val="2"/>
                          <w:szCs w:val="18"/>
                          <w:lang w:eastAsia="zh-CN"/>
                          <w14:ligatures w14:val="standardContextual"/>
                        </w:rPr>
                        <w:t>het</w:t>
                      </w:r>
                      <w:r w:rsidR="00B779A1">
                        <w:rPr>
                          <w:rFonts w:eastAsia="DengXian"/>
                          <w:kern w:val="2"/>
                          <w:szCs w:val="18"/>
                          <w:lang w:eastAsia="zh-CN"/>
                          <w14:ligatures w14:val="standardContextual"/>
                        </w:rPr>
                        <w:t xml:space="preserve"> </w:t>
                      </w:r>
                      <w:r w:rsidRPr="00C43F6A" w:rsidR="00C43F6A">
                        <w:rPr>
                          <w:rFonts w:eastAsia="DengXian"/>
                          <w:kern w:val="2"/>
                          <w:szCs w:val="18"/>
                          <w:lang w:eastAsia="zh-CN"/>
                          <w14:ligatures w14:val="standardContextual"/>
                        </w:rPr>
                        <w:t>regionale</w:t>
                      </w:r>
                      <w:r w:rsidR="00B779A1">
                        <w:rPr>
                          <w:rFonts w:eastAsia="DengXian"/>
                          <w:kern w:val="2"/>
                          <w:szCs w:val="18"/>
                          <w:lang w:eastAsia="zh-CN"/>
                          <w14:ligatures w14:val="standardContextual"/>
                        </w:rPr>
                        <w:t xml:space="preserve"> </w:t>
                      </w:r>
                      <w:proofErr w:type="spellStart"/>
                      <w:r w:rsidRPr="00C43F6A" w:rsidR="00C43F6A">
                        <w:rPr>
                          <w:rFonts w:eastAsia="DengXian"/>
                          <w:kern w:val="2"/>
                          <w:szCs w:val="18"/>
                          <w:lang w:eastAsia="zh-CN"/>
                          <w14:ligatures w14:val="standardContextual"/>
                        </w:rPr>
                        <w:t>Pharma</w:t>
                      </w:r>
                      <w:proofErr w:type="spellEnd"/>
                      <w:r w:rsidRPr="00C43F6A" w:rsidR="00C43F6A">
                        <w:rPr>
                          <w:rFonts w:eastAsia="DengXian"/>
                          <w:kern w:val="2"/>
                          <w:szCs w:val="18"/>
                          <w:lang w:eastAsia="zh-CN"/>
                          <w14:ligatures w14:val="standardContextual"/>
                        </w:rPr>
                        <w:t> Delta-cluster en draagt bij aan innovatie in duurzame gezondheidszorg. </w:t>
                      </w:r>
                    </w:p>
                    <w:p w:rsidRPr="00C43F6A" w:rsidR="002D4F63" w:rsidP="003734AC" w:rsidRDefault="002D4F63" w14:paraId="701F26ED" w14:textId="77777777">
                      <w:pPr>
                        <w:rPr>
                          <w:rFonts w:eastAsia="DengXian"/>
                          <w:kern w:val="2"/>
                          <w:szCs w:val="18"/>
                          <w:lang w:eastAsia="zh-CN"/>
                          <w14:ligatures w14:val="standardContextual"/>
                        </w:rPr>
                      </w:pPr>
                    </w:p>
                    <w:p w:rsidR="002D4F63" w:rsidP="002D4F63" w:rsidRDefault="002D4F63" w14:paraId="1F83D37A" w14:textId="55F86BFD">
                      <w:pPr>
                        <w:rPr>
                          <w:szCs w:val="18"/>
                        </w:rPr>
                      </w:pPr>
                      <w:proofErr w:type="spellStart"/>
                      <w:r w:rsidRPr="00E42A0A">
                        <w:rPr>
                          <w:b/>
                          <w:bCs/>
                          <w:szCs w:val="18"/>
                        </w:rPr>
                        <w:t>CoeusAI</w:t>
                      </w:r>
                      <w:proofErr w:type="spellEnd"/>
                      <w:r w:rsidRPr="00E42A0A">
                        <w:rPr>
                          <w:b/>
                          <w:bCs/>
                          <w:szCs w:val="18"/>
                        </w:rPr>
                        <w:br/>
                      </w:r>
                      <w:r w:rsidRPr="00642C3C">
                        <w:rPr>
                          <w:szCs w:val="18"/>
                        </w:rPr>
                        <w:t>Het Canadese </w:t>
                      </w:r>
                      <w:proofErr w:type="spellStart"/>
                      <w:r>
                        <w:rPr>
                          <w:szCs w:val="18"/>
                        </w:rPr>
                        <w:t>climate</w:t>
                      </w:r>
                      <w:proofErr w:type="spellEnd"/>
                      <w:r>
                        <w:rPr>
                          <w:szCs w:val="18"/>
                        </w:rPr>
                        <w:t xml:space="preserve"> </w:t>
                      </w:r>
                      <w:proofErr w:type="spellStart"/>
                      <w:r>
                        <w:rPr>
                          <w:szCs w:val="18"/>
                        </w:rPr>
                        <w:t>tech</w:t>
                      </w:r>
                      <w:proofErr w:type="spellEnd"/>
                      <w:r>
                        <w:rPr>
                          <w:szCs w:val="18"/>
                        </w:rPr>
                        <w:t xml:space="preserve"> bedrijf </w:t>
                      </w:r>
                      <w:proofErr w:type="spellStart"/>
                      <w:r w:rsidRPr="00642C3C">
                        <w:rPr>
                          <w:szCs w:val="18"/>
                        </w:rPr>
                        <w:t>CoeusAI</w:t>
                      </w:r>
                      <w:proofErr w:type="spellEnd"/>
                      <w:r w:rsidRPr="00642C3C">
                        <w:rPr>
                          <w:szCs w:val="18"/>
                        </w:rPr>
                        <w:t> open</w:t>
                      </w:r>
                      <w:r>
                        <w:rPr>
                          <w:szCs w:val="18"/>
                        </w:rPr>
                        <w:t>de</w:t>
                      </w:r>
                      <w:r w:rsidRPr="00642C3C">
                        <w:rPr>
                          <w:szCs w:val="18"/>
                        </w:rPr>
                        <w:t xml:space="preserve"> in 2025 zijn </w:t>
                      </w:r>
                      <w:r w:rsidRPr="00A55F0B">
                        <w:rPr>
                          <w:szCs w:val="18"/>
                        </w:rPr>
                        <w:t>wereldwijde hoofdkantoor in Rotterdam</w:t>
                      </w:r>
                      <w:r w:rsidRPr="00642C3C">
                        <w:rPr>
                          <w:szCs w:val="18"/>
                        </w:rPr>
                        <w:t>. </w:t>
                      </w:r>
                      <w:proofErr w:type="spellStart"/>
                      <w:r w:rsidRPr="00642C3C">
                        <w:rPr>
                          <w:szCs w:val="18"/>
                        </w:rPr>
                        <w:t>CoeusAI</w:t>
                      </w:r>
                      <w:proofErr w:type="spellEnd"/>
                      <w:r w:rsidRPr="00642C3C">
                        <w:rPr>
                          <w:szCs w:val="18"/>
                        </w:rPr>
                        <w:t> ontwikkelt een AI-gestuurd platform dat overheden, planners en ontwikkelaars helpt bij de selectie en optimalisatie van locaties voor hernieuwbare</w:t>
                      </w:r>
                      <w:r>
                        <w:rPr>
                          <w:szCs w:val="18"/>
                        </w:rPr>
                        <w:t xml:space="preserve"> </w:t>
                      </w:r>
                      <w:r w:rsidRPr="00642C3C">
                        <w:rPr>
                          <w:szCs w:val="18"/>
                        </w:rPr>
                        <w:t>energieprojecten zoals wind- en zonne-energie en waterstof. Door grote hoeveelheden ruimtelijke en technische data te combineren, helpt het platform om sneller en beter onderbouwde investeringsbeslissingen te nemen. Vanuit Nederland werkt het bedrijf samen met</w:t>
                      </w:r>
                      <w:r w:rsidR="00B779A1">
                        <w:rPr>
                          <w:szCs w:val="18"/>
                        </w:rPr>
                        <w:t xml:space="preserve"> </w:t>
                      </w:r>
                      <w:r w:rsidRPr="00642C3C">
                        <w:rPr>
                          <w:szCs w:val="18"/>
                        </w:rPr>
                        <w:t>energie- en innovatiepartners en draagt het bij aan een efficiëntere en data</w:t>
                      </w:r>
                      <w:r>
                        <w:rPr>
                          <w:szCs w:val="18"/>
                        </w:rPr>
                        <w:t xml:space="preserve"> </w:t>
                      </w:r>
                      <w:r w:rsidRPr="00642C3C">
                        <w:rPr>
                          <w:szCs w:val="18"/>
                        </w:rPr>
                        <w:t>gedreven</w:t>
                      </w:r>
                      <w:r w:rsidR="00B779A1">
                        <w:rPr>
                          <w:szCs w:val="18"/>
                        </w:rPr>
                        <w:t xml:space="preserve"> </w:t>
                      </w:r>
                      <w:r w:rsidRPr="00642C3C">
                        <w:rPr>
                          <w:szCs w:val="18"/>
                        </w:rPr>
                        <w:t>uitvoering van de energietransitie</w:t>
                      </w:r>
                      <w:r>
                        <w:rPr>
                          <w:szCs w:val="18"/>
                        </w:rPr>
                        <w:t xml:space="preserve">. </w:t>
                      </w:r>
                    </w:p>
                    <w:p w:rsidR="002D4F63" w:rsidP="002D4F63" w:rsidRDefault="002D4F63" w14:paraId="0867DCA5" w14:textId="77777777">
                      <w:pPr>
                        <w:rPr>
                          <w:szCs w:val="18"/>
                        </w:rPr>
                      </w:pPr>
                    </w:p>
                    <w:p w:rsidRPr="007F0787" w:rsidR="002D4F63" w:rsidP="002D4F63" w:rsidRDefault="002D4F63" w14:paraId="042B7213" w14:textId="77777777">
                      <w:pPr>
                        <w:rPr>
                          <w:szCs w:val="18"/>
                        </w:rPr>
                      </w:pPr>
                      <w:r w:rsidRPr="007F0787">
                        <w:rPr>
                          <w:b/>
                          <w:bCs/>
                          <w:szCs w:val="18"/>
                        </w:rPr>
                        <w:t xml:space="preserve">Dai Nippon Printing </w:t>
                      </w:r>
                      <w:r>
                        <w:rPr>
                          <w:b/>
                          <w:bCs/>
                          <w:szCs w:val="18"/>
                        </w:rPr>
                        <w:br/>
                      </w:r>
                      <w:r w:rsidRPr="007F0787">
                        <w:rPr>
                          <w:szCs w:val="18"/>
                        </w:rPr>
                        <w:t xml:space="preserve">Met de opening van de eerste buitenlandse R&amp;D-hub buiten Japan op de High Tech Campus Eindhoven verankert Dai Nippon Printing hoogwaardige onderzoeksactiviteiten in Nederland. </w:t>
                      </w:r>
                      <w:r>
                        <w:rPr>
                          <w:szCs w:val="18"/>
                        </w:rPr>
                        <w:t>Vanuit d</w:t>
                      </w:r>
                      <w:r w:rsidRPr="007F0787">
                        <w:rPr>
                          <w:szCs w:val="18"/>
                        </w:rPr>
                        <w:t xml:space="preserve">e nieuwe hub richt </w:t>
                      </w:r>
                      <w:r>
                        <w:rPr>
                          <w:szCs w:val="18"/>
                        </w:rPr>
                        <w:t xml:space="preserve">het bedrijf </w:t>
                      </w:r>
                      <w:r w:rsidRPr="007F0787">
                        <w:rPr>
                          <w:szCs w:val="18"/>
                        </w:rPr>
                        <w:t xml:space="preserve">zich samen met partners zoals TNO en het </w:t>
                      </w:r>
                      <w:proofErr w:type="spellStart"/>
                      <w:r w:rsidRPr="007F0787">
                        <w:rPr>
                          <w:szCs w:val="18"/>
                        </w:rPr>
                        <w:t>Photonic</w:t>
                      </w:r>
                      <w:proofErr w:type="spellEnd"/>
                      <w:r w:rsidRPr="007F0787">
                        <w:rPr>
                          <w:szCs w:val="18"/>
                        </w:rPr>
                        <w:t xml:space="preserve"> Integration Technology Centre op geavanceerde materialen en nieuwe technologieën voor de halfgeleiderindustrie.</w:t>
                      </w:r>
                      <w:r>
                        <w:rPr>
                          <w:szCs w:val="18"/>
                        </w:rPr>
                        <w:t xml:space="preserve"> </w:t>
                      </w:r>
                      <w:r w:rsidRPr="007F0787">
                        <w:rPr>
                          <w:szCs w:val="18"/>
                        </w:rPr>
                        <w:t xml:space="preserve">De keuze voor Nederland als eerste internationale R&amp;D-locatie onderstreept het vertrouwen in het Nederlandse hightech-ecosysteem en heeft een belangrijke voorbeeldfunctie voor andere Japanse bedrijven. De vestiging versterkt de positie van Nederland als aantrekkelijke locatie voor hoogwaardige R&amp;D en technologische samenwerking. </w:t>
                      </w:r>
                    </w:p>
                  </w:txbxContent>
                </v:textbox>
                <w10:wrap type="topAndBottom" anchorx="margin"/>
              </v:shape>
            </w:pict>
          </mc:Fallback>
        </mc:AlternateContent>
      </w:r>
      <w:r w:rsidRPr="003734AC" w:rsidR="003734AC">
        <w:rPr>
          <w:rFonts w:eastAsia="DengXian"/>
          <w:lang w:eastAsia="zh-CN"/>
        </w:rPr>
        <w:t>Buitenlandse bedrijven die in Nederland investeren, versterken niet alleen onze economie en ecosystemen, maar dragen ook bij aan ons toekomstig verdienvermogen en onze economische en maatschappelijke weerbaarheid. Zo dragen bedrijven die afgelopen jaar voor Nederland kozen met hun (vervolg)investeringen bij aan innovatieve oplossingen in bijvoorbeeld de gezondheidszorg, landbouw en digitale oplossingen. Enkele voorbeelden van resultaten uit 2025 zijn:</w:t>
      </w:r>
    </w:p>
    <w:p w:rsidRPr="003734AC" w:rsidR="003734AC" w:rsidP="002B39E5" w:rsidRDefault="003734AC" w14:paraId="574C5A6B" w14:textId="1C4BA0D6">
      <w:pPr>
        <w:rPr>
          <w:rFonts w:eastAsia="DengXian"/>
          <w:lang w:eastAsia="zh-CN"/>
        </w:rPr>
      </w:pPr>
      <w:r w:rsidRPr="003734AC">
        <w:rPr>
          <w:rFonts w:eastAsia="DengXian"/>
          <w:lang w:eastAsia="zh-CN"/>
        </w:rPr>
        <w:t>Daarnaast zijn er in 2025 belangrijke aankondigingen gedaan van investeringen, die nog niet meetellen in de jaarcijfers van 2025, maar die naar verwachting een grote positieve impact zullen hebben. Bijvoorbeeld de investering van €</w:t>
      </w:r>
      <w:r w:rsidR="00B779A1">
        <w:rPr>
          <w:rFonts w:eastAsia="DengXian"/>
          <w:lang w:eastAsia="zh-CN"/>
        </w:rPr>
        <w:t> </w:t>
      </w:r>
      <w:r w:rsidRPr="003734AC">
        <w:rPr>
          <w:rFonts w:eastAsia="DengXian"/>
          <w:lang w:eastAsia="zh-CN"/>
        </w:rPr>
        <w:t>2,6</w:t>
      </w:r>
      <w:r w:rsidR="00B779A1">
        <w:rPr>
          <w:rFonts w:eastAsia="DengXian"/>
          <w:lang w:eastAsia="zh-CN"/>
        </w:rPr>
        <w:t> </w:t>
      </w:r>
      <w:r w:rsidRPr="003734AC">
        <w:rPr>
          <w:rFonts w:eastAsia="DengXian"/>
          <w:lang w:eastAsia="zh-CN"/>
        </w:rPr>
        <w:t xml:space="preserve">miljard van Eli Lilly in een high </w:t>
      </w:r>
      <w:proofErr w:type="spellStart"/>
      <w:r w:rsidRPr="003734AC">
        <w:rPr>
          <w:rFonts w:eastAsia="DengXian"/>
          <w:lang w:eastAsia="zh-CN"/>
        </w:rPr>
        <w:t>tech</w:t>
      </w:r>
      <w:proofErr w:type="spellEnd"/>
      <w:r w:rsidRPr="003734AC">
        <w:rPr>
          <w:rFonts w:eastAsia="DengXian"/>
          <w:lang w:eastAsia="zh-CN"/>
        </w:rPr>
        <w:t xml:space="preserve"> productiefaciliteit voor innovatieve geneesmiddelen in Katwijk, bij Leiden </w:t>
      </w:r>
      <w:proofErr w:type="spellStart"/>
      <w:r w:rsidRPr="003734AC">
        <w:rPr>
          <w:rFonts w:eastAsia="DengXian"/>
          <w:lang w:eastAsia="zh-CN"/>
        </w:rPr>
        <w:t>Bioscience</w:t>
      </w:r>
      <w:proofErr w:type="spellEnd"/>
      <w:r w:rsidRPr="003734AC">
        <w:rPr>
          <w:rFonts w:eastAsia="DengXian"/>
          <w:lang w:eastAsia="zh-CN"/>
        </w:rPr>
        <w:t xml:space="preserve"> Park. En de keuze van het Franse bedrijf </w:t>
      </w:r>
      <w:proofErr w:type="spellStart"/>
      <w:r w:rsidRPr="003734AC">
        <w:rPr>
          <w:rFonts w:eastAsia="DengXian"/>
          <w:lang w:eastAsia="zh-CN"/>
        </w:rPr>
        <w:t>Reju</w:t>
      </w:r>
      <w:proofErr w:type="spellEnd"/>
      <w:r w:rsidRPr="003734AC">
        <w:rPr>
          <w:rFonts w:eastAsia="DengXian"/>
          <w:lang w:eastAsia="zh-CN"/>
        </w:rPr>
        <w:t xml:space="preserve"> om op industriepark </w:t>
      </w:r>
      <w:proofErr w:type="spellStart"/>
      <w:r w:rsidRPr="003734AC">
        <w:rPr>
          <w:rFonts w:eastAsia="DengXian"/>
          <w:lang w:eastAsia="zh-CN"/>
        </w:rPr>
        <w:t>Chemelot</w:t>
      </w:r>
      <w:proofErr w:type="spellEnd"/>
      <w:r w:rsidRPr="003734AC">
        <w:rPr>
          <w:rFonts w:eastAsia="DengXian"/>
          <w:lang w:eastAsia="zh-CN"/>
        </w:rPr>
        <w:t xml:space="preserve"> een textiel recycling centrum op industriële schaal te ontwikkelen.</w:t>
      </w:r>
    </w:p>
    <w:p w:rsidR="00B779A1" w:rsidRDefault="00B779A1" w14:paraId="66AC6729" w14:textId="77777777">
      <w:pPr>
        <w:spacing w:line="240" w:lineRule="auto"/>
        <w:rPr>
          <w:rFonts w:eastAsia="DengXian"/>
          <w:b/>
          <w:bCs/>
          <w:lang w:eastAsia="zh-CN"/>
        </w:rPr>
      </w:pPr>
    </w:p>
    <w:p w:rsidR="00B779A1" w:rsidRDefault="00B779A1" w14:paraId="67C03BF4" w14:textId="77777777">
      <w:pPr>
        <w:spacing w:line="240" w:lineRule="auto"/>
        <w:rPr>
          <w:rFonts w:eastAsia="DengXian"/>
          <w:b/>
          <w:bCs/>
          <w:lang w:eastAsia="zh-CN"/>
        </w:rPr>
      </w:pPr>
      <w:r>
        <w:rPr>
          <w:rFonts w:eastAsia="DengXian"/>
          <w:b/>
          <w:bCs/>
          <w:lang w:eastAsia="zh-CN"/>
        </w:rPr>
        <w:br w:type="page"/>
      </w:r>
    </w:p>
    <w:p w:rsidRPr="003734AC" w:rsidR="003734AC" w:rsidP="002B39E5" w:rsidRDefault="003734AC" w14:paraId="27358FC4" w14:textId="12B2930E">
      <w:pPr>
        <w:rPr>
          <w:rFonts w:eastAsia="DengXian"/>
          <w:b/>
          <w:bCs/>
          <w:lang w:eastAsia="zh-CN"/>
        </w:rPr>
      </w:pPr>
      <w:r w:rsidRPr="003734AC">
        <w:rPr>
          <w:rFonts w:eastAsia="DengXian"/>
          <w:b/>
          <w:bCs/>
          <w:lang w:eastAsia="zh-CN"/>
        </w:rPr>
        <w:lastRenderedPageBreak/>
        <w:t>Context bij resultaten</w:t>
      </w:r>
    </w:p>
    <w:p w:rsidR="003734AC" w:rsidP="002B39E5" w:rsidRDefault="003734AC" w14:paraId="4CD92453" w14:textId="2E1F63A5">
      <w:pPr>
        <w:rPr>
          <w:rFonts w:eastAsia="DengXian"/>
          <w:lang w:eastAsia="zh-CN"/>
        </w:rPr>
      </w:pPr>
      <w:r w:rsidRPr="003734AC">
        <w:rPr>
          <w:rFonts w:eastAsia="DengXian"/>
          <w:lang w:eastAsia="zh-CN"/>
        </w:rPr>
        <w:t>De jaarresultaten moeten worden gezien in het licht van het ondernemingsklimaat. Het Nederlandse Ondernemingsklimaat stabiliseerde na een periode van daling, in 2025 naar een gemiddelde bedrijfswaardering van 6,1. Er liggen uitdagingen op het gebied van voorspelbaarheid beleid, schaarstes en regeldruk. Bedrijven die verplaatsing naar het buitenland overwegen, doen dit nadrukkelijker dan voorheen</w:t>
      </w:r>
      <w:r w:rsidRPr="003734AC">
        <w:rPr>
          <w:rFonts w:eastAsia="DengXian"/>
          <w:vertAlign w:val="superscript"/>
          <w:lang w:eastAsia="zh-CN"/>
        </w:rPr>
        <w:footnoteReference w:id="2"/>
      </w:r>
      <w:r w:rsidRPr="003734AC">
        <w:rPr>
          <w:rFonts w:eastAsia="DengXian"/>
          <w:lang w:eastAsia="zh-CN"/>
        </w:rPr>
        <w:t>.</w:t>
      </w:r>
    </w:p>
    <w:p w:rsidRPr="003734AC" w:rsidR="002B39E5" w:rsidP="002B39E5" w:rsidRDefault="002B39E5" w14:paraId="04F7324C" w14:textId="77777777">
      <w:pPr>
        <w:rPr>
          <w:rFonts w:eastAsia="DengXian"/>
          <w:lang w:eastAsia="zh-CN"/>
        </w:rPr>
      </w:pPr>
    </w:p>
    <w:p w:rsidR="003734AC" w:rsidP="002B39E5" w:rsidRDefault="003734AC" w14:paraId="415360FD" w14:textId="2FFCE0FD">
      <w:pPr>
        <w:rPr>
          <w:rFonts w:eastAsia="Calibri" w:cs="Calibri"/>
          <w:lang w:eastAsia="zh-CN"/>
        </w:rPr>
      </w:pPr>
      <w:r w:rsidRPr="003734AC">
        <w:rPr>
          <w:rFonts w:eastAsia="Calibri" w:cs="Calibri"/>
          <w:color w:val="000000"/>
          <w:lang w:eastAsia="zh-CN"/>
        </w:rPr>
        <w:t>De wereld van buitenlandse investeringen werd in 2025 ook sterk beïnvloed door geopolitieke ontwikkelingen. W</w:t>
      </w:r>
      <w:r w:rsidRPr="003734AC">
        <w:rPr>
          <w:rFonts w:eastAsia="DengXian"/>
          <w:lang w:eastAsia="zh-CN"/>
        </w:rPr>
        <w:t>ereldwijd zijn bedrijven nog altijd terughoudend als het gaat om investeringen in het buitenland</w:t>
      </w:r>
      <w:r w:rsidRPr="003734AC">
        <w:rPr>
          <w:rFonts w:eastAsia="DengXian"/>
          <w:vertAlign w:val="superscript"/>
          <w:lang w:eastAsia="zh-CN"/>
        </w:rPr>
        <w:footnoteReference w:id="3"/>
      </w:r>
      <w:r w:rsidRPr="003734AC">
        <w:rPr>
          <w:rFonts w:eastAsia="DengXian"/>
          <w:lang w:eastAsia="zh-CN"/>
        </w:rPr>
        <w:t>. Daarnaast spelen e</w:t>
      </w:r>
      <w:r w:rsidRPr="003734AC">
        <w:rPr>
          <w:rFonts w:eastAsia="DengXian" w:cs="Calibri"/>
          <w:lang w:eastAsia="zh-CN"/>
        </w:rPr>
        <w:t xml:space="preserve">conomische veiligheid en strategische autonomie vaker een rol bij de beslissing om een investering te ondersteunen, wat het </w:t>
      </w:r>
      <w:r w:rsidRPr="003734AC">
        <w:rPr>
          <w:rFonts w:eastAsia="Calibri" w:cs="Calibri"/>
          <w:lang w:eastAsia="zh-CN"/>
        </w:rPr>
        <w:t>acquisitiewerk complexer en tijdsintensiever maakt.</w:t>
      </w:r>
    </w:p>
    <w:p w:rsidRPr="003734AC" w:rsidR="002B39E5" w:rsidP="002B39E5" w:rsidRDefault="002B39E5" w14:paraId="1EA321E5" w14:textId="77777777">
      <w:pPr>
        <w:rPr>
          <w:rFonts w:eastAsia="Verdana" w:cs="Calibri"/>
          <w:lang w:eastAsia="zh-CN"/>
        </w:rPr>
      </w:pPr>
    </w:p>
    <w:p w:rsidRPr="003734AC" w:rsidR="003734AC" w:rsidP="002B39E5" w:rsidRDefault="003734AC" w14:paraId="36BCA5C6" w14:textId="77777777">
      <w:pPr>
        <w:rPr>
          <w:rFonts w:eastAsia="DengXian"/>
          <w:lang w:eastAsia="zh-CN"/>
        </w:rPr>
      </w:pPr>
      <w:r w:rsidRPr="003734AC">
        <w:rPr>
          <w:rFonts w:eastAsia="DengXian"/>
          <w:lang w:eastAsia="zh-CN"/>
        </w:rPr>
        <w:t xml:space="preserve">Ondanks uitdagende omstandigheden is het de NFIA en het </w:t>
      </w:r>
      <w:proofErr w:type="spellStart"/>
      <w:r w:rsidRPr="003734AC">
        <w:rPr>
          <w:rFonts w:eastAsia="DengXian"/>
          <w:lang w:eastAsia="zh-CN"/>
        </w:rPr>
        <w:t>Invest</w:t>
      </w:r>
      <w:proofErr w:type="spellEnd"/>
      <w:r w:rsidRPr="003734AC">
        <w:rPr>
          <w:rFonts w:eastAsia="DengXian"/>
          <w:lang w:eastAsia="zh-CN"/>
        </w:rPr>
        <w:t xml:space="preserve"> in Holland netwerk gelukt om R&amp;D intensieve en hoogproductieve bedrijven te laten kiezen voor Nederland. Bedrijven die onze ecosystemen versterken en verrijken en die Nederland toekomstbestendig maken. De reeds ingezette strategie wordt voortgezet en verder in lijn gebracht met het vernieuwde industriebeleid.</w:t>
      </w:r>
    </w:p>
    <w:p w:rsidR="002B39E5" w:rsidP="002B39E5" w:rsidRDefault="002B39E5" w14:paraId="06EDD0B8" w14:textId="77777777">
      <w:pPr>
        <w:rPr>
          <w:rFonts w:eastAsia="DengXian"/>
          <w:lang w:eastAsia="zh-CN"/>
        </w:rPr>
      </w:pPr>
    </w:p>
    <w:p w:rsidR="002B39E5" w:rsidP="002B39E5" w:rsidRDefault="002B39E5" w14:paraId="05B53314" w14:textId="77777777">
      <w:pPr>
        <w:rPr>
          <w:rFonts w:eastAsia="DengXian"/>
          <w:lang w:eastAsia="zh-CN"/>
        </w:rPr>
      </w:pPr>
    </w:p>
    <w:p w:rsidR="002B39E5" w:rsidP="002B39E5" w:rsidRDefault="002B39E5" w14:paraId="6915D566" w14:textId="77777777">
      <w:pPr>
        <w:rPr>
          <w:rFonts w:eastAsia="DengXian"/>
          <w:lang w:eastAsia="zh-CN"/>
        </w:rPr>
      </w:pPr>
    </w:p>
    <w:p w:rsidR="002B39E5" w:rsidP="002B39E5" w:rsidRDefault="002B39E5" w14:paraId="4A8096D6" w14:textId="77777777">
      <w:pPr>
        <w:rPr>
          <w:rFonts w:eastAsia="DengXian"/>
          <w:lang w:eastAsia="zh-CN"/>
        </w:rPr>
      </w:pPr>
    </w:p>
    <w:p w:rsidRPr="003734AC" w:rsidR="002B39E5" w:rsidP="002B39E5" w:rsidRDefault="002B39E5" w14:paraId="59BA4F84" w14:textId="77777777">
      <w:pPr>
        <w:rPr>
          <w:rFonts w:eastAsia="DengXian"/>
          <w:lang w:eastAsia="zh-CN"/>
        </w:rPr>
      </w:pPr>
    </w:p>
    <w:p w:rsidRPr="003734AC" w:rsidR="00D22441" w:rsidP="002B39E5" w:rsidRDefault="003734AC" w14:paraId="3FA7819C" w14:textId="1BCAA6E0">
      <w:pPr>
        <w:rPr>
          <w:rFonts w:eastAsia="DengXian"/>
          <w:lang w:eastAsia="zh-CN"/>
        </w:rPr>
      </w:pPr>
      <w:r w:rsidRPr="003734AC">
        <w:rPr>
          <w:rFonts w:eastAsia="DengXian"/>
          <w:lang w:eastAsia="zh-CN"/>
        </w:rPr>
        <w:t>Vincent Karremans</w:t>
      </w:r>
      <w:r w:rsidRPr="003734AC">
        <w:rPr>
          <w:rFonts w:eastAsia="DengXian"/>
          <w:lang w:eastAsia="zh-CN"/>
        </w:rPr>
        <w:br/>
        <w:t>Minister van Economische Zaken</w:t>
      </w:r>
    </w:p>
    <w:sectPr w:rsidRPr="003734AC" w:rsidR="00D2244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1120" w14:textId="77777777" w:rsidR="00B902C4" w:rsidRDefault="00B902C4">
      <w:r>
        <w:separator/>
      </w:r>
    </w:p>
    <w:p w14:paraId="6902E040" w14:textId="77777777" w:rsidR="00B902C4" w:rsidRDefault="00B902C4"/>
  </w:endnote>
  <w:endnote w:type="continuationSeparator" w:id="0">
    <w:p w14:paraId="7AD2C330" w14:textId="77777777" w:rsidR="00B902C4" w:rsidRDefault="00B902C4">
      <w:r>
        <w:continuationSeparator/>
      </w:r>
    </w:p>
    <w:p w14:paraId="0296F53D" w14:textId="77777777" w:rsidR="00B902C4" w:rsidRDefault="00B90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37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E49D3" w14:paraId="5F3DE521" w14:textId="77777777" w:rsidTr="00CA6A25">
      <w:trPr>
        <w:trHeight w:hRule="exact" w:val="240"/>
      </w:trPr>
      <w:tc>
        <w:tcPr>
          <w:tcW w:w="7601" w:type="dxa"/>
        </w:tcPr>
        <w:p w14:paraId="02F8FEF0" w14:textId="77777777" w:rsidR="00527BD4" w:rsidRDefault="00527BD4" w:rsidP="003F1F6B">
          <w:pPr>
            <w:pStyle w:val="Huisstijl-Rubricering"/>
          </w:pPr>
        </w:p>
      </w:tc>
      <w:tc>
        <w:tcPr>
          <w:tcW w:w="2156" w:type="dxa"/>
        </w:tcPr>
        <w:p w14:paraId="2558EB0C" w14:textId="1C4F086F" w:rsidR="00527BD4" w:rsidRPr="00645414" w:rsidRDefault="005B3E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3</w:t>
          </w:r>
          <w:r w:rsidR="004425CC">
            <w:fldChar w:fldCharType="end"/>
          </w:r>
        </w:p>
      </w:tc>
    </w:tr>
  </w:tbl>
  <w:p w14:paraId="648C15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E49D3" w14:paraId="66A096E7" w14:textId="77777777" w:rsidTr="00CA6A25">
      <w:trPr>
        <w:trHeight w:hRule="exact" w:val="240"/>
      </w:trPr>
      <w:tc>
        <w:tcPr>
          <w:tcW w:w="7601" w:type="dxa"/>
        </w:tcPr>
        <w:p w14:paraId="0A718EF9" w14:textId="77777777" w:rsidR="00527BD4" w:rsidRDefault="00527BD4" w:rsidP="008C356D">
          <w:pPr>
            <w:pStyle w:val="Huisstijl-Rubricering"/>
          </w:pPr>
        </w:p>
      </w:tc>
      <w:tc>
        <w:tcPr>
          <w:tcW w:w="2170" w:type="dxa"/>
        </w:tcPr>
        <w:p w14:paraId="4186ACD1" w14:textId="3EB447A1" w:rsidR="00527BD4" w:rsidRPr="00ED539E" w:rsidRDefault="005B3E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3</w:t>
          </w:r>
          <w:r w:rsidR="00396A8F">
            <w:fldChar w:fldCharType="end"/>
          </w:r>
        </w:p>
      </w:tc>
    </w:tr>
  </w:tbl>
  <w:p w14:paraId="39CA18F9" w14:textId="77777777" w:rsidR="00527BD4" w:rsidRPr="00BC3B53" w:rsidRDefault="00527BD4" w:rsidP="008C356D">
    <w:pPr>
      <w:pStyle w:val="Voettekst"/>
      <w:spacing w:line="240" w:lineRule="auto"/>
      <w:rPr>
        <w:sz w:val="2"/>
        <w:szCs w:val="2"/>
      </w:rPr>
    </w:pPr>
  </w:p>
  <w:p w14:paraId="192CE8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A27B" w14:textId="77777777" w:rsidR="00B902C4" w:rsidRDefault="00B902C4">
      <w:r>
        <w:separator/>
      </w:r>
    </w:p>
    <w:p w14:paraId="01BB321D" w14:textId="77777777" w:rsidR="00B902C4" w:rsidRDefault="00B902C4"/>
  </w:footnote>
  <w:footnote w:type="continuationSeparator" w:id="0">
    <w:p w14:paraId="56E217A4" w14:textId="77777777" w:rsidR="00B902C4" w:rsidRDefault="00B902C4">
      <w:r>
        <w:continuationSeparator/>
      </w:r>
    </w:p>
    <w:p w14:paraId="3AB1D5D2" w14:textId="77777777" w:rsidR="00B902C4" w:rsidRDefault="00B902C4"/>
  </w:footnote>
  <w:footnote w:id="1">
    <w:p w14:paraId="4AE2DA43" w14:textId="37D1D185" w:rsidR="003734AC" w:rsidRDefault="003734AC" w:rsidP="003734AC">
      <w:pPr>
        <w:pStyle w:val="Voetnoottekst"/>
      </w:pPr>
      <w:r>
        <w:rPr>
          <w:rStyle w:val="Voetnootmarkering"/>
        </w:rPr>
        <w:footnoteRef/>
      </w:r>
      <w:r>
        <w:t xml:space="preserve"> </w:t>
      </w:r>
      <w:proofErr w:type="spellStart"/>
      <w:r w:rsidRPr="004E4AA1">
        <w:t>Invest</w:t>
      </w:r>
      <w:proofErr w:type="spellEnd"/>
      <w:r w:rsidRPr="004E4AA1">
        <w:t xml:space="preserve"> in Holland is een landelijk dekkend publiek-privaat samenwerkingsverband van 14 organisaties met als gedeeld doel het aantrekken en behouden van buitenlandse investeringen voor Nederland. De partners in het netwerk zijn naast NFIA (nationaal), de Regionale Ontwikkelingsmaatschappijen (</w:t>
      </w:r>
      <w:proofErr w:type="spellStart"/>
      <w:r w:rsidRPr="004E4AA1">
        <w:t>ROMs</w:t>
      </w:r>
      <w:proofErr w:type="spellEnd"/>
      <w:r w:rsidRPr="004E4AA1">
        <w:t xml:space="preserve">), </w:t>
      </w:r>
      <w:r>
        <w:t xml:space="preserve">Amsterdam Trade &amp; </w:t>
      </w:r>
      <w:proofErr w:type="spellStart"/>
      <w:r>
        <w:t>Invest</w:t>
      </w:r>
      <w:proofErr w:type="spellEnd"/>
      <w:r w:rsidRPr="004E4AA1">
        <w:t>, Rotterdam Partners, The Hague &amp; Partners en Nederland Distributie Land (NDL). Het netwerk wordt op 26</w:t>
      </w:r>
      <w:r w:rsidR="00B779A1">
        <w:t> </w:t>
      </w:r>
      <w:r w:rsidRPr="004E4AA1">
        <w:t>locaties wereldwijd vertegenwoordigd door NFIA-buitenkantoren, gevestigd op Nederlandse ambassades of consulaten.</w:t>
      </w:r>
    </w:p>
  </w:footnote>
  <w:footnote w:id="2">
    <w:p w14:paraId="7BDC17C0" w14:textId="77777777" w:rsidR="003734AC" w:rsidRDefault="003734AC" w:rsidP="003734AC">
      <w:pPr>
        <w:pStyle w:val="Voetnoottekst"/>
      </w:pPr>
      <w:r>
        <w:rPr>
          <w:rStyle w:val="Voetnootmarkering"/>
        </w:rPr>
        <w:footnoteRef/>
      </w:r>
      <w:r>
        <w:t xml:space="preserve"> </w:t>
      </w:r>
      <w:hyperlink r:id="rId1" w:history="1">
        <w:r w:rsidRPr="007154D8">
          <w:rPr>
            <w:rStyle w:val="Hyperlink"/>
          </w:rPr>
          <w:t>Kamerbrief Monitor Ondernemingsklimaat 2025 | Kamerstuk | Rijksoverheid.nl</w:t>
        </w:r>
      </w:hyperlink>
    </w:p>
  </w:footnote>
  <w:footnote w:id="3">
    <w:p w14:paraId="458811AB" w14:textId="77777777" w:rsidR="003734AC" w:rsidRDefault="003734AC" w:rsidP="003734AC">
      <w:pPr>
        <w:pStyle w:val="Voetnoottekst"/>
      </w:pPr>
      <w:r>
        <w:rPr>
          <w:rStyle w:val="Voetnootmarkering"/>
        </w:rPr>
        <w:footnoteRef/>
      </w:r>
      <w:r>
        <w:t xml:space="preserve"> </w:t>
      </w:r>
      <w:hyperlink r:id="rId2" w:history="1">
        <w:r w:rsidRPr="00110F18">
          <w:rPr>
            <w:rStyle w:val="Hyperlink"/>
          </w:rPr>
          <w:t xml:space="preserve">FDI in </w:t>
        </w:r>
        <w:proofErr w:type="spellStart"/>
        <w:r w:rsidRPr="00110F18">
          <w:rPr>
            <w:rStyle w:val="Hyperlink"/>
          </w:rPr>
          <w:t>Figures</w:t>
        </w:r>
        <w:proofErr w:type="spellEnd"/>
        <w:r w:rsidRPr="00110F18">
          <w:rPr>
            <w:rStyle w:val="Hyperlink"/>
          </w:rPr>
          <w:t xml:space="preserve">, </w:t>
        </w:r>
        <w:proofErr w:type="spellStart"/>
        <w:r w:rsidRPr="00110F18">
          <w:rPr>
            <w:rStyle w:val="Hyperlink"/>
          </w:rPr>
          <w:t>October</w:t>
        </w:r>
        <w:proofErr w:type="spellEnd"/>
        <w:r w:rsidRPr="00110F18">
          <w:rPr>
            <w:rStyle w:val="Hyperlink"/>
          </w:rPr>
          <w:t xml:space="preserve"> 2025 (EN)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E49D3" w14:paraId="6C79BFAC" w14:textId="77777777" w:rsidTr="00A50CF6">
      <w:tc>
        <w:tcPr>
          <w:tcW w:w="2156" w:type="dxa"/>
        </w:tcPr>
        <w:p w14:paraId="408C9696" w14:textId="77777777" w:rsidR="00527BD4" w:rsidRPr="005819CE" w:rsidRDefault="005B3EED" w:rsidP="00A50CF6">
          <w:pPr>
            <w:pStyle w:val="Huisstijl-Adres"/>
            <w:rPr>
              <w:b/>
            </w:rPr>
          </w:pPr>
          <w:r>
            <w:rPr>
              <w:b/>
            </w:rPr>
            <w:t>Directoraat-generaal Bedrijfsleven &amp; Innovatie</w:t>
          </w:r>
          <w:r w:rsidRPr="005819CE">
            <w:rPr>
              <w:b/>
            </w:rPr>
            <w:br/>
          </w:r>
        </w:p>
      </w:tc>
    </w:tr>
    <w:tr w:rsidR="002E49D3" w14:paraId="45B173E9" w14:textId="77777777" w:rsidTr="00A50CF6">
      <w:trPr>
        <w:trHeight w:hRule="exact" w:val="200"/>
      </w:trPr>
      <w:tc>
        <w:tcPr>
          <w:tcW w:w="2156" w:type="dxa"/>
        </w:tcPr>
        <w:p w14:paraId="15BB18C1" w14:textId="77777777" w:rsidR="00527BD4" w:rsidRPr="005819CE" w:rsidRDefault="00527BD4" w:rsidP="00A50CF6"/>
      </w:tc>
    </w:tr>
    <w:tr w:rsidR="002E49D3" w14:paraId="63355631" w14:textId="77777777" w:rsidTr="00502512">
      <w:trPr>
        <w:trHeight w:hRule="exact" w:val="774"/>
      </w:trPr>
      <w:tc>
        <w:tcPr>
          <w:tcW w:w="2156" w:type="dxa"/>
        </w:tcPr>
        <w:p w14:paraId="43B89CA4" w14:textId="77777777" w:rsidR="00527BD4" w:rsidRDefault="005B3EED" w:rsidP="003A5290">
          <w:pPr>
            <w:pStyle w:val="Huisstijl-Kopje"/>
          </w:pPr>
          <w:r>
            <w:t>Ons kenmerk</w:t>
          </w:r>
        </w:p>
        <w:p w14:paraId="1C5E281B" w14:textId="77777777" w:rsidR="00527BD4" w:rsidRPr="005819CE" w:rsidRDefault="005B3EED" w:rsidP="004425CC">
          <w:pPr>
            <w:pStyle w:val="Huisstijl-Kopje"/>
          </w:pPr>
          <w:r>
            <w:rPr>
              <w:b w:val="0"/>
            </w:rPr>
            <w:t>DGBI</w:t>
          </w:r>
          <w:r w:rsidRPr="00502512">
            <w:rPr>
              <w:b w:val="0"/>
            </w:rPr>
            <w:t xml:space="preserve"> / </w:t>
          </w:r>
          <w:r>
            <w:rPr>
              <w:b w:val="0"/>
            </w:rPr>
            <w:t>103892640</w:t>
          </w:r>
        </w:p>
      </w:tc>
    </w:tr>
  </w:tbl>
  <w:p w14:paraId="10389375" w14:textId="77777777" w:rsidR="00527BD4" w:rsidRDefault="00527BD4" w:rsidP="008C356D">
    <w:pPr>
      <w:pStyle w:val="Koptekst"/>
      <w:rPr>
        <w:rFonts w:cs="Verdana-Bold"/>
        <w:b/>
        <w:bCs/>
        <w:smallCaps/>
        <w:szCs w:val="18"/>
      </w:rPr>
    </w:pPr>
  </w:p>
  <w:p w14:paraId="657DBA6E" w14:textId="77777777" w:rsidR="00527BD4" w:rsidRDefault="00527BD4" w:rsidP="008C356D"/>
  <w:p w14:paraId="23660061" w14:textId="77777777" w:rsidR="00527BD4" w:rsidRPr="00740712" w:rsidRDefault="00527BD4" w:rsidP="008C356D"/>
  <w:p w14:paraId="1B294ABA" w14:textId="77777777" w:rsidR="00527BD4" w:rsidRPr="00217880" w:rsidRDefault="00527BD4" w:rsidP="008C356D">
    <w:pPr>
      <w:spacing w:line="0" w:lineRule="atLeast"/>
      <w:rPr>
        <w:sz w:val="2"/>
        <w:szCs w:val="2"/>
      </w:rPr>
    </w:pPr>
  </w:p>
  <w:p w14:paraId="1A2491F9" w14:textId="77777777" w:rsidR="00527BD4" w:rsidRDefault="00527BD4" w:rsidP="004F44C2">
    <w:pPr>
      <w:pStyle w:val="Koptekst"/>
      <w:rPr>
        <w:rFonts w:cs="Verdana-Bold"/>
        <w:b/>
        <w:bCs/>
        <w:smallCaps/>
        <w:szCs w:val="18"/>
      </w:rPr>
    </w:pPr>
  </w:p>
  <w:p w14:paraId="0800AD1D" w14:textId="77777777" w:rsidR="00527BD4" w:rsidRDefault="00527BD4" w:rsidP="004F44C2"/>
  <w:p w14:paraId="1CFDF918" w14:textId="77777777" w:rsidR="00527BD4" w:rsidRPr="00740712" w:rsidRDefault="00527BD4" w:rsidP="004F44C2"/>
  <w:p w14:paraId="5649D3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49D3" w14:paraId="2ED15E4A" w14:textId="77777777" w:rsidTr="00751A6A">
      <w:trPr>
        <w:trHeight w:val="2636"/>
      </w:trPr>
      <w:tc>
        <w:tcPr>
          <w:tcW w:w="737" w:type="dxa"/>
        </w:tcPr>
        <w:p w14:paraId="0E571340" w14:textId="77777777" w:rsidR="00527BD4" w:rsidRDefault="00527BD4" w:rsidP="00D0609E">
          <w:pPr>
            <w:framePr w:w="6340" w:h="2750" w:hRule="exact" w:hSpace="180" w:wrap="around" w:vAnchor="page" w:hAnchor="text" w:x="3873" w:y="-140"/>
            <w:spacing w:line="240" w:lineRule="auto"/>
          </w:pPr>
        </w:p>
      </w:tc>
      <w:tc>
        <w:tcPr>
          <w:tcW w:w="5156" w:type="dxa"/>
        </w:tcPr>
        <w:p w14:paraId="3D8A2EBB" w14:textId="77777777" w:rsidR="00527BD4" w:rsidRDefault="005B3EE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4A267AA" wp14:editId="656F877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2F8369" w14:textId="77777777" w:rsidR="007269E3" w:rsidRDefault="007269E3" w:rsidP="00651CEE">
          <w:pPr>
            <w:framePr w:w="6340" w:h="2750" w:hRule="exact" w:hSpace="180" w:wrap="around" w:vAnchor="page" w:hAnchor="text" w:x="3873" w:y="-140"/>
            <w:spacing w:line="240" w:lineRule="auto"/>
          </w:pPr>
        </w:p>
      </w:tc>
    </w:tr>
  </w:tbl>
  <w:p w14:paraId="311AFC33" w14:textId="77777777" w:rsidR="00527BD4" w:rsidRDefault="00527BD4" w:rsidP="00D0609E">
    <w:pPr>
      <w:framePr w:w="6340" w:h="2750" w:hRule="exact" w:hSpace="180" w:wrap="around" w:vAnchor="page" w:hAnchor="text" w:x="3873" w:y="-140"/>
    </w:pPr>
  </w:p>
  <w:p w14:paraId="7349F6A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E49D3" w14:paraId="15F57205" w14:textId="77777777" w:rsidTr="00A50CF6">
      <w:tc>
        <w:tcPr>
          <w:tcW w:w="2160" w:type="dxa"/>
        </w:tcPr>
        <w:p w14:paraId="77888BD4" w14:textId="77777777" w:rsidR="00527BD4" w:rsidRPr="005819CE" w:rsidRDefault="005B3EED" w:rsidP="00A50CF6">
          <w:pPr>
            <w:pStyle w:val="Huisstijl-Adres"/>
            <w:rPr>
              <w:b/>
            </w:rPr>
          </w:pPr>
          <w:r>
            <w:rPr>
              <w:b/>
            </w:rPr>
            <w:t>Directoraat-generaal Bedrijfsleven &amp; Innovatie</w:t>
          </w:r>
          <w:r w:rsidRPr="005819CE">
            <w:rPr>
              <w:b/>
            </w:rPr>
            <w:br/>
          </w:r>
        </w:p>
        <w:p w14:paraId="4C694D82" w14:textId="77777777" w:rsidR="00527BD4" w:rsidRPr="00BE5ED9" w:rsidRDefault="005B3EED" w:rsidP="00A50CF6">
          <w:pPr>
            <w:pStyle w:val="Huisstijl-Adres"/>
          </w:pPr>
          <w:r>
            <w:rPr>
              <w:b/>
            </w:rPr>
            <w:t>Bezoekadres</w:t>
          </w:r>
          <w:r>
            <w:rPr>
              <w:b/>
            </w:rPr>
            <w:br/>
          </w:r>
          <w:r>
            <w:t>Bezuidenhoutseweg 73</w:t>
          </w:r>
          <w:r w:rsidRPr="005819CE">
            <w:br/>
          </w:r>
          <w:r>
            <w:t>2594 AC Den Haag</w:t>
          </w:r>
        </w:p>
        <w:p w14:paraId="7ECF5A0D" w14:textId="77777777" w:rsidR="00EF495B" w:rsidRDefault="005B3EED" w:rsidP="0098788A">
          <w:pPr>
            <w:pStyle w:val="Huisstijl-Adres"/>
          </w:pPr>
          <w:r>
            <w:rPr>
              <w:b/>
            </w:rPr>
            <w:t>Postadres</w:t>
          </w:r>
          <w:r>
            <w:rPr>
              <w:b/>
            </w:rPr>
            <w:br/>
          </w:r>
          <w:r>
            <w:t>Postbus 20401</w:t>
          </w:r>
          <w:r w:rsidRPr="005819CE">
            <w:br/>
            <w:t>2500 E</w:t>
          </w:r>
          <w:r>
            <w:t>K</w:t>
          </w:r>
          <w:r w:rsidRPr="005819CE">
            <w:t xml:space="preserve"> Den Haag</w:t>
          </w:r>
        </w:p>
        <w:p w14:paraId="73BE9F27" w14:textId="77777777" w:rsidR="00EF495B" w:rsidRPr="005B3814" w:rsidRDefault="005B3EED" w:rsidP="0098788A">
          <w:pPr>
            <w:pStyle w:val="Huisstijl-Adres"/>
          </w:pPr>
          <w:r>
            <w:rPr>
              <w:b/>
            </w:rPr>
            <w:t>Overheidsidentificatienr</w:t>
          </w:r>
          <w:r>
            <w:rPr>
              <w:b/>
            </w:rPr>
            <w:br/>
          </w:r>
          <w:r w:rsidRPr="005B3814">
            <w:t>00000001003214369000</w:t>
          </w:r>
        </w:p>
        <w:p w14:paraId="73B23057" w14:textId="0B348195" w:rsidR="00527BD4" w:rsidRPr="002B39E5" w:rsidRDefault="005B3E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E49D3" w14:paraId="6E57DEA4" w14:textId="77777777" w:rsidTr="00A50CF6">
      <w:trPr>
        <w:trHeight w:hRule="exact" w:val="200"/>
      </w:trPr>
      <w:tc>
        <w:tcPr>
          <w:tcW w:w="2160" w:type="dxa"/>
        </w:tcPr>
        <w:p w14:paraId="0423D966" w14:textId="77777777" w:rsidR="00527BD4" w:rsidRPr="005819CE" w:rsidRDefault="00527BD4" w:rsidP="00A50CF6"/>
      </w:tc>
    </w:tr>
    <w:tr w:rsidR="002E49D3" w14:paraId="1331380E" w14:textId="77777777" w:rsidTr="00A50CF6">
      <w:tc>
        <w:tcPr>
          <w:tcW w:w="2160" w:type="dxa"/>
        </w:tcPr>
        <w:p w14:paraId="3C052972" w14:textId="77777777" w:rsidR="000C0163" w:rsidRPr="005819CE" w:rsidRDefault="005B3EED" w:rsidP="000C0163">
          <w:pPr>
            <w:pStyle w:val="Huisstijl-Kopje"/>
          </w:pPr>
          <w:r>
            <w:t>Ons kenmerk</w:t>
          </w:r>
          <w:r w:rsidRPr="005819CE">
            <w:t xml:space="preserve"> </w:t>
          </w:r>
        </w:p>
        <w:p w14:paraId="368DBA32" w14:textId="32641214" w:rsidR="00527BD4" w:rsidRPr="005819CE" w:rsidRDefault="005B3EED" w:rsidP="00A50CF6">
          <w:pPr>
            <w:pStyle w:val="Huisstijl-Gegeven"/>
          </w:pPr>
          <w:r>
            <w:t>DGBI</w:t>
          </w:r>
          <w:r w:rsidR="00926AE2">
            <w:t xml:space="preserve"> / </w:t>
          </w:r>
          <w:r>
            <w:t>103892640</w:t>
          </w:r>
        </w:p>
        <w:p w14:paraId="762CDCD0" w14:textId="77777777" w:rsidR="00527BD4" w:rsidRPr="005819CE" w:rsidRDefault="005B3EED" w:rsidP="00A50CF6">
          <w:pPr>
            <w:pStyle w:val="Huisstijl-Kopje"/>
          </w:pPr>
          <w:r>
            <w:t>Bijlage(n)</w:t>
          </w:r>
        </w:p>
        <w:p w14:paraId="322010CC" w14:textId="3D82F6D4" w:rsidR="00527BD4" w:rsidRPr="005819CE" w:rsidRDefault="002B39E5" w:rsidP="00A50CF6">
          <w:pPr>
            <w:pStyle w:val="Huisstijl-Gegeven"/>
          </w:pPr>
          <w:r>
            <w:t>1</w:t>
          </w:r>
        </w:p>
      </w:tc>
    </w:tr>
  </w:tbl>
  <w:p w14:paraId="624031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E49D3" w14:paraId="4EC1F4CD" w14:textId="77777777" w:rsidTr="007610AA">
      <w:trPr>
        <w:trHeight w:val="400"/>
      </w:trPr>
      <w:tc>
        <w:tcPr>
          <w:tcW w:w="7520" w:type="dxa"/>
          <w:gridSpan w:val="2"/>
        </w:tcPr>
        <w:p w14:paraId="53BE835A" w14:textId="77777777" w:rsidR="00527BD4" w:rsidRPr="00BC3B53" w:rsidRDefault="005B3EED" w:rsidP="00A50CF6">
          <w:pPr>
            <w:pStyle w:val="Huisstijl-Retouradres"/>
          </w:pPr>
          <w:r>
            <w:t>&gt; Retouradres Postbus 20401 2500 EK Den Haag</w:t>
          </w:r>
        </w:p>
      </w:tc>
    </w:tr>
    <w:tr w:rsidR="002E49D3" w14:paraId="075B51D7" w14:textId="77777777" w:rsidTr="007610AA">
      <w:tc>
        <w:tcPr>
          <w:tcW w:w="7520" w:type="dxa"/>
          <w:gridSpan w:val="2"/>
        </w:tcPr>
        <w:p w14:paraId="01D945E7" w14:textId="77777777" w:rsidR="00527BD4" w:rsidRPr="00983E8F" w:rsidRDefault="00527BD4" w:rsidP="00A50CF6">
          <w:pPr>
            <w:pStyle w:val="Huisstijl-Rubricering"/>
          </w:pPr>
        </w:p>
      </w:tc>
    </w:tr>
    <w:tr w:rsidR="002E49D3" w14:paraId="1E125F43" w14:textId="77777777" w:rsidTr="007610AA">
      <w:trPr>
        <w:trHeight w:hRule="exact" w:val="2440"/>
      </w:trPr>
      <w:tc>
        <w:tcPr>
          <w:tcW w:w="7520" w:type="dxa"/>
          <w:gridSpan w:val="2"/>
        </w:tcPr>
        <w:p w14:paraId="555F4AF2" w14:textId="77777777" w:rsidR="00527BD4" w:rsidRDefault="005B3EED" w:rsidP="00A50CF6">
          <w:pPr>
            <w:pStyle w:val="Huisstijl-NAW"/>
          </w:pPr>
          <w:r>
            <w:t>De Voorzitter van de Tweede Kamer</w:t>
          </w:r>
        </w:p>
        <w:p w14:paraId="43CB0C55" w14:textId="77777777" w:rsidR="002E49D3" w:rsidRDefault="005B3EED">
          <w:pPr>
            <w:pStyle w:val="Huisstijl-NAW"/>
          </w:pPr>
          <w:r>
            <w:t>der Staten-Generaal</w:t>
          </w:r>
        </w:p>
        <w:p w14:paraId="5FA4EF0B" w14:textId="77777777" w:rsidR="002E49D3" w:rsidRDefault="005B3EED">
          <w:pPr>
            <w:pStyle w:val="Huisstijl-NAW"/>
          </w:pPr>
          <w:r>
            <w:t>Prinses Irenestraat 6</w:t>
          </w:r>
        </w:p>
        <w:p w14:paraId="557374DA" w14:textId="77777777" w:rsidR="002E49D3" w:rsidRDefault="005B3EED">
          <w:pPr>
            <w:pStyle w:val="Huisstijl-NAW"/>
          </w:pPr>
          <w:r>
            <w:t>2595 BD DEN HAAG</w:t>
          </w:r>
        </w:p>
        <w:p w14:paraId="4956B2B3" w14:textId="77777777" w:rsidR="002E49D3" w:rsidRDefault="002E49D3">
          <w:pPr>
            <w:pStyle w:val="Huisstijl-NAW"/>
          </w:pPr>
        </w:p>
      </w:tc>
    </w:tr>
    <w:tr w:rsidR="002E49D3" w14:paraId="60CCFAEE" w14:textId="77777777" w:rsidTr="007610AA">
      <w:trPr>
        <w:trHeight w:hRule="exact" w:val="400"/>
      </w:trPr>
      <w:tc>
        <w:tcPr>
          <w:tcW w:w="7520" w:type="dxa"/>
          <w:gridSpan w:val="2"/>
        </w:tcPr>
        <w:p w14:paraId="41DD45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E49D3" w14:paraId="41C2AE0D" w14:textId="77777777" w:rsidTr="007610AA">
      <w:trPr>
        <w:trHeight w:val="240"/>
      </w:trPr>
      <w:tc>
        <w:tcPr>
          <w:tcW w:w="900" w:type="dxa"/>
        </w:tcPr>
        <w:p w14:paraId="32C374A6" w14:textId="77777777" w:rsidR="00527BD4" w:rsidRPr="007709EF" w:rsidRDefault="005B3EED" w:rsidP="00A50CF6">
          <w:pPr>
            <w:rPr>
              <w:szCs w:val="18"/>
            </w:rPr>
          </w:pPr>
          <w:r>
            <w:rPr>
              <w:szCs w:val="18"/>
            </w:rPr>
            <w:t>Datum</w:t>
          </w:r>
        </w:p>
      </w:tc>
      <w:tc>
        <w:tcPr>
          <w:tcW w:w="6620" w:type="dxa"/>
        </w:tcPr>
        <w:p w14:paraId="0F5EC545" w14:textId="7936A310" w:rsidR="00527BD4" w:rsidRPr="007709EF" w:rsidRDefault="00B779A1" w:rsidP="00A50CF6">
          <w:r>
            <w:t>12 februari 2026</w:t>
          </w:r>
        </w:p>
      </w:tc>
    </w:tr>
    <w:tr w:rsidR="002E49D3" w14:paraId="0EB13F67" w14:textId="77777777" w:rsidTr="007610AA">
      <w:trPr>
        <w:trHeight w:val="240"/>
      </w:trPr>
      <w:tc>
        <w:tcPr>
          <w:tcW w:w="900" w:type="dxa"/>
        </w:tcPr>
        <w:p w14:paraId="649BF539" w14:textId="77777777" w:rsidR="00527BD4" w:rsidRPr="007709EF" w:rsidRDefault="005B3EED" w:rsidP="00A50CF6">
          <w:pPr>
            <w:rPr>
              <w:szCs w:val="18"/>
            </w:rPr>
          </w:pPr>
          <w:r>
            <w:rPr>
              <w:szCs w:val="18"/>
            </w:rPr>
            <w:t>Betreft</w:t>
          </w:r>
        </w:p>
      </w:tc>
      <w:tc>
        <w:tcPr>
          <w:tcW w:w="6620" w:type="dxa"/>
        </w:tcPr>
        <w:p w14:paraId="4E1B7701" w14:textId="77777777" w:rsidR="00527BD4" w:rsidRPr="007709EF" w:rsidRDefault="005B3EED" w:rsidP="00A50CF6">
          <w:r>
            <w:t xml:space="preserve">Aanbiedingsbrief Jaarresultaten NFIA en </w:t>
          </w:r>
          <w:proofErr w:type="spellStart"/>
          <w:r>
            <w:t>IiH</w:t>
          </w:r>
          <w:proofErr w:type="spellEnd"/>
          <w:r>
            <w:t xml:space="preserve"> 2025</w:t>
          </w:r>
        </w:p>
      </w:tc>
    </w:tr>
  </w:tbl>
  <w:p w14:paraId="40DA04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EA5640">
      <w:start w:val="1"/>
      <w:numFmt w:val="bullet"/>
      <w:pStyle w:val="Lijstopsomteken"/>
      <w:lvlText w:val="•"/>
      <w:lvlJc w:val="left"/>
      <w:pPr>
        <w:tabs>
          <w:tab w:val="num" w:pos="227"/>
        </w:tabs>
        <w:ind w:left="227" w:hanging="227"/>
      </w:pPr>
      <w:rPr>
        <w:rFonts w:ascii="Verdana" w:hAnsi="Verdana" w:hint="default"/>
        <w:sz w:val="18"/>
        <w:szCs w:val="18"/>
      </w:rPr>
    </w:lvl>
    <w:lvl w:ilvl="1" w:tplc="50E6D780" w:tentative="1">
      <w:start w:val="1"/>
      <w:numFmt w:val="bullet"/>
      <w:lvlText w:val="o"/>
      <w:lvlJc w:val="left"/>
      <w:pPr>
        <w:tabs>
          <w:tab w:val="num" w:pos="1440"/>
        </w:tabs>
        <w:ind w:left="1440" w:hanging="360"/>
      </w:pPr>
      <w:rPr>
        <w:rFonts w:ascii="Courier New" w:hAnsi="Courier New" w:cs="Courier New" w:hint="default"/>
      </w:rPr>
    </w:lvl>
    <w:lvl w:ilvl="2" w:tplc="FA0A0F36" w:tentative="1">
      <w:start w:val="1"/>
      <w:numFmt w:val="bullet"/>
      <w:lvlText w:val=""/>
      <w:lvlJc w:val="left"/>
      <w:pPr>
        <w:tabs>
          <w:tab w:val="num" w:pos="2160"/>
        </w:tabs>
        <w:ind w:left="2160" w:hanging="360"/>
      </w:pPr>
      <w:rPr>
        <w:rFonts w:ascii="Wingdings" w:hAnsi="Wingdings" w:hint="default"/>
      </w:rPr>
    </w:lvl>
    <w:lvl w:ilvl="3" w:tplc="052A7F84" w:tentative="1">
      <w:start w:val="1"/>
      <w:numFmt w:val="bullet"/>
      <w:lvlText w:val=""/>
      <w:lvlJc w:val="left"/>
      <w:pPr>
        <w:tabs>
          <w:tab w:val="num" w:pos="2880"/>
        </w:tabs>
        <w:ind w:left="2880" w:hanging="360"/>
      </w:pPr>
      <w:rPr>
        <w:rFonts w:ascii="Symbol" w:hAnsi="Symbol" w:hint="default"/>
      </w:rPr>
    </w:lvl>
    <w:lvl w:ilvl="4" w:tplc="531477F4" w:tentative="1">
      <w:start w:val="1"/>
      <w:numFmt w:val="bullet"/>
      <w:lvlText w:val="o"/>
      <w:lvlJc w:val="left"/>
      <w:pPr>
        <w:tabs>
          <w:tab w:val="num" w:pos="3600"/>
        </w:tabs>
        <w:ind w:left="3600" w:hanging="360"/>
      </w:pPr>
      <w:rPr>
        <w:rFonts w:ascii="Courier New" w:hAnsi="Courier New" w:cs="Courier New" w:hint="default"/>
      </w:rPr>
    </w:lvl>
    <w:lvl w:ilvl="5" w:tplc="3DE6EB60" w:tentative="1">
      <w:start w:val="1"/>
      <w:numFmt w:val="bullet"/>
      <w:lvlText w:val=""/>
      <w:lvlJc w:val="left"/>
      <w:pPr>
        <w:tabs>
          <w:tab w:val="num" w:pos="4320"/>
        </w:tabs>
        <w:ind w:left="4320" w:hanging="360"/>
      </w:pPr>
      <w:rPr>
        <w:rFonts w:ascii="Wingdings" w:hAnsi="Wingdings" w:hint="default"/>
      </w:rPr>
    </w:lvl>
    <w:lvl w:ilvl="6" w:tplc="4CF6DE60" w:tentative="1">
      <w:start w:val="1"/>
      <w:numFmt w:val="bullet"/>
      <w:lvlText w:val=""/>
      <w:lvlJc w:val="left"/>
      <w:pPr>
        <w:tabs>
          <w:tab w:val="num" w:pos="5040"/>
        </w:tabs>
        <w:ind w:left="5040" w:hanging="360"/>
      </w:pPr>
      <w:rPr>
        <w:rFonts w:ascii="Symbol" w:hAnsi="Symbol" w:hint="default"/>
      </w:rPr>
    </w:lvl>
    <w:lvl w:ilvl="7" w:tplc="8FF4FFF4" w:tentative="1">
      <w:start w:val="1"/>
      <w:numFmt w:val="bullet"/>
      <w:lvlText w:val="o"/>
      <w:lvlJc w:val="left"/>
      <w:pPr>
        <w:tabs>
          <w:tab w:val="num" w:pos="5760"/>
        </w:tabs>
        <w:ind w:left="5760" w:hanging="360"/>
      </w:pPr>
      <w:rPr>
        <w:rFonts w:ascii="Courier New" w:hAnsi="Courier New" w:cs="Courier New" w:hint="default"/>
      </w:rPr>
    </w:lvl>
    <w:lvl w:ilvl="8" w:tplc="ED7EAD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FEF814">
      <w:start w:val="1"/>
      <w:numFmt w:val="bullet"/>
      <w:pStyle w:val="Lijstopsomteken2"/>
      <w:lvlText w:val="–"/>
      <w:lvlJc w:val="left"/>
      <w:pPr>
        <w:tabs>
          <w:tab w:val="num" w:pos="227"/>
        </w:tabs>
        <w:ind w:left="227" w:firstLine="0"/>
      </w:pPr>
      <w:rPr>
        <w:rFonts w:ascii="Verdana" w:hAnsi="Verdana" w:hint="default"/>
      </w:rPr>
    </w:lvl>
    <w:lvl w:ilvl="1" w:tplc="C4488A24" w:tentative="1">
      <w:start w:val="1"/>
      <w:numFmt w:val="bullet"/>
      <w:lvlText w:val="o"/>
      <w:lvlJc w:val="left"/>
      <w:pPr>
        <w:tabs>
          <w:tab w:val="num" w:pos="1440"/>
        </w:tabs>
        <w:ind w:left="1440" w:hanging="360"/>
      </w:pPr>
      <w:rPr>
        <w:rFonts w:ascii="Courier New" w:hAnsi="Courier New" w:cs="Courier New" w:hint="default"/>
      </w:rPr>
    </w:lvl>
    <w:lvl w:ilvl="2" w:tplc="2166C83E" w:tentative="1">
      <w:start w:val="1"/>
      <w:numFmt w:val="bullet"/>
      <w:lvlText w:val=""/>
      <w:lvlJc w:val="left"/>
      <w:pPr>
        <w:tabs>
          <w:tab w:val="num" w:pos="2160"/>
        </w:tabs>
        <w:ind w:left="2160" w:hanging="360"/>
      </w:pPr>
      <w:rPr>
        <w:rFonts w:ascii="Wingdings" w:hAnsi="Wingdings" w:hint="default"/>
      </w:rPr>
    </w:lvl>
    <w:lvl w:ilvl="3" w:tplc="72243E00" w:tentative="1">
      <w:start w:val="1"/>
      <w:numFmt w:val="bullet"/>
      <w:lvlText w:val=""/>
      <w:lvlJc w:val="left"/>
      <w:pPr>
        <w:tabs>
          <w:tab w:val="num" w:pos="2880"/>
        </w:tabs>
        <w:ind w:left="2880" w:hanging="360"/>
      </w:pPr>
      <w:rPr>
        <w:rFonts w:ascii="Symbol" w:hAnsi="Symbol" w:hint="default"/>
      </w:rPr>
    </w:lvl>
    <w:lvl w:ilvl="4" w:tplc="E9A4DBF4" w:tentative="1">
      <w:start w:val="1"/>
      <w:numFmt w:val="bullet"/>
      <w:lvlText w:val="o"/>
      <w:lvlJc w:val="left"/>
      <w:pPr>
        <w:tabs>
          <w:tab w:val="num" w:pos="3600"/>
        </w:tabs>
        <w:ind w:left="3600" w:hanging="360"/>
      </w:pPr>
      <w:rPr>
        <w:rFonts w:ascii="Courier New" w:hAnsi="Courier New" w:cs="Courier New" w:hint="default"/>
      </w:rPr>
    </w:lvl>
    <w:lvl w:ilvl="5" w:tplc="9ED85854" w:tentative="1">
      <w:start w:val="1"/>
      <w:numFmt w:val="bullet"/>
      <w:lvlText w:val=""/>
      <w:lvlJc w:val="left"/>
      <w:pPr>
        <w:tabs>
          <w:tab w:val="num" w:pos="4320"/>
        </w:tabs>
        <w:ind w:left="4320" w:hanging="360"/>
      </w:pPr>
      <w:rPr>
        <w:rFonts w:ascii="Wingdings" w:hAnsi="Wingdings" w:hint="default"/>
      </w:rPr>
    </w:lvl>
    <w:lvl w:ilvl="6" w:tplc="F3DAA560" w:tentative="1">
      <w:start w:val="1"/>
      <w:numFmt w:val="bullet"/>
      <w:lvlText w:val=""/>
      <w:lvlJc w:val="left"/>
      <w:pPr>
        <w:tabs>
          <w:tab w:val="num" w:pos="5040"/>
        </w:tabs>
        <w:ind w:left="5040" w:hanging="360"/>
      </w:pPr>
      <w:rPr>
        <w:rFonts w:ascii="Symbol" w:hAnsi="Symbol" w:hint="default"/>
      </w:rPr>
    </w:lvl>
    <w:lvl w:ilvl="7" w:tplc="C7D608B8" w:tentative="1">
      <w:start w:val="1"/>
      <w:numFmt w:val="bullet"/>
      <w:lvlText w:val="o"/>
      <w:lvlJc w:val="left"/>
      <w:pPr>
        <w:tabs>
          <w:tab w:val="num" w:pos="5760"/>
        </w:tabs>
        <w:ind w:left="5760" w:hanging="360"/>
      </w:pPr>
      <w:rPr>
        <w:rFonts w:ascii="Courier New" w:hAnsi="Courier New" w:cs="Courier New" w:hint="default"/>
      </w:rPr>
    </w:lvl>
    <w:lvl w:ilvl="8" w:tplc="D99E2C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6944846">
    <w:abstractNumId w:val="10"/>
  </w:num>
  <w:num w:numId="2" w16cid:durableId="1293631412">
    <w:abstractNumId w:val="7"/>
  </w:num>
  <w:num w:numId="3" w16cid:durableId="1916549271">
    <w:abstractNumId w:val="6"/>
  </w:num>
  <w:num w:numId="4" w16cid:durableId="1991056455">
    <w:abstractNumId w:val="5"/>
  </w:num>
  <w:num w:numId="5" w16cid:durableId="344403175">
    <w:abstractNumId w:val="4"/>
  </w:num>
  <w:num w:numId="6" w16cid:durableId="2048918249">
    <w:abstractNumId w:val="8"/>
  </w:num>
  <w:num w:numId="7" w16cid:durableId="446199364">
    <w:abstractNumId w:val="3"/>
  </w:num>
  <w:num w:numId="8" w16cid:durableId="157893485">
    <w:abstractNumId w:val="2"/>
  </w:num>
  <w:num w:numId="9" w16cid:durableId="116802305">
    <w:abstractNumId w:val="1"/>
  </w:num>
  <w:num w:numId="10" w16cid:durableId="627323429">
    <w:abstractNumId w:val="0"/>
  </w:num>
  <w:num w:numId="11" w16cid:durableId="1993631215">
    <w:abstractNumId w:val="9"/>
  </w:num>
  <w:num w:numId="12" w16cid:durableId="522287483">
    <w:abstractNumId w:val="11"/>
  </w:num>
  <w:num w:numId="13" w16cid:durableId="1620377647">
    <w:abstractNumId w:val="13"/>
  </w:num>
  <w:num w:numId="14" w16cid:durableId="19893562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0AC"/>
    <w:rsid w:val="00196B8B"/>
    <w:rsid w:val="001A2BEA"/>
    <w:rsid w:val="001A6D93"/>
    <w:rsid w:val="001C071E"/>
    <w:rsid w:val="001C32EC"/>
    <w:rsid w:val="001C38BD"/>
    <w:rsid w:val="001C4D5A"/>
    <w:rsid w:val="001E34C6"/>
    <w:rsid w:val="001E5581"/>
    <w:rsid w:val="001F3C70"/>
    <w:rsid w:val="00200D88"/>
    <w:rsid w:val="00201F68"/>
    <w:rsid w:val="00203AC7"/>
    <w:rsid w:val="00212F2A"/>
    <w:rsid w:val="00214F2B"/>
    <w:rsid w:val="00217880"/>
    <w:rsid w:val="00222D66"/>
    <w:rsid w:val="00224A8A"/>
    <w:rsid w:val="002309A8"/>
    <w:rsid w:val="002369BF"/>
    <w:rsid w:val="00236CFE"/>
    <w:rsid w:val="002428E3"/>
    <w:rsid w:val="00243031"/>
    <w:rsid w:val="00260BAF"/>
    <w:rsid w:val="002650F7"/>
    <w:rsid w:val="00266C24"/>
    <w:rsid w:val="00273F3B"/>
    <w:rsid w:val="00274DB7"/>
    <w:rsid w:val="00275984"/>
    <w:rsid w:val="00280F74"/>
    <w:rsid w:val="002822CA"/>
    <w:rsid w:val="00286998"/>
    <w:rsid w:val="00291AB7"/>
    <w:rsid w:val="00292EB2"/>
    <w:rsid w:val="0029422B"/>
    <w:rsid w:val="002A0938"/>
    <w:rsid w:val="002B153C"/>
    <w:rsid w:val="002B39E5"/>
    <w:rsid w:val="002B52FC"/>
    <w:rsid w:val="002C2830"/>
    <w:rsid w:val="002D001A"/>
    <w:rsid w:val="002D28E2"/>
    <w:rsid w:val="002D317B"/>
    <w:rsid w:val="002D3587"/>
    <w:rsid w:val="002D4F63"/>
    <w:rsid w:val="002D502D"/>
    <w:rsid w:val="002E0F69"/>
    <w:rsid w:val="002E49D3"/>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4AC"/>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0DC3"/>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2983"/>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3EED"/>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4FAB"/>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6D6A"/>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79A1"/>
    <w:rsid w:val="00B849F5"/>
    <w:rsid w:val="00B902C4"/>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6A"/>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37F5"/>
    <w:rsid w:val="00EC0DFF"/>
    <w:rsid w:val="00EC237D"/>
    <w:rsid w:val="00EC2918"/>
    <w:rsid w:val="00EC4D0E"/>
    <w:rsid w:val="00EC4E2B"/>
    <w:rsid w:val="00ED072A"/>
    <w:rsid w:val="00ED539E"/>
    <w:rsid w:val="00EE4A1F"/>
    <w:rsid w:val="00EE4C2D"/>
    <w:rsid w:val="00EF1B5A"/>
    <w:rsid w:val="00EF24FB"/>
    <w:rsid w:val="00EF2CCA"/>
    <w:rsid w:val="00EF3485"/>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E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734AC"/>
    <w:rPr>
      <w:vertAlign w:val="superscript"/>
    </w:rPr>
  </w:style>
  <w:style w:type="paragraph" w:styleId="Geenafstand">
    <w:name w:val="No Spacing"/>
    <w:uiPriority w:val="1"/>
    <w:qFormat/>
    <w:rsid w:val="002B39E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ontent/dam/oecd/en/publications/reports/2025/10/fdi-in-figures-october-2025_fdb82ab9/57d0218c-en.pdf" TargetMode="External"/><Relationship Id="rId1" Type="http://schemas.openxmlformats.org/officeDocument/2006/relationships/hyperlink" Target="https://www.rijksoverheid.nl/documenten/kamerstukken/2025/12/09/kamerbrief-monitor-ondernemingsklimaat-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556</ap:Words>
  <ap:Characters>3395</ap:Characters>
  <ap:DocSecurity>0</ap:DocSecurity>
  <ap:Lines>28</ap:Lines>
  <ap:Paragraphs>7</ap:Paragraphs>
  <ap:ScaleCrop>false</ap:ScaleCrop>
  <ap:LinksUpToDate>false</ap:LinksUpToDate>
  <ap:CharactersWithSpaces>3944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2026-02-12T06:48:00.0000000Z</dcterms:created>
  <dcterms:modified xsi:type="dcterms:W3CDTF">2026-02-12T06:48:00.0000000Z</dcterms:modified>
  <dc:description>------------------------</dc:description>
  <dc:subject/>
  <keywords/>
  <version/>
  <category/>
</coreProperties>
</file>