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50CD" w:rsidR="00864D40" w:rsidP="00E23432" w:rsidRDefault="00864D40" w14:paraId="25738710" w14:textId="21176D30">
      <w:pPr>
        <w:spacing w:line="276" w:lineRule="auto"/>
        <w:contextualSpacing/>
        <w:rPr>
          <w:b/>
          <w:bCs/>
          <w:szCs w:val="18"/>
          <w:lang w:val="nl-NL"/>
        </w:rPr>
      </w:pPr>
      <w:r w:rsidRPr="0022221C">
        <w:rPr>
          <w:b/>
          <w:bCs/>
          <w:szCs w:val="18"/>
          <w:lang w:val="nl-NL"/>
        </w:rPr>
        <w:t xml:space="preserve">Overeenkomst tussen de Benelux-Staten (het Koninkrijk België, het Groothertogdom Luxemburg en het Koninkrijk der Nederlanden) en </w:t>
      </w:r>
      <w:r>
        <w:rPr>
          <w:b/>
          <w:bCs/>
          <w:szCs w:val="18"/>
          <w:lang w:val="nl-NL"/>
        </w:rPr>
        <w:t>Suriname</w:t>
      </w:r>
      <w:r w:rsidRPr="0022221C">
        <w:rPr>
          <w:b/>
          <w:bCs/>
          <w:szCs w:val="18"/>
          <w:lang w:val="nl-NL"/>
        </w:rPr>
        <w:t xml:space="preserve"> </w:t>
      </w:r>
      <w:proofErr w:type="gramStart"/>
      <w:r w:rsidRPr="0022221C">
        <w:rPr>
          <w:b/>
          <w:bCs/>
          <w:szCs w:val="18"/>
          <w:lang w:val="nl-NL"/>
        </w:rPr>
        <w:t>betreffende</w:t>
      </w:r>
      <w:proofErr w:type="gramEnd"/>
      <w:r w:rsidRPr="0022221C">
        <w:rPr>
          <w:b/>
          <w:bCs/>
          <w:szCs w:val="18"/>
          <w:lang w:val="nl-NL"/>
        </w:rPr>
        <w:t xml:space="preserve"> de terug- en overname van onregelmatig verblijvende personen (met Uitvoeringsprotocol met Bijlagen);</w:t>
      </w:r>
      <w:r w:rsidR="00737C19">
        <w:rPr>
          <w:b/>
          <w:bCs/>
          <w:szCs w:val="18"/>
          <w:lang w:val="nl-NL"/>
        </w:rPr>
        <w:t xml:space="preserve"> Brussel, 14 februari 2025</w:t>
      </w:r>
      <w:r>
        <w:rPr>
          <w:b/>
          <w:bCs/>
          <w:szCs w:val="18"/>
          <w:lang w:val="nl-NL"/>
        </w:rPr>
        <w:t xml:space="preserve"> (</w:t>
      </w:r>
      <w:proofErr w:type="spellStart"/>
      <w:r w:rsidRPr="004821DF">
        <w:rPr>
          <w:b/>
          <w:bCs/>
          <w:i/>
          <w:iCs/>
          <w:szCs w:val="18"/>
          <w:lang w:val="nl-NL"/>
        </w:rPr>
        <w:t>Trb</w:t>
      </w:r>
      <w:proofErr w:type="spellEnd"/>
      <w:r>
        <w:rPr>
          <w:b/>
          <w:bCs/>
          <w:szCs w:val="18"/>
          <w:lang w:val="nl-NL"/>
        </w:rPr>
        <w:t>. 202</w:t>
      </w:r>
      <w:r w:rsidR="00737C19">
        <w:rPr>
          <w:b/>
          <w:bCs/>
          <w:szCs w:val="18"/>
          <w:lang w:val="nl-NL"/>
        </w:rPr>
        <w:t>5</w:t>
      </w:r>
      <w:r>
        <w:rPr>
          <w:b/>
          <w:bCs/>
          <w:szCs w:val="18"/>
          <w:lang w:val="nl-NL"/>
        </w:rPr>
        <w:t xml:space="preserve">, </w:t>
      </w:r>
      <w:r w:rsidR="00737C19">
        <w:rPr>
          <w:b/>
          <w:bCs/>
          <w:szCs w:val="18"/>
          <w:lang w:val="nl-NL"/>
        </w:rPr>
        <w:t>16</w:t>
      </w:r>
      <w:r w:rsidR="00627B4C">
        <w:rPr>
          <w:b/>
          <w:bCs/>
          <w:szCs w:val="18"/>
          <w:lang w:val="nl-NL"/>
        </w:rPr>
        <w:t xml:space="preserve"> herdruk</w:t>
      </w:r>
      <w:r w:rsidR="00737C19">
        <w:rPr>
          <w:b/>
          <w:bCs/>
          <w:szCs w:val="18"/>
          <w:lang w:val="nl-NL"/>
        </w:rPr>
        <w:t>)</w:t>
      </w:r>
    </w:p>
    <w:p w:rsidR="00864D40" w:rsidP="00E23432" w:rsidRDefault="00864D40" w14:paraId="5C112E54" w14:textId="77777777">
      <w:pPr>
        <w:spacing w:line="276" w:lineRule="auto"/>
        <w:contextualSpacing/>
        <w:rPr>
          <w:szCs w:val="18"/>
          <w:lang w:val="nl-NL"/>
        </w:rPr>
      </w:pPr>
    </w:p>
    <w:p w:rsidRPr="006C50CD" w:rsidR="00864D40" w:rsidP="00E23432" w:rsidRDefault="00864D40" w14:paraId="1A2B2B3A" w14:textId="77777777">
      <w:pPr>
        <w:spacing w:line="276" w:lineRule="auto"/>
        <w:contextualSpacing/>
        <w:rPr>
          <w:szCs w:val="18"/>
          <w:lang w:val="nl-NL"/>
        </w:rPr>
      </w:pPr>
    </w:p>
    <w:p w:rsidRPr="006C50CD" w:rsidR="00864D40" w:rsidP="00E23432" w:rsidRDefault="00864D40" w14:paraId="05261A54" w14:textId="77777777">
      <w:pPr>
        <w:spacing w:line="276" w:lineRule="auto"/>
        <w:contextualSpacing/>
        <w:rPr>
          <w:b/>
          <w:szCs w:val="18"/>
          <w:lang w:val="nl-NL"/>
        </w:rPr>
      </w:pPr>
      <w:r w:rsidRPr="006C50CD">
        <w:rPr>
          <w:b/>
          <w:szCs w:val="18"/>
          <w:lang w:val="nl-NL"/>
        </w:rPr>
        <w:t>TOELICHTENDE NOTA</w:t>
      </w:r>
    </w:p>
    <w:p w:rsidRPr="006C50CD" w:rsidR="00864D40" w:rsidP="00E23432" w:rsidRDefault="00864D40" w14:paraId="21CCBC38" w14:textId="77777777">
      <w:pPr>
        <w:pStyle w:val="Lijstalinea"/>
        <w:numPr>
          <w:ilvl w:val="0"/>
          <w:numId w:val="1"/>
        </w:numPr>
        <w:spacing w:line="276" w:lineRule="auto"/>
        <w:rPr>
          <w:b/>
          <w:szCs w:val="18"/>
          <w:lang w:val="nl-NL"/>
        </w:rPr>
      </w:pPr>
      <w:r w:rsidRPr="006C50CD">
        <w:rPr>
          <w:b/>
          <w:szCs w:val="18"/>
          <w:lang w:val="nl-NL"/>
        </w:rPr>
        <w:t>Algemeen</w:t>
      </w:r>
      <w:r w:rsidRPr="006C50CD">
        <w:rPr>
          <w:b/>
          <w:szCs w:val="18"/>
          <w:lang w:val="nl-NL"/>
        </w:rPr>
        <w:br/>
      </w:r>
    </w:p>
    <w:p w:rsidRPr="00880A21" w:rsidR="00864D40" w:rsidP="00E23432" w:rsidRDefault="00864D40" w14:paraId="465D708F" w14:textId="77777777">
      <w:pPr>
        <w:pStyle w:val="Lijstalinea"/>
        <w:numPr>
          <w:ilvl w:val="1"/>
          <w:numId w:val="3"/>
        </w:numPr>
        <w:spacing w:line="276" w:lineRule="auto"/>
        <w:rPr>
          <w:bCs/>
          <w:szCs w:val="18"/>
          <w:lang w:val="nl-NL"/>
        </w:rPr>
      </w:pPr>
      <w:r w:rsidRPr="00880A21">
        <w:rPr>
          <w:bCs/>
          <w:szCs w:val="18"/>
          <w:lang w:val="nl-NL"/>
        </w:rPr>
        <w:t xml:space="preserve"> </w:t>
      </w:r>
      <w:r w:rsidRPr="00880A21">
        <w:rPr>
          <w:bCs/>
          <w:szCs w:val="18"/>
          <w:lang w:val="nl-NL"/>
        </w:rPr>
        <w:tab/>
        <w:t>Inleiding</w:t>
      </w:r>
    </w:p>
    <w:p w:rsidR="000E0B92" w:rsidP="000E0B92" w:rsidRDefault="000E0B92" w14:paraId="3E014CD5" w14:textId="407272A0">
      <w:pPr>
        <w:spacing w:line="276" w:lineRule="auto"/>
        <w:contextualSpacing/>
        <w:rPr>
          <w:szCs w:val="18"/>
          <w:lang w:val="nl-NL"/>
        </w:rPr>
      </w:pPr>
      <w:r>
        <w:rPr>
          <w:szCs w:val="18"/>
          <w:lang w:val="nl-NL"/>
        </w:rPr>
        <w:t xml:space="preserve">Migranten </w:t>
      </w:r>
      <w:r w:rsidRPr="003E20ED">
        <w:rPr>
          <w:szCs w:val="18"/>
          <w:lang w:val="nl-NL"/>
        </w:rPr>
        <w:t>die niet rechtmatig in Nederland mogen blijven</w:t>
      </w:r>
      <w:r>
        <w:rPr>
          <w:szCs w:val="18"/>
          <w:lang w:val="nl-NL"/>
        </w:rPr>
        <w:t>, dienen terug te keren naar hun land van herkomst</w:t>
      </w:r>
      <w:r w:rsidRPr="003E20ED">
        <w:rPr>
          <w:szCs w:val="18"/>
          <w:lang w:val="nl-NL"/>
        </w:rPr>
        <w:t xml:space="preserve">. Om dit te bereiken </w:t>
      </w:r>
      <w:r>
        <w:rPr>
          <w:szCs w:val="18"/>
          <w:lang w:val="nl-NL"/>
        </w:rPr>
        <w:t xml:space="preserve">wordt ingezet </w:t>
      </w:r>
      <w:r w:rsidRPr="006C50CD">
        <w:rPr>
          <w:szCs w:val="18"/>
          <w:lang w:val="nl-NL"/>
        </w:rPr>
        <w:t>op het realiseren en onderhouden van een goede samenwerking op het gebied van migratie</w:t>
      </w:r>
      <w:r>
        <w:rPr>
          <w:szCs w:val="18"/>
          <w:lang w:val="nl-NL"/>
        </w:rPr>
        <w:t xml:space="preserve"> </w:t>
      </w:r>
      <w:r w:rsidRPr="006C50CD">
        <w:rPr>
          <w:szCs w:val="18"/>
          <w:lang w:val="nl-NL"/>
        </w:rPr>
        <w:t>met de herkomstlanden</w:t>
      </w:r>
      <w:r>
        <w:rPr>
          <w:szCs w:val="18"/>
          <w:lang w:val="nl-NL"/>
        </w:rPr>
        <w:t xml:space="preserve">. </w:t>
      </w:r>
      <w:r w:rsidRPr="009E29D6">
        <w:rPr>
          <w:szCs w:val="18"/>
          <w:lang w:val="nl-NL"/>
        </w:rPr>
        <w:t>Het Hoofdlijnenakkoord spreekt in het kader van ‘Grip op migratie’ van akkoorden over terugkeer met derde landen.</w:t>
      </w:r>
      <w:r w:rsidRPr="009E29D6">
        <w:rPr>
          <w:rStyle w:val="Voetnootmarkering"/>
          <w:szCs w:val="18"/>
          <w:lang w:val="nl-NL"/>
        </w:rPr>
        <w:footnoteReference w:id="1"/>
      </w:r>
      <w:r w:rsidRPr="006C50CD">
        <w:rPr>
          <w:szCs w:val="18"/>
          <w:lang w:val="nl-NL"/>
        </w:rPr>
        <w:t xml:space="preserve"> </w:t>
      </w:r>
      <w:r>
        <w:rPr>
          <w:szCs w:val="18"/>
          <w:lang w:val="nl-NL"/>
        </w:rPr>
        <w:t xml:space="preserve">Binnen </w:t>
      </w:r>
      <w:r w:rsidRPr="006C50CD">
        <w:rPr>
          <w:szCs w:val="18"/>
          <w:lang w:val="nl-NL"/>
        </w:rPr>
        <w:t xml:space="preserve">het terugkeerbeleid wordt </w:t>
      </w:r>
      <w:proofErr w:type="gramStart"/>
      <w:r w:rsidRPr="006C50CD">
        <w:rPr>
          <w:szCs w:val="18"/>
          <w:lang w:val="nl-NL"/>
        </w:rPr>
        <w:t>er naar</w:t>
      </w:r>
      <w:proofErr w:type="gramEnd"/>
      <w:r w:rsidRPr="006C50CD">
        <w:rPr>
          <w:szCs w:val="18"/>
          <w:lang w:val="nl-NL"/>
        </w:rPr>
        <w:t xml:space="preserve"> gestreefd terug- en overnameverdrag</w:t>
      </w:r>
      <w:r>
        <w:rPr>
          <w:szCs w:val="18"/>
          <w:lang w:val="nl-NL"/>
        </w:rPr>
        <w:t>en te sluiten</w:t>
      </w:r>
      <w:r w:rsidRPr="006C50CD">
        <w:rPr>
          <w:szCs w:val="18"/>
          <w:lang w:val="nl-NL"/>
        </w:rPr>
        <w:t xml:space="preserve"> met herkomstlanden van immigranten. </w:t>
      </w:r>
      <w:r w:rsidRPr="000645B5" w:rsidR="00986A9C">
        <w:rPr>
          <w:lang w:val="nl-NL"/>
        </w:rPr>
        <w:t xml:space="preserve">Hierbij gaat het niet uitsluitend om de landen van herkomst die in het kader van dat beleid als prioritaire migratielanden zijn aangemerkt. </w:t>
      </w:r>
      <w:bookmarkStart w:name="_Hlk183422063" w:id="0"/>
      <w:r w:rsidRPr="000645B5" w:rsidR="00986A9C">
        <w:rPr>
          <w:lang w:val="nl-NL"/>
        </w:rPr>
        <w:t>Het wordt van belang geacht om de internationale samenwerking in het terugkeerproces met een brede groep landen van herkomst te verbeteren en daarmee de terug- en overname van onrechtmatig verblijvende personen te bevorderen.</w:t>
      </w:r>
      <w:bookmarkEnd w:id="0"/>
    </w:p>
    <w:p w:rsidR="000E0B92" w:rsidP="00E23432" w:rsidRDefault="000E0B92" w14:paraId="361D2357" w14:textId="77777777">
      <w:pPr>
        <w:spacing w:line="276" w:lineRule="auto"/>
        <w:contextualSpacing/>
        <w:rPr>
          <w:szCs w:val="18"/>
          <w:lang w:val="nl-NL"/>
        </w:rPr>
      </w:pPr>
    </w:p>
    <w:p w:rsidR="000E0B92" w:rsidP="000E0B92" w:rsidRDefault="00864D40" w14:paraId="09EA7A63" w14:textId="539065C4">
      <w:pPr>
        <w:spacing w:line="276" w:lineRule="auto"/>
        <w:contextualSpacing/>
        <w:rPr>
          <w:rFonts w:eastAsia="Times New Roman" w:cs="Times New Roman"/>
          <w:szCs w:val="18"/>
          <w:lang w:val="nl-NL" w:eastAsia="nl-NL"/>
        </w:rPr>
      </w:pPr>
      <w:r w:rsidRPr="006C50CD">
        <w:rPr>
          <w:szCs w:val="18"/>
          <w:lang w:val="nl-NL"/>
        </w:rPr>
        <w:t xml:space="preserve">De </w:t>
      </w:r>
      <w:r w:rsidR="00247A97">
        <w:rPr>
          <w:szCs w:val="18"/>
          <w:lang w:val="nl-NL"/>
        </w:rPr>
        <w:t xml:space="preserve">op 14 februari te Brussel tot stand gekomen </w:t>
      </w:r>
      <w:r>
        <w:rPr>
          <w:szCs w:val="18"/>
          <w:lang w:val="nl-NL"/>
        </w:rPr>
        <w:t>O</w:t>
      </w:r>
      <w:r w:rsidRPr="003E20ED">
        <w:rPr>
          <w:szCs w:val="18"/>
          <w:lang w:val="nl-NL"/>
        </w:rPr>
        <w:t xml:space="preserve">vereenkomst tussen de Benelux-Staten en </w:t>
      </w:r>
      <w:r>
        <w:rPr>
          <w:szCs w:val="18"/>
          <w:lang w:val="nl-NL"/>
        </w:rPr>
        <w:t>Suriname</w:t>
      </w:r>
      <w:r w:rsidRPr="006C50CD">
        <w:rPr>
          <w:szCs w:val="18"/>
          <w:lang w:val="nl-NL"/>
        </w:rPr>
        <w:t xml:space="preserve"> betreffende de terug- en overname van onregelmatig binnengekomen en/of verblijvende personen (hierna te noemen: het Verdrag), met Uitvoeringsprotoco</w:t>
      </w:r>
      <w:r>
        <w:rPr>
          <w:szCs w:val="18"/>
          <w:lang w:val="nl-NL"/>
        </w:rPr>
        <w:t>l met Bijlagen</w:t>
      </w:r>
      <w:r w:rsidRPr="006C50CD">
        <w:rPr>
          <w:szCs w:val="18"/>
          <w:lang w:val="nl-NL"/>
        </w:rPr>
        <w:t xml:space="preserve">, </w:t>
      </w:r>
      <w:r>
        <w:rPr>
          <w:szCs w:val="18"/>
          <w:lang w:val="nl-NL"/>
        </w:rPr>
        <w:t>regelt</w:t>
      </w:r>
      <w:r w:rsidRPr="00880A21">
        <w:rPr>
          <w:szCs w:val="18"/>
          <w:lang w:val="nl-NL"/>
        </w:rPr>
        <w:t xml:space="preserve"> de verplichtingen over en weer tussen de Benelux-staten enerzijds en </w:t>
      </w:r>
      <w:r>
        <w:rPr>
          <w:szCs w:val="18"/>
          <w:lang w:val="nl-NL"/>
        </w:rPr>
        <w:t>Suriname</w:t>
      </w:r>
      <w:r w:rsidRPr="00880A21">
        <w:rPr>
          <w:szCs w:val="18"/>
          <w:lang w:val="nl-NL"/>
        </w:rPr>
        <w:t xml:space="preserve"> anderzijds in het kader van de terugname van eigen onderdanen dan wel de overname van onderdanen van </w:t>
      </w:r>
      <w:r>
        <w:rPr>
          <w:szCs w:val="18"/>
          <w:lang w:val="nl-NL"/>
        </w:rPr>
        <w:t>andere</w:t>
      </w:r>
      <w:r w:rsidRPr="00880A21">
        <w:rPr>
          <w:szCs w:val="18"/>
          <w:lang w:val="nl-NL"/>
        </w:rPr>
        <w:t xml:space="preserve"> staten die niet of niet langer rechtmatig verblijven op het grondgebied van één van de verdragsluitende partijen. Het gaat daarbij om de procedures en bewijsregels voor het vaststellen van de nationaliteit van betrokkene, het aanvragen van eventueel benodigde vervangende reisdocumenten en regels betreffende daadwerkelijke terugkeer.</w:t>
      </w:r>
      <w:r w:rsidRPr="002836DA" w:rsidR="000E0B92">
        <w:rPr>
          <w:szCs w:val="18"/>
          <w:lang w:val="nl-NL"/>
        </w:rPr>
        <w:t xml:space="preserve"> </w:t>
      </w:r>
      <w:r w:rsidRPr="00475FD5" w:rsidR="00271585">
        <w:rPr>
          <w:rFonts w:eastAsia="Times New Roman" w:cs="Times New Roman"/>
          <w:szCs w:val="18"/>
          <w:lang w:val="nl-NL" w:eastAsia="nl-NL"/>
        </w:rPr>
        <w:t xml:space="preserve">De praktijk </w:t>
      </w:r>
      <w:r w:rsidR="00D700F2">
        <w:rPr>
          <w:rFonts w:eastAsia="Times New Roman" w:cs="Times New Roman"/>
          <w:szCs w:val="18"/>
          <w:lang w:val="nl-NL" w:eastAsia="nl-NL"/>
        </w:rPr>
        <w:t>leert</w:t>
      </w:r>
      <w:r w:rsidRPr="00475FD5" w:rsidR="00271585">
        <w:rPr>
          <w:rFonts w:eastAsia="Times New Roman" w:cs="Times New Roman"/>
          <w:szCs w:val="18"/>
          <w:lang w:val="nl-NL" w:eastAsia="nl-NL"/>
        </w:rPr>
        <w:t xml:space="preserve"> dat dergelijke afspraken</w:t>
      </w:r>
      <w:r w:rsidR="00D700F2">
        <w:rPr>
          <w:rFonts w:eastAsia="Times New Roman" w:cs="Times New Roman"/>
          <w:szCs w:val="18"/>
          <w:lang w:val="nl-NL" w:eastAsia="nl-NL"/>
        </w:rPr>
        <w:t>,</w:t>
      </w:r>
      <w:r w:rsidRPr="00475FD5" w:rsidR="00271585">
        <w:rPr>
          <w:rFonts w:eastAsia="Times New Roman" w:cs="Times New Roman"/>
          <w:szCs w:val="18"/>
          <w:lang w:val="nl-NL" w:eastAsia="nl-NL"/>
        </w:rPr>
        <w:t xml:space="preserve"> de procedures die moeten leiden tot het vaststellen van de identiteit en nationaliteit van vreemdelingen aanzienlijk bekorten</w:t>
      </w:r>
      <w:r w:rsidR="00FB59F6">
        <w:rPr>
          <w:rFonts w:eastAsia="Times New Roman" w:cs="Times New Roman"/>
          <w:szCs w:val="18"/>
          <w:lang w:val="nl-NL" w:eastAsia="nl-NL"/>
        </w:rPr>
        <w:t xml:space="preserve">. </w:t>
      </w:r>
      <w:r w:rsidR="00384E2B">
        <w:rPr>
          <w:rFonts w:eastAsia="Times New Roman" w:cs="Times New Roman"/>
          <w:szCs w:val="18"/>
          <w:lang w:val="nl-NL" w:eastAsia="nl-NL"/>
        </w:rPr>
        <w:t xml:space="preserve">Hoewel de terugkeersamenwerking met Suriname </w:t>
      </w:r>
      <w:r w:rsidR="0029432E">
        <w:rPr>
          <w:rFonts w:eastAsia="Times New Roman" w:cs="Times New Roman"/>
          <w:szCs w:val="18"/>
          <w:lang w:val="nl-NL" w:eastAsia="nl-NL"/>
        </w:rPr>
        <w:t>thans</w:t>
      </w:r>
      <w:r w:rsidR="00384E2B">
        <w:rPr>
          <w:rFonts w:eastAsia="Times New Roman" w:cs="Times New Roman"/>
          <w:szCs w:val="18"/>
          <w:lang w:val="nl-NL" w:eastAsia="nl-NL"/>
        </w:rPr>
        <w:t xml:space="preserve"> redelijk goed verloopt, was er nog geen sprake van een juridisch bindend instrument. Ve</w:t>
      </w:r>
      <w:r w:rsidR="00FB59F6">
        <w:rPr>
          <w:rFonts w:eastAsia="Times New Roman" w:cs="Times New Roman"/>
          <w:szCs w:val="18"/>
          <w:lang w:val="nl-NL" w:eastAsia="nl-NL"/>
        </w:rPr>
        <w:t xml:space="preserve">rwachting is dat dit Verdrag het </w:t>
      </w:r>
      <w:r w:rsidRPr="00475FD5" w:rsidR="00271585">
        <w:rPr>
          <w:rFonts w:eastAsia="Times New Roman" w:cs="Times New Roman"/>
          <w:szCs w:val="18"/>
          <w:lang w:val="nl-NL" w:eastAsia="nl-NL"/>
        </w:rPr>
        <w:t xml:space="preserve">terugkeerproces </w:t>
      </w:r>
      <w:r w:rsidR="00FB59F6">
        <w:rPr>
          <w:rFonts w:eastAsia="Times New Roman" w:cs="Times New Roman"/>
          <w:szCs w:val="18"/>
          <w:lang w:val="nl-NL" w:eastAsia="nl-NL"/>
        </w:rPr>
        <w:t xml:space="preserve">tussen Suriname en Nederland </w:t>
      </w:r>
      <w:r w:rsidR="0029432E">
        <w:rPr>
          <w:rFonts w:eastAsia="Times New Roman" w:cs="Times New Roman"/>
          <w:szCs w:val="18"/>
          <w:lang w:val="nl-NL" w:eastAsia="nl-NL"/>
        </w:rPr>
        <w:t xml:space="preserve">verder </w:t>
      </w:r>
      <w:r w:rsidR="00384E2B">
        <w:rPr>
          <w:rFonts w:eastAsia="Times New Roman" w:cs="Times New Roman"/>
          <w:szCs w:val="18"/>
          <w:lang w:val="nl-NL" w:eastAsia="nl-NL"/>
        </w:rPr>
        <w:t>verbetert</w:t>
      </w:r>
      <w:r w:rsidR="00D51F56">
        <w:rPr>
          <w:rFonts w:eastAsia="Times New Roman" w:cs="Times New Roman"/>
          <w:szCs w:val="18"/>
          <w:lang w:val="nl-NL" w:eastAsia="nl-NL"/>
        </w:rPr>
        <w:t>.</w:t>
      </w:r>
      <w:r w:rsidR="00FB59F6">
        <w:rPr>
          <w:rFonts w:eastAsia="Times New Roman" w:cs="Times New Roman"/>
          <w:szCs w:val="18"/>
          <w:lang w:val="nl-NL" w:eastAsia="nl-NL"/>
        </w:rPr>
        <w:t xml:space="preserve"> </w:t>
      </w:r>
      <w:r w:rsidRPr="00FB59F6" w:rsidR="00FB59F6">
        <w:rPr>
          <w:szCs w:val="18"/>
          <w:lang w:val="nl-NL"/>
        </w:rPr>
        <w:t xml:space="preserve">België heeft </w:t>
      </w:r>
      <w:r w:rsidR="00FB59F6">
        <w:rPr>
          <w:szCs w:val="18"/>
          <w:lang w:val="nl-NL"/>
        </w:rPr>
        <w:t xml:space="preserve">namens de Benelux-staten </w:t>
      </w:r>
      <w:r w:rsidRPr="00FB59F6" w:rsidR="00FB59F6">
        <w:rPr>
          <w:szCs w:val="18"/>
          <w:lang w:val="nl-NL"/>
        </w:rPr>
        <w:t>de onderhandelingen over de terug- en overnameovereenkomst met Suriname geleid</w:t>
      </w:r>
      <w:r w:rsidR="00FB59F6">
        <w:rPr>
          <w:rFonts w:eastAsia="Times New Roman" w:cs="Times New Roman"/>
          <w:szCs w:val="18"/>
          <w:lang w:val="nl-NL" w:eastAsia="nl-NL"/>
        </w:rPr>
        <w:t xml:space="preserve">. </w:t>
      </w:r>
    </w:p>
    <w:p w:rsidR="00277167" w:rsidP="000E0B92" w:rsidRDefault="00277167" w14:paraId="0B4A8213" w14:textId="77777777">
      <w:pPr>
        <w:spacing w:line="276" w:lineRule="auto"/>
        <w:contextualSpacing/>
        <w:rPr>
          <w:rFonts w:eastAsia="Times New Roman" w:cs="Times New Roman"/>
          <w:szCs w:val="18"/>
          <w:lang w:val="nl-NL" w:eastAsia="nl-NL"/>
        </w:rPr>
      </w:pPr>
    </w:p>
    <w:p w:rsidR="00277167" w:rsidP="000E0B92" w:rsidRDefault="00277167" w14:paraId="56E05D86" w14:textId="1E166F3B">
      <w:pPr>
        <w:spacing w:line="276" w:lineRule="auto"/>
        <w:contextualSpacing/>
        <w:rPr>
          <w:szCs w:val="18"/>
          <w:lang w:val="nl-NL"/>
        </w:rPr>
      </w:pPr>
      <w:r w:rsidRPr="00277167">
        <w:rPr>
          <w:szCs w:val="18"/>
          <w:lang w:val="nl-NL"/>
        </w:rPr>
        <w:t>Het Verdrag is gekoppeld aan de</w:t>
      </w:r>
      <w:r w:rsidR="00B85F34">
        <w:rPr>
          <w:szCs w:val="18"/>
          <w:lang w:val="nl-NL"/>
        </w:rPr>
        <w:t xml:space="preserve"> eveneens op 14 februari 2025 te Brussel tot stand gekomen</w:t>
      </w:r>
      <w:r w:rsidRPr="00277167">
        <w:rPr>
          <w:szCs w:val="18"/>
          <w:lang w:val="nl-NL"/>
        </w:rPr>
        <w:t xml:space="preserve"> Overeenkomst</w:t>
      </w:r>
      <w:r w:rsidR="00B85F34">
        <w:rPr>
          <w:szCs w:val="18"/>
          <w:lang w:val="nl-NL"/>
        </w:rPr>
        <w:t xml:space="preserve"> tussen de Benelux-Staten en de Republiek Suriname</w:t>
      </w:r>
      <w:r w:rsidRPr="00277167">
        <w:rPr>
          <w:szCs w:val="18"/>
          <w:lang w:val="nl-NL"/>
        </w:rPr>
        <w:t xml:space="preserve"> </w:t>
      </w:r>
      <w:proofErr w:type="gramStart"/>
      <w:r w:rsidRPr="00277167">
        <w:rPr>
          <w:szCs w:val="18"/>
          <w:lang w:val="nl-NL"/>
        </w:rPr>
        <w:t>inzake</w:t>
      </w:r>
      <w:proofErr w:type="gramEnd"/>
      <w:r w:rsidRPr="00277167">
        <w:rPr>
          <w:szCs w:val="18"/>
          <w:lang w:val="nl-NL"/>
        </w:rPr>
        <w:t xml:space="preserve"> de vrijstelling van de visumplicht voor houders van een </w:t>
      </w:r>
      <w:r w:rsidR="00B85F34">
        <w:rPr>
          <w:szCs w:val="18"/>
          <w:lang w:val="nl-NL"/>
        </w:rPr>
        <w:t xml:space="preserve">geldig </w:t>
      </w:r>
      <w:r w:rsidRPr="00277167">
        <w:rPr>
          <w:szCs w:val="18"/>
          <w:lang w:val="nl-NL"/>
        </w:rPr>
        <w:t>diplomatiek</w:t>
      </w:r>
      <w:r w:rsidR="00925AA9">
        <w:rPr>
          <w:szCs w:val="18"/>
          <w:lang w:val="nl-NL"/>
        </w:rPr>
        <w:t xml:space="preserve"> of dienst</w:t>
      </w:r>
      <w:r w:rsidRPr="00277167">
        <w:rPr>
          <w:szCs w:val="18"/>
          <w:lang w:val="nl-NL"/>
        </w:rPr>
        <w:t>paspoort</w:t>
      </w:r>
      <w:r w:rsidR="00B85F34">
        <w:rPr>
          <w:szCs w:val="18"/>
          <w:lang w:val="nl-NL"/>
        </w:rPr>
        <w:t xml:space="preserve"> (</w:t>
      </w:r>
      <w:proofErr w:type="spellStart"/>
      <w:r w:rsidR="00B85F34">
        <w:rPr>
          <w:i/>
          <w:iCs/>
          <w:szCs w:val="18"/>
          <w:lang w:val="nl-NL"/>
        </w:rPr>
        <w:t>Trb</w:t>
      </w:r>
      <w:proofErr w:type="spellEnd"/>
      <w:r w:rsidR="00B85F34">
        <w:rPr>
          <w:i/>
          <w:iCs/>
          <w:szCs w:val="18"/>
          <w:lang w:val="nl-NL"/>
        </w:rPr>
        <w:t>.</w:t>
      </w:r>
      <w:r w:rsidR="00B85F34">
        <w:rPr>
          <w:szCs w:val="18"/>
          <w:lang w:val="nl-NL"/>
        </w:rPr>
        <w:t xml:space="preserve"> 2025, 15)</w:t>
      </w:r>
      <w:r w:rsidRPr="00277167">
        <w:rPr>
          <w:szCs w:val="18"/>
          <w:lang w:val="nl-NL"/>
        </w:rPr>
        <w:t>.</w:t>
      </w:r>
    </w:p>
    <w:p w:rsidRPr="006C50CD" w:rsidR="00864D40" w:rsidP="00E23432" w:rsidRDefault="00864D40" w14:paraId="564A482B" w14:textId="77777777">
      <w:pPr>
        <w:spacing w:line="276" w:lineRule="auto"/>
        <w:contextualSpacing/>
        <w:rPr>
          <w:szCs w:val="18"/>
          <w:lang w:val="nl-NL"/>
        </w:rPr>
      </w:pPr>
    </w:p>
    <w:p w:rsidRPr="00880A21" w:rsidR="00864D40" w:rsidP="00E23432" w:rsidRDefault="00864D40" w14:paraId="1FCB4FE0" w14:textId="77777777">
      <w:pPr>
        <w:pStyle w:val="Lijstalinea"/>
        <w:numPr>
          <w:ilvl w:val="1"/>
          <w:numId w:val="1"/>
        </w:numPr>
        <w:spacing w:line="276" w:lineRule="auto"/>
        <w:rPr>
          <w:iCs/>
          <w:szCs w:val="18"/>
          <w:lang w:val="nl-NL"/>
        </w:rPr>
      </w:pPr>
      <w:r w:rsidRPr="00880A21">
        <w:rPr>
          <w:iCs/>
          <w:szCs w:val="18"/>
          <w:lang w:val="nl-NL"/>
        </w:rPr>
        <w:t xml:space="preserve"> </w:t>
      </w:r>
      <w:r w:rsidRPr="00880A21">
        <w:rPr>
          <w:iCs/>
          <w:szCs w:val="18"/>
          <w:lang w:val="nl-NL"/>
        </w:rPr>
        <w:tab/>
        <w:t>De samenwerking tussen de Benelux-staten en in de EU</w:t>
      </w:r>
    </w:p>
    <w:p w:rsidRPr="006C50CD" w:rsidR="00864D40" w:rsidP="00E23432" w:rsidRDefault="00864D40" w14:paraId="55C40496" w14:textId="09918D09">
      <w:pPr>
        <w:spacing w:line="276" w:lineRule="auto"/>
        <w:contextualSpacing/>
        <w:rPr>
          <w:szCs w:val="18"/>
          <w:lang w:val="nl-NL"/>
        </w:rPr>
      </w:pPr>
      <w:r w:rsidRPr="006C50CD">
        <w:rPr>
          <w:szCs w:val="18"/>
          <w:lang w:val="nl-NL"/>
        </w:rPr>
        <w:t xml:space="preserve">Terug- en overnameverdragen waarbij het Koninkrijk der Nederlanden partij is of waaraan Nederland als lid van de Europese Unie is gebonden, worden gesloten op verschillende niveaus. Het verdragsrechtelijke kader </w:t>
      </w:r>
      <w:proofErr w:type="gramStart"/>
      <w:r w:rsidRPr="006C50CD">
        <w:rPr>
          <w:szCs w:val="18"/>
          <w:lang w:val="nl-NL"/>
        </w:rPr>
        <w:t>inzake</w:t>
      </w:r>
      <w:proofErr w:type="gramEnd"/>
      <w:r w:rsidRPr="006C50CD">
        <w:rPr>
          <w:szCs w:val="18"/>
          <w:lang w:val="nl-NL"/>
        </w:rPr>
        <w:t xml:space="preserve"> terug- en overname wordt vormgegeven door de Europese Unie en door het gezamenlijke optreden van de Benelux-staten. De Benelux-staten sluiten gezamenlijk terug- en overnameverdragen op grond van de op 11 april 1960 te Brussel tot stand gekomen Overeenkomst </w:t>
      </w:r>
      <w:r w:rsidRPr="006C50CD">
        <w:rPr>
          <w:szCs w:val="18"/>
          <w:lang w:val="nl-NL"/>
        </w:rPr>
        <w:lastRenderedPageBreak/>
        <w:t xml:space="preserve">tussen het Koninkrijk der Nederlanden, het Koninkrijk België en het Groothertogdom Luxemburg </w:t>
      </w:r>
      <w:proofErr w:type="gramStart"/>
      <w:r w:rsidRPr="006C50CD">
        <w:rPr>
          <w:szCs w:val="18"/>
          <w:lang w:val="nl-NL"/>
        </w:rPr>
        <w:t>inzake</w:t>
      </w:r>
      <w:proofErr w:type="gramEnd"/>
      <w:r w:rsidRPr="006C50CD">
        <w:rPr>
          <w:szCs w:val="18"/>
          <w:lang w:val="nl-NL"/>
        </w:rPr>
        <w:t xml:space="preserve"> de verlegging van de personencontrole naar de buitengrenzen van het Benelux-gebied.</w:t>
      </w:r>
      <w:r w:rsidRPr="006C50CD">
        <w:rPr>
          <w:rStyle w:val="Voetnootmarkering"/>
          <w:szCs w:val="18"/>
          <w:lang w:val="nl-NL"/>
        </w:rPr>
        <w:footnoteReference w:id="2"/>
      </w:r>
      <w:r w:rsidRPr="006C50CD">
        <w:rPr>
          <w:szCs w:val="18"/>
          <w:lang w:val="nl-NL"/>
        </w:rPr>
        <w:t xml:space="preserve"> De Benelux-staten bepalen in overleg met elkaar met welke herkomstlanden onderhandelingen worden geopend en welke van de Benelux-staten daarin het voortouw neemt. Daarbij is de omvang van de terugkeerproblematiek in de drie landen </w:t>
      </w:r>
      <w:proofErr w:type="gramStart"/>
      <w:r w:rsidRPr="006C50CD">
        <w:rPr>
          <w:szCs w:val="18"/>
          <w:lang w:val="nl-NL"/>
        </w:rPr>
        <w:t>mede bepalend</w:t>
      </w:r>
      <w:proofErr w:type="gramEnd"/>
      <w:r w:rsidRPr="006C50CD">
        <w:rPr>
          <w:szCs w:val="18"/>
          <w:lang w:val="nl-NL"/>
        </w:rPr>
        <w:t xml:space="preserve">. De terug- en overnameverdragen die in Benelux-verband worden gesloten, gaan in de regel vergezeld van een uitvoeringsprotocol waarin specifieke uitvoeringsbepalingen zijn opgenomen. Het uitvoeringsprotocol wordt eveneens door de Benelux-staten gezamenlijk met de verdragspartner overeengekomen. </w:t>
      </w:r>
      <w:r w:rsidRPr="006C50CD">
        <w:rPr>
          <w:rFonts w:eastAsia="Times New Roman" w:cs="Times New Roman"/>
          <w:szCs w:val="18"/>
          <w:lang w:val="nl-NL" w:eastAsia="nl-NL"/>
        </w:rPr>
        <w:t xml:space="preserve">De Benelux heeft tot nu toe terug- en overnameovereenkomsten gesloten met </w:t>
      </w:r>
      <w:r w:rsidR="00B53089">
        <w:rPr>
          <w:rFonts w:eastAsia="Times New Roman" w:cs="Times New Roman"/>
          <w:szCs w:val="18"/>
          <w:lang w:val="nl-NL" w:eastAsia="nl-NL"/>
        </w:rPr>
        <w:t>twintig staten</w:t>
      </w:r>
      <w:r w:rsidRPr="006C50CD">
        <w:rPr>
          <w:rFonts w:eastAsia="Times New Roman" w:cs="Times New Roman"/>
          <w:szCs w:val="18"/>
          <w:lang w:val="nl-NL" w:eastAsia="nl-NL"/>
        </w:rPr>
        <w:t>.</w:t>
      </w:r>
      <w:r w:rsidRPr="006C50CD">
        <w:rPr>
          <w:rStyle w:val="Voetnootmarkering"/>
          <w:rFonts w:eastAsia="Times New Roman" w:cs="Times New Roman"/>
          <w:szCs w:val="18"/>
          <w:lang w:val="nl-NL" w:eastAsia="nl-NL"/>
        </w:rPr>
        <w:footnoteReference w:id="3"/>
      </w:r>
      <w:r w:rsidRPr="006C50CD">
        <w:rPr>
          <w:rFonts w:eastAsia="Times New Roman" w:cs="Times New Roman"/>
          <w:szCs w:val="18"/>
          <w:lang w:val="nl-NL" w:eastAsia="nl-NL"/>
        </w:rPr>
        <w:t xml:space="preserve"> </w:t>
      </w:r>
    </w:p>
    <w:p w:rsidRPr="006C50CD" w:rsidR="00864D40" w:rsidP="00E23432" w:rsidRDefault="00864D40" w14:paraId="5BF0E1E1" w14:textId="77777777">
      <w:pPr>
        <w:spacing w:after="0" w:line="240" w:lineRule="atLeast"/>
        <w:contextualSpacing/>
        <w:rPr>
          <w:szCs w:val="18"/>
          <w:lang w:val="nl-NL"/>
        </w:rPr>
      </w:pPr>
    </w:p>
    <w:p w:rsidRPr="006C50CD" w:rsidR="00864D40" w:rsidP="00E23432" w:rsidRDefault="00864D40" w14:paraId="43166A73" w14:textId="48F42C98">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Daarnaast is het Europese deel van Nederland gehouden aan overnameovereenkomsten die de Europese Unie sluit. De Europese Unie is bevoegd tot het sluiten van dergelijke verdragen op grond van artikel 79, derde lid, van het Verdrag </w:t>
      </w:r>
      <w:proofErr w:type="gramStart"/>
      <w:r w:rsidRPr="006C50CD">
        <w:rPr>
          <w:rFonts w:eastAsia="Times New Roman" w:cs="Times New Roman"/>
          <w:szCs w:val="18"/>
          <w:lang w:val="nl-NL" w:eastAsia="nl-NL"/>
        </w:rPr>
        <w:t>betreffende</w:t>
      </w:r>
      <w:proofErr w:type="gramEnd"/>
      <w:r w:rsidRPr="006C50CD">
        <w:rPr>
          <w:rFonts w:eastAsia="Times New Roman" w:cs="Times New Roman"/>
          <w:szCs w:val="18"/>
          <w:lang w:val="nl-NL" w:eastAsia="nl-NL"/>
        </w:rPr>
        <w:t xml:space="preserve"> de werking van de Europese Unie (VWEU), volgens de procedure zoals bepaald in artikel 218 VWEU.</w:t>
      </w:r>
      <w:r w:rsidRPr="006C50CD">
        <w:rPr>
          <w:rStyle w:val="Voetnootmarkering"/>
          <w:rFonts w:eastAsia="Times New Roman" w:cs="Times New Roman"/>
          <w:szCs w:val="18"/>
          <w:lang w:val="nl-NL" w:eastAsia="nl-NL"/>
        </w:rPr>
        <w:footnoteReference w:id="4"/>
      </w:r>
      <w:r w:rsidRPr="006C50CD">
        <w:rPr>
          <w:rFonts w:eastAsia="Times New Roman" w:cs="Times New Roman"/>
          <w:szCs w:val="18"/>
          <w:lang w:val="nl-NL" w:eastAsia="nl-NL"/>
        </w:rPr>
        <w:t xml:space="preserve"> Op grond van artikel 218 VWEU verleent de Raad van de Europese Unie de Europese Commissie op haar voorstel een mandaat om onderhandelingen te openen met bepaalde landen. Bij de keuze van deze landen baseert de Raad zich onder meer op criteria als migratiedruk uit het desbetreffende land en de geografische ligging ten opzichte van het grondgebied van de Europese Unie. De Europese Unie heeft tot nu toe EU-overnameovereenkomsten gesloten met </w:t>
      </w:r>
      <w:r w:rsidR="00401D1E">
        <w:rPr>
          <w:rFonts w:eastAsia="Times New Roman" w:cs="Times New Roman"/>
          <w:szCs w:val="18"/>
          <w:lang w:val="nl-NL" w:eastAsia="nl-NL"/>
        </w:rPr>
        <w:t>zeventien staten</w:t>
      </w:r>
      <w:r>
        <w:rPr>
          <w:rFonts w:eastAsia="Times New Roman" w:cs="Times New Roman"/>
          <w:szCs w:val="18"/>
          <w:lang w:val="nl-NL" w:eastAsia="nl-NL"/>
        </w:rPr>
        <w:t>.</w:t>
      </w:r>
      <w:r w:rsidRPr="006C50CD">
        <w:rPr>
          <w:rStyle w:val="Voetnootmarkering"/>
          <w:rFonts w:eastAsia="Times New Roman" w:cs="Times New Roman"/>
          <w:szCs w:val="18"/>
          <w:lang w:val="nl-NL" w:eastAsia="nl-NL"/>
        </w:rPr>
        <w:footnoteReference w:id="5"/>
      </w:r>
      <w:r w:rsidRPr="006C50CD">
        <w:rPr>
          <w:rFonts w:eastAsia="Times New Roman" w:cs="Times New Roman"/>
          <w:szCs w:val="18"/>
          <w:lang w:val="nl-NL" w:eastAsia="nl-NL"/>
        </w:rPr>
        <w:t xml:space="preserve"> In 2020 is een EU-overnameovereenkomst gesloten met Belarus,</w:t>
      </w:r>
      <w:r w:rsidRPr="006C50CD">
        <w:rPr>
          <w:rStyle w:val="Voetnootmarkering"/>
          <w:rFonts w:eastAsia="Times New Roman" w:cs="Times New Roman"/>
          <w:szCs w:val="18"/>
          <w:lang w:val="nl-NL" w:eastAsia="nl-NL"/>
        </w:rPr>
        <w:footnoteReference w:id="6"/>
      </w:r>
      <w:r w:rsidRPr="006C50CD">
        <w:rPr>
          <w:rFonts w:eastAsia="Times New Roman" w:cs="Times New Roman"/>
          <w:szCs w:val="18"/>
          <w:lang w:val="nl-NL" w:eastAsia="nl-NL"/>
        </w:rPr>
        <w:t xml:space="preserve"> maar deze overeenkomst heeft Belarus in oktober 2021 opgeschort. Zolang de Europese Unie geen gebruik maakt van haar bevoegdheid een EU-overnameovereenkomst te sluiten, blijven de lidstaten bevoegd dat zelf, op bilateraal, of zoals in het geval door de Benelux-staten op multilateraal niveau, te doen.</w:t>
      </w:r>
    </w:p>
    <w:p w:rsidRPr="006C50CD" w:rsidR="00864D40" w:rsidP="00E23432" w:rsidRDefault="00864D40" w14:paraId="4DFEA554" w14:textId="77777777">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 </w:t>
      </w:r>
    </w:p>
    <w:p w:rsidR="00864D40" w:rsidP="00E23432" w:rsidRDefault="00864D40" w14:paraId="3D196267" w14:textId="72655C58">
      <w:pPr>
        <w:spacing w:after="0" w:line="240" w:lineRule="atLeast"/>
        <w:contextualSpacing/>
        <w:rPr>
          <w:szCs w:val="18"/>
          <w:lang w:val="nl-NL"/>
        </w:rPr>
      </w:pPr>
      <w:r w:rsidRPr="006C50CD">
        <w:rPr>
          <w:rFonts w:eastAsia="Times New Roman" w:cs="Times New Roman"/>
          <w:szCs w:val="18"/>
          <w:lang w:val="nl-NL" w:eastAsia="nl-NL"/>
        </w:rPr>
        <w:t>Nederland sluit de uitvoeringsprotocollen</w:t>
      </w:r>
      <w:r>
        <w:rPr>
          <w:rFonts w:eastAsia="Times New Roman" w:cs="Times New Roman"/>
          <w:szCs w:val="18"/>
          <w:lang w:val="nl-NL" w:eastAsia="nl-NL"/>
        </w:rPr>
        <w:t xml:space="preserve"> ter nadere uitvoering van EU-overnameovereenkomsten</w:t>
      </w:r>
      <w:r w:rsidRPr="006C50CD">
        <w:rPr>
          <w:rFonts w:eastAsia="Times New Roman" w:cs="Times New Roman"/>
          <w:szCs w:val="18"/>
          <w:lang w:val="nl-NL" w:eastAsia="nl-NL"/>
        </w:rPr>
        <w:t xml:space="preserve"> in Benelux-verband, ingevolge de eerdergenoemde Overeenkomst inzake de verlegging van de personencontrole naar de buitengrenzen van het </w:t>
      </w:r>
      <w:proofErr w:type="gramStart"/>
      <w:r w:rsidRPr="006C50CD">
        <w:rPr>
          <w:rFonts w:eastAsia="Times New Roman" w:cs="Times New Roman"/>
          <w:szCs w:val="18"/>
          <w:lang w:val="nl-NL" w:eastAsia="nl-NL"/>
        </w:rPr>
        <w:t>Benelux gebied</w:t>
      </w:r>
      <w:proofErr w:type="gramEnd"/>
      <w:r w:rsidRPr="006C50CD">
        <w:rPr>
          <w:rFonts w:eastAsia="Times New Roman" w:cs="Times New Roman"/>
          <w:szCs w:val="18"/>
          <w:lang w:val="nl-NL" w:eastAsia="nl-NL"/>
        </w:rPr>
        <w:t xml:space="preserve">. </w:t>
      </w:r>
      <w:r w:rsidRPr="006C50CD">
        <w:rPr>
          <w:szCs w:val="18"/>
          <w:lang w:val="nl-NL"/>
        </w:rPr>
        <w:t xml:space="preserve">Het uitvoeringsprotocol biedt de partijen de mogelijkheid nadere afspraken te maken over de praktische uitvoering van de in de terug- en overnameovereenkomst overeengekomen bepalingen en over de concrete samenwerking tussen de uitvoerende diensten die hiervoor verantwoordelijk zijn. Er zijn tot nu toe uitvoeringsprotocollen gesloten met </w:t>
      </w:r>
      <w:r w:rsidR="005E2BAF">
        <w:rPr>
          <w:szCs w:val="18"/>
          <w:lang w:val="nl-NL"/>
        </w:rPr>
        <w:t>tien staten</w:t>
      </w:r>
      <w:r w:rsidRPr="006C50CD">
        <w:rPr>
          <w:szCs w:val="18"/>
          <w:lang w:val="nl-NL"/>
        </w:rPr>
        <w:t>.</w:t>
      </w:r>
      <w:r w:rsidRPr="006C50CD">
        <w:rPr>
          <w:rStyle w:val="Voetnootmarkering"/>
          <w:szCs w:val="18"/>
          <w:lang w:val="nl-NL"/>
        </w:rPr>
        <w:footnoteReference w:id="7"/>
      </w:r>
    </w:p>
    <w:p w:rsidRPr="006C50CD" w:rsidR="00864D40" w:rsidP="00E23432" w:rsidRDefault="00864D40" w14:paraId="11E0EFEC" w14:textId="77777777">
      <w:pPr>
        <w:spacing w:after="0" w:line="240" w:lineRule="atLeast"/>
        <w:contextualSpacing/>
        <w:rPr>
          <w:szCs w:val="18"/>
          <w:lang w:val="nl-NL"/>
        </w:rPr>
      </w:pPr>
    </w:p>
    <w:p w:rsidRPr="006C50CD" w:rsidR="00864D40" w:rsidP="00E23432" w:rsidRDefault="00864D40" w14:paraId="7D60F6CA" w14:textId="77777777">
      <w:pPr>
        <w:spacing w:after="0" w:line="240" w:lineRule="atLeast"/>
        <w:contextualSpacing/>
        <w:rPr>
          <w:szCs w:val="18"/>
          <w:lang w:val="nl-NL"/>
        </w:rPr>
      </w:pPr>
    </w:p>
    <w:p w:rsidRPr="00880A21" w:rsidR="00864D40" w:rsidP="00E23432" w:rsidRDefault="00864D40" w14:paraId="0BE89D38" w14:textId="77777777">
      <w:pPr>
        <w:pStyle w:val="Lijstalinea"/>
        <w:numPr>
          <w:ilvl w:val="1"/>
          <w:numId w:val="2"/>
        </w:numPr>
        <w:spacing w:after="0" w:line="240" w:lineRule="atLeast"/>
        <w:outlineLvl w:val="4"/>
        <w:rPr>
          <w:rFonts w:eastAsia="Times New Roman" w:cs="Times New Roman"/>
          <w:szCs w:val="18"/>
          <w:lang w:val="nl-NL" w:eastAsia="nl-NL"/>
        </w:rPr>
      </w:pPr>
      <w:r w:rsidRPr="00880A21">
        <w:rPr>
          <w:rFonts w:eastAsia="Times New Roman" w:cs="Times New Roman"/>
          <w:szCs w:val="18"/>
          <w:lang w:val="nl-NL" w:eastAsia="nl-NL"/>
        </w:rPr>
        <w:t xml:space="preserve"> </w:t>
      </w:r>
      <w:r w:rsidRPr="00880A21">
        <w:rPr>
          <w:rFonts w:eastAsia="Times New Roman" w:cs="Times New Roman"/>
          <w:szCs w:val="18"/>
          <w:lang w:val="nl-NL" w:eastAsia="nl-NL"/>
        </w:rPr>
        <w:tab/>
        <w:t xml:space="preserve">Inhoud van het </w:t>
      </w:r>
      <w:r>
        <w:rPr>
          <w:rFonts w:eastAsia="Times New Roman" w:cs="Times New Roman"/>
          <w:szCs w:val="18"/>
          <w:lang w:val="nl-NL" w:eastAsia="nl-NL"/>
        </w:rPr>
        <w:t>Verdrag</w:t>
      </w:r>
      <w:r w:rsidRPr="00880A21">
        <w:rPr>
          <w:rFonts w:eastAsia="Times New Roman" w:cs="Times New Roman"/>
          <w:szCs w:val="18"/>
          <w:lang w:val="nl-NL" w:eastAsia="nl-NL"/>
        </w:rPr>
        <w:t xml:space="preserve"> en het </w:t>
      </w:r>
      <w:r>
        <w:rPr>
          <w:rFonts w:eastAsia="Times New Roman" w:cs="Times New Roman"/>
          <w:szCs w:val="18"/>
          <w:lang w:val="nl-NL" w:eastAsia="nl-NL"/>
        </w:rPr>
        <w:t>U</w:t>
      </w:r>
      <w:r w:rsidRPr="00880A21">
        <w:rPr>
          <w:rFonts w:eastAsia="Times New Roman" w:cs="Times New Roman"/>
          <w:szCs w:val="18"/>
          <w:lang w:val="nl-NL" w:eastAsia="nl-NL"/>
        </w:rPr>
        <w:t>itvoeringsprotocol</w:t>
      </w:r>
    </w:p>
    <w:p w:rsidRPr="006C50CD" w:rsidR="00864D40" w:rsidP="00E23432" w:rsidRDefault="00864D40" w14:paraId="75E42E4E" w14:textId="77777777">
      <w:pPr>
        <w:spacing w:after="0" w:line="240" w:lineRule="atLeast"/>
        <w:contextualSpacing/>
        <w:outlineLvl w:val="4"/>
        <w:rPr>
          <w:rFonts w:eastAsia="Times New Roman" w:cs="Times New Roman"/>
          <w:i/>
          <w:iCs/>
          <w:szCs w:val="18"/>
          <w:lang w:val="nl-NL" w:eastAsia="nl-NL"/>
        </w:rPr>
      </w:pPr>
    </w:p>
    <w:p w:rsidR="00864D40" w:rsidP="00E23432" w:rsidRDefault="00864D40" w14:paraId="4DD152AF" w14:textId="5A8DAE69">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De </w:t>
      </w:r>
      <w:r>
        <w:rPr>
          <w:rFonts w:eastAsia="Times New Roman" w:cs="Times New Roman"/>
          <w:szCs w:val="18"/>
          <w:lang w:val="nl-NL" w:eastAsia="nl-NL"/>
        </w:rPr>
        <w:t xml:space="preserve">terug- en </w:t>
      </w:r>
      <w:r w:rsidRPr="006C50CD">
        <w:rPr>
          <w:rFonts w:eastAsia="Times New Roman" w:cs="Times New Roman"/>
          <w:szCs w:val="18"/>
          <w:lang w:val="nl-NL" w:eastAsia="nl-NL"/>
        </w:rPr>
        <w:t xml:space="preserve">overnameovereenkomsten beogen de feitelijke uitzetting van vreemdelingen, ten aanzien van wie op basis van het nationale recht de verplichting bestaat om een lidstaat te verlaten, </w:t>
      </w:r>
      <w:r w:rsidRPr="006C50CD">
        <w:rPr>
          <w:rFonts w:eastAsia="Times New Roman" w:cs="Times New Roman"/>
          <w:szCs w:val="18"/>
          <w:lang w:val="nl-NL" w:eastAsia="nl-NL"/>
        </w:rPr>
        <w:lastRenderedPageBreak/>
        <w:t xml:space="preserve">te vergemakkelijken. Voor Nederland wordt de uitoefening van de bevoegdheid om vreemdelingen op grond van de Vreemdelingenwet 2000 uit te zetten aanzienlijk vergemakkelijkt, wanneer de aangezochte Staat erkent onder bepaalde omstandigheden tot terug- of overname verplicht te zijn. De </w:t>
      </w:r>
      <w:r>
        <w:rPr>
          <w:rFonts w:eastAsia="Times New Roman" w:cs="Times New Roman"/>
          <w:szCs w:val="18"/>
          <w:lang w:val="nl-NL" w:eastAsia="nl-NL"/>
        </w:rPr>
        <w:t>terug</w:t>
      </w:r>
      <w:r w:rsidRPr="006C50CD">
        <w:rPr>
          <w:rFonts w:eastAsia="Times New Roman" w:cs="Times New Roman"/>
          <w:szCs w:val="18"/>
          <w:lang w:val="nl-NL" w:eastAsia="nl-NL"/>
        </w:rPr>
        <w:t xml:space="preserve">nameovereenkomst met </w:t>
      </w:r>
      <w:r>
        <w:rPr>
          <w:rFonts w:eastAsia="Times New Roman" w:cs="Times New Roman"/>
          <w:szCs w:val="18"/>
          <w:lang w:val="nl-NL" w:eastAsia="nl-NL"/>
        </w:rPr>
        <w:t>Suriname</w:t>
      </w:r>
      <w:r w:rsidRPr="006C50CD">
        <w:rPr>
          <w:rFonts w:eastAsia="Times New Roman" w:cs="Times New Roman"/>
          <w:szCs w:val="18"/>
          <w:lang w:val="nl-NL" w:eastAsia="nl-NL"/>
        </w:rPr>
        <w:t xml:space="preserve"> bevat de voorwaarden waaronder de partijen gehouden zijn eigen onderdanen terug te nemen, evenals procedurele bepalingen met betrekking tot het indienen en beantwoorden van een verzoek voor terug- of overname.</w:t>
      </w:r>
      <w:r>
        <w:rPr>
          <w:rFonts w:eastAsia="Times New Roman" w:cs="Times New Roman"/>
          <w:szCs w:val="18"/>
          <w:lang w:val="nl-NL" w:eastAsia="nl-NL"/>
        </w:rPr>
        <w:t xml:space="preserve"> </w:t>
      </w:r>
    </w:p>
    <w:p w:rsidR="00864D40" w:rsidP="00E23432" w:rsidRDefault="00864D40" w14:paraId="725DD039" w14:textId="77777777">
      <w:pPr>
        <w:spacing w:after="0" w:line="240" w:lineRule="atLeast"/>
        <w:contextualSpacing/>
        <w:rPr>
          <w:rFonts w:eastAsia="Times New Roman" w:cs="Times New Roman"/>
          <w:szCs w:val="18"/>
          <w:lang w:val="nl-NL" w:eastAsia="nl-NL"/>
        </w:rPr>
      </w:pPr>
    </w:p>
    <w:p w:rsidR="00864D40" w:rsidP="00E23432" w:rsidRDefault="00864D40" w14:paraId="140A13F2" w14:textId="7EDC9222">
      <w:pPr>
        <w:spacing w:after="0" w:line="240" w:lineRule="atLeast"/>
        <w:contextualSpacing/>
        <w:rPr>
          <w:rFonts w:eastAsia="Times New Roman" w:cs="Times New Roman"/>
          <w:szCs w:val="18"/>
          <w:lang w:val="nl-NL" w:eastAsia="nl-NL"/>
        </w:rPr>
      </w:pPr>
      <w:r>
        <w:rPr>
          <w:rFonts w:eastAsia="Times New Roman" w:cs="Times New Roman"/>
          <w:szCs w:val="18"/>
          <w:lang w:val="nl-NL" w:eastAsia="nl-NL"/>
        </w:rPr>
        <w:t>Het Verdrag regelt naast de terugname van eigen onderdanen ook de overname van onderdanen van derde landen. Het Verdrag</w:t>
      </w:r>
      <w:r w:rsidRPr="006C50CD">
        <w:rPr>
          <w:rFonts w:eastAsia="Times New Roman" w:cs="Times New Roman"/>
          <w:szCs w:val="18"/>
          <w:lang w:val="nl-NL" w:eastAsia="nl-NL"/>
        </w:rPr>
        <w:t xml:space="preserve"> regelt voorts de voorwaarden waaronder en de wijze waarop partijen gehouden zijn de doorgeleiding over elkaars grondgebied toe te staan van naar derde landen te verwijderen personen. </w:t>
      </w:r>
    </w:p>
    <w:p w:rsidR="00D51F56" w:rsidP="00E23432" w:rsidRDefault="00D51F56" w14:paraId="5E2F430B" w14:textId="77777777">
      <w:pPr>
        <w:spacing w:after="0" w:line="240" w:lineRule="atLeast"/>
        <w:contextualSpacing/>
        <w:rPr>
          <w:rFonts w:eastAsia="Times New Roman" w:cs="Times New Roman"/>
          <w:szCs w:val="18"/>
          <w:lang w:val="nl-NL" w:eastAsia="nl-NL"/>
        </w:rPr>
      </w:pPr>
    </w:p>
    <w:p w:rsidRPr="006C50CD" w:rsidR="00D51F56" w:rsidP="00024CEA" w:rsidRDefault="009012ED" w14:paraId="055185F9" w14:textId="732B787A">
      <w:pPr>
        <w:spacing w:after="0" w:line="240" w:lineRule="atLeast"/>
        <w:contextualSpacing/>
        <w:rPr>
          <w:rFonts w:eastAsia="Times New Roman" w:cs="Times New Roman"/>
          <w:szCs w:val="18"/>
          <w:lang w:val="nl-NL" w:eastAsia="nl-NL"/>
        </w:rPr>
      </w:pPr>
      <w:r>
        <w:rPr>
          <w:rFonts w:eastAsia="Times New Roman" w:cs="Times New Roman"/>
          <w:szCs w:val="18"/>
          <w:lang w:val="nl-NL" w:eastAsia="nl-NL"/>
        </w:rPr>
        <w:t xml:space="preserve">De uitvoerende autoriteiten van </w:t>
      </w:r>
      <w:r w:rsidRPr="00A5143F" w:rsidR="00A5143F">
        <w:rPr>
          <w:rFonts w:eastAsia="Times New Roman" w:cs="Times New Roman"/>
          <w:szCs w:val="18"/>
          <w:lang w:val="nl-NL" w:eastAsia="nl-NL"/>
        </w:rPr>
        <w:t>Nederland en Suriname</w:t>
      </w:r>
      <w:r w:rsidR="00A5143F">
        <w:rPr>
          <w:rFonts w:eastAsia="Times New Roman" w:cs="Times New Roman"/>
          <w:szCs w:val="18"/>
          <w:lang w:val="nl-NL" w:eastAsia="nl-NL"/>
        </w:rPr>
        <w:t xml:space="preserve"> voeren </w:t>
      </w:r>
      <w:r w:rsidRPr="00A5143F" w:rsidR="00A5143F">
        <w:rPr>
          <w:rFonts w:eastAsia="Times New Roman" w:cs="Times New Roman"/>
          <w:szCs w:val="18"/>
          <w:lang w:val="nl-NL" w:eastAsia="nl-NL"/>
        </w:rPr>
        <w:t>al</w:t>
      </w:r>
      <w:r w:rsidR="00A5143F">
        <w:rPr>
          <w:rFonts w:eastAsia="Times New Roman" w:cs="Times New Roman"/>
          <w:szCs w:val="18"/>
          <w:lang w:val="nl-NL" w:eastAsia="nl-NL"/>
        </w:rPr>
        <w:t xml:space="preserve"> langere tijd</w:t>
      </w:r>
      <w:r w:rsidRPr="00A5143F" w:rsidR="00A5143F">
        <w:rPr>
          <w:rFonts w:eastAsia="Times New Roman" w:cs="Times New Roman"/>
          <w:szCs w:val="18"/>
          <w:lang w:val="nl-NL" w:eastAsia="nl-NL"/>
        </w:rPr>
        <w:t xml:space="preserve"> regulier bilateraal overleg </w:t>
      </w:r>
      <w:r w:rsidR="00A5143F">
        <w:rPr>
          <w:rFonts w:eastAsia="Times New Roman" w:cs="Times New Roman"/>
          <w:szCs w:val="18"/>
          <w:lang w:val="nl-NL" w:eastAsia="nl-NL"/>
        </w:rPr>
        <w:t xml:space="preserve">over </w:t>
      </w:r>
      <w:r>
        <w:rPr>
          <w:rFonts w:eastAsia="Times New Roman" w:cs="Times New Roman"/>
          <w:szCs w:val="18"/>
          <w:lang w:val="nl-NL" w:eastAsia="nl-NL"/>
        </w:rPr>
        <w:t xml:space="preserve">de </w:t>
      </w:r>
      <w:r w:rsidR="00A5143F">
        <w:rPr>
          <w:rFonts w:eastAsia="Times New Roman" w:cs="Times New Roman"/>
          <w:szCs w:val="18"/>
          <w:lang w:val="nl-NL" w:eastAsia="nl-NL"/>
        </w:rPr>
        <w:t xml:space="preserve">terug- en overname </w:t>
      </w:r>
      <w:r>
        <w:rPr>
          <w:rFonts w:eastAsia="Times New Roman" w:cs="Times New Roman"/>
          <w:szCs w:val="18"/>
          <w:lang w:val="nl-NL" w:eastAsia="nl-NL"/>
        </w:rPr>
        <w:t>van personen</w:t>
      </w:r>
      <w:r w:rsidR="00A5143F">
        <w:rPr>
          <w:rFonts w:eastAsia="Times New Roman" w:cs="Times New Roman"/>
          <w:szCs w:val="18"/>
          <w:lang w:val="nl-NL" w:eastAsia="nl-NL"/>
        </w:rPr>
        <w:t xml:space="preserve">. </w:t>
      </w:r>
      <w:r>
        <w:rPr>
          <w:rFonts w:eastAsia="Times New Roman" w:cs="Times New Roman"/>
          <w:szCs w:val="18"/>
          <w:lang w:val="nl-NL" w:eastAsia="nl-NL"/>
        </w:rPr>
        <w:t xml:space="preserve">Om aan te sluiten bij deze praktijk en te zorgen voor een goede implementatie van het Verdrag is </w:t>
      </w:r>
      <w:r w:rsidRPr="00A5143F" w:rsidR="00A5143F">
        <w:rPr>
          <w:rFonts w:eastAsia="Times New Roman" w:cs="Times New Roman"/>
          <w:szCs w:val="18"/>
          <w:lang w:val="nl-NL" w:eastAsia="nl-NL"/>
        </w:rPr>
        <w:t xml:space="preserve">artikel 21 </w:t>
      </w:r>
      <w:r w:rsidR="00A5143F">
        <w:rPr>
          <w:rFonts w:eastAsia="Times New Roman" w:cs="Times New Roman"/>
          <w:szCs w:val="18"/>
          <w:lang w:val="nl-NL" w:eastAsia="nl-NL"/>
        </w:rPr>
        <w:t xml:space="preserve">aan het Verdrag toegevoegd. Dit artikel bepaalt dat er </w:t>
      </w:r>
      <w:r w:rsidRPr="00A5143F" w:rsidR="00A5143F">
        <w:rPr>
          <w:rFonts w:eastAsia="Times New Roman" w:cs="Times New Roman"/>
          <w:szCs w:val="18"/>
          <w:lang w:val="nl-NL" w:eastAsia="nl-NL"/>
        </w:rPr>
        <w:t>overleg</w:t>
      </w:r>
      <w:r w:rsidR="00A5143F">
        <w:rPr>
          <w:rFonts w:eastAsia="Times New Roman" w:cs="Times New Roman"/>
          <w:szCs w:val="18"/>
          <w:lang w:val="nl-NL" w:eastAsia="nl-NL"/>
        </w:rPr>
        <w:t xml:space="preserve"> tussen autoriteiten</w:t>
      </w:r>
      <w:r w:rsidRPr="00A5143F" w:rsidR="00A5143F">
        <w:rPr>
          <w:rFonts w:eastAsia="Times New Roman" w:cs="Times New Roman"/>
          <w:szCs w:val="18"/>
          <w:lang w:val="nl-NL" w:eastAsia="nl-NL"/>
        </w:rPr>
        <w:t xml:space="preserve"> </w:t>
      </w:r>
      <w:r w:rsidR="00A5143F">
        <w:rPr>
          <w:rFonts w:eastAsia="Times New Roman" w:cs="Times New Roman"/>
          <w:szCs w:val="18"/>
          <w:lang w:val="nl-NL" w:eastAsia="nl-NL"/>
        </w:rPr>
        <w:t>k</w:t>
      </w:r>
      <w:r w:rsidR="00024CEA">
        <w:rPr>
          <w:rFonts w:eastAsia="Times New Roman" w:cs="Times New Roman"/>
          <w:szCs w:val="18"/>
          <w:lang w:val="nl-NL" w:eastAsia="nl-NL"/>
        </w:rPr>
        <w:t>an</w:t>
      </w:r>
      <w:r w:rsidR="00A5143F">
        <w:rPr>
          <w:rFonts w:eastAsia="Times New Roman" w:cs="Times New Roman"/>
          <w:szCs w:val="18"/>
          <w:lang w:val="nl-NL" w:eastAsia="nl-NL"/>
        </w:rPr>
        <w:t xml:space="preserve"> plaatsvinden </w:t>
      </w:r>
      <w:r w:rsidRPr="00A5143F" w:rsidR="00A5143F">
        <w:rPr>
          <w:rFonts w:eastAsia="Times New Roman" w:cs="Times New Roman"/>
          <w:szCs w:val="18"/>
          <w:lang w:val="nl-NL" w:eastAsia="nl-NL"/>
        </w:rPr>
        <w:t>over de praktische uitvoering van het Verdrag voordat het Verdrag in werking treedt.</w:t>
      </w:r>
      <w:r w:rsidR="00024CEA">
        <w:rPr>
          <w:rFonts w:eastAsia="Times New Roman" w:cs="Times New Roman"/>
          <w:szCs w:val="18"/>
          <w:lang w:val="nl-NL" w:eastAsia="nl-NL"/>
        </w:rPr>
        <w:t xml:space="preserve"> Hiermee kan tegemoet worden gekomen aan vraagstukken die betrekking hebben op de samenwerking specifiek tussen </w:t>
      </w:r>
      <w:r>
        <w:rPr>
          <w:rFonts w:eastAsia="Times New Roman" w:cs="Times New Roman"/>
          <w:szCs w:val="18"/>
          <w:lang w:val="nl-NL" w:eastAsia="nl-NL"/>
        </w:rPr>
        <w:t>het Koninkrijk</w:t>
      </w:r>
      <w:r w:rsidR="00024CEA">
        <w:rPr>
          <w:rFonts w:eastAsia="Times New Roman" w:cs="Times New Roman"/>
          <w:szCs w:val="18"/>
          <w:lang w:val="nl-NL" w:eastAsia="nl-NL"/>
        </w:rPr>
        <w:t xml:space="preserve"> en Suriname</w:t>
      </w:r>
      <w:r w:rsidR="0029432E">
        <w:rPr>
          <w:rFonts w:eastAsia="Times New Roman" w:cs="Times New Roman"/>
          <w:szCs w:val="18"/>
          <w:lang w:val="nl-NL" w:eastAsia="nl-NL"/>
        </w:rPr>
        <w:t xml:space="preserve"> en waarover in de afgelopen jaren </w:t>
      </w:r>
      <w:proofErr w:type="gramStart"/>
      <w:r w:rsidR="0029432E">
        <w:rPr>
          <w:rFonts w:eastAsia="Times New Roman" w:cs="Times New Roman"/>
          <w:szCs w:val="18"/>
          <w:lang w:val="nl-NL" w:eastAsia="nl-NL"/>
        </w:rPr>
        <w:t>reeds</w:t>
      </w:r>
      <w:proofErr w:type="gramEnd"/>
      <w:r w:rsidR="0029432E">
        <w:rPr>
          <w:rFonts w:eastAsia="Times New Roman" w:cs="Times New Roman"/>
          <w:szCs w:val="18"/>
          <w:lang w:val="nl-NL" w:eastAsia="nl-NL"/>
        </w:rPr>
        <w:t xml:space="preserve"> afspraken zijn gemaakt (in het bijzonder t.a.v. re-integratie van terugkerende Surinaamse onderdanen)</w:t>
      </w:r>
      <w:r w:rsidR="00024CEA">
        <w:rPr>
          <w:rFonts w:eastAsia="Times New Roman" w:cs="Times New Roman"/>
          <w:szCs w:val="18"/>
          <w:lang w:val="nl-NL" w:eastAsia="nl-NL"/>
        </w:rPr>
        <w:t>. Deze bepaling wijkt af t.o.v. eerdere terug-en overnameovereenkomsten</w:t>
      </w:r>
      <w:r w:rsidR="00274953">
        <w:rPr>
          <w:rFonts w:eastAsia="Times New Roman" w:cs="Times New Roman"/>
          <w:szCs w:val="18"/>
          <w:lang w:val="nl-NL" w:eastAsia="nl-NL"/>
        </w:rPr>
        <w:t xml:space="preserve"> met andere landen</w:t>
      </w:r>
      <w:r w:rsidR="00024CEA">
        <w:rPr>
          <w:rFonts w:eastAsia="Times New Roman" w:cs="Times New Roman"/>
          <w:szCs w:val="18"/>
          <w:lang w:val="nl-NL" w:eastAsia="nl-NL"/>
        </w:rPr>
        <w:t xml:space="preserve">. </w:t>
      </w:r>
    </w:p>
    <w:p w:rsidRPr="006C50CD" w:rsidR="00864D40" w:rsidP="00E23432" w:rsidRDefault="00864D40" w14:paraId="61ABDA7E" w14:textId="77777777">
      <w:pPr>
        <w:spacing w:after="0" w:line="240" w:lineRule="atLeast"/>
        <w:contextualSpacing/>
        <w:rPr>
          <w:rFonts w:eastAsia="Times New Roman" w:cs="Times New Roman"/>
          <w:szCs w:val="18"/>
          <w:lang w:val="nl-NL" w:eastAsia="nl-NL"/>
        </w:rPr>
      </w:pPr>
    </w:p>
    <w:p w:rsidRPr="006C50CD" w:rsidR="00864D40" w:rsidP="00E23432" w:rsidRDefault="00864D40" w14:paraId="18E9FABA" w14:textId="77777777">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In het </w:t>
      </w:r>
      <w:r>
        <w:rPr>
          <w:rFonts w:eastAsia="Times New Roman" w:cs="Times New Roman"/>
          <w:szCs w:val="18"/>
          <w:lang w:val="nl-NL" w:eastAsia="nl-NL"/>
        </w:rPr>
        <w:t>U</w:t>
      </w:r>
      <w:r w:rsidRPr="006C50CD">
        <w:rPr>
          <w:rFonts w:eastAsia="Times New Roman" w:cs="Times New Roman"/>
          <w:szCs w:val="18"/>
          <w:lang w:val="nl-NL" w:eastAsia="nl-NL"/>
        </w:rPr>
        <w:t xml:space="preserve">itvoeringsprotocol worden vooral de procedurele bepalingen uit de </w:t>
      </w:r>
      <w:r>
        <w:rPr>
          <w:rFonts w:eastAsia="Times New Roman" w:cs="Times New Roman"/>
          <w:szCs w:val="18"/>
          <w:lang w:val="nl-NL" w:eastAsia="nl-NL"/>
        </w:rPr>
        <w:t>ov</w:t>
      </w:r>
      <w:r w:rsidRPr="006C50CD">
        <w:rPr>
          <w:rFonts w:eastAsia="Times New Roman" w:cs="Times New Roman"/>
          <w:szCs w:val="18"/>
          <w:lang w:val="nl-NL" w:eastAsia="nl-NL"/>
        </w:rPr>
        <w:t xml:space="preserve">ereenkomst, die door de uitvoerende diensten van de verdragsluitende partijen dienen te worden gevolgd, nader uitgewerkt. Zo worden in het </w:t>
      </w:r>
      <w:r>
        <w:rPr>
          <w:rFonts w:eastAsia="Times New Roman" w:cs="Times New Roman"/>
          <w:szCs w:val="18"/>
          <w:lang w:val="nl-NL" w:eastAsia="nl-NL"/>
        </w:rPr>
        <w:t>U</w:t>
      </w:r>
      <w:r w:rsidRPr="006C50CD">
        <w:rPr>
          <w:rFonts w:eastAsia="Times New Roman" w:cs="Times New Roman"/>
          <w:szCs w:val="18"/>
          <w:lang w:val="nl-NL" w:eastAsia="nl-NL"/>
        </w:rPr>
        <w:t xml:space="preserve">itvoeringsprotocol nadere afspraken gemaakt over de termijnen die in acht dienen te worden genomen in het kader van een terug- en overnameverzoek, de wijze van transport, de vergoeding van gemaakte kosten en de handelwijze bij doorgeleiding over elkaars grondgebied. Met de nadere uitwerking van de door de Benelux-Staten en </w:t>
      </w:r>
      <w:r>
        <w:rPr>
          <w:rFonts w:eastAsia="Times New Roman" w:cs="Times New Roman"/>
          <w:szCs w:val="18"/>
          <w:lang w:val="nl-NL" w:eastAsia="nl-NL"/>
        </w:rPr>
        <w:t>Suriname</w:t>
      </w:r>
      <w:r w:rsidRPr="006C50CD">
        <w:rPr>
          <w:rFonts w:eastAsia="Times New Roman" w:cs="Times New Roman"/>
          <w:szCs w:val="18"/>
          <w:lang w:val="nl-NL" w:eastAsia="nl-NL"/>
        </w:rPr>
        <w:t xml:space="preserve"> gemaakte afspraken wordt beoogd de concrete afhandeling van een terug- en overnameverzoek verder te bespoedigen.</w:t>
      </w:r>
    </w:p>
    <w:p w:rsidRPr="006C50CD" w:rsidR="00864D40" w:rsidP="00E23432" w:rsidRDefault="00864D40" w14:paraId="63447B13" w14:textId="77777777">
      <w:pPr>
        <w:spacing w:after="0" w:line="240" w:lineRule="atLeast"/>
        <w:contextualSpacing/>
        <w:rPr>
          <w:rFonts w:eastAsia="Times New Roman" w:cs="Times New Roman"/>
          <w:szCs w:val="18"/>
          <w:lang w:val="nl-NL" w:eastAsia="nl-NL"/>
        </w:rPr>
      </w:pPr>
    </w:p>
    <w:p w:rsidRPr="00880A21" w:rsidR="00864D40" w:rsidP="00E23432" w:rsidRDefault="00864D40" w14:paraId="55326902" w14:textId="77777777">
      <w:pPr>
        <w:pStyle w:val="Lijstalinea"/>
        <w:numPr>
          <w:ilvl w:val="1"/>
          <w:numId w:val="2"/>
        </w:numPr>
        <w:spacing w:after="0" w:line="240" w:lineRule="atLeast"/>
        <w:rPr>
          <w:rFonts w:eastAsia="Times New Roman" w:cs="Times New Roman"/>
          <w:szCs w:val="18"/>
          <w:lang w:val="nl-NL" w:eastAsia="nl-NL"/>
        </w:rPr>
      </w:pPr>
      <w:r w:rsidRPr="00880A21">
        <w:rPr>
          <w:rFonts w:eastAsia="Times New Roman" w:cs="Times New Roman"/>
          <w:szCs w:val="18"/>
          <w:lang w:val="nl-NL" w:eastAsia="nl-NL"/>
        </w:rPr>
        <w:t xml:space="preserve"> </w:t>
      </w:r>
      <w:r w:rsidRPr="00880A21">
        <w:rPr>
          <w:rFonts w:eastAsia="Times New Roman" w:cs="Times New Roman"/>
          <w:szCs w:val="18"/>
          <w:lang w:val="nl-NL" w:eastAsia="nl-NL"/>
        </w:rPr>
        <w:tab/>
      </w:r>
      <w:proofErr w:type="spellStart"/>
      <w:r w:rsidRPr="00880A21">
        <w:rPr>
          <w:rFonts w:eastAsia="Times New Roman" w:cs="Times New Roman"/>
          <w:szCs w:val="18"/>
          <w:lang w:val="nl-NL" w:eastAsia="nl-NL"/>
        </w:rPr>
        <w:t>Koninkrijkspositie</w:t>
      </w:r>
      <w:proofErr w:type="spellEnd"/>
    </w:p>
    <w:p w:rsidRPr="006C50CD" w:rsidR="00864D40" w:rsidP="00E23432" w:rsidRDefault="00864D40" w14:paraId="09F35B27" w14:textId="77777777">
      <w:pPr>
        <w:spacing w:after="0" w:line="240" w:lineRule="atLeast"/>
        <w:contextualSpacing/>
        <w:rPr>
          <w:rFonts w:eastAsia="Times New Roman" w:cs="Times New Roman"/>
          <w:szCs w:val="18"/>
          <w:lang w:val="nl-NL" w:eastAsia="nl-NL"/>
        </w:rPr>
      </w:pPr>
    </w:p>
    <w:p w:rsidRPr="00D70E57" w:rsidR="00864D40" w:rsidP="00E23432" w:rsidRDefault="00864D40" w14:paraId="57FCB072" w14:textId="573C456E">
      <w:pPr>
        <w:spacing w:after="0" w:line="240" w:lineRule="atLeast"/>
        <w:contextualSpacing/>
        <w:rPr>
          <w:rFonts w:eastAsia="Times New Roman" w:cs="Times New Roman"/>
          <w:szCs w:val="18"/>
          <w:lang w:val="nl-NL" w:eastAsia="nl-NL"/>
        </w:rPr>
      </w:pPr>
      <w:r>
        <w:rPr>
          <w:rFonts w:eastAsia="Times New Roman" w:cs="Times New Roman"/>
          <w:szCs w:val="18"/>
          <w:lang w:val="nl-NL" w:eastAsia="nl-NL"/>
        </w:rPr>
        <w:t>Het</w:t>
      </w:r>
      <w:r w:rsidRPr="006C50CD">
        <w:rPr>
          <w:rFonts w:eastAsia="Times New Roman" w:cs="Times New Roman"/>
          <w:szCs w:val="18"/>
          <w:lang w:val="nl-NL" w:eastAsia="nl-NL"/>
        </w:rPr>
        <w:t xml:space="preserve"> </w:t>
      </w:r>
      <w:r>
        <w:rPr>
          <w:rFonts w:eastAsia="Times New Roman" w:cs="Times New Roman"/>
          <w:szCs w:val="18"/>
          <w:lang w:val="nl-NL" w:eastAsia="nl-NL"/>
        </w:rPr>
        <w:t>Verdrag</w:t>
      </w:r>
      <w:r w:rsidRPr="006C50CD">
        <w:rPr>
          <w:rFonts w:eastAsia="Times New Roman" w:cs="Times New Roman"/>
          <w:szCs w:val="18"/>
          <w:lang w:val="nl-NL" w:eastAsia="nl-NL"/>
        </w:rPr>
        <w:t xml:space="preserve"> is van toepassing op het Europese grondgebied van het Koninkrijk der Nederlanden</w:t>
      </w:r>
      <w:r>
        <w:rPr>
          <w:rFonts w:eastAsia="Times New Roman" w:cs="Times New Roman"/>
          <w:szCs w:val="18"/>
          <w:lang w:val="nl-NL" w:eastAsia="nl-NL"/>
        </w:rPr>
        <w:t xml:space="preserve"> en zal o</w:t>
      </w:r>
      <w:r w:rsidRPr="006C50CD">
        <w:rPr>
          <w:rFonts w:eastAsia="Times New Roman" w:cs="Times New Roman"/>
          <w:szCs w:val="18"/>
          <w:lang w:val="nl-NL" w:eastAsia="nl-NL"/>
        </w:rPr>
        <w:t>vereenkomstig artikel 1</w:t>
      </w:r>
      <w:r>
        <w:rPr>
          <w:rFonts w:eastAsia="Times New Roman" w:cs="Times New Roman"/>
          <w:szCs w:val="18"/>
          <w:lang w:val="nl-NL" w:eastAsia="nl-NL"/>
        </w:rPr>
        <w:t>7</w:t>
      </w:r>
      <w:r w:rsidRPr="006C50CD">
        <w:rPr>
          <w:rFonts w:eastAsia="Times New Roman" w:cs="Times New Roman"/>
          <w:szCs w:val="18"/>
          <w:lang w:val="nl-NL" w:eastAsia="nl-NL"/>
        </w:rPr>
        <w:t xml:space="preserve"> van de terug- en overnameovereenkomst </w:t>
      </w:r>
      <w:r w:rsidRPr="00880A21">
        <w:rPr>
          <w:rFonts w:eastAsia="Times New Roman" w:cs="Times New Roman"/>
          <w:szCs w:val="18"/>
          <w:lang w:val="nl-NL" w:eastAsia="nl-NL"/>
        </w:rPr>
        <w:t>worden uitgebreid</w:t>
      </w:r>
      <w:r>
        <w:rPr>
          <w:rFonts w:eastAsia="Times New Roman" w:cs="Times New Roman"/>
          <w:szCs w:val="18"/>
          <w:lang w:val="nl-NL" w:eastAsia="nl-NL"/>
        </w:rPr>
        <w:t xml:space="preserve"> tot Caribisch Nederland.</w:t>
      </w:r>
      <w:r w:rsidRPr="00880A21">
        <w:rPr>
          <w:rFonts w:eastAsia="Times New Roman" w:cs="Times New Roman"/>
          <w:szCs w:val="18"/>
          <w:lang w:val="nl-NL" w:eastAsia="nl-NL"/>
        </w:rPr>
        <w:t xml:space="preserve"> </w:t>
      </w:r>
      <w:r>
        <w:rPr>
          <w:rFonts w:eastAsia="Times New Roman" w:cs="Times New Roman"/>
          <w:szCs w:val="18"/>
          <w:lang w:val="nl-NL" w:eastAsia="nl-NL"/>
        </w:rPr>
        <w:t xml:space="preserve">Op grond van die bepaling zal het Verdrag worden uitgebreid tot het </w:t>
      </w:r>
      <w:r w:rsidRPr="00880A21">
        <w:rPr>
          <w:rFonts w:eastAsia="Times New Roman" w:cs="Times New Roman"/>
          <w:szCs w:val="18"/>
          <w:lang w:val="nl-NL" w:eastAsia="nl-NL"/>
        </w:rPr>
        <w:t>Caribische deel van Nederland</w:t>
      </w:r>
      <w:r>
        <w:rPr>
          <w:rFonts w:eastAsia="Times New Roman" w:cs="Times New Roman"/>
          <w:szCs w:val="18"/>
          <w:lang w:val="nl-NL" w:eastAsia="nl-NL"/>
        </w:rPr>
        <w:t xml:space="preserve">. </w:t>
      </w:r>
      <w:r w:rsidRPr="00880A21">
        <w:rPr>
          <w:rFonts w:eastAsia="Times New Roman" w:cs="Times New Roman"/>
          <w:szCs w:val="18"/>
          <w:lang w:val="nl-NL" w:eastAsia="nl-NL"/>
        </w:rPr>
        <w:t>De regeringen van Aruba</w:t>
      </w:r>
      <w:r>
        <w:rPr>
          <w:rFonts w:eastAsia="Times New Roman" w:cs="Times New Roman"/>
          <w:szCs w:val="18"/>
          <w:lang w:val="nl-NL" w:eastAsia="nl-NL"/>
        </w:rPr>
        <w:t>,</w:t>
      </w:r>
      <w:r w:rsidRPr="00880A21">
        <w:rPr>
          <w:rFonts w:eastAsia="Times New Roman" w:cs="Times New Roman"/>
          <w:szCs w:val="18"/>
          <w:lang w:val="nl-NL" w:eastAsia="nl-NL"/>
        </w:rPr>
        <w:t xml:space="preserve"> Curaçao</w:t>
      </w:r>
      <w:r>
        <w:rPr>
          <w:rFonts w:eastAsia="Times New Roman" w:cs="Times New Roman"/>
          <w:szCs w:val="18"/>
          <w:lang w:val="nl-NL" w:eastAsia="nl-NL"/>
        </w:rPr>
        <w:t xml:space="preserve"> en </w:t>
      </w:r>
      <w:proofErr w:type="gramStart"/>
      <w:r>
        <w:rPr>
          <w:rFonts w:eastAsia="Times New Roman" w:cs="Times New Roman"/>
          <w:szCs w:val="18"/>
          <w:lang w:val="nl-NL" w:eastAsia="nl-NL"/>
        </w:rPr>
        <w:t>Sint Maarten</w:t>
      </w:r>
      <w:proofErr w:type="gramEnd"/>
      <w:r w:rsidRPr="00880A21">
        <w:rPr>
          <w:rFonts w:eastAsia="Times New Roman" w:cs="Times New Roman"/>
          <w:szCs w:val="18"/>
          <w:lang w:val="nl-NL" w:eastAsia="nl-NL"/>
        </w:rPr>
        <w:t xml:space="preserve"> hebben aangegeven medegelding van dit </w:t>
      </w:r>
      <w:r>
        <w:rPr>
          <w:rFonts w:eastAsia="Times New Roman" w:cs="Times New Roman"/>
          <w:szCs w:val="18"/>
          <w:lang w:val="nl-NL" w:eastAsia="nl-NL"/>
        </w:rPr>
        <w:t>V</w:t>
      </w:r>
      <w:r w:rsidRPr="00880A21">
        <w:rPr>
          <w:rFonts w:eastAsia="Times New Roman" w:cs="Times New Roman"/>
          <w:szCs w:val="18"/>
          <w:lang w:val="nl-NL" w:eastAsia="nl-NL"/>
        </w:rPr>
        <w:t>erdrag wenselijk te vinden voor hun land</w:t>
      </w:r>
      <w:r>
        <w:rPr>
          <w:rFonts w:eastAsia="Times New Roman" w:cs="Times New Roman"/>
          <w:szCs w:val="18"/>
          <w:lang w:val="nl-NL" w:eastAsia="nl-NL"/>
        </w:rPr>
        <w:t>, dus het is de bedoeling dat het Verdrag ook tot die delen van het Koninkrijk wordt uitgebreid</w:t>
      </w:r>
      <w:r w:rsidRPr="00880A21">
        <w:rPr>
          <w:rFonts w:eastAsia="Times New Roman" w:cs="Times New Roman"/>
          <w:szCs w:val="18"/>
          <w:lang w:val="nl-NL" w:eastAsia="nl-NL"/>
        </w:rPr>
        <w:t xml:space="preserve">. De goedkeuring van het </w:t>
      </w:r>
      <w:r>
        <w:rPr>
          <w:rFonts w:eastAsia="Times New Roman" w:cs="Times New Roman"/>
          <w:szCs w:val="18"/>
          <w:lang w:val="nl-NL" w:eastAsia="nl-NL"/>
        </w:rPr>
        <w:t>V</w:t>
      </w:r>
      <w:r w:rsidRPr="00880A21">
        <w:rPr>
          <w:rFonts w:eastAsia="Times New Roman" w:cs="Times New Roman"/>
          <w:szCs w:val="18"/>
          <w:lang w:val="nl-NL" w:eastAsia="nl-NL"/>
        </w:rPr>
        <w:t>erdrag wordt voor het gehele Koninkrijk gevraagd.</w:t>
      </w:r>
    </w:p>
    <w:p w:rsidRPr="006C50CD" w:rsidR="00864D40" w:rsidP="00E23432" w:rsidRDefault="00864D40" w14:paraId="1409F7FC" w14:textId="77777777">
      <w:pPr>
        <w:spacing w:after="0" w:line="240" w:lineRule="atLeast"/>
        <w:contextualSpacing/>
        <w:rPr>
          <w:rFonts w:eastAsia="Times New Roman" w:cs="Times New Roman"/>
          <w:b/>
          <w:szCs w:val="18"/>
          <w:lang w:val="nl-NL" w:eastAsia="nl-NL"/>
        </w:rPr>
      </w:pPr>
    </w:p>
    <w:p w:rsidRPr="006C50CD" w:rsidR="00864D40" w:rsidP="00E23432" w:rsidRDefault="00864D40" w14:paraId="5D7B279B" w14:textId="25ADDDD6">
      <w:pPr>
        <w:spacing w:after="0" w:line="240" w:lineRule="atLeast"/>
        <w:contextualSpacing/>
        <w:rPr>
          <w:rFonts w:eastAsia="Times New Roman" w:cs="Times New Roman"/>
          <w:b/>
          <w:szCs w:val="18"/>
          <w:lang w:val="nl-NL" w:eastAsia="nl-NL"/>
        </w:rPr>
      </w:pPr>
      <w:r w:rsidRPr="006C50CD">
        <w:rPr>
          <w:rFonts w:eastAsia="Times New Roman" w:cs="Times New Roman"/>
          <w:b/>
          <w:szCs w:val="18"/>
          <w:lang w:val="nl-NL" w:eastAsia="nl-NL"/>
        </w:rPr>
        <w:t xml:space="preserve">II. </w:t>
      </w:r>
      <w:proofErr w:type="gramStart"/>
      <w:r w:rsidRPr="006C50CD">
        <w:rPr>
          <w:rFonts w:eastAsia="Times New Roman" w:cs="Times New Roman"/>
          <w:b/>
          <w:szCs w:val="18"/>
          <w:lang w:val="nl-NL" w:eastAsia="nl-NL"/>
        </w:rPr>
        <w:t>Een</w:t>
      </w:r>
      <w:r w:rsidR="00574E3C">
        <w:rPr>
          <w:rFonts w:eastAsia="Times New Roman" w:cs="Times New Roman"/>
          <w:b/>
          <w:szCs w:val="18"/>
          <w:lang w:val="nl-NL" w:eastAsia="nl-NL"/>
        </w:rPr>
        <w:t xml:space="preserve"> </w:t>
      </w:r>
      <w:r w:rsidRPr="006C50CD">
        <w:rPr>
          <w:rFonts w:eastAsia="Times New Roman" w:cs="Times New Roman"/>
          <w:b/>
          <w:szCs w:val="18"/>
          <w:lang w:val="nl-NL" w:eastAsia="nl-NL"/>
        </w:rPr>
        <w:t>ieder</w:t>
      </w:r>
      <w:proofErr w:type="gramEnd"/>
      <w:r w:rsidRPr="006C50CD">
        <w:rPr>
          <w:rFonts w:eastAsia="Times New Roman" w:cs="Times New Roman"/>
          <w:b/>
          <w:szCs w:val="18"/>
          <w:lang w:val="nl-NL" w:eastAsia="nl-NL"/>
        </w:rPr>
        <w:t xml:space="preserve"> verbindende bepalingen</w:t>
      </w:r>
    </w:p>
    <w:p w:rsidRPr="006C50CD" w:rsidR="00864D40" w:rsidP="00E23432" w:rsidRDefault="00864D40" w14:paraId="58AB53D4" w14:textId="77777777">
      <w:pPr>
        <w:spacing w:after="0" w:line="240" w:lineRule="atLeast"/>
        <w:contextualSpacing/>
        <w:rPr>
          <w:rFonts w:eastAsia="Times New Roman" w:cs="Times New Roman"/>
          <w:szCs w:val="18"/>
          <w:lang w:val="nl-NL" w:eastAsia="nl-NL"/>
        </w:rPr>
      </w:pPr>
    </w:p>
    <w:p w:rsidRPr="003E20ED" w:rsidR="00864D40" w:rsidP="00E23432" w:rsidRDefault="00864D40" w14:paraId="3FBBC2C8" w14:textId="1A241E68">
      <w:pPr>
        <w:spacing w:after="0" w:line="240" w:lineRule="atLeast"/>
        <w:contextualSpacing/>
        <w:rPr>
          <w:rFonts w:eastAsia="Times New Roman" w:cs="Times New Roman"/>
          <w:szCs w:val="18"/>
          <w:lang w:val="nl-NL" w:eastAsia="nl-NL"/>
        </w:rPr>
      </w:pPr>
      <w:r w:rsidRPr="006C50CD">
        <w:rPr>
          <w:rFonts w:eastAsia="Times New Roman" w:cs="Times New Roman"/>
          <w:szCs w:val="18"/>
          <w:lang w:val="nl-NL" w:eastAsia="nl-NL"/>
        </w:rPr>
        <w:t xml:space="preserve">Naar het oordeel van de regering kunnen artikel </w:t>
      </w:r>
      <w:r>
        <w:rPr>
          <w:rFonts w:eastAsia="Times New Roman" w:cs="Times New Roman"/>
          <w:szCs w:val="18"/>
          <w:lang w:val="nl-NL" w:eastAsia="nl-NL"/>
        </w:rPr>
        <w:t>13</w:t>
      </w:r>
      <w:r w:rsidR="00070F58">
        <w:rPr>
          <w:rFonts w:eastAsia="Times New Roman" w:cs="Times New Roman"/>
          <w:szCs w:val="18"/>
          <w:lang w:val="nl-NL" w:eastAsia="nl-NL"/>
        </w:rPr>
        <w:t xml:space="preserve"> van het Verdrag</w:t>
      </w:r>
      <w:r w:rsidRPr="003E20ED">
        <w:rPr>
          <w:rFonts w:eastAsia="Times New Roman" w:cs="Times New Roman"/>
          <w:szCs w:val="18"/>
          <w:lang w:val="nl-NL" w:eastAsia="nl-NL"/>
        </w:rPr>
        <w:t xml:space="preserve"> inzake gegevensbescherming, alsmede artikel </w:t>
      </w:r>
      <w:r>
        <w:rPr>
          <w:rFonts w:eastAsia="Times New Roman" w:cs="Times New Roman"/>
          <w:szCs w:val="18"/>
          <w:lang w:val="nl-NL" w:eastAsia="nl-NL"/>
        </w:rPr>
        <w:t>12</w:t>
      </w:r>
      <w:r w:rsidR="008E1A57">
        <w:rPr>
          <w:rFonts w:eastAsia="Times New Roman" w:cs="Times New Roman"/>
          <w:szCs w:val="18"/>
          <w:lang w:val="nl-NL" w:eastAsia="nl-NL"/>
        </w:rPr>
        <w:t>, derde lid</w:t>
      </w:r>
      <w:r>
        <w:rPr>
          <w:rFonts w:eastAsia="Times New Roman" w:cs="Times New Roman"/>
          <w:szCs w:val="18"/>
          <w:lang w:val="nl-NL" w:eastAsia="nl-NL"/>
        </w:rPr>
        <w:t>,</w:t>
      </w:r>
      <w:r w:rsidRPr="003E20ED" w:rsidDel="003E20ED">
        <w:rPr>
          <w:rFonts w:eastAsia="Times New Roman" w:cs="Times New Roman"/>
          <w:szCs w:val="18"/>
          <w:lang w:val="nl-NL" w:eastAsia="nl-NL"/>
        </w:rPr>
        <w:t xml:space="preserve"> </w:t>
      </w:r>
      <w:r w:rsidRPr="006C50CD">
        <w:rPr>
          <w:rFonts w:eastAsia="Times New Roman" w:cs="Times New Roman"/>
          <w:szCs w:val="18"/>
          <w:lang w:val="nl-NL" w:eastAsia="nl-NL"/>
        </w:rPr>
        <w:t xml:space="preserve">van het </w:t>
      </w:r>
      <w:r>
        <w:rPr>
          <w:rFonts w:eastAsia="Times New Roman" w:cs="Times New Roman"/>
          <w:szCs w:val="18"/>
          <w:lang w:val="nl-NL" w:eastAsia="nl-NL"/>
        </w:rPr>
        <w:t>U</w:t>
      </w:r>
      <w:r w:rsidRPr="006C50CD">
        <w:rPr>
          <w:rFonts w:eastAsia="Times New Roman" w:cs="Times New Roman"/>
          <w:szCs w:val="18"/>
          <w:lang w:val="nl-NL" w:eastAsia="nl-NL"/>
        </w:rPr>
        <w:t xml:space="preserve">itvoeringsprotocol inzake </w:t>
      </w:r>
      <w:r w:rsidR="001D7351">
        <w:rPr>
          <w:rFonts w:eastAsia="Times New Roman" w:cs="Times New Roman"/>
          <w:szCs w:val="18"/>
          <w:lang w:val="nl-NL" w:eastAsia="nl-NL"/>
        </w:rPr>
        <w:t>het beperken</w:t>
      </w:r>
      <w:r w:rsidR="008E1A57">
        <w:rPr>
          <w:rFonts w:eastAsia="Times New Roman" w:cs="Times New Roman"/>
          <w:szCs w:val="18"/>
          <w:lang w:val="nl-NL" w:eastAsia="nl-NL"/>
        </w:rPr>
        <w:t xml:space="preserve"> van de bevoegdheden van de begeleider tot zelfverdediging</w:t>
      </w:r>
      <w:r w:rsidRPr="006C50CD">
        <w:rPr>
          <w:rFonts w:eastAsia="Times New Roman" w:cs="Times New Roman"/>
          <w:szCs w:val="18"/>
          <w:lang w:val="nl-NL" w:eastAsia="nl-NL"/>
        </w:rPr>
        <w:t xml:space="preserve"> </w:t>
      </w:r>
      <w:r w:rsidR="00070F58">
        <w:rPr>
          <w:rFonts w:eastAsia="Times New Roman" w:cs="Times New Roman"/>
          <w:szCs w:val="18"/>
          <w:lang w:val="nl-NL" w:eastAsia="nl-NL"/>
        </w:rPr>
        <w:t xml:space="preserve">en het in voorkomend geval op kunnen treden op het grondgebied van de aangezochte Staat </w:t>
      </w:r>
      <w:r w:rsidRPr="006C50CD">
        <w:rPr>
          <w:rFonts w:eastAsia="Times New Roman" w:cs="Times New Roman"/>
          <w:szCs w:val="18"/>
          <w:lang w:val="nl-NL" w:eastAsia="nl-NL"/>
        </w:rPr>
        <w:t xml:space="preserve">worden aangemerkt als </w:t>
      </w:r>
      <w:proofErr w:type="gramStart"/>
      <w:r w:rsidRPr="006C50CD">
        <w:rPr>
          <w:rFonts w:eastAsia="Times New Roman" w:cs="Times New Roman"/>
          <w:szCs w:val="18"/>
          <w:lang w:val="nl-NL" w:eastAsia="nl-NL"/>
        </w:rPr>
        <w:t>een</w:t>
      </w:r>
      <w:r w:rsidR="00574E3C">
        <w:rPr>
          <w:rFonts w:eastAsia="Times New Roman" w:cs="Times New Roman"/>
          <w:szCs w:val="18"/>
          <w:lang w:val="nl-NL" w:eastAsia="nl-NL"/>
        </w:rPr>
        <w:t xml:space="preserve"> </w:t>
      </w:r>
      <w:r w:rsidRPr="006C50CD">
        <w:rPr>
          <w:rFonts w:eastAsia="Times New Roman" w:cs="Times New Roman"/>
          <w:szCs w:val="18"/>
          <w:lang w:val="nl-NL" w:eastAsia="nl-NL"/>
        </w:rPr>
        <w:t>ieder</w:t>
      </w:r>
      <w:proofErr w:type="gramEnd"/>
      <w:r w:rsidRPr="006C50CD">
        <w:rPr>
          <w:rFonts w:eastAsia="Times New Roman" w:cs="Times New Roman"/>
          <w:szCs w:val="18"/>
          <w:lang w:val="nl-NL" w:eastAsia="nl-NL"/>
        </w:rPr>
        <w:t xml:space="preserve"> verbindende bepalingen in de zin van de artikelen 93 en 94 van de Grondwet</w:t>
      </w:r>
      <w:r w:rsidR="00CA3BC2">
        <w:rPr>
          <w:rFonts w:eastAsia="Times New Roman" w:cs="Times New Roman"/>
          <w:szCs w:val="18"/>
          <w:lang w:val="nl-NL" w:eastAsia="nl-NL"/>
        </w:rPr>
        <w:t>. Deze bepalingen kunnen</w:t>
      </w:r>
      <w:r w:rsidRPr="006C50CD">
        <w:rPr>
          <w:rFonts w:eastAsia="Times New Roman" w:cs="Times New Roman"/>
          <w:szCs w:val="18"/>
          <w:lang w:val="nl-NL" w:eastAsia="nl-NL"/>
        </w:rPr>
        <w:t xml:space="preserve"> </w:t>
      </w:r>
      <w:r w:rsidR="00CA3BC2">
        <w:rPr>
          <w:rFonts w:eastAsia="Times New Roman" w:cs="Times New Roman"/>
          <w:szCs w:val="18"/>
          <w:lang w:val="nl-NL" w:eastAsia="nl-NL"/>
        </w:rPr>
        <w:t>rechtstreeks de rechtspositie van particulieren beïnvloeden</w:t>
      </w:r>
      <w:r w:rsidRPr="006C50CD">
        <w:rPr>
          <w:rFonts w:eastAsia="Times New Roman" w:cs="Times New Roman"/>
          <w:szCs w:val="18"/>
          <w:lang w:val="nl-NL" w:eastAsia="nl-NL"/>
        </w:rPr>
        <w:t xml:space="preserve">. </w:t>
      </w:r>
    </w:p>
    <w:p w:rsidRPr="003E20ED" w:rsidR="00864D40" w:rsidP="00E23432" w:rsidRDefault="00864D40" w14:paraId="212C5989" w14:textId="77777777">
      <w:pPr>
        <w:spacing w:line="276" w:lineRule="auto"/>
        <w:contextualSpacing/>
        <w:rPr>
          <w:b/>
          <w:lang w:val="nl-NL"/>
        </w:rPr>
      </w:pPr>
    </w:p>
    <w:p w:rsidR="00CB4D5C" w:rsidRDefault="00CB4D5C" w14:paraId="492DAA78" w14:textId="77777777">
      <w:pPr>
        <w:spacing w:after="160" w:line="259" w:lineRule="auto"/>
        <w:rPr>
          <w:b/>
          <w:lang w:val="nl-NL"/>
        </w:rPr>
      </w:pPr>
      <w:r>
        <w:rPr>
          <w:b/>
          <w:lang w:val="nl-NL"/>
        </w:rPr>
        <w:br w:type="page"/>
      </w:r>
    </w:p>
    <w:p w:rsidRPr="003E20ED" w:rsidR="00864D40" w:rsidP="00E23432" w:rsidRDefault="00864D40" w14:paraId="3D739F4E" w14:textId="1DA11EF7">
      <w:pPr>
        <w:spacing w:line="276" w:lineRule="auto"/>
        <w:contextualSpacing/>
        <w:rPr>
          <w:b/>
          <w:lang w:val="nl-NL"/>
        </w:rPr>
      </w:pPr>
      <w:r w:rsidRPr="003E20ED">
        <w:rPr>
          <w:b/>
          <w:lang w:val="nl-NL"/>
        </w:rPr>
        <w:lastRenderedPageBreak/>
        <w:t>III. Artikelsgewijze toelichting</w:t>
      </w:r>
    </w:p>
    <w:p w:rsidRPr="003E20ED" w:rsidR="00864D40" w:rsidP="00E23432" w:rsidRDefault="00864D40" w14:paraId="17B35891" w14:textId="77777777">
      <w:pPr>
        <w:spacing w:line="276" w:lineRule="auto"/>
        <w:contextualSpacing/>
        <w:rPr>
          <w:b/>
          <w:lang w:val="nl-NL"/>
        </w:rPr>
      </w:pPr>
    </w:p>
    <w:p w:rsidRPr="00880A21" w:rsidR="00864D40" w:rsidP="00E23432" w:rsidRDefault="00864D40" w14:paraId="5659755C" w14:textId="77777777">
      <w:pPr>
        <w:spacing w:line="276" w:lineRule="auto"/>
        <w:contextualSpacing/>
        <w:rPr>
          <w:szCs w:val="18"/>
          <w:lang w:val="nl-NL"/>
        </w:rPr>
      </w:pPr>
      <w:r w:rsidRPr="00880A21">
        <w:rPr>
          <w:szCs w:val="18"/>
          <w:lang w:val="nl-NL"/>
        </w:rPr>
        <w:t>3.1</w:t>
      </w:r>
      <w:r w:rsidRPr="00880A21">
        <w:rPr>
          <w:szCs w:val="18"/>
          <w:lang w:val="nl-NL"/>
        </w:rPr>
        <w:tab/>
      </w:r>
      <w:r>
        <w:rPr>
          <w:szCs w:val="18"/>
          <w:lang w:val="nl-NL"/>
        </w:rPr>
        <w:t>Verdrag</w:t>
      </w:r>
    </w:p>
    <w:p w:rsidRPr="006C50CD" w:rsidR="00864D40" w:rsidP="00E23432" w:rsidRDefault="00864D40" w14:paraId="40F83D96" w14:textId="77777777">
      <w:pPr>
        <w:spacing w:line="276" w:lineRule="auto"/>
        <w:contextualSpacing/>
        <w:rPr>
          <w:szCs w:val="18"/>
          <w:lang w:val="nl-NL"/>
        </w:rPr>
      </w:pPr>
    </w:p>
    <w:p w:rsidRPr="00D70E57" w:rsidR="00864D40" w:rsidP="00E23432" w:rsidRDefault="00864D40" w14:paraId="0E5F844E" w14:textId="77777777">
      <w:pPr>
        <w:spacing w:line="276" w:lineRule="auto"/>
        <w:contextualSpacing/>
        <w:rPr>
          <w:szCs w:val="18"/>
          <w:lang w:val="nl-NL"/>
        </w:rPr>
      </w:pPr>
      <w:r w:rsidRPr="00D70E57">
        <w:rPr>
          <w:szCs w:val="18"/>
          <w:lang w:val="nl-NL"/>
        </w:rPr>
        <w:t xml:space="preserve">Hieronder worden de artikelen uit </w:t>
      </w:r>
      <w:r>
        <w:rPr>
          <w:szCs w:val="18"/>
          <w:lang w:val="nl-NL"/>
        </w:rPr>
        <w:t>de</w:t>
      </w:r>
      <w:r w:rsidRPr="00D70E57">
        <w:rPr>
          <w:szCs w:val="18"/>
          <w:lang w:val="nl-NL"/>
        </w:rPr>
        <w:t xml:space="preserve"> terug- en overnameovereenkomst toegelicht.</w:t>
      </w:r>
    </w:p>
    <w:p w:rsidRPr="00D70E57" w:rsidR="00864D40" w:rsidP="00E23432" w:rsidRDefault="00864D40" w14:paraId="01634B87" w14:textId="77777777">
      <w:pPr>
        <w:spacing w:line="276" w:lineRule="auto"/>
        <w:contextualSpacing/>
        <w:rPr>
          <w:i/>
          <w:szCs w:val="18"/>
          <w:lang w:val="nl-NL"/>
        </w:rPr>
      </w:pPr>
    </w:p>
    <w:p w:rsidRPr="003E20ED" w:rsidR="00864D40" w:rsidP="00E23432" w:rsidRDefault="00864D40" w14:paraId="59552D71" w14:textId="77777777">
      <w:pPr>
        <w:spacing w:line="276" w:lineRule="auto"/>
        <w:contextualSpacing/>
        <w:rPr>
          <w:i/>
          <w:szCs w:val="18"/>
          <w:lang w:val="nl-NL"/>
        </w:rPr>
      </w:pPr>
      <w:r w:rsidRPr="003E20ED">
        <w:rPr>
          <w:i/>
          <w:szCs w:val="18"/>
          <w:lang w:val="nl-NL"/>
        </w:rPr>
        <w:t>Artikel 1: Definities en werkingssfeer</w:t>
      </w:r>
    </w:p>
    <w:p w:rsidRPr="006C50CD" w:rsidR="00864D40" w:rsidP="00E23432" w:rsidRDefault="00864D40" w14:paraId="33BD391F" w14:textId="679C4ECA">
      <w:pPr>
        <w:spacing w:line="276" w:lineRule="auto"/>
        <w:contextualSpacing/>
        <w:rPr>
          <w:szCs w:val="18"/>
          <w:lang w:val="nl-NL"/>
        </w:rPr>
      </w:pPr>
      <w:r w:rsidRPr="003E20ED">
        <w:rPr>
          <w:szCs w:val="18"/>
          <w:lang w:val="nl-NL"/>
        </w:rPr>
        <w:t xml:space="preserve">Artikel 1 definieert de belangrijkste begrippen van het </w:t>
      </w:r>
      <w:r>
        <w:rPr>
          <w:szCs w:val="18"/>
          <w:lang w:val="nl-NL"/>
        </w:rPr>
        <w:t>V</w:t>
      </w:r>
      <w:r w:rsidRPr="003E20ED">
        <w:rPr>
          <w:szCs w:val="18"/>
          <w:lang w:val="nl-NL"/>
        </w:rPr>
        <w:t xml:space="preserve">erdrag. Zo wordt onder andere het grondgebied van de </w:t>
      </w:r>
      <w:r w:rsidRPr="006C50CD">
        <w:rPr>
          <w:szCs w:val="18"/>
          <w:lang w:val="nl-NL"/>
        </w:rPr>
        <w:t xml:space="preserve">Benelux-Staten, waarbij wordt aangegeven dat het gaat om </w:t>
      </w:r>
      <w:r w:rsidR="00852913">
        <w:rPr>
          <w:szCs w:val="18"/>
          <w:lang w:val="nl-NL"/>
        </w:rPr>
        <w:t xml:space="preserve">de </w:t>
      </w:r>
      <w:r w:rsidRPr="006C50CD">
        <w:rPr>
          <w:szCs w:val="18"/>
          <w:lang w:val="nl-NL"/>
        </w:rPr>
        <w:t>grondgebied</w:t>
      </w:r>
      <w:r w:rsidR="00852913">
        <w:rPr>
          <w:szCs w:val="18"/>
          <w:lang w:val="nl-NL"/>
        </w:rPr>
        <w:t>en</w:t>
      </w:r>
      <w:r w:rsidRPr="006C50CD">
        <w:rPr>
          <w:szCs w:val="18"/>
          <w:lang w:val="nl-NL"/>
        </w:rPr>
        <w:t xml:space="preserve"> in Europa, </w:t>
      </w:r>
      <w:proofErr w:type="gramStart"/>
      <w:r w:rsidRPr="006C50CD">
        <w:rPr>
          <w:szCs w:val="18"/>
          <w:lang w:val="nl-NL"/>
        </w:rPr>
        <w:t>alsmede</w:t>
      </w:r>
      <w:proofErr w:type="gramEnd"/>
      <w:r w:rsidRPr="006C50CD">
        <w:rPr>
          <w:szCs w:val="18"/>
          <w:lang w:val="nl-NL"/>
        </w:rPr>
        <w:t xml:space="preserve"> </w:t>
      </w:r>
      <w:r>
        <w:rPr>
          <w:szCs w:val="18"/>
          <w:lang w:val="nl-NL"/>
        </w:rPr>
        <w:t>Suriname</w:t>
      </w:r>
      <w:r w:rsidRPr="006C50CD">
        <w:rPr>
          <w:szCs w:val="18"/>
          <w:lang w:val="nl-NL"/>
        </w:rPr>
        <w:t xml:space="preserve"> omschreven. Op basis van artikel 1</w:t>
      </w:r>
      <w:r>
        <w:rPr>
          <w:szCs w:val="18"/>
          <w:lang w:val="nl-NL"/>
        </w:rPr>
        <w:t>7</w:t>
      </w:r>
      <w:r w:rsidRPr="006C50CD">
        <w:rPr>
          <w:szCs w:val="18"/>
          <w:lang w:val="nl-NL"/>
        </w:rPr>
        <w:t xml:space="preserve"> kan de werking van het Verdrag worden uitgebreid tot het Caribische deel van Nederland en de andere landen van het Koninkrijk. </w:t>
      </w:r>
    </w:p>
    <w:p w:rsidRPr="006C50CD" w:rsidR="00864D40" w:rsidP="00E23432" w:rsidRDefault="00864D40" w14:paraId="7D451CDF" w14:textId="77777777">
      <w:pPr>
        <w:spacing w:line="276" w:lineRule="auto"/>
        <w:contextualSpacing/>
        <w:rPr>
          <w:szCs w:val="18"/>
          <w:lang w:val="nl-NL"/>
        </w:rPr>
      </w:pPr>
    </w:p>
    <w:p w:rsidRPr="006C50CD" w:rsidR="00864D40" w:rsidP="00E23432" w:rsidRDefault="00864D40" w14:paraId="5F718335" w14:textId="77777777">
      <w:pPr>
        <w:spacing w:line="276" w:lineRule="auto"/>
        <w:contextualSpacing/>
        <w:rPr>
          <w:i/>
          <w:szCs w:val="18"/>
          <w:lang w:val="nl-NL"/>
        </w:rPr>
      </w:pPr>
      <w:r w:rsidRPr="006C50CD">
        <w:rPr>
          <w:i/>
          <w:szCs w:val="18"/>
          <w:lang w:val="nl-NL"/>
        </w:rPr>
        <w:t xml:space="preserve">Artikel 2: Terugname van eigen onderdanen </w:t>
      </w:r>
    </w:p>
    <w:p w:rsidR="00864D40" w:rsidP="00E23432" w:rsidRDefault="00864D40" w14:paraId="20C36D2F" w14:textId="4CBDF600">
      <w:pPr>
        <w:spacing w:line="276" w:lineRule="auto"/>
        <w:contextualSpacing/>
        <w:rPr>
          <w:iCs/>
          <w:szCs w:val="18"/>
          <w:lang w:val="nl-NL"/>
        </w:rPr>
      </w:pPr>
      <w:r w:rsidRPr="006C50CD">
        <w:rPr>
          <w:iCs/>
          <w:szCs w:val="18"/>
          <w:lang w:val="nl-NL"/>
        </w:rPr>
        <w:t xml:space="preserve">Dit artikel bepaalt wanneer er een verplichting bestaat tot terugname van eigen onderdanen. Er is sprake van een dergelijke verplichting indien betrokkene niet of niet langer aan de voorwaarden voor toegang tot of verblijf op het grondgebied van de verzoekende </w:t>
      </w:r>
      <w:r>
        <w:rPr>
          <w:iCs/>
          <w:szCs w:val="18"/>
          <w:lang w:val="nl-NL"/>
        </w:rPr>
        <w:t>p</w:t>
      </w:r>
      <w:r w:rsidRPr="006C50CD">
        <w:rPr>
          <w:iCs/>
          <w:szCs w:val="18"/>
          <w:lang w:val="nl-NL"/>
        </w:rPr>
        <w:t xml:space="preserve">artij voldoet en </w:t>
      </w:r>
      <w:proofErr w:type="gramStart"/>
      <w:r w:rsidRPr="006C50CD">
        <w:rPr>
          <w:iCs/>
          <w:szCs w:val="18"/>
          <w:lang w:val="nl-NL"/>
        </w:rPr>
        <w:t>indien</w:t>
      </w:r>
      <w:proofErr w:type="gramEnd"/>
      <w:r w:rsidRPr="006C50CD">
        <w:rPr>
          <w:iCs/>
          <w:szCs w:val="18"/>
          <w:lang w:val="nl-NL"/>
        </w:rPr>
        <w:t xml:space="preserve"> kan worden bewezen dan wel aannemelijk kan worden gemaakt dat betrokkene de nationaliteit heeft van de aangezochte </w:t>
      </w:r>
      <w:r>
        <w:rPr>
          <w:iCs/>
          <w:szCs w:val="18"/>
          <w:lang w:val="nl-NL"/>
        </w:rPr>
        <w:t>p</w:t>
      </w:r>
      <w:r w:rsidRPr="006C50CD">
        <w:rPr>
          <w:iCs/>
          <w:szCs w:val="18"/>
          <w:lang w:val="nl-NL"/>
        </w:rPr>
        <w:t xml:space="preserve">artij. Deze verplichting geldt in de regel ook indien betrokkene de nationaliteit is kwijtgeraakt. Op grond van het vierde lid van dit artikel zal de aangezochte </w:t>
      </w:r>
      <w:r>
        <w:rPr>
          <w:iCs/>
          <w:szCs w:val="18"/>
          <w:lang w:val="nl-NL"/>
        </w:rPr>
        <w:t>p</w:t>
      </w:r>
      <w:r w:rsidRPr="006C50CD">
        <w:rPr>
          <w:iCs/>
          <w:szCs w:val="18"/>
          <w:lang w:val="nl-NL"/>
        </w:rPr>
        <w:t>artij de noodzakelijke reisdocumenten verstrekken</w:t>
      </w:r>
      <w:r w:rsidRPr="00DC07A6">
        <w:rPr>
          <w:iCs/>
          <w:szCs w:val="18"/>
          <w:lang w:val="nl-NL"/>
        </w:rPr>
        <w:t xml:space="preserve"> </w:t>
      </w:r>
      <w:r w:rsidRPr="006C50CD">
        <w:rPr>
          <w:iCs/>
          <w:szCs w:val="18"/>
          <w:lang w:val="nl-NL"/>
        </w:rPr>
        <w:t xml:space="preserve">voor de </w:t>
      </w:r>
      <w:proofErr w:type="spellStart"/>
      <w:r w:rsidRPr="006C50CD">
        <w:rPr>
          <w:iCs/>
          <w:szCs w:val="18"/>
          <w:lang w:val="nl-NL"/>
        </w:rPr>
        <w:t>teruggeleiding</w:t>
      </w:r>
      <w:proofErr w:type="spellEnd"/>
      <w:r w:rsidRPr="006C50CD">
        <w:rPr>
          <w:iCs/>
          <w:szCs w:val="18"/>
          <w:lang w:val="nl-NL"/>
        </w:rPr>
        <w:t xml:space="preserve"> van de over te nemen persoon.</w:t>
      </w:r>
    </w:p>
    <w:p w:rsidR="00864D40" w:rsidP="00E23432" w:rsidRDefault="00864D40" w14:paraId="04407141" w14:textId="77777777">
      <w:pPr>
        <w:spacing w:line="276" w:lineRule="auto"/>
        <w:contextualSpacing/>
        <w:rPr>
          <w:iCs/>
          <w:szCs w:val="18"/>
          <w:lang w:val="nl-NL"/>
        </w:rPr>
      </w:pPr>
    </w:p>
    <w:p w:rsidRPr="00024CEA" w:rsidR="00864D40" w:rsidP="00E23432" w:rsidRDefault="00864D40" w14:paraId="37458189" w14:textId="77777777">
      <w:pPr>
        <w:spacing w:line="276" w:lineRule="auto"/>
        <w:contextualSpacing/>
        <w:rPr>
          <w:i/>
          <w:szCs w:val="18"/>
          <w:lang w:val="nl-NL"/>
        </w:rPr>
      </w:pPr>
      <w:r w:rsidRPr="00024CEA">
        <w:rPr>
          <w:i/>
          <w:szCs w:val="18"/>
          <w:lang w:val="nl-NL"/>
        </w:rPr>
        <w:t>Artikel 3: Overname van onderdanen van een derde Staat</w:t>
      </w:r>
    </w:p>
    <w:p w:rsidRPr="006C50CD" w:rsidR="00864D40" w:rsidP="00E23432" w:rsidRDefault="00864D40" w14:paraId="604B8EE7" w14:textId="2A404C65">
      <w:pPr>
        <w:spacing w:line="276" w:lineRule="auto"/>
        <w:contextualSpacing/>
        <w:rPr>
          <w:iCs/>
          <w:szCs w:val="18"/>
          <w:lang w:val="nl-NL"/>
        </w:rPr>
      </w:pPr>
      <w:r w:rsidRPr="006C50CD">
        <w:rPr>
          <w:iCs/>
          <w:szCs w:val="18"/>
          <w:lang w:val="nl-NL"/>
        </w:rPr>
        <w:t xml:space="preserve">Dit artikel bepaalt wanneer er een verplichting bestaat tot </w:t>
      </w:r>
      <w:r>
        <w:rPr>
          <w:iCs/>
          <w:szCs w:val="18"/>
          <w:lang w:val="nl-NL"/>
        </w:rPr>
        <w:t xml:space="preserve">overname </w:t>
      </w:r>
      <w:r w:rsidRPr="006C50CD">
        <w:rPr>
          <w:iCs/>
          <w:szCs w:val="18"/>
          <w:lang w:val="nl-NL"/>
        </w:rPr>
        <w:t>van onderdanen</w:t>
      </w:r>
      <w:r>
        <w:rPr>
          <w:iCs/>
          <w:szCs w:val="18"/>
          <w:lang w:val="nl-NL"/>
        </w:rPr>
        <w:t xml:space="preserve"> van een derde Staat, dat wil zeggen een staat die geen Benelux-staat en niet Suriname is</w:t>
      </w:r>
      <w:r w:rsidRPr="006C50CD">
        <w:rPr>
          <w:iCs/>
          <w:szCs w:val="18"/>
          <w:lang w:val="nl-NL"/>
        </w:rPr>
        <w:t>.</w:t>
      </w:r>
      <w:r>
        <w:rPr>
          <w:iCs/>
          <w:szCs w:val="18"/>
          <w:lang w:val="nl-NL"/>
        </w:rPr>
        <w:t xml:space="preserve"> Deze verplichting bestaat wanneer een </w:t>
      </w:r>
      <w:r w:rsidRPr="00024CEA">
        <w:rPr>
          <w:rFonts w:cs="Calibri"/>
          <w:lang w:val="nl-NL"/>
        </w:rPr>
        <w:t xml:space="preserve">onderdaan van een derde Staat </w:t>
      </w:r>
      <w:r w:rsidRPr="006C50CD">
        <w:rPr>
          <w:iCs/>
          <w:szCs w:val="18"/>
          <w:lang w:val="nl-NL"/>
        </w:rPr>
        <w:t xml:space="preserve">niet of niet langer aan de voorwaarden voor toegang tot of verblijf op het grondgebied van de verzoekende </w:t>
      </w:r>
      <w:r>
        <w:rPr>
          <w:iCs/>
          <w:szCs w:val="18"/>
          <w:lang w:val="nl-NL"/>
        </w:rPr>
        <w:t>p</w:t>
      </w:r>
      <w:r w:rsidRPr="006C50CD">
        <w:rPr>
          <w:iCs/>
          <w:szCs w:val="18"/>
          <w:lang w:val="nl-NL"/>
        </w:rPr>
        <w:t>artij voldoet</w:t>
      </w:r>
      <w:r>
        <w:rPr>
          <w:iCs/>
          <w:szCs w:val="18"/>
          <w:lang w:val="nl-NL"/>
        </w:rPr>
        <w:t xml:space="preserve"> en aangetoond kan worden dat betrokkene in het bezit is van een geldige verblijfstitel afgegeven door de aangezochte Staat of bij </w:t>
      </w:r>
      <w:proofErr w:type="spellStart"/>
      <w:r>
        <w:rPr>
          <w:iCs/>
          <w:szCs w:val="18"/>
          <w:lang w:val="nl-NL"/>
        </w:rPr>
        <w:t>inreis</w:t>
      </w:r>
      <w:proofErr w:type="spellEnd"/>
      <w:r>
        <w:rPr>
          <w:iCs/>
          <w:szCs w:val="18"/>
          <w:lang w:val="nl-NL"/>
        </w:rPr>
        <w:t xml:space="preserve"> </w:t>
      </w:r>
      <w:r w:rsidRPr="00024CEA">
        <w:rPr>
          <w:rFonts w:cs="Calibri"/>
          <w:lang w:val="nl-NL"/>
        </w:rPr>
        <w:t xml:space="preserve">op het grondgebied van de verzoekende Staat in het bezit was van een geldige verblijfstitel afgegeven door de aangezochte Staat. </w:t>
      </w:r>
    </w:p>
    <w:p w:rsidRPr="006C50CD" w:rsidR="00864D40" w:rsidP="00E23432" w:rsidRDefault="00864D40" w14:paraId="4DB61361" w14:textId="77777777">
      <w:pPr>
        <w:spacing w:line="276" w:lineRule="auto"/>
        <w:contextualSpacing/>
        <w:rPr>
          <w:iCs/>
          <w:szCs w:val="18"/>
          <w:lang w:val="nl-NL"/>
        </w:rPr>
      </w:pPr>
    </w:p>
    <w:p w:rsidRPr="006C50CD" w:rsidR="00864D40" w:rsidP="00E23432" w:rsidRDefault="00864D40" w14:paraId="5D123EE9" w14:textId="51DD6585">
      <w:pPr>
        <w:spacing w:line="276" w:lineRule="auto"/>
        <w:contextualSpacing/>
        <w:rPr>
          <w:i/>
          <w:iCs/>
          <w:szCs w:val="18"/>
          <w:lang w:val="nl-NL"/>
        </w:rPr>
      </w:pPr>
      <w:r w:rsidRPr="006C50CD">
        <w:rPr>
          <w:i/>
          <w:iCs/>
          <w:szCs w:val="18"/>
          <w:lang w:val="nl-NL"/>
        </w:rPr>
        <w:t xml:space="preserve">Artikel </w:t>
      </w:r>
      <w:r>
        <w:rPr>
          <w:i/>
          <w:iCs/>
          <w:szCs w:val="18"/>
          <w:lang w:val="nl-NL"/>
        </w:rPr>
        <w:t>4</w:t>
      </w:r>
      <w:r w:rsidRPr="006C50CD">
        <w:rPr>
          <w:i/>
          <w:iCs/>
          <w:szCs w:val="18"/>
          <w:lang w:val="nl-NL"/>
        </w:rPr>
        <w:t>: Indiening van het verzoek om terug</w:t>
      </w:r>
      <w:r>
        <w:rPr>
          <w:i/>
          <w:iCs/>
          <w:szCs w:val="18"/>
          <w:lang w:val="nl-NL"/>
        </w:rPr>
        <w:t>- of over</w:t>
      </w:r>
      <w:r w:rsidRPr="006C50CD">
        <w:rPr>
          <w:i/>
          <w:iCs/>
          <w:szCs w:val="18"/>
          <w:lang w:val="nl-NL"/>
        </w:rPr>
        <w:t>name</w:t>
      </w:r>
    </w:p>
    <w:p w:rsidRPr="003E20ED" w:rsidR="00864D40" w:rsidP="00E23432" w:rsidRDefault="00864D40" w14:paraId="20046636" w14:textId="77777777">
      <w:pPr>
        <w:spacing w:line="276" w:lineRule="auto"/>
        <w:contextualSpacing/>
        <w:rPr>
          <w:szCs w:val="18"/>
          <w:lang w:val="nl-NL"/>
        </w:rPr>
      </w:pPr>
      <w:r w:rsidRPr="006C50CD">
        <w:rPr>
          <w:szCs w:val="18"/>
          <w:lang w:val="nl-NL"/>
        </w:rPr>
        <w:t>Artikel 3 legt vast welke gegevens bij een indiening van verzoek tot terug</w:t>
      </w:r>
      <w:r>
        <w:rPr>
          <w:szCs w:val="18"/>
          <w:lang w:val="nl-NL"/>
        </w:rPr>
        <w:t>- of over</w:t>
      </w:r>
      <w:r w:rsidRPr="006C50CD">
        <w:rPr>
          <w:szCs w:val="18"/>
          <w:lang w:val="nl-NL"/>
        </w:rPr>
        <w:t xml:space="preserve">name dienen te worden overgelegd. Indien betrokkene beschikt over een geldig reisdocument of identiteitsbewijs hoeft er geen verzoek </w:t>
      </w:r>
      <w:r>
        <w:rPr>
          <w:szCs w:val="18"/>
          <w:lang w:val="nl-NL"/>
        </w:rPr>
        <w:t>voor</w:t>
      </w:r>
      <w:r w:rsidRPr="003E20ED">
        <w:rPr>
          <w:szCs w:val="18"/>
          <w:lang w:val="nl-NL"/>
        </w:rPr>
        <w:t xml:space="preserve"> de overdracht</w:t>
      </w:r>
      <w:r>
        <w:rPr>
          <w:szCs w:val="18"/>
          <w:lang w:val="nl-NL"/>
        </w:rPr>
        <w:t xml:space="preserve"> te worden gedaan</w:t>
      </w:r>
      <w:r w:rsidRPr="003E20ED">
        <w:rPr>
          <w:szCs w:val="18"/>
          <w:lang w:val="nl-NL"/>
        </w:rPr>
        <w:t>.</w:t>
      </w:r>
    </w:p>
    <w:p w:rsidRPr="006C50CD" w:rsidR="00864D40" w:rsidP="00E23432" w:rsidRDefault="00864D40" w14:paraId="63D1D8DE" w14:textId="77777777">
      <w:pPr>
        <w:spacing w:line="276" w:lineRule="auto"/>
        <w:contextualSpacing/>
        <w:rPr>
          <w:szCs w:val="18"/>
          <w:lang w:val="nl-NL"/>
        </w:rPr>
      </w:pPr>
    </w:p>
    <w:p w:rsidRPr="006C50CD" w:rsidR="00864D40" w:rsidP="00E23432" w:rsidRDefault="00864D40" w14:paraId="04799FC8" w14:textId="179490CC">
      <w:pPr>
        <w:spacing w:line="276" w:lineRule="auto"/>
        <w:contextualSpacing/>
        <w:rPr>
          <w:i/>
          <w:iCs/>
          <w:szCs w:val="18"/>
          <w:lang w:val="nl-NL"/>
        </w:rPr>
      </w:pPr>
      <w:r w:rsidRPr="006C50CD">
        <w:rPr>
          <w:i/>
          <w:iCs/>
          <w:szCs w:val="18"/>
          <w:lang w:val="nl-NL"/>
        </w:rPr>
        <w:t xml:space="preserve">Artikel </w:t>
      </w:r>
      <w:r>
        <w:rPr>
          <w:i/>
          <w:iCs/>
          <w:szCs w:val="18"/>
          <w:lang w:val="nl-NL"/>
        </w:rPr>
        <w:t>5</w:t>
      </w:r>
      <w:r w:rsidRPr="006C50CD">
        <w:rPr>
          <w:i/>
          <w:iCs/>
          <w:szCs w:val="18"/>
          <w:lang w:val="nl-NL"/>
        </w:rPr>
        <w:t>: Bewijsmiddelen met betrekking tot eigen onderdanen</w:t>
      </w:r>
    </w:p>
    <w:p w:rsidR="00864D40" w:rsidP="00E23432" w:rsidRDefault="00864D40" w14:paraId="48F37B0C" w14:textId="797A7872">
      <w:pPr>
        <w:spacing w:line="276" w:lineRule="auto"/>
        <w:contextualSpacing/>
        <w:rPr>
          <w:szCs w:val="18"/>
          <w:lang w:val="nl-NL"/>
        </w:rPr>
      </w:pPr>
      <w:r w:rsidRPr="006C50CD">
        <w:rPr>
          <w:szCs w:val="18"/>
          <w:lang w:val="nl-NL"/>
        </w:rPr>
        <w:t xml:space="preserve">In artikel </w:t>
      </w:r>
      <w:r>
        <w:rPr>
          <w:szCs w:val="18"/>
          <w:lang w:val="nl-NL"/>
        </w:rPr>
        <w:t>5</w:t>
      </w:r>
      <w:r w:rsidRPr="006C50CD">
        <w:rPr>
          <w:szCs w:val="18"/>
          <w:lang w:val="nl-NL"/>
        </w:rPr>
        <w:t xml:space="preserve"> wordt verwezen naar het Uitvoeringsprotocol voor een opsomming van de bewijsmiddelen waarmee de nationaliteit van een eigen onderdaan kan worden bewezen, dan wel aannemelijk kan worden gemaakt. </w:t>
      </w:r>
      <w:proofErr w:type="gramStart"/>
      <w:r w:rsidRPr="006C50CD">
        <w:rPr>
          <w:szCs w:val="18"/>
          <w:lang w:val="nl-NL"/>
        </w:rPr>
        <w:t>Indien</w:t>
      </w:r>
      <w:proofErr w:type="gramEnd"/>
      <w:r w:rsidRPr="006C50CD">
        <w:rPr>
          <w:szCs w:val="18"/>
          <w:lang w:val="nl-NL"/>
        </w:rPr>
        <w:t xml:space="preserve"> geen van de bewijsmiddelen kan worden overgelegd, kan de aangezochte </w:t>
      </w:r>
      <w:r>
        <w:rPr>
          <w:szCs w:val="18"/>
          <w:lang w:val="nl-NL"/>
        </w:rPr>
        <w:t>p</w:t>
      </w:r>
      <w:r w:rsidRPr="006C50CD">
        <w:rPr>
          <w:szCs w:val="18"/>
          <w:lang w:val="nl-NL"/>
        </w:rPr>
        <w:t xml:space="preserve">artij worden gevraagd om de nodige maatregelen te nemen om de nationaliteit van de betrokkene vast te stellen. </w:t>
      </w:r>
      <w:proofErr w:type="gramStart"/>
      <w:r w:rsidRPr="006C50CD">
        <w:rPr>
          <w:szCs w:val="18"/>
          <w:lang w:val="nl-NL"/>
        </w:rPr>
        <w:t>Tevens</w:t>
      </w:r>
      <w:proofErr w:type="gramEnd"/>
      <w:r w:rsidRPr="006C50CD">
        <w:rPr>
          <w:szCs w:val="18"/>
          <w:lang w:val="nl-NL"/>
        </w:rPr>
        <w:t xml:space="preserve"> kan de aangezochte </w:t>
      </w:r>
      <w:r>
        <w:rPr>
          <w:szCs w:val="18"/>
          <w:lang w:val="nl-NL"/>
        </w:rPr>
        <w:t>p</w:t>
      </w:r>
      <w:r w:rsidRPr="006C50CD">
        <w:rPr>
          <w:szCs w:val="18"/>
          <w:lang w:val="nl-NL"/>
        </w:rPr>
        <w:t>artij worden verzocht een interview af te nemen met betrokkene om te bepalen of betrokkene een eigen onderdaan is.</w:t>
      </w:r>
    </w:p>
    <w:p w:rsidR="00864D40" w:rsidP="00E23432" w:rsidRDefault="00864D40" w14:paraId="3FC44876" w14:textId="77777777">
      <w:pPr>
        <w:spacing w:line="276" w:lineRule="auto"/>
        <w:contextualSpacing/>
        <w:rPr>
          <w:szCs w:val="18"/>
          <w:lang w:val="nl-NL"/>
        </w:rPr>
      </w:pPr>
    </w:p>
    <w:p w:rsidRPr="00024CEA" w:rsidR="00864D40" w:rsidP="00E23432" w:rsidRDefault="00864D40" w14:paraId="681CAD2F" w14:textId="77777777">
      <w:pPr>
        <w:spacing w:line="276" w:lineRule="auto"/>
        <w:contextualSpacing/>
        <w:rPr>
          <w:i/>
          <w:iCs/>
          <w:szCs w:val="18"/>
          <w:lang w:val="nl-NL"/>
        </w:rPr>
      </w:pPr>
      <w:r w:rsidRPr="00024CEA">
        <w:rPr>
          <w:i/>
          <w:iCs/>
          <w:szCs w:val="18"/>
          <w:lang w:val="nl-NL"/>
        </w:rPr>
        <w:t>Artikel 6: Bewijsmiddelen met betrekking tot onderdanen van een derde Staat</w:t>
      </w:r>
    </w:p>
    <w:p w:rsidRPr="006C50CD" w:rsidR="00864D40" w:rsidP="00E23432" w:rsidRDefault="00864D40" w14:paraId="2F2CC781" w14:textId="77777777">
      <w:pPr>
        <w:spacing w:line="276" w:lineRule="auto"/>
        <w:contextualSpacing/>
        <w:rPr>
          <w:szCs w:val="18"/>
          <w:lang w:val="nl-NL"/>
        </w:rPr>
      </w:pPr>
      <w:r w:rsidRPr="006C50CD">
        <w:rPr>
          <w:szCs w:val="18"/>
          <w:lang w:val="nl-NL"/>
        </w:rPr>
        <w:t xml:space="preserve">In artikel </w:t>
      </w:r>
      <w:r>
        <w:rPr>
          <w:szCs w:val="18"/>
          <w:lang w:val="nl-NL"/>
        </w:rPr>
        <w:t>6</w:t>
      </w:r>
      <w:r w:rsidRPr="006C50CD">
        <w:rPr>
          <w:szCs w:val="18"/>
          <w:lang w:val="nl-NL"/>
        </w:rPr>
        <w:t xml:space="preserve"> wordt verwezen naar het Uitvoeringsprotocol voor een opsomming van de bewijsmiddelen waarmee </w:t>
      </w:r>
      <w:r>
        <w:rPr>
          <w:szCs w:val="18"/>
          <w:lang w:val="nl-NL"/>
        </w:rPr>
        <w:t>kan worden bewezen dat er is voldaan aan de in artikel 3 genoemde voorwaarden voor overname van onderdanen van een derde Staat.</w:t>
      </w:r>
    </w:p>
    <w:p w:rsidRPr="006C50CD" w:rsidR="00864D40" w:rsidP="00E23432" w:rsidRDefault="00864D40" w14:paraId="63EE7B20" w14:textId="77777777">
      <w:pPr>
        <w:spacing w:line="276" w:lineRule="auto"/>
        <w:contextualSpacing/>
        <w:rPr>
          <w:szCs w:val="18"/>
          <w:lang w:val="nl-NL"/>
        </w:rPr>
      </w:pPr>
    </w:p>
    <w:p w:rsidRPr="006C50CD" w:rsidR="00864D40" w:rsidP="00E23432" w:rsidRDefault="00864D40" w14:paraId="4EF65D9B" w14:textId="5E0B5F71">
      <w:pPr>
        <w:spacing w:line="276" w:lineRule="auto"/>
        <w:contextualSpacing/>
        <w:rPr>
          <w:i/>
          <w:iCs/>
          <w:szCs w:val="18"/>
          <w:lang w:val="nl-NL"/>
        </w:rPr>
      </w:pPr>
      <w:r w:rsidRPr="006C50CD">
        <w:rPr>
          <w:i/>
          <w:iCs/>
          <w:szCs w:val="18"/>
          <w:lang w:val="nl-NL"/>
        </w:rPr>
        <w:t xml:space="preserve">Artikel </w:t>
      </w:r>
      <w:r>
        <w:rPr>
          <w:i/>
          <w:iCs/>
          <w:szCs w:val="18"/>
          <w:lang w:val="nl-NL"/>
        </w:rPr>
        <w:t>7</w:t>
      </w:r>
      <w:r w:rsidRPr="006C50CD">
        <w:rPr>
          <w:i/>
          <w:iCs/>
          <w:szCs w:val="18"/>
          <w:lang w:val="nl-NL"/>
        </w:rPr>
        <w:t>: Termijnen</w:t>
      </w:r>
    </w:p>
    <w:p w:rsidRPr="006C50CD" w:rsidR="00864D40" w:rsidP="00E23432" w:rsidRDefault="00864D40" w14:paraId="5C71DB20" w14:textId="178B95C3">
      <w:pPr>
        <w:spacing w:line="276" w:lineRule="auto"/>
        <w:contextualSpacing/>
        <w:rPr>
          <w:szCs w:val="18"/>
          <w:lang w:val="nl-NL"/>
        </w:rPr>
      </w:pPr>
      <w:r w:rsidRPr="006C50CD">
        <w:rPr>
          <w:szCs w:val="18"/>
          <w:lang w:val="nl-NL"/>
        </w:rPr>
        <w:t xml:space="preserve">In dit artikel worden de termijnen vastgelegd voor de verschillende procedurestappen. Een verzoek tot terugname kan te allen tijde worden ingediend. Een aangezochte </w:t>
      </w:r>
      <w:r>
        <w:rPr>
          <w:szCs w:val="18"/>
          <w:lang w:val="nl-NL"/>
        </w:rPr>
        <w:t>p</w:t>
      </w:r>
      <w:r w:rsidRPr="006C50CD">
        <w:rPr>
          <w:szCs w:val="18"/>
          <w:lang w:val="nl-NL"/>
        </w:rPr>
        <w:t xml:space="preserve">artij dient uiterlijk binnen </w:t>
      </w:r>
      <w:r>
        <w:rPr>
          <w:szCs w:val="18"/>
          <w:lang w:val="nl-NL"/>
        </w:rPr>
        <w:t>2</w:t>
      </w:r>
      <w:r w:rsidRPr="006C50CD">
        <w:rPr>
          <w:szCs w:val="18"/>
          <w:lang w:val="nl-NL"/>
        </w:rPr>
        <w:t xml:space="preserve">0 </w:t>
      </w:r>
      <w:r>
        <w:rPr>
          <w:szCs w:val="18"/>
          <w:lang w:val="nl-NL"/>
        </w:rPr>
        <w:lastRenderedPageBreak/>
        <w:t>werk</w:t>
      </w:r>
      <w:r w:rsidRPr="006C50CD">
        <w:rPr>
          <w:szCs w:val="18"/>
          <w:lang w:val="nl-NL"/>
        </w:rPr>
        <w:t xml:space="preserve">dagen op het verzoek te antwoorden. </w:t>
      </w:r>
      <w:proofErr w:type="gramStart"/>
      <w:r w:rsidRPr="006C50CD">
        <w:rPr>
          <w:szCs w:val="18"/>
          <w:lang w:val="nl-NL"/>
        </w:rPr>
        <w:t>Indien</w:t>
      </w:r>
      <w:proofErr w:type="gramEnd"/>
      <w:r w:rsidRPr="006C50CD">
        <w:rPr>
          <w:szCs w:val="18"/>
          <w:lang w:val="nl-NL"/>
        </w:rPr>
        <w:t xml:space="preserve"> geen antwoord wordt ontvangen, wordt aangenomen dat met het verzoek wordt ingestemd</w:t>
      </w:r>
      <w:r>
        <w:rPr>
          <w:szCs w:val="18"/>
          <w:lang w:val="nl-NL"/>
        </w:rPr>
        <w:t>.</w:t>
      </w:r>
      <w:r w:rsidRPr="006C50CD">
        <w:rPr>
          <w:szCs w:val="18"/>
          <w:lang w:val="nl-NL"/>
        </w:rPr>
        <w:t xml:space="preserve"> </w:t>
      </w:r>
      <w:r>
        <w:rPr>
          <w:szCs w:val="18"/>
          <w:lang w:val="nl-NL"/>
        </w:rPr>
        <w:t>Na goedkeuring vindt de o</w:t>
      </w:r>
      <w:r w:rsidRPr="006C50CD">
        <w:rPr>
          <w:szCs w:val="18"/>
          <w:lang w:val="nl-NL"/>
        </w:rPr>
        <w:t>verdracht</w:t>
      </w:r>
      <w:r>
        <w:rPr>
          <w:szCs w:val="18"/>
          <w:lang w:val="nl-NL"/>
        </w:rPr>
        <w:t xml:space="preserve"> zo spoedig mogelijk, maar in ieder geval </w:t>
      </w:r>
      <w:r w:rsidRPr="006C50CD">
        <w:rPr>
          <w:szCs w:val="18"/>
          <w:lang w:val="nl-NL"/>
        </w:rPr>
        <w:t>binnen 6 maanden</w:t>
      </w:r>
      <w:r>
        <w:rPr>
          <w:szCs w:val="18"/>
          <w:lang w:val="nl-NL"/>
        </w:rPr>
        <w:t xml:space="preserve"> plaats</w:t>
      </w:r>
      <w:r w:rsidRPr="006C50CD">
        <w:rPr>
          <w:szCs w:val="18"/>
          <w:lang w:val="nl-NL"/>
        </w:rPr>
        <w:t xml:space="preserve"> naar de aangezochte partij</w:t>
      </w:r>
      <w:r>
        <w:rPr>
          <w:szCs w:val="18"/>
          <w:lang w:val="nl-NL"/>
        </w:rPr>
        <w:t xml:space="preserve">, </w:t>
      </w:r>
      <w:r w:rsidRPr="006C50CD">
        <w:rPr>
          <w:szCs w:val="18"/>
          <w:lang w:val="nl-NL"/>
        </w:rPr>
        <w:t xml:space="preserve">met gebruikmaking van een door de </w:t>
      </w:r>
      <w:r>
        <w:rPr>
          <w:szCs w:val="18"/>
          <w:lang w:val="nl-NL"/>
        </w:rPr>
        <w:t xml:space="preserve">aangezochte </w:t>
      </w:r>
      <w:r w:rsidRPr="006C50CD">
        <w:rPr>
          <w:szCs w:val="18"/>
          <w:lang w:val="nl-NL"/>
        </w:rPr>
        <w:t>Staat af te geven reisdocument.</w:t>
      </w:r>
    </w:p>
    <w:p w:rsidRPr="006C50CD" w:rsidR="00864D40" w:rsidP="00E23432" w:rsidRDefault="00864D40" w14:paraId="16F02FF9" w14:textId="77777777">
      <w:pPr>
        <w:spacing w:line="276" w:lineRule="auto"/>
        <w:contextualSpacing/>
        <w:rPr>
          <w:szCs w:val="18"/>
          <w:lang w:val="nl-NL"/>
        </w:rPr>
      </w:pPr>
    </w:p>
    <w:p w:rsidRPr="006C50CD" w:rsidR="00864D40" w:rsidP="00E23432" w:rsidRDefault="00864D40" w14:paraId="176D12AA" w14:textId="30185353">
      <w:pPr>
        <w:spacing w:line="276" w:lineRule="auto"/>
        <w:contextualSpacing/>
        <w:rPr>
          <w:i/>
          <w:iCs/>
          <w:szCs w:val="18"/>
          <w:lang w:val="nl-NL"/>
        </w:rPr>
      </w:pPr>
      <w:r w:rsidRPr="006C50CD">
        <w:rPr>
          <w:i/>
          <w:iCs/>
          <w:szCs w:val="18"/>
          <w:lang w:val="nl-NL"/>
        </w:rPr>
        <w:t xml:space="preserve">Artikel </w:t>
      </w:r>
      <w:r>
        <w:rPr>
          <w:i/>
          <w:iCs/>
          <w:szCs w:val="18"/>
          <w:lang w:val="nl-NL"/>
        </w:rPr>
        <w:t>8</w:t>
      </w:r>
      <w:r w:rsidRPr="006C50CD">
        <w:rPr>
          <w:i/>
          <w:iCs/>
          <w:szCs w:val="18"/>
          <w:lang w:val="nl-NL"/>
        </w:rPr>
        <w:t>: Overdrachtsmodaliteiten en wijze van vervoer</w:t>
      </w:r>
    </w:p>
    <w:p w:rsidRPr="006C50CD" w:rsidR="00864D40" w:rsidP="00E23432" w:rsidRDefault="00864D40" w14:paraId="4E71C7DE" w14:textId="5AC959DB">
      <w:pPr>
        <w:spacing w:line="276" w:lineRule="auto"/>
        <w:contextualSpacing/>
        <w:rPr>
          <w:szCs w:val="18"/>
          <w:lang w:val="nl-NL"/>
        </w:rPr>
      </w:pPr>
      <w:r w:rsidRPr="006C50CD">
        <w:rPr>
          <w:szCs w:val="18"/>
          <w:lang w:val="nl-NL"/>
        </w:rPr>
        <w:t xml:space="preserve">Artikel </w:t>
      </w:r>
      <w:r>
        <w:rPr>
          <w:szCs w:val="18"/>
          <w:lang w:val="nl-NL"/>
        </w:rPr>
        <w:t>8</w:t>
      </w:r>
      <w:r w:rsidRPr="006C50CD">
        <w:rPr>
          <w:szCs w:val="18"/>
          <w:lang w:val="nl-NL"/>
        </w:rPr>
        <w:t xml:space="preserve"> legt de werkwijze bij de feitelijke overdracht vast. De aangezochte </w:t>
      </w:r>
      <w:r>
        <w:rPr>
          <w:szCs w:val="18"/>
          <w:lang w:val="nl-NL"/>
        </w:rPr>
        <w:t>p</w:t>
      </w:r>
      <w:r w:rsidRPr="006C50CD">
        <w:rPr>
          <w:szCs w:val="18"/>
          <w:lang w:val="nl-NL"/>
        </w:rPr>
        <w:t>artij wordt over een ophanden zijnde overdracht geïnformeerd. In principe wordt gebruik gemaakt van het vliegtuig, evenwel worden overdrachten via het land</w:t>
      </w:r>
      <w:r>
        <w:rPr>
          <w:szCs w:val="18"/>
          <w:lang w:val="nl-NL"/>
        </w:rPr>
        <w:t xml:space="preserve"> of zee</w:t>
      </w:r>
      <w:r w:rsidRPr="006C50CD">
        <w:rPr>
          <w:szCs w:val="18"/>
          <w:lang w:val="nl-NL"/>
        </w:rPr>
        <w:t xml:space="preserve"> niet uitgesloten. </w:t>
      </w:r>
    </w:p>
    <w:p w:rsidRPr="006C50CD" w:rsidR="00864D40" w:rsidP="00E23432" w:rsidRDefault="00864D40" w14:paraId="7E0D6DC1" w14:textId="77777777">
      <w:pPr>
        <w:spacing w:line="276" w:lineRule="auto"/>
        <w:contextualSpacing/>
        <w:rPr>
          <w:szCs w:val="18"/>
          <w:lang w:val="nl-NL"/>
        </w:rPr>
      </w:pPr>
    </w:p>
    <w:p w:rsidRPr="006C50CD" w:rsidR="00864D40" w:rsidP="00E23432" w:rsidRDefault="00864D40" w14:paraId="64388AB5" w14:textId="1E47ACEF">
      <w:pPr>
        <w:spacing w:after="0" w:line="240" w:lineRule="atLeast"/>
        <w:contextualSpacing/>
        <w:rPr>
          <w:i/>
          <w:szCs w:val="18"/>
          <w:lang w:val="nl-NL"/>
        </w:rPr>
      </w:pPr>
      <w:r w:rsidRPr="006C50CD">
        <w:rPr>
          <w:i/>
          <w:szCs w:val="18"/>
          <w:lang w:val="nl-NL"/>
        </w:rPr>
        <w:t xml:space="preserve">Artikel </w:t>
      </w:r>
      <w:r>
        <w:rPr>
          <w:i/>
          <w:szCs w:val="18"/>
          <w:lang w:val="nl-NL"/>
        </w:rPr>
        <w:t>9</w:t>
      </w:r>
      <w:r w:rsidRPr="006C50CD">
        <w:rPr>
          <w:i/>
          <w:szCs w:val="18"/>
          <w:lang w:val="nl-NL"/>
        </w:rPr>
        <w:t>: Onterechte terug</w:t>
      </w:r>
      <w:r>
        <w:rPr>
          <w:i/>
          <w:szCs w:val="18"/>
          <w:lang w:val="nl-NL"/>
        </w:rPr>
        <w:t>- of over</w:t>
      </w:r>
      <w:r w:rsidRPr="006C50CD">
        <w:rPr>
          <w:i/>
          <w:szCs w:val="18"/>
          <w:lang w:val="nl-NL"/>
        </w:rPr>
        <w:t>name</w:t>
      </w:r>
    </w:p>
    <w:p w:rsidR="00864D40" w:rsidP="00E23432" w:rsidRDefault="00864D40" w14:paraId="682E3CDC" w14:textId="7E17311D">
      <w:pPr>
        <w:spacing w:after="0" w:line="240" w:lineRule="atLeast"/>
        <w:contextualSpacing/>
        <w:rPr>
          <w:iCs/>
          <w:szCs w:val="18"/>
          <w:lang w:val="nl-NL"/>
        </w:rPr>
      </w:pPr>
      <w:r w:rsidRPr="006C50CD">
        <w:rPr>
          <w:iCs/>
          <w:szCs w:val="18"/>
          <w:lang w:val="nl-NL"/>
        </w:rPr>
        <w:t xml:space="preserve">Artikel </w:t>
      </w:r>
      <w:r>
        <w:rPr>
          <w:iCs/>
          <w:szCs w:val="18"/>
          <w:lang w:val="nl-NL"/>
        </w:rPr>
        <w:t>9</w:t>
      </w:r>
      <w:r w:rsidRPr="006C50CD">
        <w:rPr>
          <w:iCs/>
          <w:szCs w:val="18"/>
          <w:lang w:val="nl-NL"/>
        </w:rPr>
        <w:t xml:space="preserve"> legt de afspraken vast voor het geval dat achteraf blijkt dat ten onrechte met een terug</w:t>
      </w:r>
      <w:r>
        <w:rPr>
          <w:iCs/>
          <w:szCs w:val="18"/>
          <w:lang w:val="nl-NL"/>
        </w:rPr>
        <w:t>- of over</w:t>
      </w:r>
      <w:r w:rsidRPr="006C50CD">
        <w:rPr>
          <w:iCs/>
          <w:szCs w:val="18"/>
          <w:lang w:val="nl-NL"/>
        </w:rPr>
        <w:t>nameverzoek is ingestemd. In het artikel is opgenomen dat de verzoekende partij een persoon terug</w:t>
      </w:r>
      <w:r>
        <w:rPr>
          <w:iCs/>
          <w:szCs w:val="18"/>
          <w:lang w:val="nl-NL"/>
        </w:rPr>
        <w:t xml:space="preserve">- overgenomen </w:t>
      </w:r>
      <w:proofErr w:type="gramStart"/>
      <w:r>
        <w:rPr>
          <w:iCs/>
          <w:szCs w:val="18"/>
          <w:lang w:val="nl-NL"/>
        </w:rPr>
        <w:t xml:space="preserve">terug </w:t>
      </w:r>
      <w:r w:rsidRPr="006C50CD">
        <w:rPr>
          <w:iCs/>
          <w:szCs w:val="18"/>
          <w:lang w:val="nl-NL"/>
        </w:rPr>
        <w:t>neemt</w:t>
      </w:r>
      <w:proofErr w:type="gramEnd"/>
      <w:r w:rsidRPr="006C50CD">
        <w:rPr>
          <w:iCs/>
          <w:szCs w:val="18"/>
          <w:lang w:val="nl-NL"/>
        </w:rPr>
        <w:t xml:space="preserve"> indien na overdracht van de persoon alsnog blijkt dat niet is voldaan aan de voorwaarden die </w:t>
      </w:r>
      <w:r>
        <w:rPr>
          <w:iCs/>
          <w:szCs w:val="18"/>
          <w:lang w:val="nl-NL"/>
        </w:rPr>
        <w:t>opgenomen zijn in artikelen 2 en 3</w:t>
      </w:r>
      <w:r w:rsidRPr="006C50CD">
        <w:rPr>
          <w:iCs/>
          <w:szCs w:val="18"/>
          <w:lang w:val="nl-NL"/>
        </w:rPr>
        <w:t>.</w:t>
      </w:r>
      <w:r>
        <w:rPr>
          <w:iCs/>
          <w:szCs w:val="18"/>
          <w:lang w:val="nl-NL"/>
        </w:rPr>
        <w:t xml:space="preserve">  </w:t>
      </w:r>
    </w:p>
    <w:p w:rsidR="00864D40" w:rsidP="00E23432" w:rsidRDefault="00864D40" w14:paraId="50E1AE78" w14:textId="77777777">
      <w:pPr>
        <w:spacing w:after="0" w:line="240" w:lineRule="atLeast"/>
        <w:contextualSpacing/>
        <w:rPr>
          <w:iCs/>
          <w:szCs w:val="18"/>
          <w:lang w:val="nl-NL"/>
        </w:rPr>
      </w:pPr>
    </w:p>
    <w:p w:rsidRPr="00024CEA" w:rsidR="00864D40" w:rsidP="00E23432" w:rsidRDefault="00864D40" w14:paraId="7CEF16AB" w14:textId="77777777">
      <w:pPr>
        <w:spacing w:after="0" w:line="240" w:lineRule="atLeast"/>
        <w:contextualSpacing/>
        <w:rPr>
          <w:i/>
          <w:szCs w:val="18"/>
          <w:lang w:val="nl-NL"/>
        </w:rPr>
      </w:pPr>
      <w:r w:rsidRPr="00024CEA">
        <w:rPr>
          <w:i/>
          <w:szCs w:val="18"/>
          <w:lang w:val="nl-NL"/>
        </w:rPr>
        <w:t>Artikel 10: Uitgangspunten bij doorgeleiding</w:t>
      </w:r>
    </w:p>
    <w:p w:rsidR="00864D40" w:rsidP="00E23432" w:rsidRDefault="00864D40" w14:paraId="7B459F98" w14:textId="65B9C878">
      <w:pPr>
        <w:spacing w:after="0" w:line="240" w:lineRule="atLeast"/>
        <w:contextualSpacing/>
        <w:rPr>
          <w:iCs/>
          <w:szCs w:val="18"/>
          <w:lang w:val="nl-NL"/>
        </w:rPr>
      </w:pPr>
      <w:r>
        <w:rPr>
          <w:iCs/>
          <w:szCs w:val="18"/>
          <w:lang w:val="nl-NL"/>
        </w:rPr>
        <w:t xml:space="preserve">Artikel 10 zet de uitgangspunten van doorgeleiding van onderdanen van een derde Staat uiteen. Doorgeleiding van onderdanen van een derde Staat wordt zoveel mogelijk beperkt, maar wordt in principe toegestaan wanneer de verdere reis in eventuele andere Staten van doorreis en de overname door de Staat van bestemming verzekerd zijn. Daarnaast worden voorwaarden voor weigering van doorgeleiding of intrekking van toestemming voor doorgeleiding omschreven. </w:t>
      </w:r>
    </w:p>
    <w:p w:rsidR="00864D40" w:rsidP="00E23432" w:rsidRDefault="00864D40" w14:paraId="390885A0" w14:textId="77777777">
      <w:pPr>
        <w:spacing w:after="0" w:line="240" w:lineRule="atLeast"/>
        <w:contextualSpacing/>
        <w:rPr>
          <w:iCs/>
          <w:szCs w:val="18"/>
          <w:lang w:val="nl-NL"/>
        </w:rPr>
      </w:pPr>
    </w:p>
    <w:p w:rsidRPr="00024CEA" w:rsidR="00864D40" w:rsidP="00E23432" w:rsidRDefault="00864D40" w14:paraId="16FB2B43" w14:textId="77777777">
      <w:pPr>
        <w:spacing w:after="0" w:line="240" w:lineRule="atLeast"/>
        <w:contextualSpacing/>
        <w:rPr>
          <w:i/>
          <w:szCs w:val="18"/>
          <w:lang w:val="nl-NL"/>
        </w:rPr>
      </w:pPr>
      <w:r w:rsidRPr="00024CEA">
        <w:rPr>
          <w:i/>
          <w:szCs w:val="18"/>
          <w:lang w:val="nl-NL"/>
        </w:rPr>
        <w:t>Artikel 11: Doorgeleidingsprocedure</w:t>
      </w:r>
    </w:p>
    <w:p w:rsidRPr="006C50CD" w:rsidR="00864D40" w:rsidP="00E23432" w:rsidRDefault="00864D40" w14:paraId="3CB75E8A" w14:textId="0C1C1C8B">
      <w:pPr>
        <w:spacing w:after="0" w:line="240" w:lineRule="atLeast"/>
        <w:contextualSpacing/>
        <w:rPr>
          <w:iCs/>
          <w:szCs w:val="18"/>
          <w:lang w:val="nl-NL"/>
        </w:rPr>
      </w:pPr>
      <w:r>
        <w:rPr>
          <w:iCs/>
          <w:szCs w:val="18"/>
          <w:lang w:val="nl-NL"/>
        </w:rPr>
        <w:t xml:space="preserve">Dit artikel omschrijft de procedure die door de verzoekende en de aangezochte staat wordt gevolgd bij een doorgeleiding van onderdanen van een derde staat. Artikel 11 bevat onder andere de voorwaarden waaraan een schriftelijk doorgeleidingsverzoek moet voldoen en hoe de autoriteiten elkaar op de hoogte brengen van een doorgeleiding. </w:t>
      </w:r>
    </w:p>
    <w:p w:rsidRPr="006C50CD" w:rsidR="00864D40" w:rsidP="00E23432" w:rsidRDefault="00864D40" w14:paraId="61B2AC9F" w14:textId="77777777">
      <w:pPr>
        <w:spacing w:after="0" w:line="240" w:lineRule="atLeast"/>
        <w:contextualSpacing/>
        <w:rPr>
          <w:iCs/>
          <w:szCs w:val="18"/>
          <w:lang w:val="nl-NL"/>
        </w:rPr>
      </w:pPr>
    </w:p>
    <w:p w:rsidRPr="006C50CD" w:rsidR="00864D40" w:rsidP="00E23432" w:rsidRDefault="00864D40" w14:paraId="1E953D76" w14:textId="632B6E2D">
      <w:pPr>
        <w:spacing w:after="0" w:line="240" w:lineRule="atLeast"/>
        <w:contextualSpacing/>
        <w:rPr>
          <w:i/>
          <w:szCs w:val="18"/>
          <w:lang w:val="nl-NL"/>
        </w:rPr>
      </w:pPr>
      <w:r w:rsidRPr="006C50CD">
        <w:rPr>
          <w:i/>
          <w:szCs w:val="18"/>
          <w:lang w:val="nl-NL"/>
        </w:rPr>
        <w:t xml:space="preserve">Artikel </w:t>
      </w:r>
      <w:r>
        <w:rPr>
          <w:i/>
          <w:szCs w:val="18"/>
          <w:lang w:val="nl-NL"/>
        </w:rPr>
        <w:t>12</w:t>
      </w:r>
      <w:r w:rsidRPr="006C50CD">
        <w:rPr>
          <w:i/>
          <w:szCs w:val="18"/>
          <w:lang w:val="nl-NL"/>
        </w:rPr>
        <w:t>: Kosten</w:t>
      </w:r>
    </w:p>
    <w:p w:rsidRPr="006C50CD" w:rsidR="00864D40" w:rsidP="00E23432" w:rsidRDefault="00864D40" w14:paraId="5E638858" w14:textId="4F60D31D">
      <w:pPr>
        <w:spacing w:after="0" w:line="240" w:lineRule="atLeast"/>
        <w:contextualSpacing/>
        <w:rPr>
          <w:iCs/>
          <w:szCs w:val="18"/>
          <w:lang w:val="nl-NL"/>
        </w:rPr>
      </w:pPr>
      <w:r w:rsidRPr="006C50CD">
        <w:rPr>
          <w:iCs/>
          <w:szCs w:val="18"/>
          <w:lang w:val="nl-NL"/>
        </w:rPr>
        <w:t xml:space="preserve">De kosten die voortvloeien uit de terugname of doorgeleiding, evenals uit onterechte terugname, komen ten laste van de verzoekende </w:t>
      </w:r>
      <w:r>
        <w:rPr>
          <w:iCs/>
          <w:szCs w:val="18"/>
          <w:lang w:val="nl-NL"/>
        </w:rPr>
        <w:t>S</w:t>
      </w:r>
      <w:r w:rsidRPr="006C50CD">
        <w:rPr>
          <w:iCs/>
          <w:szCs w:val="18"/>
          <w:lang w:val="nl-NL"/>
        </w:rPr>
        <w:t>taat.</w:t>
      </w:r>
    </w:p>
    <w:p w:rsidRPr="006C50CD" w:rsidR="00864D40" w:rsidP="00E23432" w:rsidRDefault="00864D40" w14:paraId="2B7285D1" w14:textId="77777777">
      <w:pPr>
        <w:spacing w:after="0" w:line="240" w:lineRule="atLeast"/>
        <w:contextualSpacing/>
        <w:rPr>
          <w:i/>
          <w:szCs w:val="18"/>
          <w:lang w:val="nl-NL"/>
        </w:rPr>
      </w:pPr>
    </w:p>
    <w:p w:rsidRPr="006C50CD" w:rsidR="00864D40" w:rsidP="00E23432" w:rsidRDefault="00864D40" w14:paraId="63846157" w14:textId="4DBC2AB8">
      <w:pPr>
        <w:spacing w:after="0" w:line="240" w:lineRule="atLeast"/>
        <w:contextualSpacing/>
        <w:rPr>
          <w:i/>
          <w:szCs w:val="18"/>
          <w:lang w:val="nl-NL"/>
        </w:rPr>
      </w:pPr>
      <w:r w:rsidRPr="006C50CD">
        <w:rPr>
          <w:i/>
          <w:szCs w:val="18"/>
          <w:lang w:val="nl-NL"/>
        </w:rPr>
        <w:t xml:space="preserve">Artikel </w:t>
      </w:r>
      <w:r>
        <w:rPr>
          <w:i/>
          <w:szCs w:val="18"/>
          <w:lang w:val="nl-NL"/>
        </w:rPr>
        <w:t>13</w:t>
      </w:r>
      <w:r w:rsidRPr="006C50CD">
        <w:rPr>
          <w:i/>
          <w:szCs w:val="18"/>
          <w:lang w:val="nl-NL"/>
        </w:rPr>
        <w:t>: Gegevensbescherming</w:t>
      </w:r>
    </w:p>
    <w:p w:rsidRPr="003E20ED" w:rsidR="00864D40" w:rsidP="00E23432" w:rsidRDefault="00864D40" w14:paraId="68972C35" w14:textId="77777777">
      <w:pPr>
        <w:spacing w:after="0" w:line="240" w:lineRule="atLeast"/>
        <w:contextualSpacing/>
        <w:rPr>
          <w:iCs/>
          <w:szCs w:val="18"/>
          <w:lang w:val="nl-NL"/>
        </w:rPr>
      </w:pPr>
      <w:r w:rsidRPr="006C50CD">
        <w:rPr>
          <w:iCs/>
          <w:szCs w:val="18"/>
          <w:lang w:val="nl-NL"/>
        </w:rPr>
        <w:t xml:space="preserve">Dit artikel ziet op het rechtmatig omgaan met persoonsgegevens door de bevoegde autoriteiten van de </w:t>
      </w:r>
      <w:r>
        <w:rPr>
          <w:iCs/>
          <w:szCs w:val="18"/>
          <w:lang w:val="nl-NL"/>
        </w:rPr>
        <w:t>verdrags</w:t>
      </w:r>
      <w:r w:rsidRPr="006C50CD">
        <w:rPr>
          <w:iCs/>
          <w:szCs w:val="18"/>
          <w:lang w:val="nl-NL"/>
        </w:rPr>
        <w:t xml:space="preserve">staten </w:t>
      </w:r>
      <w:proofErr w:type="gramStart"/>
      <w:r w:rsidRPr="006C50CD">
        <w:rPr>
          <w:iCs/>
          <w:szCs w:val="18"/>
          <w:lang w:val="nl-NL"/>
        </w:rPr>
        <w:t>conform</w:t>
      </w:r>
      <w:proofErr w:type="gramEnd"/>
      <w:r w:rsidRPr="006C50CD">
        <w:rPr>
          <w:iCs/>
          <w:szCs w:val="18"/>
          <w:lang w:val="nl-NL"/>
        </w:rPr>
        <w:t xml:space="preserve"> de bepalingen van </w:t>
      </w:r>
      <w:r>
        <w:rPr>
          <w:iCs/>
          <w:szCs w:val="18"/>
          <w:lang w:val="nl-NL"/>
        </w:rPr>
        <w:t>V</w:t>
      </w:r>
      <w:r w:rsidRPr="006C50CD">
        <w:rPr>
          <w:iCs/>
          <w:szCs w:val="18"/>
          <w:lang w:val="nl-NL"/>
        </w:rPr>
        <w:t>erordening (EU) 2016/679 van het Europees Parlement en de Raad van 27 april 2016 betreffende de bescherming van natuurlijke personen in verband met de verwerking van persoonsgegevens en betreffende het vrije verkeer van die gegevens, en van de nationale wetgeving van de respectieve Benelux-staten aangenomen op grond van deze verordening.</w:t>
      </w:r>
    </w:p>
    <w:p w:rsidRPr="006C50CD" w:rsidR="00864D40" w:rsidP="00E23432" w:rsidRDefault="00864D40" w14:paraId="0A87D2C9" w14:textId="77777777">
      <w:pPr>
        <w:spacing w:after="0" w:line="240" w:lineRule="atLeast"/>
        <w:contextualSpacing/>
        <w:rPr>
          <w:i/>
          <w:szCs w:val="18"/>
          <w:lang w:val="nl-NL"/>
        </w:rPr>
      </w:pPr>
    </w:p>
    <w:p w:rsidRPr="006C50CD" w:rsidR="00864D40" w:rsidP="00E23432" w:rsidRDefault="00864D40" w14:paraId="17AE2138" w14:textId="69E12B42">
      <w:pPr>
        <w:spacing w:after="0" w:line="240" w:lineRule="atLeast"/>
        <w:contextualSpacing/>
        <w:rPr>
          <w:i/>
          <w:szCs w:val="18"/>
          <w:lang w:val="nl-NL"/>
        </w:rPr>
      </w:pPr>
      <w:r w:rsidRPr="006C50CD">
        <w:rPr>
          <w:i/>
          <w:szCs w:val="18"/>
          <w:lang w:val="nl-NL"/>
        </w:rPr>
        <w:t>Artikel 1</w:t>
      </w:r>
      <w:r>
        <w:rPr>
          <w:i/>
          <w:szCs w:val="18"/>
          <w:lang w:val="nl-NL"/>
        </w:rPr>
        <w:t>4</w:t>
      </w:r>
      <w:r w:rsidRPr="006C50CD">
        <w:rPr>
          <w:i/>
          <w:szCs w:val="18"/>
          <w:lang w:val="nl-NL"/>
        </w:rPr>
        <w:t xml:space="preserve">: </w:t>
      </w:r>
      <w:r>
        <w:rPr>
          <w:i/>
          <w:szCs w:val="18"/>
          <w:lang w:val="nl-NL"/>
        </w:rPr>
        <w:t>O</w:t>
      </w:r>
      <w:r w:rsidRPr="006C50CD">
        <w:rPr>
          <w:i/>
          <w:szCs w:val="18"/>
          <w:lang w:val="nl-NL"/>
        </w:rPr>
        <w:t>nverminderde toepasselijkheid</w:t>
      </w:r>
    </w:p>
    <w:p w:rsidRPr="006C50CD" w:rsidR="00864D40" w:rsidP="00E23432" w:rsidRDefault="00864D40" w14:paraId="0E3D1DAA" w14:textId="7D601BC5">
      <w:pPr>
        <w:spacing w:after="0" w:line="240" w:lineRule="atLeast"/>
        <w:contextualSpacing/>
        <w:rPr>
          <w:iCs/>
          <w:szCs w:val="18"/>
          <w:lang w:val="nl-NL"/>
        </w:rPr>
      </w:pPr>
      <w:r>
        <w:rPr>
          <w:iCs/>
          <w:szCs w:val="18"/>
          <w:lang w:val="nl-NL"/>
        </w:rPr>
        <w:t>In dit artikel wordt bepaald dat het Verdrag</w:t>
      </w:r>
      <w:r w:rsidRPr="006C50CD">
        <w:rPr>
          <w:iCs/>
          <w:szCs w:val="18"/>
          <w:lang w:val="nl-NL"/>
        </w:rPr>
        <w:t xml:space="preserve"> geen afbreuk</w:t>
      </w:r>
      <w:r>
        <w:rPr>
          <w:iCs/>
          <w:szCs w:val="18"/>
          <w:lang w:val="nl-NL"/>
        </w:rPr>
        <w:t xml:space="preserve"> doet</w:t>
      </w:r>
      <w:r w:rsidRPr="006C50CD">
        <w:rPr>
          <w:iCs/>
          <w:szCs w:val="18"/>
          <w:lang w:val="nl-NL"/>
        </w:rPr>
        <w:t xml:space="preserve"> aan de rechten en verplichtingen van de verdragspartijen die voortvloeien uit </w:t>
      </w:r>
      <w:r>
        <w:rPr>
          <w:iCs/>
          <w:szCs w:val="18"/>
          <w:lang w:val="nl-NL"/>
        </w:rPr>
        <w:t>het internationale recht</w:t>
      </w:r>
      <w:r w:rsidRPr="006C50CD">
        <w:rPr>
          <w:iCs/>
          <w:szCs w:val="18"/>
          <w:lang w:val="nl-NL"/>
        </w:rPr>
        <w:t>.</w:t>
      </w:r>
    </w:p>
    <w:p w:rsidR="00864D40" w:rsidP="00E23432" w:rsidRDefault="00864D40" w14:paraId="5BE5ABA0" w14:textId="487FBF21">
      <w:pPr>
        <w:spacing w:after="0" w:line="240" w:lineRule="atLeast"/>
        <w:contextualSpacing/>
        <w:rPr>
          <w:iCs/>
          <w:szCs w:val="18"/>
          <w:lang w:val="nl-NL"/>
        </w:rPr>
      </w:pPr>
    </w:p>
    <w:p w:rsidRPr="00024CEA" w:rsidR="00864D40" w:rsidP="00E23432" w:rsidRDefault="00864D40" w14:paraId="14F611B0" w14:textId="77777777">
      <w:pPr>
        <w:spacing w:after="0" w:line="240" w:lineRule="atLeast"/>
        <w:contextualSpacing/>
        <w:rPr>
          <w:i/>
          <w:szCs w:val="18"/>
          <w:lang w:val="nl-NL"/>
        </w:rPr>
      </w:pPr>
      <w:r w:rsidRPr="00024CEA">
        <w:rPr>
          <w:i/>
          <w:szCs w:val="18"/>
          <w:lang w:val="nl-NL"/>
        </w:rPr>
        <w:t>Artikel 15: Comité van deskundigen</w:t>
      </w:r>
    </w:p>
    <w:p w:rsidRPr="006C50CD" w:rsidR="00864D40" w:rsidP="00E23432" w:rsidRDefault="00864D40" w14:paraId="3F114A61" w14:textId="234C9004">
      <w:pPr>
        <w:spacing w:after="0" w:line="240" w:lineRule="atLeast"/>
        <w:contextualSpacing/>
        <w:rPr>
          <w:iCs/>
          <w:szCs w:val="18"/>
          <w:lang w:val="nl-NL"/>
        </w:rPr>
      </w:pPr>
      <w:r>
        <w:rPr>
          <w:iCs/>
          <w:szCs w:val="18"/>
          <w:lang w:val="nl-NL"/>
        </w:rPr>
        <w:t xml:space="preserve">Dit artikel stelt een Comité van deskundigen in om onderling hulp bij de toepassing en uitlegging van het Verdrag te verlenen. </w:t>
      </w:r>
      <w:r w:rsidRPr="00024CEA">
        <w:rPr>
          <w:rFonts w:cs="Calibri"/>
          <w:lang w:val="nl-NL"/>
        </w:rPr>
        <w:t xml:space="preserve">Het Comité van deskundigen bestaat uit één vertegenwoordiger van België, Luxemburg, Nederland en </w:t>
      </w:r>
      <w:r w:rsidR="009012ED">
        <w:rPr>
          <w:rFonts w:cs="Calibri"/>
          <w:lang w:val="nl-NL"/>
        </w:rPr>
        <w:t xml:space="preserve">twee </w:t>
      </w:r>
      <w:r w:rsidRPr="002836DA">
        <w:rPr>
          <w:rFonts w:cs="Calibri"/>
          <w:lang w:val="nl-NL"/>
        </w:rPr>
        <w:t xml:space="preserve">vertegenwoordigers </w:t>
      </w:r>
      <w:r>
        <w:rPr>
          <w:rFonts w:cs="Calibri"/>
          <w:lang w:val="nl-NL"/>
        </w:rPr>
        <w:t xml:space="preserve">van </w:t>
      </w:r>
      <w:r w:rsidRPr="002836DA">
        <w:rPr>
          <w:rFonts w:cs="Calibri"/>
          <w:lang w:val="nl-NL"/>
        </w:rPr>
        <w:t xml:space="preserve">Suriname. </w:t>
      </w:r>
    </w:p>
    <w:p w:rsidRPr="006C50CD" w:rsidR="00864D40" w:rsidP="00E23432" w:rsidRDefault="00864D40" w14:paraId="155F42FB" w14:textId="77777777">
      <w:pPr>
        <w:spacing w:after="0" w:line="240" w:lineRule="atLeast"/>
        <w:contextualSpacing/>
        <w:rPr>
          <w:i/>
          <w:szCs w:val="18"/>
          <w:lang w:val="nl-NL"/>
        </w:rPr>
      </w:pPr>
    </w:p>
    <w:p w:rsidRPr="006C50CD" w:rsidR="00864D40" w:rsidP="00E23432" w:rsidRDefault="00864D40" w14:paraId="02996590" w14:textId="5A03CBAC">
      <w:pPr>
        <w:spacing w:after="0" w:line="240" w:lineRule="atLeast"/>
        <w:contextualSpacing/>
        <w:rPr>
          <w:i/>
          <w:szCs w:val="18"/>
          <w:lang w:val="nl-NL"/>
        </w:rPr>
      </w:pPr>
      <w:r w:rsidRPr="006C50CD">
        <w:rPr>
          <w:i/>
          <w:szCs w:val="18"/>
          <w:lang w:val="nl-NL"/>
        </w:rPr>
        <w:t>Artikel 1</w:t>
      </w:r>
      <w:r>
        <w:rPr>
          <w:i/>
          <w:szCs w:val="18"/>
          <w:lang w:val="nl-NL"/>
        </w:rPr>
        <w:t>6</w:t>
      </w:r>
      <w:r w:rsidRPr="006C50CD">
        <w:rPr>
          <w:i/>
          <w:szCs w:val="18"/>
          <w:lang w:val="nl-NL"/>
        </w:rPr>
        <w:t xml:space="preserve">: Uitvoeringsprotocol </w:t>
      </w:r>
    </w:p>
    <w:p w:rsidRPr="006C50CD" w:rsidR="00864D40" w:rsidP="00E23432" w:rsidRDefault="00864D40" w14:paraId="51D9F8A3" w14:textId="5482908B">
      <w:pPr>
        <w:spacing w:after="0" w:line="240" w:lineRule="atLeast"/>
        <w:contextualSpacing/>
        <w:rPr>
          <w:iCs/>
          <w:szCs w:val="18"/>
          <w:lang w:val="nl-NL"/>
        </w:rPr>
      </w:pPr>
      <w:r w:rsidRPr="006C50CD">
        <w:rPr>
          <w:iCs/>
          <w:szCs w:val="18"/>
          <w:lang w:val="nl-NL"/>
        </w:rPr>
        <w:t xml:space="preserve">Op de dag van ondertekening van het </w:t>
      </w:r>
      <w:r>
        <w:rPr>
          <w:iCs/>
          <w:szCs w:val="18"/>
          <w:lang w:val="nl-NL"/>
        </w:rPr>
        <w:t>Verdrag</w:t>
      </w:r>
      <w:r w:rsidRPr="006C50CD">
        <w:rPr>
          <w:iCs/>
          <w:szCs w:val="18"/>
          <w:lang w:val="nl-NL"/>
        </w:rPr>
        <w:t xml:space="preserve"> is </w:t>
      </w:r>
      <w:proofErr w:type="gramStart"/>
      <w:r w:rsidRPr="006C50CD">
        <w:rPr>
          <w:iCs/>
          <w:szCs w:val="18"/>
          <w:lang w:val="nl-NL"/>
        </w:rPr>
        <w:t>tevens</w:t>
      </w:r>
      <w:proofErr w:type="gramEnd"/>
      <w:r w:rsidRPr="006C50CD">
        <w:rPr>
          <w:iCs/>
          <w:szCs w:val="18"/>
          <w:lang w:val="nl-NL"/>
        </w:rPr>
        <w:t xml:space="preserve"> een </w:t>
      </w:r>
      <w:r>
        <w:rPr>
          <w:iCs/>
          <w:szCs w:val="18"/>
          <w:lang w:val="nl-NL"/>
        </w:rPr>
        <w:t>U</w:t>
      </w:r>
      <w:r w:rsidRPr="006C50CD">
        <w:rPr>
          <w:iCs/>
          <w:szCs w:val="18"/>
          <w:lang w:val="nl-NL"/>
        </w:rPr>
        <w:t>itvoeringsprotocol tot stand gekomen. Op basis van artikel 1</w:t>
      </w:r>
      <w:r>
        <w:rPr>
          <w:iCs/>
          <w:szCs w:val="18"/>
          <w:lang w:val="nl-NL"/>
        </w:rPr>
        <w:t>6</w:t>
      </w:r>
      <w:r w:rsidRPr="006C50CD">
        <w:rPr>
          <w:iCs/>
          <w:szCs w:val="18"/>
          <w:lang w:val="nl-NL"/>
        </w:rPr>
        <w:t xml:space="preserve"> bevat het </w:t>
      </w:r>
      <w:r>
        <w:rPr>
          <w:iCs/>
          <w:szCs w:val="18"/>
          <w:lang w:val="nl-NL"/>
        </w:rPr>
        <w:t>Uitvoerings</w:t>
      </w:r>
      <w:r w:rsidRPr="006C50CD">
        <w:rPr>
          <w:iCs/>
          <w:szCs w:val="18"/>
          <w:lang w:val="nl-NL"/>
        </w:rPr>
        <w:t xml:space="preserve">protocol praktische bepalingen voor de uitvoering van het </w:t>
      </w:r>
      <w:r>
        <w:rPr>
          <w:iCs/>
          <w:szCs w:val="18"/>
          <w:lang w:val="nl-NL"/>
        </w:rPr>
        <w:lastRenderedPageBreak/>
        <w:t>V</w:t>
      </w:r>
      <w:r w:rsidRPr="006C50CD">
        <w:rPr>
          <w:iCs/>
          <w:szCs w:val="18"/>
          <w:lang w:val="nl-NL"/>
        </w:rPr>
        <w:t>erdrag</w:t>
      </w:r>
      <w:r>
        <w:rPr>
          <w:iCs/>
          <w:szCs w:val="18"/>
          <w:lang w:val="nl-NL"/>
        </w:rPr>
        <w:t>,</w:t>
      </w:r>
      <w:r w:rsidRPr="006C50CD">
        <w:rPr>
          <w:iCs/>
          <w:szCs w:val="18"/>
          <w:lang w:val="nl-NL"/>
        </w:rPr>
        <w:t xml:space="preserve"> zoals de benoeming van de bevoegde autoriteiten</w:t>
      </w:r>
      <w:r>
        <w:rPr>
          <w:iCs/>
          <w:szCs w:val="18"/>
          <w:lang w:val="nl-NL"/>
        </w:rPr>
        <w:t xml:space="preserve"> de</w:t>
      </w:r>
      <w:r w:rsidRPr="006C50CD">
        <w:rPr>
          <w:iCs/>
          <w:szCs w:val="18"/>
          <w:lang w:val="nl-NL"/>
        </w:rPr>
        <w:t xml:space="preserve"> te benutten grensposten</w:t>
      </w:r>
      <w:r>
        <w:rPr>
          <w:iCs/>
          <w:szCs w:val="18"/>
          <w:lang w:val="nl-NL"/>
        </w:rPr>
        <w:t xml:space="preserve"> en de bewijsmiddelen</w:t>
      </w:r>
      <w:r w:rsidRPr="006C50CD">
        <w:rPr>
          <w:iCs/>
          <w:szCs w:val="18"/>
          <w:lang w:val="nl-NL"/>
        </w:rPr>
        <w:t xml:space="preserve">. Het </w:t>
      </w:r>
      <w:r>
        <w:rPr>
          <w:iCs/>
          <w:szCs w:val="18"/>
          <w:lang w:val="nl-NL"/>
        </w:rPr>
        <w:t>Uitvoerings</w:t>
      </w:r>
      <w:r w:rsidRPr="006C50CD">
        <w:rPr>
          <w:iCs/>
          <w:szCs w:val="18"/>
          <w:lang w:val="nl-NL"/>
        </w:rPr>
        <w:t xml:space="preserve">protocol, dat hierbij eveneens ter goedkeuring wordt voorgelegd, betreft uitsluitend de uitvoering van het </w:t>
      </w:r>
      <w:r>
        <w:rPr>
          <w:iCs/>
          <w:szCs w:val="18"/>
          <w:lang w:val="nl-NL"/>
        </w:rPr>
        <w:t>V</w:t>
      </w:r>
      <w:r w:rsidRPr="006C50CD">
        <w:rPr>
          <w:iCs/>
          <w:szCs w:val="18"/>
          <w:lang w:val="nl-NL"/>
        </w:rPr>
        <w:t xml:space="preserve">erdrag, zodat eventuele wijzigingen ervan op grond van artikel 7, </w:t>
      </w:r>
      <w:r>
        <w:rPr>
          <w:iCs/>
          <w:szCs w:val="18"/>
          <w:lang w:val="nl-NL"/>
        </w:rPr>
        <w:t xml:space="preserve">aanhef en </w:t>
      </w:r>
      <w:r w:rsidRPr="006C50CD">
        <w:rPr>
          <w:iCs/>
          <w:szCs w:val="18"/>
          <w:lang w:val="nl-NL"/>
        </w:rPr>
        <w:t xml:space="preserve">onderdeel b, van de Rijkswet goedkeuring en bekendmaking verdragen geen parlementaire goedkeuring behoeven, </w:t>
      </w:r>
      <w:proofErr w:type="gramStart"/>
      <w:r w:rsidRPr="006C50CD">
        <w:rPr>
          <w:iCs/>
          <w:szCs w:val="18"/>
          <w:lang w:val="nl-NL"/>
        </w:rPr>
        <w:t>behoudens</w:t>
      </w:r>
      <w:proofErr w:type="gramEnd"/>
      <w:r w:rsidRPr="006C50CD">
        <w:rPr>
          <w:iCs/>
          <w:szCs w:val="18"/>
          <w:lang w:val="nl-NL"/>
        </w:rPr>
        <w:t xml:space="preserve"> het bepaalde in artikel 8</w:t>
      </w:r>
      <w:r>
        <w:rPr>
          <w:iCs/>
          <w:szCs w:val="18"/>
          <w:lang w:val="nl-NL"/>
        </w:rPr>
        <w:t>, tweede lid,</w:t>
      </w:r>
      <w:r w:rsidRPr="006C50CD">
        <w:rPr>
          <w:iCs/>
          <w:szCs w:val="18"/>
          <w:lang w:val="nl-NL"/>
        </w:rPr>
        <w:t xml:space="preserve"> van die Rijkswet.</w:t>
      </w:r>
    </w:p>
    <w:p w:rsidRPr="006C50CD" w:rsidR="00864D40" w:rsidP="00E23432" w:rsidRDefault="00864D40" w14:paraId="32246F51" w14:textId="77777777">
      <w:pPr>
        <w:spacing w:after="0" w:line="240" w:lineRule="atLeast"/>
        <w:contextualSpacing/>
        <w:rPr>
          <w:iCs/>
          <w:szCs w:val="18"/>
          <w:lang w:val="nl-NL"/>
        </w:rPr>
      </w:pPr>
    </w:p>
    <w:p w:rsidRPr="006C50CD" w:rsidR="00864D40" w:rsidP="00E23432" w:rsidRDefault="00864D40" w14:paraId="3ACF48B3" w14:textId="2B596A6A">
      <w:pPr>
        <w:spacing w:after="0" w:line="240" w:lineRule="atLeast"/>
        <w:contextualSpacing/>
        <w:rPr>
          <w:iCs/>
          <w:szCs w:val="18"/>
          <w:lang w:val="nl-NL"/>
        </w:rPr>
      </w:pPr>
      <w:r w:rsidRPr="006C50CD">
        <w:rPr>
          <w:iCs/>
          <w:szCs w:val="18"/>
          <w:lang w:val="nl-NL"/>
        </w:rPr>
        <w:t xml:space="preserve">Bij het </w:t>
      </w:r>
      <w:r>
        <w:rPr>
          <w:iCs/>
          <w:szCs w:val="18"/>
          <w:lang w:val="nl-NL"/>
        </w:rPr>
        <w:t>Uitvoerings</w:t>
      </w:r>
      <w:r w:rsidRPr="006C50CD">
        <w:rPr>
          <w:iCs/>
          <w:szCs w:val="18"/>
          <w:lang w:val="nl-NL"/>
        </w:rPr>
        <w:t xml:space="preserve">protocol is een </w:t>
      </w:r>
      <w:r>
        <w:rPr>
          <w:iCs/>
          <w:szCs w:val="18"/>
          <w:lang w:val="nl-NL"/>
        </w:rPr>
        <w:t>zestal</w:t>
      </w:r>
      <w:r w:rsidRPr="006C50CD">
        <w:rPr>
          <w:iCs/>
          <w:szCs w:val="18"/>
          <w:lang w:val="nl-NL"/>
        </w:rPr>
        <w:t xml:space="preserve"> bijlagen gevoegd: formulieren die ten behoeve van de terug- en overnameprocedure door de bevoegde instanties gebruikt worden. Wijziging van deze bijlagen, waarvan de inhoud van uitvoerende aard is ten opzichte van de bepalingen van het protocol waar de bijlagen onderdeel van vormen, behoeft op grond van artikel 7, </w:t>
      </w:r>
      <w:r>
        <w:rPr>
          <w:iCs/>
          <w:szCs w:val="18"/>
          <w:lang w:val="nl-NL"/>
        </w:rPr>
        <w:t xml:space="preserve">aanhef en </w:t>
      </w:r>
      <w:r w:rsidRPr="006C50CD">
        <w:rPr>
          <w:iCs/>
          <w:szCs w:val="18"/>
          <w:lang w:val="nl-NL"/>
        </w:rPr>
        <w:t>onderdeel f, van de Rijkswet goedkeuring en bekendmaking verdragen geen parlementaire goedkeuring, tenzij de Staten-Generaal zich thans het recht tot goedkeuring ter zake voorbehouden.</w:t>
      </w:r>
    </w:p>
    <w:p w:rsidRPr="006C50CD" w:rsidR="00864D40" w:rsidP="00E23432" w:rsidRDefault="00864D40" w14:paraId="3D24BF70" w14:textId="77777777">
      <w:pPr>
        <w:spacing w:after="0" w:line="240" w:lineRule="atLeast"/>
        <w:contextualSpacing/>
        <w:rPr>
          <w:iCs/>
          <w:szCs w:val="18"/>
          <w:lang w:val="nl-NL"/>
        </w:rPr>
      </w:pPr>
    </w:p>
    <w:p w:rsidRPr="006C50CD" w:rsidR="00864D40" w:rsidP="00E23432" w:rsidRDefault="00864D40" w14:paraId="45D0FF4F" w14:textId="049B3777">
      <w:pPr>
        <w:spacing w:after="0" w:line="240" w:lineRule="atLeast"/>
        <w:contextualSpacing/>
        <w:rPr>
          <w:i/>
          <w:szCs w:val="18"/>
          <w:lang w:val="nl-NL"/>
        </w:rPr>
      </w:pPr>
      <w:r w:rsidRPr="006C50CD">
        <w:rPr>
          <w:i/>
          <w:szCs w:val="18"/>
          <w:lang w:val="nl-NL"/>
        </w:rPr>
        <w:t>Artikel 1</w:t>
      </w:r>
      <w:r>
        <w:rPr>
          <w:i/>
          <w:szCs w:val="18"/>
          <w:lang w:val="nl-NL"/>
        </w:rPr>
        <w:t>7</w:t>
      </w:r>
    </w:p>
    <w:p w:rsidR="00864D40" w:rsidP="00E23432" w:rsidRDefault="00864D40" w14:paraId="7DDF4872" w14:textId="4DD2C5BE">
      <w:pPr>
        <w:spacing w:after="0" w:line="240" w:lineRule="atLeast"/>
        <w:contextualSpacing/>
        <w:rPr>
          <w:iCs/>
          <w:szCs w:val="18"/>
          <w:lang w:val="nl-NL"/>
        </w:rPr>
      </w:pPr>
      <w:r w:rsidRPr="006C50CD">
        <w:rPr>
          <w:iCs/>
          <w:szCs w:val="18"/>
          <w:lang w:val="nl-NL"/>
        </w:rPr>
        <w:t>Volgens artikel 1</w:t>
      </w:r>
      <w:r>
        <w:rPr>
          <w:iCs/>
          <w:szCs w:val="18"/>
          <w:lang w:val="nl-NL"/>
        </w:rPr>
        <w:t>7</w:t>
      </w:r>
      <w:r w:rsidRPr="006C50CD">
        <w:rPr>
          <w:iCs/>
          <w:szCs w:val="18"/>
          <w:lang w:val="nl-NL"/>
        </w:rPr>
        <w:t xml:space="preserve"> kan de werking van het </w:t>
      </w:r>
      <w:r>
        <w:rPr>
          <w:iCs/>
          <w:szCs w:val="18"/>
          <w:lang w:val="nl-NL"/>
        </w:rPr>
        <w:t>V</w:t>
      </w:r>
      <w:r w:rsidRPr="006C50CD">
        <w:rPr>
          <w:iCs/>
          <w:szCs w:val="18"/>
          <w:lang w:val="nl-NL"/>
        </w:rPr>
        <w:t xml:space="preserve">erdrag worden uitgebreid naar Aruba, Curaçao, </w:t>
      </w:r>
      <w:proofErr w:type="gramStart"/>
      <w:r w:rsidRPr="006C50CD">
        <w:rPr>
          <w:iCs/>
          <w:szCs w:val="18"/>
          <w:lang w:val="nl-NL"/>
        </w:rPr>
        <w:t>Sint Maarten</w:t>
      </w:r>
      <w:proofErr w:type="gramEnd"/>
      <w:r w:rsidRPr="006C50CD">
        <w:rPr>
          <w:iCs/>
          <w:szCs w:val="18"/>
          <w:lang w:val="nl-NL"/>
        </w:rPr>
        <w:t xml:space="preserve"> en naar Caribisch Nederland.</w:t>
      </w:r>
      <w:r>
        <w:rPr>
          <w:iCs/>
          <w:szCs w:val="18"/>
          <w:lang w:val="nl-NL"/>
        </w:rPr>
        <w:t xml:space="preserve"> Zoals toegelicht in de paragraaf </w:t>
      </w:r>
      <w:proofErr w:type="spellStart"/>
      <w:r>
        <w:rPr>
          <w:iCs/>
          <w:szCs w:val="18"/>
          <w:lang w:val="nl-NL"/>
        </w:rPr>
        <w:t>Koninkrijkspositie</w:t>
      </w:r>
      <w:proofErr w:type="spellEnd"/>
      <w:r>
        <w:rPr>
          <w:iCs/>
          <w:szCs w:val="18"/>
          <w:lang w:val="nl-NL"/>
        </w:rPr>
        <w:t xml:space="preserve"> is het de bedoeling dat het Verdrag voor alle delen van het Koninkrijk gaat gelden.</w:t>
      </w:r>
    </w:p>
    <w:p w:rsidR="00864D40" w:rsidP="00E23432" w:rsidRDefault="00864D40" w14:paraId="79EB39F1" w14:textId="77777777">
      <w:pPr>
        <w:spacing w:after="0" w:line="240" w:lineRule="atLeast"/>
        <w:contextualSpacing/>
        <w:rPr>
          <w:iCs/>
          <w:szCs w:val="18"/>
          <w:lang w:val="nl-NL"/>
        </w:rPr>
      </w:pPr>
    </w:p>
    <w:p w:rsidRPr="00024CEA" w:rsidR="00864D40" w:rsidP="00E23432" w:rsidRDefault="00864D40" w14:paraId="501ACE8E" w14:textId="77777777">
      <w:pPr>
        <w:spacing w:after="0" w:line="240" w:lineRule="atLeast"/>
        <w:contextualSpacing/>
        <w:rPr>
          <w:i/>
          <w:szCs w:val="18"/>
          <w:lang w:val="nl-NL"/>
        </w:rPr>
      </w:pPr>
      <w:r>
        <w:rPr>
          <w:i/>
          <w:szCs w:val="18"/>
          <w:lang w:val="nl-NL"/>
        </w:rPr>
        <w:t>Artikel 18</w:t>
      </w:r>
    </w:p>
    <w:p w:rsidR="00864D40" w:rsidP="00E23432" w:rsidRDefault="00864D40" w14:paraId="2F730F1B" w14:textId="77777777">
      <w:pPr>
        <w:spacing w:after="0" w:line="240" w:lineRule="atLeast"/>
        <w:contextualSpacing/>
        <w:rPr>
          <w:iCs/>
          <w:szCs w:val="18"/>
          <w:lang w:val="nl-NL"/>
        </w:rPr>
      </w:pPr>
      <w:r>
        <w:rPr>
          <w:iCs/>
          <w:szCs w:val="18"/>
          <w:lang w:val="nl-NL"/>
        </w:rPr>
        <w:t>Artikel 18 bepaalt dat geschillen die voortvloeien uit de toepassing of de interpretatie van het Verdrag in der minne worden geschikt door middel van overleg of onderhandelingen.</w:t>
      </w:r>
      <w:r w:rsidRPr="006C50CD">
        <w:rPr>
          <w:iCs/>
          <w:szCs w:val="18"/>
          <w:lang w:val="nl-NL"/>
        </w:rPr>
        <w:t xml:space="preserve"> </w:t>
      </w:r>
    </w:p>
    <w:p w:rsidR="00864D40" w:rsidP="00E23432" w:rsidRDefault="00864D40" w14:paraId="6C173966" w14:textId="77777777">
      <w:pPr>
        <w:spacing w:after="0" w:line="240" w:lineRule="atLeast"/>
        <w:contextualSpacing/>
        <w:rPr>
          <w:iCs/>
          <w:szCs w:val="18"/>
          <w:lang w:val="nl-NL"/>
        </w:rPr>
      </w:pPr>
    </w:p>
    <w:p w:rsidR="00864D40" w:rsidP="00E23432" w:rsidRDefault="00864D40" w14:paraId="5201FFE8" w14:textId="77777777">
      <w:pPr>
        <w:spacing w:after="0" w:line="240" w:lineRule="atLeast"/>
        <w:contextualSpacing/>
        <w:rPr>
          <w:i/>
          <w:szCs w:val="18"/>
          <w:lang w:val="nl-NL"/>
        </w:rPr>
      </w:pPr>
      <w:r>
        <w:rPr>
          <w:i/>
          <w:szCs w:val="18"/>
          <w:lang w:val="nl-NL"/>
        </w:rPr>
        <w:t>Artikel 19</w:t>
      </w:r>
    </w:p>
    <w:p w:rsidR="00864D40" w:rsidP="00E23432" w:rsidRDefault="00864D40" w14:paraId="31C338E1" w14:textId="740CD96B">
      <w:pPr>
        <w:spacing w:after="0" w:line="240" w:lineRule="atLeast"/>
        <w:contextualSpacing/>
        <w:rPr>
          <w:iCs/>
          <w:szCs w:val="18"/>
          <w:lang w:val="nl-NL"/>
        </w:rPr>
      </w:pPr>
      <w:r w:rsidRPr="006C50CD">
        <w:rPr>
          <w:iCs/>
          <w:szCs w:val="18"/>
          <w:lang w:val="nl-NL"/>
        </w:rPr>
        <w:t>In artikel 1</w:t>
      </w:r>
      <w:r>
        <w:rPr>
          <w:iCs/>
          <w:szCs w:val="18"/>
          <w:lang w:val="nl-NL"/>
        </w:rPr>
        <w:t>9</w:t>
      </w:r>
      <w:r w:rsidRPr="006C50CD">
        <w:rPr>
          <w:iCs/>
          <w:szCs w:val="18"/>
          <w:lang w:val="nl-NL"/>
        </w:rPr>
        <w:t xml:space="preserve"> is bepaald dat het </w:t>
      </w:r>
      <w:r>
        <w:rPr>
          <w:iCs/>
          <w:szCs w:val="18"/>
          <w:lang w:val="nl-NL"/>
        </w:rPr>
        <w:t xml:space="preserve">Secretariaat-Generaal van de </w:t>
      </w:r>
      <w:r w:rsidRPr="006C50CD">
        <w:rPr>
          <w:iCs/>
          <w:szCs w:val="18"/>
          <w:lang w:val="nl-NL"/>
        </w:rPr>
        <w:t>Benelux-</w:t>
      </w:r>
      <w:r>
        <w:rPr>
          <w:iCs/>
          <w:szCs w:val="18"/>
          <w:lang w:val="nl-NL"/>
        </w:rPr>
        <w:t>Unie</w:t>
      </w:r>
      <w:r w:rsidRPr="006C50CD">
        <w:rPr>
          <w:iCs/>
          <w:szCs w:val="18"/>
          <w:lang w:val="nl-NL"/>
        </w:rPr>
        <w:t xml:space="preserve"> de depositaris van </w:t>
      </w:r>
      <w:r>
        <w:rPr>
          <w:iCs/>
          <w:szCs w:val="18"/>
          <w:lang w:val="nl-NL"/>
        </w:rPr>
        <w:t>het Verdrag</w:t>
      </w:r>
      <w:r w:rsidRPr="006C50CD">
        <w:rPr>
          <w:iCs/>
          <w:szCs w:val="18"/>
          <w:lang w:val="nl-NL"/>
        </w:rPr>
        <w:t xml:space="preserve"> is. </w:t>
      </w:r>
    </w:p>
    <w:p w:rsidR="00864D40" w:rsidP="00E23432" w:rsidRDefault="00864D40" w14:paraId="2969E229" w14:textId="77777777">
      <w:pPr>
        <w:spacing w:after="0" w:line="240" w:lineRule="atLeast"/>
        <w:contextualSpacing/>
        <w:rPr>
          <w:iCs/>
          <w:szCs w:val="18"/>
          <w:lang w:val="nl-NL"/>
        </w:rPr>
      </w:pPr>
    </w:p>
    <w:p w:rsidRPr="00024CEA" w:rsidR="00864D40" w:rsidP="00E23432" w:rsidRDefault="00864D40" w14:paraId="5E16113D" w14:textId="77777777">
      <w:pPr>
        <w:spacing w:after="0" w:line="240" w:lineRule="atLeast"/>
        <w:contextualSpacing/>
        <w:rPr>
          <w:i/>
          <w:szCs w:val="18"/>
          <w:lang w:val="nl-NL"/>
        </w:rPr>
      </w:pPr>
      <w:r>
        <w:rPr>
          <w:i/>
          <w:szCs w:val="18"/>
          <w:lang w:val="nl-NL"/>
        </w:rPr>
        <w:t>Artikel 20</w:t>
      </w:r>
    </w:p>
    <w:p w:rsidR="00864D40" w:rsidP="00E23432" w:rsidRDefault="00864D40" w14:paraId="0FA042E8" w14:textId="77777777">
      <w:pPr>
        <w:spacing w:after="0" w:line="240" w:lineRule="atLeast"/>
        <w:contextualSpacing/>
        <w:rPr>
          <w:iCs/>
          <w:szCs w:val="18"/>
          <w:lang w:val="nl-NL"/>
        </w:rPr>
      </w:pPr>
      <w:r>
        <w:rPr>
          <w:iCs/>
          <w:szCs w:val="18"/>
          <w:lang w:val="nl-NL"/>
        </w:rPr>
        <w:t xml:space="preserve">Artikel 20 bepaalt dat het Verdrag of het Uitvoeringsprotocol met wederzijdse schriftelijke instemming kan worden gewijzigd. </w:t>
      </w:r>
    </w:p>
    <w:p w:rsidR="00864D40" w:rsidP="00E23432" w:rsidRDefault="00864D40" w14:paraId="1233676C" w14:textId="77777777">
      <w:pPr>
        <w:spacing w:after="0" w:line="240" w:lineRule="atLeast"/>
        <w:contextualSpacing/>
        <w:rPr>
          <w:iCs/>
          <w:szCs w:val="18"/>
          <w:lang w:val="nl-NL"/>
        </w:rPr>
      </w:pPr>
    </w:p>
    <w:p w:rsidRPr="00024CEA" w:rsidR="00864D40" w:rsidP="00E23432" w:rsidRDefault="00864D40" w14:paraId="591342FF" w14:textId="77777777">
      <w:pPr>
        <w:spacing w:after="0" w:line="240" w:lineRule="atLeast"/>
        <w:contextualSpacing/>
        <w:rPr>
          <w:i/>
          <w:szCs w:val="18"/>
          <w:lang w:val="nl-NL"/>
        </w:rPr>
      </w:pPr>
      <w:r>
        <w:rPr>
          <w:i/>
          <w:szCs w:val="18"/>
          <w:lang w:val="nl-NL"/>
        </w:rPr>
        <w:t>Artikel 21</w:t>
      </w:r>
    </w:p>
    <w:p w:rsidR="00864D40" w:rsidP="00E23432" w:rsidRDefault="00864D40" w14:paraId="52FE0348" w14:textId="4D1044CC">
      <w:pPr>
        <w:spacing w:after="0" w:line="240" w:lineRule="atLeast"/>
        <w:contextualSpacing/>
        <w:rPr>
          <w:iCs/>
          <w:szCs w:val="18"/>
          <w:lang w:val="nl-NL"/>
        </w:rPr>
      </w:pPr>
      <w:bookmarkStart w:name="_Hlk174702155" w:id="1"/>
      <w:r>
        <w:rPr>
          <w:iCs/>
          <w:szCs w:val="18"/>
          <w:lang w:val="nl-NL"/>
        </w:rPr>
        <w:t>In artikel 21 is bepaald dat de bevoegde autoriteiten van het Koninkrijk België, het Groothertogdom Luxemburg, het Koninkrijk der Nederlanden en Suriname met elkaar kunnen overleggen over de praktische uitvoering van het Verdrag voordat het Verdrag in werking treedt. Dit artikel is opgenomen om te voorzien in overleg tussen de bevoegde autoriteiten na de totstandkoming en voor de inwerkingtreding van het Verdrag, zodat in die fase alvast afspraken kunnen worden gemaakt over de samenwerking tussen de autoriteiten.</w:t>
      </w:r>
      <w:bookmarkEnd w:id="1"/>
    </w:p>
    <w:p w:rsidR="00864D40" w:rsidP="00E23432" w:rsidRDefault="00864D40" w14:paraId="75D0C868" w14:textId="77777777">
      <w:pPr>
        <w:spacing w:after="0" w:line="240" w:lineRule="atLeast"/>
        <w:contextualSpacing/>
        <w:rPr>
          <w:iCs/>
          <w:szCs w:val="18"/>
          <w:lang w:val="nl-NL"/>
        </w:rPr>
      </w:pPr>
    </w:p>
    <w:p w:rsidR="00864D40" w:rsidP="00E23432" w:rsidRDefault="00864D40" w14:paraId="65A52328" w14:textId="77777777">
      <w:pPr>
        <w:spacing w:after="0" w:line="240" w:lineRule="atLeast"/>
        <w:contextualSpacing/>
        <w:rPr>
          <w:i/>
          <w:szCs w:val="18"/>
          <w:lang w:val="nl-NL"/>
        </w:rPr>
      </w:pPr>
      <w:r>
        <w:rPr>
          <w:i/>
          <w:szCs w:val="18"/>
          <w:lang w:val="nl-NL"/>
        </w:rPr>
        <w:t>Artikel 22</w:t>
      </w:r>
    </w:p>
    <w:p w:rsidR="00864D40" w:rsidP="00E23432" w:rsidRDefault="00864D40" w14:paraId="0B42AC99" w14:textId="4B3DBCEC">
      <w:pPr>
        <w:spacing w:after="0" w:line="240" w:lineRule="atLeast"/>
        <w:contextualSpacing/>
        <w:rPr>
          <w:iCs/>
          <w:szCs w:val="18"/>
          <w:lang w:val="nl-NL"/>
        </w:rPr>
      </w:pPr>
      <w:r w:rsidRPr="006C50CD">
        <w:rPr>
          <w:iCs/>
          <w:szCs w:val="18"/>
          <w:lang w:val="nl-NL"/>
        </w:rPr>
        <w:t xml:space="preserve">Artikel </w:t>
      </w:r>
      <w:r>
        <w:rPr>
          <w:iCs/>
          <w:szCs w:val="18"/>
          <w:lang w:val="nl-NL"/>
        </w:rPr>
        <w:t>22</w:t>
      </w:r>
      <w:r w:rsidRPr="006C50CD">
        <w:rPr>
          <w:iCs/>
          <w:szCs w:val="18"/>
          <w:lang w:val="nl-NL"/>
        </w:rPr>
        <w:t xml:space="preserve"> bepaalt dat </w:t>
      </w:r>
      <w:r>
        <w:rPr>
          <w:iCs/>
          <w:szCs w:val="18"/>
          <w:lang w:val="nl-NL"/>
        </w:rPr>
        <w:t>het Verdrag</w:t>
      </w:r>
      <w:r w:rsidRPr="006C50CD">
        <w:rPr>
          <w:iCs/>
          <w:szCs w:val="18"/>
          <w:lang w:val="nl-NL"/>
        </w:rPr>
        <w:t xml:space="preserve"> in werking treedt</w:t>
      </w:r>
      <w:r>
        <w:rPr>
          <w:iCs/>
          <w:szCs w:val="18"/>
          <w:lang w:val="nl-NL"/>
        </w:rPr>
        <w:t xml:space="preserve"> op de eerste dag van de tweede maand</w:t>
      </w:r>
      <w:r w:rsidRPr="006C50CD">
        <w:rPr>
          <w:iCs/>
          <w:szCs w:val="18"/>
          <w:lang w:val="nl-NL"/>
        </w:rPr>
        <w:t xml:space="preserve"> </w:t>
      </w:r>
      <w:r>
        <w:rPr>
          <w:iCs/>
          <w:szCs w:val="18"/>
          <w:lang w:val="nl-NL"/>
        </w:rPr>
        <w:t>nadat alle</w:t>
      </w:r>
      <w:r w:rsidRPr="006C50CD">
        <w:rPr>
          <w:iCs/>
          <w:szCs w:val="18"/>
          <w:lang w:val="nl-NL"/>
        </w:rPr>
        <w:t xml:space="preserve"> ondertekenende staten aan de depositaris hebben laten weten dat zij de nationale goedkeuringsprocedures hebben afgerond. </w:t>
      </w:r>
    </w:p>
    <w:p w:rsidR="00864D40" w:rsidP="00E23432" w:rsidRDefault="00864D40" w14:paraId="17E40EC0" w14:textId="77777777">
      <w:pPr>
        <w:spacing w:after="0" w:line="240" w:lineRule="atLeast"/>
        <w:contextualSpacing/>
        <w:rPr>
          <w:iCs/>
          <w:szCs w:val="18"/>
          <w:lang w:val="nl-NL"/>
        </w:rPr>
      </w:pPr>
    </w:p>
    <w:p w:rsidRPr="00024CEA" w:rsidR="00864D40" w:rsidP="00E23432" w:rsidRDefault="00864D40" w14:paraId="231692D3" w14:textId="77777777">
      <w:pPr>
        <w:spacing w:after="0" w:line="240" w:lineRule="atLeast"/>
        <w:contextualSpacing/>
        <w:rPr>
          <w:i/>
          <w:szCs w:val="18"/>
          <w:lang w:val="nl-NL"/>
        </w:rPr>
      </w:pPr>
      <w:r>
        <w:rPr>
          <w:i/>
          <w:szCs w:val="18"/>
          <w:lang w:val="nl-NL"/>
        </w:rPr>
        <w:t>Artikel 23</w:t>
      </w:r>
    </w:p>
    <w:p w:rsidR="00864D40" w:rsidP="00E23432" w:rsidRDefault="00864D40" w14:paraId="340B6F89" w14:textId="65257584">
      <w:pPr>
        <w:spacing w:after="0" w:line="240" w:lineRule="atLeast"/>
        <w:contextualSpacing/>
        <w:rPr>
          <w:iCs/>
          <w:szCs w:val="18"/>
          <w:lang w:val="nl-NL"/>
        </w:rPr>
      </w:pPr>
      <w:r w:rsidRPr="006C50CD">
        <w:rPr>
          <w:iCs/>
          <w:szCs w:val="18"/>
          <w:lang w:val="nl-NL"/>
        </w:rPr>
        <w:t xml:space="preserve">Op grond van artikel </w:t>
      </w:r>
      <w:r>
        <w:rPr>
          <w:iCs/>
          <w:szCs w:val="18"/>
          <w:lang w:val="nl-NL"/>
        </w:rPr>
        <w:t xml:space="preserve">23 </w:t>
      </w:r>
      <w:r w:rsidRPr="006C50CD">
        <w:rPr>
          <w:iCs/>
          <w:szCs w:val="18"/>
          <w:lang w:val="nl-NL"/>
        </w:rPr>
        <w:t xml:space="preserve">kan </w:t>
      </w:r>
      <w:r>
        <w:rPr>
          <w:iCs/>
          <w:szCs w:val="18"/>
          <w:lang w:val="nl-NL"/>
        </w:rPr>
        <w:t>het Verdrag</w:t>
      </w:r>
      <w:r w:rsidRPr="006C50CD">
        <w:rPr>
          <w:iCs/>
          <w:szCs w:val="18"/>
          <w:lang w:val="nl-NL"/>
        </w:rPr>
        <w:t xml:space="preserve"> opgeschort </w:t>
      </w:r>
      <w:r>
        <w:rPr>
          <w:iCs/>
          <w:szCs w:val="18"/>
          <w:lang w:val="nl-NL"/>
        </w:rPr>
        <w:t>worden door de Benelux-staten gezamenlijk of door Suriname via een kennisgeving aan de depositaris. De opschorting wordt van kracht op de eerste dag van de eerste maand na de kennisgeving.</w:t>
      </w:r>
    </w:p>
    <w:p w:rsidR="00864D40" w:rsidP="00E23432" w:rsidRDefault="00864D40" w14:paraId="35C2AE2A" w14:textId="77777777">
      <w:pPr>
        <w:spacing w:after="0" w:line="240" w:lineRule="atLeast"/>
        <w:contextualSpacing/>
        <w:rPr>
          <w:iCs/>
          <w:szCs w:val="18"/>
          <w:lang w:val="nl-NL"/>
        </w:rPr>
      </w:pPr>
    </w:p>
    <w:p w:rsidR="00864D40" w:rsidP="00E23432" w:rsidRDefault="00864D40" w14:paraId="08A06178" w14:textId="77777777">
      <w:pPr>
        <w:spacing w:after="0" w:line="240" w:lineRule="atLeast"/>
        <w:contextualSpacing/>
        <w:rPr>
          <w:i/>
          <w:szCs w:val="18"/>
          <w:lang w:val="nl-NL"/>
        </w:rPr>
      </w:pPr>
      <w:r>
        <w:rPr>
          <w:i/>
          <w:szCs w:val="18"/>
          <w:lang w:val="nl-NL"/>
        </w:rPr>
        <w:t>Artikel 24</w:t>
      </w:r>
    </w:p>
    <w:p w:rsidR="00864D40" w:rsidP="00E23432" w:rsidRDefault="00864D40" w14:paraId="0BC7F4C4" w14:textId="28FA471A">
      <w:pPr>
        <w:spacing w:after="0" w:line="240" w:lineRule="atLeast"/>
        <w:contextualSpacing/>
        <w:rPr>
          <w:iCs/>
          <w:szCs w:val="18"/>
          <w:lang w:val="nl-NL"/>
        </w:rPr>
      </w:pPr>
      <w:r>
        <w:rPr>
          <w:iCs/>
          <w:szCs w:val="18"/>
          <w:lang w:val="nl-NL"/>
        </w:rPr>
        <w:t xml:space="preserve">In artikel 24 is bepaald dat de Benelux-staten gezamenlijk of Suriname het Verdrag kunnen opzeggen via een kennisgeving aan de depositaris. De opzegging wordt van kracht op de eerste dag van de zesde maand na de kennisgeving. </w:t>
      </w:r>
    </w:p>
    <w:p w:rsidRPr="006C50CD" w:rsidR="00864D40" w:rsidP="00E23432" w:rsidRDefault="00864D40" w14:paraId="6AA8DE32" w14:textId="77777777">
      <w:pPr>
        <w:spacing w:line="276" w:lineRule="auto"/>
        <w:contextualSpacing/>
        <w:rPr>
          <w:szCs w:val="18"/>
          <w:lang w:val="nl-NL"/>
        </w:rPr>
      </w:pPr>
    </w:p>
    <w:p w:rsidRPr="00880A21" w:rsidR="00864D40" w:rsidP="00E23432" w:rsidRDefault="00864D40" w14:paraId="6B610AD0" w14:textId="77777777">
      <w:pPr>
        <w:spacing w:line="276" w:lineRule="auto"/>
        <w:contextualSpacing/>
        <w:rPr>
          <w:szCs w:val="18"/>
          <w:lang w:val="nl-NL"/>
        </w:rPr>
      </w:pPr>
      <w:r w:rsidRPr="00880A21">
        <w:rPr>
          <w:szCs w:val="18"/>
          <w:lang w:val="nl-NL"/>
        </w:rPr>
        <w:lastRenderedPageBreak/>
        <w:t>3.2</w:t>
      </w:r>
      <w:r w:rsidRPr="00880A21">
        <w:rPr>
          <w:szCs w:val="18"/>
          <w:lang w:val="nl-NL"/>
        </w:rPr>
        <w:tab/>
        <w:t>Uitvoeringsprotocol</w:t>
      </w:r>
    </w:p>
    <w:p w:rsidRPr="006C50CD" w:rsidR="00864D40" w:rsidP="00E23432" w:rsidRDefault="00864D40" w14:paraId="04E8C7ED" w14:textId="77777777">
      <w:pPr>
        <w:spacing w:line="276" w:lineRule="auto"/>
        <w:contextualSpacing/>
        <w:rPr>
          <w:szCs w:val="18"/>
          <w:lang w:val="nl-NL"/>
        </w:rPr>
      </w:pPr>
    </w:p>
    <w:p w:rsidRPr="00D70E57" w:rsidR="00864D40" w:rsidP="00E23432" w:rsidRDefault="00864D40" w14:paraId="714A7409" w14:textId="77777777">
      <w:pPr>
        <w:spacing w:line="276" w:lineRule="auto"/>
        <w:contextualSpacing/>
        <w:rPr>
          <w:szCs w:val="18"/>
          <w:lang w:val="nl-NL"/>
        </w:rPr>
      </w:pPr>
      <w:r w:rsidRPr="00D70E57">
        <w:rPr>
          <w:szCs w:val="18"/>
          <w:lang w:val="nl-NL"/>
        </w:rPr>
        <w:t xml:space="preserve">Hieronder worden de artikelen uit het </w:t>
      </w:r>
      <w:r>
        <w:rPr>
          <w:szCs w:val="18"/>
          <w:lang w:val="nl-NL"/>
        </w:rPr>
        <w:t>U</w:t>
      </w:r>
      <w:r w:rsidRPr="00D70E57">
        <w:rPr>
          <w:szCs w:val="18"/>
          <w:lang w:val="nl-NL"/>
        </w:rPr>
        <w:t>itvoeringsprotocol toegelicht.</w:t>
      </w:r>
    </w:p>
    <w:p w:rsidRPr="003E20ED" w:rsidR="00864D40" w:rsidP="00E23432" w:rsidRDefault="00864D40" w14:paraId="50526C2A" w14:textId="77777777">
      <w:pPr>
        <w:spacing w:after="0" w:line="240" w:lineRule="atLeast"/>
        <w:contextualSpacing/>
        <w:rPr>
          <w:i/>
          <w:szCs w:val="18"/>
          <w:lang w:val="nl-NL"/>
        </w:rPr>
      </w:pPr>
    </w:p>
    <w:p w:rsidRPr="003E20ED" w:rsidR="00864D40" w:rsidP="00E23432" w:rsidRDefault="00864D40" w14:paraId="050C5A82" w14:textId="77777777">
      <w:pPr>
        <w:spacing w:after="0" w:line="240" w:lineRule="atLeast"/>
        <w:contextualSpacing/>
        <w:rPr>
          <w:i/>
          <w:szCs w:val="18"/>
          <w:lang w:val="nl-NL"/>
        </w:rPr>
      </w:pPr>
      <w:r w:rsidRPr="003E20ED">
        <w:rPr>
          <w:i/>
          <w:szCs w:val="18"/>
          <w:lang w:val="nl-NL"/>
        </w:rPr>
        <w:t xml:space="preserve">Artikel 1: Aanwijzing bevoegde autoriteiten </w:t>
      </w:r>
    </w:p>
    <w:p w:rsidRPr="006C50CD" w:rsidR="00864D40" w:rsidP="00E23432" w:rsidRDefault="00864D40" w14:paraId="45F8D922" w14:textId="77777777">
      <w:pPr>
        <w:spacing w:after="0" w:line="240" w:lineRule="atLeast"/>
        <w:contextualSpacing/>
        <w:rPr>
          <w:szCs w:val="18"/>
          <w:lang w:val="nl-NL"/>
        </w:rPr>
      </w:pPr>
      <w:r w:rsidRPr="003E20ED">
        <w:rPr>
          <w:szCs w:val="18"/>
          <w:lang w:val="nl-NL"/>
        </w:rPr>
        <w:t>Artikel 1 bevat een omschrijving van de procedure</w:t>
      </w:r>
      <w:r w:rsidRPr="006C50CD">
        <w:rPr>
          <w:szCs w:val="18"/>
          <w:lang w:val="nl-NL"/>
        </w:rPr>
        <w:t xml:space="preserve"> van het aanwijzen van de bevoegde autoriteiten bij de uitvoering van </w:t>
      </w:r>
      <w:r>
        <w:rPr>
          <w:szCs w:val="18"/>
          <w:lang w:val="nl-NL"/>
        </w:rPr>
        <w:t>het U</w:t>
      </w:r>
      <w:r w:rsidRPr="006C50CD">
        <w:rPr>
          <w:szCs w:val="18"/>
          <w:lang w:val="nl-NL"/>
        </w:rPr>
        <w:t>itvoeringsprotocol.</w:t>
      </w:r>
    </w:p>
    <w:p w:rsidRPr="006C50CD" w:rsidR="00864D40" w:rsidP="00E23432" w:rsidRDefault="00864D40" w14:paraId="76AED81F" w14:textId="77777777">
      <w:pPr>
        <w:spacing w:after="0" w:line="240" w:lineRule="atLeast"/>
        <w:contextualSpacing/>
        <w:rPr>
          <w:szCs w:val="18"/>
          <w:lang w:val="nl-NL"/>
        </w:rPr>
      </w:pPr>
    </w:p>
    <w:p w:rsidRPr="006C50CD" w:rsidR="00864D40" w:rsidP="00E23432" w:rsidRDefault="00864D40" w14:paraId="2CA6173F" w14:textId="6C8B625A">
      <w:pPr>
        <w:spacing w:after="0" w:line="240" w:lineRule="atLeast"/>
        <w:contextualSpacing/>
        <w:rPr>
          <w:i/>
          <w:szCs w:val="18"/>
          <w:lang w:val="nl-NL"/>
        </w:rPr>
      </w:pPr>
      <w:r w:rsidRPr="006C50CD">
        <w:rPr>
          <w:i/>
          <w:szCs w:val="18"/>
          <w:lang w:val="nl-NL"/>
        </w:rPr>
        <w:t xml:space="preserve">Artikel 2: Aanwijzing </w:t>
      </w:r>
      <w:r>
        <w:rPr>
          <w:i/>
          <w:szCs w:val="18"/>
          <w:lang w:val="nl-NL"/>
        </w:rPr>
        <w:t>plaatsen grensovergang</w:t>
      </w:r>
    </w:p>
    <w:p w:rsidRPr="006C50CD" w:rsidR="00864D40" w:rsidP="00E23432" w:rsidRDefault="00864D40" w14:paraId="7AD69AA2" w14:textId="477A2C89">
      <w:pPr>
        <w:spacing w:after="0" w:line="240" w:lineRule="atLeast"/>
        <w:contextualSpacing/>
        <w:rPr>
          <w:szCs w:val="18"/>
          <w:lang w:val="nl-NL"/>
        </w:rPr>
      </w:pPr>
      <w:r w:rsidRPr="006C50CD">
        <w:rPr>
          <w:szCs w:val="18"/>
          <w:lang w:val="nl-NL"/>
        </w:rPr>
        <w:t xml:space="preserve">In bijlage 1 bij het </w:t>
      </w:r>
      <w:r>
        <w:rPr>
          <w:szCs w:val="18"/>
          <w:lang w:val="nl-NL"/>
        </w:rPr>
        <w:t>U</w:t>
      </w:r>
      <w:r w:rsidRPr="006C50CD">
        <w:rPr>
          <w:szCs w:val="18"/>
          <w:lang w:val="nl-NL"/>
        </w:rPr>
        <w:t xml:space="preserve">itvoeringsprotocol is een lijst opgenomen van grensovergangen waarvan gebruik moet worden gemaakt voor de uitvoering van de overeenkomst. Verder wordt gesteld dat elke partij de ander onmiddellijk zal informeren over een verandering van deze plaatsen van grensoverschrijding en dat </w:t>
      </w:r>
      <w:proofErr w:type="gramStart"/>
      <w:r w:rsidRPr="006C50CD">
        <w:rPr>
          <w:szCs w:val="18"/>
          <w:lang w:val="nl-NL"/>
        </w:rPr>
        <w:t>er op</w:t>
      </w:r>
      <w:proofErr w:type="gramEnd"/>
      <w:r w:rsidRPr="006C50CD">
        <w:rPr>
          <w:szCs w:val="18"/>
          <w:lang w:val="nl-NL"/>
        </w:rPr>
        <w:t xml:space="preserve"> ad hoc basis hiervan afgeweken kan worden. </w:t>
      </w:r>
    </w:p>
    <w:p w:rsidRPr="006C50CD" w:rsidR="00864D40" w:rsidP="00E23432" w:rsidRDefault="00864D40" w14:paraId="15F73563" w14:textId="77777777">
      <w:pPr>
        <w:spacing w:after="0" w:line="240" w:lineRule="atLeast"/>
        <w:contextualSpacing/>
        <w:rPr>
          <w:szCs w:val="18"/>
          <w:lang w:val="nl-NL"/>
        </w:rPr>
      </w:pPr>
    </w:p>
    <w:p w:rsidRPr="006C50CD" w:rsidR="00864D40" w:rsidP="00E23432" w:rsidRDefault="00864D40" w14:paraId="47C7C63F" w14:textId="77777777">
      <w:pPr>
        <w:spacing w:after="0" w:line="240" w:lineRule="atLeast"/>
        <w:contextualSpacing/>
        <w:rPr>
          <w:i/>
          <w:szCs w:val="18"/>
          <w:lang w:val="nl-NL"/>
        </w:rPr>
      </w:pPr>
      <w:r w:rsidRPr="006C50CD">
        <w:rPr>
          <w:i/>
          <w:szCs w:val="18"/>
          <w:lang w:val="nl-NL"/>
        </w:rPr>
        <w:t>Artikel 3: Indiening van het verzoek om terug</w:t>
      </w:r>
      <w:r>
        <w:rPr>
          <w:i/>
          <w:szCs w:val="18"/>
          <w:lang w:val="nl-NL"/>
        </w:rPr>
        <w:t>- of over</w:t>
      </w:r>
      <w:r w:rsidRPr="006C50CD">
        <w:rPr>
          <w:i/>
          <w:szCs w:val="18"/>
          <w:lang w:val="nl-NL"/>
        </w:rPr>
        <w:t>name</w:t>
      </w:r>
    </w:p>
    <w:p w:rsidRPr="006C50CD" w:rsidR="00864D40" w:rsidP="00E23432" w:rsidRDefault="00864D40" w14:paraId="560D29F7" w14:textId="77777777">
      <w:pPr>
        <w:spacing w:after="0" w:line="240" w:lineRule="atLeast"/>
        <w:contextualSpacing/>
        <w:rPr>
          <w:szCs w:val="18"/>
          <w:lang w:val="nl-NL"/>
        </w:rPr>
      </w:pPr>
      <w:r w:rsidRPr="006C50CD">
        <w:rPr>
          <w:szCs w:val="18"/>
          <w:lang w:val="nl-NL"/>
        </w:rPr>
        <w:t>De procedure van een verzoek om terug</w:t>
      </w:r>
      <w:r>
        <w:rPr>
          <w:szCs w:val="18"/>
          <w:lang w:val="nl-NL"/>
        </w:rPr>
        <w:t>- of over</w:t>
      </w:r>
      <w:r w:rsidRPr="006C50CD">
        <w:rPr>
          <w:szCs w:val="18"/>
          <w:lang w:val="nl-NL"/>
        </w:rPr>
        <w:t xml:space="preserve">name is beschreven in artikel 3. Het bevat nadere aanwijzingen voor het indienen van een dergelijk verzoek bij de aangezochte partij. Bijlage 2 van het </w:t>
      </w:r>
      <w:r>
        <w:rPr>
          <w:szCs w:val="18"/>
          <w:lang w:val="nl-NL"/>
        </w:rPr>
        <w:t>U</w:t>
      </w:r>
      <w:r w:rsidRPr="006C50CD">
        <w:rPr>
          <w:szCs w:val="18"/>
          <w:lang w:val="nl-NL"/>
        </w:rPr>
        <w:t>itvoeringsprotocol bevat het model voor het verzoekformulier.</w:t>
      </w:r>
    </w:p>
    <w:p w:rsidRPr="006C50CD" w:rsidR="00864D40" w:rsidP="00E23432" w:rsidRDefault="00864D40" w14:paraId="520FC2B8" w14:textId="77777777">
      <w:pPr>
        <w:spacing w:after="0" w:line="240" w:lineRule="atLeast"/>
        <w:contextualSpacing/>
        <w:rPr>
          <w:szCs w:val="18"/>
          <w:lang w:val="nl-NL"/>
        </w:rPr>
      </w:pPr>
    </w:p>
    <w:p w:rsidRPr="006C50CD" w:rsidR="00864D40" w:rsidP="00E23432" w:rsidRDefault="00864D40" w14:paraId="41ADEC74" w14:textId="77777777">
      <w:pPr>
        <w:spacing w:after="0" w:line="240" w:lineRule="atLeast"/>
        <w:contextualSpacing/>
        <w:rPr>
          <w:i/>
          <w:szCs w:val="18"/>
          <w:lang w:val="nl-NL"/>
        </w:rPr>
      </w:pPr>
      <w:r w:rsidRPr="006C50CD">
        <w:rPr>
          <w:i/>
          <w:szCs w:val="18"/>
          <w:lang w:val="nl-NL"/>
        </w:rPr>
        <w:t>Artikel 4: Bewijsmiddelen met betrekking tot eigen onderdanen</w:t>
      </w:r>
    </w:p>
    <w:p w:rsidR="00864D40" w:rsidP="00E23432" w:rsidRDefault="00864D40" w14:paraId="4854EF4A" w14:textId="77777777">
      <w:pPr>
        <w:spacing w:after="0" w:line="240" w:lineRule="atLeast"/>
        <w:contextualSpacing/>
        <w:rPr>
          <w:szCs w:val="18"/>
          <w:lang w:val="nl-NL"/>
        </w:rPr>
      </w:pPr>
      <w:r w:rsidRPr="006C50CD">
        <w:rPr>
          <w:szCs w:val="18"/>
          <w:lang w:val="nl-NL"/>
        </w:rPr>
        <w:t>Artikel 4 bevat de opsomming van de bewijsmiddelen en documenten die gebruikt kunnen worden voor de vaststelling van de nationaliteit van eigen onderdanen.</w:t>
      </w:r>
    </w:p>
    <w:p w:rsidR="00864D40" w:rsidP="00E23432" w:rsidRDefault="00864D40" w14:paraId="7D6CB8DB" w14:textId="77777777">
      <w:pPr>
        <w:spacing w:after="0" w:line="240" w:lineRule="atLeast"/>
        <w:contextualSpacing/>
        <w:rPr>
          <w:szCs w:val="18"/>
          <w:lang w:val="nl-NL"/>
        </w:rPr>
      </w:pPr>
    </w:p>
    <w:p w:rsidRPr="006C50CD" w:rsidR="00864D40" w:rsidP="00A21DB8" w:rsidRDefault="00864D40" w14:paraId="4EFC94A1" w14:textId="77777777">
      <w:pPr>
        <w:spacing w:after="0" w:line="240" w:lineRule="atLeast"/>
        <w:contextualSpacing/>
        <w:rPr>
          <w:i/>
          <w:szCs w:val="18"/>
          <w:lang w:val="nl-NL"/>
        </w:rPr>
      </w:pPr>
      <w:r w:rsidRPr="006C50CD">
        <w:rPr>
          <w:i/>
          <w:szCs w:val="18"/>
          <w:lang w:val="nl-NL"/>
        </w:rPr>
        <w:t xml:space="preserve">Artikel </w:t>
      </w:r>
      <w:r>
        <w:rPr>
          <w:i/>
          <w:szCs w:val="18"/>
          <w:lang w:val="nl-NL"/>
        </w:rPr>
        <w:t>5</w:t>
      </w:r>
      <w:r w:rsidRPr="006C50CD">
        <w:rPr>
          <w:i/>
          <w:szCs w:val="18"/>
          <w:lang w:val="nl-NL"/>
        </w:rPr>
        <w:t>: Bewijsmiddelen met betrekking tot onderdanen</w:t>
      </w:r>
      <w:r>
        <w:rPr>
          <w:i/>
          <w:szCs w:val="18"/>
          <w:lang w:val="nl-NL"/>
        </w:rPr>
        <w:t xml:space="preserve"> van een derde Staat</w:t>
      </w:r>
    </w:p>
    <w:p w:rsidRPr="006C50CD" w:rsidR="00864D40" w:rsidP="00E23432" w:rsidRDefault="00864D40" w14:paraId="4ADED40E" w14:textId="77777777">
      <w:pPr>
        <w:spacing w:after="0" w:line="240" w:lineRule="atLeast"/>
        <w:contextualSpacing/>
        <w:rPr>
          <w:szCs w:val="18"/>
          <w:lang w:val="nl-NL"/>
        </w:rPr>
      </w:pPr>
      <w:r w:rsidRPr="006C50CD">
        <w:rPr>
          <w:szCs w:val="18"/>
          <w:lang w:val="nl-NL"/>
        </w:rPr>
        <w:t xml:space="preserve">Artikel </w:t>
      </w:r>
      <w:r>
        <w:rPr>
          <w:szCs w:val="18"/>
          <w:lang w:val="nl-NL"/>
        </w:rPr>
        <w:t>5</w:t>
      </w:r>
      <w:r w:rsidRPr="006C50CD">
        <w:rPr>
          <w:szCs w:val="18"/>
          <w:lang w:val="nl-NL"/>
        </w:rPr>
        <w:t xml:space="preserve"> bevat de opsomming van de bewijsmiddelen en documenten die gebruikt kunnen worden </w:t>
      </w:r>
      <w:r>
        <w:rPr>
          <w:szCs w:val="18"/>
          <w:lang w:val="nl-NL"/>
        </w:rPr>
        <w:t>om te voldoen aan de voorwaarden in artikel 3 van het Verdrag.</w:t>
      </w:r>
    </w:p>
    <w:p w:rsidRPr="006C50CD" w:rsidR="00864D40" w:rsidP="00E23432" w:rsidRDefault="00864D40" w14:paraId="617A08AE" w14:textId="77777777">
      <w:pPr>
        <w:spacing w:after="0" w:line="240" w:lineRule="atLeast"/>
        <w:contextualSpacing/>
        <w:rPr>
          <w:szCs w:val="18"/>
          <w:lang w:val="nl-NL"/>
        </w:rPr>
      </w:pPr>
    </w:p>
    <w:p w:rsidRPr="006C50CD" w:rsidR="00864D40" w:rsidP="00E23432" w:rsidRDefault="00864D40" w14:paraId="21ABF51F" w14:textId="42A37F8B">
      <w:pPr>
        <w:spacing w:after="0" w:line="240" w:lineRule="atLeast"/>
        <w:contextualSpacing/>
        <w:rPr>
          <w:i/>
          <w:szCs w:val="18"/>
          <w:lang w:val="nl-NL"/>
        </w:rPr>
      </w:pPr>
      <w:r w:rsidRPr="006C50CD">
        <w:rPr>
          <w:i/>
          <w:szCs w:val="18"/>
          <w:lang w:val="nl-NL"/>
        </w:rPr>
        <w:t xml:space="preserve">Artikel </w:t>
      </w:r>
      <w:r>
        <w:rPr>
          <w:i/>
          <w:szCs w:val="18"/>
          <w:lang w:val="nl-NL"/>
        </w:rPr>
        <w:t>6</w:t>
      </w:r>
      <w:r w:rsidRPr="006C50CD">
        <w:rPr>
          <w:i/>
          <w:szCs w:val="18"/>
          <w:lang w:val="nl-NL"/>
        </w:rPr>
        <w:t xml:space="preserve">: Antwoord op het verzoek </w:t>
      </w:r>
    </w:p>
    <w:p w:rsidRPr="006C50CD" w:rsidR="00864D40" w:rsidP="00E23432" w:rsidRDefault="00864D40" w14:paraId="5CE76E0B" w14:textId="364BB92F">
      <w:pPr>
        <w:spacing w:after="0" w:line="240" w:lineRule="atLeast"/>
        <w:contextualSpacing/>
        <w:rPr>
          <w:szCs w:val="18"/>
          <w:lang w:val="nl-NL"/>
        </w:rPr>
      </w:pPr>
      <w:r w:rsidRPr="006C50CD">
        <w:rPr>
          <w:szCs w:val="18"/>
          <w:lang w:val="nl-NL"/>
        </w:rPr>
        <w:t xml:space="preserve">Artikel </w:t>
      </w:r>
      <w:r>
        <w:rPr>
          <w:szCs w:val="18"/>
          <w:lang w:val="nl-NL"/>
        </w:rPr>
        <w:t>6</w:t>
      </w:r>
      <w:r w:rsidRPr="006C50CD">
        <w:rPr>
          <w:szCs w:val="18"/>
          <w:lang w:val="nl-NL"/>
        </w:rPr>
        <w:t xml:space="preserve"> bevat nadere aanwijzingen voor het beantwoorden van een verzoek om terug</w:t>
      </w:r>
      <w:r>
        <w:rPr>
          <w:szCs w:val="18"/>
          <w:lang w:val="nl-NL"/>
        </w:rPr>
        <w:t>- of over</w:t>
      </w:r>
      <w:r w:rsidRPr="006C50CD">
        <w:rPr>
          <w:szCs w:val="18"/>
          <w:lang w:val="nl-NL"/>
        </w:rPr>
        <w:t xml:space="preserve">name. Bijlage 2 van het </w:t>
      </w:r>
      <w:r>
        <w:rPr>
          <w:szCs w:val="18"/>
          <w:lang w:val="nl-NL"/>
        </w:rPr>
        <w:t>U</w:t>
      </w:r>
      <w:r w:rsidRPr="006C50CD">
        <w:rPr>
          <w:szCs w:val="18"/>
          <w:lang w:val="nl-NL"/>
        </w:rPr>
        <w:t xml:space="preserve">itvoeringsprotocol bevat het model voor het antwoordformulier. </w:t>
      </w:r>
    </w:p>
    <w:p w:rsidRPr="006C50CD" w:rsidR="00864D40" w:rsidP="00E23432" w:rsidRDefault="00864D40" w14:paraId="35757649" w14:textId="77777777">
      <w:pPr>
        <w:spacing w:after="0" w:line="240" w:lineRule="atLeast"/>
        <w:contextualSpacing/>
        <w:rPr>
          <w:i/>
          <w:szCs w:val="18"/>
          <w:lang w:val="nl-NL"/>
        </w:rPr>
      </w:pPr>
    </w:p>
    <w:p w:rsidRPr="006C50CD" w:rsidR="00864D40" w:rsidP="00E23432" w:rsidRDefault="00864D40" w14:paraId="7647A3A3" w14:textId="2FC6145D">
      <w:pPr>
        <w:spacing w:after="0" w:line="240" w:lineRule="atLeast"/>
        <w:contextualSpacing/>
        <w:rPr>
          <w:i/>
          <w:szCs w:val="18"/>
          <w:lang w:val="nl-NL"/>
        </w:rPr>
      </w:pPr>
      <w:r w:rsidRPr="006C50CD">
        <w:rPr>
          <w:i/>
          <w:szCs w:val="18"/>
          <w:lang w:val="nl-NL"/>
        </w:rPr>
        <w:t xml:space="preserve">Artikel </w:t>
      </w:r>
      <w:r>
        <w:rPr>
          <w:i/>
          <w:szCs w:val="18"/>
          <w:lang w:val="nl-NL"/>
        </w:rPr>
        <w:t>7</w:t>
      </w:r>
      <w:r w:rsidRPr="006C50CD">
        <w:rPr>
          <w:i/>
          <w:szCs w:val="18"/>
          <w:lang w:val="nl-NL"/>
        </w:rPr>
        <w:t>: Reisdocumenten</w:t>
      </w:r>
    </w:p>
    <w:p w:rsidRPr="006C50CD" w:rsidR="00864D40" w:rsidP="00E23432" w:rsidRDefault="00864D40" w14:paraId="355D8B3E" w14:textId="773A669B">
      <w:pPr>
        <w:spacing w:after="0" w:line="240" w:lineRule="atLeast"/>
        <w:contextualSpacing/>
        <w:rPr>
          <w:szCs w:val="18"/>
          <w:lang w:val="nl-NL"/>
        </w:rPr>
      </w:pPr>
      <w:r w:rsidRPr="006C50CD">
        <w:rPr>
          <w:szCs w:val="18"/>
          <w:lang w:val="nl-NL"/>
        </w:rPr>
        <w:t xml:space="preserve">De procedure voor het verstrekken van reisdocumenten is beschreven in artikel </w:t>
      </w:r>
      <w:r>
        <w:rPr>
          <w:szCs w:val="18"/>
          <w:lang w:val="nl-NL"/>
        </w:rPr>
        <w:t>7</w:t>
      </w:r>
      <w:r w:rsidRPr="006C50CD">
        <w:rPr>
          <w:szCs w:val="18"/>
          <w:lang w:val="nl-NL"/>
        </w:rPr>
        <w:t xml:space="preserve">. Het </w:t>
      </w:r>
      <w:r>
        <w:rPr>
          <w:szCs w:val="18"/>
          <w:lang w:val="nl-NL"/>
        </w:rPr>
        <w:t xml:space="preserve">artikel </w:t>
      </w:r>
      <w:r w:rsidRPr="006C50CD">
        <w:rPr>
          <w:szCs w:val="18"/>
          <w:lang w:val="nl-NL"/>
        </w:rPr>
        <w:t>bevat nadere informatie voor het verstrekken van deze reisdocumenten.</w:t>
      </w:r>
    </w:p>
    <w:p w:rsidRPr="006C50CD" w:rsidR="00864D40" w:rsidP="00E23432" w:rsidRDefault="00864D40" w14:paraId="60B39A12" w14:textId="77777777">
      <w:pPr>
        <w:spacing w:after="0" w:line="240" w:lineRule="atLeast"/>
        <w:contextualSpacing/>
        <w:rPr>
          <w:i/>
          <w:szCs w:val="18"/>
          <w:lang w:val="nl-NL"/>
        </w:rPr>
      </w:pPr>
    </w:p>
    <w:p w:rsidRPr="006C50CD" w:rsidR="00864D40" w:rsidP="00E23432" w:rsidRDefault="00864D40" w14:paraId="652A887E" w14:textId="4FE22101">
      <w:pPr>
        <w:spacing w:after="0" w:line="240" w:lineRule="atLeast"/>
        <w:contextualSpacing/>
        <w:rPr>
          <w:i/>
          <w:szCs w:val="18"/>
          <w:lang w:val="nl-NL"/>
        </w:rPr>
      </w:pPr>
      <w:r w:rsidRPr="006C50CD">
        <w:rPr>
          <w:i/>
          <w:szCs w:val="18"/>
          <w:lang w:val="nl-NL"/>
        </w:rPr>
        <w:t xml:space="preserve">Artikel </w:t>
      </w:r>
      <w:r>
        <w:rPr>
          <w:i/>
          <w:szCs w:val="18"/>
          <w:lang w:val="nl-NL"/>
        </w:rPr>
        <w:t>8</w:t>
      </w:r>
      <w:r w:rsidRPr="006C50CD">
        <w:rPr>
          <w:i/>
          <w:szCs w:val="18"/>
          <w:lang w:val="nl-NL"/>
        </w:rPr>
        <w:t xml:space="preserve">: </w:t>
      </w:r>
      <w:r>
        <w:rPr>
          <w:i/>
          <w:szCs w:val="18"/>
          <w:lang w:val="nl-NL"/>
        </w:rPr>
        <w:t>Interviews</w:t>
      </w:r>
    </w:p>
    <w:p w:rsidRPr="006C50CD" w:rsidR="00864D40" w:rsidP="00E23432" w:rsidRDefault="00864D40" w14:paraId="2BC32F74" w14:textId="0B08423F">
      <w:pPr>
        <w:spacing w:after="0" w:line="240" w:lineRule="atLeast"/>
        <w:contextualSpacing/>
        <w:rPr>
          <w:szCs w:val="18"/>
          <w:lang w:val="nl-NL"/>
        </w:rPr>
      </w:pPr>
      <w:r w:rsidRPr="006C50CD">
        <w:rPr>
          <w:szCs w:val="18"/>
          <w:lang w:val="nl-NL"/>
        </w:rPr>
        <w:t xml:space="preserve">Artikel </w:t>
      </w:r>
      <w:r>
        <w:rPr>
          <w:szCs w:val="18"/>
          <w:lang w:val="nl-NL"/>
        </w:rPr>
        <w:t>8</w:t>
      </w:r>
      <w:r w:rsidRPr="006C50CD">
        <w:rPr>
          <w:szCs w:val="18"/>
          <w:lang w:val="nl-NL"/>
        </w:rPr>
        <w:t xml:space="preserve"> bevat nadere afspraken over het afnemen van interviews om de nationaliteit van </w:t>
      </w:r>
      <w:r>
        <w:rPr>
          <w:szCs w:val="18"/>
          <w:lang w:val="nl-NL"/>
        </w:rPr>
        <w:t xml:space="preserve">de </w:t>
      </w:r>
      <w:r w:rsidRPr="006C50CD">
        <w:rPr>
          <w:szCs w:val="18"/>
          <w:lang w:val="nl-NL"/>
        </w:rPr>
        <w:t>betrokkene te bepalen.</w:t>
      </w:r>
    </w:p>
    <w:p w:rsidRPr="006C50CD" w:rsidR="00864D40" w:rsidP="00E23432" w:rsidRDefault="00864D40" w14:paraId="7A003B45" w14:textId="77777777">
      <w:pPr>
        <w:spacing w:after="0" w:line="240" w:lineRule="atLeast"/>
        <w:contextualSpacing/>
        <w:rPr>
          <w:i/>
          <w:szCs w:val="18"/>
          <w:lang w:val="nl-NL"/>
        </w:rPr>
      </w:pPr>
    </w:p>
    <w:p w:rsidRPr="006C50CD" w:rsidR="00864D40" w:rsidP="00E23432" w:rsidRDefault="00864D40" w14:paraId="75EEC6DD" w14:textId="533927B1">
      <w:pPr>
        <w:spacing w:after="0" w:line="240" w:lineRule="atLeast"/>
        <w:contextualSpacing/>
        <w:rPr>
          <w:i/>
          <w:szCs w:val="18"/>
          <w:lang w:val="nl-NL"/>
        </w:rPr>
      </w:pPr>
      <w:r w:rsidRPr="006C50CD">
        <w:rPr>
          <w:i/>
          <w:szCs w:val="18"/>
          <w:lang w:val="nl-NL"/>
        </w:rPr>
        <w:t xml:space="preserve">Artikel </w:t>
      </w:r>
      <w:r>
        <w:rPr>
          <w:i/>
          <w:szCs w:val="18"/>
          <w:lang w:val="nl-NL"/>
        </w:rPr>
        <w:t>9</w:t>
      </w:r>
      <w:r w:rsidRPr="006C50CD">
        <w:rPr>
          <w:i/>
          <w:szCs w:val="18"/>
          <w:lang w:val="nl-NL"/>
        </w:rPr>
        <w:t>: Overdracht</w:t>
      </w:r>
    </w:p>
    <w:p w:rsidRPr="006C50CD" w:rsidR="00864D40" w:rsidP="00E23432" w:rsidRDefault="00864D40" w14:paraId="645015C7" w14:textId="22BC2E1E">
      <w:pPr>
        <w:contextualSpacing/>
        <w:rPr>
          <w:szCs w:val="18"/>
          <w:lang w:val="nl-NL"/>
        </w:rPr>
      </w:pPr>
      <w:r w:rsidRPr="006C50CD">
        <w:rPr>
          <w:szCs w:val="18"/>
          <w:lang w:val="nl-NL"/>
        </w:rPr>
        <w:t xml:space="preserve">De afgesproken overdrachtsprocedure en wijze van vervoer </w:t>
      </w:r>
      <w:r>
        <w:rPr>
          <w:szCs w:val="18"/>
          <w:lang w:val="nl-NL"/>
        </w:rPr>
        <w:t>zijn</w:t>
      </w:r>
      <w:r w:rsidRPr="006C50CD">
        <w:rPr>
          <w:szCs w:val="18"/>
          <w:lang w:val="nl-NL"/>
        </w:rPr>
        <w:t xml:space="preserve"> beschreven in artikel </w:t>
      </w:r>
      <w:r>
        <w:rPr>
          <w:szCs w:val="18"/>
          <w:lang w:val="nl-NL"/>
        </w:rPr>
        <w:t>9</w:t>
      </w:r>
      <w:r w:rsidRPr="006C50CD">
        <w:rPr>
          <w:szCs w:val="18"/>
          <w:lang w:val="nl-NL"/>
        </w:rPr>
        <w:t xml:space="preserve">. Bijlage </w:t>
      </w:r>
      <w:r>
        <w:rPr>
          <w:szCs w:val="18"/>
          <w:lang w:val="nl-NL"/>
        </w:rPr>
        <w:t>5</w:t>
      </w:r>
      <w:r w:rsidRPr="006C50CD">
        <w:rPr>
          <w:szCs w:val="18"/>
          <w:lang w:val="nl-NL"/>
        </w:rPr>
        <w:t xml:space="preserve"> van het </w:t>
      </w:r>
      <w:r>
        <w:rPr>
          <w:szCs w:val="18"/>
          <w:lang w:val="nl-NL"/>
        </w:rPr>
        <w:t>U</w:t>
      </w:r>
      <w:r w:rsidRPr="006C50CD">
        <w:rPr>
          <w:szCs w:val="18"/>
          <w:lang w:val="nl-NL"/>
        </w:rPr>
        <w:t>itvoeringsprotocol bevat het model voor het verzoek van de overdracht.</w:t>
      </w:r>
    </w:p>
    <w:p w:rsidRPr="006C50CD" w:rsidR="00864D40" w:rsidP="00E23432" w:rsidRDefault="00864D40" w14:paraId="6F60591E" w14:textId="77777777">
      <w:pPr>
        <w:contextualSpacing/>
        <w:rPr>
          <w:szCs w:val="18"/>
          <w:lang w:val="nl-NL"/>
        </w:rPr>
      </w:pPr>
    </w:p>
    <w:p w:rsidR="00864D40" w:rsidP="00E23432" w:rsidRDefault="00864D40" w14:paraId="5E47CE54" w14:textId="77777777">
      <w:pPr>
        <w:spacing w:after="0" w:line="240" w:lineRule="atLeast"/>
        <w:contextualSpacing/>
        <w:rPr>
          <w:i/>
          <w:szCs w:val="18"/>
          <w:lang w:val="nl-NL"/>
        </w:rPr>
      </w:pPr>
      <w:r>
        <w:rPr>
          <w:i/>
          <w:szCs w:val="18"/>
          <w:lang w:val="nl-NL"/>
        </w:rPr>
        <w:t>Artikel 10: Doorgeleidingsprocedure</w:t>
      </w:r>
    </w:p>
    <w:p w:rsidRPr="00D15AA1" w:rsidR="00864D40" w:rsidP="00E23432" w:rsidRDefault="00864D40" w14:paraId="03C3653B" w14:textId="07C31018">
      <w:pPr>
        <w:spacing w:after="0" w:line="240" w:lineRule="atLeast"/>
        <w:contextualSpacing/>
        <w:rPr>
          <w:iCs/>
          <w:szCs w:val="18"/>
          <w:lang w:val="nl-NL"/>
        </w:rPr>
      </w:pPr>
      <w:r>
        <w:rPr>
          <w:iCs/>
          <w:szCs w:val="18"/>
          <w:lang w:val="nl-NL"/>
        </w:rPr>
        <w:t xml:space="preserve">Dit artikel bevat nadere afspraken ten behoeve van de procedure voor de in artikel 11 van het Verdrag voorziene doorgeleiding van onderdanen van een derde staat. </w:t>
      </w:r>
    </w:p>
    <w:p w:rsidR="00864D40" w:rsidP="00E23432" w:rsidRDefault="00864D40" w14:paraId="7A0F2D72" w14:textId="77777777">
      <w:pPr>
        <w:spacing w:after="0" w:line="240" w:lineRule="atLeast"/>
        <w:contextualSpacing/>
        <w:rPr>
          <w:i/>
          <w:szCs w:val="18"/>
          <w:lang w:val="nl-NL"/>
        </w:rPr>
      </w:pPr>
    </w:p>
    <w:p w:rsidR="00864D40" w:rsidP="00E23432" w:rsidRDefault="00864D40" w14:paraId="334F6447" w14:textId="77777777">
      <w:pPr>
        <w:spacing w:after="0" w:line="240" w:lineRule="atLeast"/>
        <w:contextualSpacing/>
        <w:rPr>
          <w:i/>
          <w:szCs w:val="18"/>
          <w:lang w:val="nl-NL"/>
        </w:rPr>
      </w:pPr>
      <w:r>
        <w:rPr>
          <w:i/>
          <w:szCs w:val="18"/>
          <w:lang w:val="nl-NL"/>
        </w:rPr>
        <w:t>Artikel 11: Ondersteuning van de doorgeleiding</w:t>
      </w:r>
    </w:p>
    <w:p w:rsidRPr="00D15AA1" w:rsidR="00864D40" w:rsidP="00E23432" w:rsidRDefault="00864D40" w14:paraId="07C6C6FF" w14:textId="603FF6B9">
      <w:pPr>
        <w:spacing w:after="0" w:line="240" w:lineRule="atLeast"/>
        <w:contextualSpacing/>
        <w:rPr>
          <w:iCs/>
          <w:szCs w:val="18"/>
          <w:lang w:val="nl-NL"/>
        </w:rPr>
      </w:pPr>
      <w:r>
        <w:rPr>
          <w:iCs/>
          <w:szCs w:val="18"/>
          <w:lang w:val="nl-NL"/>
        </w:rPr>
        <w:t xml:space="preserve">Dit artikel bevat nadere afspraken bij een verzoek van de verzoekende staat tot ondersteuning van de doorgeleiding door de autoriteiten van de aangezochte staat. </w:t>
      </w:r>
    </w:p>
    <w:p w:rsidR="00864D40" w:rsidP="00E23432" w:rsidRDefault="00864D40" w14:paraId="6FCCD7E3" w14:textId="77777777">
      <w:pPr>
        <w:spacing w:after="0" w:line="240" w:lineRule="atLeast"/>
        <w:contextualSpacing/>
        <w:rPr>
          <w:i/>
          <w:szCs w:val="18"/>
          <w:lang w:val="nl-NL"/>
        </w:rPr>
      </w:pPr>
    </w:p>
    <w:p w:rsidRPr="006C50CD" w:rsidR="00864D40" w:rsidP="00E23432" w:rsidRDefault="00864D40" w14:paraId="20830299" w14:textId="55E6FD50">
      <w:pPr>
        <w:spacing w:after="0" w:line="240" w:lineRule="atLeast"/>
        <w:contextualSpacing/>
        <w:rPr>
          <w:i/>
          <w:szCs w:val="18"/>
          <w:lang w:val="nl-NL"/>
        </w:rPr>
      </w:pPr>
      <w:r w:rsidRPr="006C50CD">
        <w:rPr>
          <w:i/>
          <w:szCs w:val="18"/>
          <w:lang w:val="nl-NL"/>
        </w:rPr>
        <w:t xml:space="preserve">Artikel </w:t>
      </w:r>
      <w:r>
        <w:rPr>
          <w:i/>
          <w:szCs w:val="18"/>
          <w:lang w:val="nl-NL"/>
        </w:rPr>
        <w:t>12</w:t>
      </w:r>
      <w:r w:rsidRPr="006C50CD">
        <w:rPr>
          <w:i/>
          <w:szCs w:val="18"/>
          <w:lang w:val="nl-NL"/>
        </w:rPr>
        <w:t xml:space="preserve">: Verplichtingen </w:t>
      </w:r>
      <w:r>
        <w:rPr>
          <w:i/>
          <w:szCs w:val="18"/>
          <w:lang w:val="nl-NL"/>
        </w:rPr>
        <w:t>voor</w:t>
      </w:r>
      <w:r w:rsidRPr="006C50CD">
        <w:rPr>
          <w:i/>
          <w:szCs w:val="18"/>
          <w:lang w:val="nl-NL"/>
        </w:rPr>
        <w:t xml:space="preserve"> begeleiders</w:t>
      </w:r>
    </w:p>
    <w:p w:rsidRPr="006C50CD" w:rsidR="00864D40" w:rsidP="00E23432" w:rsidRDefault="00864D40" w14:paraId="5D07670B" w14:textId="1A8590EA">
      <w:pPr>
        <w:spacing w:after="0" w:line="240" w:lineRule="atLeast"/>
        <w:contextualSpacing/>
        <w:rPr>
          <w:szCs w:val="18"/>
          <w:lang w:val="nl-NL"/>
        </w:rPr>
      </w:pPr>
      <w:r w:rsidRPr="006C50CD">
        <w:rPr>
          <w:szCs w:val="18"/>
          <w:lang w:val="nl-NL"/>
        </w:rPr>
        <w:t xml:space="preserve">In artikel </w:t>
      </w:r>
      <w:r>
        <w:rPr>
          <w:szCs w:val="18"/>
          <w:lang w:val="nl-NL"/>
        </w:rPr>
        <w:t xml:space="preserve">12 </w:t>
      </w:r>
      <w:r w:rsidRPr="006C50CD">
        <w:rPr>
          <w:szCs w:val="18"/>
          <w:lang w:val="nl-NL"/>
        </w:rPr>
        <w:t xml:space="preserve">zijn enkele </w:t>
      </w:r>
      <w:r>
        <w:rPr>
          <w:szCs w:val="18"/>
          <w:lang w:val="nl-NL"/>
        </w:rPr>
        <w:t>rechten en plichten opgenomen van</w:t>
      </w:r>
      <w:r w:rsidRPr="006C50CD">
        <w:rPr>
          <w:szCs w:val="18"/>
          <w:lang w:val="nl-NL"/>
        </w:rPr>
        <w:t xml:space="preserve"> begeleid</w:t>
      </w:r>
      <w:r>
        <w:rPr>
          <w:szCs w:val="18"/>
          <w:lang w:val="nl-NL"/>
        </w:rPr>
        <w:t>ers van de terug of over te nemen of door te geleiden persoon.</w:t>
      </w:r>
      <w:r w:rsidRPr="006C50CD" w:rsidDel="00746AD3">
        <w:rPr>
          <w:szCs w:val="18"/>
          <w:lang w:val="nl-NL"/>
        </w:rPr>
        <w:t xml:space="preserve"> </w:t>
      </w:r>
      <w:r>
        <w:rPr>
          <w:szCs w:val="18"/>
          <w:lang w:val="nl-NL"/>
        </w:rPr>
        <w:t xml:space="preserve">Begeleiders dienen het recht van de aangezochte staat na te </w:t>
      </w:r>
      <w:r>
        <w:rPr>
          <w:szCs w:val="18"/>
          <w:lang w:val="nl-NL"/>
        </w:rPr>
        <w:lastRenderedPageBreak/>
        <w:t xml:space="preserve">leven en zijn ongewapend en gekleed in burgerkleding. Zij mogen zichzelf verdedigen en </w:t>
      </w:r>
      <w:r w:rsidR="002C66E8">
        <w:rPr>
          <w:szCs w:val="18"/>
          <w:lang w:val="nl-NL"/>
        </w:rPr>
        <w:t>in uitzonderingssituaties</w:t>
      </w:r>
      <w:r>
        <w:rPr>
          <w:szCs w:val="18"/>
          <w:lang w:val="nl-NL"/>
        </w:rPr>
        <w:t xml:space="preserve"> voorkomen dat de betrokkene vlucht of schade of letsel veroorzaakt. </w:t>
      </w:r>
      <w:r w:rsidR="001D7351">
        <w:rPr>
          <w:szCs w:val="18"/>
          <w:lang w:val="nl-NL"/>
        </w:rPr>
        <w:t xml:space="preserve">Dit kan in theorie doorwerken in de verhouding tussen de begeleider en de begeleide persoon (bijvoorbeeld </w:t>
      </w:r>
      <w:proofErr w:type="gramStart"/>
      <w:r w:rsidR="001D7351">
        <w:rPr>
          <w:szCs w:val="18"/>
          <w:lang w:val="nl-NL"/>
        </w:rPr>
        <w:t>indien</w:t>
      </w:r>
      <w:proofErr w:type="gramEnd"/>
      <w:r w:rsidR="001D7351">
        <w:rPr>
          <w:szCs w:val="18"/>
          <w:lang w:val="nl-NL"/>
        </w:rPr>
        <w:t xml:space="preserve"> de rechtmatigheid van het handelen van de begeleider ter discussie wordt gesteld). </w:t>
      </w:r>
      <w:r w:rsidRPr="006C50CD" w:rsidR="001D7351">
        <w:rPr>
          <w:szCs w:val="18"/>
          <w:lang w:val="nl-NL"/>
        </w:rPr>
        <w:t xml:space="preserve"> </w:t>
      </w:r>
      <w:r>
        <w:rPr>
          <w:szCs w:val="18"/>
          <w:lang w:val="nl-NL"/>
        </w:rPr>
        <w:t>Begeleiders ontvangen bij de uitoefening van hun taken dezelfde ondersteuning als ambtenaren in het aangezochte land ontvangen.</w:t>
      </w:r>
      <w:r w:rsidR="002C66E8">
        <w:rPr>
          <w:szCs w:val="18"/>
          <w:lang w:val="nl-NL"/>
        </w:rPr>
        <w:t xml:space="preserve"> </w:t>
      </w:r>
    </w:p>
    <w:p w:rsidRPr="006C50CD" w:rsidR="00864D40" w:rsidP="00E23432" w:rsidRDefault="00864D40" w14:paraId="00090B6F" w14:textId="77777777">
      <w:pPr>
        <w:spacing w:after="0" w:line="240" w:lineRule="atLeast"/>
        <w:contextualSpacing/>
        <w:rPr>
          <w:szCs w:val="18"/>
          <w:lang w:val="nl-NL"/>
        </w:rPr>
      </w:pPr>
    </w:p>
    <w:p w:rsidRPr="006C50CD" w:rsidR="00864D40" w:rsidP="00E23432" w:rsidRDefault="00864D40" w14:paraId="76084D28" w14:textId="686A3423">
      <w:pPr>
        <w:spacing w:after="0" w:line="240" w:lineRule="atLeast"/>
        <w:contextualSpacing/>
        <w:rPr>
          <w:i/>
          <w:szCs w:val="18"/>
          <w:lang w:val="nl-NL"/>
        </w:rPr>
      </w:pPr>
      <w:r w:rsidRPr="006C50CD">
        <w:rPr>
          <w:i/>
          <w:szCs w:val="18"/>
          <w:lang w:val="nl-NL"/>
        </w:rPr>
        <w:t>Artikel 1</w:t>
      </w:r>
      <w:r>
        <w:rPr>
          <w:i/>
          <w:szCs w:val="18"/>
          <w:lang w:val="nl-NL"/>
        </w:rPr>
        <w:t>3</w:t>
      </w:r>
      <w:r w:rsidRPr="006C50CD">
        <w:rPr>
          <w:i/>
          <w:szCs w:val="18"/>
          <w:lang w:val="nl-NL"/>
        </w:rPr>
        <w:t>: Kosten</w:t>
      </w:r>
    </w:p>
    <w:p w:rsidRPr="006C50CD" w:rsidR="00864D40" w:rsidP="00E23432" w:rsidRDefault="00864D40" w14:paraId="3784DB57" w14:textId="79FC01EA">
      <w:pPr>
        <w:spacing w:after="0" w:line="240" w:lineRule="atLeast"/>
        <w:contextualSpacing/>
        <w:rPr>
          <w:szCs w:val="18"/>
          <w:lang w:val="nl-NL"/>
        </w:rPr>
      </w:pPr>
      <w:r>
        <w:rPr>
          <w:szCs w:val="18"/>
          <w:lang w:val="nl-NL"/>
        </w:rPr>
        <w:t>Artikel 13</w:t>
      </w:r>
      <w:r w:rsidRPr="006C50CD">
        <w:rPr>
          <w:szCs w:val="18"/>
          <w:lang w:val="nl-NL"/>
        </w:rPr>
        <w:t xml:space="preserve"> behelst een nadere uitwerking van artikel </w:t>
      </w:r>
      <w:r>
        <w:rPr>
          <w:szCs w:val="18"/>
          <w:lang w:val="nl-NL"/>
        </w:rPr>
        <w:t>12</w:t>
      </w:r>
      <w:r w:rsidRPr="00002100">
        <w:rPr>
          <w:szCs w:val="18"/>
          <w:lang w:val="nl-NL"/>
        </w:rPr>
        <w:t xml:space="preserve"> van </w:t>
      </w:r>
      <w:r>
        <w:rPr>
          <w:szCs w:val="18"/>
          <w:lang w:val="nl-NL"/>
        </w:rPr>
        <w:t>het Verdrag</w:t>
      </w:r>
      <w:r w:rsidRPr="006C50CD">
        <w:rPr>
          <w:szCs w:val="18"/>
          <w:lang w:val="nl-NL"/>
        </w:rPr>
        <w:t xml:space="preserve"> dat ziet op de verrekening van de kosten verbonden aan terug</w:t>
      </w:r>
      <w:r>
        <w:rPr>
          <w:szCs w:val="18"/>
          <w:lang w:val="nl-NL"/>
        </w:rPr>
        <w:t>- of over</w:t>
      </w:r>
      <w:r w:rsidRPr="006C50CD">
        <w:rPr>
          <w:szCs w:val="18"/>
          <w:lang w:val="nl-NL"/>
        </w:rPr>
        <w:t xml:space="preserve">name. </w:t>
      </w:r>
    </w:p>
    <w:p w:rsidRPr="006C50CD" w:rsidR="00864D40" w:rsidP="00E23432" w:rsidRDefault="00864D40" w14:paraId="7EDF57C4" w14:textId="77777777">
      <w:pPr>
        <w:spacing w:after="0" w:line="240" w:lineRule="atLeast"/>
        <w:contextualSpacing/>
        <w:rPr>
          <w:szCs w:val="18"/>
          <w:lang w:val="nl-NL"/>
        </w:rPr>
      </w:pPr>
    </w:p>
    <w:p w:rsidRPr="006C50CD" w:rsidR="00864D40" w:rsidP="00E23432" w:rsidRDefault="00864D40" w14:paraId="5936FF20" w14:textId="4EBE900D">
      <w:pPr>
        <w:spacing w:after="0" w:line="240" w:lineRule="atLeast"/>
        <w:contextualSpacing/>
        <w:rPr>
          <w:i/>
          <w:szCs w:val="18"/>
          <w:lang w:val="nl-NL"/>
        </w:rPr>
      </w:pPr>
      <w:r w:rsidRPr="006C50CD">
        <w:rPr>
          <w:i/>
          <w:szCs w:val="18"/>
          <w:lang w:val="nl-NL"/>
        </w:rPr>
        <w:t>Artikel 1</w:t>
      </w:r>
      <w:r>
        <w:rPr>
          <w:i/>
          <w:szCs w:val="18"/>
          <w:lang w:val="nl-NL"/>
        </w:rPr>
        <w:t>4</w:t>
      </w:r>
      <w:r w:rsidRPr="006C50CD">
        <w:rPr>
          <w:i/>
          <w:szCs w:val="18"/>
          <w:lang w:val="nl-NL"/>
        </w:rPr>
        <w:t>: Taal</w:t>
      </w:r>
    </w:p>
    <w:p w:rsidRPr="006C50CD" w:rsidR="00864D40" w:rsidP="00E23432" w:rsidRDefault="00864D40" w14:paraId="2DE65175" w14:textId="77777777">
      <w:pPr>
        <w:spacing w:after="0" w:line="240" w:lineRule="atLeast"/>
        <w:contextualSpacing/>
        <w:rPr>
          <w:iCs/>
          <w:szCs w:val="18"/>
          <w:lang w:val="nl-NL"/>
        </w:rPr>
      </w:pPr>
      <w:r w:rsidRPr="006C50CD">
        <w:rPr>
          <w:iCs/>
          <w:szCs w:val="18"/>
          <w:lang w:val="nl-NL"/>
        </w:rPr>
        <w:t>Dit artikel stelt dat de partijen met elkaar zullen communiceren in het</w:t>
      </w:r>
      <w:r>
        <w:rPr>
          <w:iCs/>
          <w:szCs w:val="18"/>
          <w:lang w:val="nl-NL"/>
        </w:rPr>
        <w:t xml:space="preserve"> Nederlands of</w:t>
      </w:r>
      <w:r w:rsidRPr="006C50CD">
        <w:rPr>
          <w:iCs/>
          <w:szCs w:val="18"/>
          <w:lang w:val="nl-NL"/>
        </w:rPr>
        <w:t xml:space="preserve"> </w:t>
      </w:r>
      <w:r>
        <w:rPr>
          <w:iCs/>
          <w:szCs w:val="18"/>
          <w:lang w:val="nl-NL"/>
        </w:rPr>
        <w:t xml:space="preserve">in het </w:t>
      </w:r>
      <w:r w:rsidRPr="006C50CD">
        <w:rPr>
          <w:iCs/>
          <w:szCs w:val="18"/>
          <w:lang w:val="nl-NL"/>
        </w:rPr>
        <w:t xml:space="preserve">Engels. </w:t>
      </w:r>
    </w:p>
    <w:p w:rsidRPr="006C50CD" w:rsidR="00864D40" w:rsidP="00E23432" w:rsidRDefault="00864D40" w14:paraId="77CFBF61" w14:textId="77777777">
      <w:pPr>
        <w:spacing w:after="0" w:line="240" w:lineRule="atLeast"/>
        <w:contextualSpacing/>
        <w:rPr>
          <w:szCs w:val="18"/>
          <w:lang w:val="nl-NL"/>
        </w:rPr>
      </w:pPr>
    </w:p>
    <w:p w:rsidRPr="006C50CD" w:rsidR="00864D40" w:rsidP="00E23432" w:rsidRDefault="00864D40" w14:paraId="77EDF02F" w14:textId="0F2E2B04">
      <w:pPr>
        <w:spacing w:after="0" w:line="240" w:lineRule="atLeast"/>
        <w:contextualSpacing/>
        <w:rPr>
          <w:i/>
          <w:szCs w:val="18"/>
          <w:lang w:val="nl-NL"/>
        </w:rPr>
      </w:pPr>
      <w:r w:rsidRPr="006C50CD">
        <w:rPr>
          <w:i/>
          <w:szCs w:val="18"/>
          <w:lang w:val="nl-NL"/>
        </w:rPr>
        <w:t>Artikel 1</w:t>
      </w:r>
      <w:r>
        <w:rPr>
          <w:i/>
          <w:szCs w:val="18"/>
          <w:lang w:val="nl-NL"/>
        </w:rPr>
        <w:t>5</w:t>
      </w:r>
      <w:r w:rsidRPr="006C50CD">
        <w:rPr>
          <w:i/>
          <w:szCs w:val="18"/>
          <w:lang w:val="nl-NL"/>
        </w:rPr>
        <w:t>: Bijlagen</w:t>
      </w:r>
    </w:p>
    <w:p w:rsidRPr="00C82034" w:rsidR="00864D40" w:rsidP="00E23432" w:rsidRDefault="00864D40" w14:paraId="7E243654" w14:textId="1434C613">
      <w:pPr>
        <w:spacing w:line="276" w:lineRule="auto"/>
        <w:contextualSpacing/>
        <w:rPr>
          <w:szCs w:val="18"/>
          <w:lang w:val="nl-NL"/>
        </w:rPr>
      </w:pPr>
      <w:r w:rsidRPr="006C50CD">
        <w:rPr>
          <w:szCs w:val="18"/>
          <w:lang w:val="nl-NL"/>
        </w:rPr>
        <w:t>In artikel 1</w:t>
      </w:r>
      <w:r>
        <w:rPr>
          <w:szCs w:val="18"/>
          <w:lang w:val="nl-NL"/>
        </w:rPr>
        <w:t>5</w:t>
      </w:r>
      <w:r w:rsidRPr="006C50CD">
        <w:rPr>
          <w:szCs w:val="18"/>
          <w:lang w:val="nl-NL"/>
        </w:rPr>
        <w:t xml:space="preserve"> is bepaald dat bijlagen 1 tot en met </w:t>
      </w:r>
      <w:r>
        <w:rPr>
          <w:szCs w:val="18"/>
          <w:lang w:val="nl-NL"/>
        </w:rPr>
        <w:t>6</w:t>
      </w:r>
      <w:r w:rsidRPr="006C50CD">
        <w:rPr>
          <w:szCs w:val="18"/>
          <w:lang w:val="nl-NL"/>
        </w:rPr>
        <w:t xml:space="preserve"> een integ</w:t>
      </w:r>
      <w:r>
        <w:rPr>
          <w:szCs w:val="18"/>
          <w:lang w:val="nl-NL"/>
        </w:rPr>
        <w:t xml:space="preserve">rerend </w:t>
      </w:r>
      <w:r w:rsidRPr="006C50CD">
        <w:rPr>
          <w:szCs w:val="18"/>
          <w:lang w:val="nl-NL"/>
        </w:rPr>
        <w:t xml:space="preserve">onderdeel van het </w:t>
      </w:r>
      <w:r>
        <w:rPr>
          <w:szCs w:val="18"/>
          <w:lang w:val="nl-NL"/>
        </w:rPr>
        <w:t>U</w:t>
      </w:r>
      <w:r w:rsidRPr="006C50CD">
        <w:rPr>
          <w:szCs w:val="18"/>
          <w:lang w:val="nl-NL"/>
        </w:rPr>
        <w:t>itvoeringsprotocol vormen. Het gaat daarbij om formulieren die ten behoeve van de terug</w:t>
      </w:r>
      <w:r>
        <w:rPr>
          <w:szCs w:val="18"/>
          <w:lang w:val="nl-NL"/>
        </w:rPr>
        <w:t>- of over</w:t>
      </w:r>
      <w:r w:rsidRPr="006C50CD">
        <w:rPr>
          <w:szCs w:val="18"/>
          <w:lang w:val="nl-NL"/>
        </w:rPr>
        <w:t xml:space="preserve">nameprocedure door de bevoegde instanties gebruikt worden. </w:t>
      </w:r>
      <w:r>
        <w:rPr>
          <w:szCs w:val="18"/>
          <w:lang w:val="nl-NL"/>
        </w:rPr>
        <w:t>Zoals is toegelicht bij artikel 16 van het Verdrag, behoeft w</w:t>
      </w:r>
      <w:r w:rsidRPr="006C50CD">
        <w:rPr>
          <w:iCs/>
          <w:szCs w:val="18"/>
          <w:lang w:val="nl-NL"/>
        </w:rPr>
        <w:t xml:space="preserve">ijziging van deze bijlagen, waarvan de inhoud van uitvoerende aard is ten opzichte van de bepalingen van het protocol waar de bijlagen onderdeel van vormen, behoeft op grond van artikel 7, </w:t>
      </w:r>
      <w:r>
        <w:rPr>
          <w:iCs/>
          <w:szCs w:val="18"/>
          <w:lang w:val="nl-NL"/>
        </w:rPr>
        <w:t xml:space="preserve">aanhef en </w:t>
      </w:r>
      <w:r w:rsidRPr="006C50CD">
        <w:rPr>
          <w:iCs/>
          <w:szCs w:val="18"/>
          <w:lang w:val="nl-NL"/>
        </w:rPr>
        <w:t>onderdeel f, van de Rijkswet goedkeuring en bekendmaking verdragen geen parlementaire goedkeuring, tenzij de Staten-Generaal zich thans het recht tot goedkeuring ter zake voorbehouden.</w:t>
      </w:r>
    </w:p>
    <w:p w:rsidRPr="006C50CD" w:rsidR="00864D40" w:rsidP="00E23432" w:rsidRDefault="00864D40" w14:paraId="4E452D13" w14:textId="77777777">
      <w:pPr>
        <w:spacing w:line="276" w:lineRule="auto"/>
        <w:contextualSpacing/>
        <w:rPr>
          <w:szCs w:val="18"/>
          <w:lang w:val="nl-NL"/>
        </w:rPr>
      </w:pPr>
    </w:p>
    <w:p w:rsidRPr="006C50CD" w:rsidR="00864D40" w:rsidP="00E23432" w:rsidRDefault="00864D40" w14:paraId="4D246171" w14:textId="77777777">
      <w:pPr>
        <w:spacing w:line="276" w:lineRule="auto"/>
        <w:contextualSpacing/>
        <w:rPr>
          <w:szCs w:val="18"/>
          <w:lang w:val="nl-NL"/>
        </w:rPr>
      </w:pPr>
    </w:p>
    <w:p w:rsidRPr="006C50CD" w:rsidR="00864D40" w:rsidP="00E23432" w:rsidRDefault="00864D40" w14:paraId="07BB025F" w14:textId="77777777">
      <w:pPr>
        <w:spacing w:line="276" w:lineRule="auto"/>
        <w:contextualSpacing/>
        <w:rPr>
          <w:szCs w:val="18"/>
          <w:lang w:val="nl-NL"/>
        </w:rPr>
      </w:pPr>
    </w:p>
    <w:p w:rsidRPr="006C50CD" w:rsidR="00864D40" w:rsidP="00E23432" w:rsidRDefault="00864D40" w14:paraId="2C56B394" w14:textId="77777777">
      <w:pPr>
        <w:spacing w:after="0" w:line="240" w:lineRule="atLeast"/>
        <w:contextualSpacing/>
        <w:rPr>
          <w:szCs w:val="18"/>
          <w:lang w:val="nl-NL"/>
        </w:rPr>
      </w:pPr>
    </w:p>
    <w:p w:rsidRPr="007B6D3D" w:rsidR="00864D40" w:rsidP="00E23432" w:rsidRDefault="00864D40" w14:paraId="15341008" w14:textId="7F3B3CB6">
      <w:pPr>
        <w:spacing w:after="0" w:line="240" w:lineRule="atLeast"/>
        <w:contextualSpacing/>
        <w:rPr>
          <w:lang w:val="nl-NL"/>
        </w:rPr>
      </w:pPr>
      <w:r w:rsidRPr="007B6D3D">
        <w:rPr>
          <w:lang w:val="nl-NL"/>
        </w:rPr>
        <w:t xml:space="preserve">De </w:t>
      </w:r>
      <w:r>
        <w:rPr>
          <w:lang w:val="nl-NL"/>
        </w:rPr>
        <w:t>Minister v</w:t>
      </w:r>
      <w:r w:rsidR="00D127F6">
        <w:rPr>
          <w:lang w:val="nl-NL"/>
        </w:rPr>
        <w:t>an</w:t>
      </w:r>
      <w:r>
        <w:rPr>
          <w:lang w:val="nl-NL"/>
        </w:rPr>
        <w:t xml:space="preserve"> Asiel en Migratie,</w:t>
      </w:r>
      <w:r w:rsidRPr="007B6D3D">
        <w:rPr>
          <w:lang w:val="nl-NL"/>
        </w:rPr>
        <w:t xml:space="preserve"> </w:t>
      </w:r>
    </w:p>
    <w:p w:rsidRPr="007B6D3D" w:rsidR="00864D40" w:rsidP="00E23432" w:rsidRDefault="00864D40" w14:paraId="0957BF87" w14:textId="77777777">
      <w:pPr>
        <w:spacing w:after="0" w:line="240" w:lineRule="atLeast"/>
        <w:contextualSpacing/>
        <w:rPr>
          <w:lang w:val="nl-NL"/>
        </w:rPr>
      </w:pPr>
    </w:p>
    <w:p w:rsidR="00864D40" w:rsidP="00E23432" w:rsidRDefault="00864D40" w14:paraId="065B4F80" w14:textId="77777777">
      <w:pPr>
        <w:spacing w:after="0" w:line="240" w:lineRule="atLeast"/>
        <w:contextualSpacing/>
        <w:rPr>
          <w:lang w:val="nl-NL"/>
        </w:rPr>
      </w:pPr>
    </w:p>
    <w:p w:rsidR="00007A49" w:rsidP="00E23432" w:rsidRDefault="00007A49" w14:paraId="49D3194C" w14:textId="77777777">
      <w:pPr>
        <w:spacing w:after="0" w:line="240" w:lineRule="atLeast"/>
        <w:contextualSpacing/>
        <w:rPr>
          <w:lang w:val="nl-NL"/>
        </w:rPr>
      </w:pPr>
    </w:p>
    <w:p w:rsidR="00864D40" w:rsidP="00E23432" w:rsidRDefault="00864D40" w14:paraId="7805907A" w14:textId="77777777">
      <w:pPr>
        <w:spacing w:after="0" w:line="240" w:lineRule="atLeast"/>
        <w:contextualSpacing/>
        <w:rPr>
          <w:lang w:val="nl-NL"/>
        </w:rPr>
      </w:pPr>
    </w:p>
    <w:p w:rsidRPr="007B6D3D" w:rsidR="00864D40" w:rsidP="00E23432" w:rsidRDefault="00864D40" w14:paraId="08849441" w14:textId="77777777">
      <w:pPr>
        <w:spacing w:after="0" w:line="240" w:lineRule="atLeast"/>
        <w:contextualSpacing/>
        <w:rPr>
          <w:lang w:val="nl-NL"/>
        </w:rPr>
      </w:pPr>
    </w:p>
    <w:p w:rsidRPr="007B6D3D" w:rsidR="00864D40" w:rsidP="00E23432" w:rsidRDefault="00864D40" w14:paraId="613845DF" w14:textId="77777777">
      <w:pPr>
        <w:spacing w:after="0" w:line="240" w:lineRule="atLeast"/>
        <w:contextualSpacing/>
        <w:rPr>
          <w:lang w:val="nl-NL"/>
        </w:rPr>
      </w:pPr>
    </w:p>
    <w:p w:rsidRPr="007B6D3D" w:rsidR="00864D40" w:rsidP="00E23432" w:rsidRDefault="00864D40" w14:paraId="46DD680F" w14:textId="77777777">
      <w:pPr>
        <w:spacing w:after="0" w:line="240" w:lineRule="atLeast"/>
        <w:contextualSpacing/>
        <w:rPr>
          <w:lang w:val="nl-NL"/>
        </w:rPr>
      </w:pPr>
      <w:r w:rsidRPr="007B6D3D">
        <w:rPr>
          <w:lang w:val="nl-NL"/>
        </w:rPr>
        <w:t>De Minister van Buitenlandse Zaken</w:t>
      </w:r>
      <w:r>
        <w:rPr>
          <w:lang w:val="nl-NL"/>
        </w:rPr>
        <w:t>,</w:t>
      </w:r>
      <w:r w:rsidRPr="007B6D3D">
        <w:rPr>
          <w:lang w:val="nl-NL"/>
        </w:rPr>
        <w:t xml:space="preserve"> </w:t>
      </w:r>
    </w:p>
    <w:p w:rsidRPr="006C50CD" w:rsidR="00864D40" w:rsidP="00E23432" w:rsidRDefault="00864D40" w14:paraId="36EDDE71" w14:textId="77777777">
      <w:pPr>
        <w:spacing w:line="276" w:lineRule="auto"/>
        <w:contextualSpacing/>
        <w:rPr>
          <w:lang w:val="nl-NL"/>
        </w:rPr>
      </w:pPr>
    </w:p>
    <w:p w:rsidRPr="00864D40" w:rsidR="00864D40" w:rsidRDefault="00864D40" w14:paraId="5E7B6A78" w14:textId="77777777">
      <w:pPr>
        <w:rPr>
          <w:lang w:val="nl-NL"/>
        </w:rPr>
      </w:pPr>
    </w:p>
    <w:p w:rsidRPr="00864D40" w:rsidR="00B06701" w:rsidP="00864D40" w:rsidRDefault="00B06701" w14:paraId="6DE45CC3" w14:textId="77777777">
      <w:pPr>
        <w:rPr>
          <w:lang w:val="nl-NL"/>
        </w:rPr>
      </w:pPr>
    </w:p>
    <w:sectPr w:rsidRPr="00864D40" w:rsidR="00B06701" w:rsidSect="004346BE">
      <w:footerReference w:type="default" r:id="rId7"/>
      <w:footerReference w:type="first" r:id="rId8"/>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7EEA" w14:textId="77777777" w:rsidR="00AC5931" w:rsidRDefault="00AC5931" w:rsidP="00E23432">
      <w:pPr>
        <w:spacing w:after="0"/>
      </w:pPr>
      <w:r>
        <w:separator/>
      </w:r>
    </w:p>
  </w:endnote>
  <w:endnote w:type="continuationSeparator" w:id="0">
    <w:p w14:paraId="6C82809C" w14:textId="77777777" w:rsidR="00AC5931" w:rsidRDefault="00AC5931" w:rsidP="00E23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666190"/>
      <w:docPartObj>
        <w:docPartGallery w:val="Page Numbers (Bottom of Page)"/>
        <w:docPartUnique/>
      </w:docPartObj>
    </w:sdtPr>
    <w:sdtEndPr/>
    <w:sdtContent>
      <w:p w14:paraId="1F25CF19" w14:textId="77777777" w:rsidR="006A1325" w:rsidRDefault="006A1325">
        <w:pPr>
          <w:pStyle w:val="Voettekst"/>
          <w:jc w:val="right"/>
        </w:pPr>
        <w:r>
          <w:fldChar w:fldCharType="begin"/>
        </w:r>
        <w:r>
          <w:instrText>PAGE   \* MERGEFORMAT</w:instrText>
        </w:r>
        <w:r>
          <w:fldChar w:fldCharType="separate"/>
        </w:r>
        <w:r w:rsidR="000D69D4" w:rsidRPr="000D69D4">
          <w:rPr>
            <w:noProof/>
            <w:lang w:val="nl-NL"/>
          </w:rPr>
          <w:t>7</w:t>
        </w:r>
        <w:r>
          <w:fldChar w:fldCharType="end"/>
        </w:r>
      </w:p>
    </w:sdtContent>
  </w:sdt>
  <w:p w14:paraId="0886A736" w14:textId="77777777" w:rsidR="006A1325" w:rsidRDefault="006A13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26747"/>
      <w:docPartObj>
        <w:docPartGallery w:val="Page Numbers (Bottom of Page)"/>
        <w:docPartUnique/>
      </w:docPartObj>
    </w:sdtPr>
    <w:sdtEndPr/>
    <w:sdtContent>
      <w:p w14:paraId="36108390" w14:textId="77777777" w:rsidR="006A1325" w:rsidRDefault="006A1325">
        <w:pPr>
          <w:pStyle w:val="Voettekst"/>
          <w:jc w:val="right"/>
        </w:pPr>
        <w:r>
          <w:fldChar w:fldCharType="begin"/>
        </w:r>
        <w:r>
          <w:instrText>PAGE   \* MERGEFORMAT</w:instrText>
        </w:r>
        <w:r>
          <w:fldChar w:fldCharType="separate"/>
        </w:r>
        <w:r w:rsidR="000D69D4" w:rsidRPr="000D69D4">
          <w:rPr>
            <w:noProof/>
            <w:lang w:val="nl-NL"/>
          </w:rPr>
          <w:t>1</w:t>
        </w:r>
        <w:r>
          <w:fldChar w:fldCharType="end"/>
        </w:r>
      </w:p>
    </w:sdtContent>
  </w:sdt>
  <w:p w14:paraId="3293FE56" w14:textId="77777777" w:rsidR="006A1325" w:rsidRDefault="006A13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D875" w14:textId="77777777" w:rsidR="00AC5931" w:rsidRDefault="00AC5931" w:rsidP="00E23432">
      <w:pPr>
        <w:spacing w:after="0"/>
      </w:pPr>
      <w:r>
        <w:separator/>
      </w:r>
    </w:p>
  </w:footnote>
  <w:footnote w:type="continuationSeparator" w:id="0">
    <w:p w14:paraId="12402DA4" w14:textId="77777777" w:rsidR="00AC5931" w:rsidRDefault="00AC5931" w:rsidP="00E23432">
      <w:pPr>
        <w:spacing w:after="0"/>
      </w:pPr>
      <w:r>
        <w:continuationSeparator/>
      </w:r>
    </w:p>
  </w:footnote>
  <w:footnote w:id="1">
    <w:p w14:paraId="74C09528" w14:textId="6F5CDD20" w:rsidR="000E0B92" w:rsidRPr="00CC4FC4" w:rsidRDefault="000E0B92" w:rsidP="000E0B92">
      <w:pPr>
        <w:pStyle w:val="Voetnoottekst"/>
        <w:rPr>
          <w:sz w:val="16"/>
          <w:szCs w:val="16"/>
          <w:lang w:val="nl-NL"/>
        </w:rPr>
      </w:pPr>
      <w:r w:rsidRPr="00CC4FC4">
        <w:rPr>
          <w:rStyle w:val="Voetnootmarkering"/>
          <w:sz w:val="16"/>
          <w:szCs w:val="16"/>
        </w:rPr>
        <w:footnoteRef/>
      </w:r>
      <w:r w:rsidRPr="00CC4FC4">
        <w:rPr>
          <w:sz w:val="16"/>
          <w:szCs w:val="16"/>
          <w:lang w:val="nl-NL"/>
        </w:rPr>
        <w:t xml:space="preserve"> </w:t>
      </w:r>
      <w:r>
        <w:rPr>
          <w:sz w:val="16"/>
          <w:szCs w:val="16"/>
          <w:lang w:val="nl-NL"/>
        </w:rPr>
        <w:t>Hoofdlijnenakkoord 2024-2028, ‘Hoop, lef en trots’, 16 mei 2024, p. 6</w:t>
      </w:r>
      <w:r w:rsidR="002836DA">
        <w:rPr>
          <w:sz w:val="16"/>
          <w:szCs w:val="16"/>
          <w:lang w:val="nl-NL"/>
        </w:rPr>
        <w:t>.</w:t>
      </w:r>
    </w:p>
  </w:footnote>
  <w:footnote w:id="2">
    <w:p w14:paraId="34347F6D" w14:textId="77777777" w:rsidR="00864D40" w:rsidRPr="00D4356D" w:rsidRDefault="00864D40" w:rsidP="00E23432">
      <w:pPr>
        <w:pStyle w:val="Voetnoottekst"/>
        <w:rPr>
          <w:lang w:val="nl-NL"/>
        </w:rPr>
      </w:pPr>
      <w:r w:rsidRPr="00D70E57">
        <w:rPr>
          <w:rStyle w:val="Voetnootmarkering"/>
        </w:rPr>
        <w:footnoteRef/>
      </w:r>
      <w:r w:rsidRPr="00D70E57">
        <w:rPr>
          <w:lang w:val="nl-NL"/>
        </w:rPr>
        <w:t xml:space="preserve"> </w:t>
      </w:r>
      <w:proofErr w:type="spellStart"/>
      <w:r w:rsidRPr="00DA152F">
        <w:rPr>
          <w:i/>
          <w:iCs/>
          <w:sz w:val="16"/>
          <w:szCs w:val="16"/>
          <w:lang w:val="nl-NL"/>
        </w:rPr>
        <w:t>Trb</w:t>
      </w:r>
      <w:proofErr w:type="spellEnd"/>
      <w:r w:rsidRPr="00D70E57">
        <w:rPr>
          <w:i/>
          <w:sz w:val="16"/>
          <w:szCs w:val="16"/>
          <w:lang w:val="nl-NL"/>
        </w:rPr>
        <w:t>.</w:t>
      </w:r>
      <w:r w:rsidRPr="00D70E57">
        <w:rPr>
          <w:sz w:val="16"/>
          <w:szCs w:val="16"/>
          <w:lang w:val="nl-NL"/>
        </w:rPr>
        <w:t xml:space="preserve"> 1960, 40.</w:t>
      </w:r>
    </w:p>
  </w:footnote>
  <w:footnote w:id="3">
    <w:p w14:paraId="5D09580E" w14:textId="0B7A1D59" w:rsidR="00864D40" w:rsidRPr="003A039B" w:rsidRDefault="00864D40" w:rsidP="00E23432">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r w:rsidR="00B53089">
        <w:rPr>
          <w:sz w:val="16"/>
          <w:szCs w:val="16"/>
          <w:lang w:val="nl-NL"/>
        </w:rPr>
        <w:t>Armenië (</w:t>
      </w:r>
      <w:proofErr w:type="spellStart"/>
      <w:r w:rsidRPr="007B6D3D">
        <w:rPr>
          <w:i/>
          <w:sz w:val="16"/>
          <w:lang w:val="nl-NL"/>
        </w:rPr>
        <w:t>Trb</w:t>
      </w:r>
      <w:proofErr w:type="spellEnd"/>
      <w:r w:rsidRPr="003A039B">
        <w:rPr>
          <w:sz w:val="16"/>
          <w:szCs w:val="16"/>
          <w:lang w:val="nl-NL"/>
        </w:rPr>
        <w:t>. 2009, 124</w:t>
      </w:r>
      <w:r w:rsidR="00B53089">
        <w:rPr>
          <w:sz w:val="16"/>
          <w:szCs w:val="16"/>
          <w:lang w:val="nl-NL"/>
        </w:rPr>
        <w:t>)</w:t>
      </w:r>
      <w:r w:rsidRPr="003A039B">
        <w:rPr>
          <w:sz w:val="16"/>
          <w:szCs w:val="16"/>
          <w:lang w:val="nl-NL"/>
        </w:rPr>
        <w:t xml:space="preserve">, </w:t>
      </w:r>
      <w:r w:rsidR="00B53089" w:rsidRPr="00B53089">
        <w:rPr>
          <w:sz w:val="16"/>
          <w:szCs w:val="16"/>
          <w:lang w:val="nl-NL"/>
        </w:rPr>
        <w:t xml:space="preserve">Bosnië-Herzegovina </w:t>
      </w:r>
      <w:r w:rsidR="00B53089">
        <w:rPr>
          <w:sz w:val="16"/>
          <w:szCs w:val="16"/>
          <w:lang w:val="nl-NL"/>
        </w:rPr>
        <w:t>(</w:t>
      </w:r>
      <w:proofErr w:type="spellStart"/>
      <w:r w:rsidRPr="007B6D3D">
        <w:rPr>
          <w:i/>
          <w:sz w:val="16"/>
          <w:lang w:val="nl-NL"/>
        </w:rPr>
        <w:t>Trb</w:t>
      </w:r>
      <w:proofErr w:type="spellEnd"/>
      <w:r w:rsidRPr="003A039B">
        <w:rPr>
          <w:sz w:val="16"/>
          <w:szCs w:val="16"/>
          <w:lang w:val="nl-NL"/>
        </w:rPr>
        <w:t>. 2006, 255</w:t>
      </w:r>
      <w:r w:rsidR="00B53089">
        <w:rPr>
          <w:sz w:val="16"/>
          <w:szCs w:val="16"/>
          <w:lang w:val="nl-NL"/>
        </w:rPr>
        <w:t>)</w:t>
      </w:r>
      <w:r w:rsidRPr="003A039B">
        <w:rPr>
          <w:sz w:val="16"/>
          <w:szCs w:val="16"/>
          <w:lang w:val="nl-NL"/>
        </w:rPr>
        <w:t xml:space="preserve">, </w:t>
      </w:r>
      <w:r w:rsidR="00B53089" w:rsidRPr="00B53089">
        <w:rPr>
          <w:sz w:val="16"/>
          <w:szCs w:val="16"/>
          <w:lang w:val="nl-NL"/>
        </w:rPr>
        <w:t xml:space="preserve">Bulgarije </w:t>
      </w:r>
      <w:r w:rsidR="00B53089">
        <w:rPr>
          <w:sz w:val="16"/>
          <w:szCs w:val="16"/>
          <w:lang w:val="nl-NL"/>
        </w:rPr>
        <w:t>(</w:t>
      </w:r>
      <w:proofErr w:type="spellStart"/>
      <w:r w:rsidRPr="007B6D3D">
        <w:rPr>
          <w:i/>
          <w:sz w:val="16"/>
          <w:lang w:val="nl-NL"/>
        </w:rPr>
        <w:t>Trb</w:t>
      </w:r>
      <w:proofErr w:type="spellEnd"/>
      <w:r w:rsidRPr="003A039B">
        <w:rPr>
          <w:sz w:val="16"/>
          <w:szCs w:val="16"/>
          <w:lang w:val="nl-NL"/>
        </w:rPr>
        <w:t>. 1998, 250</w:t>
      </w:r>
      <w:r w:rsidR="00B53089">
        <w:rPr>
          <w:sz w:val="16"/>
          <w:szCs w:val="16"/>
          <w:lang w:val="nl-NL"/>
        </w:rPr>
        <w:t>)</w:t>
      </w:r>
      <w:r w:rsidRPr="003A039B">
        <w:rPr>
          <w:sz w:val="16"/>
          <w:szCs w:val="16"/>
          <w:lang w:val="nl-NL"/>
        </w:rPr>
        <w:t xml:space="preserve">, </w:t>
      </w:r>
      <w:r w:rsidR="00B53089">
        <w:rPr>
          <w:sz w:val="16"/>
          <w:szCs w:val="16"/>
          <w:lang w:val="nl-NL"/>
        </w:rPr>
        <w:t>Duitsland (</w:t>
      </w:r>
      <w:proofErr w:type="spellStart"/>
      <w:r w:rsidRPr="007B6D3D">
        <w:rPr>
          <w:i/>
          <w:sz w:val="16"/>
          <w:lang w:val="nl-NL"/>
        </w:rPr>
        <w:t>Trb</w:t>
      </w:r>
      <w:proofErr w:type="spellEnd"/>
      <w:r w:rsidRPr="003A039B">
        <w:rPr>
          <w:sz w:val="16"/>
          <w:szCs w:val="16"/>
          <w:lang w:val="nl-NL"/>
        </w:rPr>
        <w:t>. 1966, 166</w:t>
      </w:r>
      <w:r w:rsidR="00B53089">
        <w:rPr>
          <w:sz w:val="16"/>
          <w:szCs w:val="16"/>
          <w:lang w:val="nl-NL"/>
        </w:rPr>
        <w:t>)</w:t>
      </w:r>
      <w:r w:rsidRPr="003A039B">
        <w:rPr>
          <w:sz w:val="16"/>
          <w:szCs w:val="16"/>
          <w:lang w:val="nl-NL"/>
        </w:rPr>
        <w:t xml:space="preserve">, </w:t>
      </w:r>
      <w:r w:rsidR="00B53089">
        <w:rPr>
          <w:sz w:val="16"/>
          <w:szCs w:val="16"/>
          <w:lang w:val="nl-NL"/>
        </w:rPr>
        <w:t>Estland (</w:t>
      </w:r>
      <w:proofErr w:type="spellStart"/>
      <w:r w:rsidRPr="007B6D3D">
        <w:rPr>
          <w:i/>
          <w:sz w:val="16"/>
          <w:lang w:val="nl-NL"/>
        </w:rPr>
        <w:t>Trb</w:t>
      </w:r>
      <w:proofErr w:type="spellEnd"/>
      <w:r w:rsidRPr="003A039B">
        <w:rPr>
          <w:sz w:val="16"/>
          <w:szCs w:val="16"/>
          <w:lang w:val="nl-NL"/>
        </w:rPr>
        <w:t>. 1999, 78</w:t>
      </w:r>
      <w:r w:rsidR="00B53089">
        <w:rPr>
          <w:sz w:val="16"/>
          <w:szCs w:val="16"/>
          <w:lang w:val="nl-NL"/>
        </w:rPr>
        <w:t>)</w:t>
      </w:r>
      <w:r w:rsidRPr="003A039B">
        <w:rPr>
          <w:sz w:val="16"/>
          <w:szCs w:val="16"/>
          <w:lang w:val="nl-NL"/>
        </w:rPr>
        <w:t xml:space="preserve">, </w:t>
      </w:r>
      <w:r w:rsidR="00B53089">
        <w:rPr>
          <w:sz w:val="16"/>
          <w:szCs w:val="16"/>
          <w:lang w:val="nl-NL"/>
        </w:rPr>
        <w:t>Frankrijk (</w:t>
      </w:r>
      <w:proofErr w:type="spellStart"/>
      <w:r w:rsidRPr="007B6D3D">
        <w:rPr>
          <w:i/>
          <w:sz w:val="16"/>
          <w:lang w:val="nl-NL"/>
        </w:rPr>
        <w:t>Trb</w:t>
      </w:r>
      <w:proofErr w:type="spellEnd"/>
      <w:r w:rsidRPr="003A039B">
        <w:rPr>
          <w:sz w:val="16"/>
          <w:szCs w:val="16"/>
          <w:lang w:val="nl-NL"/>
        </w:rPr>
        <w:t>. 1964, 90</w:t>
      </w:r>
      <w:r w:rsidR="00B53089">
        <w:rPr>
          <w:sz w:val="16"/>
          <w:szCs w:val="16"/>
          <w:lang w:val="nl-NL"/>
        </w:rPr>
        <w:t>)</w:t>
      </w:r>
      <w:r w:rsidRPr="003A039B">
        <w:rPr>
          <w:sz w:val="16"/>
          <w:szCs w:val="16"/>
          <w:lang w:val="nl-NL"/>
        </w:rPr>
        <w:t xml:space="preserve">, </w:t>
      </w:r>
      <w:r w:rsidR="00B53089">
        <w:rPr>
          <w:sz w:val="16"/>
          <w:szCs w:val="16"/>
          <w:lang w:val="nl-NL"/>
        </w:rPr>
        <w:t>Hongarije (</w:t>
      </w:r>
      <w:proofErr w:type="spellStart"/>
      <w:r w:rsidRPr="007B6D3D">
        <w:rPr>
          <w:i/>
          <w:sz w:val="16"/>
          <w:lang w:val="nl-NL"/>
        </w:rPr>
        <w:t>Trb</w:t>
      </w:r>
      <w:proofErr w:type="spellEnd"/>
      <w:r w:rsidRPr="003A039B">
        <w:rPr>
          <w:sz w:val="16"/>
          <w:szCs w:val="16"/>
          <w:lang w:val="nl-NL"/>
        </w:rPr>
        <w:t>. 2002, 59</w:t>
      </w:r>
      <w:r w:rsidR="00B53089">
        <w:rPr>
          <w:sz w:val="16"/>
          <w:szCs w:val="16"/>
          <w:lang w:val="nl-NL"/>
        </w:rPr>
        <w:t>)</w:t>
      </w:r>
      <w:r w:rsidRPr="003A039B">
        <w:rPr>
          <w:sz w:val="16"/>
          <w:szCs w:val="16"/>
          <w:lang w:val="nl-NL"/>
        </w:rPr>
        <w:t xml:space="preserve">, </w:t>
      </w:r>
      <w:r w:rsidR="00B53089">
        <w:rPr>
          <w:sz w:val="16"/>
          <w:szCs w:val="16"/>
          <w:lang w:val="nl-NL"/>
        </w:rPr>
        <w:t>Kazachstan (</w:t>
      </w:r>
      <w:proofErr w:type="spellStart"/>
      <w:r w:rsidRPr="007B6D3D">
        <w:rPr>
          <w:i/>
          <w:sz w:val="16"/>
          <w:lang w:val="nl-NL"/>
        </w:rPr>
        <w:t>Trb</w:t>
      </w:r>
      <w:proofErr w:type="spellEnd"/>
      <w:r w:rsidRPr="003A039B">
        <w:rPr>
          <w:sz w:val="16"/>
          <w:szCs w:val="16"/>
          <w:lang w:val="nl-NL"/>
        </w:rPr>
        <w:t>. 2015, 57</w:t>
      </w:r>
      <w:r w:rsidR="00B53089">
        <w:rPr>
          <w:sz w:val="16"/>
          <w:szCs w:val="16"/>
          <w:lang w:val="nl-NL"/>
        </w:rPr>
        <w:t>)</w:t>
      </w:r>
      <w:r w:rsidRPr="003A039B">
        <w:rPr>
          <w:sz w:val="16"/>
          <w:szCs w:val="16"/>
          <w:lang w:val="nl-NL"/>
        </w:rPr>
        <w:t xml:space="preserve">, </w:t>
      </w:r>
      <w:r w:rsidR="00B53089">
        <w:rPr>
          <w:sz w:val="16"/>
          <w:szCs w:val="16"/>
          <w:lang w:val="nl-NL"/>
        </w:rPr>
        <w:t>Kosovo (</w:t>
      </w:r>
      <w:proofErr w:type="spellStart"/>
      <w:r w:rsidRPr="007B6D3D">
        <w:rPr>
          <w:i/>
          <w:sz w:val="16"/>
          <w:lang w:val="nl-NL"/>
        </w:rPr>
        <w:t>Trb</w:t>
      </w:r>
      <w:proofErr w:type="spellEnd"/>
      <w:r w:rsidRPr="003A039B">
        <w:rPr>
          <w:sz w:val="16"/>
          <w:szCs w:val="16"/>
          <w:lang w:val="nl-NL"/>
        </w:rPr>
        <w:t>. 2011, 127</w:t>
      </w:r>
      <w:r w:rsidR="00B53089">
        <w:rPr>
          <w:sz w:val="16"/>
          <w:szCs w:val="16"/>
          <w:lang w:val="nl-NL"/>
        </w:rPr>
        <w:t>)</w:t>
      </w:r>
      <w:r w:rsidRPr="003A039B">
        <w:rPr>
          <w:sz w:val="16"/>
          <w:szCs w:val="16"/>
          <w:lang w:val="nl-NL"/>
        </w:rPr>
        <w:t xml:space="preserve">, </w:t>
      </w:r>
      <w:r w:rsidR="00B53089">
        <w:rPr>
          <w:sz w:val="16"/>
          <w:szCs w:val="16"/>
          <w:lang w:val="nl-NL"/>
        </w:rPr>
        <w:t>Kroatië (</w:t>
      </w:r>
      <w:proofErr w:type="spellStart"/>
      <w:r w:rsidRPr="007B6D3D">
        <w:rPr>
          <w:i/>
          <w:sz w:val="16"/>
          <w:lang w:val="nl-NL"/>
        </w:rPr>
        <w:t>Trb</w:t>
      </w:r>
      <w:proofErr w:type="spellEnd"/>
      <w:r w:rsidRPr="003A039B">
        <w:rPr>
          <w:sz w:val="16"/>
          <w:szCs w:val="16"/>
          <w:lang w:val="nl-NL"/>
        </w:rPr>
        <w:t>. 1999, 140</w:t>
      </w:r>
      <w:r w:rsidR="00B53089">
        <w:rPr>
          <w:sz w:val="16"/>
          <w:szCs w:val="16"/>
          <w:lang w:val="nl-NL"/>
        </w:rPr>
        <w:t>)</w:t>
      </w:r>
      <w:r w:rsidRPr="003A039B">
        <w:rPr>
          <w:sz w:val="16"/>
          <w:szCs w:val="16"/>
          <w:lang w:val="nl-NL"/>
        </w:rPr>
        <w:t xml:space="preserve">, </w:t>
      </w:r>
      <w:r w:rsidR="00B53089">
        <w:rPr>
          <w:sz w:val="16"/>
          <w:szCs w:val="16"/>
          <w:lang w:val="nl-NL"/>
        </w:rPr>
        <w:t>Letland (</w:t>
      </w:r>
      <w:proofErr w:type="spellStart"/>
      <w:r w:rsidRPr="007B6D3D">
        <w:rPr>
          <w:i/>
          <w:sz w:val="16"/>
          <w:lang w:val="nl-NL"/>
        </w:rPr>
        <w:t>Trb</w:t>
      </w:r>
      <w:proofErr w:type="spellEnd"/>
      <w:r w:rsidRPr="003A039B">
        <w:rPr>
          <w:sz w:val="16"/>
          <w:szCs w:val="16"/>
          <w:lang w:val="nl-NL"/>
        </w:rPr>
        <w:t>. 1999, 117</w:t>
      </w:r>
      <w:r w:rsidR="00B53089">
        <w:rPr>
          <w:sz w:val="16"/>
          <w:szCs w:val="16"/>
          <w:lang w:val="nl-NL"/>
        </w:rPr>
        <w:t>)</w:t>
      </w:r>
      <w:r w:rsidRPr="003A039B">
        <w:rPr>
          <w:sz w:val="16"/>
          <w:szCs w:val="16"/>
          <w:lang w:val="nl-NL"/>
        </w:rPr>
        <w:t xml:space="preserve">, </w:t>
      </w:r>
      <w:r w:rsidR="00B53089">
        <w:rPr>
          <w:sz w:val="16"/>
          <w:szCs w:val="16"/>
          <w:lang w:val="nl-NL"/>
        </w:rPr>
        <w:t>Litouwen (</w:t>
      </w:r>
      <w:proofErr w:type="spellStart"/>
      <w:r w:rsidRPr="007B6D3D">
        <w:rPr>
          <w:i/>
          <w:sz w:val="16"/>
          <w:lang w:val="nl-NL"/>
        </w:rPr>
        <w:t>Trb</w:t>
      </w:r>
      <w:proofErr w:type="spellEnd"/>
      <w:r w:rsidRPr="003A039B">
        <w:rPr>
          <w:sz w:val="16"/>
          <w:szCs w:val="16"/>
          <w:lang w:val="nl-NL"/>
        </w:rPr>
        <w:t>. 1999, 119</w:t>
      </w:r>
      <w:r w:rsidR="00B53089">
        <w:rPr>
          <w:sz w:val="16"/>
          <w:szCs w:val="16"/>
          <w:lang w:val="nl-NL"/>
        </w:rPr>
        <w:t>)</w:t>
      </w:r>
      <w:r w:rsidRPr="003A039B">
        <w:rPr>
          <w:sz w:val="16"/>
          <w:szCs w:val="16"/>
          <w:lang w:val="nl-NL"/>
        </w:rPr>
        <w:t xml:space="preserve">, </w:t>
      </w:r>
      <w:r w:rsidR="00B53089">
        <w:rPr>
          <w:sz w:val="16"/>
          <w:szCs w:val="16"/>
          <w:lang w:val="nl-NL"/>
        </w:rPr>
        <w:t>Noord-Macedonië (</w:t>
      </w:r>
      <w:proofErr w:type="spellStart"/>
      <w:r w:rsidRPr="007B6D3D">
        <w:rPr>
          <w:i/>
          <w:sz w:val="16"/>
          <w:lang w:val="nl-NL"/>
        </w:rPr>
        <w:t>Trb</w:t>
      </w:r>
      <w:proofErr w:type="spellEnd"/>
      <w:r w:rsidRPr="003A039B">
        <w:rPr>
          <w:sz w:val="16"/>
          <w:szCs w:val="16"/>
          <w:lang w:val="nl-NL"/>
        </w:rPr>
        <w:t>. 2006, 135</w:t>
      </w:r>
      <w:r w:rsidR="00B53089">
        <w:rPr>
          <w:sz w:val="16"/>
          <w:szCs w:val="16"/>
          <w:lang w:val="nl-NL"/>
        </w:rPr>
        <w:t>)</w:t>
      </w:r>
      <w:r w:rsidRPr="003A039B">
        <w:rPr>
          <w:sz w:val="16"/>
          <w:szCs w:val="16"/>
          <w:lang w:val="nl-NL"/>
        </w:rPr>
        <w:t>,</w:t>
      </w:r>
      <w:r w:rsidR="00B53089">
        <w:rPr>
          <w:sz w:val="16"/>
          <w:szCs w:val="16"/>
          <w:lang w:val="nl-NL"/>
        </w:rPr>
        <w:t xml:space="preserve"> Mongolië (</w:t>
      </w:r>
      <w:proofErr w:type="spellStart"/>
      <w:r w:rsidR="00B53089" w:rsidRPr="00D87F21">
        <w:rPr>
          <w:i/>
          <w:iCs/>
          <w:sz w:val="16"/>
          <w:szCs w:val="16"/>
          <w:lang w:val="nl-NL"/>
        </w:rPr>
        <w:t>Trb</w:t>
      </w:r>
      <w:proofErr w:type="spellEnd"/>
      <w:r w:rsidR="00B53089">
        <w:rPr>
          <w:sz w:val="16"/>
          <w:szCs w:val="16"/>
          <w:lang w:val="nl-NL"/>
        </w:rPr>
        <w:t>. 2024, 23),</w:t>
      </w:r>
      <w:r w:rsidRPr="003A039B">
        <w:rPr>
          <w:sz w:val="16"/>
          <w:szCs w:val="16"/>
          <w:lang w:val="nl-NL"/>
        </w:rPr>
        <w:t xml:space="preserve"> </w:t>
      </w:r>
      <w:r w:rsidR="00B53089">
        <w:rPr>
          <w:sz w:val="16"/>
          <w:szCs w:val="16"/>
          <w:lang w:val="nl-NL"/>
        </w:rPr>
        <w:t>Oostenrijk (</w:t>
      </w:r>
      <w:proofErr w:type="spellStart"/>
      <w:r w:rsidRPr="007B6D3D">
        <w:rPr>
          <w:i/>
          <w:sz w:val="16"/>
          <w:lang w:val="nl-NL"/>
        </w:rPr>
        <w:t>Trb</w:t>
      </w:r>
      <w:proofErr w:type="spellEnd"/>
      <w:r w:rsidRPr="003A039B">
        <w:rPr>
          <w:sz w:val="16"/>
          <w:szCs w:val="16"/>
          <w:lang w:val="nl-NL"/>
        </w:rPr>
        <w:t>. 1965, 60</w:t>
      </w:r>
      <w:r w:rsidR="00B53089">
        <w:rPr>
          <w:sz w:val="16"/>
          <w:szCs w:val="16"/>
          <w:lang w:val="nl-NL"/>
        </w:rPr>
        <w:t>)</w:t>
      </w:r>
      <w:r w:rsidRPr="003A039B">
        <w:rPr>
          <w:sz w:val="16"/>
          <w:szCs w:val="16"/>
          <w:lang w:val="nl-NL"/>
        </w:rPr>
        <w:t xml:space="preserve">, </w:t>
      </w:r>
      <w:r w:rsidR="00B53089">
        <w:rPr>
          <w:sz w:val="16"/>
          <w:szCs w:val="16"/>
          <w:lang w:val="nl-NL"/>
        </w:rPr>
        <w:t>Roemenië (</w:t>
      </w:r>
      <w:proofErr w:type="spellStart"/>
      <w:r w:rsidRPr="007B6D3D">
        <w:rPr>
          <w:i/>
          <w:sz w:val="16"/>
          <w:lang w:val="nl-NL"/>
        </w:rPr>
        <w:t>Trb</w:t>
      </w:r>
      <w:proofErr w:type="spellEnd"/>
      <w:r w:rsidRPr="003A039B">
        <w:rPr>
          <w:sz w:val="16"/>
          <w:szCs w:val="16"/>
          <w:lang w:val="nl-NL"/>
        </w:rPr>
        <w:t>. 1995, 155</w:t>
      </w:r>
      <w:r w:rsidR="00B53089">
        <w:rPr>
          <w:sz w:val="16"/>
          <w:szCs w:val="16"/>
          <w:lang w:val="nl-NL"/>
        </w:rPr>
        <w:t>)</w:t>
      </w:r>
      <w:r w:rsidRPr="003A039B">
        <w:rPr>
          <w:sz w:val="16"/>
          <w:szCs w:val="16"/>
          <w:lang w:val="nl-NL"/>
        </w:rPr>
        <w:t xml:space="preserve">, </w:t>
      </w:r>
      <w:r w:rsidR="00B53089">
        <w:rPr>
          <w:sz w:val="16"/>
          <w:szCs w:val="16"/>
          <w:lang w:val="nl-NL"/>
        </w:rPr>
        <w:t>Servië (</w:t>
      </w:r>
      <w:proofErr w:type="spellStart"/>
      <w:r w:rsidRPr="007B6D3D">
        <w:rPr>
          <w:i/>
          <w:sz w:val="16"/>
          <w:lang w:val="nl-NL"/>
        </w:rPr>
        <w:t>Trb</w:t>
      </w:r>
      <w:proofErr w:type="spellEnd"/>
      <w:r w:rsidRPr="003A039B">
        <w:rPr>
          <w:sz w:val="16"/>
          <w:szCs w:val="16"/>
          <w:lang w:val="nl-NL"/>
        </w:rPr>
        <w:t>. 2002, 152</w:t>
      </w:r>
      <w:r w:rsidR="00B53089">
        <w:rPr>
          <w:sz w:val="16"/>
          <w:szCs w:val="16"/>
          <w:lang w:val="nl-NL"/>
        </w:rPr>
        <w:t>)</w:t>
      </w:r>
      <w:r w:rsidRPr="003A039B">
        <w:rPr>
          <w:sz w:val="16"/>
          <w:szCs w:val="16"/>
          <w:lang w:val="nl-NL"/>
        </w:rPr>
        <w:t xml:space="preserve">, </w:t>
      </w:r>
      <w:r w:rsidR="00401D1E">
        <w:rPr>
          <w:sz w:val="16"/>
          <w:szCs w:val="16"/>
          <w:lang w:val="nl-NL"/>
        </w:rPr>
        <w:t>Slovenië (</w:t>
      </w:r>
      <w:proofErr w:type="spellStart"/>
      <w:r w:rsidRPr="007B6D3D">
        <w:rPr>
          <w:i/>
          <w:sz w:val="16"/>
          <w:lang w:val="nl-NL"/>
        </w:rPr>
        <w:t>Trb</w:t>
      </w:r>
      <w:proofErr w:type="spellEnd"/>
      <w:r w:rsidRPr="003A039B">
        <w:rPr>
          <w:sz w:val="16"/>
          <w:szCs w:val="16"/>
          <w:lang w:val="nl-NL"/>
        </w:rPr>
        <w:t>. 1992, 197</w:t>
      </w:r>
      <w:r w:rsidR="00401D1E">
        <w:rPr>
          <w:sz w:val="16"/>
          <w:szCs w:val="16"/>
          <w:lang w:val="nl-NL"/>
        </w:rPr>
        <w:t>)</w:t>
      </w:r>
      <w:r w:rsidRPr="003A039B">
        <w:rPr>
          <w:sz w:val="16"/>
          <w:szCs w:val="16"/>
          <w:lang w:val="nl-NL"/>
        </w:rPr>
        <w:t>,</w:t>
      </w:r>
      <w:r w:rsidR="00401D1E">
        <w:rPr>
          <w:sz w:val="16"/>
          <w:szCs w:val="16"/>
          <w:lang w:val="nl-NL"/>
        </w:rPr>
        <w:t xml:space="preserve"> Slowakije (</w:t>
      </w:r>
      <w:proofErr w:type="spellStart"/>
      <w:r w:rsidRPr="007B6D3D">
        <w:rPr>
          <w:i/>
          <w:sz w:val="16"/>
          <w:lang w:val="nl-NL"/>
        </w:rPr>
        <w:t>Trb</w:t>
      </w:r>
      <w:proofErr w:type="spellEnd"/>
      <w:r w:rsidRPr="003A039B">
        <w:rPr>
          <w:sz w:val="16"/>
          <w:szCs w:val="16"/>
          <w:lang w:val="nl-NL"/>
        </w:rPr>
        <w:t>. 2002, 128</w:t>
      </w:r>
      <w:r w:rsidR="00401D1E">
        <w:rPr>
          <w:sz w:val="16"/>
          <w:szCs w:val="16"/>
          <w:lang w:val="nl-NL"/>
        </w:rPr>
        <w:t>) en Zwitserland (</w:t>
      </w:r>
      <w:proofErr w:type="spellStart"/>
      <w:r w:rsidRPr="007B6D3D">
        <w:rPr>
          <w:i/>
          <w:sz w:val="16"/>
          <w:lang w:val="nl-NL"/>
        </w:rPr>
        <w:t>Trb</w:t>
      </w:r>
      <w:proofErr w:type="spellEnd"/>
      <w:r w:rsidRPr="003A039B">
        <w:rPr>
          <w:sz w:val="16"/>
          <w:szCs w:val="16"/>
          <w:lang w:val="nl-NL"/>
        </w:rPr>
        <w:t>. 2004, 38</w:t>
      </w:r>
      <w:r w:rsidR="00401D1E">
        <w:rPr>
          <w:sz w:val="16"/>
          <w:szCs w:val="16"/>
          <w:lang w:val="nl-NL"/>
        </w:rPr>
        <w:t>)</w:t>
      </w:r>
      <w:r w:rsidRPr="009E29D6">
        <w:rPr>
          <w:sz w:val="16"/>
          <w:szCs w:val="16"/>
          <w:lang w:val="nl-NL"/>
        </w:rPr>
        <w:t>.</w:t>
      </w:r>
    </w:p>
  </w:footnote>
  <w:footnote w:id="4">
    <w:p w14:paraId="4A83FAA9" w14:textId="77777777" w:rsidR="00864D40" w:rsidRPr="003A039B" w:rsidRDefault="00864D40" w:rsidP="00E23432">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Pr="007B6D3D">
        <w:rPr>
          <w:i/>
          <w:sz w:val="16"/>
          <w:lang w:val="nl-NL"/>
        </w:rPr>
        <w:t>PbEU</w:t>
      </w:r>
      <w:proofErr w:type="spellEnd"/>
      <w:r w:rsidRPr="003A039B">
        <w:rPr>
          <w:sz w:val="16"/>
          <w:szCs w:val="16"/>
          <w:lang w:val="nl-NL"/>
        </w:rPr>
        <w:t xml:space="preserve"> 2010, C 83/47.</w:t>
      </w:r>
    </w:p>
  </w:footnote>
  <w:footnote w:id="5">
    <w:p w14:paraId="4433FC9C" w14:textId="4907E97D" w:rsidR="00864D40" w:rsidRPr="003A039B" w:rsidRDefault="00864D40" w:rsidP="00E23432">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r w:rsidR="005E2BAF">
        <w:rPr>
          <w:sz w:val="16"/>
          <w:szCs w:val="16"/>
          <w:lang w:val="nl-NL"/>
        </w:rPr>
        <w:t>Albanië (</w:t>
      </w:r>
      <w:proofErr w:type="spellStart"/>
      <w:r w:rsidR="005E2BAF">
        <w:rPr>
          <w:i/>
          <w:iCs/>
          <w:sz w:val="16"/>
          <w:szCs w:val="16"/>
          <w:lang w:val="nl-NL"/>
        </w:rPr>
        <w:t>PbEU</w:t>
      </w:r>
      <w:proofErr w:type="spellEnd"/>
      <w:r w:rsidR="005E2BAF">
        <w:rPr>
          <w:i/>
          <w:iCs/>
          <w:sz w:val="16"/>
          <w:szCs w:val="16"/>
          <w:lang w:val="nl-NL"/>
        </w:rPr>
        <w:t xml:space="preserve"> </w:t>
      </w:r>
      <w:r w:rsidR="005E2BAF">
        <w:rPr>
          <w:sz w:val="16"/>
          <w:szCs w:val="16"/>
          <w:lang w:val="nl-NL"/>
        </w:rPr>
        <w:t xml:space="preserve">2005, L 124), </w:t>
      </w:r>
      <w:r w:rsidR="00401D1E">
        <w:rPr>
          <w:sz w:val="16"/>
          <w:szCs w:val="16"/>
          <w:lang w:val="nl-NL"/>
        </w:rPr>
        <w:t>Armenië (</w:t>
      </w:r>
      <w:proofErr w:type="spellStart"/>
      <w:r w:rsidRPr="007B6D3D">
        <w:rPr>
          <w:i/>
          <w:sz w:val="16"/>
          <w:lang w:val="nl-NL"/>
        </w:rPr>
        <w:t>PbEU</w:t>
      </w:r>
      <w:proofErr w:type="spellEnd"/>
      <w:r w:rsidRPr="003A039B">
        <w:rPr>
          <w:sz w:val="16"/>
          <w:szCs w:val="16"/>
          <w:lang w:val="nl-NL"/>
        </w:rPr>
        <w:t xml:space="preserve"> 2013, L 289/13</w:t>
      </w:r>
      <w:r w:rsidR="00401D1E">
        <w:rPr>
          <w:sz w:val="16"/>
          <w:szCs w:val="16"/>
          <w:lang w:val="nl-NL"/>
        </w:rPr>
        <w:t>)</w:t>
      </w:r>
      <w:r w:rsidRPr="003A039B">
        <w:rPr>
          <w:sz w:val="16"/>
          <w:szCs w:val="16"/>
          <w:lang w:val="nl-NL"/>
        </w:rPr>
        <w:t xml:space="preserve">, </w:t>
      </w:r>
      <w:r w:rsidR="00401D1E">
        <w:rPr>
          <w:sz w:val="16"/>
          <w:szCs w:val="16"/>
          <w:lang w:val="nl-NL"/>
        </w:rPr>
        <w:t>Azerbeidzjan (</w:t>
      </w:r>
      <w:proofErr w:type="spellStart"/>
      <w:r w:rsidRPr="007B6D3D">
        <w:rPr>
          <w:i/>
          <w:sz w:val="16"/>
          <w:lang w:val="nl-NL"/>
        </w:rPr>
        <w:t>PbEU</w:t>
      </w:r>
      <w:proofErr w:type="spellEnd"/>
      <w:r w:rsidRPr="003A039B">
        <w:rPr>
          <w:sz w:val="16"/>
          <w:szCs w:val="16"/>
          <w:lang w:val="nl-NL"/>
        </w:rPr>
        <w:t xml:space="preserve"> 2014, L 128/17</w:t>
      </w:r>
      <w:r w:rsidR="00401D1E">
        <w:rPr>
          <w:sz w:val="16"/>
          <w:szCs w:val="16"/>
          <w:lang w:val="nl-NL"/>
        </w:rPr>
        <w:t>)</w:t>
      </w:r>
      <w:r w:rsidRPr="003A039B">
        <w:rPr>
          <w:sz w:val="16"/>
          <w:szCs w:val="16"/>
          <w:lang w:val="nl-NL"/>
        </w:rPr>
        <w:t xml:space="preserve">, </w:t>
      </w:r>
      <w:r w:rsidR="005E2BAF">
        <w:rPr>
          <w:sz w:val="16"/>
          <w:szCs w:val="16"/>
          <w:lang w:val="nl-NL"/>
        </w:rPr>
        <w:t>Bosnië-Herzegovina</w:t>
      </w:r>
      <w:r w:rsidR="00401D1E">
        <w:rPr>
          <w:sz w:val="16"/>
          <w:szCs w:val="16"/>
          <w:lang w:val="nl-NL"/>
        </w:rPr>
        <w:t xml:space="preserve"> (</w:t>
      </w:r>
      <w:proofErr w:type="spellStart"/>
      <w:r w:rsidRPr="007B6D3D">
        <w:rPr>
          <w:i/>
          <w:sz w:val="16"/>
          <w:lang w:val="nl-NL"/>
        </w:rPr>
        <w:t>PbEU</w:t>
      </w:r>
      <w:proofErr w:type="spellEnd"/>
      <w:r w:rsidRPr="003A039B">
        <w:rPr>
          <w:sz w:val="16"/>
          <w:szCs w:val="16"/>
          <w:lang w:val="nl-NL"/>
        </w:rPr>
        <w:t xml:space="preserve"> 2007, L 334</w:t>
      </w:r>
      <w:r w:rsidR="00401D1E">
        <w:rPr>
          <w:sz w:val="16"/>
          <w:szCs w:val="16"/>
          <w:lang w:val="nl-NL"/>
        </w:rPr>
        <w:t>/</w:t>
      </w:r>
      <w:r w:rsidR="005E2BAF">
        <w:rPr>
          <w:sz w:val="16"/>
          <w:szCs w:val="16"/>
          <w:lang w:val="nl-NL"/>
        </w:rPr>
        <w:t>96</w:t>
      </w:r>
      <w:r w:rsidR="00401D1E">
        <w:rPr>
          <w:sz w:val="16"/>
          <w:szCs w:val="16"/>
          <w:lang w:val="nl-NL"/>
        </w:rPr>
        <w:t>)</w:t>
      </w:r>
      <w:r w:rsidRPr="003A039B">
        <w:rPr>
          <w:sz w:val="16"/>
          <w:szCs w:val="16"/>
          <w:lang w:val="nl-NL"/>
        </w:rPr>
        <w:t xml:space="preserve">, </w:t>
      </w:r>
      <w:r w:rsidR="00401D1E">
        <w:rPr>
          <w:sz w:val="16"/>
          <w:szCs w:val="16"/>
          <w:lang w:val="nl-NL"/>
        </w:rPr>
        <w:t>Georgië (</w:t>
      </w:r>
      <w:proofErr w:type="spellStart"/>
      <w:r w:rsidRPr="007B6D3D">
        <w:rPr>
          <w:i/>
          <w:sz w:val="16"/>
          <w:lang w:val="nl-NL"/>
        </w:rPr>
        <w:t>PbEU</w:t>
      </w:r>
      <w:proofErr w:type="spellEnd"/>
      <w:r w:rsidRPr="003A039B">
        <w:rPr>
          <w:sz w:val="16"/>
          <w:szCs w:val="16"/>
          <w:lang w:val="nl-NL"/>
        </w:rPr>
        <w:t xml:space="preserve"> 2011, L 52</w:t>
      </w:r>
      <w:r w:rsidR="00401D1E">
        <w:rPr>
          <w:sz w:val="16"/>
          <w:szCs w:val="16"/>
          <w:lang w:val="nl-NL"/>
        </w:rPr>
        <w:t>/47)</w:t>
      </w:r>
      <w:r w:rsidRPr="003A039B">
        <w:rPr>
          <w:sz w:val="16"/>
          <w:szCs w:val="16"/>
          <w:lang w:val="nl-NL"/>
        </w:rPr>
        <w:t xml:space="preserve">, </w:t>
      </w:r>
      <w:r w:rsidR="00401D1E">
        <w:rPr>
          <w:sz w:val="16"/>
          <w:szCs w:val="16"/>
          <w:lang w:val="nl-NL"/>
        </w:rPr>
        <w:t>Hongkong (</w:t>
      </w:r>
      <w:proofErr w:type="spellStart"/>
      <w:r w:rsidRPr="007B6D3D">
        <w:rPr>
          <w:i/>
          <w:sz w:val="16"/>
          <w:lang w:val="nl-NL"/>
        </w:rPr>
        <w:t>PbEU</w:t>
      </w:r>
      <w:proofErr w:type="spellEnd"/>
      <w:r w:rsidRPr="003A039B">
        <w:rPr>
          <w:sz w:val="16"/>
          <w:szCs w:val="16"/>
          <w:lang w:val="nl-NL"/>
        </w:rPr>
        <w:t xml:space="preserve"> 2004, L 17</w:t>
      </w:r>
      <w:r w:rsidR="00401D1E">
        <w:rPr>
          <w:sz w:val="16"/>
          <w:szCs w:val="16"/>
          <w:lang w:val="nl-NL"/>
        </w:rPr>
        <w:t>/23)</w:t>
      </w:r>
      <w:r w:rsidRPr="003A039B">
        <w:rPr>
          <w:sz w:val="16"/>
          <w:szCs w:val="16"/>
          <w:lang w:val="nl-NL"/>
        </w:rPr>
        <w:t xml:space="preserve">, </w:t>
      </w:r>
      <w:r w:rsidR="00401D1E">
        <w:rPr>
          <w:sz w:val="16"/>
          <w:szCs w:val="16"/>
          <w:lang w:val="nl-NL"/>
        </w:rPr>
        <w:t>Kaapverdië (</w:t>
      </w:r>
      <w:proofErr w:type="spellStart"/>
      <w:r w:rsidRPr="007B6D3D">
        <w:rPr>
          <w:i/>
          <w:sz w:val="16"/>
          <w:lang w:val="nl-NL"/>
        </w:rPr>
        <w:t>PbEU</w:t>
      </w:r>
      <w:proofErr w:type="spellEnd"/>
      <w:r w:rsidRPr="003A039B">
        <w:rPr>
          <w:sz w:val="16"/>
          <w:szCs w:val="16"/>
          <w:lang w:val="nl-NL"/>
        </w:rPr>
        <w:t xml:space="preserve"> 2013, L 282/15</w:t>
      </w:r>
      <w:r w:rsidR="00401D1E">
        <w:rPr>
          <w:sz w:val="16"/>
          <w:szCs w:val="16"/>
          <w:lang w:val="nl-NL"/>
        </w:rPr>
        <w:t>)</w:t>
      </w:r>
      <w:r w:rsidRPr="003A039B">
        <w:rPr>
          <w:sz w:val="16"/>
          <w:szCs w:val="16"/>
          <w:lang w:val="nl-NL"/>
        </w:rPr>
        <w:t xml:space="preserve">, </w:t>
      </w:r>
      <w:r w:rsidR="00401D1E">
        <w:rPr>
          <w:sz w:val="16"/>
          <w:szCs w:val="16"/>
          <w:lang w:val="nl-NL"/>
        </w:rPr>
        <w:t>Macao (</w:t>
      </w:r>
      <w:proofErr w:type="spellStart"/>
      <w:r w:rsidRPr="007B6D3D">
        <w:rPr>
          <w:i/>
          <w:sz w:val="16"/>
          <w:lang w:val="nl-NL"/>
        </w:rPr>
        <w:t>PbEU</w:t>
      </w:r>
      <w:proofErr w:type="spellEnd"/>
      <w:r w:rsidRPr="003A039B">
        <w:rPr>
          <w:sz w:val="16"/>
          <w:szCs w:val="16"/>
          <w:lang w:val="nl-NL"/>
        </w:rPr>
        <w:t xml:space="preserve"> 2004, L 143</w:t>
      </w:r>
      <w:r w:rsidR="00401D1E">
        <w:rPr>
          <w:sz w:val="16"/>
          <w:szCs w:val="16"/>
          <w:lang w:val="nl-NL"/>
        </w:rPr>
        <w:t>/99)</w:t>
      </w:r>
      <w:r w:rsidRPr="003A039B">
        <w:rPr>
          <w:sz w:val="16"/>
          <w:szCs w:val="16"/>
          <w:lang w:val="nl-NL"/>
        </w:rPr>
        <w:t xml:space="preserve">, </w:t>
      </w:r>
      <w:r w:rsidR="005E2BAF">
        <w:rPr>
          <w:sz w:val="16"/>
          <w:szCs w:val="16"/>
          <w:lang w:val="nl-NL"/>
        </w:rPr>
        <w:t>Noord-</w:t>
      </w:r>
      <w:r w:rsidR="00401D1E">
        <w:rPr>
          <w:sz w:val="16"/>
          <w:szCs w:val="16"/>
          <w:lang w:val="nl-NL"/>
        </w:rPr>
        <w:t>Macedonië (</w:t>
      </w:r>
      <w:proofErr w:type="spellStart"/>
      <w:r w:rsidRPr="007B6D3D">
        <w:rPr>
          <w:i/>
          <w:sz w:val="16"/>
          <w:lang w:val="nl-NL"/>
        </w:rPr>
        <w:t>PbEU</w:t>
      </w:r>
      <w:proofErr w:type="spellEnd"/>
      <w:r w:rsidRPr="003A039B">
        <w:rPr>
          <w:sz w:val="16"/>
          <w:szCs w:val="16"/>
          <w:lang w:val="nl-NL"/>
        </w:rPr>
        <w:t xml:space="preserve"> 2007, L 334</w:t>
      </w:r>
      <w:r w:rsidR="00401D1E">
        <w:rPr>
          <w:sz w:val="16"/>
          <w:szCs w:val="16"/>
          <w:lang w:val="nl-NL"/>
        </w:rPr>
        <w:t>)</w:t>
      </w:r>
      <w:r w:rsidRPr="003A039B">
        <w:rPr>
          <w:sz w:val="16"/>
          <w:szCs w:val="16"/>
          <w:lang w:val="nl-NL"/>
        </w:rPr>
        <w:t xml:space="preserve">, </w:t>
      </w:r>
      <w:r w:rsidR="005E2BAF">
        <w:rPr>
          <w:sz w:val="16"/>
          <w:szCs w:val="16"/>
          <w:lang w:val="nl-NL"/>
        </w:rPr>
        <w:t>Moldavië (</w:t>
      </w:r>
      <w:proofErr w:type="spellStart"/>
      <w:r w:rsidRPr="007B6D3D">
        <w:rPr>
          <w:i/>
          <w:sz w:val="16"/>
          <w:lang w:val="nl-NL"/>
        </w:rPr>
        <w:t>PbEU</w:t>
      </w:r>
      <w:proofErr w:type="spellEnd"/>
      <w:r w:rsidRPr="003A039B">
        <w:rPr>
          <w:sz w:val="16"/>
          <w:szCs w:val="16"/>
          <w:lang w:val="nl-NL"/>
        </w:rPr>
        <w:t xml:space="preserve"> 2007, L 334), </w:t>
      </w:r>
      <w:r w:rsidR="005E2BAF">
        <w:rPr>
          <w:sz w:val="16"/>
          <w:szCs w:val="16"/>
          <w:lang w:val="nl-NL"/>
        </w:rPr>
        <w:t>Montenegro (</w:t>
      </w:r>
      <w:proofErr w:type="spellStart"/>
      <w:r w:rsidRPr="007B6D3D">
        <w:rPr>
          <w:i/>
          <w:sz w:val="16"/>
          <w:lang w:val="nl-NL"/>
        </w:rPr>
        <w:t>PbEU</w:t>
      </w:r>
      <w:proofErr w:type="spellEnd"/>
      <w:r w:rsidRPr="003A039B">
        <w:rPr>
          <w:sz w:val="16"/>
          <w:szCs w:val="16"/>
          <w:lang w:val="nl-NL"/>
        </w:rPr>
        <w:t xml:space="preserve"> 2007, L 334</w:t>
      </w:r>
      <w:r w:rsidR="005E2BAF">
        <w:rPr>
          <w:sz w:val="16"/>
          <w:szCs w:val="16"/>
          <w:lang w:val="nl-NL"/>
        </w:rPr>
        <w:t>)</w:t>
      </w:r>
      <w:r w:rsidRPr="003A039B">
        <w:rPr>
          <w:sz w:val="16"/>
          <w:szCs w:val="16"/>
          <w:lang w:val="nl-NL"/>
        </w:rPr>
        <w:t xml:space="preserve">, </w:t>
      </w:r>
      <w:r w:rsidR="005E2BAF">
        <w:rPr>
          <w:sz w:val="16"/>
          <w:szCs w:val="16"/>
          <w:lang w:val="nl-NL"/>
        </w:rPr>
        <w:t>Oekraïne (</w:t>
      </w:r>
      <w:proofErr w:type="spellStart"/>
      <w:r w:rsidRPr="007B6D3D">
        <w:rPr>
          <w:i/>
          <w:sz w:val="16"/>
          <w:lang w:val="nl-NL"/>
        </w:rPr>
        <w:t>PbEU</w:t>
      </w:r>
      <w:proofErr w:type="spellEnd"/>
      <w:r w:rsidRPr="003A039B">
        <w:rPr>
          <w:sz w:val="16"/>
          <w:szCs w:val="16"/>
          <w:lang w:val="nl-NL"/>
        </w:rPr>
        <w:t xml:space="preserve"> 2007, L 332</w:t>
      </w:r>
      <w:r w:rsidR="005E2BAF">
        <w:rPr>
          <w:sz w:val="16"/>
          <w:szCs w:val="16"/>
          <w:lang w:val="nl-NL"/>
        </w:rPr>
        <w:t>)</w:t>
      </w:r>
      <w:r w:rsidRPr="003A039B">
        <w:rPr>
          <w:sz w:val="16"/>
          <w:szCs w:val="16"/>
          <w:lang w:val="nl-NL"/>
        </w:rPr>
        <w:t xml:space="preserve">, </w:t>
      </w:r>
      <w:r w:rsidR="005E2BAF">
        <w:rPr>
          <w:sz w:val="16"/>
          <w:szCs w:val="16"/>
          <w:lang w:val="nl-NL"/>
        </w:rPr>
        <w:t>Pakistan (</w:t>
      </w:r>
      <w:proofErr w:type="spellStart"/>
      <w:r w:rsidRPr="007B6D3D">
        <w:rPr>
          <w:i/>
          <w:sz w:val="16"/>
          <w:lang w:val="nl-NL"/>
        </w:rPr>
        <w:t>PbEU</w:t>
      </w:r>
      <w:proofErr w:type="spellEnd"/>
      <w:r w:rsidRPr="003A039B">
        <w:rPr>
          <w:sz w:val="16"/>
          <w:szCs w:val="16"/>
          <w:lang w:val="nl-NL"/>
        </w:rPr>
        <w:t xml:space="preserve"> 2010, L 287</w:t>
      </w:r>
      <w:r w:rsidR="005E2BAF">
        <w:rPr>
          <w:sz w:val="16"/>
          <w:szCs w:val="16"/>
          <w:lang w:val="nl-NL"/>
        </w:rPr>
        <w:t>/52)</w:t>
      </w:r>
      <w:r w:rsidRPr="003A039B">
        <w:rPr>
          <w:sz w:val="16"/>
          <w:szCs w:val="16"/>
          <w:lang w:val="nl-NL"/>
        </w:rPr>
        <w:t xml:space="preserve">, </w:t>
      </w:r>
      <w:r w:rsidR="005E2BAF">
        <w:rPr>
          <w:sz w:val="16"/>
          <w:szCs w:val="16"/>
          <w:lang w:val="nl-NL"/>
        </w:rPr>
        <w:t>Rusland (</w:t>
      </w:r>
      <w:proofErr w:type="spellStart"/>
      <w:r w:rsidRPr="007B6D3D">
        <w:rPr>
          <w:i/>
          <w:sz w:val="16"/>
          <w:lang w:val="nl-NL"/>
        </w:rPr>
        <w:t>PbEU</w:t>
      </w:r>
      <w:proofErr w:type="spellEnd"/>
      <w:r w:rsidRPr="003A039B">
        <w:rPr>
          <w:sz w:val="16"/>
          <w:szCs w:val="16"/>
          <w:lang w:val="nl-NL"/>
        </w:rPr>
        <w:t xml:space="preserve"> 2007, L 129/40</w:t>
      </w:r>
      <w:r w:rsidR="005E2BAF">
        <w:rPr>
          <w:sz w:val="16"/>
          <w:szCs w:val="16"/>
          <w:lang w:val="nl-NL"/>
        </w:rPr>
        <w:t>)</w:t>
      </w:r>
      <w:r w:rsidRPr="003A039B">
        <w:rPr>
          <w:sz w:val="16"/>
          <w:szCs w:val="16"/>
          <w:lang w:val="nl-NL"/>
        </w:rPr>
        <w:t xml:space="preserve">, </w:t>
      </w:r>
      <w:r w:rsidR="005E2BAF">
        <w:rPr>
          <w:sz w:val="16"/>
          <w:szCs w:val="16"/>
          <w:lang w:val="nl-NL"/>
        </w:rPr>
        <w:t>Servië (</w:t>
      </w:r>
      <w:proofErr w:type="spellStart"/>
      <w:r w:rsidRPr="007B6D3D">
        <w:rPr>
          <w:i/>
          <w:sz w:val="16"/>
          <w:lang w:val="nl-NL"/>
        </w:rPr>
        <w:t>PbEU</w:t>
      </w:r>
      <w:proofErr w:type="spellEnd"/>
      <w:r w:rsidRPr="003A039B">
        <w:rPr>
          <w:sz w:val="16"/>
          <w:szCs w:val="16"/>
          <w:lang w:val="nl-NL"/>
        </w:rPr>
        <w:t xml:space="preserve"> 2007, L 334</w:t>
      </w:r>
      <w:r w:rsidR="005E2BAF">
        <w:rPr>
          <w:sz w:val="16"/>
          <w:szCs w:val="16"/>
          <w:lang w:val="nl-NL"/>
        </w:rPr>
        <w:t>/45)</w:t>
      </w:r>
      <w:r w:rsidRPr="003A039B">
        <w:rPr>
          <w:sz w:val="16"/>
          <w:szCs w:val="16"/>
          <w:lang w:val="nl-NL"/>
        </w:rPr>
        <w:t>,</w:t>
      </w:r>
      <w:r w:rsidR="005E2BAF">
        <w:rPr>
          <w:sz w:val="16"/>
          <w:szCs w:val="16"/>
          <w:lang w:val="nl-NL"/>
        </w:rPr>
        <w:t xml:space="preserve"> Sri Lanka (</w:t>
      </w:r>
      <w:proofErr w:type="spellStart"/>
      <w:r w:rsidR="005E2BAF" w:rsidRPr="007B6D3D">
        <w:rPr>
          <w:i/>
          <w:sz w:val="16"/>
          <w:lang w:val="nl-NL"/>
        </w:rPr>
        <w:t>PbEU</w:t>
      </w:r>
      <w:proofErr w:type="spellEnd"/>
      <w:r w:rsidR="005E2BAF" w:rsidRPr="003A039B">
        <w:rPr>
          <w:sz w:val="16"/>
          <w:szCs w:val="16"/>
          <w:lang w:val="nl-NL"/>
        </w:rPr>
        <w:t xml:space="preserve"> 2005, L 124</w:t>
      </w:r>
      <w:r w:rsidR="005E2BAF">
        <w:rPr>
          <w:sz w:val="16"/>
          <w:szCs w:val="16"/>
          <w:lang w:val="nl-NL"/>
        </w:rPr>
        <w:t>)</w:t>
      </w:r>
      <w:r w:rsidRPr="003A039B">
        <w:rPr>
          <w:sz w:val="16"/>
          <w:szCs w:val="16"/>
          <w:lang w:val="nl-NL"/>
        </w:rPr>
        <w:t xml:space="preserve"> en </w:t>
      </w:r>
      <w:r w:rsidR="005E2BAF">
        <w:rPr>
          <w:sz w:val="16"/>
          <w:szCs w:val="16"/>
          <w:lang w:val="nl-NL"/>
        </w:rPr>
        <w:t>Turkije (</w:t>
      </w:r>
      <w:proofErr w:type="spellStart"/>
      <w:r w:rsidRPr="007B6D3D">
        <w:rPr>
          <w:i/>
          <w:sz w:val="16"/>
          <w:lang w:val="nl-NL"/>
        </w:rPr>
        <w:t>PbEU</w:t>
      </w:r>
      <w:proofErr w:type="spellEnd"/>
      <w:r w:rsidRPr="003A039B">
        <w:rPr>
          <w:sz w:val="16"/>
          <w:szCs w:val="16"/>
          <w:lang w:val="nl-NL"/>
        </w:rPr>
        <w:t xml:space="preserve"> 2014, L 134/3</w:t>
      </w:r>
      <w:r w:rsidR="005E2BAF">
        <w:rPr>
          <w:sz w:val="16"/>
          <w:szCs w:val="16"/>
          <w:lang w:val="nl-NL"/>
        </w:rPr>
        <w:t>)</w:t>
      </w:r>
      <w:r w:rsidRPr="003A039B">
        <w:rPr>
          <w:sz w:val="16"/>
          <w:szCs w:val="16"/>
          <w:lang w:val="nl-NL"/>
        </w:rPr>
        <w:t>.</w:t>
      </w:r>
    </w:p>
  </w:footnote>
  <w:footnote w:id="6">
    <w:p w14:paraId="196ED6FF" w14:textId="77777777" w:rsidR="00864D40" w:rsidRPr="003A039B" w:rsidRDefault="00864D40" w:rsidP="00E23432">
      <w:pPr>
        <w:pStyle w:val="Geenafstand"/>
        <w:rPr>
          <w:sz w:val="16"/>
          <w:szCs w:val="16"/>
          <w:lang w:val="nl-NL"/>
        </w:rPr>
      </w:pPr>
      <w:r w:rsidRPr="003A039B">
        <w:rPr>
          <w:rStyle w:val="Voetnootmarkering"/>
          <w:sz w:val="16"/>
          <w:szCs w:val="16"/>
        </w:rPr>
        <w:footnoteRef/>
      </w:r>
      <w:r w:rsidRPr="003A039B">
        <w:rPr>
          <w:sz w:val="16"/>
          <w:szCs w:val="16"/>
          <w:lang w:val="nl-NL"/>
        </w:rPr>
        <w:t xml:space="preserve"> </w:t>
      </w:r>
      <w:proofErr w:type="spellStart"/>
      <w:r w:rsidRPr="007B6D3D">
        <w:rPr>
          <w:i/>
          <w:sz w:val="16"/>
          <w:lang w:val="nl-NL"/>
        </w:rPr>
        <w:t>PbEU</w:t>
      </w:r>
      <w:proofErr w:type="spellEnd"/>
      <w:r w:rsidRPr="003A039B">
        <w:rPr>
          <w:sz w:val="16"/>
          <w:szCs w:val="16"/>
          <w:lang w:val="nl-NL"/>
        </w:rPr>
        <w:t xml:space="preserve"> 2020, L 181/3.</w:t>
      </w:r>
    </w:p>
  </w:footnote>
  <w:footnote w:id="7">
    <w:p w14:paraId="059D20AE" w14:textId="1195CDB0" w:rsidR="00864D40" w:rsidRPr="00D4356D" w:rsidRDefault="00864D40" w:rsidP="00E23432">
      <w:pPr>
        <w:pStyle w:val="Geenafstand"/>
        <w:rPr>
          <w:lang w:val="nl-NL"/>
        </w:rPr>
      </w:pPr>
      <w:r w:rsidRPr="003A039B">
        <w:rPr>
          <w:rStyle w:val="Voetnootmarkering"/>
          <w:sz w:val="16"/>
          <w:szCs w:val="16"/>
        </w:rPr>
        <w:footnoteRef/>
      </w:r>
      <w:r w:rsidRPr="003A039B">
        <w:rPr>
          <w:sz w:val="16"/>
          <w:szCs w:val="16"/>
          <w:lang w:val="nl-NL"/>
        </w:rPr>
        <w:t xml:space="preserve"> </w:t>
      </w:r>
      <w:r w:rsidR="005E2BAF">
        <w:rPr>
          <w:sz w:val="16"/>
          <w:szCs w:val="16"/>
          <w:lang w:val="nl-NL"/>
        </w:rPr>
        <w:t>Albanië (</w:t>
      </w:r>
      <w:proofErr w:type="spellStart"/>
      <w:r w:rsidRPr="007B6D3D">
        <w:rPr>
          <w:i/>
          <w:sz w:val="16"/>
          <w:lang w:val="nl-NL"/>
        </w:rPr>
        <w:t>Trb</w:t>
      </w:r>
      <w:proofErr w:type="spellEnd"/>
      <w:r w:rsidRPr="003A039B">
        <w:rPr>
          <w:sz w:val="16"/>
          <w:szCs w:val="16"/>
          <w:lang w:val="nl-NL"/>
        </w:rPr>
        <w:t>. 2005, 242</w:t>
      </w:r>
      <w:r w:rsidR="005E2BAF">
        <w:rPr>
          <w:sz w:val="16"/>
          <w:szCs w:val="16"/>
          <w:lang w:val="nl-NL"/>
        </w:rPr>
        <w:t>)</w:t>
      </w:r>
      <w:r w:rsidRPr="003A039B">
        <w:rPr>
          <w:sz w:val="16"/>
          <w:szCs w:val="16"/>
          <w:lang w:val="nl-NL"/>
        </w:rPr>
        <w:t xml:space="preserve">, </w:t>
      </w:r>
      <w:r w:rsidR="005E2BAF">
        <w:rPr>
          <w:sz w:val="16"/>
          <w:szCs w:val="16"/>
          <w:lang w:val="nl-NL"/>
        </w:rPr>
        <w:t>Armenië (</w:t>
      </w:r>
      <w:proofErr w:type="spellStart"/>
      <w:r w:rsidRPr="007B6D3D">
        <w:rPr>
          <w:i/>
          <w:sz w:val="16"/>
          <w:lang w:val="nl-NL"/>
        </w:rPr>
        <w:t>Trb</w:t>
      </w:r>
      <w:proofErr w:type="spellEnd"/>
      <w:r w:rsidRPr="003A039B">
        <w:rPr>
          <w:sz w:val="16"/>
          <w:szCs w:val="16"/>
          <w:lang w:val="nl-NL"/>
        </w:rPr>
        <w:t>. 2018, 178</w:t>
      </w:r>
      <w:r w:rsidR="005E2BAF">
        <w:rPr>
          <w:sz w:val="16"/>
          <w:szCs w:val="16"/>
          <w:lang w:val="nl-NL"/>
        </w:rPr>
        <w:t>)</w:t>
      </w:r>
      <w:r w:rsidRPr="003A039B">
        <w:rPr>
          <w:sz w:val="16"/>
          <w:szCs w:val="16"/>
          <w:lang w:val="nl-NL"/>
        </w:rPr>
        <w:t xml:space="preserve">, </w:t>
      </w:r>
      <w:r w:rsidR="005E2BAF">
        <w:rPr>
          <w:sz w:val="16"/>
          <w:szCs w:val="16"/>
          <w:lang w:val="nl-NL"/>
        </w:rPr>
        <w:t>Bosnië-Herzegovina (</w:t>
      </w:r>
      <w:proofErr w:type="spellStart"/>
      <w:r w:rsidRPr="007B6D3D">
        <w:rPr>
          <w:i/>
          <w:sz w:val="16"/>
          <w:lang w:val="nl-NL"/>
        </w:rPr>
        <w:t>Trb</w:t>
      </w:r>
      <w:proofErr w:type="spellEnd"/>
      <w:r w:rsidRPr="003A039B">
        <w:rPr>
          <w:sz w:val="16"/>
          <w:szCs w:val="16"/>
          <w:lang w:val="nl-NL"/>
        </w:rPr>
        <w:t>. 2014, 51</w:t>
      </w:r>
      <w:r w:rsidR="005E2BAF">
        <w:rPr>
          <w:sz w:val="16"/>
          <w:szCs w:val="16"/>
          <w:lang w:val="nl-NL"/>
        </w:rPr>
        <w:t>)</w:t>
      </w:r>
      <w:r w:rsidRPr="003A039B">
        <w:rPr>
          <w:sz w:val="16"/>
          <w:szCs w:val="16"/>
          <w:lang w:val="nl-NL"/>
        </w:rPr>
        <w:t xml:space="preserve">, </w:t>
      </w:r>
      <w:r w:rsidR="007A1B24">
        <w:rPr>
          <w:sz w:val="16"/>
          <w:szCs w:val="16"/>
          <w:lang w:val="nl-NL"/>
        </w:rPr>
        <w:t>Georgië (</w:t>
      </w:r>
      <w:proofErr w:type="spellStart"/>
      <w:r w:rsidRPr="007B6D3D">
        <w:rPr>
          <w:i/>
          <w:sz w:val="16"/>
          <w:lang w:val="nl-NL"/>
        </w:rPr>
        <w:t>Trb</w:t>
      </w:r>
      <w:proofErr w:type="spellEnd"/>
      <w:r w:rsidRPr="003A039B">
        <w:rPr>
          <w:sz w:val="16"/>
          <w:szCs w:val="16"/>
          <w:lang w:val="nl-NL"/>
        </w:rPr>
        <w:t>. 2013, 215</w:t>
      </w:r>
      <w:r w:rsidR="007A1B24">
        <w:rPr>
          <w:sz w:val="16"/>
          <w:szCs w:val="16"/>
          <w:lang w:val="nl-NL"/>
        </w:rPr>
        <w:t>)</w:t>
      </w:r>
      <w:r w:rsidRPr="003A039B">
        <w:rPr>
          <w:sz w:val="16"/>
          <w:szCs w:val="16"/>
          <w:lang w:val="nl-NL"/>
        </w:rPr>
        <w:t xml:space="preserve">, </w:t>
      </w:r>
      <w:r w:rsidR="007A1B24">
        <w:rPr>
          <w:sz w:val="16"/>
          <w:szCs w:val="16"/>
          <w:lang w:val="nl-NL"/>
        </w:rPr>
        <w:t>Moldavië (</w:t>
      </w:r>
      <w:proofErr w:type="spellStart"/>
      <w:r w:rsidRPr="007B6D3D">
        <w:rPr>
          <w:i/>
          <w:sz w:val="16"/>
          <w:lang w:val="nl-NL"/>
        </w:rPr>
        <w:t>Trb</w:t>
      </w:r>
      <w:proofErr w:type="spellEnd"/>
      <w:r w:rsidRPr="003A039B">
        <w:rPr>
          <w:sz w:val="16"/>
          <w:szCs w:val="16"/>
          <w:lang w:val="nl-NL"/>
        </w:rPr>
        <w:t>. 2013, 58</w:t>
      </w:r>
      <w:r w:rsidR="007A1B24">
        <w:rPr>
          <w:sz w:val="16"/>
          <w:szCs w:val="16"/>
          <w:lang w:val="nl-NL"/>
        </w:rPr>
        <w:t>)</w:t>
      </w:r>
      <w:r w:rsidRPr="003A039B">
        <w:rPr>
          <w:sz w:val="16"/>
          <w:szCs w:val="16"/>
          <w:lang w:val="nl-NL"/>
        </w:rPr>
        <w:t xml:space="preserve">, </w:t>
      </w:r>
      <w:r w:rsidR="007A1B24">
        <w:rPr>
          <w:sz w:val="16"/>
          <w:szCs w:val="16"/>
          <w:lang w:val="nl-NL"/>
        </w:rPr>
        <w:t>Montenegro (</w:t>
      </w:r>
      <w:proofErr w:type="spellStart"/>
      <w:r w:rsidRPr="007B6D3D">
        <w:rPr>
          <w:i/>
          <w:sz w:val="16"/>
          <w:lang w:val="nl-NL"/>
        </w:rPr>
        <w:t>Trb</w:t>
      </w:r>
      <w:proofErr w:type="spellEnd"/>
      <w:r w:rsidRPr="003A039B">
        <w:rPr>
          <w:sz w:val="16"/>
          <w:szCs w:val="16"/>
          <w:lang w:val="nl-NL"/>
        </w:rPr>
        <w:t>. 2012, 151</w:t>
      </w:r>
      <w:r w:rsidR="007A1B24">
        <w:rPr>
          <w:sz w:val="16"/>
          <w:szCs w:val="16"/>
          <w:lang w:val="nl-NL"/>
        </w:rPr>
        <w:t>)</w:t>
      </w:r>
      <w:r w:rsidRPr="003A039B">
        <w:rPr>
          <w:sz w:val="16"/>
          <w:szCs w:val="16"/>
          <w:lang w:val="nl-NL"/>
        </w:rPr>
        <w:t xml:space="preserve">, </w:t>
      </w:r>
      <w:r w:rsidR="007A1B24">
        <w:rPr>
          <w:sz w:val="16"/>
          <w:szCs w:val="16"/>
          <w:lang w:val="nl-NL"/>
        </w:rPr>
        <w:t>Noord-Macedonië (</w:t>
      </w:r>
      <w:proofErr w:type="spellStart"/>
      <w:r w:rsidRPr="007B6D3D">
        <w:rPr>
          <w:i/>
          <w:sz w:val="16"/>
          <w:lang w:val="nl-NL"/>
        </w:rPr>
        <w:t>Trb</w:t>
      </w:r>
      <w:proofErr w:type="spellEnd"/>
      <w:r w:rsidRPr="003A039B">
        <w:rPr>
          <w:sz w:val="16"/>
          <w:szCs w:val="16"/>
          <w:lang w:val="nl-NL"/>
        </w:rPr>
        <w:t>. 2012, 153</w:t>
      </w:r>
      <w:r w:rsidR="007A1B24">
        <w:rPr>
          <w:sz w:val="16"/>
          <w:szCs w:val="16"/>
          <w:lang w:val="nl-NL"/>
        </w:rPr>
        <w:t>)</w:t>
      </w:r>
      <w:r w:rsidRPr="003A039B">
        <w:rPr>
          <w:sz w:val="16"/>
          <w:szCs w:val="16"/>
          <w:lang w:val="nl-NL"/>
        </w:rPr>
        <w:t xml:space="preserve">, </w:t>
      </w:r>
      <w:r w:rsidR="007A1B24">
        <w:rPr>
          <w:sz w:val="16"/>
          <w:szCs w:val="16"/>
          <w:lang w:val="nl-NL"/>
        </w:rPr>
        <w:t>Oekraïne (</w:t>
      </w:r>
      <w:proofErr w:type="spellStart"/>
      <w:r w:rsidRPr="007B6D3D">
        <w:rPr>
          <w:i/>
          <w:sz w:val="16"/>
          <w:lang w:val="nl-NL"/>
        </w:rPr>
        <w:t>Trb</w:t>
      </w:r>
      <w:proofErr w:type="spellEnd"/>
      <w:r w:rsidRPr="003A039B">
        <w:rPr>
          <w:sz w:val="16"/>
          <w:szCs w:val="16"/>
          <w:lang w:val="nl-NL"/>
        </w:rPr>
        <w:t>. 2019, 64</w:t>
      </w:r>
      <w:r w:rsidR="007A1B24">
        <w:rPr>
          <w:sz w:val="16"/>
          <w:szCs w:val="16"/>
          <w:lang w:val="nl-NL"/>
        </w:rPr>
        <w:t>)</w:t>
      </w:r>
      <w:r w:rsidRPr="003A039B">
        <w:rPr>
          <w:sz w:val="16"/>
          <w:szCs w:val="16"/>
          <w:lang w:val="nl-NL"/>
        </w:rPr>
        <w:t xml:space="preserve">, </w:t>
      </w:r>
      <w:r w:rsidR="007A1B24">
        <w:rPr>
          <w:sz w:val="16"/>
          <w:szCs w:val="16"/>
          <w:lang w:val="nl-NL"/>
        </w:rPr>
        <w:t>Rusland (</w:t>
      </w:r>
      <w:proofErr w:type="spellStart"/>
      <w:r w:rsidRPr="007B6D3D">
        <w:rPr>
          <w:i/>
          <w:sz w:val="16"/>
          <w:lang w:val="nl-NL"/>
        </w:rPr>
        <w:t>Trb</w:t>
      </w:r>
      <w:proofErr w:type="spellEnd"/>
      <w:r w:rsidRPr="003A039B">
        <w:rPr>
          <w:sz w:val="16"/>
          <w:szCs w:val="16"/>
          <w:lang w:val="nl-NL"/>
        </w:rPr>
        <w:t>. 2011, 76</w:t>
      </w:r>
      <w:r w:rsidR="007A1B24">
        <w:rPr>
          <w:sz w:val="16"/>
          <w:szCs w:val="16"/>
          <w:lang w:val="nl-NL"/>
        </w:rPr>
        <w:t>, o</w:t>
      </w:r>
      <w:r w:rsidR="007A1B24" w:rsidRPr="005554A9">
        <w:rPr>
          <w:sz w:val="16"/>
          <w:szCs w:val="16"/>
          <w:lang w:val="nl-NL"/>
        </w:rPr>
        <w:t xml:space="preserve">p verzoek van Rusland is dit </w:t>
      </w:r>
      <w:r w:rsidR="007A1B24">
        <w:rPr>
          <w:sz w:val="16"/>
          <w:szCs w:val="16"/>
          <w:lang w:val="nl-NL"/>
        </w:rPr>
        <w:t>U</w:t>
      </w:r>
      <w:r w:rsidR="007A1B24" w:rsidRPr="005554A9">
        <w:rPr>
          <w:sz w:val="16"/>
          <w:szCs w:val="16"/>
          <w:lang w:val="nl-NL"/>
        </w:rPr>
        <w:t>itvoeringsprotocol gesloten tussen de afzonderlijke Benelux-Staten en Rusland</w:t>
      </w:r>
      <w:r w:rsidR="007A1B24">
        <w:rPr>
          <w:sz w:val="16"/>
          <w:szCs w:val="16"/>
          <w:lang w:val="nl-NL"/>
        </w:rPr>
        <w:t>)</w:t>
      </w:r>
      <w:r w:rsidRPr="003A039B">
        <w:rPr>
          <w:sz w:val="16"/>
          <w:szCs w:val="16"/>
          <w:lang w:val="nl-NL"/>
        </w:rPr>
        <w:t xml:space="preserve"> en </w:t>
      </w:r>
      <w:r w:rsidR="007A1B24">
        <w:rPr>
          <w:sz w:val="16"/>
          <w:szCs w:val="16"/>
          <w:lang w:val="nl-NL"/>
        </w:rPr>
        <w:t>Servië (</w:t>
      </w:r>
      <w:proofErr w:type="spellStart"/>
      <w:r w:rsidRPr="007B6D3D">
        <w:rPr>
          <w:i/>
          <w:sz w:val="16"/>
          <w:lang w:val="nl-NL"/>
        </w:rPr>
        <w:t>Trb</w:t>
      </w:r>
      <w:proofErr w:type="spellEnd"/>
      <w:r w:rsidRPr="003A039B">
        <w:rPr>
          <w:sz w:val="16"/>
          <w:szCs w:val="16"/>
          <w:lang w:val="nl-NL"/>
        </w:rPr>
        <w:t>. 2013, 57</w:t>
      </w:r>
      <w:r w:rsidR="007A1B24">
        <w:rPr>
          <w:sz w:val="16"/>
          <w:szCs w:val="16"/>
          <w:lang w:val="nl-NL"/>
        </w:rPr>
        <w:t>)</w:t>
      </w:r>
      <w:r w:rsidRPr="003A039B">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multilevel"/>
    <w:tmpl w:val="EA74127E"/>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4A474BB3"/>
    <w:multiLevelType w:val="multilevel"/>
    <w:tmpl w:val="8A4280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BD61505"/>
    <w:multiLevelType w:val="multilevel"/>
    <w:tmpl w:val="0A744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6426113">
    <w:abstractNumId w:val="0"/>
  </w:num>
  <w:num w:numId="2" w16cid:durableId="262806415">
    <w:abstractNumId w:val="1"/>
  </w:num>
  <w:num w:numId="3" w16cid:durableId="21412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C"/>
    <w:rsid w:val="00002580"/>
    <w:rsid w:val="00007A49"/>
    <w:rsid w:val="00024CEA"/>
    <w:rsid w:val="000348A1"/>
    <w:rsid w:val="00054B1E"/>
    <w:rsid w:val="00054E99"/>
    <w:rsid w:val="000645B5"/>
    <w:rsid w:val="000661A9"/>
    <w:rsid w:val="00070F58"/>
    <w:rsid w:val="000D69D4"/>
    <w:rsid w:val="000E0B92"/>
    <w:rsid w:val="000E4F40"/>
    <w:rsid w:val="001459A2"/>
    <w:rsid w:val="00161554"/>
    <w:rsid w:val="00166CFA"/>
    <w:rsid w:val="001A2EF3"/>
    <w:rsid w:val="001D0C7E"/>
    <w:rsid w:val="001D7351"/>
    <w:rsid w:val="001E19DD"/>
    <w:rsid w:val="001E6A24"/>
    <w:rsid w:val="00240215"/>
    <w:rsid w:val="00247A97"/>
    <w:rsid w:val="00252E52"/>
    <w:rsid w:val="00260FC0"/>
    <w:rsid w:val="00271585"/>
    <w:rsid w:val="00274953"/>
    <w:rsid w:val="00277167"/>
    <w:rsid w:val="002836DA"/>
    <w:rsid w:val="0029432E"/>
    <w:rsid w:val="002A1B22"/>
    <w:rsid w:val="002C66E8"/>
    <w:rsid w:val="002E42A8"/>
    <w:rsid w:val="002E615C"/>
    <w:rsid w:val="00314D09"/>
    <w:rsid w:val="00325516"/>
    <w:rsid w:val="003443D4"/>
    <w:rsid w:val="003602C2"/>
    <w:rsid w:val="00384E2B"/>
    <w:rsid w:val="003C1626"/>
    <w:rsid w:val="00401D1E"/>
    <w:rsid w:val="004102DA"/>
    <w:rsid w:val="00444367"/>
    <w:rsid w:val="00475FD5"/>
    <w:rsid w:val="004821DF"/>
    <w:rsid w:val="004C18FC"/>
    <w:rsid w:val="004C1D3B"/>
    <w:rsid w:val="004C2607"/>
    <w:rsid w:val="004F1853"/>
    <w:rsid w:val="004F45C5"/>
    <w:rsid w:val="00522DAC"/>
    <w:rsid w:val="00547568"/>
    <w:rsid w:val="00562F1E"/>
    <w:rsid w:val="00574E3C"/>
    <w:rsid w:val="005E2990"/>
    <w:rsid w:val="005E2BAF"/>
    <w:rsid w:val="005E35A6"/>
    <w:rsid w:val="00627B4C"/>
    <w:rsid w:val="00681705"/>
    <w:rsid w:val="006A1325"/>
    <w:rsid w:val="00737C19"/>
    <w:rsid w:val="007639D7"/>
    <w:rsid w:val="00777EEC"/>
    <w:rsid w:val="00783FA9"/>
    <w:rsid w:val="007A1B24"/>
    <w:rsid w:val="007B6F7E"/>
    <w:rsid w:val="007C3F81"/>
    <w:rsid w:val="007F47DD"/>
    <w:rsid w:val="00852913"/>
    <w:rsid w:val="00864D40"/>
    <w:rsid w:val="008834DA"/>
    <w:rsid w:val="008937E4"/>
    <w:rsid w:val="008B7233"/>
    <w:rsid w:val="008D1EDC"/>
    <w:rsid w:val="008E1A57"/>
    <w:rsid w:val="008F33ED"/>
    <w:rsid w:val="009012ED"/>
    <w:rsid w:val="00925AA9"/>
    <w:rsid w:val="009329C1"/>
    <w:rsid w:val="00982597"/>
    <w:rsid w:val="00986A9C"/>
    <w:rsid w:val="009D116A"/>
    <w:rsid w:val="009E29D6"/>
    <w:rsid w:val="00A21DB8"/>
    <w:rsid w:val="00A5143F"/>
    <w:rsid w:val="00A65FF3"/>
    <w:rsid w:val="00AB4AD8"/>
    <w:rsid w:val="00AB5B94"/>
    <w:rsid w:val="00AC5931"/>
    <w:rsid w:val="00AF0FBF"/>
    <w:rsid w:val="00B06701"/>
    <w:rsid w:val="00B31B11"/>
    <w:rsid w:val="00B52E84"/>
    <w:rsid w:val="00B53089"/>
    <w:rsid w:val="00B85F34"/>
    <w:rsid w:val="00BB4F00"/>
    <w:rsid w:val="00BF589D"/>
    <w:rsid w:val="00C6174C"/>
    <w:rsid w:val="00CA3BC2"/>
    <w:rsid w:val="00CB4D5C"/>
    <w:rsid w:val="00CC259E"/>
    <w:rsid w:val="00CF25F3"/>
    <w:rsid w:val="00CF623D"/>
    <w:rsid w:val="00D127F6"/>
    <w:rsid w:val="00D15AA1"/>
    <w:rsid w:val="00D51F56"/>
    <w:rsid w:val="00D700F2"/>
    <w:rsid w:val="00D87F21"/>
    <w:rsid w:val="00D95E80"/>
    <w:rsid w:val="00DC07A6"/>
    <w:rsid w:val="00E23432"/>
    <w:rsid w:val="00E4142A"/>
    <w:rsid w:val="00F051D6"/>
    <w:rsid w:val="00F40BD5"/>
    <w:rsid w:val="00F717F7"/>
    <w:rsid w:val="00F74493"/>
    <w:rsid w:val="00FA6572"/>
    <w:rsid w:val="00FB2B9F"/>
    <w:rsid w:val="00FB5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34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432"/>
    <w:pPr>
      <w:spacing w:after="200" w:line="240"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23432"/>
    <w:pPr>
      <w:spacing w:after="0"/>
    </w:pPr>
    <w:rPr>
      <w:sz w:val="20"/>
      <w:szCs w:val="20"/>
    </w:rPr>
  </w:style>
  <w:style w:type="character" w:customStyle="1" w:styleId="VoetnoottekstChar">
    <w:name w:val="Voetnoottekst Char"/>
    <w:basedOn w:val="Standaardalinea-lettertype"/>
    <w:link w:val="Voetnoottekst"/>
    <w:uiPriority w:val="99"/>
    <w:semiHidden/>
    <w:rsid w:val="00E23432"/>
    <w:rPr>
      <w:kern w:val="0"/>
      <w:sz w:val="20"/>
      <w:szCs w:val="20"/>
      <w14:ligatures w14:val="none"/>
    </w:rPr>
  </w:style>
  <w:style w:type="character" w:styleId="Voetnootmarkering">
    <w:name w:val="footnote reference"/>
    <w:basedOn w:val="Standaardalinea-lettertype"/>
    <w:uiPriority w:val="99"/>
    <w:semiHidden/>
    <w:unhideWhenUsed/>
    <w:rsid w:val="00E23432"/>
    <w:rPr>
      <w:vertAlign w:val="superscript"/>
    </w:rPr>
  </w:style>
  <w:style w:type="paragraph" w:styleId="Lijstalinea">
    <w:name w:val="List Paragraph"/>
    <w:basedOn w:val="Standaard"/>
    <w:uiPriority w:val="34"/>
    <w:qFormat/>
    <w:rsid w:val="00E23432"/>
    <w:pPr>
      <w:ind w:left="720"/>
      <w:contextualSpacing/>
    </w:pPr>
  </w:style>
  <w:style w:type="character" w:styleId="Verwijzingopmerking">
    <w:name w:val="annotation reference"/>
    <w:basedOn w:val="Standaardalinea-lettertype"/>
    <w:uiPriority w:val="99"/>
    <w:semiHidden/>
    <w:unhideWhenUsed/>
    <w:rsid w:val="00E23432"/>
    <w:rPr>
      <w:sz w:val="16"/>
      <w:szCs w:val="16"/>
    </w:rPr>
  </w:style>
  <w:style w:type="paragraph" w:styleId="Tekstopmerking">
    <w:name w:val="annotation text"/>
    <w:basedOn w:val="Standaard"/>
    <w:link w:val="TekstopmerkingChar"/>
    <w:uiPriority w:val="99"/>
    <w:unhideWhenUsed/>
    <w:rsid w:val="00E23432"/>
    <w:rPr>
      <w:sz w:val="20"/>
      <w:szCs w:val="20"/>
    </w:rPr>
  </w:style>
  <w:style w:type="character" w:customStyle="1" w:styleId="TekstopmerkingChar">
    <w:name w:val="Tekst opmerking Char"/>
    <w:basedOn w:val="Standaardalinea-lettertype"/>
    <w:link w:val="Tekstopmerking"/>
    <w:uiPriority w:val="99"/>
    <w:rsid w:val="00E23432"/>
    <w:rPr>
      <w:kern w:val="0"/>
      <w:sz w:val="20"/>
      <w:szCs w:val="20"/>
      <w14:ligatures w14:val="none"/>
    </w:rPr>
  </w:style>
  <w:style w:type="paragraph" w:styleId="Koptekst">
    <w:name w:val="header"/>
    <w:basedOn w:val="Standaard"/>
    <w:link w:val="KoptekstChar"/>
    <w:uiPriority w:val="99"/>
    <w:unhideWhenUsed/>
    <w:rsid w:val="00E23432"/>
    <w:pPr>
      <w:tabs>
        <w:tab w:val="center" w:pos="4513"/>
        <w:tab w:val="right" w:pos="9026"/>
      </w:tabs>
      <w:spacing w:after="0"/>
    </w:pPr>
  </w:style>
  <w:style w:type="character" w:customStyle="1" w:styleId="KoptekstChar">
    <w:name w:val="Koptekst Char"/>
    <w:basedOn w:val="Standaardalinea-lettertype"/>
    <w:link w:val="Koptekst"/>
    <w:uiPriority w:val="99"/>
    <w:rsid w:val="00E23432"/>
    <w:rPr>
      <w:kern w:val="0"/>
      <w14:ligatures w14:val="none"/>
    </w:rPr>
  </w:style>
  <w:style w:type="paragraph" w:styleId="Voettekst">
    <w:name w:val="footer"/>
    <w:basedOn w:val="Standaard"/>
    <w:link w:val="VoettekstChar"/>
    <w:uiPriority w:val="99"/>
    <w:unhideWhenUsed/>
    <w:rsid w:val="00E23432"/>
    <w:pPr>
      <w:tabs>
        <w:tab w:val="center" w:pos="4513"/>
        <w:tab w:val="right" w:pos="9026"/>
      </w:tabs>
      <w:spacing w:after="0"/>
    </w:pPr>
  </w:style>
  <w:style w:type="character" w:customStyle="1" w:styleId="VoettekstChar">
    <w:name w:val="Voettekst Char"/>
    <w:basedOn w:val="Standaardalinea-lettertype"/>
    <w:link w:val="Voettekst"/>
    <w:uiPriority w:val="99"/>
    <w:rsid w:val="00E23432"/>
    <w:rPr>
      <w:kern w:val="0"/>
      <w14:ligatures w14:val="none"/>
    </w:rPr>
  </w:style>
  <w:style w:type="paragraph" w:styleId="Geenafstand">
    <w:name w:val="No Spacing"/>
    <w:uiPriority w:val="1"/>
    <w:qFormat/>
    <w:rsid w:val="00E23432"/>
    <w:pPr>
      <w:spacing w:after="0" w:line="240" w:lineRule="auto"/>
    </w:pPr>
    <w:rPr>
      <w:kern w:val="0"/>
      <w14:ligatures w14:val="none"/>
    </w:rPr>
  </w:style>
  <w:style w:type="character" w:styleId="Hyperlink">
    <w:name w:val="Hyperlink"/>
    <w:basedOn w:val="Standaardalinea-lettertype"/>
    <w:uiPriority w:val="99"/>
    <w:unhideWhenUsed/>
    <w:rsid w:val="00314D09"/>
    <w:rPr>
      <w:color w:val="0000FF"/>
      <w:u w:val="single"/>
    </w:rPr>
  </w:style>
  <w:style w:type="character" w:customStyle="1" w:styleId="UnresolvedMention1">
    <w:name w:val="Unresolved Mention1"/>
    <w:basedOn w:val="Standaardalinea-lettertype"/>
    <w:uiPriority w:val="99"/>
    <w:semiHidden/>
    <w:unhideWhenUsed/>
    <w:rsid w:val="00314D0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CC259E"/>
    <w:rPr>
      <w:b/>
      <w:bCs/>
    </w:rPr>
  </w:style>
  <w:style w:type="character" w:customStyle="1" w:styleId="OnderwerpvanopmerkingChar">
    <w:name w:val="Onderwerp van opmerking Char"/>
    <w:basedOn w:val="TekstopmerkingChar"/>
    <w:link w:val="Onderwerpvanopmerking"/>
    <w:uiPriority w:val="99"/>
    <w:semiHidden/>
    <w:rsid w:val="00CC259E"/>
    <w:rPr>
      <w:b/>
      <w:bCs/>
      <w:kern w:val="0"/>
      <w:sz w:val="20"/>
      <w:szCs w:val="20"/>
      <w14:ligatures w14:val="none"/>
    </w:rPr>
  </w:style>
  <w:style w:type="paragraph" w:styleId="Revisie">
    <w:name w:val="Revision"/>
    <w:hidden/>
    <w:uiPriority w:val="99"/>
    <w:semiHidden/>
    <w:rsid w:val="00CC259E"/>
    <w:pPr>
      <w:spacing w:after="0" w:line="240" w:lineRule="auto"/>
    </w:pPr>
    <w:rPr>
      <w:kern w:val="0"/>
      <w14:ligatures w14:val="none"/>
    </w:rPr>
  </w:style>
  <w:style w:type="paragraph" w:styleId="Ballontekst">
    <w:name w:val="Balloon Text"/>
    <w:basedOn w:val="Standaard"/>
    <w:link w:val="BallontekstChar"/>
    <w:uiPriority w:val="99"/>
    <w:semiHidden/>
    <w:unhideWhenUsed/>
    <w:rsid w:val="000D69D4"/>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0D69D4"/>
    <w:rPr>
      <w:rFonts w:ascii="Segoe UI" w:hAnsi="Segoe UI" w:cs="Segoe UI"/>
      <w:kern w:val="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3668</ap:Words>
  <ap:Characters>20177</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2026-01-23T11:22:00.0000000Z</dcterms:created>
  <dcterms:modified xsi:type="dcterms:W3CDTF">2026-01-23T11:22:00.0000000Z</dcterms:modified>
  <version/>
  <category/>
</coreProperties>
</file>