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2026Z01257</w:t>
        <w:br/>
      </w:r>
      <w:proofErr w:type="spellEnd"/>
    </w:p>
    <w:p>
      <w:pPr>
        <w:pStyle w:val="Normal"/>
        <w:rPr>
          <w:b w:val="1"/>
          <w:bCs w:val="1"/>
        </w:rPr>
      </w:pPr>
      <w:r w:rsidR="250AE766">
        <w:rPr>
          <w:b w:val="0"/>
          <w:bCs w:val="0"/>
        </w:rPr>
        <w:t>(ingezonden 23 januari 2026)</w:t>
        <w:br/>
      </w:r>
    </w:p>
    <w:p>
      <w:r>
        <w:t xml:space="preserve">Vragen van het lid Den Hollander (VVD) aan de minister van Landbouw, Visserij, Voedselzekerheid en Natuur over het bericht '</w:t>
      </w:r>
      <w:r>
        <w:rPr>
          <w:i w:val="1"/>
          <w:iCs w:val="1"/>
        </w:rPr>
        <w:t xml:space="preserve">Omwonenden mogen wel degelijk weten welk gif er wordt gespoten'.</w:t>
      </w:r>
      <w:r>
        <w:rPr/>
        <w:t xml:space="preserve"/>
      </w:r>
      <w:r>
        <w:br/>
      </w:r>
    </w:p>
    <w:p>
      <w:pPr>
        <w:pStyle w:val="ListParagraph"/>
        <w:numPr>
          <w:ilvl w:val="0"/>
          <w:numId w:val="100495510"/>
        </w:numPr>
        <w:ind w:left="360"/>
      </w:pPr>
      <w:r>
        <w:t xml:space="preserve">Heeft u kennisgenomen van het bericht 'Omwonenden mogen wel degelijk weten welk gif er wordt gespoten' en van de recente uitspraak van de rechtbank Noord-Nederland (ECLI:NL:RBNNE:2026:130) (ECLI:NL:RBNNE:2026:129)? 1)</w:t>
      </w:r>
      <w:r>
        <w:br/>
      </w:r>
    </w:p>
    <w:p>
      <w:pPr>
        <w:pStyle w:val="ListParagraph"/>
        <w:numPr>
          <w:ilvl w:val="0"/>
          <w:numId w:val="100495510"/>
        </w:numPr>
        <w:ind w:left="360"/>
      </w:pPr>
      <w:r>
        <w:t xml:space="preserve">Deelt u de opvatting dat deze uitspraak grote gevolgen heeft voor de verhouding tussen omwonenden, agrariërs en de overheid?</w:t>
      </w:r>
      <w:r>
        <w:br/>
      </w:r>
    </w:p>
    <w:p>
      <w:pPr>
        <w:pStyle w:val="ListParagraph"/>
        <w:numPr>
          <w:ilvl w:val="0"/>
          <w:numId w:val="100495510"/>
        </w:numPr>
        <w:ind w:left="360"/>
      </w:pPr>
      <w:r>
        <w:t xml:space="preserve">Bent u voornemens om uitvoering te geven aan deze rechterlijke uitspraak? Zo ja, op welke wijze? Zo nee, waarom niet?</w:t>
      </w:r>
      <w:r>
        <w:br/>
      </w:r>
    </w:p>
    <w:p>
      <w:pPr>
        <w:pStyle w:val="ListParagraph"/>
        <w:numPr>
          <w:ilvl w:val="0"/>
          <w:numId w:val="100495510"/>
        </w:numPr>
        <w:ind w:left="360"/>
      </w:pPr>
      <w:r>
        <w:t xml:space="preserve">Bent u voornemens om tegen deze uitspraak in hoger beroep te gaan? Zo ja, op welke gronden? Zo nee, waarom niet?</w:t>
      </w:r>
      <w:r>
        <w:br/>
      </w:r>
    </w:p>
    <w:p>
      <w:pPr>
        <w:pStyle w:val="ListParagraph"/>
        <w:numPr>
          <w:ilvl w:val="0"/>
          <w:numId w:val="100495510"/>
        </w:numPr>
        <w:ind w:left="360"/>
      </w:pPr>
      <w:r>
        <w:t xml:space="preserve">Hoe gaat u het recht wat omwonenden op basis van deze uitspraak hebben om inzicht te krijgen in spuitgegevens praktisch en zorgvuldig vormgeven?</w:t>
      </w:r>
      <w:r>
        <w:br/>
      </w:r>
    </w:p>
    <w:p>
      <w:pPr>
        <w:pStyle w:val="ListParagraph"/>
        <w:numPr>
          <w:ilvl w:val="0"/>
          <w:numId w:val="100495510"/>
        </w:numPr>
        <w:ind w:left="360"/>
      </w:pPr>
      <w:r>
        <w:t xml:space="preserve">Hoe voorkomt u dat individuele boeren worden geconfronteerd met een opeenstapeling van verzoeken en discussies met afzonderlijke omwonenden over hun dagelijkse bedrijfsvoering?</w:t>
      </w:r>
      <w:r>
        <w:br/>
      </w:r>
    </w:p>
    <w:p>
      <w:pPr>
        <w:pStyle w:val="ListParagraph"/>
        <w:numPr>
          <w:ilvl w:val="0"/>
          <w:numId w:val="100495510"/>
        </w:numPr>
        <w:ind w:left="360"/>
      </w:pPr>
      <w:r>
        <w:t xml:space="preserve">Op welke wijze kan volgens u transparantie worden ingevuld, zonder dat dit leidt tot onwerkbare situaties voor agrariërs of tot een verdere verharding van de relatie tussen boer en omgeving?</w:t>
      </w:r>
      <w:r>
        <w:br/>
      </w:r>
    </w:p>
    <w:p>
      <w:pPr>
        <w:pStyle w:val="ListParagraph"/>
        <w:numPr>
          <w:ilvl w:val="0"/>
          <w:numId w:val="100495510"/>
        </w:numPr>
        <w:ind w:left="360"/>
      </w:pPr>
      <w:r>
        <w:t xml:space="preserve">Wat is volgens u de verwachte impact van deze uitspraak op de agrarische sector, in het bijzonder voor telers die werken met toegelaten gewasbeschermingsmiddelen?</w:t>
      </w:r>
      <w:r>
        <w:br/>
      </w:r>
    </w:p>
    <w:p>
      <w:pPr>
        <w:pStyle w:val="ListParagraph"/>
        <w:numPr>
          <w:ilvl w:val="0"/>
          <w:numId w:val="100495510"/>
        </w:numPr>
        <w:ind w:left="360"/>
      </w:pPr>
      <w:r>
        <w:t xml:space="preserve">Deelt u de zorg dat het vrijgeven van spuitgegevens aan leken kan leiden tot onbegrip, onrust of onterechte conclusies over de veiligheid van middelen die door het College voor de toelating van gewasbeschermingsmiddelen en biociden (Ctgb) zijn toegelaten?</w:t>
      </w:r>
      <w:r>
        <w:br/>
      </w:r>
    </w:p>
    <w:p>
      <w:pPr>
        <w:pStyle w:val="ListParagraph"/>
        <w:numPr>
          <w:ilvl w:val="0"/>
          <w:numId w:val="100495510"/>
        </w:numPr>
        <w:ind w:left="360"/>
      </w:pPr>
      <w:r>
        <w:t xml:space="preserve">Hoe gaat u ervoor zorgen dat de informatie die op verzoek van omwonenden wordt verstrekt begrijpelijk, duidbaar en is voorzien van context, zodat deze niet leidt tot misinterpretatie of onrust?</w:t>
      </w:r>
      <w:r>
        <w:br/>
      </w:r>
    </w:p>
    <w:p>
      <w:pPr>
        <w:pStyle w:val="ListParagraph"/>
        <w:numPr>
          <w:ilvl w:val="0"/>
          <w:numId w:val="100495510"/>
        </w:numPr>
        <w:ind w:left="360"/>
      </w:pPr>
      <w:r>
        <w:t xml:space="preserve">Bent u bereid om samen met de sector, toezichthouders en gezondheidsinstanties te verkennen hoe deze informatie op een gestandaardiseerde en toegankelijke manier kan worden ontsloten?</w:t>
      </w:r>
      <w:r>
        <w:br/>
      </w:r>
    </w:p>
    <w:p>
      <w:pPr>
        <w:pStyle w:val="ListParagraph"/>
        <w:numPr>
          <w:ilvl w:val="0"/>
          <w:numId w:val="100495510"/>
        </w:numPr>
        <w:ind w:left="360"/>
      </w:pPr>
      <w:r>
        <w:t xml:space="preserve">Hoe borgt u dat de bescherming van de gezondheid van omwonenden hand in hand gaat met rechtszekerheid, uitvoerbaarheid en vertrouwen voor boeren?</w:t>
      </w:r>
      <w:r>
        <w:br/>
      </w:r>
    </w:p>
    <w:p>
      <w:pPr>
        <w:pStyle w:val="ListParagraph"/>
        <w:numPr>
          <w:ilvl w:val="0"/>
          <w:numId w:val="100495510"/>
        </w:numPr>
        <w:ind w:left="360"/>
      </w:pPr>
      <w:r>
        <w:t xml:space="preserve">Bent u bereid deze vragen één voor één te beantwoorden?</w:t>
      </w:r>
      <w:r>
        <w:br/>
      </w:r>
    </w:p>
    <w:p>
      <w:r>
        <w:t xml:space="preserve"> </w:t>
      </w:r>
      <w:r>
        <w:br/>
      </w:r>
    </w:p>
    <w:p>
      <w:r>
        <w:t xml:space="preserve">1) Trouw, 20 januari 2026, 'Rechter: omwonenden hebben recht om te weten welke pesticiden akkerbouwers gebruiken', (https://trouw.nl/duurzaamheid-economie/rechter-omwonenden-hebben-recht-om-te-weten-welke-pesticiden-akkerbouwers-gebruiken~b0380726/?referrer=https%3A%2F%2Fwww.google.com%2F)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