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04E1" w:rsidR="001E56AB" w:rsidP="001E56AB" w:rsidRDefault="001E56AB" w14:paraId="38C51A07" w14:textId="1926F9F2">
      <w:pPr>
        <w:widowControl w:val="0"/>
        <w:spacing w:line="240" w:lineRule="atLeast"/>
        <w:rPr>
          <w:rFonts w:cs="Arial"/>
          <w:sz w:val="18"/>
          <w:szCs w:val="18"/>
        </w:rPr>
      </w:pPr>
      <w:r w:rsidRPr="00BD04E1">
        <w:rPr>
          <w:rFonts w:cs="Arial"/>
          <w:b/>
          <w:sz w:val="18"/>
          <w:szCs w:val="18"/>
        </w:rPr>
        <w:t>Wijziging van Wet op het financieel toezicht</w:t>
      </w:r>
      <w:r w:rsidR="00AB6220">
        <w:rPr>
          <w:rFonts w:cs="Arial"/>
          <w:b/>
          <w:sz w:val="18"/>
          <w:szCs w:val="18"/>
        </w:rPr>
        <w:t>,</w:t>
      </w:r>
      <w:r w:rsidR="00A615A3">
        <w:rPr>
          <w:rFonts w:cs="Arial"/>
          <w:b/>
          <w:sz w:val="18"/>
          <w:szCs w:val="18"/>
        </w:rPr>
        <w:t xml:space="preserve"> </w:t>
      </w:r>
      <w:r w:rsidR="00AB6220">
        <w:rPr>
          <w:rFonts w:cs="Arial"/>
          <w:b/>
          <w:sz w:val="18"/>
          <w:szCs w:val="18"/>
        </w:rPr>
        <w:t>de</w:t>
      </w:r>
      <w:r w:rsidR="00A615A3">
        <w:rPr>
          <w:rFonts w:cs="Arial"/>
          <w:b/>
          <w:sz w:val="18"/>
          <w:szCs w:val="18"/>
        </w:rPr>
        <w:t xml:space="preserve"> Bankwet 1998</w:t>
      </w:r>
      <w:r w:rsidR="00AB6220">
        <w:rPr>
          <w:rFonts w:cs="Arial"/>
          <w:b/>
          <w:sz w:val="18"/>
          <w:szCs w:val="18"/>
        </w:rPr>
        <w:t xml:space="preserve"> en de Wet op de economische delicten</w:t>
      </w:r>
      <w:r w:rsidRPr="00BD04E1">
        <w:rPr>
          <w:rFonts w:cs="Arial"/>
          <w:b/>
          <w:sz w:val="18"/>
          <w:szCs w:val="18"/>
        </w:rPr>
        <w:t xml:space="preserve"> </w:t>
      </w:r>
      <w:r w:rsidR="00E24D85">
        <w:rPr>
          <w:rFonts w:cs="Arial"/>
          <w:b/>
          <w:sz w:val="18"/>
          <w:szCs w:val="18"/>
        </w:rPr>
        <w:t>ter</w:t>
      </w:r>
      <w:r w:rsidRPr="00BD04E1">
        <w:rPr>
          <w:rFonts w:cs="Arial"/>
          <w:b/>
          <w:sz w:val="18"/>
          <w:szCs w:val="18"/>
        </w:rPr>
        <w:t xml:space="preserve"> implementatie van Richtlijn (EU) 2024/1619 met betrekking tot kapitaalvereisten voor banken</w:t>
      </w:r>
      <w:r>
        <w:rPr>
          <w:rFonts w:cs="Arial"/>
          <w:b/>
          <w:sz w:val="18"/>
          <w:szCs w:val="18"/>
        </w:rPr>
        <w:t xml:space="preserve"> en Richtlijn (EU) 2024/</w:t>
      </w:r>
      <w:r w:rsidR="000F68DF">
        <w:rPr>
          <w:rFonts w:cs="Arial"/>
          <w:b/>
          <w:sz w:val="18"/>
          <w:szCs w:val="18"/>
        </w:rPr>
        <w:t>2994</w:t>
      </w:r>
      <w:r>
        <w:rPr>
          <w:rFonts w:cs="Arial"/>
          <w:b/>
          <w:sz w:val="18"/>
          <w:szCs w:val="18"/>
        </w:rPr>
        <w:t xml:space="preserve"> met betrekking tot </w:t>
      </w:r>
      <w:bookmarkStart w:name="_Hlk193795196" w:id="0"/>
      <w:r w:rsidR="000F68DF">
        <w:rPr>
          <w:rFonts w:cs="Arial"/>
          <w:b/>
          <w:sz w:val="18"/>
          <w:szCs w:val="18"/>
        </w:rPr>
        <w:t xml:space="preserve">blootstellingen op </w:t>
      </w:r>
      <w:r>
        <w:rPr>
          <w:rFonts w:cs="Arial"/>
          <w:b/>
          <w:sz w:val="18"/>
          <w:szCs w:val="18"/>
        </w:rPr>
        <w:t>c</w:t>
      </w:r>
      <w:r w:rsidR="000F68DF">
        <w:rPr>
          <w:rFonts w:cs="Arial"/>
          <w:b/>
          <w:sz w:val="18"/>
          <w:szCs w:val="18"/>
        </w:rPr>
        <w:t>entrale tegenpartijen</w:t>
      </w:r>
      <w:bookmarkEnd w:id="0"/>
      <w:r w:rsidRPr="00BD04E1">
        <w:rPr>
          <w:rFonts w:cs="Arial"/>
          <w:b/>
          <w:sz w:val="18"/>
          <w:szCs w:val="18"/>
        </w:rPr>
        <w:t xml:space="preserve"> (Implementatiewet kapitaalvereisten 2026)</w:t>
      </w:r>
    </w:p>
    <w:p w:rsidR="00EE0056" w:rsidP="00395DD3" w:rsidRDefault="00EE0056" w14:paraId="455630CB" w14:textId="77777777">
      <w:pPr>
        <w:widowControl w:val="0"/>
        <w:spacing w:line="240" w:lineRule="atLeast"/>
        <w:rPr>
          <w:rFonts w:cs="Arial"/>
          <w:sz w:val="18"/>
          <w:szCs w:val="18"/>
        </w:rPr>
      </w:pPr>
    </w:p>
    <w:p w:rsidRPr="007021E8" w:rsidR="00D100B0" w:rsidP="00395DD3" w:rsidRDefault="00D100B0" w14:paraId="169AB7E9" w14:textId="77777777">
      <w:pPr>
        <w:widowControl w:val="0"/>
        <w:spacing w:line="240" w:lineRule="atLeast"/>
        <w:rPr>
          <w:rFonts w:cs="Arial"/>
          <w:sz w:val="18"/>
          <w:szCs w:val="18"/>
        </w:rPr>
      </w:pPr>
    </w:p>
    <w:p w:rsidRPr="007021E8" w:rsidR="00EE0056" w:rsidP="00395DD3" w:rsidRDefault="00EE0056" w14:paraId="488E2928" w14:textId="77777777">
      <w:pPr>
        <w:widowControl w:val="0"/>
        <w:spacing w:line="240" w:lineRule="atLeast"/>
        <w:rPr>
          <w:rFonts w:cs="Arial"/>
          <w:sz w:val="18"/>
          <w:szCs w:val="18"/>
        </w:rPr>
      </w:pPr>
    </w:p>
    <w:p w:rsidRPr="007021E8" w:rsidR="00EE0056" w:rsidP="00395DD3" w:rsidRDefault="00EE0056" w14:paraId="10CDB043" w14:textId="77777777">
      <w:pPr>
        <w:widowControl w:val="0"/>
        <w:spacing w:line="240" w:lineRule="atLeast"/>
        <w:rPr>
          <w:rFonts w:cs="Arial"/>
          <w:sz w:val="18"/>
          <w:szCs w:val="18"/>
        </w:rPr>
      </w:pPr>
    </w:p>
    <w:p w:rsidRPr="007021E8" w:rsidR="00EE0056" w:rsidP="00395DD3" w:rsidRDefault="00B5654A" w14:paraId="3DEFADD1" w14:textId="77777777">
      <w:pPr>
        <w:widowControl w:val="0"/>
        <w:spacing w:line="240" w:lineRule="atLeast"/>
        <w:rPr>
          <w:rFonts w:cs="Arial"/>
          <w:b/>
          <w:sz w:val="18"/>
          <w:szCs w:val="18"/>
        </w:rPr>
      </w:pPr>
      <w:r>
        <w:rPr>
          <w:rFonts w:cs="Arial"/>
          <w:b/>
          <w:sz w:val="18"/>
          <w:szCs w:val="18"/>
        </w:rPr>
        <w:t>MEMORIE VAN TOELICHTING</w:t>
      </w:r>
    </w:p>
    <w:p w:rsidRPr="007021E8" w:rsidR="00EE0056" w:rsidP="00395DD3" w:rsidRDefault="00EE0056" w14:paraId="2EEBFC99" w14:textId="77777777">
      <w:pPr>
        <w:widowControl w:val="0"/>
        <w:spacing w:line="240" w:lineRule="atLeast"/>
        <w:rPr>
          <w:rFonts w:cs="Arial"/>
          <w:sz w:val="18"/>
          <w:szCs w:val="18"/>
        </w:rPr>
      </w:pPr>
    </w:p>
    <w:p w:rsidRPr="007021E8" w:rsidR="00EE0056" w:rsidP="00395DD3" w:rsidRDefault="00EE0056" w14:paraId="2E4652F9" w14:textId="77777777">
      <w:pPr>
        <w:widowControl w:val="0"/>
        <w:spacing w:line="240" w:lineRule="atLeast"/>
        <w:rPr>
          <w:rFonts w:cs="Arial"/>
          <w:sz w:val="18"/>
          <w:szCs w:val="18"/>
        </w:rPr>
      </w:pPr>
    </w:p>
    <w:p w:rsidRPr="00B5654A" w:rsidR="00EE0056" w:rsidP="00395DD3" w:rsidRDefault="00B5654A" w14:paraId="5AE9E8AE" w14:textId="77777777">
      <w:pPr>
        <w:widowControl w:val="0"/>
        <w:spacing w:line="240" w:lineRule="atLeast"/>
        <w:rPr>
          <w:rFonts w:cs="Arial"/>
          <w:b/>
          <w:sz w:val="18"/>
          <w:szCs w:val="18"/>
        </w:rPr>
      </w:pPr>
      <w:r>
        <w:rPr>
          <w:rFonts w:cs="Arial"/>
          <w:b/>
          <w:sz w:val="18"/>
          <w:szCs w:val="18"/>
        </w:rPr>
        <w:t>ALGEMEEN</w:t>
      </w:r>
    </w:p>
    <w:p w:rsidR="00B5654A" w:rsidP="00395DD3" w:rsidRDefault="00B5654A" w14:paraId="5A904D53" w14:textId="77777777">
      <w:pPr>
        <w:widowControl w:val="0"/>
        <w:spacing w:line="240" w:lineRule="atLeast"/>
        <w:rPr>
          <w:rFonts w:cs="Arial"/>
          <w:sz w:val="18"/>
          <w:szCs w:val="18"/>
        </w:rPr>
      </w:pPr>
    </w:p>
    <w:p w:rsidRPr="00B5654A" w:rsidR="00B5654A" w:rsidP="00395DD3" w:rsidRDefault="00B5654A" w14:paraId="6CF35B7E" w14:textId="77777777">
      <w:pPr>
        <w:widowControl w:val="0"/>
        <w:spacing w:line="240" w:lineRule="atLeast"/>
        <w:rPr>
          <w:rFonts w:cs="Arial"/>
          <w:i/>
          <w:sz w:val="18"/>
          <w:szCs w:val="18"/>
        </w:rPr>
      </w:pPr>
      <w:r w:rsidRPr="00B5654A">
        <w:rPr>
          <w:rFonts w:cs="Arial"/>
          <w:i/>
          <w:sz w:val="18"/>
          <w:szCs w:val="18"/>
        </w:rPr>
        <w:t>§</w:t>
      </w:r>
      <w:r w:rsidR="00997CC9">
        <w:rPr>
          <w:rFonts w:cs="Arial"/>
          <w:i/>
          <w:sz w:val="18"/>
          <w:szCs w:val="18"/>
        </w:rPr>
        <w:t xml:space="preserve"> </w:t>
      </w:r>
      <w:r w:rsidRPr="00B5654A">
        <w:rPr>
          <w:rFonts w:cs="Arial"/>
          <w:i/>
          <w:sz w:val="18"/>
          <w:szCs w:val="18"/>
        </w:rPr>
        <w:t>1. Inleiding</w:t>
      </w:r>
    </w:p>
    <w:p w:rsidR="00B5654A" w:rsidP="00395DD3" w:rsidRDefault="00B5654A" w14:paraId="4F09D1A8" w14:textId="77777777">
      <w:pPr>
        <w:widowControl w:val="0"/>
        <w:spacing w:line="240" w:lineRule="atLeast"/>
        <w:rPr>
          <w:rFonts w:cs="Arial"/>
          <w:sz w:val="18"/>
          <w:szCs w:val="18"/>
        </w:rPr>
      </w:pPr>
    </w:p>
    <w:p w:rsidRPr="00BD04E1" w:rsidR="001E56AB" w:rsidP="001E56AB" w:rsidRDefault="001E56AB" w14:paraId="6ED3768E" w14:textId="6F7CFDB0">
      <w:pPr>
        <w:widowControl w:val="0"/>
        <w:spacing w:line="240" w:lineRule="atLeast"/>
        <w:rPr>
          <w:rFonts w:cs="Arial"/>
          <w:sz w:val="18"/>
          <w:szCs w:val="18"/>
        </w:rPr>
      </w:pPr>
      <w:r w:rsidRPr="00BD04E1">
        <w:rPr>
          <w:rFonts w:cs="Arial"/>
          <w:sz w:val="18"/>
          <w:szCs w:val="18"/>
        </w:rPr>
        <w:t xml:space="preserve">Dit wetsvoorstel strekt tot implementatie van Richtlijn (EU) 2024/1619 van het Europees Parlement en de Raad van </w:t>
      </w:r>
      <w:r w:rsidR="00CB1FAF">
        <w:rPr>
          <w:rFonts w:cs="Arial"/>
          <w:sz w:val="18"/>
          <w:szCs w:val="18"/>
        </w:rPr>
        <w:t>31</w:t>
      </w:r>
      <w:r w:rsidRPr="00BD04E1">
        <w:rPr>
          <w:rFonts w:cs="Arial"/>
          <w:sz w:val="18"/>
          <w:szCs w:val="18"/>
        </w:rPr>
        <w:t xml:space="preserve"> </w:t>
      </w:r>
      <w:r w:rsidR="00CB1FAF">
        <w:rPr>
          <w:rFonts w:cs="Arial"/>
          <w:sz w:val="18"/>
          <w:szCs w:val="18"/>
        </w:rPr>
        <w:t xml:space="preserve">mei </w:t>
      </w:r>
      <w:r w:rsidRPr="00BD04E1">
        <w:rPr>
          <w:rFonts w:cs="Arial"/>
          <w:sz w:val="18"/>
          <w:szCs w:val="18"/>
        </w:rPr>
        <w:t>2024 tot wijziging van Richtlijn 2013/36/EU</w:t>
      </w:r>
      <w:r w:rsidR="00A821AE">
        <w:rPr>
          <w:rFonts w:cs="Arial"/>
          <w:sz w:val="18"/>
          <w:szCs w:val="18"/>
        </w:rPr>
        <w:t xml:space="preserve"> </w:t>
      </w:r>
      <w:r w:rsidRPr="00BD04E1">
        <w:rPr>
          <w:rFonts w:cs="Arial"/>
          <w:sz w:val="18"/>
          <w:szCs w:val="18"/>
        </w:rPr>
        <w:t xml:space="preserve">wat betreft toezichtsbevoegdheden, sancties, bijkantoren uit derde landen en ecologische, sociale en governancerisico’s (hierna: de richtlijn). </w:t>
      </w:r>
      <w:r w:rsidR="008D3F85">
        <w:rPr>
          <w:rFonts w:cs="Arial"/>
          <w:sz w:val="18"/>
          <w:szCs w:val="18"/>
        </w:rPr>
        <w:t xml:space="preserve">De richtlijn wijzigt </w:t>
      </w:r>
      <w:r w:rsidRPr="00BD04E1">
        <w:rPr>
          <w:rFonts w:cs="Arial"/>
          <w:sz w:val="18"/>
          <w:szCs w:val="18"/>
        </w:rPr>
        <w:t>Richtlijn 2013/36/EU</w:t>
      </w:r>
      <w:r w:rsidRPr="00BD04E1" w:rsidR="008D3F85">
        <w:rPr>
          <w:rStyle w:val="Voetnootmarkering"/>
          <w:rFonts w:cs="Arial"/>
          <w:sz w:val="18"/>
          <w:szCs w:val="18"/>
        </w:rPr>
        <w:footnoteReference w:id="2"/>
      </w:r>
      <w:r w:rsidR="008D3F85">
        <w:rPr>
          <w:rFonts w:cs="Arial"/>
          <w:sz w:val="18"/>
          <w:szCs w:val="18"/>
        </w:rPr>
        <w:t>, welke b</w:t>
      </w:r>
      <w:r w:rsidRPr="00BD04E1">
        <w:rPr>
          <w:rFonts w:cs="Arial"/>
          <w:sz w:val="18"/>
          <w:szCs w:val="18"/>
        </w:rPr>
        <w:t xml:space="preserve">ekend </w:t>
      </w:r>
      <w:r w:rsidR="008D3F85">
        <w:rPr>
          <w:rFonts w:cs="Arial"/>
          <w:sz w:val="18"/>
          <w:szCs w:val="18"/>
        </w:rPr>
        <w:t xml:space="preserve">staat </w:t>
      </w:r>
      <w:r w:rsidRPr="00BD04E1">
        <w:rPr>
          <w:rFonts w:cs="Arial"/>
          <w:sz w:val="18"/>
          <w:szCs w:val="18"/>
        </w:rPr>
        <w:t xml:space="preserve">als de richtlijn kapitaalvereisten </w:t>
      </w:r>
      <w:r w:rsidR="008D3F85">
        <w:rPr>
          <w:rFonts w:cs="Arial"/>
          <w:sz w:val="18"/>
          <w:szCs w:val="18"/>
        </w:rPr>
        <w:t>(hierna: CRD</w:t>
      </w:r>
      <w:r w:rsidR="008D3F85">
        <w:rPr>
          <w:rStyle w:val="Voetnootmarkering"/>
          <w:rFonts w:cs="Arial"/>
          <w:sz w:val="18"/>
          <w:szCs w:val="18"/>
        </w:rPr>
        <w:footnoteReference w:id="3"/>
      </w:r>
      <w:r w:rsidR="008D3F85">
        <w:rPr>
          <w:rFonts w:cs="Arial"/>
          <w:sz w:val="18"/>
          <w:szCs w:val="18"/>
        </w:rPr>
        <w:t>)</w:t>
      </w:r>
      <w:r w:rsidRPr="00BD04E1">
        <w:rPr>
          <w:rFonts w:cs="Arial"/>
          <w:sz w:val="18"/>
          <w:szCs w:val="18"/>
        </w:rPr>
        <w:t>. Tegelijkertijd met de richtlijn is Verordening (EU) 2024/1623 van het Europees Parlement en de Raad van 19 juni 2024 tot wijziging van Verordening (EU) nr. 575/2013</w:t>
      </w:r>
      <w:r w:rsidR="00D270FC">
        <w:rPr>
          <w:rFonts w:cs="Arial"/>
          <w:sz w:val="18"/>
          <w:szCs w:val="18"/>
        </w:rPr>
        <w:t xml:space="preserve"> </w:t>
      </w:r>
      <w:r w:rsidRPr="00BD04E1">
        <w:rPr>
          <w:rFonts w:cs="Arial"/>
          <w:sz w:val="18"/>
          <w:szCs w:val="18"/>
        </w:rPr>
        <w:t xml:space="preserve">wat betreft vereisten inzake kredietrisico, risico van aanpassing van de kredietwaardering, operationeel risico, marktrisico en de output floor (hierna: de verordening) vastgesteld. De verordening wijzigt </w:t>
      </w:r>
      <w:r w:rsidR="008D3F85">
        <w:rPr>
          <w:rFonts w:cs="Arial"/>
          <w:sz w:val="18"/>
          <w:szCs w:val="18"/>
        </w:rPr>
        <w:t>V</w:t>
      </w:r>
      <w:r w:rsidRPr="00BD04E1">
        <w:rPr>
          <w:rFonts w:cs="Arial"/>
          <w:sz w:val="18"/>
          <w:szCs w:val="18"/>
        </w:rPr>
        <w:t>erordening</w:t>
      </w:r>
      <w:r w:rsidR="008D3F85">
        <w:rPr>
          <w:rFonts w:cs="Arial"/>
          <w:sz w:val="18"/>
          <w:szCs w:val="18"/>
        </w:rPr>
        <w:t xml:space="preserve"> (EU) nr. 575/2013</w:t>
      </w:r>
      <w:r w:rsidRPr="00BD04E1" w:rsidR="008D3F85">
        <w:rPr>
          <w:rStyle w:val="Voetnootmarkering"/>
          <w:rFonts w:cs="Arial"/>
          <w:sz w:val="18"/>
          <w:szCs w:val="18"/>
        </w:rPr>
        <w:footnoteReference w:id="4"/>
      </w:r>
      <w:r w:rsidR="008D3F85">
        <w:rPr>
          <w:rFonts w:cs="Arial"/>
          <w:sz w:val="18"/>
          <w:szCs w:val="18"/>
        </w:rPr>
        <w:t>, welke bekend staat als de verordening</w:t>
      </w:r>
      <w:r w:rsidRPr="00BD04E1" w:rsidR="008D3F85">
        <w:rPr>
          <w:rFonts w:cs="Arial"/>
          <w:sz w:val="18"/>
          <w:szCs w:val="18"/>
        </w:rPr>
        <w:t xml:space="preserve"> </w:t>
      </w:r>
      <w:r w:rsidRPr="00BD04E1">
        <w:rPr>
          <w:rFonts w:cs="Arial"/>
          <w:sz w:val="18"/>
          <w:szCs w:val="18"/>
        </w:rPr>
        <w:t>kapitaalvereisten (hierna: CRR</w:t>
      </w:r>
      <w:r w:rsidRPr="00BD04E1">
        <w:rPr>
          <w:rStyle w:val="Voetnootmarkering"/>
          <w:rFonts w:cs="Arial"/>
          <w:sz w:val="18"/>
          <w:szCs w:val="18"/>
        </w:rPr>
        <w:footnoteReference w:id="5"/>
      </w:r>
      <w:r w:rsidRPr="00BD04E1">
        <w:rPr>
          <w:rFonts w:cs="Arial"/>
          <w:sz w:val="18"/>
          <w:szCs w:val="18"/>
        </w:rPr>
        <w:t xml:space="preserve">). </w:t>
      </w:r>
      <w:r w:rsidR="002C1690">
        <w:rPr>
          <w:rFonts w:cs="Arial"/>
          <w:sz w:val="18"/>
          <w:szCs w:val="18"/>
        </w:rPr>
        <w:t>Waar nodig is a</w:t>
      </w:r>
      <w:r w:rsidRPr="00BD04E1">
        <w:rPr>
          <w:rFonts w:cs="Arial"/>
          <w:sz w:val="18"/>
          <w:szCs w:val="18"/>
        </w:rPr>
        <w:t xml:space="preserve">an de verordening uitvoering gegeven middels het Uitvoeringsbesluit kapitaalvereisten 2025. </w:t>
      </w:r>
    </w:p>
    <w:p w:rsidRPr="00BD04E1" w:rsidR="001E56AB" w:rsidP="001E56AB" w:rsidRDefault="001E56AB" w14:paraId="41781DFF" w14:textId="77777777">
      <w:pPr>
        <w:widowControl w:val="0"/>
        <w:tabs>
          <w:tab w:val="num" w:pos="720"/>
        </w:tabs>
        <w:spacing w:line="240" w:lineRule="atLeast"/>
        <w:rPr>
          <w:rFonts w:cs="Arial"/>
          <w:sz w:val="18"/>
          <w:szCs w:val="18"/>
        </w:rPr>
      </w:pPr>
    </w:p>
    <w:p w:rsidRPr="00BD04E1" w:rsidR="001E56AB" w:rsidP="001E56AB" w:rsidRDefault="001E56AB" w14:paraId="38239595" w14:textId="0BB74DAC">
      <w:pPr>
        <w:widowControl w:val="0"/>
        <w:tabs>
          <w:tab w:val="num" w:pos="720"/>
        </w:tabs>
        <w:spacing w:line="240" w:lineRule="atLeast"/>
        <w:rPr>
          <w:rFonts w:cs="Arial"/>
          <w:sz w:val="18"/>
          <w:szCs w:val="18"/>
        </w:rPr>
      </w:pPr>
      <w:r w:rsidRPr="00BD04E1">
        <w:rPr>
          <w:rFonts w:cs="Arial"/>
          <w:sz w:val="18"/>
          <w:szCs w:val="18"/>
        </w:rPr>
        <w:t xml:space="preserve">De CRD en CRR voorzien samen in het prudentiële kader voor banken, en voor </w:t>
      </w:r>
      <w:r w:rsidR="001410EF">
        <w:rPr>
          <w:rFonts w:cs="Arial"/>
          <w:sz w:val="18"/>
          <w:szCs w:val="18"/>
        </w:rPr>
        <w:t xml:space="preserve">bepaalde </w:t>
      </w:r>
      <w:r w:rsidRPr="00BD04E1">
        <w:rPr>
          <w:rFonts w:cs="Arial"/>
          <w:sz w:val="18"/>
          <w:szCs w:val="18"/>
        </w:rPr>
        <w:t>beleggingsondernemingen die van dermate omvang zijn</w:t>
      </w:r>
      <w:r w:rsidR="005B3D43">
        <w:rPr>
          <w:rStyle w:val="Voetnootmarkering"/>
          <w:rFonts w:cs="Arial"/>
          <w:sz w:val="18"/>
          <w:szCs w:val="18"/>
        </w:rPr>
        <w:footnoteReference w:id="6"/>
      </w:r>
      <w:r w:rsidRPr="00BD04E1">
        <w:rPr>
          <w:rFonts w:cs="Arial"/>
          <w:sz w:val="18"/>
          <w:szCs w:val="18"/>
        </w:rPr>
        <w:t xml:space="preserve"> dat zij moeten voldoen aan dit prudentiële kader in plaats van het prudentiële kader voor beleggingsondernemingen</w:t>
      </w:r>
      <w:r w:rsidR="001E09D2">
        <w:rPr>
          <w:rFonts w:cs="Arial"/>
          <w:sz w:val="18"/>
          <w:szCs w:val="18"/>
        </w:rPr>
        <w:t xml:space="preserve"> uit Verordening (EU) 2019/2033</w:t>
      </w:r>
      <w:r w:rsidR="001E09D2">
        <w:rPr>
          <w:rStyle w:val="Voetnootmarkering"/>
          <w:rFonts w:cs="Arial"/>
          <w:sz w:val="18"/>
          <w:szCs w:val="18"/>
        </w:rPr>
        <w:footnoteReference w:id="7"/>
      </w:r>
      <w:r w:rsidR="001E09D2">
        <w:rPr>
          <w:rFonts w:cs="Arial"/>
          <w:sz w:val="18"/>
          <w:szCs w:val="18"/>
        </w:rPr>
        <w:t xml:space="preserve"> (IFR) en Richtlijn (EU) 2019/2034</w:t>
      </w:r>
      <w:r w:rsidR="001E09D2">
        <w:rPr>
          <w:rStyle w:val="Voetnootmarkering"/>
          <w:rFonts w:cs="Arial"/>
          <w:sz w:val="18"/>
          <w:szCs w:val="18"/>
        </w:rPr>
        <w:footnoteReference w:id="8"/>
      </w:r>
      <w:r w:rsidR="001E09D2">
        <w:rPr>
          <w:rFonts w:cs="Arial"/>
          <w:sz w:val="18"/>
          <w:szCs w:val="18"/>
        </w:rPr>
        <w:t xml:space="preserve"> (IFD)</w:t>
      </w:r>
      <w:r w:rsidRPr="00BD04E1">
        <w:rPr>
          <w:rFonts w:cs="Arial"/>
          <w:sz w:val="18"/>
          <w:szCs w:val="18"/>
        </w:rPr>
        <w:t>.</w:t>
      </w:r>
      <w:r w:rsidRPr="00BD04E1">
        <w:rPr>
          <w:rStyle w:val="Voetnootmarkering"/>
          <w:rFonts w:cs="Arial"/>
          <w:sz w:val="18"/>
          <w:szCs w:val="18"/>
        </w:rPr>
        <w:footnoteReference w:id="9"/>
      </w:r>
      <w:r w:rsidRPr="00BD04E1">
        <w:rPr>
          <w:rFonts w:cs="Arial"/>
          <w:sz w:val="18"/>
          <w:szCs w:val="18"/>
        </w:rPr>
        <w:t xml:space="preserve"> De richtlijn en verordening passen de CRD en CRR </w:t>
      </w:r>
      <w:r w:rsidRPr="00BD04E1">
        <w:rPr>
          <w:rFonts w:cs="Arial"/>
          <w:sz w:val="18"/>
          <w:szCs w:val="18"/>
        </w:rPr>
        <w:lastRenderedPageBreak/>
        <w:t>aan. De richtlijn kent een getrapte vantoepassingwording. Op 29 juli 2024 zijn twee wijzigingen van de artikelen 131 en 133 CRD</w:t>
      </w:r>
      <w:r w:rsidR="00160730">
        <w:rPr>
          <w:rFonts w:cs="Arial"/>
          <w:sz w:val="18"/>
          <w:szCs w:val="18"/>
        </w:rPr>
        <w:t xml:space="preserve"> met betrekking tot de procedure voor het vaststellen van de systeemrisicobuffer en de samenloop met andere kapitaalbuffers die de toezichthouder kan vaststellen</w:t>
      </w:r>
      <w:r w:rsidRPr="00BD04E1">
        <w:rPr>
          <w:rFonts w:cs="Arial"/>
          <w:sz w:val="18"/>
          <w:szCs w:val="18"/>
        </w:rPr>
        <w:t xml:space="preserve"> van toepassing geworden. Deze artikelen zijn geïmplementeerd middels dynamische verwijzing</w:t>
      </w:r>
      <w:r w:rsidR="00583774">
        <w:rPr>
          <w:rFonts w:cs="Arial"/>
          <w:sz w:val="18"/>
          <w:szCs w:val="18"/>
        </w:rPr>
        <w:t>,</w:t>
      </w:r>
      <w:r w:rsidRPr="00BD04E1">
        <w:rPr>
          <w:rFonts w:cs="Arial"/>
          <w:sz w:val="18"/>
          <w:szCs w:val="18"/>
        </w:rPr>
        <w:t xml:space="preserve"> waardoor d</w:t>
      </w:r>
      <w:r w:rsidR="00EE3828">
        <w:rPr>
          <w:rFonts w:cs="Arial"/>
          <w:sz w:val="18"/>
          <w:szCs w:val="18"/>
        </w:rPr>
        <w:t>e wijziging direct doorwerkt in de Nederlandse wetgeving</w:t>
      </w:r>
      <w:r w:rsidRPr="00BD04E1">
        <w:rPr>
          <w:rFonts w:cs="Arial"/>
          <w:sz w:val="18"/>
          <w:szCs w:val="18"/>
        </w:rPr>
        <w:t>.</w:t>
      </w:r>
      <w:r w:rsidR="00EE3828">
        <w:rPr>
          <w:rStyle w:val="Voetnootmarkering"/>
          <w:rFonts w:cs="Arial"/>
          <w:sz w:val="18"/>
          <w:szCs w:val="18"/>
        </w:rPr>
        <w:footnoteReference w:id="10"/>
      </w:r>
      <w:r w:rsidRPr="00BD04E1">
        <w:rPr>
          <w:rFonts w:cs="Arial"/>
          <w:sz w:val="18"/>
          <w:szCs w:val="18"/>
        </w:rPr>
        <w:t xml:space="preserve"> Uiterlijk 10 januari 2026 moeten de </w:t>
      </w:r>
      <w:r w:rsidR="001410EF">
        <w:rPr>
          <w:rFonts w:cs="Arial"/>
          <w:sz w:val="18"/>
          <w:szCs w:val="18"/>
        </w:rPr>
        <w:t xml:space="preserve">meeste </w:t>
      </w:r>
      <w:r w:rsidRPr="00BD04E1">
        <w:rPr>
          <w:rFonts w:cs="Arial"/>
          <w:sz w:val="18"/>
          <w:szCs w:val="18"/>
        </w:rPr>
        <w:t xml:space="preserve">wijzigingen </w:t>
      </w:r>
      <w:r w:rsidR="001410EF">
        <w:rPr>
          <w:rFonts w:cs="Arial"/>
          <w:sz w:val="18"/>
          <w:szCs w:val="18"/>
        </w:rPr>
        <w:t>waarin</w:t>
      </w:r>
      <w:r w:rsidRPr="00BD04E1" w:rsidR="001410EF">
        <w:rPr>
          <w:rFonts w:cs="Arial"/>
          <w:sz w:val="18"/>
          <w:szCs w:val="18"/>
        </w:rPr>
        <w:t xml:space="preserve"> </w:t>
      </w:r>
      <w:r w:rsidRPr="00BD04E1">
        <w:rPr>
          <w:rFonts w:cs="Arial"/>
          <w:sz w:val="18"/>
          <w:szCs w:val="18"/>
        </w:rPr>
        <w:t xml:space="preserve">de richtlijn </w:t>
      </w:r>
      <w:r w:rsidR="001410EF">
        <w:rPr>
          <w:rFonts w:cs="Arial"/>
          <w:sz w:val="18"/>
          <w:szCs w:val="18"/>
        </w:rPr>
        <w:t xml:space="preserve">voorziet </w:t>
      </w:r>
      <w:r w:rsidRPr="00BD04E1">
        <w:rPr>
          <w:rFonts w:cs="Arial"/>
          <w:sz w:val="18"/>
          <w:szCs w:val="18"/>
        </w:rPr>
        <w:t>omgezet zijn in Nederlandse wetgeving</w:t>
      </w:r>
      <w:r w:rsidR="001410EF">
        <w:rPr>
          <w:rFonts w:cs="Arial"/>
          <w:sz w:val="18"/>
          <w:szCs w:val="18"/>
        </w:rPr>
        <w:t>,</w:t>
      </w:r>
      <w:r w:rsidRPr="00BD04E1">
        <w:rPr>
          <w:rFonts w:cs="Arial"/>
          <w:sz w:val="18"/>
          <w:szCs w:val="18"/>
        </w:rPr>
        <w:t xml:space="preserve"> waarna de wijzigingen op 11 januari</w:t>
      </w:r>
      <w:r w:rsidR="001410EF">
        <w:rPr>
          <w:rFonts w:cs="Arial"/>
          <w:sz w:val="18"/>
          <w:szCs w:val="18"/>
        </w:rPr>
        <w:t xml:space="preserve"> 2026</w:t>
      </w:r>
      <w:r w:rsidRPr="00BD04E1">
        <w:rPr>
          <w:rFonts w:cs="Arial"/>
          <w:sz w:val="18"/>
          <w:szCs w:val="18"/>
        </w:rPr>
        <w:t xml:space="preserve"> van toepassing worden. Een aantal bepalingen</w:t>
      </w:r>
      <w:r w:rsidR="001410EF">
        <w:rPr>
          <w:rFonts w:cs="Arial"/>
          <w:sz w:val="18"/>
          <w:szCs w:val="18"/>
        </w:rPr>
        <w:t xml:space="preserve"> uit de richtlijn,</w:t>
      </w:r>
      <w:r w:rsidRPr="00BD04E1">
        <w:rPr>
          <w:rFonts w:cs="Arial"/>
          <w:sz w:val="18"/>
          <w:szCs w:val="18"/>
        </w:rPr>
        <w:t xml:space="preserve"> rondom rapportagevereisten voor bijkantoren </w:t>
      </w:r>
      <w:r w:rsidR="001410EF">
        <w:rPr>
          <w:rFonts w:cs="Arial"/>
          <w:sz w:val="18"/>
          <w:szCs w:val="18"/>
        </w:rPr>
        <w:t>van banken uit landen</w:t>
      </w:r>
      <w:r w:rsidRPr="00BD04E1">
        <w:rPr>
          <w:rFonts w:cs="Arial"/>
          <w:sz w:val="18"/>
          <w:szCs w:val="18"/>
        </w:rPr>
        <w:t xml:space="preserve"> die geen lidstaat zijn en het overgangsrecht dat daarmee gemoeid is</w:t>
      </w:r>
      <w:r w:rsidR="001410EF">
        <w:rPr>
          <w:rFonts w:cs="Arial"/>
          <w:sz w:val="18"/>
          <w:szCs w:val="18"/>
        </w:rPr>
        <w:t>,</w:t>
      </w:r>
      <w:r w:rsidRPr="00BD04E1">
        <w:rPr>
          <w:rFonts w:cs="Arial"/>
          <w:sz w:val="18"/>
          <w:szCs w:val="18"/>
        </w:rPr>
        <w:t xml:space="preserve"> zal</w:t>
      </w:r>
      <w:r w:rsidR="001410EF">
        <w:rPr>
          <w:rFonts w:cs="Arial"/>
          <w:sz w:val="18"/>
          <w:szCs w:val="18"/>
        </w:rPr>
        <w:t xml:space="preserve"> pas later,</w:t>
      </w:r>
      <w:r w:rsidRPr="00BD04E1">
        <w:rPr>
          <w:rFonts w:cs="Arial"/>
          <w:sz w:val="18"/>
          <w:szCs w:val="18"/>
        </w:rPr>
        <w:t xml:space="preserve"> vanaf 11 juli 2026</w:t>
      </w:r>
      <w:r w:rsidR="001410EF">
        <w:rPr>
          <w:rFonts w:cs="Arial"/>
          <w:sz w:val="18"/>
          <w:szCs w:val="18"/>
        </w:rPr>
        <w:t>,</w:t>
      </w:r>
      <w:r w:rsidRPr="00BD04E1">
        <w:rPr>
          <w:rFonts w:cs="Arial"/>
          <w:sz w:val="18"/>
          <w:szCs w:val="18"/>
        </w:rPr>
        <w:t xml:space="preserve"> van toepassing zijn. </w:t>
      </w:r>
      <w:r w:rsidR="001410EF">
        <w:rPr>
          <w:rFonts w:cs="Arial"/>
          <w:sz w:val="18"/>
          <w:szCs w:val="18"/>
        </w:rPr>
        <w:t>Tot slot zal h</w:t>
      </w:r>
      <w:r w:rsidRPr="00BD04E1">
        <w:rPr>
          <w:rFonts w:cs="Arial"/>
          <w:sz w:val="18"/>
          <w:szCs w:val="18"/>
        </w:rPr>
        <w:t>et volledige bijkantorenregime</w:t>
      </w:r>
      <w:r w:rsidR="001410EF">
        <w:rPr>
          <w:rFonts w:cs="Arial"/>
          <w:sz w:val="18"/>
          <w:szCs w:val="18"/>
        </w:rPr>
        <w:t xml:space="preserve">, dat ziet op </w:t>
      </w:r>
      <w:r w:rsidR="00160730">
        <w:rPr>
          <w:rFonts w:cs="Arial"/>
          <w:sz w:val="18"/>
          <w:szCs w:val="18"/>
        </w:rPr>
        <w:t>de vereisten die worden opgelegd aan bijkantoren van ondernemingen uit staten die geen lidstaat zijn en actief willen zijn op de Nederlandse markt voor het verlenen van de bancaire diensten</w:t>
      </w:r>
      <w:r w:rsidR="001410EF">
        <w:rPr>
          <w:rFonts w:cs="Arial"/>
          <w:sz w:val="18"/>
          <w:szCs w:val="18"/>
        </w:rPr>
        <w:t>,</w:t>
      </w:r>
      <w:r w:rsidRPr="00BD04E1">
        <w:rPr>
          <w:rFonts w:cs="Arial"/>
          <w:sz w:val="18"/>
          <w:szCs w:val="18"/>
        </w:rPr>
        <w:t xml:space="preserve"> van toepassing worden op 11 januari 2027. </w:t>
      </w:r>
    </w:p>
    <w:p w:rsidRPr="00BD04E1" w:rsidR="001E56AB" w:rsidP="001E56AB" w:rsidRDefault="001E56AB" w14:paraId="482E35B8" w14:textId="77777777">
      <w:pPr>
        <w:widowControl w:val="0"/>
        <w:tabs>
          <w:tab w:val="num" w:pos="720"/>
        </w:tabs>
        <w:spacing w:line="240" w:lineRule="atLeast"/>
        <w:rPr>
          <w:rFonts w:cs="Arial"/>
          <w:sz w:val="18"/>
          <w:szCs w:val="18"/>
        </w:rPr>
      </w:pPr>
    </w:p>
    <w:p w:rsidR="001E56AB" w:rsidP="001E56AB" w:rsidRDefault="00D270FC" w14:paraId="0DF0D781" w14:textId="7925F384">
      <w:pPr>
        <w:widowControl w:val="0"/>
        <w:tabs>
          <w:tab w:val="num" w:pos="720"/>
        </w:tabs>
        <w:spacing w:line="240" w:lineRule="atLeast"/>
        <w:rPr>
          <w:rFonts w:cs="Arial"/>
          <w:sz w:val="18"/>
          <w:szCs w:val="18"/>
        </w:rPr>
      </w:pPr>
      <w:r>
        <w:rPr>
          <w:rFonts w:cs="Arial"/>
          <w:sz w:val="18"/>
          <w:szCs w:val="18"/>
        </w:rPr>
        <w:t>De</w:t>
      </w:r>
      <w:r w:rsidRPr="00BD04E1" w:rsidR="001E56AB">
        <w:rPr>
          <w:rFonts w:cs="Arial"/>
          <w:sz w:val="18"/>
          <w:szCs w:val="18"/>
        </w:rPr>
        <w:t xml:space="preserve"> verordening is op 1 januari 2025 van toepassing geworden</w:t>
      </w:r>
      <w:r w:rsidR="002E1437">
        <w:rPr>
          <w:rFonts w:cs="Arial"/>
          <w:sz w:val="18"/>
          <w:szCs w:val="18"/>
        </w:rPr>
        <w:t>, met uitzondering</w:t>
      </w:r>
      <w:r w:rsidR="001E56AB">
        <w:rPr>
          <w:rFonts w:cs="Arial"/>
          <w:sz w:val="18"/>
          <w:szCs w:val="18"/>
        </w:rPr>
        <w:t xml:space="preserve"> van de wijzigingen betreffende marktrisico</w:t>
      </w:r>
      <w:r w:rsidR="002E1437">
        <w:rPr>
          <w:rFonts w:cs="Arial"/>
          <w:sz w:val="18"/>
          <w:szCs w:val="18"/>
        </w:rPr>
        <w:t>, ten aanzien waarvan het van toepassing worden is</w:t>
      </w:r>
      <w:r w:rsidR="001E56AB">
        <w:rPr>
          <w:rFonts w:cs="Arial"/>
          <w:sz w:val="18"/>
          <w:szCs w:val="18"/>
        </w:rPr>
        <w:t xml:space="preserve"> uitgesteld tot en met 1 januari 202</w:t>
      </w:r>
      <w:r w:rsidR="002E5D38">
        <w:rPr>
          <w:rFonts w:cs="Arial"/>
          <w:sz w:val="18"/>
          <w:szCs w:val="18"/>
        </w:rPr>
        <w:t>7</w:t>
      </w:r>
      <w:r w:rsidR="001E56AB">
        <w:rPr>
          <w:rFonts w:cs="Arial"/>
          <w:sz w:val="18"/>
          <w:szCs w:val="18"/>
        </w:rPr>
        <w:t>.</w:t>
      </w:r>
      <w:r w:rsidR="001E56AB">
        <w:rPr>
          <w:rStyle w:val="Voetnootmarkering"/>
          <w:rFonts w:cs="Arial"/>
          <w:sz w:val="18"/>
          <w:szCs w:val="18"/>
        </w:rPr>
        <w:footnoteReference w:id="11"/>
      </w:r>
      <w:r w:rsidR="00E25820">
        <w:rPr>
          <w:rFonts w:cs="Arial"/>
          <w:sz w:val="18"/>
          <w:szCs w:val="18"/>
        </w:rPr>
        <w:t xml:space="preserve"> Zie voor een nadere toelichting paragraaf 3.2.1.</w:t>
      </w:r>
    </w:p>
    <w:p w:rsidR="001E56AB" w:rsidP="001E56AB" w:rsidRDefault="001E56AB" w14:paraId="6B88353F" w14:textId="77777777">
      <w:pPr>
        <w:widowControl w:val="0"/>
        <w:tabs>
          <w:tab w:val="num" w:pos="720"/>
        </w:tabs>
        <w:spacing w:line="240" w:lineRule="atLeast"/>
        <w:rPr>
          <w:rFonts w:cs="Arial"/>
          <w:sz w:val="18"/>
          <w:szCs w:val="18"/>
        </w:rPr>
      </w:pPr>
    </w:p>
    <w:p w:rsidR="00661413" w:rsidP="00661413" w:rsidRDefault="00661413" w14:paraId="2B9A32A5" w14:textId="06885217">
      <w:pPr>
        <w:widowControl w:val="0"/>
        <w:tabs>
          <w:tab w:val="num" w:pos="720"/>
        </w:tabs>
        <w:spacing w:line="240" w:lineRule="atLeast"/>
        <w:rPr>
          <w:rFonts w:cs="Arial"/>
          <w:sz w:val="18"/>
          <w:szCs w:val="18"/>
        </w:rPr>
      </w:pPr>
      <w:r>
        <w:rPr>
          <w:rFonts w:cs="Arial"/>
          <w:sz w:val="18"/>
          <w:szCs w:val="18"/>
        </w:rPr>
        <w:t xml:space="preserve">Naast de </w:t>
      </w:r>
      <w:r w:rsidRPr="000F68DF">
        <w:rPr>
          <w:rFonts w:cs="Arial"/>
          <w:sz w:val="18"/>
          <w:szCs w:val="18"/>
        </w:rPr>
        <w:t>implementatie van de richtlijn voorziet dit wetsvoorstel ook in implementatie van twee artikelen uit Richtlijn (EU) 2024/</w:t>
      </w:r>
      <w:r w:rsidRPr="000F68DF" w:rsidR="000F68DF">
        <w:rPr>
          <w:rFonts w:cs="Arial"/>
          <w:sz w:val="18"/>
          <w:szCs w:val="18"/>
        </w:rPr>
        <w:t>2994</w:t>
      </w:r>
      <w:r w:rsidRPr="000F68DF">
        <w:rPr>
          <w:rFonts w:cs="Arial"/>
          <w:sz w:val="18"/>
          <w:szCs w:val="18"/>
        </w:rPr>
        <w:t xml:space="preserve"> (hierna: EMIR</w:t>
      </w:r>
      <w:r w:rsidR="000F68DF">
        <w:rPr>
          <w:rFonts w:cs="Arial"/>
          <w:sz w:val="18"/>
          <w:szCs w:val="18"/>
        </w:rPr>
        <w:t xml:space="preserve"> 3-richtlijn</w:t>
      </w:r>
      <w:r w:rsidRPr="000F68DF">
        <w:rPr>
          <w:rFonts w:cs="Arial"/>
          <w:sz w:val="18"/>
          <w:szCs w:val="18"/>
        </w:rPr>
        <w:t>).</w:t>
      </w:r>
      <w:r w:rsidRPr="000F68DF">
        <w:rPr>
          <w:rStyle w:val="Voetnootmarkering"/>
          <w:rFonts w:cs="Arial"/>
          <w:sz w:val="18"/>
          <w:szCs w:val="18"/>
        </w:rPr>
        <w:footnoteReference w:id="12"/>
      </w:r>
      <w:r w:rsidRPr="000F68DF">
        <w:rPr>
          <w:rFonts w:cs="Arial"/>
          <w:sz w:val="18"/>
          <w:szCs w:val="18"/>
        </w:rPr>
        <w:t xml:space="preserve"> De </w:t>
      </w:r>
      <w:r w:rsidR="000F68DF">
        <w:rPr>
          <w:rFonts w:cs="Arial"/>
          <w:sz w:val="18"/>
          <w:szCs w:val="18"/>
        </w:rPr>
        <w:t>EMIR 3-</w:t>
      </w:r>
      <w:r w:rsidRPr="000F68DF">
        <w:rPr>
          <w:rFonts w:cs="Arial"/>
          <w:sz w:val="18"/>
          <w:szCs w:val="18"/>
        </w:rPr>
        <w:t xml:space="preserve">richtlijn is gepubliceerd op </w:t>
      </w:r>
      <w:r w:rsidRPr="000F68DF" w:rsidR="000F68DF">
        <w:rPr>
          <w:rFonts w:cs="Arial"/>
          <w:sz w:val="18"/>
          <w:szCs w:val="18"/>
        </w:rPr>
        <w:t>4 december 2024</w:t>
      </w:r>
      <w:r w:rsidR="002E1437">
        <w:rPr>
          <w:rFonts w:cs="Arial"/>
          <w:sz w:val="18"/>
          <w:szCs w:val="18"/>
        </w:rPr>
        <w:t>,</w:t>
      </w:r>
      <w:r w:rsidRPr="000F68DF">
        <w:rPr>
          <w:rFonts w:cs="Arial"/>
          <w:sz w:val="18"/>
          <w:szCs w:val="18"/>
        </w:rPr>
        <w:t xml:space="preserve"> tegelijk met </w:t>
      </w:r>
      <w:r w:rsidRPr="000F68DF" w:rsidR="000F68DF">
        <w:rPr>
          <w:rFonts w:cs="Arial"/>
          <w:sz w:val="18"/>
          <w:szCs w:val="18"/>
        </w:rPr>
        <w:t xml:space="preserve">Verordening (EU) 2024/2987 (hierna: </w:t>
      </w:r>
      <w:r w:rsidR="000F68DF">
        <w:rPr>
          <w:rFonts w:cs="Arial"/>
          <w:sz w:val="18"/>
          <w:szCs w:val="18"/>
        </w:rPr>
        <w:t>EMIR 3-</w:t>
      </w:r>
      <w:r w:rsidRPr="000F68DF" w:rsidR="000F68DF">
        <w:rPr>
          <w:rFonts w:cs="Arial"/>
          <w:sz w:val="18"/>
          <w:szCs w:val="18"/>
        </w:rPr>
        <w:t>verordening)</w:t>
      </w:r>
      <w:r w:rsidRPr="000F68DF" w:rsidR="000F68DF">
        <w:rPr>
          <w:rStyle w:val="Voetnootmarkering"/>
          <w:rFonts w:cs="Arial"/>
          <w:sz w:val="18"/>
          <w:szCs w:val="18"/>
        </w:rPr>
        <w:footnoteReference w:id="13"/>
      </w:r>
      <w:r w:rsidR="002E1437">
        <w:rPr>
          <w:rFonts w:cs="Arial"/>
          <w:sz w:val="18"/>
          <w:szCs w:val="18"/>
        </w:rPr>
        <w:t xml:space="preserve">, die </w:t>
      </w:r>
      <w:r w:rsidRPr="000F68DF">
        <w:rPr>
          <w:rFonts w:cs="Arial"/>
          <w:sz w:val="18"/>
          <w:szCs w:val="18"/>
        </w:rPr>
        <w:t xml:space="preserve">wijzigingen </w:t>
      </w:r>
      <w:r w:rsidR="000F68DF">
        <w:rPr>
          <w:rFonts w:cs="Arial"/>
          <w:sz w:val="18"/>
          <w:szCs w:val="18"/>
        </w:rPr>
        <w:t xml:space="preserve">aanbrengt </w:t>
      </w:r>
      <w:r w:rsidRPr="000F68DF">
        <w:rPr>
          <w:rFonts w:cs="Arial"/>
          <w:sz w:val="18"/>
          <w:szCs w:val="18"/>
        </w:rPr>
        <w:t xml:space="preserve">aan Verordening (EU) 648/2012, beter bekend als de </w:t>
      </w:r>
      <w:r w:rsidRPr="00C35BBC">
        <w:rPr>
          <w:rFonts w:cs="Arial"/>
          <w:i/>
          <w:iCs/>
          <w:sz w:val="18"/>
          <w:szCs w:val="18"/>
        </w:rPr>
        <w:t>European Market Infrastructure Regulation</w:t>
      </w:r>
      <w:r w:rsidRPr="000F68DF">
        <w:rPr>
          <w:rFonts w:cs="Arial"/>
          <w:sz w:val="18"/>
          <w:szCs w:val="18"/>
        </w:rPr>
        <w:t xml:space="preserve"> (EMIR</w:t>
      </w:r>
      <w:r w:rsidR="000F68DF">
        <w:rPr>
          <w:rFonts w:cs="Arial"/>
          <w:sz w:val="18"/>
          <w:szCs w:val="18"/>
        </w:rPr>
        <w:t>-verordening</w:t>
      </w:r>
      <w:r w:rsidRPr="000F68DF">
        <w:rPr>
          <w:rFonts w:cs="Arial"/>
          <w:sz w:val="18"/>
          <w:szCs w:val="18"/>
        </w:rPr>
        <w:t>).</w:t>
      </w:r>
      <w:r w:rsidR="00160730">
        <w:rPr>
          <w:rFonts w:cs="Arial"/>
          <w:sz w:val="18"/>
          <w:szCs w:val="18"/>
        </w:rPr>
        <w:t xml:space="preserve"> De EMIR 3-richtlijn bevat een aantal wijzigingen van de CRD en IFD. Omdat de aanpassingen die voortvloeien uit de EMIR 3-richtlijn aan de CRD leiden tot aanpassing van dezelfde artikelen uit de CRD die ook door de richtlijn gewijzigd worden, is ervoor gekozen om de implementatie van de twee richtlijnen samen te nemen. De inhoud van de wijzigingen zal kort besproken worden</w:t>
      </w:r>
      <w:r w:rsidR="00812BD0">
        <w:rPr>
          <w:rFonts w:cs="Arial"/>
          <w:sz w:val="18"/>
          <w:szCs w:val="18"/>
        </w:rPr>
        <w:t>.</w:t>
      </w:r>
      <w:r w:rsidR="00160730">
        <w:rPr>
          <w:rFonts w:cs="Arial"/>
          <w:sz w:val="18"/>
          <w:szCs w:val="18"/>
        </w:rPr>
        <w:t xml:space="preserve"> Zie voor een nadere toelichting op de totstandkoming en inhoud van </w:t>
      </w:r>
      <w:r>
        <w:rPr>
          <w:rFonts w:cs="Arial"/>
          <w:sz w:val="18"/>
          <w:szCs w:val="18"/>
        </w:rPr>
        <w:t>de EMIR</w:t>
      </w:r>
      <w:r w:rsidR="000F68DF">
        <w:rPr>
          <w:rFonts w:cs="Arial"/>
          <w:sz w:val="18"/>
          <w:szCs w:val="18"/>
        </w:rPr>
        <w:t xml:space="preserve"> 3-verordening</w:t>
      </w:r>
      <w:r w:rsidR="00160730">
        <w:rPr>
          <w:rFonts w:cs="Arial"/>
          <w:sz w:val="18"/>
          <w:szCs w:val="18"/>
        </w:rPr>
        <w:t xml:space="preserve"> en de EMIR 3-richtlijn</w:t>
      </w:r>
      <w:r>
        <w:rPr>
          <w:rFonts w:cs="Arial"/>
          <w:sz w:val="18"/>
          <w:szCs w:val="18"/>
        </w:rPr>
        <w:t xml:space="preserve"> </w:t>
      </w:r>
      <w:r w:rsidR="00160730">
        <w:rPr>
          <w:rFonts w:cs="Arial"/>
          <w:sz w:val="18"/>
          <w:szCs w:val="18"/>
        </w:rPr>
        <w:t xml:space="preserve">de toelichting bij het Uitvoeringsbesluit EMIR 3-verordening en EMIR-3 </w:t>
      </w:r>
      <w:r w:rsidR="00160730">
        <w:rPr>
          <w:rFonts w:cs="Arial"/>
          <w:sz w:val="18"/>
          <w:szCs w:val="18"/>
        </w:rPr>
        <w:lastRenderedPageBreak/>
        <w:t xml:space="preserve">richtlijn. </w:t>
      </w:r>
      <w:r w:rsidR="00EE3828">
        <w:rPr>
          <w:rFonts w:cs="Arial"/>
          <w:sz w:val="18"/>
          <w:szCs w:val="18"/>
        </w:rPr>
        <w:t>De EMIR-richtlijn moet uiterlijk 25 juni 2026 zijn omgezet in Nederlandse wetgeving.</w:t>
      </w:r>
    </w:p>
    <w:p w:rsidR="00EF7E1D" w:rsidP="00661413" w:rsidRDefault="00EF7E1D" w14:paraId="781857FD" w14:textId="77777777">
      <w:pPr>
        <w:widowControl w:val="0"/>
        <w:tabs>
          <w:tab w:val="num" w:pos="720"/>
        </w:tabs>
        <w:spacing w:line="240" w:lineRule="atLeast"/>
        <w:rPr>
          <w:rFonts w:cs="Arial"/>
          <w:sz w:val="18"/>
          <w:szCs w:val="18"/>
        </w:rPr>
      </w:pPr>
    </w:p>
    <w:p w:rsidR="000F68DF" w:rsidP="000F68DF" w:rsidRDefault="000F68DF" w14:paraId="2487C016" w14:textId="78D278A8">
      <w:pPr>
        <w:widowControl w:val="0"/>
        <w:tabs>
          <w:tab w:val="num" w:pos="720"/>
        </w:tabs>
        <w:spacing w:line="240" w:lineRule="atLeast"/>
        <w:rPr>
          <w:rFonts w:cs="Arial"/>
          <w:sz w:val="18"/>
          <w:szCs w:val="18"/>
        </w:rPr>
      </w:pPr>
      <w:r w:rsidRPr="00BD04E1">
        <w:rPr>
          <w:rFonts w:cs="Arial"/>
          <w:sz w:val="18"/>
          <w:szCs w:val="18"/>
        </w:rPr>
        <w:t>In paragraaf 2 van deze memorie van toelichting wordt ingegaan op de totstandkoming van de verordening en richtlijn. In paragraaf 3 wordt</w:t>
      </w:r>
      <w:r>
        <w:rPr>
          <w:rFonts w:cs="Arial"/>
          <w:sz w:val="18"/>
          <w:szCs w:val="18"/>
        </w:rPr>
        <w:t xml:space="preserve"> de inhoud van de richtlijn en de verordening besproken en </w:t>
      </w:r>
      <w:r w:rsidR="00812BD0">
        <w:rPr>
          <w:rFonts w:cs="Arial"/>
          <w:sz w:val="18"/>
          <w:szCs w:val="18"/>
        </w:rPr>
        <w:t xml:space="preserve">wordt </w:t>
      </w:r>
      <w:r>
        <w:rPr>
          <w:rFonts w:cs="Arial"/>
          <w:sz w:val="18"/>
          <w:szCs w:val="18"/>
        </w:rPr>
        <w:t>kort</w:t>
      </w:r>
      <w:r w:rsidR="00812BD0">
        <w:rPr>
          <w:rFonts w:cs="Arial"/>
          <w:sz w:val="18"/>
          <w:szCs w:val="18"/>
        </w:rPr>
        <w:t xml:space="preserve"> stilgestaan bij</w:t>
      </w:r>
      <w:r>
        <w:rPr>
          <w:rFonts w:cs="Arial"/>
          <w:sz w:val="18"/>
          <w:szCs w:val="18"/>
        </w:rPr>
        <w:t xml:space="preserve"> de inhoud van de EMIR 3-richtlijn.</w:t>
      </w:r>
      <w:r w:rsidRPr="00BD04E1">
        <w:rPr>
          <w:rFonts w:cs="Arial"/>
          <w:sz w:val="18"/>
          <w:szCs w:val="18"/>
        </w:rPr>
        <w:t xml:space="preserve"> </w:t>
      </w:r>
      <w:r>
        <w:rPr>
          <w:rFonts w:cs="Arial"/>
          <w:sz w:val="18"/>
          <w:szCs w:val="18"/>
        </w:rPr>
        <w:t xml:space="preserve">Paragraaf 4 beschrijft </w:t>
      </w:r>
      <w:r w:rsidRPr="00BD04E1">
        <w:rPr>
          <w:rFonts w:cs="Arial"/>
          <w:sz w:val="18"/>
          <w:szCs w:val="18"/>
        </w:rPr>
        <w:t>de wijze waarop de richtlijn</w:t>
      </w:r>
      <w:r>
        <w:rPr>
          <w:rFonts w:cs="Arial"/>
          <w:sz w:val="18"/>
          <w:szCs w:val="18"/>
        </w:rPr>
        <w:t xml:space="preserve"> en de EMIR 3-richtlijn</w:t>
      </w:r>
      <w:r w:rsidRPr="00BD04E1">
        <w:rPr>
          <w:rFonts w:cs="Arial"/>
          <w:sz w:val="18"/>
          <w:szCs w:val="18"/>
        </w:rPr>
        <w:t xml:space="preserve"> in Nederlandse wet- en regelgeving word</w:t>
      </w:r>
      <w:r w:rsidR="00EF7E1D">
        <w:rPr>
          <w:rFonts w:cs="Arial"/>
          <w:sz w:val="18"/>
          <w:szCs w:val="18"/>
        </w:rPr>
        <w:t>en</w:t>
      </w:r>
      <w:r w:rsidRPr="00BD04E1">
        <w:rPr>
          <w:rFonts w:cs="Arial"/>
          <w:sz w:val="18"/>
          <w:szCs w:val="18"/>
        </w:rPr>
        <w:t xml:space="preserve"> geïmplementeerd </w:t>
      </w:r>
      <w:r w:rsidR="00E25820">
        <w:rPr>
          <w:rFonts w:cs="Arial"/>
          <w:sz w:val="18"/>
          <w:szCs w:val="18"/>
        </w:rPr>
        <w:t>en de lidstaatopties in de richtlij</w:t>
      </w:r>
      <w:r w:rsidR="004970E8">
        <w:rPr>
          <w:rFonts w:cs="Arial"/>
          <w:sz w:val="18"/>
          <w:szCs w:val="18"/>
        </w:rPr>
        <w:t>n</w:t>
      </w:r>
      <w:r w:rsidRPr="00BD04E1">
        <w:rPr>
          <w:rFonts w:cs="Arial"/>
          <w:sz w:val="18"/>
          <w:szCs w:val="18"/>
        </w:rPr>
        <w:t xml:space="preserve">. In paragraaf </w:t>
      </w:r>
      <w:r>
        <w:rPr>
          <w:rFonts w:cs="Arial"/>
          <w:sz w:val="18"/>
          <w:szCs w:val="18"/>
        </w:rPr>
        <w:t>5</w:t>
      </w:r>
      <w:r w:rsidRPr="00BD04E1">
        <w:rPr>
          <w:rFonts w:cs="Arial"/>
          <w:sz w:val="18"/>
          <w:szCs w:val="18"/>
        </w:rPr>
        <w:t xml:space="preserve"> word</w:t>
      </w:r>
      <w:r w:rsidR="00EE3828">
        <w:rPr>
          <w:rFonts w:cs="Arial"/>
          <w:sz w:val="18"/>
          <w:szCs w:val="18"/>
        </w:rPr>
        <w:t>en de gevolgen van het wetsvoorstel besproken met daarin</w:t>
      </w:r>
      <w:r w:rsidRPr="00BD04E1">
        <w:rPr>
          <w:rFonts w:cs="Arial"/>
          <w:sz w:val="18"/>
          <w:szCs w:val="18"/>
        </w:rPr>
        <w:t xml:space="preserve"> aandacht </w:t>
      </w:r>
      <w:r w:rsidR="00EE3828">
        <w:rPr>
          <w:rFonts w:cs="Arial"/>
          <w:sz w:val="18"/>
          <w:szCs w:val="18"/>
        </w:rPr>
        <w:t>voor</w:t>
      </w:r>
      <w:r w:rsidRPr="00BD04E1">
        <w:rPr>
          <w:rFonts w:cs="Arial"/>
          <w:sz w:val="18"/>
          <w:szCs w:val="18"/>
        </w:rPr>
        <w:t xml:space="preserve"> de regeldruk. Paragraaf </w:t>
      </w:r>
      <w:r>
        <w:rPr>
          <w:rFonts w:cs="Arial"/>
          <w:sz w:val="18"/>
          <w:szCs w:val="18"/>
        </w:rPr>
        <w:t>6</w:t>
      </w:r>
      <w:r w:rsidRPr="00BD04E1">
        <w:rPr>
          <w:rFonts w:cs="Arial"/>
          <w:sz w:val="18"/>
          <w:szCs w:val="18"/>
        </w:rPr>
        <w:t xml:space="preserve"> beschrijft de gevolgen voor de uitvoering van dit voorstel voor </w:t>
      </w:r>
      <w:r w:rsidR="003D5EA9">
        <w:rPr>
          <w:rFonts w:cs="Arial"/>
          <w:sz w:val="18"/>
          <w:szCs w:val="18"/>
        </w:rPr>
        <w:t>D</w:t>
      </w:r>
      <w:r w:rsidRPr="00BD04E1">
        <w:rPr>
          <w:rFonts w:cs="Arial"/>
          <w:sz w:val="18"/>
          <w:szCs w:val="18"/>
        </w:rPr>
        <w:t xml:space="preserve">e Nederlandsche Bank (DNB) als toezichthouder. In paragraaf </w:t>
      </w:r>
      <w:r>
        <w:rPr>
          <w:rFonts w:cs="Arial"/>
          <w:sz w:val="18"/>
          <w:szCs w:val="18"/>
        </w:rPr>
        <w:t xml:space="preserve">7 </w:t>
      </w:r>
      <w:r w:rsidRPr="00BD04E1">
        <w:rPr>
          <w:rFonts w:cs="Arial"/>
          <w:sz w:val="18"/>
          <w:szCs w:val="18"/>
        </w:rPr>
        <w:t>kom</w:t>
      </w:r>
      <w:r w:rsidR="00EF7E1D">
        <w:rPr>
          <w:rFonts w:cs="Arial"/>
          <w:sz w:val="18"/>
          <w:szCs w:val="18"/>
        </w:rPr>
        <w:t>en</w:t>
      </w:r>
      <w:r w:rsidRPr="00BD04E1">
        <w:rPr>
          <w:rFonts w:cs="Arial"/>
          <w:sz w:val="18"/>
          <w:szCs w:val="18"/>
        </w:rPr>
        <w:t xml:space="preserve"> de openbare internetconsultatie en de reacties daarop aan bod. Na de algemene toelichting volgt de artikelsgewijze toelichting. Als bijlage is een transponeringstabel</w:t>
      </w:r>
      <w:r w:rsidR="002D479C">
        <w:rPr>
          <w:rFonts w:cs="Arial"/>
          <w:sz w:val="18"/>
          <w:szCs w:val="18"/>
        </w:rPr>
        <w:t xml:space="preserve"> van de richtlijn en de EMIR 3-richtlijn</w:t>
      </w:r>
      <w:r w:rsidRPr="00BD04E1">
        <w:rPr>
          <w:rFonts w:cs="Arial"/>
          <w:sz w:val="18"/>
          <w:szCs w:val="18"/>
        </w:rPr>
        <w:t xml:space="preserve"> toegevoegd.</w:t>
      </w:r>
    </w:p>
    <w:p w:rsidRPr="00BD04E1" w:rsidR="00661413" w:rsidP="001E56AB" w:rsidRDefault="00661413" w14:paraId="093DDEDA" w14:textId="77777777">
      <w:pPr>
        <w:widowControl w:val="0"/>
        <w:tabs>
          <w:tab w:val="num" w:pos="720"/>
        </w:tabs>
        <w:spacing w:line="240" w:lineRule="atLeast"/>
        <w:rPr>
          <w:rFonts w:cs="Arial"/>
          <w:sz w:val="18"/>
          <w:szCs w:val="18"/>
        </w:rPr>
      </w:pPr>
    </w:p>
    <w:p w:rsidRPr="00496E2A" w:rsidR="001E56AB" w:rsidP="001E56AB" w:rsidRDefault="001E56AB" w14:paraId="1B3F5764" w14:textId="7E19FD29">
      <w:pPr>
        <w:widowControl w:val="0"/>
        <w:spacing w:line="240" w:lineRule="atLeast"/>
        <w:rPr>
          <w:rFonts w:cs="Arial"/>
          <w:i/>
          <w:sz w:val="18"/>
          <w:szCs w:val="18"/>
        </w:rPr>
      </w:pPr>
      <w:r w:rsidRPr="00496E2A">
        <w:rPr>
          <w:rFonts w:cs="Arial"/>
          <w:i/>
          <w:sz w:val="18"/>
          <w:szCs w:val="18"/>
        </w:rPr>
        <w:t>§ 2. Totstandkoming richtlijn en verordening.</w:t>
      </w:r>
    </w:p>
    <w:p w:rsidR="006E289B" w:rsidP="001E56AB" w:rsidRDefault="00E24D85" w14:paraId="5400EAF6" w14:textId="5CA74084">
      <w:pPr>
        <w:spacing w:line="240" w:lineRule="atLeast"/>
        <w:rPr>
          <w:rFonts w:cs="Arial"/>
          <w:bCs/>
          <w:sz w:val="18"/>
          <w:szCs w:val="18"/>
        </w:rPr>
      </w:pPr>
      <w:r w:rsidRPr="00496E2A">
        <w:rPr>
          <w:rFonts w:cs="Arial"/>
          <w:i/>
          <w:sz w:val="18"/>
          <w:szCs w:val="18"/>
        </w:rPr>
        <w:t>§ 2.</w:t>
      </w:r>
      <w:r>
        <w:rPr>
          <w:rFonts w:cs="Arial"/>
          <w:i/>
          <w:sz w:val="18"/>
          <w:szCs w:val="18"/>
        </w:rPr>
        <w:t>1</w:t>
      </w:r>
      <w:r w:rsidR="006E289B">
        <w:rPr>
          <w:rFonts w:cs="Arial"/>
          <w:bCs/>
          <w:sz w:val="18"/>
          <w:szCs w:val="18"/>
        </w:rPr>
        <w:t xml:space="preserve"> </w:t>
      </w:r>
      <w:r w:rsidRPr="00E24D85" w:rsidR="00D270FC">
        <w:rPr>
          <w:rFonts w:cs="Arial"/>
          <w:bCs/>
          <w:i/>
          <w:iCs/>
          <w:sz w:val="18"/>
          <w:szCs w:val="18"/>
        </w:rPr>
        <w:t>Bazel</w:t>
      </w:r>
      <w:r w:rsidR="008405ED">
        <w:rPr>
          <w:rFonts w:cs="Arial"/>
          <w:bCs/>
          <w:i/>
          <w:iCs/>
          <w:sz w:val="18"/>
          <w:szCs w:val="18"/>
        </w:rPr>
        <w:t>-</w:t>
      </w:r>
      <w:r w:rsidRPr="00E24D85" w:rsidR="00D270FC">
        <w:rPr>
          <w:rFonts w:cs="Arial"/>
          <w:bCs/>
          <w:i/>
          <w:iCs/>
          <w:sz w:val="18"/>
          <w:szCs w:val="18"/>
        </w:rPr>
        <w:t>afspraken</w:t>
      </w:r>
    </w:p>
    <w:p w:rsidR="006E289B" w:rsidP="006E289B" w:rsidRDefault="00D9344F" w14:paraId="326F8822" w14:textId="45CD5216">
      <w:pPr>
        <w:spacing w:line="240" w:lineRule="atLeast"/>
        <w:rPr>
          <w:rFonts w:cs="Arial"/>
          <w:bCs/>
          <w:sz w:val="18"/>
          <w:szCs w:val="18"/>
        </w:rPr>
      </w:pPr>
      <w:r>
        <w:rPr>
          <w:rFonts w:cs="Arial"/>
          <w:bCs/>
          <w:sz w:val="18"/>
          <w:szCs w:val="18"/>
        </w:rPr>
        <w:t>De</w:t>
      </w:r>
      <w:r w:rsidRPr="00496E2A" w:rsidR="006E289B">
        <w:rPr>
          <w:rFonts w:cs="Arial"/>
          <w:bCs/>
          <w:sz w:val="18"/>
          <w:szCs w:val="18"/>
        </w:rPr>
        <w:t xml:space="preserve"> bankensector </w:t>
      </w:r>
      <w:r>
        <w:rPr>
          <w:rFonts w:cs="Arial"/>
          <w:bCs/>
          <w:sz w:val="18"/>
          <w:szCs w:val="18"/>
        </w:rPr>
        <w:t xml:space="preserve">is </w:t>
      </w:r>
      <w:r w:rsidRPr="00496E2A" w:rsidR="006E289B">
        <w:rPr>
          <w:rFonts w:cs="Arial"/>
          <w:bCs/>
          <w:sz w:val="18"/>
          <w:szCs w:val="18"/>
        </w:rPr>
        <w:t>een internationaal opererende sector</w:t>
      </w:r>
      <w:r>
        <w:rPr>
          <w:rFonts w:cs="Arial"/>
          <w:bCs/>
          <w:sz w:val="18"/>
          <w:szCs w:val="18"/>
        </w:rPr>
        <w:t>. Daarom</w:t>
      </w:r>
      <w:r w:rsidRPr="00496E2A" w:rsidR="006E289B">
        <w:rPr>
          <w:rFonts w:cs="Arial"/>
          <w:bCs/>
          <w:sz w:val="18"/>
          <w:szCs w:val="18"/>
        </w:rPr>
        <w:t xml:space="preserve"> zijn in internationaal verband afspraken gemaakt over de prudentiële eisen voor banken. </w:t>
      </w:r>
      <w:r w:rsidR="006E289B">
        <w:rPr>
          <w:rFonts w:cs="Arial"/>
          <w:bCs/>
          <w:sz w:val="18"/>
          <w:szCs w:val="18"/>
        </w:rPr>
        <w:t xml:space="preserve">Prudentiële eisen hebben als doel </w:t>
      </w:r>
      <w:r w:rsidR="00583774">
        <w:rPr>
          <w:rFonts w:cs="Arial"/>
          <w:bCs/>
          <w:sz w:val="18"/>
          <w:szCs w:val="18"/>
        </w:rPr>
        <w:t xml:space="preserve">de </w:t>
      </w:r>
      <w:r>
        <w:rPr>
          <w:rFonts w:cs="Arial"/>
          <w:bCs/>
          <w:sz w:val="18"/>
          <w:szCs w:val="18"/>
        </w:rPr>
        <w:t xml:space="preserve">weerbaarheid </w:t>
      </w:r>
      <w:r w:rsidR="006E289B">
        <w:rPr>
          <w:rFonts w:cs="Arial"/>
          <w:bCs/>
          <w:sz w:val="18"/>
          <w:szCs w:val="18"/>
        </w:rPr>
        <w:t>van individuele banken en de sector als geheel te</w:t>
      </w:r>
      <w:r>
        <w:rPr>
          <w:rFonts w:cs="Arial"/>
          <w:bCs/>
          <w:sz w:val="18"/>
          <w:szCs w:val="18"/>
        </w:rPr>
        <w:t xml:space="preserve"> vergroten, en zo de </w:t>
      </w:r>
      <w:r w:rsidR="00A511C5">
        <w:rPr>
          <w:rFonts w:cs="Arial"/>
          <w:bCs/>
          <w:sz w:val="18"/>
          <w:szCs w:val="18"/>
        </w:rPr>
        <w:t xml:space="preserve">soliditeit van banken en de </w:t>
      </w:r>
      <w:r>
        <w:rPr>
          <w:rFonts w:cs="Arial"/>
          <w:bCs/>
          <w:sz w:val="18"/>
          <w:szCs w:val="18"/>
        </w:rPr>
        <w:t>financiële stabiliteit te</w:t>
      </w:r>
      <w:r w:rsidR="006E289B">
        <w:rPr>
          <w:rFonts w:cs="Arial"/>
          <w:bCs/>
          <w:sz w:val="18"/>
          <w:szCs w:val="18"/>
        </w:rPr>
        <w:t xml:space="preserve"> </w:t>
      </w:r>
      <w:r w:rsidR="00AA396E">
        <w:rPr>
          <w:rFonts w:cs="Arial"/>
          <w:bCs/>
          <w:sz w:val="18"/>
          <w:szCs w:val="18"/>
        </w:rPr>
        <w:t>bevorderen</w:t>
      </w:r>
      <w:r>
        <w:rPr>
          <w:rFonts w:cs="Arial"/>
          <w:bCs/>
          <w:sz w:val="18"/>
          <w:szCs w:val="18"/>
        </w:rPr>
        <w:t xml:space="preserve">. </w:t>
      </w:r>
      <w:r w:rsidR="00583774">
        <w:rPr>
          <w:rFonts w:cs="Arial"/>
          <w:bCs/>
          <w:sz w:val="18"/>
          <w:szCs w:val="18"/>
        </w:rPr>
        <w:t>Deze p</w:t>
      </w:r>
      <w:r>
        <w:rPr>
          <w:rFonts w:cs="Arial"/>
          <w:bCs/>
          <w:sz w:val="18"/>
          <w:szCs w:val="18"/>
        </w:rPr>
        <w:t xml:space="preserve">rudentiële eisen zien </w:t>
      </w:r>
      <w:r w:rsidR="004B6875">
        <w:rPr>
          <w:rFonts w:cs="Arial"/>
          <w:bCs/>
          <w:sz w:val="18"/>
          <w:szCs w:val="18"/>
        </w:rPr>
        <w:t>onder andere</w:t>
      </w:r>
      <w:r>
        <w:rPr>
          <w:rFonts w:cs="Arial"/>
          <w:bCs/>
          <w:sz w:val="18"/>
          <w:szCs w:val="18"/>
        </w:rPr>
        <w:t xml:space="preserve"> op het aan te houden kapitaal</w:t>
      </w:r>
      <w:r w:rsidR="00D67DCA">
        <w:rPr>
          <w:rFonts w:cs="Arial"/>
          <w:bCs/>
          <w:sz w:val="18"/>
          <w:szCs w:val="18"/>
        </w:rPr>
        <w:t>, de aan te houden liquide middelen en het risicomanagement</w:t>
      </w:r>
      <w:r>
        <w:rPr>
          <w:rFonts w:cs="Arial"/>
          <w:bCs/>
          <w:sz w:val="18"/>
          <w:szCs w:val="18"/>
        </w:rPr>
        <w:t xml:space="preserve"> door banken.</w:t>
      </w:r>
      <w:r w:rsidR="006E289B">
        <w:rPr>
          <w:rFonts w:cs="Arial"/>
          <w:bCs/>
          <w:sz w:val="18"/>
          <w:szCs w:val="18"/>
        </w:rPr>
        <w:t xml:space="preserve"> </w:t>
      </w:r>
      <w:r w:rsidR="00EE343F">
        <w:rPr>
          <w:rFonts w:cs="Arial"/>
          <w:bCs/>
          <w:sz w:val="18"/>
          <w:szCs w:val="18"/>
        </w:rPr>
        <w:t>I</w:t>
      </w:r>
      <w:r w:rsidR="00AA396E">
        <w:rPr>
          <w:rFonts w:cs="Arial"/>
          <w:bCs/>
          <w:sz w:val="18"/>
          <w:szCs w:val="18"/>
        </w:rPr>
        <w:t>nternationale afspraken over prudentiële eisen</w:t>
      </w:r>
      <w:r w:rsidRPr="00496E2A" w:rsidR="006E289B">
        <w:rPr>
          <w:rFonts w:cs="Arial"/>
          <w:bCs/>
          <w:sz w:val="18"/>
          <w:szCs w:val="18"/>
        </w:rPr>
        <w:t xml:space="preserve"> worden </w:t>
      </w:r>
      <w:r w:rsidR="00EE343F">
        <w:rPr>
          <w:rFonts w:cs="Arial"/>
          <w:bCs/>
          <w:sz w:val="18"/>
          <w:szCs w:val="18"/>
        </w:rPr>
        <w:t>op</w:t>
      </w:r>
      <w:r w:rsidRPr="00496E2A" w:rsidR="006E289B">
        <w:rPr>
          <w:rFonts w:cs="Arial"/>
          <w:bCs/>
          <w:sz w:val="18"/>
          <w:szCs w:val="18"/>
        </w:rPr>
        <w:t>gesteld door het Bazel</w:t>
      </w:r>
      <w:r w:rsidR="008405ED">
        <w:rPr>
          <w:rFonts w:cs="Arial"/>
          <w:bCs/>
          <w:sz w:val="18"/>
          <w:szCs w:val="18"/>
        </w:rPr>
        <w:t>s</w:t>
      </w:r>
      <w:r w:rsidRPr="00496E2A" w:rsidR="006E289B">
        <w:rPr>
          <w:rFonts w:cs="Arial"/>
          <w:bCs/>
          <w:sz w:val="18"/>
          <w:szCs w:val="18"/>
        </w:rPr>
        <w:t xml:space="preserve"> Comité</w:t>
      </w:r>
      <w:r w:rsidR="00583774">
        <w:rPr>
          <w:rFonts w:cs="Arial"/>
          <w:bCs/>
          <w:sz w:val="18"/>
          <w:szCs w:val="18"/>
        </w:rPr>
        <w:t xml:space="preserve"> voor Bankentoezicht</w:t>
      </w:r>
      <w:r w:rsidRPr="00496E2A" w:rsidR="006E289B">
        <w:rPr>
          <w:rFonts w:cs="Arial"/>
          <w:bCs/>
          <w:sz w:val="18"/>
          <w:szCs w:val="18"/>
        </w:rPr>
        <w:t>. Dit Comité is een onafhankelijk internationa</w:t>
      </w:r>
      <w:r w:rsidR="00EE343F">
        <w:rPr>
          <w:rFonts w:cs="Arial"/>
          <w:bCs/>
          <w:sz w:val="18"/>
          <w:szCs w:val="18"/>
        </w:rPr>
        <w:t>le organisatie</w:t>
      </w:r>
      <w:r w:rsidRPr="00496E2A" w:rsidR="006E289B">
        <w:rPr>
          <w:rFonts w:cs="Arial"/>
          <w:bCs/>
          <w:sz w:val="18"/>
          <w:szCs w:val="18"/>
        </w:rPr>
        <w:t xml:space="preserve"> waaraan vertegenwoordigers van centrale banken</w:t>
      </w:r>
      <w:r w:rsidR="008405ED">
        <w:rPr>
          <w:rFonts w:cs="Arial"/>
          <w:bCs/>
          <w:sz w:val="18"/>
          <w:szCs w:val="18"/>
        </w:rPr>
        <w:t xml:space="preserve"> en </w:t>
      </w:r>
      <w:r w:rsidRPr="00496E2A" w:rsidR="008405ED">
        <w:rPr>
          <w:rFonts w:cs="Arial"/>
          <w:bCs/>
          <w:sz w:val="18"/>
          <w:szCs w:val="18"/>
        </w:rPr>
        <w:t>financiële toezichthouders op banken</w:t>
      </w:r>
      <w:r w:rsidRPr="00496E2A" w:rsidR="006E289B">
        <w:rPr>
          <w:rFonts w:cs="Arial"/>
          <w:bCs/>
          <w:sz w:val="18"/>
          <w:szCs w:val="18"/>
        </w:rPr>
        <w:t xml:space="preserve"> deelnemen. Het Comité formuleert uitgangspunten voor het prudentiële</w:t>
      </w:r>
      <w:r w:rsidR="00EE343F">
        <w:rPr>
          <w:rFonts w:cs="Arial"/>
          <w:bCs/>
          <w:sz w:val="18"/>
          <w:szCs w:val="18"/>
        </w:rPr>
        <w:t xml:space="preserve"> toezicht op banken, waarbij de belangrijkste criteria de f</w:t>
      </w:r>
      <w:r w:rsidRPr="00496E2A" w:rsidR="006E289B">
        <w:rPr>
          <w:rFonts w:cs="Arial"/>
          <w:bCs/>
          <w:sz w:val="18"/>
          <w:szCs w:val="18"/>
        </w:rPr>
        <w:t xml:space="preserve">inanciële soliditeit en stabiliteit </w:t>
      </w:r>
      <w:r w:rsidR="00EE343F">
        <w:rPr>
          <w:rFonts w:cs="Arial"/>
          <w:bCs/>
          <w:sz w:val="18"/>
          <w:szCs w:val="18"/>
        </w:rPr>
        <w:t>zijn</w:t>
      </w:r>
      <w:r w:rsidRPr="00496E2A" w:rsidR="006E289B">
        <w:rPr>
          <w:rFonts w:cs="Arial"/>
          <w:bCs/>
          <w:sz w:val="18"/>
          <w:szCs w:val="18"/>
        </w:rPr>
        <w:t xml:space="preserve">. </w:t>
      </w:r>
      <w:r w:rsidR="00EE343F">
        <w:rPr>
          <w:rFonts w:cs="Arial"/>
          <w:bCs/>
          <w:sz w:val="18"/>
          <w:szCs w:val="18"/>
        </w:rPr>
        <w:t>In</w:t>
      </w:r>
      <w:r w:rsidRPr="00496E2A" w:rsidR="006E289B">
        <w:rPr>
          <w:rFonts w:cs="Arial"/>
          <w:bCs/>
          <w:sz w:val="18"/>
          <w:szCs w:val="18"/>
        </w:rPr>
        <w:t xml:space="preserve"> 1988, 2004 en 2010 zijn er </w:t>
      </w:r>
      <w:r w:rsidR="00EE343F">
        <w:rPr>
          <w:rFonts w:cs="Arial"/>
          <w:bCs/>
          <w:sz w:val="18"/>
          <w:szCs w:val="18"/>
        </w:rPr>
        <w:t xml:space="preserve">drie Bazel-akkoorden gesloten </w:t>
      </w:r>
      <w:r w:rsidRPr="00496E2A" w:rsidR="006E289B">
        <w:rPr>
          <w:rFonts w:cs="Arial"/>
          <w:bCs/>
          <w:sz w:val="18"/>
          <w:szCs w:val="18"/>
        </w:rPr>
        <w:t>omtrent prudentiële eisen waaraan banken moeten voldoen.</w:t>
      </w:r>
      <w:r w:rsidRPr="00496E2A" w:rsidR="006E289B">
        <w:rPr>
          <w:rStyle w:val="Voetnootmarkering"/>
          <w:rFonts w:cs="Arial"/>
          <w:bCs/>
          <w:sz w:val="18"/>
          <w:szCs w:val="18"/>
        </w:rPr>
        <w:footnoteReference w:id="14"/>
      </w:r>
      <w:r w:rsidRPr="00496E2A" w:rsidR="006E289B">
        <w:rPr>
          <w:rFonts w:cs="Arial"/>
          <w:bCs/>
          <w:sz w:val="18"/>
          <w:szCs w:val="18"/>
        </w:rPr>
        <w:t xml:space="preserve"> De </w:t>
      </w:r>
      <w:r w:rsidR="00D67DCA">
        <w:rPr>
          <w:rFonts w:cs="Arial"/>
          <w:bCs/>
          <w:sz w:val="18"/>
          <w:szCs w:val="18"/>
        </w:rPr>
        <w:t>B</w:t>
      </w:r>
      <w:r w:rsidRPr="00496E2A" w:rsidR="006E289B">
        <w:rPr>
          <w:rFonts w:cs="Arial"/>
          <w:bCs/>
          <w:sz w:val="18"/>
          <w:szCs w:val="18"/>
        </w:rPr>
        <w:t>azelstandaarden uit deze eerste drie akkoorden zijn in de Europese Unie opgenomen in de CRR en CRD en daarmee</w:t>
      </w:r>
      <w:r w:rsidR="00D67DCA">
        <w:rPr>
          <w:rFonts w:cs="Arial"/>
          <w:bCs/>
          <w:sz w:val="18"/>
          <w:szCs w:val="18"/>
        </w:rPr>
        <w:t>, waar nodig,</w:t>
      </w:r>
      <w:r w:rsidRPr="00496E2A" w:rsidR="006E289B">
        <w:rPr>
          <w:rFonts w:cs="Arial"/>
          <w:bCs/>
          <w:sz w:val="18"/>
          <w:szCs w:val="18"/>
        </w:rPr>
        <w:t xml:space="preserve"> ook in Nederlandse wetgeving geïmplementeerd</w:t>
      </w:r>
      <w:r w:rsidR="0082308D">
        <w:rPr>
          <w:rFonts w:cs="Arial"/>
          <w:bCs/>
          <w:sz w:val="18"/>
          <w:szCs w:val="18"/>
        </w:rPr>
        <w:t xml:space="preserve"> in</w:t>
      </w:r>
      <w:r w:rsidR="00EE343F">
        <w:rPr>
          <w:rFonts w:cs="Arial"/>
          <w:bCs/>
          <w:sz w:val="18"/>
          <w:szCs w:val="18"/>
        </w:rPr>
        <w:t xml:space="preserve"> onder andere</w:t>
      </w:r>
      <w:r w:rsidR="0082308D">
        <w:rPr>
          <w:rFonts w:cs="Arial"/>
          <w:bCs/>
          <w:sz w:val="18"/>
          <w:szCs w:val="18"/>
        </w:rPr>
        <w:t xml:space="preserve"> de Wet o</w:t>
      </w:r>
      <w:r w:rsidR="003D5EA9">
        <w:rPr>
          <w:rFonts w:cs="Arial"/>
          <w:bCs/>
          <w:sz w:val="18"/>
          <w:szCs w:val="18"/>
        </w:rPr>
        <w:t>p</w:t>
      </w:r>
      <w:r w:rsidR="0082308D">
        <w:rPr>
          <w:rFonts w:cs="Arial"/>
          <w:bCs/>
          <w:sz w:val="18"/>
          <w:szCs w:val="18"/>
        </w:rPr>
        <w:t xml:space="preserve"> het financieel toezicht (Wft)</w:t>
      </w:r>
      <w:r w:rsidRPr="00496E2A" w:rsidR="006E289B">
        <w:rPr>
          <w:rFonts w:cs="Arial"/>
          <w:bCs/>
          <w:sz w:val="18"/>
          <w:szCs w:val="18"/>
        </w:rPr>
        <w:t>.</w:t>
      </w:r>
    </w:p>
    <w:p w:rsidR="00AA396E" w:rsidP="006E289B" w:rsidRDefault="00AA396E" w14:paraId="1E3DB996" w14:textId="77777777">
      <w:pPr>
        <w:spacing w:line="240" w:lineRule="atLeast"/>
        <w:rPr>
          <w:rFonts w:cs="Arial"/>
          <w:bCs/>
          <w:sz w:val="18"/>
          <w:szCs w:val="18"/>
        </w:rPr>
      </w:pPr>
    </w:p>
    <w:p w:rsidR="0040136C" w:rsidP="006E289B" w:rsidRDefault="00583774" w14:paraId="0EF9DEA3" w14:textId="5ADDE6A6">
      <w:pPr>
        <w:spacing w:line="240" w:lineRule="atLeast"/>
        <w:rPr>
          <w:rFonts w:cs="Arial"/>
          <w:bCs/>
          <w:sz w:val="18"/>
          <w:szCs w:val="18"/>
        </w:rPr>
      </w:pPr>
      <w:r>
        <w:rPr>
          <w:rFonts w:cs="Arial"/>
          <w:bCs/>
          <w:sz w:val="18"/>
          <w:szCs w:val="18"/>
        </w:rPr>
        <w:t>Ook d</w:t>
      </w:r>
      <w:r w:rsidR="00607C81">
        <w:rPr>
          <w:rFonts w:cs="Arial"/>
          <w:bCs/>
          <w:sz w:val="18"/>
          <w:szCs w:val="18"/>
        </w:rPr>
        <w:t xml:space="preserve">e afspraken uit het Bazelakkoord uit 2010 (Bazel III) zijn in 2013 in de Europese Unie opgenomen middels de vaststelling van de </w:t>
      </w:r>
      <w:r w:rsidR="009A3FBB">
        <w:rPr>
          <w:rFonts w:cs="Arial"/>
          <w:bCs/>
          <w:sz w:val="18"/>
          <w:szCs w:val="18"/>
        </w:rPr>
        <w:t>CRR</w:t>
      </w:r>
      <w:r w:rsidR="00607C81">
        <w:rPr>
          <w:rFonts w:cs="Arial"/>
          <w:bCs/>
          <w:sz w:val="18"/>
          <w:szCs w:val="18"/>
        </w:rPr>
        <w:t xml:space="preserve"> en </w:t>
      </w:r>
      <w:r w:rsidR="009A3FBB">
        <w:rPr>
          <w:rFonts w:cs="Arial"/>
          <w:bCs/>
          <w:sz w:val="18"/>
          <w:szCs w:val="18"/>
        </w:rPr>
        <w:t>(de wijziging van) de CRD</w:t>
      </w:r>
      <w:r w:rsidR="00607C81">
        <w:rPr>
          <w:rFonts w:cs="Arial"/>
          <w:bCs/>
          <w:sz w:val="18"/>
          <w:szCs w:val="18"/>
        </w:rPr>
        <w:t xml:space="preserve"> (het CRD-IV/CRR-pakket</w:t>
      </w:r>
      <w:r w:rsidR="008D3F85">
        <w:rPr>
          <w:rStyle w:val="Voetnootmarkering"/>
          <w:rFonts w:cs="Arial"/>
          <w:bCs/>
          <w:sz w:val="18"/>
          <w:szCs w:val="18"/>
        </w:rPr>
        <w:footnoteReference w:id="15"/>
      </w:r>
      <w:r w:rsidR="00607C81">
        <w:rPr>
          <w:rFonts w:cs="Arial"/>
          <w:bCs/>
          <w:sz w:val="18"/>
          <w:szCs w:val="18"/>
        </w:rPr>
        <w:t>)</w:t>
      </w:r>
      <w:r w:rsidR="00A31CD8">
        <w:rPr>
          <w:rFonts w:cs="Arial"/>
          <w:bCs/>
          <w:sz w:val="18"/>
          <w:szCs w:val="18"/>
        </w:rPr>
        <w:t xml:space="preserve">. </w:t>
      </w:r>
      <w:r w:rsidR="0040136C">
        <w:rPr>
          <w:rFonts w:cs="Arial"/>
          <w:bCs/>
          <w:sz w:val="18"/>
          <w:szCs w:val="18"/>
        </w:rPr>
        <w:t>Het voornaamste doel van het CRR-IV/CRR-pakket was het vergroten van de veerkracht van banken en het voorkomen van een soortgelijke crisis als de financiële crisis van 2008-2009.</w:t>
      </w:r>
      <w:r w:rsidR="00263EAD">
        <w:rPr>
          <w:rFonts w:cs="Arial"/>
          <w:bCs/>
          <w:sz w:val="18"/>
          <w:szCs w:val="18"/>
        </w:rPr>
        <w:t xml:space="preserve"> Zo werden de minimale kapitaalvereisten </w:t>
      </w:r>
      <w:r w:rsidR="004B6875">
        <w:rPr>
          <w:rFonts w:cs="Arial"/>
          <w:bCs/>
          <w:sz w:val="18"/>
          <w:szCs w:val="18"/>
        </w:rPr>
        <w:t xml:space="preserve">voor banken </w:t>
      </w:r>
      <w:r w:rsidR="00263EAD">
        <w:rPr>
          <w:rFonts w:cs="Arial"/>
          <w:bCs/>
          <w:sz w:val="18"/>
          <w:szCs w:val="18"/>
        </w:rPr>
        <w:t>verhoogd en werden er eisen gesteld aan de kwaliteit van het aan te houden kapitaal. Ook werden er additionele buffers geïntroduceerd die bovenop de minimale vereisten kwamen</w:t>
      </w:r>
      <w:r w:rsidR="00497EB2">
        <w:rPr>
          <w:rFonts w:cs="Arial"/>
          <w:bCs/>
          <w:sz w:val="18"/>
          <w:szCs w:val="18"/>
        </w:rPr>
        <w:t xml:space="preserve"> en werden </w:t>
      </w:r>
      <w:r w:rsidR="005A2C57">
        <w:rPr>
          <w:rFonts w:cs="Arial"/>
          <w:bCs/>
          <w:sz w:val="18"/>
          <w:szCs w:val="18"/>
        </w:rPr>
        <w:t xml:space="preserve">nieuwe </w:t>
      </w:r>
      <w:r w:rsidR="00497EB2">
        <w:rPr>
          <w:rFonts w:cs="Arial"/>
          <w:bCs/>
          <w:sz w:val="18"/>
          <w:szCs w:val="18"/>
        </w:rPr>
        <w:t>eisen gesteld om liquiditeitsrisico</w:t>
      </w:r>
      <w:r w:rsidR="00DA024E">
        <w:rPr>
          <w:rFonts w:cs="Arial"/>
          <w:bCs/>
          <w:sz w:val="18"/>
          <w:szCs w:val="18"/>
        </w:rPr>
        <w:t>’</w:t>
      </w:r>
      <w:r w:rsidR="00497EB2">
        <w:rPr>
          <w:rFonts w:cs="Arial"/>
          <w:bCs/>
          <w:sz w:val="18"/>
          <w:szCs w:val="18"/>
        </w:rPr>
        <w:t xml:space="preserve">s </w:t>
      </w:r>
      <w:r w:rsidR="00DA024E">
        <w:rPr>
          <w:rFonts w:cs="Arial"/>
          <w:bCs/>
          <w:sz w:val="18"/>
          <w:szCs w:val="18"/>
        </w:rPr>
        <w:t xml:space="preserve">adequaat </w:t>
      </w:r>
      <w:r w:rsidR="00497EB2">
        <w:rPr>
          <w:rFonts w:cs="Arial"/>
          <w:bCs/>
          <w:sz w:val="18"/>
          <w:szCs w:val="18"/>
        </w:rPr>
        <w:t xml:space="preserve">te ondervangen. Daarnaast werd in 2014 het toezicht op naleving van </w:t>
      </w:r>
      <w:r w:rsidR="008D3592">
        <w:rPr>
          <w:rFonts w:cs="Arial"/>
          <w:bCs/>
          <w:sz w:val="18"/>
          <w:szCs w:val="18"/>
        </w:rPr>
        <w:t xml:space="preserve">de vereisten uit </w:t>
      </w:r>
      <w:r w:rsidR="008D3F85">
        <w:rPr>
          <w:rFonts w:cs="Arial"/>
          <w:bCs/>
          <w:sz w:val="18"/>
          <w:szCs w:val="18"/>
        </w:rPr>
        <w:t xml:space="preserve">de </w:t>
      </w:r>
      <w:r w:rsidR="009A3FBB">
        <w:rPr>
          <w:rFonts w:cs="Arial"/>
          <w:bCs/>
          <w:sz w:val="18"/>
          <w:szCs w:val="18"/>
        </w:rPr>
        <w:t>CRD</w:t>
      </w:r>
      <w:r w:rsidR="008D3F85">
        <w:rPr>
          <w:rFonts w:cs="Arial"/>
          <w:bCs/>
          <w:sz w:val="18"/>
          <w:szCs w:val="18"/>
        </w:rPr>
        <w:t xml:space="preserve"> en </w:t>
      </w:r>
      <w:r w:rsidR="009A3FBB">
        <w:rPr>
          <w:rFonts w:cs="Arial"/>
          <w:bCs/>
          <w:sz w:val="18"/>
          <w:szCs w:val="18"/>
        </w:rPr>
        <w:t>CRR</w:t>
      </w:r>
      <w:r w:rsidR="008D3F85">
        <w:rPr>
          <w:rFonts w:cs="Arial"/>
          <w:bCs/>
          <w:sz w:val="18"/>
          <w:szCs w:val="18"/>
        </w:rPr>
        <w:t xml:space="preserve"> </w:t>
      </w:r>
      <w:r w:rsidR="00497EB2">
        <w:rPr>
          <w:rFonts w:cs="Arial"/>
          <w:bCs/>
          <w:sz w:val="18"/>
          <w:szCs w:val="18"/>
        </w:rPr>
        <w:t xml:space="preserve">door Europese banken, als onderdeel van de Bankenunie, gecentraliseerd </w:t>
      </w:r>
      <w:r w:rsidR="008D3F85">
        <w:rPr>
          <w:rFonts w:cs="Arial"/>
          <w:bCs/>
          <w:sz w:val="18"/>
          <w:szCs w:val="18"/>
        </w:rPr>
        <w:t xml:space="preserve">in het </w:t>
      </w:r>
      <w:r w:rsidRPr="00E54385" w:rsidR="00A875B2">
        <w:rPr>
          <w:rFonts w:cs="Arial"/>
          <w:bCs/>
          <w:sz w:val="18"/>
          <w:szCs w:val="18"/>
        </w:rPr>
        <w:t>Gemeenschappelijk Toezichtsmechanisme</w:t>
      </w:r>
      <w:r w:rsidR="00A875B2">
        <w:rPr>
          <w:rFonts w:cs="Arial"/>
          <w:bCs/>
          <w:i/>
          <w:iCs/>
          <w:sz w:val="18"/>
          <w:szCs w:val="18"/>
        </w:rPr>
        <w:t xml:space="preserve"> </w:t>
      </w:r>
      <w:r w:rsidRPr="00E54385" w:rsidR="00A875B2">
        <w:rPr>
          <w:rFonts w:cs="Arial"/>
          <w:bCs/>
          <w:sz w:val="18"/>
          <w:szCs w:val="18"/>
        </w:rPr>
        <w:t>(</w:t>
      </w:r>
      <w:r w:rsidR="00A875B2">
        <w:rPr>
          <w:rFonts w:cs="Arial"/>
          <w:bCs/>
          <w:sz w:val="18"/>
          <w:szCs w:val="18"/>
        </w:rPr>
        <w:t>GTM)</w:t>
      </w:r>
      <w:r w:rsidR="008D3F85">
        <w:rPr>
          <w:rFonts w:cs="Arial"/>
          <w:bCs/>
          <w:sz w:val="18"/>
          <w:szCs w:val="18"/>
        </w:rPr>
        <w:t xml:space="preserve"> middels de verordening bankentoezicht</w:t>
      </w:r>
      <w:r w:rsidR="00497EB2">
        <w:rPr>
          <w:rFonts w:cs="Arial"/>
          <w:bCs/>
          <w:sz w:val="18"/>
          <w:szCs w:val="18"/>
        </w:rPr>
        <w:t>.</w:t>
      </w:r>
      <w:r w:rsidR="008D3F85">
        <w:rPr>
          <w:rStyle w:val="Voetnootmarkering"/>
          <w:rFonts w:cs="Arial"/>
          <w:bCs/>
          <w:sz w:val="18"/>
          <w:szCs w:val="18"/>
        </w:rPr>
        <w:footnoteReference w:id="16"/>
      </w:r>
      <w:r w:rsidR="00497EB2">
        <w:rPr>
          <w:rFonts w:cs="Arial"/>
          <w:bCs/>
          <w:sz w:val="18"/>
          <w:szCs w:val="18"/>
        </w:rPr>
        <w:t xml:space="preserve"> </w:t>
      </w:r>
      <w:r w:rsidR="00C23632">
        <w:rPr>
          <w:rFonts w:cs="Arial"/>
          <w:bCs/>
          <w:sz w:val="18"/>
          <w:szCs w:val="18"/>
        </w:rPr>
        <w:t>Hierbij werd de Europese Centrale Bank (ECB) verantwoordelijk voor het</w:t>
      </w:r>
      <w:r w:rsidR="00BE5627">
        <w:rPr>
          <w:rFonts w:cs="Arial"/>
          <w:bCs/>
          <w:sz w:val="18"/>
          <w:szCs w:val="18"/>
        </w:rPr>
        <w:t xml:space="preserve"> directe</w:t>
      </w:r>
      <w:r w:rsidR="00C23632">
        <w:rPr>
          <w:rFonts w:cs="Arial"/>
          <w:bCs/>
          <w:sz w:val="18"/>
          <w:szCs w:val="18"/>
        </w:rPr>
        <w:t xml:space="preserve"> toezicht op significante banken, en de nationale </w:t>
      </w:r>
      <w:r w:rsidR="00C23632">
        <w:rPr>
          <w:rFonts w:cs="Arial"/>
          <w:bCs/>
          <w:sz w:val="18"/>
          <w:szCs w:val="18"/>
        </w:rPr>
        <w:lastRenderedPageBreak/>
        <w:t>toezichthouders (zoals DNB) voor de minder significante banken.</w:t>
      </w:r>
      <w:r w:rsidR="00C23632">
        <w:rPr>
          <w:rStyle w:val="Voetnootmarkering"/>
          <w:rFonts w:cs="Arial"/>
          <w:bCs/>
          <w:sz w:val="18"/>
          <w:szCs w:val="18"/>
        </w:rPr>
        <w:footnoteReference w:id="17"/>
      </w:r>
      <w:r w:rsidR="00C23632">
        <w:rPr>
          <w:rFonts w:cs="Arial"/>
          <w:bCs/>
          <w:sz w:val="18"/>
          <w:szCs w:val="18"/>
        </w:rPr>
        <w:t xml:space="preserve"> </w:t>
      </w:r>
      <w:r w:rsidR="00C02026">
        <w:rPr>
          <w:rFonts w:cs="Arial"/>
          <w:bCs/>
          <w:sz w:val="18"/>
          <w:szCs w:val="18"/>
        </w:rPr>
        <w:t xml:space="preserve">Zie voor een uitgebreide beschrijving van de inhoud van het CRD-IV/CRR-pakket de memorie van toelichting van de </w:t>
      </w:r>
      <w:r w:rsidR="00D270FC">
        <w:rPr>
          <w:rFonts w:cs="Arial"/>
          <w:bCs/>
          <w:sz w:val="18"/>
          <w:szCs w:val="18"/>
        </w:rPr>
        <w:t>Implementatiewet richtlijn en verordening kapitaalvereisten</w:t>
      </w:r>
      <w:r w:rsidR="00C02026">
        <w:rPr>
          <w:rFonts w:cs="Arial"/>
          <w:bCs/>
          <w:sz w:val="18"/>
          <w:szCs w:val="18"/>
        </w:rPr>
        <w:t>.</w:t>
      </w:r>
      <w:r w:rsidR="00C02026">
        <w:rPr>
          <w:rStyle w:val="Voetnootmarkering"/>
          <w:rFonts w:cs="Arial"/>
          <w:bCs/>
          <w:sz w:val="18"/>
          <w:szCs w:val="18"/>
        </w:rPr>
        <w:footnoteReference w:id="18"/>
      </w:r>
      <w:r w:rsidR="00C02026">
        <w:rPr>
          <w:rFonts w:cs="Arial"/>
          <w:bCs/>
          <w:sz w:val="18"/>
          <w:szCs w:val="18"/>
        </w:rPr>
        <w:t xml:space="preserve"> </w:t>
      </w:r>
      <w:r w:rsidR="005C1428">
        <w:rPr>
          <w:rFonts w:cs="Arial"/>
          <w:bCs/>
          <w:sz w:val="18"/>
          <w:szCs w:val="18"/>
        </w:rPr>
        <w:t>In 2019 werden bepaalde herziene elementen uit de Bazelstandaarden ingevoerd in de Europese Unie middels de vaststelling van het CRD-V/CRR-II-pakket</w:t>
      </w:r>
      <w:r w:rsidR="008D3F85">
        <w:rPr>
          <w:rStyle w:val="Voetnootmarkering"/>
          <w:rFonts w:cs="Arial"/>
          <w:bCs/>
          <w:sz w:val="18"/>
          <w:szCs w:val="18"/>
        </w:rPr>
        <w:footnoteReference w:id="19"/>
      </w:r>
      <w:r w:rsidR="005C1428">
        <w:rPr>
          <w:rFonts w:cs="Arial"/>
          <w:bCs/>
          <w:sz w:val="18"/>
          <w:szCs w:val="18"/>
        </w:rPr>
        <w:t>. Zie voor een uitgebreide beschrijving van de inhoud van het CRD-V/CRR-II-pakket de memorie van toelichting van d</w:t>
      </w:r>
      <w:r w:rsidR="00D270FC">
        <w:rPr>
          <w:rFonts w:cs="Arial"/>
          <w:bCs/>
          <w:sz w:val="18"/>
          <w:szCs w:val="18"/>
        </w:rPr>
        <w:t>e Implementatiewet kapitaalvereisten 2020</w:t>
      </w:r>
      <w:r w:rsidR="005C1428">
        <w:rPr>
          <w:rFonts w:cs="Arial"/>
          <w:bCs/>
          <w:sz w:val="18"/>
          <w:szCs w:val="18"/>
        </w:rPr>
        <w:t>.</w:t>
      </w:r>
      <w:r w:rsidR="005C1428">
        <w:rPr>
          <w:rStyle w:val="Voetnootmarkering"/>
          <w:rFonts w:cs="Arial"/>
          <w:bCs/>
          <w:sz w:val="18"/>
          <w:szCs w:val="18"/>
        </w:rPr>
        <w:footnoteReference w:id="20"/>
      </w:r>
    </w:p>
    <w:p w:rsidR="00607019" w:rsidP="006E289B" w:rsidRDefault="00607019" w14:paraId="0232CBE6" w14:textId="77777777">
      <w:pPr>
        <w:spacing w:line="240" w:lineRule="atLeast"/>
        <w:rPr>
          <w:rFonts w:cs="Arial"/>
          <w:bCs/>
          <w:sz w:val="18"/>
          <w:szCs w:val="18"/>
        </w:rPr>
      </w:pPr>
    </w:p>
    <w:p w:rsidR="00C26132" w:rsidP="001E56AB" w:rsidRDefault="00E24D85" w14:paraId="570CF59A" w14:textId="455B0CEB">
      <w:pPr>
        <w:spacing w:line="240" w:lineRule="atLeast"/>
        <w:rPr>
          <w:rFonts w:cs="Arial"/>
          <w:bCs/>
          <w:sz w:val="18"/>
          <w:szCs w:val="18"/>
        </w:rPr>
      </w:pPr>
      <w:r w:rsidRPr="00496E2A">
        <w:rPr>
          <w:rFonts w:cs="Arial"/>
          <w:i/>
          <w:sz w:val="18"/>
          <w:szCs w:val="18"/>
        </w:rPr>
        <w:t>§ 2.</w:t>
      </w:r>
      <w:r>
        <w:rPr>
          <w:rFonts w:cs="Arial"/>
          <w:i/>
          <w:sz w:val="18"/>
          <w:szCs w:val="18"/>
        </w:rPr>
        <w:t>2 Noodzaak tot aanpassing</w:t>
      </w:r>
    </w:p>
    <w:p w:rsidR="00582544" w:rsidP="001E56AB" w:rsidRDefault="006E5449" w14:paraId="24D97558" w14:textId="25A2265E">
      <w:pPr>
        <w:spacing w:line="240" w:lineRule="atLeast"/>
        <w:rPr>
          <w:color w:val="211D1F"/>
          <w:sz w:val="18"/>
          <w:szCs w:val="18"/>
        </w:rPr>
      </w:pPr>
      <w:r>
        <w:rPr>
          <w:rFonts w:cs="Arial"/>
          <w:bCs/>
          <w:sz w:val="18"/>
          <w:szCs w:val="18"/>
        </w:rPr>
        <w:t>Sinds</w:t>
      </w:r>
      <w:r w:rsidR="008D3F85">
        <w:rPr>
          <w:rFonts w:cs="Arial"/>
          <w:bCs/>
          <w:sz w:val="18"/>
          <w:szCs w:val="18"/>
        </w:rPr>
        <w:t xml:space="preserve"> het CRD-V/CRR-II pakket is ingevoerd </w:t>
      </w:r>
      <w:r>
        <w:rPr>
          <w:rFonts w:cs="Arial"/>
          <w:bCs/>
          <w:sz w:val="18"/>
          <w:szCs w:val="18"/>
        </w:rPr>
        <w:t xml:space="preserve">zijn op internationaal niveau aanvullende afspraken gemaakt, omdat sommige onderdelen van het Bazel III akkoord nadere specificatie vereisten en omdat nog niet alle onderdelen van de Bazelstandaarden na de financiële crisis waren herzien. Op 7 december 2017 heeft het Bazels Comité een </w:t>
      </w:r>
      <w:r w:rsidRPr="008D3F85">
        <w:rPr>
          <w:rFonts w:cs="Arial"/>
          <w:bCs/>
          <w:sz w:val="18"/>
          <w:szCs w:val="18"/>
        </w:rPr>
        <w:t xml:space="preserve">definitief akkoord gepresenteerd met een set hervormingen als afronding van het kapitaaleisenraamwerk van Bazel III. </w:t>
      </w:r>
      <w:r w:rsidRPr="008D3F85" w:rsidR="007D5DEC">
        <w:rPr>
          <w:sz w:val="18"/>
          <w:szCs w:val="18"/>
        </w:rPr>
        <w:t xml:space="preserve">Met het CRD-VI/CRR-III pakket wordt het laatste deel van de op 7 december 2017 overeengekomen hervormingen (ook wel </w:t>
      </w:r>
      <w:r w:rsidRPr="008D3F85">
        <w:rPr>
          <w:sz w:val="18"/>
          <w:szCs w:val="18"/>
        </w:rPr>
        <w:t xml:space="preserve">de finale Bazel III standaarden of </w:t>
      </w:r>
      <w:r w:rsidRPr="008D3F85" w:rsidR="007D5DEC">
        <w:rPr>
          <w:sz w:val="18"/>
          <w:szCs w:val="18"/>
        </w:rPr>
        <w:t>Bazel 3.5 genoemd) opgenomen in de Europese Unie.</w:t>
      </w:r>
      <w:r w:rsidRPr="008D3F85" w:rsidR="007765A8">
        <w:rPr>
          <w:sz w:val="18"/>
          <w:szCs w:val="18"/>
        </w:rPr>
        <w:t xml:space="preserve"> </w:t>
      </w:r>
    </w:p>
    <w:p w:rsidR="006E5449" w:rsidP="001E56AB" w:rsidRDefault="006E5449" w14:paraId="213E6D8E" w14:textId="77777777">
      <w:pPr>
        <w:spacing w:line="240" w:lineRule="atLeast"/>
        <w:rPr>
          <w:rFonts w:cs="Arial"/>
          <w:bCs/>
          <w:sz w:val="18"/>
          <w:szCs w:val="18"/>
        </w:rPr>
      </w:pPr>
    </w:p>
    <w:p w:rsidR="001E56AB" w:rsidP="001E56AB" w:rsidRDefault="001E56AB" w14:paraId="7888AFF9" w14:textId="5712EC5D">
      <w:pPr>
        <w:spacing w:line="240" w:lineRule="atLeast"/>
        <w:rPr>
          <w:rFonts w:cs="Arial"/>
          <w:bCs/>
          <w:sz w:val="18"/>
          <w:szCs w:val="18"/>
        </w:rPr>
      </w:pPr>
      <w:r w:rsidRPr="00496E2A">
        <w:rPr>
          <w:rFonts w:cs="Arial"/>
          <w:bCs/>
          <w:sz w:val="18"/>
          <w:szCs w:val="18"/>
        </w:rPr>
        <w:t xml:space="preserve">De belangrijkste wijzigingen </w:t>
      </w:r>
      <w:r w:rsidR="00DA024E">
        <w:rPr>
          <w:rFonts w:cs="Arial"/>
          <w:bCs/>
          <w:sz w:val="18"/>
          <w:szCs w:val="18"/>
        </w:rPr>
        <w:t xml:space="preserve">uit het CRD-VI/CRR-III pakket </w:t>
      </w:r>
      <w:r w:rsidRPr="00496E2A">
        <w:rPr>
          <w:rFonts w:cs="Arial"/>
          <w:bCs/>
          <w:sz w:val="18"/>
          <w:szCs w:val="18"/>
        </w:rPr>
        <w:t>zien</w:t>
      </w:r>
      <w:r w:rsidR="008D3F85">
        <w:rPr>
          <w:rFonts w:cs="Arial"/>
          <w:bCs/>
          <w:sz w:val="18"/>
          <w:szCs w:val="18"/>
        </w:rPr>
        <w:t xml:space="preserve"> voor wat de </w:t>
      </w:r>
      <w:r w:rsidR="009A3FBB">
        <w:rPr>
          <w:rFonts w:cs="Arial"/>
          <w:bCs/>
          <w:sz w:val="18"/>
          <w:szCs w:val="18"/>
        </w:rPr>
        <w:t>CRR</w:t>
      </w:r>
      <w:r w:rsidR="008D3F85">
        <w:rPr>
          <w:rFonts w:cs="Arial"/>
          <w:bCs/>
          <w:sz w:val="18"/>
          <w:szCs w:val="18"/>
        </w:rPr>
        <w:t xml:space="preserve"> betreft</w:t>
      </w:r>
      <w:r w:rsidRPr="00496E2A">
        <w:rPr>
          <w:rFonts w:cs="Arial"/>
          <w:bCs/>
          <w:sz w:val="18"/>
          <w:szCs w:val="18"/>
        </w:rPr>
        <w:t xml:space="preserve"> op de wijze van berekening van kapitaalvereisten </w:t>
      </w:r>
      <w:r w:rsidR="00DA024E">
        <w:rPr>
          <w:rFonts w:cs="Arial"/>
          <w:bCs/>
          <w:sz w:val="18"/>
          <w:szCs w:val="18"/>
        </w:rPr>
        <w:t>d</w:t>
      </w:r>
      <w:r w:rsidRPr="00496E2A">
        <w:rPr>
          <w:rFonts w:cs="Arial"/>
          <w:bCs/>
          <w:sz w:val="18"/>
          <w:szCs w:val="18"/>
        </w:rPr>
        <w:t xml:space="preserve">oor banken. Kapitaalvereisten hebben tot doel het niveau van kapitaal vast te stellen dat banken </w:t>
      </w:r>
      <w:r w:rsidR="00EF7E1D">
        <w:rPr>
          <w:rFonts w:cs="Arial"/>
          <w:bCs/>
          <w:sz w:val="18"/>
          <w:szCs w:val="18"/>
        </w:rPr>
        <w:t xml:space="preserve">ten minste </w:t>
      </w:r>
      <w:r w:rsidRPr="00496E2A">
        <w:rPr>
          <w:rFonts w:cs="Arial"/>
          <w:bCs/>
          <w:sz w:val="18"/>
          <w:szCs w:val="18"/>
        </w:rPr>
        <w:t>moeten aanhouden om onverwachte verliezen op te vangen en daarmee de kans op insolvabiliteit te verkleinen. De kapitaalvereisten worden primair toegepast op basis van risicogewogen activa (RWA).</w:t>
      </w:r>
      <w:r w:rsidR="00594CF3">
        <w:rPr>
          <w:rStyle w:val="Voetnootmarkering"/>
          <w:rFonts w:cs="Arial"/>
          <w:bCs/>
          <w:sz w:val="18"/>
          <w:szCs w:val="18"/>
        </w:rPr>
        <w:footnoteReference w:id="21"/>
      </w:r>
      <w:r w:rsidRPr="00496E2A">
        <w:rPr>
          <w:rFonts w:cs="Arial"/>
          <w:bCs/>
          <w:sz w:val="18"/>
          <w:szCs w:val="18"/>
        </w:rPr>
        <w:t xml:space="preserve"> </w:t>
      </w:r>
      <w:r w:rsidRPr="00D37045" w:rsidR="00D37045">
        <w:rPr>
          <w:rFonts w:cs="Arial"/>
          <w:bCs/>
          <w:sz w:val="18"/>
          <w:szCs w:val="18"/>
        </w:rPr>
        <w:t>Hoe risicovoller de blootstelling van banken is, des te hoger is het risicogewicht dat hiervoor geldt. Hoe hoger het risicogewicht, des te hoger de hoeveelheid kapitaal die moet worden aangehouden om eventuele verliezen op te vangen</w:t>
      </w:r>
      <w:r w:rsidR="00D37045">
        <w:rPr>
          <w:rFonts w:cs="Arial"/>
          <w:bCs/>
          <w:sz w:val="18"/>
          <w:szCs w:val="18"/>
        </w:rPr>
        <w:t xml:space="preserve">. </w:t>
      </w:r>
      <w:r w:rsidRPr="00496E2A">
        <w:rPr>
          <w:rFonts w:cs="Arial"/>
          <w:bCs/>
          <w:sz w:val="18"/>
          <w:szCs w:val="18"/>
        </w:rPr>
        <w:t xml:space="preserve">Banken kunnen </w:t>
      </w:r>
      <w:r w:rsidR="00BE59D4">
        <w:rPr>
          <w:rFonts w:cs="Arial"/>
          <w:bCs/>
          <w:sz w:val="18"/>
          <w:szCs w:val="18"/>
        </w:rPr>
        <w:t>in CRR</w:t>
      </w:r>
      <w:r w:rsidRPr="00496E2A" w:rsidR="00BE59D4">
        <w:rPr>
          <w:rFonts w:cs="Arial"/>
          <w:bCs/>
          <w:sz w:val="18"/>
          <w:szCs w:val="18"/>
        </w:rPr>
        <w:t xml:space="preserve"> </w:t>
      </w:r>
      <w:r w:rsidRPr="00496E2A">
        <w:rPr>
          <w:rFonts w:cs="Arial"/>
          <w:bCs/>
          <w:sz w:val="18"/>
          <w:szCs w:val="18"/>
        </w:rPr>
        <w:t xml:space="preserve">voorgeschreven risicogewichten, oftewel de standaardbenadering, </w:t>
      </w:r>
      <w:r w:rsidR="00BE59D4">
        <w:rPr>
          <w:rFonts w:cs="Arial"/>
          <w:bCs/>
          <w:sz w:val="18"/>
          <w:szCs w:val="18"/>
        </w:rPr>
        <w:t xml:space="preserve">toepassen </w:t>
      </w:r>
      <w:r w:rsidRPr="00496E2A">
        <w:rPr>
          <w:rFonts w:cs="Arial"/>
          <w:bCs/>
          <w:sz w:val="18"/>
          <w:szCs w:val="18"/>
        </w:rPr>
        <w:t xml:space="preserve">of risicogewichten die volgen uit interne modellen die banken op basis van beschikbare data zelf opstellen. Uit analyses van het Bazels Comité, </w:t>
      </w:r>
      <w:r w:rsidR="00BE59D4">
        <w:rPr>
          <w:rFonts w:cs="Arial"/>
          <w:bCs/>
          <w:sz w:val="18"/>
          <w:szCs w:val="18"/>
        </w:rPr>
        <w:t xml:space="preserve">de </w:t>
      </w:r>
      <w:r w:rsidR="00F662FD">
        <w:rPr>
          <w:rFonts w:cs="Arial"/>
          <w:bCs/>
          <w:sz w:val="18"/>
          <w:szCs w:val="18"/>
        </w:rPr>
        <w:t>Europese Bankenautoriteit (</w:t>
      </w:r>
      <w:r w:rsidRPr="00496E2A">
        <w:rPr>
          <w:rFonts w:cs="Arial"/>
          <w:bCs/>
          <w:sz w:val="18"/>
          <w:szCs w:val="18"/>
        </w:rPr>
        <w:t>EBA</w:t>
      </w:r>
      <w:r w:rsidR="00F662FD">
        <w:rPr>
          <w:rFonts w:cs="Arial"/>
          <w:bCs/>
          <w:sz w:val="18"/>
          <w:szCs w:val="18"/>
        </w:rPr>
        <w:t>)</w:t>
      </w:r>
      <w:r w:rsidRPr="00496E2A">
        <w:rPr>
          <w:rFonts w:cs="Arial"/>
          <w:bCs/>
          <w:sz w:val="18"/>
          <w:szCs w:val="18"/>
        </w:rPr>
        <w:t xml:space="preserve"> en de ECB is gebleken dat de kapitaalvereisten die berekend worden met behulp van interne modellen sterk van elkaar kunnen verschillen, ook in gevallen waarin de onderliggende risico’s niet sterk verschillen.</w:t>
      </w:r>
      <w:r w:rsidRPr="00496E2A">
        <w:rPr>
          <w:rStyle w:val="Voetnootmarkering"/>
          <w:rFonts w:cs="Arial"/>
          <w:bCs/>
          <w:sz w:val="18"/>
          <w:szCs w:val="18"/>
        </w:rPr>
        <w:footnoteReference w:id="22"/>
      </w:r>
      <w:r w:rsidRPr="00496E2A">
        <w:rPr>
          <w:rFonts w:cs="Arial"/>
          <w:bCs/>
          <w:sz w:val="18"/>
          <w:szCs w:val="18"/>
        </w:rPr>
        <w:t xml:space="preserve"> De met de standaardbenadering berekende kapitaalvereisten </w:t>
      </w:r>
      <w:r w:rsidR="00AA15C8">
        <w:rPr>
          <w:rFonts w:cs="Arial"/>
          <w:bCs/>
          <w:sz w:val="18"/>
          <w:szCs w:val="18"/>
        </w:rPr>
        <w:t xml:space="preserve">bleken </w:t>
      </w:r>
      <w:r w:rsidRPr="00496E2A">
        <w:rPr>
          <w:rFonts w:cs="Arial"/>
          <w:bCs/>
          <w:sz w:val="18"/>
          <w:szCs w:val="18"/>
        </w:rPr>
        <w:t xml:space="preserve">in sommige gevallen in onvoldoende mate risicogedreven, wat kan leiden tot ontoereikende </w:t>
      </w:r>
      <w:r w:rsidR="000F671C">
        <w:rPr>
          <w:rFonts w:cs="Arial"/>
          <w:bCs/>
          <w:sz w:val="18"/>
          <w:szCs w:val="18"/>
        </w:rPr>
        <w:t>of</w:t>
      </w:r>
      <w:r w:rsidRPr="00496E2A">
        <w:rPr>
          <w:rFonts w:cs="Arial"/>
          <w:bCs/>
          <w:sz w:val="18"/>
          <w:szCs w:val="18"/>
        </w:rPr>
        <w:t xml:space="preserve"> </w:t>
      </w:r>
      <w:r w:rsidR="00583774">
        <w:rPr>
          <w:rFonts w:cs="Arial"/>
          <w:bCs/>
          <w:sz w:val="18"/>
          <w:szCs w:val="18"/>
        </w:rPr>
        <w:t xml:space="preserve">juist </w:t>
      </w:r>
      <w:r w:rsidRPr="00496E2A">
        <w:rPr>
          <w:rFonts w:cs="Arial"/>
          <w:bCs/>
          <w:sz w:val="18"/>
          <w:szCs w:val="18"/>
        </w:rPr>
        <w:t>onnodig hoge kapitaalvereisten voor specifieke financiële producten of activiteiten.</w:t>
      </w:r>
      <w:r w:rsidR="00925F8D">
        <w:rPr>
          <w:rFonts w:cs="Arial"/>
          <w:bCs/>
          <w:sz w:val="18"/>
          <w:szCs w:val="18"/>
        </w:rPr>
        <w:t xml:space="preserve"> </w:t>
      </w:r>
      <w:r w:rsidRPr="00D37045" w:rsidR="00D37045">
        <w:rPr>
          <w:rFonts w:cs="Arial"/>
          <w:bCs/>
          <w:sz w:val="18"/>
          <w:szCs w:val="18"/>
        </w:rPr>
        <w:t>De Bazelstandaarden en de CRR zijn (onder meer) aangepast om deze tekortkomingen in de standaardbenadering en bij het gebruik van interne modellen te adresseren.</w:t>
      </w:r>
      <w:r w:rsidR="00D270FC">
        <w:rPr>
          <w:rFonts w:cs="Arial"/>
          <w:bCs/>
          <w:sz w:val="18"/>
          <w:szCs w:val="18"/>
        </w:rPr>
        <w:t xml:space="preserve"> Zie voor meer toelichting over </w:t>
      </w:r>
      <w:r w:rsidR="00D270FC">
        <w:rPr>
          <w:rFonts w:cs="Arial"/>
          <w:bCs/>
          <w:sz w:val="18"/>
          <w:szCs w:val="18"/>
        </w:rPr>
        <w:lastRenderedPageBreak/>
        <w:t>de wijzigingen in de CRR de nota van toelichting bij het Uitvoeringsbesluit verordening kapitaalvereisten 2025.</w:t>
      </w:r>
    </w:p>
    <w:p w:rsidR="00EC4097" w:rsidP="001E56AB" w:rsidRDefault="00EC4097" w14:paraId="2DB8F807" w14:textId="18BF1247">
      <w:pPr>
        <w:spacing w:line="240" w:lineRule="atLeast"/>
        <w:rPr>
          <w:rFonts w:cs="Arial"/>
          <w:iCs/>
          <w:sz w:val="18"/>
          <w:szCs w:val="18"/>
        </w:rPr>
      </w:pPr>
    </w:p>
    <w:p w:rsidR="00F662FD" w:rsidP="00D30F46" w:rsidRDefault="00D30F46" w14:paraId="2EE5F459" w14:textId="000523FF">
      <w:pPr>
        <w:spacing w:line="240" w:lineRule="atLeast"/>
        <w:rPr>
          <w:rFonts w:cs="Arial"/>
          <w:iCs/>
          <w:sz w:val="18"/>
          <w:szCs w:val="18"/>
        </w:rPr>
      </w:pPr>
      <w:r>
        <w:rPr>
          <w:rFonts w:cs="Arial"/>
          <w:iCs/>
          <w:sz w:val="18"/>
          <w:szCs w:val="18"/>
        </w:rPr>
        <w:t xml:space="preserve">De aanpassingen in de CRD </w:t>
      </w:r>
      <w:r w:rsidR="00F662FD">
        <w:rPr>
          <w:rFonts w:cs="Arial"/>
          <w:iCs/>
          <w:sz w:val="18"/>
          <w:szCs w:val="18"/>
        </w:rPr>
        <w:t xml:space="preserve">zijn </w:t>
      </w:r>
      <w:r w:rsidR="00FB64E0">
        <w:rPr>
          <w:rFonts w:cs="Arial"/>
          <w:iCs/>
          <w:sz w:val="18"/>
          <w:szCs w:val="18"/>
        </w:rPr>
        <w:t>vierledig</w:t>
      </w:r>
      <w:r w:rsidR="00F662FD">
        <w:rPr>
          <w:rFonts w:cs="Arial"/>
          <w:iCs/>
          <w:sz w:val="18"/>
          <w:szCs w:val="18"/>
        </w:rPr>
        <w:t xml:space="preserve">. Als eerste zijn er aanpassingen gemaakt om </w:t>
      </w:r>
      <w:r w:rsidR="00EE1A43">
        <w:rPr>
          <w:rFonts w:cs="Arial"/>
          <w:iCs/>
          <w:sz w:val="18"/>
          <w:szCs w:val="18"/>
        </w:rPr>
        <w:t>ecologische</w:t>
      </w:r>
      <w:r w:rsidR="00F662FD">
        <w:rPr>
          <w:rFonts w:cs="Arial"/>
          <w:iCs/>
          <w:sz w:val="18"/>
          <w:szCs w:val="18"/>
        </w:rPr>
        <w:t>, sociale en governance-risico’s (hierna: ESG-risico’s) te verankeren in het risicoraamwerk dat banken hanteren om hun risico’s te beheersen. Banken kunnen als geen ander getroffen worden door transitierisico’s en fysieke risico’s die kunnen opspelen bij de omwenteling naar een duurzamere economie. In 2020 heeft de ECB hiervoor al richtsnoeren opgesteld die banken kunnen meenemen in hun risicobeheersing.</w:t>
      </w:r>
      <w:r w:rsidR="00AA15C8">
        <w:rPr>
          <w:rStyle w:val="Voetnootmarkering"/>
          <w:rFonts w:cs="Arial"/>
          <w:iCs/>
          <w:sz w:val="18"/>
          <w:szCs w:val="18"/>
        </w:rPr>
        <w:footnoteReference w:id="23"/>
      </w:r>
      <w:r w:rsidR="00F662FD">
        <w:rPr>
          <w:rFonts w:cs="Arial"/>
          <w:iCs/>
          <w:sz w:val="18"/>
          <w:szCs w:val="18"/>
        </w:rPr>
        <w:t xml:space="preserve"> Met de wijzigingen in de CRD worden ESG-risico</w:t>
      </w:r>
      <w:r w:rsidR="00583774">
        <w:rPr>
          <w:rFonts w:cs="Arial"/>
          <w:iCs/>
          <w:sz w:val="18"/>
          <w:szCs w:val="18"/>
        </w:rPr>
        <w:t>’</w:t>
      </w:r>
      <w:r w:rsidR="00F662FD">
        <w:rPr>
          <w:rFonts w:cs="Arial"/>
          <w:iCs/>
          <w:sz w:val="18"/>
          <w:szCs w:val="18"/>
        </w:rPr>
        <w:t>s nu</w:t>
      </w:r>
      <w:r w:rsidR="00583774">
        <w:rPr>
          <w:rFonts w:cs="Arial"/>
          <w:iCs/>
          <w:sz w:val="18"/>
          <w:szCs w:val="18"/>
        </w:rPr>
        <w:t xml:space="preserve"> op het niveau van de richtlijn</w:t>
      </w:r>
      <w:r w:rsidR="00F662FD">
        <w:rPr>
          <w:rFonts w:cs="Arial"/>
          <w:iCs/>
          <w:sz w:val="18"/>
          <w:szCs w:val="18"/>
        </w:rPr>
        <w:t xml:space="preserve"> in het governanceraamwerk opgenomen als een specifiek risico dat beheerst moet worden.</w:t>
      </w:r>
    </w:p>
    <w:p w:rsidR="00F662FD" w:rsidP="00D30F46" w:rsidRDefault="00F662FD" w14:paraId="1A80D21D" w14:textId="77777777">
      <w:pPr>
        <w:spacing w:line="240" w:lineRule="atLeast"/>
        <w:rPr>
          <w:rFonts w:cs="Arial"/>
          <w:iCs/>
          <w:sz w:val="18"/>
          <w:szCs w:val="18"/>
        </w:rPr>
      </w:pPr>
    </w:p>
    <w:p w:rsidR="00D30F46" w:rsidP="00E94FF7" w:rsidRDefault="00F662FD" w14:paraId="6136137A" w14:textId="584AC580">
      <w:pPr>
        <w:spacing w:line="240" w:lineRule="atLeast"/>
        <w:rPr>
          <w:rFonts w:cs="Arial"/>
          <w:iCs/>
          <w:sz w:val="18"/>
          <w:szCs w:val="18"/>
        </w:rPr>
      </w:pPr>
      <w:r>
        <w:rPr>
          <w:rFonts w:cs="Arial"/>
          <w:iCs/>
          <w:sz w:val="18"/>
          <w:szCs w:val="18"/>
        </w:rPr>
        <w:t>Een tweede aanpassing ziet op de harmonisatie van toezichtsbevoegdheden en -instrumenten. Er is nog een grote verscheidenheid aan instrumenten die de nationale toezichthouders kunnen toepassen (zoals bij prudentieel relevante transacties)</w:t>
      </w:r>
      <w:r w:rsidR="00583774">
        <w:rPr>
          <w:rFonts w:cs="Arial"/>
          <w:iCs/>
          <w:sz w:val="18"/>
          <w:szCs w:val="18"/>
        </w:rPr>
        <w:t>. Het karakt</w:t>
      </w:r>
      <w:r>
        <w:rPr>
          <w:rFonts w:cs="Arial"/>
          <w:iCs/>
          <w:sz w:val="18"/>
          <w:szCs w:val="18"/>
        </w:rPr>
        <w:t>e</w:t>
      </w:r>
      <w:r w:rsidR="00583774">
        <w:rPr>
          <w:rFonts w:cs="Arial"/>
          <w:iCs/>
          <w:sz w:val="18"/>
          <w:szCs w:val="18"/>
        </w:rPr>
        <w:t>r van</w:t>
      </w:r>
      <w:r>
        <w:rPr>
          <w:rFonts w:cs="Arial"/>
          <w:iCs/>
          <w:sz w:val="18"/>
          <w:szCs w:val="18"/>
        </w:rPr>
        <w:t xml:space="preserve"> minimumharmonisatie </w:t>
      </w:r>
      <w:r w:rsidR="00583774">
        <w:rPr>
          <w:rFonts w:cs="Arial"/>
          <w:iCs/>
          <w:sz w:val="18"/>
          <w:szCs w:val="18"/>
        </w:rPr>
        <w:t>dat</w:t>
      </w:r>
      <w:r>
        <w:rPr>
          <w:rFonts w:cs="Arial"/>
          <w:iCs/>
          <w:sz w:val="18"/>
          <w:szCs w:val="18"/>
        </w:rPr>
        <w:t xml:space="preserve"> eerdere versies van de CRD </w:t>
      </w:r>
      <w:r w:rsidR="00583774">
        <w:rPr>
          <w:rFonts w:cs="Arial"/>
          <w:iCs/>
          <w:sz w:val="18"/>
          <w:szCs w:val="18"/>
        </w:rPr>
        <w:t>hadden,</w:t>
      </w:r>
      <w:r>
        <w:rPr>
          <w:rFonts w:cs="Arial"/>
          <w:iCs/>
          <w:sz w:val="18"/>
          <w:szCs w:val="18"/>
        </w:rPr>
        <w:t xml:space="preserve"> heeft geleid tot divergerende to</w:t>
      </w:r>
      <w:r w:rsidR="00902954">
        <w:rPr>
          <w:rFonts w:cs="Arial"/>
          <w:iCs/>
          <w:sz w:val="18"/>
          <w:szCs w:val="18"/>
        </w:rPr>
        <w:t>e</w:t>
      </w:r>
      <w:r>
        <w:rPr>
          <w:rFonts w:cs="Arial"/>
          <w:iCs/>
          <w:sz w:val="18"/>
          <w:szCs w:val="18"/>
        </w:rPr>
        <w:t>zicht</w:t>
      </w:r>
      <w:r w:rsidR="00583774">
        <w:rPr>
          <w:rFonts w:cs="Arial"/>
          <w:iCs/>
          <w:sz w:val="18"/>
          <w:szCs w:val="18"/>
        </w:rPr>
        <w:t>instrumenten en -</w:t>
      </w:r>
      <w:r>
        <w:rPr>
          <w:rFonts w:cs="Arial"/>
          <w:iCs/>
          <w:sz w:val="18"/>
          <w:szCs w:val="18"/>
        </w:rPr>
        <w:t>handelingen</w:t>
      </w:r>
      <w:r w:rsidR="00583774">
        <w:rPr>
          <w:rFonts w:cs="Arial"/>
          <w:iCs/>
          <w:sz w:val="18"/>
          <w:szCs w:val="18"/>
        </w:rPr>
        <w:t>,</w:t>
      </w:r>
      <w:r>
        <w:rPr>
          <w:rFonts w:cs="Arial"/>
          <w:iCs/>
          <w:sz w:val="18"/>
          <w:szCs w:val="18"/>
        </w:rPr>
        <w:t xml:space="preserve"> waardoor meer harmonisatie </w:t>
      </w:r>
      <w:r w:rsidR="00583774">
        <w:rPr>
          <w:rFonts w:cs="Arial"/>
          <w:iCs/>
          <w:sz w:val="18"/>
          <w:szCs w:val="18"/>
        </w:rPr>
        <w:t xml:space="preserve">wenselijk </w:t>
      </w:r>
      <w:r>
        <w:rPr>
          <w:rFonts w:cs="Arial"/>
          <w:iCs/>
          <w:sz w:val="18"/>
          <w:szCs w:val="18"/>
        </w:rPr>
        <w:t>is</w:t>
      </w:r>
      <w:r w:rsidR="00583774">
        <w:rPr>
          <w:rFonts w:cs="Arial"/>
          <w:iCs/>
          <w:sz w:val="18"/>
          <w:szCs w:val="18"/>
        </w:rPr>
        <w:t xml:space="preserve"> bevonden</w:t>
      </w:r>
      <w:r>
        <w:rPr>
          <w:rFonts w:cs="Arial"/>
          <w:iCs/>
          <w:sz w:val="18"/>
          <w:szCs w:val="18"/>
        </w:rPr>
        <w:t xml:space="preserve"> (</w:t>
      </w:r>
      <w:r w:rsidR="00583774">
        <w:rPr>
          <w:rFonts w:cs="Arial"/>
          <w:iCs/>
          <w:sz w:val="18"/>
          <w:szCs w:val="18"/>
        </w:rPr>
        <w:t xml:space="preserve">o.a. met betrekking tot </w:t>
      </w:r>
      <w:r>
        <w:rPr>
          <w:rFonts w:cs="Arial"/>
          <w:iCs/>
          <w:sz w:val="18"/>
          <w:szCs w:val="18"/>
        </w:rPr>
        <w:t>geschiktheid- en betrouwbaarheidsbeoordelingen</w:t>
      </w:r>
      <w:r w:rsidR="00583774">
        <w:rPr>
          <w:rFonts w:cs="Arial"/>
          <w:iCs/>
          <w:sz w:val="18"/>
          <w:szCs w:val="18"/>
        </w:rPr>
        <w:t xml:space="preserve"> en</w:t>
      </w:r>
      <w:r w:rsidR="001249BE">
        <w:rPr>
          <w:rFonts w:cs="Arial"/>
          <w:iCs/>
          <w:sz w:val="18"/>
          <w:szCs w:val="18"/>
        </w:rPr>
        <w:t xml:space="preserve"> administratieve sancties</w:t>
      </w:r>
      <w:r>
        <w:rPr>
          <w:rFonts w:cs="Arial"/>
          <w:iCs/>
          <w:sz w:val="18"/>
          <w:szCs w:val="18"/>
        </w:rPr>
        <w:t>).</w:t>
      </w:r>
      <w:r w:rsidR="00E94FF7">
        <w:rPr>
          <w:rFonts w:cs="Arial"/>
          <w:iCs/>
          <w:sz w:val="18"/>
          <w:szCs w:val="18"/>
        </w:rPr>
        <w:t xml:space="preserve"> Dit is met name </w:t>
      </w:r>
      <w:r w:rsidR="00583774">
        <w:rPr>
          <w:rFonts w:cs="Arial"/>
          <w:iCs/>
          <w:sz w:val="18"/>
          <w:szCs w:val="18"/>
        </w:rPr>
        <w:t xml:space="preserve">noodzakelijk </w:t>
      </w:r>
      <w:r w:rsidR="00E94FF7">
        <w:rPr>
          <w:rFonts w:cs="Arial"/>
          <w:iCs/>
          <w:sz w:val="18"/>
          <w:szCs w:val="18"/>
        </w:rPr>
        <w:t xml:space="preserve">in de context van het GTM, waarbij de ECB nationale bevoegdheden toepast voor het toezicht op significante banken. </w:t>
      </w:r>
      <w:r w:rsidR="00583774">
        <w:rPr>
          <w:rFonts w:cs="Arial"/>
          <w:iCs/>
          <w:sz w:val="18"/>
          <w:szCs w:val="18"/>
        </w:rPr>
        <w:t>Bovendien kunnen deze verschillen</w:t>
      </w:r>
      <w:r w:rsidR="00E94FF7">
        <w:rPr>
          <w:rFonts w:cs="Arial"/>
          <w:iCs/>
          <w:sz w:val="18"/>
          <w:szCs w:val="18"/>
        </w:rPr>
        <w:t xml:space="preserve"> leiden tot een ongelijk speelveld binnen de Europese Unie en een verhoogde kans op </w:t>
      </w:r>
      <w:r w:rsidR="00583774">
        <w:rPr>
          <w:rFonts w:cs="Arial"/>
          <w:iCs/>
          <w:sz w:val="18"/>
          <w:szCs w:val="18"/>
        </w:rPr>
        <w:t xml:space="preserve">toezicht- en </w:t>
      </w:r>
      <w:r w:rsidR="00E94FF7">
        <w:rPr>
          <w:rFonts w:cs="Arial"/>
          <w:iCs/>
          <w:sz w:val="18"/>
          <w:szCs w:val="18"/>
        </w:rPr>
        <w:t>regelgevingsarbitrage. Deze problematiek werd ook genoemd in het rapport van de Europese Commissie over het GTM</w:t>
      </w:r>
      <w:r w:rsidRPr="00496E2A" w:rsidR="007443A1">
        <w:rPr>
          <w:rFonts w:cs="Arial"/>
          <w:iCs/>
          <w:sz w:val="18"/>
          <w:szCs w:val="18"/>
        </w:rPr>
        <w:t>.</w:t>
      </w:r>
      <w:r w:rsidR="007443A1">
        <w:rPr>
          <w:rStyle w:val="Voetnootmarkering"/>
          <w:rFonts w:cs="Arial"/>
          <w:iCs/>
          <w:sz w:val="18"/>
          <w:szCs w:val="18"/>
        </w:rPr>
        <w:footnoteReference w:id="24"/>
      </w:r>
      <w:r w:rsidRPr="00496E2A" w:rsidR="007443A1">
        <w:rPr>
          <w:rFonts w:cs="Arial"/>
          <w:iCs/>
          <w:sz w:val="18"/>
          <w:szCs w:val="18"/>
        </w:rPr>
        <w:t xml:space="preserve"> </w:t>
      </w:r>
    </w:p>
    <w:p w:rsidR="00E94FF7" w:rsidP="00E94FF7" w:rsidRDefault="00E94FF7" w14:paraId="6480B504" w14:textId="77777777">
      <w:pPr>
        <w:spacing w:line="240" w:lineRule="atLeast"/>
        <w:rPr>
          <w:rFonts w:cs="Arial"/>
          <w:iCs/>
          <w:sz w:val="18"/>
          <w:szCs w:val="18"/>
        </w:rPr>
      </w:pPr>
    </w:p>
    <w:p w:rsidR="00E94FF7" w:rsidP="00E94FF7" w:rsidRDefault="00E94FF7" w14:paraId="446BA67C" w14:textId="1950D42A">
      <w:pPr>
        <w:spacing w:line="240" w:lineRule="atLeast"/>
        <w:rPr>
          <w:rFonts w:cs="Arial"/>
          <w:iCs/>
          <w:sz w:val="18"/>
          <w:szCs w:val="18"/>
        </w:rPr>
      </w:pPr>
      <w:r>
        <w:rPr>
          <w:rFonts w:cs="Arial"/>
          <w:iCs/>
          <w:sz w:val="18"/>
          <w:szCs w:val="18"/>
        </w:rPr>
        <w:t>De derde aanpassing aan de CRD volgt uit de situatie die is ontstaan na Brexit.</w:t>
      </w:r>
      <w:r w:rsidR="0031691A">
        <w:rPr>
          <w:rStyle w:val="Voetnootmarkering"/>
          <w:rFonts w:cs="Arial"/>
          <w:iCs/>
          <w:sz w:val="18"/>
          <w:szCs w:val="18"/>
        </w:rPr>
        <w:footnoteReference w:id="25"/>
      </w:r>
      <w:r>
        <w:rPr>
          <w:rFonts w:cs="Arial"/>
          <w:iCs/>
          <w:sz w:val="18"/>
          <w:szCs w:val="18"/>
        </w:rPr>
        <w:t xml:space="preserve"> Gebleken is dat het regime voor </w:t>
      </w:r>
      <w:r w:rsidR="001C0C28">
        <w:rPr>
          <w:rFonts w:cs="Arial"/>
          <w:iCs/>
          <w:sz w:val="18"/>
          <w:szCs w:val="18"/>
        </w:rPr>
        <w:t>derde land</w:t>
      </w:r>
      <w:r>
        <w:rPr>
          <w:rFonts w:cs="Arial"/>
          <w:iCs/>
          <w:sz w:val="18"/>
          <w:szCs w:val="18"/>
        </w:rPr>
        <w:t xml:space="preserve"> bijkantoren</w:t>
      </w:r>
      <w:r w:rsidR="004044D5">
        <w:rPr>
          <w:rStyle w:val="Voetnootmarkering"/>
          <w:rFonts w:cs="Arial"/>
          <w:iCs/>
          <w:sz w:val="18"/>
          <w:szCs w:val="18"/>
        </w:rPr>
        <w:footnoteReference w:id="26"/>
      </w:r>
      <w:r>
        <w:rPr>
          <w:rFonts w:cs="Arial"/>
          <w:iCs/>
          <w:sz w:val="18"/>
          <w:szCs w:val="18"/>
        </w:rPr>
        <w:t xml:space="preserve"> van banken in een staat die geen lidstaat is binnen de EU zeer verschillend is. Voorheen wa</w:t>
      </w:r>
      <w:r w:rsidR="00583774">
        <w:rPr>
          <w:rFonts w:cs="Arial"/>
          <w:iCs/>
          <w:sz w:val="18"/>
          <w:szCs w:val="18"/>
        </w:rPr>
        <w:t>ren</w:t>
      </w:r>
      <w:r>
        <w:rPr>
          <w:rFonts w:cs="Arial"/>
          <w:iCs/>
          <w:sz w:val="18"/>
          <w:szCs w:val="18"/>
        </w:rPr>
        <w:t xml:space="preserve"> er in de CRD alleen enkele informatieverplichtingen opgenomen voor </w:t>
      </w:r>
      <w:r w:rsidR="001C0C28">
        <w:rPr>
          <w:rFonts w:cs="Arial"/>
          <w:iCs/>
          <w:sz w:val="18"/>
          <w:szCs w:val="18"/>
        </w:rPr>
        <w:t>derde land</w:t>
      </w:r>
      <w:r>
        <w:rPr>
          <w:rFonts w:cs="Arial"/>
          <w:iCs/>
          <w:sz w:val="18"/>
          <w:szCs w:val="18"/>
        </w:rPr>
        <w:t xml:space="preserve"> bijkantoren. Omdat het verder aan de lidstaten zelf was om nadere regels te stellen, heeft dat in de EU een lappendeken aan verschillende regimes opgeleverd. </w:t>
      </w:r>
      <w:r w:rsidR="00270B49">
        <w:rPr>
          <w:rFonts w:cs="Arial"/>
          <w:iCs/>
          <w:sz w:val="18"/>
          <w:szCs w:val="18"/>
        </w:rPr>
        <w:t>Dit brengt een risico op</w:t>
      </w:r>
      <w:r>
        <w:rPr>
          <w:rFonts w:cs="Arial"/>
          <w:iCs/>
          <w:sz w:val="18"/>
          <w:szCs w:val="18"/>
        </w:rPr>
        <w:t xml:space="preserve"> een gebrek aan toezicht en financiële stabiliteitsrisico</w:t>
      </w:r>
      <w:r w:rsidR="00270B49">
        <w:rPr>
          <w:rFonts w:cs="Arial"/>
          <w:iCs/>
          <w:sz w:val="18"/>
          <w:szCs w:val="18"/>
        </w:rPr>
        <w:t>’</w:t>
      </w:r>
      <w:r>
        <w:rPr>
          <w:rFonts w:cs="Arial"/>
          <w:iCs/>
          <w:sz w:val="18"/>
          <w:szCs w:val="18"/>
        </w:rPr>
        <w:t>s</w:t>
      </w:r>
      <w:r w:rsidR="00270B49">
        <w:rPr>
          <w:rFonts w:cs="Arial"/>
          <w:iCs/>
          <w:sz w:val="18"/>
          <w:szCs w:val="18"/>
        </w:rPr>
        <w:t xml:space="preserve"> met zich</w:t>
      </w:r>
      <w:r>
        <w:rPr>
          <w:rFonts w:cs="Arial"/>
          <w:iCs/>
          <w:sz w:val="18"/>
          <w:szCs w:val="18"/>
        </w:rPr>
        <w:t>.</w:t>
      </w:r>
      <w:r w:rsidR="00270B49">
        <w:rPr>
          <w:rFonts w:cs="Arial"/>
          <w:iCs/>
          <w:sz w:val="18"/>
          <w:szCs w:val="18"/>
        </w:rPr>
        <w:t xml:space="preserve"> De onderhavige richtlijn beoogt dit te adresseren, door in harmonisatie van het derde land bijkantorenregime te voorzien.</w:t>
      </w:r>
      <w:r w:rsidR="00A82A29">
        <w:rPr>
          <w:rFonts w:cs="Arial"/>
          <w:iCs/>
          <w:sz w:val="18"/>
          <w:szCs w:val="18"/>
        </w:rPr>
        <w:t xml:space="preserve"> </w:t>
      </w:r>
    </w:p>
    <w:p w:rsidR="00FB64E0" w:rsidP="00E94FF7" w:rsidRDefault="00FB64E0" w14:paraId="07476F6E" w14:textId="77777777">
      <w:pPr>
        <w:spacing w:line="240" w:lineRule="atLeast"/>
        <w:rPr>
          <w:rFonts w:cs="Arial"/>
          <w:iCs/>
          <w:sz w:val="18"/>
          <w:szCs w:val="18"/>
        </w:rPr>
      </w:pPr>
    </w:p>
    <w:p w:rsidR="00361A6A" w:rsidP="00E94FF7" w:rsidRDefault="00361A6A" w14:paraId="6607C799" w14:textId="3C82C4D9">
      <w:pPr>
        <w:spacing w:line="240" w:lineRule="atLeast"/>
        <w:rPr>
          <w:rFonts w:cs="Arial"/>
          <w:iCs/>
          <w:sz w:val="18"/>
          <w:szCs w:val="18"/>
        </w:rPr>
      </w:pPr>
      <w:r>
        <w:rPr>
          <w:rFonts w:cs="Arial"/>
          <w:iCs/>
          <w:sz w:val="18"/>
          <w:szCs w:val="18"/>
        </w:rPr>
        <w:t xml:space="preserve">De vierde aanpassing ziet op de onafhankelijkheid van de nationale toezichthouders. </w:t>
      </w:r>
      <w:r w:rsidR="005F47B4">
        <w:rPr>
          <w:rFonts w:cs="Arial"/>
          <w:iCs/>
          <w:sz w:val="18"/>
          <w:szCs w:val="18"/>
        </w:rPr>
        <w:t>Naar aanleiding van het faillissement van Wirecard is gebleken dat de onafhankelijkheid van toezichthouders op banken versterkt kon worden</w:t>
      </w:r>
      <w:r>
        <w:rPr>
          <w:rFonts w:cs="Arial"/>
          <w:iCs/>
          <w:sz w:val="18"/>
          <w:szCs w:val="18"/>
        </w:rPr>
        <w:t>.</w:t>
      </w:r>
      <w:r w:rsidR="005F47B4">
        <w:rPr>
          <w:rStyle w:val="Voetnootmarkering"/>
          <w:rFonts w:cs="Arial"/>
          <w:iCs/>
          <w:sz w:val="18"/>
          <w:szCs w:val="18"/>
        </w:rPr>
        <w:footnoteReference w:id="27"/>
      </w:r>
      <w:r>
        <w:rPr>
          <w:rFonts w:cs="Arial"/>
          <w:iCs/>
          <w:sz w:val="18"/>
          <w:szCs w:val="18"/>
        </w:rPr>
        <w:t xml:space="preserve"> Daarnaast is gebleken dat de regels omtrent belangenconflicten enige vorm van harmonisatie behoeven.</w:t>
      </w:r>
    </w:p>
    <w:p w:rsidR="00361A6A" w:rsidP="00E94FF7" w:rsidRDefault="00361A6A" w14:paraId="6156F0D6" w14:textId="77777777">
      <w:pPr>
        <w:spacing w:line="240" w:lineRule="atLeast"/>
        <w:rPr>
          <w:rFonts w:cs="Arial"/>
          <w:iCs/>
          <w:sz w:val="18"/>
          <w:szCs w:val="18"/>
        </w:rPr>
      </w:pPr>
    </w:p>
    <w:p w:rsidR="00A875B2" w:rsidP="001E56AB" w:rsidRDefault="00E24D85" w14:paraId="074BF4D7" w14:textId="3C941856">
      <w:pPr>
        <w:spacing w:line="240" w:lineRule="atLeast"/>
        <w:rPr>
          <w:rFonts w:cs="Arial"/>
          <w:sz w:val="18"/>
          <w:szCs w:val="18"/>
        </w:rPr>
      </w:pPr>
      <w:r w:rsidRPr="00496E2A">
        <w:rPr>
          <w:rFonts w:cs="Arial"/>
          <w:i/>
          <w:sz w:val="18"/>
          <w:szCs w:val="18"/>
        </w:rPr>
        <w:t>§ 2.</w:t>
      </w:r>
      <w:r>
        <w:rPr>
          <w:rFonts w:cs="Arial"/>
          <w:i/>
          <w:sz w:val="18"/>
          <w:szCs w:val="18"/>
        </w:rPr>
        <w:t>3</w:t>
      </w:r>
      <w:r w:rsidRPr="00496E2A">
        <w:rPr>
          <w:rFonts w:cs="Arial"/>
          <w:i/>
          <w:sz w:val="18"/>
          <w:szCs w:val="18"/>
        </w:rPr>
        <w:t xml:space="preserve"> </w:t>
      </w:r>
      <w:r>
        <w:rPr>
          <w:rFonts w:cs="Arial"/>
          <w:i/>
          <w:sz w:val="18"/>
          <w:szCs w:val="18"/>
        </w:rPr>
        <w:t>Proces</w:t>
      </w:r>
    </w:p>
    <w:p w:rsidR="00117CB2" w:rsidP="000F1B3E" w:rsidRDefault="00117CB2" w14:paraId="4F63604D" w14:textId="0003BFED">
      <w:pPr>
        <w:spacing w:line="240" w:lineRule="atLeast"/>
        <w:rPr>
          <w:rFonts w:cs="Arial"/>
          <w:sz w:val="18"/>
          <w:szCs w:val="18"/>
        </w:rPr>
      </w:pPr>
      <w:r>
        <w:rPr>
          <w:rFonts w:cs="Arial"/>
          <w:sz w:val="18"/>
          <w:szCs w:val="18"/>
        </w:rPr>
        <w:t xml:space="preserve">Na het akkoord over de finale </w:t>
      </w:r>
      <w:r w:rsidR="002066DB">
        <w:rPr>
          <w:rFonts w:cs="Arial"/>
          <w:sz w:val="18"/>
          <w:szCs w:val="18"/>
        </w:rPr>
        <w:t>B</w:t>
      </w:r>
      <w:r>
        <w:rPr>
          <w:rFonts w:cs="Arial"/>
          <w:sz w:val="18"/>
          <w:szCs w:val="18"/>
        </w:rPr>
        <w:t>azel</w:t>
      </w:r>
      <w:r w:rsidR="002066DB">
        <w:rPr>
          <w:rFonts w:cs="Arial"/>
          <w:sz w:val="18"/>
          <w:szCs w:val="18"/>
        </w:rPr>
        <w:t xml:space="preserve"> III-</w:t>
      </w:r>
      <w:r>
        <w:rPr>
          <w:rFonts w:cs="Arial"/>
          <w:sz w:val="18"/>
          <w:szCs w:val="18"/>
        </w:rPr>
        <w:t xml:space="preserve">standaarden op 7 december 2017 hebben in maart 2018 de ministers van Financiën en de presidenten van de centrale banken </w:t>
      </w:r>
      <w:r w:rsidR="003D5EA9">
        <w:rPr>
          <w:rFonts w:cs="Arial"/>
          <w:sz w:val="18"/>
          <w:szCs w:val="18"/>
        </w:rPr>
        <w:t xml:space="preserve">van de G20 </w:t>
      </w:r>
      <w:r>
        <w:rPr>
          <w:rFonts w:cs="Arial"/>
          <w:sz w:val="18"/>
          <w:szCs w:val="18"/>
        </w:rPr>
        <w:t>hun steun voor de hervormingen uitgesproken</w:t>
      </w:r>
      <w:r w:rsidR="000F1B3E">
        <w:rPr>
          <w:rFonts w:cs="Arial"/>
          <w:sz w:val="18"/>
          <w:szCs w:val="18"/>
        </w:rPr>
        <w:t xml:space="preserve">. In november 2019 kondigde de Europese Commissie aan met een wetgevingsvoorstel te willen komen om de hervormingen te verankeren in het Europese prudentiële kader. In oktober 2021 publiceerde de Europese Commissie het voorstel voor dit hernieuwde bankenpakket. </w:t>
      </w:r>
      <w:r w:rsidR="0094221C">
        <w:rPr>
          <w:rFonts w:cs="Arial"/>
          <w:sz w:val="18"/>
          <w:szCs w:val="18"/>
        </w:rPr>
        <w:t xml:space="preserve">Over dit pakket is lang onderhandeld. Uiteindelijk is op </w:t>
      </w:r>
      <w:r w:rsidR="00897BEE">
        <w:rPr>
          <w:rFonts w:cs="Arial"/>
          <w:sz w:val="18"/>
          <w:szCs w:val="18"/>
        </w:rPr>
        <w:t>13 november</w:t>
      </w:r>
      <w:r w:rsidR="0094221C">
        <w:rPr>
          <w:rFonts w:cs="Arial"/>
          <w:sz w:val="18"/>
          <w:szCs w:val="18"/>
        </w:rPr>
        <w:t xml:space="preserve"> 2023 in de triloog tussen de Europese Commissie, de Raad van de Europese Unie en het Europees Parlement een </w:t>
      </w:r>
      <w:r w:rsidR="00897BEE">
        <w:rPr>
          <w:rFonts w:cs="Arial"/>
          <w:sz w:val="18"/>
          <w:szCs w:val="18"/>
        </w:rPr>
        <w:t>definitief akkoord</w:t>
      </w:r>
      <w:r w:rsidR="0094221C">
        <w:rPr>
          <w:rFonts w:cs="Arial"/>
          <w:sz w:val="18"/>
          <w:szCs w:val="18"/>
        </w:rPr>
        <w:t xml:space="preserve"> bereikt over de aanpassing van de </w:t>
      </w:r>
      <w:r w:rsidR="009A3FBB">
        <w:rPr>
          <w:rFonts w:cs="Arial"/>
          <w:sz w:val="18"/>
          <w:szCs w:val="18"/>
        </w:rPr>
        <w:t>CRR</w:t>
      </w:r>
      <w:r w:rsidR="0094221C">
        <w:rPr>
          <w:rFonts w:cs="Arial"/>
          <w:sz w:val="18"/>
          <w:szCs w:val="18"/>
        </w:rPr>
        <w:t xml:space="preserve"> en </w:t>
      </w:r>
      <w:r w:rsidR="009A3FBB">
        <w:rPr>
          <w:rFonts w:cs="Arial"/>
          <w:sz w:val="18"/>
          <w:szCs w:val="18"/>
        </w:rPr>
        <w:t>CRD</w:t>
      </w:r>
      <w:r w:rsidR="0094221C">
        <w:rPr>
          <w:rFonts w:cs="Arial"/>
          <w:sz w:val="18"/>
          <w:szCs w:val="18"/>
        </w:rPr>
        <w:t>.</w:t>
      </w:r>
      <w:r w:rsidR="00897BEE">
        <w:rPr>
          <w:rStyle w:val="Voetnootmarkering"/>
          <w:rFonts w:cs="Arial"/>
          <w:sz w:val="18"/>
          <w:szCs w:val="18"/>
        </w:rPr>
        <w:footnoteReference w:id="28"/>
      </w:r>
      <w:r w:rsidR="00897BEE">
        <w:rPr>
          <w:rFonts w:cs="Arial"/>
          <w:sz w:val="18"/>
          <w:szCs w:val="18"/>
        </w:rPr>
        <w:t xml:space="preserve"> De uiteindelijke teksten zijn door de Commissie gepubliceerd op 19 juni 2024. </w:t>
      </w:r>
    </w:p>
    <w:p w:rsidRPr="00496E2A" w:rsidR="001E56AB" w:rsidP="001E56AB" w:rsidRDefault="001E56AB" w14:paraId="4857C639" w14:textId="36CC4D25">
      <w:pPr>
        <w:spacing w:line="240" w:lineRule="atLeast"/>
        <w:rPr>
          <w:rFonts w:cs="Arial"/>
          <w:bCs/>
          <w:sz w:val="18"/>
          <w:szCs w:val="18"/>
        </w:rPr>
      </w:pPr>
    </w:p>
    <w:p w:rsidRPr="00496E2A" w:rsidR="001E56AB" w:rsidP="001E56AB" w:rsidRDefault="001E56AB" w14:paraId="6A5C4894" w14:textId="670EBF66">
      <w:pPr>
        <w:widowControl w:val="0"/>
        <w:spacing w:line="240" w:lineRule="atLeast"/>
        <w:rPr>
          <w:rFonts w:cs="Arial"/>
          <w:i/>
          <w:sz w:val="18"/>
          <w:szCs w:val="18"/>
        </w:rPr>
      </w:pPr>
      <w:r w:rsidRPr="00496E2A">
        <w:rPr>
          <w:rFonts w:cs="Arial"/>
          <w:i/>
          <w:sz w:val="18"/>
          <w:szCs w:val="18"/>
        </w:rPr>
        <w:t>§ 3. Inhoud richtlijn en verordening</w:t>
      </w:r>
    </w:p>
    <w:p w:rsidRPr="00496E2A" w:rsidR="001E56AB" w:rsidP="001E56AB" w:rsidRDefault="001E56AB" w14:paraId="715947BB" w14:textId="5B27A69E">
      <w:pPr>
        <w:spacing w:line="240" w:lineRule="atLeast"/>
        <w:rPr>
          <w:rFonts w:cs="Arial"/>
          <w:bCs/>
          <w:sz w:val="18"/>
          <w:szCs w:val="18"/>
        </w:rPr>
      </w:pPr>
      <w:r w:rsidRPr="00496E2A">
        <w:rPr>
          <w:rFonts w:cs="Arial"/>
          <w:bCs/>
          <w:sz w:val="18"/>
          <w:szCs w:val="18"/>
        </w:rPr>
        <w:t>In deze paragraaf wordt de inhoud van de richtlijn</w:t>
      </w:r>
      <w:r w:rsidR="000F68DF">
        <w:rPr>
          <w:rFonts w:cs="Arial"/>
          <w:bCs/>
          <w:sz w:val="18"/>
          <w:szCs w:val="18"/>
        </w:rPr>
        <w:t xml:space="preserve"> en verordening</w:t>
      </w:r>
      <w:r w:rsidR="00444523">
        <w:rPr>
          <w:rFonts w:cs="Arial"/>
          <w:bCs/>
          <w:sz w:val="18"/>
          <w:szCs w:val="18"/>
        </w:rPr>
        <w:t xml:space="preserve"> toegelicht</w:t>
      </w:r>
      <w:r w:rsidRPr="00496E2A">
        <w:rPr>
          <w:rFonts w:cs="Arial"/>
          <w:bCs/>
          <w:sz w:val="18"/>
          <w:szCs w:val="18"/>
        </w:rPr>
        <w:t>. In paragraaf 3.1 worden de belangrijkste nieuwe onderdelen die de richtlijn toevoegt aan de CRD besproken. In paragraaf 3.2 worden</w:t>
      </w:r>
      <w:r w:rsidR="00594CF3">
        <w:rPr>
          <w:rFonts w:cs="Arial"/>
          <w:bCs/>
          <w:sz w:val="18"/>
          <w:szCs w:val="18"/>
        </w:rPr>
        <w:t xml:space="preserve"> kort</w:t>
      </w:r>
      <w:r w:rsidRPr="00496E2A">
        <w:rPr>
          <w:rFonts w:cs="Arial"/>
          <w:bCs/>
          <w:sz w:val="18"/>
          <w:szCs w:val="18"/>
        </w:rPr>
        <w:t xml:space="preserve"> de belangrijkste onderdelen die de verordening toevoegt aan de CRR besproken</w:t>
      </w:r>
      <w:r w:rsidR="00270B49">
        <w:rPr>
          <w:rFonts w:cs="Arial"/>
          <w:bCs/>
          <w:sz w:val="18"/>
          <w:szCs w:val="18"/>
        </w:rPr>
        <w:t xml:space="preserve">, </w:t>
      </w:r>
      <w:r w:rsidR="00594CF3">
        <w:rPr>
          <w:rFonts w:cs="Arial"/>
          <w:bCs/>
          <w:sz w:val="18"/>
          <w:szCs w:val="18"/>
        </w:rPr>
        <w:t xml:space="preserve">nu de </w:t>
      </w:r>
      <w:r w:rsidR="00CE467E">
        <w:rPr>
          <w:rFonts w:cs="Arial"/>
          <w:bCs/>
          <w:sz w:val="18"/>
          <w:szCs w:val="18"/>
        </w:rPr>
        <w:t xml:space="preserve">inhoud van de </w:t>
      </w:r>
      <w:r w:rsidR="00594CF3">
        <w:rPr>
          <w:rFonts w:cs="Arial"/>
          <w:bCs/>
          <w:sz w:val="18"/>
          <w:szCs w:val="18"/>
        </w:rPr>
        <w:t>verordening reeds is toegelicht in</w:t>
      </w:r>
      <w:r w:rsidR="00270B49">
        <w:rPr>
          <w:rFonts w:cs="Arial"/>
          <w:bCs/>
          <w:sz w:val="18"/>
          <w:szCs w:val="18"/>
        </w:rPr>
        <w:t xml:space="preserve"> de nota van toelichting bij</w:t>
      </w:r>
      <w:r w:rsidR="00594CF3">
        <w:rPr>
          <w:rFonts w:cs="Arial"/>
          <w:bCs/>
          <w:sz w:val="18"/>
          <w:szCs w:val="18"/>
        </w:rPr>
        <w:t xml:space="preserve"> het Uitvoeringsbesluit verordening kapitaalvereisten 2025</w:t>
      </w:r>
      <w:r w:rsidR="00270B49">
        <w:rPr>
          <w:rFonts w:cs="Arial"/>
          <w:bCs/>
          <w:sz w:val="18"/>
          <w:szCs w:val="18"/>
        </w:rPr>
        <w:t>,</w:t>
      </w:r>
      <w:r w:rsidR="00594CF3">
        <w:rPr>
          <w:rFonts w:cs="Arial"/>
          <w:bCs/>
          <w:sz w:val="18"/>
          <w:szCs w:val="18"/>
        </w:rPr>
        <w:t xml:space="preserve"> d</w:t>
      </w:r>
      <w:r w:rsidR="00CE467E">
        <w:rPr>
          <w:rFonts w:cs="Arial"/>
          <w:bCs/>
          <w:sz w:val="18"/>
          <w:szCs w:val="18"/>
        </w:rPr>
        <w:t>at</w:t>
      </w:r>
      <w:r w:rsidR="00594CF3">
        <w:rPr>
          <w:rFonts w:cs="Arial"/>
          <w:bCs/>
          <w:sz w:val="18"/>
          <w:szCs w:val="18"/>
        </w:rPr>
        <w:t xml:space="preserve"> uitvoering geeft aan de verordening</w:t>
      </w:r>
      <w:r w:rsidRPr="00496E2A">
        <w:rPr>
          <w:rFonts w:cs="Arial"/>
          <w:bCs/>
          <w:sz w:val="18"/>
          <w:szCs w:val="18"/>
        </w:rPr>
        <w:t>. In paragraaf 3.3 wordt</w:t>
      </w:r>
      <w:r w:rsidR="00D30F46">
        <w:rPr>
          <w:rFonts w:cs="Arial"/>
          <w:bCs/>
          <w:sz w:val="18"/>
          <w:szCs w:val="18"/>
        </w:rPr>
        <w:t xml:space="preserve"> kort</w:t>
      </w:r>
      <w:r w:rsidRPr="00496E2A">
        <w:rPr>
          <w:rFonts w:cs="Arial"/>
          <w:bCs/>
          <w:sz w:val="18"/>
          <w:szCs w:val="18"/>
        </w:rPr>
        <w:t xml:space="preserve"> ingegaan op de wijzigingen die de EMIR</w:t>
      </w:r>
      <w:r w:rsidR="000F68DF">
        <w:rPr>
          <w:rFonts w:cs="Arial"/>
          <w:bCs/>
          <w:sz w:val="18"/>
          <w:szCs w:val="18"/>
        </w:rPr>
        <w:t xml:space="preserve"> 3</w:t>
      </w:r>
      <w:r w:rsidRPr="00496E2A">
        <w:rPr>
          <w:rFonts w:cs="Arial"/>
          <w:bCs/>
          <w:sz w:val="18"/>
          <w:szCs w:val="18"/>
        </w:rPr>
        <w:t xml:space="preserve">-richtlijn aanbrengt in de reeds bestaande onderdelen van de CRD. </w:t>
      </w:r>
    </w:p>
    <w:p w:rsidR="00444523" w:rsidP="0048607D" w:rsidRDefault="00444523" w14:paraId="16056509" w14:textId="77777777">
      <w:pPr>
        <w:widowControl w:val="0"/>
        <w:spacing w:line="240" w:lineRule="atLeast"/>
        <w:rPr>
          <w:rFonts w:cs="Arial"/>
          <w:i/>
          <w:sz w:val="18"/>
          <w:szCs w:val="18"/>
        </w:rPr>
      </w:pPr>
    </w:p>
    <w:p w:rsidR="0048607D" w:rsidP="0048607D" w:rsidRDefault="0048607D" w14:paraId="0F177338" w14:textId="4B35E5AF">
      <w:pPr>
        <w:widowControl w:val="0"/>
        <w:spacing w:line="240" w:lineRule="atLeast"/>
        <w:rPr>
          <w:rFonts w:cs="Arial"/>
          <w:i/>
          <w:sz w:val="18"/>
          <w:szCs w:val="18"/>
        </w:rPr>
      </w:pPr>
      <w:r w:rsidRPr="00496E2A">
        <w:rPr>
          <w:rFonts w:cs="Arial"/>
          <w:i/>
          <w:sz w:val="18"/>
          <w:szCs w:val="18"/>
        </w:rPr>
        <w:t xml:space="preserve">§ 3.1. </w:t>
      </w:r>
      <w:r w:rsidR="00C352CD">
        <w:rPr>
          <w:rFonts w:cs="Arial"/>
          <w:i/>
          <w:sz w:val="18"/>
          <w:szCs w:val="18"/>
        </w:rPr>
        <w:t>Inhoud r</w:t>
      </w:r>
      <w:r w:rsidRPr="00496E2A">
        <w:rPr>
          <w:rFonts w:cs="Arial"/>
          <w:i/>
          <w:sz w:val="18"/>
          <w:szCs w:val="18"/>
        </w:rPr>
        <w:t>ichtlijn</w:t>
      </w:r>
    </w:p>
    <w:p w:rsidRPr="00496E2A" w:rsidR="00FB64E0" w:rsidP="00FB64E0" w:rsidRDefault="00FB64E0" w14:paraId="3E477FAD" w14:textId="459A2A3C">
      <w:pPr>
        <w:widowControl w:val="0"/>
        <w:spacing w:line="240" w:lineRule="atLeast"/>
        <w:rPr>
          <w:rFonts w:cs="Arial"/>
          <w:i/>
          <w:sz w:val="18"/>
          <w:szCs w:val="18"/>
        </w:rPr>
      </w:pPr>
      <w:r w:rsidRPr="00496E2A">
        <w:rPr>
          <w:rFonts w:cs="Arial"/>
          <w:i/>
          <w:sz w:val="18"/>
          <w:szCs w:val="18"/>
        </w:rPr>
        <w:t>§ 3.1.</w:t>
      </w:r>
      <w:r>
        <w:rPr>
          <w:rFonts w:cs="Arial"/>
          <w:i/>
          <w:sz w:val="18"/>
          <w:szCs w:val="18"/>
        </w:rPr>
        <w:t>1</w:t>
      </w:r>
      <w:r w:rsidR="00902954">
        <w:rPr>
          <w:rFonts w:cs="Arial"/>
          <w:i/>
          <w:sz w:val="18"/>
          <w:szCs w:val="18"/>
        </w:rPr>
        <w:t xml:space="preserve"> </w:t>
      </w:r>
      <w:r w:rsidRPr="00496E2A">
        <w:rPr>
          <w:rFonts w:cs="Arial"/>
          <w:i/>
          <w:sz w:val="18"/>
          <w:szCs w:val="18"/>
        </w:rPr>
        <w:t>ESG-</w:t>
      </w:r>
      <w:r>
        <w:rPr>
          <w:rFonts w:cs="Arial"/>
          <w:i/>
          <w:sz w:val="18"/>
          <w:szCs w:val="18"/>
        </w:rPr>
        <w:t>risico’s</w:t>
      </w:r>
    </w:p>
    <w:p w:rsidRPr="00496E2A" w:rsidR="00FB64E0" w:rsidP="00FB64E0" w:rsidRDefault="00FB64E0" w14:paraId="57F9E0C5" w14:textId="013053F7">
      <w:pPr>
        <w:widowControl w:val="0"/>
        <w:spacing w:line="240" w:lineRule="atLeast"/>
        <w:rPr>
          <w:sz w:val="18"/>
          <w:szCs w:val="18"/>
        </w:rPr>
      </w:pPr>
      <w:r w:rsidRPr="00496E2A">
        <w:rPr>
          <w:sz w:val="18"/>
          <w:szCs w:val="18"/>
        </w:rPr>
        <w:t xml:space="preserve">Het doel van de </w:t>
      </w:r>
      <w:r w:rsidR="002E5D38">
        <w:rPr>
          <w:sz w:val="18"/>
          <w:szCs w:val="18"/>
        </w:rPr>
        <w:t>wijzigingen in CRD</w:t>
      </w:r>
      <w:r w:rsidRPr="00496E2A">
        <w:rPr>
          <w:sz w:val="18"/>
          <w:szCs w:val="18"/>
        </w:rPr>
        <w:t xml:space="preserve"> is om het inzicht in- en beheer van</w:t>
      </w:r>
      <w:r>
        <w:rPr>
          <w:sz w:val="18"/>
          <w:szCs w:val="18"/>
        </w:rPr>
        <w:t xml:space="preserve"> </w:t>
      </w:r>
      <w:r w:rsidR="006F204B">
        <w:rPr>
          <w:sz w:val="18"/>
          <w:szCs w:val="18"/>
        </w:rPr>
        <w:t xml:space="preserve">alle </w:t>
      </w:r>
      <w:r w:rsidRPr="00496E2A">
        <w:rPr>
          <w:sz w:val="18"/>
          <w:szCs w:val="18"/>
        </w:rPr>
        <w:t>ESG-risico’s</w:t>
      </w:r>
      <w:r w:rsidR="006F204B">
        <w:rPr>
          <w:rStyle w:val="Voetnootmarkering"/>
          <w:sz w:val="18"/>
          <w:szCs w:val="18"/>
        </w:rPr>
        <w:footnoteReference w:id="29"/>
      </w:r>
      <w:r w:rsidRPr="00496E2A">
        <w:rPr>
          <w:sz w:val="18"/>
          <w:szCs w:val="18"/>
        </w:rPr>
        <w:t xml:space="preserve"> zowel bij banken</w:t>
      </w:r>
      <w:r w:rsidR="00270B49">
        <w:rPr>
          <w:sz w:val="18"/>
          <w:szCs w:val="18"/>
        </w:rPr>
        <w:t>,</w:t>
      </w:r>
      <w:r w:rsidRPr="00496E2A">
        <w:rPr>
          <w:sz w:val="18"/>
          <w:szCs w:val="18"/>
        </w:rPr>
        <w:t xml:space="preserve"> als bij toezichthouders te verbeteren. </w:t>
      </w:r>
      <w:bookmarkStart w:name="_Hlk187766126" w:id="1"/>
      <w:r>
        <w:rPr>
          <w:sz w:val="18"/>
          <w:szCs w:val="18"/>
        </w:rPr>
        <w:t>Dit betreft het risico op negatieve financiële gevolgen voor een bank die voortvloeien uit de huidige of toekomstige ESG-</w:t>
      </w:r>
      <w:r w:rsidR="006F204B">
        <w:rPr>
          <w:sz w:val="18"/>
          <w:szCs w:val="18"/>
        </w:rPr>
        <w:t xml:space="preserve">risico’s </w:t>
      </w:r>
      <w:r>
        <w:rPr>
          <w:sz w:val="18"/>
          <w:szCs w:val="18"/>
        </w:rPr>
        <w:t xml:space="preserve">voor haar tegenpartijen of de belegde activa. </w:t>
      </w:r>
      <w:bookmarkEnd w:id="1"/>
      <w:r>
        <w:rPr>
          <w:sz w:val="18"/>
          <w:szCs w:val="18"/>
        </w:rPr>
        <w:t>D</w:t>
      </w:r>
      <w:r w:rsidRPr="00A37475">
        <w:rPr>
          <w:sz w:val="18"/>
          <w:szCs w:val="18"/>
        </w:rPr>
        <w:t>e richtlijn verplicht onder meer dat banken over strategieën en procedures beschikken om ervoor te zorgen dat de hoogte, samenstelling en verdeling van het interne kapitaal</w:t>
      </w:r>
      <w:r>
        <w:rPr>
          <w:rStyle w:val="Voetnootmarkering"/>
          <w:sz w:val="18"/>
          <w:szCs w:val="18"/>
        </w:rPr>
        <w:footnoteReference w:id="30"/>
      </w:r>
      <w:r w:rsidRPr="00A37475">
        <w:rPr>
          <w:sz w:val="18"/>
          <w:szCs w:val="18"/>
        </w:rPr>
        <w:t xml:space="preserve"> aansluiten op huidige en toekomstige risico's</w:t>
      </w:r>
      <w:r w:rsidR="00E75B15">
        <w:rPr>
          <w:sz w:val="18"/>
          <w:szCs w:val="18"/>
        </w:rPr>
        <w:t>. D</w:t>
      </w:r>
      <w:r w:rsidRPr="00A37475">
        <w:rPr>
          <w:sz w:val="18"/>
          <w:szCs w:val="18"/>
        </w:rPr>
        <w:t>aarbij</w:t>
      </w:r>
      <w:r w:rsidR="00E75B15">
        <w:rPr>
          <w:sz w:val="18"/>
          <w:szCs w:val="18"/>
        </w:rPr>
        <w:t xml:space="preserve"> dient</w:t>
      </w:r>
      <w:r w:rsidRPr="00A37475">
        <w:rPr>
          <w:sz w:val="18"/>
          <w:szCs w:val="18"/>
        </w:rPr>
        <w:t xml:space="preserve"> bij ESG-risico's uitdrukkelijk rekening</w:t>
      </w:r>
      <w:r w:rsidR="009B1259">
        <w:rPr>
          <w:sz w:val="18"/>
          <w:szCs w:val="18"/>
        </w:rPr>
        <w:t xml:space="preserve"> </w:t>
      </w:r>
      <w:r w:rsidRPr="00A37475">
        <w:rPr>
          <w:sz w:val="18"/>
          <w:szCs w:val="18"/>
        </w:rPr>
        <w:t>te worden gehouden met de korte, middellange en lange termijn</w:t>
      </w:r>
      <w:r w:rsidRPr="00496E2A">
        <w:rPr>
          <w:sz w:val="18"/>
          <w:szCs w:val="18"/>
        </w:rPr>
        <w:t xml:space="preserve">. Ook wordt het verplicht voor banken om effectieve procedures in te richten voor het identificeren, monitoren en </w:t>
      </w:r>
      <w:r w:rsidR="00E75B15">
        <w:rPr>
          <w:sz w:val="18"/>
          <w:szCs w:val="18"/>
        </w:rPr>
        <w:t>beheersen</w:t>
      </w:r>
      <w:r w:rsidRPr="00496E2A" w:rsidR="00E75B15">
        <w:rPr>
          <w:sz w:val="18"/>
          <w:szCs w:val="18"/>
        </w:rPr>
        <w:t xml:space="preserve"> </w:t>
      </w:r>
      <w:r w:rsidRPr="00496E2A">
        <w:rPr>
          <w:sz w:val="18"/>
          <w:szCs w:val="18"/>
        </w:rPr>
        <w:t xml:space="preserve">van ESG-risico’s en moeten er concrete plannen ontwikkeld worden om </w:t>
      </w:r>
      <w:r w:rsidR="00902954">
        <w:rPr>
          <w:sz w:val="18"/>
          <w:szCs w:val="18"/>
        </w:rPr>
        <w:t>de financiële risico’s te beheersen die op de korte, middellange en lange termijn ontstaa</w:t>
      </w:r>
      <w:r w:rsidR="00E75B15">
        <w:rPr>
          <w:sz w:val="18"/>
          <w:szCs w:val="18"/>
        </w:rPr>
        <w:t>n</w:t>
      </w:r>
      <w:r w:rsidR="00902954">
        <w:rPr>
          <w:sz w:val="18"/>
          <w:szCs w:val="18"/>
        </w:rPr>
        <w:t xml:space="preserve"> door ESG-</w:t>
      </w:r>
      <w:r w:rsidR="006F204B">
        <w:rPr>
          <w:sz w:val="18"/>
          <w:szCs w:val="18"/>
        </w:rPr>
        <w:t>risico’s</w:t>
      </w:r>
      <w:r w:rsidR="00902954">
        <w:rPr>
          <w:sz w:val="18"/>
          <w:szCs w:val="18"/>
        </w:rPr>
        <w:t>. Hierbij moet tevens aandacht besteed worden aan de EU Klimaatwet</w:t>
      </w:r>
      <w:r w:rsidR="002E5D38">
        <w:rPr>
          <w:rStyle w:val="Voetnootmarkering"/>
          <w:sz w:val="18"/>
          <w:szCs w:val="18"/>
        </w:rPr>
        <w:footnoteReference w:id="31"/>
      </w:r>
      <w:r w:rsidR="00902954">
        <w:rPr>
          <w:sz w:val="18"/>
          <w:szCs w:val="18"/>
        </w:rPr>
        <w:t>, de Overeenkomst van Parijs</w:t>
      </w:r>
      <w:r w:rsidR="00902954">
        <w:rPr>
          <w:rStyle w:val="Voetnootmarkering"/>
          <w:sz w:val="18"/>
          <w:szCs w:val="18"/>
        </w:rPr>
        <w:footnoteReference w:id="32"/>
      </w:r>
      <w:r w:rsidR="00902954">
        <w:rPr>
          <w:sz w:val="18"/>
          <w:szCs w:val="18"/>
        </w:rPr>
        <w:t>, het ‘Fit for 55’-pakket</w:t>
      </w:r>
      <w:r w:rsidR="00902954">
        <w:rPr>
          <w:rStyle w:val="Voetnootmarkering"/>
          <w:sz w:val="18"/>
          <w:szCs w:val="18"/>
        </w:rPr>
        <w:footnoteReference w:id="33"/>
      </w:r>
      <w:r w:rsidR="00902954">
        <w:rPr>
          <w:sz w:val="18"/>
          <w:szCs w:val="18"/>
        </w:rPr>
        <w:t xml:space="preserve"> en het biodiversiteitskader van Kunming-Montreal</w:t>
      </w:r>
      <w:r w:rsidR="00E75B15">
        <w:rPr>
          <w:sz w:val="18"/>
          <w:szCs w:val="18"/>
        </w:rPr>
        <w:t>.</w:t>
      </w:r>
      <w:r w:rsidR="00902954">
        <w:rPr>
          <w:rStyle w:val="Voetnootmarkering"/>
          <w:sz w:val="18"/>
          <w:szCs w:val="18"/>
        </w:rPr>
        <w:footnoteReference w:id="34"/>
      </w:r>
    </w:p>
    <w:p w:rsidRPr="00496E2A" w:rsidR="00FB64E0" w:rsidP="00FB64E0" w:rsidRDefault="00FB64E0" w14:paraId="2830C600" w14:textId="77777777">
      <w:pPr>
        <w:widowControl w:val="0"/>
        <w:spacing w:line="240" w:lineRule="atLeast"/>
        <w:rPr>
          <w:sz w:val="18"/>
          <w:szCs w:val="18"/>
        </w:rPr>
      </w:pPr>
    </w:p>
    <w:p w:rsidR="00FB64E0" w:rsidP="00FB64E0" w:rsidRDefault="00FB64E0" w14:paraId="7228BF12" w14:textId="0C2B87A7">
      <w:pPr>
        <w:widowControl w:val="0"/>
        <w:spacing w:line="240" w:lineRule="atLeast"/>
        <w:rPr>
          <w:sz w:val="18"/>
          <w:szCs w:val="18"/>
        </w:rPr>
      </w:pPr>
      <w:r w:rsidRPr="00496E2A">
        <w:rPr>
          <w:sz w:val="18"/>
          <w:szCs w:val="18"/>
        </w:rPr>
        <w:t xml:space="preserve">Daarnaast worden de mogelijkheden voor de toezichthoudende autoriteiten om ESG-risico’s mee te nemen in het toezicht, uitgebreid. EBA krijgt het mandaat </w:t>
      </w:r>
      <w:r w:rsidRPr="00496E2A">
        <w:rPr>
          <w:sz w:val="18"/>
          <w:szCs w:val="18"/>
        </w:rPr>
        <w:lastRenderedPageBreak/>
        <w:t>om criteria voor de beoordeling van ESG-risico’s nader te specificeren en daarnaast richtsnoeren uit te vaardigen voor uniforme opneming van ESG-risico’s in de procedure voor prudentiële toetsing en evaluatie (</w:t>
      </w:r>
      <w:r w:rsidRPr="00E54385">
        <w:rPr>
          <w:i/>
          <w:iCs/>
          <w:sz w:val="18"/>
          <w:szCs w:val="18"/>
        </w:rPr>
        <w:t>Supervisory Review and Evaluation Process</w:t>
      </w:r>
      <w:r w:rsidRPr="00496E2A">
        <w:rPr>
          <w:sz w:val="18"/>
          <w:szCs w:val="18"/>
        </w:rPr>
        <w:t xml:space="preserve"> –</w:t>
      </w:r>
      <w:r>
        <w:rPr>
          <w:sz w:val="18"/>
          <w:szCs w:val="18"/>
        </w:rPr>
        <w:t xml:space="preserve"> </w:t>
      </w:r>
      <w:r w:rsidRPr="00496E2A">
        <w:rPr>
          <w:sz w:val="18"/>
          <w:szCs w:val="18"/>
        </w:rPr>
        <w:t>SREP).</w:t>
      </w:r>
      <w:r>
        <w:rPr>
          <w:sz w:val="18"/>
          <w:szCs w:val="18"/>
        </w:rPr>
        <w:t xml:space="preserve"> In </w:t>
      </w:r>
      <w:r w:rsidR="00E75B15">
        <w:rPr>
          <w:sz w:val="18"/>
          <w:szCs w:val="18"/>
        </w:rPr>
        <w:t xml:space="preserve">het </w:t>
      </w:r>
      <w:r>
        <w:rPr>
          <w:sz w:val="18"/>
          <w:szCs w:val="18"/>
        </w:rPr>
        <w:t xml:space="preserve">SREP </w:t>
      </w:r>
      <w:r w:rsidR="00E75B15">
        <w:rPr>
          <w:sz w:val="18"/>
          <w:szCs w:val="18"/>
        </w:rPr>
        <w:t xml:space="preserve">proces </w:t>
      </w:r>
      <w:r>
        <w:rPr>
          <w:sz w:val="18"/>
          <w:szCs w:val="18"/>
        </w:rPr>
        <w:t xml:space="preserve">beoordelen toezichthouders </w:t>
      </w:r>
      <w:r w:rsidR="008259E3">
        <w:rPr>
          <w:sz w:val="18"/>
          <w:szCs w:val="18"/>
        </w:rPr>
        <w:t>het risicoprofiel en risicobeheer van een bank en kunnen zij aanvullende vereisten stellen, waaronder met betrekking tot het aan te houden kapitaal of liquiditeitsvereisten</w:t>
      </w:r>
      <w:r>
        <w:rPr>
          <w:sz w:val="18"/>
          <w:szCs w:val="18"/>
        </w:rPr>
        <w:t>.</w:t>
      </w:r>
      <w:r w:rsidRPr="00496E2A">
        <w:rPr>
          <w:sz w:val="18"/>
          <w:szCs w:val="18"/>
        </w:rPr>
        <w:t xml:space="preserve"> </w:t>
      </w:r>
      <w:r w:rsidR="008259E3">
        <w:rPr>
          <w:sz w:val="18"/>
          <w:szCs w:val="18"/>
        </w:rPr>
        <w:t>Door de beoordeling van ESG-risico’s onderdeel te maken van dit proces,</w:t>
      </w:r>
      <w:r w:rsidRPr="00496E2A">
        <w:rPr>
          <w:sz w:val="18"/>
          <w:szCs w:val="18"/>
        </w:rPr>
        <w:t xml:space="preserve"> kunnen toezichthouders beter beoordelen of het beheer van ESG-risico’s door banken toereikend is. Toezichthouders zullen bovendien moeten analyseren of banken voldoende voortgang boeken in de aanpassing van hun bedrijfsmodellen</w:t>
      </w:r>
      <w:r>
        <w:rPr>
          <w:sz w:val="18"/>
          <w:szCs w:val="18"/>
        </w:rPr>
        <w:t xml:space="preserve"> in het licht van de ESG</w:t>
      </w:r>
      <w:r w:rsidR="003D5EA9">
        <w:rPr>
          <w:sz w:val="18"/>
          <w:szCs w:val="18"/>
        </w:rPr>
        <w:t>-</w:t>
      </w:r>
      <w:r>
        <w:rPr>
          <w:sz w:val="18"/>
          <w:szCs w:val="18"/>
        </w:rPr>
        <w:t>risico’s.</w:t>
      </w:r>
    </w:p>
    <w:p w:rsidR="00FB64E0" w:rsidP="00FB64E0" w:rsidRDefault="00FB64E0" w14:paraId="049FBD14" w14:textId="77777777">
      <w:pPr>
        <w:widowControl w:val="0"/>
        <w:spacing w:line="240" w:lineRule="atLeast"/>
        <w:rPr>
          <w:sz w:val="18"/>
          <w:szCs w:val="18"/>
        </w:rPr>
      </w:pPr>
    </w:p>
    <w:p w:rsidRPr="00496E2A" w:rsidR="00FB64E0" w:rsidP="00FB64E0" w:rsidRDefault="00FB64E0" w14:paraId="1276DD46" w14:textId="0C887333">
      <w:pPr>
        <w:widowControl w:val="0"/>
        <w:spacing w:line="240" w:lineRule="atLeast"/>
        <w:rPr>
          <w:rFonts w:cs="Arial"/>
          <w:i/>
          <w:sz w:val="18"/>
          <w:szCs w:val="18"/>
        </w:rPr>
      </w:pPr>
      <w:r w:rsidRPr="00496E2A">
        <w:rPr>
          <w:rFonts w:cs="Arial"/>
          <w:i/>
          <w:sz w:val="18"/>
          <w:szCs w:val="18"/>
        </w:rPr>
        <w:t>§ 3.1.</w:t>
      </w:r>
      <w:r>
        <w:rPr>
          <w:rFonts w:cs="Arial"/>
          <w:i/>
          <w:sz w:val="18"/>
          <w:szCs w:val="18"/>
        </w:rPr>
        <w:t>2.1</w:t>
      </w:r>
      <w:r w:rsidRPr="00496E2A">
        <w:rPr>
          <w:rFonts w:cs="Arial"/>
          <w:i/>
          <w:sz w:val="18"/>
          <w:szCs w:val="18"/>
        </w:rPr>
        <w:t xml:space="preserve"> </w:t>
      </w:r>
      <w:r>
        <w:rPr>
          <w:rFonts w:cs="Arial"/>
          <w:i/>
          <w:sz w:val="18"/>
          <w:szCs w:val="18"/>
        </w:rPr>
        <w:t>Prudentieel relevante transactie</w:t>
      </w:r>
      <w:r w:rsidRPr="00496E2A">
        <w:rPr>
          <w:rFonts w:cs="Arial"/>
          <w:i/>
          <w:sz w:val="18"/>
          <w:szCs w:val="18"/>
        </w:rPr>
        <w:t>s</w:t>
      </w:r>
    </w:p>
    <w:p w:rsidRPr="00496E2A" w:rsidR="00FB64E0" w:rsidP="00FB64E0" w:rsidRDefault="00FB64E0" w14:paraId="75138118" w14:textId="13036F62">
      <w:pPr>
        <w:widowControl w:val="0"/>
        <w:spacing w:line="240" w:lineRule="atLeast"/>
        <w:rPr>
          <w:rFonts w:cs="Arial"/>
          <w:iCs/>
          <w:sz w:val="18"/>
          <w:szCs w:val="18"/>
        </w:rPr>
      </w:pPr>
      <w:r w:rsidRPr="00496E2A">
        <w:rPr>
          <w:rFonts w:cs="Arial"/>
          <w:iCs/>
          <w:sz w:val="18"/>
          <w:szCs w:val="18"/>
        </w:rPr>
        <w:t xml:space="preserve">De toezichtbevoegdheden voor de bevoegde autoriteiten met betrekking tot </w:t>
      </w:r>
      <w:r w:rsidR="008839C3">
        <w:rPr>
          <w:rFonts w:cs="Arial"/>
          <w:iCs/>
          <w:sz w:val="18"/>
          <w:szCs w:val="18"/>
        </w:rPr>
        <w:t xml:space="preserve">een aantal </w:t>
      </w:r>
      <w:r w:rsidRPr="00496E2A">
        <w:rPr>
          <w:rFonts w:cs="Arial"/>
          <w:iCs/>
          <w:sz w:val="18"/>
          <w:szCs w:val="18"/>
        </w:rPr>
        <w:t>specifieke activiteiten van banken</w:t>
      </w:r>
      <w:r w:rsidR="008839C3">
        <w:rPr>
          <w:rFonts w:cs="Arial"/>
          <w:iCs/>
          <w:sz w:val="18"/>
          <w:szCs w:val="18"/>
        </w:rPr>
        <w:t xml:space="preserve"> </w:t>
      </w:r>
      <w:r w:rsidRPr="00496E2A" w:rsidR="008839C3">
        <w:rPr>
          <w:rFonts w:cs="Arial"/>
          <w:iCs/>
          <w:sz w:val="18"/>
          <w:szCs w:val="18"/>
        </w:rPr>
        <w:t xml:space="preserve">worden </w:t>
      </w:r>
      <w:r w:rsidR="008839C3">
        <w:rPr>
          <w:rFonts w:cs="Arial"/>
          <w:iCs/>
          <w:sz w:val="18"/>
          <w:szCs w:val="18"/>
        </w:rPr>
        <w:t xml:space="preserve">op grond van de richtlijn </w:t>
      </w:r>
      <w:r w:rsidRPr="00496E2A" w:rsidR="008839C3">
        <w:rPr>
          <w:rFonts w:cs="Arial"/>
          <w:iCs/>
          <w:sz w:val="18"/>
          <w:szCs w:val="18"/>
        </w:rPr>
        <w:t>uitgebreid</w:t>
      </w:r>
      <w:r w:rsidR="008839C3">
        <w:rPr>
          <w:rFonts w:cs="Arial"/>
          <w:iCs/>
          <w:sz w:val="18"/>
          <w:szCs w:val="18"/>
        </w:rPr>
        <w:t>. Het gaat hierbij om gevallen waarin een bank</w:t>
      </w:r>
      <w:r w:rsidRPr="00496E2A">
        <w:rPr>
          <w:rFonts w:cs="Arial"/>
          <w:iCs/>
          <w:sz w:val="18"/>
          <w:szCs w:val="18"/>
        </w:rPr>
        <w:t xml:space="preserve"> een deelneming van </w:t>
      </w:r>
      <w:r w:rsidR="002E5D38">
        <w:rPr>
          <w:rFonts w:cs="Arial"/>
          <w:iCs/>
          <w:sz w:val="18"/>
          <w:szCs w:val="18"/>
        </w:rPr>
        <w:t>betekenis</w:t>
      </w:r>
      <w:r w:rsidRPr="00496E2A">
        <w:rPr>
          <w:rFonts w:cs="Arial"/>
          <w:iCs/>
          <w:sz w:val="18"/>
          <w:szCs w:val="18"/>
        </w:rPr>
        <w:t xml:space="preserve"> in een financiële of niet-financiële </w:t>
      </w:r>
      <w:r>
        <w:rPr>
          <w:rFonts w:cs="Arial"/>
          <w:iCs/>
          <w:sz w:val="18"/>
          <w:szCs w:val="18"/>
        </w:rPr>
        <w:t>onderneming</w:t>
      </w:r>
      <w:r w:rsidR="008839C3">
        <w:rPr>
          <w:rFonts w:cs="Arial"/>
          <w:iCs/>
          <w:sz w:val="18"/>
          <w:szCs w:val="18"/>
        </w:rPr>
        <w:t xml:space="preserve"> verwerft</w:t>
      </w:r>
      <w:r w:rsidRPr="00496E2A">
        <w:rPr>
          <w:rFonts w:cs="Arial"/>
          <w:iCs/>
          <w:sz w:val="18"/>
          <w:szCs w:val="18"/>
        </w:rPr>
        <w:t xml:space="preserve">, materiële activa/passiva transacties </w:t>
      </w:r>
      <w:r w:rsidR="008839C3">
        <w:rPr>
          <w:rFonts w:cs="Arial"/>
          <w:iCs/>
          <w:sz w:val="18"/>
          <w:szCs w:val="18"/>
        </w:rPr>
        <w:t>aangaat of e</w:t>
      </w:r>
      <w:r w:rsidRPr="00496E2A">
        <w:rPr>
          <w:rFonts w:cs="Arial"/>
          <w:iCs/>
          <w:sz w:val="18"/>
          <w:szCs w:val="18"/>
        </w:rPr>
        <w:t>en fusies of splitsing</w:t>
      </w:r>
      <w:r w:rsidR="008839C3">
        <w:rPr>
          <w:rFonts w:cs="Arial"/>
          <w:iCs/>
          <w:sz w:val="18"/>
          <w:szCs w:val="18"/>
        </w:rPr>
        <w:t xml:space="preserve"> aangaat</w:t>
      </w:r>
      <w:r w:rsidRPr="00496E2A">
        <w:rPr>
          <w:rFonts w:cs="Arial"/>
          <w:iCs/>
          <w:sz w:val="18"/>
          <w:szCs w:val="18"/>
        </w:rPr>
        <w:t xml:space="preserve">. De </w:t>
      </w:r>
      <w:r w:rsidR="00CA62A9">
        <w:rPr>
          <w:rFonts w:cs="Arial"/>
          <w:iCs/>
          <w:sz w:val="18"/>
          <w:szCs w:val="18"/>
        </w:rPr>
        <w:t>richtlijn voorziet ten aanzien hiervan in een</w:t>
      </w:r>
      <w:r w:rsidRPr="00496E2A">
        <w:rPr>
          <w:rFonts w:cs="Arial"/>
          <w:iCs/>
          <w:sz w:val="18"/>
          <w:szCs w:val="18"/>
        </w:rPr>
        <w:t xml:space="preserve"> verplichting dat bevoegde autoriteiten voorafgaand aan de transactie op de hoogte worden gebracht</w:t>
      </w:r>
      <w:r w:rsidR="00CA62A9">
        <w:rPr>
          <w:rFonts w:cs="Arial"/>
          <w:iCs/>
          <w:sz w:val="18"/>
          <w:szCs w:val="18"/>
        </w:rPr>
        <w:t xml:space="preserve"> en</w:t>
      </w:r>
      <w:r w:rsidRPr="00496E2A">
        <w:rPr>
          <w:rFonts w:cs="Arial"/>
          <w:iCs/>
          <w:sz w:val="18"/>
          <w:szCs w:val="18"/>
        </w:rPr>
        <w:t xml:space="preserve"> beschikken over de noodzakelijke informatie om een gedegen prudentiële beoordeling te kunnen doen</w:t>
      </w:r>
      <w:r w:rsidR="00CA62A9">
        <w:rPr>
          <w:rFonts w:cs="Arial"/>
          <w:iCs/>
          <w:sz w:val="18"/>
          <w:szCs w:val="18"/>
        </w:rPr>
        <w:t>,</w:t>
      </w:r>
      <w:r w:rsidRPr="00496E2A">
        <w:rPr>
          <w:rFonts w:cs="Arial"/>
          <w:iCs/>
          <w:sz w:val="18"/>
          <w:szCs w:val="18"/>
        </w:rPr>
        <w:t xml:space="preserve"> op basis </w:t>
      </w:r>
      <w:r w:rsidR="00CA62A9">
        <w:rPr>
          <w:rFonts w:cs="Arial"/>
          <w:iCs/>
          <w:sz w:val="18"/>
          <w:szCs w:val="18"/>
        </w:rPr>
        <w:t>w</w:t>
      </w:r>
      <w:r w:rsidRPr="00496E2A">
        <w:rPr>
          <w:rFonts w:cs="Arial"/>
          <w:iCs/>
          <w:sz w:val="18"/>
          <w:szCs w:val="18"/>
        </w:rPr>
        <w:t xml:space="preserve">aarvan </w:t>
      </w:r>
      <w:r w:rsidR="00CA62A9">
        <w:rPr>
          <w:rFonts w:cs="Arial"/>
          <w:iCs/>
          <w:sz w:val="18"/>
          <w:szCs w:val="18"/>
        </w:rPr>
        <w:t xml:space="preserve">zij </w:t>
      </w:r>
      <w:r>
        <w:rPr>
          <w:rFonts w:cs="Arial"/>
          <w:iCs/>
          <w:sz w:val="18"/>
          <w:szCs w:val="18"/>
        </w:rPr>
        <w:t xml:space="preserve">in sommige gevallen </w:t>
      </w:r>
      <w:r w:rsidRPr="00496E2A">
        <w:rPr>
          <w:rFonts w:cs="Arial"/>
          <w:iCs/>
          <w:sz w:val="18"/>
          <w:szCs w:val="18"/>
        </w:rPr>
        <w:t xml:space="preserve">de mogelijkheid hebben om </w:t>
      </w:r>
      <w:r>
        <w:rPr>
          <w:rFonts w:cs="Arial"/>
          <w:iCs/>
          <w:sz w:val="18"/>
          <w:szCs w:val="18"/>
        </w:rPr>
        <w:t>maatregelen te nemen</w:t>
      </w:r>
      <w:r w:rsidR="00CA62A9">
        <w:rPr>
          <w:rFonts w:cs="Arial"/>
          <w:iCs/>
          <w:sz w:val="18"/>
          <w:szCs w:val="18"/>
        </w:rPr>
        <w:t>.</w:t>
      </w:r>
      <w:r w:rsidDel="002D5647">
        <w:rPr>
          <w:rFonts w:cs="Arial"/>
          <w:iCs/>
          <w:sz w:val="18"/>
          <w:szCs w:val="18"/>
        </w:rPr>
        <w:t xml:space="preserve"> </w:t>
      </w:r>
      <w:r>
        <w:rPr>
          <w:rFonts w:cs="Arial"/>
          <w:iCs/>
          <w:sz w:val="18"/>
          <w:szCs w:val="18"/>
        </w:rPr>
        <w:t xml:space="preserve">In Nederland kennen we al een dergelijk stelsel in de vorm van de verklaringen van geen bezwaar (vvgb) voor handelingen waarbij bijvoorbeeld een bank een deelneming </w:t>
      </w:r>
      <w:r w:rsidR="00B76558">
        <w:rPr>
          <w:rFonts w:cs="Arial"/>
          <w:iCs/>
          <w:sz w:val="18"/>
          <w:szCs w:val="18"/>
        </w:rPr>
        <w:t xml:space="preserve">verwerft </w:t>
      </w:r>
      <w:r>
        <w:rPr>
          <w:rFonts w:cs="Arial"/>
          <w:iCs/>
          <w:sz w:val="18"/>
          <w:szCs w:val="18"/>
        </w:rPr>
        <w:t xml:space="preserve">in een andere onderneming of een fusie aangaat. Voor dergelijke handelingen is voorafgaande goedkeuring van DNB benodigd. De nieuwe artikelen in de CRD </w:t>
      </w:r>
      <w:r w:rsidR="00B76558">
        <w:rPr>
          <w:rFonts w:cs="Arial"/>
          <w:iCs/>
          <w:sz w:val="18"/>
          <w:szCs w:val="18"/>
        </w:rPr>
        <w:t xml:space="preserve">worden met het onderhavige wetsvoorstel </w:t>
      </w:r>
      <w:r>
        <w:rPr>
          <w:rFonts w:cs="Arial"/>
          <w:iCs/>
          <w:sz w:val="18"/>
          <w:szCs w:val="18"/>
        </w:rPr>
        <w:t>zoveel mogelijk gevat in het bestaande vvgb-stelsel, inclusief bijbehorende procedures</w:t>
      </w:r>
      <w:r w:rsidR="002E5D38">
        <w:rPr>
          <w:rFonts w:cs="Arial"/>
          <w:iCs/>
          <w:sz w:val="18"/>
          <w:szCs w:val="18"/>
        </w:rPr>
        <w:t>, die grote gelijkenis vertonen met het regime uit de CRD</w:t>
      </w:r>
      <w:r>
        <w:rPr>
          <w:rFonts w:cs="Arial"/>
          <w:iCs/>
          <w:sz w:val="18"/>
          <w:szCs w:val="18"/>
        </w:rPr>
        <w:t>.</w:t>
      </w:r>
    </w:p>
    <w:p w:rsidRPr="00496E2A" w:rsidR="00FB64E0" w:rsidP="00FB64E0" w:rsidRDefault="00FB64E0" w14:paraId="084C7E8B" w14:textId="77777777">
      <w:pPr>
        <w:widowControl w:val="0"/>
        <w:spacing w:line="240" w:lineRule="atLeast"/>
        <w:rPr>
          <w:rFonts w:cs="Arial"/>
          <w:i/>
          <w:sz w:val="18"/>
          <w:szCs w:val="18"/>
        </w:rPr>
      </w:pPr>
    </w:p>
    <w:p w:rsidRPr="00496E2A" w:rsidR="00FB64E0" w:rsidP="00FB64E0" w:rsidRDefault="00FB64E0" w14:paraId="799F41AE" w14:textId="1F2A6AAB">
      <w:pPr>
        <w:widowControl w:val="0"/>
        <w:spacing w:line="240" w:lineRule="atLeast"/>
        <w:rPr>
          <w:rFonts w:cs="Arial"/>
          <w:i/>
          <w:sz w:val="18"/>
          <w:szCs w:val="18"/>
        </w:rPr>
      </w:pPr>
      <w:r w:rsidRPr="00496E2A">
        <w:rPr>
          <w:rFonts w:cs="Arial"/>
          <w:i/>
          <w:sz w:val="18"/>
          <w:szCs w:val="18"/>
        </w:rPr>
        <w:t>§ 3.1.</w:t>
      </w:r>
      <w:r>
        <w:rPr>
          <w:rFonts w:cs="Arial"/>
          <w:i/>
          <w:sz w:val="18"/>
          <w:szCs w:val="18"/>
        </w:rPr>
        <w:t>2.2</w:t>
      </w:r>
      <w:r w:rsidRPr="00496E2A">
        <w:rPr>
          <w:rFonts w:cs="Arial"/>
          <w:i/>
          <w:sz w:val="18"/>
          <w:szCs w:val="18"/>
        </w:rPr>
        <w:t xml:space="preserve"> Harmonisatie geschiktheid</w:t>
      </w:r>
      <w:r>
        <w:rPr>
          <w:rFonts w:cs="Arial"/>
          <w:i/>
          <w:sz w:val="18"/>
          <w:szCs w:val="18"/>
        </w:rPr>
        <w:t>- en betrouwbaarheidseisen</w:t>
      </w:r>
    </w:p>
    <w:p w:rsidR="00FB64E0" w:rsidP="00FB64E0" w:rsidRDefault="00FB64E0" w14:paraId="6DA7B056" w14:textId="7698F58C">
      <w:pPr>
        <w:widowControl w:val="0"/>
        <w:spacing w:line="240" w:lineRule="atLeast"/>
        <w:rPr>
          <w:rFonts w:cs="Arial"/>
          <w:iCs/>
          <w:sz w:val="18"/>
          <w:szCs w:val="18"/>
        </w:rPr>
      </w:pPr>
      <w:r w:rsidRPr="00496E2A">
        <w:rPr>
          <w:rFonts w:cs="Arial"/>
          <w:iCs/>
          <w:sz w:val="18"/>
          <w:szCs w:val="18"/>
        </w:rPr>
        <w:t xml:space="preserve">De beoordeling van de betrouwbaarheid en </w:t>
      </w:r>
      <w:r>
        <w:rPr>
          <w:rFonts w:cs="Arial"/>
          <w:iCs/>
          <w:sz w:val="18"/>
          <w:szCs w:val="18"/>
        </w:rPr>
        <w:t>geschiktheid</w:t>
      </w:r>
      <w:r w:rsidRPr="00496E2A">
        <w:rPr>
          <w:rFonts w:cs="Arial"/>
          <w:iCs/>
          <w:sz w:val="18"/>
          <w:szCs w:val="18"/>
        </w:rPr>
        <w:t xml:space="preserve"> van leden van het leidinggevend orgaan van een bank</w:t>
      </w:r>
      <w:r w:rsidR="0006558B">
        <w:rPr>
          <w:rFonts w:cs="Arial"/>
          <w:iCs/>
          <w:sz w:val="18"/>
          <w:szCs w:val="18"/>
        </w:rPr>
        <w:t>,</w:t>
      </w:r>
      <w:r w:rsidR="00B76558">
        <w:rPr>
          <w:rFonts w:cs="Arial"/>
          <w:iCs/>
          <w:sz w:val="18"/>
          <w:szCs w:val="18"/>
        </w:rPr>
        <w:t xml:space="preserve"> een</w:t>
      </w:r>
      <w:r>
        <w:rPr>
          <w:rFonts w:cs="Arial"/>
          <w:iCs/>
          <w:sz w:val="18"/>
          <w:szCs w:val="18"/>
        </w:rPr>
        <w:t xml:space="preserve"> (gemengde) financiële holding</w:t>
      </w:r>
      <w:r w:rsidR="0006558B">
        <w:rPr>
          <w:rFonts w:cs="Arial"/>
          <w:iCs/>
          <w:sz w:val="18"/>
          <w:szCs w:val="18"/>
        </w:rPr>
        <w:t xml:space="preserve"> of een beleggingsonderneming</w:t>
      </w:r>
      <w:r>
        <w:rPr>
          <w:rFonts w:cs="Arial"/>
          <w:iCs/>
          <w:sz w:val="18"/>
          <w:szCs w:val="18"/>
        </w:rPr>
        <w:t xml:space="preserve"> was reeds geharmoniseerd. </w:t>
      </w:r>
      <w:r w:rsidR="00DC066F">
        <w:rPr>
          <w:rFonts w:cs="Arial"/>
          <w:iCs/>
          <w:sz w:val="18"/>
          <w:szCs w:val="18"/>
        </w:rPr>
        <w:t xml:space="preserve">CRD introduceert </w:t>
      </w:r>
      <w:r w:rsidR="00576571">
        <w:rPr>
          <w:rFonts w:cs="Arial"/>
          <w:iCs/>
          <w:sz w:val="18"/>
          <w:szCs w:val="18"/>
        </w:rPr>
        <w:t xml:space="preserve">nu </w:t>
      </w:r>
      <w:r w:rsidR="00DC066F">
        <w:rPr>
          <w:rFonts w:cs="Arial"/>
          <w:iCs/>
          <w:sz w:val="18"/>
          <w:szCs w:val="18"/>
        </w:rPr>
        <w:t xml:space="preserve">de definitie ‘medewerkers met een sleutelfunctie’. Hieronder vallen onder andere hoofden van de interne controlefuncties en de financieel directeur. </w:t>
      </w:r>
      <w:r w:rsidR="00DE1C23">
        <w:rPr>
          <w:rFonts w:cs="Arial"/>
          <w:iCs/>
          <w:sz w:val="18"/>
          <w:szCs w:val="18"/>
        </w:rPr>
        <w:t>D</w:t>
      </w:r>
      <w:r w:rsidR="00DC066F">
        <w:rPr>
          <w:rFonts w:cs="Arial"/>
          <w:iCs/>
          <w:sz w:val="18"/>
          <w:szCs w:val="18"/>
        </w:rPr>
        <w:t xml:space="preserve">eze ‘medewerkers met een sleutelfunctie’ </w:t>
      </w:r>
      <w:r w:rsidR="00DE1C23">
        <w:rPr>
          <w:rFonts w:cs="Arial"/>
          <w:iCs/>
          <w:sz w:val="18"/>
          <w:szCs w:val="18"/>
        </w:rPr>
        <w:t xml:space="preserve">worden </w:t>
      </w:r>
      <w:r w:rsidR="00DC066F">
        <w:rPr>
          <w:rFonts w:cs="Arial"/>
          <w:iCs/>
          <w:sz w:val="18"/>
          <w:szCs w:val="18"/>
        </w:rPr>
        <w:t>ook onderworpen aan</w:t>
      </w:r>
      <w:r>
        <w:rPr>
          <w:rFonts w:cs="Arial"/>
          <w:iCs/>
          <w:sz w:val="18"/>
          <w:szCs w:val="18"/>
        </w:rPr>
        <w:t xml:space="preserve"> </w:t>
      </w:r>
      <w:r w:rsidR="00DC066F">
        <w:rPr>
          <w:rFonts w:cs="Arial"/>
          <w:iCs/>
          <w:sz w:val="18"/>
          <w:szCs w:val="18"/>
        </w:rPr>
        <w:t xml:space="preserve">de </w:t>
      </w:r>
      <w:r>
        <w:rPr>
          <w:rFonts w:cs="Arial"/>
          <w:iCs/>
          <w:sz w:val="18"/>
          <w:szCs w:val="18"/>
        </w:rPr>
        <w:t>geschiktheid- en betrouwbaarheidseis.</w:t>
      </w:r>
      <w:r w:rsidR="00311C8A">
        <w:rPr>
          <w:rFonts w:cs="Arial"/>
          <w:iCs/>
          <w:sz w:val="18"/>
          <w:szCs w:val="18"/>
        </w:rPr>
        <w:t xml:space="preserve"> </w:t>
      </w:r>
      <w:r w:rsidR="00DC066F">
        <w:rPr>
          <w:rFonts w:cs="Arial"/>
          <w:iCs/>
          <w:sz w:val="18"/>
          <w:szCs w:val="18"/>
        </w:rPr>
        <w:t xml:space="preserve">In dit wetsvoorstel wordt deze definitie geïntroduceerd en komt </w:t>
      </w:r>
      <w:r w:rsidR="00DE1C23">
        <w:rPr>
          <w:rFonts w:cs="Arial"/>
          <w:iCs/>
          <w:sz w:val="18"/>
          <w:szCs w:val="18"/>
        </w:rPr>
        <w:t xml:space="preserve">deze </w:t>
      </w:r>
      <w:r w:rsidR="00CC5B93">
        <w:rPr>
          <w:rFonts w:cs="Arial"/>
          <w:iCs/>
          <w:sz w:val="18"/>
          <w:szCs w:val="18"/>
        </w:rPr>
        <w:t xml:space="preserve">voor banken </w:t>
      </w:r>
      <w:r w:rsidR="00DC066F">
        <w:rPr>
          <w:rFonts w:cs="Arial"/>
          <w:iCs/>
          <w:sz w:val="18"/>
          <w:szCs w:val="18"/>
        </w:rPr>
        <w:t xml:space="preserve">in de plaats van de huidige definitie van </w:t>
      </w:r>
      <w:r w:rsidRPr="00DC066F" w:rsidR="00DC066F">
        <w:rPr>
          <w:rFonts w:cs="Arial"/>
          <w:iCs/>
          <w:sz w:val="18"/>
          <w:szCs w:val="18"/>
        </w:rPr>
        <w:t xml:space="preserve">de groep personen die een leidinggevende functie vervullen direct onder het echelon van de beleidsbepalers en verantwoordelijk zijn voor natuurlijke personen wier werkzaamheden het risicoprofiel van de onderneming wezenlijk kunnen beïnvloeden (het </w:t>
      </w:r>
      <w:r w:rsidR="00DC066F">
        <w:rPr>
          <w:rFonts w:cs="Arial"/>
          <w:iCs/>
          <w:sz w:val="18"/>
          <w:szCs w:val="18"/>
        </w:rPr>
        <w:t>zogenaamde</w:t>
      </w:r>
      <w:r w:rsidRPr="00DC066F" w:rsidR="00DC066F">
        <w:rPr>
          <w:rFonts w:cs="Arial"/>
          <w:iCs/>
          <w:sz w:val="18"/>
          <w:szCs w:val="18"/>
        </w:rPr>
        <w:t xml:space="preserve"> ‘tweede echelon’).</w:t>
      </w:r>
      <w:r w:rsidR="0039382D">
        <w:rPr>
          <w:rFonts w:cs="Arial"/>
          <w:iCs/>
          <w:sz w:val="18"/>
          <w:szCs w:val="18"/>
        </w:rPr>
        <w:t xml:space="preserve"> Medewerkers met een sleutelfunctie bij een beleggingsonderneming </w:t>
      </w:r>
      <w:r w:rsidR="00F14D6D">
        <w:rPr>
          <w:rFonts w:cs="Arial"/>
          <w:iCs/>
          <w:sz w:val="18"/>
          <w:szCs w:val="18"/>
        </w:rPr>
        <w:t xml:space="preserve">onder de verordening kapitaalvereisten en bij (gemengde) financiële holdings met een goedkeuring </w:t>
      </w:r>
      <w:r w:rsidR="0039382D">
        <w:rPr>
          <w:rFonts w:cs="Arial"/>
          <w:iCs/>
          <w:sz w:val="18"/>
          <w:szCs w:val="18"/>
        </w:rPr>
        <w:t>moeten ook aan de nieuwe vereisten gaan voldoen.</w:t>
      </w:r>
      <w:r w:rsidR="00DC066F">
        <w:rPr>
          <w:rFonts w:cs="Arial"/>
          <w:iCs/>
          <w:sz w:val="18"/>
          <w:szCs w:val="18"/>
        </w:rPr>
        <w:t xml:space="preserve"> </w:t>
      </w:r>
    </w:p>
    <w:p w:rsidR="001249BE" w:rsidP="00FB64E0" w:rsidRDefault="001249BE" w14:paraId="10CD814D" w14:textId="77777777">
      <w:pPr>
        <w:widowControl w:val="0"/>
        <w:spacing w:line="240" w:lineRule="atLeast"/>
        <w:rPr>
          <w:rFonts w:cs="Arial"/>
          <w:iCs/>
          <w:sz w:val="18"/>
          <w:szCs w:val="18"/>
        </w:rPr>
      </w:pPr>
    </w:p>
    <w:p w:rsidR="001249BE" w:rsidP="001249BE" w:rsidRDefault="001249BE" w14:paraId="6466A5B9" w14:textId="060A0765">
      <w:pPr>
        <w:widowControl w:val="0"/>
        <w:spacing w:line="240" w:lineRule="atLeast"/>
        <w:rPr>
          <w:rFonts w:cs="Arial"/>
          <w:i/>
          <w:sz w:val="18"/>
          <w:szCs w:val="18"/>
        </w:rPr>
      </w:pPr>
      <w:r w:rsidRPr="00496E2A">
        <w:rPr>
          <w:rFonts w:cs="Arial"/>
          <w:i/>
          <w:sz w:val="18"/>
          <w:szCs w:val="18"/>
        </w:rPr>
        <w:t>§ 3.1.</w:t>
      </w:r>
      <w:r>
        <w:rPr>
          <w:rFonts w:cs="Arial"/>
          <w:i/>
          <w:sz w:val="18"/>
          <w:szCs w:val="18"/>
        </w:rPr>
        <w:t>2.3</w:t>
      </w:r>
      <w:r w:rsidRPr="00496E2A">
        <w:rPr>
          <w:rFonts w:cs="Arial"/>
          <w:i/>
          <w:sz w:val="18"/>
          <w:szCs w:val="18"/>
        </w:rPr>
        <w:t xml:space="preserve"> Harmonisatie </w:t>
      </w:r>
      <w:r>
        <w:rPr>
          <w:rFonts w:cs="Arial"/>
          <w:i/>
          <w:sz w:val="18"/>
          <w:szCs w:val="18"/>
        </w:rPr>
        <w:t>administratieve maatregelen en -sancties</w:t>
      </w:r>
    </w:p>
    <w:p w:rsidR="001249BE" w:rsidP="00FB64E0" w:rsidRDefault="001249BE" w14:paraId="353DF7B1" w14:textId="47A6170A">
      <w:pPr>
        <w:widowControl w:val="0"/>
        <w:spacing w:line="240" w:lineRule="atLeast"/>
        <w:rPr>
          <w:rFonts w:cs="Arial"/>
          <w:iCs/>
          <w:sz w:val="18"/>
          <w:szCs w:val="18"/>
        </w:rPr>
      </w:pPr>
      <w:r>
        <w:rPr>
          <w:rFonts w:cs="Arial"/>
          <w:iCs/>
          <w:sz w:val="18"/>
          <w:szCs w:val="18"/>
        </w:rPr>
        <w:t xml:space="preserve">De administratieve maatregelen en -sancties die nationale toezichthouders kunnen opleggen worden verder geharmoniseerd. Grootste verandering daarbij is dat er in de CRD </w:t>
      </w:r>
      <w:r>
        <w:rPr>
          <w:rFonts w:cs="Arial"/>
          <w:i/>
          <w:sz w:val="18"/>
          <w:szCs w:val="18"/>
        </w:rPr>
        <w:t>periodic penalty payments</w:t>
      </w:r>
      <w:r>
        <w:rPr>
          <w:rFonts w:cs="Arial"/>
          <w:iCs/>
          <w:sz w:val="18"/>
          <w:szCs w:val="18"/>
        </w:rPr>
        <w:t xml:space="preserve"> worden geïntroduceerd als maatregel. In Nederland kennen wij al de last onder dwangsom</w:t>
      </w:r>
      <w:r w:rsidR="009B1259">
        <w:rPr>
          <w:rFonts w:cs="Arial"/>
          <w:iCs/>
          <w:sz w:val="18"/>
          <w:szCs w:val="18"/>
        </w:rPr>
        <w:t xml:space="preserve"> als maatregel, waardoor er geen aanpassing van de Nederlandse wetgeving nodig is.</w:t>
      </w:r>
      <w:r>
        <w:rPr>
          <w:rFonts w:cs="Arial"/>
          <w:iCs/>
          <w:sz w:val="18"/>
          <w:szCs w:val="18"/>
        </w:rPr>
        <w:t xml:space="preserve"> </w:t>
      </w:r>
      <w:r w:rsidR="005F47B4">
        <w:rPr>
          <w:rFonts w:cs="Arial"/>
          <w:iCs/>
          <w:sz w:val="18"/>
          <w:szCs w:val="18"/>
        </w:rPr>
        <w:t xml:space="preserve">De lidstaatoptie om last onder dwangsommen per week of per maand op te kunnen leggen, in plaats van per dag zoals voorgeschreven, komt al tot uitdrukking in </w:t>
      </w:r>
      <w:r w:rsidR="005F47B4">
        <w:rPr>
          <w:rFonts w:cs="Arial"/>
          <w:iCs/>
          <w:sz w:val="18"/>
          <w:szCs w:val="18"/>
        </w:rPr>
        <w:lastRenderedPageBreak/>
        <w:t>het bestaande recht in de Algemene wet bestuursrecht (Awb), waarbij de termijn een afweging van de toezichthouder vergt.</w:t>
      </w:r>
      <w:r w:rsidR="005F47B4">
        <w:rPr>
          <w:rStyle w:val="Voetnootmarkering"/>
          <w:rFonts w:cs="Arial"/>
          <w:iCs/>
          <w:sz w:val="18"/>
          <w:szCs w:val="18"/>
        </w:rPr>
        <w:footnoteReference w:id="35"/>
      </w:r>
      <w:r w:rsidR="005F47B4">
        <w:rPr>
          <w:rFonts w:cs="Arial"/>
          <w:iCs/>
          <w:sz w:val="18"/>
          <w:szCs w:val="18"/>
        </w:rPr>
        <w:t xml:space="preserve"> </w:t>
      </w:r>
    </w:p>
    <w:p w:rsidRPr="00496E2A" w:rsidR="00FB64E0" w:rsidP="00FB64E0" w:rsidRDefault="00FB64E0" w14:paraId="451B79FF" w14:textId="77777777">
      <w:pPr>
        <w:widowControl w:val="0"/>
        <w:spacing w:line="240" w:lineRule="atLeast"/>
        <w:rPr>
          <w:sz w:val="18"/>
          <w:szCs w:val="18"/>
        </w:rPr>
      </w:pPr>
    </w:p>
    <w:p w:rsidRPr="00496E2A" w:rsidR="001E56AB" w:rsidP="001E56AB" w:rsidRDefault="001E56AB" w14:paraId="3CC20BC4" w14:textId="1FEC0F34">
      <w:pPr>
        <w:widowControl w:val="0"/>
        <w:spacing w:line="240" w:lineRule="atLeast"/>
        <w:rPr>
          <w:rFonts w:cs="Arial"/>
          <w:i/>
          <w:sz w:val="18"/>
          <w:szCs w:val="18"/>
        </w:rPr>
      </w:pPr>
      <w:r w:rsidRPr="00496E2A">
        <w:rPr>
          <w:rFonts w:cs="Arial"/>
          <w:i/>
          <w:sz w:val="18"/>
          <w:szCs w:val="18"/>
        </w:rPr>
        <w:t>§ 3.1.</w:t>
      </w:r>
      <w:r w:rsidR="00FB64E0">
        <w:rPr>
          <w:rFonts w:cs="Arial"/>
          <w:i/>
          <w:sz w:val="18"/>
          <w:szCs w:val="18"/>
        </w:rPr>
        <w:t>3</w:t>
      </w:r>
      <w:r w:rsidRPr="00496E2A">
        <w:rPr>
          <w:rFonts w:cs="Arial"/>
          <w:i/>
          <w:sz w:val="18"/>
          <w:szCs w:val="18"/>
        </w:rPr>
        <w:t xml:space="preserve"> </w:t>
      </w:r>
      <w:r w:rsidR="001C0C28">
        <w:rPr>
          <w:rFonts w:cs="Arial"/>
          <w:i/>
          <w:sz w:val="18"/>
          <w:szCs w:val="18"/>
        </w:rPr>
        <w:t>Derde land</w:t>
      </w:r>
      <w:r w:rsidR="00286A8D">
        <w:rPr>
          <w:rFonts w:cs="Arial"/>
          <w:i/>
          <w:sz w:val="18"/>
          <w:szCs w:val="18"/>
        </w:rPr>
        <w:t xml:space="preserve"> b</w:t>
      </w:r>
      <w:r w:rsidRPr="00496E2A">
        <w:rPr>
          <w:rFonts w:cs="Arial"/>
          <w:i/>
          <w:sz w:val="18"/>
          <w:szCs w:val="18"/>
        </w:rPr>
        <w:t xml:space="preserve">ijkantoren </w:t>
      </w:r>
      <w:r w:rsidR="00286A8D">
        <w:rPr>
          <w:rFonts w:cs="Arial"/>
          <w:i/>
          <w:sz w:val="18"/>
          <w:szCs w:val="18"/>
        </w:rPr>
        <w:t>uit</w:t>
      </w:r>
      <w:r w:rsidRPr="00496E2A">
        <w:rPr>
          <w:rFonts w:cs="Arial"/>
          <w:i/>
          <w:sz w:val="18"/>
          <w:szCs w:val="18"/>
        </w:rPr>
        <w:t xml:space="preserve"> staten die geen lidstaat zijn </w:t>
      </w:r>
    </w:p>
    <w:p w:rsidR="00576571" w:rsidP="007443A1" w:rsidRDefault="007443A1" w14:paraId="242C5E95" w14:textId="48198BC5">
      <w:pPr>
        <w:widowControl w:val="0"/>
        <w:spacing w:line="240" w:lineRule="atLeast"/>
        <w:rPr>
          <w:rFonts w:cs="Arial"/>
          <w:iCs/>
          <w:sz w:val="18"/>
          <w:szCs w:val="18"/>
        </w:rPr>
      </w:pPr>
      <w:r>
        <w:rPr>
          <w:rFonts w:cs="Arial"/>
          <w:iCs/>
          <w:sz w:val="18"/>
          <w:szCs w:val="18"/>
        </w:rPr>
        <w:t xml:space="preserve">De CRD bevatte voorheen </w:t>
      </w:r>
      <w:r w:rsidR="00721321">
        <w:rPr>
          <w:rFonts w:cs="Arial"/>
          <w:iCs/>
          <w:sz w:val="18"/>
          <w:szCs w:val="18"/>
        </w:rPr>
        <w:t>weinig bepalingen omtrent de regulering van bijkantoren van banken uit staten die geen lidstaat zijn</w:t>
      </w:r>
      <w:r>
        <w:rPr>
          <w:rFonts w:cs="Arial"/>
          <w:iCs/>
          <w:sz w:val="18"/>
          <w:szCs w:val="18"/>
        </w:rPr>
        <w:t>.</w:t>
      </w:r>
      <w:r w:rsidR="001249BE">
        <w:rPr>
          <w:rFonts w:cs="Arial"/>
          <w:iCs/>
          <w:sz w:val="18"/>
          <w:szCs w:val="18"/>
        </w:rPr>
        <w:t xml:space="preserve"> Nederland kende al wel een vergunningstelsel voor bijkantoren van banken</w:t>
      </w:r>
      <w:r w:rsidR="00A074D2">
        <w:rPr>
          <w:rFonts w:cs="Arial"/>
          <w:iCs/>
          <w:sz w:val="18"/>
          <w:szCs w:val="18"/>
        </w:rPr>
        <w:t xml:space="preserve"> uit </w:t>
      </w:r>
      <w:r w:rsidR="00721321">
        <w:rPr>
          <w:rFonts w:cs="Arial"/>
          <w:iCs/>
          <w:sz w:val="18"/>
          <w:szCs w:val="18"/>
        </w:rPr>
        <w:t>dergelijke state</w:t>
      </w:r>
      <w:r w:rsidR="00A074D2">
        <w:rPr>
          <w:rFonts w:cs="Arial"/>
          <w:iCs/>
          <w:sz w:val="18"/>
          <w:szCs w:val="18"/>
        </w:rPr>
        <w:t>n, op grond waarvan</w:t>
      </w:r>
      <w:r w:rsidR="00267C6D">
        <w:rPr>
          <w:rFonts w:cs="Arial"/>
          <w:iCs/>
          <w:sz w:val="18"/>
          <w:szCs w:val="18"/>
        </w:rPr>
        <w:t xml:space="preserve"> bijkantoren, en de </w:t>
      </w:r>
      <w:r w:rsidR="00A074D2">
        <w:rPr>
          <w:rFonts w:cs="Arial"/>
          <w:iCs/>
          <w:sz w:val="18"/>
          <w:szCs w:val="18"/>
        </w:rPr>
        <w:t xml:space="preserve">bank in </w:t>
      </w:r>
      <w:r w:rsidR="00721321">
        <w:rPr>
          <w:rFonts w:cs="Arial"/>
          <w:iCs/>
          <w:sz w:val="18"/>
          <w:szCs w:val="18"/>
        </w:rPr>
        <w:t>de staat die geen lidstaat is</w:t>
      </w:r>
      <w:r w:rsidR="00A074D2">
        <w:rPr>
          <w:rFonts w:cs="Arial"/>
          <w:iCs/>
          <w:sz w:val="18"/>
          <w:szCs w:val="18"/>
        </w:rPr>
        <w:t xml:space="preserve"> waar zij deel vanuit maken</w:t>
      </w:r>
      <w:r w:rsidR="00267C6D">
        <w:rPr>
          <w:rFonts w:cs="Arial"/>
          <w:iCs/>
          <w:sz w:val="18"/>
          <w:szCs w:val="18"/>
        </w:rPr>
        <w:t>, aan verschillende vereisten moe</w:t>
      </w:r>
      <w:r w:rsidR="00853AF2">
        <w:rPr>
          <w:rFonts w:cs="Arial"/>
          <w:iCs/>
          <w:sz w:val="18"/>
          <w:szCs w:val="18"/>
        </w:rPr>
        <w:t>s</w:t>
      </w:r>
      <w:r w:rsidR="00267C6D">
        <w:rPr>
          <w:rFonts w:cs="Arial"/>
          <w:iCs/>
          <w:sz w:val="18"/>
          <w:szCs w:val="18"/>
        </w:rPr>
        <w:t>ten voldoen</w:t>
      </w:r>
      <w:r w:rsidR="001249BE">
        <w:rPr>
          <w:rFonts w:cs="Arial"/>
          <w:iCs/>
          <w:sz w:val="18"/>
          <w:szCs w:val="18"/>
        </w:rPr>
        <w:t xml:space="preserve">. </w:t>
      </w:r>
      <w:r>
        <w:rPr>
          <w:rFonts w:cs="Arial"/>
          <w:iCs/>
          <w:sz w:val="18"/>
          <w:szCs w:val="18"/>
        </w:rPr>
        <w:t xml:space="preserve">Met de wijzigingen uit de richtlijn </w:t>
      </w:r>
      <w:r w:rsidR="00576571">
        <w:rPr>
          <w:rFonts w:cs="Arial"/>
          <w:iCs/>
          <w:sz w:val="18"/>
          <w:szCs w:val="18"/>
        </w:rPr>
        <w:t xml:space="preserve">voorziet </w:t>
      </w:r>
      <w:r>
        <w:rPr>
          <w:rFonts w:cs="Arial"/>
          <w:iCs/>
          <w:sz w:val="18"/>
          <w:szCs w:val="18"/>
        </w:rPr>
        <w:t>de CRD nu</w:t>
      </w:r>
      <w:r w:rsidR="00576571">
        <w:rPr>
          <w:rFonts w:cs="Arial"/>
          <w:iCs/>
          <w:sz w:val="18"/>
          <w:szCs w:val="18"/>
        </w:rPr>
        <w:t xml:space="preserve"> in</w:t>
      </w:r>
      <w:r>
        <w:rPr>
          <w:rFonts w:cs="Arial"/>
          <w:iCs/>
          <w:sz w:val="18"/>
          <w:szCs w:val="18"/>
        </w:rPr>
        <w:t xml:space="preserve"> </w:t>
      </w:r>
      <w:r w:rsidR="00853AF2">
        <w:rPr>
          <w:rFonts w:cs="Arial"/>
          <w:iCs/>
          <w:sz w:val="18"/>
          <w:szCs w:val="18"/>
        </w:rPr>
        <w:t xml:space="preserve">minimumharmonisatie </w:t>
      </w:r>
      <w:r w:rsidR="00576571">
        <w:rPr>
          <w:rFonts w:cs="Arial"/>
          <w:iCs/>
          <w:sz w:val="18"/>
          <w:szCs w:val="18"/>
        </w:rPr>
        <w:t xml:space="preserve">van het kader </w:t>
      </w:r>
      <w:r w:rsidR="00CE467E">
        <w:rPr>
          <w:rFonts w:cs="Arial"/>
          <w:iCs/>
          <w:sz w:val="18"/>
          <w:szCs w:val="18"/>
        </w:rPr>
        <w:t>voor het</w:t>
      </w:r>
      <w:r w:rsidR="00A074D2">
        <w:rPr>
          <w:rFonts w:cs="Arial"/>
          <w:iCs/>
          <w:sz w:val="18"/>
          <w:szCs w:val="18"/>
        </w:rPr>
        <w:t xml:space="preserve"> verlenen van bancaire diensten vanuit een </w:t>
      </w:r>
      <w:r w:rsidR="00721321">
        <w:rPr>
          <w:rFonts w:cs="Arial"/>
          <w:iCs/>
          <w:sz w:val="18"/>
          <w:szCs w:val="18"/>
        </w:rPr>
        <w:t>staat die geen lidstaat is</w:t>
      </w:r>
      <w:r w:rsidR="00A074D2">
        <w:rPr>
          <w:rFonts w:cs="Arial"/>
          <w:iCs/>
          <w:sz w:val="18"/>
          <w:szCs w:val="18"/>
        </w:rPr>
        <w:t xml:space="preserve"> en het</w:t>
      </w:r>
      <w:r w:rsidR="00576571">
        <w:rPr>
          <w:rFonts w:cs="Arial"/>
          <w:iCs/>
          <w:sz w:val="18"/>
          <w:szCs w:val="18"/>
        </w:rPr>
        <w:t xml:space="preserve"> (daarvoor vereiste)</w:t>
      </w:r>
      <w:r w:rsidR="00CE467E">
        <w:rPr>
          <w:rFonts w:cs="Arial"/>
          <w:iCs/>
          <w:sz w:val="18"/>
          <w:szCs w:val="18"/>
        </w:rPr>
        <w:t xml:space="preserve"> oprichten van</w:t>
      </w:r>
      <w:r w:rsidR="004345B2">
        <w:rPr>
          <w:rFonts w:cs="Arial"/>
          <w:iCs/>
          <w:sz w:val="18"/>
          <w:szCs w:val="18"/>
        </w:rPr>
        <w:t xml:space="preserve"> een </w:t>
      </w:r>
      <w:r w:rsidR="001C0C28">
        <w:rPr>
          <w:rFonts w:cs="Arial"/>
          <w:iCs/>
          <w:sz w:val="18"/>
          <w:szCs w:val="18"/>
        </w:rPr>
        <w:t>derde land</w:t>
      </w:r>
      <w:r w:rsidR="004345B2">
        <w:rPr>
          <w:rFonts w:cs="Arial"/>
          <w:iCs/>
          <w:sz w:val="18"/>
          <w:szCs w:val="18"/>
        </w:rPr>
        <w:t xml:space="preserve"> bijkantoor</w:t>
      </w:r>
      <w:r w:rsidR="00853AF2">
        <w:rPr>
          <w:rFonts w:cs="Arial"/>
          <w:iCs/>
          <w:sz w:val="18"/>
          <w:szCs w:val="18"/>
        </w:rPr>
        <w:t xml:space="preserve"> met bijbehorende vergunning</w:t>
      </w:r>
      <w:r w:rsidR="001249BE">
        <w:rPr>
          <w:rFonts w:cs="Arial"/>
          <w:iCs/>
          <w:sz w:val="18"/>
          <w:szCs w:val="18"/>
        </w:rPr>
        <w:t xml:space="preserve">. </w:t>
      </w:r>
    </w:p>
    <w:p w:rsidR="00576571" w:rsidP="007443A1" w:rsidRDefault="00576571" w14:paraId="03093812" w14:textId="77777777">
      <w:pPr>
        <w:widowControl w:val="0"/>
        <w:spacing w:line="240" w:lineRule="atLeast"/>
        <w:rPr>
          <w:rFonts w:cs="Arial"/>
          <w:iCs/>
          <w:sz w:val="18"/>
          <w:szCs w:val="18"/>
        </w:rPr>
      </w:pPr>
    </w:p>
    <w:p w:rsidRPr="00496E2A" w:rsidR="001E56AB" w:rsidP="007443A1" w:rsidRDefault="001249BE" w14:paraId="54F51CF8" w14:textId="243A189E">
      <w:pPr>
        <w:widowControl w:val="0"/>
        <w:spacing w:line="240" w:lineRule="atLeast"/>
        <w:rPr>
          <w:rFonts w:cs="Arial"/>
          <w:iCs/>
          <w:sz w:val="18"/>
          <w:szCs w:val="18"/>
        </w:rPr>
      </w:pPr>
      <w:r>
        <w:rPr>
          <w:rFonts w:cs="Arial"/>
          <w:iCs/>
          <w:sz w:val="18"/>
          <w:szCs w:val="18"/>
        </w:rPr>
        <w:t>Indien een onderneming uit een staat die geen lidstaat is voornemens is diensten in Nederland aan</w:t>
      </w:r>
      <w:r w:rsidR="00576571">
        <w:rPr>
          <w:rFonts w:cs="Arial"/>
          <w:iCs/>
          <w:sz w:val="18"/>
          <w:szCs w:val="18"/>
        </w:rPr>
        <w:t xml:space="preserve"> te </w:t>
      </w:r>
      <w:r>
        <w:rPr>
          <w:rFonts w:cs="Arial"/>
          <w:iCs/>
          <w:sz w:val="18"/>
          <w:szCs w:val="18"/>
        </w:rPr>
        <w:t>bieden,</w:t>
      </w:r>
      <w:r w:rsidR="006C592C">
        <w:rPr>
          <w:rFonts w:cs="Arial"/>
          <w:iCs/>
          <w:sz w:val="18"/>
          <w:szCs w:val="18"/>
        </w:rPr>
        <w:t xml:space="preserve"> of te willen voortzetten,</w:t>
      </w:r>
      <w:r>
        <w:rPr>
          <w:rFonts w:cs="Arial"/>
          <w:iCs/>
          <w:sz w:val="18"/>
          <w:szCs w:val="18"/>
        </w:rPr>
        <w:t xml:space="preserve"> zal die onderneming </w:t>
      </w:r>
      <w:r w:rsidR="000C427A">
        <w:rPr>
          <w:rFonts w:cs="Arial"/>
          <w:iCs/>
          <w:sz w:val="18"/>
          <w:szCs w:val="18"/>
        </w:rPr>
        <w:t xml:space="preserve">een bijkantoor </w:t>
      </w:r>
      <w:r>
        <w:rPr>
          <w:rFonts w:cs="Arial"/>
          <w:iCs/>
          <w:sz w:val="18"/>
          <w:szCs w:val="18"/>
        </w:rPr>
        <w:t xml:space="preserve">moeten </w:t>
      </w:r>
      <w:r w:rsidR="000C427A">
        <w:rPr>
          <w:rFonts w:cs="Arial"/>
          <w:iCs/>
          <w:sz w:val="18"/>
          <w:szCs w:val="18"/>
        </w:rPr>
        <w:t>vestig</w:t>
      </w:r>
      <w:r>
        <w:rPr>
          <w:rFonts w:cs="Arial"/>
          <w:iCs/>
          <w:sz w:val="18"/>
          <w:szCs w:val="18"/>
        </w:rPr>
        <w:t>en om de ban</w:t>
      </w:r>
      <w:r w:rsidR="004345B2">
        <w:rPr>
          <w:rFonts w:cs="Arial"/>
          <w:iCs/>
          <w:sz w:val="18"/>
          <w:szCs w:val="18"/>
        </w:rPr>
        <w:t>caire diensten, specifiek de kernbankdiensten 1 (deposito</w:t>
      </w:r>
      <w:r w:rsidR="002E5D38">
        <w:rPr>
          <w:rFonts w:cs="Arial"/>
          <w:iCs/>
          <w:sz w:val="18"/>
          <w:szCs w:val="18"/>
        </w:rPr>
        <w:t>’</w:t>
      </w:r>
      <w:r w:rsidR="004345B2">
        <w:rPr>
          <w:rFonts w:cs="Arial"/>
          <w:iCs/>
          <w:sz w:val="18"/>
          <w:szCs w:val="18"/>
        </w:rPr>
        <w:t>s</w:t>
      </w:r>
      <w:r w:rsidR="002E5D38">
        <w:rPr>
          <w:rFonts w:cs="Arial"/>
          <w:iCs/>
          <w:sz w:val="18"/>
          <w:szCs w:val="18"/>
        </w:rPr>
        <w:t xml:space="preserve"> en andere opvorderbare gelden</w:t>
      </w:r>
      <w:r w:rsidR="004345B2">
        <w:rPr>
          <w:rFonts w:cs="Arial"/>
          <w:iCs/>
          <w:sz w:val="18"/>
          <w:szCs w:val="18"/>
        </w:rPr>
        <w:t xml:space="preserve"> aantrekken), 2 (</w:t>
      </w:r>
      <w:r w:rsidR="002E5D38">
        <w:rPr>
          <w:rFonts w:cs="Arial"/>
          <w:iCs/>
          <w:sz w:val="18"/>
          <w:szCs w:val="18"/>
        </w:rPr>
        <w:t>leningen verstrekken</w:t>
      </w:r>
      <w:r w:rsidR="004345B2">
        <w:rPr>
          <w:rFonts w:cs="Arial"/>
          <w:iCs/>
          <w:sz w:val="18"/>
          <w:szCs w:val="18"/>
        </w:rPr>
        <w:t xml:space="preserve">) en 6 (garanties afgeven) uit bijlage </w:t>
      </w:r>
      <w:r w:rsidR="00286A8D">
        <w:rPr>
          <w:rFonts w:cs="Arial"/>
          <w:iCs/>
          <w:sz w:val="18"/>
          <w:szCs w:val="18"/>
        </w:rPr>
        <w:t>I</w:t>
      </w:r>
      <w:r w:rsidR="004345B2">
        <w:rPr>
          <w:rFonts w:cs="Arial"/>
          <w:iCs/>
          <w:sz w:val="18"/>
          <w:szCs w:val="18"/>
        </w:rPr>
        <w:t xml:space="preserve"> CRD, </w:t>
      </w:r>
      <w:r>
        <w:rPr>
          <w:rFonts w:cs="Arial"/>
          <w:iCs/>
          <w:sz w:val="18"/>
          <w:szCs w:val="18"/>
        </w:rPr>
        <w:t>te kunnen</w:t>
      </w:r>
      <w:r w:rsidR="006C592C">
        <w:rPr>
          <w:rFonts w:cs="Arial"/>
          <w:iCs/>
          <w:sz w:val="18"/>
          <w:szCs w:val="18"/>
        </w:rPr>
        <w:t xml:space="preserve"> (blijven)</w:t>
      </w:r>
      <w:r w:rsidR="004345B2">
        <w:rPr>
          <w:rFonts w:cs="Arial"/>
          <w:iCs/>
          <w:sz w:val="18"/>
          <w:szCs w:val="18"/>
        </w:rPr>
        <w:t xml:space="preserve"> verlenen in Nederland. </w:t>
      </w:r>
      <w:r w:rsidR="007443A1">
        <w:rPr>
          <w:rFonts w:cs="Arial"/>
          <w:iCs/>
          <w:sz w:val="18"/>
          <w:szCs w:val="18"/>
        </w:rPr>
        <w:t>Dit bijkantoor dient een vergunning te verkrijgen waaraan meerdere prudenti</w:t>
      </w:r>
      <w:r w:rsidR="00CE467E">
        <w:rPr>
          <w:rFonts w:cs="Arial"/>
          <w:iCs/>
          <w:sz w:val="18"/>
          <w:szCs w:val="18"/>
        </w:rPr>
        <w:t>ë</w:t>
      </w:r>
      <w:r w:rsidR="007443A1">
        <w:rPr>
          <w:rFonts w:cs="Arial"/>
          <w:iCs/>
          <w:sz w:val="18"/>
          <w:szCs w:val="18"/>
        </w:rPr>
        <w:t>le en organisatorische vereisten verbonden zijn.</w:t>
      </w:r>
      <w:r w:rsidR="004345B2">
        <w:rPr>
          <w:rFonts w:cs="Arial"/>
          <w:iCs/>
          <w:sz w:val="18"/>
          <w:szCs w:val="18"/>
        </w:rPr>
        <w:t xml:space="preserve"> </w:t>
      </w:r>
      <w:r w:rsidRPr="00496E2A" w:rsidR="001E56AB">
        <w:rPr>
          <w:rFonts w:cs="Arial"/>
          <w:iCs/>
          <w:sz w:val="18"/>
          <w:szCs w:val="18"/>
        </w:rPr>
        <w:t>Op deze manier wordt het mogelijk om ondernemingen die bankdiensten verlenen in de Europese Unie te onderwerpen aan effectieve prudentiële regelgeving en toezicht. Hiermee wordt voorkomen dat er lacunes ontstaan</w:t>
      </w:r>
      <w:r w:rsidR="00A074D2">
        <w:rPr>
          <w:rFonts w:cs="Arial"/>
          <w:iCs/>
          <w:sz w:val="18"/>
          <w:szCs w:val="18"/>
        </w:rPr>
        <w:t>,</w:t>
      </w:r>
      <w:r w:rsidRPr="00496E2A" w:rsidR="001E56AB">
        <w:rPr>
          <w:rFonts w:cs="Arial"/>
          <w:iCs/>
          <w:sz w:val="18"/>
          <w:szCs w:val="18"/>
        </w:rPr>
        <w:t xml:space="preserve"> waardoor risico’s voor de financiële stabiliteit zich ongezien kunnen opbouwen</w:t>
      </w:r>
      <w:r w:rsidR="00CE467E">
        <w:rPr>
          <w:rFonts w:cs="Arial"/>
          <w:iCs/>
          <w:sz w:val="18"/>
          <w:szCs w:val="18"/>
        </w:rPr>
        <w:t xml:space="preserve"> in </w:t>
      </w:r>
      <w:r w:rsidR="001737AA">
        <w:rPr>
          <w:rFonts w:cs="Arial"/>
          <w:iCs/>
          <w:sz w:val="18"/>
          <w:szCs w:val="18"/>
        </w:rPr>
        <w:t>(</w:t>
      </w:r>
      <w:r w:rsidR="00CE467E">
        <w:rPr>
          <w:rFonts w:cs="Arial"/>
          <w:iCs/>
          <w:sz w:val="18"/>
          <w:szCs w:val="18"/>
        </w:rPr>
        <w:t>bijkantoren van</w:t>
      </w:r>
      <w:r w:rsidR="001737AA">
        <w:rPr>
          <w:rFonts w:cs="Arial"/>
          <w:iCs/>
          <w:sz w:val="18"/>
          <w:szCs w:val="18"/>
        </w:rPr>
        <w:t>)</w:t>
      </w:r>
      <w:r w:rsidR="00CE467E">
        <w:rPr>
          <w:rFonts w:cs="Arial"/>
          <w:iCs/>
          <w:sz w:val="18"/>
          <w:szCs w:val="18"/>
        </w:rPr>
        <w:t xml:space="preserve"> ondernemingen uit staten die geen lidstaat zijn </w:t>
      </w:r>
      <w:r w:rsidR="00A074D2">
        <w:rPr>
          <w:rFonts w:cs="Arial"/>
          <w:iCs/>
          <w:sz w:val="18"/>
          <w:szCs w:val="18"/>
        </w:rPr>
        <w:t>die</w:t>
      </w:r>
      <w:r w:rsidR="00CE467E">
        <w:rPr>
          <w:rFonts w:cs="Arial"/>
          <w:iCs/>
          <w:sz w:val="18"/>
          <w:szCs w:val="18"/>
        </w:rPr>
        <w:t xml:space="preserve"> minder zichtbaar zijn voor de toezichthouders</w:t>
      </w:r>
      <w:r w:rsidR="002E5D38">
        <w:rPr>
          <w:rFonts w:cs="Arial"/>
          <w:iCs/>
          <w:sz w:val="18"/>
          <w:szCs w:val="18"/>
        </w:rPr>
        <w:t xml:space="preserve"> in de EU</w:t>
      </w:r>
      <w:r w:rsidRPr="00496E2A" w:rsidR="001E56AB">
        <w:rPr>
          <w:rFonts w:cs="Arial"/>
          <w:iCs/>
          <w:sz w:val="18"/>
          <w:szCs w:val="18"/>
        </w:rPr>
        <w:t xml:space="preserve">. </w:t>
      </w:r>
      <w:r w:rsidR="002E5D38">
        <w:rPr>
          <w:rFonts w:cs="Arial"/>
          <w:iCs/>
          <w:sz w:val="18"/>
          <w:szCs w:val="18"/>
        </w:rPr>
        <w:t xml:space="preserve">In de richtlijn zijn ook enkele uitzonderingsgronden opgenomen waardoor het oprichten van een derde land bijkantoor met vergunning niet in alle gevallen noodzakelijk is om dienstverlening te beginnen of voort te zetten. </w:t>
      </w:r>
      <w:r w:rsidR="004345B2">
        <w:rPr>
          <w:rFonts w:cs="Arial"/>
          <w:iCs/>
          <w:sz w:val="18"/>
          <w:szCs w:val="18"/>
        </w:rPr>
        <w:t>Een uitzondering kan zich voordoen w</w:t>
      </w:r>
      <w:r w:rsidRPr="00496E2A" w:rsidR="001E56AB">
        <w:rPr>
          <w:rFonts w:cs="Arial"/>
          <w:iCs/>
          <w:sz w:val="18"/>
          <w:szCs w:val="18"/>
        </w:rPr>
        <w:t xml:space="preserve">anneer een in de </w:t>
      </w:r>
      <w:r w:rsidR="004345B2">
        <w:rPr>
          <w:rFonts w:cs="Arial"/>
          <w:iCs/>
          <w:sz w:val="18"/>
          <w:szCs w:val="18"/>
        </w:rPr>
        <w:t>EU</w:t>
      </w:r>
      <w:r w:rsidRPr="00496E2A" w:rsidR="001E56AB">
        <w:rPr>
          <w:rFonts w:cs="Arial"/>
          <w:iCs/>
          <w:sz w:val="18"/>
          <w:szCs w:val="18"/>
        </w:rPr>
        <w:t xml:space="preserve"> gevestigde cliënt of tegenpartij een in een </w:t>
      </w:r>
      <w:r w:rsidR="00721321">
        <w:rPr>
          <w:rFonts w:cs="Arial"/>
          <w:iCs/>
          <w:sz w:val="18"/>
          <w:szCs w:val="18"/>
        </w:rPr>
        <w:t>staat die geen lidstaat is</w:t>
      </w:r>
      <w:r w:rsidRPr="00496E2A" w:rsidR="001E56AB">
        <w:rPr>
          <w:rFonts w:cs="Arial"/>
          <w:iCs/>
          <w:sz w:val="18"/>
          <w:szCs w:val="18"/>
        </w:rPr>
        <w:t xml:space="preserve"> gevestigde onderneming </w:t>
      </w:r>
      <w:r w:rsidR="004345B2">
        <w:rPr>
          <w:rFonts w:cs="Arial"/>
          <w:iCs/>
          <w:sz w:val="18"/>
          <w:szCs w:val="18"/>
        </w:rPr>
        <w:t xml:space="preserve">expliciet op eigen initiatief </w:t>
      </w:r>
      <w:r w:rsidRPr="00496E2A" w:rsidR="001E56AB">
        <w:rPr>
          <w:rFonts w:cs="Arial"/>
          <w:iCs/>
          <w:sz w:val="18"/>
          <w:szCs w:val="18"/>
        </w:rPr>
        <w:t>benadert voor het leveren van bankdiensten</w:t>
      </w:r>
      <w:r w:rsidR="004345B2">
        <w:rPr>
          <w:rFonts w:cs="Arial"/>
          <w:iCs/>
          <w:sz w:val="18"/>
          <w:szCs w:val="18"/>
        </w:rPr>
        <w:t>.</w:t>
      </w:r>
      <w:r w:rsidRPr="00496E2A" w:rsidR="001E56AB">
        <w:rPr>
          <w:rStyle w:val="Voetnootmarkering"/>
          <w:rFonts w:cs="Arial"/>
          <w:iCs/>
          <w:sz w:val="18"/>
          <w:szCs w:val="18"/>
        </w:rPr>
        <w:footnoteReference w:id="36"/>
      </w:r>
      <w:r w:rsidR="004345B2">
        <w:rPr>
          <w:rFonts w:cs="Arial"/>
          <w:iCs/>
          <w:sz w:val="18"/>
          <w:szCs w:val="18"/>
        </w:rPr>
        <w:t xml:space="preserve"> Andere uitzonderingen zijn als de onderneming uit de staat die geen lidstaat is</w:t>
      </w:r>
      <w:r w:rsidR="00853AF2">
        <w:rPr>
          <w:rFonts w:cs="Arial"/>
          <w:iCs/>
          <w:sz w:val="18"/>
          <w:szCs w:val="18"/>
        </w:rPr>
        <w:t xml:space="preserve"> een bank is en</w:t>
      </w:r>
      <w:r w:rsidR="004345B2">
        <w:rPr>
          <w:rFonts w:cs="Arial"/>
          <w:iCs/>
          <w:sz w:val="18"/>
          <w:szCs w:val="18"/>
        </w:rPr>
        <w:t xml:space="preserve"> diensten verleent aan in de EU gevestigde banken, als er sprake is van een groepsverband tussen ondernemingen in de EU en de ondernemingen in een staat die geen lidstaat is</w:t>
      </w:r>
      <w:r w:rsidR="002E5D38">
        <w:rPr>
          <w:rFonts w:cs="Arial"/>
          <w:iCs/>
          <w:sz w:val="18"/>
          <w:szCs w:val="18"/>
        </w:rPr>
        <w:t xml:space="preserve">, en </w:t>
      </w:r>
      <w:r w:rsidR="001737AA">
        <w:rPr>
          <w:rFonts w:cs="Arial"/>
          <w:iCs/>
          <w:sz w:val="18"/>
          <w:szCs w:val="18"/>
        </w:rPr>
        <w:t xml:space="preserve">gevallen waarin </w:t>
      </w:r>
      <w:r w:rsidR="002E5D38">
        <w:rPr>
          <w:rFonts w:cs="Arial"/>
          <w:iCs/>
          <w:sz w:val="18"/>
          <w:szCs w:val="18"/>
        </w:rPr>
        <w:t>de</w:t>
      </w:r>
      <w:r w:rsidR="00385727">
        <w:rPr>
          <w:rFonts w:cs="Arial"/>
          <w:iCs/>
          <w:sz w:val="18"/>
          <w:szCs w:val="18"/>
        </w:rPr>
        <w:t xml:space="preserve"> </w:t>
      </w:r>
      <w:r w:rsidR="002E5D38">
        <w:rPr>
          <w:rFonts w:cs="Arial"/>
          <w:iCs/>
          <w:sz w:val="18"/>
          <w:szCs w:val="18"/>
        </w:rPr>
        <w:t>dienstverlening direct gerelateerd is aan het uitvoeren van diensten onder de richtlijn markten voor financiële instrumenten 2014 (MiFID II)</w:t>
      </w:r>
      <w:r w:rsidR="002E5D38">
        <w:rPr>
          <w:rStyle w:val="Voetnootmarkering"/>
          <w:rFonts w:cs="Arial"/>
          <w:iCs/>
          <w:sz w:val="18"/>
          <w:szCs w:val="18"/>
        </w:rPr>
        <w:footnoteReference w:id="37"/>
      </w:r>
      <w:r w:rsidR="004345B2">
        <w:rPr>
          <w:rFonts w:cs="Arial"/>
          <w:iCs/>
          <w:sz w:val="18"/>
          <w:szCs w:val="18"/>
        </w:rPr>
        <w:t xml:space="preserve">. </w:t>
      </w:r>
    </w:p>
    <w:p w:rsidRPr="00496E2A" w:rsidR="001E56AB" w:rsidP="001E56AB" w:rsidRDefault="001E56AB" w14:paraId="5A652EA8" w14:textId="77777777">
      <w:pPr>
        <w:widowControl w:val="0"/>
        <w:spacing w:line="240" w:lineRule="atLeast"/>
        <w:rPr>
          <w:rFonts w:cs="Arial"/>
          <w:iCs/>
          <w:sz w:val="18"/>
          <w:szCs w:val="18"/>
        </w:rPr>
      </w:pPr>
    </w:p>
    <w:p w:rsidRPr="00496E2A" w:rsidR="001E56AB" w:rsidP="001E56AB" w:rsidRDefault="001E56AB" w14:paraId="407D6152" w14:textId="5D582FEE">
      <w:pPr>
        <w:widowControl w:val="0"/>
        <w:spacing w:line="240" w:lineRule="atLeast"/>
        <w:rPr>
          <w:rFonts w:cs="Arial"/>
          <w:i/>
          <w:sz w:val="18"/>
          <w:szCs w:val="18"/>
        </w:rPr>
      </w:pPr>
      <w:bookmarkStart w:name="_Hlk202968870" w:id="2"/>
      <w:r w:rsidRPr="00496E2A">
        <w:rPr>
          <w:rFonts w:cs="Arial"/>
          <w:i/>
          <w:sz w:val="18"/>
          <w:szCs w:val="18"/>
        </w:rPr>
        <w:t>§ 3.1.</w:t>
      </w:r>
      <w:r w:rsidR="00FB64E0">
        <w:rPr>
          <w:rFonts w:cs="Arial"/>
          <w:i/>
          <w:sz w:val="18"/>
          <w:szCs w:val="18"/>
        </w:rPr>
        <w:t>4</w:t>
      </w:r>
      <w:r w:rsidRPr="00496E2A">
        <w:rPr>
          <w:rFonts w:cs="Arial"/>
          <w:i/>
          <w:sz w:val="18"/>
          <w:szCs w:val="18"/>
        </w:rPr>
        <w:t xml:space="preserve"> Institutionele aangelegenheden</w:t>
      </w:r>
    </w:p>
    <w:p w:rsidR="001E56AB" w:rsidP="001E56AB" w:rsidRDefault="001E56AB" w14:paraId="250B4F2C" w14:textId="3BB60CBC">
      <w:pPr>
        <w:widowControl w:val="0"/>
        <w:spacing w:line="240" w:lineRule="atLeast"/>
        <w:rPr>
          <w:sz w:val="18"/>
          <w:szCs w:val="18"/>
        </w:rPr>
      </w:pPr>
      <w:r w:rsidRPr="00496E2A">
        <w:rPr>
          <w:sz w:val="18"/>
          <w:szCs w:val="18"/>
        </w:rPr>
        <w:t xml:space="preserve">In de CRD wordt verduidelijkt wat lidstaten moeten doen om de onafhankelijkheid van de bevoegde autoriteiten te waarborgen. De richtlijn introduceert </w:t>
      </w:r>
      <w:r w:rsidR="001D28F7">
        <w:rPr>
          <w:sz w:val="18"/>
          <w:szCs w:val="18"/>
        </w:rPr>
        <w:t xml:space="preserve">daartoe </w:t>
      </w:r>
      <w:r w:rsidRPr="00496E2A">
        <w:rPr>
          <w:sz w:val="18"/>
          <w:szCs w:val="18"/>
        </w:rPr>
        <w:t xml:space="preserve">minimumvereisten om belangenconflicten bij het personeel en de leden van </w:t>
      </w:r>
      <w:r w:rsidR="00A86BD4">
        <w:rPr>
          <w:sz w:val="18"/>
          <w:szCs w:val="18"/>
        </w:rPr>
        <w:t xml:space="preserve">het </w:t>
      </w:r>
      <w:r w:rsidR="0006558B">
        <w:rPr>
          <w:sz w:val="18"/>
          <w:szCs w:val="18"/>
        </w:rPr>
        <w:t>bestuurs</w:t>
      </w:r>
      <w:r w:rsidR="00A86BD4">
        <w:rPr>
          <w:sz w:val="18"/>
          <w:szCs w:val="18"/>
        </w:rPr>
        <w:t>orgaan</w:t>
      </w:r>
      <w:r w:rsidRPr="00496E2A">
        <w:rPr>
          <w:sz w:val="18"/>
          <w:szCs w:val="18"/>
        </w:rPr>
        <w:t xml:space="preserve"> van de </w:t>
      </w:r>
      <w:r w:rsidR="0006558B">
        <w:rPr>
          <w:sz w:val="18"/>
          <w:szCs w:val="18"/>
        </w:rPr>
        <w:t>bevoegde autoriteit</w:t>
      </w:r>
      <w:r w:rsidRPr="00496E2A" w:rsidR="0006558B">
        <w:rPr>
          <w:sz w:val="18"/>
          <w:szCs w:val="18"/>
        </w:rPr>
        <w:t xml:space="preserve"> </w:t>
      </w:r>
      <w:r w:rsidRPr="00496E2A">
        <w:rPr>
          <w:sz w:val="18"/>
          <w:szCs w:val="18"/>
        </w:rPr>
        <w:t>te voorkomen. EBA wordt in dit kader verplicht tot het opstellen van richtsnoeren op basis van international</w:t>
      </w:r>
      <w:r w:rsidR="00A074D2">
        <w:rPr>
          <w:sz w:val="18"/>
          <w:szCs w:val="18"/>
        </w:rPr>
        <w:t>e</w:t>
      </w:r>
      <w:r w:rsidRPr="00496E2A">
        <w:rPr>
          <w:sz w:val="18"/>
          <w:szCs w:val="18"/>
        </w:rPr>
        <w:t xml:space="preserve"> </w:t>
      </w:r>
      <w:r w:rsidRPr="00496E2A">
        <w:rPr>
          <w:i/>
          <w:iCs/>
          <w:sz w:val="18"/>
          <w:szCs w:val="18"/>
        </w:rPr>
        <w:t>best practices</w:t>
      </w:r>
      <w:r w:rsidRPr="00496E2A">
        <w:rPr>
          <w:sz w:val="18"/>
          <w:szCs w:val="18"/>
        </w:rPr>
        <w:t xml:space="preserve">. </w:t>
      </w:r>
    </w:p>
    <w:bookmarkEnd w:id="2"/>
    <w:p w:rsidR="0006558B" w:rsidP="001E56AB" w:rsidRDefault="0006558B" w14:paraId="00ACCAF6" w14:textId="77777777">
      <w:pPr>
        <w:widowControl w:val="0"/>
        <w:spacing w:line="240" w:lineRule="atLeast"/>
        <w:rPr>
          <w:sz w:val="18"/>
          <w:szCs w:val="18"/>
        </w:rPr>
      </w:pPr>
    </w:p>
    <w:p w:rsidR="000A122F" w:rsidP="001E56AB" w:rsidRDefault="00DE1C23" w14:paraId="0135AD29" w14:textId="6A45E669">
      <w:pPr>
        <w:widowControl w:val="0"/>
        <w:spacing w:line="240" w:lineRule="atLeast"/>
        <w:rPr>
          <w:sz w:val="18"/>
          <w:szCs w:val="18"/>
        </w:rPr>
      </w:pPr>
      <w:bookmarkStart w:name="_Hlk202968856" w:id="3"/>
      <w:r>
        <w:rPr>
          <w:sz w:val="18"/>
          <w:szCs w:val="18"/>
        </w:rPr>
        <w:t>De</w:t>
      </w:r>
      <w:r w:rsidR="0006558B">
        <w:rPr>
          <w:sz w:val="18"/>
          <w:szCs w:val="18"/>
        </w:rPr>
        <w:t xml:space="preserve"> CRD </w:t>
      </w:r>
      <w:r>
        <w:rPr>
          <w:sz w:val="18"/>
          <w:szCs w:val="18"/>
        </w:rPr>
        <w:t>introduceert</w:t>
      </w:r>
      <w:r w:rsidR="0006558B">
        <w:rPr>
          <w:sz w:val="18"/>
          <w:szCs w:val="18"/>
        </w:rPr>
        <w:t xml:space="preserve"> de definitie van ‘leden van het bestuursorgaan van de bevoegde autoriteit’.</w:t>
      </w:r>
      <w:r>
        <w:rPr>
          <w:sz w:val="18"/>
          <w:szCs w:val="18"/>
        </w:rPr>
        <w:t xml:space="preserve"> Voor de </w:t>
      </w:r>
      <w:r w:rsidR="001737AA">
        <w:rPr>
          <w:sz w:val="18"/>
          <w:szCs w:val="18"/>
        </w:rPr>
        <w:t>bepalingen</w:t>
      </w:r>
      <w:r>
        <w:rPr>
          <w:sz w:val="18"/>
          <w:szCs w:val="18"/>
        </w:rPr>
        <w:t xml:space="preserve"> rondom belangenconflicten gaat het om de leden van het bestuursorgaan die zich dagelijks met de toezichtfunctie bezig </w:t>
      </w:r>
      <w:r>
        <w:rPr>
          <w:sz w:val="18"/>
          <w:szCs w:val="18"/>
        </w:rPr>
        <w:lastRenderedPageBreak/>
        <w:t>houden. Bij DNB betreft dat de twee toezichtdirecteuren.</w:t>
      </w:r>
      <w:r w:rsidR="00D05E23">
        <w:rPr>
          <w:sz w:val="18"/>
          <w:szCs w:val="18"/>
        </w:rPr>
        <w:t xml:space="preserve"> Hiermee zijn de vereisten uit </w:t>
      </w:r>
      <w:r>
        <w:rPr>
          <w:sz w:val="18"/>
          <w:szCs w:val="18"/>
        </w:rPr>
        <w:t>de</w:t>
      </w:r>
      <w:r w:rsidR="00D05E23">
        <w:rPr>
          <w:sz w:val="18"/>
          <w:szCs w:val="18"/>
        </w:rPr>
        <w:t xml:space="preserve"> CRD niet van toepassing op de andere directieleden van DNB, te weten de directeur monetaire zaken en financiële stabiliteit en de directeur intern bedrijf en resolutie. </w:t>
      </w:r>
      <w:r>
        <w:rPr>
          <w:sz w:val="18"/>
          <w:szCs w:val="18"/>
        </w:rPr>
        <w:t>Op grond van de CRD is de president van de centrale bank expliciet uitgezonderd.</w:t>
      </w:r>
    </w:p>
    <w:p w:rsidR="000A122F" w:rsidP="001E56AB" w:rsidRDefault="000A122F" w14:paraId="7512B567" w14:textId="77777777">
      <w:pPr>
        <w:widowControl w:val="0"/>
        <w:spacing w:line="240" w:lineRule="atLeast"/>
        <w:rPr>
          <w:sz w:val="18"/>
          <w:szCs w:val="18"/>
        </w:rPr>
      </w:pPr>
    </w:p>
    <w:p w:rsidRPr="00496E2A" w:rsidR="0006558B" w:rsidP="001E56AB" w:rsidRDefault="00D05E23" w14:paraId="6662E1D5" w14:textId="2A853D4B">
      <w:pPr>
        <w:widowControl w:val="0"/>
        <w:spacing w:line="240" w:lineRule="atLeast"/>
        <w:rPr>
          <w:sz w:val="18"/>
          <w:szCs w:val="18"/>
        </w:rPr>
      </w:pPr>
      <w:r>
        <w:rPr>
          <w:sz w:val="18"/>
          <w:szCs w:val="18"/>
        </w:rPr>
        <w:t>Desalniettemin zijn</w:t>
      </w:r>
      <w:r w:rsidR="00DE1C23">
        <w:rPr>
          <w:sz w:val="18"/>
          <w:szCs w:val="18"/>
        </w:rPr>
        <w:t xml:space="preserve"> ook</w:t>
      </w:r>
      <w:r>
        <w:rPr>
          <w:sz w:val="18"/>
          <w:szCs w:val="18"/>
        </w:rPr>
        <w:t xml:space="preserve"> de</w:t>
      </w:r>
      <w:r w:rsidR="00DE1C23">
        <w:rPr>
          <w:sz w:val="18"/>
          <w:szCs w:val="18"/>
        </w:rPr>
        <w:t xml:space="preserve"> andere </w:t>
      </w:r>
      <w:r>
        <w:rPr>
          <w:sz w:val="18"/>
          <w:szCs w:val="18"/>
        </w:rPr>
        <w:t>directieleden gebonden aan onafhankelijkheidseisen die voortvloeien uit interne regelingen van DNB en/of de ECB, zoals een</w:t>
      </w:r>
      <w:r w:rsidR="000A122F">
        <w:rPr>
          <w:sz w:val="18"/>
          <w:szCs w:val="18"/>
        </w:rPr>
        <w:t xml:space="preserve"> verbod om na beëindiging van de functie binnen zes maanden een andere functie uit te oefenen die direct of indirect leidt of zou kunnen leiden tot (de schijn van) belangenverstrengeling</w:t>
      </w:r>
      <w:r>
        <w:rPr>
          <w:sz w:val="18"/>
          <w:szCs w:val="18"/>
        </w:rPr>
        <w:t>.</w:t>
      </w:r>
      <w:r>
        <w:rPr>
          <w:rStyle w:val="Voetnootmarkering"/>
          <w:sz w:val="18"/>
          <w:szCs w:val="18"/>
        </w:rPr>
        <w:footnoteReference w:id="38"/>
      </w:r>
      <w:r w:rsidR="000A122F">
        <w:rPr>
          <w:sz w:val="18"/>
          <w:szCs w:val="18"/>
        </w:rPr>
        <w:t xml:space="preserve"> Daarnaast zijn directieleden ook gebonden aan regels ten aanzien van privébeleggingen, waarbij het niet is toegestaan om te beleggen in financiële instrumenten die uitgegeven zijn door een instelling die onder toezicht valt van DNB.</w:t>
      </w:r>
      <w:r w:rsidR="000A122F">
        <w:rPr>
          <w:rStyle w:val="Voetnootmarkering"/>
          <w:sz w:val="18"/>
          <w:szCs w:val="18"/>
        </w:rPr>
        <w:footnoteReference w:id="39"/>
      </w:r>
      <w:r w:rsidR="000A122F">
        <w:rPr>
          <w:sz w:val="18"/>
          <w:szCs w:val="18"/>
        </w:rPr>
        <w:t xml:space="preserve"> Voor directieleden geldt tevens dat zij uitsluitend mogen beleggen indien het beleggingsbeleid niet overwegend, dat wil zeggen meer dan 50 procent van de totale waarde van het beleggingsportefeuille, gericht is op beleggen in financiële instellingen.</w:t>
      </w:r>
      <w:r w:rsidR="00EC5161">
        <w:rPr>
          <w:rStyle w:val="Voetnootmarkering"/>
          <w:sz w:val="18"/>
          <w:szCs w:val="18"/>
        </w:rPr>
        <w:footnoteReference w:id="40"/>
      </w:r>
      <w:r w:rsidR="000A122F">
        <w:rPr>
          <w:sz w:val="18"/>
          <w:szCs w:val="18"/>
        </w:rPr>
        <w:t xml:space="preserve"> </w:t>
      </w:r>
      <w:r w:rsidR="007A3F59">
        <w:rPr>
          <w:sz w:val="18"/>
          <w:szCs w:val="18"/>
        </w:rPr>
        <w:t>Daarmee is ook de onafhankelijkheid van de overige directieleden geborgd.</w:t>
      </w:r>
    </w:p>
    <w:bookmarkEnd w:id="3"/>
    <w:p w:rsidRPr="00496E2A" w:rsidR="001E56AB" w:rsidP="001E56AB" w:rsidRDefault="001E56AB" w14:paraId="3DE9104B" w14:textId="77777777">
      <w:pPr>
        <w:widowControl w:val="0"/>
        <w:spacing w:line="240" w:lineRule="atLeast"/>
        <w:rPr>
          <w:rFonts w:cs="Arial"/>
          <w:i/>
          <w:sz w:val="18"/>
          <w:szCs w:val="18"/>
        </w:rPr>
      </w:pPr>
    </w:p>
    <w:p w:rsidRPr="00496E2A" w:rsidR="0048607D" w:rsidP="0048607D" w:rsidRDefault="0048607D" w14:paraId="157D5654" w14:textId="3696B562">
      <w:pPr>
        <w:widowControl w:val="0"/>
        <w:spacing w:line="240" w:lineRule="atLeast"/>
        <w:rPr>
          <w:rFonts w:cs="Arial"/>
          <w:i/>
          <w:sz w:val="18"/>
          <w:szCs w:val="18"/>
        </w:rPr>
      </w:pPr>
      <w:r w:rsidRPr="00496E2A">
        <w:rPr>
          <w:rFonts w:cs="Arial"/>
          <w:i/>
          <w:sz w:val="18"/>
          <w:szCs w:val="18"/>
        </w:rPr>
        <w:t>§ 3.2</w:t>
      </w:r>
      <w:r>
        <w:rPr>
          <w:rFonts w:cs="Arial"/>
          <w:i/>
          <w:sz w:val="18"/>
          <w:szCs w:val="18"/>
        </w:rPr>
        <w:t>.</w:t>
      </w:r>
      <w:r w:rsidRPr="00496E2A">
        <w:rPr>
          <w:rFonts w:cs="Arial"/>
          <w:i/>
          <w:sz w:val="18"/>
          <w:szCs w:val="18"/>
        </w:rPr>
        <w:t xml:space="preserve"> </w:t>
      </w:r>
      <w:r w:rsidR="00C352CD">
        <w:rPr>
          <w:rFonts w:cs="Arial"/>
          <w:i/>
          <w:sz w:val="18"/>
          <w:szCs w:val="18"/>
        </w:rPr>
        <w:t>Inhoud v</w:t>
      </w:r>
      <w:r w:rsidRPr="00496E2A">
        <w:rPr>
          <w:rFonts w:cs="Arial"/>
          <w:i/>
          <w:sz w:val="18"/>
          <w:szCs w:val="18"/>
        </w:rPr>
        <w:t>erordening</w:t>
      </w:r>
    </w:p>
    <w:p w:rsidRPr="00496E2A" w:rsidR="001E56AB" w:rsidP="001E56AB" w:rsidRDefault="001E56AB" w14:paraId="275535BD" w14:textId="3C3BFF32">
      <w:pPr>
        <w:widowControl w:val="0"/>
        <w:spacing w:line="240" w:lineRule="atLeast"/>
        <w:rPr>
          <w:rFonts w:cs="Arial"/>
          <w:i/>
          <w:sz w:val="18"/>
          <w:szCs w:val="18"/>
        </w:rPr>
      </w:pPr>
      <w:r w:rsidRPr="00496E2A">
        <w:rPr>
          <w:rFonts w:cs="Arial"/>
          <w:i/>
          <w:sz w:val="18"/>
          <w:szCs w:val="18"/>
        </w:rPr>
        <w:t xml:space="preserve">§ 3.2.1 </w:t>
      </w:r>
      <w:r w:rsidR="00C352CD">
        <w:rPr>
          <w:rFonts w:cs="Arial"/>
          <w:i/>
          <w:sz w:val="18"/>
          <w:szCs w:val="18"/>
        </w:rPr>
        <w:t>A</w:t>
      </w:r>
      <w:r w:rsidR="0048607D">
        <w:rPr>
          <w:rFonts w:cs="Arial"/>
          <w:i/>
          <w:sz w:val="18"/>
          <w:szCs w:val="18"/>
        </w:rPr>
        <w:t>lgemeen</w:t>
      </w:r>
    </w:p>
    <w:p w:rsidR="001E56AB" w:rsidP="001E56AB" w:rsidRDefault="001E56AB" w14:paraId="0AFB6722" w14:textId="59516C84">
      <w:pPr>
        <w:widowControl w:val="0"/>
        <w:spacing w:after="200" w:line="240" w:lineRule="atLeast"/>
        <w:rPr>
          <w:rFonts w:cs="Arial"/>
          <w:iCs/>
          <w:sz w:val="18"/>
          <w:szCs w:val="18"/>
        </w:rPr>
      </w:pPr>
      <w:r w:rsidRPr="00496E2A">
        <w:rPr>
          <w:rFonts w:cs="Arial"/>
          <w:iCs/>
          <w:sz w:val="18"/>
          <w:szCs w:val="18"/>
        </w:rPr>
        <w:t>Het belangrijkste onderdeel d</w:t>
      </w:r>
      <w:r w:rsidR="007721F8">
        <w:rPr>
          <w:rFonts w:cs="Arial"/>
          <w:iCs/>
          <w:sz w:val="18"/>
          <w:szCs w:val="18"/>
        </w:rPr>
        <w:t>at</w:t>
      </w:r>
      <w:r w:rsidRPr="00496E2A">
        <w:rPr>
          <w:rFonts w:cs="Arial"/>
          <w:iCs/>
          <w:sz w:val="18"/>
          <w:szCs w:val="18"/>
        </w:rPr>
        <w:t xml:space="preserve"> de verordening toevoegt aan de </w:t>
      </w:r>
      <w:r w:rsidR="009A3FBB">
        <w:rPr>
          <w:rFonts w:cs="Arial"/>
          <w:iCs/>
          <w:sz w:val="18"/>
          <w:szCs w:val="18"/>
        </w:rPr>
        <w:t>CRR</w:t>
      </w:r>
      <w:r w:rsidRPr="00496E2A">
        <w:rPr>
          <w:rFonts w:cs="Arial"/>
          <w:iCs/>
          <w:sz w:val="18"/>
          <w:szCs w:val="18"/>
        </w:rPr>
        <w:t xml:space="preserve"> betreft de introductie van de kapitaalvloer, welke in paragraaf 3.2.2 nader zal worden toegelicht. </w:t>
      </w:r>
      <w:r w:rsidRPr="00496E2A" w:rsidR="008F117B">
        <w:rPr>
          <w:sz w:val="18"/>
          <w:szCs w:val="18"/>
        </w:rPr>
        <w:t xml:space="preserve">Voor nadere toelichting op de verschillende onderdelen </w:t>
      </w:r>
      <w:r w:rsidR="00483651">
        <w:rPr>
          <w:sz w:val="18"/>
          <w:szCs w:val="18"/>
        </w:rPr>
        <w:t>van</w:t>
      </w:r>
      <w:r w:rsidRPr="00496E2A" w:rsidR="00483651">
        <w:rPr>
          <w:sz w:val="18"/>
          <w:szCs w:val="18"/>
        </w:rPr>
        <w:t xml:space="preserve"> </w:t>
      </w:r>
      <w:r w:rsidRPr="00496E2A" w:rsidR="008F117B">
        <w:rPr>
          <w:sz w:val="18"/>
          <w:szCs w:val="18"/>
        </w:rPr>
        <w:t>de wijzigingsverordening wordt verwezen naar</w:t>
      </w:r>
      <w:r w:rsidR="008F117B">
        <w:rPr>
          <w:sz w:val="18"/>
          <w:szCs w:val="18"/>
        </w:rPr>
        <w:t xml:space="preserve"> de nota van toelichting bij</w:t>
      </w:r>
      <w:r w:rsidRPr="00496E2A" w:rsidR="008F117B">
        <w:rPr>
          <w:sz w:val="18"/>
          <w:szCs w:val="18"/>
        </w:rPr>
        <w:t xml:space="preserve"> het </w:t>
      </w:r>
      <w:r w:rsidR="008F117B">
        <w:rPr>
          <w:sz w:val="18"/>
          <w:szCs w:val="18"/>
        </w:rPr>
        <w:t>U</w:t>
      </w:r>
      <w:r w:rsidRPr="00496E2A" w:rsidR="008F117B">
        <w:rPr>
          <w:sz w:val="18"/>
          <w:szCs w:val="18"/>
        </w:rPr>
        <w:t>itvoeringsbesluit</w:t>
      </w:r>
      <w:r w:rsidR="008F117B">
        <w:rPr>
          <w:sz w:val="18"/>
          <w:szCs w:val="18"/>
        </w:rPr>
        <w:t xml:space="preserve"> verordening kapitaalvereisten 2025</w:t>
      </w:r>
      <w:r w:rsidRPr="00496E2A" w:rsidR="008F117B">
        <w:rPr>
          <w:sz w:val="18"/>
          <w:szCs w:val="18"/>
        </w:rPr>
        <w:t>.</w:t>
      </w:r>
      <w:r w:rsidRPr="00496E2A">
        <w:rPr>
          <w:rFonts w:cs="Arial"/>
          <w:iCs/>
          <w:sz w:val="18"/>
          <w:szCs w:val="18"/>
        </w:rPr>
        <w:t xml:space="preserve"> </w:t>
      </w:r>
    </w:p>
    <w:p w:rsidRPr="00496E2A" w:rsidR="001E56AB" w:rsidP="001E56AB" w:rsidRDefault="001E56AB" w14:paraId="7D3FB1D4" w14:textId="388196B3">
      <w:pPr>
        <w:widowControl w:val="0"/>
        <w:spacing w:line="240" w:lineRule="atLeast"/>
        <w:rPr>
          <w:rFonts w:cs="Arial"/>
          <w:i/>
          <w:sz w:val="18"/>
          <w:szCs w:val="18"/>
        </w:rPr>
      </w:pPr>
      <w:r w:rsidRPr="00496E2A">
        <w:rPr>
          <w:rFonts w:cs="Arial"/>
          <w:i/>
          <w:sz w:val="18"/>
          <w:szCs w:val="18"/>
        </w:rPr>
        <w:t xml:space="preserve">§ 3.2.2 Kapitaalvloer </w:t>
      </w:r>
    </w:p>
    <w:p w:rsidR="001E56AB" w:rsidP="001E56AB" w:rsidRDefault="001E56AB" w14:paraId="0F961D76" w14:textId="6B48E7CF">
      <w:pPr>
        <w:widowControl w:val="0"/>
        <w:spacing w:line="240" w:lineRule="atLeast"/>
        <w:rPr>
          <w:sz w:val="18"/>
          <w:szCs w:val="18"/>
        </w:rPr>
      </w:pPr>
      <w:r w:rsidRPr="00496E2A">
        <w:rPr>
          <w:rFonts w:cs="Arial"/>
          <w:bCs/>
          <w:sz w:val="18"/>
          <w:szCs w:val="18"/>
        </w:rPr>
        <w:t xml:space="preserve">Om </w:t>
      </w:r>
      <w:r w:rsidR="0010167D">
        <w:rPr>
          <w:rFonts w:cs="Arial"/>
          <w:bCs/>
          <w:sz w:val="18"/>
          <w:szCs w:val="18"/>
        </w:rPr>
        <w:t>verschillen in</w:t>
      </w:r>
      <w:r w:rsidRPr="00496E2A">
        <w:rPr>
          <w:rFonts w:cs="Arial"/>
          <w:bCs/>
          <w:sz w:val="18"/>
          <w:szCs w:val="18"/>
        </w:rPr>
        <w:t xml:space="preserve"> kapitaalsvereisten</w:t>
      </w:r>
      <w:r w:rsidR="0010167D">
        <w:rPr>
          <w:rFonts w:cs="Arial"/>
          <w:bCs/>
          <w:sz w:val="18"/>
          <w:szCs w:val="18"/>
        </w:rPr>
        <w:t>,</w:t>
      </w:r>
      <w:r w:rsidRPr="00496E2A">
        <w:rPr>
          <w:rFonts w:cs="Arial"/>
          <w:bCs/>
          <w:sz w:val="18"/>
          <w:szCs w:val="18"/>
        </w:rPr>
        <w:t xml:space="preserve"> </w:t>
      </w:r>
      <w:r w:rsidR="0010167D">
        <w:rPr>
          <w:rFonts w:cs="Arial"/>
          <w:bCs/>
          <w:sz w:val="18"/>
          <w:szCs w:val="18"/>
        </w:rPr>
        <w:t xml:space="preserve">indien </w:t>
      </w:r>
      <w:r w:rsidRPr="00496E2A">
        <w:rPr>
          <w:rFonts w:cs="Arial"/>
          <w:bCs/>
          <w:sz w:val="18"/>
          <w:szCs w:val="18"/>
        </w:rPr>
        <w:t xml:space="preserve">die </w:t>
      </w:r>
      <w:r w:rsidR="0010167D">
        <w:rPr>
          <w:rFonts w:cs="Arial"/>
          <w:bCs/>
          <w:sz w:val="18"/>
          <w:szCs w:val="18"/>
        </w:rPr>
        <w:t xml:space="preserve">door banken worden vastgesteld op basis van </w:t>
      </w:r>
      <w:r w:rsidRPr="00496E2A">
        <w:rPr>
          <w:rFonts w:cs="Arial"/>
          <w:bCs/>
          <w:sz w:val="18"/>
          <w:szCs w:val="18"/>
        </w:rPr>
        <w:t xml:space="preserve">intern berekende risicogewichten </w:t>
      </w:r>
      <w:r w:rsidR="0010167D">
        <w:rPr>
          <w:rFonts w:cs="Arial"/>
          <w:bCs/>
          <w:sz w:val="18"/>
          <w:szCs w:val="18"/>
        </w:rPr>
        <w:t xml:space="preserve">(‘interne modellen’) </w:t>
      </w:r>
      <w:r w:rsidRPr="00496E2A">
        <w:rPr>
          <w:rFonts w:cs="Arial"/>
          <w:bCs/>
          <w:sz w:val="18"/>
          <w:szCs w:val="18"/>
        </w:rPr>
        <w:t>te beperken, wordt de kapitaalvloer geïntroduceerd. De kapitaalvloer stelt een ondergrens vast voor de uitkomst van interne modellen.</w:t>
      </w:r>
      <w:r w:rsidRPr="00496E2A">
        <w:rPr>
          <w:sz w:val="18"/>
          <w:szCs w:val="18"/>
        </w:rPr>
        <w:t xml:space="preserve"> Op grond van deze ondergrens dienen de totale risicogewogen activa</w:t>
      </w:r>
      <w:r w:rsidR="005F47B4">
        <w:rPr>
          <w:rStyle w:val="Voetnootmarkering"/>
          <w:sz w:val="18"/>
          <w:szCs w:val="18"/>
        </w:rPr>
        <w:footnoteReference w:id="41"/>
      </w:r>
      <w:r w:rsidRPr="00496E2A">
        <w:rPr>
          <w:sz w:val="18"/>
          <w:szCs w:val="18"/>
        </w:rPr>
        <w:t xml:space="preserve">, zoals berekend volgens de interne modellen van de betreffende bank, minimaal 72,5% te zijn van wat de risicogewogen activa van de bank volgens de standaardbenadering zouden moeten zijn. Deze kapitaalvloer wordt toegepast bij de berekening van alle geldende kapitaalvereisten voor banken die interne modellen gebruiken, waaronder ook voor specifieke Europese kapitaalvereisten die niet rechtstreeks voortvloeien uit de Bazelse standaarden. In de verordening is opgenomen dat de kapitaalvloer op elk niveau van consolidatie toegepast dient te worden. Lidstaten hebben echter de mogelijkheid om ervoor te kiezen om de kapitaalvloer alleen op het hoogste niveau van consolidatie van een bank binnen een lidstaat toe te passen. Van deze lidstaatoptie </w:t>
      </w:r>
      <w:r w:rsidR="0010167D">
        <w:rPr>
          <w:sz w:val="18"/>
          <w:szCs w:val="18"/>
        </w:rPr>
        <w:t>is in Nederland</w:t>
      </w:r>
      <w:r w:rsidRPr="00496E2A" w:rsidR="0010167D">
        <w:rPr>
          <w:sz w:val="18"/>
          <w:szCs w:val="18"/>
        </w:rPr>
        <w:t xml:space="preserve"> </w:t>
      </w:r>
      <w:r w:rsidRPr="00496E2A">
        <w:rPr>
          <w:sz w:val="18"/>
          <w:szCs w:val="18"/>
        </w:rPr>
        <w:t>gebruik gemaakt.</w:t>
      </w:r>
      <w:r w:rsidR="00A713E5">
        <w:rPr>
          <w:sz w:val="18"/>
          <w:szCs w:val="18"/>
        </w:rPr>
        <w:t xml:space="preserve"> Zie </w:t>
      </w:r>
      <w:r w:rsidR="005F47B4">
        <w:rPr>
          <w:sz w:val="18"/>
          <w:szCs w:val="18"/>
        </w:rPr>
        <w:t>voor een toelichting hierop</w:t>
      </w:r>
      <w:r w:rsidR="00A713E5">
        <w:rPr>
          <w:sz w:val="18"/>
          <w:szCs w:val="18"/>
        </w:rPr>
        <w:t xml:space="preserve"> </w:t>
      </w:r>
      <w:r w:rsidR="00FC27C9">
        <w:rPr>
          <w:sz w:val="18"/>
          <w:szCs w:val="18"/>
        </w:rPr>
        <w:t>paragraaf</w:t>
      </w:r>
      <w:r w:rsidR="00A713E5">
        <w:rPr>
          <w:sz w:val="18"/>
          <w:szCs w:val="18"/>
        </w:rPr>
        <w:t xml:space="preserve"> 3.2.3.</w:t>
      </w:r>
      <w:r w:rsidRPr="00496E2A">
        <w:rPr>
          <w:sz w:val="18"/>
          <w:szCs w:val="18"/>
        </w:rPr>
        <w:t xml:space="preserve"> </w:t>
      </w:r>
    </w:p>
    <w:p w:rsidR="001E56AB" w:rsidP="001E56AB" w:rsidRDefault="001E56AB" w14:paraId="0CF4ECB2" w14:textId="77777777">
      <w:pPr>
        <w:widowControl w:val="0"/>
        <w:spacing w:line="240" w:lineRule="atLeast"/>
        <w:rPr>
          <w:sz w:val="18"/>
          <w:szCs w:val="18"/>
        </w:rPr>
      </w:pPr>
    </w:p>
    <w:p w:rsidR="001E56AB" w:rsidP="001E56AB" w:rsidRDefault="001E56AB" w14:paraId="2B291E50" w14:textId="2D526F10">
      <w:pPr>
        <w:widowControl w:val="0"/>
        <w:spacing w:line="240" w:lineRule="atLeast"/>
        <w:rPr>
          <w:sz w:val="18"/>
          <w:szCs w:val="18"/>
        </w:rPr>
      </w:pPr>
      <w:r>
        <w:rPr>
          <w:sz w:val="18"/>
          <w:szCs w:val="18"/>
        </w:rPr>
        <w:t>De invoering van de kapitaalvloer heeft invloed op het totale risicobedrag van de risicogewogen activa (</w:t>
      </w:r>
      <w:r w:rsidRPr="006A16A7">
        <w:rPr>
          <w:i/>
          <w:iCs/>
          <w:sz w:val="18"/>
          <w:szCs w:val="18"/>
        </w:rPr>
        <w:t>Total Risk Exposure Amount</w:t>
      </w:r>
      <w:r w:rsidR="008F117B">
        <w:rPr>
          <w:i/>
          <w:iCs/>
          <w:sz w:val="18"/>
          <w:szCs w:val="18"/>
        </w:rPr>
        <w:t xml:space="preserve"> (</w:t>
      </w:r>
      <w:r w:rsidRPr="006A16A7">
        <w:rPr>
          <w:sz w:val="18"/>
          <w:szCs w:val="18"/>
        </w:rPr>
        <w:t>TREA</w:t>
      </w:r>
      <w:r w:rsidR="008F117B">
        <w:rPr>
          <w:sz w:val="18"/>
          <w:szCs w:val="18"/>
        </w:rPr>
        <w:t>)</w:t>
      </w:r>
      <w:r>
        <w:rPr>
          <w:sz w:val="18"/>
          <w:szCs w:val="18"/>
        </w:rPr>
        <w:t>).</w:t>
      </w:r>
      <w:r>
        <w:rPr>
          <w:rStyle w:val="Voetnootmarkering"/>
          <w:sz w:val="18"/>
          <w:szCs w:val="18"/>
        </w:rPr>
        <w:footnoteReference w:id="42"/>
      </w:r>
      <w:r>
        <w:rPr>
          <w:sz w:val="18"/>
          <w:szCs w:val="18"/>
        </w:rPr>
        <w:t xml:space="preserve"> Wanneer bij gebruik van risicogewichten op basis van interne modellen de kapitaalvloer </w:t>
      </w:r>
      <w:r w:rsidR="00182207">
        <w:rPr>
          <w:sz w:val="18"/>
          <w:szCs w:val="18"/>
        </w:rPr>
        <w:t>toegepast moet worden en daarmee een ondergrens stelt van minimaal 72,5% van wat de risicogewogen activa zouden zijn op grond van de standaardbena</w:t>
      </w:r>
      <w:r w:rsidR="00182207">
        <w:rPr>
          <w:sz w:val="18"/>
          <w:szCs w:val="18"/>
        </w:rPr>
        <w:lastRenderedPageBreak/>
        <w:t>dering</w:t>
      </w:r>
      <w:r>
        <w:rPr>
          <w:sz w:val="18"/>
          <w:szCs w:val="18"/>
        </w:rPr>
        <w:t xml:space="preserve">, neemt TREA toe. Dit heeft </w:t>
      </w:r>
      <w:r w:rsidR="00451FC0">
        <w:rPr>
          <w:sz w:val="18"/>
          <w:szCs w:val="18"/>
        </w:rPr>
        <w:t xml:space="preserve">ook </w:t>
      </w:r>
      <w:r>
        <w:rPr>
          <w:sz w:val="18"/>
          <w:szCs w:val="18"/>
        </w:rPr>
        <w:t>invloed op de macroprudentiële buffervereisten uit de CRD, te weten de kapitaalconserveringsbuffer, de contracyclische kapitaalbuffer, de buffers voor mondiaal- en overig systeemrelevante banken en de systeemrisicobuffer. Immers, de berekening van deze buffers wordt gebaseerd op TREA.</w:t>
      </w:r>
      <w:r w:rsidRPr="006E0A80">
        <w:rPr>
          <w:sz w:val="18"/>
          <w:szCs w:val="18"/>
        </w:rPr>
        <w:t xml:space="preserve"> </w:t>
      </w:r>
      <w:r w:rsidRPr="003E3AFB" w:rsidR="003D5EA9">
        <w:rPr>
          <w:sz w:val="18"/>
          <w:szCs w:val="18"/>
        </w:rPr>
        <w:t>Daarnaast kan dit invloed hebben op de instelling</w:t>
      </w:r>
      <w:r w:rsidR="003D5EA9">
        <w:rPr>
          <w:sz w:val="18"/>
          <w:szCs w:val="18"/>
        </w:rPr>
        <w:t>s</w:t>
      </w:r>
      <w:r w:rsidRPr="003E3AFB" w:rsidR="003D5EA9">
        <w:rPr>
          <w:sz w:val="18"/>
          <w:szCs w:val="18"/>
        </w:rPr>
        <w:t>pecifieke pijler 2-vereisten, aangezien deze ook worden vastgesteld als percentage van TREA</w:t>
      </w:r>
      <w:r w:rsidR="003D5EA9">
        <w:rPr>
          <w:sz w:val="18"/>
          <w:szCs w:val="18"/>
        </w:rPr>
        <w:t>.</w:t>
      </w:r>
    </w:p>
    <w:p w:rsidR="001E56AB" w:rsidP="001E56AB" w:rsidRDefault="001E56AB" w14:paraId="637CBEFF" w14:textId="77777777">
      <w:pPr>
        <w:widowControl w:val="0"/>
        <w:spacing w:line="240" w:lineRule="atLeast"/>
        <w:rPr>
          <w:sz w:val="18"/>
          <w:szCs w:val="18"/>
        </w:rPr>
      </w:pPr>
    </w:p>
    <w:p w:rsidR="001E56AB" w:rsidP="001E56AB" w:rsidRDefault="001E56AB" w14:paraId="1DEF29CB" w14:textId="3B342E32">
      <w:pPr>
        <w:widowControl w:val="0"/>
        <w:spacing w:line="240" w:lineRule="atLeast"/>
        <w:rPr>
          <w:sz w:val="18"/>
          <w:szCs w:val="18"/>
        </w:rPr>
      </w:pPr>
      <w:r>
        <w:rPr>
          <w:sz w:val="18"/>
          <w:szCs w:val="18"/>
        </w:rPr>
        <w:t>Specifiek voor de systeemrisicobuffer en de instelling specifieke pijler</w:t>
      </w:r>
      <w:r w:rsidR="008F117B">
        <w:rPr>
          <w:sz w:val="18"/>
          <w:szCs w:val="18"/>
        </w:rPr>
        <w:t xml:space="preserve"> </w:t>
      </w:r>
      <w:r>
        <w:rPr>
          <w:sz w:val="18"/>
          <w:szCs w:val="18"/>
        </w:rPr>
        <w:t>2</w:t>
      </w:r>
      <w:r w:rsidR="008F117B">
        <w:rPr>
          <w:sz w:val="18"/>
          <w:szCs w:val="18"/>
        </w:rPr>
        <w:t>-</w:t>
      </w:r>
      <w:r>
        <w:rPr>
          <w:sz w:val="18"/>
          <w:szCs w:val="18"/>
        </w:rPr>
        <w:t xml:space="preserve">vereisten geldt dat zij kunnen worden gebruikt om risico’s aan te pakken die mogelijk ook al ondervangen worden wanneer de kapitaalvloer </w:t>
      </w:r>
      <w:r w:rsidR="00182207">
        <w:rPr>
          <w:sz w:val="18"/>
          <w:szCs w:val="18"/>
        </w:rPr>
        <w:t>een ondergrens stelt aan de risicogewogen activa bij gebruik van interne modellen</w:t>
      </w:r>
      <w:r>
        <w:rPr>
          <w:sz w:val="18"/>
          <w:szCs w:val="18"/>
        </w:rPr>
        <w:t>. Dit verhoogt het risico op dubbeltellingen.</w:t>
      </w:r>
      <w:r w:rsidR="00A713E5">
        <w:rPr>
          <w:sz w:val="18"/>
          <w:szCs w:val="18"/>
        </w:rPr>
        <w:t xml:space="preserve"> </w:t>
      </w:r>
      <w:r>
        <w:rPr>
          <w:sz w:val="18"/>
          <w:szCs w:val="18"/>
        </w:rPr>
        <w:t xml:space="preserve">In de CRD VI worden daarom </w:t>
      </w:r>
      <w:r w:rsidR="00FC27C9">
        <w:rPr>
          <w:sz w:val="18"/>
          <w:szCs w:val="18"/>
        </w:rPr>
        <w:t>bepalingen</w:t>
      </w:r>
      <w:r>
        <w:rPr>
          <w:sz w:val="18"/>
          <w:szCs w:val="18"/>
        </w:rPr>
        <w:t xml:space="preserve"> opgenomen ter voorkoming van </w:t>
      </w:r>
      <w:r w:rsidR="00FC27C9">
        <w:rPr>
          <w:sz w:val="18"/>
          <w:szCs w:val="18"/>
        </w:rPr>
        <w:t>dubbeling van kapitaalvereisten die enerzijds volgen uit de kapitaalvloer en anderzijds uit door de toezichthouder opgelegde buffers</w:t>
      </w:r>
      <w:r>
        <w:rPr>
          <w:sz w:val="18"/>
          <w:szCs w:val="18"/>
        </w:rPr>
        <w:t xml:space="preserve">. </w:t>
      </w:r>
      <w:r w:rsidR="00955D69">
        <w:rPr>
          <w:sz w:val="18"/>
          <w:szCs w:val="18"/>
        </w:rPr>
        <w:t xml:space="preserve">Tevens moet de toezichthouder, </w:t>
      </w:r>
      <w:r>
        <w:rPr>
          <w:sz w:val="18"/>
          <w:szCs w:val="18"/>
        </w:rPr>
        <w:t xml:space="preserve">wanneer de kapitaalvloer </w:t>
      </w:r>
      <w:r w:rsidR="00182207">
        <w:rPr>
          <w:sz w:val="18"/>
          <w:szCs w:val="18"/>
        </w:rPr>
        <w:t>van toepassing is</w:t>
      </w:r>
      <w:r w:rsidR="002C27D4">
        <w:rPr>
          <w:sz w:val="18"/>
          <w:szCs w:val="18"/>
        </w:rPr>
        <w:t>,</w:t>
      </w:r>
      <w:r>
        <w:rPr>
          <w:sz w:val="18"/>
          <w:szCs w:val="18"/>
        </w:rPr>
        <w:t xml:space="preserve"> ook de </w:t>
      </w:r>
      <w:r w:rsidR="00451FC0">
        <w:rPr>
          <w:sz w:val="18"/>
          <w:szCs w:val="18"/>
        </w:rPr>
        <w:t xml:space="preserve">gepastheid van de kalibratie van </w:t>
      </w:r>
      <w:r w:rsidR="00955D69">
        <w:rPr>
          <w:sz w:val="18"/>
          <w:szCs w:val="18"/>
        </w:rPr>
        <w:t>verschillende buffers beoordelen.</w:t>
      </w:r>
    </w:p>
    <w:p w:rsidR="0048607D" w:rsidP="001E56AB" w:rsidRDefault="0048607D" w14:paraId="5DB24935" w14:textId="77777777">
      <w:pPr>
        <w:widowControl w:val="0"/>
        <w:spacing w:line="240" w:lineRule="atLeast"/>
        <w:rPr>
          <w:sz w:val="18"/>
          <w:szCs w:val="18"/>
        </w:rPr>
      </w:pPr>
    </w:p>
    <w:p w:rsidRPr="00496E2A" w:rsidR="0048607D" w:rsidP="0048607D" w:rsidRDefault="0048607D" w14:paraId="7345CE9B" w14:textId="6C1B5646">
      <w:pPr>
        <w:widowControl w:val="0"/>
        <w:spacing w:line="240" w:lineRule="atLeast"/>
        <w:rPr>
          <w:rFonts w:cs="Arial"/>
          <w:i/>
          <w:sz w:val="18"/>
          <w:szCs w:val="18"/>
        </w:rPr>
      </w:pPr>
      <w:r w:rsidRPr="00496E2A">
        <w:rPr>
          <w:rFonts w:cs="Arial"/>
          <w:i/>
          <w:sz w:val="18"/>
          <w:szCs w:val="18"/>
        </w:rPr>
        <w:t>§ 3.2.</w:t>
      </w:r>
      <w:r>
        <w:rPr>
          <w:rFonts w:cs="Arial"/>
          <w:i/>
          <w:sz w:val="18"/>
          <w:szCs w:val="18"/>
        </w:rPr>
        <w:t>3</w:t>
      </w:r>
      <w:r w:rsidRPr="00496E2A">
        <w:rPr>
          <w:rFonts w:cs="Arial"/>
          <w:i/>
          <w:sz w:val="18"/>
          <w:szCs w:val="18"/>
        </w:rPr>
        <w:t xml:space="preserve"> </w:t>
      </w:r>
      <w:r>
        <w:rPr>
          <w:rFonts w:cs="Arial"/>
          <w:i/>
          <w:sz w:val="18"/>
          <w:szCs w:val="18"/>
        </w:rPr>
        <w:t>Lidstaatopties in de verordening</w:t>
      </w:r>
      <w:r w:rsidRPr="00496E2A">
        <w:rPr>
          <w:rFonts w:cs="Arial"/>
          <w:i/>
          <w:sz w:val="18"/>
          <w:szCs w:val="18"/>
        </w:rPr>
        <w:t xml:space="preserve"> </w:t>
      </w:r>
    </w:p>
    <w:p w:rsidRPr="00496E2A" w:rsidR="0048607D" w:rsidP="0048607D" w:rsidRDefault="0048607D" w14:paraId="3119B134" w14:textId="32C9C365">
      <w:pPr>
        <w:widowControl w:val="0"/>
        <w:spacing w:after="200" w:line="240" w:lineRule="atLeast"/>
        <w:rPr>
          <w:sz w:val="18"/>
          <w:szCs w:val="18"/>
        </w:rPr>
      </w:pPr>
      <w:r w:rsidRPr="00496E2A">
        <w:rPr>
          <w:sz w:val="18"/>
          <w:szCs w:val="18"/>
        </w:rPr>
        <w:t>De verordening voegt twee lidstaatopties toe aan de CRR. De eerste lidstaatoptie betreft het niveau van toepassing van de kapitaalvloer op banken binnen een lidstaat. De tweede lidstaatoptie maakt het mogelijk om tot en met 2032 de kapitaalvereisten voor laag risico hypotheken</w:t>
      </w:r>
      <w:r w:rsidR="0010167D">
        <w:rPr>
          <w:sz w:val="18"/>
          <w:szCs w:val="18"/>
        </w:rPr>
        <w:t>,</w:t>
      </w:r>
      <w:r w:rsidRPr="00496E2A">
        <w:rPr>
          <w:sz w:val="18"/>
          <w:szCs w:val="18"/>
        </w:rPr>
        <w:t xml:space="preserve"> die berekend worden op basis van interne modellen</w:t>
      </w:r>
      <w:r w:rsidR="0010167D">
        <w:rPr>
          <w:sz w:val="18"/>
          <w:szCs w:val="18"/>
        </w:rPr>
        <w:t>,</w:t>
      </w:r>
      <w:r w:rsidRPr="00496E2A">
        <w:rPr>
          <w:sz w:val="18"/>
          <w:szCs w:val="18"/>
        </w:rPr>
        <w:t xml:space="preserve"> </w:t>
      </w:r>
      <w:r w:rsidR="003D5EA9">
        <w:rPr>
          <w:sz w:val="18"/>
          <w:szCs w:val="18"/>
        </w:rPr>
        <w:t>tijdelijk te verlagen</w:t>
      </w:r>
      <w:r w:rsidRPr="00496E2A">
        <w:rPr>
          <w:sz w:val="18"/>
          <w:szCs w:val="18"/>
        </w:rPr>
        <w:t xml:space="preserve">. </w:t>
      </w:r>
      <w:r w:rsidR="008907C8">
        <w:rPr>
          <w:sz w:val="18"/>
          <w:szCs w:val="18"/>
        </w:rPr>
        <w:t>Er is</w:t>
      </w:r>
      <w:r w:rsidR="0010167D">
        <w:rPr>
          <w:sz w:val="18"/>
          <w:szCs w:val="18"/>
        </w:rPr>
        <w:t xml:space="preserve"> in Nederland</w:t>
      </w:r>
      <w:r w:rsidR="008907C8">
        <w:rPr>
          <w:sz w:val="18"/>
          <w:szCs w:val="18"/>
        </w:rPr>
        <w:t xml:space="preserve"> gebruik</w:t>
      </w:r>
      <w:r w:rsidR="002C27D4">
        <w:rPr>
          <w:sz w:val="18"/>
          <w:szCs w:val="18"/>
        </w:rPr>
        <w:t xml:space="preserve"> gemaakt</w:t>
      </w:r>
      <w:r w:rsidR="008907C8">
        <w:rPr>
          <w:sz w:val="18"/>
          <w:szCs w:val="18"/>
        </w:rPr>
        <w:t xml:space="preserve"> van beide lidstaatopties</w:t>
      </w:r>
      <w:r>
        <w:rPr>
          <w:sz w:val="18"/>
          <w:szCs w:val="18"/>
        </w:rPr>
        <w:t xml:space="preserve">. De keuze daarvoor </w:t>
      </w:r>
      <w:r w:rsidR="008907C8">
        <w:rPr>
          <w:sz w:val="18"/>
          <w:szCs w:val="18"/>
        </w:rPr>
        <w:t xml:space="preserve">is </w:t>
      </w:r>
      <w:r>
        <w:rPr>
          <w:sz w:val="18"/>
          <w:szCs w:val="18"/>
        </w:rPr>
        <w:t>toegelicht in</w:t>
      </w:r>
      <w:r w:rsidR="008907C8">
        <w:rPr>
          <w:sz w:val="18"/>
          <w:szCs w:val="18"/>
        </w:rPr>
        <w:t xml:space="preserve"> </w:t>
      </w:r>
      <w:r w:rsidR="008F117B">
        <w:rPr>
          <w:sz w:val="18"/>
          <w:szCs w:val="18"/>
        </w:rPr>
        <w:t xml:space="preserve">paragraaf </w:t>
      </w:r>
      <w:r w:rsidR="00FD19EE">
        <w:rPr>
          <w:sz w:val="18"/>
          <w:szCs w:val="18"/>
        </w:rPr>
        <w:t xml:space="preserve">3.2 van </w:t>
      </w:r>
      <w:r w:rsidR="008907C8">
        <w:rPr>
          <w:sz w:val="18"/>
          <w:szCs w:val="18"/>
        </w:rPr>
        <w:t>de nota van toelichting bij</w:t>
      </w:r>
      <w:r>
        <w:rPr>
          <w:sz w:val="18"/>
          <w:szCs w:val="18"/>
        </w:rPr>
        <w:t xml:space="preserve"> het </w:t>
      </w:r>
      <w:r w:rsidR="008907C8">
        <w:rPr>
          <w:sz w:val="18"/>
          <w:szCs w:val="18"/>
        </w:rPr>
        <w:t>U</w:t>
      </w:r>
      <w:r>
        <w:rPr>
          <w:sz w:val="18"/>
          <w:szCs w:val="18"/>
        </w:rPr>
        <w:t>itvoeringsbesluit</w:t>
      </w:r>
      <w:r w:rsidR="008907C8">
        <w:rPr>
          <w:sz w:val="18"/>
          <w:szCs w:val="18"/>
        </w:rPr>
        <w:t xml:space="preserve"> verordening kapitaalvereisten 2025</w:t>
      </w:r>
      <w:r>
        <w:rPr>
          <w:sz w:val="18"/>
          <w:szCs w:val="18"/>
        </w:rPr>
        <w:t>.</w:t>
      </w:r>
      <w:r w:rsidRPr="00496E2A">
        <w:rPr>
          <w:sz w:val="18"/>
          <w:szCs w:val="18"/>
        </w:rPr>
        <w:t xml:space="preserve"> </w:t>
      </w:r>
    </w:p>
    <w:p w:rsidRPr="00496E2A" w:rsidR="001E56AB" w:rsidP="001E56AB" w:rsidRDefault="001E56AB" w14:paraId="09C1CC3E" w14:textId="7ECD8B23">
      <w:pPr>
        <w:spacing w:line="240" w:lineRule="atLeast"/>
        <w:rPr>
          <w:rFonts w:cs="Arial"/>
          <w:bCs/>
          <w:sz w:val="18"/>
          <w:szCs w:val="18"/>
        </w:rPr>
      </w:pPr>
      <w:r w:rsidRPr="00496E2A">
        <w:rPr>
          <w:rFonts w:cs="Arial"/>
          <w:i/>
          <w:sz w:val="18"/>
          <w:szCs w:val="18"/>
        </w:rPr>
        <w:t xml:space="preserve">§ 3.3 Wijzigingen uit de </w:t>
      </w:r>
      <w:r w:rsidR="00A713E5">
        <w:rPr>
          <w:rFonts w:cs="Arial"/>
          <w:i/>
          <w:sz w:val="18"/>
          <w:szCs w:val="18"/>
        </w:rPr>
        <w:t>EMIR 3-r</w:t>
      </w:r>
      <w:r w:rsidRPr="0048607D">
        <w:rPr>
          <w:rFonts w:cs="Arial"/>
          <w:i/>
          <w:sz w:val="18"/>
          <w:szCs w:val="18"/>
        </w:rPr>
        <w:t xml:space="preserve">ichtlijn </w:t>
      </w:r>
    </w:p>
    <w:p w:rsidRPr="00496E2A" w:rsidR="00E4322A" w:rsidP="00E4322A" w:rsidRDefault="001E56AB" w14:paraId="5C7A538C" w14:textId="538FF2F4">
      <w:pPr>
        <w:spacing w:line="240" w:lineRule="atLeast"/>
        <w:rPr>
          <w:rFonts w:cs="Arial"/>
          <w:bCs/>
          <w:sz w:val="18"/>
          <w:szCs w:val="18"/>
        </w:rPr>
      </w:pPr>
      <w:r w:rsidRPr="00496E2A">
        <w:rPr>
          <w:rFonts w:cs="Arial"/>
          <w:bCs/>
          <w:sz w:val="18"/>
          <w:szCs w:val="18"/>
        </w:rPr>
        <w:t xml:space="preserve">De aanpassingen die voortvloeien uit </w:t>
      </w:r>
      <w:r w:rsidR="00A713E5">
        <w:rPr>
          <w:rFonts w:cs="Arial"/>
          <w:bCs/>
          <w:sz w:val="18"/>
          <w:szCs w:val="18"/>
        </w:rPr>
        <w:t>de EMIR 3-r</w:t>
      </w:r>
      <w:r w:rsidRPr="00496E2A">
        <w:rPr>
          <w:rFonts w:cs="Arial"/>
          <w:bCs/>
          <w:sz w:val="18"/>
          <w:szCs w:val="18"/>
        </w:rPr>
        <w:t>ichtlijn wijzig</w:t>
      </w:r>
      <w:r w:rsidR="00AF028B">
        <w:rPr>
          <w:rFonts w:cs="Arial"/>
          <w:bCs/>
          <w:sz w:val="18"/>
          <w:szCs w:val="18"/>
        </w:rPr>
        <w:t>en</w:t>
      </w:r>
      <w:r w:rsidRPr="00496E2A">
        <w:rPr>
          <w:rFonts w:cs="Arial"/>
          <w:bCs/>
          <w:sz w:val="18"/>
          <w:szCs w:val="18"/>
        </w:rPr>
        <w:t xml:space="preserve"> </w:t>
      </w:r>
      <w:r w:rsidRPr="00E4322A" w:rsidR="00E4322A">
        <w:rPr>
          <w:rFonts w:cs="Arial"/>
          <w:bCs/>
          <w:sz w:val="18"/>
          <w:szCs w:val="18"/>
        </w:rPr>
        <w:t xml:space="preserve">de </w:t>
      </w:r>
      <w:r w:rsidR="00E4322A">
        <w:rPr>
          <w:rFonts w:cs="Arial"/>
          <w:bCs/>
          <w:sz w:val="18"/>
          <w:szCs w:val="18"/>
        </w:rPr>
        <w:t xml:space="preserve">CRD </w:t>
      </w:r>
      <w:r w:rsidRPr="00E4322A" w:rsidR="00E4322A">
        <w:rPr>
          <w:rFonts w:cs="Arial"/>
          <w:bCs/>
          <w:sz w:val="18"/>
          <w:szCs w:val="18"/>
        </w:rPr>
        <w:t xml:space="preserve">en </w:t>
      </w:r>
      <w:r w:rsidR="00E4322A">
        <w:rPr>
          <w:rFonts w:cs="Arial"/>
          <w:bCs/>
          <w:sz w:val="18"/>
          <w:szCs w:val="18"/>
        </w:rPr>
        <w:t>de IFD</w:t>
      </w:r>
      <w:r w:rsidR="0010167D">
        <w:rPr>
          <w:rFonts w:cs="Arial"/>
          <w:bCs/>
          <w:sz w:val="18"/>
          <w:szCs w:val="18"/>
        </w:rPr>
        <w:t>, specifiek met betrekking tot de</w:t>
      </w:r>
      <w:r w:rsidRPr="00E4322A" w:rsidR="0010167D">
        <w:rPr>
          <w:rFonts w:cs="Arial"/>
          <w:bCs/>
          <w:sz w:val="18"/>
          <w:szCs w:val="18"/>
        </w:rPr>
        <w:t xml:space="preserve"> </w:t>
      </w:r>
      <w:r w:rsidRPr="00E4322A" w:rsidR="00E4322A">
        <w:rPr>
          <w:rFonts w:cs="Arial"/>
          <w:bCs/>
          <w:sz w:val="18"/>
          <w:szCs w:val="18"/>
        </w:rPr>
        <w:t>risico</w:t>
      </w:r>
      <w:r w:rsidR="0010167D">
        <w:rPr>
          <w:rFonts w:cs="Arial"/>
          <w:bCs/>
          <w:sz w:val="18"/>
          <w:szCs w:val="18"/>
        </w:rPr>
        <w:t xml:space="preserve">’s </w:t>
      </w:r>
      <w:r w:rsidR="00AF028B">
        <w:rPr>
          <w:rFonts w:cs="Arial"/>
          <w:bCs/>
          <w:sz w:val="18"/>
          <w:szCs w:val="18"/>
        </w:rPr>
        <w:t>voor banken</w:t>
      </w:r>
      <w:r w:rsidR="0010167D">
        <w:rPr>
          <w:rFonts w:cs="Arial"/>
          <w:bCs/>
          <w:sz w:val="18"/>
          <w:szCs w:val="18"/>
        </w:rPr>
        <w:t xml:space="preserve"> en beleggingsondernemingen</w:t>
      </w:r>
      <w:r w:rsidR="00AF028B">
        <w:rPr>
          <w:rFonts w:cs="Arial"/>
          <w:bCs/>
          <w:sz w:val="18"/>
          <w:szCs w:val="18"/>
        </w:rPr>
        <w:t xml:space="preserve"> </w:t>
      </w:r>
      <w:r w:rsidR="0010167D">
        <w:rPr>
          <w:rFonts w:cs="Arial"/>
          <w:bCs/>
          <w:sz w:val="18"/>
          <w:szCs w:val="18"/>
        </w:rPr>
        <w:t>die voortvloeien uit</w:t>
      </w:r>
      <w:r w:rsidRPr="00E4322A" w:rsidR="0010167D">
        <w:rPr>
          <w:rFonts w:cs="Arial"/>
          <w:bCs/>
          <w:sz w:val="18"/>
          <w:szCs w:val="18"/>
        </w:rPr>
        <w:t xml:space="preserve"> </w:t>
      </w:r>
      <w:r w:rsidRPr="00E4322A" w:rsidR="00E4322A">
        <w:rPr>
          <w:rFonts w:cs="Arial"/>
          <w:bCs/>
          <w:sz w:val="18"/>
          <w:szCs w:val="18"/>
        </w:rPr>
        <w:t xml:space="preserve">excessieve blootstellingen aan een </w:t>
      </w:r>
      <w:r w:rsidR="008907C8">
        <w:rPr>
          <w:rFonts w:cs="Arial"/>
          <w:bCs/>
          <w:sz w:val="18"/>
          <w:szCs w:val="18"/>
        </w:rPr>
        <w:t>centrale tegenpartij</w:t>
      </w:r>
      <w:r w:rsidR="00E4322A">
        <w:rPr>
          <w:rFonts w:cs="Arial"/>
          <w:bCs/>
          <w:sz w:val="18"/>
          <w:szCs w:val="18"/>
        </w:rPr>
        <w:t>.</w:t>
      </w:r>
      <w:r w:rsidR="00F23898">
        <w:rPr>
          <w:rStyle w:val="Voetnootmarkering"/>
          <w:rFonts w:cs="Arial"/>
          <w:bCs/>
          <w:sz w:val="18"/>
          <w:szCs w:val="18"/>
        </w:rPr>
        <w:footnoteReference w:id="43"/>
      </w:r>
      <w:r w:rsidR="00E4322A">
        <w:rPr>
          <w:rFonts w:cs="Arial"/>
          <w:bCs/>
          <w:sz w:val="18"/>
          <w:szCs w:val="18"/>
        </w:rPr>
        <w:t xml:space="preserve"> Banken en beleggingsondernemingen dienen dit risico duidelijker</w:t>
      </w:r>
      <w:r w:rsidRPr="00E4322A" w:rsidR="00E4322A">
        <w:rPr>
          <w:rFonts w:cs="Arial"/>
          <w:bCs/>
          <w:sz w:val="18"/>
          <w:szCs w:val="18"/>
        </w:rPr>
        <w:t xml:space="preserve"> mee</w:t>
      </w:r>
      <w:r w:rsidR="00E4322A">
        <w:rPr>
          <w:rFonts w:cs="Arial"/>
          <w:bCs/>
          <w:sz w:val="18"/>
          <w:szCs w:val="18"/>
        </w:rPr>
        <w:t xml:space="preserve"> te </w:t>
      </w:r>
      <w:r w:rsidRPr="00E4322A" w:rsidR="00E4322A">
        <w:rPr>
          <w:rFonts w:cs="Arial"/>
          <w:bCs/>
          <w:sz w:val="18"/>
          <w:szCs w:val="18"/>
        </w:rPr>
        <w:t>nemen en hun interne governanceregelingen</w:t>
      </w:r>
      <w:r w:rsidR="00957591">
        <w:rPr>
          <w:rFonts w:cs="Arial"/>
          <w:bCs/>
          <w:sz w:val="18"/>
          <w:szCs w:val="18"/>
        </w:rPr>
        <w:t xml:space="preserve"> en risicobeheer</w:t>
      </w:r>
      <w:r w:rsidR="00E4322A">
        <w:rPr>
          <w:rFonts w:cs="Arial"/>
          <w:bCs/>
          <w:sz w:val="18"/>
          <w:szCs w:val="18"/>
        </w:rPr>
        <w:t xml:space="preserve"> zo in te richten dat zij d</w:t>
      </w:r>
      <w:r w:rsidR="004C04B0">
        <w:rPr>
          <w:rFonts w:cs="Arial"/>
          <w:bCs/>
          <w:sz w:val="18"/>
          <w:szCs w:val="18"/>
        </w:rPr>
        <w:t>i</w:t>
      </w:r>
      <w:r w:rsidR="00E4322A">
        <w:rPr>
          <w:rFonts w:cs="Arial"/>
          <w:bCs/>
          <w:sz w:val="18"/>
          <w:szCs w:val="18"/>
        </w:rPr>
        <w:t>t risico mitigeren</w:t>
      </w:r>
      <w:r w:rsidRPr="00E4322A" w:rsidR="00E4322A">
        <w:rPr>
          <w:rFonts w:cs="Arial"/>
          <w:bCs/>
          <w:sz w:val="18"/>
          <w:szCs w:val="18"/>
        </w:rPr>
        <w:t xml:space="preserve">. </w:t>
      </w:r>
      <w:r w:rsidR="00AF028B">
        <w:rPr>
          <w:rFonts w:cs="Arial"/>
          <w:bCs/>
          <w:sz w:val="18"/>
          <w:szCs w:val="18"/>
        </w:rPr>
        <w:t>Daarnaast</w:t>
      </w:r>
      <w:r w:rsidR="00E4322A">
        <w:rPr>
          <w:rFonts w:cs="Arial"/>
          <w:bCs/>
          <w:sz w:val="18"/>
          <w:szCs w:val="18"/>
        </w:rPr>
        <w:t xml:space="preserve"> kunnen </w:t>
      </w:r>
      <w:r w:rsidRPr="00E4322A" w:rsidR="00E4322A">
        <w:rPr>
          <w:rFonts w:cs="Arial"/>
          <w:bCs/>
          <w:sz w:val="18"/>
          <w:szCs w:val="18"/>
        </w:rPr>
        <w:t xml:space="preserve">toezichthouders </w:t>
      </w:r>
      <w:r w:rsidR="00AF028B">
        <w:rPr>
          <w:rFonts w:cs="Arial"/>
          <w:bCs/>
          <w:sz w:val="18"/>
          <w:szCs w:val="18"/>
        </w:rPr>
        <w:t>op grond van de wijzigingen waarin de EMIR</w:t>
      </w:r>
      <w:r w:rsidR="00F23898">
        <w:rPr>
          <w:rFonts w:cs="Arial"/>
          <w:bCs/>
          <w:sz w:val="18"/>
          <w:szCs w:val="18"/>
        </w:rPr>
        <w:t xml:space="preserve"> </w:t>
      </w:r>
      <w:r w:rsidR="00AF028B">
        <w:rPr>
          <w:rFonts w:cs="Arial"/>
          <w:bCs/>
          <w:sz w:val="18"/>
          <w:szCs w:val="18"/>
        </w:rPr>
        <w:t xml:space="preserve">3-richtlijn voorziet </w:t>
      </w:r>
      <w:r w:rsidRPr="00E4322A" w:rsidR="00E4322A">
        <w:rPr>
          <w:rFonts w:cs="Arial"/>
          <w:bCs/>
          <w:sz w:val="18"/>
          <w:szCs w:val="18"/>
        </w:rPr>
        <w:t xml:space="preserve">voortaan voorschrijven dat banken of beleggingsondernemingen hun blootstellingen aan een </w:t>
      </w:r>
      <w:r w:rsidR="008907C8">
        <w:rPr>
          <w:rFonts w:cs="Arial"/>
          <w:bCs/>
          <w:sz w:val="18"/>
          <w:szCs w:val="18"/>
        </w:rPr>
        <w:t>centrale tegenpartij</w:t>
      </w:r>
      <w:r w:rsidRPr="00E4322A" w:rsidR="00E4322A">
        <w:rPr>
          <w:rFonts w:cs="Arial"/>
          <w:bCs/>
          <w:sz w:val="18"/>
          <w:szCs w:val="18"/>
        </w:rPr>
        <w:t xml:space="preserve"> verminderen of blootstellingen op hun clearingrekeningen aanpassen, indien de toezichthouder oordeelt dat er sprake is van een buitensporig concentratierisico</w:t>
      </w:r>
      <w:r w:rsidR="004C04B0">
        <w:rPr>
          <w:rFonts w:cs="Arial"/>
          <w:bCs/>
          <w:sz w:val="18"/>
          <w:szCs w:val="18"/>
        </w:rPr>
        <w:t>,</w:t>
      </w:r>
      <w:r w:rsidRPr="00E4322A" w:rsidR="00E4322A">
        <w:rPr>
          <w:rFonts w:cs="Arial"/>
          <w:bCs/>
          <w:sz w:val="18"/>
          <w:szCs w:val="18"/>
        </w:rPr>
        <w:t xml:space="preserve"> dat voortvloeit uit blootstellingen aan die </w:t>
      </w:r>
      <w:r w:rsidR="008907C8">
        <w:rPr>
          <w:rFonts w:cs="Arial"/>
          <w:bCs/>
          <w:sz w:val="18"/>
          <w:szCs w:val="18"/>
        </w:rPr>
        <w:t>centrale tegenpartij</w:t>
      </w:r>
      <w:r w:rsidRPr="00E4322A" w:rsidR="00E4322A">
        <w:rPr>
          <w:rFonts w:cs="Arial"/>
          <w:bCs/>
          <w:sz w:val="18"/>
          <w:szCs w:val="18"/>
        </w:rPr>
        <w:t>.</w:t>
      </w:r>
    </w:p>
    <w:p w:rsidRPr="00496E2A" w:rsidR="001E56AB" w:rsidP="001E56AB" w:rsidRDefault="001E56AB" w14:paraId="6AE56FF8" w14:textId="77777777">
      <w:pPr>
        <w:widowControl w:val="0"/>
        <w:spacing w:line="240" w:lineRule="atLeast"/>
        <w:rPr>
          <w:rFonts w:cs="Arial"/>
          <w:i/>
          <w:sz w:val="18"/>
          <w:szCs w:val="18"/>
        </w:rPr>
      </w:pPr>
    </w:p>
    <w:p w:rsidR="0048607D" w:rsidP="001E56AB" w:rsidRDefault="001E56AB" w14:paraId="7B1AC03C" w14:textId="77777777">
      <w:pPr>
        <w:widowControl w:val="0"/>
        <w:spacing w:line="240" w:lineRule="atLeast"/>
        <w:rPr>
          <w:rFonts w:cs="Arial"/>
          <w:i/>
          <w:sz w:val="18"/>
          <w:szCs w:val="18"/>
        </w:rPr>
      </w:pPr>
      <w:r w:rsidRPr="00496E2A">
        <w:rPr>
          <w:rFonts w:cs="Arial"/>
          <w:i/>
          <w:sz w:val="18"/>
          <w:szCs w:val="18"/>
        </w:rPr>
        <w:t>§ 4. Wijze van implementatie</w:t>
      </w:r>
    </w:p>
    <w:p w:rsidRPr="00496E2A" w:rsidR="001E56AB" w:rsidP="001E56AB" w:rsidRDefault="001E56AB" w14:paraId="78FDA0A7" w14:textId="2A82E869">
      <w:pPr>
        <w:widowControl w:val="0"/>
        <w:spacing w:line="240" w:lineRule="atLeast"/>
        <w:rPr>
          <w:rFonts w:cs="Arial"/>
          <w:i/>
          <w:sz w:val="18"/>
          <w:szCs w:val="18"/>
        </w:rPr>
      </w:pPr>
      <w:r w:rsidRPr="00496E2A">
        <w:rPr>
          <w:rFonts w:cs="Arial"/>
          <w:i/>
          <w:sz w:val="18"/>
          <w:szCs w:val="18"/>
        </w:rPr>
        <w:t>§ 4.1 Implementatiemiddelen</w:t>
      </w:r>
    </w:p>
    <w:p w:rsidR="001F305A" w:rsidP="001E56AB" w:rsidRDefault="00CE467E" w14:paraId="44B643AF" w14:textId="42AC28F9">
      <w:pPr>
        <w:widowControl w:val="0"/>
        <w:spacing w:line="240" w:lineRule="atLeast"/>
        <w:rPr>
          <w:rFonts w:cs="Arial"/>
          <w:iCs/>
          <w:sz w:val="18"/>
          <w:szCs w:val="18"/>
        </w:rPr>
      </w:pPr>
      <w:r>
        <w:rPr>
          <w:rFonts w:cs="Arial"/>
          <w:iCs/>
          <w:sz w:val="18"/>
          <w:szCs w:val="18"/>
        </w:rPr>
        <w:t>De richtlijn leidt tot wijzigingen in de Wft</w:t>
      </w:r>
      <w:r w:rsidR="003D5EA9">
        <w:rPr>
          <w:rFonts w:cs="Arial"/>
          <w:iCs/>
          <w:sz w:val="18"/>
          <w:szCs w:val="18"/>
        </w:rPr>
        <w:t>, de Bankwet 1998</w:t>
      </w:r>
      <w:r w:rsidR="002E5D38">
        <w:rPr>
          <w:rFonts w:cs="Arial"/>
          <w:iCs/>
          <w:sz w:val="18"/>
          <w:szCs w:val="18"/>
        </w:rPr>
        <w:t>, de Wet op de economische delicten</w:t>
      </w:r>
      <w:r>
        <w:rPr>
          <w:rFonts w:cs="Arial"/>
          <w:iCs/>
          <w:sz w:val="18"/>
          <w:szCs w:val="18"/>
        </w:rPr>
        <w:t xml:space="preserve"> en lagere regelgeving</w:t>
      </w:r>
      <w:r w:rsidR="001F305A">
        <w:rPr>
          <w:rFonts w:cs="Arial"/>
          <w:iCs/>
          <w:sz w:val="18"/>
          <w:szCs w:val="18"/>
        </w:rPr>
        <w:t xml:space="preserve">. Het merendeel van de wijzigingen in de richtlijn wordt middels </w:t>
      </w:r>
      <w:r w:rsidRPr="00496E2A" w:rsidR="001E56AB">
        <w:rPr>
          <w:rFonts w:cs="Arial"/>
          <w:iCs/>
          <w:sz w:val="18"/>
          <w:szCs w:val="18"/>
        </w:rPr>
        <w:t>dit wetsvoorstel geïmplementeerd in de Wft</w:t>
      </w:r>
      <w:r w:rsidR="00910B20">
        <w:rPr>
          <w:rFonts w:cs="Arial"/>
          <w:iCs/>
          <w:sz w:val="18"/>
          <w:szCs w:val="18"/>
        </w:rPr>
        <w:t xml:space="preserve">. </w:t>
      </w:r>
      <w:r w:rsidRPr="00496E2A" w:rsidR="001E56AB">
        <w:rPr>
          <w:rFonts w:cs="Arial"/>
          <w:iCs/>
          <w:sz w:val="18"/>
          <w:szCs w:val="18"/>
        </w:rPr>
        <w:t xml:space="preserve">Er wordt </w:t>
      </w:r>
      <w:r w:rsidR="00E4322A">
        <w:rPr>
          <w:rFonts w:cs="Arial"/>
          <w:iCs/>
          <w:sz w:val="18"/>
          <w:szCs w:val="18"/>
        </w:rPr>
        <w:t xml:space="preserve">tevens </w:t>
      </w:r>
      <w:r w:rsidRPr="00496E2A" w:rsidR="001E56AB">
        <w:rPr>
          <w:rFonts w:cs="Arial"/>
          <w:iCs/>
          <w:sz w:val="18"/>
          <w:szCs w:val="18"/>
        </w:rPr>
        <w:t xml:space="preserve">een </w:t>
      </w:r>
      <w:r w:rsidR="000F68DF">
        <w:rPr>
          <w:rFonts w:cs="Arial"/>
          <w:iCs/>
          <w:sz w:val="18"/>
          <w:szCs w:val="18"/>
        </w:rPr>
        <w:t>algemene maatregel van bestuur</w:t>
      </w:r>
      <w:r w:rsidRPr="00496E2A" w:rsidR="000F68DF">
        <w:rPr>
          <w:rFonts w:cs="Arial"/>
          <w:iCs/>
          <w:sz w:val="18"/>
          <w:szCs w:val="18"/>
        </w:rPr>
        <w:t xml:space="preserve"> </w:t>
      </w:r>
      <w:r w:rsidRPr="00496E2A" w:rsidR="001E56AB">
        <w:rPr>
          <w:rFonts w:cs="Arial"/>
          <w:iCs/>
          <w:sz w:val="18"/>
          <w:szCs w:val="18"/>
        </w:rPr>
        <w:t xml:space="preserve">voorbereid met daarin de wijzigingen die nodig zijn van </w:t>
      </w:r>
      <w:r w:rsidR="00F23898">
        <w:rPr>
          <w:rFonts w:cs="Arial"/>
          <w:iCs/>
          <w:sz w:val="18"/>
          <w:szCs w:val="18"/>
        </w:rPr>
        <w:t>enkele besluiten</w:t>
      </w:r>
      <w:r w:rsidRPr="00496E2A" w:rsidR="001E56AB">
        <w:rPr>
          <w:rFonts w:cs="Arial"/>
          <w:iCs/>
          <w:sz w:val="18"/>
          <w:szCs w:val="18"/>
        </w:rPr>
        <w:t>.</w:t>
      </w:r>
      <w:r w:rsidR="00F23898">
        <w:rPr>
          <w:rFonts w:cs="Arial"/>
          <w:iCs/>
          <w:sz w:val="18"/>
          <w:szCs w:val="18"/>
        </w:rPr>
        <w:t xml:space="preserve"> </w:t>
      </w:r>
      <w:r w:rsidRPr="00496E2A" w:rsidR="001E56AB">
        <w:rPr>
          <w:rFonts w:cs="Arial"/>
          <w:iCs/>
          <w:sz w:val="18"/>
          <w:szCs w:val="18"/>
        </w:rPr>
        <w:t xml:space="preserve">Er wordt ook een implementatieregeling </w:t>
      </w:r>
      <w:r w:rsidR="00E4322A">
        <w:rPr>
          <w:rFonts w:cs="Arial"/>
          <w:iCs/>
          <w:sz w:val="18"/>
          <w:szCs w:val="18"/>
        </w:rPr>
        <w:t xml:space="preserve">voorbereid </w:t>
      </w:r>
      <w:r w:rsidR="00F23898">
        <w:rPr>
          <w:rFonts w:cs="Arial"/>
          <w:iCs/>
          <w:sz w:val="18"/>
          <w:szCs w:val="18"/>
        </w:rPr>
        <w:t>waarmee op het niveau van ministeriële regeling enkele aanpassingen gemaakt zullen worden</w:t>
      </w:r>
      <w:r w:rsidRPr="00496E2A" w:rsidR="001E56AB">
        <w:rPr>
          <w:rFonts w:cs="Arial"/>
          <w:iCs/>
          <w:sz w:val="18"/>
          <w:szCs w:val="18"/>
        </w:rPr>
        <w:t>.</w:t>
      </w:r>
      <w:r w:rsidR="00F23898">
        <w:rPr>
          <w:rFonts w:cs="Arial"/>
          <w:iCs/>
          <w:sz w:val="18"/>
          <w:szCs w:val="18"/>
        </w:rPr>
        <w:t xml:space="preserve"> </w:t>
      </w:r>
    </w:p>
    <w:p w:rsidR="00F23898" w:rsidP="001E56AB" w:rsidRDefault="00F23898" w14:paraId="31BC6DBC" w14:textId="77777777">
      <w:pPr>
        <w:widowControl w:val="0"/>
        <w:spacing w:line="240" w:lineRule="atLeast"/>
        <w:rPr>
          <w:rFonts w:cs="Arial"/>
          <w:iCs/>
          <w:sz w:val="18"/>
          <w:szCs w:val="18"/>
        </w:rPr>
      </w:pPr>
    </w:p>
    <w:p w:rsidR="00A56784" w:rsidP="001E56AB" w:rsidRDefault="00A56784" w14:paraId="47176CA4" w14:textId="77777777">
      <w:pPr>
        <w:widowControl w:val="0"/>
        <w:spacing w:line="240" w:lineRule="atLeast"/>
        <w:rPr>
          <w:rFonts w:cs="Arial"/>
          <w:iCs/>
          <w:sz w:val="18"/>
          <w:szCs w:val="18"/>
        </w:rPr>
      </w:pPr>
    </w:p>
    <w:p w:rsidR="001E56AB" w:rsidP="001E56AB" w:rsidRDefault="001E56AB" w14:paraId="50572699" w14:textId="339104ED">
      <w:pPr>
        <w:widowControl w:val="0"/>
        <w:spacing w:line="240" w:lineRule="atLeast"/>
        <w:rPr>
          <w:rFonts w:cs="Arial"/>
          <w:i/>
          <w:sz w:val="18"/>
          <w:szCs w:val="18"/>
        </w:rPr>
      </w:pPr>
      <w:r w:rsidRPr="00BD04E1">
        <w:rPr>
          <w:rFonts w:cs="Arial"/>
          <w:i/>
          <w:sz w:val="18"/>
          <w:szCs w:val="18"/>
        </w:rPr>
        <w:lastRenderedPageBreak/>
        <w:t xml:space="preserve">§ </w:t>
      </w:r>
      <w:r>
        <w:rPr>
          <w:rFonts w:cs="Arial"/>
          <w:i/>
          <w:sz w:val="18"/>
          <w:szCs w:val="18"/>
        </w:rPr>
        <w:t>4</w:t>
      </w:r>
      <w:r w:rsidRPr="00BD04E1">
        <w:rPr>
          <w:rFonts w:cs="Arial"/>
          <w:i/>
          <w:sz w:val="18"/>
          <w:szCs w:val="18"/>
        </w:rPr>
        <w:t>.</w:t>
      </w:r>
      <w:r>
        <w:rPr>
          <w:rFonts w:cs="Arial"/>
          <w:i/>
          <w:sz w:val="18"/>
          <w:szCs w:val="18"/>
        </w:rPr>
        <w:t>2</w:t>
      </w:r>
      <w:r w:rsidRPr="00BD04E1">
        <w:rPr>
          <w:rFonts w:cs="Arial"/>
          <w:i/>
          <w:sz w:val="18"/>
          <w:szCs w:val="18"/>
        </w:rPr>
        <w:t xml:space="preserve"> </w:t>
      </w:r>
      <w:r>
        <w:rPr>
          <w:rFonts w:cs="Arial"/>
          <w:i/>
          <w:sz w:val="18"/>
          <w:szCs w:val="18"/>
        </w:rPr>
        <w:t>Lidstaatopties</w:t>
      </w:r>
      <w:r w:rsidR="0048607D">
        <w:rPr>
          <w:rFonts w:cs="Arial"/>
          <w:i/>
          <w:sz w:val="18"/>
          <w:szCs w:val="18"/>
        </w:rPr>
        <w:t xml:space="preserve"> in de richtlijn</w:t>
      </w:r>
    </w:p>
    <w:p w:rsidR="001E56AB" w:rsidP="001E56AB" w:rsidRDefault="001E56AB" w14:paraId="0C074313" w14:textId="167E6609">
      <w:pPr>
        <w:widowControl w:val="0"/>
        <w:spacing w:line="240" w:lineRule="atLeast"/>
        <w:rPr>
          <w:rFonts w:cs="Arial"/>
          <w:iCs/>
          <w:sz w:val="18"/>
          <w:szCs w:val="18"/>
        </w:rPr>
      </w:pPr>
      <w:r>
        <w:rPr>
          <w:rFonts w:cs="Arial"/>
          <w:iCs/>
          <w:sz w:val="18"/>
          <w:szCs w:val="18"/>
        </w:rPr>
        <w:t>De richtlijn bevat verschillende lidstaatopties</w:t>
      </w:r>
      <w:r w:rsidR="0048607D">
        <w:rPr>
          <w:rFonts w:cs="Arial"/>
          <w:iCs/>
          <w:sz w:val="18"/>
          <w:szCs w:val="18"/>
        </w:rPr>
        <w:t>.</w:t>
      </w:r>
      <w:r>
        <w:rPr>
          <w:rFonts w:cs="Arial"/>
          <w:iCs/>
          <w:sz w:val="18"/>
          <w:szCs w:val="18"/>
        </w:rPr>
        <w:t xml:space="preserve"> Hieronder worden de verschillende lidstaatopties in de richtlijn besproken en of</w:t>
      </w:r>
      <w:r w:rsidR="002F1F4D">
        <w:rPr>
          <w:rFonts w:cs="Arial"/>
          <w:iCs/>
          <w:sz w:val="18"/>
          <w:szCs w:val="18"/>
        </w:rPr>
        <w:t>,</w:t>
      </w:r>
      <w:r>
        <w:rPr>
          <w:rFonts w:cs="Arial"/>
          <w:iCs/>
          <w:sz w:val="18"/>
          <w:szCs w:val="18"/>
        </w:rPr>
        <w:t xml:space="preserve"> en zo</w:t>
      </w:r>
      <w:r w:rsidR="0048607D">
        <w:rPr>
          <w:rFonts w:cs="Arial"/>
          <w:iCs/>
          <w:sz w:val="18"/>
          <w:szCs w:val="18"/>
        </w:rPr>
        <w:t xml:space="preserve"> </w:t>
      </w:r>
      <w:r>
        <w:rPr>
          <w:rFonts w:cs="Arial"/>
          <w:iCs/>
          <w:sz w:val="18"/>
          <w:szCs w:val="18"/>
        </w:rPr>
        <w:t>ja, hoe, deze lidstaatopties toegepast worden.</w:t>
      </w:r>
    </w:p>
    <w:p w:rsidR="00E4322A" w:rsidP="001E56AB" w:rsidRDefault="00E4322A" w14:paraId="5B45B402" w14:textId="77777777">
      <w:pPr>
        <w:widowControl w:val="0"/>
        <w:spacing w:line="240" w:lineRule="atLeast"/>
        <w:rPr>
          <w:rFonts w:cs="Arial"/>
          <w:iCs/>
          <w:sz w:val="18"/>
          <w:szCs w:val="18"/>
        </w:rPr>
      </w:pPr>
    </w:p>
    <w:p w:rsidRPr="00C32B35" w:rsidR="001E56AB" w:rsidP="001E56AB" w:rsidRDefault="001E56AB" w14:paraId="0971B4E3" w14:textId="1EC579C5">
      <w:pPr>
        <w:widowControl w:val="0"/>
        <w:spacing w:line="240" w:lineRule="atLeast"/>
        <w:rPr>
          <w:rFonts w:cs="Arial"/>
          <w:i/>
          <w:sz w:val="18"/>
          <w:szCs w:val="18"/>
        </w:rPr>
      </w:pPr>
      <w:r w:rsidRPr="00C32B35">
        <w:rPr>
          <w:rFonts w:cs="Arial"/>
          <w:i/>
          <w:sz w:val="18"/>
          <w:szCs w:val="18"/>
        </w:rPr>
        <w:t xml:space="preserve">§ 4.2.1 Lidstaatopties omtrent </w:t>
      </w:r>
      <w:r w:rsidR="008939AA">
        <w:rPr>
          <w:rFonts w:cs="Arial"/>
          <w:i/>
          <w:sz w:val="18"/>
          <w:szCs w:val="18"/>
        </w:rPr>
        <w:t>afkoelingsperiode</w:t>
      </w:r>
    </w:p>
    <w:p w:rsidR="00786784" w:rsidP="008939AA" w:rsidRDefault="00F23898" w14:paraId="0B4C3436" w14:textId="525916C6">
      <w:pPr>
        <w:widowControl w:val="0"/>
        <w:spacing w:line="240" w:lineRule="atLeast"/>
        <w:rPr>
          <w:rFonts w:cs="Arial"/>
          <w:iCs/>
          <w:sz w:val="18"/>
          <w:szCs w:val="18"/>
        </w:rPr>
      </w:pPr>
      <w:r>
        <w:rPr>
          <w:rFonts w:cs="Arial"/>
          <w:iCs/>
          <w:sz w:val="18"/>
          <w:szCs w:val="18"/>
        </w:rPr>
        <w:t>De</w:t>
      </w:r>
      <w:r w:rsidR="00385727">
        <w:rPr>
          <w:rFonts w:cs="Arial"/>
          <w:iCs/>
          <w:sz w:val="18"/>
          <w:szCs w:val="18"/>
        </w:rPr>
        <w:t xml:space="preserve"> </w:t>
      </w:r>
      <w:r>
        <w:rPr>
          <w:rFonts w:cs="Arial"/>
          <w:iCs/>
          <w:sz w:val="18"/>
          <w:szCs w:val="18"/>
        </w:rPr>
        <w:t xml:space="preserve">institutionele bepalingen </w:t>
      </w:r>
      <w:r w:rsidR="00707388">
        <w:rPr>
          <w:rFonts w:cs="Arial"/>
          <w:iCs/>
          <w:sz w:val="18"/>
          <w:szCs w:val="18"/>
        </w:rPr>
        <w:t xml:space="preserve">in de CRD met betrekking tot de </w:t>
      </w:r>
      <w:r>
        <w:rPr>
          <w:rFonts w:cs="Arial"/>
          <w:iCs/>
          <w:sz w:val="18"/>
          <w:szCs w:val="18"/>
        </w:rPr>
        <w:t>toezichthouders bevatten twee lidstaatopties</w:t>
      </w:r>
      <w:r w:rsidR="00786784">
        <w:rPr>
          <w:rFonts w:cs="Arial"/>
          <w:iCs/>
          <w:sz w:val="18"/>
          <w:szCs w:val="18"/>
        </w:rPr>
        <w:t xml:space="preserve"> omtrent afkoelingsperiodes voor </w:t>
      </w:r>
      <w:r w:rsidR="00B02AC6">
        <w:rPr>
          <w:rFonts w:cs="Arial"/>
          <w:iCs/>
          <w:sz w:val="18"/>
          <w:szCs w:val="18"/>
        </w:rPr>
        <w:t>personeelsleden en directieleden</w:t>
      </w:r>
      <w:r w:rsidR="00786784">
        <w:rPr>
          <w:rFonts w:cs="Arial"/>
          <w:iCs/>
          <w:sz w:val="18"/>
          <w:szCs w:val="18"/>
        </w:rPr>
        <w:t xml:space="preserve">. Vooropgesteld moet worden dat DNB reeds in haar interne regelingen afkoelingsperiodes kent </w:t>
      </w:r>
      <w:r w:rsidR="00081526">
        <w:rPr>
          <w:rFonts w:cs="Arial"/>
          <w:iCs/>
          <w:sz w:val="18"/>
          <w:szCs w:val="18"/>
        </w:rPr>
        <w:t>voor</w:t>
      </w:r>
      <w:r w:rsidR="00786784">
        <w:rPr>
          <w:rFonts w:cs="Arial"/>
          <w:iCs/>
          <w:sz w:val="18"/>
          <w:szCs w:val="18"/>
        </w:rPr>
        <w:t xml:space="preserve"> </w:t>
      </w:r>
      <w:r w:rsidR="00B02AC6">
        <w:rPr>
          <w:rFonts w:cs="Arial"/>
          <w:iCs/>
          <w:sz w:val="18"/>
          <w:szCs w:val="18"/>
        </w:rPr>
        <w:t>personeelsleden en directieleden</w:t>
      </w:r>
      <w:r>
        <w:rPr>
          <w:rFonts w:cs="Arial"/>
          <w:iCs/>
          <w:sz w:val="18"/>
          <w:szCs w:val="18"/>
        </w:rPr>
        <w:t>.</w:t>
      </w:r>
      <w:r w:rsidR="00786784">
        <w:rPr>
          <w:rStyle w:val="Voetnootmarkering"/>
          <w:rFonts w:cs="Arial"/>
          <w:iCs/>
          <w:sz w:val="18"/>
          <w:szCs w:val="18"/>
        </w:rPr>
        <w:footnoteReference w:id="44"/>
      </w:r>
      <w:r w:rsidR="00173DF6">
        <w:rPr>
          <w:rFonts w:cs="Arial"/>
          <w:iCs/>
          <w:sz w:val="18"/>
          <w:szCs w:val="18"/>
        </w:rPr>
        <w:t xml:space="preserve"> Gebruik van de lidstaatopties is er op gericht om zoveel mogelijk aan te sluiten bij de staande praktijk.</w:t>
      </w:r>
    </w:p>
    <w:p w:rsidR="00786784" w:rsidP="008939AA" w:rsidRDefault="00786784" w14:paraId="5F5D711A" w14:textId="77777777">
      <w:pPr>
        <w:widowControl w:val="0"/>
        <w:spacing w:line="240" w:lineRule="atLeast"/>
        <w:rPr>
          <w:rFonts w:cs="Arial"/>
          <w:iCs/>
          <w:sz w:val="18"/>
          <w:szCs w:val="18"/>
        </w:rPr>
      </w:pPr>
    </w:p>
    <w:p w:rsidR="004044D5" w:rsidP="008939AA" w:rsidRDefault="00C3252E" w14:paraId="364495E0" w14:textId="54EB3BAE">
      <w:pPr>
        <w:widowControl w:val="0"/>
        <w:spacing w:line="240" w:lineRule="atLeast"/>
        <w:rPr>
          <w:rFonts w:cs="Arial"/>
          <w:iCs/>
          <w:sz w:val="18"/>
          <w:szCs w:val="18"/>
        </w:rPr>
      </w:pPr>
      <w:r>
        <w:rPr>
          <w:rFonts w:cs="Arial"/>
          <w:iCs/>
          <w:sz w:val="18"/>
          <w:szCs w:val="18"/>
        </w:rPr>
        <w:t>De CRD introduceert een afkoelingsperiode voor het personeel (inclusief leidinggevende posities)</w:t>
      </w:r>
      <w:r w:rsidR="00707388">
        <w:rPr>
          <w:rFonts w:cs="Arial"/>
          <w:iCs/>
          <w:sz w:val="18"/>
          <w:szCs w:val="18"/>
        </w:rPr>
        <w:t>,</w:t>
      </w:r>
      <w:r>
        <w:rPr>
          <w:rFonts w:cs="Arial"/>
          <w:iCs/>
          <w:sz w:val="18"/>
          <w:szCs w:val="18"/>
        </w:rPr>
        <w:t xml:space="preserve"> als zij willen overstappen naar een onderneming waarop de </w:t>
      </w:r>
      <w:r w:rsidR="009C5131">
        <w:rPr>
          <w:rFonts w:cs="Arial"/>
          <w:iCs/>
          <w:sz w:val="18"/>
          <w:szCs w:val="18"/>
        </w:rPr>
        <w:t xml:space="preserve">betreffende </w:t>
      </w:r>
      <w:r>
        <w:rPr>
          <w:rFonts w:cs="Arial"/>
          <w:iCs/>
          <w:sz w:val="18"/>
          <w:szCs w:val="18"/>
        </w:rPr>
        <w:t xml:space="preserve">persoon toezicht heeft gehouden. Deze afkoelingsperiode </w:t>
      </w:r>
      <w:r w:rsidR="00C97E69">
        <w:rPr>
          <w:rFonts w:cs="Arial"/>
          <w:iCs/>
          <w:sz w:val="18"/>
          <w:szCs w:val="18"/>
        </w:rPr>
        <w:t>betreft</w:t>
      </w:r>
      <w:r>
        <w:rPr>
          <w:rFonts w:cs="Arial"/>
          <w:iCs/>
          <w:sz w:val="18"/>
          <w:szCs w:val="18"/>
        </w:rPr>
        <w:t xml:space="preserve"> </w:t>
      </w:r>
      <w:r w:rsidR="002674AE">
        <w:rPr>
          <w:rFonts w:cs="Arial"/>
          <w:iCs/>
          <w:sz w:val="18"/>
          <w:szCs w:val="18"/>
        </w:rPr>
        <w:t>zes</w:t>
      </w:r>
      <w:r>
        <w:rPr>
          <w:rFonts w:cs="Arial"/>
          <w:iCs/>
          <w:sz w:val="18"/>
          <w:szCs w:val="18"/>
        </w:rPr>
        <w:t xml:space="preserve"> maanden voor het personeel en </w:t>
      </w:r>
      <w:r w:rsidR="002674AE">
        <w:rPr>
          <w:rFonts w:cs="Arial"/>
          <w:iCs/>
          <w:sz w:val="18"/>
          <w:szCs w:val="18"/>
        </w:rPr>
        <w:t>twaalf</w:t>
      </w:r>
      <w:r>
        <w:rPr>
          <w:rFonts w:cs="Arial"/>
          <w:iCs/>
          <w:sz w:val="18"/>
          <w:szCs w:val="18"/>
        </w:rPr>
        <w:t xml:space="preserve"> maanden voor</w:t>
      </w:r>
      <w:r w:rsidR="009C5131">
        <w:rPr>
          <w:rFonts w:cs="Arial"/>
          <w:iCs/>
          <w:sz w:val="18"/>
          <w:szCs w:val="18"/>
        </w:rPr>
        <w:t xml:space="preserve"> een lid van</w:t>
      </w:r>
      <w:r>
        <w:rPr>
          <w:rFonts w:cs="Arial"/>
          <w:iCs/>
          <w:sz w:val="18"/>
          <w:szCs w:val="18"/>
        </w:rPr>
        <w:t xml:space="preserve"> het leidinggevend orgaan</w:t>
      </w:r>
      <w:r w:rsidR="00202946">
        <w:rPr>
          <w:rFonts w:cs="Arial"/>
          <w:iCs/>
          <w:sz w:val="18"/>
          <w:szCs w:val="18"/>
        </w:rPr>
        <w:t xml:space="preserve"> van de bevoegde autoriteit</w:t>
      </w:r>
      <w:r w:rsidR="009C5131">
        <w:rPr>
          <w:rFonts w:cs="Arial"/>
          <w:iCs/>
          <w:sz w:val="18"/>
          <w:szCs w:val="18"/>
        </w:rPr>
        <w:t>.</w:t>
      </w:r>
      <w:r>
        <w:rPr>
          <w:rFonts w:cs="Arial"/>
          <w:iCs/>
          <w:sz w:val="18"/>
          <w:szCs w:val="18"/>
        </w:rPr>
        <w:t xml:space="preserve"> De lidstaatoptie</w:t>
      </w:r>
      <w:r w:rsidR="00731C83">
        <w:rPr>
          <w:rStyle w:val="Voetnootmarkering"/>
          <w:rFonts w:cs="Arial"/>
          <w:iCs/>
          <w:sz w:val="18"/>
          <w:szCs w:val="18"/>
        </w:rPr>
        <w:footnoteReference w:id="45"/>
      </w:r>
      <w:r>
        <w:rPr>
          <w:rFonts w:cs="Arial"/>
          <w:iCs/>
          <w:sz w:val="18"/>
          <w:szCs w:val="18"/>
        </w:rPr>
        <w:t xml:space="preserve"> biedt de mogelijkheid </w:t>
      </w:r>
      <w:r w:rsidR="00C27AB7">
        <w:rPr>
          <w:rFonts w:cs="Arial"/>
          <w:iCs/>
          <w:sz w:val="18"/>
          <w:szCs w:val="18"/>
        </w:rPr>
        <w:t xml:space="preserve">om </w:t>
      </w:r>
      <w:r>
        <w:rPr>
          <w:rFonts w:cs="Arial"/>
          <w:iCs/>
          <w:sz w:val="18"/>
          <w:szCs w:val="18"/>
        </w:rPr>
        <w:t xml:space="preserve">een afkoelingsperiode </w:t>
      </w:r>
      <w:r w:rsidR="00C27AB7">
        <w:rPr>
          <w:rFonts w:cs="Arial"/>
          <w:iCs/>
          <w:sz w:val="18"/>
          <w:szCs w:val="18"/>
        </w:rPr>
        <w:t>op te leggen</w:t>
      </w:r>
      <w:r w:rsidR="009C5131">
        <w:rPr>
          <w:rFonts w:cs="Arial"/>
          <w:iCs/>
          <w:sz w:val="18"/>
          <w:szCs w:val="18"/>
        </w:rPr>
        <w:t>,</w:t>
      </w:r>
      <w:r w:rsidR="00C27AB7">
        <w:rPr>
          <w:rFonts w:cs="Arial"/>
          <w:iCs/>
          <w:sz w:val="18"/>
          <w:szCs w:val="18"/>
        </w:rPr>
        <w:t xml:space="preserve"> met bijbehorende minimale termijnen,</w:t>
      </w:r>
      <w:r>
        <w:rPr>
          <w:rFonts w:cs="Arial"/>
          <w:iCs/>
          <w:sz w:val="18"/>
          <w:szCs w:val="18"/>
        </w:rPr>
        <w:t xml:space="preserve"> indien er een overstap zou zijn naar een concurrent van de onderneming waarop </w:t>
      </w:r>
      <w:r w:rsidR="00C27AB7">
        <w:rPr>
          <w:rFonts w:cs="Arial"/>
          <w:iCs/>
          <w:sz w:val="18"/>
          <w:szCs w:val="18"/>
        </w:rPr>
        <w:t xml:space="preserve">rechtstreeks </w:t>
      </w:r>
      <w:r>
        <w:rPr>
          <w:rFonts w:cs="Arial"/>
          <w:iCs/>
          <w:sz w:val="18"/>
          <w:szCs w:val="18"/>
        </w:rPr>
        <w:t>toezicht werd gehouden.</w:t>
      </w:r>
      <w:r w:rsidR="00F23898">
        <w:rPr>
          <w:rFonts w:cs="Arial"/>
          <w:iCs/>
          <w:sz w:val="18"/>
          <w:szCs w:val="18"/>
        </w:rPr>
        <w:t xml:space="preserve"> </w:t>
      </w:r>
      <w:r w:rsidR="004044D5">
        <w:rPr>
          <w:rFonts w:cs="Arial"/>
          <w:iCs/>
          <w:sz w:val="18"/>
          <w:szCs w:val="18"/>
        </w:rPr>
        <w:t>D</w:t>
      </w:r>
      <w:r w:rsidRPr="004044D5" w:rsidR="004044D5">
        <w:rPr>
          <w:rFonts w:cs="Arial"/>
          <w:iCs/>
          <w:sz w:val="18"/>
          <w:szCs w:val="18"/>
        </w:rPr>
        <w:t xml:space="preserve">eze lidstaatoptie wordt </w:t>
      </w:r>
      <w:r w:rsidR="007443D1">
        <w:rPr>
          <w:rFonts w:cs="Arial"/>
          <w:iCs/>
          <w:sz w:val="18"/>
          <w:szCs w:val="18"/>
        </w:rPr>
        <w:t xml:space="preserve">gebruikt, zodat DNB ook bij een dergelijke overstap een afkoelingsperiode </w:t>
      </w:r>
      <w:r w:rsidR="000C75E7">
        <w:rPr>
          <w:rFonts w:cs="Arial"/>
          <w:iCs/>
          <w:sz w:val="18"/>
          <w:szCs w:val="18"/>
        </w:rPr>
        <w:t xml:space="preserve">kan </w:t>
      </w:r>
      <w:r w:rsidR="007443D1">
        <w:rPr>
          <w:rFonts w:cs="Arial"/>
          <w:iCs/>
          <w:sz w:val="18"/>
          <w:szCs w:val="18"/>
        </w:rPr>
        <w:t>opleggen</w:t>
      </w:r>
      <w:r w:rsidR="002674AE">
        <w:rPr>
          <w:rFonts w:cs="Arial"/>
          <w:iCs/>
          <w:sz w:val="18"/>
          <w:szCs w:val="18"/>
        </w:rPr>
        <w:t>.</w:t>
      </w:r>
      <w:r w:rsidR="00786784">
        <w:rPr>
          <w:rFonts w:cs="Arial"/>
          <w:iCs/>
          <w:sz w:val="18"/>
          <w:szCs w:val="18"/>
        </w:rPr>
        <w:t xml:space="preserve"> </w:t>
      </w:r>
    </w:p>
    <w:p w:rsidR="004044D5" w:rsidP="008939AA" w:rsidRDefault="004044D5" w14:paraId="1ABE36F9" w14:textId="77777777">
      <w:pPr>
        <w:widowControl w:val="0"/>
        <w:spacing w:line="240" w:lineRule="atLeast"/>
        <w:rPr>
          <w:rFonts w:cs="Arial"/>
          <w:iCs/>
          <w:sz w:val="18"/>
          <w:szCs w:val="18"/>
        </w:rPr>
      </w:pPr>
    </w:p>
    <w:p w:rsidRPr="006802D7" w:rsidR="008939AA" w:rsidP="008939AA" w:rsidRDefault="00C3252E" w14:paraId="4A9A5C8A" w14:textId="706E16DB">
      <w:pPr>
        <w:widowControl w:val="0"/>
        <w:spacing w:line="240" w:lineRule="atLeast"/>
        <w:rPr>
          <w:rFonts w:cs="Arial"/>
          <w:iCs/>
          <w:sz w:val="18"/>
          <w:szCs w:val="18"/>
        </w:rPr>
      </w:pPr>
      <w:r>
        <w:rPr>
          <w:rFonts w:cs="Arial"/>
          <w:iCs/>
          <w:sz w:val="18"/>
          <w:szCs w:val="18"/>
        </w:rPr>
        <w:t>Tevens is er in de</w:t>
      </w:r>
      <w:r w:rsidR="008939AA">
        <w:rPr>
          <w:rFonts w:cs="Arial"/>
          <w:iCs/>
          <w:sz w:val="18"/>
          <w:szCs w:val="18"/>
        </w:rPr>
        <w:t xml:space="preserve"> CRD een lidstaatoptie</w:t>
      </w:r>
      <w:r w:rsidR="00731C83">
        <w:rPr>
          <w:rStyle w:val="Voetnootmarkering"/>
          <w:rFonts w:cs="Arial"/>
          <w:iCs/>
          <w:sz w:val="18"/>
          <w:szCs w:val="18"/>
        </w:rPr>
        <w:footnoteReference w:id="46"/>
      </w:r>
      <w:r w:rsidR="008939AA">
        <w:rPr>
          <w:rFonts w:cs="Arial"/>
          <w:iCs/>
          <w:sz w:val="18"/>
          <w:szCs w:val="18"/>
        </w:rPr>
        <w:t xml:space="preserve"> opgenomen om </w:t>
      </w:r>
      <w:r>
        <w:rPr>
          <w:rFonts w:cs="Arial"/>
          <w:iCs/>
          <w:sz w:val="18"/>
          <w:szCs w:val="18"/>
        </w:rPr>
        <w:t>kortere</w:t>
      </w:r>
      <w:r w:rsidR="008939AA">
        <w:rPr>
          <w:rFonts w:cs="Arial"/>
          <w:iCs/>
          <w:sz w:val="18"/>
          <w:szCs w:val="18"/>
        </w:rPr>
        <w:t xml:space="preserve"> afkoelingsperiodes </w:t>
      </w:r>
      <w:r w:rsidR="00B05378">
        <w:rPr>
          <w:rFonts w:cs="Arial"/>
          <w:iCs/>
          <w:sz w:val="18"/>
          <w:szCs w:val="18"/>
        </w:rPr>
        <w:t xml:space="preserve">voor toezichthouders </w:t>
      </w:r>
      <w:r w:rsidR="008939AA">
        <w:rPr>
          <w:rFonts w:cs="Arial"/>
          <w:iCs/>
          <w:sz w:val="18"/>
          <w:szCs w:val="18"/>
        </w:rPr>
        <w:t>vast te stellen</w:t>
      </w:r>
      <w:r w:rsidR="009C0F7F">
        <w:rPr>
          <w:rFonts w:cs="Arial"/>
          <w:iCs/>
          <w:sz w:val="18"/>
          <w:szCs w:val="18"/>
        </w:rPr>
        <w:t>,</w:t>
      </w:r>
      <w:r>
        <w:rPr>
          <w:rFonts w:cs="Arial"/>
          <w:iCs/>
          <w:sz w:val="18"/>
          <w:szCs w:val="18"/>
        </w:rPr>
        <w:t xml:space="preserve"> als een toezichthouder wil overstappen naar de onderneming waarop toezicht werd gehouden</w:t>
      </w:r>
      <w:r w:rsidR="006D2E62">
        <w:rPr>
          <w:rFonts w:cs="Arial"/>
          <w:iCs/>
          <w:sz w:val="18"/>
          <w:szCs w:val="18"/>
        </w:rPr>
        <w:t xml:space="preserve">, een directe of indirecte moeder- of dochteronderneming, dienstverleners </w:t>
      </w:r>
      <w:r w:rsidR="009C0F7F">
        <w:rPr>
          <w:rFonts w:cs="Arial"/>
          <w:iCs/>
          <w:sz w:val="18"/>
          <w:szCs w:val="18"/>
        </w:rPr>
        <w:t>a</w:t>
      </w:r>
      <w:r w:rsidR="006D2E62">
        <w:rPr>
          <w:rFonts w:cs="Arial"/>
          <w:iCs/>
          <w:sz w:val="18"/>
          <w:szCs w:val="18"/>
        </w:rPr>
        <w:t xml:space="preserve">an die onderneming en </w:t>
      </w:r>
      <w:r w:rsidR="009C0F7F">
        <w:rPr>
          <w:rFonts w:cs="Arial"/>
          <w:iCs/>
          <w:sz w:val="18"/>
          <w:szCs w:val="18"/>
        </w:rPr>
        <w:t xml:space="preserve">andere </w:t>
      </w:r>
      <w:r w:rsidR="006D2E62">
        <w:rPr>
          <w:rFonts w:cs="Arial"/>
          <w:iCs/>
          <w:sz w:val="18"/>
          <w:szCs w:val="18"/>
        </w:rPr>
        <w:t>aan die onderneming gelieerde ondernemingen</w:t>
      </w:r>
      <w:r>
        <w:rPr>
          <w:rFonts w:cs="Arial"/>
          <w:iCs/>
          <w:sz w:val="18"/>
          <w:szCs w:val="18"/>
        </w:rPr>
        <w:t xml:space="preserve">. </w:t>
      </w:r>
      <w:r w:rsidR="00B05378">
        <w:rPr>
          <w:rFonts w:cs="Arial"/>
          <w:iCs/>
          <w:sz w:val="18"/>
          <w:szCs w:val="18"/>
        </w:rPr>
        <w:t>D</w:t>
      </w:r>
      <w:r>
        <w:rPr>
          <w:rFonts w:cs="Arial"/>
          <w:iCs/>
          <w:sz w:val="18"/>
          <w:szCs w:val="18"/>
        </w:rPr>
        <w:t xml:space="preserve">eze lidstaatoptie </w:t>
      </w:r>
      <w:r w:rsidR="006D2E62">
        <w:rPr>
          <w:rFonts w:cs="Arial"/>
          <w:iCs/>
          <w:sz w:val="18"/>
          <w:szCs w:val="18"/>
        </w:rPr>
        <w:t xml:space="preserve">kan </w:t>
      </w:r>
      <w:r w:rsidR="00B05378">
        <w:rPr>
          <w:rFonts w:cs="Arial"/>
          <w:iCs/>
          <w:sz w:val="18"/>
          <w:szCs w:val="18"/>
        </w:rPr>
        <w:t>slechts worden geïmplementeerd indien aangevoerd kan worden da</w:t>
      </w:r>
      <w:r w:rsidR="00707388">
        <w:rPr>
          <w:rFonts w:cs="Arial"/>
          <w:iCs/>
          <w:sz w:val="18"/>
          <w:szCs w:val="18"/>
        </w:rPr>
        <w:t>t</w:t>
      </w:r>
      <w:r w:rsidR="00227A0D">
        <w:rPr>
          <w:rFonts w:cs="Arial"/>
          <w:iCs/>
          <w:sz w:val="18"/>
          <w:szCs w:val="18"/>
        </w:rPr>
        <w:t xml:space="preserve"> </w:t>
      </w:r>
      <w:r w:rsidR="008939AA">
        <w:rPr>
          <w:rFonts w:cs="Arial"/>
          <w:iCs/>
          <w:sz w:val="18"/>
          <w:szCs w:val="18"/>
        </w:rPr>
        <w:t xml:space="preserve">een langere afkoelingsperiode het vermogen van de bevoegde autoriteit om nieuwe personeelsleden in dienst te nemen onnodig zou beperken </w:t>
      </w:r>
      <w:r w:rsidR="006D2E62">
        <w:rPr>
          <w:rFonts w:cs="Arial"/>
          <w:iCs/>
          <w:sz w:val="18"/>
          <w:szCs w:val="18"/>
        </w:rPr>
        <w:t>of dat het</w:t>
      </w:r>
      <w:r w:rsidR="008939AA">
        <w:rPr>
          <w:rFonts w:cs="Arial"/>
          <w:iCs/>
          <w:sz w:val="18"/>
          <w:szCs w:val="18"/>
        </w:rPr>
        <w:t xml:space="preserve"> een inbreuk zou kunnen vormen op grondrechten of op rechten van werkenden zoals vastgelegd in het nationale arbeidsrecht. Deze lidstaatoptie wordt gebruikt, omwille van de krappe en competitieve arbeidsmarkt. Verwacht wordt dat de arbeidsinzet komende jaren slechts beperkt zal stijgen en </w:t>
      </w:r>
      <w:r w:rsidR="00955D69">
        <w:rPr>
          <w:rFonts w:cs="Arial"/>
          <w:iCs/>
          <w:sz w:val="18"/>
          <w:szCs w:val="18"/>
        </w:rPr>
        <w:t xml:space="preserve">vanaf </w:t>
      </w:r>
      <w:r w:rsidR="008939AA">
        <w:rPr>
          <w:rFonts w:cs="Arial"/>
          <w:iCs/>
          <w:sz w:val="18"/>
          <w:szCs w:val="18"/>
        </w:rPr>
        <w:t xml:space="preserve">2030 zelfs zal krimpen. Het stellen van </w:t>
      </w:r>
      <w:r w:rsidR="00731C83">
        <w:rPr>
          <w:rFonts w:cs="Arial"/>
          <w:iCs/>
          <w:sz w:val="18"/>
          <w:szCs w:val="18"/>
        </w:rPr>
        <w:t>kortere</w:t>
      </w:r>
      <w:r w:rsidR="008939AA">
        <w:rPr>
          <w:rFonts w:cs="Arial"/>
          <w:iCs/>
          <w:sz w:val="18"/>
          <w:szCs w:val="18"/>
        </w:rPr>
        <w:t xml:space="preserve"> afkoelingsperiodes maakt het</w:t>
      </w:r>
      <w:r w:rsidR="00955D69">
        <w:rPr>
          <w:rFonts w:cs="Arial"/>
          <w:iCs/>
          <w:sz w:val="18"/>
          <w:szCs w:val="18"/>
        </w:rPr>
        <w:t xml:space="preserve"> eerder </w:t>
      </w:r>
      <w:r w:rsidR="008939AA">
        <w:rPr>
          <w:rFonts w:cs="Arial"/>
          <w:iCs/>
          <w:sz w:val="18"/>
          <w:szCs w:val="18"/>
        </w:rPr>
        <w:t>mogelijk voor de bevoegde autoriteit om nieuwe personeelsleden in dienst te nemen</w:t>
      </w:r>
      <w:r w:rsidR="009C0F7F">
        <w:rPr>
          <w:rFonts w:cs="Arial"/>
          <w:iCs/>
          <w:sz w:val="18"/>
          <w:szCs w:val="18"/>
        </w:rPr>
        <w:t>,</w:t>
      </w:r>
      <w:r w:rsidR="008939AA">
        <w:rPr>
          <w:rFonts w:cs="Arial"/>
          <w:iCs/>
          <w:sz w:val="18"/>
          <w:szCs w:val="18"/>
        </w:rPr>
        <w:t xml:space="preserve"> die over de adequate en noodzakelijke vaardigheden beschikken voor de taakuitoefening van haar toezichthoudende taken. Een langere afkoelingsperiode kan bovendien het recht op vrije arbeidskeuze, neergelegd in artikel 19, derde lid, van de Grondwet, beperken.</w:t>
      </w:r>
      <w:r w:rsidR="00902954">
        <w:rPr>
          <w:rFonts w:cs="Arial"/>
          <w:iCs/>
          <w:sz w:val="18"/>
          <w:szCs w:val="18"/>
        </w:rPr>
        <w:t xml:space="preserve"> </w:t>
      </w:r>
    </w:p>
    <w:p w:rsidRPr="00C32B35" w:rsidR="00276ABE" w:rsidP="001E56AB" w:rsidRDefault="00276ABE" w14:paraId="3EB400DB" w14:textId="77777777">
      <w:pPr>
        <w:widowControl w:val="0"/>
        <w:spacing w:line="240" w:lineRule="atLeast"/>
        <w:rPr>
          <w:rFonts w:cs="Arial"/>
          <w:i/>
          <w:sz w:val="18"/>
          <w:szCs w:val="18"/>
        </w:rPr>
      </w:pPr>
    </w:p>
    <w:p w:rsidR="001E56AB" w:rsidP="001E56AB" w:rsidRDefault="001E56AB" w14:paraId="15213FD5" w14:textId="77777777">
      <w:pPr>
        <w:widowControl w:val="0"/>
        <w:spacing w:line="240" w:lineRule="atLeast"/>
        <w:rPr>
          <w:rFonts w:cs="Arial"/>
          <w:i/>
          <w:sz w:val="18"/>
          <w:szCs w:val="18"/>
        </w:rPr>
      </w:pPr>
      <w:r w:rsidRPr="00D62F0B">
        <w:rPr>
          <w:rFonts w:cs="Arial"/>
          <w:i/>
          <w:sz w:val="18"/>
          <w:szCs w:val="18"/>
        </w:rPr>
        <w:t>§ 4.2.2 Lidstaatoptie bijkantor</w:t>
      </w:r>
      <w:r>
        <w:rPr>
          <w:rFonts w:cs="Arial"/>
          <w:i/>
          <w:sz w:val="18"/>
          <w:szCs w:val="18"/>
        </w:rPr>
        <w:t>en uit een staat die geen lidstaat is</w:t>
      </w:r>
    </w:p>
    <w:p w:rsidRPr="00A41D2C" w:rsidR="00276ABE" w:rsidP="001E56AB" w:rsidRDefault="00731C83" w14:paraId="5936AEC5" w14:textId="625868CC">
      <w:pPr>
        <w:widowControl w:val="0"/>
        <w:spacing w:line="240" w:lineRule="atLeast"/>
        <w:rPr>
          <w:rFonts w:cs="Arial"/>
          <w:iCs/>
          <w:sz w:val="18"/>
          <w:szCs w:val="18"/>
        </w:rPr>
      </w:pPr>
      <w:r>
        <w:rPr>
          <w:rFonts w:cs="Arial"/>
          <w:iCs/>
          <w:sz w:val="18"/>
          <w:szCs w:val="18"/>
        </w:rPr>
        <w:t xml:space="preserve">Het </w:t>
      </w:r>
      <w:r w:rsidR="00397BF0">
        <w:rPr>
          <w:rFonts w:cs="Arial"/>
          <w:iCs/>
          <w:sz w:val="18"/>
          <w:szCs w:val="18"/>
        </w:rPr>
        <w:t>regime</w:t>
      </w:r>
      <w:r>
        <w:rPr>
          <w:rFonts w:cs="Arial"/>
          <w:iCs/>
          <w:sz w:val="18"/>
          <w:szCs w:val="18"/>
        </w:rPr>
        <w:t xml:space="preserve"> voor bijkantoren van ondernemingen uit een staat die geen lidstaat is bevat</w:t>
      </w:r>
      <w:r w:rsidR="00EB0BDA">
        <w:rPr>
          <w:rFonts w:cs="Arial"/>
          <w:iCs/>
          <w:sz w:val="18"/>
          <w:szCs w:val="18"/>
        </w:rPr>
        <w:t xml:space="preserve"> </w:t>
      </w:r>
      <w:r w:rsidR="00A41D2C">
        <w:rPr>
          <w:rFonts w:cs="Arial"/>
          <w:iCs/>
          <w:sz w:val="18"/>
          <w:szCs w:val="18"/>
        </w:rPr>
        <w:t>een lidstaatoptie</w:t>
      </w:r>
      <w:r>
        <w:rPr>
          <w:rStyle w:val="Voetnootmarkering"/>
          <w:rFonts w:cs="Arial"/>
          <w:iCs/>
          <w:sz w:val="18"/>
          <w:szCs w:val="18"/>
        </w:rPr>
        <w:footnoteReference w:id="47"/>
      </w:r>
      <w:r w:rsidR="00A41D2C">
        <w:rPr>
          <w:rFonts w:cs="Arial"/>
          <w:iCs/>
          <w:sz w:val="18"/>
          <w:szCs w:val="18"/>
        </w:rPr>
        <w:t xml:space="preserve"> om op </w:t>
      </w:r>
      <w:r w:rsidR="001C0C28">
        <w:rPr>
          <w:rFonts w:cs="Arial"/>
          <w:iCs/>
          <w:sz w:val="18"/>
          <w:szCs w:val="18"/>
        </w:rPr>
        <w:t>derde land</w:t>
      </w:r>
      <w:r w:rsidR="00A41D2C">
        <w:rPr>
          <w:rFonts w:cs="Arial"/>
          <w:iCs/>
          <w:sz w:val="18"/>
          <w:szCs w:val="18"/>
        </w:rPr>
        <w:t xml:space="preserve"> bijkantoren dezelfde vereisten toe te passen als op reguliere banken.</w:t>
      </w:r>
      <w:r w:rsidR="00EB0BDA">
        <w:rPr>
          <w:rFonts w:cs="Arial"/>
          <w:iCs/>
          <w:sz w:val="18"/>
          <w:szCs w:val="18"/>
        </w:rPr>
        <w:t xml:space="preserve"> Deze lidstaatoptie wordt niet gebruikt. Het </w:t>
      </w:r>
      <w:r w:rsidR="00397BF0">
        <w:rPr>
          <w:rFonts w:cs="Arial"/>
          <w:iCs/>
          <w:sz w:val="18"/>
          <w:szCs w:val="18"/>
        </w:rPr>
        <w:t>reguliere banken</w:t>
      </w:r>
      <w:r w:rsidR="00EB0BDA">
        <w:rPr>
          <w:rFonts w:cs="Arial"/>
          <w:iCs/>
          <w:sz w:val="18"/>
          <w:szCs w:val="18"/>
        </w:rPr>
        <w:t xml:space="preserve">regime is een zwaar en uitgebreid regime, </w:t>
      </w:r>
      <w:r w:rsidR="00397BF0">
        <w:rPr>
          <w:rFonts w:cs="Arial"/>
          <w:iCs/>
          <w:sz w:val="18"/>
          <w:szCs w:val="18"/>
        </w:rPr>
        <w:t>d</w:t>
      </w:r>
      <w:r w:rsidR="001F305A">
        <w:rPr>
          <w:rFonts w:cs="Arial"/>
          <w:iCs/>
          <w:sz w:val="18"/>
          <w:szCs w:val="18"/>
        </w:rPr>
        <w:t xml:space="preserve">at niet per se geschikt is voor </w:t>
      </w:r>
      <w:r w:rsidR="001C0C28">
        <w:rPr>
          <w:rFonts w:cs="Arial"/>
          <w:iCs/>
          <w:sz w:val="18"/>
          <w:szCs w:val="18"/>
        </w:rPr>
        <w:t>derde land</w:t>
      </w:r>
      <w:r w:rsidR="001F305A">
        <w:rPr>
          <w:rFonts w:cs="Arial"/>
          <w:iCs/>
          <w:sz w:val="18"/>
          <w:szCs w:val="18"/>
        </w:rPr>
        <w:t xml:space="preserve"> bijkantoren</w:t>
      </w:r>
      <w:r w:rsidR="00EB0BDA">
        <w:rPr>
          <w:rFonts w:cs="Arial"/>
          <w:iCs/>
          <w:sz w:val="18"/>
          <w:szCs w:val="18"/>
        </w:rPr>
        <w:t>.</w:t>
      </w:r>
      <w:r w:rsidR="001F305A">
        <w:rPr>
          <w:rFonts w:cs="Arial"/>
          <w:iCs/>
          <w:sz w:val="18"/>
          <w:szCs w:val="18"/>
        </w:rPr>
        <w:t xml:space="preserve"> </w:t>
      </w:r>
      <w:r w:rsidR="00EB0BDA">
        <w:rPr>
          <w:rFonts w:cs="Arial"/>
          <w:iCs/>
          <w:sz w:val="18"/>
          <w:szCs w:val="18"/>
        </w:rPr>
        <w:t xml:space="preserve">Bovendien is het nieuwe </w:t>
      </w:r>
      <w:r w:rsidR="001C0C28">
        <w:rPr>
          <w:rFonts w:cs="Arial"/>
          <w:iCs/>
          <w:sz w:val="18"/>
          <w:szCs w:val="18"/>
        </w:rPr>
        <w:t>derde land</w:t>
      </w:r>
      <w:r w:rsidR="00EB0BDA">
        <w:rPr>
          <w:rFonts w:cs="Arial"/>
          <w:iCs/>
          <w:sz w:val="18"/>
          <w:szCs w:val="18"/>
        </w:rPr>
        <w:t xml:space="preserve"> bijkantorenregime</w:t>
      </w:r>
      <w:r w:rsidR="007B569D">
        <w:rPr>
          <w:rFonts w:cs="Arial"/>
          <w:iCs/>
          <w:sz w:val="18"/>
          <w:szCs w:val="18"/>
        </w:rPr>
        <w:t xml:space="preserve"> zo</w:t>
      </w:r>
      <w:r w:rsidR="00EB0BDA">
        <w:rPr>
          <w:rFonts w:cs="Arial"/>
          <w:iCs/>
          <w:sz w:val="18"/>
          <w:szCs w:val="18"/>
        </w:rPr>
        <w:t xml:space="preserve"> vormgegeven </w:t>
      </w:r>
      <w:r w:rsidR="007B569D">
        <w:rPr>
          <w:rFonts w:cs="Arial"/>
          <w:iCs/>
          <w:sz w:val="18"/>
          <w:szCs w:val="18"/>
        </w:rPr>
        <w:t xml:space="preserve">dat er </w:t>
      </w:r>
      <w:r w:rsidR="00EB0BDA">
        <w:rPr>
          <w:rFonts w:cs="Arial"/>
          <w:iCs/>
          <w:sz w:val="18"/>
          <w:szCs w:val="18"/>
        </w:rPr>
        <w:t>stevige vereisten omtrent kapitaal, liquiditeit, organisatie en boekhouding</w:t>
      </w:r>
      <w:r w:rsidR="007B569D">
        <w:rPr>
          <w:rFonts w:cs="Arial"/>
          <w:iCs/>
          <w:sz w:val="18"/>
          <w:szCs w:val="18"/>
        </w:rPr>
        <w:t xml:space="preserve"> opgelegd worden alvorens een vergunning</w:t>
      </w:r>
      <w:r w:rsidR="00612DF4">
        <w:rPr>
          <w:rFonts w:cs="Arial"/>
          <w:iCs/>
          <w:sz w:val="18"/>
          <w:szCs w:val="18"/>
        </w:rPr>
        <w:t xml:space="preserve"> voor de vestiging van een </w:t>
      </w:r>
      <w:r w:rsidR="001C0C28">
        <w:rPr>
          <w:rFonts w:cs="Arial"/>
          <w:iCs/>
          <w:sz w:val="18"/>
          <w:szCs w:val="18"/>
        </w:rPr>
        <w:t>derde land</w:t>
      </w:r>
      <w:r w:rsidR="00612DF4">
        <w:rPr>
          <w:rFonts w:cs="Arial"/>
          <w:iCs/>
          <w:sz w:val="18"/>
          <w:szCs w:val="18"/>
        </w:rPr>
        <w:t xml:space="preserve"> bijkantoor</w:t>
      </w:r>
      <w:r w:rsidR="007B569D">
        <w:rPr>
          <w:rFonts w:cs="Arial"/>
          <w:iCs/>
          <w:sz w:val="18"/>
          <w:szCs w:val="18"/>
        </w:rPr>
        <w:t xml:space="preserve"> wordt verleend. Hierdoor </w:t>
      </w:r>
      <w:r w:rsidR="007B569D">
        <w:rPr>
          <w:rFonts w:cs="Arial"/>
          <w:iCs/>
          <w:sz w:val="18"/>
          <w:szCs w:val="18"/>
        </w:rPr>
        <w:lastRenderedPageBreak/>
        <w:t xml:space="preserve">is het </w:t>
      </w:r>
      <w:r w:rsidR="00EB0BDA">
        <w:rPr>
          <w:rFonts w:cs="Arial"/>
          <w:iCs/>
          <w:sz w:val="18"/>
          <w:szCs w:val="18"/>
        </w:rPr>
        <w:t xml:space="preserve">niet nodig om op dergelijke bijkantoren het (nog) </w:t>
      </w:r>
      <w:r w:rsidR="001F305A">
        <w:rPr>
          <w:rFonts w:cs="Arial"/>
          <w:iCs/>
          <w:sz w:val="18"/>
          <w:szCs w:val="18"/>
        </w:rPr>
        <w:t xml:space="preserve">uitgebreidere </w:t>
      </w:r>
      <w:r w:rsidR="00EB0BDA">
        <w:rPr>
          <w:rFonts w:cs="Arial"/>
          <w:iCs/>
          <w:sz w:val="18"/>
          <w:szCs w:val="18"/>
        </w:rPr>
        <w:t>reguliere bankenregime van toepassing te verklaren</w:t>
      </w:r>
      <w:r w:rsidR="006F204B">
        <w:rPr>
          <w:rFonts w:cs="Arial"/>
          <w:iCs/>
          <w:sz w:val="18"/>
          <w:szCs w:val="18"/>
        </w:rPr>
        <w:t xml:space="preserve"> waardoor dergelijke </w:t>
      </w:r>
      <w:r w:rsidR="001C0C28">
        <w:rPr>
          <w:rFonts w:cs="Arial"/>
          <w:iCs/>
          <w:sz w:val="18"/>
          <w:szCs w:val="18"/>
        </w:rPr>
        <w:t>derde land</w:t>
      </w:r>
      <w:r w:rsidR="006F204B">
        <w:rPr>
          <w:rFonts w:cs="Arial"/>
          <w:iCs/>
          <w:sz w:val="18"/>
          <w:szCs w:val="18"/>
        </w:rPr>
        <w:t xml:space="preserve"> bijkantoren zouden moeten voldoen aan de volledige CRR en de (implementatie van de) CRD</w:t>
      </w:r>
      <w:r w:rsidR="00EB0BDA">
        <w:rPr>
          <w:rFonts w:cs="Arial"/>
          <w:iCs/>
          <w:sz w:val="18"/>
          <w:szCs w:val="18"/>
        </w:rPr>
        <w:t>.</w:t>
      </w:r>
      <w:r w:rsidR="00A41D2C">
        <w:rPr>
          <w:rFonts w:cs="Arial"/>
          <w:iCs/>
          <w:sz w:val="18"/>
          <w:szCs w:val="18"/>
        </w:rPr>
        <w:t xml:space="preserve"> </w:t>
      </w:r>
      <w:r w:rsidR="00F62F97">
        <w:rPr>
          <w:rFonts w:cs="Arial"/>
          <w:iCs/>
          <w:sz w:val="18"/>
          <w:szCs w:val="18"/>
        </w:rPr>
        <w:t>D</w:t>
      </w:r>
      <w:r w:rsidR="00771E3E">
        <w:rPr>
          <w:rFonts w:cs="Arial"/>
          <w:iCs/>
          <w:sz w:val="18"/>
          <w:szCs w:val="18"/>
        </w:rPr>
        <w:t xml:space="preserve">at zou </w:t>
      </w:r>
      <w:r w:rsidR="00F62F97">
        <w:rPr>
          <w:rFonts w:cs="Arial"/>
          <w:iCs/>
          <w:sz w:val="18"/>
          <w:szCs w:val="18"/>
        </w:rPr>
        <w:t>onder meer</w:t>
      </w:r>
      <w:r w:rsidR="00771E3E">
        <w:rPr>
          <w:rFonts w:cs="Arial"/>
          <w:iCs/>
          <w:sz w:val="18"/>
          <w:szCs w:val="18"/>
        </w:rPr>
        <w:t xml:space="preserve"> betekenen dat derde land bijkantoren aan zw</w:t>
      </w:r>
      <w:r w:rsidR="00F62F97">
        <w:rPr>
          <w:rFonts w:cs="Arial"/>
          <w:iCs/>
          <w:sz w:val="18"/>
          <w:szCs w:val="18"/>
        </w:rPr>
        <w:t xml:space="preserve">aardere vereisten rondom de berekening van risico-activa, </w:t>
      </w:r>
      <w:r w:rsidR="00771E3E">
        <w:rPr>
          <w:rFonts w:cs="Arial"/>
          <w:iCs/>
          <w:sz w:val="18"/>
          <w:szCs w:val="18"/>
        </w:rPr>
        <w:t>indringender</w:t>
      </w:r>
      <w:r w:rsidR="00F62F97">
        <w:rPr>
          <w:rFonts w:cs="Arial"/>
          <w:iCs/>
          <w:sz w:val="18"/>
          <w:szCs w:val="18"/>
        </w:rPr>
        <w:t xml:space="preserve"> toezicht (want volledige bankvergunning) en openbaarmakingsvereisten</w:t>
      </w:r>
      <w:r w:rsidR="00771E3E">
        <w:rPr>
          <w:rFonts w:cs="Arial"/>
          <w:iCs/>
          <w:sz w:val="18"/>
          <w:szCs w:val="18"/>
        </w:rPr>
        <w:t xml:space="preserve"> moeten voldoen</w:t>
      </w:r>
      <w:r w:rsidR="00F62F97">
        <w:rPr>
          <w:rFonts w:cs="Arial"/>
          <w:iCs/>
          <w:sz w:val="18"/>
          <w:szCs w:val="18"/>
        </w:rPr>
        <w:t>.</w:t>
      </w:r>
    </w:p>
    <w:p w:rsidRPr="00A41D2C" w:rsidR="00276ABE" w:rsidP="001E56AB" w:rsidRDefault="00276ABE" w14:paraId="3998532D" w14:textId="77777777">
      <w:pPr>
        <w:widowControl w:val="0"/>
        <w:spacing w:line="240" w:lineRule="atLeast"/>
        <w:rPr>
          <w:rFonts w:cs="Arial"/>
          <w:iCs/>
          <w:sz w:val="18"/>
          <w:szCs w:val="18"/>
        </w:rPr>
      </w:pPr>
    </w:p>
    <w:p w:rsidR="001E56AB" w:rsidP="001E56AB" w:rsidRDefault="001E56AB" w14:paraId="41BBAEF5" w14:textId="77777777">
      <w:pPr>
        <w:widowControl w:val="0"/>
        <w:spacing w:line="240" w:lineRule="atLeast"/>
        <w:rPr>
          <w:rFonts w:cs="Arial"/>
          <w:i/>
          <w:sz w:val="18"/>
          <w:szCs w:val="18"/>
        </w:rPr>
      </w:pPr>
      <w:r w:rsidRPr="00D62F0B">
        <w:rPr>
          <w:rFonts w:cs="Arial"/>
          <w:i/>
          <w:sz w:val="18"/>
          <w:szCs w:val="18"/>
        </w:rPr>
        <w:t>§ 4.2.</w:t>
      </w:r>
      <w:r>
        <w:rPr>
          <w:rFonts w:cs="Arial"/>
          <w:i/>
          <w:sz w:val="18"/>
          <w:szCs w:val="18"/>
        </w:rPr>
        <w:t>3 Lidstaatopties dwangsommen</w:t>
      </w:r>
    </w:p>
    <w:p w:rsidR="006532DC" w:rsidP="00B500BB" w:rsidRDefault="001F305A" w14:paraId="6E231298" w14:textId="5F099581">
      <w:pPr>
        <w:widowControl w:val="0"/>
        <w:spacing w:line="240" w:lineRule="atLeast"/>
        <w:rPr>
          <w:rFonts w:cs="Arial"/>
          <w:iCs/>
          <w:sz w:val="18"/>
          <w:szCs w:val="18"/>
        </w:rPr>
      </w:pPr>
      <w:r>
        <w:rPr>
          <w:rFonts w:cs="Arial"/>
          <w:iCs/>
          <w:sz w:val="18"/>
          <w:szCs w:val="18"/>
        </w:rPr>
        <w:t xml:space="preserve">De artikelen in de CRD omtrent de mogelijk te nemen handhavingsmaatregelen bij overtreding van artikelen uit de CRD </w:t>
      </w:r>
      <w:r w:rsidR="00224D12">
        <w:rPr>
          <w:rFonts w:cs="Arial"/>
          <w:iCs/>
          <w:sz w:val="18"/>
          <w:szCs w:val="18"/>
        </w:rPr>
        <w:t xml:space="preserve">bevatten </w:t>
      </w:r>
      <w:r>
        <w:rPr>
          <w:rFonts w:cs="Arial"/>
          <w:iCs/>
          <w:sz w:val="18"/>
          <w:szCs w:val="18"/>
        </w:rPr>
        <w:t xml:space="preserve">twee </w:t>
      </w:r>
      <w:r w:rsidR="00224D12">
        <w:rPr>
          <w:rFonts w:cs="Arial"/>
          <w:iCs/>
          <w:sz w:val="18"/>
          <w:szCs w:val="18"/>
        </w:rPr>
        <w:t>lidstaatoptie</w:t>
      </w:r>
      <w:r>
        <w:rPr>
          <w:rFonts w:cs="Arial"/>
          <w:iCs/>
          <w:sz w:val="18"/>
          <w:szCs w:val="18"/>
        </w:rPr>
        <w:t>s</w:t>
      </w:r>
      <w:r w:rsidR="00224D12">
        <w:rPr>
          <w:rFonts w:cs="Arial"/>
          <w:iCs/>
          <w:sz w:val="18"/>
          <w:szCs w:val="18"/>
        </w:rPr>
        <w:t>. De</w:t>
      </w:r>
      <w:r>
        <w:rPr>
          <w:rFonts w:cs="Arial"/>
          <w:iCs/>
          <w:sz w:val="18"/>
          <w:szCs w:val="18"/>
        </w:rPr>
        <w:t xml:space="preserve"> eerste</w:t>
      </w:r>
      <w:r w:rsidR="00224D12">
        <w:rPr>
          <w:rFonts w:cs="Arial"/>
          <w:iCs/>
          <w:sz w:val="18"/>
          <w:szCs w:val="18"/>
        </w:rPr>
        <w:t xml:space="preserve"> lidstaatoptie</w:t>
      </w:r>
      <w:r>
        <w:rPr>
          <w:rStyle w:val="Voetnootmarkering"/>
          <w:rFonts w:cs="Arial"/>
          <w:iCs/>
          <w:sz w:val="18"/>
          <w:szCs w:val="18"/>
        </w:rPr>
        <w:footnoteReference w:id="48"/>
      </w:r>
      <w:r w:rsidR="00224D12">
        <w:rPr>
          <w:rFonts w:cs="Arial"/>
          <w:iCs/>
          <w:sz w:val="18"/>
          <w:szCs w:val="18"/>
        </w:rPr>
        <w:t xml:space="preserve"> ziet op het kunnen aanpassen van de modaliteiten van de last onder dwangsom</w:t>
      </w:r>
      <w:r w:rsidR="00B500BB">
        <w:rPr>
          <w:rFonts w:cs="Arial"/>
          <w:iCs/>
          <w:sz w:val="18"/>
          <w:szCs w:val="18"/>
        </w:rPr>
        <w:t xml:space="preserve">. </w:t>
      </w:r>
      <w:r>
        <w:rPr>
          <w:rFonts w:cs="Arial"/>
          <w:iCs/>
          <w:sz w:val="18"/>
          <w:szCs w:val="18"/>
        </w:rPr>
        <w:t>De CRD</w:t>
      </w:r>
      <w:r w:rsidR="00B500BB">
        <w:rPr>
          <w:rFonts w:cs="Arial"/>
          <w:iCs/>
          <w:sz w:val="18"/>
          <w:szCs w:val="18"/>
        </w:rPr>
        <w:t xml:space="preserve"> schrijft voor dat dwangsommen opgelegd kunnen worden per dag van de inbreuk, voor ten hoogste zes maanden, met een maximum per dag van 5% van de gemiddelde dagelijkse netto-omzet voor rechtspersonen of € 50.000 voor natuurlijke personen. De lidstaatoptie</w:t>
      </w:r>
      <w:r w:rsidR="006532DC">
        <w:rPr>
          <w:rFonts w:cs="Arial"/>
          <w:iCs/>
          <w:sz w:val="18"/>
          <w:szCs w:val="18"/>
        </w:rPr>
        <w:t xml:space="preserve"> </w:t>
      </w:r>
      <w:r w:rsidR="00B500BB">
        <w:rPr>
          <w:rFonts w:cs="Arial"/>
          <w:iCs/>
          <w:sz w:val="18"/>
          <w:szCs w:val="18"/>
        </w:rPr>
        <w:t>geeft lidstaten de ruimte om de modaliteiten van de dwangsommen aan te passen, door bijvoorbeeld ervoor te kiezen om de dwangsommen per week of per maand op te leggen.</w:t>
      </w:r>
      <w:r w:rsidR="006532DC">
        <w:rPr>
          <w:rFonts w:cs="Arial"/>
          <w:iCs/>
          <w:sz w:val="18"/>
          <w:szCs w:val="18"/>
        </w:rPr>
        <w:t xml:space="preserve"> Dit is </w:t>
      </w:r>
      <w:r>
        <w:rPr>
          <w:rFonts w:cs="Arial"/>
          <w:iCs/>
          <w:sz w:val="18"/>
          <w:szCs w:val="18"/>
        </w:rPr>
        <w:t xml:space="preserve">in Nederland </w:t>
      </w:r>
      <w:r w:rsidR="006532DC">
        <w:rPr>
          <w:rFonts w:cs="Arial"/>
          <w:iCs/>
          <w:sz w:val="18"/>
          <w:szCs w:val="18"/>
        </w:rPr>
        <w:t>reeds mogelijk op grond van de A</w:t>
      </w:r>
      <w:r w:rsidR="005F47B4">
        <w:rPr>
          <w:rFonts w:cs="Arial"/>
          <w:iCs/>
          <w:sz w:val="18"/>
          <w:szCs w:val="18"/>
        </w:rPr>
        <w:t>wb</w:t>
      </w:r>
      <w:r w:rsidR="00ED72E9">
        <w:rPr>
          <w:rStyle w:val="Voetnootmarkering"/>
          <w:rFonts w:cs="Arial"/>
          <w:iCs/>
          <w:sz w:val="18"/>
          <w:szCs w:val="18"/>
        </w:rPr>
        <w:footnoteReference w:id="49"/>
      </w:r>
      <w:r w:rsidR="006532DC">
        <w:rPr>
          <w:rFonts w:cs="Arial"/>
          <w:iCs/>
          <w:sz w:val="18"/>
          <w:szCs w:val="18"/>
        </w:rPr>
        <w:t xml:space="preserve"> waarbij de toezichthouder de tijdseenheid van de op te leggen last onder dwangsom kan bepalen. </w:t>
      </w:r>
      <w:r w:rsidR="00ED72E9">
        <w:rPr>
          <w:rFonts w:cs="Arial"/>
          <w:iCs/>
          <w:sz w:val="18"/>
          <w:szCs w:val="18"/>
        </w:rPr>
        <w:t>Er wordt daarom gebruik gemaakt van de lidstaatoptie zodat hiermee het bestaande kader omtrent dwangsommen in de Awb wordt behouden.</w:t>
      </w:r>
    </w:p>
    <w:p w:rsidR="006532DC" w:rsidP="00B500BB" w:rsidRDefault="006532DC" w14:paraId="3C3D58B9" w14:textId="77777777">
      <w:pPr>
        <w:widowControl w:val="0"/>
        <w:spacing w:line="240" w:lineRule="atLeast"/>
        <w:rPr>
          <w:rFonts w:cs="Arial"/>
          <w:iCs/>
          <w:sz w:val="18"/>
          <w:szCs w:val="18"/>
        </w:rPr>
      </w:pPr>
    </w:p>
    <w:p w:rsidR="006532DC" w:rsidP="00B500BB" w:rsidRDefault="006532DC" w14:paraId="673C907D" w14:textId="09B4CF35">
      <w:pPr>
        <w:widowControl w:val="0"/>
        <w:spacing w:line="240" w:lineRule="atLeast"/>
        <w:rPr>
          <w:rFonts w:cs="Arial"/>
          <w:iCs/>
          <w:sz w:val="18"/>
          <w:szCs w:val="18"/>
        </w:rPr>
      </w:pPr>
      <w:r>
        <w:rPr>
          <w:rFonts w:cs="Arial"/>
          <w:iCs/>
          <w:sz w:val="18"/>
          <w:szCs w:val="18"/>
        </w:rPr>
        <w:t xml:space="preserve">De </w:t>
      </w:r>
      <w:r w:rsidR="001F305A">
        <w:rPr>
          <w:rFonts w:cs="Arial"/>
          <w:iCs/>
          <w:sz w:val="18"/>
          <w:szCs w:val="18"/>
        </w:rPr>
        <w:t xml:space="preserve">tweede </w:t>
      </w:r>
      <w:r>
        <w:rPr>
          <w:rFonts w:cs="Arial"/>
          <w:iCs/>
          <w:sz w:val="18"/>
          <w:szCs w:val="18"/>
        </w:rPr>
        <w:t>lidstaatoptie</w:t>
      </w:r>
      <w:r w:rsidR="001F305A">
        <w:rPr>
          <w:rStyle w:val="Voetnootmarkering"/>
          <w:rFonts w:cs="Arial"/>
          <w:iCs/>
          <w:sz w:val="18"/>
          <w:szCs w:val="18"/>
        </w:rPr>
        <w:footnoteReference w:id="50"/>
      </w:r>
      <w:r>
        <w:rPr>
          <w:rFonts w:cs="Arial"/>
          <w:iCs/>
          <w:sz w:val="18"/>
          <w:szCs w:val="18"/>
        </w:rPr>
        <w:t xml:space="preserve"> </w:t>
      </w:r>
      <w:r w:rsidR="003C3DFD">
        <w:rPr>
          <w:rFonts w:cs="Arial"/>
          <w:iCs/>
          <w:sz w:val="18"/>
          <w:szCs w:val="18"/>
        </w:rPr>
        <w:t>ge</w:t>
      </w:r>
      <w:r w:rsidR="007B569D">
        <w:rPr>
          <w:rFonts w:cs="Arial"/>
          <w:iCs/>
          <w:sz w:val="18"/>
          <w:szCs w:val="18"/>
        </w:rPr>
        <w:t>eft</w:t>
      </w:r>
      <w:r w:rsidR="003C3DFD">
        <w:rPr>
          <w:rFonts w:cs="Arial"/>
          <w:iCs/>
          <w:sz w:val="18"/>
          <w:szCs w:val="18"/>
        </w:rPr>
        <w:t xml:space="preserve"> de mogelijkheid om een hoger maximumbedrag vast te stellen voor de bedragen van de dwangsommen die per dag van de inbreuk worden opgelegd.</w:t>
      </w:r>
      <w:r w:rsidR="00E44C52">
        <w:rPr>
          <w:rFonts w:cs="Arial"/>
          <w:iCs/>
          <w:sz w:val="18"/>
          <w:szCs w:val="18"/>
        </w:rPr>
        <w:t xml:space="preserve"> </w:t>
      </w:r>
      <w:r w:rsidR="008D0381">
        <w:rPr>
          <w:rFonts w:cs="Arial"/>
          <w:iCs/>
          <w:sz w:val="18"/>
          <w:szCs w:val="18"/>
        </w:rPr>
        <w:t>De maxima van de dwangsommen zijn in de richtlijn vastgesteld op 5% van de dagelijkse netto-omzet voor een rechtspersoon en € 50</w:t>
      </w:r>
      <w:r w:rsidR="00B627BD">
        <w:rPr>
          <w:rFonts w:cs="Arial"/>
          <w:iCs/>
          <w:sz w:val="18"/>
          <w:szCs w:val="18"/>
        </w:rPr>
        <w:t>.</w:t>
      </w:r>
      <w:r w:rsidR="008D0381">
        <w:rPr>
          <w:rFonts w:cs="Arial"/>
          <w:iCs/>
          <w:sz w:val="18"/>
          <w:szCs w:val="18"/>
        </w:rPr>
        <w:t>000,- voor een natuurlijk persoon. D</w:t>
      </w:r>
      <w:r w:rsidR="00ED72E9">
        <w:rPr>
          <w:rFonts w:cs="Arial"/>
          <w:iCs/>
          <w:sz w:val="18"/>
          <w:szCs w:val="18"/>
        </w:rPr>
        <w:t>ie maxima zijn</w:t>
      </w:r>
      <w:r w:rsidR="00CD16FC">
        <w:rPr>
          <w:rFonts w:cs="Arial"/>
          <w:iCs/>
          <w:sz w:val="18"/>
          <w:szCs w:val="18"/>
        </w:rPr>
        <w:t xml:space="preserve"> </w:t>
      </w:r>
      <w:r w:rsidR="008D0381">
        <w:rPr>
          <w:rFonts w:cs="Arial"/>
          <w:iCs/>
          <w:sz w:val="18"/>
          <w:szCs w:val="18"/>
        </w:rPr>
        <w:t xml:space="preserve">reeds </w:t>
      </w:r>
      <w:r w:rsidR="00ED72E9">
        <w:rPr>
          <w:rFonts w:cs="Arial"/>
          <w:iCs/>
          <w:sz w:val="18"/>
          <w:szCs w:val="18"/>
        </w:rPr>
        <w:t xml:space="preserve">forse </w:t>
      </w:r>
      <w:r w:rsidR="008D0381">
        <w:rPr>
          <w:rFonts w:cs="Arial"/>
          <w:iCs/>
          <w:sz w:val="18"/>
          <w:szCs w:val="18"/>
        </w:rPr>
        <w:t xml:space="preserve">bedragen, waardoor een verhoging van die maxima niet noodzakelijk is. </w:t>
      </w:r>
      <w:r w:rsidR="00397BF0">
        <w:rPr>
          <w:rFonts w:cs="Arial"/>
          <w:iCs/>
          <w:sz w:val="18"/>
          <w:szCs w:val="18"/>
        </w:rPr>
        <w:t>Bovendien schrijft de Wft en de Awb geen minimum- en maximumbedragen voor dwangsommen voor.</w:t>
      </w:r>
      <w:r w:rsidR="00771E3E">
        <w:rPr>
          <w:rFonts w:cs="Arial"/>
          <w:iCs/>
          <w:sz w:val="18"/>
          <w:szCs w:val="18"/>
        </w:rPr>
        <w:t xml:space="preserve"> Daarom wordt deze lidstaatoptie niet gebruikt.</w:t>
      </w:r>
    </w:p>
    <w:p w:rsidR="001E56AB" w:rsidP="001E56AB" w:rsidRDefault="00B500BB" w14:paraId="5833C92A" w14:textId="4564754C">
      <w:pPr>
        <w:widowControl w:val="0"/>
        <w:spacing w:line="240" w:lineRule="atLeast"/>
        <w:rPr>
          <w:rFonts w:cs="Arial"/>
          <w:i/>
          <w:sz w:val="18"/>
          <w:szCs w:val="18"/>
        </w:rPr>
      </w:pPr>
      <w:r>
        <w:rPr>
          <w:rFonts w:cs="Arial"/>
          <w:iCs/>
          <w:sz w:val="18"/>
          <w:szCs w:val="18"/>
        </w:rPr>
        <w:t xml:space="preserve"> </w:t>
      </w:r>
    </w:p>
    <w:p w:rsidR="001E56AB" w:rsidP="001E56AB" w:rsidRDefault="001E56AB" w14:paraId="55B93A21" w14:textId="1F286A28">
      <w:pPr>
        <w:widowControl w:val="0"/>
        <w:spacing w:line="240" w:lineRule="atLeast"/>
        <w:rPr>
          <w:rFonts w:cs="Arial"/>
          <w:i/>
          <w:sz w:val="18"/>
          <w:szCs w:val="18"/>
        </w:rPr>
      </w:pPr>
      <w:r w:rsidRPr="00D62F0B">
        <w:rPr>
          <w:rFonts w:cs="Arial"/>
          <w:i/>
          <w:sz w:val="18"/>
          <w:szCs w:val="18"/>
        </w:rPr>
        <w:t>§ 4.2.</w:t>
      </w:r>
      <w:r>
        <w:rPr>
          <w:rFonts w:cs="Arial"/>
          <w:i/>
          <w:sz w:val="18"/>
          <w:szCs w:val="18"/>
        </w:rPr>
        <w:t xml:space="preserve">4 Lidstaatoptie proportionaliteit </w:t>
      </w:r>
      <w:r w:rsidR="008939AA">
        <w:rPr>
          <w:rFonts w:cs="Arial"/>
          <w:i/>
          <w:sz w:val="18"/>
          <w:szCs w:val="18"/>
        </w:rPr>
        <w:t>strategieherziening</w:t>
      </w:r>
    </w:p>
    <w:p w:rsidRPr="0048607D" w:rsidR="00276ABE" w:rsidP="001E56AB" w:rsidRDefault="001D589E" w14:paraId="6F2F39DE" w14:textId="4EE33019">
      <w:pPr>
        <w:widowControl w:val="0"/>
        <w:spacing w:line="240" w:lineRule="atLeast"/>
        <w:rPr>
          <w:rFonts w:cs="Arial"/>
          <w:iCs/>
          <w:sz w:val="18"/>
          <w:szCs w:val="18"/>
        </w:rPr>
      </w:pPr>
      <w:r>
        <w:rPr>
          <w:rFonts w:cs="Arial"/>
          <w:iCs/>
          <w:sz w:val="18"/>
          <w:szCs w:val="18"/>
        </w:rPr>
        <w:t>Voor de behandeling van risico’s dienen banken strategieën en richtlijn</w:t>
      </w:r>
      <w:r w:rsidR="00B627BD">
        <w:rPr>
          <w:rFonts w:cs="Arial"/>
          <w:iCs/>
          <w:sz w:val="18"/>
          <w:szCs w:val="18"/>
        </w:rPr>
        <w:t>en</w:t>
      </w:r>
      <w:r>
        <w:rPr>
          <w:rFonts w:cs="Arial"/>
          <w:iCs/>
          <w:sz w:val="18"/>
          <w:szCs w:val="18"/>
        </w:rPr>
        <w:t xml:space="preserve"> op te stellen </w:t>
      </w:r>
      <w:r w:rsidRPr="001D589E">
        <w:rPr>
          <w:rFonts w:cs="Arial"/>
          <w:iCs/>
          <w:sz w:val="18"/>
          <w:szCs w:val="18"/>
        </w:rPr>
        <w:t xml:space="preserve">voor het aangaan, beheren, bewaken en limiteren van de risico’s waaraan de </w:t>
      </w:r>
      <w:r>
        <w:rPr>
          <w:rFonts w:cs="Arial"/>
          <w:iCs/>
          <w:sz w:val="18"/>
          <w:szCs w:val="18"/>
        </w:rPr>
        <w:t xml:space="preserve">bank blootgesteld kan worden. </w:t>
      </w:r>
      <w:r w:rsidR="00397BF0">
        <w:rPr>
          <w:rFonts w:cs="Arial"/>
          <w:iCs/>
          <w:sz w:val="18"/>
          <w:szCs w:val="18"/>
        </w:rPr>
        <w:t>Reguliere banken moeten ten minste eenmaal per twee jaar deze strategieën en richtlijn</w:t>
      </w:r>
      <w:r w:rsidR="00B627BD">
        <w:rPr>
          <w:rFonts w:cs="Arial"/>
          <w:iCs/>
          <w:sz w:val="18"/>
          <w:szCs w:val="18"/>
        </w:rPr>
        <w:t>en</w:t>
      </w:r>
      <w:r w:rsidR="00397BF0">
        <w:rPr>
          <w:rFonts w:cs="Arial"/>
          <w:iCs/>
          <w:sz w:val="18"/>
          <w:szCs w:val="18"/>
        </w:rPr>
        <w:t xml:space="preserve"> herzien.</w:t>
      </w:r>
      <w:r w:rsidR="00297F32">
        <w:rPr>
          <w:rStyle w:val="Voetnootmarkering"/>
          <w:rFonts w:cs="Arial"/>
          <w:iCs/>
          <w:sz w:val="18"/>
          <w:szCs w:val="18"/>
        </w:rPr>
        <w:footnoteReference w:id="51"/>
      </w:r>
      <w:r w:rsidR="00397BF0">
        <w:rPr>
          <w:rFonts w:cs="Arial"/>
          <w:iCs/>
          <w:sz w:val="18"/>
          <w:szCs w:val="18"/>
        </w:rPr>
        <w:t xml:space="preserve"> Dit zou ook vastgesteld kunnen worden op vaker. </w:t>
      </w:r>
      <w:r>
        <w:rPr>
          <w:rFonts w:cs="Arial"/>
          <w:iCs/>
          <w:sz w:val="18"/>
          <w:szCs w:val="18"/>
        </w:rPr>
        <w:t xml:space="preserve">In de </w:t>
      </w:r>
      <w:r w:rsidR="0048607D">
        <w:rPr>
          <w:rFonts w:cs="Arial"/>
          <w:iCs/>
          <w:sz w:val="18"/>
          <w:szCs w:val="18"/>
        </w:rPr>
        <w:t>CRD</w:t>
      </w:r>
      <w:r w:rsidR="00C10107">
        <w:rPr>
          <w:rFonts w:cs="Arial"/>
          <w:iCs/>
          <w:sz w:val="18"/>
          <w:szCs w:val="18"/>
        </w:rPr>
        <w:t xml:space="preserve"> is </w:t>
      </w:r>
      <w:r>
        <w:rPr>
          <w:rFonts w:cs="Arial"/>
          <w:iCs/>
          <w:sz w:val="18"/>
          <w:szCs w:val="18"/>
        </w:rPr>
        <w:t xml:space="preserve">de mogelijkheid </w:t>
      </w:r>
      <w:r w:rsidR="00C10107">
        <w:rPr>
          <w:rFonts w:cs="Arial"/>
          <w:iCs/>
          <w:sz w:val="18"/>
          <w:szCs w:val="18"/>
        </w:rPr>
        <w:t>toegevoegd om, rekening houdend met het evenredigheidsbeginsel, kleine en niet-complexe banken toe</w:t>
      </w:r>
      <w:r w:rsidR="007E7A08">
        <w:rPr>
          <w:rFonts w:cs="Arial"/>
          <w:iCs/>
          <w:sz w:val="18"/>
          <w:szCs w:val="18"/>
        </w:rPr>
        <w:t xml:space="preserve"> te </w:t>
      </w:r>
      <w:r w:rsidR="00C10107">
        <w:rPr>
          <w:rFonts w:cs="Arial"/>
          <w:iCs/>
          <w:sz w:val="18"/>
          <w:szCs w:val="18"/>
        </w:rPr>
        <w:t>staan dat zij om de twee jaar de strategieën en richtlijnen herzien.</w:t>
      </w:r>
      <w:r w:rsidR="00297F32">
        <w:rPr>
          <w:rStyle w:val="Voetnootmarkering"/>
          <w:rFonts w:cs="Arial"/>
          <w:iCs/>
          <w:sz w:val="18"/>
          <w:szCs w:val="18"/>
        </w:rPr>
        <w:footnoteReference w:id="52"/>
      </w:r>
      <w:r w:rsidR="00C10107">
        <w:rPr>
          <w:rFonts w:cs="Arial"/>
          <w:iCs/>
          <w:sz w:val="18"/>
          <w:szCs w:val="18"/>
        </w:rPr>
        <w:t xml:space="preserve"> </w:t>
      </w:r>
      <w:r w:rsidR="00397BF0">
        <w:rPr>
          <w:rFonts w:cs="Arial"/>
          <w:iCs/>
          <w:sz w:val="18"/>
          <w:szCs w:val="18"/>
        </w:rPr>
        <w:t>Deze bepalingen worden zo lastenluw mogelijk geïmplementeer</w:t>
      </w:r>
      <w:r w:rsidR="00B3177C">
        <w:rPr>
          <w:rFonts w:cs="Arial"/>
          <w:iCs/>
          <w:sz w:val="18"/>
          <w:szCs w:val="18"/>
        </w:rPr>
        <w:t xml:space="preserve">d. </w:t>
      </w:r>
      <w:r w:rsidR="00397BF0">
        <w:rPr>
          <w:rFonts w:cs="Arial"/>
          <w:iCs/>
          <w:sz w:val="18"/>
          <w:szCs w:val="18"/>
        </w:rPr>
        <w:t>Niet alleen kleine en niet-complexe banken hoeven deze strategieën en richtlijnen maar eenmaal per twee jaar te herzien, ook grote banken worden aan de termijn van twee jaar gebonden</w:t>
      </w:r>
      <w:r w:rsidR="00B627BD">
        <w:rPr>
          <w:rFonts w:cs="Arial"/>
          <w:iCs/>
          <w:sz w:val="18"/>
          <w:szCs w:val="18"/>
        </w:rPr>
        <w:t>,</w:t>
      </w:r>
      <w:r w:rsidR="00397BF0">
        <w:rPr>
          <w:rFonts w:cs="Arial"/>
          <w:iCs/>
          <w:sz w:val="18"/>
          <w:szCs w:val="18"/>
        </w:rPr>
        <w:t xml:space="preserve"> in plaats </w:t>
      </w:r>
      <w:r w:rsidR="00B3177C">
        <w:rPr>
          <w:rFonts w:cs="Arial"/>
          <w:iCs/>
          <w:sz w:val="18"/>
          <w:szCs w:val="18"/>
        </w:rPr>
        <w:t>een kortere termijn (zoals jaarlijks) te kiezen</w:t>
      </w:r>
      <w:r w:rsidR="00397BF0">
        <w:rPr>
          <w:rFonts w:cs="Arial"/>
          <w:iCs/>
          <w:sz w:val="18"/>
          <w:szCs w:val="18"/>
        </w:rPr>
        <w:t xml:space="preserve">. </w:t>
      </w:r>
    </w:p>
    <w:p w:rsidR="001E56AB" w:rsidP="001E56AB" w:rsidRDefault="001E56AB" w14:paraId="3DF7F714" w14:textId="77777777">
      <w:pPr>
        <w:widowControl w:val="0"/>
        <w:spacing w:line="240" w:lineRule="atLeast"/>
        <w:rPr>
          <w:rFonts w:cs="Arial"/>
          <w:i/>
          <w:sz w:val="18"/>
          <w:szCs w:val="18"/>
        </w:rPr>
      </w:pPr>
    </w:p>
    <w:p w:rsidR="001E56AB" w:rsidP="001E56AB" w:rsidRDefault="001E56AB" w14:paraId="6CCE941A" w14:textId="0B7ABE59">
      <w:pPr>
        <w:widowControl w:val="0"/>
        <w:spacing w:line="240" w:lineRule="atLeast"/>
        <w:rPr>
          <w:rFonts w:cs="Arial"/>
          <w:i/>
          <w:sz w:val="18"/>
          <w:szCs w:val="18"/>
        </w:rPr>
      </w:pPr>
      <w:r w:rsidRPr="00D62F0B">
        <w:rPr>
          <w:rFonts w:cs="Arial"/>
          <w:i/>
          <w:sz w:val="18"/>
          <w:szCs w:val="18"/>
        </w:rPr>
        <w:t>§ 4.2.5 Lidstaatoptie ex-post assessment geschik</w:t>
      </w:r>
      <w:r>
        <w:rPr>
          <w:rFonts w:cs="Arial"/>
          <w:i/>
          <w:sz w:val="18"/>
          <w:szCs w:val="18"/>
        </w:rPr>
        <w:t>theid</w:t>
      </w:r>
    </w:p>
    <w:p w:rsidR="008939AA" w:rsidP="008939AA" w:rsidRDefault="008939AA" w14:paraId="59AB8512" w14:textId="078C64C9">
      <w:pPr>
        <w:widowControl w:val="0"/>
        <w:spacing w:line="240" w:lineRule="atLeast"/>
        <w:rPr>
          <w:rFonts w:cs="Arial"/>
          <w:iCs/>
          <w:sz w:val="18"/>
          <w:szCs w:val="18"/>
        </w:rPr>
      </w:pPr>
      <w:r>
        <w:rPr>
          <w:rFonts w:cs="Arial"/>
          <w:iCs/>
          <w:sz w:val="18"/>
          <w:szCs w:val="18"/>
        </w:rPr>
        <w:t xml:space="preserve">In </w:t>
      </w:r>
      <w:r w:rsidR="00A86034">
        <w:rPr>
          <w:rFonts w:cs="Arial"/>
          <w:iCs/>
          <w:sz w:val="18"/>
          <w:szCs w:val="18"/>
        </w:rPr>
        <w:t>het artikel over geschiktheid en betrouwbaarheid</w:t>
      </w:r>
      <w:r>
        <w:rPr>
          <w:rFonts w:cs="Arial"/>
          <w:iCs/>
          <w:sz w:val="18"/>
          <w:szCs w:val="18"/>
        </w:rPr>
        <w:t xml:space="preserve"> is een lidstaatoptie opgenomen</w:t>
      </w:r>
      <w:r w:rsidR="00297F32">
        <w:rPr>
          <w:rStyle w:val="Voetnootmarkering"/>
          <w:rFonts w:cs="Arial"/>
          <w:iCs/>
          <w:sz w:val="18"/>
          <w:szCs w:val="18"/>
        </w:rPr>
        <w:footnoteReference w:id="53"/>
      </w:r>
      <w:r>
        <w:rPr>
          <w:rFonts w:cs="Arial"/>
          <w:iCs/>
          <w:sz w:val="18"/>
          <w:szCs w:val="18"/>
        </w:rPr>
        <w:t xml:space="preserve"> om, bij wijze van uitzondering, de geschiktheid- en betrouwbaarheidstoets uit te voeren nadat nieuw benoemde leden </w:t>
      </w:r>
      <w:r w:rsidR="00B627BD">
        <w:rPr>
          <w:rFonts w:cs="Arial"/>
          <w:iCs/>
          <w:sz w:val="18"/>
          <w:szCs w:val="18"/>
        </w:rPr>
        <w:t xml:space="preserve">van het leidinggevend orgaan van een bank of beleggingsonderneming </w:t>
      </w:r>
      <w:r>
        <w:rPr>
          <w:rFonts w:cs="Arial"/>
          <w:iCs/>
          <w:sz w:val="18"/>
          <w:szCs w:val="18"/>
        </w:rPr>
        <w:t>in functie zijn getreden</w:t>
      </w:r>
      <w:r w:rsidR="00B627BD">
        <w:rPr>
          <w:rFonts w:cs="Arial"/>
          <w:iCs/>
          <w:sz w:val="18"/>
          <w:szCs w:val="18"/>
        </w:rPr>
        <w:t>. Die mogelijk</w:t>
      </w:r>
      <w:r w:rsidR="00B627BD">
        <w:rPr>
          <w:rFonts w:cs="Arial"/>
          <w:iCs/>
          <w:sz w:val="18"/>
          <w:szCs w:val="18"/>
        </w:rPr>
        <w:lastRenderedPageBreak/>
        <w:t>heid bestaat</w:t>
      </w:r>
      <w:r>
        <w:rPr>
          <w:rFonts w:cs="Arial"/>
          <w:iCs/>
          <w:sz w:val="18"/>
          <w:szCs w:val="18"/>
        </w:rPr>
        <w:t xml:space="preserve"> in geval de meerderheid van de leden van het leidinggevend orgaan van een instelling tegelijkertijd vervangen moet worden door nieuw benoemde leden. In Nederland wordt de geschiktheid- en betrouwbaarheidstoets </w:t>
      </w:r>
      <w:r w:rsidR="00470ED7">
        <w:rPr>
          <w:rFonts w:cs="Arial"/>
          <w:iCs/>
          <w:sz w:val="18"/>
          <w:szCs w:val="18"/>
        </w:rPr>
        <w:t xml:space="preserve">door de toezichthouder </w:t>
      </w:r>
      <w:r>
        <w:rPr>
          <w:rFonts w:cs="Arial"/>
          <w:iCs/>
          <w:sz w:val="18"/>
          <w:szCs w:val="18"/>
        </w:rPr>
        <w:t xml:space="preserve">altijd voorafgaand aan de benoeming van nieuwe leden van het leidinggevend orgaan uitgevoerd, ongeacht of het aantal van de leden dat vervangen wordt. Deze staande praktijk </w:t>
      </w:r>
      <w:r w:rsidR="00470ED7">
        <w:rPr>
          <w:rFonts w:cs="Arial"/>
          <w:iCs/>
          <w:sz w:val="18"/>
          <w:szCs w:val="18"/>
        </w:rPr>
        <w:t>wordt</w:t>
      </w:r>
      <w:r>
        <w:rPr>
          <w:rFonts w:cs="Arial"/>
          <w:iCs/>
          <w:sz w:val="18"/>
          <w:szCs w:val="18"/>
        </w:rPr>
        <w:t xml:space="preserve"> niet gewijzigd</w:t>
      </w:r>
      <w:r w:rsidR="00B627BD">
        <w:rPr>
          <w:rFonts w:cs="Arial"/>
          <w:iCs/>
          <w:sz w:val="18"/>
          <w:szCs w:val="18"/>
        </w:rPr>
        <w:t xml:space="preserve">, </w:t>
      </w:r>
      <w:r w:rsidR="00771E3E">
        <w:rPr>
          <w:rFonts w:cs="Arial"/>
          <w:iCs/>
          <w:sz w:val="18"/>
          <w:szCs w:val="18"/>
        </w:rPr>
        <w:t>waardoor</w:t>
      </w:r>
      <w:r w:rsidR="00B627BD">
        <w:rPr>
          <w:rFonts w:cs="Arial"/>
          <w:iCs/>
          <w:sz w:val="18"/>
          <w:szCs w:val="18"/>
        </w:rPr>
        <w:t xml:space="preserve"> van deze lidstaatoptie geen gebruik wordt gemaakt</w:t>
      </w:r>
      <w:r>
        <w:rPr>
          <w:rFonts w:cs="Arial"/>
          <w:iCs/>
          <w:sz w:val="18"/>
          <w:szCs w:val="18"/>
        </w:rPr>
        <w:t>.</w:t>
      </w:r>
      <w:r w:rsidR="00630CEC">
        <w:rPr>
          <w:rFonts w:cs="Arial"/>
          <w:iCs/>
          <w:sz w:val="18"/>
          <w:szCs w:val="18"/>
        </w:rPr>
        <w:t xml:space="preserve"> </w:t>
      </w:r>
    </w:p>
    <w:p w:rsidRPr="00D62F0B" w:rsidR="00276ABE" w:rsidP="001E56AB" w:rsidRDefault="00276ABE" w14:paraId="0A9325AE" w14:textId="77777777">
      <w:pPr>
        <w:widowControl w:val="0"/>
        <w:spacing w:line="240" w:lineRule="atLeast"/>
        <w:rPr>
          <w:rFonts w:cs="Arial"/>
          <w:iCs/>
          <w:sz w:val="18"/>
          <w:szCs w:val="18"/>
        </w:rPr>
      </w:pPr>
    </w:p>
    <w:p w:rsidR="001E56AB" w:rsidP="001E56AB" w:rsidRDefault="001E56AB" w14:paraId="07FEE987" w14:textId="4DED7DB6">
      <w:pPr>
        <w:widowControl w:val="0"/>
        <w:spacing w:line="240" w:lineRule="atLeast"/>
        <w:rPr>
          <w:rFonts w:cs="Arial"/>
          <w:i/>
          <w:sz w:val="18"/>
          <w:szCs w:val="18"/>
        </w:rPr>
      </w:pPr>
      <w:r w:rsidRPr="00BD04E1">
        <w:rPr>
          <w:rFonts w:cs="Arial"/>
          <w:i/>
          <w:sz w:val="18"/>
          <w:szCs w:val="18"/>
        </w:rPr>
        <w:t xml:space="preserve">§ </w:t>
      </w:r>
      <w:r>
        <w:rPr>
          <w:rFonts w:cs="Arial"/>
          <w:i/>
          <w:sz w:val="18"/>
          <w:szCs w:val="18"/>
        </w:rPr>
        <w:t>5</w:t>
      </w:r>
      <w:r w:rsidRPr="00BD04E1">
        <w:rPr>
          <w:rFonts w:cs="Arial"/>
          <w:i/>
          <w:sz w:val="18"/>
          <w:szCs w:val="18"/>
        </w:rPr>
        <w:t xml:space="preserve">. </w:t>
      </w:r>
      <w:r w:rsidR="006F2489">
        <w:rPr>
          <w:rFonts w:cs="Arial"/>
          <w:i/>
          <w:sz w:val="18"/>
          <w:szCs w:val="18"/>
        </w:rPr>
        <w:t>G</w:t>
      </w:r>
      <w:r>
        <w:rPr>
          <w:rFonts w:cs="Arial"/>
          <w:i/>
          <w:sz w:val="18"/>
          <w:szCs w:val="18"/>
        </w:rPr>
        <w:t xml:space="preserve">evolgen </w:t>
      </w:r>
    </w:p>
    <w:p w:rsidR="005F08F3" w:rsidP="005F08F3" w:rsidRDefault="00B944B1" w14:paraId="37B33A7B" w14:textId="0503653C">
      <w:pPr>
        <w:widowControl w:val="0"/>
        <w:spacing w:line="240" w:lineRule="atLeast"/>
        <w:rPr>
          <w:rFonts w:cs="Arial"/>
          <w:iCs/>
          <w:sz w:val="18"/>
          <w:szCs w:val="18"/>
        </w:rPr>
      </w:pPr>
      <w:r>
        <w:rPr>
          <w:rFonts w:cs="Arial"/>
          <w:iCs/>
          <w:sz w:val="18"/>
          <w:szCs w:val="18"/>
        </w:rPr>
        <w:t>In deze paragraaf worden de gevolgen van het wetsvoorstel besproken.</w:t>
      </w:r>
      <w:r w:rsidR="00BB7E80">
        <w:rPr>
          <w:rFonts w:cs="Arial"/>
          <w:iCs/>
          <w:sz w:val="18"/>
          <w:szCs w:val="18"/>
        </w:rPr>
        <w:t xml:space="preserve"> Hierbij wordt allereerst stilgestaan bij de regeldruk van het wetsvoorstel. Daarnaast wordt kort stilgestaan bij de lastenluwe implementatie van de richtlijn.</w:t>
      </w:r>
      <w:r w:rsidR="00B92C61">
        <w:rPr>
          <w:rFonts w:cs="Arial"/>
          <w:iCs/>
          <w:sz w:val="18"/>
          <w:szCs w:val="18"/>
        </w:rPr>
        <w:t xml:space="preserve"> </w:t>
      </w:r>
      <w:r w:rsidR="005F08F3">
        <w:rPr>
          <w:rFonts w:cs="Arial"/>
          <w:iCs/>
          <w:sz w:val="18"/>
          <w:szCs w:val="18"/>
        </w:rPr>
        <w:t>Vervolgens</w:t>
      </w:r>
      <w:r w:rsidR="00B92C61">
        <w:rPr>
          <w:rFonts w:cs="Arial"/>
          <w:iCs/>
          <w:sz w:val="18"/>
          <w:szCs w:val="18"/>
        </w:rPr>
        <w:t xml:space="preserve"> wordt het advies van het Adviescollege toetsing regeldruk (ATR) besproken.</w:t>
      </w:r>
      <w:r w:rsidR="005F08F3">
        <w:rPr>
          <w:rFonts w:cs="Arial"/>
          <w:iCs/>
          <w:sz w:val="18"/>
          <w:szCs w:val="18"/>
        </w:rPr>
        <w:t xml:space="preserve"> </w:t>
      </w:r>
    </w:p>
    <w:p w:rsidR="005F08F3" w:rsidP="005F08F3" w:rsidRDefault="005F08F3" w14:paraId="78D86DD0" w14:textId="77777777">
      <w:pPr>
        <w:widowControl w:val="0"/>
        <w:spacing w:line="240" w:lineRule="atLeast"/>
        <w:rPr>
          <w:rFonts w:cs="Arial"/>
          <w:i/>
          <w:sz w:val="18"/>
          <w:szCs w:val="18"/>
        </w:rPr>
      </w:pPr>
    </w:p>
    <w:p w:rsidRPr="00B944B1" w:rsidR="001E56AB" w:rsidP="005F08F3" w:rsidRDefault="005F08F3" w14:paraId="59518668" w14:textId="71D75C65">
      <w:pPr>
        <w:widowControl w:val="0"/>
        <w:spacing w:line="240" w:lineRule="atLeast"/>
        <w:rPr>
          <w:rFonts w:cs="Arial"/>
          <w:iCs/>
          <w:sz w:val="18"/>
          <w:szCs w:val="18"/>
        </w:rPr>
      </w:pPr>
      <w:r>
        <w:rPr>
          <w:rFonts w:cs="Arial"/>
          <w:iCs/>
          <w:sz w:val="18"/>
          <w:szCs w:val="18"/>
        </w:rPr>
        <w:t>Dit voorstel heeft geen gevolgen voor de rijksbegroting nu de kosten voor het prudentieel toezicht door de financiële sector zelf wordt betaald.</w:t>
      </w:r>
      <w:r>
        <w:rPr>
          <w:rStyle w:val="Voetnootmarkering"/>
          <w:rFonts w:cs="Arial"/>
          <w:iCs/>
          <w:sz w:val="18"/>
          <w:szCs w:val="18"/>
        </w:rPr>
        <w:footnoteReference w:id="54"/>
      </w:r>
    </w:p>
    <w:p w:rsidR="00B944B1" w:rsidP="001E56AB" w:rsidRDefault="00B944B1" w14:paraId="439D53BF" w14:textId="77777777">
      <w:pPr>
        <w:widowControl w:val="0"/>
        <w:spacing w:line="240" w:lineRule="atLeast"/>
        <w:rPr>
          <w:rFonts w:cs="Arial"/>
          <w:i/>
          <w:sz w:val="18"/>
          <w:szCs w:val="18"/>
        </w:rPr>
      </w:pPr>
    </w:p>
    <w:p w:rsidRPr="00B944B1" w:rsidR="006F2489" w:rsidP="001E56AB" w:rsidRDefault="00B944B1" w14:paraId="3812EEAA" w14:textId="0CC53566">
      <w:pPr>
        <w:widowControl w:val="0"/>
        <w:spacing w:line="240" w:lineRule="atLeast"/>
        <w:rPr>
          <w:rFonts w:cs="Arial"/>
          <w:i/>
          <w:sz w:val="18"/>
          <w:szCs w:val="18"/>
        </w:rPr>
      </w:pPr>
      <w:r w:rsidRPr="00B944B1">
        <w:rPr>
          <w:rFonts w:cs="Arial"/>
          <w:i/>
          <w:sz w:val="18"/>
          <w:szCs w:val="18"/>
        </w:rPr>
        <w:t xml:space="preserve">§ 5.1 </w:t>
      </w:r>
      <w:r w:rsidRPr="00B944B1" w:rsidR="006F2489">
        <w:rPr>
          <w:rFonts w:cs="Arial"/>
          <w:i/>
          <w:sz w:val="18"/>
          <w:szCs w:val="18"/>
        </w:rPr>
        <w:t>Regeldruk</w:t>
      </w:r>
    </w:p>
    <w:p w:rsidR="0048607D" w:rsidP="0048607D" w:rsidRDefault="0048607D" w14:paraId="3A56E5E7" w14:textId="77777777">
      <w:pPr>
        <w:widowControl w:val="0"/>
        <w:spacing w:line="240" w:lineRule="atLeast"/>
        <w:rPr>
          <w:rFonts w:cs="Arial"/>
          <w:iCs/>
          <w:sz w:val="18"/>
          <w:szCs w:val="18"/>
        </w:rPr>
      </w:pPr>
      <w:r w:rsidRPr="001661D3">
        <w:rPr>
          <w:rFonts w:cs="Arial"/>
          <w:iCs/>
          <w:sz w:val="18"/>
          <w:szCs w:val="18"/>
        </w:rPr>
        <w:t>a. systematiek</w:t>
      </w:r>
    </w:p>
    <w:p w:rsidRPr="001661D3" w:rsidR="0048607D" w:rsidP="0048607D" w:rsidRDefault="0048607D" w14:paraId="32BEA3D0" w14:textId="77777777">
      <w:pPr>
        <w:widowControl w:val="0"/>
        <w:spacing w:line="240" w:lineRule="atLeast"/>
        <w:rPr>
          <w:rFonts w:cs="Arial"/>
          <w:iCs/>
          <w:sz w:val="18"/>
          <w:szCs w:val="18"/>
        </w:rPr>
      </w:pPr>
      <w:r w:rsidRPr="001661D3">
        <w:rPr>
          <w:rFonts w:cs="Arial"/>
          <w:iCs/>
          <w:sz w:val="18"/>
          <w:szCs w:val="18"/>
        </w:rPr>
        <w:t xml:space="preserve"> </w:t>
      </w:r>
    </w:p>
    <w:p w:rsidRPr="0048607D" w:rsidR="0048607D" w:rsidP="0048607D" w:rsidRDefault="0048607D" w14:paraId="569F34AF" w14:textId="77777777">
      <w:pPr>
        <w:widowControl w:val="0"/>
        <w:spacing w:line="240" w:lineRule="atLeast"/>
        <w:rPr>
          <w:rFonts w:cs="Arial"/>
          <w:iCs/>
          <w:sz w:val="18"/>
          <w:szCs w:val="18"/>
        </w:rPr>
      </w:pPr>
      <w:r w:rsidRPr="0048607D">
        <w:rPr>
          <w:rFonts w:cs="Arial"/>
          <w:iCs/>
          <w:sz w:val="18"/>
          <w:szCs w:val="18"/>
        </w:rPr>
        <w:t xml:space="preserve">In deze paragraaf wordt ingegaan op de regeldrukeffecten als gevolg van </w:t>
      </w:r>
    </w:p>
    <w:p w:rsidR="0048607D" w:rsidP="0048607D" w:rsidRDefault="0048607D" w14:paraId="1DF76A02" w14:textId="2FF9EBBC">
      <w:pPr>
        <w:widowControl w:val="0"/>
        <w:spacing w:line="240" w:lineRule="atLeast"/>
        <w:rPr>
          <w:rFonts w:cs="Arial"/>
          <w:iCs/>
          <w:sz w:val="18"/>
          <w:szCs w:val="18"/>
        </w:rPr>
      </w:pPr>
      <w:r w:rsidRPr="0048607D">
        <w:rPr>
          <w:rFonts w:cs="Arial"/>
          <w:iCs/>
          <w:sz w:val="18"/>
          <w:szCs w:val="18"/>
        </w:rPr>
        <w:t xml:space="preserve">de implementatie van de </w:t>
      </w:r>
      <w:r>
        <w:rPr>
          <w:rFonts w:cs="Arial"/>
          <w:iCs/>
          <w:sz w:val="18"/>
          <w:szCs w:val="18"/>
        </w:rPr>
        <w:t>richtlijn</w:t>
      </w:r>
      <w:r w:rsidRPr="0048607D">
        <w:rPr>
          <w:rFonts w:cs="Arial"/>
          <w:iCs/>
          <w:sz w:val="18"/>
          <w:szCs w:val="18"/>
        </w:rPr>
        <w:t xml:space="preserve">. </w:t>
      </w:r>
      <w:r w:rsidRPr="001661D3" w:rsidR="001661D3">
        <w:rPr>
          <w:rFonts w:cs="Arial"/>
          <w:iCs/>
          <w:sz w:val="18"/>
          <w:szCs w:val="18"/>
        </w:rPr>
        <w:t>Regeldrukeffecten zijn de investeringen en inspanningen die bedrijven moeten verrichten om zich aan wet- en regelgeving van de overheid te houden</w:t>
      </w:r>
      <w:r w:rsidR="001661D3">
        <w:rPr>
          <w:rFonts w:cs="Arial"/>
          <w:iCs/>
          <w:sz w:val="18"/>
          <w:szCs w:val="18"/>
        </w:rPr>
        <w:t>.</w:t>
      </w:r>
      <w:r w:rsidRPr="0048607D" w:rsidR="001661D3">
        <w:rPr>
          <w:rFonts w:cs="Arial"/>
          <w:iCs/>
          <w:sz w:val="18"/>
          <w:szCs w:val="18"/>
        </w:rPr>
        <w:t xml:space="preserve"> </w:t>
      </w:r>
      <w:r w:rsidRPr="0048607D">
        <w:rPr>
          <w:rFonts w:cs="Arial"/>
          <w:iCs/>
          <w:sz w:val="18"/>
          <w:szCs w:val="18"/>
        </w:rPr>
        <w:t xml:space="preserve">De </w:t>
      </w:r>
      <w:r>
        <w:rPr>
          <w:rFonts w:cs="Arial"/>
          <w:iCs/>
          <w:sz w:val="18"/>
          <w:szCs w:val="18"/>
        </w:rPr>
        <w:t>regeldruk</w:t>
      </w:r>
      <w:r w:rsidRPr="0048607D">
        <w:rPr>
          <w:rFonts w:cs="Arial"/>
          <w:iCs/>
          <w:sz w:val="18"/>
          <w:szCs w:val="18"/>
        </w:rPr>
        <w:t xml:space="preserve">effecten </w:t>
      </w:r>
      <w:r w:rsidR="001661D3">
        <w:rPr>
          <w:rFonts w:cs="Arial"/>
          <w:iCs/>
          <w:sz w:val="18"/>
          <w:szCs w:val="18"/>
        </w:rPr>
        <w:t>worden in kaart gebracht</w:t>
      </w:r>
      <w:r w:rsidRPr="0048607D">
        <w:rPr>
          <w:rFonts w:cs="Arial"/>
          <w:iCs/>
          <w:sz w:val="18"/>
          <w:szCs w:val="18"/>
        </w:rPr>
        <w:t xml:space="preserve"> op basis van de systematiek uit het Handboek meting regeldrukkosten (verder: handboek).</w:t>
      </w:r>
      <w:r>
        <w:rPr>
          <w:rStyle w:val="Voetnootmarkering"/>
          <w:rFonts w:cs="Arial"/>
          <w:iCs/>
          <w:sz w:val="18"/>
          <w:szCs w:val="18"/>
        </w:rPr>
        <w:footnoteReference w:id="55"/>
      </w:r>
      <w:r w:rsidRPr="0048607D">
        <w:rPr>
          <w:rFonts w:cs="Arial"/>
          <w:iCs/>
          <w:sz w:val="18"/>
          <w:szCs w:val="18"/>
        </w:rPr>
        <w:t xml:space="preserve"> De regeldrukeffecten van de </w:t>
      </w:r>
      <w:r w:rsidR="001661D3">
        <w:rPr>
          <w:rFonts w:cs="Arial"/>
          <w:iCs/>
          <w:sz w:val="18"/>
          <w:szCs w:val="18"/>
        </w:rPr>
        <w:t>CRR</w:t>
      </w:r>
      <w:r w:rsidRPr="0048607D">
        <w:rPr>
          <w:rFonts w:cs="Arial"/>
          <w:iCs/>
          <w:sz w:val="18"/>
          <w:szCs w:val="18"/>
        </w:rPr>
        <w:t xml:space="preserve"> worden niet</w:t>
      </w:r>
      <w:r>
        <w:rPr>
          <w:rFonts w:cs="Arial"/>
          <w:iCs/>
          <w:sz w:val="18"/>
          <w:szCs w:val="18"/>
        </w:rPr>
        <w:t xml:space="preserve"> </w:t>
      </w:r>
      <w:r w:rsidRPr="00F7143B">
        <w:rPr>
          <w:rFonts w:cs="Arial"/>
          <w:iCs/>
          <w:sz w:val="18"/>
          <w:szCs w:val="18"/>
        </w:rPr>
        <w:t xml:space="preserve">meegenomen omdat de </w:t>
      </w:r>
      <w:r w:rsidR="001661D3">
        <w:rPr>
          <w:rFonts w:cs="Arial"/>
          <w:iCs/>
          <w:sz w:val="18"/>
          <w:szCs w:val="18"/>
        </w:rPr>
        <w:t>CRR</w:t>
      </w:r>
      <w:r w:rsidRPr="00F7143B">
        <w:rPr>
          <w:rFonts w:cs="Arial"/>
          <w:iCs/>
          <w:sz w:val="18"/>
          <w:szCs w:val="18"/>
        </w:rPr>
        <w:t xml:space="preserve"> rechtstreeks werkt</w:t>
      </w:r>
      <w:r w:rsidR="007166C6">
        <w:rPr>
          <w:rFonts w:cs="Arial"/>
          <w:iCs/>
          <w:sz w:val="18"/>
          <w:szCs w:val="18"/>
        </w:rPr>
        <w:t xml:space="preserve"> en niet omgezet wordt in Nederlandse wetgeving.</w:t>
      </w:r>
      <w:r w:rsidRPr="00F7143B">
        <w:rPr>
          <w:rFonts w:cs="Arial"/>
          <w:iCs/>
          <w:sz w:val="18"/>
          <w:szCs w:val="18"/>
        </w:rPr>
        <w:t xml:space="preserve"> Voor de regeldrukeffecten van </w:t>
      </w:r>
      <w:r>
        <w:rPr>
          <w:rFonts w:cs="Arial"/>
          <w:iCs/>
          <w:sz w:val="18"/>
          <w:szCs w:val="18"/>
        </w:rPr>
        <w:t>het voorstel (inclusief de verordening)</w:t>
      </w:r>
      <w:r w:rsidRPr="00F7143B">
        <w:rPr>
          <w:rFonts w:cs="Arial"/>
          <w:iCs/>
          <w:sz w:val="18"/>
          <w:szCs w:val="18"/>
        </w:rPr>
        <w:t xml:space="preserve"> zij verwezen naar de </w:t>
      </w:r>
      <w:r>
        <w:rPr>
          <w:rFonts w:cs="Arial"/>
          <w:iCs/>
          <w:sz w:val="18"/>
          <w:szCs w:val="18"/>
        </w:rPr>
        <w:t>effectbeoordeling</w:t>
      </w:r>
      <w:r w:rsidRPr="00F7143B">
        <w:rPr>
          <w:rFonts w:cs="Arial"/>
          <w:iCs/>
          <w:sz w:val="18"/>
          <w:szCs w:val="18"/>
        </w:rPr>
        <w:t xml:space="preserve"> van de Commissie.</w:t>
      </w:r>
      <w:r>
        <w:rPr>
          <w:rStyle w:val="Voetnootmarkering"/>
          <w:rFonts w:cs="Arial"/>
          <w:iCs/>
          <w:sz w:val="18"/>
          <w:szCs w:val="18"/>
        </w:rPr>
        <w:footnoteReference w:id="56"/>
      </w:r>
    </w:p>
    <w:p w:rsidRPr="00F7143B" w:rsidR="0048607D" w:rsidP="0048607D" w:rsidRDefault="0048607D" w14:paraId="37AA9CBA" w14:textId="77777777">
      <w:pPr>
        <w:widowControl w:val="0"/>
        <w:spacing w:line="240" w:lineRule="atLeast"/>
        <w:rPr>
          <w:rFonts w:cs="Arial"/>
          <w:iCs/>
          <w:sz w:val="18"/>
          <w:szCs w:val="18"/>
        </w:rPr>
      </w:pPr>
      <w:r w:rsidRPr="00F7143B">
        <w:rPr>
          <w:rFonts w:cs="Arial"/>
          <w:iCs/>
          <w:sz w:val="18"/>
          <w:szCs w:val="18"/>
        </w:rPr>
        <w:t xml:space="preserve"> </w:t>
      </w:r>
    </w:p>
    <w:p w:rsidRPr="001661D3" w:rsidR="0048607D" w:rsidP="0048607D" w:rsidRDefault="0048607D" w14:paraId="274B68C8" w14:textId="49E2C285">
      <w:pPr>
        <w:widowControl w:val="0"/>
        <w:spacing w:line="240" w:lineRule="atLeast"/>
        <w:rPr>
          <w:rFonts w:cs="Arial"/>
          <w:iCs/>
          <w:sz w:val="18"/>
          <w:szCs w:val="18"/>
        </w:rPr>
      </w:pPr>
      <w:r w:rsidRPr="00F7143B">
        <w:rPr>
          <w:rFonts w:cs="Arial"/>
          <w:iCs/>
          <w:sz w:val="18"/>
          <w:szCs w:val="18"/>
        </w:rPr>
        <w:t>Deze paragraaf is als volgt opgebouwd. Eerst wordt een beschrijving gegeven van de begrippen en de systematiek die een rol spelen bij het bepalen van de regeldrukgevolgen. Daarna wordt de doelgroep omschreven. Tot slot volgt een analyse van de regeldrukgevolgen voor de doelgroep volgens de methode vastgelegd in het handboek</w:t>
      </w:r>
      <w:r w:rsidR="00B627BD">
        <w:rPr>
          <w:rFonts w:cs="Arial"/>
          <w:iCs/>
          <w:sz w:val="18"/>
          <w:szCs w:val="18"/>
        </w:rPr>
        <w:t>,</w:t>
      </w:r>
      <w:r w:rsidRPr="00F7143B">
        <w:rPr>
          <w:rFonts w:cs="Arial"/>
          <w:iCs/>
          <w:sz w:val="18"/>
          <w:szCs w:val="18"/>
        </w:rPr>
        <w:t xml:space="preserve"> waarbij gebruik wordt gemaakt van informatie verstrekt door </w:t>
      </w:r>
      <w:r w:rsidRPr="001661D3">
        <w:rPr>
          <w:rFonts w:cs="Arial"/>
          <w:iCs/>
          <w:sz w:val="18"/>
          <w:szCs w:val="18"/>
        </w:rPr>
        <w:t xml:space="preserve">DNB </w:t>
      </w:r>
      <w:r w:rsidRPr="001661D3" w:rsidR="00C35BBC">
        <w:rPr>
          <w:rFonts w:cs="Arial"/>
          <w:iCs/>
          <w:sz w:val="18"/>
          <w:szCs w:val="18"/>
        </w:rPr>
        <w:t>en</w:t>
      </w:r>
      <w:r w:rsidRPr="001661D3">
        <w:rPr>
          <w:rFonts w:cs="Arial"/>
          <w:iCs/>
          <w:sz w:val="18"/>
          <w:szCs w:val="18"/>
        </w:rPr>
        <w:t xml:space="preserve"> de Nederlandse Vereniging van Banken (NVB</w:t>
      </w:r>
      <w:r w:rsidRPr="001661D3" w:rsidR="00C35BBC">
        <w:rPr>
          <w:rFonts w:cs="Arial"/>
          <w:iCs/>
          <w:sz w:val="18"/>
          <w:szCs w:val="18"/>
        </w:rPr>
        <w:t>).</w:t>
      </w:r>
    </w:p>
    <w:p w:rsidRPr="001661D3" w:rsidR="0048607D" w:rsidP="0048607D" w:rsidRDefault="0048607D" w14:paraId="12FF9900" w14:textId="77777777">
      <w:pPr>
        <w:widowControl w:val="0"/>
        <w:spacing w:line="240" w:lineRule="atLeast"/>
        <w:rPr>
          <w:rFonts w:cs="Arial"/>
          <w:iCs/>
          <w:sz w:val="18"/>
          <w:szCs w:val="18"/>
        </w:rPr>
      </w:pPr>
    </w:p>
    <w:p w:rsidRPr="001661D3" w:rsidR="0048607D" w:rsidP="0048607D" w:rsidRDefault="0048607D" w14:paraId="729D4E64" w14:textId="77777777">
      <w:pPr>
        <w:widowControl w:val="0"/>
        <w:spacing w:line="240" w:lineRule="atLeast"/>
        <w:rPr>
          <w:rFonts w:cs="Arial"/>
          <w:iCs/>
          <w:sz w:val="18"/>
          <w:szCs w:val="18"/>
        </w:rPr>
      </w:pPr>
      <w:r w:rsidRPr="001661D3">
        <w:rPr>
          <w:rFonts w:cs="Arial"/>
          <w:iCs/>
          <w:sz w:val="18"/>
          <w:szCs w:val="18"/>
        </w:rPr>
        <w:t xml:space="preserve">b. begrippen </w:t>
      </w:r>
    </w:p>
    <w:p w:rsidRPr="001661D3" w:rsidR="0048607D" w:rsidP="0048607D" w:rsidRDefault="0048607D" w14:paraId="17D557C7" w14:textId="77777777">
      <w:pPr>
        <w:widowControl w:val="0"/>
        <w:spacing w:line="240" w:lineRule="atLeast"/>
        <w:rPr>
          <w:rFonts w:cs="Arial"/>
          <w:iCs/>
          <w:sz w:val="18"/>
          <w:szCs w:val="18"/>
        </w:rPr>
      </w:pPr>
    </w:p>
    <w:p w:rsidR="007166C6" w:rsidP="0048607D" w:rsidRDefault="0048607D" w14:paraId="012BEC9D" w14:textId="1C259EB4">
      <w:pPr>
        <w:widowControl w:val="0"/>
        <w:spacing w:line="240" w:lineRule="atLeast"/>
        <w:rPr>
          <w:rFonts w:cs="Arial"/>
          <w:iCs/>
          <w:sz w:val="18"/>
          <w:szCs w:val="18"/>
        </w:rPr>
      </w:pPr>
      <w:r w:rsidRPr="001661D3">
        <w:rPr>
          <w:rFonts w:cs="Arial"/>
          <w:iCs/>
          <w:sz w:val="18"/>
          <w:szCs w:val="18"/>
        </w:rPr>
        <w:t xml:space="preserve">Bij regeldrukkosten gaat het om de kosten die voortvloeien uit inhoudelijke verplichtingen en informatieverplichtingen als gevolg van wet- en regelgeving, waaronder de toezichtgerelateerde kosten die een bedrijf moet maken. </w:t>
      </w:r>
      <w:r w:rsidR="007166C6">
        <w:rPr>
          <w:rFonts w:cs="Arial"/>
          <w:iCs/>
          <w:sz w:val="18"/>
          <w:szCs w:val="18"/>
        </w:rPr>
        <w:t>Deze regeldrukkosten bestaan uit structurele regeldrukkosten (periodiek terugkerend) en eenmalige regeldrukkosten (eenmalige aanpassingen</w:t>
      </w:r>
      <w:r w:rsidR="006F2489">
        <w:rPr>
          <w:rFonts w:cs="Arial"/>
          <w:iCs/>
          <w:sz w:val="18"/>
          <w:szCs w:val="18"/>
        </w:rPr>
        <w:t xml:space="preserve"> en kosten kennisname nieuwe regels</w:t>
      </w:r>
      <w:r w:rsidR="007166C6">
        <w:rPr>
          <w:rFonts w:cs="Arial"/>
          <w:iCs/>
          <w:sz w:val="18"/>
          <w:szCs w:val="18"/>
        </w:rPr>
        <w:t xml:space="preserve">). </w:t>
      </w:r>
    </w:p>
    <w:p w:rsidR="007166C6" w:rsidP="0048607D" w:rsidRDefault="007166C6" w14:paraId="41DAB114" w14:textId="77777777">
      <w:pPr>
        <w:widowControl w:val="0"/>
        <w:spacing w:line="240" w:lineRule="atLeast"/>
        <w:rPr>
          <w:rFonts w:cs="Arial"/>
          <w:iCs/>
          <w:sz w:val="18"/>
          <w:szCs w:val="18"/>
        </w:rPr>
      </w:pPr>
    </w:p>
    <w:p w:rsidR="005B3D43" w:rsidP="00F7143B" w:rsidRDefault="0048607D" w14:paraId="31DC9E98" w14:textId="5E474874">
      <w:pPr>
        <w:widowControl w:val="0"/>
        <w:spacing w:line="240" w:lineRule="atLeast"/>
        <w:rPr>
          <w:rFonts w:cs="Arial"/>
          <w:iCs/>
          <w:sz w:val="18"/>
          <w:szCs w:val="18"/>
        </w:rPr>
      </w:pPr>
      <w:r w:rsidRPr="001661D3">
        <w:rPr>
          <w:rFonts w:cs="Arial"/>
          <w:iCs/>
          <w:sz w:val="18"/>
          <w:szCs w:val="18"/>
        </w:rPr>
        <w:t xml:space="preserve">De kosten worden bepaald op basis van het Standaard Kosten Model (SKM). Dat model komt er in essentie op neer dat wordt nagegaan welke handelingen door de bedrijven moeten worden verricht om aan de nieuwe regelgeving te voldoen. Vervolgens wordt per handeling bepaald hoeveel tijd het kost om die handeling te verrichten en op welk niveau (door welk </w:t>
      </w:r>
      <w:r w:rsidR="00307E63">
        <w:rPr>
          <w:rFonts w:cs="Arial"/>
          <w:iCs/>
          <w:sz w:val="18"/>
          <w:szCs w:val="18"/>
        </w:rPr>
        <w:t>type</w:t>
      </w:r>
      <w:r w:rsidRPr="001661D3">
        <w:rPr>
          <w:rFonts w:cs="Arial"/>
          <w:iCs/>
          <w:sz w:val="18"/>
          <w:szCs w:val="18"/>
        </w:rPr>
        <w:t xml:space="preserve"> personeel) de han</w:t>
      </w:r>
      <w:r w:rsidRPr="001661D3">
        <w:rPr>
          <w:rFonts w:cs="Arial"/>
          <w:iCs/>
          <w:sz w:val="18"/>
          <w:szCs w:val="18"/>
        </w:rPr>
        <w:lastRenderedPageBreak/>
        <w:t xml:space="preserve">deling wordt uitgevoerd zodat de kosten van de handeling kunnen worden berekend. Alle regeldrukeffecten voortvloeiend uit de </w:t>
      </w:r>
      <w:r w:rsidR="005B3D43">
        <w:rPr>
          <w:rFonts w:cs="Arial"/>
          <w:iCs/>
          <w:sz w:val="18"/>
          <w:szCs w:val="18"/>
        </w:rPr>
        <w:t xml:space="preserve">richtlijn </w:t>
      </w:r>
      <w:r w:rsidRPr="001661D3">
        <w:rPr>
          <w:rFonts w:cs="Arial"/>
          <w:iCs/>
          <w:sz w:val="18"/>
          <w:szCs w:val="18"/>
        </w:rPr>
        <w:t>worden hieronder in kaart gebracht.</w:t>
      </w:r>
      <w:r w:rsidR="006F2489">
        <w:rPr>
          <w:rFonts w:cs="Arial"/>
          <w:iCs/>
          <w:sz w:val="18"/>
          <w:szCs w:val="18"/>
        </w:rPr>
        <w:t xml:space="preserve"> Dit geldt niet alleen voor deze implementatiewet, maar tevens voor hetgeen op niveau van algemene maatregel van bestuur nader wordt geregeld, nu die nadere invulling voortvloeit uit de in deze wet opgenomen bepalingen.</w:t>
      </w:r>
      <w:r w:rsidRPr="001661D3">
        <w:rPr>
          <w:rFonts w:cs="Arial"/>
          <w:iCs/>
          <w:sz w:val="18"/>
          <w:szCs w:val="18"/>
        </w:rPr>
        <w:t xml:space="preserve"> Er wordt alleen gekeken naar de verandering die optreedt ten opzichte van de bestaande situatie. De bestaande situatie wordt gevormd door de Implementatiewet kapitaalvereisten 2020</w:t>
      </w:r>
      <w:r w:rsidR="00307E63">
        <w:rPr>
          <w:rFonts w:cs="Arial"/>
          <w:iCs/>
          <w:sz w:val="18"/>
          <w:szCs w:val="18"/>
        </w:rPr>
        <w:t xml:space="preserve">, </w:t>
      </w:r>
      <w:r w:rsidRPr="001661D3" w:rsidR="00307E63">
        <w:rPr>
          <w:rFonts w:cs="Arial"/>
          <w:iCs/>
          <w:sz w:val="18"/>
          <w:szCs w:val="18"/>
        </w:rPr>
        <w:t>de Implementatiewet richtlijn en verordening kapitaalvereisten uit 2014</w:t>
      </w:r>
      <w:r w:rsidRPr="001661D3">
        <w:rPr>
          <w:rFonts w:cs="Arial"/>
          <w:iCs/>
          <w:sz w:val="18"/>
          <w:szCs w:val="18"/>
        </w:rPr>
        <w:t xml:space="preserve"> en hun voorlopers die zijn geïmplementeerd in de Wft en onderliggende regelgeving (zoals het Besluit prudentiële regels</w:t>
      </w:r>
      <w:r w:rsidR="007739C9">
        <w:rPr>
          <w:rFonts w:cs="Arial"/>
          <w:iCs/>
          <w:sz w:val="18"/>
          <w:szCs w:val="18"/>
        </w:rPr>
        <w:t xml:space="preserve"> Wft (Bpr)</w:t>
      </w:r>
      <w:r w:rsidRPr="001661D3">
        <w:rPr>
          <w:rFonts w:cs="Arial"/>
          <w:iCs/>
          <w:sz w:val="18"/>
          <w:szCs w:val="18"/>
        </w:rPr>
        <w:t>). De regeldrukkosten worden overigens onderscheiden van de financiële lasten (zoals leges en heffingen) die het voorgestelde met zich brengt. Financiële lasten worden niet tot de regeldrukkosten gerekend</w:t>
      </w:r>
      <w:r w:rsidR="005B3D43">
        <w:rPr>
          <w:rFonts w:cs="Arial"/>
          <w:iCs/>
          <w:sz w:val="18"/>
          <w:szCs w:val="18"/>
        </w:rPr>
        <w:t>.</w:t>
      </w:r>
    </w:p>
    <w:p w:rsidR="00F7143B" w:rsidP="00F7143B" w:rsidRDefault="0048607D" w14:paraId="2BBD30A4" w14:textId="29BC24CD">
      <w:pPr>
        <w:widowControl w:val="0"/>
        <w:spacing w:line="240" w:lineRule="atLeast"/>
        <w:rPr>
          <w:rFonts w:cs="Arial"/>
          <w:iCs/>
          <w:sz w:val="18"/>
          <w:szCs w:val="18"/>
        </w:rPr>
      </w:pPr>
      <w:r w:rsidRPr="001661D3">
        <w:rPr>
          <w:rFonts w:cs="Arial"/>
          <w:iCs/>
          <w:sz w:val="18"/>
          <w:szCs w:val="18"/>
        </w:rPr>
        <w:t xml:space="preserve"> </w:t>
      </w:r>
    </w:p>
    <w:p w:rsidRPr="001661D3" w:rsidR="001E56AB" w:rsidP="00F7143B" w:rsidRDefault="00F7143B" w14:paraId="279E1D9F" w14:textId="6C8E576F">
      <w:pPr>
        <w:widowControl w:val="0"/>
        <w:spacing w:line="240" w:lineRule="atLeast"/>
        <w:rPr>
          <w:rFonts w:cs="Arial"/>
          <w:iCs/>
          <w:sz w:val="18"/>
          <w:szCs w:val="18"/>
        </w:rPr>
      </w:pPr>
      <w:r w:rsidRPr="00F7143B">
        <w:rPr>
          <w:rFonts w:cs="Arial"/>
          <w:iCs/>
          <w:sz w:val="18"/>
          <w:szCs w:val="18"/>
        </w:rPr>
        <w:t>c. doelgroep</w:t>
      </w:r>
    </w:p>
    <w:p w:rsidR="001E56AB" w:rsidP="001E56AB" w:rsidRDefault="001E56AB" w14:paraId="77E32E6E" w14:textId="77777777">
      <w:pPr>
        <w:widowControl w:val="0"/>
        <w:spacing w:line="240" w:lineRule="atLeast"/>
        <w:rPr>
          <w:rFonts w:cs="Arial"/>
          <w:i/>
          <w:sz w:val="18"/>
          <w:szCs w:val="18"/>
        </w:rPr>
      </w:pPr>
    </w:p>
    <w:p w:rsidR="005B3D43" w:rsidP="001E56AB" w:rsidRDefault="005B3D43" w14:paraId="2A3796F3" w14:textId="2496990C">
      <w:pPr>
        <w:widowControl w:val="0"/>
        <w:spacing w:line="240" w:lineRule="atLeast"/>
        <w:rPr>
          <w:rFonts w:cs="Arial"/>
          <w:iCs/>
          <w:sz w:val="18"/>
          <w:szCs w:val="18"/>
        </w:rPr>
      </w:pPr>
      <w:r>
        <w:rPr>
          <w:rFonts w:cs="Arial"/>
          <w:iCs/>
          <w:sz w:val="18"/>
          <w:szCs w:val="18"/>
        </w:rPr>
        <w:t>Het bepalen van de doelgroep is noodzakelijk voor de berekening van de regeldrukkosten. De doelgroep van de CRD is in principe alle banken in Nederland. Op grond van informatie van DNB betreft dit 3</w:t>
      </w:r>
      <w:r w:rsidR="003400BA">
        <w:rPr>
          <w:rFonts w:cs="Arial"/>
          <w:iCs/>
          <w:sz w:val="18"/>
          <w:szCs w:val="18"/>
        </w:rPr>
        <w:t>5</w:t>
      </w:r>
      <w:r>
        <w:rPr>
          <w:rFonts w:cs="Arial"/>
          <w:iCs/>
          <w:sz w:val="18"/>
          <w:szCs w:val="18"/>
        </w:rPr>
        <w:t xml:space="preserve"> banken</w:t>
      </w:r>
      <w:r w:rsidR="009E33D3">
        <w:rPr>
          <w:rStyle w:val="Voetnootmarkering"/>
          <w:rFonts w:cs="Arial"/>
          <w:iCs/>
          <w:sz w:val="18"/>
          <w:szCs w:val="18"/>
        </w:rPr>
        <w:footnoteReference w:id="57"/>
      </w:r>
      <w:r w:rsidR="009E33D3">
        <w:rPr>
          <w:rFonts w:cs="Arial"/>
          <w:iCs/>
          <w:sz w:val="18"/>
          <w:szCs w:val="18"/>
        </w:rPr>
        <w:t>.</w:t>
      </w:r>
    </w:p>
    <w:p w:rsidR="001D7734" w:rsidP="001E56AB" w:rsidRDefault="001D7734" w14:paraId="62423B4B" w14:textId="77777777">
      <w:pPr>
        <w:widowControl w:val="0"/>
        <w:spacing w:line="240" w:lineRule="atLeast"/>
        <w:rPr>
          <w:rFonts w:cs="Arial"/>
          <w:iCs/>
          <w:sz w:val="18"/>
          <w:szCs w:val="18"/>
        </w:rPr>
      </w:pPr>
    </w:p>
    <w:p w:rsidRPr="001D7734" w:rsidR="001D7734" w:rsidP="001E56AB" w:rsidRDefault="001D7734" w14:paraId="1A5EC269" w14:textId="2A6E692C">
      <w:pPr>
        <w:widowControl w:val="0"/>
        <w:spacing w:line="240" w:lineRule="atLeast"/>
        <w:rPr>
          <w:rFonts w:ascii="Segoe UI Emoji" w:hAnsi="Segoe UI Emoji" w:cs="Arial"/>
          <w:iCs/>
          <w:sz w:val="18"/>
          <w:szCs w:val="18"/>
        </w:rPr>
      </w:pPr>
      <w:r>
        <w:rPr>
          <w:rFonts w:cs="Arial"/>
          <w:iCs/>
          <w:sz w:val="18"/>
          <w:szCs w:val="18"/>
        </w:rPr>
        <w:t>Ook (gemengde) financiële holdings in Nederland moeten voldoen aan een aantal nieuwe vereisten die volgen uit de CRD. Op grond van informatie van DNB zijn er 15 (gemengde) financiële holdings in Nederland.</w:t>
      </w:r>
    </w:p>
    <w:p w:rsidR="009E33D3" w:rsidP="001E56AB" w:rsidRDefault="009E33D3" w14:paraId="5CC61D8C" w14:textId="77777777">
      <w:pPr>
        <w:widowControl w:val="0"/>
        <w:spacing w:line="240" w:lineRule="atLeast"/>
        <w:rPr>
          <w:rFonts w:cs="Arial"/>
          <w:iCs/>
          <w:sz w:val="18"/>
          <w:szCs w:val="18"/>
        </w:rPr>
      </w:pPr>
    </w:p>
    <w:p w:rsidR="009E33D3" w:rsidP="001E56AB" w:rsidRDefault="009E33D3" w14:paraId="74CB22A2" w14:textId="172080CE">
      <w:pPr>
        <w:widowControl w:val="0"/>
        <w:spacing w:line="240" w:lineRule="atLeast"/>
        <w:rPr>
          <w:rFonts w:cs="Arial"/>
          <w:iCs/>
          <w:sz w:val="18"/>
          <w:szCs w:val="18"/>
        </w:rPr>
      </w:pPr>
      <w:r>
        <w:rPr>
          <w:rFonts w:cs="Arial"/>
          <w:iCs/>
          <w:sz w:val="18"/>
          <w:szCs w:val="18"/>
        </w:rPr>
        <w:t>Daarnaast bevinden zich in Nederland 2 bijkantoren van banken uit staten die geen lidstaat zijn</w:t>
      </w:r>
      <w:r>
        <w:rPr>
          <w:rStyle w:val="Voetnootmarkering"/>
          <w:rFonts w:cs="Arial"/>
          <w:iCs/>
          <w:sz w:val="18"/>
          <w:szCs w:val="18"/>
        </w:rPr>
        <w:footnoteReference w:id="58"/>
      </w:r>
      <w:r>
        <w:rPr>
          <w:rFonts w:cs="Arial"/>
          <w:iCs/>
          <w:sz w:val="18"/>
          <w:szCs w:val="18"/>
        </w:rPr>
        <w:t xml:space="preserve">, die aan het nieuwe </w:t>
      </w:r>
      <w:r w:rsidR="001C0C28">
        <w:rPr>
          <w:rFonts w:cs="Arial"/>
          <w:iCs/>
          <w:sz w:val="18"/>
          <w:szCs w:val="18"/>
        </w:rPr>
        <w:t>derde land</w:t>
      </w:r>
      <w:r>
        <w:rPr>
          <w:rFonts w:cs="Arial"/>
          <w:iCs/>
          <w:sz w:val="18"/>
          <w:szCs w:val="18"/>
        </w:rPr>
        <w:t xml:space="preserve"> bijkantorenregime moeten gaan voldoen.</w:t>
      </w:r>
    </w:p>
    <w:p w:rsidR="00FA22DF" w:rsidP="001E56AB" w:rsidRDefault="00FA22DF" w14:paraId="1DFAA35D" w14:textId="77777777">
      <w:pPr>
        <w:widowControl w:val="0"/>
        <w:spacing w:line="240" w:lineRule="atLeast"/>
        <w:rPr>
          <w:rFonts w:cs="Arial"/>
          <w:iCs/>
          <w:sz w:val="18"/>
          <w:szCs w:val="18"/>
        </w:rPr>
      </w:pPr>
    </w:p>
    <w:p w:rsidR="00FA22DF" w:rsidP="001E56AB" w:rsidRDefault="00FA22DF" w14:paraId="608EE39B" w14:textId="6F1EFFC6">
      <w:pPr>
        <w:widowControl w:val="0"/>
        <w:spacing w:line="240" w:lineRule="atLeast"/>
        <w:rPr>
          <w:rFonts w:cs="Arial"/>
          <w:iCs/>
          <w:sz w:val="18"/>
          <w:szCs w:val="18"/>
        </w:rPr>
      </w:pPr>
      <w:r>
        <w:rPr>
          <w:rFonts w:cs="Arial"/>
          <w:iCs/>
          <w:sz w:val="18"/>
          <w:szCs w:val="18"/>
        </w:rPr>
        <w:t>d. analyse</w:t>
      </w:r>
    </w:p>
    <w:p w:rsidR="00FA22DF" w:rsidP="001E56AB" w:rsidRDefault="00FA22DF" w14:paraId="325D358B" w14:textId="77777777">
      <w:pPr>
        <w:widowControl w:val="0"/>
        <w:spacing w:line="240" w:lineRule="atLeast"/>
        <w:rPr>
          <w:rFonts w:cs="Arial"/>
          <w:iCs/>
          <w:sz w:val="18"/>
          <w:szCs w:val="18"/>
        </w:rPr>
      </w:pPr>
    </w:p>
    <w:p w:rsidR="0004520D" w:rsidP="001E56AB" w:rsidRDefault="0004520D" w14:paraId="3861B7E4" w14:textId="7803C78B">
      <w:pPr>
        <w:widowControl w:val="0"/>
        <w:spacing w:line="240" w:lineRule="atLeast"/>
        <w:rPr>
          <w:rFonts w:cs="Arial"/>
          <w:iCs/>
          <w:sz w:val="18"/>
          <w:szCs w:val="18"/>
        </w:rPr>
      </w:pPr>
      <w:r>
        <w:rPr>
          <w:rFonts w:cs="Arial"/>
          <w:iCs/>
          <w:sz w:val="18"/>
          <w:szCs w:val="18"/>
        </w:rPr>
        <w:t xml:space="preserve">De tabel geeft een overzicht van de handelingen die nodig zijn om te voldoen aan nieuwe verplichtingen die als gevolg van de aanpassing van CRD worden </w:t>
      </w:r>
      <w:r w:rsidR="008F42FD">
        <w:rPr>
          <w:rFonts w:cs="Arial"/>
          <w:iCs/>
          <w:sz w:val="18"/>
          <w:szCs w:val="18"/>
        </w:rPr>
        <w:t>geïmplementeerd</w:t>
      </w:r>
      <w:r>
        <w:rPr>
          <w:rFonts w:cs="Arial"/>
          <w:iCs/>
          <w:sz w:val="18"/>
          <w:szCs w:val="18"/>
        </w:rPr>
        <w:t xml:space="preserve"> in de Wft en lagere regelgeving. Hierbij is een onderscheid gemaakt tussen de incidentele en structurele</w:t>
      </w:r>
      <w:r w:rsidRPr="0004520D">
        <w:rPr>
          <w:rFonts w:cs="Arial"/>
          <w:iCs/>
          <w:sz w:val="18"/>
          <w:szCs w:val="18"/>
        </w:rPr>
        <w:t xml:space="preserve"> </w:t>
      </w:r>
      <w:r>
        <w:rPr>
          <w:rFonts w:cs="Arial"/>
          <w:iCs/>
          <w:sz w:val="18"/>
          <w:szCs w:val="18"/>
        </w:rPr>
        <w:t>kosten (in uren).</w:t>
      </w:r>
    </w:p>
    <w:p w:rsidR="0004520D" w:rsidP="001E56AB" w:rsidRDefault="0004520D" w14:paraId="1910A1D7" w14:textId="77777777">
      <w:pPr>
        <w:widowControl w:val="0"/>
        <w:spacing w:line="240" w:lineRule="atLeast"/>
        <w:rPr>
          <w:rFonts w:cs="Arial"/>
          <w:iCs/>
          <w:sz w:val="18"/>
          <w:szCs w:val="18"/>
        </w:rPr>
      </w:pPr>
    </w:p>
    <w:tbl>
      <w:tblPr>
        <w:tblStyle w:val="Tabelraster"/>
        <w:tblW w:w="0" w:type="auto"/>
        <w:tblLook w:val="04A0" w:firstRow="1" w:lastRow="0" w:firstColumn="1" w:lastColumn="0" w:noHBand="0" w:noVBand="1"/>
      </w:tblPr>
      <w:tblGrid>
        <w:gridCol w:w="4509"/>
        <w:gridCol w:w="1460"/>
        <w:gridCol w:w="1271"/>
      </w:tblGrid>
      <w:tr w:rsidRPr="002E627F" w:rsidR="00FA22DF" w:rsidTr="00FA22DF" w14:paraId="016771DE" w14:textId="77777777">
        <w:tc>
          <w:tcPr>
            <w:tcW w:w="7240" w:type="dxa"/>
            <w:gridSpan w:val="3"/>
            <w:tcBorders>
              <w:bottom w:val="nil"/>
            </w:tcBorders>
          </w:tcPr>
          <w:p w:rsidRPr="002E627F" w:rsidR="00FA22DF" w:rsidP="001E56AB" w:rsidRDefault="00FA22DF" w14:paraId="394E06CB" w14:textId="57C82B5D">
            <w:pPr>
              <w:widowControl w:val="0"/>
              <w:spacing w:line="240" w:lineRule="atLeast"/>
              <w:rPr>
                <w:rFonts w:ascii="Verdana" w:hAnsi="Verdana" w:cs="Arial"/>
                <w:iCs/>
                <w:sz w:val="16"/>
                <w:szCs w:val="16"/>
              </w:rPr>
            </w:pPr>
            <w:r w:rsidRPr="002E627F">
              <w:rPr>
                <w:rFonts w:ascii="Verdana" w:hAnsi="Verdana" w:cs="Arial"/>
                <w:b/>
                <w:bCs/>
                <w:iCs/>
                <w:sz w:val="16"/>
                <w:szCs w:val="16"/>
              </w:rPr>
              <w:t>Overzicht</w:t>
            </w:r>
            <w:r w:rsidRPr="002E627F">
              <w:rPr>
                <w:rFonts w:ascii="Verdana" w:hAnsi="Verdana" w:cs="Arial"/>
                <w:iCs/>
                <w:sz w:val="16"/>
                <w:szCs w:val="16"/>
              </w:rPr>
              <w:t xml:space="preserve"> </w:t>
            </w:r>
            <w:r w:rsidRPr="002E627F">
              <w:rPr>
                <w:rFonts w:ascii="Verdana" w:hAnsi="Verdana" w:cs="Arial"/>
                <w:b/>
                <w:bCs/>
                <w:iCs/>
                <w:sz w:val="16"/>
                <w:szCs w:val="16"/>
              </w:rPr>
              <w:t>handelingen en tijd nieuwe artikelen in CRD</w:t>
            </w:r>
          </w:p>
        </w:tc>
      </w:tr>
      <w:tr w:rsidRPr="002E627F" w:rsidR="00FA22DF" w:rsidTr="00227A0D" w14:paraId="1C5258C2" w14:textId="77777777">
        <w:tc>
          <w:tcPr>
            <w:tcW w:w="4509" w:type="dxa"/>
            <w:tcBorders>
              <w:top w:val="nil"/>
              <w:bottom w:val="single" w:color="auto" w:sz="4" w:space="0"/>
              <w:right w:val="nil"/>
            </w:tcBorders>
          </w:tcPr>
          <w:p w:rsidRPr="002E627F" w:rsidR="00FA22DF" w:rsidP="001E56AB" w:rsidRDefault="00FA22DF" w14:paraId="7887F623" w14:textId="4833DF98">
            <w:pPr>
              <w:widowControl w:val="0"/>
              <w:spacing w:line="240" w:lineRule="atLeast"/>
              <w:rPr>
                <w:rFonts w:ascii="Verdana" w:hAnsi="Verdana" w:cs="Arial"/>
                <w:iCs/>
                <w:sz w:val="16"/>
                <w:szCs w:val="16"/>
              </w:rPr>
            </w:pPr>
            <w:r w:rsidRPr="002E627F">
              <w:rPr>
                <w:rFonts w:ascii="Verdana" w:hAnsi="Verdana" w:cs="Arial"/>
                <w:iCs/>
                <w:sz w:val="16"/>
                <w:szCs w:val="16"/>
              </w:rPr>
              <w:t>Handeling</w:t>
            </w:r>
          </w:p>
        </w:tc>
        <w:tc>
          <w:tcPr>
            <w:tcW w:w="1460" w:type="dxa"/>
            <w:tcBorders>
              <w:top w:val="nil"/>
              <w:left w:val="nil"/>
              <w:bottom w:val="single" w:color="auto" w:sz="4" w:space="0"/>
              <w:right w:val="nil"/>
            </w:tcBorders>
          </w:tcPr>
          <w:p w:rsidRPr="002E627F" w:rsidR="00FA22DF" w:rsidP="001E56AB" w:rsidRDefault="00FA22DF" w14:paraId="12FA882B" w14:textId="1E3545C5">
            <w:pPr>
              <w:widowControl w:val="0"/>
              <w:spacing w:line="240" w:lineRule="atLeast"/>
              <w:rPr>
                <w:rFonts w:ascii="Verdana" w:hAnsi="Verdana" w:cs="Arial"/>
                <w:iCs/>
                <w:sz w:val="16"/>
                <w:szCs w:val="16"/>
              </w:rPr>
            </w:pPr>
            <w:r w:rsidRPr="002E627F">
              <w:rPr>
                <w:rFonts w:ascii="Verdana" w:hAnsi="Verdana" w:cs="Arial"/>
                <w:iCs/>
                <w:sz w:val="16"/>
                <w:szCs w:val="16"/>
              </w:rPr>
              <w:t>Eenmalig</w:t>
            </w:r>
          </w:p>
        </w:tc>
        <w:tc>
          <w:tcPr>
            <w:tcW w:w="1271" w:type="dxa"/>
            <w:tcBorders>
              <w:top w:val="nil"/>
              <w:left w:val="nil"/>
              <w:bottom w:val="single" w:color="auto" w:sz="4" w:space="0"/>
            </w:tcBorders>
          </w:tcPr>
          <w:p w:rsidRPr="002E627F" w:rsidR="00FA22DF" w:rsidP="001E56AB" w:rsidRDefault="00FA22DF" w14:paraId="30468468" w14:textId="47A496E1">
            <w:pPr>
              <w:widowControl w:val="0"/>
              <w:spacing w:line="240" w:lineRule="atLeast"/>
              <w:rPr>
                <w:rFonts w:ascii="Verdana" w:hAnsi="Verdana" w:cs="Arial"/>
                <w:iCs/>
                <w:sz w:val="16"/>
                <w:szCs w:val="16"/>
              </w:rPr>
            </w:pPr>
            <w:r w:rsidRPr="002E627F">
              <w:rPr>
                <w:rFonts w:ascii="Verdana" w:hAnsi="Verdana" w:cs="Arial"/>
                <w:iCs/>
                <w:sz w:val="16"/>
                <w:szCs w:val="16"/>
              </w:rPr>
              <w:t>Structureel</w:t>
            </w:r>
          </w:p>
        </w:tc>
      </w:tr>
      <w:tr w:rsidRPr="002E627F" w:rsidR="00FA22DF" w:rsidTr="00227A0D" w14:paraId="5F2B0B24" w14:textId="77777777">
        <w:tc>
          <w:tcPr>
            <w:tcW w:w="4509" w:type="dxa"/>
          </w:tcPr>
          <w:p w:rsidR="00FA22DF" w:rsidP="001E56AB" w:rsidRDefault="00FA22DF" w14:paraId="268EA25E" w14:textId="4EA85683">
            <w:pPr>
              <w:widowControl w:val="0"/>
              <w:spacing w:line="240" w:lineRule="atLeast"/>
              <w:rPr>
                <w:rFonts w:ascii="Verdana" w:hAnsi="Verdana" w:cs="Arial"/>
                <w:iCs/>
                <w:sz w:val="16"/>
                <w:szCs w:val="16"/>
              </w:rPr>
            </w:pPr>
            <w:r w:rsidRPr="002E627F">
              <w:rPr>
                <w:rFonts w:ascii="Verdana" w:hAnsi="Verdana" w:cs="Arial"/>
                <w:iCs/>
                <w:sz w:val="16"/>
                <w:szCs w:val="16"/>
              </w:rPr>
              <w:t>Prudentieel relevante transacties (</w:t>
            </w:r>
            <w:r w:rsidRPr="002E627F" w:rsidR="0022402B">
              <w:rPr>
                <w:rFonts w:ascii="Verdana" w:hAnsi="Verdana" w:cs="Arial"/>
                <w:iCs/>
                <w:sz w:val="16"/>
                <w:szCs w:val="16"/>
              </w:rPr>
              <w:t xml:space="preserve">art. 27 bis, </w:t>
            </w:r>
            <w:r w:rsidRPr="002E627F">
              <w:rPr>
                <w:rFonts w:ascii="Verdana" w:hAnsi="Verdana" w:cs="Arial"/>
                <w:iCs/>
                <w:sz w:val="16"/>
                <w:szCs w:val="16"/>
              </w:rPr>
              <w:t>27 quinquies, 27 septies</w:t>
            </w:r>
            <w:r w:rsidR="0022402B">
              <w:rPr>
                <w:rFonts w:ascii="Verdana" w:hAnsi="Verdana" w:cs="Arial"/>
                <w:iCs/>
                <w:sz w:val="16"/>
                <w:szCs w:val="16"/>
              </w:rPr>
              <w:t xml:space="preserve">, </w:t>
            </w:r>
            <w:r w:rsidRPr="002E627F" w:rsidR="0022402B">
              <w:rPr>
                <w:rFonts w:ascii="Verdana" w:hAnsi="Verdana" w:cs="Arial"/>
                <w:iCs/>
                <w:sz w:val="16"/>
                <w:szCs w:val="16"/>
              </w:rPr>
              <w:t>27 decies</w:t>
            </w:r>
            <w:r w:rsidRPr="002E627F">
              <w:rPr>
                <w:rFonts w:ascii="Verdana" w:hAnsi="Verdana" w:cs="Arial"/>
                <w:iCs/>
                <w:sz w:val="16"/>
                <w:szCs w:val="16"/>
              </w:rPr>
              <w:t xml:space="preserve"> CRD, implementatie in </w:t>
            </w:r>
            <w:r w:rsidR="0022402B">
              <w:rPr>
                <w:rFonts w:ascii="Verdana" w:hAnsi="Verdana" w:cs="Arial"/>
                <w:iCs/>
                <w:sz w:val="16"/>
                <w:szCs w:val="16"/>
              </w:rPr>
              <w:t xml:space="preserve">3:96a t/m </w:t>
            </w:r>
            <w:r w:rsidRPr="002E627F">
              <w:rPr>
                <w:rFonts w:ascii="Verdana" w:hAnsi="Verdana" w:cs="Arial"/>
                <w:iCs/>
                <w:sz w:val="16"/>
                <w:szCs w:val="16"/>
              </w:rPr>
              <w:t xml:space="preserve">3:96d Wft; </w:t>
            </w:r>
            <w:r w:rsidRPr="002E627F" w:rsidR="002E627F">
              <w:rPr>
                <w:rFonts w:ascii="Verdana" w:hAnsi="Verdana" w:cs="Arial"/>
                <w:iCs/>
                <w:sz w:val="16"/>
                <w:szCs w:val="16"/>
              </w:rPr>
              <w:t xml:space="preserve">verdere </w:t>
            </w:r>
            <w:r w:rsidRPr="002E627F">
              <w:rPr>
                <w:rFonts w:ascii="Verdana" w:hAnsi="Verdana" w:cs="Arial"/>
                <w:iCs/>
                <w:sz w:val="16"/>
                <w:szCs w:val="16"/>
              </w:rPr>
              <w:t>uitwerking in Bpr)</w:t>
            </w:r>
          </w:p>
          <w:p w:rsidRPr="002E627F" w:rsidR="0022402B" w:rsidP="001E56AB" w:rsidRDefault="0022402B" w14:paraId="29F10DEC" w14:textId="0BCDE153">
            <w:pPr>
              <w:widowControl w:val="0"/>
              <w:spacing w:line="240" w:lineRule="atLeast"/>
              <w:rPr>
                <w:rFonts w:ascii="Verdana" w:hAnsi="Verdana" w:cs="Arial"/>
                <w:iCs/>
                <w:sz w:val="16"/>
                <w:szCs w:val="16"/>
              </w:rPr>
            </w:pPr>
          </w:p>
        </w:tc>
        <w:tc>
          <w:tcPr>
            <w:tcW w:w="1460" w:type="dxa"/>
          </w:tcPr>
          <w:p w:rsidRPr="002E627F" w:rsidR="00FA22DF" w:rsidP="001E56AB" w:rsidRDefault="00FB1D8C" w14:paraId="1FAFDC1F" w14:textId="3E804B82">
            <w:pPr>
              <w:widowControl w:val="0"/>
              <w:spacing w:line="240" w:lineRule="atLeast"/>
              <w:rPr>
                <w:rFonts w:ascii="Verdana" w:hAnsi="Verdana" w:cs="Arial"/>
                <w:iCs/>
                <w:sz w:val="16"/>
                <w:szCs w:val="16"/>
              </w:rPr>
            </w:pPr>
            <w:r w:rsidRPr="002E627F">
              <w:rPr>
                <w:rFonts w:ascii="Verdana" w:hAnsi="Verdana" w:cs="Arial"/>
                <w:iCs/>
                <w:sz w:val="16"/>
                <w:szCs w:val="16"/>
              </w:rPr>
              <w:t>5-10</w:t>
            </w:r>
            <w:r w:rsidRPr="002E627F" w:rsidR="0004520D">
              <w:rPr>
                <w:rFonts w:ascii="Verdana" w:hAnsi="Verdana" w:cs="Arial"/>
                <w:iCs/>
                <w:sz w:val="16"/>
                <w:szCs w:val="16"/>
              </w:rPr>
              <w:t xml:space="preserve"> uur </w:t>
            </w:r>
          </w:p>
        </w:tc>
        <w:tc>
          <w:tcPr>
            <w:tcW w:w="1271" w:type="dxa"/>
          </w:tcPr>
          <w:p w:rsidRPr="002E627F" w:rsidR="00FA22DF" w:rsidP="001E56AB" w:rsidRDefault="00FA22DF" w14:paraId="389C4C62" w14:textId="4C5B3A7D">
            <w:pPr>
              <w:widowControl w:val="0"/>
              <w:spacing w:line="240" w:lineRule="atLeast"/>
              <w:rPr>
                <w:rFonts w:ascii="Verdana" w:hAnsi="Verdana" w:cs="Arial"/>
                <w:iCs/>
                <w:sz w:val="16"/>
                <w:szCs w:val="16"/>
              </w:rPr>
            </w:pPr>
            <w:r w:rsidRPr="002E627F">
              <w:rPr>
                <w:rFonts w:ascii="Verdana" w:hAnsi="Verdana" w:cs="Arial"/>
                <w:iCs/>
                <w:sz w:val="16"/>
                <w:szCs w:val="16"/>
              </w:rPr>
              <w:t>N.v.t.</w:t>
            </w:r>
          </w:p>
        </w:tc>
      </w:tr>
      <w:tr w:rsidRPr="002E627F" w:rsidR="00FA22DF" w:rsidTr="00227A0D" w14:paraId="7BAE9573" w14:textId="77777777">
        <w:tc>
          <w:tcPr>
            <w:tcW w:w="4509" w:type="dxa"/>
          </w:tcPr>
          <w:p w:rsidRPr="002E627F" w:rsidR="00FA22DF" w:rsidP="001E56AB" w:rsidRDefault="00AC0E53" w14:paraId="0764DE76" w14:textId="61B83F99">
            <w:pPr>
              <w:widowControl w:val="0"/>
              <w:spacing w:line="240" w:lineRule="atLeast"/>
              <w:rPr>
                <w:rFonts w:ascii="Verdana" w:hAnsi="Verdana" w:cs="Arial"/>
                <w:iCs/>
                <w:sz w:val="16"/>
                <w:szCs w:val="16"/>
              </w:rPr>
            </w:pPr>
            <w:r w:rsidRPr="002E627F">
              <w:rPr>
                <w:rFonts w:ascii="Verdana" w:hAnsi="Verdana" w:cs="Arial"/>
                <w:iCs/>
                <w:sz w:val="16"/>
                <w:szCs w:val="16"/>
              </w:rPr>
              <w:t>Concentratierisico’s bij centrale tegenpartijen in staten die geen lidstaat zijn (art. 74, eerste lid, 76, tweede lid, CRD</w:t>
            </w:r>
            <w:r w:rsidRPr="002E627F" w:rsidR="0004520D">
              <w:rPr>
                <w:rFonts w:ascii="Verdana" w:hAnsi="Verdana" w:cs="Arial"/>
                <w:iCs/>
                <w:sz w:val="16"/>
                <w:szCs w:val="16"/>
              </w:rPr>
              <w:t>; geïmplementeerd middels dynamische verwijzingen</w:t>
            </w:r>
            <w:r w:rsidRPr="002E627F" w:rsidR="002E627F">
              <w:rPr>
                <w:rFonts w:ascii="Verdana" w:hAnsi="Verdana" w:cs="Arial"/>
                <w:iCs/>
                <w:sz w:val="16"/>
                <w:szCs w:val="16"/>
              </w:rPr>
              <w:t xml:space="preserve"> in Bpr op grond van 3:17 Wft</w:t>
            </w:r>
            <w:r w:rsidRPr="002E627F">
              <w:rPr>
                <w:rFonts w:ascii="Verdana" w:hAnsi="Verdana" w:cs="Arial"/>
                <w:iCs/>
                <w:sz w:val="16"/>
                <w:szCs w:val="16"/>
              </w:rPr>
              <w:t>)</w:t>
            </w:r>
          </w:p>
        </w:tc>
        <w:tc>
          <w:tcPr>
            <w:tcW w:w="1460" w:type="dxa"/>
          </w:tcPr>
          <w:p w:rsidRPr="002E627F" w:rsidR="00FA22DF" w:rsidP="001E56AB" w:rsidRDefault="004F036E" w14:paraId="43B70A11" w14:textId="46E81C0C">
            <w:pPr>
              <w:widowControl w:val="0"/>
              <w:spacing w:line="240" w:lineRule="atLeast"/>
              <w:rPr>
                <w:rFonts w:ascii="Verdana" w:hAnsi="Verdana" w:cs="Arial"/>
                <w:iCs/>
                <w:sz w:val="16"/>
                <w:szCs w:val="16"/>
              </w:rPr>
            </w:pPr>
            <w:r w:rsidRPr="002E627F">
              <w:rPr>
                <w:rFonts w:ascii="Verdana" w:hAnsi="Verdana" w:cs="Arial"/>
                <w:iCs/>
                <w:sz w:val="16"/>
                <w:szCs w:val="16"/>
              </w:rPr>
              <w:t>1</w:t>
            </w:r>
            <w:r w:rsidRPr="002E627F" w:rsidR="00AC0E53">
              <w:rPr>
                <w:rFonts w:ascii="Verdana" w:hAnsi="Verdana" w:cs="Arial"/>
                <w:iCs/>
                <w:sz w:val="16"/>
                <w:szCs w:val="16"/>
              </w:rPr>
              <w:t>0-</w:t>
            </w:r>
            <w:r w:rsidRPr="002E627F">
              <w:rPr>
                <w:rFonts w:ascii="Verdana" w:hAnsi="Verdana" w:cs="Arial"/>
                <w:iCs/>
                <w:sz w:val="16"/>
                <w:szCs w:val="16"/>
              </w:rPr>
              <w:t>2</w:t>
            </w:r>
            <w:r w:rsidRPr="002E627F" w:rsidR="00AC0E53">
              <w:rPr>
                <w:rFonts w:ascii="Verdana" w:hAnsi="Verdana" w:cs="Arial"/>
                <w:iCs/>
                <w:sz w:val="16"/>
                <w:szCs w:val="16"/>
              </w:rPr>
              <w:t>0 uur</w:t>
            </w:r>
          </w:p>
        </w:tc>
        <w:tc>
          <w:tcPr>
            <w:tcW w:w="1271" w:type="dxa"/>
          </w:tcPr>
          <w:p w:rsidRPr="002E627F" w:rsidR="00FA22DF" w:rsidP="001E56AB" w:rsidRDefault="003400BA" w14:paraId="600A06AA" w14:textId="61CF84D1">
            <w:pPr>
              <w:widowControl w:val="0"/>
              <w:spacing w:line="240" w:lineRule="atLeast"/>
              <w:rPr>
                <w:rFonts w:ascii="Verdana" w:hAnsi="Verdana" w:cs="Arial"/>
                <w:iCs/>
                <w:sz w:val="16"/>
                <w:szCs w:val="16"/>
              </w:rPr>
            </w:pPr>
            <w:r>
              <w:rPr>
                <w:rFonts w:ascii="Verdana" w:hAnsi="Verdana" w:cs="Arial"/>
                <w:iCs/>
                <w:sz w:val="16"/>
                <w:szCs w:val="16"/>
              </w:rPr>
              <w:t>N.v.t.</w:t>
            </w:r>
          </w:p>
        </w:tc>
      </w:tr>
      <w:tr w:rsidRPr="002E627F" w:rsidR="00FA22DF" w:rsidTr="00227A0D" w14:paraId="7258E627" w14:textId="77777777">
        <w:tc>
          <w:tcPr>
            <w:tcW w:w="4509" w:type="dxa"/>
          </w:tcPr>
          <w:p w:rsidRPr="002E627F" w:rsidR="00FA22DF" w:rsidP="001E56AB" w:rsidRDefault="00230DB4" w14:paraId="73A859FB" w14:textId="52327B47">
            <w:pPr>
              <w:widowControl w:val="0"/>
              <w:spacing w:line="240" w:lineRule="atLeast"/>
              <w:rPr>
                <w:rFonts w:ascii="Verdana" w:hAnsi="Verdana" w:cs="Arial"/>
                <w:iCs/>
                <w:sz w:val="16"/>
                <w:szCs w:val="16"/>
              </w:rPr>
            </w:pPr>
            <w:r w:rsidRPr="002E627F">
              <w:rPr>
                <w:rFonts w:ascii="Verdana" w:hAnsi="Verdana" w:cs="Arial"/>
                <w:iCs/>
                <w:sz w:val="16"/>
                <w:szCs w:val="16"/>
              </w:rPr>
              <w:t>Risico’s bij crypto-activa</w:t>
            </w:r>
            <w:r w:rsidRPr="002E627F" w:rsidR="00AC0E53">
              <w:rPr>
                <w:rFonts w:ascii="Verdana" w:hAnsi="Verdana" w:cs="Arial"/>
                <w:iCs/>
                <w:sz w:val="16"/>
                <w:szCs w:val="16"/>
              </w:rPr>
              <w:t xml:space="preserve"> meenemen in risicobeheer (art. 79, </w:t>
            </w:r>
            <w:r w:rsidR="00305754">
              <w:rPr>
                <w:rFonts w:ascii="Verdana" w:hAnsi="Verdana" w:cs="Arial"/>
                <w:iCs/>
                <w:sz w:val="16"/>
                <w:szCs w:val="16"/>
              </w:rPr>
              <w:t xml:space="preserve">81, </w:t>
            </w:r>
            <w:r w:rsidRPr="002E627F" w:rsidR="00AC0E53">
              <w:rPr>
                <w:rFonts w:ascii="Verdana" w:hAnsi="Verdana" w:cs="Arial"/>
                <w:iCs/>
                <w:sz w:val="16"/>
                <w:szCs w:val="16"/>
              </w:rPr>
              <w:t>83, vierde lid, 85, eerste lid, CRD</w:t>
            </w:r>
            <w:r w:rsidRPr="002E627F" w:rsidR="0004520D">
              <w:rPr>
                <w:rFonts w:ascii="Verdana" w:hAnsi="Verdana" w:cs="Arial"/>
                <w:iCs/>
                <w:sz w:val="16"/>
                <w:szCs w:val="16"/>
              </w:rPr>
              <w:t xml:space="preserve">; </w:t>
            </w:r>
            <w:r w:rsidRPr="002E627F" w:rsidR="002E627F">
              <w:rPr>
                <w:rFonts w:ascii="Verdana" w:hAnsi="Verdana" w:cs="Arial"/>
                <w:iCs/>
                <w:sz w:val="16"/>
                <w:szCs w:val="16"/>
              </w:rPr>
              <w:t xml:space="preserve">wordt </w:t>
            </w:r>
            <w:r w:rsidRPr="002E627F" w:rsidR="0004520D">
              <w:rPr>
                <w:rFonts w:ascii="Verdana" w:hAnsi="Verdana" w:cs="Arial"/>
                <w:iCs/>
                <w:sz w:val="16"/>
                <w:szCs w:val="16"/>
              </w:rPr>
              <w:t>geïmplementeerd middels dynamische verwijzing in 23a Bpr</w:t>
            </w:r>
            <w:r w:rsidRPr="002E627F" w:rsidR="002E627F">
              <w:rPr>
                <w:rFonts w:ascii="Verdana" w:hAnsi="Verdana" w:cs="Arial"/>
                <w:iCs/>
                <w:sz w:val="16"/>
                <w:szCs w:val="16"/>
              </w:rPr>
              <w:t xml:space="preserve"> op grond van 3:17 Wft</w:t>
            </w:r>
            <w:r w:rsidRPr="002E627F" w:rsidR="00AC0E53">
              <w:rPr>
                <w:rFonts w:ascii="Verdana" w:hAnsi="Verdana" w:cs="Arial"/>
                <w:iCs/>
                <w:sz w:val="16"/>
                <w:szCs w:val="16"/>
              </w:rPr>
              <w:t>)</w:t>
            </w:r>
          </w:p>
        </w:tc>
        <w:tc>
          <w:tcPr>
            <w:tcW w:w="1460" w:type="dxa"/>
          </w:tcPr>
          <w:p w:rsidRPr="002E627F" w:rsidR="00FA22DF" w:rsidP="001E56AB" w:rsidRDefault="003400BA" w14:paraId="1C90E01B" w14:textId="4E310713">
            <w:pPr>
              <w:widowControl w:val="0"/>
              <w:spacing w:line="240" w:lineRule="atLeast"/>
              <w:rPr>
                <w:rFonts w:ascii="Verdana" w:hAnsi="Verdana" w:cs="Arial"/>
                <w:iCs/>
                <w:sz w:val="16"/>
                <w:szCs w:val="16"/>
              </w:rPr>
            </w:pPr>
            <w:r>
              <w:rPr>
                <w:rFonts w:ascii="Verdana" w:hAnsi="Verdana" w:cs="Arial"/>
                <w:iCs/>
                <w:sz w:val="16"/>
                <w:szCs w:val="16"/>
              </w:rPr>
              <w:t>2</w:t>
            </w:r>
            <w:r w:rsidRPr="002E627F" w:rsidR="0004520D">
              <w:rPr>
                <w:rFonts w:ascii="Verdana" w:hAnsi="Verdana" w:cs="Arial"/>
                <w:iCs/>
                <w:sz w:val="16"/>
                <w:szCs w:val="16"/>
              </w:rPr>
              <w:t>0-</w:t>
            </w:r>
            <w:r>
              <w:rPr>
                <w:rFonts w:ascii="Verdana" w:hAnsi="Verdana" w:cs="Arial"/>
                <w:iCs/>
                <w:sz w:val="16"/>
                <w:szCs w:val="16"/>
              </w:rPr>
              <w:t>3</w:t>
            </w:r>
            <w:r w:rsidRPr="002E627F" w:rsidR="0004520D">
              <w:rPr>
                <w:rFonts w:ascii="Verdana" w:hAnsi="Verdana" w:cs="Arial"/>
                <w:iCs/>
                <w:sz w:val="16"/>
                <w:szCs w:val="16"/>
              </w:rPr>
              <w:t>0 uur</w:t>
            </w:r>
            <w:r w:rsidRPr="002E627F" w:rsidR="00630CEC">
              <w:rPr>
                <w:rFonts w:ascii="Verdana" w:hAnsi="Verdana" w:cs="Arial"/>
                <w:iCs/>
                <w:sz w:val="16"/>
                <w:szCs w:val="16"/>
              </w:rPr>
              <w:t xml:space="preserve"> </w:t>
            </w:r>
          </w:p>
        </w:tc>
        <w:tc>
          <w:tcPr>
            <w:tcW w:w="1271" w:type="dxa"/>
          </w:tcPr>
          <w:p w:rsidRPr="002E627F" w:rsidR="00FA22DF" w:rsidP="001E56AB" w:rsidRDefault="003400BA" w14:paraId="7CF23144" w14:textId="5F22988A">
            <w:pPr>
              <w:widowControl w:val="0"/>
              <w:spacing w:line="240" w:lineRule="atLeast"/>
              <w:rPr>
                <w:rFonts w:ascii="Verdana" w:hAnsi="Verdana" w:cs="Arial"/>
                <w:iCs/>
                <w:sz w:val="16"/>
                <w:szCs w:val="16"/>
              </w:rPr>
            </w:pPr>
            <w:r>
              <w:rPr>
                <w:rFonts w:ascii="Verdana" w:hAnsi="Verdana" w:cs="Arial"/>
                <w:iCs/>
                <w:sz w:val="16"/>
                <w:szCs w:val="16"/>
              </w:rPr>
              <w:t>N.v.t.</w:t>
            </w:r>
          </w:p>
        </w:tc>
      </w:tr>
      <w:tr w:rsidRPr="002E627F" w:rsidR="00FA22DF" w:rsidTr="00227A0D" w14:paraId="79D84B6D" w14:textId="77777777">
        <w:tc>
          <w:tcPr>
            <w:tcW w:w="4509" w:type="dxa"/>
          </w:tcPr>
          <w:p w:rsidRPr="002E627F" w:rsidR="00FA22DF" w:rsidP="001E56AB" w:rsidRDefault="00305754" w14:paraId="57824819" w14:textId="679FC1B7">
            <w:pPr>
              <w:widowControl w:val="0"/>
              <w:spacing w:line="240" w:lineRule="atLeast"/>
              <w:rPr>
                <w:rFonts w:ascii="Verdana" w:hAnsi="Verdana" w:cs="Arial"/>
                <w:iCs/>
                <w:sz w:val="16"/>
                <w:szCs w:val="16"/>
              </w:rPr>
            </w:pPr>
            <w:r>
              <w:rPr>
                <w:rFonts w:ascii="Verdana" w:hAnsi="Verdana" w:cs="Arial"/>
                <w:iCs/>
                <w:sz w:val="16"/>
                <w:szCs w:val="16"/>
              </w:rPr>
              <w:t>Lijst met i</w:t>
            </w:r>
            <w:r w:rsidRPr="002E627F" w:rsidR="0004520D">
              <w:rPr>
                <w:rFonts w:ascii="Verdana" w:hAnsi="Verdana" w:cs="Arial"/>
                <w:iCs/>
                <w:sz w:val="16"/>
                <w:szCs w:val="16"/>
              </w:rPr>
              <w:t>ndividuele verklaringen over taken en verantwoordelijkheden (art. 88 CRD; geïmplementeerd in 17c Bpr</w:t>
            </w:r>
            <w:r w:rsidRPr="002E627F" w:rsidR="002E627F">
              <w:rPr>
                <w:rFonts w:ascii="Verdana" w:hAnsi="Verdana" w:cs="Arial"/>
                <w:iCs/>
                <w:sz w:val="16"/>
                <w:szCs w:val="16"/>
              </w:rPr>
              <w:t xml:space="preserve"> op grond van 3:17 Wft</w:t>
            </w:r>
            <w:r w:rsidRPr="002E627F" w:rsidR="0004520D">
              <w:rPr>
                <w:rFonts w:ascii="Verdana" w:hAnsi="Verdana" w:cs="Arial"/>
                <w:iCs/>
                <w:sz w:val="16"/>
                <w:szCs w:val="16"/>
              </w:rPr>
              <w:t>)</w:t>
            </w:r>
          </w:p>
        </w:tc>
        <w:tc>
          <w:tcPr>
            <w:tcW w:w="1460" w:type="dxa"/>
          </w:tcPr>
          <w:p w:rsidRPr="002E627F" w:rsidR="00FA22DF" w:rsidP="001E56AB" w:rsidRDefault="0022402B" w14:paraId="3C14D082" w14:textId="5C4CAC46">
            <w:pPr>
              <w:widowControl w:val="0"/>
              <w:spacing w:line="240" w:lineRule="atLeast"/>
              <w:rPr>
                <w:rFonts w:ascii="Verdana" w:hAnsi="Verdana" w:cs="Arial"/>
                <w:iCs/>
                <w:sz w:val="16"/>
                <w:szCs w:val="16"/>
              </w:rPr>
            </w:pPr>
            <w:r>
              <w:rPr>
                <w:rFonts w:ascii="Verdana" w:hAnsi="Verdana" w:cs="Arial"/>
                <w:iCs/>
                <w:sz w:val="16"/>
                <w:szCs w:val="16"/>
              </w:rPr>
              <w:t>2,5</w:t>
            </w:r>
            <w:r w:rsidRPr="002E627F" w:rsidR="0004520D">
              <w:rPr>
                <w:rFonts w:ascii="Verdana" w:hAnsi="Verdana" w:cs="Arial"/>
                <w:iCs/>
                <w:sz w:val="16"/>
                <w:szCs w:val="16"/>
              </w:rPr>
              <w:t>-</w:t>
            </w:r>
            <w:r>
              <w:rPr>
                <w:rFonts w:ascii="Verdana" w:hAnsi="Verdana" w:cs="Arial"/>
                <w:iCs/>
                <w:sz w:val="16"/>
                <w:szCs w:val="16"/>
              </w:rPr>
              <w:t>5</w:t>
            </w:r>
            <w:r w:rsidRPr="002E627F" w:rsidR="0004520D">
              <w:rPr>
                <w:rFonts w:ascii="Verdana" w:hAnsi="Verdana" w:cs="Arial"/>
                <w:iCs/>
                <w:sz w:val="16"/>
                <w:szCs w:val="16"/>
              </w:rPr>
              <w:t xml:space="preserve"> uur</w:t>
            </w:r>
          </w:p>
        </w:tc>
        <w:tc>
          <w:tcPr>
            <w:tcW w:w="1271" w:type="dxa"/>
          </w:tcPr>
          <w:p w:rsidRPr="002E627F" w:rsidR="00FA22DF" w:rsidP="001E56AB" w:rsidRDefault="0022402B" w14:paraId="058FD483" w14:textId="29C23359">
            <w:pPr>
              <w:widowControl w:val="0"/>
              <w:spacing w:line="240" w:lineRule="atLeast"/>
              <w:rPr>
                <w:rFonts w:ascii="Verdana" w:hAnsi="Verdana" w:cs="Arial"/>
                <w:iCs/>
                <w:sz w:val="16"/>
                <w:szCs w:val="16"/>
              </w:rPr>
            </w:pPr>
            <w:r>
              <w:rPr>
                <w:rFonts w:ascii="Verdana" w:hAnsi="Verdana" w:cs="Arial"/>
                <w:iCs/>
                <w:sz w:val="16"/>
                <w:szCs w:val="16"/>
              </w:rPr>
              <w:t>1,</w:t>
            </w:r>
            <w:r w:rsidRPr="002E627F" w:rsidR="00536D48">
              <w:rPr>
                <w:rFonts w:ascii="Verdana" w:hAnsi="Verdana" w:cs="Arial"/>
                <w:iCs/>
                <w:sz w:val="16"/>
                <w:szCs w:val="16"/>
              </w:rPr>
              <w:t>2</w:t>
            </w:r>
            <w:r w:rsidRPr="002E627F" w:rsidR="0004520D">
              <w:rPr>
                <w:rFonts w:ascii="Verdana" w:hAnsi="Verdana" w:cs="Arial"/>
                <w:iCs/>
                <w:sz w:val="16"/>
                <w:szCs w:val="16"/>
              </w:rPr>
              <w:t>5-</w:t>
            </w:r>
            <w:r>
              <w:rPr>
                <w:rFonts w:ascii="Verdana" w:hAnsi="Verdana" w:cs="Arial"/>
                <w:iCs/>
                <w:sz w:val="16"/>
                <w:szCs w:val="16"/>
              </w:rPr>
              <w:t>2,</w:t>
            </w:r>
            <w:r w:rsidRPr="002E627F" w:rsidR="00536D48">
              <w:rPr>
                <w:rFonts w:ascii="Verdana" w:hAnsi="Verdana" w:cs="Arial"/>
                <w:iCs/>
                <w:sz w:val="16"/>
                <w:szCs w:val="16"/>
              </w:rPr>
              <w:t>5</w:t>
            </w:r>
            <w:r w:rsidRPr="002E627F" w:rsidR="0004520D">
              <w:rPr>
                <w:rFonts w:ascii="Verdana" w:hAnsi="Verdana" w:cs="Arial"/>
                <w:iCs/>
                <w:sz w:val="16"/>
                <w:szCs w:val="16"/>
              </w:rPr>
              <w:t xml:space="preserve"> uur</w:t>
            </w:r>
          </w:p>
        </w:tc>
      </w:tr>
      <w:tr w:rsidRPr="002E627F" w:rsidR="00FA22DF" w:rsidTr="00227A0D" w14:paraId="57554F71" w14:textId="77777777">
        <w:tc>
          <w:tcPr>
            <w:tcW w:w="4509" w:type="dxa"/>
          </w:tcPr>
          <w:p w:rsidRPr="002E627F" w:rsidR="00FA22DF" w:rsidP="001E56AB" w:rsidRDefault="0004520D" w14:paraId="0342F349" w14:textId="6E1F585E">
            <w:pPr>
              <w:widowControl w:val="0"/>
              <w:spacing w:line="240" w:lineRule="atLeast"/>
              <w:rPr>
                <w:rFonts w:ascii="Verdana" w:hAnsi="Verdana" w:cs="Arial"/>
                <w:iCs/>
                <w:sz w:val="16"/>
                <w:szCs w:val="16"/>
              </w:rPr>
            </w:pPr>
            <w:r w:rsidRPr="002E627F">
              <w:rPr>
                <w:rFonts w:ascii="Verdana" w:hAnsi="Verdana" w:cs="Arial"/>
                <w:iCs/>
                <w:sz w:val="16"/>
                <w:szCs w:val="16"/>
              </w:rPr>
              <w:t xml:space="preserve">Geschiktheid en betrouwbaarheidsbeoordelingen </w:t>
            </w:r>
            <w:r w:rsidRPr="002E627F">
              <w:rPr>
                <w:rFonts w:ascii="Verdana" w:hAnsi="Verdana" w:cs="Arial"/>
                <w:iCs/>
                <w:sz w:val="16"/>
                <w:szCs w:val="16"/>
              </w:rPr>
              <w:lastRenderedPageBreak/>
              <w:t>voor medewerkers met een sleutelfunctie</w:t>
            </w:r>
            <w:r w:rsidRPr="002E627F" w:rsidR="00850A01">
              <w:rPr>
                <w:rFonts w:ascii="Verdana" w:hAnsi="Verdana" w:cs="Arial"/>
                <w:iCs/>
                <w:sz w:val="16"/>
                <w:szCs w:val="16"/>
              </w:rPr>
              <w:t xml:space="preserve"> (art. 91, 91 bis CRD; </w:t>
            </w:r>
            <w:r w:rsidRPr="002E627F" w:rsidR="00227A0D">
              <w:rPr>
                <w:rFonts w:ascii="Verdana" w:hAnsi="Verdana" w:cs="Arial"/>
                <w:iCs/>
                <w:sz w:val="16"/>
                <w:szCs w:val="16"/>
              </w:rPr>
              <w:t>geïmplementeerd</w:t>
            </w:r>
            <w:r w:rsidRPr="002E627F" w:rsidR="00850A01">
              <w:rPr>
                <w:rFonts w:ascii="Verdana" w:hAnsi="Verdana" w:cs="Arial"/>
                <w:iCs/>
                <w:sz w:val="16"/>
                <w:szCs w:val="16"/>
              </w:rPr>
              <w:t xml:space="preserve"> in 3:9b/4:10a Wft)</w:t>
            </w:r>
          </w:p>
        </w:tc>
        <w:tc>
          <w:tcPr>
            <w:tcW w:w="1460" w:type="dxa"/>
          </w:tcPr>
          <w:p w:rsidRPr="002E627F" w:rsidR="00FA22DF" w:rsidP="001E56AB" w:rsidRDefault="00635D11" w14:paraId="3A7BF9D5" w14:textId="75412EB3">
            <w:pPr>
              <w:widowControl w:val="0"/>
              <w:spacing w:line="240" w:lineRule="atLeast"/>
              <w:rPr>
                <w:rFonts w:ascii="Verdana" w:hAnsi="Verdana" w:cs="Arial"/>
                <w:iCs/>
                <w:sz w:val="16"/>
                <w:szCs w:val="16"/>
              </w:rPr>
            </w:pPr>
            <w:r>
              <w:rPr>
                <w:rFonts w:ascii="Verdana" w:hAnsi="Verdana" w:cs="Arial"/>
                <w:iCs/>
                <w:sz w:val="16"/>
                <w:szCs w:val="16"/>
              </w:rPr>
              <w:lastRenderedPageBreak/>
              <w:t>1</w:t>
            </w:r>
            <w:r w:rsidRPr="002E627F" w:rsidR="0004520D">
              <w:rPr>
                <w:rFonts w:ascii="Verdana" w:hAnsi="Verdana" w:cs="Arial"/>
                <w:iCs/>
                <w:sz w:val="16"/>
                <w:szCs w:val="16"/>
              </w:rPr>
              <w:t>0</w:t>
            </w:r>
            <w:r w:rsidRPr="002E627F" w:rsidR="00764811">
              <w:rPr>
                <w:rFonts w:ascii="Verdana" w:hAnsi="Verdana" w:cs="Arial"/>
                <w:iCs/>
                <w:sz w:val="16"/>
                <w:szCs w:val="16"/>
              </w:rPr>
              <w:t>-</w:t>
            </w:r>
            <w:r>
              <w:rPr>
                <w:rFonts w:ascii="Verdana" w:hAnsi="Verdana" w:cs="Arial"/>
                <w:iCs/>
                <w:sz w:val="16"/>
                <w:szCs w:val="16"/>
              </w:rPr>
              <w:t>15</w:t>
            </w:r>
            <w:r w:rsidRPr="002E627F" w:rsidR="0004520D">
              <w:rPr>
                <w:rFonts w:ascii="Verdana" w:hAnsi="Verdana" w:cs="Arial"/>
                <w:iCs/>
                <w:sz w:val="16"/>
                <w:szCs w:val="16"/>
              </w:rPr>
              <w:t xml:space="preserve"> uur</w:t>
            </w:r>
          </w:p>
        </w:tc>
        <w:tc>
          <w:tcPr>
            <w:tcW w:w="1271" w:type="dxa"/>
          </w:tcPr>
          <w:p w:rsidRPr="002E627F" w:rsidR="00FA22DF" w:rsidP="001E56AB" w:rsidRDefault="00386060" w14:paraId="412C30B4" w14:textId="60163DD0">
            <w:pPr>
              <w:widowControl w:val="0"/>
              <w:spacing w:line="240" w:lineRule="atLeast"/>
              <w:rPr>
                <w:rFonts w:ascii="Verdana" w:hAnsi="Verdana" w:cs="Arial"/>
                <w:iCs/>
                <w:sz w:val="16"/>
                <w:szCs w:val="16"/>
              </w:rPr>
            </w:pPr>
            <w:r w:rsidRPr="002E627F">
              <w:rPr>
                <w:rFonts w:ascii="Verdana" w:hAnsi="Verdana" w:cs="Arial"/>
                <w:iCs/>
                <w:sz w:val="16"/>
                <w:szCs w:val="16"/>
              </w:rPr>
              <w:t>N.v.t.</w:t>
            </w:r>
          </w:p>
        </w:tc>
      </w:tr>
      <w:tr w:rsidRPr="002E627F" w:rsidR="00B3177C" w:rsidTr="00227A0D" w14:paraId="06E7312C" w14:textId="77777777">
        <w:tc>
          <w:tcPr>
            <w:tcW w:w="4509" w:type="dxa"/>
          </w:tcPr>
          <w:p w:rsidRPr="002E627F" w:rsidR="00B3177C" w:rsidP="00B3177C" w:rsidRDefault="00B3177C" w14:paraId="32A33130" w14:textId="1559B3AD">
            <w:pPr>
              <w:widowControl w:val="0"/>
              <w:spacing w:line="240" w:lineRule="atLeast"/>
              <w:rPr>
                <w:rFonts w:ascii="Verdana" w:hAnsi="Verdana" w:cs="Arial"/>
                <w:iCs/>
                <w:sz w:val="16"/>
                <w:szCs w:val="16"/>
              </w:rPr>
            </w:pPr>
            <w:r w:rsidRPr="002E627F">
              <w:rPr>
                <w:rFonts w:ascii="Verdana" w:hAnsi="Verdana" w:cs="Arial"/>
                <w:iCs/>
                <w:sz w:val="16"/>
                <w:szCs w:val="16"/>
              </w:rPr>
              <w:t>ESG-risico’s meenemen in interne governance, risicobeheer, geschiktheid bestuur en beloningsbeleid (art. 74, eerste lid, 76, eerste en tweede lid, 87 bis, 91, zevende lid, 94, eerste lid, CRD; geïmplementeerd in 23a Bpr</w:t>
            </w:r>
            <w:r w:rsidRPr="002E627F" w:rsidR="002E627F">
              <w:rPr>
                <w:rFonts w:ascii="Verdana" w:hAnsi="Verdana" w:cs="Arial"/>
                <w:iCs/>
                <w:sz w:val="16"/>
                <w:szCs w:val="16"/>
              </w:rPr>
              <w:t xml:space="preserve"> op grond van 3:17 Wft</w:t>
            </w:r>
            <w:r w:rsidRPr="002E627F">
              <w:rPr>
                <w:rFonts w:ascii="Verdana" w:hAnsi="Verdana" w:cs="Arial"/>
                <w:iCs/>
                <w:sz w:val="16"/>
                <w:szCs w:val="16"/>
              </w:rPr>
              <w:t>)</w:t>
            </w:r>
          </w:p>
          <w:p w:rsidRPr="002E627F" w:rsidR="00B3177C" w:rsidP="00B3177C" w:rsidRDefault="00B3177C" w14:paraId="39A2BC41" w14:textId="77777777">
            <w:pPr>
              <w:widowControl w:val="0"/>
              <w:spacing w:line="240" w:lineRule="atLeast"/>
              <w:rPr>
                <w:rFonts w:ascii="Verdana" w:hAnsi="Verdana" w:cs="Arial"/>
                <w:iCs/>
                <w:sz w:val="16"/>
                <w:szCs w:val="16"/>
              </w:rPr>
            </w:pPr>
          </w:p>
          <w:p w:rsidRPr="002E627F" w:rsidR="00B3177C" w:rsidP="00B3177C" w:rsidRDefault="00B3177C" w14:paraId="45D090E4" w14:textId="4038CC6F">
            <w:pPr>
              <w:widowControl w:val="0"/>
              <w:spacing w:line="240" w:lineRule="atLeast"/>
              <w:rPr>
                <w:rFonts w:ascii="Verdana" w:hAnsi="Verdana" w:cs="Arial"/>
                <w:iCs/>
                <w:sz w:val="16"/>
                <w:szCs w:val="16"/>
              </w:rPr>
            </w:pPr>
            <w:r w:rsidRPr="002E627F">
              <w:rPr>
                <w:rFonts w:ascii="Verdana" w:hAnsi="Verdana" w:cs="Arial"/>
                <w:iCs/>
                <w:sz w:val="16"/>
                <w:szCs w:val="16"/>
              </w:rPr>
              <w:t>Vanwege de mogelijkheid om proportionaliteit te bieden aan kleine en niet-complexe banken bij het opstellen van ESG-plannen, wordt er een uitsplitsing gemaakt tussen de twee type banken.</w:t>
            </w:r>
          </w:p>
        </w:tc>
        <w:tc>
          <w:tcPr>
            <w:tcW w:w="1460" w:type="dxa"/>
          </w:tcPr>
          <w:p w:rsidRPr="002E627F" w:rsidR="00B3177C" w:rsidP="00B3177C" w:rsidRDefault="00B3177C" w14:paraId="75771482" w14:textId="678118EF">
            <w:pPr>
              <w:widowControl w:val="0"/>
              <w:spacing w:line="240" w:lineRule="atLeast"/>
              <w:rPr>
                <w:rFonts w:ascii="Verdana" w:hAnsi="Verdana" w:cs="Arial"/>
                <w:iCs/>
                <w:sz w:val="16"/>
                <w:szCs w:val="16"/>
              </w:rPr>
            </w:pPr>
            <w:r w:rsidRPr="002E627F">
              <w:rPr>
                <w:rFonts w:ascii="Verdana" w:hAnsi="Verdana" w:cs="Arial"/>
                <w:iCs/>
                <w:sz w:val="16"/>
                <w:szCs w:val="16"/>
              </w:rPr>
              <w:t xml:space="preserve">Reguliere banken: </w:t>
            </w:r>
            <w:r w:rsidRPr="002E627F" w:rsidR="003D5EA9">
              <w:rPr>
                <w:rFonts w:ascii="Verdana" w:hAnsi="Verdana" w:cs="Arial"/>
                <w:iCs/>
                <w:sz w:val="16"/>
                <w:szCs w:val="16"/>
              </w:rPr>
              <w:t>5</w:t>
            </w:r>
            <w:r w:rsidR="00271E9A">
              <w:rPr>
                <w:rFonts w:ascii="Verdana" w:hAnsi="Verdana" w:cs="Arial"/>
                <w:iCs/>
                <w:sz w:val="16"/>
                <w:szCs w:val="16"/>
              </w:rPr>
              <w:t>0</w:t>
            </w:r>
            <w:r w:rsidRPr="002E627F">
              <w:rPr>
                <w:rFonts w:ascii="Verdana" w:hAnsi="Verdana" w:cs="Arial"/>
                <w:iCs/>
                <w:sz w:val="16"/>
                <w:szCs w:val="16"/>
              </w:rPr>
              <w:t>0-1</w:t>
            </w:r>
            <w:r w:rsidR="00271E9A">
              <w:rPr>
                <w:rFonts w:ascii="Verdana" w:hAnsi="Verdana" w:cs="Arial"/>
                <w:iCs/>
                <w:sz w:val="16"/>
                <w:szCs w:val="16"/>
              </w:rPr>
              <w:t>0</w:t>
            </w:r>
            <w:r w:rsidRPr="002E627F">
              <w:rPr>
                <w:rFonts w:ascii="Verdana" w:hAnsi="Verdana" w:cs="Arial"/>
                <w:iCs/>
                <w:sz w:val="16"/>
                <w:szCs w:val="16"/>
              </w:rPr>
              <w:t>00 uur</w:t>
            </w:r>
          </w:p>
          <w:p w:rsidRPr="002E627F" w:rsidR="00B3177C" w:rsidP="00B3177C" w:rsidRDefault="00B3177C" w14:paraId="745AC126" w14:textId="77777777">
            <w:pPr>
              <w:widowControl w:val="0"/>
              <w:spacing w:line="240" w:lineRule="atLeast"/>
              <w:rPr>
                <w:rFonts w:ascii="Verdana" w:hAnsi="Verdana" w:cs="Arial"/>
                <w:iCs/>
                <w:sz w:val="16"/>
                <w:szCs w:val="16"/>
              </w:rPr>
            </w:pPr>
          </w:p>
          <w:p w:rsidR="002E627F" w:rsidP="00B3177C" w:rsidRDefault="002E627F" w14:paraId="6F2AE565" w14:textId="77777777">
            <w:pPr>
              <w:widowControl w:val="0"/>
              <w:spacing w:line="240" w:lineRule="atLeast"/>
              <w:rPr>
                <w:rFonts w:ascii="Verdana" w:hAnsi="Verdana" w:cs="Arial"/>
                <w:iCs/>
                <w:sz w:val="16"/>
                <w:szCs w:val="16"/>
              </w:rPr>
            </w:pPr>
          </w:p>
          <w:p w:rsidR="00271E9A" w:rsidP="00B3177C" w:rsidRDefault="00271E9A" w14:paraId="09445F5D" w14:textId="77777777">
            <w:pPr>
              <w:widowControl w:val="0"/>
              <w:spacing w:line="240" w:lineRule="atLeast"/>
              <w:rPr>
                <w:rFonts w:ascii="Verdana" w:hAnsi="Verdana" w:cs="Arial"/>
                <w:iCs/>
                <w:sz w:val="16"/>
                <w:szCs w:val="16"/>
              </w:rPr>
            </w:pPr>
          </w:p>
          <w:p w:rsidRPr="002E627F" w:rsidR="00230DB4" w:rsidP="00B3177C" w:rsidRDefault="00B3177C" w14:paraId="3589452C" w14:textId="51FDE859">
            <w:pPr>
              <w:widowControl w:val="0"/>
              <w:spacing w:line="240" w:lineRule="atLeast"/>
              <w:rPr>
                <w:rFonts w:ascii="Verdana" w:hAnsi="Verdana" w:cs="Arial"/>
                <w:iCs/>
                <w:sz w:val="16"/>
                <w:szCs w:val="16"/>
              </w:rPr>
            </w:pPr>
            <w:r w:rsidRPr="002E627F">
              <w:rPr>
                <w:rFonts w:ascii="Verdana" w:hAnsi="Verdana" w:cs="Arial"/>
                <w:iCs/>
                <w:sz w:val="16"/>
                <w:szCs w:val="16"/>
              </w:rPr>
              <w:t xml:space="preserve">Kleine en niet-complexe banken: </w:t>
            </w:r>
          </w:p>
          <w:p w:rsidRPr="002E627F" w:rsidR="00B3177C" w:rsidP="00B3177C" w:rsidRDefault="00271E9A" w14:paraId="6D535ACF" w14:textId="69DCA65C">
            <w:pPr>
              <w:widowControl w:val="0"/>
              <w:spacing w:line="240" w:lineRule="atLeast"/>
              <w:rPr>
                <w:rFonts w:ascii="Verdana" w:hAnsi="Verdana" w:cs="Arial"/>
                <w:iCs/>
                <w:sz w:val="16"/>
                <w:szCs w:val="16"/>
              </w:rPr>
            </w:pPr>
            <w:r>
              <w:rPr>
                <w:rFonts w:ascii="Verdana" w:hAnsi="Verdana" w:cs="Arial"/>
                <w:iCs/>
                <w:sz w:val="16"/>
                <w:szCs w:val="16"/>
              </w:rPr>
              <w:t>2</w:t>
            </w:r>
            <w:r w:rsidRPr="002E627F" w:rsidR="00230DB4">
              <w:rPr>
                <w:rFonts w:ascii="Verdana" w:hAnsi="Verdana" w:cs="Arial"/>
                <w:iCs/>
                <w:sz w:val="16"/>
                <w:szCs w:val="16"/>
              </w:rPr>
              <w:t>5</w:t>
            </w:r>
            <w:r>
              <w:rPr>
                <w:rFonts w:ascii="Verdana" w:hAnsi="Verdana" w:cs="Arial"/>
                <w:iCs/>
                <w:sz w:val="16"/>
                <w:szCs w:val="16"/>
              </w:rPr>
              <w:t>0</w:t>
            </w:r>
            <w:r w:rsidRPr="002E627F" w:rsidR="00B3177C">
              <w:rPr>
                <w:rFonts w:ascii="Verdana" w:hAnsi="Verdana" w:cs="Arial"/>
                <w:iCs/>
                <w:sz w:val="16"/>
                <w:szCs w:val="16"/>
              </w:rPr>
              <w:t>-</w:t>
            </w:r>
            <w:r>
              <w:rPr>
                <w:rFonts w:ascii="Verdana" w:hAnsi="Verdana" w:cs="Arial"/>
                <w:iCs/>
                <w:sz w:val="16"/>
                <w:szCs w:val="16"/>
              </w:rPr>
              <w:t>50</w:t>
            </w:r>
            <w:r w:rsidRPr="002E627F" w:rsidR="00B3177C">
              <w:rPr>
                <w:rFonts w:ascii="Verdana" w:hAnsi="Verdana" w:cs="Arial"/>
                <w:iCs/>
                <w:sz w:val="16"/>
                <w:szCs w:val="16"/>
              </w:rPr>
              <w:t>0 uur</w:t>
            </w:r>
          </w:p>
        </w:tc>
        <w:tc>
          <w:tcPr>
            <w:tcW w:w="1271" w:type="dxa"/>
          </w:tcPr>
          <w:p w:rsidRPr="002E627F" w:rsidR="00B3177C" w:rsidP="00B3177C" w:rsidRDefault="00B3177C" w14:paraId="11D4538C" w14:textId="3D498E06">
            <w:pPr>
              <w:widowControl w:val="0"/>
              <w:spacing w:line="240" w:lineRule="atLeast"/>
              <w:rPr>
                <w:rFonts w:ascii="Verdana" w:hAnsi="Verdana" w:cs="Arial"/>
                <w:iCs/>
                <w:sz w:val="16"/>
                <w:szCs w:val="16"/>
              </w:rPr>
            </w:pPr>
            <w:r w:rsidRPr="002E627F">
              <w:rPr>
                <w:rFonts w:ascii="Verdana" w:hAnsi="Verdana" w:cs="Arial"/>
                <w:iCs/>
                <w:sz w:val="16"/>
                <w:szCs w:val="16"/>
              </w:rPr>
              <w:t xml:space="preserve">Reguliere banken: </w:t>
            </w:r>
            <w:r w:rsidR="00271E9A">
              <w:rPr>
                <w:rFonts w:ascii="Verdana" w:hAnsi="Verdana" w:cs="Arial"/>
                <w:iCs/>
                <w:sz w:val="16"/>
                <w:szCs w:val="16"/>
              </w:rPr>
              <w:t>22</w:t>
            </w:r>
            <w:r w:rsidRPr="002E627F" w:rsidR="003D5EA9">
              <w:rPr>
                <w:rFonts w:ascii="Verdana" w:hAnsi="Verdana" w:cs="Arial"/>
                <w:iCs/>
                <w:sz w:val="16"/>
                <w:szCs w:val="16"/>
              </w:rPr>
              <w:t>5</w:t>
            </w:r>
            <w:r w:rsidRPr="002E627F">
              <w:rPr>
                <w:rFonts w:ascii="Verdana" w:hAnsi="Verdana" w:cs="Arial"/>
                <w:iCs/>
                <w:sz w:val="16"/>
                <w:szCs w:val="16"/>
              </w:rPr>
              <w:t>-</w:t>
            </w:r>
            <w:r w:rsidR="00271E9A">
              <w:rPr>
                <w:rFonts w:ascii="Verdana" w:hAnsi="Verdana" w:cs="Arial"/>
                <w:iCs/>
                <w:sz w:val="16"/>
                <w:szCs w:val="16"/>
              </w:rPr>
              <w:t>4</w:t>
            </w:r>
            <w:r w:rsidRPr="002E627F" w:rsidR="003D5EA9">
              <w:rPr>
                <w:rFonts w:ascii="Verdana" w:hAnsi="Verdana" w:cs="Arial"/>
                <w:iCs/>
                <w:sz w:val="16"/>
                <w:szCs w:val="16"/>
              </w:rPr>
              <w:t>50</w:t>
            </w:r>
            <w:r w:rsidRPr="002E627F">
              <w:rPr>
                <w:rFonts w:ascii="Verdana" w:hAnsi="Verdana" w:cs="Arial"/>
                <w:iCs/>
                <w:sz w:val="16"/>
                <w:szCs w:val="16"/>
              </w:rPr>
              <w:t xml:space="preserve"> uur</w:t>
            </w:r>
          </w:p>
          <w:p w:rsidRPr="002E627F" w:rsidR="00B3177C" w:rsidP="00B3177C" w:rsidRDefault="00B3177C" w14:paraId="1995D111" w14:textId="77777777">
            <w:pPr>
              <w:widowControl w:val="0"/>
              <w:spacing w:line="240" w:lineRule="atLeast"/>
              <w:rPr>
                <w:rFonts w:ascii="Verdana" w:hAnsi="Verdana" w:cs="Arial"/>
                <w:iCs/>
                <w:sz w:val="16"/>
                <w:szCs w:val="16"/>
              </w:rPr>
            </w:pPr>
          </w:p>
          <w:p w:rsidRPr="002E627F" w:rsidR="00B3177C" w:rsidP="00B3177C" w:rsidRDefault="00B3177C" w14:paraId="23823D4A" w14:textId="77777777">
            <w:pPr>
              <w:widowControl w:val="0"/>
              <w:spacing w:line="240" w:lineRule="atLeast"/>
              <w:rPr>
                <w:rFonts w:ascii="Verdana" w:hAnsi="Verdana" w:cs="Arial"/>
                <w:iCs/>
                <w:sz w:val="16"/>
                <w:szCs w:val="16"/>
              </w:rPr>
            </w:pPr>
          </w:p>
          <w:p w:rsidR="002E627F" w:rsidP="00B3177C" w:rsidRDefault="002E627F" w14:paraId="5D1D628F" w14:textId="77777777">
            <w:pPr>
              <w:widowControl w:val="0"/>
              <w:spacing w:line="240" w:lineRule="atLeast"/>
              <w:rPr>
                <w:rFonts w:ascii="Verdana" w:hAnsi="Verdana" w:cs="Arial"/>
                <w:iCs/>
                <w:sz w:val="16"/>
                <w:szCs w:val="16"/>
              </w:rPr>
            </w:pPr>
          </w:p>
          <w:p w:rsidRPr="002E627F" w:rsidR="00230DB4" w:rsidP="00B3177C" w:rsidRDefault="00B3177C" w14:paraId="2DA40261" w14:textId="2FDE7198">
            <w:pPr>
              <w:widowControl w:val="0"/>
              <w:spacing w:line="240" w:lineRule="atLeast"/>
              <w:rPr>
                <w:rFonts w:ascii="Verdana" w:hAnsi="Verdana" w:cs="Arial"/>
                <w:iCs/>
                <w:sz w:val="16"/>
                <w:szCs w:val="16"/>
              </w:rPr>
            </w:pPr>
            <w:r w:rsidRPr="002E627F">
              <w:rPr>
                <w:rFonts w:ascii="Verdana" w:hAnsi="Verdana" w:cs="Arial"/>
                <w:iCs/>
                <w:sz w:val="16"/>
                <w:szCs w:val="16"/>
              </w:rPr>
              <w:t xml:space="preserve">Kleine en niet-complexe banken: </w:t>
            </w:r>
          </w:p>
          <w:p w:rsidRPr="002E627F" w:rsidR="00B3177C" w:rsidP="00B3177C" w:rsidRDefault="00230DB4" w14:paraId="31CFAB30" w14:textId="667A71C4">
            <w:pPr>
              <w:widowControl w:val="0"/>
              <w:spacing w:line="240" w:lineRule="atLeast"/>
              <w:rPr>
                <w:rFonts w:ascii="Verdana" w:hAnsi="Verdana" w:cs="Arial"/>
                <w:iCs/>
                <w:sz w:val="16"/>
                <w:szCs w:val="16"/>
              </w:rPr>
            </w:pPr>
            <w:r w:rsidRPr="002E627F">
              <w:rPr>
                <w:rFonts w:ascii="Verdana" w:hAnsi="Verdana" w:cs="Arial"/>
                <w:iCs/>
                <w:sz w:val="16"/>
                <w:szCs w:val="16"/>
              </w:rPr>
              <w:t>1</w:t>
            </w:r>
            <w:r w:rsidR="00271E9A">
              <w:rPr>
                <w:rFonts w:ascii="Verdana" w:hAnsi="Verdana" w:cs="Arial"/>
                <w:iCs/>
                <w:sz w:val="16"/>
                <w:szCs w:val="16"/>
              </w:rPr>
              <w:t>12.5</w:t>
            </w:r>
            <w:r w:rsidRPr="002E627F" w:rsidR="00B3177C">
              <w:rPr>
                <w:rFonts w:ascii="Verdana" w:hAnsi="Verdana" w:cs="Arial"/>
                <w:iCs/>
                <w:sz w:val="16"/>
                <w:szCs w:val="16"/>
              </w:rPr>
              <w:t>-</w:t>
            </w:r>
            <w:r w:rsidR="00271E9A">
              <w:rPr>
                <w:rFonts w:ascii="Verdana" w:hAnsi="Verdana" w:cs="Arial"/>
                <w:iCs/>
                <w:sz w:val="16"/>
                <w:szCs w:val="16"/>
              </w:rPr>
              <w:t>22</w:t>
            </w:r>
            <w:r w:rsidRPr="002E627F">
              <w:rPr>
                <w:rFonts w:ascii="Verdana" w:hAnsi="Verdana" w:cs="Arial"/>
                <w:iCs/>
                <w:sz w:val="16"/>
                <w:szCs w:val="16"/>
              </w:rPr>
              <w:t>5</w:t>
            </w:r>
            <w:r w:rsidRPr="002E627F" w:rsidR="00B3177C">
              <w:rPr>
                <w:rFonts w:ascii="Verdana" w:hAnsi="Verdana" w:cs="Arial"/>
                <w:iCs/>
                <w:sz w:val="16"/>
                <w:szCs w:val="16"/>
              </w:rPr>
              <w:t xml:space="preserve"> uur</w:t>
            </w:r>
          </w:p>
        </w:tc>
      </w:tr>
      <w:tr w:rsidRPr="002E627F" w:rsidR="00B3177C" w:rsidTr="00227A0D" w14:paraId="6B9881AD" w14:textId="77777777">
        <w:tc>
          <w:tcPr>
            <w:tcW w:w="4509" w:type="dxa"/>
          </w:tcPr>
          <w:p w:rsidRPr="002E627F" w:rsidR="00B3177C" w:rsidP="00B3177C" w:rsidRDefault="001C0C28" w14:paraId="02A0D20A" w14:textId="4831F146">
            <w:pPr>
              <w:widowControl w:val="0"/>
              <w:spacing w:line="240" w:lineRule="atLeast"/>
              <w:rPr>
                <w:rFonts w:ascii="Verdana" w:hAnsi="Verdana" w:cs="Arial"/>
                <w:iCs/>
                <w:sz w:val="16"/>
                <w:szCs w:val="16"/>
              </w:rPr>
            </w:pPr>
            <w:r>
              <w:rPr>
                <w:rFonts w:ascii="Verdana" w:hAnsi="Verdana" w:cs="Arial"/>
                <w:iCs/>
                <w:sz w:val="16"/>
                <w:szCs w:val="16"/>
              </w:rPr>
              <w:t>Derde land</w:t>
            </w:r>
            <w:r w:rsidRPr="002E627F" w:rsidR="00B3177C">
              <w:rPr>
                <w:rFonts w:ascii="Verdana" w:hAnsi="Verdana" w:cs="Arial"/>
                <w:iCs/>
                <w:sz w:val="16"/>
                <w:szCs w:val="16"/>
              </w:rPr>
              <w:t xml:space="preserve"> bijkantorenregime (art. 21 quater en 47 t/m 48 septdecies</w:t>
            </w:r>
            <w:r w:rsidRPr="002E627F" w:rsidR="002E627F">
              <w:rPr>
                <w:rFonts w:ascii="Verdana" w:hAnsi="Verdana" w:cs="Arial"/>
                <w:iCs/>
                <w:sz w:val="16"/>
                <w:szCs w:val="16"/>
              </w:rPr>
              <w:t xml:space="preserve"> CRD</w:t>
            </w:r>
            <w:r w:rsidRPr="002E627F" w:rsidR="00B3177C">
              <w:rPr>
                <w:rFonts w:ascii="Verdana" w:hAnsi="Verdana" w:cs="Arial"/>
                <w:iCs/>
                <w:sz w:val="16"/>
                <w:szCs w:val="16"/>
              </w:rPr>
              <w:t>; implementatie in 2:20/2:21 en Deel 3 Wft</w:t>
            </w:r>
            <w:r w:rsidRPr="002E627F" w:rsidR="002E627F">
              <w:rPr>
                <w:rFonts w:ascii="Verdana" w:hAnsi="Verdana" w:cs="Arial"/>
                <w:iCs/>
                <w:sz w:val="16"/>
                <w:szCs w:val="16"/>
              </w:rPr>
              <w:t>, verdere uitwerking in Besluit Markttoegang financiële ondernemingen Wft en Bpr</w:t>
            </w:r>
            <w:r w:rsidRPr="002E627F" w:rsidR="00B3177C">
              <w:rPr>
                <w:rFonts w:ascii="Verdana" w:hAnsi="Verdana" w:cs="Arial"/>
                <w:iCs/>
                <w:sz w:val="16"/>
                <w:szCs w:val="16"/>
              </w:rPr>
              <w:t>)</w:t>
            </w:r>
          </w:p>
        </w:tc>
        <w:tc>
          <w:tcPr>
            <w:tcW w:w="1460" w:type="dxa"/>
          </w:tcPr>
          <w:p w:rsidRPr="002E627F" w:rsidR="00B3177C" w:rsidP="00B3177C" w:rsidRDefault="00B3177C" w14:paraId="6EA66D85" w14:textId="48347409">
            <w:pPr>
              <w:widowControl w:val="0"/>
              <w:spacing w:line="240" w:lineRule="atLeast"/>
              <w:rPr>
                <w:rFonts w:ascii="Verdana" w:hAnsi="Verdana" w:cs="Arial"/>
                <w:iCs/>
                <w:sz w:val="16"/>
                <w:szCs w:val="16"/>
              </w:rPr>
            </w:pPr>
            <w:r w:rsidRPr="002E627F">
              <w:rPr>
                <w:rFonts w:ascii="Verdana" w:hAnsi="Verdana" w:cs="Arial"/>
                <w:iCs/>
                <w:sz w:val="16"/>
                <w:szCs w:val="16"/>
              </w:rPr>
              <w:t>100-200 uur</w:t>
            </w:r>
          </w:p>
        </w:tc>
        <w:tc>
          <w:tcPr>
            <w:tcW w:w="1271" w:type="dxa"/>
          </w:tcPr>
          <w:p w:rsidRPr="002E627F" w:rsidR="00B3177C" w:rsidP="00B3177C" w:rsidRDefault="00B3177C" w14:paraId="01C487C0" w14:textId="1F546738">
            <w:pPr>
              <w:widowControl w:val="0"/>
              <w:spacing w:line="240" w:lineRule="atLeast"/>
              <w:rPr>
                <w:rFonts w:ascii="Verdana" w:hAnsi="Verdana" w:cs="Arial"/>
                <w:iCs/>
                <w:sz w:val="16"/>
                <w:szCs w:val="16"/>
              </w:rPr>
            </w:pPr>
            <w:r w:rsidRPr="002E627F">
              <w:rPr>
                <w:rFonts w:ascii="Verdana" w:hAnsi="Verdana" w:cs="Arial"/>
                <w:iCs/>
                <w:sz w:val="16"/>
                <w:szCs w:val="16"/>
              </w:rPr>
              <w:t>25-50 uur</w:t>
            </w:r>
          </w:p>
        </w:tc>
      </w:tr>
    </w:tbl>
    <w:p w:rsidRPr="00F36142" w:rsidR="00F36142" w:rsidP="00F36142" w:rsidRDefault="00F36142" w14:paraId="76529BC0" w14:textId="5A2E1301">
      <w:pPr>
        <w:widowControl w:val="0"/>
        <w:spacing w:line="240" w:lineRule="atLeast"/>
        <w:rPr>
          <w:rFonts w:cs="Arial"/>
          <w:iCs/>
        </w:rPr>
      </w:pPr>
      <w:r w:rsidRPr="00F36142">
        <w:rPr>
          <w:rFonts w:cs="Arial"/>
          <w:iCs/>
        </w:rPr>
        <w:t>Tabel 1: Overzicht handelingen en tijd nieuwe artikelen in CRD</w:t>
      </w:r>
    </w:p>
    <w:p w:rsidR="00FA22DF" w:rsidP="001E56AB" w:rsidRDefault="00FA22DF" w14:paraId="5C8DA702" w14:textId="7035E71B">
      <w:pPr>
        <w:widowControl w:val="0"/>
        <w:spacing w:line="240" w:lineRule="atLeast"/>
        <w:rPr>
          <w:rFonts w:cs="Arial"/>
          <w:iCs/>
          <w:sz w:val="18"/>
          <w:szCs w:val="18"/>
        </w:rPr>
      </w:pPr>
    </w:p>
    <w:p w:rsidR="00B4274D" w:rsidP="001E56AB" w:rsidRDefault="00B4274D" w14:paraId="362504AF" w14:textId="75ECC8AB">
      <w:pPr>
        <w:widowControl w:val="0"/>
        <w:spacing w:line="240" w:lineRule="atLeast"/>
        <w:rPr>
          <w:rFonts w:cs="Arial"/>
          <w:i/>
          <w:sz w:val="18"/>
          <w:szCs w:val="18"/>
        </w:rPr>
      </w:pPr>
      <w:r>
        <w:rPr>
          <w:rFonts w:cs="Arial"/>
          <w:i/>
          <w:sz w:val="18"/>
          <w:szCs w:val="18"/>
        </w:rPr>
        <w:t>Prudentieel relevante transacties</w:t>
      </w:r>
    </w:p>
    <w:p w:rsidR="00FB1D8C" w:rsidP="001E56AB" w:rsidRDefault="00FB1D8C" w14:paraId="6175C8D3" w14:textId="0C5A6BF7">
      <w:pPr>
        <w:widowControl w:val="0"/>
        <w:spacing w:line="240" w:lineRule="atLeast"/>
        <w:rPr>
          <w:rFonts w:cs="Arial"/>
          <w:iCs/>
          <w:sz w:val="18"/>
          <w:szCs w:val="18"/>
        </w:rPr>
      </w:pPr>
      <w:r>
        <w:rPr>
          <w:rFonts w:cs="Arial"/>
          <w:iCs/>
          <w:sz w:val="18"/>
          <w:szCs w:val="18"/>
        </w:rPr>
        <w:t>Nederland kent in artikel 3:96 Wft al een regime voor prudentieel relevante transacties. De drempel voor wanneer er een vvgb aangevraagd moest worden werd bereikt indien er met de transactie minstens 1% van de geconsolideerde balans gemoeid was. Deze minimumgrens komt met de CRD te liggen op 15% van het in aanmerking komend kapitaal. Hierdoor zal de drempel in de praktijk hoger komen te liggen</w:t>
      </w:r>
      <w:r w:rsidR="00A44AFF">
        <w:rPr>
          <w:rFonts w:cs="Arial"/>
          <w:iCs/>
          <w:sz w:val="18"/>
          <w:szCs w:val="18"/>
        </w:rPr>
        <w:t>,</w:t>
      </w:r>
      <w:r>
        <w:rPr>
          <w:rFonts w:cs="Arial"/>
          <w:iCs/>
          <w:sz w:val="18"/>
          <w:szCs w:val="18"/>
        </w:rPr>
        <w:t xml:space="preserve"> waardoor er minder snel een vvgb aangevraagd dient te worden</w:t>
      </w:r>
      <w:r w:rsidR="00A44AFF">
        <w:rPr>
          <w:rFonts w:cs="Arial"/>
          <w:iCs/>
          <w:sz w:val="18"/>
          <w:szCs w:val="18"/>
        </w:rPr>
        <w:t>,</w:t>
      </w:r>
      <w:r>
        <w:rPr>
          <w:rFonts w:cs="Arial"/>
          <w:iCs/>
          <w:sz w:val="18"/>
          <w:szCs w:val="18"/>
        </w:rPr>
        <w:t xml:space="preserve"> indien er een deelneming van betekenis door een bank of (gemengde) financiële holding verworven gaat worden. Niettemin zullen banken en (gemengde) financiële holdings incidenteel een aantal kosten moeten maken om kennis te nemen van de nieuwe vereisten aan het regime voor prudentieel relevante transacties</w:t>
      </w:r>
      <w:r w:rsidR="00A44AFF">
        <w:rPr>
          <w:rFonts w:cs="Arial"/>
          <w:iCs/>
          <w:sz w:val="18"/>
          <w:szCs w:val="18"/>
        </w:rPr>
        <w:t>,</w:t>
      </w:r>
      <w:r w:rsidR="00B90E45">
        <w:rPr>
          <w:rFonts w:cs="Arial"/>
          <w:iCs/>
          <w:sz w:val="18"/>
          <w:szCs w:val="18"/>
        </w:rPr>
        <w:t xml:space="preserve"> zodat duidelijk is wanneer en hoe een vvgb aan te vragen</w:t>
      </w:r>
      <w:r w:rsidR="00A44AFF">
        <w:rPr>
          <w:rFonts w:cs="Arial"/>
          <w:iCs/>
          <w:sz w:val="18"/>
          <w:szCs w:val="18"/>
        </w:rPr>
        <w:t>,</w:t>
      </w:r>
      <w:r w:rsidR="00B90E45">
        <w:rPr>
          <w:rFonts w:cs="Arial"/>
          <w:iCs/>
          <w:sz w:val="18"/>
          <w:szCs w:val="18"/>
        </w:rPr>
        <w:t xml:space="preserve"> dan wel een kennisgeving te doen</w:t>
      </w:r>
      <w:r>
        <w:rPr>
          <w:rFonts w:cs="Arial"/>
          <w:iCs/>
          <w:sz w:val="18"/>
          <w:szCs w:val="18"/>
        </w:rPr>
        <w:t xml:space="preserve">. Voor de </w:t>
      </w:r>
      <w:r w:rsidR="00F62F97">
        <w:rPr>
          <w:rFonts w:cs="Arial"/>
          <w:iCs/>
          <w:sz w:val="18"/>
          <w:szCs w:val="18"/>
        </w:rPr>
        <w:t>kennisname van de nieuwe vereisten rondom vvgb’s</w:t>
      </w:r>
      <w:r>
        <w:rPr>
          <w:rFonts w:cs="Arial"/>
          <w:iCs/>
          <w:sz w:val="18"/>
          <w:szCs w:val="18"/>
        </w:rPr>
        <w:t xml:space="preserve">, worden de kosten die gemaakt moeten worden </w:t>
      </w:r>
      <w:r w:rsidR="006D2E62">
        <w:rPr>
          <w:rFonts w:cs="Arial"/>
          <w:iCs/>
          <w:sz w:val="18"/>
          <w:szCs w:val="18"/>
        </w:rPr>
        <w:t>voor hoogopgeleid personeel</w:t>
      </w:r>
      <w:r w:rsidR="006D2E62">
        <w:rPr>
          <w:rStyle w:val="Voetnootmarkering"/>
          <w:rFonts w:cs="Arial"/>
          <w:iCs/>
          <w:sz w:val="18"/>
          <w:szCs w:val="18"/>
        </w:rPr>
        <w:footnoteReference w:id="59"/>
      </w:r>
      <w:r w:rsidR="006D2E62">
        <w:rPr>
          <w:rFonts w:cs="Arial"/>
          <w:iCs/>
          <w:sz w:val="18"/>
          <w:szCs w:val="18"/>
        </w:rPr>
        <w:t xml:space="preserve"> </w:t>
      </w:r>
      <w:r>
        <w:rPr>
          <w:rFonts w:cs="Arial"/>
          <w:iCs/>
          <w:sz w:val="18"/>
          <w:szCs w:val="18"/>
        </w:rPr>
        <w:t xml:space="preserve">geschat tussen de (€ 54,- x </w:t>
      </w:r>
      <w:r w:rsidR="00227A0D">
        <w:rPr>
          <w:rFonts w:cs="Arial"/>
          <w:iCs/>
          <w:sz w:val="18"/>
          <w:szCs w:val="18"/>
        </w:rPr>
        <w:t>5</w:t>
      </w:r>
      <w:r>
        <w:rPr>
          <w:rFonts w:cs="Arial"/>
          <w:iCs/>
          <w:sz w:val="18"/>
          <w:szCs w:val="18"/>
        </w:rPr>
        <w:t xml:space="preserve"> uur=) € </w:t>
      </w:r>
      <w:r w:rsidR="00227A0D">
        <w:rPr>
          <w:rFonts w:cs="Arial"/>
          <w:iCs/>
          <w:sz w:val="18"/>
          <w:szCs w:val="18"/>
        </w:rPr>
        <w:t>270</w:t>
      </w:r>
      <w:r>
        <w:rPr>
          <w:rFonts w:cs="Arial"/>
          <w:iCs/>
          <w:sz w:val="18"/>
          <w:szCs w:val="18"/>
        </w:rPr>
        <w:t xml:space="preserve">,- en (€ 54,- x </w:t>
      </w:r>
      <w:r w:rsidR="00227A0D">
        <w:rPr>
          <w:rFonts w:cs="Arial"/>
          <w:iCs/>
          <w:sz w:val="18"/>
          <w:szCs w:val="18"/>
        </w:rPr>
        <w:t>1</w:t>
      </w:r>
      <w:r>
        <w:rPr>
          <w:rFonts w:cs="Arial"/>
          <w:iCs/>
          <w:sz w:val="18"/>
          <w:szCs w:val="18"/>
        </w:rPr>
        <w:t>0 uur=)</w:t>
      </w:r>
      <w:r w:rsidR="00B90E45">
        <w:rPr>
          <w:rFonts w:cs="Arial"/>
          <w:iCs/>
          <w:sz w:val="18"/>
          <w:szCs w:val="18"/>
        </w:rPr>
        <w:t xml:space="preserve"> € </w:t>
      </w:r>
      <w:r w:rsidR="00227A0D">
        <w:rPr>
          <w:rFonts w:cs="Arial"/>
          <w:iCs/>
          <w:sz w:val="18"/>
          <w:szCs w:val="18"/>
        </w:rPr>
        <w:t>54</w:t>
      </w:r>
      <w:r w:rsidR="00B90E45">
        <w:rPr>
          <w:rFonts w:cs="Arial"/>
          <w:iCs/>
          <w:sz w:val="18"/>
          <w:szCs w:val="18"/>
        </w:rPr>
        <w:t>0,- per bank of (gemengde) financiële holding.</w:t>
      </w:r>
      <w:r w:rsidR="00A82A29">
        <w:rPr>
          <w:rFonts w:cs="Arial"/>
          <w:iCs/>
          <w:sz w:val="18"/>
          <w:szCs w:val="18"/>
        </w:rPr>
        <w:t xml:space="preserve"> </w:t>
      </w:r>
      <w:r w:rsidR="00BA56C9">
        <w:rPr>
          <w:rFonts w:cs="Arial"/>
          <w:iCs/>
          <w:sz w:val="18"/>
          <w:szCs w:val="18"/>
        </w:rPr>
        <w:t xml:space="preserve">De verwachting is dat het aantal vvgb’s per jaar met ongeveer 33% afneemt, van 15 tot 10. Ervan uitgaande dat de </w:t>
      </w:r>
      <w:r w:rsidR="00207BA9">
        <w:rPr>
          <w:rFonts w:cs="Arial"/>
          <w:iCs/>
          <w:sz w:val="18"/>
          <w:szCs w:val="18"/>
        </w:rPr>
        <w:t xml:space="preserve">5 vvgb’s die nu niet meer de drempelwaarde behalen simpele vvgb’s waren, levert dat een besparing van </w:t>
      </w:r>
      <w:r w:rsidR="003400BA">
        <w:rPr>
          <w:rFonts w:cs="Arial"/>
          <w:iCs/>
          <w:sz w:val="18"/>
          <w:szCs w:val="18"/>
        </w:rPr>
        <w:t>(</w:t>
      </w:r>
      <w:r w:rsidR="00207BA9">
        <w:rPr>
          <w:rFonts w:cs="Arial"/>
          <w:iCs/>
          <w:sz w:val="18"/>
          <w:szCs w:val="18"/>
        </w:rPr>
        <w:t>((€ 54,- x 20 = € 1080 kosten voor het verzamelen en aanleveren informatie) x 5 vvgb’s =) € 5.400 + (5 x € 1.600 =) € 8.000 aan eenmalige kosten voor vvgb’s</w:t>
      </w:r>
      <w:r w:rsidR="003400BA">
        <w:rPr>
          <w:rFonts w:cs="Arial"/>
          <w:iCs/>
          <w:sz w:val="18"/>
          <w:szCs w:val="18"/>
        </w:rPr>
        <w:t>)</w:t>
      </w:r>
      <w:r w:rsidR="00207BA9">
        <w:rPr>
          <w:rFonts w:cs="Arial"/>
          <w:iCs/>
          <w:sz w:val="18"/>
          <w:szCs w:val="18"/>
        </w:rPr>
        <w:t xml:space="preserve"> = </w:t>
      </w:r>
      <w:r w:rsidR="003400BA">
        <w:rPr>
          <w:rFonts w:cs="Arial"/>
          <w:iCs/>
          <w:sz w:val="18"/>
          <w:szCs w:val="18"/>
        </w:rPr>
        <w:t xml:space="preserve">minstens </w:t>
      </w:r>
      <w:r w:rsidR="00207BA9">
        <w:rPr>
          <w:rFonts w:cs="Arial"/>
          <w:iCs/>
          <w:sz w:val="18"/>
          <w:szCs w:val="18"/>
        </w:rPr>
        <w:t>€ 13.400 aan lastenbesparing.</w:t>
      </w:r>
    </w:p>
    <w:p w:rsidR="00B90E45" w:rsidP="001E56AB" w:rsidRDefault="00B90E45" w14:paraId="4CA2502D" w14:textId="77777777">
      <w:pPr>
        <w:widowControl w:val="0"/>
        <w:spacing w:line="240" w:lineRule="atLeast"/>
        <w:rPr>
          <w:rFonts w:cs="Arial"/>
          <w:iCs/>
          <w:sz w:val="18"/>
          <w:szCs w:val="18"/>
        </w:rPr>
      </w:pPr>
    </w:p>
    <w:p w:rsidR="004F036E" w:rsidP="001E56AB" w:rsidRDefault="00C42C3F" w14:paraId="36694D0D" w14:textId="77777777">
      <w:pPr>
        <w:widowControl w:val="0"/>
        <w:spacing w:line="240" w:lineRule="atLeast"/>
        <w:rPr>
          <w:rFonts w:cs="Arial"/>
          <w:i/>
          <w:sz w:val="18"/>
          <w:szCs w:val="18"/>
        </w:rPr>
      </w:pPr>
      <w:r>
        <w:rPr>
          <w:rFonts w:cs="Arial"/>
          <w:i/>
          <w:sz w:val="18"/>
          <w:szCs w:val="18"/>
        </w:rPr>
        <w:t>Concentratierisico’s bij centrale tegenpartijen</w:t>
      </w:r>
    </w:p>
    <w:p w:rsidR="004F036E" w:rsidP="001E56AB" w:rsidRDefault="004F036E" w14:paraId="08C75437" w14:textId="77777777">
      <w:pPr>
        <w:widowControl w:val="0"/>
        <w:spacing w:line="240" w:lineRule="atLeast"/>
        <w:rPr>
          <w:rFonts w:cs="Arial"/>
          <w:i/>
          <w:sz w:val="18"/>
          <w:szCs w:val="18"/>
        </w:rPr>
      </w:pPr>
    </w:p>
    <w:p w:rsidR="004F036E" w:rsidP="004F036E" w:rsidRDefault="004F036E" w14:paraId="1F85D780" w14:textId="37FBC202">
      <w:pPr>
        <w:widowControl w:val="0"/>
        <w:spacing w:line="240" w:lineRule="atLeast"/>
        <w:rPr>
          <w:rFonts w:cs="Arial"/>
          <w:iCs/>
          <w:sz w:val="18"/>
          <w:szCs w:val="18"/>
        </w:rPr>
      </w:pPr>
      <w:r>
        <w:rPr>
          <w:rFonts w:cs="Arial"/>
          <w:iCs/>
          <w:sz w:val="18"/>
          <w:szCs w:val="18"/>
        </w:rPr>
        <w:t>Concentratierisico’s bij centrale tegenpartijen zijn niet nieuw in de CRD. Reeds voorheen werden dit type risico’s al onderkend en meegenomen in de risicobeheersing. Vandaar dat de regeldrukkosten voor deze vereisten relatief laag worden ingeschat</w:t>
      </w:r>
      <w:r w:rsidR="00A44AFF">
        <w:rPr>
          <w:rFonts w:cs="Arial"/>
          <w:iCs/>
          <w:sz w:val="18"/>
          <w:szCs w:val="18"/>
        </w:rPr>
        <w:t>:</w:t>
      </w:r>
      <w:r>
        <w:rPr>
          <w:rFonts w:cs="Arial"/>
          <w:iCs/>
          <w:sz w:val="18"/>
          <w:szCs w:val="18"/>
        </w:rPr>
        <w:t xml:space="preserve"> tussen de (€ 54,- x 10 uur=) € 540,- en (€ 54,- x 20 uur=) € 1080,- per bank</w:t>
      </w:r>
      <w:r w:rsidR="00A44AFF">
        <w:rPr>
          <w:rFonts w:cs="Arial"/>
          <w:iCs/>
          <w:sz w:val="18"/>
          <w:szCs w:val="18"/>
        </w:rPr>
        <w:t xml:space="preserve"> aan eenmalige kosten </w:t>
      </w:r>
      <w:r w:rsidR="00D2240B">
        <w:rPr>
          <w:rFonts w:cs="Arial"/>
          <w:iCs/>
          <w:sz w:val="18"/>
          <w:szCs w:val="18"/>
        </w:rPr>
        <w:t>Dit zijn</w:t>
      </w:r>
      <w:r w:rsidR="00A82A29">
        <w:rPr>
          <w:rFonts w:cs="Arial"/>
          <w:iCs/>
          <w:sz w:val="18"/>
          <w:szCs w:val="18"/>
        </w:rPr>
        <w:t xml:space="preserve"> </w:t>
      </w:r>
      <w:r w:rsidR="003400BA">
        <w:rPr>
          <w:rFonts w:cs="Arial"/>
          <w:iCs/>
          <w:sz w:val="18"/>
          <w:szCs w:val="18"/>
        </w:rPr>
        <w:t xml:space="preserve">de </w:t>
      </w:r>
      <w:r w:rsidR="00D2240B">
        <w:rPr>
          <w:rFonts w:cs="Arial"/>
          <w:iCs/>
          <w:sz w:val="18"/>
          <w:szCs w:val="18"/>
        </w:rPr>
        <w:t>kosten voor kennisneming van nieuwe vereisten.</w:t>
      </w:r>
      <w:r w:rsidR="00E63CFA">
        <w:rPr>
          <w:rFonts w:cs="Arial"/>
          <w:iCs/>
          <w:sz w:val="18"/>
          <w:szCs w:val="18"/>
        </w:rPr>
        <w:t xml:space="preserve"> Overige kosten zijn te beschouwen als bedrijfseigen kosten.</w:t>
      </w:r>
    </w:p>
    <w:p w:rsidR="004F036E" w:rsidP="004F036E" w:rsidRDefault="004F036E" w14:paraId="0BC36891" w14:textId="77777777">
      <w:pPr>
        <w:widowControl w:val="0"/>
        <w:spacing w:line="240" w:lineRule="atLeast"/>
        <w:rPr>
          <w:rFonts w:cs="Arial"/>
          <w:iCs/>
          <w:sz w:val="18"/>
          <w:szCs w:val="18"/>
        </w:rPr>
      </w:pPr>
    </w:p>
    <w:p w:rsidR="00A56784" w:rsidP="004F036E" w:rsidRDefault="00A56784" w14:paraId="1DD04144" w14:textId="77777777">
      <w:pPr>
        <w:widowControl w:val="0"/>
        <w:spacing w:line="240" w:lineRule="atLeast"/>
        <w:rPr>
          <w:rFonts w:cs="Arial"/>
          <w:iCs/>
          <w:sz w:val="18"/>
          <w:szCs w:val="18"/>
        </w:rPr>
      </w:pPr>
    </w:p>
    <w:p w:rsidRPr="004F036E" w:rsidR="004F036E" w:rsidP="004F036E" w:rsidRDefault="00230DB4" w14:paraId="29D2B6B7" w14:textId="2A92AC64">
      <w:pPr>
        <w:widowControl w:val="0"/>
        <w:spacing w:line="240" w:lineRule="atLeast"/>
        <w:rPr>
          <w:rFonts w:cs="Arial"/>
          <w:i/>
          <w:sz w:val="18"/>
          <w:szCs w:val="18"/>
        </w:rPr>
      </w:pPr>
      <w:r>
        <w:rPr>
          <w:rFonts w:cs="Arial"/>
          <w:i/>
          <w:sz w:val="18"/>
          <w:szCs w:val="18"/>
        </w:rPr>
        <w:lastRenderedPageBreak/>
        <w:t>Risico’s bij crypto-activa</w:t>
      </w:r>
      <w:r w:rsidR="004F036E">
        <w:rPr>
          <w:rFonts w:cs="Arial"/>
          <w:i/>
          <w:sz w:val="18"/>
          <w:szCs w:val="18"/>
        </w:rPr>
        <w:t xml:space="preserve"> </w:t>
      </w:r>
    </w:p>
    <w:p w:rsidR="00C42C3F" w:rsidP="001E56AB" w:rsidRDefault="00C42C3F" w14:paraId="1253699C" w14:textId="6CA90298">
      <w:pPr>
        <w:widowControl w:val="0"/>
        <w:spacing w:line="240" w:lineRule="atLeast"/>
        <w:rPr>
          <w:rFonts w:cs="Arial"/>
          <w:i/>
          <w:sz w:val="18"/>
          <w:szCs w:val="18"/>
        </w:rPr>
      </w:pPr>
    </w:p>
    <w:p w:rsidR="004F036E" w:rsidP="001E56AB" w:rsidRDefault="004F036E" w14:paraId="31CD1726" w14:textId="334A776F">
      <w:pPr>
        <w:widowControl w:val="0"/>
        <w:spacing w:line="240" w:lineRule="atLeast"/>
        <w:rPr>
          <w:rFonts w:cs="Arial"/>
          <w:iCs/>
          <w:sz w:val="18"/>
          <w:szCs w:val="18"/>
        </w:rPr>
      </w:pPr>
      <w:r>
        <w:rPr>
          <w:rFonts w:cs="Arial"/>
          <w:iCs/>
          <w:sz w:val="18"/>
          <w:szCs w:val="18"/>
        </w:rPr>
        <w:t xml:space="preserve">Banken </w:t>
      </w:r>
      <w:r w:rsidR="002F1A52">
        <w:rPr>
          <w:rFonts w:cs="Arial"/>
          <w:iCs/>
          <w:sz w:val="18"/>
          <w:szCs w:val="18"/>
        </w:rPr>
        <w:t>die crypto</w:t>
      </w:r>
      <w:r w:rsidR="00230DB4">
        <w:rPr>
          <w:rFonts w:cs="Arial"/>
          <w:iCs/>
          <w:sz w:val="18"/>
          <w:szCs w:val="18"/>
        </w:rPr>
        <w:t>-activa</w:t>
      </w:r>
      <w:r w:rsidR="002F1A52">
        <w:rPr>
          <w:rFonts w:cs="Arial"/>
          <w:iCs/>
          <w:sz w:val="18"/>
          <w:szCs w:val="18"/>
        </w:rPr>
        <w:t xml:space="preserve"> willen aanhouden </w:t>
      </w:r>
      <w:r w:rsidRPr="002F1A52" w:rsidR="002F1A52">
        <w:rPr>
          <w:rFonts w:cs="Arial"/>
          <w:iCs/>
          <w:sz w:val="18"/>
          <w:szCs w:val="18"/>
        </w:rPr>
        <w:t xml:space="preserve">banken </w:t>
      </w:r>
      <w:r w:rsidR="002F1A52">
        <w:rPr>
          <w:rFonts w:cs="Arial"/>
          <w:iCs/>
          <w:sz w:val="18"/>
          <w:szCs w:val="18"/>
        </w:rPr>
        <w:t xml:space="preserve">zullen </w:t>
      </w:r>
      <w:r w:rsidRPr="002F1A52" w:rsidR="002F1A52">
        <w:rPr>
          <w:rFonts w:cs="Arial"/>
          <w:iCs/>
          <w:sz w:val="18"/>
          <w:szCs w:val="18"/>
        </w:rPr>
        <w:t xml:space="preserve">beleid en processen </w:t>
      </w:r>
      <w:r w:rsidR="002F1A52">
        <w:rPr>
          <w:rFonts w:cs="Arial"/>
          <w:iCs/>
          <w:sz w:val="18"/>
          <w:szCs w:val="18"/>
        </w:rPr>
        <w:t xml:space="preserve">moeten opstellen voor de </w:t>
      </w:r>
      <w:r w:rsidRPr="002F1A52" w:rsidR="002F1A52">
        <w:rPr>
          <w:rFonts w:cs="Arial"/>
          <w:iCs/>
          <w:sz w:val="18"/>
          <w:szCs w:val="18"/>
        </w:rPr>
        <w:t xml:space="preserve">blootstellingen </w:t>
      </w:r>
      <w:r w:rsidR="002F1A52">
        <w:rPr>
          <w:rFonts w:cs="Arial"/>
          <w:iCs/>
          <w:sz w:val="18"/>
          <w:szCs w:val="18"/>
        </w:rPr>
        <w:t>aan crypto</w:t>
      </w:r>
      <w:r w:rsidR="00230DB4">
        <w:rPr>
          <w:rFonts w:cs="Arial"/>
          <w:iCs/>
          <w:sz w:val="18"/>
          <w:szCs w:val="18"/>
        </w:rPr>
        <w:t>-activa</w:t>
      </w:r>
      <w:r w:rsidR="002F1A52">
        <w:rPr>
          <w:rFonts w:cs="Arial"/>
          <w:iCs/>
          <w:sz w:val="18"/>
          <w:szCs w:val="18"/>
        </w:rPr>
        <w:t xml:space="preserve"> die tot operationeel, krediet- en marktrisico kunnen leiden. Dit vergt aanpassing van de risicobeheersing en eventuele interne processen. De regeldrukkosten daarv</w:t>
      </w:r>
      <w:r w:rsidRPr="002F1A52" w:rsidR="002F1A52">
        <w:rPr>
          <w:rFonts w:cs="Arial"/>
          <w:iCs/>
          <w:sz w:val="18"/>
          <w:szCs w:val="18"/>
        </w:rPr>
        <w:t>an</w:t>
      </w:r>
      <w:r w:rsidR="002F1A52">
        <w:rPr>
          <w:rFonts w:cs="Arial"/>
          <w:iCs/>
          <w:sz w:val="18"/>
          <w:szCs w:val="18"/>
        </w:rPr>
        <w:t xml:space="preserve"> worden geschat </w:t>
      </w:r>
      <w:r w:rsidR="00077B41">
        <w:rPr>
          <w:rFonts w:cs="Arial"/>
          <w:iCs/>
          <w:sz w:val="18"/>
          <w:szCs w:val="18"/>
        </w:rPr>
        <w:t xml:space="preserve">tussen de </w:t>
      </w:r>
      <w:r w:rsidR="002F1A52">
        <w:rPr>
          <w:rFonts w:cs="Arial"/>
          <w:iCs/>
          <w:sz w:val="18"/>
          <w:szCs w:val="18"/>
        </w:rPr>
        <w:t xml:space="preserve">(€ 54,- x </w:t>
      </w:r>
      <w:r w:rsidR="003400BA">
        <w:rPr>
          <w:rFonts w:cs="Arial"/>
          <w:iCs/>
          <w:sz w:val="18"/>
          <w:szCs w:val="18"/>
        </w:rPr>
        <w:t>2</w:t>
      </w:r>
      <w:r w:rsidR="002F1A52">
        <w:rPr>
          <w:rFonts w:cs="Arial"/>
          <w:iCs/>
          <w:sz w:val="18"/>
          <w:szCs w:val="18"/>
        </w:rPr>
        <w:t xml:space="preserve">0 uur=) € </w:t>
      </w:r>
      <w:r w:rsidR="003400BA">
        <w:rPr>
          <w:rFonts w:cs="Arial"/>
          <w:iCs/>
          <w:sz w:val="18"/>
          <w:szCs w:val="18"/>
        </w:rPr>
        <w:t>108</w:t>
      </w:r>
      <w:r w:rsidR="002F1A52">
        <w:rPr>
          <w:rFonts w:cs="Arial"/>
          <w:iCs/>
          <w:sz w:val="18"/>
          <w:szCs w:val="18"/>
        </w:rPr>
        <w:t xml:space="preserve">0,- en (€ 54,- x </w:t>
      </w:r>
      <w:r w:rsidR="003400BA">
        <w:rPr>
          <w:rFonts w:cs="Arial"/>
          <w:iCs/>
          <w:sz w:val="18"/>
          <w:szCs w:val="18"/>
        </w:rPr>
        <w:t>3</w:t>
      </w:r>
      <w:r w:rsidR="002F1A52">
        <w:rPr>
          <w:rFonts w:cs="Arial"/>
          <w:iCs/>
          <w:sz w:val="18"/>
          <w:szCs w:val="18"/>
        </w:rPr>
        <w:t xml:space="preserve">0 uur=) € </w:t>
      </w:r>
      <w:r w:rsidR="003400BA">
        <w:rPr>
          <w:rFonts w:cs="Arial"/>
          <w:iCs/>
          <w:sz w:val="18"/>
          <w:szCs w:val="18"/>
        </w:rPr>
        <w:t>16</w:t>
      </w:r>
      <w:r w:rsidR="002F1A52">
        <w:rPr>
          <w:rFonts w:cs="Arial"/>
          <w:iCs/>
          <w:sz w:val="18"/>
          <w:szCs w:val="18"/>
        </w:rPr>
        <w:t>20,- per bank.</w:t>
      </w:r>
      <w:r w:rsidR="00077B41">
        <w:rPr>
          <w:rFonts w:cs="Arial"/>
          <w:iCs/>
          <w:sz w:val="18"/>
          <w:szCs w:val="18"/>
        </w:rPr>
        <w:t xml:space="preserve"> </w:t>
      </w:r>
      <w:r w:rsidR="003400BA">
        <w:rPr>
          <w:rFonts w:cs="Arial"/>
          <w:iCs/>
          <w:sz w:val="18"/>
          <w:szCs w:val="18"/>
        </w:rPr>
        <w:t>Structureel zijn er geen kosten als de vereisten voor crypto-activa eenmaal opgenomen zijn in de risicobeheersing.</w:t>
      </w:r>
    </w:p>
    <w:p w:rsidR="002F1A52" w:rsidP="001E56AB" w:rsidRDefault="002F1A52" w14:paraId="201DF7EF" w14:textId="77777777">
      <w:pPr>
        <w:widowControl w:val="0"/>
        <w:spacing w:line="240" w:lineRule="atLeast"/>
        <w:rPr>
          <w:rFonts w:cs="Arial"/>
          <w:iCs/>
          <w:sz w:val="18"/>
          <w:szCs w:val="18"/>
        </w:rPr>
      </w:pPr>
    </w:p>
    <w:p w:rsidR="00764811" w:rsidP="00764811" w:rsidRDefault="00E63CFA" w14:paraId="1146B3C5" w14:textId="61520FDA">
      <w:pPr>
        <w:widowControl w:val="0"/>
        <w:spacing w:line="240" w:lineRule="atLeast"/>
        <w:rPr>
          <w:rFonts w:cs="Arial"/>
          <w:i/>
          <w:sz w:val="18"/>
          <w:szCs w:val="18"/>
        </w:rPr>
      </w:pPr>
      <w:r>
        <w:rPr>
          <w:rFonts w:cs="Arial"/>
          <w:i/>
          <w:sz w:val="18"/>
          <w:szCs w:val="18"/>
        </w:rPr>
        <w:t>Opstellen lijst i</w:t>
      </w:r>
      <w:r w:rsidRPr="00764811" w:rsidR="00764811">
        <w:rPr>
          <w:rFonts w:cs="Arial"/>
          <w:i/>
          <w:sz w:val="18"/>
          <w:szCs w:val="18"/>
        </w:rPr>
        <w:t xml:space="preserve">ndividuele verklaringen </w:t>
      </w:r>
      <w:r>
        <w:rPr>
          <w:rFonts w:cs="Arial"/>
          <w:i/>
          <w:sz w:val="18"/>
          <w:szCs w:val="18"/>
        </w:rPr>
        <w:t>met</w:t>
      </w:r>
      <w:r w:rsidRPr="00764811" w:rsidR="00764811">
        <w:rPr>
          <w:rFonts w:cs="Arial"/>
          <w:i/>
          <w:sz w:val="18"/>
          <w:szCs w:val="18"/>
        </w:rPr>
        <w:t xml:space="preserve"> taken en verantwoordelijkheden </w:t>
      </w:r>
    </w:p>
    <w:p w:rsidRPr="00764811" w:rsidR="00077B41" w:rsidP="00764811" w:rsidRDefault="00077B41" w14:paraId="74E3226E" w14:textId="77777777">
      <w:pPr>
        <w:widowControl w:val="0"/>
        <w:spacing w:line="240" w:lineRule="atLeast"/>
        <w:rPr>
          <w:rFonts w:cs="Arial"/>
          <w:i/>
          <w:sz w:val="18"/>
          <w:szCs w:val="18"/>
        </w:rPr>
      </w:pPr>
    </w:p>
    <w:p w:rsidR="001D7651" w:rsidP="00764811" w:rsidRDefault="00305754" w14:paraId="0C786D55" w14:textId="77777777">
      <w:pPr>
        <w:widowControl w:val="0"/>
        <w:spacing w:line="240" w:lineRule="atLeast"/>
        <w:rPr>
          <w:rFonts w:cs="Arial"/>
          <w:iCs/>
          <w:sz w:val="18"/>
          <w:szCs w:val="18"/>
        </w:rPr>
      </w:pPr>
      <w:r>
        <w:rPr>
          <w:rFonts w:cs="Arial"/>
          <w:iCs/>
          <w:sz w:val="18"/>
          <w:szCs w:val="18"/>
        </w:rPr>
        <w:t xml:space="preserve">Op grond van artikel 88, derde lid, CRD moeten banken individuele verklaringen opstellen, bijhouden en actualiseren waarin de taken en </w:t>
      </w:r>
      <w:r w:rsidR="001D7651">
        <w:rPr>
          <w:rFonts w:cs="Arial"/>
          <w:iCs/>
          <w:sz w:val="18"/>
          <w:szCs w:val="18"/>
        </w:rPr>
        <w:t>ver</w:t>
      </w:r>
      <w:r>
        <w:rPr>
          <w:rFonts w:cs="Arial"/>
          <w:iCs/>
          <w:sz w:val="18"/>
          <w:szCs w:val="18"/>
        </w:rPr>
        <w:t>plicht</w:t>
      </w:r>
      <w:r w:rsidR="001D7651">
        <w:rPr>
          <w:rFonts w:cs="Arial"/>
          <w:iCs/>
          <w:sz w:val="18"/>
          <w:szCs w:val="18"/>
        </w:rPr>
        <w:t>ingen</w:t>
      </w:r>
      <w:r>
        <w:rPr>
          <w:rFonts w:cs="Arial"/>
          <w:iCs/>
          <w:sz w:val="18"/>
          <w:szCs w:val="18"/>
        </w:rPr>
        <w:t xml:space="preserve"> van alle </w:t>
      </w:r>
      <w:r w:rsidR="001D7651">
        <w:rPr>
          <w:rFonts w:cs="Arial"/>
          <w:iCs/>
          <w:sz w:val="18"/>
          <w:szCs w:val="18"/>
        </w:rPr>
        <w:t xml:space="preserve">leden van het bestuur, de raad van commissarissen, de directie en de medewerkers met een sleutelfunctie worden beschreven en bij worden gehouden. Hierbij wordt tevens een overzicht gegeven van de taken en rapportagelijnen. </w:t>
      </w:r>
    </w:p>
    <w:p w:rsidRPr="00386060" w:rsidR="00764811" w:rsidP="00764811" w:rsidRDefault="001D7651" w14:paraId="2FAF2604" w14:textId="5CF8A5E3">
      <w:pPr>
        <w:widowControl w:val="0"/>
        <w:spacing w:line="240" w:lineRule="atLeast"/>
        <w:rPr>
          <w:rFonts w:cs="Arial"/>
          <w:b/>
          <w:bCs/>
          <w:iCs/>
          <w:sz w:val="18"/>
          <w:szCs w:val="18"/>
        </w:rPr>
      </w:pPr>
      <w:r>
        <w:rPr>
          <w:rFonts w:cs="Arial"/>
          <w:iCs/>
          <w:sz w:val="18"/>
          <w:szCs w:val="18"/>
        </w:rPr>
        <w:t>De verwachting is dat dit al</w:t>
      </w:r>
      <w:r w:rsidR="004B58EB">
        <w:rPr>
          <w:rFonts w:cs="Arial"/>
          <w:iCs/>
          <w:sz w:val="18"/>
          <w:szCs w:val="18"/>
        </w:rPr>
        <w:t xml:space="preserve"> grotendeels standaard praktijk is voor banken en (gemengde) financi</w:t>
      </w:r>
      <w:r w:rsidR="00643CD3">
        <w:rPr>
          <w:rFonts w:cs="Arial"/>
          <w:iCs/>
          <w:sz w:val="18"/>
          <w:szCs w:val="18"/>
        </w:rPr>
        <w:t>ë</w:t>
      </w:r>
      <w:r w:rsidR="004B58EB">
        <w:rPr>
          <w:rFonts w:cs="Arial"/>
          <w:iCs/>
          <w:sz w:val="18"/>
          <w:szCs w:val="18"/>
        </w:rPr>
        <w:t xml:space="preserve">le holdings waarmee dit grotendeels bedrijfseigen kosten zijn. Vandaar dat de incidentele kosten enkel zien op het aanpassen en controleren of de reeds bestaande informatie voldoet aan de nieuwe vereisten uit de CRD. </w:t>
      </w:r>
      <w:r w:rsidR="00764811">
        <w:rPr>
          <w:rFonts w:cs="Arial"/>
          <w:iCs/>
          <w:sz w:val="18"/>
          <w:szCs w:val="18"/>
        </w:rPr>
        <w:t xml:space="preserve">De regeldruk voor banken hierbij wordt voor de incidentele kosten geschat tussen de (€ 54,- x </w:t>
      </w:r>
      <w:r w:rsidR="004B58EB">
        <w:rPr>
          <w:rFonts w:cs="Arial"/>
          <w:iCs/>
          <w:sz w:val="18"/>
          <w:szCs w:val="18"/>
        </w:rPr>
        <w:t>2,5</w:t>
      </w:r>
      <w:r w:rsidR="00764811">
        <w:rPr>
          <w:rFonts w:cs="Arial"/>
          <w:iCs/>
          <w:sz w:val="18"/>
          <w:szCs w:val="18"/>
        </w:rPr>
        <w:t xml:space="preserve"> uur=) € </w:t>
      </w:r>
      <w:r w:rsidR="004B58EB">
        <w:rPr>
          <w:rFonts w:cs="Arial"/>
          <w:iCs/>
          <w:sz w:val="18"/>
          <w:szCs w:val="18"/>
        </w:rPr>
        <w:t>13</w:t>
      </w:r>
      <w:r w:rsidR="00764811">
        <w:rPr>
          <w:rFonts w:cs="Arial"/>
          <w:iCs/>
          <w:sz w:val="18"/>
          <w:szCs w:val="18"/>
        </w:rPr>
        <w:t xml:space="preserve">5,- en (€ 54,- x </w:t>
      </w:r>
      <w:r w:rsidR="004B58EB">
        <w:rPr>
          <w:rFonts w:cs="Arial"/>
          <w:iCs/>
          <w:sz w:val="18"/>
          <w:szCs w:val="18"/>
        </w:rPr>
        <w:t>5</w:t>
      </w:r>
      <w:r w:rsidR="00764811">
        <w:rPr>
          <w:rFonts w:cs="Arial"/>
          <w:iCs/>
          <w:sz w:val="18"/>
          <w:szCs w:val="18"/>
        </w:rPr>
        <w:t xml:space="preserve"> uur=) € </w:t>
      </w:r>
      <w:r w:rsidR="004B58EB">
        <w:rPr>
          <w:rFonts w:cs="Arial"/>
          <w:iCs/>
          <w:sz w:val="18"/>
          <w:szCs w:val="18"/>
        </w:rPr>
        <w:t>270</w:t>
      </w:r>
      <w:r w:rsidR="00764811">
        <w:rPr>
          <w:rFonts w:cs="Arial"/>
          <w:iCs/>
          <w:sz w:val="18"/>
          <w:szCs w:val="18"/>
        </w:rPr>
        <w:t xml:space="preserve">,- per bank. Structurele kosten zullen </w:t>
      </w:r>
      <w:r w:rsidR="00536D48">
        <w:rPr>
          <w:rFonts w:cs="Arial"/>
          <w:iCs/>
          <w:sz w:val="18"/>
          <w:szCs w:val="18"/>
        </w:rPr>
        <w:t xml:space="preserve">slechts </w:t>
      </w:r>
      <w:r w:rsidR="004B58EB">
        <w:rPr>
          <w:rFonts w:cs="Arial"/>
          <w:iCs/>
          <w:sz w:val="18"/>
          <w:szCs w:val="18"/>
        </w:rPr>
        <w:t>de helft van</w:t>
      </w:r>
      <w:r w:rsidR="00764811">
        <w:rPr>
          <w:rFonts w:cs="Arial"/>
          <w:iCs/>
          <w:sz w:val="18"/>
          <w:szCs w:val="18"/>
        </w:rPr>
        <w:t xml:space="preserve"> de </w:t>
      </w:r>
      <w:r w:rsidR="00536D48">
        <w:rPr>
          <w:rFonts w:cs="Arial"/>
          <w:iCs/>
          <w:sz w:val="18"/>
          <w:szCs w:val="18"/>
        </w:rPr>
        <w:t>initiële</w:t>
      </w:r>
      <w:r w:rsidR="00764811">
        <w:rPr>
          <w:rFonts w:cs="Arial"/>
          <w:iCs/>
          <w:sz w:val="18"/>
          <w:szCs w:val="18"/>
        </w:rPr>
        <w:t xml:space="preserve"> kosten zijn</w:t>
      </w:r>
      <w:r w:rsidR="00A44AFF">
        <w:rPr>
          <w:rFonts w:cs="Arial"/>
          <w:iCs/>
          <w:sz w:val="18"/>
          <w:szCs w:val="18"/>
        </w:rPr>
        <w:t>,</w:t>
      </w:r>
      <w:r w:rsidR="00764811">
        <w:rPr>
          <w:rFonts w:cs="Arial"/>
          <w:iCs/>
          <w:sz w:val="18"/>
          <w:szCs w:val="18"/>
        </w:rPr>
        <w:t xml:space="preserve"> nu deze verklaringen slechts </w:t>
      </w:r>
      <w:r w:rsidR="00536D48">
        <w:rPr>
          <w:rFonts w:cs="Arial"/>
          <w:iCs/>
          <w:sz w:val="18"/>
          <w:szCs w:val="18"/>
        </w:rPr>
        <w:t>aanpassing</w:t>
      </w:r>
      <w:r w:rsidR="00764811">
        <w:rPr>
          <w:rFonts w:cs="Arial"/>
          <w:iCs/>
          <w:sz w:val="18"/>
          <w:szCs w:val="18"/>
        </w:rPr>
        <w:t xml:space="preserve"> nodig hebben bij veranderingen</w:t>
      </w:r>
      <w:r>
        <w:rPr>
          <w:rFonts w:cs="Arial"/>
          <w:iCs/>
          <w:sz w:val="18"/>
          <w:szCs w:val="18"/>
        </w:rPr>
        <w:t xml:space="preserve"> in de personen of in de taken en verplichtingen</w:t>
      </w:r>
      <w:r w:rsidR="00764811">
        <w:rPr>
          <w:rFonts w:cs="Arial"/>
          <w:iCs/>
          <w:sz w:val="18"/>
          <w:szCs w:val="18"/>
        </w:rPr>
        <w:t xml:space="preserve">. Dit komt neer op regeldrukkosten tussen de (€ 54,- x </w:t>
      </w:r>
      <w:r w:rsidR="004B58EB">
        <w:rPr>
          <w:rFonts w:cs="Arial"/>
          <w:iCs/>
          <w:sz w:val="18"/>
          <w:szCs w:val="18"/>
        </w:rPr>
        <w:t>1,</w:t>
      </w:r>
      <w:r w:rsidR="00536D48">
        <w:rPr>
          <w:rFonts w:cs="Arial"/>
          <w:iCs/>
          <w:sz w:val="18"/>
          <w:szCs w:val="18"/>
        </w:rPr>
        <w:t>2</w:t>
      </w:r>
      <w:r w:rsidR="00764811">
        <w:rPr>
          <w:rFonts w:cs="Arial"/>
          <w:iCs/>
          <w:sz w:val="18"/>
          <w:szCs w:val="18"/>
        </w:rPr>
        <w:t xml:space="preserve">5 uur=) € </w:t>
      </w:r>
      <w:r w:rsidR="004B58EB">
        <w:rPr>
          <w:rFonts w:cs="Arial"/>
          <w:iCs/>
          <w:sz w:val="18"/>
          <w:szCs w:val="18"/>
        </w:rPr>
        <w:t>67</w:t>
      </w:r>
      <w:r w:rsidR="00764811">
        <w:rPr>
          <w:rFonts w:cs="Arial"/>
          <w:iCs/>
          <w:sz w:val="18"/>
          <w:szCs w:val="18"/>
        </w:rPr>
        <w:t>,</w:t>
      </w:r>
      <w:r w:rsidR="004B58EB">
        <w:rPr>
          <w:rFonts w:cs="Arial"/>
          <w:iCs/>
          <w:sz w:val="18"/>
          <w:szCs w:val="18"/>
        </w:rPr>
        <w:t>50</w:t>
      </w:r>
      <w:r w:rsidR="00764811">
        <w:rPr>
          <w:rFonts w:cs="Arial"/>
          <w:iCs/>
          <w:sz w:val="18"/>
          <w:szCs w:val="18"/>
        </w:rPr>
        <w:t xml:space="preserve"> en (€ 54,- x </w:t>
      </w:r>
      <w:r w:rsidR="004B58EB">
        <w:rPr>
          <w:rFonts w:cs="Arial"/>
          <w:iCs/>
          <w:sz w:val="18"/>
          <w:szCs w:val="18"/>
        </w:rPr>
        <w:t>2,</w:t>
      </w:r>
      <w:r w:rsidR="00536D48">
        <w:rPr>
          <w:rFonts w:cs="Arial"/>
          <w:iCs/>
          <w:sz w:val="18"/>
          <w:szCs w:val="18"/>
        </w:rPr>
        <w:t>5</w:t>
      </w:r>
      <w:r w:rsidR="00764811">
        <w:rPr>
          <w:rFonts w:cs="Arial"/>
          <w:iCs/>
          <w:sz w:val="18"/>
          <w:szCs w:val="18"/>
        </w:rPr>
        <w:t xml:space="preserve"> uur=) € </w:t>
      </w:r>
      <w:r w:rsidR="004B58EB">
        <w:rPr>
          <w:rFonts w:cs="Arial"/>
          <w:iCs/>
          <w:sz w:val="18"/>
          <w:szCs w:val="18"/>
        </w:rPr>
        <w:t>135</w:t>
      </w:r>
      <w:r w:rsidR="00764811">
        <w:rPr>
          <w:rFonts w:cs="Arial"/>
          <w:iCs/>
          <w:sz w:val="18"/>
          <w:szCs w:val="18"/>
        </w:rPr>
        <w:t xml:space="preserve">,- per bank. </w:t>
      </w:r>
    </w:p>
    <w:p w:rsidRPr="00764811" w:rsidR="00764811" w:rsidP="00764811" w:rsidRDefault="00764811" w14:paraId="7FBE98F0" w14:textId="77777777">
      <w:pPr>
        <w:widowControl w:val="0"/>
        <w:spacing w:line="240" w:lineRule="atLeast"/>
        <w:rPr>
          <w:rFonts w:cs="Arial"/>
          <w:iCs/>
          <w:sz w:val="18"/>
          <w:szCs w:val="18"/>
        </w:rPr>
      </w:pPr>
    </w:p>
    <w:p w:rsidRPr="00764811" w:rsidR="002F1A52" w:rsidP="00764811" w:rsidRDefault="00764811" w14:paraId="51968319" w14:textId="606B41D7">
      <w:pPr>
        <w:widowControl w:val="0"/>
        <w:spacing w:line="240" w:lineRule="atLeast"/>
        <w:rPr>
          <w:rFonts w:cs="Arial"/>
          <w:i/>
          <w:sz w:val="18"/>
          <w:szCs w:val="18"/>
        </w:rPr>
      </w:pPr>
      <w:r w:rsidRPr="00764811">
        <w:rPr>
          <w:rFonts w:cs="Arial"/>
          <w:i/>
          <w:sz w:val="18"/>
          <w:szCs w:val="18"/>
        </w:rPr>
        <w:t>Geschiktheid en betrouwbaarheidsbeoordelingen voor medewerkers met een sleutelfunctie</w:t>
      </w:r>
    </w:p>
    <w:p w:rsidR="00C42C3F" w:rsidP="001E56AB" w:rsidRDefault="00C42C3F" w14:paraId="005371B6" w14:textId="77777777">
      <w:pPr>
        <w:widowControl w:val="0"/>
        <w:spacing w:line="240" w:lineRule="atLeast"/>
        <w:rPr>
          <w:rFonts w:cs="Arial"/>
          <w:i/>
          <w:sz w:val="18"/>
          <w:szCs w:val="18"/>
        </w:rPr>
      </w:pPr>
    </w:p>
    <w:p w:rsidR="007C4A2D" w:rsidP="00077B41" w:rsidRDefault="00764811" w14:paraId="65B430FB" w14:textId="1450A297">
      <w:pPr>
        <w:widowControl w:val="0"/>
        <w:spacing w:line="240" w:lineRule="atLeast"/>
        <w:rPr>
          <w:rFonts w:cs="Arial"/>
          <w:iCs/>
          <w:sz w:val="18"/>
          <w:szCs w:val="18"/>
        </w:rPr>
      </w:pPr>
      <w:r>
        <w:rPr>
          <w:rFonts w:cs="Arial"/>
          <w:iCs/>
          <w:sz w:val="18"/>
          <w:szCs w:val="18"/>
        </w:rPr>
        <w:t xml:space="preserve">De toetsing van geschiktheid en betrouwbaarheid is voor banken geen nieuw vereiste. Ook </w:t>
      </w:r>
      <w:r w:rsidR="00643CD3">
        <w:rPr>
          <w:rFonts w:cs="Arial"/>
          <w:iCs/>
          <w:sz w:val="18"/>
          <w:szCs w:val="18"/>
        </w:rPr>
        <w:t xml:space="preserve">personen </w:t>
      </w:r>
      <w:r w:rsidR="00787D72">
        <w:rPr>
          <w:rFonts w:cs="Arial"/>
          <w:iCs/>
          <w:sz w:val="18"/>
          <w:szCs w:val="18"/>
        </w:rPr>
        <w:t>die deel uitmaken van het</w:t>
      </w:r>
      <w:r w:rsidR="00643CD3">
        <w:rPr>
          <w:rFonts w:cs="Arial"/>
          <w:iCs/>
          <w:sz w:val="18"/>
          <w:szCs w:val="18"/>
        </w:rPr>
        <w:t xml:space="preserve"> ‘tweede echelon’</w:t>
      </w:r>
      <w:r w:rsidR="00311C8A">
        <w:rPr>
          <w:rFonts w:cs="Arial"/>
          <w:iCs/>
          <w:sz w:val="18"/>
          <w:szCs w:val="18"/>
        </w:rPr>
        <w:t xml:space="preserve"> </w:t>
      </w:r>
      <w:r>
        <w:rPr>
          <w:rFonts w:cs="Arial"/>
          <w:iCs/>
          <w:sz w:val="18"/>
          <w:szCs w:val="18"/>
        </w:rPr>
        <w:t xml:space="preserve">werden al onderworpen aan toetsing van de toezichthouder. </w:t>
      </w:r>
      <w:r w:rsidR="00385727">
        <w:rPr>
          <w:rFonts w:cs="Arial"/>
          <w:iCs/>
          <w:sz w:val="18"/>
          <w:szCs w:val="18"/>
        </w:rPr>
        <w:t>E</w:t>
      </w:r>
      <w:r>
        <w:rPr>
          <w:rFonts w:cs="Arial"/>
          <w:iCs/>
          <w:sz w:val="18"/>
          <w:szCs w:val="18"/>
        </w:rPr>
        <w:t xml:space="preserve">en bank en (gemengde) </w:t>
      </w:r>
      <w:r w:rsidR="008902DA">
        <w:rPr>
          <w:rFonts w:cs="Arial"/>
          <w:iCs/>
          <w:sz w:val="18"/>
          <w:szCs w:val="18"/>
        </w:rPr>
        <w:t>financiële</w:t>
      </w:r>
      <w:r>
        <w:rPr>
          <w:rFonts w:cs="Arial"/>
          <w:iCs/>
          <w:sz w:val="18"/>
          <w:szCs w:val="18"/>
        </w:rPr>
        <w:t xml:space="preserve"> holding </w:t>
      </w:r>
      <w:r w:rsidR="00385727">
        <w:rPr>
          <w:rFonts w:cs="Arial"/>
          <w:iCs/>
          <w:sz w:val="18"/>
          <w:szCs w:val="18"/>
        </w:rPr>
        <w:t xml:space="preserve">zal </w:t>
      </w:r>
      <w:r>
        <w:rPr>
          <w:rFonts w:cs="Arial"/>
          <w:iCs/>
          <w:sz w:val="18"/>
          <w:szCs w:val="18"/>
        </w:rPr>
        <w:t xml:space="preserve">kennis moeten nemen van de nieuwe vereisten die gelden uit hoofde van de CRD. Dit levert qua regeldrukkosten een inschatting op tussen </w:t>
      </w:r>
      <w:r w:rsidR="008902DA">
        <w:rPr>
          <w:rFonts w:cs="Arial"/>
          <w:iCs/>
          <w:sz w:val="18"/>
          <w:szCs w:val="18"/>
        </w:rPr>
        <w:t xml:space="preserve">de </w:t>
      </w:r>
      <w:r w:rsidR="00077B41">
        <w:rPr>
          <w:rFonts w:cs="Arial"/>
          <w:iCs/>
          <w:sz w:val="18"/>
          <w:szCs w:val="18"/>
        </w:rPr>
        <w:t xml:space="preserve">(€ 54,- x </w:t>
      </w:r>
      <w:r w:rsidR="004B58EB">
        <w:rPr>
          <w:rFonts w:cs="Arial"/>
          <w:iCs/>
          <w:sz w:val="18"/>
          <w:szCs w:val="18"/>
        </w:rPr>
        <w:t>1</w:t>
      </w:r>
      <w:r w:rsidR="00077B41">
        <w:rPr>
          <w:rFonts w:cs="Arial"/>
          <w:iCs/>
          <w:sz w:val="18"/>
          <w:szCs w:val="18"/>
        </w:rPr>
        <w:t xml:space="preserve">0 uur=) € </w:t>
      </w:r>
      <w:r w:rsidR="004B58EB">
        <w:rPr>
          <w:rFonts w:cs="Arial"/>
          <w:iCs/>
          <w:sz w:val="18"/>
          <w:szCs w:val="18"/>
        </w:rPr>
        <w:t>54</w:t>
      </w:r>
      <w:r w:rsidR="00077B41">
        <w:rPr>
          <w:rFonts w:cs="Arial"/>
          <w:iCs/>
          <w:sz w:val="18"/>
          <w:szCs w:val="18"/>
        </w:rPr>
        <w:t xml:space="preserve">0,- en (€ 54,- x </w:t>
      </w:r>
      <w:r w:rsidR="004B58EB">
        <w:rPr>
          <w:rFonts w:cs="Arial"/>
          <w:iCs/>
          <w:sz w:val="18"/>
          <w:szCs w:val="18"/>
        </w:rPr>
        <w:t xml:space="preserve">15 </w:t>
      </w:r>
      <w:r w:rsidR="00077B41">
        <w:rPr>
          <w:rFonts w:cs="Arial"/>
          <w:iCs/>
          <w:sz w:val="18"/>
          <w:szCs w:val="18"/>
        </w:rPr>
        <w:t xml:space="preserve">uur=) € </w:t>
      </w:r>
      <w:r w:rsidR="004B58EB">
        <w:rPr>
          <w:rFonts w:cs="Arial"/>
          <w:iCs/>
          <w:sz w:val="18"/>
          <w:szCs w:val="18"/>
        </w:rPr>
        <w:t>81</w:t>
      </w:r>
      <w:r w:rsidR="00077B41">
        <w:rPr>
          <w:rFonts w:cs="Arial"/>
          <w:iCs/>
          <w:sz w:val="18"/>
          <w:szCs w:val="18"/>
        </w:rPr>
        <w:t>0,- per bank.</w:t>
      </w:r>
      <w:r w:rsidR="004B58EB">
        <w:rPr>
          <w:rFonts w:cs="Arial"/>
          <w:iCs/>
          <w:sz w:val="18"/>
          <w:szCs w:val="18"/>
        </w:rPr>
        <w:t xml:space="preserve"> Er kunnen incidentele kosten optreden als er nieuwe </w:t>
      </w:r>
      <w:r w:rsidR="00643CD3">
        <w:rPr>
          <w:rFonts w:cs="Arial"/>
          <w:iCs/>
          <w:sz w:val="18"/>
          <w:szCs w:val="18"/>
        </w:rPr>
        <w:t xml:space="preserve">personen </w:t>
      </w:r>
      <w:r w:rsidR="004B58EB">
        <w:rPr>
          <w:rFonts w:cs="Arial"/>
          <w:iCs/>
          <w:sz w:val="18"/>
          <w:szCs w:val="18"/>
        </w:rPr>
        <w:t>getoetst moeten worden.</w:t>
      </w:r>
      <w:r w:rsidR="0089691C">
        <w:rPr>
          <w:rFonts w:cs="Arial"/>
          <w:iCs/>
          <w:sz w:val="18"/>
          <w:szCs w:val="18"/>
        </w:rPr>
        <w:t xml:space="preserve"> Vooralsnog is niet voorzien dat vanwege de veranderingen in CRD er een geheel nieuwe groep beleidsbepalers een toetsing moeten ondergaan.</w:t>
      </w:r>
      <w:r w:rsidR="00900C04">
        <w:rPr>
          <w:rFonts w:cs="Arial"/>
          <w:iCs/>
          <w:sz w:val="18"/>
          <w:szCs w:val="18"/>
        </w:rPr>
        <w:t xml:space="preserve"> </w:t>
      </w:r>
    </w:p>
    <w:p w:rsidR="00B3177C" w:rsidP="00077B41" w:rsidRDefault="00B3177C" w14:paraId="1845FC82" w14:textId="77777777">
      <w:pPr>
        <w:widowControl w:val="0"/>
        <w:spacing w:line="240" w:lineRule="atLeast"/>
        <w:rPr>
          <w:rFonts w:cs="Arial"/>
          <w:iCs/>
          <w:sz w:val="18"/>
          <w:szCs w:val="18"/>
        </w:rPr>
      </w:pPr>
    </w:p>
    <w:p w:rsidR="00B3177C" w:rsidP="00B3177C" w:rsidRDefault="00B3177C" w14:paraId="42E5A191" w14:textId="77777777">
      <w:pPr>
        <w:widowControl w:val="0"/>
        <w:spacing w:line="240" w:lineRule="atLeast"/>
        <w:rPr>
          <w:rFonts w:cs="Arial"/>
          <w:i/>
          <w:sz w:val="18"/>
          <w:szCs w:val="18"/>
        </w:rPr>
      </w:pPr>
      <w:r>
        <w:rPr>
          <w:rFonts w:cs="Arial"/>
          <w:i/>
          <w:sz w:val="18"/>
          <w:szCs w:val="18"/>
        </w:rPr>
        <w:t xml:space="preserve">ESG-risico’s invoeren </w:t>
      </w:r>
      <w:r w:rsidRPr="00B90E45">
        <w:rPr>
          <w:rFonts w:cs="Arial"/>
          <w:i/>
          <w:sz w:val="18"/>
          <w:szCs w:val="18"/>
        </w:rPr>
        <w:t>in</w:t>
      </w:r>
      <w:r>
        <w:rPr>
          <w:rFonts w:cs="Arial"/>
          <w:i/>
          <w:sz w:val="18"/>
          <w:szCs w:val="18"/>
        </w:rPr>
        <w:t xml:space="preserve"> </w:t>
      </w:r>
      <w:r w:rsidRPr="00B90E45">
        <w:rPr>
          <w:rFonts w:cs="Arial"/>
          <w:i/>
          <w:sz w:val="18"/>
          <w:szCs w:val="18"/>
        </w:rPr>
        <w:t>interne gover</w:t>
      </w:r>
      <w:r>
        <w:rPr>
          <w:rFonts w:cs="Arial"/>
          <w:i/>
          <w:sz w:val="18"/>
          <w:szCs w:val="18"/>
        </w:rPr>
        <w:t>n</w:t>
      </w:r>
      <w:r w:rsidRPr="00B90E45">
        <w:rPr>
          <w:rFonts w:cs="Arial"/>
          <w:i/>
          <w:sz w:val="18"/>
          <w:szCs w:val="18"/>
        </w:rPr>
        <w:t>ance, risicobeheer, geschiktheid bestuur en beloningsbeleid</w:t>
      </w:r>
    </w:p>
    <w:p w:rsidR="00B3177C" w:rsidP="00B3177C" w:rsidRDefault="00B3177C" w14:paraId="7E7408E5" w14:textId="77777777">
      <w:pPr>
        <w:widowControl w:val="0"/>
        <w:spacing w:line="240" w:lineRule="atLeast"/>
        <w:rPr>
          <w:rFonts w:cs="Arial"/>
          <w:i/>
          <w:sz w:val="18"/>
          <w:szCs w:val="18"/>
        </w:rPr>
      </w:pPr>
    </w:p>
    <w:p w:rsidR="004B58EB" w:rsidP="00B3177C" w:rsidRDefault="00B3177C" w14:paraId="5861F448" w14:textId="4C1524CF">
      <w:pPr>
        <w:widowControl w:val="0"/>
        <w:spacing w:line="240" w:lineRule="atLeast"/>
        <w:rPr>
          <w:rFonts w:cs="Arial"/>
          <w:iCs/>
          <w:sz w:val="18"/>
          <w:szCs w:val="18"/>
        </w:rPr>
      </w:pPr>
      <w:r>
        <w:rPr>
          <w:rFonts w:cs="Arial"/>
          <w:iCs/>
          <w:sz w:val="18"/>
          <w:szCs w:val="18"/>
        </w:rPr>
        <w:t xml:space="preserve">ESG-risico’s zijn in meerdere artikelen opgenomen in de CRD, waardoor banken ESG-risico’s </w:t>
      </w:r>
      <w:r w:rsidR="004B58EB">
        <w:rPr>
          <w:rFonts w:cs="Arial"/>
          <w:iCs/>
          <w:sz w:val="18"/>
          <w:szCs w:val="18"/>
        </w:rPr>
        <w:t>moeten verankeren</w:t>
      </w:r>
      <w:r>
        <w:rPr>
          <w:rFonts w:cs="Arial"/>
          <w:iCs/>
          <w:sz w:val="18"/>
          <w:szCs w:val="18"/>
        </w:rPr>
        <w:t xml:space="preserve"> in de interne governance, risicobeheer, beloningsbeleid en de kennis en opleiding bij het bestuur. Ook zullen banken op grond van artikel 87 bis CRD plannen opstellen om de financiële risico’s te beheersen die voortvloeien uit ESG-factoren op de korte, middellange en lange termijn. Dit betekent dat banken dit moeten gaan meenemen in interne kapitaal- en liquiditeitsberekeningen, stresstesten, scenario analyses en op veel manieren in de risicobeheersing.</w:t>
      </w:r>
      <w:r w:rsidR="00A82A29">
        <w:rPr>
          <w:rFonts w:cs="Arial"/>
          <w:iCs/>
          <w:sz w:val="18"/>
          <w:szCs w:val="18"/>
        </w:rPr>
        <w:t xml:space="preserve"> </w:t>
      </w:r>
      <w:r w:rsidR="004B58EB">
        <w:rPr>
          <w:rFonts w:cs="Arial"/>
          <w:iCs/>
          <w:sz w:val="18"/>
          <w:szCs w:val="18"/>
        </w:rPr>
        <w:t>Dit zal vermoedelijk leiden tot nieuwe</w:t>
      </w:r>
      <w:r>
        <w:rPr>
          <w:rFonts w:cs="Arial"/>
          <w:iCs/>
          <w:sz w:val="18"/>
          <w:szCs w:val="18"/>
        </w:rPr>
        <w:t xml:space="preserve"> (specialistische) kennisopbouw waar</w:t>
      </w:r>
      <w:r w:rsidR="004B58EB">
        <w:rPr>
          <w:rFonts w:cs="Arial"/>
          <w:iCs/>
          <w:sz w:val="18"/>
          <w:szCs w:val="18"/>
        </w:rPr>
        <w:t>v</w:t>
      </w:r>
      <w:r>
        <w:rPr>
          <w:rFonts w:cs="Arial"/>
          <w:iCs/>
          <w:sz w:val="18"/>
          <w:szCs w:val="18"/>
        </w:rPr>
        <w:t xml:space="preserve">oor banken waarschijnlijk nieuwe medewerkers moeten opleiden. </w:t>
      </w:r>
    </w:p>
    <w:p w:rsidR="004B58EB" w:rsidP="00B3177C" w:rsidRDefault="004B58EB" w14:paraId="6E44A6F4" w14:textId="77777777">
      <w:pPr>
        <w:widowControl w:val="0"/>
        <w:spacing w:line="240" w:lineRule="atLeast"/>
        <w:rPr>
          <w:rFonts w:cs="Arial"/>
          <w:iCs/>
          <w:sz w:val="18"/>
          <w:szCs w:val="18"/>
        </w:rPr>
      </w:pPr>
    </w:p>
    <w:p w:rsidR="00B3177C" w:rsidP="00B3177C" w:rsidRDefault="00B56239" w14:paraId="20A78BBC" w14:textId="36C15389">
      <w:pPr>
        <w:widowControl w:val="0"/>
        <w:spacing w:line="240" w:lineRule="atLeast"/>
        <w:rPr>
          <w:rFonts w:cs="Arial"/>
          <w:iCs/>
          <w:sz w:val="18"/>
          <w:szCs w:val="18"/>
        </w:rPr>
      </w:pPr>
      <w:r>
        <w:rPr>
          <w:rFonts w:cs="Arial"/>
          <w:iCs/>
          <w:sz w:val="18"/>
          <w:szCs w:val="18"/>
        </w:rPr>
        <w:t>ESG-risico</w:t>
      </w:r>
      <w:r w:rsidR="00F62F97">
        <w:rPr>
          <w:rFonts w:cs="Arial"/>
          <w:iCs/>
          <w:sz w:val="18"/>
          <w:szCs w:val="18"/>
        </w:rPr>
        <w:t>’</w:t>
      </w:r>
      <w:r>
        <w:rPr>
          <w:rFonts w:cs="Arial"/>
          <w:iCs/>
          <w:sz w:val="18"/>
          <w:szCs w:val="18"/>
        </w:rPr>
        <w:t xml:space="preserve">s </w:t>
      </w:r>
      <w:r w:rsidR="00F62F97">
        <w:rPr>
          <w:rFonts w:cs="Arial"/>
          <w:iCs/>
          <w:sz w:val="18"/>
          <w:szCs w:val="18"/>
        </w:rPr>
        <w:t xml:space="preserve">zijn </w:t>
      </w:r>
      <w:r>
        <w:rPr>
          <w:rFonts w:cs="Arial"/>
          <w:iCs/>
          <w:sz w:val="18"/>
          <w:szCs w:val="18"/>
        </w:rPr>
        <w:t xml:space="preserve">in het kader van kapitaalvereisten </w:t>
      </w:r>
      <w:r w:rsidR="00F62F97">
        <w:rPr>
          <w:rFonts w:cs="Arial"/>
          <w:iCs/>
          <w:sz w:val="18"/>
          <w:szCs w:val="18"/>
        </w:rPr>
        <w:t xml:space="preserve">echter </w:t>
      </w:r>
      <w:r>
        <w:rPr>
          <w:rFonts w:cs="Arial"/>
          <w:iCs/>
          <w:sz w:val="18"/>
          <w:szCs w:val="18"/>
        </w:rPr>
        <w:t xml:space="preserve">geen nieuw terrein </w:t>
      </w:r>
      <w:r>
        <w:rPr>
          <w:rFonts w:cs="Arial"/>
          <w:iCs/>
          <w:sz w:val="18"/>
          <w:szCs w:val="18"/>
        </w:rPr>
        <w:lastRenderedPageBreak/>
        <w:t>voor banken. Reeds in 2019 werd in de eerste wijziging van CRR</w:t>
      </w:r>
      <w:r w:rsidR="007965B2">
        <w:rPr>
          <w:rStyle w:val="Voetnootmarkering"/>
          <w:rFonts w:cs="Arial"/>
          <w:iCs/>
          <w:sz w:val="18"/>
          <w:szCs w:val="18"/>
        </w:rPr>
        <w:footnoteReference w:id="60"/>
      </w:r>
      <w:r>
        <w:rPr>
          <w:rFonts w:cs="Arial"/>
          <w:iCs/>
          <w:sz w:val="18"/>
          <w:szCs w:val="18"/>
        </w:rPr>
        <w:t xml:space="preserve"> opgenomen dat vanaf 28 juni 2022 beursgenoteerde banken informatie openbaar moeten maken over ESG-risico’s. EBA heeft hiervoor ook richtsnoeren</w:t>
      </w:r>
      <w:r>
        <w:rPr>
          <w:rStyle w:val="Voetnootmarkering"/>
          <w:rFonts w:cs="Arial"/>
          <w:iCs/>
          <w:sz w:val="18"/>
          <w:szCs w:val="18"/>
        </w:rPr>
        <w:footnoteReference w:id="61"/>
      </w:r>
      <w:r>
        <w:rPr>
          <w:rFonts w:cs="Arial"/>
          <w:iCs/>
          <w:sz w:val="18"/>
          <w:szCs w:val="18"/>
        </w:rPr>
        <w:t xml:space="preserve"> opgesteld over hoe ESG-risico’s door banken en door de toezichthouder bij het toezicht op banken meegenomen moeten worden. Daarnaast </w:t>
      </w:r>
      <w:r w:rsidR="00B3177C">
        <w:rPr>
          <w:rFonts w:cs="Arial"/>
          <w:iCs/>
          <w:sz w:val="18"/>
          <w:szCs w:val="18"/>
        </w:rPr>
        <w:t xml:space="preserve">heeft de ECB in november 2020 haar </w:t>
      </w:r>
      <w:r w:rsidRPr="00632F0D" w:rsidR="00B3177C">
        <w:rPr>
          <w:rFonts w:cs="Arial"/>
          <w:iCs/>
          <w:sz w:val="18"/>
          <w:szCs w:val="18"/>
        </w:rPr>
        <w:t>Guide on climate-related and environmental risks</w:t>
      </w:r>
      <w:r w:rsidR="00B3177C">
        <w:rPr>
          <w:rStyle w:val="Voetnootmarkering"/>
          <w:rFonts w:cs="Arial"/>
          <w:iCs/>
          <w:sz w:val="18"/>
          <w:szCs w:val="18"/>
        </w:rPr>
        <w:footnoteReference w:id="62"/>
      </w:r>
      <w:r w:rsidR="00B3177C">
        <w:rPr>
          <w:rFonts w:cs="Arial"/>
          <w:iCs/>
          <w:sz w:val="18"/>
          <w:szCs w:val="18"/>
        </w:rPr>
        <w:t xml:space="preserve"> gepubliceerd. Hiermee heeft de ECB, als toezichthouder op significante banken in Nederland, en DNB als toezichthouder op niet-significante banken, al oog voor de beheersing van ESG-risico’s bij banken. De nieuwe vereisten die zijn opgenomen in de CRD zijn dus niet nieuw, en ESG-risico’s zijn geen vereisten die pas met de implementatie van CRD zijn ontstaan en in het risicobeheer van banken worden meegenomen. Banken zijn al veelvuldig met ESG-risico’s aan de slag gegaan, waarbij de toezichthouders ook al beoordelingen hebben uitgevoerd over de wijze waarop banken reeds ESG-risico’s gebruiken.</w:t>
      </w:r>
      <w:r w:rsidR="00B3177C">
        <w:rPr>
          <w:rStyle w:val="Voetnootmarkering"/>
          <w:rFonts w:cs="Arial"/>
          <w:iCs/>
          <w:sz w:val="18"/>
          <w:szCs w:val="18"/>
        </w:rPr>
        <w:footnoteReference w:id="63"/>
      </w:r>
      <w:r w:rsidR="00B3177C">
        <w:rPr>
          <w:rFonts w:cs="Arial"/>
          <w:iCs/>
          <w:sz w:val="18"/>
          <w:szCs w:val="18"/>
        </w:rPr>
        <w:t xml:space="preserve"> Dit betekent dat de ingeschatte kosten voor het integreren van ESG-risico’s in alle interne systemen geen geheel nieuwe kosten zijn, maar deels al </w:t>
      </w:r>
      <w:r w:rsidR="00B3177C">
        <w:rPr>
          <w:rFonts w:cs="Arial"/>
          <w:i/>
          <w:sz w:val="18"/>
          <w:szCs w:val="18"/>
        </w:rPr>
        <w:t>business as usual</w:t>
      </w:r>
      <w:r w:rsidR="00B3177C">
        <w:rPr>
          <w:rFonts w:cs="Arial"/>
          <w:iCs/>
          <w:sz w:val="18"/>
          <w:szCs w:val="18"/>
        </w:rPr>
        <w:t xml:space="preserve">. Hierbij is dus sprake van bedrijfseigen kosten. Daarom wordt de inschatting gemaakt dat </w:t>
      </w:r>
      <w:r w:rsidR="00F62F97">
        <w:rPr>
          <w:rFonts w:cs="Arial"/>
          <w:iCs/>
          <w:sz w:val="18"/>
          <w:szCs w:val="18"/>
        </w:rPr>
        <w:t>de kosten op 500-1000</w:t>
      </w:r>
      <w:r w:rsidR="00227A0D">
        <w:rPr>
          <w:rFonts w:cs="Arial"/>
          <w:iCs/>
          <w:sz w:val="18"/>
          <w:szCs w:val="18"/>
        </w:rPr>
        <w:t xml:space="preserve"> uur</w:t>
      </w:r>
      <w:r w:rsidR="00227A0D">
        <w:rPr>
          <w:rStyle w:val="Voetnootmarkering"/>
          <w:rFonts w:cs="Arial"/>
          <w:iCs/>
          <w:sz w:val="18"/>
          <w:szCs w:val="18"/>
        </w:rPr>
        <w:footnoteReference w:id="64"/>
      </w:r>
      <w:r w:rsidR="00227A0D">
        <w:rPr>
          <w:rFonts w:cs="Arial"/>
          <w:iCs/>
          <w:sz w:val="18"/>
          <w:szCs w:val="18"/>
        </w:rPr>
        <w:t xml:space="preserve"> per </w:t>
      </w:r>
      <w:r w:rsidR="00F62F97">
        <w:rPr>
          <w:rFonts w:cs="Arial"/>
          <w:iCs/>
          <w:sz w:val="18"/>
          <w:szCs w:val="18"/>
        </w:rPr>
        <w:t>uitkomen</w:t>
      </w:r>
      <w:r w:rsidRPr="003D5EA9" w:rsidR="00B3177C">
        <w:rPr>
          <w:rFonts w:cs="Arial"/>
          <w:iCs/>
          <w:sz w:val="18"/>
          <w:szCs w:val="18"/>
        </w:rPr>
        <w:t xml:space="preserve">. Dit zou dan neerkomen op een geschatte kostenpost van (€ 54,- x </w:t>
      </w:r>
      <w:r w:rsidR="003D5EA9">
        <w:rPr>
          <w:rFonts w:cs="Arial"/>
          <w:iCs/>
          <w:sz w:val="18"/>
          <w:szCs w:val="18"/>
        </w:rPr>
        <w:t>5</w:t>
      </w:r>
      <w:r>
        <w:rPr>
          <w:rFonts w:cs="Arial"/>
          <w:iCs/>
          <w:sz w:val="18"/>
          <w:szCs w:val="18"/>
        </w:rPr>
        <w:t>0</w:t>
      </w:r>
      <w:r w:rsidRPr="003D5EA9" w:rsidR="00B3177C">
        <w:rPr>
          <w:rFonts w:cs="Arial"/>
          <w:iCs/>
          <w:sz w:val="18"/>
          <w:szCs w:val="18"/>
        </w:rPr>
        <w:t xml:space="preserve">0 uur=) € </w:t>
      </w:r>
      <w:r>
        <w:rPr>
          <w:rFonts w:cs="Arial"/>
          <w:iCs/>
          <w:sz w:val="18"/>
          <w:szCs w:val="18"/>
        </w:rPr>
        <w:t>27</w:t>
      </w:r>
      <w:r w:rsidRPr="003D5EA9" w:rsidR="00B3177C">
        <w:rPr>
          <w:rFonts w:cs="Arial"/>
          <w:iCs/>
          <w:sz w:val="18"/>
          <w:szCs w:val="18"/>
        </w:rPr>
        <w:t>.</w:t>
      </w:r>
      <w:r>
        <w:rPr>
          <w:rFonts w:cs="Arial"/>
          <w:iCs/>
          <w:sz w:val="18"/>
          <w:szCs w:val="18"/>
        </w:rPr>
        <w:t>0</w:t>
      </w:r>
      <w:r w:rsidRPr="003D5EA9" w:rsidR="00B3177C">
        <w:rPr>
          <w:rFonts w:cs="Arial"/>
          <w:iCs/>
          <w:sz w:val="18"/>
          <w:szCs w:val="18"/>
        </w:rPr>
        <w:t>00,- en (€ 54,- x 1</w:t>
      </w:r>
      <w:r>
        <w:rPr>
          <w:rFonts w:cs="Arial"/>
          <w:iCs/>
          <w:sz w:val="18"/>
          <w:szCs w:val="18"/>
        </w:rPr>
        <w:t>0</w:t>
      </w:r>
      <w:r w:rsidRPr="003D5EA9" w:rsidR="00B3177C">
        <w:rPr>
          <w:rFonts w:cs="Arial"/>
          <w:iCs/>
          <w:sz w:val="18"/>
          <w:szCs w:val="18"/>
        </w:rPr>
        <w:t xml:space="preserve">00 uur=) € </w:t>
      </w:r>
      <w:r>
        <w:rPr>
          <w:rFonts w:cs="Arial"/>
          <w:iCs/>
          <w:sz w:val="18"/>
          <w:szCs w:val="18"/>
        </w:rPr>
        <w:t>54</w:t>
      </w:r>
      <w:r w:rsidRPr="003D5EA9" w:rsidR="00B3177C">
        <w:rPr>
          <w:rFonts w:cs="Arial"/>
          <w:iCs/>
          <w:sz w:val="18"/>
          <w:szCs w:val="18"/>
        </w:rPr>
        <w:t>.</w:t>
      </w:r>
      <w:r w:rsidR="003D5EA9">
        <w:rPr>
          <w:rFonts w:cs="Arial"/>
          <w:iCs/>
          <w:sz w:val="18"/>
          <w:szCs w:val="18"/>
        </w:rPr>
        <w:t>0</w:t>
      </w:r>
      <w:r w:rsidRPr="003D5EA9" w:rsidR="00B3177C">
        <w:rPr>
          <w:rFonts w:cs="Arial"/>
          <w:iCs/>
          <w:sz w:val="18"/>
          <w:szCs w:val="18"/>
        </w:rPr>
        <w:t xml:space="preserve">00,- per bank. Structurele kosten worden geschat op ongeveer </w:t>
      </w:r>
      <w:r w:rsidR="00767C71">
        <w:rPr>
          <w:rFonts w:cs="Arial"/>
          <w:iCs/>
          <w:sz w:val="18"/>
          <w:szCs w:val="18"/>
        </w:rPr>
        <w:t xml:space="preserve">45% </w:t>
      </w:r>
      <w:r w:rsidR="00F62F97">
        <w:rPr>
          <w:rFonts w:cs="Arial"/>
          <w:iCs/>
          <w:sz w:val="18"/>
          <w:szCs w:val="18"/>
        </w:rPr>
        <w:t>van de initiële kosten</w:t>
      </w:r>
      <w:r w:rsidRPr="003D5EA9" w:rsidR="00B3177C">
        <w:rPr>
          <w:rFonts w:cs="Arial"/>
          <w:iCs/>
          <w:sz w:val="18"/>
          <w:szCs w:val="18"/>
        </w:rPr>
        <w:t xml:space="preserve">. Dit komt neer op </w:t>
      </w:r>
      <w:r w:rsidR="00767C71">
        <w:rPr>
          <w:rFonts w:cs="Arial"/>
          <w:iCs/>
          <w:sz w:val="18"/>
          <w:szCs w:val="18"/>
        </w:rPr>
        <w:t xml:space="preserve">een geschatte </w:t>
      </w:r>
      <w:r w:rsidRPr="003D5EA9" w:rsidR="00B3177C">
        <w:rPr>
          <w:rFonts w:cs="Arial"/>
          <w:iCs/>
          <w:sz w:val="18"/>
          <w:szCs w:val="18"/>
        </w:rPr>
        <w:t xml:space="preserve">regeldrukkosten tussen de (€ 54,- x </w:t>
      </w:r>
      <w:r w:rsidR="00767C71">
        <w:rPr>
          <w:rFonts w:cs="Arial"/>
          <w:iCs/>
          <w:sz w:val="18"/>
          <w:szCs w:val="18"/>
        </w:rPr>
        <w:t>225</w:t>
      </w:r>
      <w:r w:rsidRPr="003D5EA9" w:rsidR="00B3177C">
        <w:rPr>
          <w:rFonts w:cs="Arial"/>
          <w:iCs/>
          <w:sz w:val="18"/>
          <w:szCs w:val="18"/>
        </w:rPr>
        <w:t xml:space="preserve"> uur=) € </w:t>
      </w:r>
      <w:r>
        <w:rPr>
          <w:rFonts w:cs="Arial"/>
          <w:iCs/>
          <w:sz w:val="18"/>
          <w:szCs w:val="18"/>
        </w:rPr>
        <w:t>1</w:t>
      </w:r>
      <w:r w:rsidR="00767C71">
        <w:rPr>
          <w:rFonts w:cs="Arial"/>
          <w:iCs/>
          <w:sz w:val="18"/>
          <w:szCs w:val="18"/>
        </w:rPr>
        <w:t>2</w:t>
      </w:r>
      <w:r w:rsidRPr="003D5EA9" w:rsidR="00B3177C">
        <w:rPr>
          <w:rFonts w:cs="Arial"/>
          <w:iCs/>
          <w:sz w:val="18"/>
          <w:szCs w:val="18"/>
        </w:rPr>
        <w:t>.</w:t>
      </w:r>
      <w:r w:rsidR="00767C71">
        <w:rPr>
          <w:rFonts w:cs="Arial"/>
          <w:iCs/>
          <w:sz w:val="18"/>
          <w:szCs w:val="18"/>
        </w:rPr>
        <w:t>1</w:t>
      </w:r>
      <w:r w:rsidR="003D5EA9">
        <w:rPr>
          <w:rFonts w:cs="Arial"/>
          <w:iCs/>
          <w:sz w:val="18"/>
          <w:szCs w:val="18"/>
        </w:rPr>
        <w:t>5</w:t>
      </w:r>
      <w:r w:rsidR="00767C71">
        <w:rPr>
          <w:rFonts w:cs="Arial"/>
          <w:iCs/>
          <w:sz w:val="18"/>
          <w:szCs w:val="18"/>
        </w:rPr>
        <w:t>0</w:t>
      </w:r>
      <w:r w:rsidRPr="003D5EA9" w:rsidR="00B3177C">
        <w:rPr>
          <w:rFonts w:cs="Arial"/>
          <w:iCs/>
          <w:sz w:val="18"/>
          <w:szCs w:val="18"/>
        </w:rPr>
        <w:t xml:space="preserve">,- en (€ 54,- x </w:t>
      </w:r>
      <w:r w:rsidR="00767C71">
        <w:rPr>
          <w:rFonts w:cs="Arial"/>
          <w:iCs/>
          <w:sz w:val="18"/>
          <w:szCs w:val="18"/>
        </w:rPr>
        <w:t>4</w:t>
      </w:r>
      <w:r w:rsidR="003D5EA9">
        <w:rPr>
          <w:rFonts w:cs="Arial"/>
          <w:iCs/>
          <w:sz w:val="18"/>
          <w:szCs w:val="18"/>
        </w:rPr>
        <w:t>50</w:t>
      </w:r>
      <w:r w:rsidRPr="003D5EA9" w:rsidR="00B3177C">
        <w:rPr>
          <w:rFonts w:cs="Arial"/>
          <w:iCs/>
          <w:sz w:val="18"/>
          <w:szCs w:val="18"/>
        </w:rPr>
        <w:t xml:space="preserve"> uur=) € </w:t>
      </w:r>
      <w:r>
        <w:rPr>
          <w:rFonts w:cs="Arial"/>
          <w:iCs/>
          <w:sz w:val="18"/>
          <w:szCs w:val="18"/>
        </w:rPr>
        <w:t>2</w:t>
      </w:r>
      <w:r w:rsidR="00767C71">
        <w:rPr>
          <w:rFonts w:cs="Arial"/>
          <w:iCs/>
          <w:sz w:val="18"/>
          <w:szCs w:val="18"/>
        </w:rPr>
        <w:t>4</w:t>
      </w:r>
      <w:r w:rsidRPr="003D5EA9" w:rsidR="00B3177C">
        <w:rPr>
          <w:rFonts w:cs="Arial"/>
          <w:iCs/>
          <w:sz w:val="18"/>
          <w:szCs w:val="18"/>
        </w:rPr>
        <w:t>.</w:t>
      </w:r>
      <w:r w:rsidR="00767C71">
        <w:rPr>
          <w:rFonts w:cs="Arial"/>
          <w:iCs/>
          <w:sz w:val="18"/>
          <w:szCs w:val="18"/>
        </w:rPr>
        <w:t>3</w:t>
      </w:r>
      <w:r w:rsidRPr="003D5EA9" w:rsidR="00B3177C">
        <w:rPr>
          <w:rFonts w:cs="Arial"/>
          <w:iCs/>
          <w:sz w:val="18"/>
          <w:szCs w:val="18"/>
        </w:rPr>
        <w:t xml:space="preserve">00,- per bank. </w:t>
      </w:r>
    </w:p>
    <w:p w:rsidR="00B3177C" w:rsidP="00B3177C" w:rsidRDefault="00B3177C" w14:paraId="56A86212" w14:textId="77777777">
      <w:pPr>
        <w:widowControl w:val="0"/>
        <w:spacing w:line="240" w:lineRule="atLeast"/>
        <w:rPr>
          <w:rFonts w:cs="Arial"/>
          <w:iCs/>
          <w:sz w:val="18"/>
          <w:szCs w:val="18"/>
        </w:rPr>
      </w:pPr>
    </w:p>
    <w:p w:rsidR="00B3177C" w:rsidP="00B3177C" w:rsidRDefault="00F62F97" w14:paraId="14C71DEA" w14:textId="7057BBF8">
      <w:pPr>
        <w:widowControl w:val="0"/>
        <w:spacing w:line="240" w:lineRule="atLeast"/>
        <w:rPr>
          <w:sz w:val="18"/>
          <w:szCs w:val="18"/>
        </w:rPr>
      </w:pPr>
      <w:r>
        <w:rPr>
          <w:rFonts w:cs="Arial"/>
          <w:iCs/>
          <w:sz w:val="18"/>
          <w:szCs w:val="18"/>
        </w:rPr>
        <w:t>V</w:t>
      </w:r>
      <w:r w:rsidR="00B3177C">
        <w:rPr>
          <w:rFonts w:cs="Arial"/>
          <w:iCs/>
          <w:sz w:val="18"/>
          <w:szCs w:val="18"/>
        </w:rPr>
        <w:t xml:space="preserve">oor kleine en niet-complexe banken </w:t>
      </w:r>
      <w:r>
        <w:rPr>
          <w:rFonts w:cs="Arial"/>
          <w:iCs/>
          <w:sz w:val="18"/>
          <w:szCs w:val="18"/>
        </w:rPr>
        <w:t xml:space="preserve">geldt </w:t>
      </w:r>
      <w:r w:rsidR="00B3177C">
        <w:rPr>
          <w:rFonts w:cs="Arial"/>
          <w:iCs/>
          <w:sz w:val="18"/>
          <w:szCs w:val="18"/>
        </w:rPr>
        <w:t xml:space="preserve">enige mate van proportionaliteit waardoor deze banken een vereenvoudigde procedure of ontheffing kunnen krijgen voor de vereisten voor het opstellen van de plannen op grond van artikel 87 bis CRD. </w:t>
      </w:r>
      <w:r w:rsidRPr="008902DA" w:rsidR="00B3177C">
        <w:rPr>
          <w:sz w:val="18"/>
          <w:szCs w:val="18"/>
        </w:rPr>
        <w:t xml:space="preserve">Omdat de kwalificatie ‘kleine en niet-complexe bank’ afhankelijk is van een veelvoud aan vereisten (zie artikel 4, eerste lid, onderdeel 145, CRR), waarbij toezichtvertrouwelijke data nodig is, is het niet mogelijk om te zeggen hoeveel banken hiervoor </w:t>
      </w:r>
      <w:r w:rsidR="00B3177C">
        <w:rPr>
          <w:sz w:val="18"/>
          <w:szCs w:val="18"/>
        </w:rPr>
        <w:t xml:space="preserve">precies </w:t>
      </w:r>
      <w:r w:rsidRPr="008902DA" w:rsidR="00B3177C">
        <w:rPr>
          <w:sz w:val="18"/>
          <w:szCs w:val="18"/>
        </w:rPr>
        <w:t xml:space="preserve">kwalificeren. </w:t>
      </w:r>
      <w:r w:rsidR="00B3177C">
        <w:rPr>
          <w:sz w:val="18"/>
          <w:szCs w:val="18"/>
        </w:rPr>
        <w:t>Indien alleen gekeken wordt naar de ondergrens van activa voor kleine en niet-complexe banken (ongeveer € 5 miljard zoals volgt uit artikel 4, eerste lid, onderdeel 145, subonderdeel b, CRR) dan zijn er volgens de cijfers</w:t>
      </w:r>
      <w:r w:rsidR="00B3177C">
        <w:rPr>
          <w:rStyle w:val="Voetnootmarkering"/>
          <w:sz w:val="18"/>
          <w:szCs w:val="18"/>
        </w:rPr>
        <w:footnoteReference w:id="65"/>
      </w:r>
      <w:r w:rsidR="00B3177C">
        <w:rPr>
          <w:sz w:val="18"/>
          <w:szCs w:val="18"/>
        </w:rPr>
        <w:t xml:space="preserve"> van DNB 5 banken in Nederland met minder dan € 5 miljard activa. Hiervoor zouden de kosten dan neerkomen </w:t>
      </w:r>
      <w:r w:rsidR="00B3177C">
        <w:rPr>
          <w:sz w:val="18"/>
          <w:szCs w:val="18"/>
        </w:rPr>
        <w:lastRenderedPageBreak/>
        <w:t xml:space="preserve">op de helft minder dan voor de reguliere banken omdat kleine en niet-complexe banken weliswaar proportioneel behandeld kunnen worden met betrekking tot de ESG-plannen, maar nog steeds ESG-risico’s mee zullen moeten nemen in de interne governance en risicobeheersing. De kosten die eerder werden ingeschat zullen daarom voor kleine en niet-complexe banken op 50% worden ingeschat. Dit zou betekenen dat ze incidenteel </w:t>
      </w:r>
      <w:r w:rsidR="00B3177C">
        <w:rPr>
          <w:rFonts w:cs="Arial"/>
          <w:iCs/>
          <w:sz w:val="18"/>
          <w:szCs w:val="18"/>
        </w:rPr>
        <w:t xml:space="preserve">(€ 54,- x </w:t>
      </w:r>
      <w:r w:rsidR="00767C71">
        <w:rPr>
          <w:rFonts w:cs="Arial"/>
          <w:iCs/>
          <w:sz w:val="18"/>
          <w:szCs w:val="18"/>
        </w:rPr>
        <w:t xml:space="preserve">250 </w:t>
      </w:r>
      <w:r w:rsidR="00B3177C">
        <w:rPr>
          <w:rFonts w:cs="Arial"/>
          <w:iCs/>
          <w:sz w:val="18"/>
          <w:szCs w:val="18"/>
        </w:rPr>
        <w:t xml:space="preserve">uur=) € </w:t>
      </w:r>
      <w:r w:rsidR="00767C71">
        <w:rPr>
          <w:rFonts w:cs="Arial"/>
          <w:iCs/>
          <w:sz w:val="18"/>
          <w:szCs w:val="18"/>
        </w:rPr>
        <w:t>13</w:t>
      </w:r>
      <w:r w:rsidR="00B3177C">
        <w:rPr>
          <w:rFonts w:cs="Arial"/>
          <w:iCs/>
          <w:sz w:val="18"/>
          <w:szCs w:val="18"/>
        </w:rPr>
        <w:t>.</w:t>
      </w:r>
      <w:r w:rsidR="00230DB4">
        <w:rPr>
          <w:rFonts w:cs="Arial"/>
          <w:iCs/>
          <w:sz w:val="18"/>
          <w:szCs w:val="18"/>
        </w:rPr>
        <w:t>5</w:t>
      </w:r>
      <w:r w:rsidR="00767C71">
        <w:rPr>
          <w:rFonts w:cs="Arial"/>
          <w:iCs/>
          <w:sz w:val="18"/>
          <w:szCs w:val="18"/>
        </w:rPr>
        <w:t>0</w:t>
      </w:r>
      <w:r w:rsidR="00B3177C">
        <w:rPr>
          <w:rFonts w:cs="Arial"/>
          <w:iCs/>
          <w:sz w:val="18"/>
          <w:szCs w:val="18"/>
        </w:rPr>
        <w:t xml:space="preserve">0,- en (€ 54,- x </w:t>
      </w:r>
      <w:r w:rsidR="00230DB4">
        <w:rPr>
          <w:rFonts w:cs="Arial"/>
          <w:iCs/>
          <w:sz w:val="18"/>
          <w:szCs w:val="18"/>
        </w:rPr>
        <w:t>5</w:t>
      </w:r>
      <w:r w:rsidR="00767C71">
        <w:rPr>
          <w:rFonts w:cs="Arial"/>
          <w:iCs/>
          <w:sz w:val="18"/>
          <w:szCs w:val="18"/>
        </w:rPr>
        <w:t>0</w:t>
      </w:r>
      <w:r w:rsidR="00230DB4">
        <w:rPr>
          <w:rFonts w:cs="Arial"/>
          <w:iCs/>
          <w:sz w:val="18"/>
          <w:szCs w:val="18"/>
        </w:rPr>
        <w:t>0</w:t>
      </w:r>
      <w:r w:rsidR="00B3177C">
        <w:rPr>
          <w:rFonts w:cs="Arial"/>
          <w:iCs/>
          <w:sz w:val="18"/>
          <w:szCs w:val="18"/>
        </w:rPr>
        <w:t xml:space="preserve"> uur=) € </w:t>
      </w:r>
      <w:r w:rsidR="00767C71">
        <w:rPr>
          <w:rFonts w:cs="Arial"/>
          <w:iCs/>
          <w:sz w:val="18"/>
          <w:szCs w:val="18"/>
        </w:rPr>
        <w:t>27</w:t>
      </w:r>
      <w:r w:rsidR="00B3177C">
        <w:rPr>
          <w:rFonts w:cs="Arial"/>
          <w:iCs/>
          <w:sz w:val="18"/>
          <w:szCs w:val="18"/>
        </w:rPr>
        <w:t>.</w:t>
      </w:r>
      <w:r w:rsidR="00767C71">
        <w:rPr>
          <w:rFonts w:cs="Arial"/>
          <w:iCs/>
          <w:sz w:val="18"/>
          <w:szCs w:val="18"/>
        </w:rPr>
        <w:t>0</w:t>
      </w:r>
      <w:r w:rsidR="00B3177C">
        <w:rPr>
          <w:rFonts w:cs="Arial"/>
          <w:iCs/>
          <w:sz w:val="18"/>
          <w:szCs w:val="18"/>
        </w:rPr>
        <w:t xml:space="preserve">00,- per kleine en niet-complexe bank. Structurele kosten worden </w:t>
      </w:r>
      <w:r w:rsidR="00767C71">
        <w:rPr>
          <w:rFonts w:cs="Arial"/>
          <w:iCs/>
          <w:sz w:val="18"/>
          <w:szCs w:val="18"/>
        </w:rPr>
        <w:t xml:space="preserve">wederom </w:t>
      </w:r>
      <w:r w:rsidR="00B3177C">
        <w:rPr>
          <w:rFonts w:cs="Arial"/>
          <w:iCs/>
          <w:sz w:val="18"/>
          <w:szCs w:val="18"/>
        </w:rPr>
        <w:t xml:space="preserve">geschat op ongeveer </w:t>
      </w:r>
      <w:r w:rsidR="00767C71">
        <w:rPr>
          <w:rFonts w:cs="Arial"/>
          <w:iCs/>
          <w:sz w:val="18"/>
          <w:szCs w:val="18"/>
        </w:rPr>
        <w:t>45%</w:t>
      </w:r>
      <w:r w:rsidR="00B3177C">
        <w:rPr>
          <w:rFonts w:cs="Arial"/>
          <w:iCs/>
          <w:sz w:val="18"/>
          <w:szCs w:val="18"/>
        </w:rPr>
        <w:t xml:space="preserve"> van de incidentele kosten. Dit komt neer op</w:t>
      </w:r>
      <w:r w:rsidR="00767C71">
        <w:rPr>
          <w:rFonts w:cs="Arial"/>
          <w:iCs/>
          <w:sz w:val="18"/>
          <w:szCs w:val="18"/>
        </w:rPr>
        <w:t xml:space="preserve"> geschatte</w:t>
      </w:r>
      <w:r w:rsidR="00B3177C">
        <w:rPr>
          <w:rFonts w:cs="Arial"/>
          <w:iCs/>
          <w:sz w:val="18"/>
          <w:szCs w:val="18"/>
        </w:rPr>
        <w:t xml:space="preserve"> regeldrukkosten tussen de (€ 54,- x </w:t>
      </w:r>
      <w:r w:rsidR="00767C71">
        <w:rPr>
          <w:rFonts w:cs="Arial"/>
          <w:iCs/>
          <w:sz w:val="18"/>
          <w:szCs w:val="18"/>
        </w:rPr>
        <w:t>112,5</w:t>
      </w:r>
      <w:r w:rsidR="00B3177C">
        <w:rPr>
          <w:rFonts w:cs="Arial"/>
          <w:iCs/>
          <w:sz w:val="18"/>
          <w:szCs w:val="18"/>
        </w:rPr>
        <w:t xml:space="preserve"> uur=) € </w:t>
      </w:r>
      <w:r w:rsidR="00767C71">
        <w:rPr>
          <w:rFonts w:cs="Arial"/>
          <w:iCs/>
          <w:sz w:val="18"/>
          <w:szCs w:val="18"/>
        </w:rPr>
        <w:t>6</w:t>
      </w:r>
      <w:r w:rsidR="00B3177C">
        <w:rPr>
          <w:rFonts w:cs="Arial"/>
          <w:iCs/>
          <w:sz w:val="18"/>
          <w:szCs w:val="18"/>
        </w:rPr>
        <w:t>.</w:t>
      </w:r>
      <w:r w:rsidR="00767C71">
        <w:rPr>
          <w:rFonts w:cs="Arial"/>
          <w:iCs/>
          <w:sz w:val="18"/>
          <w:szCs w:val="18"/>
        </w:rPr>
        <w:t>075</w:t>
      </w:r>
      <w:r w:rsidR="00B3177C">
        <w:rPr>
          <w:rFonts w:cs="Arial"/>
          <w:iCs/>
          <w:sz w:val="18"/>
          <w:szCs w:val="18"/>
        </w:rPr>
        <w:t xml:space="preserve">,- en (€ 54,- x </w:t>
      </w:r>
      <w:r w:rsidR="00767C71">
        <w:rPr>
          <w:rFonts w:cs="Arial"/>
          <w:iCs/>
          <w:sz w:val="18"/>
          <w:szCs w:val="18"/>
        </w:rPr>
        <w:t>225</w:t>
      </w:r>
      <w:r w:rsidR="00B3177C">
        <w:rPr>
          <w:rFonts w:cs="Arial"/>
          <w:iCs/>
          <w:sz w:val="18"/>
          <w:szCs w:val="18"/>
        </w:rPr>
        <w:t xml:space="preserve"> uur=) € </w:t>
      </w:r>
      <w:r w:rsidR="00767C71">
        <w:rPr>
          <w:rFonts w:cs="Arial"/>
          <w:iCs/>
          <w:sz w:val="18"/>
          <w:szCs w:val="18"/>
        </w:rPr>
        <w:t>12</w:t>
      </w:r>
      <w:r w:rsidR="00230DB4">
        <w:rPr>
          <w:rFonts w:cs="Arial"/>
          <w:iCs/>
          <w:sz w:val="18"/>
          <w:szCs w:val="18"/>
        </w:rPr>
        <w:t>.</w:t>
      </w:r>
      <w:r w:rsidR="00767C71">
        <w:rPr>
          <w:rFonts w:cs="Arial"/>
          <w:iCs/>
          <w:sz w:val="18"/>
          <w:szCs w:val="18"/>
        </w:rPr>
        <w:t>12</w:t>
      </w:r>
      <w:r w:rsidR="00230DB4">
        <w:rPr>
          <w:rFonts w:cs="Arial"/>
          <w:iCs/>
          <w:sz w:val="18"/>
          <w:szCs w:val="18"/>
        </w:rPr>
        <w:t>5</w:t>
      </w:r>
      <w:r w:rsidR="00B3177C">
        <w:rPr>
          <w:rFonts w:cs="Arial"/>
          <w:iCs/>
          <w:sz w:val="18"/>
          <w:szCs w:val="18"/>
        </w:rPr>
        <w:t>,- per kleine en niet-complexe bank.</w:t>
      </w:r>
    </w:p>
    <w:p w:rsidR="00B3177C" w:rsidP="00077B41" w:rsidRDefault="00B3177C" w14:paraId="4E59235A" w14:textId="77777777">
      <w:pPr>
        <w:widowControl w:val="0"/>
        <w:spacing w:line="240" w:lineRule="atLeast"/>
        <w:rPr>
          <w:rFonts w:cs="Arial"/>
          <w:iCs/>
          <w:sz w:val="18"/>
          <w:szCs w:val="18"/>
        </w:rPr>
      </w:pPr>
    </w:p>
    <w:p w:rsidR="00B3177C" w:rsidP="00B3177C" w:rsidRDefault="001C0C28" w14:paraId="4FCE561A" w14:textId="5F378090">
      <w:pPr>
        <w:widowControl w:val="0"/>
        <w:spacing w:line="240" w:lineRule="atLeast"/>
        <w:rPr>
          <w:rFonts w:cs="Arial"/>
          <w:i/>
          <w:sz w:val="18"/>
          <w:szCs w:val="18"/>
        </w:rPr>
      </w:pPr>
      <w:r>
        <w:rPr>
          <w:rFonts w:cs="Arial"/>
          <w:i/>
          <w:sz w:val="18"/>
          <w:szCs w:val="18"/>
        </w:rPr>
        <w:t>Derde land</w:t>
      </w:r>
      <w:r w:rsidR="00B3177C">
        <w:rPr>
          <w:rFonts w:cs="Arial"/>
          <w:i/>
          <w:sz w:val="18"/>
          <w:szCs w:val="18"/>
        </w:rPr>
        <w:t xml:space="preserve"> bijkantorenregime</w:t>
      </w:r>
    </w:p>
    <w:p w:rsidR="00B3177C" w:rsidP="00B3177C" w:rsidRDefault="00B3177C" w14:paraId="39CA0561" w14:textId="77777777">
      <w:pPr>
        <w:widowControl w:val="0"/>
        <w:spacing w:line="240" w:lineRule="atLeast"/>
        <w:rPr>
          <w:rFonts w:cs="Arial"/>
          <w:i/>
          <w:sz w:val="18"/>
          <w:szCs w:val="18"/>
        </w:rPr>
      </w:pPr>
    </w:p>
    <w:p w:rsidR="00D416A6" w:rsidP="00B3177C" w:rsidRDefault="0022402B" w14:paraId="1814DBA9" w14:textId="50E104D4">
      <w:pPr>
        <w:widowControl w:val="0"/>
        <w:spacing w:line="240" w:lineRule="atLeast"/>
        <w:rPr>
          <w:rFonts w:cs="Arial"/>
          <w:iCs/>
          <w:sz w:val="18"/>
          <w:szCs w:val="18"/>
        </w:rPr>
      </w:pPr>
      <w:r>
        <w:rPr>
          <w:rFonts w:cs="Arial"/>
          <w:iCs/>
          <w:sz w:val="18"/>
          <w:szCs w:val="18"/>
        </w:rPr>
        <w:t>Een</w:t>
      </w:r>
      <w:r w:rsidR="00B3177C">
        <w:rPr>
          <w:rFonts w:cs="Arial"/>
          <w:iCs/>
          <w:sz w:val="18"/>
          <w:szCs w:val="18"/>
        </w:rPr>
        <w:t xml:space="preserve"> </w:t>
      </w:r>
      <w:r w:rsidR="001C0C28">
        <w:rPr>
          <w:rFonts w:cs="Arial"/>
          <w:iCs/>
          <w:sz w:val="18"/>
          <w:szCs w:val="18"/>
        </w:rPr>
        <w:t>derde land</w:t>
      </w:r>
      <w:r w:rsidR="00B3177C">
        <w:rPr>
          <w:rFonts w:cs="Arial"/>
          <w:iCs/>
          <w:sz w:val="18"/>
          <w:szCs w:val="18"/>
        </w:rPr>
        <w:t xml:space="preserve"> bijkantorenregime is </w:t>
      </w:r>
      <w:r w:rsidR="00A44AFF">
        <w:rPr>
          <w:rFonts w:cs="Arial"/>
          <w:iCs/>
          <w:sz w:val="18"/>
          <w:szCs w:val="18"/>
        </w:rPr>
        <w:t>voor</w:t>
      </w:r>
      <w:r w:rsidR="00B3177C">
        <w:rPr>
          <w:rFonts w:cs="Arial"/>
          <w:iCs/>
          <w:sz w:val="18"/>
          <w:szCs w:val="18"/>
        </w:rPr>
        <w:t xml:space="preserve"> Nederland</w:t>
      </w:r>
      <w:r w:rsidR="00A44AFF">
        <w:rPr>
          <w:rFonts w:cs="Arial"/>
          <w:iCs/>
          <w:sz w:val="18"/>
          <w:szCs w:val="18"/>
        </w:rPr>
        <w:t xml:space="preserve"> niet nieuw</w:t>
      </w:r>
      <w:r w:rsidR="00B3177C">
        <w:rPr>
          <w:rFonts w:cs="Arial"/>
          <w:iCs/>
          <w:sz w:val="18"/>
          <w:szCs w:val="18"/>
        </w:rPr>
        <w:t xml:space="preserve">. Nederland kende voorheen al voor </w:t>
      </w:r>
      <w:r w:rsidR="001C0C28">
        <w:rPr>
          <w:rFonts w:cs="Arial"/>
          <w:iCs/>
          <w:sz w:val="18"/>
          <w:szCs w:val="18"/>
        </w:rPr>
        <w:t>derde land</w:t>
      </w:r>
      <w:r w:rsidR="00B3177C">
        <w:rPr>
          <w:rFonts w:cs="Arial"/>
          <w:iCs/>
          <w:sz w:val="18"/>
          <w:szCs w:val="18"/>
        </w:rPr>
        <w:t xml:space="preserve"> bijkantoren van banken uit een staat die geen lidstaat zijn een vergunningenregime.</w:t>
      </w:r>
      <w:r w:rsidR="00ED72E9">
        <w:rPr>
          <w:rFonts w:cs="Arial"/>
          <w:iCs/>
          <w:sz w:val="18"/>
          <w:szCs w:val="18"/>
        </w:rPr>
        <w:t xml:space="preserve"> Op dit moment zijn er twee derde land bijkantoren.</w:t>
      </w:r>
      <w:r w:rsidR="00ED72E9">
        <w:rPr>
          <w:rStyle w:val="Voetnootmarkering"/>
          <w:rFonts w:cs="Arial"/>
          <w:iCs/>
          <w:sz w:val="18"/>
          <w:szCs w:val="18"/>
        </w:rPr>
        <w:footnoteReference w:id="66"/>
      </w:r>
      <w:r w:rsidR="00B3177C">
        <w:rPr>
          <w:rFonts w:cs="Arial"/>
          <w:iCs/>
          <w:sz w:val="18"/>
          <w:szCs w:val="18"/>
        </w:rPr>
        <w:t xml:space="preserve"> Niettemin volgen er ook voor reeds bestaande bijkantoren</w:t>
      </w:r>
      <w:r w:rsidR="00771E3E">
        <w:rPr>
          <w:rFonts w:cs="Arial"/>
          <w:iCs/>
          <w:sz w:val="18"/>
          <w:szCs w:val="18"/>
        </w:rPr>
        <w:t xml:space="preserve"> in Nederland</w:t>
      </w:r>
      <w:r w:rsidR="00B3177C">
        <w:rPr>
          <w:rFonts w:cs="Arial"/>
          <w:iCs/>
          <w:sz w:val="18"/>
          <w:szCs w:val="18"/>
        </w:rPr>
        <w:t xml:space="preserve"> van banken in een staat die geen lidstaat zijn wijzigingen. Dat vereist dat de bestaande bijkantoren kennis nemen van de nieuwe verplichtingen en bijvoorbeeld een escrow-rekening openen waar kapitaal aangehouden moet worden en een afgescheiden rekening voor liquiditeit. Daarnaast zal er juridische documentatie gereedgemaakt moeten worden, en informatie van de moederonderneming opgevraagd worden om aan DNB aan te leveren. Al met al zal dit voor de </w:t>
      </w:r>
      <w:r w:rsidR="00707388">
        <w:rPr>
          <w:rFonts w:cs="Arial"/>
          <w:iCs/>
          <w:sz w:val="18"/>
          <w:szCs w:val="18"/>
        </w:rPr>
        <w:t>twee</w:t>
      </w:r>
      <w:r w:rsidR="00B3177C">
        <w:rPr>
          <w:rFonts w:cs="Arial"/>
          <w:iCs/>
          <w:sz w:val="18"/>
          <w:szCs w:val="18"/>
        </w:rPr>
        <w:t xml:space="preserve"> bijkantoren</w:t>
      </w:r>
      <w:r w:rsidR="008F7911">
        <w:rPr>
          <w:rFonts w:cs="Arial"/>
          <w:iCs/>
          <w:sz w:val="18"/>
          <w:szCs w:val="18"/>
        </w:rPr>
        <w:t xml:space="preserve"> in Nederland</w:t>
      </w:r>
      <w:r w:rsidR="00B3177C">
        <w:rPr>
          <w:rFonts w:cs="Arial"/>
          <w:iCs/>
          <w:sz w:val="18"/>
          <w:szCs w:val="18"/>
        </w:rPr>
        <w:t xml:space="preserve"> van banken </w:t>
      </w:r>
      <w:r w:rsidR="008F7911">
        <w:rPr>
          <w:rFonts w:cs="Arial"/>
          <w:iCs/>
          <w:sz w:val="18"/>
          <w:szCs w:val="18"/>
        </w:rPr>
        <w:t xml:space="preserve">uit een </w:t>
      </w:r>
      <w:r w:rsidR="00721321">
        <w:rPr>
          <w:rFonts w:cs="Arial"/>
          <w:iCs/>
          <w:sz w:val="18"/>
          <w:szCs w:val="18"/>
        </w:rPr>
        <w:t>staat die geen lidstaat is</w:t>
      </w:r>
      <w:r w:rsidR="00B3177C">
        <w:rPr>
          <w:rFonts w:cs="Arial"/>
          <w:iCs/>
          <w:sz w:val="18"/>
          <w:szCs w:val="18"/>
        </w:rPr>
        <w:t>, als zij hun vergunning willen behouden, leiden tot geschatte incidentele regeldrukkosten tussen de (€ 54,- x 100 uur=) € 5400,- en (€ 54,- x 200 uur=) € 10</w:t>
      </w:r>
      <w:r w:rsidR="008F7911">
        <w:rPr>
          <w:rFonts w:cs="Arial"/>
          <w:iCs/>
          <w:sz w:val="18"/>
          <w:szCs w:val="18"/>
        </w:rPr>
        <w:t>.</w:t>
      </w:r>
      <w:r w:rsidR="00B3177C">
        <w:rPr>
          <w:rFonts w:cs="Arial"/>
          <w:iCs/>
          <w:sz w:val="18"/>
          <w:szCs w:val="18"/>
        </w:rPr>
        <w:t xml:space="preserve">800,- per bijkantoor. De structurele kosten worden op een kwart van de incidentele kosten geschat, tussen de € 1350,- en € 2700,-. Nadat een </w:t>
      </w:r>
      <w:r w:rsidR="001C0C28">
        <w:rPr>
          <w:rFonts w:cs="Arial"/>
          <w:iCs/>
          <w:sz w:val="18"/>
          <w:szCs w:val="18"/>
        </w:rPr>
        <w:t>derde land</w:t>
      </w:r>
      <w:r w:rsidR="00B3177C">
        <w:rPr>
          <w:rFonts w:cs="Arial"/>
          <w:iCs/>
          <w:sz w:val="18"/>
          <w:szCs w:val="18"/>
        </w:rPr>
        <w:t xml:space="preserve"> bijkantoor voldoet zitten de kosten voornamelijk in het bijhouden van de vereisten, het aanleveren van informatie aan de toezichthouder, het ondergaan van </w:t>
      </w:r>
      <w:r w:rsidR="008F7911">
        <w:rPr>
          <w:rFonts w:cs="Arial"/>
          <w:iCs/>
          <w:sz w:val="18"/>
          <w:szCs w:val="18"/>
        </w:rPr>
        <w:t>het</w:t>
      </w:r>
      <w:r w:rsidR="00B3177C">
        <w:rPr>
          <w:rFonts w:cs="Arial"/>
          <w:iCs/>
          <w:sz w:val="18"/>
          <w:szCs w:val="18"/>
        </w:rPr>
        <w:t xml:space="preserve"> SREP</w:t>
      </w:r>
      <w:r w:rsidR="008F7911">
        <w:rPr>
          <w:rFonts w:cs="Arial"/>
          <w:iCs/>
          <w:sz w:val="18"/>
          <w:szCs w:val="18"/>
        </w:rPr>
        <w:t xml:space="preserve"> proces</w:t>
      </w:r>
      <w:r w:rsidR="00B3177C">
        <w:rPr>
          <w:rFonts w:cs="Arial"/>
          <w:iCs/>
          <w:sz w:val="18"/>
          <w:szCs w:val="18"/>
        </w:rPr>
        <w:t xml:space="preserve"> en het uitvragen van externe beoordelingen over het voldoen van de vereisten aan de vergunning. Overigens zouden de structurele kosten nog lager kunnen uitvallen, omdat mogelijk niet voor alle 25-50 uur hoogopgeleid personeel nodig is, maar bijvoorbeeld ook deels administratief personeel.</w:t>
      </w:r>
      <w:r w:rsidR="00B3177C">
        <w:rPr>
          <w:rStyle w:val="Voetnootmarkering"/>
          <w:rFonts w:cs="Arial"/>
          <w:iCs/>
          <w:sz w:val="18"/>
          <w:szCs w:val="18"/>
        </w:rPr>
        <w:footnoteReference w:id="67"/>
      </w:r>
      <w:r w:rsidR="00B3177C">
        <w:rPr>
          <w:rFonts w:cs="Arial"/>
          <w:iCs/>
          <w:sz w:val="18"/>
          <w:szCs w:val="18"/>
        </w:rPr>
        <w:t xml:space="preserve"> </w:t>
      </w:r>
    </w:p>
    <w:p w:rsidR="00D416A6" w:rsidP="00B3177C" w:rsidRDefault="00D416A6" w14:paraId="074E4A42" w14:textId="77777777">
      <w:pPr>
        <w:widowControl w:val="0"/>
        <w:spacing w:line="240" w:lineRule="atLeast"/>
        <w:rPr>
          <w:rFonts w:cs="Arial"/>
          <w:iCs/>
          <w:sz w:val="18"/>
          <w:szCs w:val="18"/>
        </w:rPr>
      </w:pPr>
    </w:p>
    <w:p w:rsidR="00B3177C" w:rsidP="00D416A6" w:rsidRDefault="00D416A6" w14:paraId="163D1D3A" w14:textId="1F19E862">
      <w:pPr>
        <w:widowControl w:val="0"/>
        <w:spacing w:line="240" w:lineRule="atLeast"/>
        <w:rPr>
          <w:rFonts w:cs="Arial"/>
          <w:iCs/>
          <w:sz w:val="18"/>
          <w:szCs w:val="18"/>
        </w:rPr>
      </w:pPr>
      <w:r>
        <w:rPr>
          <w:rFonts w:cs="Arial"/>
          <w:iCs/>
          <w:sz w:val="18"/>
          <w:szCs w:val="18"/>
        </w:rPr>
        <w:t>Naast de twee reeds bestaande bijkantoren kan het zijn dat er op dit moment bancaire dienstverlening plaatsvindt door ondernemingen uit staten die geen lidstaat zijn</w:t>
      </w:r>
      <w:r w:rsidR="002C67A5">
        <w:rPr>
          <w:rFonts w:cs="Arial"/>
          <w:iCs/>
          <w:sz w:val="18"/>
          <w:szCs w:val="18"/>
        </w:rPr>
        <w:t>,</w:t>
      </w:r>
      <w:r>
        <w:rPr>
          <w:rFonts w:cs="Arial"/>
          <w:iCs/>
          <w:sz w:val="18"/>
          <w:szCs w:val="18"/>
        </w:rPr>
        <w:t xml:space="preserve"> zonder dat zij een bijkantoor hebben gevestigd in Nederland. Dit is bijvoorbeeld het geval als zij </w:t>
      </w:r>
      <w:r w:rsidR="00DF5B63">
        <w:rPr>
          <w:rFonts w:cs="Arial"/>
          <w:iCs/>
          <w:sz w:val="18"/>
          <w:szCs w:val="18"/>
        </w:rPr>
        <w:t xml:space="preserve">de </w:t>
      </w:r>
      <w:r>
        <w:rPr>
          <w:rFonts w:cs="Arial"/>
          <w:iCs/>
          <w:sz w:val="18"/>
          <w:szCs w:val="18"/>
        </w:rPr>
        <w:t>diensten</w:t>
      </w:r>
      <w:r w:rsidR="00DF5B63">
        <w:rPr>
          <w:rFonts w:cs="Arial"/>
          <w:iCs/>
          <w:sz w:val="18"/>
          <w:szCs w:val="18"/>
        </w:rPr>
        <w:t xml:space="preserve"> 1, 2 of 6 uit de bijlage bij de CRD</w:t>
      </w:r>
      <w:r>
        <w:rPr>
          <w:rFonts w:cs="Arial"/>
          <w:iCs/>
          <w:sz w:val="18"/>
          <w:szCs w:val="18"/>
        </w:rPr>
        <w:t xml:space="preserve"> verlenen aan professionele marktpartijen. Ook </w:t>
      </w:r>
      <w:r w:rsidR="00FB25BB">
        <w:rPr>
          <w:rFonts w:cs="Arial"/>
          <w:iCs/>
          <w:sz w:val="18"/>
          <w:szCs w:val="18"/>
        </w:rPr>
        <w:t>d</w:t>
      </w:r>
      <w:r w:rsidR="00327925">
        <w:rPr>
          <w:rFonts w:cs="Arial"/>
          <w:iCs/>
          <w:sz w:val="18"/>
          <w:szCs w:val="18"/>
        </w:rPr>
        <w:t>eze dienstverlening</w:t>
      </w:r>
      <w:r>
        <w:rPr>
          <w:rFonts w:cs="Arial"/>
          <w:iCs/>
          <w:sz w:val="18"/>
          <w:szCs w:val="18"/>
        </w:rPr>
        <w:t xml:space="preserve"> komt binnen het bereik van het verbod om vanuit een staat die geen lidstaat is deze diensten te verlenen zonder bijkantoor met bijbehorende vergunning. Het kan dus zijn dat </w:t>
      </w:r>
      <w:r w:rsidR="00DF5B63">
        <w:rPr>
          <w:rFonts w:cs="Arial"/>
          <w:iCs/>
          <w:sz w:val="18"/>
          <w:szCs w:val="18"/>
        </w:rPr>
        <w:t>het onderhavige wetsvoorstel gevolgen heeft</w:t>
      </w:r>
      <w:r>
        <w:rPr>
          <w:rFonts w:cs="Arial"/>
          <w:iCs/>
          <w:sz w:val="18"/>
          <w:szCs w:val="18"/>
        </w:rPr>
        <w:t xml:space="preserve"> voor bepaalde </w:t>
      </w:r>
      <w:r w:rsidR="00DF5B63">
        <w:rPr>
          <w:rFonts w:cs="Arial"/>
          <w:iCs/>
          <w:sz w:val="18"/>
          <w:szCs w:val="18"/>
        </w:rPr>
        <w:t>vormen van bestaande dienstverlening</w:t>
      </w:r>
      <w:r>
        <w:rPr>
          <w:rFonts w:cs="Arial"/>
          <w:iCs/>
          <w:sz w:val="18"/>
          <w:szCs w:val="18"/>
        </w:rPr>
        <w:t>. Omdat</w:t>
      </w:r>
      <w:r w:rsidR="00DF5B63">
        <w:rPr>
          <w:rFonts w:cs="Arial"/>
          <w:iCs/>
          <w:sz w:val="18"/>
          <w:szCs w:val="18"/>
        </w:rPr>
        <w:t xml:space="preserve"> de precieze impact sterk afhankelijk is van</w:t>
      </w:r>
      <w:r>
        <w:rPr>
          <w:rFonts w:cs="Arial"/>
          <w:iCs/>
          <w:sz w:val="18"/>
          <w:szCs w:val="18"/>
        </w:rPr>
        <w:t xml:space="preserve"> keuzes </w:t>
      </w:r>
      <w:r w:rsidR="00DF5B63">
        <w:rPr>
          <w:rFonts w:cs="Arial"/>
          <w:iCs/>
          <w:sz w:val="18"/>
          <w:szCs w:val="18"/>
        </w:rPr>
        <w:t xml:space="preserve">die de betreffende ondernemingen </w:t>
      </w:r>
      <w:r>
        <w:rPr>
          <w:rFonts w:cs="Arial"/>
          <w:iCs/>
          <w:sz w:val="18"/>
          <w:szCs w:val="18"/>
        </w:rPr>
        <w:t xml:space="preserve">maken in </w:t>
      </w:r>
      <w:r w:rsidR="00DF5B63">
        <w:rPr>
          <w:rFonts w:cs="Arial"/>
          <w:iCs/>
          <w:sz w:val="18"/>
          <w:szCs w:val="18"/>
        </w:rPr>
        <w:t>hun</w:t>
      </w:r>
      <w:r>
        <w:rPr>
          <w:rFonts w:cs="Arial"/>
          <w:iCs/>
          <w:sz w:val="18"/>
          <w:szCs w:val="18"/>
        </w:rPr>
        <w:t xml:space="preserve"> bedrijfsvoering, is </w:t>
      </w:r>
      <w:r w:rsidR="00DF5B63">
        <w:rPr>
          <w:rFonts w:cs="Arial"/>
          <w:iCs/>
          <w:sz w:val="18"/>
          <w:szCs w:val="18"/>
        </w:rPr>
        <w:t>het niet goed mogelijk hier nader op in te gaan in</w:t>
      </w:r>
      <w:r>
        <w:rPr>
          <w:rFonts w:cs="Arial"/>
          <w:iCs/>
          <w:sz w:val="18"/>
          <w:szCs w:val="18"/>
        </w:rPr>
        <w:t xml:space="preserve"> de regeldrukberekening. </w:t>
      </w:r>
      <w:r w:rsidR="00DF5B63">
        <w:rPr>
          <w:rFonts w:cs="Arial"/>
          <w:iCs/>
          <w:sz w:val="18"/>
          <w:szCs w:val="18"/>
        </w:rPr>
        <w:t>Onder omstandigheden zou dit ertoe kunnen leiden dat ondernemingen zich genoodzaakt zien een bijkantoor op te richten in Nederland. Tegelijkertijd ligt het meer in de lijn der verwachting, gelet op het huidige bankenlandschap in Europa</w:t>
      </w:r>
      <w:r w:rsidR="00771E3E">
        <w:rPr>
          <w:rFonts w:cs="Arial"/>
          <w:iCs/>
          <w:sz w:val="18"/>
          <w:szCs w:val="18"/>
        </w:rPr>
        <w:t>,</w:t>
      </w:r>
      <w:r w:rsidR="00DF5B63">
        <w:rPr>
          <w:rFonts w:cs="Arial"/>
          <w:iCs/>
          <w:sz w:val="18"/>
          <w:szCs w:val="18"/>
        </w:rPr>
        <w:t xml:space="preserve"> waarin </w:t>
      </w:r>
      <w:r w:rsidRPr="00D913E7" w:rsidR="00D913E7">
        <w:rPr>
          <w:rFonts w:cs="Arial"/>
          <w:iCs/>
          <w:sz w:val="18"/>
          <w:szCs w:val="18"/>
        </w:rPr>
        <w:t xml:space="preserve">grensoverschrijdende dienstverlening door onder andere het </w:t>
      </w:r>
      <w:r w:rsidR="00D913E7">
        <w:rPr>
          <w:rFonts w:cs="Arial"/>
          <w:iCs/>
          <w:sz w:val="18"/>
          <w:szCs w:val="18"/>
        </w:rPr>
        <w:t xml:space="preserve">zogenoemde </w:t>
      </w:r>
      <w:r w:rsidRPr="00D913E7" w:rsidR="00D913E7">
        <w:rPr>
          <w:rFonts w:cs="Arial"/>
          <w:iCs/>
          <w:sz w:val="18"/>
          <w:szCs w:val="18"/>
        </w:rPr>
        <w:t xml:space="preserve">EU-paspoort </w:t>
      </w:r>
      <w:r w:rsidR="00D913E7">
        <w:rPr>
          <w:rFonts w:cs="Arial"/>
          <w:iCs/>
          <w:sz w:val="18"/>
          <w:szCs w:val="18"/>
        </w:rPr>
        <w:t xml:space="preserve">voor banken </w:t>
      </w:r>
      <w:r w:rsidRPr="00D913E7" w:rsidR="00D913E7">
        <w:rPr>
          <w:rFonts w:cs="Arial"/>
          <w:iCs/>
          <w:sz w:val="18"/>
          <w:szCs w:val="18"/>
        </w:rPr>
        <w:t>mogelijk is</w:t>
      </w:r>
      <w:r w:rsidR="00DF5B63">
        <w:rPr>
          <w:rFonts w:cs="Arial"/>
          <w:iCs/>
          <w:sz w:val="18"/>
          <w:szCs w:val="18"/>
        </w:rPr>
        <w:t xml:space="preserve">, </w:t>
      </w:r>
      <w:r>
        <w:rPr>
          <w:rFonts w:cs="Arial"/>
          <w:iCs/>
          <w:sz w:val="18"/>
          <w:szCs w:val="18"/>
        </w:rPr>
        <w:t>dat ondernemingen uit sta</w:t>
      </w:r>
      <w:r>
        <w:rPr>
          <w:rFonts w:cs="Arial"/>
          <w:iCs/>
          <w:sz w:val="18"/>
          <w:szCs w:val="18"/>
        </w:rPr>
        <w:lastRenderedPageBreak/>
        <w:t>ten die geen lidstaat zijn eerder zullen kiezen om in één lidstaat een dochteronderneming te vestigen</w:t>
      </w:r>
      <w:r w:rsidR="00DF5B63">
        <w:rPr>
          <w:rFonts w:cs="Arial"/>
          <w:iCs/>
          <w:sz w:val="18"/>
          <w:szCs w:val="18"/>
        </w:rPr>
        <w:t xml:space="preserve"> vanwaar uit deze dienstverlening binnen de </w:t>
      </w:r>
      <w:r w:rsidR="00771E3E">
        <w:rPr>
          <w:rFonts w:cs="Arial"/>
          <w:iCs/>
          <w:sz w:val="18"/>
          <w:szCs w:val="18"/>
        </w:rPr>
        <w:t xml:space="preserve">gehele </w:t>
      </w:r>
      <w:r w:rsidR="00DF5B63">
        <w:rPr>
          <w:rFonts w:cs="Arial"/>
          <w:iCs/>
          <w:sz w:val="18"/>
          <w:szCs w:val="18"/>
        </w:rPr>
        <w:t>EU kan worden verricht. Die optie is doorgaans efficiënter</w:t>
      </w:r>
      <w:r>
        <w:rPr>
          <w:rFonts w:cs="Arial"/>
          <w:iCs/>
          <w:sz w:val="18"/>
          <w:szCs w:val="18"/>
        </w:rPr>
        <w:t xml:space="preserve"> dan in alle lidstaten afzonderlijk een derde land bijkantoor</w:t>
      </w:r>
      <w:r w:rsidR="00DF5B63">
        <w:rPr>
          <w:rFonts w:cs="Arial"/>
          <w:iCs/>
          <w:sz w:val="18"/>
          <w:szCs w:val="18"/>
        </w:rPr>
        <w:t xml:space="preserve"> op te richten</w:t>
      </w:r>
      <w:r>
        <w:rPr>
          <w:rFonts w:cs="Arial"/>
          <w:iCs/>
          <w:sz w:val="18"/>
          <w:szCs w:val="18"/>
        </w:rPr>
        <w:t xml:space="preserve">. </w:t>
      </w:r>
      <w:r w:rsidR="000C75E7">
        <w:rPr>
          <w:rFonts w:cs="Arial"/>
          <w:iCs/>
          <w:sz w:val="18"/>
          <w:szCs w:val="18"/>
        </w:rPr>
        <w:t xml:space="preserve">Ook kan het zijn dat een onderneming uit een staat die geen lidstaat </w:t>
      </w:r>
      <w:r w:rsidR="002C67A5">
        <w:rPr>
          <w:rFonts w:cs="Arial"/>
          <w:iCs/>
          <w:sz w:val="18"/>
          <w:szCs w:val="18"/>
        </w:rPr>
        <w:t xml:space="preserve">is </w:t>
      </w:r>
      <w:r w:rsidR="000C75E7">
        <w:rPr>
          <w:rFonts w:cs="Arial"/>
          <w:iCs/>
          <w:sz w:val="18"/>
          <w:szCs w:val="18"/>
        </w:rPr>
        <w:t xml:space="preserve">reeds een dochteronderneming in een andere lidstaat heeft. In dat geval zouden er nog steeds diensten verleend kunnen worden aan Nederlandse partijen, als die dienstverlening verloopt via de dochteronderneming. Dat </w:t>
      </w:r>
      <w:r w:rsidR="00DF5B63">
        <w:rPr>
          <w:rFonts w:cs="Arial"/>
          <w:iCs/>
          <w:sz w:val="18"/>
          <w:szCs w:val="18"/>
        </w:rPr>
        <w:t>vergt</w:t>
      </w:r>
      <w:r w:rsidR="000C75E7">
        <w:rPr>
          <w:rFonts w:cs="Arial"/>
          <w:iCs/>
          <w:sz w:val="18"/>
          <w:szCs w:val="18"/>
        </w:rPr>
        <w:t xml:space="preserve"> mogelijk </w:t>
      </w:r>
      <w:r w:rsidR="00DF5B63">
        <w:rPr>
          <w:rFonts w:cs="Arial"/>
          <w:iCs/>
          <w:sz w:val="18"/>
          <w:szCs w:val="18"/>
        </w:rPr>
        <w:t xml:space="preserve">het </w:t>
      </w:r>
      <w:r w:rsidR="000C75E7">
        <w:rPr>
          <w:rFonts w:cs="Arial"/>
          <w:iCs/>
          <w:sz w:val="18"/>
          <w:szCs w:val="18"/>
        </w:rPr>
        <w:t>aanpassen van processen en contracten, maar</w:t>
      </w:r>
      <w:r w:rsidR="00DF5B63">
        <w:rPr>
          <w:rFonts w:cs="Arial"/>
          <w:iCs/>
          <w:sz w:val="18"/>
          <w:szCs w:val="18"/>
        </w:rPr>
        <w:t xml:space="preserve"> is naar verwachting minder impactvol dan de oprichting van een bijkantoor.</w:t>
      </w:r>
      <w:r w:rsidR="00327925">
        <w:rPr>
          <w:rFonts w:cs="Arial"/>
          <w:iCs/>
          <w:sz w:val="18"/>
          <w:szCs w:val="18"/>
        </w:rPr>
        <w:t xml:space="preserve"> Bovendien bevat de CRD overgangsrecht voor reeds bestaande dienstverlening, waarbij bestaande overeenkomsten gewaarborgd blijven tijdens de looptijd. Zie hiervoor de overgangsbepaling in Artikel IV van het wetsvoorstel en de bijbehorende toelichting.</w:t>
      </w:r>
    </w:p>
    <w:p w:rsidRPr="006F204B" w:rsidR="007C4A2D" w:rsidP="00077B41" w:rsidRDefault="007C4A2D" w14:paraId="3165E442" w14:textId="77777777">
      <w:pPr>
        <w:widowControl w:val="0"/>
        <w:spacing w:line="240" w:lineRule="atLeast"/>
        <w:rPr>
          <w:rFonts w:cs="Arial"/>
          <w:iCs/>
          <w:sz w:val="18"/>
          <w:szCs w:val="18"/>
        </w:rPr>
      </w:pPr>
    </w:p>
    <w:p w:rsidRPr="006F204B" w:rsidR="00764811" w:rsidP="001E56AB" w:rsidRDefault="007C4A2D" w14:paraId="2E917DFC" w14:textId="2C3EED51">
      <w:pPr>
        <w:widowControl w:val="0"/>
        <w:spacing w:line="240" w:lineRule="atLeast"/>
        <w:rPr>
          <w:rFonts w:cs="Arial"/>
          <w:iCs/>
          <w:sz w:val="18"/>
          <w:szCs w:val="18"/>
        </w:rPr>
      </w:pPr>
      <w:r w:rsidRPr="006F204B">
        <w:rPr>
          <w:rFonts w:cs="Arial"/>
          <w:iCs/>
          <w:sz w:val="18"/>
          <w:szCs w:val="18"/>
        </w:rPr>
        <w:t>De totale regeldrukkosten worden als volgt geschat:</w:t>
      </w:r>
    </w:p>
    <w:tbl>
      <w:tblPr>
        <w:tblStyle w:val="Tabelraster"/>
        <w:tblW w:w="0" w:type="auto"/>
        <w:tblLook w:val="04A0" w:firstRow="1" w:lastRow="0" w:firstColumn="1" w:lastColumn="0" w:noHBand="0" w:noVBand="1"/>
      </w:tblPr>
      <w:tblGrid>
        <w:gridCol w:w="2260"/>
        <w:gridCol w:w="1134"/>
        <w:gridCol w:w="1134"/>
        <w:gridCol w:w="1264"/>
        <w:gridCol w:w="15"/>
        <w:gridCol w:w="1433"/>
      </w:tblGrid>
      <w:tr w:rsidRPr="007C4A2D" w:rsidR="00077B41" w:rsidTr="00CD4FB1" w14:paraId="31C03694" w14:textId="7D3017DE">
        <w:trPr>
          <w:trHeight w:val="349"/>
        </w:trPr>
        <w:tc>
          <w:tcPr>
            <w:tcW w:w="7240" w:type="dxa"/>
            <w:gridSpan w:val="6"/>
            <w:tcBorders>
              <w:bottom w:val="single" w:color="auto" w:sz="4" w:space="0"/>
            </w:tcBorders>
          </w:tcPr>
          <w:p w:rsidRPr="007C4A2D" w:rsidR="00077B41" w:rsidP="00635D11" w:rsidRDefault="00077B41" w14:paraId="3910A22D" w14:textId="67B776E1">
            <w:pPr>
              <w:widowControl w:val="0"/>
              <w:spacing w:line="240" w:lineRule="atLeast"/>
              <w:rPr>
                <w:rFonts w:ascii="Verdana" w:hAnsi="Verdana" w:cs="Arial"/>
                <w:b/>
                <w:bCs/>
                <w:iCs/>
                <w:sz w:val="15"/>
                <w:szCs w:val="15"/>
              </w:rPr>
            </w:pPr>
            <w:bookmarkStart w:name="_Hlk192864991" w:id="4"/>
            <w:r w:rsidRPr="007C4A2D">
              <w:rPr>
                <w:rFonts w:ascii="Verdana" w:hAnsi="Verdana" w:cs="Arial"/>
                <w:b/>
                <w:bCs/>
                <w:iCs/>
                <w:sz w:val="15"/>
                <w:szCs w:val="15"/>
              </w:rPr>
              <w:t>Overzicht</w:t>
            </w:r>
            <w:r w:rsidRPr="007C4A2D">
              <w:rPr>
                <w:rFonts w:ascii="Verdana" w:hAnsi="Verdana" w:cs="Arial"/>
                <w:iCs/>
                <w:sz w:val="15"/>
                <w:szCs w:val="15"/>
              </w:rPr>
              <w:t xml:space="preserve"> </w:t>
            </w:r>
            <w:r w:rsidRPr="007C4A2D" w:rsidR="003C5755">
              <w:rPr>
                <w:rFonts w:ascii="Verdana" w:hAnsi="Verdana" w:cs="Arial"/>
                <w:b/>
                <w:bCs/>
                <w:iCs/>
                <w:sz w:val="15"/>
                <w:szCs w:val="15"/>
              </w:rPr>
              <w:t>totale regeldrukkosten</w:t>
            </w:r>
            <w:r w:rsidRPr="007C4A2D">
              <w:rPr>
                <w:rFonts w:ascii="Verdana" w:hAnsi="Verdana" w:cs="Arial"/>
                <w:b/>
                <w:bCs/>
                <w:iCs/>
                <w:sz w:val="15"/>
                <w:szCs w:val="15"/>
              </w:rPr>
              <w:t xml:space="preserve"> nieuwe artikelen in CRD</w:t>
            </w:r>
            <w:r w:rsidR="007C4A2D">
              <w:rPr>
                <w:rFonts w:ascii="Verdana" w:hAnsi="Verdana" w:cs="Arial"/>
                <w:b/>
                <w:bCs/>
                <w:iCs/>
                <w:sz w:val="15"/>
                <w:szCs w:val="15"/>
              </w:rPr>
              <w:t xml:space="preserve"> (in €’s)</w:t>
            </w:r>
          </w:p>
        </w:tc>
      </w:tr>
      <w:tr w:rsidRPr="007C4A2D" w:rsidR="003C4A87" w:rsidTr="00635D11" w14:paraId="405B1908" w14:textId="77777777">
        <w:trPr>
          <w:trHeight w:val="556"/>
        </w:trPr>
        <w:tc>
          <w:tcPr>
            <w:tcW w:w="2260" w:type="dxa"/>
            <w:tcBorders>
              <w:bottom w:val="single" w:color="auto" w:sz="4" w:space="0"/>
            </w:tcBorders>
          </w:tcPr>
          <w:p w:rsidRPr="00CD4FB1" w:rsidR="00635D11" w:rsidP="00CD4FB1" w:rsidRDefault="00635D11" w14:paraId="4043E552" w14:textId="3973710D">
            <w:pPr>
              <w:widowControl w:val="0"/>
              <w:spacing w:line="240" w:lineRule="atLeast"/>
              <w:jc w:val="center"/>
              <w:rPr>
                <w:rFonts w:cs="Arial"/>
                <w:b/>
                <w:bCs/>
                <w:iCs/>
                <w:sz w:val="18"/>
                <w:szCs w:val="18"/>
              </w:rPr>
            </w:pPr>
            <w:r w:rsidRPr="00CD4FB1">
              <w:rPr>
                <w:rFonts w:cs="Arial"/>
                <w:b/>
                <w:bCs/>
                <w:iCs/>
                <w:sz w:val="18"/>
                <w:szCs w:val="18"/>
              </w:rPr>
              <w:t>Handeling</w:t>
            </w:r>
          </w:p>
        </w:tc>
        <w:tc>
          <w:tcPr>
            <w:tcW w:w="1134" w:type="dxa"/>
            <w:tcBorders>
              <w:bottom w:val="single" w:color="auto" w:sz="4" w:space="0"/>
            </w:tcBorders>
          </w:tcPr>
          <w:p w:rsidRPr="007C4A2D" w:rsidR="00635D11" w:rsidP="00CD4FB1" w:rsidRDefault="00635D11" w14:paraId="07C156A8" w14:textId="0A9908CA">
            <w:pPr>
              <w:widowControl w:val="0"/>
              <w:spacing w:line="240" w:lineRule="atLeast"/>
              <w:jc w:val="center"/>
              <w:rPr>
                <w:rFonts w:cs="Arial"/>
                <w:b/>
                <w:bCs/>
                <w:iCs/>
                <w:sz w:val="15"/>
                <w:szCs w:val="15"/>
              </w:rPr>
            </w:pPr>
            <w:r>
              <w:rPr>
                <w:rFonts w:cs="Arial"/>
                <w:b/>
                <w:bCs/>
                <w:iCs/>
                <w:sz w:val="15"/>
                <w:szCs w:val="15"/>
              </w:rPr>
              <w:t>Eenmalig</w:t>
            </w:r>
          </w:p>
        </w:tc>
        <w:tc>
          <w:tcPr>
            <w:tcW w:w="1134" w:type="dxa"/>
            <w:tcBorders>
              <w:bottom w:val="single" w:color="auto" w:sz="4" w:space="0"/>
            </w:tcBorders>
          </w:tcPr>
          <w:p w:rsidRPr="007C4A2D" w:rsidR="00635D11" w:rsidP="00CD4FB1" w:rsidRDefault="00635D11" w14:paraId="1F2612AC" w14:textId="63F005CC">
            <w:pPr>
              <w:widowControl w:val="0"/>
              <w:spacing w:line="240" w:lineRule="atLeast"/>
              <w:jc w:val="center"/>
              <w:rPr>
                <w:rFonts w:cs="Arial"/>
                <w:b/>
                <w:bCs/>
                <w:iCs/>
                <w:sz w:val="15"/>
                <w:szCs w:val="15"/>
              </w:rPr>
            </w:pPr>
            <w:r>
              <w:rPr>
                <w:rFonts w:cs="Arial"/>
                <w:b/>
                <w:bCs/>
                <w:iCs/>
                <w:sz w:val="15"/>
                <w:szCs w:val="15"/>
              </w:rPr>
              <w:t>Structureel</w:t>
            </w:r>
          </w:p>
        </w:tc>
        <w:tc>
          <w:tcPr>
            <w:tcW w:w="1264" w:type="dxa"/>
            <w:tcBorders>
              <w:bottom w:val="single" w:color="auto" w:sz="4" w:space="0"/>
            </w:tcBorders>
          </w:tcPr>
          <w:p w:rsidR="00635D11" w:rsidP="00CD4FB1" w:rsidRDefault="00635D11" w14:paraId="2BC8E761" w14:textId="5A24267A">
            <w:pPr>
              <w:widowControl w:val="0"/>
              <w:spacing w:line="240" w:lineRule="atLeast"/>
              <w:jc w:val="center"/>
              <w:rPr>
                <w:rFonts w:cs="Arial"/>
                <w:b/>
                <w:bCs/>
                <w:iCs/>
                <w:sz w:val="15"/>
                <w:szCs w:val="15"/>
              </w:rPr>
            </w:pPr>
            <w:r>
              <w:rPr>
                <w:rFonts w:cs="Arial"/>
                <w:b/>
                <w:bCs/>
                <w:iCs/>
                <w:sz w:val="15"/>
                <w:szCs w:val="15"/>
              </w:rPr>
              <w:t>Eenmalig</w:t>
            </w:r>
          </w:p>
          <w:p w:rsidRPr="007C4A2D" w:rsidR="00635D11" w:rsidP="00CD4FB1" w:rsidRDefault="00635D11" w14:paraId="12A70756" w14:textId="278B7309">
            <w:pPr>
              <w:widowControl w:val="0"/>
              <w:spacing w:line="240" w:lineRule="atLeast"/>
              <w:jc w:val="center"/>
              <w:rPr>
                <w:rFonts w:cs="Arial"/>
                <w:b/>
                <w:bCs/>
                <w:iCs/>
                <w:sz w:val="15"/>
                <w:szCs w:val="15"/>
              </w:rPr>
            </w:pPr>
            <w:r>
              <w:rPr>
                <w:rFonts w:cs="Arial"/>
                <w:b/>
                <w:bCs/>
                <w:iCs/>
                <w:sz w:val="15"/>
                <w:szCs w:val="15"/>
              </w:rPr>
              <w:t>(sector)</w:t>
            </w:r>
          </w:p>
        </w:tc>
        <w:tc>
          <w:tcPr>
            <w:tcW w:w="1448" w:type="dxa"/>
            <w:gridSpan w:val="2"/>
            <w:tcBorders>
              <w:bottom w:val="single" w:color="auto" w:sz="4" w:space="0"/>
            </w:tcBorders>
          </w:tcPr>
          <w:p w:rsidR="00635D11" w:rsidP="00CD4FB1" w:rsidRDefault="00635D11" w14:paraId="1A27F293" w14:textId="37E4FB40">
            <w:pPr>
              <w:widowControl w:val="0"/>
              <w:spacing w:line="240" w:lineRule="atLeast"/>
              <w:jc w:val="center"/>
              <w:rPr>
                <w:rFonts w:cs="Arial"/>
                <w:b/>
                <w:bCs/>
                <w:iCs/>
                <w:sz w:val="15"/>
                <w:szCs w:val="15"/>
              </w:rPr>
            </w:pPr>
            <w:r>
              <w:rPr>
                <w:rFonts w:cs="Arial"/>
                <w:b/>
                <w:bCs/>
                <w:iCs/>
                <w:sz w:val="15"/>
                <w:szCs w:val="15"/>
              </w:rPr>
              <w:t>Structureel</w:t>
            </w:r>
          </w:p>
          <w:p w:rsidRPr="007C4A2D" w:rsidR="00635D11" w:rsidP="00CD4FB1" w:rsidRDefault="00635D11" w14:paraId="76A20307" w14:textId="3C3D63BC">
            <w:pPr>
              <w:widowControl w:val="0"/>
              <w:spacing w:line="240" w:lineRule="atLeast"/>
              <w:jc w:val="center"/>
              <w:rPr>
                <w:rFonts w:cs="Arial"/>
                <w:b/>
                <w:bCs/>
                <w:iCs/>
                <w:sz w:val="15"/>
                <w:szCs w:val="15"/>
              </w:rPr>
            </w:pPr>
            <w:r>
              <w:rPr>
                <w:rFonts w:cs="Arial"/>
                <w:b/>
                <w:bCs/>
                <w:iCs/>
                <w:sz w:val="15"/>
                <w:szCs w:val="15"/>
              </w:rPr>
              <w:t>(sector)</w:t>
            </w:r>
          </w:p>
        </w:tc>
      </w:tr>
      <w:tr w:rsidRPr="007C4A2D" w:rsidR="00522761" w:rsidTr="001D7734" w14:paraId="0128F86B" w14:textId="77777777">
        <w:trPr>
          <w:trHeight w:val="556"/>
        </w:trPr>
        <w:tc>
          <w:tcPr>
            <w:tcW w:w="7240" w:type="dxa"/>
            <w:gridSpan w:val="6"/>
            <w:tcBorders>
              <w:bottom w:val="single" w:color="auto" w:sz="4" w:space="0"/>
            </w:tcBorders>
          </w:tcPr>
          <w:p w:rsidRPr="007C4A2D" w:rsidR="00522761" w:rsidP="008B4914" w:rsidRDefault="00522761" w14:paraId="6F4690AC" w14:textId="5AC148BA">
            <w:pPr>
              <w:widowControl w:val="0"/>
              <w:spacing w:line="240" w:lineRule="atLeast"/>
              <w:rPr>
                <w:rFonts w:ascii="Verdana" w:hAnsi="Verdana" w:cs="Arial"/>
                <w:i/>
                <w:sz w:val="15"/>
                <w:szCs w:val="15"/>
              </w:rPr>
            </w:pPr>
            <w:r w:rsidRPr="007C4A2D">
              <w:rPr>
                <w:rFonts w:ascii="Verdana" w:hAnsi="Verdana" w:cs="Arial"/>
                <w:i/>
                <w:sz w:val="15"/>
                <w:szCs w:val="15"/>
              </w:rPr>
              <w:t>De volgende vereisten zijn van toepassing op 3</w:t>
            </w:r>
            <w:r w:rsidR="0089691C">
              <w:rPr>
                <w:rFonts w:ascii="Verdana" w:hAnsi="Verdana" w:cs="Arial"/>
                <w:i/>
                <w:sz w:val="15"/>
                <w:szCs w:val="15"/>
              </w:rPr>
              <w:t>5</w:t>
            </w:r>
            <w:r w:rsidRPr="007C4A2D">
              <w:rPr>
                <w:rFonts w:ascii="Verdana" w:hAnsi="Verdana" w:cs="Arial"/>
                <w:i/>
                <w:sz w:val="15"/>
                <w:szCs w:val="15"/>
              </w:rPr>
              <w:t xml:space="preserve"> banken</w:t>
            </w:r>
            <w:r w:rsidR="008E4BA8">
              <w:rPr>
                <w:rFonts w:ascii="Verdana" w:hAnsi="Verdana" w:cs="Arial"/>
                <w:i/>
                <w:sz w:val="15"/>
                <w:szCs w:val="15"/>
              </w:rPr>
              <w:t xml:space="preserve"> (waarvan 5 klein en niet-complexe banken)</w:t>
            </w:r>
            <w:r w:rsidRPr="007C4A2D">
              <w:rPr>
                <w:rFonts w:ascii="Verdana" w:hAnsi="Verdana" w:cs="Arial"/>
                <w:i/>
                <w:sz w:val="15"/>
                <w:szCs w:val="15"/>
              </w:rPr>
              <w:t xml:space="preserve"> en 15 holdings</w:t>
            </w:r>
          </w:p>
        </w:tc>
      </w:tr>
      <w:tr w:rsidRPr="007C4A2D" w:rsidR="003C4A87" w:rsidTr="00635D11" w14:paraId="04A87C36" w14:textId="0DB10138">
        <w:tc>
          <w:tcPr>
            <w:tcW w:w="2260" w:type="dxa"/>
          </w:tcPr>
          <w:p w:rsidRPr="007C4A2D" w:rsidR="00522761" w:rsidP="00522761" w:rsidRDefault="00522761" w14:paraId="087302FB" w14:textId="5B0A2CB9">
            <w:pPr>
              <w:widowControl w:val="0"/>
              <w:spacing w:line="240" w:lineRule="atLeast"/>
              <w:rPr>
                <w:rFonts w:ascii="Verdana" w:hAnsi="Verdana" w:cs="Arial"/>
                <w:iCs/>
                <w:sz w:val="15"/>
                <w:szCs w:val="15"/>
              </w:rPr>
            </w:pPr>
            <w:r w:rsidRPr="007C4A2D">
              <w:rPr>
                <w:rFonts w:ascii="Verdana" w:hAnsi="Verdana" w:cs="Arial"/>
                <w:iCs/>
                <w:sz w:val="15"/>
                <w:szCs w:val="15"/>
              </w:rPr>
              <w:t xml:space="preserve">Prudentieel relevante transacties </w:t>
            </w:r>
          </w:p>
        </w:tc>
        <w:tc>
          <w:tcPr>
            <w:tcW w:w="1134" w:type="dxa"/>
          </w:tcPr>
          <w:p w:rsidRPr="007C4A2D" w:rsidR="00522761" w:rsidP="00522761" w:rsidRDefault="00522761" w14:paraId="3F460989" w14:textId="10BB5A92">
            <w:pPr>
              <w:widowControl w:val="0"/>
              <w:spacing w:line="240" w:lineRule="atLeast"/>
              <w:rPr>
                <w:rFonts w:ascii="Verdana" w:hAnsi="Verdana" w:cs="Arial"/>
                <w:iCs/>
                <w:sz w:val="15"/>
                <w:szCs w:val="15"/>
              </w:rPr>
            </w:pPr>
            <w:r w:rsidRPr="007C4A2D">
              <w:rPr>
                <w:rFonts w:ascii="Verdana" w:hAnsi="Verdana" w:cs="Arial"/>
                <w:iCs/>
                <w:sz w:val="15"/>
                <w:szCs w:val="15"/>
              </w:rPr>
              <w:t>270</w:t>
            </w:r>
            <w:r w:rsidR="002C1E01">
              <w:rPr>
                <w:rFonts w:ascii="Verdana" w:hAnsi="Verdana" w:cs="Arial"/>
                <w:iCs/>
                <w:sz w:val="15"/>
                <w:szCs w:val="15"/>
              </w:rPr>
              <w:t xml:space="preserve"> </w:t>
            </w:r>
            <w:r w:rsidRPr="007C4A2D">
              <w:rPr>
                <w:rFonts w:ascii="Verdana" w:hAnsi="Verdana" w:cs="Arial"/>
                <w:iCs/>
                <w:sz w:val="15"/>
                <w:szCs w:val="15"/>
              </w:rPr>
              <w:t>-</w:t>
            </w:r>
            <w:r w:rsidR="002C1E01">
              <w:rPr>
                <w:rFonts w:ascii="Verdana" w:hAnsi="Verdana" w:cs="Arial"/>
                <w:iCs/>
                <w:sz w:val="15"/>
                <w:szCs w:val="15"/>
              </w:rPr>
              <w:t xml:space="preserve"> </w:t>
            </w:r>
            <w:r w:rsidRPr="007C4A2D">
              <w:rPr>
                <w:rFonts w:ascii="Verdana" w:hAnsi="Verdana" w:cs="Arial"/>
                <w:iCs/>
                <w:sz w:val="15"/>
                <w:szCs w:val="15"/>
              </w:rPr>
              <w:t>540</w:t>
            </w:r>
          </w:p>
        </w:tc>
        <w:tc>
          <w:tcPr>
            <w:tcW w:w="1134" w:type="dxa"/>
          </w:tcPr>
          <w:p w:rsidRPr="007C4A2D" w:rsidR="00522761" w:rsidP="00522761" w:rsidRDefault="00522761" w14:paraId="7CE8A901" w14:textId="100F3D3A">
            <w:pPr>
              <w:widowControl w:val="0"/>
              <w:spacing w:line="240" w:lineRule="atLeast"/>
              <w:rPr>
                <w:rFonts w:ascii="Verdana" w:hAnsi="Verdana" w:cs="Arial"/>
                <w:iCs/>
                <w:sz w:val="15"/>
                <w:szCs w:val="15"/>
              </w:rPr>
            </w:pPr>
            <w:r w:rsidRPr="007C4A2D">
              <w:rPr>
                <w:rFonts w:ascii="Verdana" w:hAnsi="Verdana" w:cs="Arial"/>
                <w:iCs/>
                <w:sz w:val="15"/>
                <w:szCs w:val="15"/>
              </w:rPr>
              <w:t>N.v.t.</w:t>
            </w:r>
          </w:p>
        </w:tc>
        <w:tc>
          <w:tcPr>
            <w:tcW w:w="1279" w:type="dxa"/>
            <w:gridSpan w:val="2"/>
          </w:tcPr>
          <w:p w:rsidRPr="007C4A2D" w:rsidR="00522761" w:rsidP="00522761" w:rsidRDefault="0022402B" w14:paraId="47AB2408" w14:textId="00954275">
            <w:pPr>
              <w:widowControl w:val="0"/>
              <w:spacing w:line="240" w:lineRule="atLeast"/>
              <w:rPr>
                <w:rFonts w:ascii="Verdana" w:hAnsi="Verdana" w:cs="Arial"/>
                <w:iCs/>
                <w:sz w:val="15"/>
                <w:szCs w:val="15"/>
              </w:rPr>
            </w:pPr>
            <w:r>
              <w:rPr>
                <w:rFonts w:ascii="Verdana" w:hAnsi="Verdana" w:cs="Arial"/>
                <w:iCs/>
                <w:sz w:val="15"/>
                <w:szCs w:val="15"/>
              </w:rPr>
              <w:t>13.500</w:t>
            </w:r>
            <w:r w:rsidRPr="007C4A2D" w:rsidR="00522761">
              <w:rPr>
                <w:rFonts w:ascii="Verdana" w:hAnsi="Verdana" w:cs="Arial"/>
                <w:iCs/>
                <w:sz w:val="15"/>
                <w:szCs w:val="15"/>
              </w:rPr>
              <w:t xml:space="preserve"> - 2</w:t>
            </w:r>
            <w:r>
              <w:rPr>
                <w:rFonts w:ascii="Verdana" w:hAnsi="Verdana" w:cs="Arial"/>
                <w:iCs/>
                <w:sz w:val="15"/>
                <w:szCs w:val="15"/>
              </w:rPr>
              <w:t>7</w:t>
            </w:r>
            <w:r w:rsidRPr="007C4A2D" w:rsidR="00522761">
              <w:rPr>
                <w:rFonts w:ascii="Verdana" w:hAnsi="Verdana" w:cs="Arial"/>
                <w:iCs/>
                <w:sz w:val="15"/>
                <w:szCs w:val="15"/>
              </w:rPr>
              <w:t>.0</w:t>
            </w:r>
            <w:r>
              <w:rPr>
                <w:rFonts w:ascii="Verdana" w:hAnsi="Verdana" w:cs="Arial"/>
                <w:iCs/>
                <w:sz w:val="15"/>
                <w:szCs w:val="15"/>
              </w:rPr>
              <w:t>0</w:t>
            </w:r>
            <w:r w:rsidRPr="007C4A2D" w:rsidR="00522761">
              <w:rPr>
                <w:rFonts w:ascii="Verdana" w:hAnsi="Verdana" w:cs="Arial"/>
                <w:iCs/>
                <w:sz w:val="15"/>
                <w:szCs w:val="15"/>
              </w:rPr>
              <w:t>0</w:t>
            </w:r>
          </w:p>
        </w:tc>
        <w:tc>
          <w:tcPr>
            <w:tcW w:w="1433" w:type="dxa"/>
          </w:tcPr>
          <w:p w:rsidRPr="007C4A2D" w:rsidR="00522761" w:rsidP="00522761" w:rsidRDefault="00522761" w14:paraId="5A886A2E" w14:textId="7EBBFA26">
            <w:pPr>
              <w:widowControl w:val="0"/>
              <w:spacing w:line="240" w:lineRule="atLeast"/>
              <w:rPr>
                <w:rFonts w:ascii="Verdana" w:hAnsi="Verdana" w:cs="Arial"/>
                <w:iCs/>
                <w:sz w:val="15"/>
                <w:szCs w:val="15"/>
              </w:rPr>
            </w:pPr>
            <w:r w:rsidRPr="007C4A2D">
              <w:rPr>
                <w:rFonts w:ascii="Verdana" w:hAnsi="Verdana" w:cs="Arial"/>
                <w:iCs/>
                <w:sz w:val="15"/>
                <w:szCs w:val="15"/>
              </w:rPr>
              <w:t>N.v.t.</w:t>
            </w:r>
          </w:p>
        </w:tc>
      </w:tr>
      <w:tr w:rsidRPr="007C4A2D" w:rsidR="003C4A87" w:rsidTr="00635D11" w14:paraId="39F137E8" w14:textId="02DD16EA">
        <w:tc>
          <w:tcPr>
            <w:tcW w:w="2260" w:type="dxa"/>
          </w:tcPr>
          <w:p w:rsidRPr="007C4A2D" w:rsidR="00522761" w:rsidP="00522761" w:rsidRDefault="00522761" w14:paraId="34CFC129" w14:textId="6DAAD8E5">
            <w:pPr>
              <w:widowControl w:val="0"/>
              <w:spacing w:line="240" w:lineRule="atLeast"/>
              <w:rPr>
                <w:rFonts w:ascii="Verdana" w:hAnsi="Verdana" w:cs="Arial"/>
                <w:iCs/>
                <w:sz w:val="15"/>
                <w:szCs w:val="15"/>
              </w:rPr>
            </w:pPr>
            <w:r w:rsidRPr="007C4A2D">
              <w:rPr>
                <w:rFonts w:ascii="Verdana" w:hAnsi="Verdana" w:cs="Arial"/>
                <w:iCs/>
                <w:sz w:val="15"/>
                <w:szCs w:val="15"/>
              </w:rPr>
              <w:t xml:space="preserve">Concentratierisico’s bij centrale tegenpartijen in staten die geen lidstaat zijn </w:t>
            </w:r>
          </w:p>
        </w:tc>
        <w:tc>
          <w:tcPr>
            <w:tcW w:w="1134" w:type="dxa"/>
          </w:tcPr>
          <w:p w:rsidRPr="007C4A2D" w:rsidR="00522761" w:rsidP="00522761" w:rsidRDefault="00522761" w14:paraId="21321F8F" w14:textId="351CB1A4">
            <w:pPr>
              <w:widowControl w:val="0"/>
              <w:spacing w:line="240" w:lineRule="atLeast"/>
              <w:rPr>
                <w:rFonts w:ascii="Verdana" w:hAnsi="Verdana" w:cs="Arial"/>
                <w:iCs/>
                <w:sz w:val="15"/>
                <w:szCs w:val="15"/>
              </w:rPr>
            </w:pPr>
            <w:r w:rsidRPr="007C4A2D">
              <w:rPr>
                <w:rFonts w:ascii="Verdana" w:hAnsi="Verdana" w:cs="Arial"/>
                <w:iCs/>
                <w:sz w:val="15"/>
                <w:szCs w:val="15"/>
              </w:rPr>
              <w:t>540</w:t>
            </w:r>
            <w:r w:rsidR="002C1E01">
              <w:rPr>
                <w:rFonts w:ascii="Verdana" w:hAnsi="Verdana" w:cs="Arial"/>
                <w:iCs/>
                <w:sz w:val="15"/>
                <w:szCs w:val="15"/>
              </w:rPr>
              <w:t xml:space="preserve"> </w:t>
            </w:r>
            <w:r w:rsidRPr="007C4A2D">
              <w:rPr>
                <w:rFonts w:ascii="Verdana" w:hAnsi="Verdana" w:cs="Arial"/>
                <w:iCs/>
                <w:sz w:val="15"/>
                <w:szCs w:val="15"/>
              </w:rPr>
              <w:t>-</w:t>
            </w:r>
            <w:r w:rsidR="002C1E01">
              <w:rPr>
                <w:rFonts w:ascii="Verdana" w:hAnsi="Verdana" w:cs="Arial"/>
                <w:iCs/>
                <w:sz w:val="15"/>
                <w:szCs w:val="15"/>
              </w:rPr>
              <w:t xml:space="preserve"> </w:t>
            </w:r>
            <w:r w:rsidRPr="007C4A2D">
              <w:rPr>
                <w:rFonts w:ascii="Verdana" w:hAnsi="Verdana" w:cs="Arial"/>
                <w:iCs/>
                <w:sz w:val="15"/>
                <w:szCs w:val="15"/>
              </w:rPr>
              <w:t>1080</w:t>
            </w:r>
          </w:p>
        </w:tc>
        <w:tc>
          <w:tcPr>
            <w:tcW w:w="1134" w:type="dxa"/>
          </w:tcPr>
          <w:p w:rsidRPr="007C4A2D" w:rsidR="00522761" w:rsidP="00522761" w:rsidRDefault="003400BA" w14:paraId="1AF16660" w14:textId="3744AC0E">
            <w:pPr>
              <w:widowControl w:val="0"/>
              <w:spacing w:line="240" w:lineRule="atLeast"/>
              <w:rPr>
                <w:rFonts w:ascii="Verdana" w:hAnsi="Verdana" w:cs="Arial"/>
                <w:iCs/>
                <w:sz w:val="15"/>
                <w:szCs w:val="15"/>
              </w:rPr>
            </w:pPr>
            <w:r>
              <w:rPr>
                <w:rFonts w:ascii="Verdana" w:hAnsi="Verdana" w:cs="Arial"/>
                <w:iCs/>
                <w:sz w:val="15"/>
                <w:szCs w:val="15"/>
              </w:rPr>
              <w:t>N.v.t</w:t>
            </w:r>
          </w:p>
        </w:tc>
        <w:tc>
          <w:tcPr>
            <w:tcW w:w="1279" w:type="dxa"/>
            <w:gridSpan w:val="2"/>
          </w:tcPr>
          <w:p w:rsidRPr="007C4A2D" w:rsidR="00522761" w:rsidP="00522761" w:rsidRDefault="00522761" w14:paraId="0F6725F9" w14:textId="61F252B8">
            <w:pPr>
              <w:widowControl w:val="0"/>
              <w:spacing w:line="240" w:lineRule="atLeast"/>
              <w:rPr>
                <w:rFonts w:ascii="Verdana" w:hAnsi="Verdana" w:cs="Arial"/>
                <w:iCs/>
                <w:sz w:val="15"/>
                <w:szCs w:val="15"/>
              </w:rPr>
            </w:pPr>
            <w:r w:rsidRPr="007C4A2D">
              <w:rPr>
                <w:rFonts w:ascii="Verdana" w:hAnsi="Verdana" w:cs="Arial"/>
                <w:iCs/>
                <w:sz w:val="15"/>
                <w:szCs w:val="15"/>
              </w:rPr>
              <w:t>2</w:t>
            </w:r>
            <w:r w:rsidR="00CD4FB1">
              <w:rPr>
                <w:rFonts w:ascii="Verdana" w:hAnsi="Verdana" w:cs="Arial"/>
                <w:iCs/>
                <w:sz w:val="15"/>
                <w:szCs w:val="15"/>
              </w:rPr>
              <w:t>7</w:t>
            </w:r>
            <w:r w:rsidRPr="007C4A2D">
              <w:rPr>
                <w:rFonts w:ascii="Verdana" w:hAnsi="Verdana" w:cs="Arial"/>
                <w:iCs/>
                <w:sz w:val="15"/>
                <w:szCs w:val="15"/>
              </w:rPr>
              <w:t>.0</w:t>
            </w:r>
            <w:r w:rsidR="00CD4FB1">
              <w:rPr>
                <w:rFonts w:ascii="Verdana" w:hAnsi="Verdana" w:cs="Arial"/>
                <w:iCs/>
                <w:sz w:val="15"/>
                <w:szCs w:val="15"/>
              </w:rPr>
              <w:t>0</w:t>
            </w:r>
            <w:r w:rsidRPr="007C4A2D">
              <w:rPr>
                <w:rFonts w:ascii="Verdana" w:hAnsi="Verdana" w:cs="Arial"/>
                <w:iCs/>
                <w:sz w:val="15"/>
                <w:szCs w:val="15"/>
              </w:rPr>
              <w:t>0 – 5</w:t>
            </w:r>
            <w:r w:rsidR="00CD4FB1">
              <w:rPr>
                <w:rFonts w:ascii="Verdana" w:hAnsi="Verdana" w:cs="Arial"/>
                <w:iCs/>
                <w:sz w:val="15"/>
                <w:szCs w:val="15"/>
              </w:rPr>
              <w:t>4</w:t>
            </w:r>
            <w:r w:rsidRPr="007C4A2D">
              <w:rPr>
                <w:rFonts w:ascii="Verdana" w:hAnsi="Verdana" w:cs="Arial"/>
                <w:iCs/>
                <w:sz w:val="15"/>
                <w:szCs w:val="15"/>
              </w:rPr>
              <w:t>.</w:t>
            </w:r>
            <w:r w:rsidR="00CD4FB1">
              <w:rPr>
                <w:rFonts w:ascii="Verdana" w:hAnsi="Verdana" w:cs="Arial"/>
                <w:iCs/>
                <w:sz w:val="15"/>
                <w:szCs w:val="15"/>
              </w:rPr>
              <w:t>00</w:t>
            </w:r>
            <w:r w:rsidRPr="007C4A2D">
              <w:rPr>
                <w:rFonts w:ascii="Verdana" w:hAnsi="Verdana" w:cs="Arial"/>
                <w:iCs/>
                <w:sz w:val="15"/>
                <w:szCs w:val="15"/>
              </w:rPr>
              <w:t>0</w:t>
            </w:r>
          </w:p>
        </w:tc>
        <w:tc>
          <w:tcPr>
            <w:tcW w:w="1433" w:type="dxa"/>
          </w:tcPr>
          <w:p w:rsidRPr="007C4A2D" w:rsidR="00522761" w:rsidP="00522761" w:rsidRDefault="00635D11" w14:paraId="76C4B5BE" w14:textId="0BB7F8BB">
            <w:pPr>
              <w:widowControl w:val="0"/>
              <w:spacing w:line="240" w:lineRule="atLeast"/>
              <w:rPr>
                <w:rFonts w:ascii="Verdana" w:hAnsi="Verdana" w:cs="Arial"/>
                <w:iCs/>
                <w:sz w:val="15"/>
                <w:szCs w:val="15"/>
              </w:rPr>
            </w:pPr>
            <w:r w:rsidRPr="007C4A2D">
              <w:rPr>
                <w:rFonts w:ascii="Verdana" w:hAnsi="Verdana" w:cs="Arial"/>
                <w:iCs/>
                <w:sz w:val="15"/>
                <w:szCs w:val="15"/>
              </w:rPr>
              <w:t>N.v.t.</w:t>
            </w:r>
          </w:p>
        </w:tc>
      </w:tr>
      <w:tr w:rsidRPr="007C4A2D" w:rsidR="003C4A87" w:rsidTr="00635D11" w14:paraId="5E148539" w14:textId="737D36B4">
        <w:tc>
          <w:tcPr>
            <w:tcW w:w="2260" w:type="dxa"/>
          </w:tcPr>
          <w:p w:rsidRPr="007C4A2D" w:rsidR="00522761" w:rsidP="00522761" w:rsidRDefault="00522761" w14:paraId="75FAA09C" w14:textId="661637A0">
            <w:pPr>
              <w:widowControl w:val="0"/>
              <w:spacing w:line="240" w:lineRule="atLeast"/>
              <w:rPr>
                <w:rFonts w:ascii="Verdana" w:hAnsi="Verdana" w:cs="Arial"/>
                <w:iCs/>
                <w:sz w:val="15"/>
                <w:szCs w:val="15"/>
              </w:rPr>
            </w:pPr>
            <w:r w:rsidRPr="007C4A2D">
              <w:rPr>
                <w:rFonts w:ascii="Verdana" w:hAnsi="Verdana" w:cs="Arial"/>
                <w:iCs/>
                <w:sz w:val="15"/>
                <w:szCs w:val="15"/>
              </w:rPr>
              <w:t>Crypto-risico’s meenemen in risicobeheer</w:t>
            </w:r>
          </w:p>
        </w:tc>
        <w:tc>
          <w:tcPr>
            <w:tcW w:w="1134" w:type="dxa"/>
          </w:tcPr>
          <w:p w:rsidRPr="007C4A2D" w:rsidR="00522761" w:rsidP="00522761" w:rsidRDefault="00635D11" w14:paraId="2AF07F01" w14:textId="6332236B">
            <w:pPr>
              <w:widowControl w:val="0"/>
              <w:spacing w:line="240" w:lineRule="atLeast"/>
              <w:rPr>
                <w:rFonts w:ascii="Verdana" w:hAnsi="Verdana" w:cs="Arial"/>
                <w:iCs/>
                <w:sz w:val="15"/>
                <w:szCs w:val="15"/>
              </w:rPr>
            </w:pPr>
            <w:r>
              <w:rPr>
                <w:rFonts w:ascii="Verdana" w:hAnsi="Verdana" w:cs="Arial"/>
                <w:iCs/>
                <w:sz w:val="15"/>
                <w:szCs w:val="15"/>
              </w:rPr>
              <w:t>1080</w:t>
            </w:r>
            <w:r w:rsidR="002C1E01">
              <w:rPr>
                <w:rFonts w:ascii="Verdana" w:hAnsi="Verdana" w:cs="Arial"/>
                <w:iCs/>
                <w:sz w:val="15"/>
                <w:szCs w:val="15"/>
              </w:rPr>
              <w:t xml:space="preserve"> </w:t>
            </w:r>
            <w:r w:rsidRPr="007C4A2D" w:rsidR="00522761">
              <w:rPr>
                <w:rFonts w:ascii="Verdana" w:hAnsi="Verdana" w:cs="Arial"/>
                <w:iCs/>
                <w:sz w:val="15"/>
                <w:szCs w:val="15"/>
              </w:rPr>
              <w:t>-</w:t>
            </w:r>
            <w:r w:rsidR="002C1E01">
              <w:rPr>
                <w:rFonts w:ascii="Verdana" w:hAnsi="Verdana" w:cs="Arial"/>
                <w:iCs/>
                <w:sz w:val="15"/>
                <w:szCs w:val="15"/>
              </w:rPr>
              <w:t xml:space="preserve"> </w:t>
            </w:r>
            <w:r>
              <w:rPr>
                <w:rFonts w:ascii="Verdana" w:hAnsi="Verdana" w:cs="Arial"/>
                <w:iCs/>
                <w:sz w:val="15"/>
                <w:szCs w:val="15"/>
              </w:rPr>
              <w:t>1620</w:t>
            </w:r>
            <w:r w:rsidR="00630CEC">
              <w:rPr>
                <w:rFonts w:ascii="Verdana" w:hAnsi="Verdana" w:cs="Arial"/>
                <w:iCs/>
                <w:sz w:val="15"/>
                <w:szCs w:val="15"/>
              </w:rPr>
              <w:t xml:space="preserve"> </w:t>
            </w:r>
          </w:p>
        </w:tc>
        <w:tc>
          <w:tcPr>
            <w:tcW w:w="1134" w:type="dxa"/>
          </w:tcPr>
          <w:p w:rsidRPr="007C4A2D" w:rsidR="00522761" w:rsidP="00522761" w:rsidRDefault="003400BA" w14:paraId="6745066E" w14:textId="1797D768">
            <w:pPr>
              <w:widowControl w:val="0"/>
              <w:spacing w:line="240" w:lineRule="atLeast"/>
              <w:rPr>
                <w:rFonts w:ascii="Verdana" w:hAnsi="Verdana" w:cs="Arial"/>
                <w:iCs/>
                <w:sz w:val="15"/>
                <w:szCs w:val="15"/>
              </w:rPr>
            </w:pPr>
            <w:r>
              <w:rPr>
                <w:rFonts w:ascii="Verdana" w:hAnsi="Verdana" w:cs="Arial"/>
                <w:iCs/>
                <w:sz w:val="15"/>
                <w:szCs w:val="15"/>
              </w:rPr>
              <w:t>N.v.t.</w:t>
            </w:r>
          </w:p>
        </w:tc>
        <w:tc>
          <w:tcPr>
            <w:tcW w:w="1279" w:type="dxa"/>
            <w:gridSpan w:val="2"/>
          </w:tcPr>
          <w:p w:rsidRPr="007C4A2D" w:rsidR="00522761" w:rsidP="00522761" w:rsidRDefault="00CD4FB1" w14:paraId="407159A3" w14:textId="729AF928">
            <w:pPr>
              <w:widowControl w:val="0"/>
              <w:spacing w:line="240" w:lineRule="atLeast"/>
              <w:rPr>
                <w:rFonts w:ascii="Verdana" w:hAnsi="Verdana" w:cs="Arial"/>
                <w:iCs/>
                <w:sz w:val="15"/>
                <w:szCs w:val="15"/>
              </w:rPr>
            </w:pPr>
            <w:r>
              <w:rPr>
                <w:rFonts w:ascii="Verdana" w:hAnsi="Verdana" w:cs="Arial"/>
                <w:iCs/>
                <w:sz w:val="15"/>
                <w:szCs w:val="15"/>
              </w:rPr>
              <w:t>54.000</w:t>
            </w:r>
            <w:r w:rsidRPr="007C4A2D" w:rsidR="00522761">
              <w:rPr>
                <w:rFonts w:ascii="Verdana" w:hAnsi="Verdana" w:cs="Arial"/>
                <w:iCs/>
                <w:sz w:val="15"/>
                <w:szCs w:val="15"/>
              </w:rPr>
              <w:t xml:space="preserve"> – </w:t>
            </w:r>
            <w:r>
              <w:rPr>
                <w:rFonts w:ascii="Verdana" w:hAnsi="Verdana" w:cs="Arial"/>
                <w:iCs/>
                <w:sz w:val="15"/>
                <w:szCs w:val="15"/>
              </w:rPr>
              <w:t>81</w:t>
            </w:r>
            <w:r w:rsidRPr="007C4A2D" w:rsidR="00522761">
              <w:rPr>
                <w:rFonts w:ascii="Verdana" w:hAnsi="Verdana" w:cs="Arial"/>
                <w:iCs/>
                <w:sz w:val="15"/>
                <w:szCs w:val="15"/>
              </w:rPr>
              <w:t>.</w:t>
            </w:r>
            <w:r>
              <w:rPr>
                <w:rFonts w:ascii="Verdana" w:hAnsi="Verdana" w:cs="Arial"/>
                <w:iCs/>
                <w:sz w:val="15"/>
                <w:szCs w:val="15"/>
              </w:rPr>
              <w:t>00</w:t>
            </w:r>
            <w:r w:rsidRPr="007C4A2D" w:rsidR="00522761">
              <w:rPr>
                <w:rFonts w:ascii="Verdana" w:hAnsi="Verdana" w:cs="Arial"/>
                <w:iCs/>
                <w:sz w:val="15"/>
                <w:szCs w:val="15"/>
              </w:rPr>
              <w:t>0</w:t>
            </w:r>
          </w:p>
        </w:tc>
        <w:tc>
          <w:tcPr>
            <w:tcW w:w="1433" w:type="dxa"/>
          </w:tcPr>
          <w:p w:rsidRPr="007C4A2D" w:rsidR="00522761" w:rsidP="00522761" w:rsidRDefault="00635D11" w14:paraId="25A891E6" w14:textId="50C72513">
            <w:pPr>
              <w:widowControl w:val="0"/>
              <w:spacing w:line="240" w:lineRule="atLeast"/>
              <w:rPr>
                <w:rFonts w:ascii="Verdana" w:hAnsi="Verdana" w:cs="Arial"/>
                <w:iCs/>
                <w:sz w:val="15"/>
                <w:szCs w:val="15"/>
              </w:rPr>
            </w:pPr>
            <w:r w:rsidRPr="007C4A2D">
              <w:rPr>
                <w:rFonts w:ascii="Verdana" w:hAnsi="Verdana" w:cs="Arial"/>
                <w:iCs/>
                <w:sz w:val="15"/>
                <w:szCs w:val="15"/>
              </w:rPr>
              <w:t>N.v.t.</w:t>
            </w:r>
          </w:p>
        </w:tc>
      </w:tr>
      <w:tr w:rsidRPr="007C4A2D" w:rsidR="003C4A87" w:rsidTr="00635D11" w14:paraId="462B6012" w14:textId="4EF1FDCB">
        <w:tc>
          <w:tcPr>
            <w:tcW w:w="2260" w:type="dxa"/>
          </w:tcPr>
          <w:p w:rsidRPr="007C4A2D" w:rsidR="00522761" w:rsidP="00522761" w:rsidRDefault="003400BA" w14:paraId="5447BEB0" w14:textId="5D104B32">
            <w:pPr>
              <w:widowControl w:val="0"/>
              <w:spacing w:line="240" w:lineRule="atLeast"/>
              <w:rPr>
                <w:rFonts w:ascii="Verdana" w:hAnsi="Verdana" w:cs="Arial"/>
                <w:iCs/>
                <w:sz w:val="15"/>
                <w:szCs w:val="15"/>
              </w:rPr>
            </w:pPr>
            <w:r>
              <w:rPr>
                <w:rFonts w:ascii="Verdana" w:hAnsi="Verdana" w:cs="Arial"/>
                <w:iCs/>
                <w:sz w:val="15"/>
                <w:szCs w:val="15"/>
              </w:rPr>
              <w:t>Opstellen lijst i</w:t>
            </w:r>
            <w:r w:rsidRPr="007C4A2D" w:rsidR="00522761">
              <w:rPr>
                <w:rFonts w:ascii="Verdana" w:hAnsi="Verdana" w:cs="Arial"/>
                <w:iCs/>
                <w:sz w:val="15"/>
                <w:szCs w:val="15"/>
              </w:rPr>
              <w:t xml:space="preserve">ndividuele verklaringen over taken en verantwoordelijkheden </w:t>
            </w:r>
          </w:p>
        </w:tc>
        <w:tc>
          <w:tcPr>
            <w:tcW w:w="1134" w:type="dxa"/>
          </w:tcPr>
          <w:p w:rsidRPr="007C4A2D" w:rsidR="00522761" w:rsidP="00522761" w:rsidRDefault="00CD4FB1" w14:paraId="5F6B3DC0" w14:textId="7834248E">
            <w:pPr>
              <w:widowControl w:val="0"/>
              <w:spacing w:line="240" w:lineRule="atLeast"/>
              <w:rPr>
                <w:rFonts w:ascii="Verdana" w:hAnsi="Verdana" w:cs="Arial"/>
                <w:iCs/>
                <w:sz w:val="15"/>
                <w:szCs w:val="15"/>
              </w:rPr>
            </w:pPr>
            <w:r>
              <w:rPr>
                <w:rFonts w:ascii="Verdana" w:hAnsi="Verdana" w:cs="Arial"/>
                <w:iCs/>
                <w:sz w:val="15"/>
                <w:szCs w:val="15"/>
              </w:rPr>
              <w:t>13</w:t>
            </w:r>
            <w:r w:rsidRPr="007C4A2D" w:rsidR="00522761">
              <w:rPr>
                <w:rFonts w:ascii="Verdana" w:hAnsi="Verdana" w:cs="Arial"/>
                <w:iCs/>
                <w:sz w:val="15"/>
                <w:szCs w:val="15"/>
              </w:rPr>
              <w:t>5</w:t>
            </w:r>
            <w:r w:rsidR="002C1E01">
              <w:rPr>
                <w:rFonts w:ascii="Verdana" w:hAnsi="Verdana" w:cs="Arial"/>
                <w:iCs/>
                <w:sz w:val="15"/>
                <w:szCs w:val="15"/>
              </w:rPr>
              <w:t xml:space="preserve"> </w:t>
            </w:r>
            <w:r w:rsidRPr="007C4A2D" w:rsidR="00522761">
              <w:rPr>
                <w:rFonts w:ascii="Verdana" w:hAnsi="Verdana" w:cs="Arial"/>
                <w:iCs/>
                <w:sz w:val="15"/>
                <w:szCs w:val="15"/>
              </w:rPr>
              <w:t>-</w:t>
            </w:r>
            <w:r w:rsidR="002C1E01">
              <w:rPr>
                <w:rFonts w:ascii="Verdana" w:hAnsi="Verdana" w:cs="Arial"/>
                <w:iCs/>
                <w:sz w:val="15"/>
                <w:szCs w:val="15"/>
              </w:rPr>
              <w:t xml:space="preserve"> </w:t>
            </w:r>
            <w:r>
              <w:rPr>
                <w:rFonts w:ascii="Verdana" w:hAnsi="Verdana" w:cs="Arial"/>
                <w:iCs/>
                <w:sz w:val="15"/>
                <w:szCs w:val="15"/>
              </w:rPr>
              <w:t>27</w:t>
            </w:r>
            <w:r w:rsidRPr="007C4A2D" w:rsidR="00522761">
              <w:rPr>
                <w:rFonts w:ascii="Verdana" w:hAnsi="Verdana" w:cs="Arial"/>
                <w:iCs/>
                <w:sz w:val="15"/>
                <w:szCs w:val="15"/>
              </w:rPr>
              <w:t>0</w:t>
            </w:r>
          </w:p>
        </w:tc>
        <w:tc>
          <w:tcPr>
            <w:tcW w:w="1134" w:type="dxa"/>
          </w:tcPr>
          <w:p w:rsidRPr="007C4A2D" w:rsidR="00522761" w:rsidP="00522761" w:rsidRDefault="00CD4FB1" w14:paraId="302CEA75" w14:textId="55F8A886">
            <w:pPr>
              <w:widowControl w:val="0"/>
              <w:spacing w:line="240" w:lineRule="atLeast"/>
              <w:rPr>
                <w:rFonts w:ascii="Verdana" w:hAnsi="Verdana" w:cs="Arial"/>
                <w:iCs/>
                <w:sz w:val="15"/>
                <w:szCs w:val="15"/>
              </w:rPr>
            </w:pPr>
            <w:r>
              <w:rPr>
                <w:rFonts w:ascii="Verdana" w:hAnsi="Verdana" w:cs="Arial"/>
                <w:iCs/>
                <w:sz w:val="15"/>
                <w:szCs w:val="15"/>
              </w:rPr>
              <w:t>67.50</w:t>
            </w:r>
            <w:r w:rsidR="006E5004">
              <w:rPr>
                <w:rFonts w:ascii="Verdana" w:hAnsi="Verdana" w:cs="Arial"/>
                <w:iCs/>
                <w:sz w:val="15"/>
                <w:szCs w:val="15"/>
              </w:rPr>
              <w:t xml:space="preserve"> - </w:t>
            </w:r>
            <w:r>
              <w:rPr>
                <w:rFonts w:ascii="Verdana" w:hAnsi="Verdana" w:cs="Arial"/>
                <w:iCs/>
                <w:sz w:val="15"/>
                <w:szCs w:val="15"/>
              </w:rPr>
              <w:t>135</w:t>
            </w:r>
          </w:p>
        </w:tc>
        <w:tc>
          <w:tcPr>
            <w:tcW w:w="1279" w:type="dxa"/>
            <w:gridSpan w:val="2"/>
          </w:tcPr>
          <w:p w:rsidRPr="007C4A2D" w:rsidR="00522761" w:rsidP="00522761" w:rsidRDefault="00CD4FB1" w14:paraId="2E30F543" w14:textId="22A280E9">
            <w:pPr>
              <w:widowControl w:val="0"/>
              <w:spacing w:line="240" w:lineRule="atLeast"/>
              <w:rPr>
                <w:rFonts w:ascii="Verdana" w:hAnsi="Verdana" w:cs="Arial"/>
                <w:iCs/>
                <w:sz w:val="15"/>
                <w:szCs w:val="15"/>
              </w:rPr>
            </w:pPr>
            <w:r>
              <w:rPr>
                <w:rFonts w:ascii="Verdana" w:hAnsi="Verdana" w:cs="Arial"/>
                <w:iCs/>
                <w:sz w:val="15"/>
                <w:szCs w:val="15"/>
              </w:rPr>
              <w:t>6.750 – 13.500</w:t>
            </w:r>
          </w:p>
        </w:tc>
        <w:tc>
          <w:tcPr>
            <w:tcW w:w="1433" w:type="dxa"/>
          </w:tcPr>
          <w:p w:rsidRPr="007C4A2D" w:rsidR="00522761" w:rsidP="00522761" w:rsidRDefault="00CD4FB1" w14:paraId="34A23B66" w14:textId="05062263">
            <w:pPr>
              <w:widowControl w:val="0"/>
              <w:spacing w:line="240" w:lineRule="atLeast"/>
              <w:rPr>
                <w:rFonts w:ascii="Verdana" w:hAnsi="Verdana" w:cs="Arial"/>
                <w:iCs/>
                <w:sz w:val="15"/>
                <w:szCs w:val="15"/>
              </w:rPr>
            </w:pPr>
            <w:r>
              <w:rPr>
                <w:rFonts w:ascii="Verdana" w:hAnsi="Verdana" w:cs="Arial"/>
                <w:iCs/>
                <w:sz w:val="15"/>
                <w:szCs w:val="15"/>
              </w:rPr>
              <w:t>3.875</w:t>
            </w:r>
            <w:r w:rsidRPr="007C4A2D" w:rsidR="00522761">
              <w:rPr>
                <w:rFonts w:ascii="Verdana" w:hAnsi="Verdana" w:cs="Arial"/>
                <w:iCs/>
                <w:sz w:val="15"/>
                <w:szCs w:val="15"/>
              </w:rPr>
              <w:t xml:space="preserve"> </w:t>
            </w:r>
            <w:r>
              <w:rPr>
                <w:rFonts w:ascii="Verdana" w:hAnsi="Verdana" w:cs="Arial"/>
                <w:iCs/>
                <w:sz w:val="15"/>
                <w:szCs w:val="15"/>
              </w:rPr>
              <w:t>- 6.750</w:t>
            </w:r>
          </w:p>
        </w:tc>
      </w:tr>
      <w:tr w:rsidRPr="007C4A2D" w:rsidR="003C4A87" w:rsidTr="00635D11" w14:paraId="5C50AE95" w14:textId="4ECD8C0C">
        <w:tc>
          <w:tcPr>
            <w:tcW w:w="2260" w:type="dxa"/>
          </w:tcPr>
          <w:p w:rsidRPr="007C4A2D" w:rsidR="00522761" w:rsidP="00522761" w:rsidRDefault="00522761" w14:paraId="09117D04" w14:textId="77777777">
            <w:pPr>
              <w:widowControl w:val="0"/>
              <w:spacing w:line="240" w:lineRule="atLeast"/>
              <w:rPr>
                <w:rFonts w:ascii="Verdana" w:hAnsi="Verdana" w:cs="Arial"/>
                <w:iCs/>
                <w:sz w:val="15"/>
                <w:szCs w:val="15"/>
              </w:rPr>
            </w:pPr>
            <w:r w:rsidRPr="007C4A2D">
              <w:rPr>
                <w:rFonts w:ascii="Verdana" w:hAnsi="Verdana" w:cs="Arial"/>
                <w:iCs/>
                <w:sz w:val="15"/>
                <w:szCs w:val="15"/>
              </w:rPr>
              <w:t>Geschiktheid en betrouwbaarheidsbeoordelingen voor medewerkers met een sleutelfunctie</w:t>
            </w:r>
          </w:p>
        </w:tc>
        <w:tc>
          <w:tcPr>
            <w:tcW w:w="1134" w:type="dxa"/>
          </w:tcPr>
          <w:p w:rsidRPr="007C4A2D" w:rsidR="00522761" w:rsidP="00522761" w:rsidRDefault="00CD4FB1" w14:paraId="7EF5BA32" w14:textId="5D85BE81">
            <w:pPr>
              <w:widowControl w:val="0"/>
              <w:spacing w:line="240" w:lineRule="atLeast"/>
              <w:rPr>
                <w:rFonts w:ascii="Verdana" w:hAnsi="Verdana" w:cs="Arial"/>
                <w:iCs/>
                <w:sz w:val="15"/>
                <w:szCs w:val="15"/>
              </w:rPr>
            </w:pPr>
            <w:r>
              <w:rPr>
                <w:rFonts w:ascii="Verdana" w:hAnsi="Verdana" w:cs="Arial"/>
                <w:iCs/>
                <w:sz w:val="15"/>
                <w:szCs w:val="15"/>
              </w:rPr>
              <w:t xml:space="preserve">540 </w:t>
            </w:r>
            <w:r w:rsidRPr="007C4A2D" w:rsidR="00522761">
              <w:rPr>
                <w:rFonts w:ascii="Verdana" w:hAnsi="Verdana" w:cs="Arial"/>
                <w:iCs/>
                <w:sz w:val="15"/>
                <w:szCs w:val="15"/>
              </w:rPr>
              <w:t>-</w:t>
            </w:r>
            <w:r w:rsidR="002C1E01">
              <w:rPr>
                <w:rFonts w:ascii="Verdana" w:hAnsi="Verdana" w:cs="Arial"/>
                <w:iCs/>
                <w:sz w:val="15"/>
                <w:szCs w:val="15"/>
              </w:rPr>
              <w:t xml:space="preserve"> </w:t>
            </w:r>
            <w:r>
              <w:rPr>
                <w:rFonts w:ascii="Verdana" w:hAnsi="Verdana" w:cs="Arial"/>
                <w:iCs/>
                <w:sz w:val="15"/>
                <w:szCs w:val="15"/>
              </w:rPr>
              <w:t>81</w:t>
            </w:r>
            <w:r w:rsidRPr="007C4A2D" w:rsidR="00522761">
              <w:rPr>
                <w:rFonts w:ascii="Verdana" w:hAnsi="Verdana" w:cs="Arial"/>
                <w:iCs/>
                <w:sz w:val="15"/>
                <w:szCs w:val="15"/>
              </w:rPr>
              <w:t>0</w:t>
            </w:r>
          </w:p>
        </w:tc>
        <w:tc>
          <w:tcPr>
            <w:tcW w:w="1134" w:type="dxa"/>
          </w:tcPr>
          <w:p w:rsidRPr="007C4A2D" w:rsidR="00522761" w:rsidP="00522761" w:rsidRDefault="00F36142" w14:paraId="33F515C3" w14:textId="11E74F9B">
            <w:pPr>
              <w:widowControl w:val="0"/>
              <w:spacing w:line="240" w:lineRule="atLeast"/>
              <w:rPr>
                <w:rFonts w:ascii="Verdana" w:hAnsi="Verdana" w:cs="Arial"/>
                <w:iCs/>
                <w:sz w:val="15"/>
                <w:szCs w:val="15"/>
              </w:rPr>
            </w:pPr>
            <w:r>
              <w:rPr>
                <w:rFonts w:ascii="Verdana" w:hAnsi="Verdana" w:cs="Arial"/>
                <w:iCs/>
                <w:sz w:val="15"/>
                <w:szCs w:val="15"/>
              </w:rPr>
              <w:t>N.v.t.</w:t>
            </w:r>
          </w:p>
        </w:tc>
        <w:tc>
          <w:tcPr>
            <w:tcW w:w="1279" w:type="dxa"/>
            <w:gridSpan w:val="2"/>
          </w:tcPr>
          <w:p w:rsidRPr="007C4A2D" w:rsidR="00522761" w:rsidP="00522761" w:rsidRDefault="00CD4FB1" w14:paraId="0C74088D" w14:textId="2984C0EF">
            <w:pPr>
              <w:widowControl w:val="0"/>
              <w:spacing w:line="240" w:lineRule="atLeast"/>
              <w:rPr>
                <w:rFonts w:ascii="Verdana" w:hAnsi="Verdana" w:cs="Arial"/>
                <w:iCs/>
                <w:sz w:val="15"/>
                <w:szCs w:val="15"/>
              </w:rPr>
            </w:pPr>
            <w:r>
              <w:rPr>
                <w:rFonts w:ascii="Verdana" w:hAnsi="Verdana" w:cs="Arial"/>
                <w:iCs/>
                <w:sz w:val="15"/>
                <w:szCs w:val="15"/>
              </w:rPr>
              <w:t>27.000 – 40.500</w:t>
            </w:r>
          </w:p>
        </w:tc>
        <w:tc>
          <w:tcPr>
            <w:tcW w:w="1433" w:type="dxa"/>
          </w:tcPr>
          <w:p w:rsidRPr="007C4A2D" w:rsidR="00522761" w:rsidP="00522761" w:rsidRDefault="00F36142" w14:paraId="3E8299F3" w14:textId="7ADB3F9F">
            <w:pPr>
              <w:widowControl w:val="0"/>
              <w:spacing w:line="240" w:lineRule="atLeast"/>
              <w:rPr>
                <w:rFonts w:ascii="Verdana" w:hAnsi="Verdana" w:cs="Arial"/>
                <w:iCs/>
                <w:sz w:val="15"/>
                <w:szCs w:val="15"/>
              </w:rPr>
            </w:pPr>
            <w:r>
              <w:rPr>
                <w:rFonts w:ascii="Verdana" w:hAnsi="Verdana" w:cs="Arial"/>
                <w:iCs/>
                <w:sz w:val="15"/>
                <w:szCs w:val="15"/>
              </w:rPr>
              <w:t>N.v.t.</w:t>
            </w:r>
          </w:p>
        </w:tc>
      </w:tr>
      <w:tr w:rsidRPr="007C4A2D" w:rsidR="003C4A87" w:rsidTr="00635D11" w14:paraId="3DFECE6D" w14:textId="77777777">
        <w:tc>
          <w:tcPr>
            <w:tcW w:w="2260" w:type="dxa"/>
          </w:tcPr>
          <w:p w:rsidRPr="007C4A2D" w:rsidR="00522761" w:rsidP="00522761" w:rsidRDefault="008E4BA8" w14:paraId="4895E86E" w14:textId="2EDAE71E">
            <w:pPr>
              <w:widowControl w:val="0"/>
              <w:spacing w:line="240" w:lineRule="atLeast"/>
              <w:rPr>
                <w:rFonts w:ascii="Verdana" w:hAnsi="Verdana" w:cs="Arial"/>
                <w:b/>
                <w:bCs/>
                <w:iCs/>
                <w:sz w:val="15"/>
                <w:szCs w:val="15"/>
              </w:rPr>
            </w:pPr>
            <w:r>
              <w:rPr>
                <w:rFonts w:ascii="Verdana" w:hAnsi="Verdana" w:cs="Arial"/>
                <w:b/>
                <w:bCs/>
                <w:iCs/>
                <w:sz w:val="15"/>
                <w:szCs w:val="15"/>
              </w:rPr>
              <w:t xml:space="preserve">Gezamenlijke kosten </w:t>
            </w:r>
          </w:p>
        </w:tc>
        <w:tc>
          <w:tcPr>
            <w:tcW w:w="1134" w:type="dxa"/>
          </w:tcPr>
          <w:p w:rsidRPr="007C4A2D" w:rsidR="00522761" w:rsidP="00522761" w:rsidRDefault="00CD4FB1" w14:paraId="3A029628" w14:textId="4516A338">
            <w:pPr>
              <w:widowControl w:val="0"/>
              <w:spacing w:line="240" w:lineRule="atLeast"/>
              <w:rPr>
                <w:rFonts w:ascii="Verdana" w:hAnsi="Verdana" w:cs="Arial"/>
                <w:b/>
                <w:bCs/>
                <w:iCs/>
                <w:sz w:val="15"/>
                <w:szCs w:val="15"/>
              </w:rPr>
            </w:pPr>
            <w:r>
              <w:rPr>
                <w:rFonts w:ascii="Verdana" w:hAnsi="Verdana" w:cs="Arial"/>
                <w:b/>
                <w:bCs/>
                <w:iCs/>
                <w:sz w:val="15"/>
                <w:szCs w:val="15"/>
              </w:rPr>
              <w:t>2.</w:t>
            </w:r>
            <w:r w:rsidR="002C1E01">
              <w:rPr>
                <w:rFonts w:ascii="Verdana" w:hAnsi="Verdana" w:cs="Arial"/>
                <w:b/>
                <w:bCs/>
                <w:iCs/>
                <w:sz w:val="15"/>
                <w:szCs w:val="15"/>
              </w:rPr>
              <w:t>5</w:t>
            </w:r>
            <w:r>
              <w:rPr>
                <w:rFonts w:ascii="Verdana" w:hAnsi="Verdana" w:cs="Arial"/>
                <w:b/>
                <w:bCs/>
                <w:iCs/>
                <w:sz w:val="15"/>
                <w:szCs w:val="15"/>
              </w:rPr>
              <w:t>65</w:t>
            </w:r>
            <w:r w:rsidRPr="007C4A2D" w:rsidR="00522761">
              <w:rPr>
                <w:rFonts w:ascii="Verdana" w:hAnsi="Verdana" w:cs="Arial"/>
                <w:b/>
                <w:bCs/>
                <w:iCs/>
                <w:sz w:val="15"/>
                <w:szCs w:val="15"/>
              </w:rPr>
              <w:t xml:space="preserve"> – </w:t>
            </w:r>
            <w:r>
              <w:rPr>
                <w:rFonts w:ascii="Verdana" w:hAnsi="Verdana" w:cs="Arial"/>
                <w:b/>
                <w:bCs/>
                <w:iCs/>
                <w:sz w:val="15"/>
                <w:szCs w:val="15"/>
              </w:rPr>
              <w:t>4</w:t>
            </w:r>
            <w:r w:rsidR="008E4BA8">
              <w:rPr>
                <w:rFonts w:ascii="Verdana" w:hAnsi="Verdana" w:cs="Arial"/>
                <w:b/>
                <w:bCs/>
                <w:iCs/>
                <w:sz w:val="15"/>
                <w:szCs w:val="15"/>
              </w:rPr>
              <w:t>.</w:t>
            </w:r>
            <w:r>
              <w:rPr>
                <w:rFonts w:ascii="Verdana" w:hAnsi="Verdana" w:cs="Arial"/>
                <w:b/>
                <w:bCs/>
                <w:iCs/>
                <w:sz w:val="15"/>
                <w:szCs w:val="15"/>
              </w:rPr>
              <w:t>3</w:t>
            </w:r>
            <w:r w:rsidR="008E4BA8">
              <w:rPr>
                <w:rFonts w:ascii="Verdana" w:hAnsi="Verdana" w:cs="Arial"/>
                <w:b/>
                <w:bCs/>
                <w:iCs/>
                <w:sz w:val="15"/>
                <w:szCs w:val="15"/>
              </w:rPr>
              <w:t>20</w:t>
            </w:r>
          </w:p>
        </w:tc>
        <w:tc>
          <w:tcPr>
            <w:tcW w:w="1134" w:type="dxa"/>
          </w:tcPr>
          <w:p w:rsidRPr="007C4A2D" w:rsidR="00522761" w:rsidP="00522761" w:rsidRDefault="00CD4FB1" w14:paraId="10476057" w14:textId="16C0F075">
            <w:pPr>
              <w:widowControl w:val="0"/>
              <w:spacing w:line="240" w:lineRule="atLeast"/>
              <w:rPr>
                <w:rFonts w:ascii="Verdana" w:hAnsi="Verdana" w:cs="Arial"/>
                <w:b/>
                <w:bCs/>
                <w:iCs/>
                <w:sz w:val="15"/>
                <w:szCs w:val="15"/>
              </w:rPr>
            </w:pPr>
            <w:r>
              <w:rPr>
                <w:rFonts w:ascii="Verdana" w:hAnsi="Verdana" w:cs="Arial"/>
                <w:b/>
                <w:bCs/>
                <w:iCs/>
                <w:sz w:val="15"/>
                <w:szCs w:val="15"/>
              </w:rPr>
              <w:t>67.50 - 135</w:t>
            </w:r>
          </w:p>
        </w:tc>
        <w:tc>
          <w:tcPr>
            <w:tcW w:w="1279" w:type="dxa"/>
            <w:gridSpan w:val="2"/>
          </w:tcPr>
          <w:p w:rsidRPr="007C4A2D" w:rsidR="00522761" w:rsidP="00522761" w:rsidRDefault="00CD4FB1" w14:paraId="1D479AFC" w14:textId="250235E3">
            <w:pPr>
              <w:widowControl w:val="0"/>
              <w:spacing w:line="240" w:lineRule="atLeast"/>
              <w:rPr>
                <w:rFonts w:ascii="Verdana" w:hAnsi="Verdana" w:cs="Arial"/>
                <w:b/>
                <w:bCs/>
                <w:iCs/>
                <w:sz w:val="15"/>
                <w:szCs w:val="15"/>
              </w:rPr>
            </w:pPr>
            <w:r>
              <w:rPr>
                <w:rFonts w:ascii="Verdana" w:hAnsi="Verdana" w:cs="Arial"/>
                <w:b/>
                <w:bCs/>
                <w:iCs/>
                <w:sz w:val="15"/>
                <w:szCs w:val="15"/>
              </w:rPr>
              <w:t>128</w:t>
            </w:r>
            <w:r w:rsidR="009902BE">
              <w:rPr>
                <w:rFonts w:ascii="Verdana" w:hAnsi="Verdana" w:cs="Arial"/>
                <w:b/>
                <w:bCs/>
                <w:iCs/>
                <w:sz w:val="15"/>
                <w:szCs w:val="15"/>
              </w:rPr>
              <w:t>.</w:t>
            </w:r>
            <w:r>
              <w:rPr>
                <w:rFonts w:ascii="Verdana" w:hAnsi="Verdana" w:cs="Arial"/>
                <w:b/>
                <w:bCs/>
                <w:iCs/>
                <w:sz w:val="15"/>
                <w:szCs w:val="15"/>
              </w:rPr>
              <w:t>250</w:t>
            </w:r>
            <w:r w:rsidR="009902BE">
              <w:rPr>
                <w:rFonts w:ascii="Verdana" w:hAnsi="Verdana" w:cs="Arial"/>
                <w:b/>
                <w:bCs/>
                <w:iCs/>
                <w:sz w:val="15"/>
                <w:szCs w:val="15"/>
              </w:rPr>
              <w:t xml:space="preserve"> – </w:t>
            </w:r>
            <w:r>
              <w:rPr>
                <w:rFonts w:ascii="Verdana" w:hAnsi="Verdana" w:cs="Arial"/>
                <w:b/>
                <w:bCs/>
                <w:iCs/>
                <w:sz w:val="15"/>
                <w:szCs w:val="15"/>
              </w:rPr>
              <w:t>216.000</w:t>
            </w:r>
          </w:p>
        </w:tc>
        <w:tc>
          <w:tcPr>
            <w:tcW w:w="1433" w:type="dxa"/>
          </w:tcPr>
          <w:p w:rsidRPr="007C4A2D" w:rsidR="00522761" w:rsidP="00522761" w:rsidRDefault="00CD4FB1" w14:paraId="5F1183EC" w14:textId="3C93A6C4">
            <w:pPr>
              <w:widowControl w:val="0"/>
              <w:spacing w:line="240" w:lineRule="atLeast"/>
              <w:rPr>
                <w:rFonts w:ascii="Verdana" w:hAnsi="Verdana" w:cs="Arial"/>
                <w:b/>
                <w:bCs/>
                <w:iCs/>
                <w:sz w:val="15"/>
                <w:szCs w:val="15"/>
              </w:rPr>
            </w:pPr>
            <w:r>
              <w:rPr>
                <w:rFonts w:ascii="Verdana" w:hAnsi="Verdana" w:cs="Arial"/>
                <w:b/>
                <w:bCs/>
                <w:iCs/>
                <w:sz w:val="15"/>
                <w:szCs w:val="15"/>
              </w:rPr>
              <w:t>3.875 – 6.750</w:t>
            </w:r>
          </w:p>
        </w:tc>
      </w:tr>
      <w:tr w:rsidRPr="007C4A2D" w:rsidR="003C4A87" w:rsidTr="00635D11" w14:paraId="4F045F69" w14:textId="77777777">
        <w:tc>
          <w:tcPr>
            <w:tcW w:w="2260" w:type="dxa"/>
          </w:tcPr>
          <w:p w:rsidRPr="00F36142" w:rsidR="00F36142" w:rsidP="00522761" w:rsidRDefault="00227A0D" w14:paraId="521FE4BD" w14:textId="7275E08F">
            <w:pPr>
              <w:widowControl w:val="0"/>
              <w:spacing w:line="240" w:lineRule="atLeast"/>
              <w:rPr>
                <w:rFonts w:ascii="Verdana" w:hAnsi="Verdana" w:cs="Arial"/>
                <w:b/>
                <w:bCs/>
                <w:iCs/>
                <w:sz w:val="15"/>
                <w:szCs w:val="15"/>
              </w:rPr>
            </w:pPr>
            <w:r>
              <w:rPr>
                <w:rFonts w:ascii="Verdana" w:hAnsi="Verdana" w:cs="Arial"/>
                <w:iCs/>
                <w:sz w:val="15"/>
                <w:szCs w:val="15"/>
              </w:rPr>
              <w:t xml:space="preserve">45 </w:t>
            </w:r>
            <w:r w:rsidRPr="00F36142" w:rsidR="00F36142">
              <w:rPr>
                <w:rFonts w:ascii="Verdana" w:hAnsi="Verdana" w:cs="Arial"/>
                <w:iCs/>
                <w:sz w:val="15"/>
                <w:szCs w:val="15"/>
              </w:rPr>
              <w:t>Reguliere banken</w:t>
            </w:r>
            <w:r w:rsidR="008E4BA8">
              <w:rPr>
                <w:rFonts w:ascii="Verdana" w:hAnsi="Verdana" w:cs="Arial"/>
                <w:iCs/>
                <w:sz w:val="15"/>
                <w:szCs w:val="15"/>
              </w:rPr>
              <w:t xml:space="preserve"> en holdings</w:t>
            </w:r>
            <w:r w:rsidRPr="00F36142" w:rsidR="00F36142">
              <w:rPr>
                <w:rFonts w:ascii="Verdana" w:hAnsi="Verdana" w:cs="Arial"/>
                <w:iCs/>
                <w:sz w:val="15"/>
                <w:szCs w:val="15"/>
              </w:rPr>
              <w:t>: ESG-risico’s meenemen in interne governance, risicobeheer, geschiktheid bestuur en beloningsbeleid</w:t>
            </w:r>
          </w:p>
        </w:tc>
        <w:tc>
          <w:tcPr>
            <w:tcW w:w="1134" w:type="dxa"/>
          </w:tcPr>
          <w:p w:rsidRPr="00F36142" w:rsidR="00F36142" w:rsidP="00522761" w:rsidRDefault="00767C71" w14:paraId="2C96F6FC" w14:textId="7302ADB7">
            <w:pPr>
              <w:widowControl w:val="0"/>
              <w:spacing w:line="240" w:lineRule="atLeast"/>
              <w:rPr>
                <w:rFonts w:ascii="Verdana" w:hAnsi="Verdana" w:cs="Arial"/>
                <w:iCs/>
                <w:sz w:val="15"/>
                <w:szCs w:val="15"/>
              </w:rPr>
            </w:pPr>
            <w:r>
              <w:rPr>
                <w:rFonts w:ascii="Verdana" w:hAnsi="Verdana" w:cs="Arial"/>
                <w:iCs/>
                <w:sz w:val="15"/>
                <w:szCs w:val="15"/>
              </w:rPr>
              <w:t>27.000 – 54.000</w:t>
            </w:r>
            <w:r w:rsidRPr="00F36142" w:rsidR="00F36142">
              <w:rPr>
                <w:rFonts w:ascii="Verdana" w:hAnsi="Verdana" w:cs="Arial"/>
                <w:iCs/>
                <w:sz w:val="15"/>
                <w:szCs w:val="15"/>
              </w:rPr>
              <w:t xml:space="preserve"> </w:t>
            </w:r>
          </w:p>
        </w:tc>
        <w:tc>
          <w:tcPr>
            <w:tcW w:w="1134" w:type="dxa"/>
          </w:tcPr>
          <w:p w:rsidRPr="00F36142" w:rsidR="00F36142" w:rsidP="00522761" w:rsidRDefault="00767C71" w14:paraId="368DF099" w14:textId="31699D93">
            <w:pPr>
              <w:widowControl w:val="0"/>
              <w:spacing w:line="240" w:lineRule="atLeast"/>
              <w:rPr>
                <w:rFonts w:ascii="Verdana" w:hAnsi="Verdana" w:cs="Arial"/>
                <w:iCs/>
                <w:sz w:val="15"/>
                <w:szCs w:val="15"/>
              </w:rPr>
            </w:pPr>
            <w:r>
              <w:rPr>
                <w:rFonts w:ascii="Verdana" w:hAnsi="Verdana" w:cs="Arial"/>
                <w:iCs/>
                <w:sz w:val="15"/>
                <w:szCs w:val="15"/>
              </w:rPr>
              <w:t>12.150 – 24.310</w:t>
            </w:r>
          </w:p>
        </w:tc>
        <w:tc>
          <w:tcPr>
            <w:tcW w:w="1279" w:type="dxa"/>
            <w:gridSpan w:val="2"/>
          </w:tcPr>
          <w:p w:rsidRPr="00F36142" w:rsidR="00F36142" w:rsidP="00522761" w:rsidRDefault="006E4F4D" w14:paraId="7E53E942" w14:textId="24E6FA01">
            <w:pPr>
              <w:widowControl w:val="0"/>
              <w:spacing w:line="240" w:lineRule="atLeast"/>
              <w:rPr>
                <w:rFonts w:ascii="Verdana" w:hAnsi="Verdana" w:cs="Arial"/>
                <w:iCs/>
                <w:sz w:val="15"/>
                <w:szCs w:val="15"/>
              </w:rPr>
            </w:pPr>
            <w:r>
              <w:rPr>
                <w:rFonts w:ascii="Verdana" w:hAnsi="Verdana" w:cs="Arial"/>
                <w:iCs/>
                <w:sz w:val="15"/>
                <w:szCs w:val="15"/>
              </w:rPr>
              <w:t>1.</w:t>
            </w:r>
            <w:r w:rsidR="000F0557">
              <w:rPr>
                <w:rFonts w:ascii="Verdana" w:hAnsi="Verdana" w:cs="Arial"/>
                <w:iCs/>
                <w:sz w:val="15"/>
                <w:szCs w:val="15"/>
              </w:rPr>
              <w:t>343</w:t>
            </w:r>
            <w:r>
              <w:rPr>
                <w:rFonts w:ascii="Verdana" w:hAnsi="Verdana" w:cs="Arial"/>
                <w:iCs/>
                <w:sz w:val="15"/>
                <w:szCs w:val="15"/>
              </w:rPr>
              <w:t>.</w:t>
            </w:r>
            <w:r w:rsidR="000F0557">
              <w:rPr>
                <w:rFonts w:ascii="Verdana" w:hAnsi="Verdana" w:cs="Arial"/>
                <w:iCs/>
                <w:sz w:val="15"/>
                <w:szCs w:val="15"/>
              </w:rPr>
              <w:t>25</w:t>
            </w:r>
            <w:r>
              <w:rPr>
                <w:rFonts w:ascii="Verdana" w:hAnsi="Verdana" w:cs="Arial"/>
                <w:iCs/>
                <w:sz w:val="15"/>
                <w:szCs w:val="15"/>
              </w:rPr>
              <w:t>0</w:t>
            </w:r>
            <w:r w:rsidR="009902BE">
              <w:rPr>
                <w:rFonts w:ascii="Verdana" w:hAnsi="Verdana" w:cs="Arial"/>
                <w:iCs/>
                <w:sz w:val="15"/>
                <w:szCs w:val="15"/>
              </w:rPr>
              <w:t xml:space="preserve"> – </w:t>
            </w:r>
            <w:r w:rsidR="000F0557">
              <w:rPr>
                <w:rFonts w:ascii="Verdana" w:hAnsi="Verdana" w:cs="Arial"/>
                <w:iCs/>
                <w:sz w:val="15"/>
                <w:szCs w:val="15"/>
              </w:rPr>
              <w:t>2.430.000</w:t>
            </w:r>
          </w:p>
        </w:tc>
        <w:tc>
          <w:tcPr>
            <w:tcW w:w="1433" w:type="dxa"/>
          </w:tcPr>
          <w:p w:rsidRPr="00F36142" w:rsidR="00F36142" w:rsidP="00522761" w:rsidRDefault="000F0557" w14:paraId="74287459" w14:textId="4A26915E">
            <w:pPr>
              <w:widowControl w:val="0"/>
              <w:spacing w:line="240" w:lineRule="atLeast"/>
              <w:rPr>
                <w:rFonts w:ascii="Verdana" w:hAnsi="Verdana" w:cs="Arial"/>
                <w:iCs/>
                <w:sz w:val="15"/>
                <w:szCs w:val="15"/>
              </w:rPr>
            </w:pPr>
            <w:r>
              <w:rPr>
                <w:rFonts w:ascii="Verdana" w:hAnsi="Verdana" w:cs="Arial"/>
                <w:iCs/>
                <w:sz w:val="15"/>
                <w:szCs w:val="15"/>
              </w:rPr>
              <w:t xml:space="preserve">546.750 </w:t>
            </w:r>
            <w:r w:rsidR="009902BE">
              <w:rPr>
                <w:rFonts w:ascii="Verdana" w:hAnsi="Verdana" w:cs="Arial"/>
                <w:iCs/>
                <w:sz w:val="15"/>
                <w:szCs w:val="15"/>
              </w:rPr>
              <w:t xml:space="preserve">– </w:t>
            </w:r>
            <w:r>
              <w:rPr>
                <w:rFonts w:ascii="Verdana" w:hAnsi="Verdana" w:cs="Arial"/>
                <w:iCs/>
                <w:sz w:val="15"/>
                <w:szCs w:val="15"/>
              </w:rPr>
              <w:t>1.093.950</w:t>
            </w:r>
          </w:p>
        </w:tc>
      </w:tr>
      <w:tr w:rsidRPr="007C4A2D" w:rsidR="003C4A87" w:rsidTr="00635D11" w14:paraId="7B201DDA" w14:textId="77777777">
        <w:tc>
          <w:tcPr>
            <w:tcW w:w="2260" w:type="dxa"/>
          </w:tcPr>
          <w:p w:rsidRPr="00F36142" w:rsidR="00F36142" w:rsidP="00522761" w:rsidRDefault="00F36142" w14:paraId="674BB957" w14:textId="4B765613">
            <w:pPr>
              <w:widowControl w:val="0"/>
              <w:spacing w:line="240" w:lineRule="atLeast"/>
              <w:rPr>
                <w:rFonts w:ascii="Verdana" w:hAnsi="Verdana" w:cs="Arial"/>
                <w:b/>
                <w:bCs/>
                <w:iCs/>
                <w:sz w:val="15"/>
                <w:szCs w:val="15"/>
              </w:rPr>
            </w:pPr>
            <w:r w:rsidRPr="00F36142">
              <w:rPr>
                <w:rFonts w:ascii="Verdana" w:hAnsi="Verdana" w:cs="Arial"/>
                <w:b/>
                <w:bCs/>
                <w:iCs/>
                <w:sz w:val="15"/>
                <w:szCs w:val="15"/>
              </w:rPr>
              <w:t>Totaal reguliere banken</w:t>
            </w:r>
            <w:r w:rsidR="009902BE">
              <w:rPr>
                <w:rFonts w:ascii="Verdana" w:hAnsi="Verdana" w:cs="Arial"/>
                <w:b/>
                <w:bCs/>
                <w:iCs/>
                <w:sz w:val="15"/>
                <w:szCs w:val="15"/>
              </w:rPr>
              <w:t>, beleggingsonderneming en holdings</w:t>
            </w:r>
          </w:p>
        </w:tc>
        <w:tc>
          <w:tcPr>
            <w:tcW w:w="1134" w:type="dxa"/>
          </w:tcPr>
          <w:p w:rsidRPr="008E4BA8" w:rsidR="00F36142" w:rsidP="00522761" w:rsidRDefault="00767C71" w14:paraId="5F1219DE" w14:textId="4BFDB174">
            <w:pPr>
              <w:widowControl w:val="0"/>
              <w:spacing w:line="240" w:lineRule="atLeast"/>
              <w:rPr>
                <w:rFonts w:ascii="Verdana" w:hAnsi="Verdana" w:cs="Arial"/>
                <w:b/>
                <w:bCs/>
                <w:iCs/>
                <w:sz w:val="15"/>
                <w:szCs w:val="15"/>
              </w:rPr>
            </w:pPr>
            <w:r>
              <w:rPr>
                <w:rFonts w:ascii="Verdana" w:hAnsi="Verdana" w:cs="Arial"/>
                <w:b/>
                <w:bCs/>
                <w:iCs/>
                <w:sz w:val="15"/>
                <w:szCs w:val="15"/>
              </w:rPr>
              <w:t>29.565 – 59.320</w:t>
            </w:r>
          </w:p>
        </w:tc>
        <w:tc>
          <w:tcPr>
            <w:tcW w:w="1134" w:type="dxa"/>
          </w:tcPr>
          <w:p w:rsidRPr="008E4BA8" w:rsidR="00F36142" w:rsidP="00522761" w:rsidRDefault="000F0557" w14:paraId="54773CA1" w14:textId="1ADD9195">
            <w:pPr>
              <w:widowControl w:val="0"/>
              <w:spacing w:line="240" w:lineRule="atLeast"/>
              <w:rPr>
                <w:rFonts w:ascii="Verdana" w:hAnsi="Verdana" w:cs="Arial"/>
                <w:b/>
                <w:bCs/>
                <w:iCs/>
                <w:sz w:val="15"/>
                <w:szCs w:val="15"/>
              </w:rPr>
            </w:pPr>
            <w:r>
              <w:rPr>
                <w:rFonts w:ascii="Verdana" w:hAnsi="Verdana" w:cs="Arial"/>
                <w:b/>
                <w:bCs/>
                <w:iCs/>
                <w:sz w:val="15"/>
                <w:szCs w:val="15"/>
              </w:rPr>
              <w:t>12.218 – 24.445</w:t>
            </w:r>
          </w:p>
        </w:tc>
        <w:tc>
          <w:tcPr>
            <w:tcW w:w="1279" w:type="dxa"/>
            <w:gridSpan w:val="2"/>
          </w:tcPr>
          <w:p w:rsidRPr="004D6F9A" w:rsidR="00F36142" w:rsidP="00522761" w:rsidRDefault="003C4A87" w14:paraId="7D5DC44D" w14:textId="1E4BF095">
            <w:pPr>
              <w:widowControl w:val="0"/>
              <w:spacing w:line="240" w:lineRule="atLeast"/>
              <w:rPr>
                <w:rFonts w:ascii="Verdana" w:hAnsi="Verdana" w:cs="Arial"/>
                <w:b/>
                <w:bCs/>
                <w:iCs/>
                <w:sz w:val="15"/>
                <w:szCs w:val="15"/>
              </w:rPr>
            </w:pPr>
            <w:r>
              <w:rPr>
                <w:rFonts w:ascii="Verdana" w:hAnsi="Verdana" w:cs="Arial"/>
                <w:b/>
                <w:bCs/>
                <w:iCs/>
                <w:sz w:val="15"/>
                <w:szCs w:val="15"/>
              </w:rPr>
              <w:t>1</w:t>
            </w:r>
            <w:r w:rsidRPr="004D6F9A" w:rsidR="004D6F9A">
              <w:rPr>
                <w:rFonts w:ascii="Verdana" w:hAnsi="Verdana" w:cs="Arial"/>
                <w:b/>
                <w:bCs/>
                <w:iCs/>
                <w:sz w:val="15"/>
                <w:szCs w:val="15"/>
              </w:rPr>
              <w:t>.</w:t>
            </w:r>
            <w:r w:rsidR="000F0557">
              <w:rPr>
                <w:rFonts w:ascii="Verdana" w:hAnsi="Verdana" w:cs="Arial"/>
                <w:b/>
                <w:bCs/>
                <w:iCs/>
                <w:sz w:val="15"/>
                <w:szCs w:val="15"/>
              </w:rPr>
              <w:t>4</w:t>
            </w:r>
            <w:r>
              <w:rPr>
                <w:rFonts w:ascii="Verdana" w:hAnsi="Verdana" w:cs="Arial"/>
                <w:b/>
                <w:bCs/>
                <w:iCs/>
                <w:sz w:val="15"/>
                <w:szCs w:val="15"/>
              </w:rPr>
              <w:t>5</w:t>
            </w:r>
            <w:r w:rsidR="000F0557">
              <w:rPr>
                <w:rFonts w:ascii="Verdana" w:hAnsi="Verdana" w:cs="Arial"/>
                <w:b/>
                <w:bCs/>
                <w:iCs/>
                <w:sz w:val="15"/>
                <w:szCs w:val="15"/>
              </w:rPr>
              <w:t>8</w:t>
            </w:r>
            <w:r w:rsidRPr="004D6F9A" w:rsidR="004D6F9A">
              <w:rPr>
                <w:rFonts w:ascii="Verdana" w:hAnsi="Verdana" w:cs="Arial"/>
                <w:b/>
                <w:bCs/>
                <w:iCs/>
                <w:sz w:val="15"/>
                <w:szCs w:val="15"/>
              </w:rPr>
              <w:t>.</w:t>
            </w:r>
            <w:r w:rsidR="000F0557">
              <w:rPr>
                <w:rFonts w:ascii="Verdana" w:hAnsi="Verdana" w:cs="Arial"/>
                <w:b/>
                <w:bCs/>
                <w:iCs/>
                <w:sz w:val="15"/>
                <w:szCs w:val="15"/>
              </w:rPr>
              <w:t>6</w:t>
            </w:r>
            <w:r w:rsidR="00CD4FB1">
              <w:rPr>
                <w:rFonts w:ascii="Verdana" w:hAnsi="Verdana" w:cs="Arial"/>
                <w:b/>
                <w:bCs/>
                <w:iCs/>
                <w:sz w:val="15"/>
                <w:szCs w:val="15"/>
              </w:rPr>
              <w:t>75</w:t>
            </w:r>
            <w:r w:rsidRPr="004D6F9A" w:rsidR="004D6F9A">
              <w:rPr>
                <w:rFonts w:ascii="Verdana" w:hAnsi="Verdana" w:cs="Arial"/>
                <w:b/>
                <w:bCs/>
                <w:iCs/>
                <w:sz w:val="15"/>
                <w:szCs w:val="15"/>
              </w:rPr>
              <w:t xml:space="preserve"> – </w:t>
            </w:r>
            <w:r w:rsidR="007965B2">
              <w:rPr>
                <w:rFonts w:ascii="Verdana" w:hAnsi="Verdana" w:cs="Arial"/>
                <w:b/>
                <w:bCs/>
                <w:iCs/>
                <w:sz w:val="15"/>
                <w:szCs w:val="15"/>
              </w:rPr>
              <w:t>2.624.400</w:t>
            </w:r>
          </w:p>
        </w:tc>
        <w:tc>
          <w:tcPr>
            <w:tcW w:w="1433" w:type="dxa"/>
          </w:tcPr>
          <w:p w:rsidRPr="004D6F9A" w:rsidR="00F36142" w:rsidP="00522761" w:rsidRDefault="000F0557" w14:paraId="1140B9AF" w14:textId="4777A2F6">
            <w:pPr>
              <w:widowControl w:val="0"/>
              <w:spacing w:line="240" w:lineRule="atLeast"/>
              <w:rPr>
                <w:rFonts w:ascii="Verdana" w:hAnsi="Verdana" w:cs="Arial"/>
                <w:b/>
                <w:bCs/>
                <w:iCs/>
                <w:sz w:val="15"/>
                <w:szCs w:val="15"/>
              </w:rPr>
            </w:pPr>
            <w:r>
              <w:rPr>
                <w:rFonts w:ascii="Verdana" w:hAnsi="Verdana" w:cs="Arial"/>
                <w:b/>
                <w:bCs/>
                <w:iCs/>
                <w:sz w:val="15"/>
                <w:szCs w:val="15"/>
              </w:rPr>
              <w:t>550.238 – 1.100.125</w:t>
            </w:r>
          </w:p>
        </w:tc>
      </w:tr>
      <w:tr w:rsidRPr="007C4A2D" w:rsidR="003C4A87" w:rsidTr="00635D11" w14:paraId="7E8347E9" w14:textId="77777777">
        <w:tc>
          <w:tcPr>
            <w:tcW w:w="2260" w:type="dxa"/>
          </w:tcPr>
          <w:p w:rsidRPr="00F36142" w:rsidR="00F36142" w:rsidP="00522761" w:rsidRDefault="00227A0D" w14:paraId="4A661E8D" w14:textId="56E89185">
            <w:pPr>
              <w:widowControl w:val="0"/>
              <w:spacing w:line="240" w:lineRule="atLeast"/>
              <w:rPr>
                <w:rFonts w:ascii="Verdana" w:hAnsi="Verdana" w:cs="Arial"/>
                <w:b/>
                <w:bCs/>
                <w:iCs/>
                <w:sz w:val="15"/>
                <w:szCs w:val="15"/>
              </w:rPr>
            </w:pPr>
            <w:r>
              <w:rPr>
                <w:rFonts w:ascii="Verdana" w:hAnsi="Verdana" w:cs="Arial"/>
                <w:iCs/>
                <w:sz w:val="15"/>
                <w:szCs w:val="15"/>
              </w:rPr>
              <w:t xml:space="preserve">5 </w:t>
            </w:r>
            <w:r w:rsidRPr="00F36142" w:rsidR="00F36142">
              <w:rPr>
                <w:rFonts w:ascii="Verdana" w:hAnsi="Verdana" w:cs="Arial"/>
                <w:iCs/>
                <w:sz w:val="15"/>
                <w:szCs w:val="15"/>
              </w:rPr>
              <w:t>Kleine en niet-complexe banken: ESG-risico’s meenemen in interne governance, risicobeheer, geschiktheid bestuur en beloningsbeleid</w:t>
            </w:r>
          </w:p>
        </w:tc>
        <w:tc>
          <w:tcPr>
            <w:tcW w:w="1134" w:type="dxa"/>
          </w:tcPr>
          <w:p w:rsidRPr="00F36142" w:rsidR="00F36142" w:rsidP="00522761" w:rsidRDefault="000F0557" w14:paraId="4AAEE0B0" w14:textId="22028C50">
            <w:pPr>
              <w:widowControl w:val="0"/>
              <w:spacing w:line="240" w:lineRule="atLeast"/>
              <w:rPr>
                <w:rFonts w:ascii="Verdana" w:hAnsi="Verdana" w:cs="Arial"/>
                <w:iCs/>
                <w:sz w:val="15"/>
                <w:szCs w:val="15"/>
              </w:rPr>
            </w:pPr>
            <w:r>
              <w:rPr>
                <w:rFonts w:ascii="Verdana" w:hAnsi="Verdana" w:cs="Arial"/>
                <w:iCs/>
                <w:sz w:val="15"/>
                <w:szCs w:val="15"/>
              </w:rPr>
              <w:t>13.500 – 27.000</w:t>
            </w:r>
          </w:p>
        </w:tc>
        <w:tc>
          <w:tcPr>
            <w:tcW w:w="1134" w:type="dxa"/>
          </w:tcPr>
          <w:p w:rsidRPr="00F36142" w:rsidR="00F36142" w:rsidP="00522761" w:rsidRDefault="000F0557" w14:paraId="31EE9522" w14:textId="16FB9870">
            <w:pPr>
              <w:widowControl w:val="0"/>
              <w:spacing w:line="240" w:lineRule="atLeast"/>
              <w:rPr>
                <w:rFonts w:ascii="Verdana" w:hAnsi="Verdana" w:cs="Arial"/>
                <w:iCs/>
                <w:sz w:val="15"/>
                <w:szCs w:val="15"/>
              </w:rPr>
            </w:pPr>
            <w:r>
              <w:rPr>
                <w:rFonts w:ascii="Verdana" w:hAnsi="Verdana" w:cs="Arial"/>
                <w:iCs/>
                <w:sz w:val="15"/>
                <w:szCs w:val="15"/>
              </w:rPr>
              <w:t>6.075 – 12.150</w:t>
            </w:r>
          </w:p>
        </w:tc>
        <w:tc>
          <w:tcPr>
            <w:tcW w:w="1279" w:type="dxa"/>
            <w:gridSpan w:val="2"/>
          </w:tcPr>
          <w:p w:rsidRPr="00F36142" w:rsidR="00F36142" w:rsidP="00522761" w:rsidRDefault="007965B2" w14:paraId="28DC00FC" w14:textId="3478E1D6">
            <w:pPr>
              <w:widowControl w:val="0"/>
              <w:spacing w:line="240" w:lineRule="atLeast"/>
              <w:rPr>
                <w:rFonts w:ascii="Verdana" w:hAnsi="Verdana" w:cs="Arial"/>
                <w:iCs/>
                <w:sz w:val="15"/>
                <w:szCs w:val="15"/>
              </w:rPr>
            </w:pPr>
            <w:r>
              <w:rPr>
                <w:rFonts w:ascii="Verdana" w:hAnsi="Verdana" w:cs="Arial"/>
                <w:iCs/>
                <w:sz w:val="15"/>
                <w:szCs w:val="15"/>
              </w:rPr>
              <w:t>67.500 -</w:t>
            </w:r>
            <w:r w:rsidR="00A82A29">
              <w:rPr>
                <w:rFonts w:ascii="Verdana" w:hAnsi="Verdana" w:cs="Arial"/>
                <w:iCs/>
                <w:sz w:val="15"/>
                <w:szCs w:val="15"/>
              </w:rPr>
              <w:t xml:space="preserve"> </w:t>
            </w:r>
            <w:r>
              <w:rPr>
                <w:rFonts w:ascii="Verdana" w:hAnsi="Verdana" w:cs="Arial"/>
                <w:iCs/>
                <w:sz w:val="15"/>
                <w:szCs w:val="15"/>
              </w:rPr>
              <w:t>135.000</w:t>
            </w:r>
          </w:p>
        </w:tc>
        <w:tc>
          <w:tcPr>
            <w:tcW w:w="1433" w:type="dxa"/>
          </w:tcPr>
          <w:p w:rsidRPr="00F36142" w:rsidR="00F36142" w:rsidP="00522761" w:rsidRDefault="007965B2" w14:paraId="1B1E8FE7" w14:textId="71097F97">
            <w:pPr>
              <w:widowControl w:val="0"/>
              <w:spacing w:line="240" w:lineRule="atLeast"/>
              <w:rPr>
                <w:rFonts w:ascii="Verdana" w:hAnsi="Verdana" w:cs="Arial"/>
                <w:iCs/>
                <w:sz w:val="15"/>
                <w:szCs w:val="15"/>
              </w:rPr>
            </w:pPr>
            <w:r>
              <w:rPr>
                <w:rFonts w:ascii="Verdana" w:hAnsi="Verdana" w:cs="Arial"/>
                <w:iCs/>
                <w:sz w:val="15"/>
                <w:szCs w:val="15"/>
              </w:rPr>
              <w:t>30.375 -</w:t>
            </w:r>
            <w:r w:rsidR="00A82A29">
              <w:rPr>
                <w:rFonts w:ascii="Verdana" w:hAnsi="Verdana" w:cs="Arial"/>
                <w:iCs/>
                <w:sz w:val="15"/>
                <w:szCs w:val="15"/>
              </w:rPr>
              <w:t xml:space="preserve"> </w:t>
            </w:r>
            <w:r>
              <w:rPr>
                <w:rFonts w:ascii="Verdana" w:hAnsi="Verdana" w:cs="Arial"/>
                <w:iCs/>
                <w:sz w:val="15"/>
                <w:szCs w:val="15"/>
              </w:rPr>
              <w:t>60.750</w:t>
            </w:r>
          </w:p>
        </w:tc>
      </w:tr>
      <w:tr w:rsidRPr="007C4A2D" w:rsidR="003C4A87" w:rsidTr="00635D11" w14:paraId="4310407D" w14:textId="77777777">
        <w:tc>
          <w:tcPr>
            <w:tcW w:w="2260" w:type="dxa"/>
          </w:tcPr>
          <w:p w:rsidRPr="00F36142" w:rsidR="00F36142" w:rsidP="00522761" w:rsidRDefault="00F36142" w14:paraId="190DDA9F" w14:textId="4B2797E0">
            <w:pPr>
              <w:widowControl w:val="0"/>
              <w:spacing w:line="240" w:lineRule="atLeast"/>
              <w:rPr>
                <w:rFonts w:ascii="Verdana" w:hAnsi="Verdana" w:cs="Arial"/>
                <w:b/>
                <w:bCs/>
                <w:iCs/>
                <w:sz w:val="15"/>
                <w:szCs w:val="15"/>
              </w:rPr>
            </w:pPr>
            <w:r w:rsidRPr="00F36142">
              <w:rPr>
                <w:rFonts w:ascii="Verdana" w:hAnsi="Verdana" w:cs="Arial"/>
                <w:b/>
                <w:bCs/>
                <w:iCs/>
                <w:sz w:val="15"/>
                <w:szCs w:val="15"/>
              </w:rPr>
              <w:t>Totaal kleine en niet-complexe banken</w:t>
            </w:r>
          </w:p>
        </w:tc>
        <w:tc>
          <w:tcPr>
            <w:tcW w:w="1134" w:type="dxa"/>
          </w:tcPr>
          <w:p w:rsidRPr="00F36142" w:rsidR="00F36142" w:rsidP="00522761" w:rsidRDefault="000F0557" w14:paraId="4388D2A1" w14:textId="05639BC0">
            <w:pPr>
              <w:widowControl w:val="0"/>
              <w:spacing w:line="240" w:lineRule="atLeast"/>
              <w:rPr>
                <w:rFonts w:ascii="Verdana" w:hAnsi="Verdana" w:cs="Arial"/>
                <w:b/>
                <w:bCs/>
                <w:iCs/>
                <w:sz w:val="15"/>
                <w:szCs w:val="15"/>
              </w:rPr>
            </w:pPr>
            <w:r>
              <w:rPr>
                <w:rFonts w:ascii="Verdana" w:hAnsi="Verdana" w:cs="Arial"/>
                <w:b/>
                <w:bCs/>
                <w:iCs/>
                <w:sz w:val="15"/>
                <w:szCs w:val="15"/>
              </w:rPr>
              <w:t>16.065 – 31.320</w:t>
            </w:r>
          </w:p>
        </w:tc>
        <w:tc>
          <w:tcPr>
            <w:tcW w:w="1134" w:type="dxa"/>
          </w:tcPr>
          <w:p w:rsidRPr="00F36142" w:rsidR="00F36142" w:rsidP="00522761" w:rsidRDefault="000F0557" w14:paraId="73054303" w14:textId="0FB02E99">
            <w:pPr>
              <w:widowControl w:val="0"/>
              <w:spacing w:line="240" w:lineRule="atLeast"/>
              <w:rPr>
                <w:rFonts w:ascii="Verdana" w:hAnsi="Verdana" w:cs="Arial"/>
                <w:b/>
                <w:bCs/>
                <w:iCs/>
                <w:sz w:val="15"/>
                <w:szCs w:val="15"/>
              </w:rPr>
            </w:pPr>
            <w:r>
              <w:rPr>
                <w:rFonts w:ascii="Verdana" w:hAnsi="Verdana" w:cs="Arial"/>
                <w:b/>
                <w:bCs/>
                <w:iCs/>
                <w:sz w:val="15"/>
                <w:szCs w:val="15"/>
              </w:rPr>
              <w:t>6143 – 12.285</w:t>
            </w:r>
          </w:p>
        </w:tc>
        <w:tc>
          <w:tcPr>
            <w:tcW w:w="1279" w:type="dxa"/>
            <w:gridSpan w:val="2"/>
          </w:tcPr>
          <w:p w:rsidRPr="00F36142" w:rsidR="00F36142" w:rsidP="004D6F9A" w:rsidRDefault="007965B2" w14:paraId="2BE8CE6A" w14:textId="415B5072">
            <w:pPr>
              <w:widowControl w:val="0"/>
              <w:spacing w:line="240" w:lineRule="atLeast"/>
              <w:rPr>
                <w:rFonts w:ascii="Verdana" w:hAnsi="Verdana" w:cs="Arial"/>
                <w:b/>
                <w:bCs/>
                <w:iCs/>
                <w:sz w:val="15"/>
                <w:szCs w:val="15"/>
              </w:rPr>
            </w:pPr>
            <w:r>
              <w:rPr>
                <w:rFonts w:ascii="Verdana" w:hAnsi="Verdana" w:cs="Arial"/>
                <w:b/>
                <w:bCs/>
                <w:iCs/>
                <w:sz w:val="15"/>
                <w:szCs w:val="15"/>
              </w:rPr>
              <w:t>80.325 -</w:t>
            </w:r>
            <w:r w:rsidR="00A82A29">
              <w:rPr>
                <w:rFonts w:ascii="Verdana" w:hAnsi="Verdana" w:cs="Arial"/>
                <w:b/>
                <w:bCs/>
                <w:iCs/>
                <w:sz w:val="15"/>
                <w:szCs w:val="15"/>
              </w:rPr>
              <w:t xml:space="preserve"> </w:t>
            </w:r>
            <w:r>
              <w:rPr>
                <w:rFonts w:ascii="Verdana" w:hAnsi="Verdana" w:cs="Arial"/>
                <w:b/>
                <w:bCs/>
                <w:iCs/>
                <w:sz w:val="15"/>
                <w:szCs w:val="15"/>
              </w:rPr>
              <w:t>156.600</w:t>
            </w:r>
          </w:p>
        </w:tc>
        <w:tc>
          <w:tcPr>
            <w:tcW w:w="1433" w:type="dxa"/>
          </w:tcPr>
          <w:p w:rsidRPr="00F36142" w:rsidR="00F36142" w:rsidP="00522761" w:rsidRDefault="007965B2" w14:paraId="1D4389F5" w14:textId="510CD3F7">
            <w:pPr>
              <w:widowControl w:val="0"/>
              <w:spacing w:line="240" w:lineRule="atLeast"/>
              <w:rPr>
                <w:rFonts w:ascii="Verdana" w:hAnsi="Verdana" w:cs="Arial"/>
                <w:b/>
                <w:bCs/>
                <w:iCs/>
                <w:sz w:val="15"/>
                <w:szCs w:val="15"/>
              </w:rPr>
            </w:pPr>
            <w:r>
              <w:rPr>
                <w:rFonts w:ascii="Verdana" w:hAnsi="Verdana" w:cs="Arial"/>
                <w:b/>
                <w:bCs/>
                <w:iCs/>
                <w:sz w:val="15"/>
                <w:szCs w:val="15"/>
              </w:rPr>
              <w:t>30.763 -</w:t>
            </w:r>
            <w:r w:rsidR="00A82A29">
              <w:rPr>
                <w:rFonts w:ascii="Verdana" w:hAnsi="Verdana" w:cs="Arial"/>
                <w:b/>
                <w:bCs/>
                <w:iCs/>
                <w:sz w:val="15"/>
                <w:szCs w:val="15"/>
              </w:rPr>
              <w:t xml:space="preserve"> </w:t>
            </w:r>
            <w:r>
              <w:rPr>
                <w:rFonts w:ascii="Verdana" w:hAnsi="Verdana" w:cs="Arial"/>
                <w:b/>
                <w:bCs/>
                <w:iCs/>
                <w:sz w:val="15"/>
                <w:szCs w:val="15"/>
              </w:rPr>
              <w:t>61.425</w:t>
            </w:r>
          </w:p>
        </w:tc>
      </w:tr>
      <w:tr w:rsidRPr="007C4A2D" w:rsidR="003C4A87" w:rsidTr="00635D11" w14:paraId="778DB0D7" w14:textId="77777777">
        <w:tc>
          <w:tcPr>
            <w:tcW w:w="4528" w:type="dxa"/>
            <w:gridSpan w:val="3"/>
          </w:tcPr>
          <w:p w:rsidRPr="008E4BA8" w:rsidR="00B3177C" w:rsidP="00522761" w:rsidRDefault="00B3177C" w14:paraId="552636E0" w14:textId="38D5FE68">
            <w:pPr>
              <w:widowControl w:val="0"/>
              <w:spacing w:line="240" w:lineRule="atLeast"/>
              <w:rPr>
                <w:rFonts w:ascii="Verdana" w:hAnsi="Verdana" w:cs="Arial"/>
                <w:b/>
                <w:bCs/>
                <w:iCs/>
                <w:sz w:val="16"/>
                <w:szCs w:val="16"/>
              </w:rPr>
            </w:pPr>
            <w:r w:rsidRPr="008E4BA8">
              <w:rPr>
                <w:rFonts w:ascii="Verdana" w:hAnsi="Verdana" w:cs="Arial"/>
                <w:b/>
                <w:bCs/>
                <w:iCs/>
                <w:sz w:val="16"/>
                <w:szCs w:val="16"/>
              </w:rPr>
              <w:t>Totaal alles samen</w:t>
            </w:r>
            <w:r>
              <w:rPr>
                <w:rFonts w:ascii="Verdana" w:hAnsi="Verdana" w:cs="Arial"/>
                <w:b/>
                <w:bCs/>
                <w:iCs/>
                <w:sz w:val="16"/>
                <w:szCs w:val="16"/>
              </w:rPr>
              <w:t xml:space="preserve"> voor de gehele sector</w:t>
            </w:r>
            <w:r w:rsidR="00F714B1">
              <w:rPr>
                <w:rFonts w:ascii="Verdana" w:hAnsi="Verdana" w:cs="Arial"/>
                <w:b/>
                <w:bCs/>
                <w:iCs/>
                <w:sz w:val="16"/>
                <w:szCs w:val="16"/>
              </w:rPr>
              <w:t xml:space="preserve"> als je rekent met 35 banken en 15 holdings</w:t>
            </w:r>
          </w:p>
        </w:tc>
        <w:tc>
          <w:tcPr>
            <w:tcW w:w="1279" w:type="dxa"/>
            <w:gridSpan w:val="2"/>
          </w:tcPr>
          <w:p w:rsidRPr="008E4BA8" w:rsidR="00B3177C" w:rsidP="00522761" w:rsidRDefault="007965B2" w14:paraId="36140E29" w14:textId="1FFF59F5">
            <w:pPr>
              <w:widowControl w:val="0"/>
              <w:spacing w:line="240" w:lineRule="atLeast"/>
              <w:rPr>
                <w:rFonts w:ascii="Verdana" w:hAnsi="Verdana" w:cs="Arial"/>
                <w:b/>
                <w:bCs/>
                <w:iCs/>
                <w:sz w:val="16"/>
                <w:szCs w:val="16"/>
              </w:rPr>
            </w:pPr>
            <w:r>
              <w:rPr>
                <w:rFonts w:ascii="Verdana" w:hAnsi="Verdana" w:cs="Arial"/>
                <w:b/>
                <w:bCs/>
                <w:iCs/>
                <w:sz w:val="16"/>
                <w:szCs w:val="16"/>
              </w:rPr>
              <w:t>1</w:t>
            </w:r>
            <w:r w:rsidR="00B3177C">
              <w:rPr>
                <w:rFonts w:ascii="Verdana" w:hAnsi="Verdana" w:cs="Arial"/>
                <w:b/>
                <w:bCs/>
                <w:iCs/>
                <w:sz w:val="16"/>
                <w:szCs w:val="16"/>
              </w:rPr>
              <w:t>.</w:t>
            </w:r>
            <w:r w:rsidR="003C4A87">
              <w:rPr>
                <w:rFonts w:ascii="Verdana" w:hAnsi="Verdana" w:cs="Arial"/>
                <w:b/>
                <w:bCs/>
                <w:iCs/>
                <w:sz w:val="16"/>
                <w:szCs w:val="16"/>
              </w:rPr>
              <w:t>5</w:t>
            </w:r>
            <w:r>
              <w:rPr>
                <w:rFonts w:ascii="Verdana" w:hAnsi="Verdana" w:cs="Arial"/>
                <w:b/>
                <w:bCs/>
                <w:iCs/>
                <w:sz w:val="16"/>
                <w:szCs w:val="16"/>
              </w:rPr>
              <w:t>39</w:t>
            </w:r>
            <w:r w:rsidR="003C4A87">
              <w:rPr>
                <w:rFonts w:ascii="Verdana" w:hAnsi="Verdana" w:cs="Arial"/>
                <w:b/>
                <w:bCs/>
                <w:iCs/>
                <w:sz w:val="16"/>
                <w:szCs w:val="16"/>
              </w:rPr>
              <w:t>.</w:t>
            </w:r>
            <w:r>
              <w:rPr>
                <w:rFonts w:ascii="Verdana" w:hAnsi="Verdana" w:cs="Arial"/>
                <w:b/>
                <w:bCs/>
                <w:iCs/>
                <w:sz w:val="16"/>
                <w:szCs w:val="16"/>
              </w:rPr>
              <w:t>00</w:t>
            </w:r>
            <w:r w:rsidR="003C4A87">
              <w:rPr>
                <w:rFonts w:ascii="Verdana" w:hAnsi="Verdana" w:cs="Arial"/>
                <w:b/>
                <w:bCs/>
                <w:iCs/>
                <w:sz w:val="16"/>
                <w:szCs w:val="16"/>
              </w:rPr>
              <w:t>0</w:t>
            </w:r>
            <w:r>
              <w:rPr>
                <w:rFonts w:ascii="Verdana" w:hAnsi="Verdana" w:cs="Arial"/>
                <w:b/>
                <w:bCs/>
                <w:iCs/>
                <w:sz w:val="16"/>
                <w:szCs w:val="16"/>
              </w:rPr>
              <w:t xml:space="preserve"> -</w:t>
            </w:r>
            <w:r w:rsidR="00B3177C">
              <w:rPr>
                <w:rFonts w:ascii="Verdana" w:hAnsi="Verdana" w:cs="Arial"/>
                <w:b/>
                <w:bCs/>
                <w:iCs/>
                <w:sz w:val="16"/>
                <w:szCs w:val="16"/>
              </w:rPr>
              <w:t xml:space="preserve"> </w:t>
            </w:r>
            <w:r>
              <w:rPr>
                <w:rFonts w:ascii="Verdana" w:hAnsi="Verdana" w:cs="Arial"/>
                <w:b/>
                <w:bCs/>
                <w:iCs/>
                <w:sz w:val="16"/>
                <w:szCs w:val="16"/>
              </w:rPr>
              <w:t>2.781</w:t>
            </w:r>
            <w:r w:rsidR="00B3177C">
              <w:rPr>
                <w:rFonts w:ascii="Verdana" w:hAnsi="Verdana" w:cs="Arial"/>
                <w:b/>
                <w:bCs/>
                <w:iCs/>
                <w:sz w:val="16"/>
                <w:szCs w:val="16"/>
              </w:rPr>
              <w:t>.</w:t>
            </w:r>
            <w:r w:rsidR="003C4A87">
              <w:rPr>
                <w:rFonts w:ascii="Verdana" w:hAnsi="Verdana" w:cs="Arial"/>
                <w:b/>
                <w:bCs/>
                <w:iCs/>
                <w:sz w:val="16"/>
                <w:szCs w:val="16"/>
              </w:rPr>
              <w:t>00</w:t>
            </w:r>
            <w:r w:rsidR="00B3177C">
              <w:rPr>
                <w:rFonts w:ascii="Verdana" w:hAnsi="Verdana" w:cs="Arial"/>
                <w:b/>
                <w:bCs/>
                <w:iCs/>
                <w:sz w:val="16"/>
                <w:szCs w:val="16"/>
              </w:rPr>
              <w:t xml:space="preserve">0 </w:t>
            </w:r>
          </w:p>
        </w:tc>
        <w:tc>
          <w:tcPr>
            <w:tcW w:w="1433" w:type="dxa"/>
          </w:tcPr>
          <w:p w:rsidRPr="008E4BA8" w:rsidR="00B3177C" w:rsidP="00522761" w:rsidRDefault="007965B2" w14:paraId="3A700C1E" w14:textId="405F321F">
            <w:pPr>
              <w:widowControl w:val="0"/>
              <w:spacing w:line="240" w:lineRule="atLeast"/>
              <w:rPr>
                <w:rFonts w:ascii="Verdana" w:hAnsi="Verdana" w:cs="Arial"/>
                <w:b/>
                <w:bCs/>
                <w:iCs/>
                <w:sz w:val="16"/>
                <w:szCs w:val="16"/>
              </w:rPr>
            </w:pPr>
            <w:r>
              <w:rPr>
                <w:rFonts w:ascii="Verdana" w:hAnsi="Verdana" w:cs="Arial"/>
                <w:b/>
                <w:bCs/>
                <w:iCs/>
                <w:sz w:val="16"/>
                <w:szCs w:val="16"/>
              </w:rPr>
              <w:t>581.001</w:t>
            </w:r>
            <w:r w:rsidR="00B3177C">
              <w:rPr>
                <w:rFonts w:ascii="Verdana" w:hAnsi="Verdana" w:cs="Arial"/>
                <w:b/>
                <w:bCs/>
                <w:iCs/>
                <w:sz w:val="16"/>
                <w:szCs w:val="16"/>
              </w:rPr>
              <w:t xml:space="preserve"> </w:t>
            </w:r>
            <w:r w:rsidR="003C4A87">
              <w:rPr>
                <w:rFonts w:ascii="Verdana" w:hAnsi="Verdana" w:cs="Arial"/>
                <w:b/>
                <w:bCs/>
                <w:iCs/>
                <w:sz w:val="16"/>
                <w:szCs w:val="16"/>
              </w:rPr>
              <w:t>–</w:t>
            </w:r>
            <w:r w:rsidR="00B3177C">
              <w:rPr>
                <w:rFonts w:ascii="Verdana" w:hAnsi="Verdana" w:cs="Arial"/>
                <w:b/>
                <w:bCs/>
                <w:iCs/>
                <w:sz w:val="16"/>
                <w:szCs w:val="16"/>
              </w:rPr>
              <w:t xml:space="preserve"> </w:t>
            </w:r>
            <w:r w:rsidR="003C4A87">
              <w:rPr>
                <w:rFonts w:ascii="Verdana" w:hAnsi="Verdana" w:cs="Arial"/>
                <w:b/>
                <w:bCs/>
                <w:iCs/>
                <w:sz w:val="16"/>
                <w:szCs w:val="16"/>
              </w:rPr>
              <w:t>1.</w:t>
            </w:r>
            <w:r>
              <w:rPr>
                <w:rFonts w:ascii="Verdana" w:hAnsi="Verdana" w:cs="Arial"/>
                <w:b/>
                <w:bCs/>
                <w:iCs/>
                <w:sz w:val="16"/>
                <w:szCs w:val="16"/>
              </w:rPr>
              <w:t>161</w:t>
            </w:r>
            <w:r w:rsidR="003C4A87">
              <w:rPr>
                <w:rFonts w:ascii="Verdana" w:hAnsi="Verdana" w:cs="Arial"/>
                <w:b/>
                <w:bCs/>
                <w:iCs/>
                <w:sz w:val="16"/>
                <w:szCs w:val="16"/>
              </w:rPr>
              <w:t>.</w:t>
            </w:r>
            <w:r>
              <w:rPr>
                <w:rFonts w:ascii="Verdana" w:hAnsi="Verdana" w:cs="Arial"/>
                <w:b/>
                <w:bCs/>
                <w:iCs/>
                <w:sz w:val="16"/>
                <w:szCs w:val="16"/>
              </w:rPr>
              <w:t>1</w:t>
            </w:r>
            <w:r w:rsidR="003C4A87">
              <w:rPr>
                <w:rFonts w:ascii="Verdana" w:hAnsi="Verdana" w:cs="Arial"/>
                <w:b/>
                <w:bCs/>
                <w:iCs/>
                <w:sz w:val="16"/>
                <w:szCs w:val="16"/>
              </w:rPr>
              <w:t>50</w:t>
            </w:r>
          </w:p>
        </w:tc>
      </w:tr>
      <w:tr w:rsidRPr="007C4A2D" w:rsidR="00522761" w:rsidTr="0088231B" w14:paraId="3AA08059" w14:textId="77777777">
        <w:tc>
          <w:tcPr>
            <w:tcW w:w="7240" w:type="dxa"/>
            <w:gridSpan w:val="6"/>
          </w:tcPr>
          <w:p w:rsidRPr="007C4A2D" w:rsidR="00522761" w:rsidP="00522761" w:rsidRDefault="003C5755" w14:paraId="0B7FA318" w14:textId="0F30D578">
            <w:pPr>
              <w:widowControl w:val="0"/>
              <w:spacing w:line="240" w:lineRule="atLeast"/>
              <w:rPr>
                <w:rFonts w:ascii="Verdana" w:hAnsi="Verdana" w:cs="Arial"/>
                <w:i/>
                <w:sz w:val="15"/>
                <w:szCs w:val="15"/>
              </w:rPr>
            </w:pPr>
            <w:r w:rsidRPr="007C4A2D">
              <w:rPr>
                <w:rFonts w:ascii="Verdana" w:hAnsi="Verdana" w:cs="Arial"/>
                <w:i/>
                <w:sz w:val="15"/>
                <w:szCs w:val="15"/>
              </w:rPr>
              <w:lastRenderedPageBreak/>
              <w:t xml:space="preserve">De volgende vereisten zijn van toepassing op 2 </w:t>
            </w:r>
            <w:r w:rsidR="001C0C28">
              <w:rPr>
                <w:rFonts w:ascii="Verdana" w:hAnsi="Verdana" w:cs="Arial"/>
                <w:i/>
                <w:sz w:val="15"/>
                <w:szCs w:val="15"/>
              </w:rPr>
              <w:t>derde land</w:t>
            </w:r>
            <w:r w:rsidRPr="007C4A2D">
              <w:rPr>
                <w:rFonts w:ascii="Verdana" w:hAnsi="Verdana" w:cs="Arial"/>
                <w:i/>
                <w:sz w:val="15"/>
                <w:szCs w:val="15"/>
              </w:rPr>
              <w:t xml:space="preserve"> bijkantoren van ondernemingen uit een staat die geen lidstaat is</w:t>
            </w:r>
          </w:p>
        </w:tc>
      </w:tr>
      <w:tr w:rsidRPr="007C4A2D" w:rsidR="003C4A87" w:rsidTr="00635D11" w14:paraId="676A06A8" w14:textId="77777777">
        <w:tc>
          <w:tcPr>
            <w:tcW w:w="2260" w:type="dxa"/>
          </w:tcPr>
          <w:p w:rsidRPr="007C4A2D" w:rsidR="001D7734" w:rsidP="001D7734" w:rsidRDefault="001C0C28" w14:paraId="1713677C" w14:textId="5A92422B">
            <w:pPr>
              <w:widowControl w:val="0"/>
              <w:spacing w:line="240" w:lineRule="atLeast"/>
              <w:rPr>
                <w:rFonts w:ascii="Verdana" w:hAnsi="Verdana" w:cs="Arial"/>
                <w:iCs/>
                <w:sz w:val="15"/>
                <w:szCs w:val="15"/>
              </w:rPr>
            </w:pPr>
            <w:r>
              <w:rPr>
                <w:rFonts w:ascii="Verdana" w:hAnsi="Verdana" w:cs="Arial"/>
                <w:iCs/>
                <w:sz w:val="15"/>
                <w:szCs w:val="15"/>
              </w:rPr>
              <w:t>Derde land</w:t>
            </w:r>
            <w:r w:rsidRPr="007C4A2D" w:rsidR="001D7734">
              <w:rPr>
                <w:rFonts w:ascii="Verdana" w:hAnsi="Verdana" w:cs="Arial"/>
                <w:iCs/>
                <w:sz w:val="15"/>
                <w:szCs w:val="15"/>
              </w:rPr>
              <w:t xml:space="preserve"> bijkantorenregime</w:t>
            </w:r>
          </w:p>
        </w:tc>
        <w:tc>
          <w:tcPr>
            <w:tcW w:w="1134" w:type="dxa"/>
          </w:tcPr>
          <w:p w:rsidRPr="007C4A2D" w:rsidR="001D7734" w:rsidP="001D7734" w:rsidRDefault="001D7734" w14:paraId="5E75BF36" w14:textId="4C4A3642">
            <w:pPr>
              <w:widowControl w:val="0"/>
              <w:spacing w:line="240" w:lineRule="atLeast"/>
              <w:rPr>
                <w:rFonts w:ascii="Verdana" w:hAnsi="Verdana" w:cs="Arial"/>
                <w:iCs/>
                <w:sz w:val="15"/>
                <w:szCs w:val="15"/>
              </w:rPr>
            </w:pPr>
            <w:r w:rsidRPr="007C4A2D">
              <w:rPr>
                <w:rFonts w:ascii="Verdana" w:hAnsi="Verdana" w:cs="Arial"/>
                <w:iCs/>
                <w:sz w:val="15"/>
                <w:szCs w:val="15"/>
              </w:rPr>
              <w:t>5400 - 10800</w:t>
            </w:r>
          </w:p>
        </w:tc>
        <w:tc>
          <w:tcPr>
            <w:tcW w:w="1134" w:type="dxa"/>
          </w:tcPr>
          <w:p w:rsidRPr="007C4A2D" w:rsidR="001D7734" w:rsidP="001D7734" w:rsidRDefault="006F2489" w14:paraId="6635592D" w14:textId="06843914">
            <w:pPr>
              <w:widowControl w:val="0"/>
              <w:spacing w:line="240" w:lineRule="atLeast"/>
              <w:rPr>
                <w:rFonts w:ascii="Verdana" w:hAnsi="Verdana" w:cs="Arial"/>
                <w:iCs/>
                <w:sz w:val="15"/>
                <w:szCs w:val="15"/>
              </w:rPr>
            </w:pPr>
            <w:r>
              <w:rPr>
                <w:rFonts w:ascii="Verdana" w:hAnsi="Verdana" w:cs="Arial"/>
                <w:iCs/>
                <w:sz w:val="15"/>
                <w:szCs w:val="15"/>
              </w:rPr>
              <w:t>135</w:t>
            </w:r>
            <w:r w:rsidRPr="007C4A2D" w:rsidR="001D7734">
              <w:rPr>
                <w:rFonts w:ascii="Verdana" w:hAnsi="Verdana" w:cs="Arial"/>
                <w:iCs/>
                <w:sz w:val="15"/>
                <w:szCs w:val="15"/>
              </w:rPr>
              <w:t xml:space="preserve">0 - </w:t>
            </w:r>
            <w:r>
              <w:rPr>
                <w:rFonts w:ascii="Verdana" w:hAnsi="Verdana" w:cs="Arial"/>
                <w:iCs/>
                <w:sz w:val="15"/>
                <w:szCs w:val="15"/>
              </w:rPr>
              <w:t>2700</w:t>
            </w:r>
          </w:p>
        </w:tc>
        <w:tc>
          <w:tcPr>
            <w:tcW w:w="1279" w:type="dxa"/>
            <w:gridSpan w:val="2"/>
          </w:tcPr>
          <w:p w:rsidRPr="007C4A2D" w:rsidR="001D7734" w:rsidP="001D7734" w:rsidRDefault="001D7734" w14:paraId="27AAF608" w14:textId="4B0CC4B4">
            <w:pPr>
              <w:widowControl w:val="0"/>
              <w:spacing w:line="240" w:lineRule="atLeast"/>
              <w:rPr>
                <w:rFonts w:ascii="Verdana" w:hAnsi="Verdana" w:cs="Arial"/>
                <w:iCs/>
                <w:sz w:val="15"/>
                <w:szCs w:val="15"/>
              </w:rPr>
            </w:pPr>
            <w:r w:rsidRPr="007C4A2D">
              <w:rPr>
                <w:rFonts w:ascii="Verdana" w:hAnsi="Verdana" w:cs="Arial"/>
                <w:iCs/>
                <w:sz w:val="15"/>
                <w:szCs w:val="15"/>
              </w:rPr>
              <w:t>10800 - 21600</w:t>
            </w:r>
          </w:p>
        </w:tc>
        <w:tc>
          <w:tcPr>
            <w:tcW w:w="1433" w:type="dxa"/>
          </w:tcPr>
          <w:p w:rsidRPr="007C4A2D" w:rsidR="001D7734" w:rsidP="001D7734" w:rsidRDefault="006F2489" w14:paraId="64AD4CD9" w14:textId="022FB9F9">
            <w:pPr>
              <w:widowControl w:val="0"/>
              <w:spacing w:line="240" w:lineRule="atLeast"/>
              <w:rPr>
                <w:rFonts w:ascii="Verdana" w:hAnsi="Verdana" w:cs="Arial"/>
                <w:iCs/>
                <w:sz w:val="15"/>
                <w:szCs w:val="15"/>
              </w:rPr>
            </w:pPr>
            <w:r>
              <w:rPr>
                <w:rFonts w:ascii="Verdana" w:hAnsi="Verdana" w:cs="Arial"/>
                <w:iCs/>
                <w:sz w:val="15"/>
                <w:szCs w:val="15"/>
              </w:rPr>
              <w:t>2700</w:t>
            </w:r>
            <w:r w:rsidRPr="007C4A2D" w:rsidR="001D7734">
              <w:rPr>
                <w:rFonts w:ascii="Verdana" w:hAnsi="Verdana" w:cs="Arial"/>
                <w:iCs/>
                <w:sz w:val="15"/>
                <w:szCs w:val="15"/>
              </w:rPr>
              <w:t xml:space="preserve"> </w:t>
            </w:r>
            <w:r w:rsidR="008F7911">
              <w:rPr>
                <w:rFonts w:ascii="Verdana" w:hAnsi="Verdana" w:cs="Arial"/>
                <w:iCs/>
                <w:sz w:val="15"/>
                <w:szCs w:val="15"/>
              </w:rPr>
              <w:t>–</w:t>
            </w:r>
            <w:r w:rsidRPr="007C4A2D" w:rsidR="001D7734">
              <w:rPr>
                <w:rFonts w:ascii="Verdana" w:hAnsi="Verdana" w:cs="Arial"/>
                <w:iCs/>
                <w:sz w:val="15"/>
                <w:szCs w:val="15"/>
              </w:rPr>
              <w:t xml:space="preserve"> </w:t>
            </w:r>
            <w:r>
              <w:rPr>
                <w:rFonts w:ascii="Verdana" w:hAnsi="Verdana" w:cs="Arial"/>
                <w:iCs/>
                <w:sz w:val="15"/>
                <w:szCs w:val="15"/>
              </w:rPr>
              <w:t>54</w:t>
            </w:r>
            <w:r w:rsidRPr="007C4A2D" w:rsidR="001D7734">
              <w:rPr>
                <w:rFonts w:ascii="Verdana" w:hAnsi="Verdana" w:cs="Arial"/>
                <w:iCs/>
                <w:sz w:val="15"/>
                <w:szCs w:val="15"/>
              </w:rPr>
              <w:t>00</w:t>
            </w:r>
          </w:p>
        </w:tc>
      </w:tr>
    </w:tbl>
    <w:bookmarkEnd w:id="4"/>
    <w:p w:rsidRPr="00F36142" w:rsidR="00077B41" w:rsidP="001E56AB" w:rsidRDefault="00F36142" w14:paraId="288727AE" w14:textId="1BEB333E">
      <w:pPr>
        <w:widowControl w:val="0"/>
        <w:spacing w:line="240" w:lineRule="atLeast"/>
        <w:rPr>
          <w:rFonts w:cs="Arial"/>
          <w:iCs/>
        </w:rPr>
      </w:pPr>
      <w:r w:rsidRPr="00F36142">
        <w:rPr>
          <w:rFonts w:cs="Arial"/>
          <w:iCs/>
        </w:rPr>
        <w:t>Tabel 2: Overzicht totale regeldrukkosten nieuwe artikelen in CRD</w:t>
      </w:r>
    </w:p>
    <w:p w:rsidR="00764811" w:rsidP="001E56AB" w:rsidRDefault="00764811" w14:paraId="28C16920" w14:textId="77777777">
      <w:pPr>
        <w:widowControl w:val="0"/>
        <w:spacing w:line="240" w:lineRule="atLeast"/>
        <w:rPr>
          <w:rFonts w:cs="Arial"/>
          <w:i/>
          <w:sz w:val="18"/>
          <w:szCs w:val="18"/>
        </w:rPr>
      </w:pPr>
    </w:p>
    <w:p w:rsidR="00BB7E80" w:rsidP="00BB7E80" w:rsidRDefault="00BB7E80" w14:paraId="30BCDE48" w14:textId="5EED3560">
      <w:pPr>
        <w:widowControl w:val="0"/>
        <w:spacing w:line="240" w:lineRule="atLeast"/>
        <w:rPr>
          <w:rFonts w:cs="Arial"/>
          <w:i/>
          <w:sz w:val="18"/>
          <w:szCs w:val="18"/>
        </w:rPr>
      </w:pPr>
      <w:r w:rsidRPr="00BD04E1">
        <w:rPr>
          <w:rFonts w:cs="Arial"/>
          <w:i/>
          <w:sz w:val="18"/>
          <w:szCs w:val="18"/>
        </w:rPr>
        <w:t xml:space="preserve">§ </w:t>
      </w:r>
      <w:r>
        <w:rPr>
          <w:rFonts w:cs="Arial"/>
          <w:i/>
          <w:sz w:val="18"/>
          <w:szCs w:val="18"/>
        </w:rPr>
        <w:t>5</w:t>
      </w:r>
      <w:r w:rsidRPr="00BD04E1">
        <w:rPr>
          <w:rFonts w:cs="Arial"/>
          <w:i/>
          <w:sz w:val="18"/>
          <w:szCs w:val="18"/>
        </w:rPr>
        <w:t>.</w:t>
      </w:r>
      <w:r>
        <w:rPr>
          <w:rFonts w:cs="Arial"/>
          <w:i/>
          <w:sz w:val="18"/>
          <w:szCs w:val="18"/>
        </w:rPr>
        <w:t>2</w:t>
      </w:r>
      <w:r w:rsidRPr="00BD04E1">
        <w:rPr>
          <w:rFonts w:cs="Arial"/>
          <w:i/>
          <w:sz w:val="18"/>
          <w:szCs w:val="18"/>
        </w:rPr>
        <w:t xml:space="preserve"> </w:t>
      </w:r>
      <w:r>
        <w:rPr>
          <w:rFonts w:cs="Arial"/>
          <w:i/>
          <w:sz w:val="18"/>
          <w:szCs w:val="18"/>
        </w:rPr>
        <w:t>Lastenluwe implementatie</w:t>
      </w:r>
    </w:p>
    <w:p w:rsidR="00BB7E80" w:rsidP="00BB7E80" w:rsidRDefault="00BB7E80" w14:paraId="1AC8319B" w14:textId="77777777">
      <w:pPr>
        <w:widowControl w:val="0"/>
        <w:spacing w:line="240" w:lineRule="atLeast"/>
        <w:rPr>
          <w:rFonts w:cs="Arial"/>
          <w:iCs/>
          <w:sz w:val="18"/>
          <w:szCs w:val="18"/>
        </w:rPr>
      </w:pPr>
    </w:p>
    <w:p w:rsidR="00BB7E80" w:rsidP="00BB7E80" w:rsidRDefault="00BB7E80" w14:paraId="0D23CEF2" w14:textId="12FB05D8">
      <w:pPr>
        <w:widowControl w:val="0"/>
        <w:spacing w:line="240" w:lineRule="atLeast"/>
        <w:rPr>
          <w:rFonts w:cs="Arial"/>
          <w:iCs/>
          <w:sz w:val="18"/>
          <w:szCs w:val="18"/>
        </w:rPr>
      </w:pPr>
      <w:r>
        <w:rPr>
          <w:rFonts w:cs="Arial"/>
          <w:iCs/>
          <w:sz w:val="18"/>
          <w:szCs w:val="18"/>
        </w:rPr>
        <w:t>Overeenkomstig het regeerprogramma wordt de richtlijn zo lastenluw mogelijk geïmplementeerd. Waar mogelijk is gebruik gemaakt van verlichtende lidstaatopties zoals de proportionaliteit voor kleine en niet-complexe banken.</w:t>
      </w:r>
      <w:r w:rsidR="00EA4F35">
        <w:rPr>
          <w:rFonts w:cs="Arial"/>
          <w:iCs/>
          <w:sz w:val="18"/>
          <w:szCs w:val="18"/>
        </w:rPr>
        <w:t xml:space="preserve"> </w:t>
      </w:r>
      <w:r w:rsidR="00771E3E">
        <w:rPr>
          <w:rFonts w:cs="Arial"/>
          <w:iCs/>
          <w:sz w:val="18"/>
          <w:szCs w:val="18"/>
        </w:rPr>
        <w:t>Zie hiervoor paragraaf 4.2</w:t>
      </w:r>
    </w:p>
    <w:p w:rsidR="00BB7E80" w:rsidP="001E56AB" w:rsidRDefault="00BB7E80" w14:paraId="405F157D" w14:textId="77777777">
      <w:pPr>
        <w:widowControl w:val="0"/>
        <w:spacing w:line="240" w:lineRule="atLeast"/>
        <w:rPr>
          <w:rFonts w:cs="Arial"/>
          <w:i/>
          <w:sz w:val="18"/>
          <w:szCs w:val="18"/>
        </w:rPr>
      </w:pPr>
    </w:p>
    <w:p w:rsidR="00BB7E80" w:rsidP="00BB7E80" w:rsidRDefault="00BB7E80" w14:paraId="1F2FA49B" w14:textId="1FE73CAE">
      <w:pPr>
        <w:widowControl w:val="0"/>
        <w:spacing w:line="240" w:lineRule="atLeast"/>
        <w:rPr>
          <w:rFonts w:cs="Arial"/>
          <w:i/>
          <w:sz w:val="18"/>
          <w:szCs w:val="18"/>
        </w:rPr>
      </w:pPr>
      <w:r w:rsidRPr="00BD04E1">
        <w:rPr>
          <w:rFonts w:cs="Arial"/>
          <w:i/>
          <w:sz w:val="18"/>
          <w:szCs w:val="18"/>
        </w:rPr>
        <w:t xml:space="preserve">§ </w:t>
      </w:r>
      <w:r>
        <w:rPr>
          <w:rFonts w:cs="Arial"/>
          <w:i/>
          <w:sz w:val="18"/>
          <w:szCs w:val="18"/>
        </w:rPr>
        <w:t>5</w:t>
      </w:r>
      <w:r w:rsidRPr="00BD04E1">
        <w:rPr>
          <w:rFonts w:cs="Arial"/>
          <w:i/>
          <w:sz w:val="18"/>
          <w:szCs w:val="18"/>
        </w:rPr>
        <w:t>.</w:t>
      </w:r>
      <w:r>
        <w:rPr>
          <w:rFonts w:cs="Arial"/>
          <w:i/>
          <w:sz w:val="18"/>
          <w:szCs w:val="18"/>
        </w:rPr>
        <w:t>3</w:t>
      </w:r>
      <w:r w:rsidRPr="00BD04E1">
        <w:rPr>
          <w:rFonts w:cs="Arial"/>
          <w:i/>
          <w:sz w:val="18"/>
          <w:szCs w:val="18"/>
        </w:rPr>
        <w:t xml:space="preserve"> </w:t>
      </w:r>
      <w:r>
        <w:rPr>
          <w:rFonts w:cs="Arial"/>
          <w:i/>
          <w:sz w:val="18"/>
          <w:szCs w:val="18"/>
        </w:rPr>
        <w:t>Advisering Adviescollege toetsing regeldruk (ATR)</w:t>
      </w:r>
    </w:p>
    <w:p w:rsidR="00BB7E80" w:rsidP="001E56AB" w:rsidRDefault="00BB7E80" w14:paraId="36D8332A" w14:textId="77777777">
      <w:pPr>
        <w:widowControl w:val="0"/>
        <w:spacing w:line="240" w:lineRule="atLeast"/>
        <w:rPr>
          <w:rFonts w:cs="Arial"/>
          <w:i/>
          <w:sz w:val="18"/>
          <w:szCs w:val="18"/>
        </w:rPr>
      </w:pPr>
    </w:p>
    <w:p w:rsidR="00A713E5" w:rsidP="00A713E5" w:rsidRDefault="002C67A5" w14:paraId="723B4E72" w14:textId="16F1AAC6">
      <w:pPr>
        <w:widowControl w:val="0"/>
        <w:spacing w:line="240" w:lineRule="atLeast"/>
        <w:rPr>
          <w:rFonts w:cs="Arial"/>
          <w:iCs/>
          <w:sz w:val="18"/>
          <w:szCs w:val="18"/>
        </w:rPr>
      </w:pPr>
      <w:r>
        <w:rPr>
          <w:rFonts w:cs="Arial"/>
          <w:iCs/>
          <w:sz w:val="18"/>
          <w:szCs w:val="18"/>
        </w:rPr>
        <w:t>Aan h</w:t>
      </w:r>
      <w:r w:rsidR="00067024">
        <w:rPr>
          <w:rFonts w:cs="Arial"/>
          <w:iCs/>
          <w:sz w:val="18"/>
          <w:szCs w:val="18"/>
        </w:rPr>
        <w:t>et Adviescollege toetsing regeldruk (ATR) is een ontwerp van het wetsvoorstel en memorie van toelichting voorgelegd met het verzoek om hierover advies uit te brengen. ATR heeft in haar advies met dictum 1 (indienen/vaststellen) voornamelijk de lidstaatopties bestudeerd</w:t>
      </w:r>
      <w:r>
        <w:rPr>
          <w:rFonts w:cs="Arial"/>
          <w:iCs/>
          <w:sz w:val="18"/>
          <w:szCs w:val="18"/>
        </w:rPr>
        <w:t>,</w:t>
      </w:r>
      <w:r w:rsidR="00067024">
        <w:rPr>
          <w:rFonts w:cs="Arial"/>
          <w:iCs/>
          <w:sz w:val="18"/>
          <w:szCs w:val="18"/>
        </w:rPr>
        <w:t xml:space="preserve"> maar constateert hierbij dat gekozen wordt voor lastenluwe implementatie en dat het niet gebruiken van sommige lidstaatopties niet leidt tot regeldrukgevolgen</w:t>
      </w:r>
      <w:r>
        <w:rPr>
          <w:rFonts w:cs="Arial"/>
          <w:iCs/>
          <w:sz w:val="18"/>
          <w:szCs w:val="18"/>
        </w:rPr>
        <w:t>,</w:t>
      </w:r>
      <w:r w:rsidR="00067024">
        <w:rPr>
          <w:rFonts w:cs="Arial"/>
          <w:iCs/>
          <w:sz w:val="18"/>
          <w:szCs w:val="18"/>
        </w:rPr>
        <w:t xml:space="preserve"> omdat dit lidstaatopties waren die een regime, zoals het </w:t>
      </w:r>
      <w:r w:rsidR="001C0C28">
        <w:rPr>
          <w:rFonts w:cs="Arial"/>
          <w:iCs/>
          <w:sz w:val="18"/>
          <w:szCs w:val="18"/>
        </w:rPr>
        <w:t>derde land</w:t>
      </w:r>
      <w:r w:rsidR="00067024">
        <w:rPr>
          <w:rFonts w:cs="Arial"/>
          <w:iCs/>
          <w:sz w:val="18"/>
          <w:szCs w:val="18"/>
        </w:rPr>
        <w:t xml:space="preserve"> bijkantorenregime en de handhaving, konden verzwaren. ATR merkt op dat het logisch zou zijn om de lidstaatoptie met betrekking tot de afkoelingstermijn voor de overstap van toezichthouders naar concurrenten van de onder toezicht staande onderneming wel te gebruiken. </w:t>
      </w:r>
      <w:r>
        <w:rPr>
          <w:rFonts w:cs="Arial"/>
          <w:iCs/>
          <w:sz w:val="18"/>
          <w:szCs w:val="18"/>
        </w:rPr>
        <w:t>Aan deze opmerking is gevolg gegeven</w:t>
      </w:r>
      <w:r w:rsidR="00067024">
        <w:rPr>
          <w:rFonts w:cs="Arial"/>
          <w:iCs/>
          <w:sz w:val="18"/>
          <w:szCs w:val="18"/>
        </w:rPr>
        <w:t>.</w:t>
      </w:r>
    </w:p>
    <w:p w:rsidR="00067024" w:rsidP="00A713E5" w:rsidRDefault="00067024" w14:paraId="398EC195" w14:textId="77777777">
      <w:pPr>
        <w:widowControl w:val="0"/>
        <w:spacing w:line="240" w:lineRule="atLeast"/>
        <w:rPr>
          <w:rFonts w:cs="Arial"/>
          <w:iCs/>
          <w:sz w:val="18"/>
          <w:szCs w:val="18"/>
        </w:rPr>
      </w:pPr>
    </w:p>
    <w:p w:rsidR="00067024" w:rsidP="00A713E5" w:rsidRDefault="00067024" w14:paraId="3095592F" w14:textId="4D95F84F">
      <w:pPr>
        <w:widowControl w:val="0"/>
        <w:spacing w:line="240" w:lineRule="atLeast"/>
        <w:rPr>
          <w:rFonts w:cs="Arial"/>
          <w:iCs/>
          <w:sz w:val="18"/>
          <w:szCs w:val="18"/>
        </w:rPr>
      </w:pPr>
      <w:r>
        <w:rPr>
          <w:rFonts w:cs="Arial"/>
          <w:iCs/>
          <w:sz w:val="18"/>
          <w:szCs w:val="18"/>
        </w:rPr>
        <w:t xml:space="preserve">Daarnaast schrijft ATR dat het zaak is om ervoor te zorgen dat het toezicht zo consistent mogelijk wordt uitgeoefend om hiermee toezichtdivergentie te voorkomen. </w:t>
      </w:r>
      <w:r w:rsidR="00E53899">
        <w:rPr>
          <w:rFonts w:cs="Arial"/>
          <w:iCs/>
          <w:sz w:val="18"/>
          <w:szCs w:val="18"/>
        </w:rPr>
        <w:t>Het bevorderen van toezichtconvergentie is een expliciete taak van EBA</w:t>
      </w:r>
      <w:r w:rsidR="00E53899">
        <w:rPr>
          <w:rStyle w:val="Voetnootmarkering"/>
          <w:rFonts w:cs="Arial"/>
          <w:iCs/>
          <w:sz w:val="18"/>
          <w:szCs w:val="18"/>
        </w:rPr>
        <w:footnoteReference w:id="68"/>
      </w:r>
      <w:r w:rsidR="00E53899">
        <w:rPr>
          <w:rFonts w:cs="Arial"/>
          <w:iCs/>
          <w:sz w:val="18"/>
          <w:szCs w:val="18"/>
        </w:rPr>
        <w:t xml:space="preserve"> en een doelstelling van het Europees systeem voor financieel toezicht.</w:t>
      </w:r>
      <w:r w:rsidR="00E53899">
        <w:rPr>
          <w:rStyle w:val="Voetnootmarkering"/>
          <w:rFonts w:cs="Arial"/>
          <w:iCs/>
          <w:sz w:val="18"/>
          <w:szCs w:val="18"/>
        </w:rPr>
        <w:footnoteReference w:id="69"/>
      </w:r>
    </w:p>
    <w:p w:rsidRPr="001661D3" w:rsidR="00007179" w:rsidP="001E56AB" w:rsidRDefault="00007179" w14:paraId="12DAC1C0" w14:textId="77777777">
      <w:pPr>
        <w:widowControl w:val="0"/>
        <w:spacing w:line="240" w:lineRule="atLeast"/>
        <w:rPr>
          <w:rFonts w:cs="Arial"/>
          <w:i/>
          <w:sz w:val="18"/>
          <w:szCs w:val="18"/>
        </w:rPr>
      </w:pPr>
    </w:p>
    <w:p w:rsidR="001E56AB" w:rsidP="001E56AB" w:rsidRDefault="001E56AB" w14:paraId="017507C9" w14:textId="77777777">
      <w:pPr>
        <w:widowControl w:val="0"/>
        <w:spacing w:line="240" w:lineRule="atLeast"/>
        <w:rPr>
          <w:rFonts w:cs="Arial"/>
          <w:i/>
          <w:sz w:val="18"/>
          <w:szCs w:val="18"/>
        </w:rPr>
      </w:pPr>
      <w:r w:rsidRPr="00BD04E1">
        <w:rPr>
          <w:rFonts w:cs="Arial"/>
          <w:i/>
          <w:sz w:val="18"/>
          <w:szCs w:val="18"/>
        </w:rPr>
        <w:t xml:space="preserve">§ </w:t>
      </w:r>
      <w:r>
        <w:rPr>
          <w:rFonts w:cs="Arial"/>
          <w:i/>
          <w:sz w:val="18"/>
          <w:szCs w:val="18"/>
        </w:rPr>
        <w:t>6</w:t>
      </w:r>
      <w:r w:rsidRPr="00BD04E1">
        <w:rPr>
          <w:rFonts w:cs="Arial"/>
          <w:i/>
          <w:sz w:val="18"/>
          <w:szCs w:val="18"/>
        </w:rPr>
        <w:t xml:space="preserve">. </w:t>
      </w:r>
      <w:r>
        <w:rPr>
          <w:rFonts w:cs="Arial"/>
          <w:i/>
          <w:sz w:val="18"/>
          <w:szCs w:val="18"/>
        </w:rPr>
        <w:t>Uitvoering</w:t>
      </w:r>
    </w:p>
    <w:p w:rsidR="001E56AB" w:rsidP="001E56AB" w:rsidRDefault="001E56AB" w14:paraId="01B85662" w14:textId="77777777">
      <w:pPr>
        <w:widowControl w:val="0"/>
        <w:spacing w:line="240" w:lineRule="atLeast"/>
        <w:rPr>
          <w:rFonts w:cs="Arial"/>
          <w:i/>
          <w:sz w:val="18"/>
          <w:szCs w:val="18"/>
        </w:rPr>
      </w:pPr>
    </w:p>
    <w:p w:rsidR="00A713E5" w:rsidP="001E56AB" w:rsidRDefault="00DE1C23" w14:paraId="28754AA8" w14:textId="7E89B1D3">
      <w:pPr>
        <w:widowControl w:val="0"/>
        <w:spacing w:line="240" w:lineRule="atLeast"/>
        <w:rPr>
          <w:rFonts w:cs="Arial"/>
          <w:b/>
          <w:bCs/>
          <w:iCs/>
          <w:sz w:val="18"/>
          <w:szCs w:val="18"/>
        </w:rPr>
      </w:pPr>
      <w:r>
        <w:rPr>
          <w:rFonts w:cs="Arial"/>
          <w:iCs/>
          <w:sz w:val="18"/>
          <w:szCs w:val="18"/>
        </w:rPr>
        <w:t xml:space="preserve">DNB heeft op verzoek een uitvoeringstoets uitgevoerd. </w:t>
      </w:r>
      <w:r w:rsidR="002C67A5">
        <w:rPr>
          <w:rFonts w:cs="Arial"/>
          <w:iCs/>
          <w:sz w:val="18"/>
          <w:szCs w:val="18"/>
        </w:rPr>
        <w:t>In</w:t>
      </w:r>
      <w:r>
        <w:rPr>
          <w:rFonts w:cs="Arial"/>
          <w:iCs/>
          <w:sz w:val="18"/>
          <w:szCs w:val="18"/>
        </w:rPr>
        <w:t xml:space="preserve"> haar reactie </w:t>
      </w:r>
      <w:r w:rsidR="002C67A5">
        <w:rPr>
          <w:rFonts w:cs="Arial"/>
          <w:iCs/>
          <w:sz w:val="18"/>
          <w:szCs w:val="18"/>
        </w:rPr>
        <w:t xml:space="preserve">geeft DNB </w:t>
      </w:r>
      <w:r>
        <w:rPr>
          <w:rFonts w:cs="Arial"/>
          <w:iCs/>
          <w:sz w:val="18"/>
          <w:szCs w:val="18"/>
        </w:rPr>
        <w:t xml:space="preserve">aan dat zij in staat is op grond van de implementatiewet de nieuwe toezichtvereisten uit te voeren. </w:t>
      </w:r>
      <w:r w:rsidR="00A05EB4">
        <w:rPr>
          <w:rFonts w:cs="Arial"/>
          <w:iCs/>
          <w:sz w:val="18"/>
          <w:szCs w:val="18"/>
        </w:rPr>
        <w:t>Hoewel de precieze capaciteit</w:t>
      </w:r>
      <w:r w:rsidR="00A86B6F">
        <w:rPr>
          <w:rFonts w:cs="Arial"/>
          <w:iCs/>
          <w:sz w:val="18"/>
          <w:szCs w:val="18"/>
        </w:rPr>
        <w:t xml:space="preserve"> die dit zal vergen</w:t>
      </w:r>
      <w:r w:rsidR="00A05EB4">
        <w:rPr>
          <w:rFonts w:cs="Arial"/>
          <w:iCs/>
          <w:sz w:val="18"/>
          <w:szCs w:val="18"/>
        </w:rPr>
        <w:t xml:space="preserve"> nog niet duidelijk is, is vooralsnog de verwachting dat eventuele extra capaciteit opgevangen kan worden binnen het huidige kostenkader</w:t>
      </w:r>
      <w:r w:rsidR="00A86B6F">
        <w:rPr>
          <w:rFonts w:cs="Arial"/>
          <w:iCs/>
          <w:sz w:val="18"/>
          <w:szCs w:val="18"/>
        </w:rPr>
        <w:t xml:space="preserve"> dat</w:t>
      </w:r>
      <w:r w:rsidR="00A05EB4">
        <w:rPr>
          <w:rFonts w:cs="Arial"/>
          <w:iCs/>
          <w:sz w:val="18"/>
          <w:szCs w:val="18"/>
        </w:rPr>
        <w:t xml:space="preserve"> vaststaat tot en met 2028. DNB schat dat de</w:t>
      </w:r>
      <w:r>
        <w:rPr>
          <w:rFonts w:cs="Arial"/>
          <w:iCs/>
          <w:sz w:val="18"/>
          <w:szCs w:val="18"/>
        </w:rPr>
        <w:t xml:space="preserve"> nieuwe ESG-vereisten en de wijzigingen rondom ‘medewerkers met een sleutelfunctie’ 1,5 tot 2,5 fte aan extra capaciteit gaan vergen. Daarnaast is nog niet duidelijk of er extra capaciteit benodigd is voor het nieuwe </w:t>
      </w:r>
      <w:r w:rsidR="00D416A6">
        <w:rPr>
          <w:rFonts w:cs="Arial"/>
          <w:iCs/>
          <w:sz w:val="18"/>
          <w:szCs w:val="18"/>
        </w:rPr>
        <w:t xml:space="preserve">derde land </w:t>
      </w:r>
      <w:r>
        <w:rPr>
          <w:rFonts w:cs="Arial"/>
          <w:iCs/>
          <w:sz w:val="18"/>
          <w:szCs w:val="18"/>
        </w:rPr>
        <w:t xml:space="preserve">bijkantorenregime en de prioriteiten die de ECB stelt in het kader van </w:t>
      </w:r>
      <w:r w:rsidR="00A86B6F">
        <w:rPr>
          <w:rFonts w:cs="Arial"/>
          <w:iCs/>
          <w:sz w:val="18"/>
          <w:szCs w:val="18"/>
        </w:rPr>
        <w:t xml:space="preserve">het </w:t>
      </w:r>
      <w:r>
        <w:rPr>
          <w:rFonts w:cs="Arial"/>
          <w:iCs/>
          <w:sz w:val="18"/>
          <w:szCs w:val="18"/>
        </w:rPr>
        <w:t xml:space="preserve">toezicht op significante banken. </w:t>
      </w:r>
    </w:p>
    <w:p w:rsidR="001E56AB" w:rsidP="001E56AB" w:rsidRDefault="001E56AB" w14:paraId="1D3C787A" w14:textId="77777777">
      <w:pPr>
        <w:widowControl w:val="0"/>
        <w:spacing w:line="240" w:lineRule="atLeast"/>
        <w:rPr>
          <w:rFonts w:cs="Arial"/>
          <w:i/>
          <w:sz w:val="18"/>
          <w:szCs w:val="18"/>
        </w:rPr>
      </w:pPr>
    </w:p>
    <w:p w:rsidR="001E56AB" w:rsidP="001E56AB" w:rsidRDefault="001E56AB" w14:paraId="33E6A8F7" w14:textId="77777777">
      <w:pPr>
        <w:widowControl w:val="0"/>
        <w:spacing w:line="240" w:lineRule="atLeast"/>
        <w:rPr>
          <w:rFonts w:cs="Arial"/>
          <w:i/>
          <w:sz w:val="18"/>
          <w:szCs w:val="18"/>
        </w:rPr>
      </w:pPr>
      <w:r w:rsidRPr="00BD04E1">
        <w:rPr>
          <w:rFonts w:cs="Arial"/>
          <w:i/>
          <w:sz w:val="18"/>
          <w:szCs w:val="18"/>
        </w:rPr>
        <w:t xml:space="preserve">§ </w:t>
      </w:r>
      <w:r>
        <w:rPr>
          <w:rFonts w:cs="Arial"/>
          <w:i/>
          <w:sz w:val="18"/>
          <w:szCs w:val="18"/>
        </w:rPr>
        <w:t>7</w:t>
      </w:r>
      <w:r w:rsidRPr="00BD04E1">
        <w:rPr>
          <w:rFonts w:cs="Arial"/>
          <w:i/>
          <w:sz w:val="18"/>
          <w:szCs w:val="18"/>
        </w:rPr>
        <w:t xml:space="preserve">. </w:t>
      </w:r>
      <w:r>
        <w:rPr>
          <w:rFonts w:cs="Arial"/>
          <w:i/>
          <w:sz w:val="18"/>
          <w:szCs w:val="18"/>
        </w:rPr>
        <w:t>Consultatie</w:t>
      </w:r>
    </w:p>
    <w:p w:rsidR="009F59D9" w:rsidP="00395DD3" w:rsidRDefault="009F59D9" w14:paraId="591B4CBC" w14:textId="77777777">
      <w:pPr>
        <w:widowControl w:val="0"/>
        <w:tabs>
          <w:tab w:val="num" w:pos="720"/>
        </w:tabs>
        <w:spacing w:line="240" w:lineRule="atLeast"/>
        <w:rPr>
          <w:rFonts w:cs="Arial"/>
          <w:sz w:val="18"/>
          <w:szCs w:val="18"/>
        </w:rPr>
      </w:pPr>
    </w:p>
    <w:p w:rsidR="00A713E5" w:rsidP="00395DD3" w:rsidRDefault="00371164" w14:paraId="06B7BF10" w14:textId="6862FF1A">
      <w:pPr>
        <w:widowControl w:val="0"/>
        <w:tabs>
          <w:tab w:val="num" w:pos="720"/>
        </w:tabs>
        <w:spacing w:line="240" w:lineRule="atLeast"/>
        <w:rPr>
          <w:rFonts w:cs="Arial"/>
          <w:sz w:val="18"/>
          <w:szCs w:val="18"/>
        </w:rPr>
      </w:pPr>
      <w:r>
        <w:rPr>
          <w:rFonts w:cs="Arial"/>
          <w:sz w:val="18"/>
          <w:szCs w:val="18"/>
        </w:rPr>
        <w:t xml:space="preserve">Dit wetsvoorstel is openbaar geconsulteerd op </w:t>
      </w:r>
      <w:hyperlink w:history="1" r:id="rId7">
        <w:r w:rsidRPr="00B21658">
          <w:rPr>
            <w:rStyle w:val="Hyperlink"/>
            <w:rFonts w:cs="Arial"/>
            <w:sz w:val="18"/>
            <w:szCs w:val="18"/>
          </w:rPr>
          <w:t>www.internetconsultatie.nl</w:t>
        </w:r>
      </w:hyperlink>
      <w:r>
        <w:rPr>
          <w:rFonts w:cs="Arial"/>
          <w:sz w:val="18"/>
          <w:szCs w:val="18"/>
        </w:rPr>
        <w:t xml:space="preserve"> van 30 april 2025 tot en met 28 mei 2025. Er zijn vijf reacties gegeven, en ATR heeft haar brief aan de minister ook als reactie ingediend. De reactie van de ATR is in paragraaf 5.3 besproken.</w:t>
      </w:r>
    </w:p>
    <w:p w:rsidR="00371164" w:rsidP="00395DD3" w:rsidRDefault="00371164" w14:paraId="19E2B6AD" w14:textId="77777777">
      <w:pPr>
        <w:widowControl w:val="0"/>
        <w:tabs>
          <w:tab w:val="num" w:pos="720"/>
        </w:tabs>
        <w:spacing w:line="240" w:lineRule="atLeast"/>
        <w:rPr>
          <w:rFonts w:cs="Arial"/>
          <w:sz w:val="18"/>
          <w:szCs w:val="18"/>
        </w:rPr>
      </w:pPr>
    </w:p>
    <w:p w:rsidRPr="00A05EB4" w:rsidR="00245E61" w:rsidP="0024398D" w:rsidRDefault="00371164" w14:paraId="13842637" w14:textId="7897DD47">
      <w:pPr>
        <w:widowControl w:val="0"/>
        <w:tabs>
          <w:tab w:val="num" w:pos="720"/>
        </w:tabs>
        <w:spacing w:line="240" w:lineRule="atLeast"/>
        <w:rPr>
          <w:rFonts w:cs="Arial"/>
          <w:sz w:val="18"/>
          <w:szCs w:val="18"/>
        </w:rPr>
      </w:pPr>
      <w:r>
        <w:rPr>
          <w:rFonts w:cs="Arial"/>
          <w:sz w:val="18"/>
          <w:szCs w:val="18"/>
        </w:rPr>
        <w:lastRenderedPageBreak/>
        <w:t>De reacties zijn afkomstig van de Nederlandse Vereniging van Banken (NVB), het Verbond van Verzekeraars (V</w:t>
      </w:r>
      <w:r w:rsidR="0024398D">
        <w:rPr>
          <w:rFonts w:cs="Arial"/>
          <w:sz w:val="18"/>
          <w:szCs w:val="18"/>
        </w:rPr>
        <w:t>erbond</w:t>
      </w:r>
      <w:r>
        <w:rPr>
          <w:rFonts w:cs="Arial"/>
          <w:sz w:val="18"/>
          <w:szCs w:val="18"/>
        </w:rPr>
        <w:t>), Finnius</w:t>
      </w:r>
      <w:r w:rsidR="00771E3E">
        <w:rPr>
          <w:rFonts w:cs="Arial"/>
          <w:sz w:val="18"/>
          <w:szCs w:val="18"/>
        </w:rPr>
        <w:t>,</w:t>
      </w:r>
      <w:r>
        <w:rPr>
          <w:rFonts w:cs="Arial"/>
          <w:sz w:val="18"/>
          <w:szCs w:val="18"/>
        </w:rPr>
        <w:t xml:space="preserve"> Clifford Chance, en de belangenorganisaties Bank Policy Institute and Loan Market Association (BPI</w:t>
      </w:r>
      <w:r w:rsidR="00453FB0">
        <w:rPr>
          <w:rFonts w:cs="Arial"/>
          <w:sz w:val="18"/>
          <w:szCs w:val="18"/>
        </w:rPr>
        <w:t>/</w:t>
      </w:r>
      <w:r>
        <w:rPr>
          <w:rFonts w:cs="Arial"/>
          <w:sz w:val="18"/>
          <w:szCs w:val="18"/>
        </w:rPr>
        <w:t>LMA) die gezamenlijk een reactie hebben ingediend.</w:t>
      </w:r>
      <w:r w:rsidR="0024398D">
        <w:rPr>
          <w:rFonts w:cs="Arial"/>
          <w:sz w:val="18"/>
          <w:szCs w:val="18"/>
        </w:rPr>
        <w:t xml:space="preserve"> </w:t>
      </w:r>
      <w:r w:rsidRPr="00A05EB4" w:rsidR="00245E61">
        <w:rPr>
          <w:rFonts w:cs="Arial"/>
          <w:sz w:val="18"/>
          <w:szCs w:val="18"/>
        </w:rPr>
        <w:t>Voor zover mogelijk worden gelijkluidende reacties van consultatiepartijen samengenomen ter bespreking. De antwoorden zijn gebundeld in blokken ter bevordering van een consistente beantwoording.</w:t>
      </w:r>
    </w:p>
    <w:p w:rsidRPr="00245E61" w:rsidR="00DD0008" w:rsidP="00395DD3" w:rsidRDefault="00DD0008" w14:paraId="41E9D3C5" w14:textId="77777777">
      <w:pPr>
        <w:widowControl w:val="0"/>
        <w:tabs>
          <w:tab w:val="num" w:pos="720"/>
        </w:tabs>
        <w:spacing w:line="240" w:lineRule="atLeast"/>
        <w:rPr>
          <w:rFonts w:cs="Arial"/>
          <w:sz w:val="18"/>
          <w:szCs w:val="18"/>
        </w:rPr>
      </w:pPr>
    </w:p>
    <w:p w:rsidR="00245E61" w:rsidP="00245E61" w:rsidRDefault="00245E61" w14:paraId="574C7B4D" w14:textId="24BC3B57">
      <w:pPr>
        <w:widowControl w:val="0"/>
        <w:tabs>
          <w:tab w:val="num" w:pos="720"/>
        </w:tabs>
        <w:spacing w:line="240" w:lineRule="atLeast"/>
        <w:rPr>
          <w:rFonts w:cs="Arial"/>
          <w:i/>
          <w:sz w:val="18"/>
          <w:szCs w:val="18"/>
          <w:u w:val="single"/>
        </w:rPr>
      </w:pPr>
      <w:r w:rsidRPr="00A05EB4">
        <w:rPr>
          <w:rFonts w:cs="Arial"/>
          <w:i/>
          <w:sz w:val="18"/>
          <w:szCs w:val="18"/>
          <w:u w:val="single"/>
        </w:rPr>
        <w:t xml:space="preserve">§ 7.1 </w:t>
      </w:r>
      <w:r w:rsidRPr="00A05EB4" w:rsidR="00F11CC7">
        <w:rPr>
          <w:rFonts w:cs="Arial"/>
          <w:i/>
          <w:sz w:val="18"/>
          <w:szCs w:val="18"/>
          <w:u w:val="single"/>
        </w:rPr>
        <w:t xml:space="preserve">Derde land </w:t>
      </w:r>
      <w:r w:rsidRPr="00A05EB4">
        <w:rPr>
          <w:rFonts w:cs="Arial"/>
          <w:i/>
          <w:sz w:val="18"/>
          <w:szCs w:val="18"/>
          <w:u w:val="single"/>
        </w:rPr>
        <w:t xml:space="preserve">bijkantoren </w:t>
      </w:r>
    </w:p>
    <w:p w:rsidR="00380522" w:rsidP="00245E61" w:rsidRDefault="00380522" w14:paraId="035269DB" w14:textId="77777777">
      <w:pPr>
        <w:widowControl w:val="0"/>
        <w:tabs>
          <w:tab w:val="num" w:pos="720"/>
        </w:tabs>
        <w:spacing w:line="240" w:lineRule="atLeast"/>
        <w:rPr>
          <w:rFonts w:cs="Arial"/>
          <w:i/>
          <w:sz w:val="18"/>
          <w:szCs w:val="18"/>
          <w:u w:val="single"/>
        </w:rPr>
      </w:pPr>
    </w:p>
    <w:p w:rsidR="00380522" w:rsidP="00380522" w:rsidRDefault="00380522" w14:paraId="29360E07" w14:textId="77777777">
      <w:pPr>
        <w:widowControl w:val="0"/>
        <w:tabs>
          <w:tab w:val="num" w:pos="720"/>
        </w:tabs>
        <w:spacing w:line="240" w:lineRule="atLeast"/>
        <w:rPr>
          <w:rFonts w:cs="Arial"/>
          <w:sz w:val="18"/>
          <w:szCs w:val="18"/>
        </w:rPr>
      </w:pPr>
      <w:r w:rsidRPr="00453FB0">
        <w:rPr>
          <w:rFonts w:cs="Arial"/>
          <w:sz w:val="18"/>
          <w:szCs w:val="18"/>
        </w:rPr>
        <w:t>De NVB, Finnius, Clifford Chanc</w:t>
      </w:r>
      <w:r w:rsidRPr="00380522">
        <w:rPr>
          <w:rFonts w:cs="Arial"/>
          <w:sz w:val="18"/>
          <w:szCs w:val="18"/>
        </w:rPr>
        <w:t>e en BPI/LMA hebben allen</w:t>
      </w:r>
      <w:r>
        <w:rPr>
          <w:rFonts w:cs="Arial"/>
          <w:sz w:val="18"/>
          <w:szCs w:val="18"/>
        </w:rPr>
        <w:t xml:space="preserve"> opmerkingen gemaakt over de implementatie van het nieuwe derde land bijkantorenregime zoals dat volgt uit de richtlijn.</w:t>
      </w:r>
    </w:p>
    <w:p w:rsidRPr="00245E61" w:rsidR="00245E61" w:rsidP="00245E61" w:rsidRDefault="00245E61" w14:paraId="2C232937" w14:textId="77777777">
      <w:pPr>
        <w:widowControl w:val="0"/>
        <w:tabs>
          <w:tab w:val="num" w:pos="720"/>
        </w:tabs>
        <w:spacing w:line="240" w:lineRule="atLeast"/>
        <w:rPr>
          <w:rFonts w:cs="Arial"/>
          <w:i/>
          <w:sz w:val="18"/>
          <w:szCs w:val="18"/>
        </w:rPr>
      </w:pPr>
    </w:p>
    <w:p w:rsidR="00453FB0" w:rsidP="00395DD3" w:rsidRDefault="00453FB0" w14:paraId="78557CF6" w14:textId="0AA7134A">
      <w:pPr>
        <w:widowControl w:val="0"/>
        <w:tabs>
          <w:tab w:val="num" w:pos="720"/>
        </w:tabs>
        <w:spacing w:line="240" w:lineRule="atLeast"/>
        <w:rPr>
          <w:rFonts w:cs="Arial"/>
          <w:i/>
          <w:iCs/>
          <w:sz w:val="18"/>
          <w:szCs w:val="18"/>
        </w:rPr>
      </w:pPr>
      <w:r>
        <w:rPr>
          <w:rFonts w:cs="Arial"/>
          <w:i/>
          <w:iCs/>
          <w:sz w:val="18"/>
          <w:szCs w:val="18"/>
        </w:rPr>
        <w:t>7.1.</w:t>
      </w:r>
      <w:r w:rsidR="00380522">
        <w:rPr>
          <w:rFonts w:cs="Arial"/>
          <w:i/>
          <w:iCs/>
          <w:sz w:val="18"/>
          <w:szCs w:val="18"/>
        </w:rPr>
        <w:t>1</w:t>
      </w:r>
      <w:r>
        <w:rPr>
          <w:rFonts w:cs="Arial"/>
          <w:i/>
          <w:iCs/>
          <w:sz w:val="18"/>
          <w:szCs w:val="18"/>
        </w:rPr>
        <w:t xml:space="preserve"> Afwezigheid van de term ‘van het publiek’</w:t>
      </w:r>
    </w:p>
    <w:p w:rsidR="00453FB0" w:rsidP="00395DD3" w:rsidRDefault="00453FB0" w14:paraId="06137A9E" w14:textId="3D5079A7">
      <w:pPr>
        <w:widowControl w:val="0"/>
        <w:tabs>
          <w:tab w:val="num" w:pos="720"/>
        </w:tabs>
        <w:spacing w:line="240" w:lineRule="atLeast"/>
        <w:rPr>
          <w:rFonts w:cs="Arial"/>
          <w:sz w:val="18"/>
          <w:szCs w:val="18"/>
        </w:rPr>
      </w:pPr>
      <w:r w:rsidRPr="00453FB0">
        <w:rPr>
          <w:rFonts w:cs="Arial"/>
          <w:sz w:val="18"/>
          <w:szCs w:val="18"/>
        </w:rPr>
        <w:t xml:space="preserve">Finnius en Clifford Chance </w:t>
      </w:r>
      <w:r w:rsidR="00194296">
        <w:rPr>
          <w:rFonts w:cs="Arial"/>
          <w:sz w:val="18"/>
          <w:szCs w:val="18"/>
        </w:rPr>
        <w:t>stellen voor</w:t>
      </w:r>
      <w:r>
        <w:rPr>
          <w:rFonts w:cs="Arial"/>
          <w:sz w:val="18"/>
          <w:szCs w:val="18"/>
        </w:rPr>
        <w:t xml:space="preserve"> de term ‘van het publiek’, die voorkomt in </w:t>
      </w:r>
      <w:r w:rsidR="00194296">
        <w:rPr>
          <w:rFonts w:cs="Arial"/>
          <w:sz w:val="18"/>
          <w:szCs w:val="18"/>
        </w:rPr>
        <w:t>het verbod op</w:t>
      </w:r>
      <w:r w:rsidR="006C431A">
        <w:rPr>
          <w:rFonts w:cs="Arial"/>
          <w:sz w:val="18"/>
          <w:szCs w:val="18"/>
        </w:rPr>
        <w:t xml:space="preserve"> het aantrekken van opvorderbare gelden</w:t>
      </w:r>
      <w:r w:rsidR="00194296">
        <w:rPr>
          <w:rFonts w:cs="Arial"/>
          <w:sz w:val="18"/>
          <w:szCs w:val="18"/>
        </w:rPr>
        <w:t xml:space="preserve"> in artikel 3:5 Wft en artikel 9 CRD</w:t>
      </w:r>
      <w:r>
        <w:rPr>
          <w:rFonts w:cs="Arial"/>
          <w:sz w:val="18"/>
          <w:szCs w:val="18"/>
        </w:rPr>
        <w:t>, toe te voegen aan</w:t>
      </w:r>
      <w:r w:rsidR="006C431A">
        <w:rPr>
          <w:rFonts w:cs="Arial"/>
          <w:sz w:val="18"/>
          <w:szCs w:val="18"/>
        </w:rPr>
        <w:t xml:space="preserve"> het voorgestelde</w:t>
      </w:r>
      <w:r>
        <w:rPr>
          <w:rFonts w:cs="Arial"/>
          <w:sz w:val="18"/>
          <w:szCs w:val="18"/>
        </w:rPr>
        <w:t xml:space="preserve"> artikel 2:20</w:t>
      </w:r>
      <w:r w:rsidR="006C431A">
        <w:rPr>
          <w:rFonts w:cs="Arial"/>
          <w:sz w:val="18"/>
          <w:szCs w:val="18"/>
        </w:rPr>
        <w:t>, eerste lid, onderdeel a, Wft.</w:t>
      </w:r>
      <w:r w:rsidR="00194296">
        <w:rPr>
          <w:rFonts w:cs="Arial"/>
          <w:sz w:val="18"/>
          <w:szCs w:val="18"/>
        </w:rPr>
        <w:t xml:space="preserve"> </w:t>
      </w:r>
      <w:r w:rsidR="00327925">
        <w:rPr>
          <w:rFonts w:cs="Arial"/>
          <w:sz w:val="18"/>
          <w:szCs w:val="18"/>
        </w:rPr>
        <w:t>Artikel 2:20, eerste lid, Wft</w:t>
      </w:r>
      <w:r w:rsidR="00385727">
        <w:rPr>
          <w:rFonts w:cs="Arial"/>
          <w:sz w:val="18"/>
          <w:szCs w:val="18"/>
        </w:rPr>
        <w:t xml:space="preserve"> </w:t>
      </w:r>
      <w:r w:rsidR="00194296">
        <w:rPr>
          <w:rFonts w:cs="Arial"/>
          <w:sz w:val="18"/>
          <w:szCs w:val="18"/>
        </w:rPr>
        <w:t xml:space="preserve">omvat de verplichting voor ondernemingen uit </w:t>
      </w:r>
      <w:r w:rsidR="00E53899">
        <w:rPr>
          <w:rFonts w:cs="Arial"/>
          <w:sz w:val="18"/>
          <w:szCs w:val="18"/>
        </w:rPr>
        <w:t xml:space="preserve">staten die geen lidstaat zijn </w:t>
      </w:r>
      <w:r w:rsidR="00194296">
        <w:rPr>
          <w:rFonts w:cs="Arial"/>
          <w:sz w:val="18"/>
          <w:szCs w:val="18"/>
        </w:rPr>
        <w:t>om over een bijkantoor en een vergunning te beschikken, indien zij in Nederland bepaalde bankdiensten willen verlenen.</w:t>
      </w:r>
      <w:r w:rsidR="006C431A">
        <w:rPr>
          <w:rFonts w:cs="Arial"/>
          <w:sz w:val="18"/>
          <w:szCs w:val="18"/>
        </w:rPr>
        <w:t xml:space="preserve"> De</w:t>
      </w:r>
      <w:r w:rsidR="00194296">
        <w:rPr>
          <w:rFonts w:cs="Arial"/>
          <w:sz w:val="18"/>
          <w:szCs w:val="18"/>
        </w:rPr>
        <w:t xml:space="preserve"> voorgesteld</w:t>
      </w:r>
      <w:r w:rsidR="006C431A">
        <w:rPr>
          <w:rFonts w:cs="Arial"/>
          <w:sz w:val="18"/>
          <w:szCs w:val="18"/>
        </w:rPr>
        <w:t xml:space="preserve">e toevoeging zou </w:t>
      </w:r>
      <w:r>
        <w:rPr>
          <w:rFonts w:cs="Arial"/>
          <w:sz w:val="18"/>
          <w:szCs w:val="18"/>
        </w:rPr>
        <w:t xml:space="preserve">duidelijk </w:t>
      </w:r>
      <w:r w:rsidR="006C431A">
        <w:rPr>
          <w:rFonts w:cs="Arial"/>
          <w:sz w:val="18"/>
          <w:szCs w:val="18"/>
        </w:rPr>
        <w:t>maken</w:t>
      </w:r>
      <w:r>
        <w:rPr>
          <w:rFonts w:cs="Arial"/>
          <w:sz w:val="18"/>
          <w:szCs w:val="18"/>
        </w:rPr>
        <w:t xml:space="preserve"> dat er alleen een derde land bijkantoor opgericht moet worden als een onderneming uit een staat die geen lidstaat is opvorderbare gelden aantrekt </w:t>
      </w:r>
      <w:r>
        <w:rPr>
          <w:rFonts w:cs="Arial"/>
          <w:i/>
          <w:iCs/>
          <w:sz w:val="18"/>
          <w:szCs w:val="18"/>
        </w:rPr>
        <w:t>van het publiek</w:t>
      </w:r>
      <w:r>
        <w:rPr>
          <w:rFonts w:cs="Arial"/>
          <w:sz w:val="18"/>
          <w:szCs w:val="18"/>
        </w:rPr>
        <w:t xml:space="preserve">. Deze </w:t>
      </w:r>
      <w:r w:rsidR="00F061FA">
        <w:rPr>
          <w:rFonts w:cs="Arial"/>
          <w:sz w:val="18"/>
          <w:szCs w:val="18"/>
        </w:rPr>
        <w:t xml:space="preserve">clausulering </w:t>
      </w:r>
      <w:r>
        <w:rPr>
          <w:rFonts w:cs="Arial"/>
          <w:sz w:val="18"/>
          <w:szCs w:val="18"/>
        </w:rPr>
        <w:t xml:space="preserve">is opgenomen in </w:t>
      </w:r>
      <w:r w:rsidR="00F061FA">
        <w:rPr>
          <w:rFonts w:cs="Arial"/>
          <w:sz w:val="18"/>
          <w:szCs w:val="18"/>
        </w:rPr>
        <w:t xml:space="preserve">het verbod op het aantrekken van opvorderbare gelden in </w:t>
      </w:r>
      <w:r>
        <w:rPr>
          <w:rFonts w:cs="Arial"/>
          <w:sz w:val="18"/>
          <w:szCs w:val="18"/>
        </w:rPr>
        <w:t>artikel 3:5</w:t>
      </w:r>
      <w:r w:rsidR="006C431A">
        <w:rPr>
          <w:rFonts w:cs="Arial"/>
          <w:sz w:val="18"/>
          <w:szCs w:val="18"/>
        </w:rPr>
        <w:t xml:space="preserve"> Wft</w:t>
      </w:r>
      <w:r w:rsidR="00F061FA">
        <w:rPr>
          <w:rFonts w:cs="Arial"/>
          <w:sz w:val="18"/>
          <w:szCs w:val="18"/>
        </w:rPr>
        <w:t>,</w:t>
      </w:r>
      <w:r>
        <w:rPr>
          <w:rFonts w:cs="Arial"/>
          <w:sz w:val="18"/>
          <w:szCs w:val="18"/>
        </w:rPr>
        <w:t xml:space="preserve"> zodat het aantrekken van opvorderbare gelden van anderen dan het publiek, zijnde professionele </w:t>
      </w:r>
      <w:r w:rsidR="00D416A6">
        <w:rPr>
          <w:rFonts w:cs="Arial"/>
          <w:sz w:val="18"/>
          <w:szCs w:val="18"/>
        </w:rPr>
        <w:t>markt</w:t>
      </w:r>
      <w:r>
        <w:rPr>
          <w:rFonts w:cs="Arial"/>
          <w:sz w:val="18"/>
          <w:szCs w:val="18"/>
        </w:rPr>
        <w:t>partijen, ongemoeid blijft.</w:t>
      </w:r>
    </w:p>
    <w:p w:rsidR="00453FB0" w:rsidP="00395DD3" w:rsidRDefault="00453FB0" w14:paraId="3682958F" w14:textId="77777777">
      <w:pPr>
        <w:widowControl w:val="0"/>
        <w:tabs>
          <w:tab w:val="num" w:pos="720"/>
        </w:tabs>
        <w:spacing w:line="240" w:lineRule="atLeast"/>
        <w:rPr>
          <w:rFonts w:cs="Arial"/>
          <w:sz w:val="18"/>
          <w:szCs w:val="18"/>
        </w:rPr>
      </w:pPr>
    </w:p>
    <w:p w:rsidR="00311C8A" w:rsidP="00311C8A" w:rsidRDefault="00453FB0" w14:paraId="5CBF5DBD" w14:textId="76541553">
      <w:pPr>
        <w:widowControl w:val="0"/>
        <w:tabs>
          <w:tab w:val="num" w:pos="720"/>
        </w:tabs>
        <w:spacing w:line="240" w:lineRule="atLeast"/>
        <w:rPr>
          <w:rFonts w:cs="Arial"/>
          <w:sz w:val="18"/>
          <w:szCs w:val="18"/>
        </w:rPr>
      </w:pPr>
      <w:r>
        <w:rPr>
          <w:rFonts w:cs="Arial"/>
          <w:sz w:val="18"/>
          <w:szCs w:val="18"/>
        </w:rPr>
        <w:t>De suggestie om d</w:t>
      </w:r>
      <w:r w:rsidR="00A07CB5">
        <w:rPr>
          <w:rFonts w:cs="Arial"/>
          <w:sz w:val="18"/>
          <w:szCs w:val="18"/>
        </w:rPr>
        <w:t xml:space="preserve">e zinsnede ‘van het publiek’ </w:t>
      </w:r>
      <w:r>
        <w:rPr>
          <w:rFonts w:cs="Arial"/>
          <w:sz w:val="18"/>
          <w:szCs w:val="18"/>
        </w:rPr>
        <w:t xml:space="preserve">toe te voegen aan artikel 2:20 </w:t>
      </w:r>
      <w:r w:rsidR="006C431A">
        <w:rPr>
          <w:rFonts w:cs="Arial"/>
          <w:sz w:val="18"/>
          <w:szCs w:val="18"/>
        </w:rPr>
        <w:t xml:space="preserve">Wft </w:t>
      </w:r>
      <w:r>
        <w:rPr>
          <w:rFonts w:cs="Arial"/>
          <w:sz w:val="18"/>
          <w:szCs w:val="18"/>
        </w:rPr>
        <w:t xml:space="preserve">miskent de reikwijdte en intentie van het derde land bijkantorenregime uit artikel 21 quater en 47 CRD. </w:t>
      </w:r>
      <w:r w:rsidR="007A1B87">
        <w:rPr>
          <w:rFonts w:cs="Arial"/>
          <w:sz w:val="18"/>
          <w:szCs w:val="18"/>
        </w:rPr>
        <w:t>De richtlijn beoogt duidelijk een bredere reikwijdte te hebben dan alleen het aantrekken van het publiek te reguleren</w:t>
      </w:r>
      <w:r w:rsidR="006C431A">
        <w:rPr>
          <w:rFonts w:cs="Arial"/>
          <w:sz w:val="18"/>
          <w:szCs w:val="18"/>
        </w:rPr>
        <w:t>.</w:t>
      </w:r>
      <w:r w:rsidR="005E339F">
        <w:rPr>
          <w:rStyle w:val="Voetnootmarkering"/>
          <w:rFonts w:cs="Arial"/>
          <w:sz w:val="18"/>
          <w:szCs w:val="18"/>
        </w:rPr>
        <w:footnoteReference w:id="70"/>
      </w:r>
      <w:r w:rsidR="006C431A">
        <w:rPr>
          <w:rFonts w:cs="Arial"/>
          <w:sz w:val="18"/>
          <w:szCs w:val="18"/>
        </w:rPr>
        <w:t xml:space="preserve"> </w:t>
      </w:r>
      <w:r w:rsidR="00C36F57">
        <w:rPr>
          <w:rFonts w:cs="Arial"/>
          <w:sz w:val="18"/>
          <w:szCs w:val="18"/>
        </w:rPr>
        <w:t>De richtlijn kent</w:t>
      </w:r>
      <w:r w:rsidR="00311C8A">
        <w:rPr>
          <w:rFonts w:cs="Arial"/>
          <w:sz w:val="18"/>
          <w:szCs w:val="18"/>
        </w:rPr>
        <w:t xml:space="preserve"> </w:t>
      </w:r>
      <w:r w:rsidR="00F061FA">
        <w:rPr>
          <w:rFonts w:cs="Arial"/>
          <w:sz w:val="18"/>
          <w:szCs w:val="18"/>
        </w:rPr>
        <w:t xml:space="preserve">slechts </w:t>
      </w:r>
      <w:r w:rsidR="006C431A">
        <w:rPr>
          <w:rFonts w:cs="Arial"/>
          <w:sz w:val="18"/>
          <w:szCs w:val="18"/>
        </w:rPr>
        <w:t>vier uitzonderingen</w:t>
      </w:r>
      <w:r w:rsidR="00F061FA">
        <w:rPr>
          <w:rFonts w:cs="Arial"/>
          <w:sz w:val="18"/>
          <w:szCs w:val="18"/>
        </w:rPr>
        <w:t xml:space="preserve"> hierop,</w:t>
      </w:r>
      <w:r w:rsidR="006C431A">
        <w:rPr>
          <w:rFonts w:cs="Arial"/>
          <w:sz w:val="18"/>
          <w:szCs w:val="18"/>
        </w:rPr>
        <w:t xml:space="preserve"> die in het voorgestelde artikel 2:20, tweede en derde lid, Wft zijn opgenomen</w:t>
      </w:r>
      <w:r w:rsidR="00311C8A">
        <w:rPr>
          <w:rFonts w:cs="Arial"/>
          <w:sz w:val="18"/>
          <w:szCs w:val="18"/>
        </w:rPr>
        <w:t>:</w:t>
      </w:r>
      <w:r w:rsidRPr="00311C8A" w:rsidR="005E339F">
        <w:rPr>
          <w:rFonts w:cs="Arial"/>
          <w:sz w:val="18"/>
          <w:szCs w:val="18"/>
        </w:rPr>
        <w:t xml:space="preserve"> </w:t>
      </w:r>
    </w:p>
    <w:p w:rsidRPr="00311C8A" w:rsidR="00311C8A" w:rsidP="00011C86" w:rsidRDefault="00F061FA" w14:paraId="550CE9F6" w14:textId="1AB9141D">
      <w:pPr>
        <w:pStyle w:val="Lijstalinea"/>
        <w:widowControl w:val="0"/>
        <w:numPr>
          <w:ilvl w:val="0"/>
          <w:numId w:val="36"/>
        </w:numPr>
        <w:tabs>
          <w:tab w:val="num" w:pos="720"/>
        </w:tabs>
        <w:spacing w:line="240" w:lineRule="atLeast"/>
        <w:rPr>
          <w:rFonts w:cs="Arial"/>
          <w:szCs w:val="18"/>
        </w:rPr>
      </w:pPr>
      <w:r>
        <w:rPr>
          <w:rFonts w:cs="Arial"/>
          <w:szCs w:val="18"/>
        </w:rPr>
        <w:t>de dienstverlening is</w:t>
      </w:r>
      <w:r w:rsidRPr="00311C8A">
        <w:rPr>
          <w:rFonts w:cs="Arial"/>
          <w:szCs w:val="18"/>
        </w:rPr>
        <w:t xml:space="preserve"> </w:t>
      </w:r>
      <w:r w:rsidRPr="00311C8A" w:rsidR="006C431A">
        <w:rPr>
          <w:rFonts w:cs="Arial"/>
          <w:szCs w:val="18"/>
        </w:rPr>
        <w:t>op exclusief eigen verzoek van de in Nederland gevestigde onderneming</w:t>
      </w:r>
      <w:r>
        <w:rPr>
          <w:rFonts w:cs="Arial"/>
          <w:szCs w:val="18"/>
        </w:rPr>
        <w:t>,</w:t>
      </w:r>
      <w:r w:rsidRPr="00311C8A" w:rsidR="006C431A">
        <w:rPr>
          <w:rFonts w:cs="Arial"/>
          <w:szCs w:val="18"/>
        </w:rPr>
        <w:t xml:space="preserve"> onder de zogeheten </w:t>
      </w:r>
      <w:r w:rsidRPr="00311C8A" w:rsidR="006C431A">
        <w:rPr>
          <w:rFonts w:cs="Arial"/>
          <w:i/>
          <w:iCs/>
          <w:szCs w:val="18"/>
        </w:rPr>
        <w:t>reverse solicitation</w:t>
      </w:r>
      <w:r w:rsidRPr="00311C8A" w:rsidR="006C431A">
        <w:rPr>
          <w:rFonts w:cs="Arial"/>
          <w:szCs w:val="18"/>
        </w:rPr>
        <w:t xml:space="preserve"> uitzondering, </w:t>
      </w:r>
    </w:p>
    <w:p w:rsidRPr="00311C8A" w:rsidR="00311C8A" w:rsidP="00011C86" w:rsidRDefault="006C431A" w14:paraId="7CAB227F" w14:textId="09002D7A">
      <w:pPr>
        <w:pStyle w:val="Lijstalinea"/>
        <w:widowControl w:val="0"/>
        <w:numPr>
          <w:ilvl w:val="0"/>
          <w:numId w:val="36"/>
        </w:numPr>
        <w:tabs>
          <w:tab w:val="num" w:pos="720"/>
        </w:tabs>
        <w:spacing w:line="240" w:lineRule="atLeast"/>
        <w:rPr>
          <w:rFonts w:cs="Arial"/>
          <w:szCs w:val="18"/>
        </w:rPr>
      </w:pPr>
      <w:r w:rsidRPr="00311C8A">
        <w:rPr>
          <w:rFonts w:cs="Arial"/>
          <w:szCs w:val="18"/>
        </w:rPr>
        <w:t xml:space="preserve">de onderneming in een staat die geen lidstaat is een bank </w:t>
      </w:r>
      <w:r w:rsidR="00F061FA">
        <w:rPr>
          <w:rFonts w:cs="Arial"/>
          <w:szCs w:val="18"/>
        </w:rPr>
        <w:t>die</w:t>
      </w:r>
      <w:r w:rsidRPr="00311C8A">
        <w:rPr>
          <w:rFonts w:cs="Arial"/>
          <w:szCs w:val="18"/>
        </w:rPr>
        <w:t xml:space="preserve"> opvorderbare gelden aantrekt van een bank, </w:t>
      </w:r>
    </w:p>
    <w:p w:rsidR="00311C8A" w:rsidP="00011C86" w:rsidRDefault="006C431A" w14:paraId="2D0C47F3" w14:textId="50C7159D">
      <w:pPr>
        <w:pStyle w:val="Lijstalinea"/>
        <w:widowControl w:val="0"/>
        <w:numPr>
          <w:ilvl w:val="0"/>
          <w:numId w:val="36"/>
        </w:numPr>
        <w:spacing w:line="240" w:lineRule="atLeast"/>
        <w:rPr>
          <w:rFonts w:cs="Arial"/>
          <w:szCs w:val="18"/>
        </w:rPr>
      </w:pPr>
      <w:r w:rsidRPr="00311C8A">
        <w:rPr>
          <w:rFonts w:cs="Arial"/>
          <w:szCs w:val="18"/>
        </w:rPr>
        <w:t>de onderneming in Nederland</w:t>
      </w:r>
      <w:r w:rsidR="00F061FA">
        <w:rPr>
          <w:rFonts w:cs="Arial"/>
          <w:szCs w:val="18"/>
        </w:rPr>
        <w:t xml:space="preserve"> waaraan de dienstverlening plaatsvindt</w:t>
      </w:r>
      <w:r w:rsidRPr="00311C8A">
        <w:rPr>
          <w:rFonts w:cs="Arial"/>
          <w:szCs w:val="18"/>
        </w:rPr>
        <w:t xml:space="preserve"> behoort tot dezelfde groep als de opvorderbare gelden aantrekkende onderneming in een staat die geen lidstaat is, of</w:t>
      </w:r>
    </w:p>
    <w:p w:rsidR="00311C8A" w:rsidP="00011C86" w:rsidRDefault="006C431A" w14:paraId="342906E8" w14:textId="3F802CB0">
      <w:pPr>
        <w:pStyle w:val="Lijstalinea"/>
        <w:widowControl w:val="0"/>
        <w:numPr>
          <w:ilvl w:val="0"/>
          <w:numId w:val="36"/>
        </w:numPr>
        <w:spacing w:line="240" w:lineRule="atLeast"/>
        <w:rPr>
          <w:rFonts w:cs="Arial"/>
          <w:szCs w:val="18"/>
        </w:rPr>
      </w:pPr>
      <w:r w:rsidRPr="00311C8A">
        <w:rPr>
          <w:rFonts w:cs="Arial"/>
          <w:szCs w:val="18"/>
        </w:rPr>
        <w:t xml:space="preserve">het aantrekken van opvorderbare gelden </w:t>
      </w:r>
      <w:r w:rsidR="00F061FA">
        <w:rPr>
          <w:rFonts w:cs="Arial"/>
          <w:szCs w:val="18"/>
        </w:rPr>
        <w:t xml:space="preserve">is </w:t>
      </w:r>
      <w:r w:rsidRPr="00311C8A">
        <w:rPr>
          <w:rFonts w:cs="Arial"/>
          <w:szCs w:val="18"/>
        </w:rPr>
        <w:t xml:space="preserve">direct gerelateerd aan de verrichting van de in bijlage I, deel A of B, van </w:t>
      </w:r>
      <w:r w:rsidR="00C91995">
        <w:rPr>
          <w:rFonts w:cs="Arial"/>
          <w:szCs w:val="18"/>
        </w:rPr>
        <w:t>MiFID II</w:t>
      </w:r>
      <w:r w:rsidRPr="00311C8A">
        <w:rPr>
          <w:rFonts w:cs="Arial"/>
          <w:szCs w:val="18"/>
        </w:rPr>
        <w:t xml:space="preserve"> genoemde </w:t>
      </w:r>
      <w:r w:rsidR="00C91995">
        <w:rPr>
          <w:rFonts w:cs="Arial"/>
          <w:szCs w:val="18"/>
        </w:rPr>
        <w:t xml:space="preserve">diensten en </w:t>
      </w:r>
      <w:r w:rsidRPr="00311C8A">
        <w:rPr>
          <w:rFonts w:cs="Arial"/>
          <w:szCs w:val="18"/>
        </w:rPr>
        <w:t xml:space="preserve">activiteiten. </w:t>
      </w:r>
    </w:p>
    <w:p w:rsidRPr="00311C8A" w:rsidR="006C431A" w:rsidP="00311C8A" w:rsidRDefault="006C431A" w14:paraId="0F330AA3" w14:textId="7E434ACD">
      <w:pPr>
        <w:widowControl w:val="0"/>
        <w:tabs>
          <w:tab w:val="num" w:pos="720"/>
        </w:tabs>
        <w:spacing w:line="240" w:lineRule="atLeast"/>
        <w:rPr>
          <w:rFonts w:cs="Arial"/>
          <w:sz w:val="18"/>
          <w:szCs w:val="18"/>
        </w:rPr>
      </w:pPr>
      <w:r w:rsidRPr="00311C8A">
        <w:rPr>
          <w:rFonts w:cs="Arial"/>
          <w:sz w:val="18"/>
          <w:szCs w:val="18"/>
        </w:rPr>
        <w:t>Alleen in de</w:t>
      </w:r>
      <w:r w:rsidR="00011C86">
        <w:rPr>
          <w:rFonts w:cs="Arial"/>
          <w:sz w:val="18"/>
          <w:szCs w:val="18"/>
        </w:rPr>
        <w:t xml:space="preserve"> vier</w:t>
      </w:r>
      <w:r w:rsidRPr="00311C8A">
        <w:rPr>
          <w:rFonts w:cs="Arial"/>
          <w:sz w:val="18"/>
          <w:szCs w:val="18"/>
        </w:rPr>
        <w:t xml:space="preserve"> specifieke gevallen</w:t>
      </w:r>
      <w:r w:rsidR="00011C86">
        <w:rPr>
          <w:rFonts w:cs="Arial"/>
          <w:sz w:val="18"/>
          <w:szCs w:val="18"/>
        </w:rPr>
        <w:t xml:space="preserve"> hierboven genoemd</w:t>
      </w:r>
      <w:r w:rsidRPr="00311C8A">
        <w:rPr>
          <w:rFonts w:cs="Arial"/>
          <w:sz w:val="18"/>
          <w:szCs w:val="18"/>
        </w:rPr>
        <w:t xml:space="preserve"> is het niet nodig om een derde</w:t>
      </w:r>
      <w:r w:rsidRPr="00311C8A" w:rsidR="005E339F">
        <w:rPr>
          <w:rFonts w:cs="Arial"/>
          <w:sz w:val="18"/>
          <w:szCs w:val="18"/>
        </w:rPr>
        <w:t xml:space="preserve"> </w:t>
      </w:r>
      <w:r w:rsidRPr="00311C8A">
        <w:rPr>
          <w:rFonts w:cs="Arial"/>
          <w:sz w:val="18"/>
          <w:szCs w:val="18"/>
        </w:rPr>
        <w:t>land bijkantoor te vestigen</w:t>
      </w:r>
      <w:r w:rsidR="00011C86">
        <w:rPr>
          <w:rFonts w:cs="Arial"/>
          <w:sz w:val="18"/>
          <w:szCs w:val="18"/>
        </w:rPr>
        <w:t xml:space="preserve"> en een vergunning te verkrijgen</w:t>
      </w:r>
      <w:r w:rsidRPr="00311C8A">
        <w:rPr>
          <w:rFonts w:cs="Arial"/>
          <w:sz w:val="18"/>
          <w:szCs w:val="18"/>
        </w:rPr>
        <w:t>.</w:t>
      </w:r>
    </w:p>
    <w:p w:rsidR="00D71193" w:rsidP="00395DD3" w:rsidRDefault="00D71193" w14:paraId="37464DFA" w14:textId="77777777">
      <w:pPr>
        <w:widowControl w:val="0"/>
        <w:tabs>
          <w:tab w:val="num" w:pos="720"/>
        </w:tabs>
        <w:spacing w:line="240" w:lineRule="atLeast"/>
        <w:rPr>
          <w:rFonts w:cs="Arial"/>
          <w:sz w:val="18"/>
          <w:szCs w:val="18"/>
        </w:rPr>
      </w:pPr>
    </w:p>
    <w:p w:rsidR="00D71193" w:rsidP="00395DD3" w:rsidRDefault="00011C86" w14:paraId="3F52E88C" w14:textId="31489010">
      <w:pPr>
        <w:widowControl w:val="0"/>
        <w:tabs>
          <w:tab w:val="num" w:pos="720"/>
        </w:tabs>
        <w:spacing w:line="240" w:lineRule="atLeast"/>
        <w:rPr>
          <w:rFonts w:cs="Arial"/>
          <w:sz w:val="18"/>
          <w:szCs w:val="18"/>
        </w:rPr>
      </w:pPr>
      <w:r>
        <w:rPr>
          <w:rFonts w:cs="Arial"/>
          <w:sz w:val="18"/>
          <w:szCs w:val="18"/>
        </w:rPr>
        <w:t xml:space="preserve">Om de samenhang tussen </w:t>
      </w:r>
      <w:r w:rsidR="00F061FA">
        <w:rPr>
          <w:rFonts w:cs="Arial"/>
          <w:sz w:val="18"/>
          <w:szCs w:val="18"/>
        </w:rPr>
        <w:t>het derde land bijkantorenregime (artikel</w:t>
      </w:r>
      <w:r>
        <w:rPr>
          <w:rFonts w:cs="Arial"/>
          <w:sz w:val="18"/>
          <w:szCs w:val="18"/>
        </w:rPr>
        <w:t xml:space="preserve"> 2:20</w:t>
      </w:r>
      <w:r w:rsidR="00F061FA">
        <w:rPr>
          <w:rFonts w:cs="Arial"/>
          <w:sz w:val="18"/>
          <w:szCs w:val="18"/>
        </w:rPr>
        <w:t>)</w:t>
      </w:r>
      <w:r>
        <w:rPr>
          <w:rFonts w:cs="Arial"/>
          <w:sz w:val="18"/>
          <w:szCs w:val="18"/>
        </w:rPr>
        <w:t xml:space="preserve"> en</w:t>
      </w:r>
      <w:r w:rsidR="00F061FA">
        <w:rPr>
          <w:rFonts w:cs="Arial"/>
          <w:sz w:val="18"/>
          <w:szCs w:val="18"/>
        </w:rPr>
        <w:t xml:space="preserve"> het verbod op het aantrekken van opvorderbare gelden (artikel</w:t>
      </w:r>
      <w:r>
        <w:rPr>
          <w:rFonts w:cs="Arial"/>
          <w:sz w:val="18"/>
          <w:szCs w:val="18"/>
        </w:rPr>
        <w:t xml:space="preserve"> 3:5</w:t>
      </w:r>
      <w:r w:rsidR="00F061FA">
        <w:rPr>
          <w:rFonts w:cs="Arial"/>
          <w:sz w:val="18"/>
          <w:szCs w:val="18"/>
        </w:rPr>
        <w:t xml:space="preserve"> Wft)</w:t>
      </w:r>
      <w:r>
        <w:rPr>
          <w:rFonts w:cs="Arial"/>
          <w:sz w:val="18"/>
          <w:szCs w:val="18"/>
        </w:rPr>
        <w:t xml:space="preserve"> te verbeteren is artikel 3:5 aangepast. </w:t>
      </w:r>
      <w:r w:rsidR="00F061FA">
        <w:rPr>
          <w:rFonts w:cs="Arial"/>
          <w:sz w:val="18"/>
          <w:szCs w:val="18"/>
        </w:rPr>
        <w:t>Hierbij is verduidelijkt</w:t>
      </w:r>
      <w:r w:rsidR="005E339F">
        <w:rPr>
          <w:rFonts w:cs="Arial"/>
          <w:sz w:val="18"/>
          <w:szCs w:val="18"/>
        </w:rPr>
        <w:t xml:space="preserve"> dat</w:t>
      </w:r>
      <w:r w:rsidR="00F061FA">
        <w:rPr>
          <w:rFonts w:cs="Arial"/>
          <w:sz w:val="18"/>
          <w:szCs w:val="18"/>
        </w:rPr>
        <w:t>,</w:t>
      </w:r>
      <w:r w:rsidR="005E339F">
        <w:rPr>
          <w:rFonts w:cs="Arial"/>
          <w:sz w:val="18"/>
          <w:szCs w:val="18"/>
        </w:rPr>
        <w:t xml:space="preserve"> behoudens het </w:t>
      </w:r>
      <w:r>
        <w:rPr>
          <w:rFonts w:cs="Arial"/>
          <w:sz w:val="18"/>
          <w:szCs w:val="18"/>
        </w:rPr>
        <w:t xml:space="preserve">vestigen van een derdeland </w:t>
      </w:r>
      <w:r w:rsidR="005E339F">
        <w:rPr>
          <w:rFonts w:cs="Arial"/>
          <w:sz w:val="18"/>
          <w:szCs w:val="18"/>
        </w:rPr>
        <w:t>bijkantoor</w:t>
      </w:r>
      <w:r>
        <w:rPr>
          <w:rFonts w:cs="Arial"/>
          <w:sz w:val="18"/>
          <w:szCs w:val="18"/>
        </w:rPr>
        <w:t xml:space="preserve"> met bijbehorende vergunning</w:t>
      </w:r>
      <w:r w:rsidR="005E339F">
        <w:rPr>
          <w:rFonts w:cs="Arial"/>
          <w:sz w:val="18"/>
          <w:szCs w:val="18"/>
        </w:rPr>
        <w:t xml:space="preserve"> of </w:t>
      </w:r>
      <w:r>
        <w:rPr>
          <w:rFonts w:cs="Arial"/>
          <w:sz w:val="18"/>
          <w:szCs w:val="18"/>
        </w:rPr>
        <w:t>een van de vier</w:t>
      </w:r>
      <w:r w:rsidR="005E339F">
        <w:rPr>
          <w:rFonts w:cs="Arial"/>
          <w:sz w:val="18"/>
          <w:szCs w:val="18"/>
        </w:rPr>
        <w:t xml:space="preserve"> uitzondering</w:t>
      </w:r>
      <w:r w:rsidR="00F061FA">
        <w:rPr>
          <w:rFonts w:cs="Arial"/>
          <w:sz w:val="18"/>
          <w:szCs w:val="18"/>
        </w:rPr>
        <w:t>sgevallen uit de richtlijn,</w:t>
      </w:r>
      <w:r w:rsidR="005E339F">
        <w:rPr>
          <w:rFonts w:cs="Arial"/>
          <w:sz w:val="18"/>
          <w:szCs w:val="18"/>
        </w:rPr>
        <w:t xml:space="preserve"> het niet meer mogelijk is voor ondernemingen uit een staat die geen lidstaat is </w:t>
      </w:r>
      <w:r>
        <w:rPr>
          <w:rFonts w:cs="Arial"/>
          <w:sz w:val="18"/>
          <w:szCs w:val="18"/>
        </w:rPr>
        <w:t xml:space="preserve">om </w:t>
      </w:r>
      <w:r w:rsidR="005E339F">
        <w:rPr>
          <w:rFonts w:cs="Arial"/>
          <w:sz w:val="18"/>
          <w:szCs w:val="18"/>
        </w:rPr>
        <w:t>opvorderbare gelden aan</w:t>
      </w:r>
      <w:r w:rsidR="00F061FA">
        <w:rPr>
          <w:rFonts w:cs="Arial"/>
          <w:sz w:val="18"/>
          <w:szCs w:val="18"/>
        </w:rPr>
        <w:t xml:space="preserve"> </w:t>
      </w:r>
      <w:r w:rsidR="00F061FA">
        <w:rPr>
          <w:rFonts w:cs="Arial"/>
          <w:sz w:val="18"/>
          <w:szCs w:val="18"/>
        </w:rPr>
        <w:lastRenderedPageBreak/>
        <w:t xml:space="preserve">te </w:t>
      </w:r>
      <w:r w:rsidR="005E339F">
        <w:rPr>
          <w:rFonts w:cs="Arial"/>
          <w:sz w:val="18"/>
          <w:szCs w:val="18"/>
        </w:rPr>
        <w:t>trekken</w:t>
      </w:r>
      <w:r w:rsidR="00F061FA">
        <w:rPr>
          <w:rFonts w:cs="Arial"/>
          <w:sz w:val="18"/>
          <w:szCs w:val="18"/>
        </w:rPr>
        <w:t xml:space="preserve"> van professionele markt</w:t>
      </w:r>
      <w:r w:rsidR="00D913E7">
        <w:rPr>
          <w:rFonts w:cs="Arial"/>
          <w:sz w:val="18"/>
          <w:szCs w:val="18"/>
        </w:rPr>
        <w:t>partijen</w:t>
      </w:r>
      <w:r w:rsidR="00F061FA">
        <w:rPr>
          <w:rFonts w:cs="Arial"/>
          <w:sz w:val="18"/>
          <w:szCs w:val="18"/>
        </w:rPr>
        <w:t xml:space="preserve"> in Nederland</w:t>
      </w:r>
      <w:r w:rsidR="005E339F">
        <w:rPr>
          <w:rFonts w:cs="Arial"/>
          <w:sz w:val="18"/>
          <w:szCs w:val="18"/>
        </w:rPr>
        <w:t>.</w:t>
      </w:r>
    </w:p>
    <w:p w:rsidRPr="006C431A" w:rsidR="00380522" w:rsidP="00395DD3" w:rsidRDefault="00380522" w14:paraId="435015A3" w14:textId="77777777">
      <w:pPr>
        <w:widowControl w:val="0"/>
        <w:tabs>
          <w:tab w:val="num" w:pos="720"/>
        </w:tabs>
        <w:spacing w:line="240" w:lineRule="atLeast"/>
        <w:rPr>
          <w:rFonts w:cs="Arial"/>
          <w:sz w:val="18"/>
          <w:szCs w:val="18"/>
        </w:rPr>
      </w:pPr>
    </w:p>
    <w:p w:rsidRPr="000C75E7" w:rsidR="00A07CB5" w:rsidP="00395DD3" w:rsidRDefault="00A07CB5" w14:paraId="17E46171" w14:textId="1D7F6788">
      <w:pPr>
        <w:widowControl w:val="0"/>
        <w:tabs>
          <w:tab w:val="num" w:pos="720"/>
        </w:tabs>
        <w:spacing w:line="240" w:lineRule="atLeast"/>
        <w:rPr>
          <w:rFonts w:cs="Arial"/>
          <w:i/>
          <w:iCs/>
          <w:sz w:val="18"/>
          <w:szCs w:val="18"/>
        </w:rPr>
      </w:pPr>
      <w:r w:rsidRPr="00380522">
        <w:rPr>
          <w:rFonts w:cs="Arial"/>
          <w:i/>
          <w:iCs/>
          <w:sz w:val="18"/>
          <w:szCs w:val="18"/>
        </w:rPr>
        <w:t>7.1.</w:t>
      </w:r>
      <w:r w:rsidR="00380522">
        <w:rPr>
          <w:rFonts w:cs="Arial"/>
          <w:i/>
          <w:iCs/>
          <w:sz w:val="18"/>
          <w:szCs w:val="18"/>
        </w:rPr>
        <w:t>2</w:t>
      </w:r>
      <w:r w:rsidRPr="00380522">
        <w:rPr>
          <w:rFonts w:cs="Arial"/>
          <w:i/>
          <w:iCs/>
          <w:sz w:val="18"/>
          <w:szCs w:val="18"/>
        </w:rPr>
        <w:t xml:space="preserve"> </w:t>
      </w:r>
      <w:r w:rsidRPr="000C75E7">
        <w:rPr>
          <w:rFonts w:cs="Arial"/>
          <w:i/>
          <w:iCs/>
          <w:sz w:val="18"/>
          <w:szCs w:val="18"/>
        </w:rPr>
        <w:t>Aantrekken van opvorderbare gelden door aanbieding van effecten</w:t>
      </w:r>
    </w:p>
    <w:p w:rsidR="00D27451" w:rsidP="00D27451" w:rsidRDefault="00A07CB5" w14:paraId="73B6EDF5" w14:textId="4DFAD3A1">
      <w:pPr>
        <w:widowControl w:val="0"/>
        <w:tabs>
          <w:tab w:val="num" w:pos="720"/>
        </w:tabs>
        <w:spacing w:line="240" w:lineRule="atLeast"/>
        <w:rPr>
          <w:rFonts w:cs="Arial"/>
          <w:sz w:val="18"/>
          <w:szCs w:val="18"/>
        </w:rPr>
      </w:pPr>
      <w:r w:rsidRPr="000C75E7">
        <w:rPr>
          <w:rFonts w:cs="Arial"/>
          <w:sz w:val="18"/>
          <w:szCs w:val="18"/>
        </w:rPr>
        <w:t xml:space="preserve">Artikel 3:5, tweede lid, onderdeel d, </w:t>
      </w:r>
      <w:r w:rsidR="00771E3E">
        <w:rPr>
          <w:rFonts w:cs="Arial"/>
          <w:sz w:val="18"/>
          <w:szCs w:val="18"/>
        </w:rPr>
        <w:t xml:space="preserve">Wft </w:t>
      </w:r>
      <w:r w:rsidRPr="000C75E7">
        <w:rPr>
          <w:rFonts w:cs="Arial"/>
          <w:sz w:val="18"/>
          <w:szCs w:val="18"/>
        </w:rPr>
        <w:t xml:space="preserve">bevat een uitzondering op het verbod </w:t>
      </w:r>
      <w:r w:rsidR="00F061FA">
        <w:rPr>
          <w:rFonts w:cs="Arial"/>
          <w:sz w:val="18"/>
          <w:szCs w:val="18"/>
        </w:rPr>
        <w:t>op</w:t>
      </w:r>
      <w:r w:rsidRPr="000C75E7" w:rsidR="00F061FA">
        <w:rPr>
          <w:rFonts w:cs="Arial"/>
          <w:sz w:val="18"/>
          <w:szCs w:val="18"/>
        </w:rPr>
        <w:t xml:space="preserve"> </w:t>
      </w:r>
      <w:r w:rsidRPr="000C75E7">
        <w:rPr>
          <w:rFonts w:cs="Arial"/>
          <w:sz w:val="18"/>
          <w:szCs w:val="18"/>
        </w:rPr>
        <w:t>het aantrekken van opvorderbare gelden van het publiek</w:t>
      </w:r>
      <w:r w:rsidR="00F061FA">
        <w:rPr>
          <w:rFonts w:cs="Arial"/>
          <w:sz w:val="18"/>
          <w:szCs w:val="18"/>
        </w:rPr>
        <w:t>,</w:t>
      </w:r>
      <w:r w:rsidRPr="000C75E7">
        <w:rPr>
          <w:rFonts w:cs="Arial"/>
          <w:sz w:val="18"/>
          <w:szCs w:val="18"/>
        </w:rPr>
        <w:t xml:space="preserve"> als dat plaatsvindt door het aanbieden van effecten. Finnius merkt op dat onduidelijk is of deze uitzondering blijft gelden voor ondernemingen uit een staat die geen lidstaat is nu dit in essentie leidt tot het aantrekken van opvorderbare gelden.</w:t>
      </w:r>
      <w:r w:rsidR="00D27451">
        <w:rPr>
          <w:rFonts w:cs="Arial"/>
          <w:sz w:val="18"/>
          <w:szCs w:val="18"/>
        </w:rPr>
        <w:t xml:space="preserve"> </w:t>
      </w:r>
    </w:p>
    <w:p w:rsidR="00D27451" w:rsidP="00D27451" w:rsidRDefault="00D27451" w14:paraId="31435ED7" w14:textId="77777777">
      <w:pPr>
        <w:widowControl w:val="0"/>
        <w:tabs>
          <w:tab w:val="num" w:pos="720"/>
        </w:tabs>
        <w:spacing w:line="240" w:lineRule="atLeast"/>
        <w:rPr>
          <w:rFonts w:cs="Arial"/>
          <w:sz w:val="18"/>
          <w:szCs w:val="18"/>
        </w:rPr>
      </w:pPr>
    </w:p>
    <w:p w:rsidR="00C75D11" w:rsidP="00D27451" w:rsidRDefault="00D27451" w14:paraId="5F7C88BC" w14:textId="5D9FE7AE">
      <w:pPr>
        <w:widowControl w:val="0"/>
        <w:tabs>
          <w:tab w:val="num" w:pos="720"/>
        </w:tabs>
        <w:spacing w:line="240" w:lineRule="atLeast"/>
        <w:rPr>
          <w:rFonts w:cs="Arial"/>
          <w:sz w:val="18"/>
          <w:szCs w:val="18"/>
        </w:rPr>
      </w:pPr>
      <w:r>
        <w:rPr>
          <w:rFonts w:cs="Arial"/>
          <w:sz w:val="18"/>
          <w:szCs w:val="18"/>
        </w:rPr>
        <w:t>Artikel 28 van de prospectusverordening</w:t>
      </w:r>
      <w:r w:rsidR="00771E3E">
        <w:rPr>
          <w:rStyle w:val="Voetnootmarkering"/>
          <w:rFonts w:cs="Arial"/>
          <w:sz w:val="18"/>
          <w:szCs w:val="18"/>
        </w:rPr>
        <w:footnoteReference w:id="71"/>
      </w:r>
      <w:r>
        <w:rPr>
          <w:rFonts w:cs="Arial"/>
          <w:sz w:val="18"/>
          <w:szCs w:val="18"/>
        </w:rPr>
        <w:t xml:space="preserve"> voorziet in de mogelijkheid voor ondernemingen uit staten die geen lidstaat zijn om effecten aan te bieden in de EU, zolang de aanbieding geschiedt middels een prospectus die voldoet aan de vereisten van de prospectusverordening. </w:t>
      </w:r>
      <w:r w:rsidR="00327925">
        <w:rPr>
          <w:rFonts w:cs="Arial"/>
          <w:sz w:val="18"/>
          <w:szCs w:val="18"/>
        </w:rPr>
        <w:t>Om consistentie met de prospectusverordening te waarborgen is de uitzondering bedoeld in artikel 3:5, tweede lid, onderdeel d, Wft ook opgenomen in artikel 2:20, eerste lid, onderdeel a, Wft</w:t>
      </w:r>
      <w:r w:rsidR="00F24CCB">
        <w:rPr>
          <w:rFonts w:cs="Arial"/>
          <w:sz w:val="18"/>
          <w:szCs w:val="18"/>
        </w:rPr>
        <w:t>,</w:t>
      </w:r>
      <w:r w:rsidR="00327925">
        <w:rPr>
          <w:rFonts w:cs="Arial"/>
          <w:sz w:val="18"/>
          <w:szCs w:val="18"/>
        </w:rPr>
        <w:t xml:space="preserve"> om duidelijk te maken dat het aanbieden van effecten er niet toe moet leiden dat een onderneming uit een staat die geen lidstaat is een derde land bijkantoor moet vestigen. </w:t>
      </w:r>
    </w:p>
    <w:p w:rsidR="00C75D11" w:rsidP="00395DD3" w:rsidRDefault="00C75D11" w14:paraId="4E9466B4" w14:textId="77777777">
      <w:pPr>
        <w:widowControl w:val="0"/>
        <w:tabs>
          <w:tab w:val="num" w:pos="720"/>
        </w:tabs>
        <w:spacing w:line="240" w:lineRule="atLeast"/>
        <w:rPr>
          <w:rFonts w:cs="Arial"/>
          <w:sz w:val="18"/>
          <w:szCs w:val="18"/>
        </w:rPr>
      </w:pPr>
    </w:p>
    <w:p w:rsidR="008920FB" w:rsidP="00395DD3" w:rsidRDefault="00A07CB5" w14:paraId="79A3EB00" w14:textId="637CD937">
      <w:pPr>
        <w:widowControl w:val="0"/>
        <w:tabs>
          <w:tab w:val="num" w:pos="720"/>
        </w:tabs>
        <w:spacing w:line="240" w:lineRule="atLeast"/>
        <w:rPr>
          <w:rFonts w:cs="Arial"/>
          <w:sz w:val="18"/>
          <w:szCs w:val="18"/>
        </w:rPr>
      </w:pPr>
      <w:r>
        <w:rPr>
          <w:rFonts w:cs="Arial"/>
          <w:i/>
          <w:iCs/>
          <w:sz w:val="18"/>
          <w:szCs w:val="18"/>
        </w:rPr>
        <w:t>7.1.</w:t>
      </w:r>
      <w:r w:rsidR="00380522">
        <w:rPr>
          <w:rFonts w:cs="Arial"/>
          <w:i/>
          <w:iCs/>
          <w:sz w:val="18"/>
          <w:szCs w:val="18"/>
        </w:rPr>
        <w:t>3</w:t>
      </w:r>
      <w:r>
        <w:rPr>
          <w:rFonts w:cs="Arial"/>
          <w:i/>
          <w:iCs/>
          <w:sz w:val="18"/>
          <w:szCs w:val="18"/>
        </w:rPr>
        <w:t xml:space="preserve"> </w:t>
      </w:r>
      <w:r w:rsidR="008920FB">
        <w:rPr>
          <w:rFonts w:cs="Arial"/>
          <w:i/>
          <w:iCs/>
          <w:sz w:val="18"/>
          <w:szCs w:val="18"/>
        </w:rPr>
        <w:t>MiFID</w:t>
      </w:r>
      <w:r w:rsidR="00C62671">
        <w:rPr>
          <w:rFonts w:cs="Arial"/>
          <w:i/>
          <w:iCs/>
          <w:sz w:val="18"/>
          <w:szCs w:val="18"/>
        </w:rPr>
        <w:t xml:space="preserve"> II</w:t>
      </w:r>
      <w:r w:rsidR="008920FB">
        <w:rPr>
          <w:rFonts w:cs="Arial"/>
          <w:i/>
          <w:iCs/>
          <w:sz w:val="18"/>
          <w:szCs w:val="18"/>
        </w:rPr>
        <w:t>-uitzondering op 2:20</w:t>
      </w:r>
    </w:p>
    <w:p w:rsidR="00D05352" w:rsidP="00395DD3" w:rsidRDefault="00F11CC7" w14:paraId="0A1FA3EF" w14:textId="6C788475">
      <w:pPr>
        <w:widowControl w:val="0"/>
        <w:tabs>
          <w:tab w:val="num" w:pos="720"/>
        </w:tabs>
        <w:spacing w:line="240" w:lineRule="atLeast"/>
        <w:rPr>
          <w:rFonts w:cs="Arial"/>
          <w:sz w:val="18"/>
          <w:szCs w:val="18"/>
        </w:rPr>
      </w:pPr>
      <w:r>
        <w:rPr>
          <w:rFonts w:cs="Arial"/>
          <w:sz w:val="18"/>
          <w:szCs w:val="18"/>
        </w:rPr>
        <w:t>BPI/LMA merkt op dat de</w:t>
      </w:r>
      <w:r w:rsidR="00385727">
        <w:rPr>
          <w:rFonts w:cs="Arial"/>
          <w:sz w:val="18"/>
          <w:szCs w:val="18"/>
        </w:rPr>
        <w:t xml:space="preserve"> </w:t>
      </w:r>
      <w:r>
        <w:rPr>
          <w:rFonts w:cs="Arial"/>
          <w:sz w:val="18"/>
          <w:szCs w:val="18"/>
        </w:rPr>
        <w:t xml:space="preserve">uitzondering </w:t>
      </w:r>
      <w:r w:rsidR="00F061FA">
        <w:rPr>
          <w:rFonts w:cs="Arial"/>
          <w:sz w:val="18"/>
          <w:szCs w:val="18"/>
        </w:rPr>
        <w:t>voor</w:t>
      </w:r>
      <w:r>
        <w:rPr>
          <w:rFonts w:cs="Arial"/>
          <w:sz w:val="18"/>
          <w:szCs w:val="18"/>
        </w:rPr>
        <w:t xml:space="preserve"> diensten die worden </w:t>
      </w:r>
      <w:r w:rsidR="00F061FA">
        <w:rPr>
          <w:rFonts w:cs="Arial"/>
          <w:sz w:val="18"/>
          <w:szCs w:val="18"/>
        </w:rPr>
        <w:t xml:space="preserve">verleend </w:t>
      </w:r>
      <w:r>
        <w:rPr>
          <w:rFonts w:cs="Arial"/>
          <w:sz w:val="18"/>
          <w:szCs w:val="18"/>
        </w:rPr>
        <w:t>in het kader van de zogenoemde MiFID</w:t>
      </w:r>
      <w:r w:rsidR="00C62671">
        <w:rPr>
          <w:rFonts w:cs="Arial"/>
          <w:sz w:val="18"/>
          <w:szCs w:val="18"/>
        </w:rPr>
        <w:t xml:space="preserve"> II</w:t>
      </w:r>
      <w:r>
        <w:rPr>
          <w:rFonts w:cs="Arial"/>
          <w:sz w:val="18"/>
          <w:szCs w:val="18"/>
        </w:rPr>
        <w:t xml:space="preserve">-diensten, nauwer geformuleerd lijkt dan in de tekst van de richtlijn is opgenomen. Dit komt met name door de verwijzing naar dat de dienstverlening van de diensten 1, 2 of </w:t>
      </w:r>
      <w:r w:rsidRPr="00F11CC7">
        <w:rPr>
          <w:rFonts w:cs="Arial"/>
          <w:sz w:val="18"/>
          <w:szCs w:val="18"/>
        </w:rPr>
        <w:t xml:space="preserve">6 </w:t>
      </w:r>
      <w:r w:rsidRPr="00F11CC7">
        <w:rPr>
          <w:rFonts w:cs="Arial"/>
          <w:i/>
          <w:iCs/>
          <w:sz w:val="18"/>
          <w:szCs w:val="18"/>
        </w:rPr>
        <w:t>direct gerelateerd aan de verlening en noodzakelijk moeten zijn voor de verlening</w:t>
      </w:r>
      <w:r w:rsidRPr="00380522">
        <w:rPr>
          <w:i/>
          <w:iCs/>
          <w:sz w:val="18"/>
          <w:szCs w:val="18"/>
        </w:rPr>
        <w:t xml:space="preserve"> </w:t>
      </w:r>
      <w:r w:rsidRPr="00380522">
        <w:rPr>
          <w:sz w:val="18"/>
          <w:szCs w:val="18"/>
        </w:rPr>
        <w:t xml:space="preserve">van de </w:t>
      </w:r>
      <w:r w:rsidR="00C91995">
        <w:rPr>
          <w:sz w:val="18"/>
          <w:szCs w:val="18"/>
        </w:rPr>
        <w:t>in bijlage I, deel A en B, genoemde MiFID II-</w:t>
      </w:r>
      <w:r w:rsidRPr="00380522">
        <w:rPr>
          <w:sz w:val="18"/>
          <w:szCs w:val="18"/>
        </w:rPr>
        <w:t>diensten</w:t>
      </w:r>
      <w:r w:rsidR="00C91995">
        <w:rPr>
          <w:sz w:val="18"/>
          <w:szCs w:val="18"/>
        </w:rPr>
        <w:t xml:space="preserve"> en activiteiten</w:t>
      </w:r>
      <w:r w:rsidRPr="00380522">
        <w:rPr>
          <w:sz w:val="18"/>
          <w:szCs w:val="18"/>
        </w:rPr>
        <w:t>.</w:t>
      </w:r>
      <w:r>
        <w:rPr>
          <w:rFonts w:cs="Arial"/>
          <w:sz w:val="18"/>
          <w:szCs w:val="18"/>
        </w:rPr>
        <w:t xml:space="preserve"> </w:t>
      </w:r>
      <w:r w:rsidR="00F061FA">
        <w:rPr>
          <w:rFonts w:cs="Arial"/>
          <w:sz w:val="18"/>
          <w:szCs w:val="18"/>
        </w:rPr>
        <w:t xml:space="preserve">Naar aanleiding hiervan </w:t>
      </w:r>
      <w:r>
        <w:rPr>
          <w:rFonts w:cs="Arial"/>
          <w:sz w:val="18"/>
          <w:szCs w:val="18"/>
        </w:rPr>
        <w:t xml:space="preserve">is </w:t>
      </w:r>
      <w:r w:rsidR="00771E3E">
        <w:rPr>
          <w:rFonts w:cs="Arial"/>
          <w:sz w:val="18"/>
          <w:szCs w:val="18"/>
        </w:rPr>
        <w:t>a</w:t>
      </w:r>
      <w:r>
        <w:rPr>
          <w:rFonts w:cs="Arial"/>
          <w:sz w:val="18"/>
          <w:szCs w:val="18"/>
        </w:rPr>
        <w:t>rtikel 2:20 Wft aangepast</w:t>
      </w:r>
      <w:r w:rsidR="00771E3E">
        <w:rPr>
          <w:rFonts w:cs="Arial"/>
          <w:sz w:val="18"/>
          <w:szCs w:val="18"/>
        </w:rPr>
        <w:t xml:space="preserve"> door direct te verwijzen naar de bepaling in de CRD waar de uitzondering is opgenomen. </w:t>
      </w:r>
      <w:r>
        <w:rPr>
          <w:rFonts w:cs="Arial"/>
          <w:sz w:val="18"/>
          <w:szCs w:val="18"/>
        </w:rPr>
        <w:t>Niettemin blijft, zoals ook in de memorie van toelichting beschreven is</w:t>
      </w:r>
      <w:r w:rsidR="00771E3E">
        <w:rPr>
          <w:rFonts w:cs="Arial"/>
          <w:sz w:val="18"/>
          <w:szCs w:val="18"/>
        </w:rPr>
        <w:t xml:space="preserve"> bij de artikelsgewijze toelichting</w:t>
      </w:r>
      <w:r>
        <w:rPr>
          <w:rFonts w:cs="Arial"/>
          <w:sz w:val="18"/>
          <w:szCs w:val="18"/>
        </w:rPr>
        <w:t>, van belang dat er een direct verband zit tussen het verlenen van de diensten 1, 2 en/of 6 uit Bijlage I van de CRD en de verleende MiFID</w:t>
      </w:r>
      <w:r w:rsidR="00C62671">
        <w:rPr>
          <w:rFonts w:cs="Arial"/>
          <w:sz w:val="18"/>
          <w:szCs w:val="18"/>
        </w:rPr>
        <w:t xml:space="preserve"> II</w:t>
      </w:r>
      <w:r>
        <w:rPr>
          <w:rFonts w:cs="Arial"/>
          <w:sz w:val="18"/>
          <w:szCs w:val="18"/>
        </w:rPr>
        <w:t>-diensten om onder de uitzondering te vallen.</w:t>
      </w:r>
    </w:p>
    <w:p w:rsidR="00F11CC7" w:rsidP="00395DD3" w:rsidRDefault="00F11CC7" w14:paraId="188AFDC9" w14:textId="77777777">
      <w:pPr>
        <w:widowControl w:val="0"/>
        <w:tabs>
          <w:tab w:val="num" w:pos="720"/>
        </w:tabs>
        <w:spacing w:line="240" w:lineRule="atLeast"/>
        <w:rPr>
          <w:rFonts w:cs="Arial"/>
          <w:i/>
          <w:sz w:val="18"/>
          <w:szCs w:val="18"/>
        </w:rPr>
      </w:pPr>
    </w:p>
    <w:p w:rsidR="00380522" w:rsidP="00380522" w:rsidRDefault="00380522" w14:paraId="2AD31470" w14:textId="3498FFEA">
      <w:pPr>
        <w:widowControl w:val="0"/>
        <w:tabs>
          <w:tab w:val="num" w:pos="720"/>
        </w:tabs>
        <w:spacing w:line="240" w:lineRule="atLeast"/>
        <w:rPr>
          <w:rFonts w:cs="Arial"/>
          <w:i/>
          <w:iCs/>
          <w:sz w:val="18"/>
          <w:szCs w:val="18"/>
        </w:rPr>
      </w:pPr>
      <w:r>
        <w:rPr>
          <w:rFonts w:cs="Arial"/>
          <w:i/>
          <w:iCs/>
          <w:sz w:val="18"/>
          <w:szCs w:val="18"/>
        </w:rPr>
        <w:t>7.1.4 Overgangsrecht</w:t>
      </w:r>
    </w:p>
    <w:p w:rsidR="00380522" w:rsidP="00380522" w:rsidRDefault="00380522" w14:paraId="7EC3D3DE" w14:textId="3DC4C418">
      <w:pPr>
        <w:widowControl w:val="0"/>
        <w:tabs>
          <w:tab w:val="num" w:pos="720"/>
        </w:tabs>
        <w:spacing w:line="240" w:lineRule="atLeast"/>
        <w:rPr>
          <w:rFonts w:cs="Arial"/>
          <w:sz w:val="18"/>
          <w:szCs w:val="18"/>
        </w:rPr>
      </w:pPr>
      <w:r>
        <w:rPr>
          <w:rFonts w:cs="Arial"/>
          <w:sz w:val="18"/>
          <w:szCs w:val="18"/>
        </w:rPr>
        <w:t xml:space="preserve">Finnius, BPI/LMA en Clifford Chance merken terecht op dat er overgangsrecht op grond van artikel 21 quater, vijfde lid, CRD nodig is. Dit betreft overgangsrecht voor de gevallen dat ondernemingen uit staten die geen lidstaat zijn bijvoorbeeld nu al opvorderbare gelden aantrekken van professionele partijen zonder dat zij een bijkantoor in Nederland hebben gevestigd. Op grond van de huidige bepalingen van de Wft is dat toegestaan. Na de inwerkingtreding van deze wet moet elke onderneming die opvorderbare gelden wil aantrekken in Nederland een bijkantoor vestigen </w:t>
      </w:r>
      <w:r w:rsidR="00FA7A69">
        <w:rPr>
          <w:rFonts w:cs="Arial"/>
          <w:sz w:val="18"/>
          <w:szCs w:val="18"/>
        </w:rPr>
        <w:t>(</w:t>
      </w:r>
      <w:r>
        <w:rPr>
          <w:rFonts w:cs="Arial"/>
          <w:sz w:val="18"/>
          <w:szCs w:val="18"/>
        </w:rPr>
        <w:t>tenzij wordt voldaan aan een van de in artikel 21 quater, tweede</w:t>
      </w:r>
      <w:r w:rsidR="00771E3E">
        <w:rPr>
          <w:rFonts w:cs="Arial"/>
          <w:sz w:val="18"/>
          <w:szCs w:val="18"/>
        </w:rPr>
        <w:t xml:space="preserve"> </w:t>
      </w:r>
      <w:r w:rsidR="00C94995">
        <w:rPr>
          <w:rFonts w:cs="Arial"/>
          <w:sz w:val="18"/>
          <w:szCs w:val="18"/>
        </w:rPr>
        <w:t xml:space="preserve">tot en met </w:t>
      </w:r>
      <w:r w:rsidR="00771E3E">
        <w:rPr>
          <w:rFonts w:cs="Arial"/>
          <w:sz w:val="18"/>
          <w:szCs w:val="18"/>
        </w:rPr>
        <w:t>vierde</w:t>
      </w:r>
      <w:r>
        <w:rPr>
          <w:rFonts w:cs="Arial"/>
          <w:sz w:val="18"/>
          <w:szCs w:val="18"/>
        </w:rPr>
        <w:t xml:space="preserve"> lid, CRD genoemde uitzonderingen</w:t>
      </w:r>
      <w:r w:rsidR="00FA7A69">
        <w:rPr>
          <w:rFonts w:cs="Arial"/>
          <w:sz w:val="18"/>
          <w:szCs w:val="18"/>
        </w:rPr>
        <w:t>)</w:t>
      </w:r>
      <w:r>
        <w:rPr>
          <w:rFonts w:cs="Arial"/>
          <w:sz w:val="18"/>
          <w:szCs w:val="18"/>
        </w:rPr>
        <w:t>. Artikel 21 quater, vijfde lid, CRD biedt overgangsrecht om de verworven rechten van cliënten op grond van bestaande overeenkomsten die gesloten zijn voor 11 juli 2026 te behouden</w:t>
      </w:r>
      <w:r w:rsidR="00FA7A69">
        <w:rPr>
          <w:rFonts w:cs="Arial"/>
          <w:sz w:val="18"/>
          <w:szCs w:val="18"/>
        </w:rPr>
        <w:t>,</w:t>
      </w:r>
      <w:r>
        <w:rPr>
          <w:rFonts w:cs="Arial"/>
          <w:sz w:val="18"/>
          <w:szCs w:val="18"/>
        </w:rPr>
        <w:t xml:space="preserve"> zodat het nieuwe derde land bijkantorenregime dat niet verstoort. Hiertoe is overgangsrecht toegevoegd in artikel I</w:t>
      </w:r>
      <w:r w:rsidR="001C7454">
        <w:rPr>
          <w:rFonts w:cs="Arial"/>
          <w:sz w:val="18"/>
          <w:szCs w:val="18"/>
        </w:rPr>
        <w:t>V</w:t>
      </w:r>
      <w:r>
        <w:rPr>
          <w:rFonts w:cs="Arial"/>
          <w:sz w:val="18"/>
          <w:szCs w:val="18"/>
        </w:rPr>
        <w:t xml:space="preserve">, tweede lid. </w:t>
      </w:r>
    </w:p>
    <w:p w:rsidR="00380522" w:rsidP="00395DD3" w:rsidRDefault="00380522" w14:paraId="6E48BB5E" w14:textId="77777777">
      <w:pPr>
        <w:widowControl w:val="0"/>
        <w:tabs>
          <w:tab w:val="num" w:pos="720"/>
        </w:tabs>
        <w:spacing w:line="240" w:lineRule="atLeast"/>
        <w:rPr>
          <w:rFonts w:cs="Arial"/>
          <w:i/>
          <w:sz w:val="18"/>
          <w:szCs w:val="18"/>
        </w:rPr>
      </w:pPr>
    </w:p>
    <w:p w:rsidR="00380522" w:rsidP="00380522" w:rsidRDefault="00380522" w14:paraId="7FF8E8A6" w14:textId="7CA090FA">
      <w:pPr>
        <w:widowControl w:val="0"/>
        <w:tabs>
          <w:tab w:val="num" w:pos="720"/>
        </w:tabs>
        <w:spacing w:line="240" w:lineRule="atLeast"/>
        <w:rPr>
          <w:rFonts w:cs="Arial"/>
          <w:i/>
          <w:sz w:val="18"/>
          <w:szCs w:val="18"/>
        </w:rPr>
      </w:pPr>
      <w:r>
        <w:rPr>
          <w:rFonts w:cs="Arial"/>
          <w:i/>
          <w:sz w:val="18"/>
          <w:szCs w:val="18"/>
        </w:rPr>
        <w:t>7.1.5 Beoordeling reeds bestaande derde land bijkantoren</w:t>
      </w:r>
    </w:p>
    <w:p w:rsidRPr="00D91EC1" w:rsidR="00380522" w:rsidP="00380522" w:rsidRDefault="00380522" w14:paraId="0B0227E9" w14:textId="68106992">
      <w:pPr>
        <w:widowControl w:val="0"/>
        <w:tabs>
          <w:tab w:val="num" w:pos="720"/>
        </w:tabs>
        <w:spacing w:line="240" w:lineRule="atLeast"/>
        <w:rPr>
          <w:rFonts w:cs="Arial"/>
          <w:iCs/>
          <w:sz w:val="18"/>
          <w:szCs w:val="18"/>
        </w:rPr>
      </w:pPr>
      <w:r>
        <w:rPr>
          <w:rFonts w:cs="Arial"/>
          <w:iCs/>
          <w:sz w:val="18"/>
          <w:szCs w:val="18"/>
        </w:rPr>
        <w:t xml:space="preserve">Finnius merkt op dat het overgangsrecht wat voorzien is in artikel IV met betrekking tot de reeds verleende vergunningen voor bijkantoren van banken uit </w:t>
      </w:r>
      <w:r w:rsidR="00E53899">
        <w:rPr>
          <w:rFonts w:cs="Arial"/>
          <w:iCs/>
          <w:sz w:val="18"/>
          <w:szCs w:val="18"/>
        </w:rPr>
        <w:t>staten die geen lidstaat zijn</w:t>
      </w:r>
      <w:r>
        <w:rPr>
          <w:rFonts w:cs="Arial"/>
          <w:iCs/>
          <w:sz w:val="18"/>
          <w:szCs w:val="18"/>
        </w:rPr>
        <w:t xml:space="preserve"> strikt is: op 11 januari 2027 moet uiterlijk door DNB zijn getoetst of de reeds bestaande derde land bijkantoren voldoen aan de </w:t>
      </w:r>
      <w:r>
        <w:rPr>
          <w:rFonts w:cs="Arial"/>
          <w:iCs/>
          <w:sz w:val="18"/>
          <w:szCs w:val="18"/>
        </w:rPr>
        <w:lastRenderedPageBreak/>
        <w:t>nieuwe vereisten uit de richtlijn. Finnius betoogt dat het raadzaam zou zijn om een derde land bijkantoor de tijd te bieden om herstelmaatregelen te nemen indien DNB constateert dat het derde land bijkantoor nog niet voldoen aan de nieuwe vereisten. Hoewel een begrijpelijke suggestie</w:t>
      </w:r>
      <w:r w:rsidR="00B20975">
        <w:rPr>
          <w:rFonts w:cs="Arial"/>
          <w:iCs/>
          <w:sz w:val="18"/>
          <w:szCs w:val="18"/>
        </w:rPr>
        <w:t>,</w:t>
      </w:r>
      <w:r>
        <w:rPr>
          <w:rFonts w:cs="Arial"/>
          <w:iCs/>
          <w:sz w:val="18"/>
          <w:szCs w:val="18"/>
        </w:rPr>
        <w:t xml:space="preserve"> leidt dit niet tot aanpassing van het overgangsrecht.</w:t>
      </w:r>
      <w:r w:rsidR="005B747F">
        <w:rPr>
          <w:rFonts w:cs="Arial"/>
          <w:iCs/>
          <w:sz w:val="18"/>
          <w:szCs w:val="18"/>
        </w:rPr>
        <w:t xml:space="preserve"> Het wettelijk mogelijk maken van een herstelmogelijkheid verhoudt zich niet goed tot het overgangsrecht zoals opgenomen in artikel 48 quater, zesde lid, CRD</w:t>
      </w:r>
      <w:r w:rsidR="007F1BD6">
        <w:rPr>
          <w:rFonts w:cs="Arial"/>
          <w:iCs/>
          <w:sz w:val="18"/>
          <w:szCs w:val="18"/>
        </w:rPr>
        <w:t>,</w:t>
      </w:r>
      <w:r w:rsidR="005B747F">
        <w:rPr>
          <w:rFonts w:cs="Arial"/>
          <w:iCs/>
          <w:sz w:val="18"/>
          <w:szCs w:val="18"/>
        </w:rPr>
        <w:t xml:space="preserve"> nu dit </w:t>
      </w:r>
      <w:r w:rsidR="007F1BD6">
        <w:rPr>
          <w:rFonts w:cs="Arial"/>
          <w:iCs/>
          <w:sz w:val="18"/>
          <w:szCs w:val="18"/>
        </w:rPr>
        <w:t>stelt</w:t>
      </w:r>
      <w:r w:rsidR="005B747F">
        <w:rPr>
          <w:rFonts w:cs="Arial"/>
          <w:iCs/>
          <w:sz w:val="18"/>
          <w:szCs w:val="18"/>
        </w:rPr>
        <w:t xml:space="preserve"> dat verleende vergunningen alleen blijven </w:t>
      </w:r>
      <w:r w:rsidR="007F1BD6">
        <w:rPr>
          <w:rFonts w:cs="Arial"/>
          <w:iCs/>
          <w:sz w:val="18"/>
          <w:szCs w:val="18"/>
        </w:rPr>
        <w:t>gelden wanneer</w:t>
      </w:r>
      <w:r w:rsidR="005B747F">
        <w:rPr>
          <w:rFonts w:cs="Arial"/>
          <w:iCs/>
          <w:sz w:val="18"/>
          <w:szCs w:val="18"/>
        </w:rPr>
        <w:t xml:space="preserve"> de derde land bijkantoren voldoen aan de vereisten van Titel VI CRD.</w:t>
      </w:r>
      <w:r>
        <w:rPr>
          <w:rFonts w:cs="Arial"/>
          <w:iCs/>
          <w:sz w:val="18"/>
          <w:szCs w:val="18"/>
        </w:rPr>
        <w:t xml:space="preserve"> Het overgangsrecht is een stok achter de deur om ervoor te zorgen dat derde land bijkantoren DNB benaderen om samen na te gaan in hoeverre zij voldoen aan de nieuwe vereisten voor derde land bijkantoren indien zij hun dienstverlening via dat bijkantoor willen voortzetten. In de wet is de term ‘uiterlijk’ opgenomen. Er staat niks in de weg aan het bijkantoor of DNB om reeds ruim voor de datum van 11 januari 2027 te starten met de beoordeling hiervan.</w:t>
      </w:r>
      <w:r w:rsidR="00921DA4">
        <w:rPr>
          <w:rFonts w:cs="Arial"/>
          <w:iCs/>
          <w:sz w:val="18"/>
          <w:szCs w:val="18"/>
        </w:rPr>
        <w:t xml:space="preserve"> DNB streeft ernaar op tijd te beginnen met het informeren van reeds bestaande bijkantoren over </w:t>
      </w:r>
      <w:r w:rsidR="00F42117">
        <w:rPr>
          <w:rFonts w:cs="Arial"/>
          <w:iCs/>
          <w:sz w:val="18"/>
          <w:szCs w:val="18"/>
        </w:rPr>
        <w:t>de wijze waarop getoetst wordt of reeds bestaande derde land bijkantoren voldoen aan de nieuwe vereisten</w:t>
      </w:r>
      <w:r w:rsidR="00921DA4">
        <w:rPr>
          <w:rFonts w:cs="Arial"/>
          <w:iCs/>
          <w:sz w:val="18"/>
          <w:szCs w:val="18"/>
        </w:rPr>
        <w:t xml:space="preserve">. </w:t>
      </w:r>
      <w:r w:rsidRPr="00921DA4" w:rsidR="00921DA4">
        <w:rPr>
          <w:rFonts w:cs="Arial"/>
          <w:iCs/>
          <w:sz w:val="18"/>
          <w:szCs w:val="18"/>
        </w:rPr>
        <w:t xml:space="preserve">Mocht onverhoopt de beoordeling in een </w:t>
      </w:r>
      <w:r w:rsidR="007E2271">
        <w:rPr>
          <w:rFonts w:cs="Arial"/>
          <w:iCs/>
          <w:sz w:val="18"/>
          <w:szCs w:val="18"/>
        </w:rPr>
        <w:t>specifiek</w:t>
      </w:r>
      <w:r w:rsidRPr="00921DA4" w:rsidR="00921DA4">
        <w:rPr>
          <w:rFonts w:cs="Arial"/>
          <w:iCs/>
          <w:sz w:val="18"/>
          <w:szCs w:val="18"/>
        </w:rPr>
        <w:t xml:space="preserve"> geval toch niet binnen termijn kunnen worden afgerond, dan betekent dat echter ook dat DNB</w:t>
      </w:r>
      <w:r w:rsidR="007E2271">
        <w:rPr>
          <w:rFonts w:cs="Arial"/>
          <w:iCs/>
          <w:sz w:val="18"/>
          <w:szCs w:val="18"/>
        </w:rPr>
        <w:t xml:space="preserve"> voorafgaand aan het afronden van die beoordeling</w:t>
      </w:r>
      <w:r w:rsidRPr="00921DA4" w:rsidR="00921DA4">
        <w:rPr>
          <w:rFonts w:cs="Arial"/>
          <w:iCs/>
          <w:sz w:val="18"/>
          <w:szCs w:val="18"/>
        </w:rPr>
        <w:t xml:space="preserve"> niet zal </w:t>
      </w:r>
      <w:r w:rsidR="007E2271">
        <w:rPr>
          <w:rFonts w:cs="Arial"/>
          <w:iCs/>
          <w:sz w:val="18"/>
          <w:szCs w:val="18"/>
        </w:rPr>
        <w:t xml:space="preserve">kunnen </w:t>
      </w:r>
      <w:r w:rsidRPr="00921DA4" w:rsidR="00921DA4">
        <w:rPr>
          <w:rFonts w:cs="Arial"/>
          <w:iCs/>
          <w:sz w:val="18"/>
          <w:szCs w:val="18"/>
        </w:rPr>
        <w:t>overgaan tot</w:t>
      </w:r>
      <w:r w:rsidR="00B20975">
        <w:rPr>
          <w:rFonts w:cs="Arial"/>
          <w:iCs/>
          <w:sz w:val="18"/>
          <w:szCs w:val="18"/>
        </w:rPr>
        <w:t xml:space="preserve"> handhaving of tot</w:t>
      </w:r>
      <w:r w:rsidRPr="00921DA4" w:rsidR="00921DA4">
        <w:rPr>
          <w:rFonts w:cs="Arial"/>
          <w:iCs/>
          <w:sz w:val="18"/>
          <w:szCs w:val="18"/>
        </w:rPr>
        <w:t xml:space="preserve"> intrekking van de </w:t>
      </w:r>
      <w:r w:rsidR="00B20975">
        <w:rPr>
          <w:rFonts w:cs="Arial"/>
          <w:iCs/>
          <w:sz w:val="18"/>
          <w:szCs w:val="18"/>
        </w:rPr>
        <w:t xml:space="preserve">bestaande </w:t>
      </w:r>
      <w:r w:rsidRPr="00921DA4" w:rsidR="00921DA4">
        <w:rPr>
          <w:rFonts w:cs="Arial"/>
          <w:iCs/>
          <w:sz w:val="18"/>
          <w:szCs w:val="18"/>
        </w:rPr>
        <w:t>vergunning.</w:t>
      </w:r>
      <w:r w:rsidR="00F42117">
        <w:rPr>
          <w:rFonts w:cs="Arial"/>
          <w:iCs/>
          <w:sz w:val="18"/>
          <w:szCs w:val="18"/>
        </w:rPr>
        <w:t xml:space="preserve"> </w:t>
      </w:r>
    </w:p>
    <w:p w:rsidR="00380522" w:rsidP="00395DD3" w:rsidRDefault="00380522" w14:paraId="4FDE67DF" w14:textId="77777777">
      <w:pPr>
        <w:widowControl w:val="0"/>
        <w:tabs>
          <w:tab w:val="num" w:pos="720"/>
        </w:tabs>
        <w:spacing w:line="240" w:lineRule="atLeast"/>
        <w:rPr>
          <w:rFonts w:cs="Arial"/>
          <w:i/>
          <w:sz w:val="18"/>
          <w:szCs w:val="18"/>
        </w:rPr>
      </w:pPr>
    </w:p>
    <w:p w:rsidR="00380522" w:rsidP="00380522" w:rsidRDefault="00380522" w14:paraId="21CAB98C" w14:textId="691C56D2">
      <w:pPr>
        <w:widowControl w:val="0"/>
        <w:tabs>
          <w:tab w:val="num" w:pos="720"/>
        </w:tabs>
        <w:spacing w:line="240" w:lineRule="atLeast"/>
        <w:rPr>
          <w:rFonts w:cs="Arial"/>
          <w:i/>
          <w:sz w:val="18"/>
          <w:szCs w:val="18"/>
        </w:rPr>
      </w:pPr>
      <w:r>
        <w:rPr>
          <w:rFonts w:cs="Arial"/>
          <w:i/>
          <w:sz w:val="18"/>
          <w:szCs w:val="18"/>
        </w:rPr>
        <w:t>7.1.6 Verbod op het gebruik van het woord ‘bank’</w:t>
      </w:r>
    </w:p>
    <w:p w:rsidR="00380522" w:rsidP="00380522" w:rsidRDefault="00380522" w14:paraId="793CFE02" w14:textId="27201A4D">
      <w:pPr>
        <w:widowControl w:val="0"/>
        <w:tabs>
          <w:tab w:val="num" w:pos="720"/>
        </w:tabs>
        <w:spacing w:line="240" w:lineRule="atLeast"/>
        <w:rPr>
          <w:rFonts w:cs="Arial"/>
          <w:iCs/>
          <w:sz w:val="18"/>
          <w:szCs w:val="18"/>
        </w:rPr>
      </w:pPr>
      <w:r>
        <w:rPr>
          <w:rFonts w:cs="Arial"/>
          <w:iCs/>
          <w:sz w:val="18"/>
          <w:szCs w:val="18"/>
        </w:rPr>
        <w:t>Clifford Chance merkt op dat artikel 3:7 Wft aangepast moet worden. Dit artikel reguleert het gebruik van het woord ‘bank’ in de naam van een onderneming. Hierop is dit artikel aangepast</w:t>
      </w:r>
      <w:r w:rsidR="009F15CF">
        <w:rPr>
          <w:rFonts w:cs="Arial"/>
          <w:iCs/>
          <w:sz w:val="18"/>
          <w:szCs w:val="18"/>
        </w:rPr>
        <w:t>. O</w:t>
      </w:r>
      <w:r>
        <w:rPr>
          <w:rFonts w:cs="Arial"/>
          <w:iCs/>
          <w:sz w:val="18"/>
          <w:szCs w:val="18"/>
        </w:rPr>
        <w:t xml:space="preserve">ndernemingen die een derde land bijkantoor </w:t>
      </w:r>
      <w:r w:rsidR="00C94995">
        <w:rPr>
          <w:rFonts w:cs="Arial"/>
          <w:iCs/>
          <w:sz w:val="18"/>
          <w:szCs w:val="18"/>
        </w:rPr>
        <w:t>in Nederland vestigen</w:t>
      </w:r>
      <w:r>
        <w:rPr>
          <w:rFonts w:cs="Arial"/>
          <w:iCs/>
          <w:sz w:val="18"/>
          <w:szCs w:val="18"/>
        </w:rPr>
        <w:t xml:space="preserve"> en daarvoor een vergunning hebben</w:t>
      </w:r>
      <w:r w:rsidR="009F15CF">
        <w:rPr>
          <w:rFonts w:cs="Arial"/>
          <w:iCs/>
          <w:sz w:val="18"/>
          <w:szCs w:val="18"/>
        </w:rPr>
        <w:t>, zijn</w:t>
      </w:r>
      <w:r>
        <w:rPr>
          <w:rFonts w:cs="Arial"/>
          <w:iCs/>
          <w:sz w:val="18"/>
          <w:szCs w:val="18"/>
        </w:rPr>
        <w:t xml:space="preserve"> uitgezonderd van het verbod om het woord ‘bank’ in de naam van </w:t>
      </w:r>
      <w:r w:rsidR="00C94995">
        <w:rPr>
          <w:rFonts w:cs="Arial"/>
          <w:iCs/>
          <w:sz w:val="18"/>
          <w:szCs w:val="18"/>
        </w:rPr>
        <w:t>het derde land bijkantoor</w:t>
      </w:r>
      <w:r>
        <w:rPr>
          <w:rFonts w:cs="Arial"/>
          <w:iCs/>
          <w:sz w:val="18"/>
          <w:szCs w:val="18"/>
        </w:rPr>
        <w:t xml:space="preserve"> te voeren.</w:t>
      </w:r>
      <w:r w:rsidR="00ED72E9">
        <w:rPr>
          <w:rFonts w:cs="Arial"/>
          <w:iCs/>
          <w:sz w:val="18"/>
          <w:szCs w:val="18"/>
        </w:rPr>
        <w:t xml:space="preserve"> Overigens is aanpassing van artikel 3:7 Wft een louter technische wijziging. Voorheen vielen derde land banken reeds onder de uitzondering van artikel 3:7, tweede lid, onderdeel b, Wft. Vanwege de wijzigingen in artikel 2:20 Wft is het echter nodig om een nieuw onderdeel toe te voegen zodat het nu ook expliciet geldt voor derde land bijkantoren.</w:t>
      </w:r>
    </w:p>
    <w:p w:rsidR="00380522" w:rsidP="00395DD3" w:rsidRDefault="00380522" w14:paraId="0E5B0984" w14:textId="77777777">
      <w:pPr>
        <w:widowControl w:val="0"/>
        <w:tabs>
          <w:tab w:val="num" w:pos="720"/>
        </w:tabs>
        <w:spacing w:line="240" w:lineRule="atLeast"/>
        <w:rPr>
          <w:rFonts w:cs="Arial"/>
          <w:i/>
          <w:sz w:val="18"/>
          <w:szCs w:val="18"/>
        </w:rPr>
      </w:pPr>
    </w:p>
    <w:p w:rsidR="00380522" w:rsidP="00380522" w:rsidRDefault="00380522" w14:paraId="5EF11E39" w14:textId="33855D38">
      <w:pPr>
        <w:widowControl w:val="0"/>
        <w:tabs>
          <w:tab w:val="num" w:pos="720"/>
        </w:tabs>
        <w:spacing w:line="240" w:lineRule="atLeast"/>
        <w:rPr>
          <w:rFonts w:cs="Arial"/>
          <w:i/>
          <w:sz w:val="18"/>
          <w:szCs w:val="18"/>
        </w:rPr>
      </w:pPr>
      <w:r>
        <w:rPr>
          <w:rFonts w:cs="Arial"/>
          <w:i/>
          <w:sz w:val="18"/>
          <w:szCs w:val="18"/>
        </w:rPr>
        <w:t>7.1.7 Secundaire markt leningen</w:t>
      </w:r>
    </w:p>
    <w:p w:rsidR="00380522" w:rsidP="00380522" w:rsidRDefault="00380522" w14:paraId="72A95E3A" w14:textId="0F3AEE90">
      <w:pPr>
        <w:widowControl w:val="0"/>
        <w:tabs>
          <w:tab w:val="num" w:pos="720"/>
        </w:tabs>
        <w:spacing w:line="240" w:lineRule="atLeast"/>
        <w:rPr>
          <w:rFonts w:cs="Arial"/>
          <w:iCs/>
          <w:sz w:val="18"/>
          <w:szCs w:val="18"/>
        </w:rPr>
      </w:pPr>
      <w:r>
        <w:rPr>
          <w:rFonts w:cs="Arial"/>
          <w:iCs/>
          <w:sz w:val="18"/>
          <w:szCs w:val="18"/>
        </w:rPr>
        <w:t>Clifford Chance merkt op dat niet helder is welke activiteiten onder dienst 2 uit bijlage I van de CRD (het verstrekken van leningen) val</w:t>
      </w:r>
      <w:r w:rsidR="009F15CF">
        <w:rPr>
          <w:rFonts w:cs="Arial"/>
          <w:iCs/>
          <w:sz w:val="18"/>
          <w:szCs w:val="18"/>
        </w:rPr>
        <w:t>len</w:t>
      </w:r>
      <w:r>
        <w:rPr>
          <w:rFonts w:cs="Arial"/>
          <w:iCs/>
          <w:sz w:val="18"/>
          <w:szCs w:val="18"/>
        </w:rPr>
        <w:t xml:space="preserve">. </w:t>
      </w:r>
      <w:r w:rsidR="005B52FA">
        <w:rPr>
          <w:rFonts w:cs="Arial"/>
          <w:iCs/>
          <w:sz w:val="18"/>
          <w:szCs w:val="18"/>
        </w:rPr>
        <w:t>Zowel de richtlijn</w:t>
      </w:r>
      <w:r w:rsidR="009F15CF">
        <w:rPr>
          <w:rFonts w:cs="Arial"/>
          <w:iCs/>
          <w:sz w:val="18"/>
          <w:szCs w:val="18"/>
        </w:rPr>
        <w:t>,</w:t>
      </w:r>
      <w:r w:rsidR="005B52FA">
        <w:rPr>
          <w:rFonts w:cs="Arial"/>
          <w:iCs/>
          <w:sz w:val="18"/>
          <w:szCs w:val="18"/>
        </w:rPr>
        <w:t xml:space="preserve"> als dit wetsvoorstel wijzigen de invulling van dienst 2</w:t>
      </w:r>
      <w:r w:rsidR="009F15CF">
        <w:rPr>
          <w:rFonts w:cs="Arial"/>
          <w:iCs/>
          <w:sz w:val="18"/>
          <w:szCs w:val="18"/>
        </w:rPr>
        <w:t>,</w:t>
      </w:r>
      <w:r w:rsidR="005B52FA">
        <w:rPr>
          <w:rFonts w:cs="Arial"/>
          <w:iCs/>
          <w:sz w:val="18"/>
          <w:szCs w:val="18"/>
        </w:rPr>
        <w:t xml:space="preserve"> zoals op dit moment gangbaar is in de huidige praktijk</w:t>
      </w:r>
      <w:r w:rsidR="009F15CF">
        <w:rPr>
          <w:rFonts w:cs="Arial"/>
          <w:iCs/>
          <w:sz w:val="18"/>
          <w:szCs w:val="18"/>
        </w:rPr>
        <w:t>,</w:t>
      </w:r>
      <w:r w:rsidR="005B52FA">
        <w:rPr>
          <w:rFonts w:cs="Arial"/>
          <w:iCs/>
          <w:sz w:val="18"/>
          <w:szCs w:val="18"/>
        </w:rPr>
        <w:t xml:space="preserve"> </w:t>
      </w:r>
      <w:r w:rsidR="00F24CCB">
        <w:rPr>
          <w:rFonts w:cs="Arial"/>
          <w:iCs/>
          <w:sz w:val="18"/>
          <w:szCs w:val="18"/>
        </w:rPr>
        <w:t xml:space="preserve">echter </w:t>
      </w:r>
      <w:r w:rsidR="005B52FA">
        <w:rPr>
          <w:rFonts w:cs="Arial"/>
          <w:iCs/>
          <w:sz w:val="18"/>
          <w:szCs w:val="18"/>
        </w:rPr>
        <w:t>niet.</w:t>
      </w:r>
      <w:r w:rsidR="009F15CF">
        <w:rPr>
          <w:rFonts w:cs="Arial"/>
          <w:iCs/>
          <w:sz w:val="18"/>
          <w:szCs w:val="18"/>
        </w:rPr>
        <w:t xml:space="preserve"> Om die reden wordt niet voorzien in een nadere toelichting.</w:t>
      </w:r>
    </w:p>
    <w:p w:rsidRPr="00380522" w:rsidR="00380522" w:rsidP="00380522" w:rsidRDefault="00771E3E" w14:paraId="63215FAD" w14:textId="182A9808">
      <w:pPr>
        <w:widowControl w:val="0"/>
        <w:tabs>
          <w:tab w:val="num" w:pos="720"/>
        </w:tabs>
        <w:spacing w:line="240" w:lineRule="atLeast"/>
        <w:rPr>
          <w:rFonts w:cs="Arial"/>
          <w:iCs/>
          <w:sz w:val="18"/>
          <w:szCs w:val="18"/>
        </w:rPr>
      </w:pPr>
      <w:r>
        <w:rPr>
          <w:rFonts w:cs="Arial"/>
          <w:iCs/>
          <w:sz w:val="18"/>
          <w:szCs w:val="18"/>
        </w:rPr>
        <w:t xml:space="preserve"> </w:t>
      </w:r>
    </w:p>
    <w:p w:rsidR="00380522" w:rsidP="00380522" w:rsidRDefault="00380522" w14:paraId="00205BF8" w14:textId="17DF6CEA">
      <w:pPr>
        <w:widowControl w:val="0"/>
        <w:tabs>
          <w:tab w:val="num" w:pos="720"/>
        </w:tabs>
        <w:spacing w:line="240" w:lineRule="atLeast"/>
        <w:rPr>
          <w:rFonts w:cs="Arial"/>
          <w:i/>
          <w:iCs/>
          <w:sz w:val="18"/>
          <w:szCs w:val="18"/>
        </w:rPr>
      </w:pPr>
      <w:r>
        <w:rPr>
          <w:rFonts w:cs="Arial"/>
          <w:i/>
          <w:iCs/>
          <w:sz w:val="18"/>
          <w:szCs w:val="18"/>
        </w:rPr>
        <w:t>7.1.8 Implementatie definities uit CRD VI</w:t>
      </w:r>
    </w:p>
    <w:p w:rsidR="00380522" w:rsidP="00380522" w:rsidRDefault="00380522" w14:paraId="7474E047" w14:textId="551CBB14">
      <w:pPr>
        <w:widowControl w:val="0"/>
        <w:tabs>
          <w:tab w:val="num" w:pos="720"/>
        </w:tabs>
        <w:spacing w:line="240" w:lineRule="atLeast"/>
        <w:rPr>
          <w:rFonts w:cs="Arial"/>
          <w:sz w:val="18"/>
          <w:szCs w:val="18"/>
        </w:rPr>
      </w:pPr>
      <w:r>
        <w:rPr>
          <w:rFonts w:cs="Arial"/>
          <w:sz w:val="18"/>
          <w:szCs w:val="18"/>
        </w:rPr>
        <w:t>De NVB vraagt om de definities uit artikel 47, derde lid, CRD te implementeren in de Wft ter voorkoming van kruisverwijzingen. Omdat deze termen niet gebruikt worden in de Wft</w:t>
      </w:r>
      <w:r w:rsidR="009F15CF">
        <w:rPr>
          <w:rFonts w:cs="Arial"/>
          <w:sz w:val="18"/>
          <w:szCs w:val="18"/>
        </w:rPr>
        <w:t xml:space="preserve">, </w:t>
      </w:r>
      <w:r>
        <w:rPr>
          <w:rFonts w:cs="Arial"/>
          <w:sz w:val="18"/>
          <w:szCs w:val="18"/>
        </w:rPr>
        <w:t xml:space="preserve">deze wijze van dynamisch verwijzen de consistentie met de richtlijn borgt en de regelgeving toekomstbestendig houdt, heeft deze suggestie niet tot wijzigingen van het voorstel geleid. </w:t>
      </w:r>
    </w:p>
    <w:p w:rsidR="00380522" w:rsidP="00380522" w:rsidRDefault="00380522" w14:paraId="42CD03EC" w14:textId="77777777">
      <w:pPr>
        <w:widowControl w:val="0"/>
        <w:tabs>
          <w:tab w:val="num" w:pos="720"/>
        </w:tabs>
        <w:spacing w:line="240" w:lineRule="atLeast"/>
        <w:rPr>
          <w:rFonts w:cs="Arial"/>
          <w:i/>
          <w:iCs/>
          <w:sz w:val="18"/>
          <w:szCs w:val="18"/>
        </w:rPr>
      </w:pPr>
    </w:p>
    <w:p w:rsidRPr="00D913E7" w:rsidR="0024398D" w:rsidP="0024398D" w:rsidRDefault="003F267D" w14:paraId="08172E5A" w14:textId="6CFA5502">
      <w:pPr>
        <w:widowControl w:val="0"/>
        <w:tabs>
          <w:tab w:val="num" w:pos="720"/>
        </w:tabs>
        <w:spacing w:line="240" w:lineRule="atLeast"/>
        <w:rPr>
          <w:rFonts w:cs="Arial"/>
          <w:i/>
          <w:sz w:val="18"/>
          <w:szCs w:val="18"/>
          <w:u w:val="single"/>
        </w:rPr>
      </w:pPr>
      <w:r w:rsidRPr="00A05EB4">
        <w:rPr>
          <w:rFonts w:cs="Arial"/>
          <w:i/>
          <w:sz w:val="18"/>
          <w:szCs w:val="18"/>
          <w:u w:val="single"/>
        </w:rPr>
        <w:t>§</w:t>
      </w:r>
      <w:r>
        <w:rPr>
          <w:rFonts w:cs="Arial"/>
          <w:i/>
          <w:sz w:val="18"/>
          <w:szCs w:val="18"/>
          <w:u w:val="single"/>
        </w:rPr>
        <w:t xml:space="preserve"> </w:t>
      </w:r>
      <w:r w:rsidRPr="00D913E7" w:rsidR="0024398D">
        <w:rPr>
          <w:rFonts w:cs="Arial"/>
          <w:i/>
          <w:sz w:val="18"/>
          <w:szCs w:val="18"/>
          <w:u w:val="single"/>
        </w:rPr>
        <w:t>7.2 Prudentieel relevante transacties (vvgb’s)</w:t>
      </w:r>
    </w:p>
    <w:p w:rsidR="00FA232F" w:rsidP="00395DD3" w:rsidRDefault="00FA232F" w14:paraId="70EFFAEB" w14:textId="77777777">
      <w:pPr>
        <w:widowControl w:val="0"/>
        <w:tabs>
          <w:tab w:val="num" w:pos="720"/>
        </w:tabs>
        <w:spacing w:line="240" w:lineRule="atLeast"/>
        <w:rPr>
          <w:rFonts w:cs="Arial"/>
          <w:i/>
          <w:sz w:val="18"/>
          <w:szCs w:val="18"/>
        </w:rPr>
      </w:pPr>
    </w:p>
    <w:p w:rsidRPr="00013526" w:rsidR="00F11CC7" w:rsidP="00395DD3" w:rsidRDefault="00F11CC7" w14:paraId="4AC706B0" w14:textId="1029746D">
      <w:pPr>
        <w:widowControl w:val="0"/>
        <w:tabs>
          <w:tab w:val="num" w:pos="720"/>
        </w:tabs>
        <w:spacing w:line="240" w:lineRule="atLeast"/>
        <w:rPr>
          <w:rFonts w:cs="Arial"/>
          <w:iCs/>
          <w:sz w:val="18"/>
          <w:szCs w:val="18"/>
        </w:rPr>
      </w:pPr>
      <w:r w:rsidRPr="00013526">
        <w:rPr>
          <w:rFonts w:cs="Arial"/>
          <w:iCs/>
          <w:sz w:val="18"/>
          <w:szCs w:val="18"/>
        </w:rPr>
        <w:t>De NVB en Finnius hebben beiden opmerkingen gemaakt over het regime voor prudentieel relevante transacties.</w:t>
      </w:r>
    </w:p>
    <w:p w:rsidR="00F11CC7" w:rsidP="00395DD3" w:rsidRDefault="00F11CC7" w14:paraId="4073E1FF" w14:textId="77777777">
      <w:pPr>
        <w:widowControl w:val="0"/>
        <w:tabs>
          <w:tab w:val="num" w:pos="720"/>
        </w:tabs>
        <w:spacing w:line="240" w:lineRule="atLeast"/>
        <w:rPr>
          <w:rFonts w:cs="Arial"/>
          <w:i/>
          <w:sz w:val="18"/>
          <w:szCs w:val="18"/>
        </w:rPr>
      </w:pPr>
    </w:p>
    <w:p w:rsidR="00F11CC7" w:rsidP="00395DD3" w:rsidRDefault="00F11CC7" w14:paraId="08B9D768" w14:textId="400E57A0">
      <w:pPr>
        <w:widowControl w:val="0"/>
        <w:tabs>
          <w:tab w:val="num" w:pos="720"/>
        </w:tabs>
        <w:spacing w:line="240" w:lineRule="atLeast"/>
        <w:rPr>
          <w:rFonts w:cs="Arial"/>
          <w:i/>
          <w:sz w:val="18"/>
          <w:szCs w:val="18"/>
        </w:rPr>
      </w:pPr>
      <w:r w:rsidRPr="00013526">
        <w:rPr>
          <w:rFonts w:cs="Arial"/>
          <w:i/>
          <w:sz w:val="18"/>
          <w:szCs w:val="18"/>
        </w:rPr>
        <w:t>7.2.1</w:t>
      </w:r>
      <w:r>
        <w:rPr>
          <w:rFonts w:cs="Arial"/>
          <w:iCs/>
          <w:sz w:val="18"/>
          <w:szCs w:val="18"/>
        </w:rPr>
        <w:t xml:space="preserve"> </w:t>
      </w:r>
      <w:r>
        <w:rPr>
          <w:rFonts w:cs="Arial"/>
          <w:i/>
          <w:sz w:val="18"/>
          <w:szCs w:val="18"/>
        </w:rPr>
        <w:t>Behoud vvgb in artikel 3:96</w:t>
      </w:r>
    </w:p>
    <w:p w:rsidR="0030240D" w:rsidP="00B51D82" w:rsidRDefault="00F11CC7" w14:paraId="5FF1D0BD" w14:textId="68C4129C">
      <w:pPr>
        <w:widowControl w:val="0"/>
        <w:tabs>
          <w:tab w:val="num" w:pos="720"/>
        </w:tabs>
        <w:spacing w:line="240" w:lineRule="atLeast"/>
        <w:rPr>
          <w:rFonts w:cs="Arial"/>
          <w:iCs/>
          <w:sz w:val="18"/>
          <w:szCs w:val="18"/>
        </w:rPr>
      </w:pPr>
      <w:r>
        <w:rPr>
          <w:rFonts w:cs="Arial"/>
          <w:iCs/>
          <w:sz w:val="18"/>
          <w:szCs w:val="18"/>
        </w:rPr>
        <w:t>De NVB en Finnius vragen</w:t>
      </w:r>
      <w:r w:rsidR="005F658D">
        <w:rPr>
          <w:rFonts w:cs="Arial"/>
          <w:iCs/>
          <w:sz w:val="18"/>
          <w:szCs w:val="18"/>
        </w:rPr>
        <w:t xml:space="preserve"> waarom gekozen is om de </w:t>
      </w:r>
      <w:r w:rsidR="00206DEB">
        <w:rPr>
          <w:rFonts w:cs="Arial"/>
          <w:iCs/>
          <w:sz w:val="18"/>
          <w:szCs w:val="18"/>
        </w:rPr>
        <w:t xml:space="preserve">verplichting om over een vvgb te beschikken </w:t>
      </w:r>
      <w:r w:rsidR="005F658D">
        <w:rPr>
          <w:rFonts w:cs="Arial"/>
          <w:iCs/>
          <w:sz w:val="18"/>
          <w:szCs w:val="18"/>
        </w:rPr>
        <w:t>voor een financiële of vennootschappelijke reorganisatie</w:t>
      </w:r>
      <w:r w:rsidR="00206DEB">
        <w:rPr>
          <w:rFonts w:cs="Arial"/>
          <w:iCs/>
          <w:sz w:val="18"/>
          <w:szCs w:val="18"/>
        </w:rPr>
        <w:t>,</w:t>
      </w:r>
      <w:r w:rsidR="005F658D">
        <w:rPr>
          <w:rFonts w:cs="Arial"/>
          <w:iCs/>
          <w:sz w:val="18"/>
          <w:szCs w:val="18"/>
        </w:rPr>
        <w:t xml:space="preserve"> uit 3:96 Wft</w:t>
      </w:r>
      <w:r w:rsidR="00206DEB">
        <w:rPr>
          <w:rFonts w:cs="Arial"/>
          <w:iCs/>
          <w:sz w:val="18"/>
          <w:szCs w:val="18"/>
        </w:rPr>
        <w:t>,</w:t>
      </w:r>
      <w:r w:rsidR="005F658D">
        <w:rPr>
          <w:rFonts w:cs="Arial"/>
          <w:iCs/>
          <w:sz w:val="18"/>
          <w:szCs w:val="18"/>
        </w:rPr>
        <w:t xml:space="preserve"> te behouden</w:t>
      </w:r>
      <w:r w:rsidR="00206DEB">
        <w:rPr>
          <w:rFonts w:cs="Arial"/>
          <w:iCs/>
          <w:sz w:val="18"/>
          <w:szCs w:val="18"/>
        </w:rPr>
        <w:t>,</w:t>
      </w:r>
      <w:r w:rsidR="005F658D">
        <w:rPr>
          <w:rFonts w:cs="Arial"/>
          <w:iCs/>
          <w:sz w:val="18"/>
          <w:szCs w:val="18"/>
        </w:rPr>
        <w:t xml:space="preserve"> naast het nieuwe kader voor prudentieel relevante transacties dat volgt uit CRD. </w:t>
      </w:r>
      <w:r w:rsidR="00206DEB">
        <w:rPr>
          <w:rFonts w:cs="Arial"/>
          <w:iCs/>
          <w:sz w:val="18"/>
          <w:szCs w:val="18"/>
        </w:rPr>
        <w:t>Deze opmerkingen hebben</w:t>
      </w:r>
      <w:r w:rsidR="000F350F">
        <w:rPr>
          <w:rFonts w:cs="Arial"/>
          <w:iCs/>
          <w:sz w:val="18"/>
          <w:szCs w:val="18"/>
        </w:rPr>
        <w:t xml:space="preserve">, gelet op de mate van </w:t>
      </w:r>
      <w:r w:rsidR="000F350F">
        <w:rPr>
          <w:rFonts w:cs="Arial"/>
          <w:iCs/>
          <w:sz w:val="18"/>
          <w:szCs w:val="18"/>
        </w:rPr>
        <w:lastRenderedPageBreak/>
        <w:t>harmonisatie waarin de richtlijn voorziet en reeds bestaande kennisgevingsverplichtingen in de Wft, zoals op grond van artikel 3:29 Wft,</w:t>
      </w:r>
      <w:r w:rsidR="00206DEB">
        <w:rPr>
          <w:rFonts w:cs="Arial"/>
          <w:iCs/>
          <w:sz w:val="18"/>
          <w:szCs w:val="18"/>
        </w:rPr>
        <w:t xml:space="preserve"> </w:t>
      </w:r>
      <w:r w:rsidR="000F350F">
        <w:rPr>
          <w:rFonts w:cs="Arial"/>
          <w:iCs/>
          <w:sz w:val="18"/>
          <w:szCs w:val="18"/>
        </w:rPr>
        <w:t>geleid tot de keuze</w:t>
      </w:r>
      <w:r w:rsidR="00B51D82">
        <w:rPr>
          <w:rFonts w:cs="Arial"/>
          <w:iCs/>
          <w:sz w:val="18"/>
          <w:szCs w:val="18"/>
        </w:rPr>
        <w:t xml:space="preserve"> om artikel 3:96 Wft </w:t>
      </w:r>
      <w:r w:rsidR="000F350F">
        <w:rPr>
          <w:rFonts w:cs="Arial"/>
          <w:iCs/>
          <w:sz w:val="18"/>
          <w:szCs w:val="18"/>
        </w:rPr>
        <w:t xml:space="preserve">in het </w:t>
      </w:r>
      <w:r w:rsidR="00B51D82">
        <w:rPr>
          <w:rFonts w:cs="Arial"/>
          <w:iCs/>
          <w:sz w:val="18"/>
          <w:szCs w:val="18"/>
        </w:rPr>
        <w:t xml:space="preserve">geheel te laten vervallen. </w:t>
      </w:r>
    </w:p>
    <w:p w:rsidR="0030240D" w:rsidP="00395DD3" w:rsidRDefault="0030240D" w14:paraId="58A2402F" w14:textId="77777777">
      <w:pPr>
        <w:widowControl w:val="0"/>
        <w:tabs>
          <w:tab w:val="num" w:pos="720"/>
        </w:tabs>
        <w:spacing w:line="240" w:lineRule="atLeast"/>
        <w:rPr>
          <w:rFonts w:cs="Arial"/>
          <w:iCs/>
          <w:sz w:val="18"/>
          <w:szCs w:val="18"/>
        </w:rPr>
      </w:pPr>
    </w:p>
    <w:p w:rsidRPr="00013526" w:rsidR="00F11CC7" w:rsidP="00395DD3" w:rsidRDefault="00F11CC7" w14:paraId="528E49A2" w14:textId="2D44C50A">
      <w:pPr>
        <w:widowControl w:val="0"/>
        <w:tabs>
          <w:tab w:val="num" w:pos="720"/>
        </w:tabs>
        <w:spacing w:line="240" w:lineRule="atLeast"/>
        <w:rPr>
          <w:rFonts w:cs="Arial"/>
          <w:i/>
          <w:sz w:val="18"/>
          <w:szCs w:val="18"/>
        </w:rPr>
      </w:pPr>
      <w:r>
        <w:rPr>
          <w:rFonts w:cs="Arial"/>
          <w:i/>
          <w:sz w:val="18"/>
          <w:szCs w:val="18"/>
        </w:rPr>
        <w:t>7.2.2 De term “deelneming”</w:t>
      </w:r>
    </w:p>
    <w:p w:rsidR="00206DEB" w:rsidP="00F11CC7" w:rsidRDefault="00F11CC7" w14:paraId="3CBD2A79" w14:textId="77777777">
      <w:pPr>
        <w:widowControl w:val="0"/>
        <w:tabs>
          <w:tab w:val="num" w:pos="720"/>
        </w:tabs>
        <w:spacing w:line="240" w:lineRule="atLeast"/>
        <w:rPr>
          <w:rFonts w:cs="Arial"/>
          <w:iCs/>
          <w:sz w:val="18"/>
          <w:szCs w:val="18"/>
        </w:rPr>
      </w:pPr>
      <w:r>
        <w:rPr>
          <w:rFonts w:cs="Arial"/>
          <w:iCs/>
          <w:sz w:val="18"/>
          <w:szCs w:val="18"/>
        </w:rPr>
        <w:t>De NVB vraagt wat wordt bedoeld met de term ‘deelneming’ in de artikelen 3:96a en 3:96c Wft</w:t>
      </w:r>
      <w:r w:rsidR="00206DEB">
        <w:rPr>
          <w:rFonts w:cs="Arial"/>
          <w:iCs/>
          <w:sz w:val="18"/>
          <w:szCs w:val="18"/>
        </w:rPr>
        <w:t>, die voorzien in het nieuwe toezichtkader voor prudentieel relevante transacties,</w:t>
      </w:r>
      <w:r>
        <w:rPr>
          <w:rFonts w:cs="Arial"/>
          <w:iCs/>
          <w:sz w:val="18"/>
          <w:szCs w:val="18"/>
        </w:rPr>
        <w:t xml:space="preserve"> en stelt dat, om rechtsonzekerheid te voorkomen, het woord ‘deelneming’ gewijzigd kan worden in het woord ‘belang’. </w:t>
      </w:r>
    </w:p>
    <w:p w:rsidR="00206DEB" w:rsidP="00F11CC7" w:rsidRDefault="00206DEB" w14:paraId="21AFD6DA" w14:textId="77777777">
      <w:pPr>
        <w:widowControl w:val="0"/>
        <w:tabs>
          <w:tab w:val="num" w:pos="720"/>
        </w:tabs>
        <w:spacing w:line="240" w:lineRule="atLeast"/>
        <w:rPr>
          <w:rFonts w:cs="Arial"/>
          <w:iCs/>
          <w:sz w:val="18"/>
          <w:szCs w:val="18"/>
        </w:rPr>
      </w:pPr>
    </w:p>
    <w:p w:rsidR="00F11CC7" w:rsidP="00F11CC7" w:rsidRDefault="00F11CC7" w14:paraId="377BD206" w14:textId="6E61A245">
      <w:pPr>
        <w:widowControl w:val="0"/>
        <w:tabs>
          <w:tab w:val="num" w:pos="720"/>
        </w:tabs>
        <w:spacing w:line="240" w:lineRule="atLeast"/>
        <w:rPr>
          <w:rFonts w:cs="Arial"/>
          <w:iCs/>
          <w:sz w:val="18"/>
          <w:szCs w:val="18"/>
        </w:rPr>
      </w:pPr>
      <w:r>
        <w:rPr>
          <w:rFonts w:cs="Arial"/>
          <w:iCs/>
          <w:sz w:val="18"/>
          <w:szCs w:val="18"/>
        </w:rPr>
        <w:t xml:space="preserve">Ter </w:t>
      </w:r>
      <w:r w:rsidR="00206DEB">
        <w:rPr>
          <w:rFonts w:cs="Arial"/>
          <w:iCs/>
          <w:sz w:val="18"/>
          <w:szCs w:val="18"/>
        </w:rPr>
        <w:t xml:space="preserve">verduidelijking </w:t>
      </w:r>
      <w:r>
        <w:rPr>
          <w:rFonts w:cs="Arial"/>
          <w:iCs/>
          <w:sz w:val="18"/>
          <w:szCs w:val="18"/>
        </w:rPr>
        <w:t>is</w:t>
      </w:r>
      <w:r w:rsidR="00206DEB">
        <w:rPr>
          <w:rFonts w:cs="Arial"/>
          <w:iCs/>
          <w:sz w:val="18"/>
          <w:szCs w:val="18"/>
        </w:rPr>
        <w:t>, naar aanleiding van deze reactie,</w:t>
      </w:r>
      <w:r>
        <w:rPr>
          <w:rFonts w:cs="Arial"/>
          <w:iCs/>
          <w:sz w:val="18"/>
          <w:szCs w:val="18"/>
        </w:rPr>
        <w:t xml:space="preserve"> in artikel 3:96a</w:t>
      </w:r>
      <w:r w:rsidR="00206DEB">
        <w:rPr>
          <w:rFonts w:cs="Arial"/>
          <w:iCs/>
          <w:sz w:val="18"/>
          <w:szCs w:val="18"/>
        </w:rPr>
        <w:t xml:space="preserve"> en </w:t>
      </w:r>
      <w:r>
        <w:rPr>
          <w:rFonts w:cs="Arial"/>
          <w:iCs/>
          <w:sz w:val="18"/>
          <w:szCs w:val="18"/>
        </w:rPr>
        <w:t>3:96c</w:t>
      </w:r>
      <w:r w:rsidR="00013526">
        <w:rPr>
          <w:rFonts w:cs="Arial"/>
          <w:iCs/>
          <w:sz w:val="18"/>
          <w:szCs w:val="18"/>
        </w:rPr>
        <w:t xml:space="preserve"> Wft</w:t>
      </w:r>
      <w:r>
        <w:rPr>
          <w:rFonts w:cs="Arial"/>
          <w:iCs/>
          <w:sz w:val="18"/>
          <w:szCs w:val="18"/>
        </w:rPr>
        <w:t xml:space="preserve"> opgenomen dat het gaat om een</w:t>
      </w:r>
      <w:r w:rsidR="009846B6">
        <w:rPr>
          <w:rFonts w:cs="Arial"/>
          <w:iCs/>
          <w:sz w:val="18"/>
          <w:szCs w:val="18"/>
        </w:rPr>
        <w:t xml:space="preserve"> verwerving van een</w:t>
      </w:r>
      <w:r>
        <w:rPr>
          <w:rFonts w:cs="Arial"/>
          <w:iCs/>
          <w:sz w:val="18"/>
          <w:szCs w:val="18"/>
        </w:rPr>
        <w:t xml:space="preserve"> ‘deelneming van betekenis’. Deze deelneming van betekenis wordt in de CRD omschreven als een deelneming die van materieel belang wordt beschouwd en ten minste 15% van het in aanmerking komend kapitaal van de kandidaat-verkrijger bedraagt. Er gelden geen andere drempels dan de voornoemde 15% van het in aanmerking komend kapitaal. </w:t>
      </w:r>
    </w:p>
    <w:p w:rsidR="00F11CC7" w:rsidP="00395DD3" w:rsidRDefault="00F11CC7" w14:paraId="657713CC" w14:textId="77777777">
      <w:pPr>
        <w:widowControl w:val="0"/>
        <w:tabs>
          <w:tab w:val="num" w:pos="720"/>
        </w:tabs>
        <w:spacing w:line="240" w:lineRule="atLeast"/>
        <w:rPr>
          <w:rFonts w:cs="Arial"/>
          <w:iCs/>
          <w:sz w:val="18"/>
          <w:szCs w:val="18"/>
        </w:rPr>
      </w:pPr>
    </w:p>
    <w:p w:rsidRPr="00013526" w:rsidR="00F11CC7" w:rsidP="00395DD3" w:rsidRDefault="00F11CC7" w14:paraId="189F3043" w14:textId="15739FC8">
      <w:pPr>
        <w:widowControl w:val="0"/>
        <w:tabs>
          <w:tab w:val="num" w:pos="720"/>
        </w:tabs>
        <w:spacing w:line="240" w:lineRule="atLeast"/>
        <w:rPr>
          <w:rFonts w:cs="Arial"/>
          <w:i/>
          <w:sz w:val="18"/>
          <w:szCs w:val="18"/>
        </w:rPr>
      </w:pPr>
      <w:r>
        <w:rPr>
          <w:rFonts w:cs="Arial"/>
          <w:i/>
          <w:sz w:val="18"/>
          <w:szCs w:val="18"/>
        </w:rPr>
        <w:t>7.2.3 Overgangsrecht voor lopende vvgb-aanvragen.</w:t>
      </w:r>
    </w:p>
    <w:p w:rsidR="0024398D" w:rsidP="0024398D" w:rsidRDefault="0024398D" w14:paraId="15775FEE" w14:textId="50DC6B57">
      <w:pPr>
        <w:widowControl w:val="0"/>
        <w:tabs>
          <w:tab w:val="num" w:pos="720"/>
        </w:tabs>
        <w:spacing w:line="240" w:lineRule="atLeast"/>
        <w:rPr>
          <w:rFonts w:cs="Arial"/>
          <w:iCs/>
          <w:sz w:val="18"/>
          <w:szCs w:val="18"/>
        </w:rPr>
      </w:pPr>
      <w:r>
        <w:rPr>
          <w:rFonts w:cs="Arial"/>
          <w:iCs/>
          <w:sz w:val="18"/>
          <w:szCs w:val="18"/>
        </w:rPr>
        <w:t xml:space="preserve">De NVB vraagt te voorzien in een overgangsregime voor vvgb-aanvragen die aanhangig zijn ten tijde van de inwerkingtreding van de wet. </w:t>
      </w:r>
      <w:r w:rsidR="00206DEB">
        <w:rPr>
          <w:rFonts w:cs="Arial"/>
          <w:iCs/>
          <w:sz w:val="18"/>
          <w:szCs w:val="18"/>
        </w:rPr>
        <w:t xml:space="preserve">Deze reactie is gevolgd. </w:t>
      </w:r>
      <w:r w:rsidR="00013526">
        <w:rPr>
          <w:rFonts w:cs="Arial"/>
          <w:iCs/>
          <w:sz w:val="18"/>
          <w:szCs w:val="18"/>
        </w:rPr>
        <w:t>I</w:t>
      </w:r>
      <w:r>
        <w:rPr>
          <w:rFonts w:cs="Arial"/>
          <w:iCs/>
          <w:sz w:val="18"/>
          <w:szCs w:val="18"/>
        </w:rPr>
        <w:t>n artikel I</w:t>
      </w:r>
      <w:r w:rsidR="00013526">
        <w:rPr>
          <w:rFonts w:cs="Arial"/>
          <w:iCs/>
          <w:sz w:val="18"/>
          <w:szCs w:val="18"/>
        </w:rPr>
        <w:t>V zijn hiervoor overgangsbepalingen opgenomen</w:t>
      </w:r>
      <w:r>
        <w:rPr>
          <w:rFonts w:cs="Arial"/>
          <w:iCs/>
          <w:sz w:val="18"/>
          <w:szCs w:val="18"/>
        </w:rPr>
        <w:t>.</w:t>
      </w:r>
    </w:p>
    <w:p w:rsidR="0030240D" w:rsidP="00395DD3" w:rsidRDefault="0030240D" w14:paraId="6A33E9F8" w14:textId="77777777">
      <w:pPr>
        <w:widowControl w:val="0"/>
        <w:tabs>
          <w:tab w:val="num" w:pos="720"/>
        </w:tabs>
        <w:spacing w:line="240" w:lineRule="atLeast"/>
        <w:rPr>
          <w:rFonts w:cs="Arial"/>
          <w:iCs/>
          <w:sz w:val="18"/>
          <w:szCs w:val="18"/>
        </w:rPr>
      </w:pPr>
    </w:p>
    <w:p w:rsidRPr="00013526" w:rsidR="00F11CC7" w:rsidP="00395DD3" w:rsidRDefault="00F11CC7" w14:paraId="6ABB63B2" w14:textId="5ACAD06D">
      <w:pPr>
        <w:widowControl w:val="0"/>
        <w:tabs>
          <w:tab w:val="num" w:pos="720"/>
        </w:tabs>
        <w:spacing w:line="240" w:lineRule="atLeast"/>
        <w:rPr>
          <w:rFonts w:cs="Arial"/>
          <w:i/>
          <w:sz w:val="18"/>
          <w:szCs w:val="18"/>
        </w:rPr>
      </w:pPr>
      <w:r>
        <w:rPr>
          <w:rFonts w:cs="Arial"/>
          <w:i/>
          <w:sz w:val="18"/>
          <w:szCs w:val="18"/>
        </w:rPr>
        <w:t>7.2.4 AMvB ter uitwerking van informatieverplichtingen bij vvgb-regime</w:t>
      </w:r>
    </w:p>
    <w:p w:rsidR="00450726" w:rsidP="00395DD3" w:rsidRDefault="0024398D" w14:paraId="120EFF12" w14:textId="15364825">
      <w:pPr>
        <w:widowControl w:val="0"/>
        <w:tabs>
          <w:tab w:val="num" w:pos="720"/>
        </w:tabs>
        <w:spacing w:line="240" w:lineRule="atLeast"/>
        <w:rPr>
          <w:rFonts w:cs="Arial"/>
          <w:iCs/>
          <w:sz w:val="18"/>
          <w:szCs w:val="18"/>
        </w:rPr>
      </w:pPr>
      <w:r>
        <w:rPr>
          <w:rFonts w:cs="Arial"/>
          <w:iCs/>
          <w:sz w:val="18"/>
          <w:szCs w:val="18"/>
        </w:rPr>
        <w:t xml:space="preserve">Ten aanzien van </w:t>
      </w:r>
      <w:r w:rsidR="00450726">
        <w:rPr>
          <w:rFonts w:cs="Arial"/>
          <w:iCs/>
          <w:sz w:val="18"/>
          <w:szCs w:val="18"/>
        </w:rPr>
        <w:t xml:space="preserve">de delegatiegrondslagen in </w:t>
      </w:r>
      <w:r>
        <w:rPr>
          <w:rFonts w:cs="Arial"/>
          <w:iCs/>
          <w:sz w:val="18"/>
          <w:szCs w:val="18"/>
        </w:rPr>
        <w:t xml:space="preserve">artikel 3:96b en 3:96d benoemt de NVB dat de relevante AMvB nog niet </w:t>
      </w:r>
      <w:r w:rsidR="00450726">
        <w:rPr>
          <w:rFonts w:cs="Arial"/>
          <w:iCs/>
          <w:sz w:val="18"/>
          <w:szCs w:val="18"/>
        </w:rPr>
        <w:t>is gepubliceerd voor</w:t>
      </w:r>
      <w:r>
        <w:rPr>
          <w:rFonts w:cs="Arial"/>
          <w:iCs/>
          <w:sz w:val="18"/>
          <w:szCs w:val="18"/>
        </w:rPr>
        <w:t xml:space="preserve"> consultatie</w:t>
      </w:r>
      <w:r w:rsidR="00450726">
        <w:rPr>
          <w:rFonts w:cs="Arial"/>
          <w:iCs/>
          <w:sz w:val="18"/>
          <w:szCs w:val="18"/>
        </w:rPr>
        <w:t>.</w:t>
      </w:r>
      <w:r>
        <w:rPr>
          <w:rFonts w:cs="Arial"/>
          <w:iCs/>
          <w:sz w:val="18"/>
          <w:szCs w:val="18"/>
        </w:rPr>
        <w:t xml:space="preserve"> </w:t>
      </w:r>
      <w:r w:rsidR="00450726">
        <w:rPr>
          <w:rFonts w:cs="Arial"/>
          <w:iCs/>
          <w:sz w:val="18"/>
          <w:szCs w:val="18"/>
        </w:rPr>
        <w:t>Zij</w:t>
      </w:r>
      <w:r>
        <w:rPr>
          <w:rFonts w:cs="Arial"/>
          <w:iCs/>
          <w:sz w:val="18"/>
          <w:szCs w:val="18"/>
        </w:rPr>
        <w:t xml:space="preserve"> </w:t>
      </w:r>
      <w:r w:rsidR="00450726">
        <w:rPr>
          <w:rFonts w:cs="Arial"/>
          <w:iCs/>
          <w:sz w:val="18"/>
          <w:szCs w:val="18"/>
        </w:rPr>
        <w:t xml:space="preserve">vraagt aandacht voor </w:t>
      </w:r>
      <w:r w:rsidR="009846B6">
        <w:rPr>
          <w:rFonts w:cs="Arial"/>
          <w:iCs/>
          <w:sz w:val="18"/>
          <w:szCs w:val="18"/>
        </w:rPr>
        <w:t>de informatie die aangeleverd zou moeten worden voor de kennisgeving</w:t>
      </w:r>
      <w:r w:rsidR="00450726">
        <w:rPr>
          <w:rFonts w:cs="Arial"/>
          <w:iCs/>
          <w:sz w:val="18"/>
          <w:szCs w:val="18"/>
        </w:rPr>
        <w:t>,</w:t>
      </w:r>
      <w:r>
        <w:rPr>
          <w:rFonts w:cs="Arial"/>
          <w:iCs/>
          <w:sz w:val="18"/>
          <w:szCs w:val="18"/>
        </w:rPr>
        <w:t xml:space="preserve"> </w:t>
      </w:r>
      <w:r w:rsidR="00450726">
        <w:rPr>
          <w:rFonts w:cs="Arial"/>
          <w:iCs/>
          <w:sz w:val="18"/>
          <w:szCs w:val="18"/>
        </w:rPr>
        <w:t xml:space="preserve">dat </w:t>
      </w:r>
      <w:r>
        <w:rPr>
          <w:rFonts w:cs="Arial"/>
          <w:iCs/>
          <w:sz w:val="18"/>
          <w:szCs w:val="18"/>
        </w:rPr>
        <w:t xml:space="preserve">niet dermate gedetailleerd </w:t>
      </w:r>
      <w:r w:rsidR="00450726">
        <w:rPr>
          <w:rFonts w:cs="Arial"/>
          <w:iCs/>
          <w:sz w:val="18"/>
          <w:szCs w:val="18"/>
        </w:rPr>
        <w:t xml:space="preserve">moet zijn ten aanzien van </w:t>
      </w:r>
      <w:r>
        <w:rPr>
          <w:rFonts w:cs="Arial"/>
          <w:iCs/>
          <w:sz w:val="18"/>
          <w:szCs w:val="18"/>
        </w:rPr>
        <w:t>een voorgenomen transactie</w:t>
      </w:r>
      <w:r w:rsidR="00450726">
        <w:rPr>
          <w:rFonts w:cs="Arial"/>
          <w:iCs/>
          <w:sz w:val="18"/>
          <w:szCs w:val="18"/>
        </w:rPr>
        <w:t>,</w:t>
      </w:r>
      <w:r>
        <w:rPr>
          <w:rFonts w:cs="Arial"/>
          <w:iCs/>
          <w:sz w:val="18"/>
          <w:szCs w:val="18"/>
        </w:rPr>
        <w:t xml:space="preserve"> dat dit</w:t>
      </w:r>
      <w:r w:rsidR="00450726">
        <w:rPr>
          <w:rFonts w:cs="Arial"/>
          <w:iCs/>
          <w:sz w:val="18"/>
          <w:szCs w:val="18"/>
        </w:rPr>
        <w:t xml:space="preserve"> de facto alsnog tot een (intensievere) beoordeling leidt</w:t>
      </w:r>
      <w:r>
        <w:rPr>
          <w:rFonts w:cs="Arial"/>
          <w:iCs/>
          <w:sz w:val="18"/>
          <w:szCs w:val="18"/>
        </w:rPr>
        <w:t>.</w:t>
      </w:r>
    </w:p>
    <w:p w:rsidR="00450726" w:rsidP="00395DD3" w:rsidRDefault="00450726" w14:paraId="48D91A32" w14:textId="77777777">
      <w:pPr>
        <w:widowControl w:val="0"/>
        <w:tabs>
          <w:tab w:val="num" w:pos="720"/>
        </w:tabs>
        <w:spacing w:line="240" w:lineRule="atLeast"/>
        <w:rPr>
          <w:rFonts w:cs="Arial"/>
          <w:iCs/>
          <w:sz w:val="18"/>
          <w:szCs w:val="18"/>
        </w:rPr>
      </w:pPr>
    </w:p>
    <w:p w:rsidR="00BC269A" w:rsidP="00395DD3" w:rsidRDefault="00BC269A" w14:paraId="6D422408" w14:textId="189AD618">
      <w:pPr>
        <w:widowControl w:val="0"/>
        <w:tabs>
          <w:tab w:val="num" w:pos="720"/>
        </w:tabs>
        <w:spacing w:line="240" w:lineRule="atLeast"/>
        <w:rPr>
          <w:rFonts w:cs="Arial"/>
          <w:iCs/>
          <w:sz w:val="18"/>
          <w:szCs w:val="18"/>
        </w:rPr>
      </w:pPr>
      <w:r>
        <w:rPr>
          <w:rFonts w:cs="Arial"/>
          <w:iCs/>
          <w:sz w:val="18"/>
          <w:szCs w:val="18"/>
        </w:rPr>
        <w:t xml:space="preserve">Voor de aan te leveren informatie </w:t>
      </w:r>
      <w:r w:rsidR="00450726">
        <w:rPr>
          <w:rFonts w:cs="Arial"/>
          <w:iCs/>
          <w:sz w:val="18"/>
          <w:szCs w:val="18"/>
        </w:rPr>
        <w:t xml:space="preserve">middels dit kennisgevingsformulier </w:t>
      </w:r>
      <w:r>
        <w:rPr>
          <w:rFonts w:cs="Arial"/>
          <w:iCs/>
          <w:sz w:val="18"/>
          <w:szCs w:val="18"/>
        </w:rPr>
        <w:t>dient EBA, conform artikel 27 ter, zevende lid, CRD een technische reguleringsnorm op te stellen die door de Europese Commissie aangenomen zal worden als gedelegeerde verordening. Die gedelegeerde verordening zal de minimumvereisten bevatten aan informatie die moet worden aangeleverd bij een vvgb-aanvraag op grond van de voorgestelde artikelen 3:96a of 3:96c Wft en de kennisgeving van een overname of overdracht van activa of passiva als bedoeld in de voorgestelde artikelen 3:96b, eerste lid, onderdeel b, en 3:96d, eerste lid, onderdeel b, Wft. De gedelegeerde verordening schrijft niet de informatie voor die aangeleverd moet worden bij een kennisgeving voor een afstoting van een deelneming van betekenis als bedoeld in</w:t>
      </w:r>
      <w:r w:rsidRPr="00BC269A">
        <w:rPr>
          <w:rFonts w:cs="Arial"/>
          <w:iCs/>
          <w:sz w:val="18"/>
          <w:szCs w:val="18"/>
        </w:rPr>
        <w:t xml:space="preserve"> </w:t>
      </w:r>
      <w:r>
        <w:rPr>
          <w:rFonts w:cs="Arial"/>
          <w:iCs/>
          <w:sz w:val="18"/>
          <w:szCs w:val="18"/>
        </w:rPr>
        <w:t>de voorgestelde artikelen 3:96b, eerste lid, onderdeel a, en 3:96d, eerste lid, onderdeel a, Wft. Het voornemen is om de vereiste informatie hiervoor zeer beperkt te houden. De precieze invulling zal duidelijk worden bij de consultatie van het ontwerp implementatiebesluit dat volgt op dit wetsvoorstel.</w:t>
      </w:r>
      <w:r w:rsidR="00450726">
        <w:rPr>
          <w:rFonts w:cs="Arial"/>
          <w:iCs/>
          <w:sz w:val="18"/>
          <w:szCs w:val="18"/>
        </w:rPr>
        <w:t xml:space="preserve"> Bij de totstandkoming van dit ontwerp zal de reactie van de NVB worden betrokken.</w:t>
      </w:r>
      <w:r w:rsidR="00385727">
        <w:rPr>
          <w:rFonts w:cs="Arial"/>
          <w:iCs/>
          <w:sz w:val="18"/>
          <w:szCs w:val="18"/>
        </w:rPr>
        <w:t xml:space="preserve"> </w:t>
      </w:r>
    </w:p>
    <w:p w:rsidR="00BC269A" w:rsidP="00395DD3" w:rsidRDefault="00BC269A" w14:paraId="4A596A4A" w14:textId="77777777">
      <w:pPr>
        <w:widowControl w:val="0"/>
        <w:tabs>
          <w:tab w:val="num" w:pos="720"/>
        </w:tabs>
        <w:spacing w:line="240" w:lineRule="atLeast"/>
        <w:rPr>
          <w:rFonts w:cs="Arial"/>
          <w:iCs/>
          <w:sz w:val="18"/>
          <w:szCs w:val="18"/>
        </w:rPr>
      </w:pPr>
    </w:p>
    <w:p w:rsidR="00315CCD" w:rsidP="00395DD3" w:rsidRDefault="0024398D" w14:paraId="3107067A" w14:textId="009A664A">
      <w:pPr>
        <w:widowControl w:val="0"/>
        <w:tabs>
          <w:tab w:val="num" w:pos="720"/>
        </w:tabs>
        <w:spacing w:line="240" w:lineRule="atLeast"/>
        <w:rPr>
          <w:rFonts w:cs="Arial"/>
          <w:iCs/>
          <w:sz w:val="18"/>
          <w:szCs w:val="18"/>
        </w:rPr>
      </w:pPr>
      <w:r>
        <w:rPr>
          <w:rFonts w:cs="Arial"/>
          <w:i/>
          <w:sz w:val="18"/>
          <w:szCs w:val="18"/>
        </w:rPr>
        <w:t>7.2.5 Benoemen uiterste datum van mogelijke verlening</w:t>
      </w:r>
    </w:p>
    <w:p w:rsidR="0024398D" w:rsidP="0024398D" w:rsidRDefault="0024398D" w14:paraId="67FB366B" w14:textId="2A245884">
      <w:pPr>
        <w:widowControl w:val="0"/>
        <w:tabs>
          <w:tab w:val="num" w:pos="720"/>
        </w:tabs>
        <w:spacing w:line="240" w:lineRule="atLeast"/>
        <w:rPr>
          <w:rFonts w:cs="Arial"/>
          <w:iCs/>
          <w:sz w:val="18"/>
          <w:szCs w:val="18"/>
        </w:rPr>
      </w:pPr>
      <w:r>
        <w:rPr>
          <w:rFonts w:cs="Arial"/>
          <w:iCs/>
          <w:sz w:val="18"/>
          <w:szCs w:val="18"/>
        </w:rPr>
        <w:t>D</w:t>
      </w:r>
      <w:r w:rsidR="009846B6">
        <w:rPr>
          <w:rFonts w:cs="Arial"/>
          <w:iCs/>
          <w:sz w:val="18"/>
          <w:szCs w:val="18"/>
        </w:rPr>
        <w:t xml:space="preserve">e </w:t>
      </w:r>
      <w:r>
        <w:rPr>
          <w:rFonts w:cs="Arial"/>
          <w:iCs/>
          <w:sz w:val="18"/>
          <w:szCs w:val="18"/>
        </w:rPr>
        <w:t>N</w:t>
      </w:r>
      <w:r w:rsidR="009846B6">
        <w:rPr>
          <w:rFonts w:cs="Arial"/>
          <w:iCs/>
          <w:sz w:val="18"/>
          <w:szCs w:val="18"/>
        </w:rPr>
        <w:t>V</w:t>
      </w:r>
      <w:r>
        <w:rPr>
          <w:rFonts w:cs="Arial"/>
          <w:iCs/>
          <w:sz w:val="18"/>
          <w:szCs w:val="18"/>
        </w:rPr>
        <w:t xml:space="preserve">B verzoekt ten aanzien van verklaringen van geen bezwaar tenslotte om in artikel </w:t>
      </w:r>
      <w:r w:rsidR="00496406">
        <w:rPr>
          <w:rFonts w:cs="Arial"/>
          <w:iCs/>
          <w:sz w:val="18"/>
          <w:szCs w:val="18"/>
        </w:rPr>
        <w:t>1</w:t>
      </w:r>
      <w:r>
        <w:rPr>
          <w:rFonts w:cs="Arial"/>
          <w:iCs/>
          <w:sz w:val="18"/>
          <w:szCs w:val="18"/>
        </w:rPr>
        <w:t xml:space="preserve">:106d Wft een bepaling toe te voegen die de toezichthouder(s) verplicht tot het benoemen van de uiterste datum waarop de aangevraagde vvgb geacht kan worden verleend te zijn of te worden verleend. Naast het feit dat de aanvrager dit op voorhand kan bepalen aan de hand van geldende procedures en termijnen, is </w:t>
      </w:r>
      <w:r w:rsidR="00013526">
        <w:rPr>
          <w:rFonts w:cs="Arial"/>
          <w:iCs/>
          <w:sz w:val="18"/>
          <w:szCs w:val="18"/>
        </w:rPr>
        <w:t xml:space="preserve">dit ook af te leiden uit de kennisgeving die DNB verplicht is te sturen op grond van artikel 1:106b Wft indien zij een aanvraag ontvangt voor een verklaring van geen bezwaar. </w:t>
      </w:r>
      <w:r w:rsidR="00450726">
        <w:rPr>
          <w:rFonts w:cs="Arial"/>
          <w:iCs/>
          <w:sz w:val="18"/>
          <w:szCs w:val="18"/>
        </w:rPr>
        <w:t>Deze reactie leidt daarom niet tot</w:t>
      </w:r>
      <w:r>
        <w:rPr>
          <w:rFonts w:cs="Arial"/>
          <w:iCs/>
          <w:sz w:val="18"/>
          <w:szCs w:val="18"/>
        </w:rPr>
        <w:t xml:space="preserve"> aanpassing van artikel </w:t>
      </w:r>
      <w:r w:rsidR="00496406">
        <w:rPr>
          <w:rFonts w:cs="Arial"/>
          <w:iCs/>
          <w:sz w:val="18"/>
          <w:szCs w:val="18"/>
        </w:rPr>
        <w:t>1</w:t>
      </w:r>
      <w:r>
        <w:rPr>
          <w:rFonts w:cs="Arial"/>
          <w:iCs/>
          <w:sz w:val="18"/>
          <w:szCs w:val="18"/>
        </w:rPr>
        <w:t>:106d Wft.</w:t>
      </w:r>
      <w:r w:rsidR="00771E3E">
        <w:rPr>
          <w:rFonts w:cs="Arial"/>
          <w:iCs/>
          <w:sz w:val="18"/>
          <w:szCs w:val="18"/>
        </w:rPr>
        <w:t xml:space="preserve"> </w:t>
      </w:r>
    </w:p>
    <w:p w:rsidR="0024398D" w:rsidP="00395DD3" w:rsidRDefault="0024398D" w14:paraId="02B0833C" w14:textId="77777777">
      <w:pPr>
        <w:widowControl w:val="0"/>
        <w:tabs>
          <w:tab w:val="num" w:pos="720"/>
        </w:tabs>
        <w:spacing w:line="240" w:lineRule="atLeast"/>
        <w:rPr>
          <w:rFonts w:cs="Arial"/>
          <w:iCs/>
          <w:sz w:val="18"/>
          <w:szCs w:val="18"/>
        </w:rPr>
      </w:pPr>
    </w:p>
    <w:p w:rsidRPr="00013526" w:rsidR="0024398D" w:rsidP="0024398D" w:rsidRDefault="003F267D" w14:paraId="2CF2D75E" w14:textId="6E65A8AE">
      <w:pPr>
        <w:widowControl w:val="0"/>
        <w:tabs>
          <w:tab w:val="num" w:pos="720"/>
        </w:tabs>
        <w:spacing w:line="240" w:lineRule="atLeast"/>
        <w:rPr>
          <w:rFonts w:cs="Arial"/>
          <w:i/>
          <w:sz w:val="18"/>
          <w:szCs w:val="18"/>
          <w:u w:val="single"/>
        </w:rPr>
      </w:pPr>
      <w:r w:rsidRPr="00A05EB4">
        <w:rPr>
          <w:rFonts w:cs="Arial"/>
          <w:i/>
          <w:sz w:val="18"/>
          <w:szCs w:val="18"/>
          <w:u w:val="single"/>
        </w:rPr>
        <w:t>§</w:t>
      </w:r>
      <w:r>
        <w:rPr>
          <w:rFonts w:cs="Arial"/>
          <w:i/>
          <w:sz w:val="18"/>
          <w:szCs w:val="18"/>
          <w:u w:val="single"/>
        </w:rPr>
        <w:t xml:space="preserve"> </w:t>
      </w:r>
      <w:r w:rsidRPr="00013526" w:rsidR="0024398D">
        <w:rPr>
          <w:rFonts w:cs="Arial"/>
          <w:i/>
          <w:sz w:val="18"/>
          <w:szCs w:val="18"/>
          <w:u w:val="single"/>
        </w:rPr>
        <w:t>7.3 Geschiktheid en betrouwbaarheidsbeoordeling medewerkers met sleutelfunctie</w:t>
      </w:r>
    </w:p>
    <w:p w:rsidR="0024398D" w:rsidP="0024398D" w:rsidRDefault="0024398D" w14:paraId="7B3CECA3" w14:textId="77777777">
      <w:pPr>
        <w:widowControl w:val="0"/>
        <w:tabs>
          <w:tab w:val="num" w:pos="720"/>
        </w:tabs>
        <w:spacing w:line="240" w:lineRule="atLeast"/>
        <w:rPr>
          <w:rFonts w:cs="Arial"/>
          <w:i/>
          <w:sz w:val="18"/>
          <w:szCs w:val="18"/>
        </w:rPr>
      </w:pPr>
    </w:p>
    <w:p w:rsidR="0024398D" w:rsidP="0024398D" w:rsidRDefault="0024398D" w14:paraId="6B4F31F5" w14:textId="77777777">
      <w:pPr>
        <w:widowControl w:val="0"/>
        <w:tabs>
          <w:tab w:val="num" w:pos="720"/>
        </w:tabs>
        <w:spacing w:line="240" w:lineRule="atLeast"/>
        <w:rPr>
          <w:rFonts w:cs="Arial"/>
          <w:iCs/>
          <w:sz w:val="18"/>
          <w:szCs w:val="18"/>
        </w:rPr>
      </w:pPr>
      <w:r>
        <w:rPr>
          <w:rFonts w:cs="Arial"/>
          <w:iCs/>
          <w:sz w:val="18"/>
          <w:szCs w:val="18"/>
        </w:rPr>
        <w:t>De NVB, het Verbond en Finnius hebben opmerkingen gemaakt over de geschiktheid en betrouwbaarheid van medewerkers met een sleutelfunctie.</w:t>
      </w:r>
    </w:p>
    <w:p w:rsidR="0024398D" w:rsidP="0024398D" w:rsidRDefault="0024398D" w14:paraId="583C70E0" w14:textId="77777777">
      <w:pPr>
        <w:widowControl w:val="0"/>
        <w:tabs>
          <w:tab w:val="num" w:pos="720"/>
        </w:tabs>
        <w:spacing w:line="240" w:lineRule="atLeast"/>
        <w:rPr>
          <w:rFonts w:cs="Arial"/>
          <w:iCs/>
          <w:sz w:val="18"/>
          <w:szCs w:val="18"/>
        </w:rPr>
      </w:pPr>
    </w:p>
    <w:p w:rsidRPr="0024398D" w:rsidR="0024398D" w:rsidP="0024398D" w:rsidRDefault="0024398D" w14:paraId="21C3185E" w14:textId="77777777">
      <w:pPr>
        <w:widowControl w:val="0"/>
        <w:tabs>
          <w:tab w:val="num" w:pos="720"/>
        </w:tabs>
        <w:spacing w:line="240" w:lineRule="atLeast"/>
        <w:rPr>
          <w:rFonts w:cs="Arial"/>
          <w:i/>
          <w:sz w:val="18"/>
          <w:szCs w:val="18"/>
        </w:rPr>
      </w:pPr>
      <w:r>
        <w:rPr>
          <w:rFonts w:cs="Arial"/>
          <w:i/>
          <w:sz w:val="18"/>
          <w:szCs w:val="18"/>
        </w:rPr>
        <w:t>7.3.1 Reikwijdte begrip medewerkers met een sleutelfunctie</w:t>
      </w:r>
    </w:p>
    <w:p w:rsidR="0024398D" w:rsidP="0024398D" w:rsidRDefault="0024398D" w14:paraId="548AA391" w14:textId="4A95A2F5">
      <w:pPr>
        <w:widowControl w:val="0"/>
        <w:tabs>
          <w:tab w:val="num" w:pos="720"/>
        </w:tabs>
        <w:spacing w:line="240" w:lineRule="atLeast"/>
        <w:rPr>
          <w:rFonts w:cs="Arial"/>
          <w:iCs/>
          <w:sz w:val="18"/>
          <w:szCs w:val="18"/>
        </w:rPr>
      </w:pPr>
      <w:r>
        <w:rPr>
          <w:rFonts w:cs="Arial"/>
          <w:iCs/>
          <w:sz w:val="18"/>
          <w:szCs w:val="18"/>
        </w:rPr>
        <w:t xml:space="preserve">De NVB en het Verbond hebben opmerkingen gemaakt over de reikwijdte van het begrip ‘medewerkers met een sleutelfunctie’ en de verhouding </w:t>
      </w:r>
      <w:r w:rsidR="00450726">
        <w:rPr>
          <w:rFonts w:cs="Arial"/>
          <w:iCs/>
          <w:sz w:val="18"/>
          <w:szCs w:val="18"/>
        </w:rPr>
        <w:t xml:space="preserve">daarvan </w:t>
      </w:r>
      <w:r>
        <w:rPr>
          <w:rFonts w:cs="Arial"/>
          <w:iCs/>
          <w:sz w:val="18"/>
          <w:szCs w:val="18"/>
        </w:rPr>
        <w:t xml:space="preserve">tot </w:t>
      </w:r>
      <w:r w:rsidR="00450726">
        <w:rPr>
          <w:rFonts w:cs="Arial"/>
          <w:iCs/>
          <w:sz w:val="18"/>
          <w:szCs w:val="18"/>
        </w:rPr>
        <w:t xml:space="preserve">bepaalde </w:t>
      </w:r>
      <w:r>
        <w:rPr>
          <w:rFonts w:cs="Arial"/>
          <w:iCs/>
          <w:sz w:val="18"/>
          <w:szCs w:val="18"/>
        </w:rPr>
        <w:t xml:space="preserve">functies, zoals de hoofden van de risicobeheer-, compliance- en interne auditfunctie en de financieel directeur, die in artikel 91 bis, vierde en vijfde lid, CRD wordt gebruikt. In de artikelsgewijze toelichting bij artikel 3:9b en 4:10a Wft wordt verduidelijkt dat deze functies onder het begrip ‘medewerkers met een sleutelfunctie’ vallen, maar dat dit geen uitputtende lijst functies is die onder de definitie valt. Ook Finnius merkt op dat de term ‘medewerkers met een sleutelfunctie’ moet gelden in de plaats van ‘tweede echelon’, niet omdat de reikwijdte van de begrippen anders zijn, maar omdat dit begrip op Europees niveau wordt geharmoniseerd. In principe is de wetgever niet verplicht om exact dezelfde termen te gebruiken als </w:t>
      </w:r>
      <w:r w:rsidR="00450726">
        <w:rPr>
          <w:rFonts w:cs="Arial"/>
          <w:iCs/>
          <w:sz w:val="18"/>
          <w:szCs w:val="18"/>
        </w:rPr>
        <w:t xml:space="preserve">de termen </w:t>
      </w:r>
      <w:r>
        <w:rPr>
          <w:rFonts w:cs="Arial"/>
          <w:iCs/>
          <w:sz w:val="18"/>
          <w:szCs w:val="18"/>
        </w:rPr>
        <w:t xml:space="preserve">in de richtlijn, als de definitie </w:t>
      </w:r>
      <w:r w:rsidR="00450726">
        <w:rPr>
          <w:rFonts w:cs="Arial"/>
          <w:iCs/>
          <w:sz w:val="18"/>
          <w:szCs w:val="18"/>
        </w:rPr>
        <w:t xml:space="preserve">inhoudelijk </w:t>
      </w:r>
      <w:r>
        <w:rPr>
          <w:rFonts w:cs="Arial"/>
          <w:iCs/>
          <w:sz w:val="18"/>
          <w:szCs w:val="18"/>
        </w:rPr>
        <w:t>maar in lijn is met wat de richtlijn voorschrijft. In dit geval is de nationale definitie en toetsingsregime onder het tweede echelon beperkter dan de definitie die CRD voorschrijft en daarom wordt deze definitie, en term, vervangen.</w:t>
      </w:r>
    </w:p>
    <w:p w:rsidR="0024398D" w:rsidP="0024398D" w:rsidRDefault="0024398D" w14:paraId="65B1CE36" w14:textId="77777777">
      <w:pPr>
        <w:widowControl w:val="0"/>
        <w:tabs>
          <w:tab w:val="num" w:pos="720"/>
        </w:tabs>
        <w:spacing w:line="240" w:lineRule="atLeast"/>
        <w:rPr>
          <w:rFonts w:cs="Arial"/>
          <w:iCs/>
          <w:sz w:val="18"/>
          <w:szCs w:val="18"/>
        </w:rPr>
      </w:pPr>
    </w:p>
    <w:p w:rsidR="008051B3" w:rsidP="0024398D" w:rsidRDefault="008051B3" w14:paraId="620276FF" w14:textId="2BB19472">
      <w:pPr>
        <w:widowControl w:val="0"/>
        <w:tabs>
          <w:tab w:val="num" w:pos="720"/>
        </w:tabs>
        <w:spacing w:line="240" w:lineRule="atLeast"/>
        <w:rPr>
          <w:rFonts w:cs="Arial"/>
          <w:i/>
          <w:sz w:val="18"/>
          <w:szCs w:val="18"/>
        </w:rPr>
      </w:pPr>
      <w:r>
        <w:rPr>
          <w:rFonts w:cs="Arial"/>
          <w:i/>
          <w:sz w:val="18"/>
          <w:szCs w:val="18"/>
        </w:rPr>
        <w:t xml:space="preserve">7.3.2 </w:t>
      </w:r>
      <w:r w:rsidR="00A43853">
        <w:rPr>
          <w:rFonts w:cs="Arial"/>
          <w:i/>
          <w:sz w:val="18"/>
          <w:szCs w:val="18"/>
        </w:rPr>
        <w:t>Variabele beloningen medewerkers met een sleutelfunctie</w:t>
      </w:r>
    </w:p>
    <w:p w:rsidRPr="008051B3" w:rsidR="008051B3" w:rsidP="0024398D" w:rsidRDefault="008051B3" w14:paraId="1D464B92" w14:textId="29E45963">
      <w:pPr>
        <w:widowControl w:val="0"/>
        <w:tabs>
          <w:tab w:val="num" w:pos="720"/>
        </w:tabs>
        <w:spacing w:line="240" w:lineRule="atLeast"/>
        <w:rPr>
          <w:rFonts w:cs="Arial"/>
          <w:iCs/>
          <w:sz w:val="18"/>
          <w:szCs w:val="18"/>
        </w:rPr>
      </w:pPr>
      <w:r>
        <w:rPr>
          <w:rFonts w:cs="Arial"/>
          <w:iCs/>
          <w:sz w:val="18"/>
          <w:szCs w:val="18"/>
        </w:rPr>
        <w:t>De NVB vraagt om overgangsrecht op te nemen als de reikwijdte van het regime voor medewerkers met een sleutelfunctie wijzigt ten opzichte van het vigerende regime voor leden van het tweede echelon.</w:t>
      </w:r>
      <w:r w:rsidR="00EF4DE7">
        <w:rPr>
          <w:rFonts w:cs="Arial"/>
          <w:iCs/>
          <w:sz w:val="18"/>
          <w:szCs w:val="18"/>
        </w:rPr>
        <w:t xml:space="preserve"> </w:t>
      </w:r>
      <w:r w:rsidR="00F8268C">
        <w:rPr>
          <w:rFonts w:cs="Arial"/>
          <w:iCs/>
          <w:sz w:val="18"/>
          <w:szCs w:val="18"/>
        </w:rPr>
        <w:t xml:space="preserve">Na heroverweging </w:t>
      </w:r>
      <w:r w:rsidRPr="009558E2" w:rsidR="009558E2">
        <w:rPr>
          <w:rFonts w:cs="Arial"/>
          <w:iCs/>
          <w:sz w:val="18"/>
          <w:szCs w:val="18"/>
        </w:rPr>
        <w:t xml:space="preserve">is </w:t>
      </w:r>
      <w:r w:rsidR="00F8268C">
        <w:rPr>
          <w:rFonts w:cs="Arial"/>
          <w:iCs/>
          <w:sz w:val="18"/>
          <w:szCs w:val="18"/>
        </w:rPr>
        <w:t xml:space="preserve">ervoor </w:t>
      </w:r>
      <w:r w:rsidRPr="009558E2" w:rsidR="009558E2">
        <w:rPr>
          <w:rFonts w:cs="Arial"/>
          <w:iCs/>
          <w:sz w:val="18"/>
          <w:szCs w:val="18"/>
        </w:rPr>
        <w:t>gekozen om artikel 1:128 Wft niet aan te passen</w:t>
      </w:r>
      <w:r w:rsidR="00F8268C">
        <w:rPr>
          <w:rFonts w:cs="Arial"/>
          <w:iCs/>
          <w:sz w:val="18"/>
          <w:szCs w:val="18"/>
        </w:rPr>
        <w:t>, zodat overgangsrecht niet nodig is</w:t>
      </w:r>
      <w:r w:rsidRPr="009558E2" w:rsidR="009558E2">
        <w:rPr>
          <w:rFonts w:cs="Arial"/>
          <w:iCs/>
          <w:sz w:val="18"/>
          <w:szCs w:val="18"/>
        </w:rPr>
        <w:t xml:space="preserve">. In lijn met </w:t>
      </w:r>
      <w:r w:rsidR="009558E2">
        <w:rPr>
          <w:rFonts w:cs="Arial"/>
          <w:iCs/>
          <w:sz w:val="18"/>
          <w:szCs w:val="18"/>
        </w:rPr>
        <w:t xml:space="preserve">het </w:t>
      </w:r>
      <w:r w:rsidRPr="009558E2" w:rsidR="009558E2">
        <w:rPr>
          <w:rFonts w:cs="Arial"/>
          <w:iCs/>
          <w:sz w:val="18"/>
          <w:szCs w:val="18"/>
        </w:rPr>
        <w:t xml:space="preserve">kabinetsbeleid </w:t>
      </w:r>
      <w:r w:rsidR="00ED49FA">
        <w:rPr>
          <w:rFonts w:cs="Arial"/>
          <w:iCs/>
          <w:sz w:val="18"/>
          <w:szCs w:val="18"/>
        </w:rPr>
        <w:t>wordt</w:t>
      </w:r>
      <w:r w:rsidRPr="009558E2" w:rsidR="009558E2">
        <w:rPr>
          <w:rFonts w:cs="Arial"/>
          <w:iCs/>
          <w:sz w:val="18"/>
          <w:szCs w:val="18"/>
        </w:rPr>
        <w:t xml:space="preserve"> voorkomen dat beloningsregels verder verzw</w:t>
      </w:r>
      <w:r w:rsidR="00ED49FA">
        <w:rPr>
          <w:rFonts w:cs="Arial"/>
          <w:iCs/>
          <w:sz w:val="18"/>
          <w:szCs w:val="18"/>
        </w:rPr>
        <w:t xml:space="preserve">aard worden </w:t>
      </w:r>
      <w:r w:rsidRPr="009558E2" w:rsidR="009558E2">
        <w:rPr>
          <w:rFonts w:cs="Arial"/>
          <w:iCs/>
          <w:sz w:val="18"/>
          <w:szCs w:val="18"/>
        </w:rPr>
        <w:t xml:space="preserve">door </w:t>
      </w:r>
      <w:r w:rsidR="00F8268C">
        <w:rPr>
          <w:rFonts w:cs="Arial"/>
          <w:iCs/>
          <w:sz w:val="18"/>
          <w:szCs w:val="18"/>
        </w:rPr>
        <w:t xml:space="preserve">met het overnemen van de definitie van medewerkers met een sleutelfunctie in artikel 1:128 Wft </w:t>
      </w:r>
      <w:r w:rsidRPr="009558E2" w:rsidR="009558E2">
        <w:rPr>
          <w:rFonts w:cs="Arial"/>
          <w:iCs/>
          <w:sz w:val="18"/>
          <w:szCs w:val="18"/>
        </w:rPr>
        <w:t xml:space="preserve">een extra nationale kop te introduceren, zonder dat daar een Europese aanleiding voor is. </w:t>
      </w:r>
    </w:p>
    <w:p w:rsidR="008051B3" w:rsidP="0024398D" w:rsidRDefault="008051B3" w14:paraId="4D90B14C" w14:textId="77777777">
      <w:pPr>
        <w:widowControl w:val="0"/>
        <w:tabs>
          <w:tab w:val="num" w:pos="720"/>
        </w:tabs>
        <w:spacing w:line="240" w:lineRule="atLeast"/>
        <w:rPr>
          <w:rFonts w:cs="Arial"/>
          <w:iCs/>
          <w:sz w:val="18"/>
          <w:szCs w:val="18"/>
        </w:rPr>
      </w:pPr>
    </w:p>
    <w:p w:rsidRPr="0024398D" w:rsidR="0024398D" w:rsidP="0024398D" w:rsidRDefault="0024398D" w14:paraId="7140D3F7" w14:textId="59231408">
      <w:pPr>
        <w:widowControl w:val="0"/>
        <w:tabs>
          <w:tab w:val="num" w:pos="720"/>
        </w:tabs>
        <w:spacing w:line="240" w:lineRule="atLeast"/>
        <w:rPr>
          <w:rFonts w:cs="Arial"/>
          <w:i/>
          <w:sz w:val="18"/>
          <w:szCs w:val="18"/>
        </w:rPr>
      </w:pPr>
      <w:r>
        <w:rPr>
          <w:rFonts w:cs="Arial"/>
          <w:i/>
          <w:sz w:val="18"/>
          <w:szCs w:val="18"/>
        </w:rPr>
        <w:t>7.3.</w:t>
      </w:r>
      <w:r w:rsidR="008051B3">
        <w:rPr>
          <w:rFonts w:cs="Arial"/>
          <w:i/>
          <w:sz w:val="18"/>
          <w:szCs w:val="18"/>
        </w:rPr>
        <w:t>3</w:t>
      </w:r>
      <w:r>
        <w:rPr>
          <w:rFonts w:cs="Arial"/>
          <w:i/>
          <w:sz w:val="18"/>
          <w:szCs w:val="18"/>
        </w:rPr>
        <w:t xml:space="preserve"> Tweede echelon-regime aanpassen voor verzekeraars</w:t>
      </w:r>
    </w:p>
    <w:p w:rsidR="0024398D" w:rsidP="0024398D" w:rsidRDefault="0024398D" w14:paraId="1E2C9C8E" w14:textId="38B49164">
      <w:pPr>
        <w:widowControl w:val="0"/>
        <w:tabs>
          <w:tab w:val="num" w:pos="720"/>
        </w:tabs>
        <w:spacing w:line="240" w:lineRule="atLeast"/>
        <w:rPr>
          <w:rFonts w:cs="Arial"/>
          <w:iCs/>
          <w:sz w:val="18"/>
          <w:szCs w:val="18"/>
        </w:rPr>
      </w:pPr>
      <w:r>
        <w:rPr>
          <w:rFonts w:cs="Arial"/>
          <w:iCs/>
          <w:sz w:val="18"/>
          <w:szCs w:val="18"/>
        </w:rPr>
        <w:t>Door het Verbond wordt verzocht om de definitie en het toetsingsregime van medewerkers met een sleutelfunctie ook te laten gelden voor verzekeraars. Het Verbond stelt dat het ‘tweede echelon-regime’ niet duidelijk is en verzoekt om dit regime te harmoniseren en te verduidelijken in de nationale wetgeving. Dit punt wordt erkend en zal geadresseerd worden bij de implementatie van de aanpassingen aan de richtlijn Solvabiliteit</w:t>
      </w:r>
      <w:r w:rsidR="00F53727">
        <w:rPr>
          <w:rFonts w:cs="Arial"/>
          <w:iCs/>
          <w:sz w:val="18"/>
          <w:szCs w:val="18"/>
        </w:rPr>
        <w:t xml:space="preserve"> II</w:t>
      </w:r>
      <w:r>
        <w:rPr>
          <w:rFonts w:cs="Arial"/>
          <w:iCs/>
          <w:sz w:val="18"/>
          <w:szCs w:val="18"/>
        </w:rPr>
        <w:t>.</w:t>
      </w:r>
      <w:r>
        <w:rPr>
          <w:rStyle w:val="Voetnootmarkering"/>
          <w:rFonts w:cs="Arial"/>
          <w:iCs/>
          <w:sz w:val="18"/>
          <w:szCs w:val="18"/>
        </w:rPr>
        <w:footnoteReference w:id="72"/>
      </w:r>
      <w:r>
        <w:rPr>
          <w:rFonts w:cs="Arial"/>
          <w:iCs/>
          <w:sz w:val="18"/>
          <w:szCs w:val="18"/>
        </w:rPr>
        <w:t xml:space="preserve"> </w:t>
      </w:r>
    </w:p>
    <w:p w:rsidR="0024398D" w:rsidP="0024398D" w:rsidRDefault="0024398D" w14:paraId="307EBA9F" w14:textId="77777777">
      <w:pPr>
        <w:widowControl w:val="0"/>
        <w:tabs>
          <w:tab w:val="num" w:pos="720"/>
        </w:tabs>
        <w:spacing w:line="240" w:lineRule="atLeast"/>
        <w:rPr>
          <w:rFonts w:cs="Arial"/>
          <w:iCs/>
          <w:sz w:val="18"/>
          <w:szCs w:val="18"/>
        </w:rPr>
      </w:pPr>
    </w:p>
    <w:p w:rsidRPr="003F267D" w:rsidR="0024398D" w:rsidP="0024398D" w:rsidRDefault="003F267D" w14:paraId="58EDB611" w14:textId="3F0DADA0">
      <w:pPr>
        <w:widowControl w:val="0"/>
        <w:tabs>
          <w:tab w:val="num" w:pos="720"/>
        </w:tabs>
        <w:spacing w:line="240" w:lineRule="atLeast"/>
        <w:rPr>
          <w:rFonts w:cs="Arial"/>
          <w:i/>
          <w:sz w:val="18"/>
          <w:szCs w:val="18"/>
          <w:u w:val="single"/>
        </w:rPr>
      </w:pPr>
      <w:r w:rsidRPr="00A05EB4">
        <w:rPr>
          <w:rFonts w:cs="Arial"/>
          <w:i/>
          <w:sz w:val="18"/>
          <w:szCs w:val="18"/>
          <w:u w:val="single"/>
        </w:rPr>
        <w:t>§</w:t>
      </w:r>
      <w:r>
        <w:rPr>
          <w:rFonts w:cs="Arial"/>
          <w:i/>
          <w:sz w:val="18"/>
          <w:szCs w:val="18"/>
          <w:u w:val="single"/>
        </w:rPr>
        <w:t xml:space="preserve"> </w:t>
      </w:r>
      <w:r w:rsidRPr="003F267D" w:rsidR="0024398D">
        <w:rPr>
          <w:rFonts w:cs="Arial"/>
          <w:i/>
          <w:sz w:val="18"/>
          <w:szCs w:val="18"/>
          <w:u w:val="single"/>
        </w:rPr>
        <w:t>7.4 ESG-risico’s</w:t>
      </w:r>
    </w:p>
    <w:p w:rsidR="0024398D" w:rsidP="0024398D" w:rsidRDefault="0024398D" w14:paraId="326E9566" w14:textId="77777777">
      <w:pPr>
        <w:widowControl w:val="0"/>
        <w:tabs>
          <w:tab w:val="num" w:pos="720"/>
        </w:tabs>
        <w:spacing w:line="240" w:lineRule="atLeast"/>
        <w:rPr>
          <w:rFonts w:cs="Arial"/>
          <w:i/>
          <w:sz w:val="18"/>
          <w:szCs w:val="18"/>
        </w:rPr>
      </w:pPr>
    </w:p>
    <w:p w:rsidRPr="00F709EB" w:rsidR="00F709EB" w:rsidP="0024398D" w:rsidRDefault="00F709EB" w14:paraId="53DBF0EF" w14:textId="4BE775F1">
      <w:pPr>
        <w:widowControl w:val="0"/>
        <w:tabs>
          <w:tab w:val="num" w:pos="720"/>
        </w:tabs>
        <w:spacing w:line="240" w:lineRule="atLeast"/>
        <w:rPr>
          <w:rFonts w:cs="Arial"/>
          <w:iCs/>
          <w:sz w:val="18"/>
          <w:szCs w:val="18"/>
        </w:rPr>
      </w:pPr>
      <w:r>
        <w:rPr>
          <w:rFonts w:cs="Arial"/>
          <w:iCs/>
          <w:sz w:val="18"/>
          <w:szCs w:val="18"/>
        </w:rPr>
        <w:t>De NVB heeft verschillende vragen gesteld over ESG-risico’s.</w:t>
      </w:r>
    </w:p>
    <w:p w:rsidR="00F709EB" w:rsidP="0024398D" w:rsidRDefault="00F709EB" w14:paraId="54335988" w14:textId="77777777">
      <w:pPr>
        <w:widowControl w:val="0"/>
        <w:tabs>
          <w:tab w:val="num" w:pos="720"/>
        </w:tabs>
        <w:spacing w:line="240" w:lineRule="atLeast"/>
        <w:rPr>
          <w:rFonts w:cs="Arial"/>
          <w:i/>
          <w:sz w:val="18"/>
          <w:szCs w:val="18"/>
        </w:rPr>
      </w:pPr>
    </w:p>
    <w:p w:rsidR="0024398D" w:rsidP="0024398D" w:rsidRDefault="0024398D" w14:paraId="5766411F" w14:textId="45E56F03">
      <w:pPr>
        <w:widowControl w:val="0"/>
        <w:tabs>
          <w:tab w:val="num" w:pos="720"/>
        </w:tabs>
        <w:spacing w:line="240" w:lineRule="atLeast"/>
        <w:rPr>
          <w:rFonts w:cs="Arial"/>
          <w:i/>
          <w:sz w:val="18"/>
          <w:szCs w:val="18"/>
        </w:rPr>
      </w:pPr>
      <w:r>
        <w:rPr>
          <w:rFonts w:cs="Arial"/>
          <w:i/>
          <w:sz w:val="18"/>
          <w:szCs w:val="18"/>
        </w:rPr>
        <w:t>7.4.1 ESG-bepalingen</w:t>
      </w:r>
    </w:p>
    <w:p w:rsidR="0024398D" w:rsidP="0024398D" w:rsidRDefault="0024398D" w14:paraId="2170AEFF" w14:textId="05E38EF9">
      <w:pPr>
        <w:widowControl w:val="0"/>
        <w:tabs>
          <w:tab w:val="num" w:pos="720"/>
        </w:tabs>
        <w:spacing w:line="240" w:lineRule="atLeast"/>
        <w:rPr>
          <w:rFonts w:cs="Arial"/>
          <w:iCs/>
          <w:sz w:val="18"/>
          <w:szCs w:val="18"/>
        </w:rPr>
      </w:pPr>
      <w:r>
        <w:rPr>
          <w:rFonts w:cs="Arial"/>
          <w:iCs/>
          <w:sz w:val="18"/>
          <w:szCs w:val="18"/>
        </w:rPr>
        <w:t>De NVB verzoekt om de relevante ESG-bepalingen uit de richtlijn een duidelijke plek in de wet te geven. Hieraan wordt geen gehoor gegeven. Het opnemen van ESG-risico’s is verweven in de interne governance en risicobeheersing van banken. De verschillende bepalingen rondom dergelijke onderwerpen zijn voor</w:t>
      </w:r>
      <w:r>
        <w:rPr>
          <w:rFonts w:cs="Arial"/>
          <w:iCs/>
          <w:sz w:val="18"/>
          <w:szCs w:val="18"/>
        </w:rPr>
        <w:lastRenderedPageBreak/>
        <w:t xml:space="preserve">namelijk op het niveau van algemene maatregel van bestuur te vinden, ter uitwerking van de kernbepaling in artikel 3:17 Wft over de bedrijfsvoering. </w:t>
      </w:r>
      <w:r w:rsidR="00BB2435">
        <w:rPr>
          <w:rFonts w:cs="Arial"/>
          <w:iCs/>
          <w:sz w:val="18"/>
          <w:szCs w:val="18"/>
        </w:rPr>
        <w:t xml:space="preserve">ESG-risico’s zijn een van de </w:t>
      </w:r>
      <w:r w:rsidR="00450726">
        <w:rPr>
          <w:rFonts w:cs="Arial"/>
          <w:iCs/>
          <w:sz w:val="18"/>
          <w:szCs w:val="18"/>
        </w:rPr>
        <w:t xml:space="preserve">categorieën </w:t>
      </w:r>
      <w:r w:rsidR="00BB2435">
        <w:rPr>
          <w:rFonts w:cs="Arial"/>
          <w:iCs/>
          <w:sz w:val="18"/>
          <w:szCs w:val="18"/>
        </w:rPr>
        <w:t xml:space="preserve">risico’s die banken </w:t>
      </w:r>
      <w:r w:rsidR="00450726">
        <w:rPr>
          <w:rFonts w:cs="Arial"/>
          <w:iCs/>
          <w:sz w:val="18"/>
          <w:szCs w:val="18"/>
        </w:rPr>
        <w:t xml:space="preserve">effectief </w:t>
      </w:r>
      <w:r w:rsidR="00BB2435">
        <w:rPr>
          <w:rFonts w:cs="Arial"/>
          <w:iCs/>
          <w:sz w:val="18"/>
          <w:szCs w:val="18"/>
        </w:rPr>
        <w:t>moeten beheersen. De huidige systematiek van implementatie</w:t>
      </w:r>
      <w:r w:rsidR="00450726">
        <w:rPr>
          <w:rFonts w:cs="Arial"/>
          <w:iCs/>
          <w:sz w:val="18"/>
          <w:szCs w:val="18"/>
        </w:rPr>
        <w:t>,</w:t>
      </w:r>
      <w:r w:rsidR="00BB2435">
        <w:rPr>
          <w:rFonts w:cs="Arial"/>
          <w:iCs/>
          <w:sz w:val="18"/>
          <w:szCs w:val="18"/>
        </w:rPr>
        <w:t xml:space="preserve"> zoals die al sinds de implementatie van de oorspronkelijke CRD-herziening in 2013 is gevolgd</w:t>
      </w:r>
      <w:r w:rsidR="00450726">
        <w:rPr>
          <w:rFonts w:cs="Arial"/>
          <w:iCs/>
          <w:sz w:val="18"/>
          <w:szCs w:val="18"/>
        </w:rPr>
        <w:t>,</w:t>
      </w:r>
      <w:r w:rsidR="00BB2435">
        <w:rPr>
          <w:rFonts w:cs="Arial"/>
          <w:iCs/>
          <w:sz w:val="18"/>
          <w:szCs w:val="18"/>
        </w:rPr>
        <w:t xml:space="preserve"> wordt gehandhaafd.</w:t>
      </w:r>
    </w:p>
    <w:p w:rsidR="00BB2435" w:rsidP="0024398D" w:rsidRDefault="00BB2435" w14:paraId="0CE75CB4" w14:textId="77777777">
      <w:pPr>
        <w:widowControl w:val="0"/>
        <w:tabs>
          <w:tab w:val="num" w:pos="720"/>
        </w:tabs>
        <w:spacing w:line="240" w:lineRule="atLeast"/>
        <w:rPr>
          <w:rFonts w:cs="Arial"/>
          <w:iCs/>
          <w:sz w:val="18"/>
          <w:szCs w:val="18"/>
        </w:rPr>
      </w:pPr>
    </w:p>
    <w:p w:rsidR="00BB2435" w:rsidP="0024398D" w:rsidRDefault="00BB2435" w14:paraId="6A5812E7" w14:textId="5ECCF2B1">
      <w:pPr>
        <w:widowControl w:val="0"/>
        <w:tabs>
          <w:tab w:val="num" w:pos="720"/>
        </w:tabs>
        <w:spacing w:line="240" w:lineRule="atLeast"/>
        <w:rPr>
          <w:rFonts w:cs="Arial"/>
          <w:i/>
          <w:sz w:val="18"/>
          <w:szCs w:val="18"/>
        </w:rPr>
      </w:pPr>
      <w:r w:rsidRPr="00BB2435">
        <w:rPr>
          <w:rFonts w:cs="Arial"/>
          <w:i/>
          <w:sz w:val="18"/>
          <w:szCs w:val="18"/>
        </w:rPr>
        <w:t xml:space="preserve">7.4.2 </w:t>
      </w:r>
      <w:r w:rsidR="00655331">
        <w:rPr>
          <w:rFonts w:cs="Arial"/>
          <w:i/>
          <w:sz w:val="18"/>
          <w:szCs w:val="18"/>
        </w:rPr>
        <w:t>Richtsnoeren</w:t>
      </w:r>
      <w:r w:rsidRPr="00BB2435" w:rsidR="00655331">
        <w:rPr>
          <w:rFonts w:cs="Arial"/>
          <w:i/>
          <w:sz w:val="18"/>
          <w:szCs w:val="18"/>
        </w:rPr>
        <w:t xml:space="preserve"> </w:t>
      </w:r>
      <w:r w:rsidRPr="00BB2435">
        <w:rPr>
          <w:rFonts w:cs="Arial"/>
          <w:i/>
          <w:sz w:val="18"/>
          <w:szCs w:val="18"/>
        </w:rPr>
        <w:t>van de ECB o</w:t>
      </w:r>
      <w:r w:rsidRPr="00013526">
        <w:rPr>
          <w:rFonts w:cs="Arial"/>
          <w:i/>
          <w:sz w:val="18"/>
          <w:szCs w:val="18"/>
        </w:rPr>
        <w:t>f EB</w:t>
      </w:r>
      <w:r>
        <w:rPr>
          <w:rFonts w:cs="Arial"/>
          <w:i/>
          <w:sz w:val="18"/>
          <w:szCs w:val="18"/>
        </w:rPr>
        <w:t>A</w:t>
      </w:r>
    </w:p>
    <w:p w:rsidRPr="00013526" w:rsidR="00BB2435" w:rsidP="0024398D" w:rsidRDefault="00BB2435" w14:paraId="7F3C973F" w14:textId="7FCE9257">
      <w:pPr>
        <w:widowControl w:val="0"/>
        <w:tabs>
          <w:tab w:val="num" w:pos="720"/>
        </w:tabs>
        <w:spacing w:line="240" w:lineRule="atLeast"/>
        <w:rPr>
          <w:rFonts w:cs="Arial"/>
          <w:iCs/>
          <w:sz w:val="18"/>
          <w:szCs w:val="18"/>
        </w:rPr>
      </w:pPr>
      <w:r>
        <w:rPr>
          <w:rFonts w:cs="Arial"/>
          <w:iCs/>
          <w:sz w:val="18"/>
          <w:szCs w:val="18"/>
        </w:rPr>
        <w:t xml:space="preserve">De NVB verzoekt om toe te lichten waarom niet-bindende </w:t>
      </w:r>
      <w:r w:rsidR="00655331">
        <w:rPr>
          <w:rFonts w:cs="Arial"/>
          <w:iCs/>
          <w:sz w:val="18"/>
          <w:szCs w:val="18"/>
        </w:rPr>
        <w:t xml:space="preserve">richtsnoeren </w:t>
      </w:r>
      <w:r>
        <w:rPr>
          <w:rFonts w:cs="Arial"/>
          <w:iCs/>
          <w:sz w:val="18"/>
          <w:szCs w:val="18"/>
        </w:rPr>
        <w:t>van de ECB of EBA</w:t>
      </w:r>
      <w:r w:rsidR="00450726">
        <w:rPr>
          <w:rFonts w:cs="Arial"/>
          <w:iCs/>
          <w:sz w:val="18"/>
          <w:szCs w:val="18"/>
        </w:rPr>
        <w:t>,</w:t>
      </w:r>
      <w:r>
        <w:rPr>
          <w:rFonts w:cs="Arial"/>
          <w:iCs/>
          <w:sz w:val="18"/>
          <w:szCs w:val="18"/>
        </w:rPr>
        <w:t xml:space="preserve"> al dan niet volledig</w:t>
      </w:r>
      <w:r w:rsidR="00450726">
        <w:rPr>
          <w:rFonts w:cs="Arial"/>
          <w:iCs/>
          <w:sz w:val="18"/>
          <w:szCs w:val="18"/>
        </w:rPr>
        <w:t>,</w:t>
      </w:r>
      <w:r>
        <w:rPr>
          <w:rFonts w:cs="Arial"/>
          <w:iCs/>
          <w:sz w:val="18"/>
          <w:szCs w:val="18"/>
        </w:rPr>
        <w:t xml:space="preserve"> van toepassing </w:t>
      </w:r>
      <w:r w:rsidR="00F24CCB">
        <w:rPr>
          <w:rFonts w:cs="Arial"/>
          <w:iCs/>
          <w:sz w:val="18"/>
          <w:szCs w:val="18"/>
        </w:rPr>
        <w:t>zullen</w:t>
      </w:r>
      <w:r>
        <w:rPr>
          <w:rFonts w:cs="Arial"/>
          <w:iCs/>
          <w:sz w:val="18"/>
          <w:szCs w:val="18"/>
        </w:rPr>
        <w:t xml:space="preserve"> zijn. </w:t>
      </w:r>
      <w:r w:rsidR="00F53727">
        <w:rPr>
          <w:rFonts w:cs="Arial"/>
          <w:iCs/>
          <w:sz w:val="18"/>
          <w:szCs w:val="18"/>
        </w:rPr>
        <w:t xml:space="preserve">Het is </w:t>
      </w:r>
      <w:r w:rsidR="00655331">
        <w:rPr>
          <w:rFonts w:cs="Arial"/>
          <w:iCs/>
          <w:sz w:val="18"/>
          <w:szCs w:val="18"/>
        </w:rPr>
        <w:t>de ECB</w:t>
      </w:r>
      <w:r w:rsidR="00F53727">
        <w:rPr>
          <w:rFonts w:cs="Arial"/>
          <w:iCs/>
          <w:sz w:val="18"/>
          <w:szCs w:val="18"/>
        </w:rPr>
        <w:t xml:space="preserve"> toegestaan </w:t>
      </w:r>
      <w:r w:rsidR="00655331">
        <w:rPr>
          <w:rFonts w:cs="Arial"/>
          <w:iCs/>
          <w:sz w:val="18"/>
          <w:szCs w:val="18"/>
        </w:rPr>
        <w:t xml:space="preserve">richtsnoeren </w:t>
      </w:r>
      <w:r w:rsidR="00F53727">
        <w:rPr>
          <w:rFonts w:cs="Arial"/>
          <w:iCs/>
          <w:sz w:val="18"/>
          <w:szCs w:val="18"/>
        </w:rPr>
        <w:t>uit te brengen</w:t>
      </w:r>
      <w:r w:rsidR="00655331">
        <w:rPr>
          <w:rFonts w:cs="Arial"/>
          <w:iCs/>
          <w:sz w:val="18"/>
          <w:szCs w:val="18"/>
        </w:rPr>
        <w:t xml:space="preserve"> op grond van artikel 4, derde lid, van de verordening bankentoezicht</w:t>
      </w:r>
      <w:r w:rsidR="00F53727">
        <w:rPr>
          <w:rFonts w:cs="Arial"/>
          <w:iCs/>
          <w:sz w:val="18"/>
          <w:szCs w:val="18"/>
        </w:rPr>
        <w:t>.</w:t>
      </w:r>
      <w:r>
        <w:rPr>
          <w:rFonts w:cs="Arial"/>
          <w:iCs/>
          <w:sz w:val="18"/>
          <w:szCs w:val="18"/>
        </w:rPr>
        <w:t xml:space="preserve"> Indien EBA in de CRD de bevoegdheid gekregen heeft om zaken uit te werken in richtsnoeren, geldt daar op grond van artikel 16, derde lid, van de EBA-verordening</w:t>
      </w:r>
      <w:r>
        <w:rPr>
          <w:rStyle w:val="Voetnootmarkering"/>
          <w:rFonts w:cs="Arial"/>
          <w:iCs/>
          <w:sz w:val="18"/>
          <w:szCs w:val="18"/>
        </w:rPr>
        <w:footnoteReference w:id="73"/>
      </w:r>
      <w:r>
        <w:rPr>
          <w:rFonts w:cs="Arial"/>
          <w:iCs/>
          <w:sz w:val="18"/>
          <w:szCs w:val="18"/>
        </w:rPr>
        <w:t xml:space="preserve"> voor dat zowel toezichthouders</w:t>
      </w:r>
      <w:r w:rsidR="00450726">
        <w:rPr>
          <w:rFonts w:cs="Arial"/>
          <w:iCs/>
          <w:sz w:val="18"/>
          <w:szCs w:val="18"/>
        </w:rPr>
        <w:t>,</w:t>
      </w:r>
      <w:r>
        <w:rPr>
          <w:rFonts w:cs="Arial"/>
          <w:iCs/>
          <w:sz w:val="18"/>
          <w:szCs w:val="18"/>
        </w:rPr>
        <w:t xml:space="preserve"> als financiële instellingen zich tot het uiterste </w:t>
      </w:r>
      <w:r w:rsidR="00450726">
        <w:rPr>
          <w:rFonts w:cs="Arial"/>
          <w:iCs/>
          <w:sz w:val="18"/>
          <w:szCs w:val="18"/>
        </w:rPr>
        <w:t xml:space="preserve">moeten </w:t>
      </w:r>
      <w:r>
        <w:rPr>
          <w:rFonts w:cs="Arial"/>
          <w:iCs/>
          <w:sz w:val="18"/>
          <w:szCs w:val="18"/>
        </w:rPr>
        <w:t>inspannen om aan de richtsnoeren te voldoen.</w:t>
      </w:r>
      <w:r w:rsidR="000D2785">
        <w:rPr>
          <w:rFonts w:cs="Arial"/>
          <w:iCs/>
          <w:sz w:val="18"/>
          <w:szCs w:val="18"/>
        </w:rPr>
        <w:t xml:space="preserve"> </w:t>
      </w:r>
    </w:p>
    <w:p w:rsidR="0024398D" w:rsidP="0024398D" w:rsidRDefault="0024398D" w14:paraId="08DD1EA7" w14:textId="77777777">
      <w:pPr>
        <w:widowControl w:val="0"/>
        <w:tabs>
          <w:tab w:val="num" w:pos="720"/>
        </w:tabs>
        <w:spacing w:line="240" w:lineRule="atLeast"/>
        <w:rPr>
          <w:rFonts w:cs="Arial"/>
          <w:i/>
          <w:sz w:val="18"/>
          <w:szCs w:val="18"/>
        </w:rPr>
      </w:pPr>
    </w:p>
    <w:p w:rsidR="00BB2435" w:rsidP="0024398D" w:rsidRDefault="00BB2435" w14:paraId="734B1399" w14:textId="4648A6BE">
      <w:pPr>
        <w:widowControl w:val="0"/>
        <w:tabs>
          <w:tab w:val="num" w:pos="720"/>
        </w:tabs>
        <w:spacing w:line="240" w:lineRule="atLeast"/>
        <w:rPr>
          <w:rFonts w:cs="Arial"/>
          <w:i/>
          <w:sz w:val="18"/>
          <w:szCs w:val="18"/>
        </w:rPr>
      </w:pPr>
      <w:r>
        <w:rPr>
          <w:rFonts w:cs="Arial"/>
          <w:i/>
          <w:sz w:val="18"/>
          <w:szCs w:val="18"/>
        </w:rPr>
        <w:t>7.4.3 Materialiteit</w:t>
      </w:r>
    </w:p>
    <w:p w:rsidR="00BB2435" w:rsidP="0024398D" w:rsidRDefault="0024398D" w14:paraId="480DE488" w14:textId="77553546">
      <w:pPr>
        <w:widowControl w:val="0"/>
        <w:tabs>
          <w:tab w:val="num" w:pos="720"/>
        </w:tabs>
        <w:spacing w:line="240" w:lineRule="atLeast"/>
        <w:rPr>
          <w:rFonts w:cs="Arial"/>
          <w:i/>
          <w:sz w:val="18"/>
          <w:szCs w:val="18"/>
        </w:rPr>
      </w:pPr>
      <w:r w:rsidRPr="00013526">
        <w:rPr>
          <w:rFonts w:cs="Arial"/>
          <w:iCs/>
          <w:sz w:val="18"/>
          <w:szCs w:val="18"/>
        </w:rPr>
        <w:t xml:space="preserve">De NVB verzoekt de </w:t>
      </w:r>
      <w:r w:rsidR="00450726">
        <w:rPr>
          <w:rFonts w:cs="Arial"/>
          <w:iCs/>
          <w:sz w:val="18"/>
          <w:szCs w:val="18"/>
        </w:rPr>
        <w:t>m</w:t>
      </w:r>
      <w:r w:rsidRPr="00013526">
        <w:rPr>
          <w:rFonts w:cs="Arial"/>
          <w:iCs/>
          <w:sz w:val="18"/>
          <w:szCs w:val="18"/>
        </w:rPr>
        <w:t>inister in de toelichting uitdrukkelijk aandacht te besteden aan het gebruik van materialiteit in de beheersing van geïdentificeerde ESG</w:t>
      </w:r>
      <w:r w:rsidR="00C94995">
        <w:rPr>
          <w:rFonts w:cs="Arial"/>
          <w:iCs/>
          <w:sz w:val="18"/>
          <w:szCs w:val="18"/>
        </w:rPr>
        <w:t>-</w:t>
      </w:r>
      <w:r w:rsidRPr="00013526">
        <w:rPr>
          <w:rFonts w:cs="Arial"/>
          <w:iCs/>
          <w:sz w:val="18"/>
          <w:szCs w:val="18"/>
        </w:rPr>
        <w:t>risico’s</w:t>
      </w:r>
      <w:r w:rsidR="00BB2435">
        <w:rPr>
          <w:rFonts w:cs="Arial"/>
          <w:iCs/>
          <w:sz w:val="18"/>
          <w:szCs w:val="18"/>
        </w:rPr>
        <w:t xml:space="preserve">. </w:t>
      </w:r>
      <w:r w:rsidRPr="00BB2435" w:rsidR="00BB2435">
        <w:rPr>
          <w:rFonts w:cs="Arial"/>
          <w:iCs/>
          <w:sz w:val="18"/>
          <w:szCs w:val="18"/>
        </w:rPr>
        <w:t>Het</w:t>
      </w:r>
      <w:r w:rsidRPr="00013526">
        <w:rPr>
          <w:rFonts w:cs="Arial"/>
          <w:iCs/>
          <w:sz w:val="18"/>
          <w:szCs w:val="18"/>
        </w:rPr>
        <w:t xml:space="preserve"> verzoek van NVB op dit punt is niet duidelijk. </w:t>
      </w:r>
      <w:r w:rsidR="00BB2435">
        <w:rPr>
          <w:rFonts w:cs="Arial"/>
          <w:iCs/>
          <w:sz w:val="18"/>
          <w:szCs w:val="18"/>
        </w:rPr>
        <w:t>‘</w:t>
      </w:r>
      <w:r w:rsidRPr="00013526">
        <w:rPr>
          <w:rFonts w:cs="Arial"/>
          <w:iCs/>
          <w:sz w:val="18"/>
          <w:szCs w:val="18"/>
        </w:rPr>
        <w:t>Materialiteit</w:t>
      </w:r>
      <w:r w:rsidR="00BB2435">
        <w:rPr>
          <w:rFonts w:cs="Arial"/>
          <w:iCs/>
          <w:sz w:val="18"/>
          <w:szCs w:val="18"/>
        </w:rPr>
        <w:t>’</w:t>
      </w:r>
      <w:r w:rsidRPr="00013526">
        <w:rPr>
          <w:rFonts w:cs="Arial"/>
          <w:iCs/>
          <w:sz w:val="18"/>
          <w:szCs w:val="18"/>
        </w:rPr>
        <w:t xml:space="preserve"> </w:t>
      </w:r>
      <w:r w:rsidR="00BB2435">
        <w:rPr>
          <w:rFonts w:cs="Arial"/>
          <w:iCs/>
          <w:sz w:val="18"/>
          <w:szCs w:val="18"/>
        </w:rPr>
        <w:t>ziet</w:t>
      </w:r>
      <w:r w:rsidRPr="00013526">
        <w:rPr>
          <w:rFonts w:cs="Arial"/>
          <w:iCs/>
          <w:sz w:val="18"/>
          <w:szCs w:val="18"/>
        </w:rPr>
        <w:t xml:space="preserve"> op die duurzaamheidsrisico's die financieel materieel zijn</w:t>
      </w:r>
      <w:r w:rsidRPr="0024398D">
        <w:rPr>
          <w:rFonts w:cs="Arial"/>
          <w:i/>
          <w:sz w:val="18"/>
          <w:szCs w:val="18"/>
        </w:rPr>
        <w:t>.</w:t>
      </w:r>
      <w:r w:rsidR="00BB2435">
        <w:rPr>
          <w:rFonts w:cs="Arial"/>
          <w:iCs/>
          <w:sz w:val="18"/>
          <w:szCs w:val="18"/>
        </w:rPr>
        <w:t xml:space="preserve"> Maar die materialiteit is al impliciet meegenomen in het feit dat banken concrete plannen moeten ontwikkelen, op grond van artikel 76, tweede lid, </w:t>
      </w:r>
      <w:r w:rsidRPr="00BB2435" w:rsidR="00BB2435">
        <w:rPr>
          <w:rFonts w:cs="Arial"/>
          <w:iCs/>
          <w:sz w:val="18"/>
          <w:szCs w:val="18"/>
        </w:rPr>
        <w:t>CRD</w:t>
      </w:r>
      <w:r w:rsidR="00450726">
        <w:rPr>
          <w:rFonts w:cs="Arial"/>
          <w:iCs/>
          <w:sz w:val="18"/>
          <w:szCs w:val="18"/>
        </w:rPr>
        <w:t>,</w:t>
      </w:r>
      <w:r w:rsidRPr="00BB2435" w:rsidR="00BB2435">
        <w:rPr>
          <w:rFonts w:cs="Arial"/>
          <w:iCs/>
          <w:sz w:val="18"/>
          <w:szCs w:val="18"/>
        </w:rPr>
        <w:t xml:space="preserve"> om </w:t>
      </w:r>
      <w:r w:rsidRPr="00013526">
        <w:rPr>
          <w:rFonts w:cs="Arial"/>
          <w:iCs/>
          <w:sz w:val="18"/>
          <w:szCs w:val="18"/>
        </w:rPr>
        <w:t xml:space="preserve">de financiële risico's te beheersen die op termijn ontstaan. </w:t>
      </w:r>
      <w:r w:rsidR="00BB2435">
        <w:rPr>
          <w:rFonts w:cs="Arial"/>
          <w:iCs/>
          <w:sz w:val="18"/>
          <w:szCs w:val="18"/>
        </w:rPr>
        <w:t>Z</w:t>
      </w:r>
      <w:r w:rsidRPr="00013526">
        <w:rPr>
          <w:rFonts w:cs="Arial"/>
          <w:iCs/>
          <w:sz w:val="18"/>
          <w:szCs w:val="18"/>
        </w:rPr>
        <w:t>onder financiële risico's zijn ESG</w:t>
      </w:r>
      <w:r w:rsidR="00C94995">
        <w:rPr>
          <w:rFonts w:cs="Arial"/>
          <w:iCs/>
          <w:sz w:val="18"/>
          <w:szCs w:val="18"/>
        </w:rPr>
        <w:t>-</w:t>
      </w:r>
      <w:r w:rsidRPr="00013526">
        <w:rPr>
          <w:rFonts w:cs="Arial"/>
          <w:iCs/>
          <w:sz w:val="18"/>
          <w:szCs w:val="18"/>
        </w:rPr>
        <w:t>risico's immers niet materieel</w:t>
      </w:r>
      <w:r w:rsidRPr="0024398D">
        <w:rPr>
          <w:rFonts w:cs="Arial"/>
          <w:i/>
          <w:sz w:val="18"/>
          <w:szCs w:val="18"/>
        </w:rPr>
        <w:t>.</w:t>
      </w:r>
    </w:p>
    <w:p w:rsidR="00BB2435" w:rsidP="0024398D" w:rsidRDefault="00BB2435" w14:paraId="314FFF35" w14:textId="77777777">
      <w:pPr>
        <w:widowControl w:val="0"/>
        <w:tabs>
          <w:tab w:val="num" w:pos="720"/>
        </w:tabs>
        <w:spacing w:line="240" w:lineRule="atLeast"/>
        <w:rPr>
          <w:rFonts w:cs="Arial"/>
          <w:i/>
          <w:sz w:val="18"/>
          <w:szCs w:val="18"/>
        </w:rPr>
      </w:pPr>
    </w:p>
    <w:p w:rsidR="00BB2435" w:rsidP="0024398D" w:rsidRDefault="00BB2435" w14:paraId="2EF39DB7" w14:textId="07A9E56E">
      <w:pPr>
        <w:widowControl w:val="0"/>
        <w:tabs>
          <w:tab w:val="num" w:pos="720"/>
        </w:tabs>
        <w:spacing w:line="240" w:lineRule="atLeast"/>
        <w:rPr>
          <w:rFonts w:cs="Arial"/>
          <w:i/>
          <w:sz w:val="18"/>
          <w:szCs w:val="18"/>
        </w:rPr>
      </w:pPr>
      <w:r>
        <w:rPr>
          <w:rFonts w:cs="Arial"/>
          <w:i/>
          <w:sz w:val="18"/>
          <w:szCs w:val="18"/>
        </w:rPr>
        <w:t>7.4.4 Ontwikkelingen omtrent ESG</w:t>
      </w:r>
      <w:r w:rsidR="00C94995">
        <w:rPr>
          <w:rFonts w:cs="Arial"/>
          <w:i/>
          <w:sz w:val="18"/>
          <w:szCs w:val="18"/>
        </w:rPr>
        <w:t>-risico’s</w:t>
      </w:r>
      <w:r>
        <w:rPr>
          <w:rFonts w:cs="Arial"/>
          <w:i/>
          <w:sz w:val="18"/>
          <w:szCs w:val="18"/>
        </w:rPr>
        <w:t xml:space="preserve"> op andere terreinen</w:t>
      </w:r>
    </w:p>
    <w:p w:rsidR="00BB2435" w:rsidP="0024398D" w:rsidRDefault="0024398D" w14:paraId="0A4163FE" w14:textId="05215F44">
      <w:pPr>
        <w:widowControl w:val="0"/>
        <w:tabs>
          <w:tab w:val="num" w:pos="720"/>
        </w:tabs>
        <w:spacing w:line="240" w:lineRule="atLeast"/>
        <w:rPr>
          <w:rFonts w:cs="Arial"/>
          <w:iCs/>
          <w:sz w:val="18"/>
          <w:szCs w:val="18"/>
        </w:rPr>
      </w:pPr>
      <w:r w:rsidRPr="00013526">
        <w:rPr>
          <w:rFonts w:cs="Arial"/>
          <w:iCs/>
          <w:sz w:val="18"/>
          <w:szCs w:val="18"/>
        </w:rPr>
        <w:t>De NVB verzoekt in de toelichting aandacht te besteden aan het feit dat bij ontwikkeling van een ESG-</w:t>
      </w:r>
      <w:r w:rsidR="00C94995">
        <w:rPr>
          <w:rFonts w:cs="Arial"/>
          <w:iCs/>
          <w:sz w:val="18"/>
          <w:szCs w:val="18"/>
        </w:rPr>
        <w:t>risico</w:t>
      </w:r>
      <w:r w:rsidRPr="00013526">
        <w:rPr>
          <w:rFonts w:cs="Arial"/>
          <w:iCs/>
          <w:sz w:val="18"/>
          <w:szCs w:val="18"/>
        </w:rPr>
        <w:t xml:space="preserve">raamwerk de toezichthouders rekening houden met ontwikkelingen die buiten de invloedssfeer van de banken liggen en normen die zich nog ontwikkelen. </w:t>
      </w:r>
      <w:r w:rsidR="00BB2435">
        <w:rPr>
          <w:rFonts w:cs="Arial"/>
          <w:iCs/>
          <w:sz w:val="18"/>
          <w:szCs w:val="18"/>
        </w:rPr>
        <w:t xml:space="preserve">Hoewel het juist is dat er in de EU discussie gaande is over duurzaamheidsregelgeving, heeft dat geen wezenlijke invloed op de implementatie van de richtlijn. De vereisten die geïmplementeerd moeten worden zijn helder. Hoe dat in de praktijk uitpakt, met name in het toezicht op de naleving door banken, zal door </w:t>
      </w:r>
      <w:r w:rsidR="001E2FBF">
        <w:rPr>
          <w:rFonts w:cs="Arial"/>
          <w:iCs/>
          <w:sz w:val="18"/>
          <w:szCs w:val="18"/>
        </w:rPr>
        <w:t xml:space="preserve">de ECB en </w:t>
      </w:r>
      <w:r w:rsidR="00BB2435">
        <w:rPr>
          <w:rFonts w:cs="Arial"/>
          <w:iCs/>
          <w:sz w:val="18"/>
          <w:szCs w:val="18"/>
        </w:rPr>
        <w:t>DNB meegenomen moeten worden in haar (doorlopende) toezicht.</w:t>
      </w:r>
    </w:p>
    <w:p w:rsidR="00BB2435" w:rsidP="0024398D" w:rsidRDefault="00BB2435" w14:paraId="34EDBD40" w14:textId="77777777">
      <w:pPr>
        <w:widowControl w:val="0"/>
        <w:tabs>
          <w:tab w:val="num" w:pos="720"/>
        </w:tabs>
        <w:spacing w:line="240" w:lineRule="atLeast"/>
        <w:rPr>
          <w:rFonts w:cs="Arial"/>
          <w:iCs/>
          <w:sz w:val="18"/>
          <w:szCs w:val="18"/>
        </w:rPr>
      </w:pPr>
    </w:p>
    <w:p w:rsidR="0024398D" w:rsidP="0024398D" w:rsidRDefault="003F267D" w14:paraId="25ED9EB9" w14:textId="533C81F7">
      <w:pPr>
        <w:widowControl w:val="0"/>
        <w:tabs>
          <w:tab w:val="num" w:pos="720"/>
        </w:tabs>
        <w:spacing w:line="240" w:lineRule="atLeast"/>
        <w:rPr>
          <w:rFonts w:cs="Arial"/>
          <w:i/>
          <w:sz w:val="18"/>
          <w:szCs w:val="18"/>
          <w:u w:val="single"/>
        </w:rPr>
      </w:pPr>
      <w:r w:rsidRPr="00A05EB4">
        <w:rPr>
          <w:rFonts w:cs="Arial"/>
          <w:i/>
          <w:sz w:val="18"/>
          <w:szCs w:val="18"/>
          <w:u w:val="single"/>
        </w:rPr>
        <w:t>§</w:t>
      </w:r>
      <w:r>
        <w:rPr>
          <w:rFonts w:cs="Arial"/>
          <w:i/>
          <w:sz w:val="18"/>
          <w:szCs w:val="18"/>
          <w:u w:val="single"/>
        </w:rPr>
        <w:t xml:space="preserve"> </w:t>
      </w:r>
      <w:r w:rsidRPr="00013526" w:rsidR="0024398D">
        <w:rPr>
          <w:rFonts w:cs="Arial"/>
          <w:i/>
          <w:sz w:val="18"/>
          <w:szCs w:val="18"/>
          <w:u w:val="single"/>
        </w:rPr>
        <w:t>7.5 Harmonisatie administratieve maatregelen en -sancties</w:t>
      </w:r>
    </w:p>
    <w:p w:rsidRPr="00013526" w:rsidR="001C7454" w:rsidP="0024398D" w:rsidRDefault="001C7454" w14:paraId="4B78BCD7" w14:textId="77777777">
      <w:pPr>
        <w:widowControl w:val="0"/>
        <w:tabs>
          <w:tab w:val="num" w:pos="720"/>
        </w:tabs>
        <w:spacing w:line="240" w:lineRule="atLeast"/>
        <w:rPr>
          <w:rFonts w:cs="Arial"/>
          <w:i/>
          <w:sz w:val="18"/>
          <w:szCs w:val="18"/>
          <w:u w:val="single"/>
        </w:rPr>
      </w:pPr>
    </w:p>
    <w:p w:rsidRPr="00013526" w:rsidR="0024398D" w:rsidP="0024398D" w:rsidRDefault="001356AE" w14:paraId="27EEDF92" w14:textId="1FB58526">
      <w:pPr>
        <w:widowControl w:val="0"/>
        <w:tabs>
          <w:tab w:val="num" w:pos="720"/>
        </w:tabs>
        <w:spacing w:line="240" w:lineRule="atLeast"/>
        <w:rPr>
          <w:rFonts w:cs="Arial"/>
          <w:iCs/>
          <w:sz w:val="18"/>
          <w:szCs w:val="18"/>
        </w:rPr>
      </w:pPr>
      <w:r>
        <w:rPr>
          <w:rFonts w:cs="Arial"/>
          <w:iCs/>
          <w:sz w:val="18"/>
          <w:szCs w:val="18"/>
        </w:rPr>
        <w:t>De NVB heeft enkele algemene opmerkingen gemaakt omtrent de bepalingen die zien op de harmonisatie van administratieve maatregelen en administratieve sancties.</w:t>
      </w:r>
    </w:p>
    <w:p w:rsidR="001356AE" w:rsidP="0024398D" w:rsidRDefault="001356AE" w14:paraId="12CC4012" w14:textId="77777777">
      <w:pPr>
        <w:widowControl w:val="0"/>
        <w:tabs>
          <w:tab w:val="num" w:pos="720"/>
        </w:tabs>
        <w:spacing w:line="240" w:lineRule="atLeast"/>
        <w:rPr>
          <w:rFonts w:cs="Arial"/>
          <w:i/>
          <w:sz w:val="18"/>
          <w:szCs w:val="18"/>
        </w:rPr>
      </w:pPr>
    </w:p>
    <w:p w:rsidR="001356AE" w:rsidP="001356AE" w:rsidRDefault="001356AE" w14:paraId="495F33C0" w14:textId="77777777">
      <w:pPr>
        <w:widowControl w:val="0"/>
        <w:tabs>
          <w:tab w:val="num" w:pos="720"/>
        </w:tabs>
        <w:spacing w:line="240" w:lineRule="atLeast"/>
        <w:rPr>
          <w:rFonts w:cs="Arial"/>
          <w:i/>
          <w:sz w:val="18"/>
          <w:szCs w:val="18"/>
        </w:rPr>
      </w:pPr>
      <w:r w:rsidRPr="00013526">
        <w:rPr>
          <w:rFonts w:cs="Arial"/>
          <w:i/>
          <w:sz w:val="18"/>
          <w:szCs w:val="18"/>
        </w:rPr>
        <w:t xml:space="preserve">7.5.1 </w:t>
      </w:r>
      <w:r>
        <w:rPr>
          <w:rFonts w:cs="Arial"/>
          <w:i/>
          <w:sz w:val="18"/>
          <w:szCs w:val="18"/>
        </w:rPr>
        <w:t>Verschil nationale versus Europese boetesystematiek</w:t>
      </w:r>
    </w:p>
    <w:p w:rsidR="00C34CAB" w:rsidP="00C34CAB" w:rsidRDefault="001356AE" w14:paraId="76A28D96" w14:textId="4769F4F8">
      <w:pPr>
        <w:widowControl w:val="0"/>
        <w:tabs>
          <w:tab w:val="num" w:pos="720"/>
        </w:tabs>
        <w:spacing w:line="240" w:lineRule="atLeast"/>
        <w:rPr>
          <w:rFonts w:cs="Arial"/>
          <w:iCs/>
          <w:sz w:val="18"/>
          <w:szCs w:val="18"/>
        </w:rPr>
      </w:pPr>
      <w:r w:rsidRPr="00013526">
        <w:rPr>
          <w:rFonts w:cs="Arial"/>
          <w:iCs/>
          <w:sz w:val="18"/>
          <w:szCs w:val="18"/>
        </w:rPr>
        <w:t>De NVB verzoekt het nationale systeem</w:t>
      </w:r>
      <w:r w:rsidRPr="001356AE">
        <w:rPr>
          <w:rFonts w:cs="Arial"/>
          <w:i/>
          <w:sz w:val="18"/>
          <w:szCs w:val="18"/>
        </w:rPr>
        <w:t xml:space="preserve"> </w:t>
      </w:r>
      <w:r w:rsidRPr="00013526">
        <w:rPr>
          <w:rFonts w:cs="Arial"/>
          <w:iCs/>
          <w:sz w:val="18"/>
          <w:szCs w:val="18"/>
        </w:rPr>
        <w:t xml:space="preserve">van bestuurlijke </w:t>
      </w:r>
      <w:r>
        <w:rPr>
          <w:rFonts w:cs="Arial"/>
          <w:iCs/>
          <w:sz w:val="18"/>
          <w:szCs w:val="18"/>
        </w:rPr>
        <w:t xml:space="preserve">boetes </w:t>
      </w:r>
      <w:r w:rsidRPr="00013526">
        <w:rPr>
          <w:rFonts w:cs="Arial"/>
          <w:iCs/>
          <w:sz w:val="18"/>
          <w:szCs w:val="18"/>
        </w:rPr>
        <w:t>aan te passen naar de Europese systematiek.</w:t>
      </w:r>
      <w:r>
        <w:rPr>
          <w:rFonts w:cs="Arial"/>
          <w:iCs/>
          <w:sz w:val="18"/>
          <w:szCs w:val="18"/>
        </w:rPr>
        <w:t xml:space="preserve"> </w:t>
      </w:r>
      <w:r w:rsidR="0056506B">
        <w:rPr>
          <w:rFonts w:cs="Arial"/>
          <w:iCs/>
          <w:sz w:val="18"/>
          <w:szCs w:val="18"/>
        </w:rPr>
        <w:t xml:space="preserve">Hoewel de richtlijn de bepalingen omtrent handhaving opnieuw vaststelt, geven de inhoudelijke wijzigingen hier geen aanleiding toe. </w:t>
      </w:r>
      <w:r>
        <w:rPr>
          <w:rFonts w:cs="Arial"/>
          <w:iCs/>
          <w:sz w:val="18"/>
          <w:szCs w:val="18"/>
        </w:rPr>
        <w:t xml:space="preserve">Het nationale systeem </w:t>
      </w:r>
      <w:r w:rsidR="00013526">
        <w:rPr>
          <w:rFonts w:cs="Arial"/>
          <w:iCs/>
          <w:sz w:val="18"/>
          <w:szCs w:val="18"/>
        </w:rPr>
        <w:t xml:space="preserve">van bestuurlijke boetes </w:t>
      </w:r>
      <w:r>
        <w:rPr>
          <w:rFonts w:cs="Arial"/>
          <w:iCs/>
          <w:sz w:val="18"/>
          <w:szCs w:val="18"/>
        </w:rPr>
        <w:t xml:space="preserve">volgt zoveel mogelijk het Europese systeem </w:t>
      </w:r>
      <w:r w:rsidR="00013526">
        <w:rPr>
          <w:rFonts w:cs="Arial"/>
          <w:iCs/>
          <w:sz w:val="18"/>
          <w:szCs w:val="18"/>
        </w:rPr>
        <w:t xml:space="preserve">uit de CRD, ingepast in het cross-sectorale systeem va de Wft. </w:t>
      </w:r>
      <w:r>
        <w:rPr>
          <w:rFonts w:cs="Arial"/>
          <w:iCs/>
          <w:sz w:val="18"/>
          <w:szCs w:val="18"/>
        </w:rPr>
        <w:t>D</w:t>
      </w:r>
      <w:r w:rsidR="003F267D">
        <w:rPr>
          <w:rFonts w:cs="Arial"/>
          <w:iCs/>
          <w:sz w:val="18"/>
          <w:szCs w:val="18"/>
        </w:rPr>
        <w:t xml:space="preserve">e </w:t>
      </w:r>
      <w:r w:rsidR="00C34CAB">
        <w:rPr>
          <w:rFonts w:cs="Arial"/>
          <w:iCs/>
          <w:sz w:val="18"/>
          <w:szCs w:val="18"/>
        </w:rPr>
        <w:t xml:space="preserve">ECB </w:t>
      </w:r>
      <w:r w:rsidR="003F267D">
        <w:rPr>
          <w:rFonts w:cs="Arial"/>
          <w:iCs/>
          <w:sz w:val="18"/>
          <w:szCs w:val="18"/>
        </w:rPr>
        <w:t xml:space="preserve">is </w:t>
      </w:r>
      <w:r w:rsidR="00C34CAB">
        <w:rPr>
          <w:rFonts w:cs="Arial"/>
          <w:iCs/>
          <w:sz w:val="18"/>
          <w:szCs w:val="18"/>
        </w:rPr>
        <w:t>volledig onafhankelijk, ook in het voorschrijven van haar boetebeleid, zolang zij daarbij binnen de kaders van onder andere de verordening bankentoezicht blijft.</w:t>
      </w:r>
    </w:p>
    <w:p w:rsidR="001356AE" w:rsidP="00C34CAB" w:rsidRDefault="00C34CAB" w14:paraId="479CED8B" w14:textId="3A66038A">
      <w:pPr>
        <w:widowControl w:val="0"/>
        <w:tabs>
          <w:tab w:val="num" w:pos="720"/>
        </w:tabs>
        <w:spacing w:line="240" w:lineRule="atLeast"/>
        <w:rPr>
          <w:rFonts w:cs="Arial"/>
          <w:iCs/>
          <w:sz w:val="18"/>
          <w:szCs w:val="18"/>
        </w:rPr>
      </w:pPr>
      <w:r>
        <w:rPr>
          <w:rFonts w:cs="Arial"/>
          <w:iCs/>
          <w:sz w:val="18"/>
          <w:szCs w:val="18"/>
        </w:rPr>
        <w:t xml:space="preserve"> </w:t>
      </w:r>
    </w:p>
    <w:p w:rsidRPr="00013526" w:rsidR="00C34CAB" w:rsidP="00C34CAB" w:rsidRDefault="00C34CAB" w14:paraId="7D7DC73C" w14:textId="5F5A6E5F">
      <w:pPr>
        <w:widowControl w:val="0"/>
        <w:tabs>
          <w:tab w:val="num" w:pos="720"/>
        </w:tabs>
        <w:spacing w:line="240" w:lineRule="atLeast"/>
        <w:rPr>
          <w:rFonts w:cs="Arial"/>
          <w:i/>
          <w:sz w:val="18"/>
          <w:szCs w:val="18"/>
        </w:rPr>
      </w:pPr>
      <w:r w:rsidRPr="00013526">
        <w:rPr>
          <w:rFonts w:cs="Arial"/>
          <w:i/>
          <w:sz w:val="18"/>
          <w:szCs w:val="18"/>
        </w:rPr>
        <w:lastRenderedPageBreak/>
        <w:t>7.5.2 Invulling begrip onverwijld</w:t>
      </w:r>
    </w:p>
    <w:p w:rsidRPr="00013526" w:rsidR="00BB2435" w:rsidP="0024398D" w:rsidRDefault="00C34CAB" w14:paraId="49676601" w14:textId="1DA56281">
      <w:pPr>
        <w:widowControl w:val="0"/>
        <w:tabs>
          <w:tab w:val="num" w:pos="720"/>
        </w:tabs>
        <w:spacing w:line="240" w:lineRule="atLeast"/>
        <w:rPr>
          <w:rFonts w:cs="Arial"/>
          <w:iCs/>
          <w:sz w:val="18"/>
          <w:szCs w:val="18"/>
        </w:rPr>
      </w:pPr>
      <w:r w:rsidRPr="00013526">
        <w:rPr>
          <w:rFonts w:cs="Arial"/>
          <w:iCs/>
          <w:sz w:val="18"/>
          <w:szCs w:val="18"/>
        </w:rPr>
        <w:t>De NVB meent dat het begrip ‘onverwijld’ zoals gebruikt in artikel 1:107 Wft met betrekking tot inschrijvingen in het openbare register van de toezichthouder nader geduid moet worden.</w:t>
      </w:r>
      <w:r w:rsidRPr="00013526" w:rsidR="00D91EC1">
        <w:rPr>
          <w:rFonts w:cs="Arial"/>
          <w:iCs/>
          <w:sz w:val="18"/>
          <w:szCs w:val="18"/>
        </w:rPr>
        <w:t xml:space="preserve"> Dit wordt niet overgenomen. De betekenis van ‘onverwijld’ </w:t>
      </w:r>
      <w:r w:rsidRPr="00013526" w:rsidR="007C0A31">
        <w:rPr>
          <w:rFonts w:cs="Arial"/>
          <w:iCs/>
          <w:sz w:val="18"/>
          <w:szCs w:val="18"/>
        </w:rPr>
        <w:t>wordt</w:t>
      </w:r>
      <w:r w:rsidRPr="00013526" w:rsidR="00D91EC1">
        <w:rPr>
          <w:rFonts w:cs="Arial"/>
          <w:iCs/>
          <w:sz w:val="18"/>
          <w:szCs w:val="18"/>
        </w:rPr>
        <w:t xml:space="preserve"> voor een ieder </w:t>
      </w:r>
      <w:r w:rsidRPr="00013526" w:rsidR="007C0A31">
        <w:rPr>
          <w:rFonts w:cs="Arial"/>
          <w:iCs/>
          <w:sz w:val="18"/>
          <w:szCs w:val="18"/>
        </w:rPr>
        <w:t xml:space="preserve">voldoende </w:t>
      </w:r>
      <w:r w:rsidRPr="00013526" w:rsidR="00D91EC1">
        <w:rPr>
          <w:rFonts w:cs="Arial"/>
          <w:iCs/>
          <w:sz w:val="18"/>
          <w:szCs w:val="18"/>
        </w:rPr>
        <w:t>duidelijk</w:t>
      </w:r>
      <w:r w:rsidRPr="00013526" w:rsidR="007C0A31">
        <w:rPr>
          <w:rFonts w:cs="Arial"/>
          <w:iCs/>
          <w:sz w:val="18"/>
          <w:szCs w:val="18"/>
        </w:rPr>
        <w:t xml:space="preserve"> geacht</w:t>
      </w:r>
      <w:r w:rsidRPr="00013526" w:rsidR="00D91EC1">
        <w:rPr>
          <w:rFonts w:cs="Arial"/>
          <w:iCs/>
          <w:sz w:val="18"/>
          <w:szCs w:val="18"/>
        </w:rPr>
        <w:t>,</w:t>
      </w:r>
      <w:r w:rsidRPr="00013526" w:rsidR="007C0A31">
        <w:rPr>
          <w:rFonts w:cs="Arial"/>
          <w:iCs/>
          <w:sz w:val="18"/>
          <w:szCs w:val="18"/>
        </w:rPr>
        <w:t xml:space="preserve"> temeer nu dit al jarenlang gehanteerd wordt voor inschrijvingen in het register.</w:t>
      </w:r>
    </w:p>
    <w:p w:rsidR="00BB2435" w:rsidP="0024398D" w:rsidRDefault="00BB2435" w14:paraId="51A0D0D3" w14:textId="77777777">
      <w:pPr>
        <w:widowControl w:val="0"/>
        <w:tabs>
          <w:tab w:val="num" w:pos="720"/>
        </w:tabs>
        <w:spacing w:line="240" w:lineRule="atLeast"/>
        <w:rPr>
          <w:rFonts w:cs="Arial"/>
          <w:i/>
          <w:sz w:val="18"/>
          <w:szCs w:val="18"/>
        </w:rPr>
      </w:pPr>
    </w:p>
    <w:p w:rsidRPr="00013526" w:rsidR="0024398D" w:rsidP="0024398D" w:rsidRDefault="003F267D" w14:paraId="43F2F3E5" w14:textId="5F630F5E">
      <w:pPr>
        <w:widowControl w:val="0"/>
        <w:tabs>
          <w:tab w:val="num" w:pos="720"/>
        </w:tabs>
        <w:spacing w:line="240" w:lineRule="atLeast"/>
        <w:rPr>
          <w:rFonts w:cs="Arial"/>
          <w:i/>
          <w:sz w:val="18"/>
          <w:szCs w:val="18"/>
          <w:u w:val="single"/>
        </w:rPr>
      </w:pPr>
      <w:r w:rsidRPr="00A05EB4">
        <w:rPr>
          <w:rFonts w:cs="Arial"/>
          <w:i/>
          <w:sz w:val="18"/>
          <w:szCs w:val="18"/>
          <w:u w:val="single"/>
        </w:rPr>
        <w:t>§</w:t>
      </w:r>
      <w:r>
        <w:rPr>
          <w:rFonts w:cs="Arial"/>
          <w:i/>
          <w:sz w:val="18"/>
          <w:szCs w:val="18"/>
          <w:u w:val="single"/>
        </w:rPr>
        <w:t xml:space="preserve"> </w:t>
      </w:r>
      <w:r w:rsidRPr="00013526" w:rsidR="0024398D">
        <w:rPr>
          <w:rFonts w:cs="Arial"/>
          <w:i/>
          <w:sz w:val="18"/>
          <w:szCs w:val="18"/>
          <w:u w:val="single"/>
        </w:rPr>
        <w:t xml:space="preserve">7.6 </w:t>
      </w:r>
      <w:r w:rsidRPr="00013526" w:rsidR="00D91EC1">
        <w:rPr>
          <w:rFonts w:cs="Arial"/>
          <w:i/>
          <w:sz w:val="18"/>
          <w:szCs w:val="18"/>
          <w:u w:val="single"/>
        </w:rPr>
        <w:t>Overig</w:t>
      </w:r>
    </w:p>
    <w:p w:rsidR="00D91EC1" w:rsidP="0024398D" w:rsidRDefault="00D91EC1" w14:paraId="1903E6D0" w14:textId="77777777">
      <w:pPr>
        <w:widowControl w:val="0"/>
        <w:tabs>
          <w:tab w:val="num" w:pos="720"/>
        </w:tabs>
        <w:spacing w:line="240" w:lineRule="atLeast"/>
        <w:rPr>
          <w:rFonts w:cs="Arial"/>
          <w:i/>
          <w:sz w:val="18"/>
          <w:szCs w:val="18"/>
        </w:rPr>
      </w:pPr>
    </w:p>
    <w:p w:rsidRPr="00F709EB" w:rsidR="00F709EB" w:rsidP="0024398D" w:rsidRDefault="00F709EB" w14:paraId="6CD1D52A" w14:textId="2E24F532">
      <w:pPr>
        <w:widowControl w:val="0"/>
        <w:tabs>
          <w:tab w:val="num" w:pos="720"/>
        </w:tabs>
        <w:spacing w:line="240" w:lineRule="atLeast"/>
        <w:rPr>
          <w:rFonts w:cs="Arial"/>
          <w:iCs/>
          <w:sz w:val="18"/>
          <w:szCs w:val="18"/>
        </w:rPr>
      </w:pPr>
      <w:r>
        <w:rPr>
          <w:rFonts w:cs="Arial"/>
          <w:iCs/>
          <w:sz w:val="18"/>
          <w:szCs w:val="18"/>
        </w:rPr>
        <w:t>Als laatste heeft de NVB enkele opmerkingen gemaakt in de categorie ‘overig’.</w:t>
      </w:r>
    </w:p>
    <w:p w:rsidR="00F709EB" w:rsidP="0024398D" w:rsidRDefault="00F709EB" w14:paraId="0688BC0C" w14:textId="77777777">
      <w:pPr>
        <w:widowControl w:val="0"/>
        <w:tabs>
          <w:tab w:val="num" w:pos="720"/>
        </w:tabs>
        <w:spacing w:line="240" w:lineRule="atLeast"/>
        <w:rPr>
          <w:rFonts w:cs="Arial"/>
          <w:i/>
          <w:sz w:val="18"/>
          <w:szCs w:val="18"/>
        </w:rPr>
      </w:pPr>
    </w:p>
    <w:p w:rsidR="003F267D" w:rsidP="0024398D" w:rsidRDefault="003F267D" w14:paraId="3347E2A0" w14:textId="7F17D6C9">
      <w:pPr>
        <w:widowControl w:val="0"/>
        <w:tabs>
          <w:tab w:val="num" w:pos="720"/>
        </w:tabs>
        <w:spacing w:line="240" w:lineRule="atLeast"/>
        <w:rPr>
          <w:rFonts w:cs="Arial"/>
          <w:iCs/>
          <w:sz w:val="18"/>
          <w:szCs w:val="18"/>
        </w:rPr>
      </w:pPr>
      <w:r>
        <w:rPr>
          <w:rFonts w:cs="Arial"/>
          <w:i/>
          <w:sz w:val="18"/>
          <w:szCs w:val="18"/>
        </w:rPr>
        <w:t>7.6.1 Algemene opmerking over wetgeving</w:t>
      </w:r>
    </w:p>
    <w:p w:rsidRPr="002302E9" w:rsidR="00923A06" w:rsidP="0024398D" w:rsidRDefault="00923A06" w14:paraId="2284ED56" w14:textId="274C3E45">
      <w:pPr>
        <w:widowControl w:val="0"/>
        <w:tabs>
          <w:tab w:val="num" w:pos="720"/>
        </w:tabs>
        <w:spacing w:line="240" w:lineRule="atLeast"/>
        <w:rPr>
          <w:rFonts w:cs="Arial"/>
          <w:iCs/>
          <w:sz w:val="18"/>
          <w:szCs w:val="18"/>
        </w:rPr>
      </w:pPr>
      <w:r>
        <w:rPr>
          <w:rFonts w:cs="Arial"/>
          <w:iCs/>
          <w:sz w:val="18"/>
          <w:szCs w:val="18"/>
        </w:rPr>
        <w:t xml:space="preserve">De NVB gaat in haar consultatiereactie in op het belang van duidelijke en voorspelbare wetgeving, geharmoniseerd met het EU-recht en lastenluwe implementatie van nieuwe verplichtingen. Zoals ook door de ATR is bevestigd, is de richtlijn zo lastenluw mogelijk geïmplementeerd, door onder meer lidstaatopties zo lastenluw mogelijk in te zetten. Bij de implementatie van de richtlijn is getracht zo dicht mogelijk bij de tekst van de richtlijn te blijven, door onder meer dynamische verwijzingen op te nemen. Waar mogelijk is bezien of nationale regels geschrapt moeten worden, omdat zij worden vervangen door een Europees kader. </w:t>
      </w:r>
    </w:p>
    <w:p w:rsidR="003F267D" w:rsidP="0024398D" w:rsidRDefault="003F267D" w14:paraId="1A365E6B" w14:textId="77777777">
      <w:pPr>
        <w:widowControl w:val="0"/>
        <w:tabs>
          <w:tab w:val="num" w:pos="720"/>
        </w:tabs>
        <w:spacing w:line="240" w:lineRule="atLeast"/>
        <w:rPr>
          <w:rFonts w:cs="Arial"/>
          <w:i/>
          <w:sz w:val="18"/>
          <w:szCs w:val="18"/>
        </w:rPr>
      </w:pPr>
    </w:p>
    <w:p w:rsidR="002E72F8" w:rsidP="0024398D" w:rsidRDefault="002E72F8" w14:paraId="6E16A48B" w14:textId="2E5E7542">
      <w:pPr>
        <w:widowControl w:val="0"/>
        <w:tabs>
          <w:tab w:val="num" w:pos="720"/>
        </w:tabs>
        <w:spacing w:line="240" w:lineRule="atLeast"/>
        <w:rPr>
          <w:rFonts w:cs="Arial"/>
          <w:i/>
          <w:sz w:val="18"/>
          <w:szCs w:val="18"/>
        </w:rPr>
      </w:pPr>
      <w:r>
        <w:rPr>
          <w:rFonts w:cs="Arial"/>
          <w:i/>
          <w:sz w:val="18"/>
          <w:szCs w:val="18"/>
        </w:rPr>
        <w:t>7.6.</w:t>
      </w:r>
      <w:r w:rsidR="003F267D">
        <w:rPr>
          <w:rFonts w:cs="Arial"/>
          <w:i/>
          <w:sz w:val="18"/>
          <w:szCs w:val="18"/>
        </w:rPr>
        <w:t>2</w:t>
      </w:r>
      <w:r>
        <w:rPr>
          <w:rFonts w:cs="Arial"/>
          <w:i/>
          <w:sz w:val="18"/>
          <w:szCs w:val="18"/>
        </w:rPr>
        <w:t xml:space="preserve"> Uitwisseling van persoonsgegevens bij samenwerking toezichthouders</w:t>
      </w:r>
    </w:p>
    <w:p w:rsidR="00EB31CB" w:rsidP="0024398D" w:rsidRDefault="002E72F8" w14:paraId="15CD4B8C" w14:textId="551C1268">
      <w:pPr>
        <w:widowControl w:val="0"/>
        <w:tabs>
          <w:tab w:val="num" w:pos="720"/>
        </w:tabs>
        <w:spacing w:line="240" w:lineRule="atLeast"/>
        <w:rPr>
          <w:rFonts w:cs="Arial"/>
          <w:iCs/>
          <w:sz w:val="18"/>
          <w:szCs w:val="18"/>
        </w:rPr>
      </w:pPr>
      <w:r>
        <w:rPr>
          <w:rFonts w:cs="Arial"/>
          <w:iCs/>
          <w:sz w:val="18"/>
          <w:szCs w:val="18"/>
        </w:rPr>
        <w:t xml:space="preserve">De NVB maakt zich zorgen over de uitwisseling van gegevens met andere toezichthouders, zowel </w:t>
      </w:r>
      <w:r w:rsidR="00EB31CB">
        <w:rPr>
          <w:rFonts w:cs="Arial"/>
          <w:iCs/>
          <w:sz w:val="18"/>
          <w:szCs w:val="18"/>
        </w:rPr>
        <w:t xml:space="preserve">uit de Europese </w:t>
      </w:r>
      <w:r>
        <w:rPr>
          <w:rFonts w:cs="Arial"/>
          <w:iCs/>
          <w:sz w:val="18"/>
          <w:szCs w:val="18"/>
        </w:rPr>
        <w:t>lidstaten (artikel 1:51 Wft)</w:t>
      </w:r>
      <w:r w:rsidR="00EB31CB">
        <w:rPr>
          <w:rFonts w:cs="Arial"/>
          <w:iCs/>
          <w:sz w:val="18"/>
          <w:szCs w:val="18"/>
        </w:rPr>
        <w:t>,</w:t>
      </w:r>
      <w:r>
        <w:rPr>
          <w:rFonts w:cs="Arial"/>
          <w:iCs/>
          <w:sz w:val="18"/>
          <w:szCs w:val="18"/>
        </w:rPr>
        <w:t xml:space="preserve"> als met de toezichthouders van staten die geen lidstaat zijn (artikel 1:65 Wft). </w:t>
      </w:r>
    </w:p>
    <w:p w:rsidR="00EB31CB" w:rsidP="0024398D" w:rsidRDefault="00EB31CB" w14:paraId="36A7DED6" w14:textId="77777777">
      <w:pPr>
        <w:widowControl w:val="0"/>
        <w:tabs>
          <w:tab w:val="num" w:pos="720"/>
        </w:tabs>
        <w:spacing w:line="240" w:lineRule="atLeast"/>
        <w:rPr>
          <w:rFonts w:cs="Arial"/>
          <w:iCs/>
          <w:sz w:val="18"/>
          <w:szCs w:val="18"/>
        </w:rPr>
      </w:pPr>
    </w:p>
    <w:p w:rsidR="002E72F8" w:rsidP="0024398D" w:rsidRDefault="00EB31CB" w14:paraId="42AAA59B" w14:textId="6FB33EC2">
      <w:pPr>
        <w:widowControl w:val="0"/>
        <w:tabs>
          <w:tab w:val="num" w:pos="720"/>
        </w:tabs>
        <w:spacing w:line="240" w:lineRule="atLeast"/>
        <w:rPr>
          <w:rFonts w:cs="Arial"/>
          <w:iCs/>
          <w:sz w:val="18"/>
          <w:szCs w:val="18"/>
        </w:rPr>
      </w:pPr>
      <w:r>
        <w:rPr>
          <w:rFonts w:cs="Arial"/>
          <w:iCs/>
          <w:sz w:val="18"/>
          <w:szCs w:val="18"/>
        </w:rPr>
        <w:t>CRD schrijft voor</w:t>
      </w:r>
      <w:r w:rsidR="002E72F8">
        <w:rPr>
          <w:rFonts w:cs="Arial"/>
          <w:iCs/>
          <w:sz w:val="18"/>
          <w:szCs w:val="18"/>
        </w:rPr>
        <w:t xml:space="preserve"> dat toezichthouders zowel op verzoek</w:t>
      </w:r>
      <w:r>
        <w:rPr>
          <w:rFonts w:cs="Arial"/>
          <w:iCs/>
          <w:sz w:val="18"/>
          <w:szCs w:val="18"/>
        </w:rPr>
        <w:t>,</w:t>
      </w:r>
      <w:r w:rsidR="002E72F8">
        <w:rPr>
          <w:rFonts w:cs="Arial"/>
          <w:iCs/>
          <w:sz w:val="18"/>
          <w:szCs w:val="18"/>
        </w:rPr>
        <w:t xml:space="preserve"> als op eigen initiatief informatie </w:t>
      </w:r>
      <w:r>
        <w:rPr>
          <w:rFonts w:cs="Arial"/>
          <w:iCs/>
          <w:sz w:val="18"/>
          <w:szCs w:val="18"/>
        </w:rPr>
        <w:t xml:space="preserve">moeten </w:t>
      </w:r>
      <w:r w:rsidR="002E72F8">
        <w:rPr>
          <w:rFonts w:cs="Arial"/>
          <w:iCs/>
          <w:sz w:val="18"/>
          <w:szCs w:val="18"/>
        </w:rPr>
        <w:t xml:space="preserve">kunnen uitwisselen met andere toezichthouders. In het kader van deze richtlijnimplementatie ziet dat specifiek op de gevallen waar er sprake is van prudentieel relevante transacties. Dit betreft niet, zoals de NVB het schetst, een “continue, omvangrijke en ondoorzichtige informatiestroom”. Zelfs door opname in een algemeen geformuleerd artikel, zoals artikel 1:51 Wft, moet deze verstrekking op eigener beweging nog steeds terug te leiden zijn naar een in </w:t>
      </w:r>
      <w:r>
        <w:rPr>
          <w:rFonts w:cs="Arial"/>
          <w:iCs/>
          <w:sz w:val="18"/>
          <w:szCs w:val="18"/>
        </w:rPr>
        <w:t xml:space="preserve">de </w:t>
      </w:r>
      <w:r w:rsidR="002E72F8">
        <w:rPr>
          <w:rFonts w:cs="Arial"/>
          <w:iCs/>
          <w:sz w:val="18"/>
          <w:szCs w:val="18"/>
        </w:rPr>
        <w:t>richtlijn specifiek voorgeschreven</w:t>
      </w:r>
      <w:r>
        <w:rPr>
          <w:rFonts w:cs="Arial"/>
          <w:iCs/>
          <w:sz w:val="18"/>
          <w:szCs w:val="18"/>
        </w:rPr>
        <w:t xml:space="preserve"> reden voor</w:t>
      </w:r>
      <w:r w:rsidR="002E72F8">
        <w:rPr>
          <w:rFonts w:cs="Arial"/>
          <w:iCs/>
          <w:sz w:val="18"/>
          <w:szCs w:val="18"/>
        </w:rPr>
        <w:t xml:space="preserve"> informatie-uitwisseling.</w:t>
      </w:r>
    </w:p>
    <w:p w:rsidR="002E72F8" w:rsidP="0024398D" w:rsidRDefault="002E72F8" w14:paraId="1ED31D4E" w14:textId="77777777">
      <w:pPr>
        <w:widowControl w:val="0"/>
        <w:tabs>
          <w:tab w:val="num" w:pos="720"/>
        </w:tabs>
        <w:spacing w:line="240" w:lineRule="atLeast"/>
        <w:rPr>
          <w:rFonts w:cs="Arial"/>
          <w:iCs/>
          <w:sz w:val="18"/>
          <w:szCs w:val="18"/>
        </w:rPr>
      </w:pPr>
    </w:p>
    <w:p w:rsidRPr="00013526" w:rsidR="002E72F8" w:rsidP="0024398D" w:rsidRDefault="002E72F8" w14:paraId="4EB61E35" w14:textId="0DCEDAB0">
      <w:pPr>
        <w:widowControl w:val="0"/>
        <w:tabs>
          <w:tab w:val="num" w:pos="720"/>
        </w:tabs>
        <w:spacing w:line="240" w:lineRule="atLeast"/>
        <w:rPr>
          <w:rFonts w:cs="Arial"/>
          <w:iCs/>
          <w:sz w:val="18"/>
          <w:szCs w:val="18"/>
        </w:rPr>
      </w:pPr>
      <w:r>
        <w:rPr>
          <w:rFonts w:cs="Arial"/>
          <w:iCs/>
          <w:sz w:val="18"/>
          <w:szCs w:val="18"/>
        </w:rPr>
        <w:t>Daarbij komt dat de uitwisseling van informatie tussen toezichthouders gebonden is aan het informatiekader uit de CRD</w:t>
      </w:r>
      <w:r w:rsidR="00EB31CB">
        <w:rPr>
          <w:rFonts w:cs="Arial"/>
          <w:iCs/>
          <w:sz w:val="18"/>
          <w:szCs w:val="18"/>
        </w:rPr>
        <w:t>,</w:t>
      </w:r>
      <w:r>
        <w:rPr>
          <w:rFonts w:cs="Arial"/>
          <w:iCs/>
          <w:sz w:val="18"/>
          <w:szCs w:val="18"/>
        </w:rPr>
        <w:t xml:space="preserve"> wat neergelegd is in de artikelen 53 tot en met 62 CRD. Hierin is onder meer het beroepsgeheim opgenomen, evenals dat het verwerken van persoonsgegevens in overeenstemming moet zijn met de algemene verordening gegevensbescherming.</w:t>
      </w:r>
      <w:r>
        <w:rPr>
          <w:rStyle w:val="Voetnootmarkering"/>
          <w:rFonts w:cs="Arial"/>
          <w:iCs/>
          <w:sz w:val="18"/>
          <w:szCs w:val="18"/>
        </w:rPr>
        <w:footnoteReference w:id="74"/>
      </w:r>
      <w:r w:rsidR="00183570">
        <w:rPr>
          <w:rFonts w:cs="Arial"/>
          <w:iCs/>
          <w:sz w:val="18"/>
          <w:szCs w:val="18"/>
        </w:rPr>
        <w:t xml:space="preserve"> </w:t>
      </w:r>
    </w:p>
    <w:p w:rsidR="002E72F8" w:rsidP="0024398D" w:rsidRDefault="002E72F8" w14:paraId="6151B33E" w14:textId="77777777">
      <w:pPr>
        <w:widowControl w:val="0"/>
        <w:tabs>
          <w:tab w:val="num" w:pos="720"/>
        </w:tabs>
        <w:spacing w:line="240" w:lineRule="atLeast"/>
        <w:rPr>
          <w:rFonts w:cs="Arial"/>
          <w:i/>
          <w:sz w:val="18"/>
          <w:szCs w:val="18"/>
        </w:rPr>
      </w:pPr>
    </w:p>
    <w:p w:rsidR="00D91EC1" w:rsidP="0024398D" w:rsidRDefault="00D91EC1" w14:paraId="529204DF" w14:textId="402687FC">
      <w:pPr>
        <w:widowControl w:val="0"/>
        <w:tabs>
          <w:tab w:val="num" w:pos="720"/>
        </w:tabs>
        <w:spacing w:line="240" w:lineRule="atLeast"/>
        <w:rPr>
          <w:rFonts w:cs="Arial"/>
          <w:i/>
          <w:sz w:val="18"/>
          <w:szCs w:val="18"/>
        </w:rPr>
      </w:pPr>
      <w:r>
        <w:rPr>
          <w:rFonts w:cs="Arial"/>
          <w:i/>
          <w:sz w:val="18"/>
          <w:szCs w:val="18"/>
        </w:rPr>
        <w:t>7.6.</w:t>
      </w:r>
      <w:r w:rsidR="003F267D">
        <w:rPr>
          <w:rFonts w:cs="Arial"/>
          <w:i/>
          <w:sz w:val="18"/>
          <w:szCs w:val="18"/>
        </w:rPr>
        <w:t>3</w:t>
      </w:r>
      <w:r>
        <w:rPr>
          <w:rFonts w:cs="Arial"/>
          <w:i/>
          <w:sz w:val="18"/>
          <w:szCs w:val="18"/>
        </w:rPr>
        <w:t xml:space="preserve"> Verwijzingen naar de Awb</w:t>
      </w:r>
    </w:p>
    <w:p w:rsidR="00D91EC1" w:rsidP="0024398D" w:rsidRDefault="00D91EC1" w14:paraId="560DA840" w14:textId="545FCCF3">
      <w:pPr>
        <w:widowControl w:val="0"/>
        <w:tabs>
          <w:tab w:val="num" w:pos="720"/>
        </w:tabs>
        <w:spacing w:line="240" w:lineRule="atLeast"/>
        <w:rPr>
          <w:rFonts w:cs="Arial"/>
          <w:iCs/>
          <w:sz w:val="18"/>
          <w:szCs w:val="18"/>
        </w:rPr>
      </w:pPr>
      <w:r>
        <w:rPr>
          <w:rFonts w:cs="Arial"/>
          <w:iCs/>
          <w:sz w:val="18"/>
          <w:szCs w:val="18"/>
        </w:rPr>
        <w:t xml:space="preserve">De NVB verzoekt om verwijzingen naar de Awb op te nemen om ervoor te zorgen dat toezichthouders, inclusief de ECB, zich aan de aldaar opgenomen termijnen houden. De Awb is een </w:t>
      </w:r>
      <w:r w:rsidR="00D03189">
        <w:rPr>
          <w:rFonts w:cs="Arial"/>
          <w:iCs/>
          <w:sz w:val="18"/>
          <w:szCs w:val="18"/>
        </w:rPr>
        <w:t xml:space="preserve">generieke wet, en geldt tenzij er expliciet van wordt afgeweken. Alleen in dat geval wordt er een expliciete verwijzing naar de Awb opgenomen. Indien de NVB constateert dat DNB zich als zelfstandig bestuursorgaan niet houdt aan de geldende termijnen uit de Awb, dan zal </w:t>
      </w:r>
      <w:r w:rsidR="00CF67BE">
        <w:rPr>
          <w:rFonts w:cs="Arial"/>
          <w:iCs/>
          <w:sz w:val="18"/>
          <w:szCs w:val="18"/>
        </w:rPr>
        <w:t xml:space="preserve">de individuele bank </w:t>
      </w:r>
      <w:r w:rsidR="00D03189">
        <w:rPr>
          <w:rFonts w:cs="Arial"/>
          <w:iCs/>
          <w:sz w:val="18"/>
          <w:szCs w:val="18"/>
        </w:rPr>
        <w:t>de gebruikelijke weg van bezwaar en beroep moeten volgen die op grond van de Awb hierbij open staat.</w:t>
      </w:r>
    </w:p>
    <w:p w:rsidR="00D03189" w:rsidP="0024398D" w:rsidRDefault="00D03189" w14:paraId="396FDF5B" w14:textId="77777777">
      <w:pPr>
        <w:widowControl w:val="0"/>
        <w:tabs>
          <w:tab w:val="num" w:pos="720"/>
        </w:tabs>
        <w:spacing w:line="240" w:lineRule="atLeast"/>
        <w:rPr>
          <w:rFonts w:cs="Arial"/>
          <w:iCs/>
          <w:sz w:val="18"/>
          <w:szCs w:val="18"/>
        </w:rPr>
      </w:pPr>
    </w:p>
    <w:p w:rsidR="00D03189" w:rsidP="0024398D" w:rsidRDefault="00D03189" w14:paraId="501BA4E8" w14:textId="468237CB">
      <w:pPr>
        <w:widowControl w:val="0"/>
        <w:tabs>
          <w:tab w:val="num" w:pos="720"/>
        </w:tabs>
        <w:spacing w:line="240" w:lineRule="atLeast"/>
        <w:rPr>
          <w:rFonts w:cs="Arial"/>
          <w:i/>
          <w:sz w:val="18"/>
          <w:szCs w:val="18"/>
        </w:rPr>
      </w:pPr>
      <w:r>
        <w:rPr>
          <w:rFonts w:cs="Arial"/>
          <w:i/>
          <w:sz w:val="18"/>
          <w:szCs w:val="18"/>
        </w:rPr>
        <w:t>7.6.</w:t>
      </w:r>
      <w:r w:rsidR="003F267D">
        <w:rPr>
          <w:rFonts w:cs="Arial"/>
          <w:i/>
          <w:sz w:val="18"/>
          <w:szCs w:val="18"/>
        </w:rPr>
        <w:t>4</w:t>
      </w:r>
      <w:r>
        <w:rPr>
          <w:rFonts w:cs="Arial"/>
          <w:i/>
          <w:sz w:val="18"/>
          <w:szCs w:val="18"/>
        </w:rPr>
        <w:t xml:space="preserve"> Lastendruk</w:t>
      </w:r>
    </w:p>
    <w:p w:rsidR="00D03189" w:rsidP="0024398D" w:rsidRDefault="00D03189" w14:paraId="1FB3C124" w14:textId="0F72C885">
      <w:pPr>
        <w:widowControl w:val="0"/>
        <w:tabs>
          <w:tab w:val="num" w:pos="720"/>
        </w:tabs>
        <w:spacing w:line="240" w:lineRule="atLeast"/>
        <w:rPr>
          <w:rFonts w:cs="Arial"/>
          <w:iCs/>
          <w:sz w:val="18"/>
          <w:szCs w:val="18"/>
        </w:rPr>
      </w:pPr>
      <w:r>
        <w:rPr>
          <w:rFonts w:cs="Arial"/>
          <w:iCs/>
          <w:sz w:val="18"/>
          <w:szCs w:val="18"/>
        </w:rPr>
        <w:t xml:space="preserve">De NVB verzoekt om rekening te houden met de lastendruk die voortvloeit uit </w:t>
      </w:r>
      <w:r>
        <w:rPr>
          <w:rFonts w:cs="Arial"/>
          <w:iCs/>
          <w:sz w:val="18"/>
          <w:szCs w:val="18"/>
        </w:rPr>
        <w:lastRenderedPageBreak/>
        <w:t xml:space="preserve">nationale en Europese beleidsregels die samenhangen met CRD VI bij het berekenen van de lastendruk. </w:t>
      </w:r>
      <w:r w:rsidR="00F74EB0">
        <w:rPr>
          <w:rFonts w:cs="Arial"/>
          <w:iCs/>
          <w:sz w:val="18"/>
          <w:szCs w:val="18"/>
        </w:rPr>
        <w:t>D</w:t>
      </w:r>
      <w:r>
        <w:rPr>
          <w:rFonts w:cs="Arial"/>
          <w:iCs/>
          <w:sz w:val="18"/>
          <w:szCs w:val="18"/>
        </w:rPr>
        <w:t>e mandaten</w:t>
      </w:r>
      <w:r w:rsidR="00F74EB0">
        <w:rPr>
          <w:rFonts w:cs="Arial"/>
          <w:iCs/>
          <w:sz w:val="18"/>
          <w:szCs w:val="18"/>
        </w:rPr>
        <w:t xml:space="preserve"> voor EBA</w:t>
      </w:r>
      <w:r>
        <w:rPr>
          <w:rFonts w:cs="Arial"/>
          <w:iCs/>
          <w:sz w:val="18"/>
          <w:szCs w:val="18"/>
        </w:rPr>
        <w:t xml:space="preserve">, waarvan </w:t>
      </w:r>
      <w:r w:rsidR="00F74EB0">
        <w:rPr>
          <w:rFonts w:cs="Arial"/>
          <w:iCs/>
          <w:sz w:val="18"/>
          <w:szCs w:val="18"/>
        </w:rPr>
        <w:t xml:space="preserve">de richtlijn </w:t>
      </w:r>
      <w:r>
        <w:rPr>
          <w:rFonts w:cs="Arial"/>
          <w:iCs/>
          <w:sz w:val="18"/>
          <w:szCs w:val="18"/>
        </w:rPr>
        <w:t xml:space="preserve">inderdaad </w:t>
      </w:r>
      <w:r w:rsidR="00F74EB0">
        <w:rPr>
          <w:rFonts w:cs="Arial"/>
          <w:iCs/>
          <w:sz w:val="18"/>
          <w:szCs w:val="18"/>
        </w:rPr>
        <w:t>meerdere bevat</w:t>
      </w:r>
      <w:r>
        <w:rPr>
          <w:rFonts w:cs="Arial"/>
          <w:iCs/>
          <w:sz w:val="18"/>
          <w:szCs w:val="18"/>
        </w:rPr>
        <w:t xml:space="preserve">, </w:t>
      </w:r>
      <w:r w:rsidR="00F74EB0">
        <w:rPr>
          <w:rFonts w:cs="Arial"/>
          <w:iCs/>
          <w:sz w:val="18"/>
          <w:szCs w:val="18"/>
        </w:rPr>
        <w:t xml:space="preserve">zien </w:t>
      </w:r>
      <w:r>
        <w:rPr>
          <w:rFonts w:cs="Arial"/>
          <w:iCs/>
          <w:sz w:val="18"/>
          <w:szCs w:val="18"/>
        </w:rPr>
        <w:t>voornamelijk op het uitwerken van technische reguleringsnormen die door de Europese Commissie zullen worden vastgesteld als gedelegeerde verordening. Dit betreft dus geen beleidsregels</w:t>
      </w:r>
      <w:r w:rsidR="00F74EB0">
        <w:rPr>
          <w:rFonts w:cs="Arial"/>
          <w:iCs/>
          <w:sz w:val="18"/>
          <w:szCs w:val="18"/>
        </w:rPr>
        <w:t xml:space="preserve"> maar bindend EU-recht</w:t>
      </w:r>
      <w:r>
        <w:rPr>
          <w:rFonts w:cs="Arial"/>
          <w:iCs/>
          <w:sz w:val="18"/>
          <w:szCs w:val="18"/>
        </w:rPr>
        <w:t>.</w:t>
      </w:r>
      <w:r w:rsidR="00F74EB0">
        <w:rPr>
          <w:rFonts w:cs="Arial"/>
          <w:iCs/>
          <w:sz w:val="18"/>
          <w:szCs w:val="18"/>
        </w:rPr>
        <w:t xml:space="preserve"> De inhoud van die gedelegeerde verordeningen, maar ook de richtsnoeren die EBA vaststelt, worden door EBA opgesteld, na onder meer publieke consultatie en controle door de Europese Commissie, Raad en Europees Parlement.</w:t>
      </w:r>
      <w:r>
        <w:rPr>
          <w:rFonts w:cs="Arial"/>
          <w:iCs/>
          <w:sz w:val="18"/>
          <w:szCs w:val="18"/>
        </w:rPr>
        <w:t xml:space="preserve"> </w:t>
      </w:r>
      <w:r w:rsidR="00EB31CB">
        <w:rPr>
          <w:rFonts w:cs="Arial"/>
          <w:iCs/>
          <w:sz w:val="18"/>
          <w:szCs w:val="18"/>
        </w:rPr>
        <w:t>Nu het onderhavig wetsvoorstel hier geen betrekking op heeft, en de betreffende</w:t>
      </w:r>
      <w:r w:rsidR="000916C5">
        <w:rPr>
          <w:rFonts w:cs="Arial"/>
          <w:iCs/>
          <w:sz w:val="18"/>
          <w:szCs w:val="18"/>
        </w:rPr>
        <w:t xml:space="preserve"> gedelegeerde</w:t>
      </w:r>
      <w:r w:rsidR="00EB31CB">
        <w:rPr>
          <w:rFonts w:cs="Arial"/>
          <w:iCs/>
          <w:sz w:val="18"/>
          <w:szCs w:val="18"/>
        </w:rPr>
        <w:t xml:space="preserve"> regelgeving ook nog niet</w:t>
      </w:r>
      <w:r w:rsidR="000916C5">
        <w:rPr>
          <w:rFonts w:cs="Arial"/>
          <w:iCs/>
          <w:sz w:val="18"/>
          <w:szCs w:val="18"/>
        </w:rPr>
        <w:t xml:space="preserve"> </w:t>
      </w:r>
      <w:r w:rsidR="00EB31CB">
        <w:rPr>
          <w:rFonts w:cs="Arial"/>
          <w:iCs/>
          <w:sz w:val="18"/>
          <w:szCs w:val="18"/>
        </w:rPr>
        <w:t xml:space="preserve">tot stand is gekomen, worden de gevolgen van deze uitwerking niet meegenomen in deze memorie van toelichting. </w:t>
      </w:r>
    </w:p>
    <w:p w:rsidR="00D03189" w:rsidP="0024398D" w:rsidRDefault="00D03189" w14:paraId="507E2858" w14:textId="77777777">
      <w:pPr>
        <w:widowControl w:val="0"/>
        <w:tabs>
          <w:tab w:val="num" w:pos="720"/>
        </w:tabs>
        <w:spacing w:line="240" w:lineRule="atLeast"/>
        <w:rPr>
          <w:rFonts w:cs="Arial"/>
          <w:iCs/>
          <w:sz w:val="18"/>
          <w:szCs w:val="18"/>
        </w:rPr>
      </w:pPr>
    </w:p>
    <w:p w:rsidR="00D03189" w:rsidP="0024398D" w:rsidRDefault="00D03189" w14:paraId="1EBA40BE" w14:textId="73876D5F">
      <w:pPr>
        <w:widowControl w:val="0"/>
        <w:tabs>
          <w:tab w:val="num" w:pos="720"/>
        </w:tabs>
        <w:spacing w:line="240" w:lineRule="atLeast"/>
        <w:rPr>
          <w:rFonts w:cs="Arial"/>
          <w:i/>
          <w:sz w:val="18"/>
          <w:szCs w:val="18"/>
        </w:rPr>
      </w:pPr>
      <w:r>
        <w:rPr>
          <w:rFonts w:cs="Arial"/>
          <w:i/>
          <w:sz w:val="18"/>
          <w:szCs w:val="18"/>
        </w:rPr>
        <w:t>7.6.</w:t>
      </w:r>
      <w:r w:rsidR="003F267D">
        <w:rPr>
          <w:rFonts w:cs="Arial"/>
          <w:i/>
          <w:sz w:val="18"/>
          <w:szCs w:val="18"/>
        </w:rPr>
        <w:t>5</w:t>
      </w:r>
      <w:r>
        <w:rPr>
          <w:rFonts w:cs="Arial"/>
          <w:i/>
          <w:sz w:val="18"/>
          <w:szCs w:val="18"/>
        </w:rPr>
        <w:t xml:space="preserve"> Berekening kosten personeel</w:t>
      </w:r>
    </w:p>
    <w:p w:rsidR="00D03189" w:rsidP="0024398D" w:rsidRDefault="00D03189" w14:paraId="49156310" w14:textId="554AB16C">
      <w:pPr>
        <w:widowControl w:val="0"/>
        <w:tabs>
          <w:tab w:val="num" w:pos="720"/>
        </w:tabs>
        <w:spacing w:line="240" w:lineRule="atLeast"/>
        <w:rPr>
          <w:rFonts w:cs="Arial"/>
          <w:iCs/>
          <w:sz w:val="18"/>
          <w:szCs w:val="18"/>
        </w:rPr>
      </w:pPr>
      <w:r>
        <w:rPr>
          <w:rFonts w:cs="Arial"/>
          <w:iCs/>
          <w:sz w:val="18"/>
          <w:szCs w:val="18"/>
        </w:rPr>
        <w:t xml:space="preserve">De NVB ageert tegen het feit dat er gerekend wordt met € 54,- aan kosten voor hoogopgeleid personeel per uur. De NVB noemt dit achterhaalde cijfers en verzoekt niet meer uit te gaan van de getallen in het Handboek meting regeldrukkosten maar uit te gaan van de uurtarieven die toezichthouders rekenen. </w:t>
      </w:r>
      <w:r w:rsidR="00EA343B">
        <w:rPr>
          <w:rFonts w:cs="Arial"/>
          <w:iCs/>
          <w:sz w:val="18"/>
          <w:szCs w:val="18"/>
        </w:rPr>
        <w:t>De regeldruk van bedrijven berekenen is een verplicht onderdeel van de memorie van toelichting bij een wet. Voor die berekening dient de gehele rijksoverheid het Handboek meting regeldrukkosten te gebruiken. De ATR ziet hier op toe</w:t>
      </w:r>
      <w:r w:rsidR="007C0A31">
        <w:rPr>
          <w:rFonts w:cs="Arial"/>
          <w:iCs/>
          <w:sz w:val="18"/>
          <w:szCs w:val="18"/>
        </w:rPr>
        <w:t xml:space="preserve"> en heeft ook onderhavig wetsvoorstel ontvangen voor advies (zie paragraaf 5.3)</w:t>
      </w:r>
      <w:r w:rsidR="00EA343B">
        <w:rPr>
          <w:rFonts w:cs="Arial"/>
          <w:iCs/>
          <w:sz w:val="18"/>
          <w:szCs w:val="18"/>
        </w:rPr>
        <w:t xml:space="preserve">. </w:t>
      </w:r>
    </w:p>
    <w:p w:rsidR="00D03189" w:rsidP="0024398D" w:rsidRDefault="00D03189" w14:paraId="6F9F7386" w14:textId="77777777">
      <w:pPr>
        <w:widowControl w:val="0"/>
        <w:tabs>
          <w:tab w:val="num" w:pos="720"/>
        </w:tabs>
        <w:spacing w:line="240" w:lineRule="atLeast"/>
        <w:rPr>
          <w:rFonts w:cs="Arial"/>
          <w:iCs/>
          <w:sz w:val="18"/>
          <w:szCs w:val="18"/>
        </w:rPr>
      </w:pPr>
    </w:p>
    <w:p w:rsidR="007739C9" w:rsidP="007739C9" w:rsidRDefault="007739C9" w14:paraId="7A6465DF" w14:textId="70629D7D">
      <w:pPr>
        <w:widowControl w:val="0"/>
        <w:tabs>
          <w:tab w:val="num" w:pos="720"/>
        </w:tabs>
        <w:spacing w:line="240" w:lineRule="atLeast"/>
        <w:rPr>
          <w:rFonts w:cs="Arial"/>
          <w:i/>
          <w:sz w:val="18"/>
          <w:szCs w:val="18"/>
        </w:rPr>
      </w:pPr>
      <w:r>
        <w:rPr>
          <w:rFonts w:cs="Arial"/>
          <w:i/>
          <w:sz w:val="18"/>
          <w:szCs w:val="18"/>
        </w:rPr>
        <w:t>7.6.5 Toetsing van beleidsbepalers bij bijkantoren</w:t>
      </w:r>
    </w:p>
    <w:p w:rsidR="007739C9" w:rsidP="007739C9" w:rsidRDefault="007739C9" w14:paraId="78A51BB0" w14:textId="79FF40DF">
      <w:pPr>
        <w:widowControl w:val="0"/>
        <w:tabs>
          <w:tab w:val="num" w:pos="720"/>
        </w:tabs>
        <w:spacing w:line="240" w:lineRule="atLeast"/>
        <w:rPr>
          <w:rFonts w:cs="Arial"/>
          <w:iCs/>
          <w:sz w:val="18"/>
          <w:szCs w:val="18"/>
        </w:rPr>
      </w:pPr>
      <w:r>
        <w:rPr>
          <w:rFonts w:cs="Arial"/>
          <w:iCs/>
          <w:sz w:val="18"/>
          <w:szCs w:val="18"/>
        </w:rPr>
        <w:t>De NVB merkt op dat artikel 36 Bpr</w:t>
      </w:r>
      <w:r w:rsidR="00F65F5F">
        <w:rPr>
          <w:rFonts w:cs="Arial"/>
          <w:iCs/>
          <w:sz w:val="18"/>
          <w:szCs w:val="18"/>
        </w:rPr>
        <w:t>,</w:t>
      </w:r>
      <w:r w:rsidR="007D6E6D">
        <w:rPr>
          <w:rFonts w:cs="Arial"/>
          <w:iCs/>
          <w:sz w:val="18"/>
          <w:szCs w:val="18"/>
        </w:rPr>
        <w:t xml:space="preserve"> </w:t>
      </w:r>
      <w:r w:rsidR="000916C5">
        <w:rPr>
          <w:rFonts w:cs="Arial"/>
          <w:iCs/>
          <w:sz w:val="18"/>
          <w:szCs w:val="18"/>
        </w:rPr>
        <w:t xml:space="preserve">met betrekking tot </w:t>
      </w:r>
      <w:r w:rsidR="002676D4">
        <w:rPr>
          <w:rFonts w:cs="Arial"/>
          <w:iCs/>
          <w:sz w:val="18"/>
          <w:szCs w:val="18"/>
        </w:rPr>
        <w:t>hertoetsing van nieuwe beleidsbepalers bij bijkantoren van banken</w:t>
      </w:r>
      <w:r w:rsidR="00F65F5F">
        <w:rPr>
          <w:rFonts w:cs="Arial"/>
          <w:iCs/>
          <w:sz w:val="18"/>
          <w:szCs w:val="18"/>
        </w:rPr>
        <w:t>,</w:t>
      </w:r>
      <w:r w:rsidR="002676D4">
        <w:rPr>
          <w:rFonts w:cs="Arial"/>
          <w:iCs/>
          <w:sz w:val="18"/>
          <w:szCs w:val="18"/>
        </w:rPr>
        <w:t xml:space="preserve"> </w:t>
      </w:r>
      <w:r w:rsidR="007D6E6D">
        <w:rPr>
          <w:rFonts w:cs="Arial"/>
          <w:iCs/>
          <w:sz w:val="18"/>
          <w:szCs w:val="18"/>
        </w:rPr>
        <w:t>een nationale kop bovenop de CRD betreft voor banken.</w:t>
      </w:r>
      <w:r w:rsidR="00C94995">
        <w:rPr>
          <w:rFonts w:cs="Arial"/>
          <w:iCs/>
          <w:sz w:val="18"/>
          <w:szCs w:val="18"/>
        </w:rPr>
        <w:t xml:space="preserve"> Deze opmerking zal worden meegenomen bij het in voorbereiding zijnde implementatiebesluit.</w:t>
      </w:r>
    </w:p>
    <w:p w:rsidR="0024398D" w:rsidP="00EA343B" w:rsidRDefault="0024398D" w14:paraId="5A836C09" w14:textId="3A8C9E12">
      <w:pPr>
        <w:widowControl w:val="0"/>
        <w:tabs>
          <w:tab w:val="num" w:pos="720"/>
        </w:tabs>
        <w:spacing w:line="240" w:lineRule="atLeast"/>
        <w:rPr>
          <w:rFonts w:cs="Arial"/>
          <w:i/>
          <w:sz w:val="18"/>
          <w:szCs w:val="18"/>
        </w:rPr>
      </w:pPr>
    </w:p>
    <w:p w:rsidR="000130FD" w:rsidP="00395DD3" w:rsidRDefault="000130FD" w14:paraId="5110BAB1" w14:textId="77777777">
      <w:pPr>
        <w:widowControl w:val="0"/>
        <w:tabs>
          <w:tab w:val="num" w:pos="720"/>
        </w:tabs>
        <w:spacing w:line="240" w:lineRule="atLeast"/>
        <w:rPr>
          <w:rFonts w:cs="Arial"/>
          <w:i/>
          <w:sz w:val="18"/>
          <w:szCs w:val="18"/>
        </w:rPr>
      </w:pPr>
    </w:p>
    <w:p w:rsidRPr="00B5654A" w:rsidR="00B5654A" w:rsidP="00395DD3" w:rsidRDefault="00B5654A" w14:paraId="111B3F6A" w14:textId="11366D54">
      <w:pPr>
        <w:widowControl w:val="0"/>
        <w:tabs>
          <w:tab w:val="num" w:pos="720"/>
        </w:tabs>
        <w:spacing w:line="240" w:lineRule="atLeast"/>
        <w:rPr>
          <w:rFonts w:cs="Arial"/>
          <w:b/>
          <w:sz w:val="18"/>
          <w:szCs w:val="18"/>
        </w:rPr>
      </w:pPr>
      <w:r w:rsidRPr="00B5654A">
        <w:rPr>
          <w:rFonts w:cs="Arial"/>
          <w:b/>
          <w:sz w:val="18"/>
          <w:szCs w:val="18"/>
        </w:rPr>
        <w:t>ARTIKELSGEWIJS</w:t>
      </w:r>
    </w:p>
    <w:p w:rsidR="00B5654A" w:rsidP="00395DD3" w:rsidRDefault="00B5654A" w14:paraId="5D5C82F3" w14:textId="77777777">
      <w:pPr>
        <w:widowControl w:val="0"/>
        <w:tabs>
          <w:tab w:val="num" w:pos="720"/>
        </w:tabs>
        <w:spacing w:line="240" w:lineRule="atLeast"/>
        <w:rPr>
          <w:rFonts w:cs="Arial"/>
          <w:sz w:val="18"/>
          <w:szCs w:val="18"/>
        </w:rPr>
      </w:pPr>
    </w:p>
    <w:p w:rsidRPr="00614A5F" w:rsidR="00614A5F" w:rsidP="00395DD3" w:rsidRDefault="00614A5F" w14:paraId="1F2EDD78" w14:textId="5A8CABE1">
      <w:pPr>
        <w:widowControl w:val="0"/>
        <w:tabs>
          <w:tab w:val="num" w:pos="720"/>
        </w:tabs>
        <w:spacing w:line="240" w:lineRule="atLeast"/>
        <w:rPr>
          <w:rFonts w:cs="Arial"/>
          <w:b/>
          <w:bCs/>
          <w:sz w:val="18"/>
          <w:szCs w:val="18"/>
        </w:rPr>
      </w:pPr>
      <w:r w:rsidRPr="00614A5F">
        <w:rPr>
          <w:rFonts w:cs="Arial"/>
          <w:b/>
          <w:bCs/>
          <w:sz w:val="18"/>
          <w:szCs w:val="18"/>
        </w:rPr>
        <w:t>ARTIKEL I</w:t>
      </w:r>
      <w:r w:rsidR="007018F3">
        <w:rPr>
          <w:rFonts w:cs="Arial"/>
          <w:b/>
          <w:bCs/>
          <w:sz w:val="18"/>
          <w:szCs w:val="18"/>
        </w:rPr>
        <w:t xml:space="preserve"> (Wet op het financieel toezicht)</w:t>
      </w:r>
    </w:p>
    <w:p w:rsidR="00614A5F" w:rsidP="00395DD3" w:rsidRDefault="00614A5F" w14:paraId="387AB8F8" w14:textId="77777777">
      <w:pPr>
        <w:widowControl w:val="0"/>
        <w:tabs>
          <w:tab w:val="num" w:pos="720"/>
        </w:tabs>
        <w:spacing w:line="240" w:lineRule="atLeast"/>
        <w:rPr>
          <w:rFonts w:cs="Arial"/>
          <w:sz w:val="18"/>
          <w:szCs w:val="18"/>
        </w:rPr>
      </w:pPr>
    </w:p>
    <w:p w:rsidR="0098047C" w:rsidP="00395DD3" w:rsidRDefault="00B8351E" w14:paraId="18FF4D1F" w14:textId="3AB145B7">
      <w:pPr>
        <w:widowControl w:val="0"/>
        <w:tabs>
          <w:tab w:val="num" w:pos="720"/>
        </w:tabs>
        <w:spacing w:line="240" w:lineRule="atLeast"/>
        <w:rPr>
          <w:rFonts w:cs="Arial"/>
          <w:sz w:val="18"/>
          <w:szCs w:val="18"/>
        </w:rPr>
      </w:pPr>
      <w:r>
        <w:rPr>
          <w:rFonts w:cs="Arial"/>
          <w:sz w:val="18"/>
          <w:szCs w:val="18"/>
        </w:rPr>
        <w:t>A (1:1)</w:t>
      </w:r>
    </w:p>
    <w:p w:rsidR="0098047C" w:rsidP="00395DD3" w:rsidRDefault="0098047C" w14:paraId="244B4B0E" w14:textId="77777777">
      <w:pPr>
        <w:widowControl w:val="0"/>
        <w:tabs>
          <w:tab w:val="num" w:pos="720"/>
        </w:tabs>
        <w:spacing w:line="240" w:lineRule="atLeast"/>
        <w:rPr>
          <w:rFonts w:cs="Arial"/>
          <w:sz w:val="18"/>
          <w:szCs w:val="18"/>
        </w:rPr>
      </w:pPr>
    </w:p>
    <w:p w:rsidR="0098047C" w:rsidP="00395DD3" w:rsidRDefault="0098047C" w14:paraId="350C704E" w14:textId="76EBFF6B">
      <w:pPr>
        <w:widowControl w:val="0"/>
        <w:tabs>
          <w:tab w:val="num" w:pos="720"/>
        </w:tabs>
        <w:spacing w:line="240" w:lineRule="atLeast"/>
        <w:rPr>
          <w:rFonts w:cs="Arial"/>
          <w:sz w:val="18"/>
          <w:szCs w:val="18"/>
        </w:rPr>
      </w:pPr>
      <w:r>
        <w:rPr>
          <w:rFonts w:cs="Arial"/>
          <w:sz w:val="18"/>
          <w:szCs w:val="18"/>
        </w:rPr>
        <w:t xml:space="preserve">In artikel 1:1 Wft worden </w:t>
      </w:r>
      <w:r w:rsidR="00954224">
        <w:rPr>
          <w:rFonts w:cs="Arial"/>
          <w:sz w:val="18"/>
          <w:szCs w:val="18"/>
        </w:rPr>
        <w:t xml:space="preserve">zes </w:t>
      </w:r>
      <w:r>
        <w:rPr>
          <w:rFonts w:cs="Arial"/>
          <w:sz w:val="18"/>
          <w:szCs w:val="18"/>
        </w:rPr>
        <w:t>nieuwe definities opgenomen.</w:t>
      </w:r>
    </w:p>
    <w:p w:rsidR="0098047C" w:rsidP="00395DD3" w:rsidRDefault="0098047C" w14:paraId="7B2F4F3F" w14:textId="77777777">
      <w:pPr>
        <w:widowControl w:val="0"/>
        <w:tabs>
          <w:tab w:val="num" w:pos="720"/>
        </w:tabs>
        <w:spacing w:line="240" w:lineRule="atLeast"/>
        <w:rPr>
          <w:rFonts w:cs="Arial"/>
          <w:sz w:val="18"/>
          <w:szCs w:val="18"/>
        </w:rPr>
      </w:pPr>
    </w:p>
    <w:p w:rsidR="0098047C" w:rsidP="00E10A20" w:rsidRDefault="00E10A20" w14:paraId="7F5F127D" w14:textId="66E8724A">
      <w:pPr>
        <w:widowControl w:val="0"/>
        <w:tabs>
          <w:tab w:val="num" w:pos="720"/>
        </w:tabs>
        <w:spacing w:line="240" w:lineRule="atLeast"/>
        <w:rPr>
          <w:rFonts w:cs="Arial"/>
          <w:sz w:val="18"/>
          <w:szCs w:val="18"/>
        </w:rPr>
      </w:pPr>
      <w:r>
        <w:rPr>
          <w:rFonts w:cs="Arial"/>
          <w:sz w:val="18"/>
          <w:szCs w:val="18"/>
        </w:rPr>
        <w:t xml:space="preserve">Naar aanleiding van het </w:t>
      </w:r>
      <w:r w:rsidR="001C0C28">
        <w:rPr>
          <w:rFonts w:cs="Arial"/>
          <w:sz w:val="18"/>
          <w:szCs w:val="18"/>
        </w:rPr>
        <w:t>derde land</w:t>
      </w:r>
      <w:r>
        <w:rPr>
          <w:rFonts w:cs="Arial"/>
          <w:sz w:val="18"/>
          <w:szCs w:val="18"/>
        </w:rPr>
        <w:t xml:space="preserve"> bijkantorenregime worden er drie nieuwe definities toegevoegd: </w:t>
      </w:r>
      <w:r w:rsidR="0098047C">
        <w:rPr>
          <w:rFonts w:cs="Arial"/>
          <w:i/>
          <w:iCs/>
          <w:sz w:val="18"/>
          <w:szCs w:val="18"/>
        </w:rPr>
        <w:t>klasse 1-bijkanto</w:t>
      </w:r>
      <w:r>
        <w:rPr>
          <w:rFonts w:cs="Arial"/>
          <w:i/>
          <w:iCs/>
          <w:sz w:val="18"/>
          <w:szCs w:val="18"/>
        </w:rPr>
        <w:t xml:space="preserve">or, </w:t>
      </w:r>
      <w:r w:rsidR="0098047C">
        <w:rPr>
          <w:rFonts w:cs="Arial"/>
          <w:i/>
          <w:iCs/>
          <w:sz w:val="18"/>
          <w:szCs w:val="18"/>
        </w:rPr>
        <w:t>klasse 2-bijkanto</w:t>
      </w:r>
      <w:r>
        <w:rPr>
          <w:rFonts w:cs="Arial"/>
          <w:i/>
          <w:iCs/>
          <w:sz w:val="18"/>
          <w:szCs w:val="18"/>
        </w:rPr>
        <w:t xml:space="preserve">or </w:t>
      </w:r>
      <w:r>
        <w:rPr>
          <w:rFonts w:cs="Arial"/>
          <w:sz w:val="18"/>
          <w:szCs w:val="18"/>
        </w:rPr>
        <w:t xml:space="preserve">en </w:t>
      </w:r>
      <w:r w:rsidRPr="00BE1B4E" w:rsidR="00814FD2">
        <w:rPr>
          <w:rFonts w:cs="Arial"/>
          <w:i/>
          <w:iCs/>
          <w:sz w:val="18"/>
          <w:szCs w:val="18"/>
        </w:rPr>
        <w:t>in aanmerking komend bijkantoor</w:t>
      </w:r>
      <w:r w:rsidR="0098047C">
        <w:rPr>
          <w:rFonts w:cs="Arial"/>
          <w:sz w:val="18"/>
          <w:szCs w:val="18"/>
        </w:rPr>
        <w:t xml:space="preserve">. Deze </w:t>
      </w:r>
      <w:r w:rsidR="00814FD2">
        <w:rPr>
          <w:rFonts w:cs="Arial"/>
          <w:sz w:val="18"/>
          <w:szCs w:val="18"/>
        </w:rPr>
        <w:t>drie</w:t>
      </w:r>
      <w:r w:rsidR="0098047C">
        <w:rPr>
          <w:rFonts w:cs="Arial"/>
          <w:sz w:val="18"/>
          <w:szCs w:val="18"/>
        </w:rPr>
        <w:t xml:space="preserve"> begrippen worden nu opgenomen als definities in 1:1 Wft.</w:t>
      </w:r>
      <w:r w:rsidR="00814FD2">
        <w:rPr>
          <w:rFonts w:cs="Arial"/>
          <w:sz w:val="18"/>
          <w:szCs w:val="18"/>
        </w:rPr>
        <w:t xml:space="preserve"> </w:t>
      </w:r>
    </w:p>
    <w:p w:rsidR="0098047C" w:rsidP="00395DD3" w:rsidRDefault="0098047C" w14:paraId="6049EFA3" w14:textId="77777777">
      <w:pPr>
        <w:widowControl w:val="0"/>
        <w:tabs>
          <w:tab w:val="num" w:pos="720"/>
        </w:tabs>
        <w:spacing w:line="240" w:lineRule="atLeast"/>
        <w:rPr>
          <w:rFonts w:cs="Arial"/>
          <w:sz w:val="18"/>
          <w:szCs w:val="18"/>
        </w:rPr>
      </w:pPr>
    </w:p>
    <w:p w:rsidR="003B5557" w:rsidP="00DA7F45" w:rsidRDefault="00DA7F45" w14:paraId="122F1C43" w14:textId="78A67045">
      <w:pPr>
        <w:widowControl w:val="0"/>
        <w:spacing w:line="240" w:lineRule="atLeast"/>
        <w:rPr>
          <w:rFonts w:cs="Arial"/>
          <w:sz w:val="18"/>
          <w:szCs w:val="18"/>
        </w:rPr>
      </w:pPr>
      <w:r w:rsidRPr="00496E2A">
        <w:rPr>
          <w:rFonts w:cs="Arial"/>
          <w:iCs/>
          <w:sz w:val="18"/>
          <w:szCs w:val="18"/>
        </w:rPr>
        <w:t>D</w:t>
      </w:r>
      <w:r>
        <w:rPr>
          <w:rFonts w:cs="Arial"/>
          <w:iCs/>
          <w:sz w:val="18"/>
          <w:szCs w:val="18"/>
        </w:rPr>
        <w:t>e richtlijn</w:t>
      </w:r>
      <w:r w:rsidRPr="00496E2A">
        <w:rPr>
          <w:rFonts w:cs="Arial"/>
          <w:iCs/>
          <w:sz w:val="18"/>
          <w:szCs w:val="18"/>
        </w:rPr>
        <w:t xml:space="preserve"> </w:t>
      </w:r>
      <w:r>
        <w:rPr>
          <w:rFonts w:cs="Arial"/>
          <w:iCs/>
          <w:sz w:val="18"/>
          <w:szCs w:val="18"/>
        </w:rPr>
        <w:t xml:space="preserve">introduceert </w:t>
      </w:r>
      <w:r w:rsidRPr="00496E2A">
        <w:rPr>
          <w:rFonts w:cs="Arial"/>
          <w:iCs/>
          <w:sz w:val="18"/>
          <w:szCs w:val="18"/>
        </w:rPr>
        <w:t xml:space="preserve">een classificatiemethodiek om de reikwijdte en het niveau van de prudentiële eisen per </w:t>
      </w:r>
      <w:r w:rsidR="001C0C28">
        <w:rPr>
          <w:rFonts w:cs="Arial"/>
          <w:iCs/>
          <w:sz w:val="18"/>
          <w:szCs w:val="18"/>
        </w:rPr>
        <w:t>derde land</w:t>
      </w:r>
      <w:r w:rsidRPr="00496E2A">
        <w:rPr>
          <w:rFonts w:cs="Arial"/>
          <w:iCs/>
          <w:sz w:val="18"/>
          <w:szCs w:val="18"/>
        </w:rPr>
        <w:t xml:space="preserve"> bijkantoor vast te stellen. Daarbij wordt onderscheid gemaakt tussen klasse 1</w:t>
      </w:r>
      <w:r>
        <w:rPr>
          <w:rFonts w:cs="Arial"/>
          <w:iCs/>
          <w:sz w:val="18"/>
          <w:szCs w:val="18"/>
        </w:rPr>
        <w:t>-bijkantoren</w:t>
      </w:r>
      <w:r w:rsidRPr="00496E2A">
        <w:rPr>
          <w:rFonts w:cs="Arial"/>
          <w:iCs/>
          <w:sz w:val="18"/>
          <w:szCs w:val="18"/>
        </w:rPr>
        <w:t xml:space="preserve"> en klasse 2</w:t>
      </w:r>
      <w:r>
        <w:rPr>
          <w:rFonts w:cs="Arial"/>
          <w:iCs/>
          <w:sz w:val="18"/>
          <w:szCs w:val="18"/>
        </w:rPr>
        <w:t>-</w:t>
      </w:r>
      <w:r w:rsidRPr="00496E2A">
        <w:rPr>
          <w:rFonts w:cs="Arial"/>
          <w:iCs/>
          <w:sz w:val="18"/>
          <w:szCs w:val="18"/>
        </w:rPr>
        <w:t xml:space="preserve">bijkantoren. </w:t>
      </w:r>
      <w:r>
        <w:rPr>
          <w:rFonts w:cs="Arial"/>
          <w:sz w:val="18"/>
          <w:szCs w:val="18"/>
        </w:rPr>
        <w:t xml:space="preserve">Een </w:t>
      </w:r>
      <w:r w:rsidRPr="00BE1B4E">
        <w:rPr>
          <w:rFonts w:cs="Arial"/>
          <w:i/>
          <w:iCs/>
          <w:sz w:val="18"/>
          <w:szCs w:val="18"/>
        </w:rPr>
        <w:t>klasse 1-bijkantoor</w:t>
      </w:r>
      <w:r>
        <w:rPr>
          <w:rFonts w:cs="Arial"/>
          <w:sz w:val="18"/>
          <w:szCs w:val="18"/>
        </w:rPr>
        <w:t xml:space="preserve"> is een </w:t>
      </w:r>
      <w:r w:rsidR="001C0C28">
        <w:rPr>
          <w:rFonts w:cs="Arial"/>
          <w:sz w:val="18"/>
          <w:szCs w:val="18"/>
        </w:rPr>
        <w:t>derde land</w:t>
      </w:r>
      <w:r>
        <w:rPr>
          <w:rFonts w:cs="Arial"/>
          <w:sz w:val="18"/>
          <w:szCs w:val="18"/>
        </w:rPr>
        <w:t xml:space="preserve"> bijkantoor als bedoeld in artikel 2:20, eerste lid, Wft dat voldoet aan minstens één van de volgende voorwaarden uit artikel 48 bis, eerste lid, CRD: </w:t>
      </w:r>
      <w:r w:rsidR="003B5557">
        <w:rPr>
          <w:rFonts w:cs="Arial"/>
          <w:sz w:val="18"/>
          <w:szCs w:val="18"/>
        </w:rPr>
        <w:t>1</w:t>
      </w:r>
      <w:r>
        <w:rPr>
          <w:rFonts w:cs="Arial"/>
          <w:sz w:val="18"/>
          <w:szCs w:val="18"/>
        </w:rPr>
        <w:t xml:space="preserve">) de totale waarde van activa op de boeken van het bijkantoor bedraagt € 5 miljard of meer zoals gerapporteerd voor de onmiddellijk voorafgaande jaarlijkse verslagperiode, </w:t>
      </w:r>
      <w:r w:rsidR="003B5557">
        <w:rPr>
          <w:rFonts w:cs="Arial"/>
          <w:sz w:val="18"/>
          <w:szCs w:val="18"/>
        </w:rPr>
        <w:t>2</w:t>
      </w:r>
      <w:r>
        <w:rPr>
          <w:rFonts w:cs="Arial"/>
          <w:sz w:val="18"/>
          <w:szCs w:val="18"/>
        </w:rPr>
        <w:t xml:space="preserve">) de activiteiten van het bijkantoor bevat het aantrekken, ter beschikking verkrijgen of ter beschikking hebben van opvorderbare gelden van consumenten en die hoeveelheid opvorderbare gelden omvat minstens 5% van de totale passiva van het bijkantoor of is groter dan € 50 miljoen, of </w:t>
      </w:r>
      <w:r w:rsidR="003B5557">
        <w:rPr>
          <w:rFonts w:cs="Arial"/>
          <w:sz w:val="18"/>
          <w:szCs w:val="18"/>
        </w:rPr>
        <w:t>3</w:t>
      </w:r>
      <w:r>
        <w:rPr>
          <w:rFonts w:cs="Arial"/>
          <w:sz w:val="18"/>
          <w:szCs w:val="18"/>
        </w:rPr>
        <w:t>) het bijkantoor is geen in aanmerking komend bijkantoor als bedoeld in artikel 48 ter CRD.</w:t>
      </w:r>
      <w:r w:rsidR="003B5557">
        <w:rPr>
          <w:rFonts w:cs="Arial"/>
          <w:sz w:val="18"/>
          <w:szCs w:val="18"/>
        </w:rPr>
        <w:t xml:space="preserve"> Is aan één van deze volwaarden voldaan, dan is het bijkantoor een klasse 1-bijkantoor.</w:t>
      </w:r>
    </w:p>
    <w:p w:rsidR="003B5557" w:rsidP="00DA7F45" w:rsidRDefault="003B5557" w14:paraId="65468D64" w14:textId="77777777">
      <w:pPr>
        <w:widowControl w:val="0"/>
        <w:spacing w:line="240" w:lineRule="atLeast"/>
        <w:rPr>
          <w:rFonts w:cs="Arial"/>
          <w:sz w:val="18"/>
          <w:szCs w:val="18"/>
        </w:rPr>
      </w:pPr>
    </w:p>
    <w:p w:rsidR="00E10A20" w:rsidP="00E10A20" w:rsidRDefault="00E10A20" w14:paraId="7FA22B5E" w14:textId="77777777">
      <w:pPr>
        <w:widowControl w:val="0"/>
        <w:spacing w:line="240" w:lineRule="atLeast"/>
        <w:rPr>
          <w:rFonts w:cs="Arial"/>
          <w:sz w:val="18"/>
          <w:szCs w:val="18"/>
        </w:rPr>
      </w:pPr>
      <w:r>
        <w:rPr>
          <w:rFonts w:cs="Arial"/>
          <w:sz w:val="18"/>
          <w:szCs w:val="18"/>
        </w:rPr>
        <w:t xml:space="preserve">Voldoet het bijkantoor aan geen van de drie voorwaarden, dan is zij een </w:t>
      </w:r>
      <w:r w:rsidRPr="00BE1B4E">
        <w:rPr>
          <w:rFonts w:cs="Arial"/>
          <w:i/>
          <w:iCs/>
          <w:sz w:val="18"/>
          <w:szCs w:val="18"/>
        </w:rPr>
        <w:t>klasse 2-bijkantoor</w:t>
      </w:r>
      <w:r>
        <w:rPr>
          <w:rFonts w:cs="Arial"/>
          <w:sz w:val="18"/>
          <w:szCs w:val="18"/>
        </w:rPr>
        <w:t xml:space="preserve">. </w:t>
      </w:r>
      <w:r w:rsidRPr="00496E2A">
        <w:rPr>
          <w:rFonts w:cs="Arial"/>
          <w:iCs/>
          <w:sz w:val="18"/>
          <w:szCs w:val="18"/>
        </w:rPr>
        <w:t xml:space="preserve">De indeling van bijkantoren op basis van de classificatiemethodiek bepaalt vervolgens de vereisten ten aanzien van het aan te houden kapitaal, liquiditeitsvereisten en </w:t>
      </w:r>
      <w:r>
        <w:rPr>
          <w:rFonts w:cs="Arial"/>
          <w:iCs/>
          <w:sz w:val="18"/>
          <w:szCs w:val="18"/>
        </w:rPr>
        <w:t xml:space="preserve">bepaalde </w:t>
      </w:r>
      <w:r w:rsidRPr="00496E2A">
        <w:rPr>
          <w:rFonts w:cs="Arial"/>
          <w:iCs/>
          <w:sz w:val="18"/>
          <w:szCs w:val="18"/>
        </w:rPr>
        <w:t>vereisten inzake interne governance en risicobeheersing</w:t>
      </w:r>
      <w:r>
        <w:rPr>
          <w:rFonts w:cs="Arial"/>
          <w:iCs/>
          <w:sz w:val="18"/>
          <w:szCs w:val="18"/>
        </w:rPr>
        <w:t>, waarbij er voor klasse 1 bijkantoren strengere eisen gelden</w:t>
      </w:r>
      <w:r w:rsidRPr="00496E2A">
        <w:rPr>
          <w:rFonts w:cs="Arial"/>
          <w:iCs/>
          <w:sz w:val="18"/>
          <w:szCs w:val="18"/>
        </w:rPr>
        <w:t>.</w:t>
      </w:r>
      <w:r>
        <w:rPr>
          <w:rFonts w:cs="Arial"/>
          <w:iCs/>
          <w:sz w:val="18"/>
          <w:szCs w:val="18"/>
        </w:rPr>
        <w:t xml:space="preserve"> </w:t>
      </w:r>
    </w:p>
    <w:p w:rsidR="00E10A20" w:rsidP="00E10A20" w:rsidRDefault="00E10A20" w14:paraId="0D4143C0" w14:textId="148377B2">
      <w:pPr>
        <w:widowControl w:val="0"/>
        <w:tabs>
          <w:tab w:val="num" w:pos="720"/>
        </w:tabs>
        <w:spacing w:line="240" w:lineRule="atLeast"/>
        <w:rPr>
          <w:rFonts w:cs="Arial"/>
          <w:sz w:val="18"/>
          <w:szCs w:val="18"/>
        </w:rPr>
      </w:pPr>
      <w:r>
        <w:rPr>
          <w:rFonts w:cs="Arial"/>
          <w:sz w:val="18"/>
          <w:szCs w:val="18"/>
        </w:rPr>
        <w:t xml:space="preserve">De classificatie wordt beoordeeld bij de vergunningaanvraag van het </w:t>
      </w:r>
      <w:r w:rsidR="001C0C28">
        <w:rPr>
          <w:rFonts w:cs="Arial"/>
          <w:sz w:val="18"/>
          <w:szCs w:val="18"/>
        </w:rPr>
        <w:t>derde land</w:t>
      </w:r>
      <w:r>
        <w:rPr>
          <w:rFonts w:cs="Arial"/>
          <w:sz w:val="18"/>
          <w:szCs w:val="18"/>
        </w:rPr>
        <w:t xml:space="preserve"> bijkantoor en wordt geactualiseerd door DNB indien een bijkantoor van klasse verandert. </w:t>
      </w:r>
    </w:p>
    <w:p w:rsidR="00E10A20" w:rsidP="00E10A20" w:rsidRDefault="00E10A20" w14:paraId="15C386E8" w14:textId="77777777">
      <w:pPr>
        <w:widowControl w:val="0"/>
        <w:tabs>
          <w:tab w:val="num" w:pos="720"/>
        </w:tabs>
        <w:spacing w:line="240" w:lineRule="atLeast"/>
        <w:rPr>
          <w:rFonts w:cs="Arial"/>
          <w:sz w:val="18"/>
          <w:szCs w:val="18"/>
        </w:rPr>
      </w:pPr>
    </w:p>
    <w:p w:rsidR="003B5557" w:rsidP="00BE1B4E" w:rsidRDefault="00E10A20" w14:paraId="3AE61941" w14:textId="3043FCCE">
      <w:pPr>
        <w:widowControl w:val="0"/>
        <w:tabs>
          <w:tab w:val="num" w:pos="720"/>
        </w:tabs>
        <w:spacing w:line="240" w:lineRule="atLeast"/>
        <w:rPr>
          <w:rFonts w:cs="Arial"/>
          <w:sz w:val="18"/>
          <w:szCs w:val="18"/>
        </w:rPr>
      </w:pPr>
      <w:r>
        <w:rPr>
          <w:sz w:val="18"/>
          <w:szCs w:val="18"/>
        </w:rPr>
        <w:t xml:space="preserve">De Europese Commissie moet bij uitvoeringshandeling vaststellen of staten die geen lidstaat zijn waar de moederonderneming van een </w:t>
      </w:r>
      <w:r w:rsidR="001C0C28">
        <w:rPr>
          <w:sz w:val="18"/>
          <w:szCs w:val="18"/>
        </w:rPr>
        <w:t>derde land</w:t>
      </w:r>
      <w:r>
        <w:rPr>
          <w:sz w:val="18"/>
          <w:szCs w:val="18"/>
        </w:rPr>
        <w:t xml:space="preserve"> bijkantoor is gevestigd a) een regelgevend kader heeft met prudentiële normen en toezicht voor banken in die staat gelijkwaardig is aan het kader uit de CRR en CRD, en b) de toezichthouder(s) van de moederonderneming in een staat die geen lidstaat is eenzelfde soort vertrouwelijkheidsvereisten hebben als die uit de CRD.</w:t>
      </w:r>
      <w:r w:rsidR="007F526F">
        <w:rPr>
          <w:sz w:val="18"/>
          <w:szCs w:val="18"/>
        </w:rPr>
        <w:t xml:space="preserve"> </w:t>
      </w:r>
      <w:r>
        <w:rPr>
          <w:sz w:val="18"/>
          <w:szCs w:val="18"/>
        </w:rPr>
        <w:t xml:space="preserve">Als de Europese Commissie voor een staat die geen lidstaat is een uitvoeringshandeling kan vaststellen die aangeeft dat die staat voldoet aan de hiervoor genoemde voorwaarden, en de staat waar de moederonderneming gevestigd is niet is opgenomen in een lijst als </w:t>
      </w:r>
      <w:r w:rsidR="00721321">
        <w:rPr>
          <w:sz w:val="18"/>
          <w:szCs w:val="18"/>
        </w:rPr>
        <w:t>staat die geen lidstaat is</w:t>
      </w:r>
      <w:r>
        <w:rPr>
          <w:sz w:val="18"/>
          <w:szCs w:val="18"/>
        </w:rPr>
        <w:t xml:space="preserve"> met een hoog risico dat strategische tekortkomingen vertoont in zijn regelingen inzake de bestrijding van witwassen en terrorismefinanciering, dan kan de toezichthouder het bijkantoor classificeren als </w:t>
      </w:r>
      <w:r w:rsidRPr="00BE1B4E">
        <w:rPr>
          <w:i/>
          <w:iCs/>
          <w:sz w:val="18"/>
          <w:szCs w:val="18"/>
        </w:rPr>
        <w:t>een in aanmerking komend bijkantoor</w:t>
      </w:r>
      <w:r>
        <w:rPr>
          <w:sz w:val="18"/>
          <w:szCs w:val="18"/>
        </w:rPr>
        <w:t xml:space="preserve">. Dit is relevant voor bepaalde rapportageverplichtingen in artikel 48 terdecies CRD (en wordt geïmplementeerd door artikel 3:82b Wft, zie onderdeel </w:t>
      </w:r>
      <w:r w:rsidR="006B5C8D">
        <w:rPr>
          <w:sz w:val="18"/>
          <w:szCs w:val="18"/>
        </w:rPr>
        <w:t>AAA</w:t>
      </w:r>
      <w:r>
        <w:rPr>
          <w:sz w:val="18"/>
          <w:szCs w:val="18"/>
        </w:rPr>
        <w:t>). Zolang de eerder genoemde uitvoeringshandeling voor een bepaalde staat die geen lidstaat is nog niet is vastgesteld, wordt het bijkantoor geclassificeerd als klasse 1-bijkantoor.</w:t>
      </w:r>
      <w:r w:rsidR="00A82A29">
        <w:rPr>
          <w:sz w:val="18"/>
          <w:szCs w:val="18"/>
        </w:rPr>
        <w:t xml:space="preserve"> </w:t>
      </w:r>
    </w:p>
    <w:p w:rsidR="00DA7F45" w:rsidP="00DA7F45" w:rsidRDefault="00DA7F45" w14:paraId="12C8E987" w14:textId="1A816EAF">
      <w:pPr>
        <w:widowControl w:val="0"/>
        <w:spacing w:line="240" w:lineRule="atLeast"/>
        <w:rPr>
          <w:rFonts w:cs="Arial"/>
          <w:sz w:val="18"/>
          <w:szCs w:val="18"/>
        </w:rPr>
      </w:pPr>
    </w:p>
    <w:p w:rsidR="00B8351E" w:rsidP="00B8351E" w:rsidRDefault="00A81272" w14:paraId="4538DC20" w14:textId="2F2695F9">
      <w:pPr>
        <w:widowControl w:val="0"/>
        <w:spacing w:line="240" w:lineRule="atLeast"/>
        <w:rPr>
          <w:sz w:val="18"/>
          <w:szCs w:val="18"/>
        </w:rPr>
      </w:pPr>
      <w:r>
        <w:rPr>
          <w:sz w:val="18"/>
          <w:szCs w:val="18"/>
        </w:rPr>
        <w:t>Verder is i</w:t>
      </w:r>
      <w:r w:rsidRPr="003B48EC" w:rsidR="00B8351E">
        <w:rPr>
          <w:sz w:val="18"/>
          <w:szCs w:val="18"/>
        </w:rPr>
        <w:t xml:space="preserve">n artikel </w:t>
      </w:r>
      <w:r w:rsidR="00B8351E">
        <w:rPr>
          <w:sz w:val="18"/>
          <w:szCs w:val="18"/>
        </w:rPr>
        <w:t xml:space="preserve">3, eerste lid, onderdeel </w:t>
      </w:r>
      <w:r w:rsidRPr="003B48EC" w:rsidR="00B8351E">
        <w:rPr>
          <w:sz w:val="18"/>
          <w:szCs w:val="18"/>
        </w:rPr>
        <w:t>9 bis</w:t>
      </w:r>
      <w:r w:rsidR="00B8351E">
        <w:rPr>
          <w:sz w:val="18"/>
          <w:szCs w:val="18"/>
        </w:rPr>
        <w:t>,</w:t>
      </w:r>
      <w:r w:rsidRPr="003B48EC" w:rsidR="00B8351E">
        <w:rPr>
          <w:sz w:val="18"/>
          <w:szCs w:val="18"/>
        </w:rPr>
        <w:t xml:space="preserve"> CRD het nieuwe begrip “medewerker met een sleutelfunctie” gedefinieerd.</w:t>
      </w:r>
      <w:r w:rsidR="00A051DD">
        <w:rPr>
          <w:sz w:val="18"/>
          <w:szCs w:val="18"/>
        </w:rPr>
        <w:t xml:space="preserve"> Dit </w:t>
      </w:r>
      <w:r w:rsidR="00C94995">
        <w:rPr>
          <w:sz w:val="18"/>
          <w:szCs w:val="18"/>
        </w:rPr>
        <w:t xml:space="preserve">is een </w:t>
      </w:r>
      <w:r w:rsidR="007079A9">
        <w:rPr>
          <w:sz w:val="18"/>
          <w:szCs w:val="18"/>
        </w:rPr>
        <w:t xml:space="preserve">natuurlijke </w:t>
      </w:r>
      <w:r w:rsidR="00A051DD">
        <w:rPr>
          <w:sz w:val="18"/>
          <w:szCs w:val="18"/>
        </w:rPr>
        <w:t>perso</w:t>
      </w:r>
      <w:r w:rsidR="00C94995">
        <w:rPr>
          <w:sz w:val="18"/>
          <w:szCs w:val="18"/>
        </w:rPr>
        <w:t>o</w:t>
      </w:r>
      <w:r w:rsidR="00A051DD">
        <w:rPr>
          <w:sz w:val="18"/>
          <w:szCs w:val="18"/>
        </w:rPr>
        <w:t>n die invloed van betekenis he</w:t>
      </w:r>
      <w:r w:rsidR="00C94995">
        <w:rPr>
          <w:sz w:val="18"/>
          <w:szCs w:val="18"/>
        </w:rPr>
        <w:t>eft</w:t>
      </w:r>
      <w:r w:rsidR="00A051DD">
        <w:rPr>
          <w:sz w:val="18"/>
          <w:szCs w:val="18"/>
        </w:rPr>
        <w:t xml:space="preserve"> op de leiding van een </w:t>
      </w:r>
      <w:r w:rsidR="00693B58">
        <w:rPr>
          <w:sz w:val="18"/>
          <w:szCs w:val="18"/>
        </w:rPr>
        <w:t>bank, beleggingsonderneming onder de verordening kapitaalvereisten of (gemengde) financiële holding</w:t>
      </w:r>
      <w:r w:rsidR="00A051DD">
        <w:rPr>
          <w:sz w:val="18"/>
          <w:szCs w:val="18"/>
        </w:rPr>
        <w:t xml:space="preserve">, maar geen lid </w:t>
      </w:r>
      <w:r w:rsidR="00C94995">
        <w:rPr>
          <w:sz w:val="18"/>
          <w:szCs w:val="18"/>
        </w:rPr>
        <w:t>is</w:t>
      </w:r>
      <w:r w:rsidR="00A051DD">
        <w:rPr>
          <w:sz w:val="18"/>
          <w:szCs w:val="18"/>
        </w:rPr>
        <w:t xml:space="preserve"> van het leidinggevend orgaan.</w:t>
      </w:r>
      <w:r w:rsidR="00385727">
        <w:rPr>
          <w:sz w:val="18"/>
          <w:szCs w:val="18"/>
        </w:rPr>
        <w:t xml:space="preserve"> </w:t>
      </w:r>
      <w:r w:rsidR="005A0281">
        <w:rPr>
          <w:sz w:val="18"/>
          <w:szCs w:val="18"/>
        </w:rPr>
        <w:t xml:space="preserve">Specifiek worden twee </w:t>
      </w:r>
      <w:r w:rsidR="00242BDA">
        <w:rPr>
          <w:sz w:val="18"/>
          <w:szCs w:val="18"/>
        </w:rPr>
        <w:t>typen</w:t>
      </w:r>
      <w:r w:rsidR="005A0281">
        <w:rPr>
          <w:sz w:val="18"/>
          <w:szCs w:val="18"/>
        </w:rPr>
        <w:t xml:space="preserve"> medewerkers met een sleutelfunctie nader gedefinieerd, namelijk</w:t>
      </w:r>
      <w:r w:rsidR="00385727">
        <w:rPr>
          <w:sz w:val="18"/>
          <w:szCs w:val="18"/>
        </w:rPr>
        <w:t xml:space="preserve"> </w:t>
      </w:r>
      <w:r w:rsidR="00A051DD">
        <w:rPr>
          <w:sz w:val="18"/>
          <w:szCs w:val="18"/>
        </w:rPr>
        <w:t>hoofden van de internecontrolefuncties en de financieel directeur</w:t>
      </w:r>
      <w:r w:rsidR="005A0281">
        <w:rPr>
          <w:sz w:val="18"/>
          <w:szCs w:val="18"/>
        </w:rPr>
        <w:t>.</w:t>
      </w:r>
      <w:r w:rsidRPr="003B48EC" w:rsidR="00B8351E">
        <w:rPr>
          <w:sz w:val="18"/>
          <w:szCs w:val="18"/>
        </w:rPr>
        <w:t xml:space="preserve"> </w:t>
      </w:r>
      <w:r w:rsidR="00DD2EE1">
        <w:rPr>
          <w:sz w:val="18"/>
          <w:szCs w:val="18"/>
        </w:rPr>
        <w:t>Ten aanzien van</w:t>
      </w:r>
      <w:r w:rsidR="007079A9">
        <w:rPr>
          <w:sz w:val="18"/>
          <w:szCs w:val="18"/>
        </w:rPr>
        <w:t xml:space="preserve"> deze personen </w:t>
      </w:r>
      <w:r w:rsidR="00242BDA">
        <w:rPr>
          <w:sz w:val="18"/>
          <w:szCs w:val="18"/>
        </w:rPr>
        <w:t xml:space="preserve">vindt een externe </w:t>
      </w:r>
      <w:r w:rsidR="00DD2EE1">
        <w:rPr>
          <w:sz w:val="18"/>
          <w:szCs w:val="18"/>
        </w:rPr>
        <w:t>toets op betrouwbaarheid</w:t>
      </w:r>
      <w:r w:rsidR="00242BDA">
        <w:rPr>
          <w:sz w:val="18"/>
          <w:szCs w:val="18"/>
        </w:rPr>
        <w:t xml:space="preserve"> plaats </w:t>
      </w:r>
      <w:r w:rsidR="007079A9">
        <w:rPr>
          <w:sz w:val="18"/>
          <w:szCs w:val="18"/>
        </w:rPr>
        <w:t xml:space="preserve">(zie onderdelen </w:t>
      </w:r>
      <w:r w:rsidR="00C94995">
        <w:rPr>
          <w:sz w:val="18"/>
          <w:szCs w:val="18"/>
        </w:rPr>
        <w:t>BB</w:t>
      </w:r>
      <w:r w:rsidR="007079A9">
        <w:rPr>
          <w:sz w:val="18"/>
          <w:szCs w:val="18"/>
        </w:rPr>
        <w:t xml:space="preserve">, </w:t>
      </w:r>
      <w:r w:rsidR="00C94995">
        <w:rPr>
          <w:sz w:val="18"/>
          <w:szCs w:val="18"/>
        </w:rPr>
        <w:t>VVV</w:t>
      </w:r>
      <w:r w:rsidR="007079A9">
        <w:rPr>
          <w:sz w:val="18"/>
          <w:szCs w:val="18"/>
        </w:rPr>
        <w:t xml:space="preserve"> en </w:t>
      </w:r>
      <w:r w:rsidR="00C94995">
        <w:rPr>
          <w:sz w:val="18"/>
          <w:szCs w:val="18"/>
        </w:rPr>
        <w:t>JJJJ</w:t>
      </w:r>
      <w:r w:rsidR="007079A9">
        <w:rPr>
          <w:sz w:val="18"/>
          <w:szCs w:val="18"/>
        </w:rPr>
        <w:t>)</w:t>
      </w:r>
      <w:r w:rsidRPr="003B48EC" w:rsidR="00B8351E">
        <w:rPr>
          <w:sz w:val="18"/>
          <w:szCs w:val="18"/>
        </w:rPr>
        <w:t>.</w:t>
      </w:r>
    </w:p>
    <w:p w:rsidR="00B8351E" w:rsidP="00395DD3" w:rsidRDefault="00B8351E" w14:paraId="4EEF1657" w14:textId="77777777">
      <w:pPr>
        <w:widowControl w:val="0"/>
        <w:tabs>
          <w:tab w:val="num" w:pos="720"/>
        </w:tabs>
        <w:spacing w:line="240" w:lineRule="atLeast"/>
        <w:rPr>
          <w:rFonts w:cs="Arial"/>
          <w:sz w:val="18"/>
          <w:szCs w:val="18"/>
        </w:rPr>
      </w:pPr>
    </w:p>
    <w:p w:rsidR="00614A5F" w:rsidP="00395DD3" w:rsidRDefault="007E3EF2" w14:paraId="5F4A365A" w14:textId="2FF2E1F0">
      <w:pPr>
        <w:widowControl w:val="0"/>
        <w:tabs>
          <w:tab w:val="num" w:pos="720"/>
        </w:tabs>
        <w:spacing w:line="240" w:lineRule="atLeast"/>
        <w:rPr>
          <w:rFonts w:cs="Arial"/>
          <w:sz w:val="18"/>
          <w:szCs w:val="18"/>
        </w:rPr>
      </w:pPr>
      <w:r>
        <w:rPr>
          <w:rFonts w:cs="Arial"/>
          <w:sz w:val="18"/>
          <w:szCs w:val="18"/>
        </w:rPr>
        <w:t>B</w:t>
      </w:r>
      <w:r w:rsidR="00614A5F">
        <w:rPr>
          <w:rFonts w:cs="Arial"/>
          <w:sz w:val="18"/>
          <w:szCs w:val="18"/>
        </w:rPr>
        <w:t xml:space="preserve"> (1:27</w:t>
      </w:r>
      <w:r w:rsidR="00A051DD">
        <w:rPr>
          <w:rFonts w:cs="Arial"/>
          <w:sz w:val="18"/>
          <w:szCs w:val="18"/>
        </w:rPr>
        <w:t>a</w:t>
      </w:r>
      <w:r w:rsidR="00614A5F">
        <w:rPr>
          <w:rFonts w:cs="Arial"/>
          <w:sz w:val="18"/>
          <w:szCs w:val="18"/>
        </w:rPr>
        <w:t>)</w:t>
      </w:r>
    </w:p>
    <w:p w:rsidR="00614A5F" w:rsidP="00395DD3" w:rsidRDefault="00614A5F" w14:paraId="7B558FFC" w14:textId="77777777">
      <w:pPr>
        <w:widowControl w:val="0"/>
        <w:tabs>
          <w:tab w:val="num" w:pos="720"/>
        </w:tabs>
        <w:spacing w:line="240" w:lineRule="atLeast"/>
        <w:rPr>
          <w:rFonts w:cs="Arial"/>
          <w:sz w:val="18"/>
          <w:szCs w:val="18"/>
        </w:rPr>
      </w:pPr>
    </w:p>
    <w:p w:rsidR="00614A5F" w:rsidP="00614A5F" w:rsidRDefault="00614A5F" w14:paraId="5A65C77D" w14:textId="552C0B5F">
      <w:pPr>
        <w:widowControl w:val="0"/>
        <w:tabs>
          <w:tab w:val="num" w:pos="720"/>
        </w:tabs>
        <w:spacing w:line="240" w:lineRule="atLeast"/>
        <w:rPr>
          <w:rFonts w:cs="Arial"/>
          <w:sz w:val="18"/>
          <w:szCs w:val="18"/>
        </w:rPr>
      </w:pPr>
      <w:r w:rsidRPr="00614A5F">
        <w:rPr>
          <w:rFonts w:cs="Arial"/>
          <w:sz w:val="18"/>
          <w:szCs w:val="18"/>
        </w:rPr>
        <w:t xml:space="preserve">Met de wijziging van artikel 1:27a Wft wordt artikel 4 bis, tweede lid, tweede alinea, CRD geïmplementeerd. Deze </w:t>
      </w:r>
      <w:r w:rsidR="00A051DD">
        <w:rPr>
          <w:rFonts w:cs="Arial"/>
          <w:sz w:val="18"/>
          <w:szCs w:val="18"/>
        </w:rPr>
        <w:t>CRD-</w:t>
      </w:r>
      <w:r w:rsidRPr="00614A5F">
        <w:rPr>
          <w:rFonts w:cs="Arial"/>
          <w:sz w:val="18"/>
          <w:szCs w:val="18"/>
        </w:rPr>
        <w:t xml:space="preserve">bepaling schrijft voor dat </w:t>
      </w:r>
      <w:r w:rsidR="00D50285">
        <w:rPr>
          <w:rFonts w:cs="Arial"/>
          <w:sz w:val="18"/>
          <w:szCs w:val="18"/>
        </w:rPr>
        <w:t>de directeuren als bedoeld in artikel 4 bis, eerste lid, CRD</w:t>
      </w:r>
      <w:r w:rsidRPr="00614A5F">
        <w:rPr>
          <w:rFonts w:cs="Arial"/>
          <w:sz w:val="18"/>
          <w:szCs w:val="18"/>
        </w:rPr>
        <w:t xml:space="preserve"> van de bevoegde autoriteit</w:t>
      </w:r>
      <w:r w:rsidR="00070D4F">
        <w:rPr>
          <w:rFonts w:cs="Arial"/>
          <w:sz w:val="18"/>
          <w:szCs w:val="18"/>
        </w:rPr>
        <w:t xml:space="preserve"> – in Nederland: DNB </w:t>
      </w:r>
      <w:r w:rsidR="00202946">
        <w:rPr>
          <w:rFonts w:cs="Arial"/>
          <w:sz w:val="18"/>
          <w:szCs w:val="18"/>
        </w:rPr>
        <w:t xml:space="preserve">in haar hoedanigheid als bevoegde autoriteit </w:t>
      </w:r>
      <w:r w:rsidR="00070D4F">
        <w:rPr>
          <w:rFonts w:cs="Arial"/>
          <w:sz w:val="18"/>
          <w:szCs w:val="18"/>
        </w:rPr>
        <w:t>–</w:t>
      </w:r>
      <w:r w:rsidRPr="00614A5F">
        <w:rPr>
          <w:rFonts w:cs="Arial"/>
          <w:sz w:val="18"/>
          <w:szCs w:val="18"/>
        </w:rPr>
        <w:t xml:space="preserve"> worden benoemd op basis van objectieve en transparante criteria die gepubliceerd zijn.</w:t>
      </w:r>
      <w:r w:rsidR="000C48DA">
        <w:rPr>
          <w:rFonts w:cs="Arial"/>
          <w:sz w:val="18"/>
          <w:szCs w:val="18"/>
        </w:rPr>
        <w:t xml:space="preserve"> </w:t>
      </w:r>
      <w:bookmarkStart w:name="_Hlk204182080" w:id="5"/>
      <w:r w:rsidR="00202946">
        <w:rPr>
          <w:rFonts w:cs="Arial"/>
          <w:sz w:val="18"/>
          <w:szCs w:val="18"/>
        </w:rPr>
        <w:t>Aangezien deze directeuren volgens de definitie in de CRD over de bevoegdheid dienen te beschikken om uitvoerende taken met betrekking tot het dagelijks beheer van de toezichtfunctie van de bevoegde autoriteit uit te oefenen, betreft dit bij DNB de toezichtdirecteuren als bedoeld in artikel 12a Bankwet 1998.</w:t>
      </w:r>
      <w:bookmarkEnd w:id="5"/>
      <w:r w:rsidR="00C94995">
        <w:rPr>
          <w:rFonts w:cs="Arial"/>
          <w:sz w:val="18"/>
          <w:szCs w:val="18"/>
        </w:rPr>
        <w:t xml:space="preserve"> </w:t>
      </w:r>
      <w:r w:rsidRPr="00614A5F">
        <w:rPr>
          <w:rFonts w:cs="Arial"/>
          <w:sz w:val="18"/>
          <w:szCs w:val="18"/>
        </w:rPr>
        <w:t>De profielschets dient objectieve en transparante criteria te bevatten. Net als bij de functieprofielen, als bedoeld in artikel 12, derde lid, Bankwet 1998, bevat de profielschets een omschrijving van individuele functies binnen de directie</w:t>
      </w:r>
      <w:r w:rsidR="001F217E">
        <w:rPr>
          <w:rFonts w:cs="Arial"/>
          <w:sz w:val="18"/>
          <w:szCs w:val="18"/>
        </w:rPr>
        <w:t>. Hierom</w:t>
      </w:r>
      <w:r w:rsidR="00902954">
        <w:rPr>
          <w:rFonts w:cs="Arial"/>
          <w:sz w:val="18"/>
          <w:szCs w:val="18"/>
        </w:rPr>
        <w:t xml:space="preserve"> </w:t>
      </w:r>
      <w:r w:rsidRPr="00614A5F">
        <w:rPr>
          <w:rFonts w:cs="Arial"/>
          <w:sz w:val="18"/>
          <w:szCs w:val="18"/>
        </w:rPr>
        <w:t xml:space="preserve">wordt </w:t>
      </w:r>
      <w:r w:rsidR="001F217E">
        <w:rPr>
          <w:rFonts w:cs="Arial"/>
          <w:sz w:val="18"/>
          <w:szCs w:val="18"/>
        </w:rPr>
        <w:t xml:space="preserve">in de bepaling verduidelijkt dat </w:t>
      </w:r>
      <w:r w:rsidR="00202946">
        <w:rPr>
          <w:rFonts w:cs="Arial"/>
          <w:sz w:val="18"/>
          <w:szCs w:val="18"/>
        </w:rPr>
        <w:t xml:space="preserve">in het geval van directeuren als bedoeld in artikel 12a Bankwet 1998 </w:t>
      </w:r>
      <w:r w:rsidRPr="00614A5F">
        <w:rPr>
          <w:rFonts w:cs="Arial"/>
          <w:sz w:val="18"/>
          <w:szCs w:val="18"/>
        </w:rPr>
        <w:t xml:space="preserve">de profielschets </w:t>
      </w:r>
      <w:r w:rsidR="001F217E">
        <w:rPr>
          <w:rFonts w:cs="Arial"/>
          <w:sz w:val="18"/>
          <w:szCs w:val="18"/>
        </w:rPr>
        <w:t xml:space="preserve">objectieve en transparante criteria moet bevatten, net als de </w:t>
      </w:r>
      <w:r w:rsidRPr="00614A5F">
        <w:rPr>
          <w:rFonts w:cs="Arial"/>
          <w:sz w:val="18"/>
          <w:szCs w:val="18"/>
        </w:rPr>
        <w:t>wijziging onder artikel 12, derde lid, Bankwet 1998 ten aanzien van de functieprofielen. Deze criteria dienen daarnaast gepubliceerd te worden</w:t>
      </w:r>
      <w:r w:rsidR="00BF7F25">
        <w:rPr>
          <w:rFonts w:cs="Arial"/>
          <w:sz w:val="18"/>
          <w:szCs w:val="18"/>
        </w:rPr>
        <w:t xml:space="preserve"> door DNB</w:t>
      </w:r>
      <w:r w:rsidRPr="00614A5F">
        <w:rPr>
          <w:rFonts w:cs="Arial"/>
          <w:sz w:val="18"/>
          <w:szCs w:val="18"/>
        </w:rPr>
        <w:t>. Deze wijziging</w:t>
      </w:r>
      <w:r w:rsidR="00202946">
        <w:rPr>
          <w:rFonts w:cs="Arial"/>
          <w:sz w:val="18"/>
          <w:szCs w:val="18"/>
        </w:rPr>
        <w:t>en</w:t>
      </w:r>
      <w:r w:rsidRPr="00614A5F">
        <w:rPr>
          <w:rFonts w:cs="Arial"/>
          <w:sz w:val="18"/>
          <w:szCs w:val="18"/>
        </w:rPr>
        <w:t xml:space="preserve"> bestendig</w:t>
      </w:r>
      <w:r w:rsidR="00202946">
        <w:rPr>
          <w:rFonts w:cs="Arial"/>
          <w:sz w:val="18"/>
          <w:szCs w:val="18"/>
        </w:rPr>
        <w:t>en</w:t>
      </w:r>
      <w:r w:rsidRPr="00614A5F">
        <w:rPr>
          <w:rFonts w:cs="Arial"/>
          <w:sz w:val="18"/>
          <w:szCs w:val="18"/>
        </w:rPr>
        <w:t xml:space="preserve"> </w:t>
      </w:r>
      <w:r w:rsidRPr="00614A5F">
        <w:rPr>
          <w:rFonts w:cs="Arial"/>
          <w:sz w:val="18"/>
          <w:szCs w:val="18"/>
        </w:rPr>
        <w:lastRenderedPageBreak/>
        <w:t>de huidige praktijk</w:t>
      </w:r>
      <w:r w:rsidR="00BF7F25">
        <w:rPr>
          <w:rFonts w:cs="Arial"/>
          <w:sz w:val="18"/>
          <w:szCs w:val="18"/>
        </w:rPr>
        <w:t xml:space="preserve"> die DNB reeds hanteert</w:t>
      </w:r>
      <w:r w:rsidRPr="00614A5F">
        <w:rPr>
          <w:rFonts w:cs="Arial"/>
          <w:sz w:val="18"/>
          <w:szCs w:val="18"/>
        </w:rPr>
        <w:t xml:space="preserve"> (zie artikel 6, zesde lid van de statuten van DNB).</w:t>
      </w:r>
      <w:r w:rsidR="001D0DD5">
        <w:rPr>
          <w:rStyle w:val="Voetnootmarkering"/>
          <w:rFonts w:cs="Arial"/>
          <w:sz w:val="18"/>
          <w:szCs w:val="18"/>
        </w:rPr>
        <w:footnoteReference w:id="75"/>
      </w:r>
    </w:p>
    <w:p w:rsidRPr="00614A5F" w:rsidR="00614A5F" w:rsidP="00614A5F" w:rsidRDefault="00614A5F" w14:paraId="4EE21EB6" w14:textId="77777777">
      <w:pPr>
        <w:widowControl w:val="0"/>
        <w:tabs>
          <w:tab w:val="num" w:pos="720"/>
        </w:tabs>
        <w:spacing w:line="240" w:lineRule="atLeast"/>
        <w:rPr>
          <w:rFonts w:cs="Arial"/>
          <w:sz w:val="18"/>
          <w:szCs w:val="18"/>
        </w:rPr>
      </w:pPr>
    </w:p>
    <w:p w:rsidR="00614A5F" w:rsidP="00614A5F" w:rsidRDefault="00614A5F" w14:paraId="348F550E" w14:textId="4F76688A">
      <w:pPr>
        <w:widowControl w:val="0"/>
        <w:tabs>
          <w:tab w:val="num" w:pos="720"/>
        </w:tabs>
        <w:spacing w:line="240" w:lineRule="atLeast"/>
        <w:rPr>
          <w:rFonts w:cs="Arial"/>
          <w:sz w:val="18"/>
          <w:szCs w:val="18"/>
        </w:rPr>
      </w:pPr>
      <w:r w:rsidRPr="00614A5F">
        <w:rPr>
          <w:rFonts w:cs="Arial"/>
          <w:sz w:val="18"/>
          <w:szCs w:val="18"/>
        </w:rPr>
        <w:t xml:space="preserve">In artikel 4 bis, tweede lid, tweede alinea, CRD staat dat een veroordeling voor een ernstig strafbaar feit een ontslaggrond is. In de Nederlandse praktijk vormt een veroordeling wegens een ernstig strafbaar feit een strafrechtelijk antecedent en dat </w:t>
      </w:r>
      <w:r w:rsidR="00E265EC">
        <w:rPr>
          <w:rFonts w:cs="Arial"/>
          <w:sz w:val="18"/>
          <w:szCs w:val="18"/>
        </w:rPr>
        <w:t>kan ertoe leiden</w:t>
      </w:r>
      <w:r w:rsidRPr="00614A5F" w:rsidR="00E265EC">
        <w:rPr>
          <w:rFonts w:cs="Arial"/>
          <w:sz w:val="18"/>
          <w:szCs w:val="18"/>
        </w:rPr>
        <w:t xml:space="preserve"> </w:t>
      </w:r>
      <w:r w:rsidRPr="00614A5F">
        <w:rPr>
          <w:rFonts w:cs="Arial"/>
          <w:sz w:val="18"/>
          <w:szCs w:val="18"/>
        </w:rPr>
        <w:t>dat de betrouwbaarheid van de bestuurder niet langer buiten twijfel staat</w:t>
      </w:r>
      <w:r w:rsidR="001877FD">
        <w:rPr>
          <w:rFonts w:cs="Arial"/>
          <w:sz w:val="18"/>
          <w:szCs w:val="18"/>
        </w:rPr>
        <w:t xml:space="preserve">. In een dergelijk geval </w:t>
      </w:r>
      <w:r w:rsidR="00E265EC">
        <w:rPr>
          <w:rFonts w:cs="Arial"/>
          <w:sz w:val="18"/>
          <w:szCs w:val="18"/>
        </w:rPr>
        <w:t>kan</w:t>
      </w:r>
      <w:r w:rsidRPr="00614A5F" w:rsidR="00E265EC">
        <w:rPr>
          <w:rFonts w:cs="Arial"/>
          <w:sz w:val="18"/>
          <w:szCs w:val="18"/>
        </w:rPr>
        <w:t xml:space="preserve"> </w:t>
      </w:r>
      <w:r w:rsidRPr="00614A5F">
        <w:rPr>
          <w:rFonts w:cs="Arial"/>
          <w:sz w:val="18"/>
          <w:szCs w:val="18"/>
        </w:rPr>
        <w:t>deze persoon niet langer aan de eisen voor uitoefening van de functie van artikel 1:27a Wft</w:t>
      </w:r>
      <w:r w:rsidR="00E265EC">
        <w:rPr>
          <w:rFonts w:cs="Arial"/>
          <w:sz w:val="18"/>
          <w:szCs w:val="18"/>
        </w:rPr>
        <w:t xml:space="preserve"> voldoen</w:t>
      </w:r>
      <w:r w:rsidRPr="00614A5F">
        <w:rPr>
          <w:rFonts w:cs="Arial"/>
          <w:sz w:val="18"/>
          <w:szCs w:val="18"/>
        </w:rPr>
        <w:t xml:space="preserve">. Artikel 4 bis, tweede lid, tweede alinea, CRD </w:t>
      </w:r>
      <w:r w:rsidR="001877FD">
        <w:rPr>
          <w:rFonts w:cs="Arial"/>
          <w:sz w:val="18"/>
          <w:szCs w:val="18"/>
        </w:rPr>
        <w:t>behoeft derhalve geen afzonderlijke implementatie</w:t>
      </w:r>
      <w:r w:rsidRPr="00614A5F">
        <w:rPr>
          <w:rFonts w:cs="Arial"/>
          <w:sz w:val="18"/>
          <w:szCs w:val="18"/>
        </w:rPr>
        <w:t>.</w:t>
      </w:r>
    </w:p>
    <w:p w:rsidR="00614A5F" w:rsidP="00395DD3" w:rsidRDefault="00614A5F" w14:paraId="5C9171E6" w14:textId="77777777">
      <w:pPr>
        <w:widowControl w:val="0"/>
        <w:tabs>
          <w:tab w:val="num" w:pos="720"/>
        </w:tabs>
        <w:spacing w:line="240" w:lineRule="atLeast"/>
        <w:rPr>
          <w:rFonts w:cs="Arial"/>
          <w:sz w:val="18"/>
          <w:szCs w:val="18"/>
        </w:rPr>
      </w:pPr>
    </w:p>
    <w:p w:rsidR="002A2C85" w:rsidP="00395DD3" w:rsidRDefault="002A2C85" w14:paraId="08D8CBF9" w14:textId="5312947C">
      <w:pPr>
        <w:widowControl w:val="0"/>
        <w:tabs>
          <w:tab w:val="num" w:pos="720"/>
        </w:tabs>
        <w:spacing w:line="240" w:lineRule="atLeast"/>
        <w:rPr>
          <w:rFonts w:cs="Arial"/>
          <w:sz w:val="18"/>
          <w:szCs w:val="18"/>
        </w:rPr>
      </w:pPr>
      <w:r>
        <w:rPr>
          <w:rFonts w:cs="Arial"/>
          <w:sz w:val="18"/>
          <w:szCs w:val="18"/>
        </w:rPr>
        <w:t>C (1:48a)</w:t>
      </w:r>
    </w:p>
    <w:p w:rsidR="002A2C85" w:rsidP="00395DD3" w:rsidRDefault="002A2C85" w14:paraId="4202ACE1" w14:textId="77777777">
      <w:pPr>
        <w:widowControl w:val="0"/>
        <w:tabs>
          <w:tab w:val="num" w:pos="720"/>
        </w:tabs>
        <w:spacing w:line="240" w:lineRule="atLeast"/>
        <w:rPr>
          <w:rFonts w:cs="Arial"/>
          <w:sz w:val="18"/>
          <w:szCs w:val="18"/>
        </w:rPr>
      </w:pPr>
    </w:p>
    <w:p w:rsidRPr="002A2C85" w:rsidR="002A2C85" w:rsidP="00395DD3" w:rsidRDefault="002A2C85" w14:paraId="15CE7ADB" w14:textId="6C3D6A52">
      <w:pPr>
        <w:widowControl w:val="0"/>
        <w:tabs>
          <w:tab w:val="num" w:pos="720"/>
        </w:tabs>
        <w:spacing w:line="240" w:lineRule="atLeast"/>
        <w:rPr>
          <w:rFonts w:cs="Arial"/>
          <w:sz w:val="18"/>
          <w:szCs w:val="18"/>
        </w:rPr>
      </w:pPr>
      <w:r>
        <w:rPr>
          <w:rFonts w:cs="Arial"/>
          <w:sz w:val="18"/>
          <w:szCs w:val="18"/>
        </w:rPr>
        <w:t>Dit bevat een klein tekstuele aanpassing van het eerste lid waar “voor een vergunning” wordt vervangen door “van een vergunning”.</w:t>
      </w:r>
    </w:p>
    <w:p w:rsidR="002A2C85" w:rsidP="00395DD3" w:rsidRDefault="002A2C85" w14:paraId="59E0B0CB" w14:textId="77777777">
      <w:pPr>
        <w:widowControl w:val="0"/>
        <w:tabs>
          <w:tab w:val="num" w:pos="720"/>
        </w:tabs>
        <w:spacing w:line="240" w:lineRule="atLeast"/>
        <w:rPr>
          <w:rFonts w:cs="Arial"/>
          <w:sz w:val="18"/>
          <w:szCs w:val="18"/>
        </w:rPr>
      </w:pPr>
    </w:p>
    <w:p w:rsidRPr="00BD04E1" w:rsidR="001E56AB" w:rsidP="001E56AB" w:rsidRDefault="00A552B3" w14:paraId="7A07C0F6" w14:textId="4200D355">
      <w:pPr>
        <w:widowControl w:val="0"/>
        <w:spacing w:line="240" w:lineRule="atLeast"/>
        <w:rPr>
          <w:sz w:val="18"/>
          <w:szCs w:val="18"/>
        </w:rPr>
      </w:pPr>
      <w:r>
        <w:rPr>
          <w:sz w:val="18"/>
          <w:szCs w:val="18"/>
        </w:rPr>
        <w:t>D</w:t>
      </w:r>
      <w:r w:rsidRPr="00BD04E1" w:rsidR="001E56AB">
        <w:rPr>
          <w:sz w:val="18"/>
          <w:szCs w:val="18"/>
        </w:rPr>
        <w:t xml:space="preserve"> (1:51)</w:t>
      </w:r>
    </w:p>
    <w:p w:rsidR="001E56AB" w:rsidP="001E56AB" w:rsidRDefault="001E56AB" w14:paraId="1682910F" w14:textId="77777777">
      <w:pPr>
        <w:widowControl w:val="0"/>
        <w:spacing w:line="240" w:lineRule="atLeast"/>
        <w:rPr>
          <w:sz w:val="18"/>
          <w:szCs w:val="18"/>
        </w:rPr>
      </w:pPr>
    </w:p>
    <w:p w:rsidRPr="00BD04E1" w:rsidR="000F1B1C" w:rsidP="001E56AB" w:rsidRDefault="000F1B1C" w14:paraId="4540D3CC" w14:textId="5B9A2774">
      <w:pPr>
        <w:widowControl w:val="0"/>
        <w:spacing w:line="240" w:lineRule="atLeast"/>
        <w:rPr>
          <w:sz w:val="18"/>
          <w:szCs w:val="18"/>
        </w:rPr>
      </w:pPr>
      <w:r>
        <w:rPr>
          <w:sz w:val="18"/>
          <w:szCs w:val="18"/>
        </w:rPr>
        <w:t>Artikel 1:51 Wft ziet op de samenwerking en uitwisseling van gegevens en inlichtingen tussen enerzijds de Nederlandse toezichthouders en anderzijds toezichthouders en afwikkelingsautoriteiten van andere lidstaten. Het derde lid van dit artikel maakt het mogelijk dat er gegevens en inlichtingen worden verstrekt aan autoriteiten in de EU op het verzoek van een toezichthouder of afwikkelingsautoriteit. In de samenwerkingsbepalingen van artikel 27 quater, vierde lid, en 27 duodecies, tweede lid,</w:t>
      </w:r>
      <w:r w:rsidR="001E09D2">
        <w:rPr>
          <w:sz w:val="18"/>
          <w:szCs w:val="18"/>
        </w:rPr>
        <w:t xml:space="preserve"> CRD</w:t>
      </w:r>
      <w:r>
        <w:rPr>
          <w:sz w:val="18"/>
          <w:szCs w:val="18"/>
        </w:rPr>
        <w:t xml:space="preserve"> is opgenomen dat toezichthouders niet alleen gegevens met elkaar delen op verzoek, maar dat dit ook op eigen initiatief kan plaatsvinden. Om dit mogelijk te maken wordt artikel 1:51, derde lid, Wft aangepast door toevoeging van “of op eigen initiatief”</w:t>
      </w:r>
      <w:r w:rsidR="001877FD">
        <w:rPr>
          <w:sz w:val="18"/>
          <w:szCs w:val="18"/>
        </w:rPr>
        <w:t>,</w:t>
      </w:r>
      <w:r>
        <w:rPr>
          <w:sz w:val="18"/>
          <w:szCs w:val="18"/>
        </w:rPr>
        <w:t xml:space="preserve"> waardoor gegevens- en inlichtingenuitwisseling mogelijk is tussen de verschillende toezichthouders in de EU.</w:t>
      </w:r>
      <w:r w:rsidR="00925F8D">
        <w:rPr>
          <w:sz w:val="18"/>
          <w:szCs w:val="18"/>
        </w:rPr>
        <w:t xml:space="preserve"> </w:t>
      </w:r>
      <w:r w:rsidR="00A051DD">
        <w:rPr>
          <w:sz w:val="18"/>
          <w:szCs w:val="18"/>
        </w:rPr>
        <w:t xml:space="preserve">Hierbij wordt opgemerkt dat artikel 1:51 </w:t>
      </w:r>
      <w:r w:rsidR="0094740F">
        <w:rPr>
          <w:sz w:val="18"/>
          <w:szCs w:val="18"/>
        </w:rPr>
        <w:t xml:space="preserve">Wft </w:t>
      </w:r>
      <w:r w:rsidR="00A051DD">
        <w:rPr>
          <w:sz w:val="18"/>
          <w:szCs w:val="18"/>
        </w:rPr>
        <w:t xml:space="preserve">een bredere reikwijdte heeft dan </w:t>
      </w:r>
      <w:r w:rsidR="0094740F">
        <w:rPr>
          <w:sz w:val="18"/>
          <w:szCs w:val="18"/>
        </w:rPr>
        <w:t xml:space="preserve">alleen de implementatie van de </w:t>
      </w:r>
      <w:r w:rsidR="00A051DD">
        <w:rPr>
          <w:sz w:val="18"/>
          <w:szCs w:val="18"/>
        </w:rPr>
        <w:t xml:space="preserve">CRD. Omdat het op eigen initiatief delen van gegevens altijd plaatsvindt in het kader van </w:t>
      </w:r>
      <w:r w:rsidR="001877FD">
        <w:rPr>
          <w:sz w:val="18"/>
          <w:szCs w:val="18"/>
        </w:rPr>
        <w:t>de uitoefening van de taken van een toezichthouder,</w:t>
      </w:r>
      <w:r w:rsidR="00A82A29">
        <w:rPr>
          <w:sz w:val="18"/>
          <w:szCs w:val="18"/>
        </w:rPr>
        <w:t xml:space="preserve"> </w:t>
      </w:r>
      <w:r w:rsidR="00A051DD">
        <w:rPr>
          <w:sz w:val="18"/>
          <w:szCs w:val="18"/>
        </w:rPr>
        <w:t>waarbij moet blijken dat de toezichthouder tot taak heeft om op eigen initiatief gegevens te verstrekken</w:t>
      </w:r>
      <w:r w:rsidR="00FF0BAD">
        <w:rPr>
          <w:sz w:val="18"/>
          <w:szCs w:val="18"/>
        </w:rPr>
        <w:t xml:space="preserve"> of de andere toezichthouder de gegevens nodig heeft voor de uitoefening van haar taken</w:t>
      </w:r>
      <w:r w:rsidR="00A051DD">
        <w:rPr>
          <w:sz w:val="18"/>
          <w:szCs w:val="18"/>
        </w:rPr>
        <w:t xml:space="preserve">, </w:t>
      </w:r>
      <w:r w:rsidR="00FF0BAD">
        <w:rPr>
          <w:sz w:val="18"/>
          <w:szCs w:val="18"/>
        </w:rPr>
        <w:t xml:space="preserve">is de </w:t>
      </w:r>
      <w:r w:rsidR="00A051DD">
        <w:rPr>
          <w:sz w:val="18"/>
          <w:szCs w:val="18"/>
        </w:rPr>
        <w:t xml:space="preserve">verruiming van het artikellid </w:t>
      </w:r>
      <w:r w:rsidR="00FF0BAD">
        <w:rPr>
          <w:sz w:val="18"/>
          <w:szCs w:val="18"/>
        </w:rPr>
        <w:t>voldoende ingekaderd</w:t>
      </w:r>
      <w:r w:rsidR="00A051DD">
        <w:rPr>
          <w:sz w:val="18"/>
          <w:szCs w:val="18"/>
        </w:rPr>
        <w:t>.</w:t>
      </w:r>
    </w:p>
    <w:p w:rsidRPr="00BD04E1" w:rsidR="001E56AB" w:rsidP="001E56AB" w:rsidRDefault="001E56AB" w14:paraId="2A03B14F" w14:textId="77777777">
      <w:pPr>
        <w:widowControl w:val="0"/>
        <w:spacing w:line="240" w:lineRule="atLeast"/>
        <w:rPr>
          <w:sz w:val="18"/>
          <w:szCs w:val="18"/>
        </w:rPr>
      </w:pPr>
    </w:p>
    <w:p w:rsidR="001E56AB" w:rsidP="001E56AB" w:rsidRDefault="00A552B3" w14:paraId="6AB5FAC3" w14:textId="5D50CFED">
      <w:pPr>
        <w:spacing w:line="240" w:lineRule="atLeast"/>
        <w:rPr>
          <w:sz w:val="18"/>
          <w:szCs w:val="18"/>
        </w:rPr>
      </w:pPr>
      <w:r>
        <w:rPr>
          <w:sz w:val="18"/>
          <w:szCs w:val="18"/>
        </w:rPr>
        <w:t>E</w:t>
      </w:r>
      <w:r w:rsidRPr="00BD04E1" w:rsidR="001E56AB">
        <w:rPr>
          <w:sz w:val="18"/>
          <w:szCs w:val="18"/>
        </w:rPr>
        <w:t xml:space="preserve"> (1:54d)</w:t>
      </w:r>
    </w:p>
    <w:p w:rsidR="000F1B1C" w:rsidP="001E56AB" w:rsidRDefault="000F1B1C" w14:paraId="1841EF4F" w14:textId="77777777">
      <w:pPr>
        <w:spacing w:line="240" w:lineRule="atLeast"/>
        <w:rPr>
          <w:sz w:val="18"/>
          <w:szCs w:val="18"/>
        </w:rPr>
      </w:pPr>
    </w:p>
    <w:p w:rsidR="00754CC7" w:rsidP="001E56AB" w:rsidRDefault="000F1B1C" w14:paraId="116262C5" w14:textId="38355FF4">
      <w:pPr>
        <w:spacing w:line="240" w:lineRule="atLeast"/>
        <w:rPr>
          <w:sz w:val="18"/>
          <w:szCs w:val="18"/>
        </w:rPr>
      </w:pPr>
      <w:r>
        <w:rPr>
          <w:sz w:val="18"/>
          <w:szCs w:val="18"/>
        </w:rPr>
        <w:t xml:space="preserve">Artikel 1:54d </w:t>
      </w:r>
      <w:r w:rsidR="00035CA7">
        <w:rPr>
          <w:sz w:val="18"/>
          <w:szCs w:val="18"/>
        </w:rPr>
        <w:t xml:space="preserve">Wft </w:t>
      </w:r>
      <w:r>
        <w:rPr>
          <w:sz w:val="18"/>
          <w:szCs w:val="18"/>
        </w:rPr>
        <w:t xml:space="preserve">is een nieuw artikel, </w:t>
      </w:r>
      <w:r w:rsidR="00A60692">
        <w:rPr>
          <w:sz w:val="18"/>
          <w:szCs w:val="18"/>
        </w:rPr>
        <w:t>d</w:t>
      </w:r>
      <w:r>
        <w:rPr>
          <w:sz w:val="18"/>
          <w:szCs w:val="18"/>
        </w:rPr>
        <w:t xml:space="preserve">at ziet op de samenwerking van toezichthouders in een college van toezichthouders voor </w:t>
      </w:r>
      <w:r w:rsidR="001C0C28">
        <w:rPr>
          <w:sz w:val="18"/>
          <w:szCs w:val="18"/>
        </w:rPr>
        <w:t>derde land</w:t>
      </w:r>
      <w:r>
        <w:rPr>
          <w:sz w:val="18"/>
          <w:szCs w:val="18"/>
        </w:rPr>
        <w:t xml:space="preserve"> bijkantoren</w:t>
      </w:r>
      <w:r w:rsidR="0032640D">
        <w:rPr>
          <w:sz w:val="18"/>
          <w:szCs w:val="18"/>
        </w:rPr>
        <w:t>.</w:t>
      </w:r>
      <w:r>
        <w:rPr>
          <w:sz w:val="18"/>
          <w:szCs w:val="18"/>
        </w:rPr>
        <w:t xml:space="preserve"> </w:t>
      </w:r>
      <w:r w:rsidR="001877FD">
        <w:rPr>
          <w:sz w:val="18"/>
          <w:szCs w:val="18"/>
        </w:rPr>
        <w:t>De oprichting van en het deelnemen aan c</w:t>
      </w:r>
      <w:r w:rsidR="0032640D">
        <w:rPr>
          <w:sz w:val="18"/>
          <w:szCs w:val="18"/>
        </w:rPr>
        <w:t>ollege</w:t>
      </w:r>
      <w:r w:rsidR="00035CA7">
        <w:rPr>
          <w:sz w:val="18"/>
          <w:szCs w:val="18"/>
        </w:rPr>
        <w:t>s</w:t>
      </w:r>
      <w:r w:rsidR="0032640D">
        <w:rPr>
          <w:sz w:val="18"/>
          <w:szCs w:val="18"/>
        </w:rPr>
        <w:t xml:space="preserve"> van toezichthouders </w:t>
      </w:r>
      <w:r w:rsidR="001877FD">
        <w:rPr>
          <w:sz w:val="18"/>
          <w:szCs w:val="18"/>
        </w:rPr>
        <w:t xml:space="preserve">is </w:t>
      </w:r>
      <w:r w:rsidR="0032640D">
        <w:rPr>
          <w:sz w:val="18"/>
          <w:szCs w:val="18"/>
        </w:rPr>
        <w:t xml:space="preserve">op grond van de huidige CRD </w:t>
      </w:r>
      <w:r w:rsidR="001877FD">
        <w:rPr>
          <w:sz w:val="18"/>
          <w:szCs w:val="18"/>
        </w:rPr>
        <w:t>en</w:t>
      </w:r>
      <w:r w:rsidR="0032640D">
        <w:rPr>
          <w:sz w:val="18"/>
          <w:szCs w:val="18"/>
        </w:rPr>
        <w:t xml:space="preserve"> Wft (artikelen 1:54b tot en met 1:54c</w:t>
      </w:r>
      <w:r w:rsidR="00035CA7">
        <w:rPr>
          <w:sz w:val="18"/>
          <w:szCs w:val="18"/>
        </w:rPr>
        <w:t xml:space="preserve"> Wft</w:t>
      </w:r>
      <w:r w:rsidR="0032640D">
        <w:rPr>
          <w:sz w:val="18"/>
          <w:szCs w:val="18"/>
        </w:rPr>
        <w:t>)</w:t>
      </w:r>
      <w:r w:rsidR="001877FD">
        <w:rPr>
          <w:sz w:val="18"/>
          <w:szCs w:val="18"/>
        </w:rPr>
        <w:t xml:space="preserve"> al bestaande praktijk</w:t>
      </w:r>
      <w:r w:rsidR="0032640D">
        <w:rPr>
          <w:sz w:val="18"/>
          <w:szCs w:val="18"/>
        </w:rPr>
        <w:t>, maar zie</w:t>
      </w:r>
      <w:r w:rsidR="001877FD">
        <w:rPr>
          <w:sz w:val="18"/>
          <w:szCs w:val="18"/>
        </w:rPr>
        <w:t>t tot op heden</w:t>
      </w:r>
      <w:r w:rsidR="0032640D">
        <w:rPr>
          <w:sz w:val="18"/>
          <w:szCs w:val="18"/>
        </w:rPr>
        <w:t xml:space="preserve"> vooral op een college van toezichthouders voor banken en </w:t>
      </w:r>
      <w:r w:rsidR="00C94995">
        <w:rPr>
          <w:sz w:val="18"/>
          <w:szCs w:val="18"/>
        </w:rPr>
        <w:t xml:space="preserve">(gemengde) financiële </w:t>
      </w:r>
      <w:r w:rsidR="0032640D">
        <w:rPr>
          <w:sz w:val="18"/>
          <w:szCs w:val="18"/>
        </w:rPr>
        <w:t>holdings die in andere lidstaten dochter</w:t>
      </w:r>
      <w:r w:rsidR="001877FD">
        <w:rPr>
          <w:sz w:val="18"/>
          <w:szCs w:val="18"/>
        </w:rPr>
        <w:t>ondernemingen</w:t>
      </w:r>
      <w:r w:rsidR="0032640D">
        <w:rPr>
          <w:sz w:val="18"/>
          <w:szCs w:val="18"/>
        </w:rPr>
        <w:t xml:space="preserve"> hebben.</w:t>
      </w:r>
      <w:r>
        <w:rPr>
          <w:sz w:val="18"/>
          <w:szCs w:val="18"/>
        </w:rPr>
        <w:t xml:space="preserve"> </w:t>
      </w:r>
      <w:r w:rsidR="00FF0BAD">
        <w:rPr>
          <w:sz w:val="18"/>
          <w:szCs w:val="18"/>
        </w:rPr>
        <w:t xml:space="preserve">Op grond van </w:t>
      </w:r>
      <w:r w:rsidR="00A051DD">
        <w:rPr>
          <w:sz w:val="18"/>
          <w:szCs w:val="18"/>
        </w:rPr>
        <w:t xml:space="preserve">artikel 1:54d </w:t>
      </w:r>
      <w:r w:rsidR="00FF0BAD">
        <w:rPr>
          <w:sz w:val="18"/>
          <w:szCs w:val="18"/>
        </w:rPr>
        <w:t>richt DNB een</w:t>
      </w:r>
      <w:r w:rsidR="0032640D">
        <w:rPr>
          <w:sz w:val="18"/>
          <w:szCs w:val="18"/>
        </w:rPr>
        <w:t xml:space="preserve"> college van toezichthouders op voor </w:t>
      </w:r>
      <w:r w:rsidR="001C0C28">
        <w:rPr>
          <w:sz w:val="18"/>
          <w:szCs w:val="18"/>
        </w:rPr>
        <w:t>derde land</w:t>
      </w:r>
      <w:r w:rsidR="0032640D">
        <w:rPr>
          <w:sz w:val="18"/>
          <w:szCs w:val="18"/>
        </w:rPr>
        <w:t xml:space="preserve"> bijkantoren die door </w:t>
      </w:r>
      <w:r w:rsidR="00FF0BAD">
        <w:rPr>
          <w:sz w:val="18"/>
          <w:szCs w:val="18"/>
        </w:rPr>
        <w:t>DNB</w:t>
      </w:r>
      <w:r w:rsidR="003F267D">
        <w:rPr>
          <w:sz w:val="18"/>
          <w:szCs w:val="18"/>
        </w:rPr>
        <w:t xml:space="preserve"> </w:t>
      </w:r>
      <w:r w:rsidR="0032640D">
        <w:rPr>
          <w:sz w:val="18"/>
          <w:szCs w:val="18"/>
        </w:rPr>
        <w:t>geclassificeerd zijn als een klasse 1</w:t>
      </w:r>
      <w:r w:rsidR="00C94995">
        <w:rPr>
          <w:sz w:val="18"/>
          <w:szCs w:val="18"/>
        </w:rPr>
        <w:t>-</w:t>
      </w:r>
      <w:r w:rsidR="0032640D">
        <w:rPr>
          <w:sz w:val="18"/>
          <w:szCs w:val="18"/>
        </w:rPr>
        <w:t xml:space="preserve">bijkantoor. </w:t>
      </w:r>
      <w:r>
        <w:rPr>
          <w:sz w:val="18"/>
          <w:szCs w:val="18"/>
        </w:rPr>
        <w:t xml:space="preserve">Voor deze </w:t>
      </w:r>
      <w:r w:rsidR="0032640D">
        <w:rPr>
          <w:sz w:val="18"/>
          <w:szCs w:val="18"/>
        </w:rPr>
        <w:t xml:space="preserve">bijkantoren </w:t>
      </w:r>
      <w:r>
        <w:rPr>
          <w:sz w:val="18"/>
          <w:szCs w:val="18"/>
        </w:rPr>
        <w:t>dienen college</w:t>
      </w:r>
      <w:r w:rsidR="001877FD">
        <w:rPr>
          <w:sz w:val="18"/>
          <w:szCs w:val="18"/>
        </w:rPr>
        <w:t>s</w:t>
      </w:r>
      <w:r>
        <w:rPr>
          <w:sz w:val="18"/>
          <w:szCs w:val="18"/>
        </w:rPr>
        <w:t xml:space="preserve"> van toezichthouders opgericht te worden indien er in meerdere lidstaten een </w:t>
      </w:r>
      <w:r w:rsidR="00035CA7">
        <w:rPr>
          <w:sz w:val="18"/>
          <w:szCs w:val="18"/>
        </w:rPr>
        <w:t>klasse 1</w:t>
      </w:r>
      <w:r w:rsidR="00C94995">
        <w:rPr>
          <w:sz w:val="18"/>
          <w:szCs w:val="18"/>
        </w:rPr>
        <w:t>-bijkantoor</w:t>
      </w:r>
      <w:r>
        <w:rPr>
          <w:sz w:val="18"/>
          <w:szCs w:val="18"/>
        </w:rPr>
        <w:t xml:space="preserve"> van dezelfde groep is gevestigd. Als de groep</w:t>
      </w:r>
      <w:r w:rsidR="00C34C80">
        <w:rPr>
          <w:sz w:val="18"/>
          <w:szCs w:val="18"/>
        </w:rPr>
        <w:t xml:space="preserve"> uit een staat die geen lidstaat is</w:t>
      </w:r>
      <w:r>
        <w:rPr>
          <w:sz w:val="18"/>
          <w:szCs w:val="18"/>
        </w:rPr>
        <w:t xml:space="preserve"> reeds een bancaire dochter</w:t>
      </w:r>
      <w:r w:rsidR="00740BC4">
        <w:rPr>
          <w:sz w:val="18"/>
          <w:szCs w:val="18"/>
        </w:rPr>
        <w:t xml:space="preserve"> </w:t>
      </w:r>
      <w:r w:rsidR="00FF0BAD">
        <w:rPr>
          <w:sz w:val="18"/>
          <w:szCs w:val="18"/>
        </w:rPr>
        <w:t>met zetel</w:t>
      </w:r>
      <w:r>
        <w:rPr>
          <w:sz w:val="18"/>
          <w:szCs w:val="18"/>
        </w:rPr>
        <w:t xml:space="preserve"> in een lidstaat en daar een college van toezichthouders voor opgericht is, dan zal een </w:t>
      </w:r>
      <w:r w:rsidR="001C0C28">
        <w:rPr>
          <w:sz w:val="18"/>
          <w:szCs w:val="18"/>
        </w:rPr>
        <w:t>derde land</w:t>
      </w:r>
      <w:r>
        <w:rPr>
          <w:sz w:val="18"/>
          <w:szCs w:val="18"/>
        </w:rPr>
        <w:t xml:space="preserve"> bijkantoor dat in Nederland gevestigd is </w:t>
      </w:r>
      <w:r w:rsidR="00FF0BAD">
        <w:rPr>
          <w:sz w:val="18"/>
          <w:szCs w:val="18"/>
        </w:rPr>
        <w:t xml:space="preserve">op </w:t>
      </w:r>
      <w:r>
        <w:rPr>
          <w:sz w:val="18"/>
          <w:szCs w:val="18"/>
        </w:rPr>
        <w:t xml:space="preserve">worden </w:t>
      </w:r>
      <w:r w:rsidR="00FF0BAD">
        <w:rPr>
          <w:sz w:val="18"/>
          <w:szCs w:val="18"/>
        </w:rPr>
        <w:t>genomen in het toezicht van het</w:t>
      </w:r>
      <w:r>
        <w:rPr>
          <w:sz w:val="18"/>
          <w:szCs w:val="18"/>
        </w:rPr>
        <w:t xml:space="preserve"> college van toezichthouders.</w:t>
      </w:r>
    </w:p>
    <w:p w:rsidR="0032640D" w:rsidP="001E56AB" w:rsidRDefault="000F1B1C" w14:paraId="60126B2D" w14:textId="136128AE">
      <w:pPr>
        <w:spacing w:line="240" w:lineRule="atLeast"/>
        <w:rPr>
          <w:sz w:val="18"/>
          <w:szCs w:val="18"/>
        </w:rPr>
      </w:pPr>
      <w:r>
        <w:rPr>
          <w:sz w:val="18"/>
          <w:szCs w:val="18"/>
        </w:rPr>
        <w:lastRenderedPageBreak/>
        <w:t xml:space="preserve"> </w:t>
      </w:r>
    </w:p>
    <w:p w:rsidR="000F1B1C" w:rsidP="0032640D" w:rsidRDefault="000F1B1C" w14:paraId="03CB28DF" w14:textId="5D0FFE7E">
      <w:pPr>
        <w:spacing w:line="240" w:lineRule="atLeast"/>
        <w:rPr>
          <w:sz w:val="18"/>
          <w:szCs w:val="18"/>
        </w:rPr>
      </w:pPr>
      <w:r>
        <w:rPr>
          <w:sz w:val="18"/>
          <w:szCs w:val="18"/>
        </w:rPr>
        <w:t xml:space="preserve">Het eerste lid van artikel 1:54d </w:t>
      </w:r>
      <w:r w:rsidR="00035CA7">
        <w:rPr>
          <w:sz w:val="18"/>
          <w:szCs w:val="18"/>
        </w:rPr>
        <w:t xml:space="preserve">Wft </w:t>
      </w:r>
      <w:r>
        <w:rPr>
          <w:sz w:val="18"/>
          <w:szCs w:val="18"/>
        </w:rPr>
        <w:t>schrijft voor dat DNB het college van toezichthouders opricht indien het in Nederland gevestigde bijkantoor</w:t>
      </w:r>
      <w:r w:rsidR="00140FE5">
        <w:rPr>
          <w:sz w:val="18"/>
          <w:szCs w:val="18"/>
        </w:rPr>
        <w:t>,</w:t>
      </w:r>
      <w:r>
        <w:rPr>
          <w:sz w:val="18"/>
          <w:szCs w:val="18"/>
        </w:rPr>
        <w:t xml:space="preserve"> het bijkantoor is met de grootste totale waarde van activa</w:t>
      </w:r>
      <w:r w:rsidR="0032640D">
        <w:rPr>
          <w:sz w:val="18"/>
          <w:szCs w:val="18"/>
        </w:rPr>
        <w:t xml:space="preserve"> en er sprake van </w:t>
      </w:r>
      <w:r w:rsidR="00140FE5">
        <w:rPr>
          <w:sz w:val="18"/>
          <w:szCs w:val="18"/>
        </w:rPr>
        <w:t xml:space="preserve">is dat </w:t>
      </w:r>
      <w:r w:rsidR="0032640D">
        <w:rPr>
          <w:sz w:val="18"/>
          <w:szCs w:val="18"/>
        </w:rPr>
        <w:t xml:space="preserve">a) </w:t>
      </w:r>
      <w:r w:rsidRPr="0032640D" w:rsidR="0032640D">
        <w:rPr>
          <w:sz w:val="18"/>
          <w:szCs w:val="18"/>
        </w:rPr>
        <w:t xml:space="preserve">in meerdere lidstaten een </w:t>
      </w:r>
      <w:r w:rsidR="0032640D">
        <w:rPr>
          <w:sz w:val="18"/>
          <w:szCs w:val="18"/>
        </w:rPr>
        <w:t xml:space="preserve">klasse 1 bijkantoor is gevestigd, maar geen dochteronderneming </w:t>
      </w:r>
      <w:r w:rsidR="001C0C28">
        <w:rPr>
          <w:sz w:val="18"/>
          <w:szCs w:val="18"/>
        </w:rPr>
        <w:t xml:space="preserve">in een lidstaat </w:t>
      </w:r>
      <w:r w:rsidR="0032640D">
        <w:rPr>
          <w:sz w:val="18"/>
          <w:szCs w:val="18"/>
        </w:rPr>
        <w:t>van de groep</w:t>
      </w:r>
      <w:r w:rsidR="001C0C28">
        <w:rPr>
          <w:sz w:val="18"/>
          <w:szCs w:val="18"/>
        </w:rPr>
        <w:t xml:space="preserve"> uit een staat die geen lidstaat is</w:t>
      </w:r>
      <w:r w:rsidR="0032640D">
        <w:rPr>
          <w:sz w:val="18"/>
          <w:szCs w:val="18"/>
        </w:rPr>
        <w:t xml:space="preserve">, of b) </w:t>
      </w:r>
      <w:r w:rsidRPr="0032640D" w:rsidR="0032640D">
        <w:rPr>
          <w:sz w:val="18"/>
          <w:szCs w:val="18"/>
        </w:rPr>
        <w:t>in meerdere lidstaten een</w:t>
      </w:r>
      <w:r w:rsidR="0032640D">
        <w:rPr>
          <w:sz w:val="18"/>
          <w:szCs w:val="18"/>
        </w:rPr>
        <w:t xml:space="preserve"> klasse 1-</w:t>
      </w:r>
      <w:r w:rsidRPr="0032640D" w:rsidR="0032640D">
        <w:rPr>
          <w:sz w:val="18"/>
          <w:szCs w:val="18"/>
        </w:rPr>
        <w:t xml:space="preserve">bijkantoor </w:t>
      </w:r>
      <w:r w:rsidR="0032640D">
        <w:rPr>
          <w:sz w:val="18"/>
          <w:szCs w:val="18"/>
        </w:rPr>
        <w:t>is gevestigd</w:t>
      </w:r>
      <w:r w:rsidRPr="0032640D" w:rsidR="0032640D">
        <w:rPr>
          <w:sz w:val="18"/>
          <w:szCs w:val="18"/>
        </w:rPr>
        <w:t xml:space="preserve"> en </w:t>
      </w:r>
      <w:r w:rsidR="0032640D">
        <w:rPr>
          <w:sz w:val="18"/>
          <w:szCs w:val="18"/>
        </w:rPr>
        <w:t>de groep</w:t>
      </w:r>
      <w:r w:rsidR="001C0C28">
        <w:rPr>
          <w:sz w:val="18"/>
          <w:szCs w:val="18"/>
        </w:rPr>
        <w:t xml:space="preserve"> uit een staat die geen lidstaat is</w:t>
      </w:r>
      <w:r w:rsidR="0032640D">
        <w:rPr>
          <w:sz w:val="18"/>
          <w:szCs w:val="18"/>
        </w:rPr>
        <w:t xml:space="preserve"> heeft </w:t>
      </w:r>
      <w:r w:rsidRPr="0032640D" w:rsidR="0032640D">
        <w:rPr>
          <w:sz w:val="18"/>
          <w:szCs w:val="18"/>
        </w:rPr>
        <w:t xml:space="preserve">een dochteronderneming in een lidstaat </w:t>
      </w:r>
      <w:r w:rsidR="00140FE5">
        <w:rPr>
          <w:sz w:val="18"/>
          <w:szCs w:val="18"/>
        </w:rPr>
        <w:t xml:space="preserve">die </w:t>
      </w:r>
      <w:r w:rsidR="0032640D">
        <w:rPr>
          <w:sz w:val="18"/>
          <w:szCs w:val="18"/>
        </w:rPr>
        <w:t>niet</w:t>
      </w:r>
      <w:r w:rsidRPr="0032640D" w:rsidR="0032640D">
        <w:rPr>
          <w:sz w:val="18"/>
          <w:szCs w:val="18"/>
        </w:rPr>
        <w:t xml:space="preserve"> reeds onder een college van toezichthouders valt.</w:t>
      </w:r>
      <w:r w:rsidR="0032640D">
        <w:rPr>
          <w:sz w:val="18"/>
          <w:szCs w:val="18"/>
        </w:rPr>
        <w:t xml:space="preserve"> </w:t>
      </w:r>
      <w:r w:rsidR="00035CA7">
        <w:rPr>
          <w:sz w:val="18"/>
          <w:szCs w:val="18"/>
        </w:rPr>
        <w:t xml:space="preserve">Hiermee is artikel 48 septdecies, tweede lid, onderdelen b en c, en derde lid, CRD geïmplementeerd. </w:t>
      </w:r>
    </w:p>
    <w:p w:rsidR="000F1B1C" w:rsidP="001E56AB" w:rsidRDefault="000F1B1C" w14:paraId="2DCC271D" w14:textId="77777777">
      <w:pPr>
        <w:spacing w:line="240" w:lineRule="atLeast"/>
        <w:rPr>
          <w:sz w:val="18"/>
          <w:szCs w:val="18"/>
        </w:rPr>
      </w:pPr>
    </w:p>
    <w:p w:rsidRPr="00BD04E1" w:rsidR="000F1B1C" w:rsidP="001E56AB" w:rsidRDefault="000F1B1C" w14:paraId="70103DAF" w14:textId="295C3E35">
      <w:pPr>
        <w:spacing w:line="240" w:lineRule="atLeast"/>
        <w:rPr>
          <w:sz w:val="18"/>
          <w:szCs w:val="18"/>
        </w:rPr>
      </w:pPr>
      <w:r>
        <w:rPr>
          <w:sz w:val="18"/>
          <w:szCs w:val="18"/>
        </w:rPr>
        <w:t>Het tweede lid van artikel 1:54</w:t>
      </w:r>
      <w:r w:rsidR="00035CA7">
        <w:rPr>
          <w:sz w:val="18"/>
          <w:szCs w:val="18"/>
        </w:rPr>
        <w:t xml:space="preserve"> Wft</w:t>
      </w:r>
      <w:r>
        <w:rPr>
          <w:sz w:val="18"/>
          <w:szCs w:val="18"/>
        </w:rPr>
        <w:t xml:space="preserve"> </w:t>
      </w:r>
      <w:r w:rsidR="00FF0BAD">
        <w:rPr>
          <w:sz w:val="18"/>
          <w:szCs w:val="18"/>
        </w:rPr>
        <w:t>schrijft voor</w:t>
      </w:r>
      <w:r>
        <w:rPr>
          <w:sz w:val="18"/>
          <w:szCs w:val="18"/>
        </w:rPr>
        <w:t xml:space="preserve"> dat DNB, als toezichthouder op </w:t>
      </w:r>
      <w:r w:rsidR="00035CA7">
        <w:rPr>
          <w:sz w:val="18"/>
          <w:szCs w:val="18"/>
        </w:rPr>
        <w:t>een</w:t>
      </w:r>
      <w:r>
        <w:rPr>
          <w:sz w:val="18"/>
          <w:szCs w:val="18"/>
        </w:rPr>
        <w:t xml:space="preserve"> Nederlands </w:t>
      </w:r>
      <w:r w:rsidR="001C0C28">
        <w:rPr>
          <w:sz w:val="18"/>
          <w:szCs w:val="18"/>
        </w:rPr>
        <w:t>derde land</w:t>
      </w:r>
      <w:r>
        <w:rPr>
          <w:sz w:val="18"/>
          <w:szCs w:val="18"/>
        </w:rPr>
        <w:t xml:space="preserve"> bijkantoor, zitting</w:t>
      </w:r>
      <w:r w:rsidR="00060FE4">
        <w:rPr>
          <w:sz w:val="18"/>
          <w:szCs w:val="18"/>
        </w:rPr>
        <w:t xml:space="preserve"> </w:t>
      </w:r>
      <w:r w:rsidR="00FF0BAD">
        <w:rPr>
          <w:sz w:val="18"/>
          <w:szCs w:val="18"/>
        </w:rPr>
        <w:t>neemt</w:t>
      </w:r>
      <w:r>
        <w:rPr>
          <w:sz w:val="18"/>
          <w:szCs w:val="18"/>
        </w:rPr>
        <w:t xml:space="preserve"> in een college van toezichthouders dat door een toezichthouder van een andere lidstaat wordt opgericht</w:t>
      </w:r>
      <w:r w:rsidR="00140FE5">
        <w:rPr>
          <w:sz w:val="18"/>
          <w:szCs w:val="18"/>
        </w:rPr>
        <w:t>,</w:t>
      </w:r>
      <w:r>
        <w:rPr>
          <w:sz w:val="18"/>
          <w:szCs w:val="18"/>
        </w:rPr>
        <w:t xml:space="preserve"> indien </w:t>
      </w:r>
      <w:r w:rsidR="00035CA7">
        <w:rPr>
          <w:sz w:val="18"/>
          <w:szCs w:val="18"/>
        </w:rPr>
        <w:t>in die lidstaat</w:t>
      </w:r>
      <w:r>
        <w:rPr>
          <w:sz w:val="18"/>
          <w:szCs w:val="18"/>
        </w:rPr>
        <w:t xml:space="preserve"> het grootste </w:t>
      </w:r>
      <w:r w:rsidR="001C0C28">
        <w:rPr>
          <w:sz w:val="18"/>
          <w:szCs w:val="18"/>
        </w:rPr>
        <w:t>derde land</w:t>
      </w:r>
      <w:r>
        <w:rPr>
          <w:sz w:val="18"/>
          <w:szCs w:val="18"/>
        </w:rPr>
        <w:t xml:space="preserve"> bijkantoor </w:t>
      </w:r>
      <w:r w:rsidR="00140FE5">
        <w:rPr>
          <w:sz w:val="18"/>
          <w:szCs w:val="18"/>
        </w:rPr>
        <w:t xml:space="preserve">gevestigd </w:t>
      </w:r>
      <w:r>
        <w:rPr>
          <w:sz w:val="18"/>
          <w:szCs w:val="18"/>
        </w:rPr>
        <w:t>is</w:t>
      </w:r>
      <w:r w:rsidR="00140FE5">
        <w:rPr>
          <w:sz w:val="18"/>
          <w:szCs w:val="18"/>
        </w:rPr>
        <w:t>,</w:t>
      </w:r>
      <w:r w:rsidR="00060FE4">
        <w:rPr>
          <w:sz w:val="18"/>
          <w:szCs w:val="18"/>
        </w:rPr>
        <w:t xml:space="preserve"> of een bancaire dochteronderneming</w:t>
      </w:r>
      <w:r w:rsidR="00035CA7">
        <w:rPr>
          <w:sz w:val="18"/>
          <w:szCs w:val="18"/>
        </w:rPr>
        <w:t xml:space="preserve"> van dezelfde groep als het Nederlandse </w:t>
      </w:r>
      <w:r w:rsidR="001C0C28">
        <w:rPr>
          <w:sz w:val="18"/>
          <w:szCs w:val="18"/>
        </w:rPr>
        <w:t>derde land</w:t>
      </w:r>
      <w:r w:rsidR="00035CA7">
        <w:rPr>
          <w:sz w:val="18"/>
          <w:szCs w:val="18"/>
        </w:rPr>
        <w:t xml:space="preserve"> bijkantoor</w:t>
      </w:r>
      <w:r w:rsidR="00060FE4">
        <w:rPr>
          <w:sz w:val="18"/>
          <w:szCs w:val="18"/>
        </w:rPr>
        <w:t xml:space="preserve"> is gezeteld met een bestaand college van to</w:t>
      </w:r>
      <w:r w:rsidR="000A5A8F">
        <w:rPr>
          <w:sz w:val="18"/>
          <w:szCs w:val="18"/>
        </w:rPr>
        <w:t>e</w:t>
      </w:r>
      <w:r w:rsidR="00060FE4">
        <w:rPr>
          <w:sz w:val="18"/>
          <w:szCs w:val="18"/>
        </w:rPr>
        <w:t xml:space="preserve">zichthouders waar het </w:t>
      </w:r>
      <w:r w:rsidR="001C0C28">
        <w:rPr>
          <w:sz w:val="18"/>
          <w:szCs w:val="18"/>
        </w:rPr>
        <w:t>derde land</w:t>
      </w:r>
      <w:r w:rsidR="00060FE4">
        <w:rPr>
          <w:sz w:val="18"/>
          <w:szCs w:val="18"/>
        </w:rPr>
        <w:t xml:space="preserve"> bijkantoor in Nederland aan toegevoegd wordt.</w:t>
      </w:r>
      <w:r w:rsidR="00A051DD">
        <w:rPr>
          <w:sz w:val="18"/>
          <w:szCs w:val="18"/>
        </w:rPr>
        <w:t xml:space="preserve"> Hiermee is artikel 48 septdecies, tweede lid, onderdeel a, CRD geïmplementeerd.</w:t>
      </w:r>
    </w:p>
    <w:p w:rsidRPr="00BD04E1" w:rsidR="001E56AB" w:rsidP="001E56AB" w:rsidRDefault="001E56AB" w14:paraId="62620D97" w14:textId="77777777">
      <w:pPr>
        <w:spacing w:line="240" w:lineRule="atLeast"/>
        <w:rPr>
          <w:sz w:val="18"/>
          <w:szCs w:val="18"/>
        </w:rPr>
      </w:pPr>
    </w:p>
    <w:p w:rsidR="000F66F3" w:rsidP="000F66F3" w:rsidRDefault="000F66F3" w14:paraId="578951FC" w14:textId="231D0A81">
      <w:pPr>
        <w:spacing w:line="240" w:lineRule="atLeast"/>
        <w:rPr>
          <w:sz w:val="18"/>
          <w:szCs w:val="18"/>
        </w:rPr>
      </w:pPr>
      <w:bookmarkStart w:name="_Hlk196224432" w:id="6"/>
      <w:r>
        <w:rPr>
          <w:sz w:val="18"/>
          <w:szCs w:val="18"/>
        </w:rPr>
        <w:t>F</w:t>
      </w:r>
      <w:r w:rsidRPr="00BD04E1">
        <w:rPr>
          <w:sz w:val="18"/>
          <w:szCs w:val="18"/>
        </w:rPr>
        <w:t xml:space="preserve"> </w:t>
      </w:r>
      <w:r w:rsidR="00CC0F11">
        <w:rPr>
          <w:sz w:val="18"/>
          <w:szCs w:val="18"/>
        </w:rPr>
        <w:t>(1:57a)</w:t>
      </w:r>
    </w:p>
    <w:p w:rsidR="000F66F3" w:rsidP="000F66F3" w:rsidRDefault="000F66F3" w14:paraId="4A1B2429" w14:textId="77777777">
      <w:pPr>
        <w:spacing w:line="240" w:lineRule="atLeast"/>
        <w:rPr>
          <w:sz w:val="18"/>
          <w:szCs w:val="18"/>
        </w:rPr>
      </w:pPr>
    </w:p>
    <w:p w:rsidR="00DC72BA" w:rsidP="000F66F3" w:rsidRDefault="000F66F3" w14:paraId="26B0457B" w14:textId="48B96AD6">
      <w:pPr>
        <w:spacing w:line="240" w:lineRule="atLeast"/>
        <w:rPr>
          <w:sz w:val="18"/>
          <w:szCs w:val="18"/>
        </w:rPr>
      </w:pPr>
      <w:r w:rsidRPr="00B14A85">
        <w:rPr>
          <w:sz w:val="18"/>
          <w:szCs w:val="18"/>
        </w:rPr>
        <w:t>Artikel 1:57a Wft is ingevo</w:t>
      </w:r>
      <w:r>
        <w:rPr>
          <w:sz w:val="18"/>
          <w:szCs w:val="18"/>
        </w:rPr>
        <w:t xml:space="preserve">egd met de </w:t>
      </w:r>
      <w:r w:rsidRPr="00B14A85">
        <w:rPr>
          <w:sz w:val="18"/>
          <w:szCs w:val="18"/>
        </w:rPr>
        <w:t>Uitvoeringswet verordening Europese groene obligaties</w:t>
      </w:r>
      <w:r>
        <w:rPr>
          <w:sz w:val="18"/>
          <w:szCs w:val="18"/>
        </w:rPr>
        <w:t xml:space="preserve"> en regelt, kort gezegd, dat de Nederlandse toezichthouder</w:t>
      </w:r>
      <w:r w:rsidR="00DC72BA">
        <w:rPr>
          <w:sz w:val="18"/>
          <w:szCs w:val="18"/>
        </w:rPr>
        <w:t>, bijvoorbeeld in het kader van onderzoek ter plaatse,</w:t>
      </w:r>
      <w:r>
        <w:rPr>
          <w:sz w:val="18"/>
          <w:szCs w:val="18"/>
        </w:rPr>
        <w:t xml:space="preserve"> bijstand verleen</w:t>
      </w:r>
      <w:r w:rsidR="00DC72BA">
        <w:rPr>
          <w:sz w:val="18"/>
          <w:szCs w:val="18"/>
        </w:rPr>
        <w:t>t</w:t>
      </w:r>
      <w:r>
        <w:rPr>
          <w:sz w:val="18"/>
          <w:szCs w:val="18"/>
        </w:rPr>
        <w:t xml:space="preserve"> </w:t>
      </w:r>
      <w:r w:rsidR="00DC72BA">
        <w:rPr>
          <w:sz w:val="18"/>
          <w:szCs w:val="18"/>
        </w:rPr>
        <w:t>aan toezichthoudende instanties uit andere lidstaten als dat voorgeschreven wordt door een Europese verordening. Verordeningen kunnen echter ook verplichten tot het verlenen van bijstand aan Europese toezichthoudende autoriteiten, zoals in de Verordening ESG-ratings</w:t>
      </w:r>
      <w:r w:rsidR="00DC72BA">
        <w:rPr>
          <w:rStyle w:val="Voetnootmarkering"/>
          <w:sz w:val="18"/>
          <w:szCs w:val="18"/>
        </w:rPr>
        <w:footnoteReference w:id="76"/>
      </w:r>
      <w:r w:rsidR="00DC72BA">
        <w:rPr>
          <w:sz w:val="18"/>
          <w:szCs w:val="18"/>
        </w:rPr>
        <w:t xml:space="preserve"> het geval is. Met het oog hierop wordt artikel 1:57a gewijzigd om ook bijstandsverlening aan Europese toezichthoudende autoriteiten of andere bij de uitvoering van verordening betrokken Europese autoriteiten mogelijk te maken.</w:t>
      </w:r>
    </w:p>
    <w:bookmarkEnd w:id="6"/>
    <w:p w:rsidRPr="00B14A85" w:rsidR="00B14A85" w:rsidP="001E56AB" w:rsidRDefault="00B14A85" w14:paraId="5E88FD8C" w14:textId="77777777">
      <w:pPr>
        <w:spacing w:line="240" w:lineRule="atLeast"/>
        <w:rPr>
          <w:sz w:val="18"/>
          <w:szCs w:val="18"/>
        </w:rPr>
      </w:pPr>
    </w:p>
    <w:p w:rsidR="001E56AB" w:rsidP="001E56AB" w:rsidRDefault="00B14A85" w14:paraId="66B03245" w14:textId="3F43C187">
      <w:pPr>
        <w:spacing w:line="240" w:lineRule="atLeast"/>
        <w:rPr>
          <w:sz w:val="18"/>
          <w:szCs w:val="18"/>
        </w:rPr>
      </w:pPr>
      <w:r>
        <w:rPr>
          <w:sz w:val="18"/>
          <w:szCs w:val="18"/>
        </w:rPr>
        <w:t xml:space="preserve">G </w:t>
      </w:r>
      <w:r w:rsidRPr="00BD04E1" w:rsidR="001E56AB">
        <w:rPr>
          <w:sz w:val="18"/>
          <w:szCs w:val="18"/>
        </w:rPr>
        <w:t>(1:62)</w:t>
      </w:r>
    </w:p>
    <w:p w:rsidR="00060FE4" w:rsidP="001E56AB" w:rsidRDefault="00060FE4" w14:paraId="1EC9A791" w14:textId="77777777">
      <w:pPr>
        <w:spacing w:line="240" w:lineRule="atLeast"/>
        <w:rPr>
          <w:sz w:val="18"/>
          <w:szCs w:val="18"/>
        </w:rPr>
      </w:pPr>
    </w:p>
    <w:p w:rsidR="00060FE4" w:rsidP="001E56AB" w:rsidRDefault="003012BD" w14:paraId="76D42C56" w14:textId="55F9C228">
      <w:pPr>
        <w:spacing w:line="240" w:lineRule="atLeast"/>
        <w:rPr>
          <w:sz w:val="18"/>
          <w:szCs w:val="18"/>
        </w:rPr>
      </w:pPr>
      <w:r>
        <w:rPr>
          <w:sz w:val="18"/>
          <w:szCs w:val="18"/>
        </w:rPr>
        <w:t>In artikel 1:62 Wft is opgenomen dat DNB de toezichthouder van een andere lidstaat om advies vraagt</w:t>
      </w:r>
      <w:r w:rsidR="00140FE5">
        <w:rPr>
          <w:sz w:val="18"/>
          <w:szCs w:val="18"/>
        </w:rPr>
        <w:t>,</w:t>
      </w:r>
      <w:r>
        <w:rPr>
          <w:sz w:val="18"/>
          <w:szCs w:val="18"/>
        </w:rPr>
        <w:t xml:space="preserve"> indien </w:t>
      </w:r>
      <w:r w:rsidR="00A82CF3">
        <w:rPr>
          <w:sz w:val="18"/>
          <w:szCs w:val="18"/>
        </w:rPr>
        <w:t xml:space="preserve">DNB voornemens is een verklaring van geen bezwaar </w:t>
      </w:r>
      <w:r w:rsidR="00966AF0">
        <w:rPr>
          <w:sz w:val="18"/>
          <w:szCs w:val="18"/>
        </w:rPr>
        <w:t xml:space="preserve">(vvgb) </w:t>
      </w:r>
      <w:r w:rsidR="00A82CF3">
        <w:rPr>
          <w:sz w:val="18"/>
          <w:szCs w:val="18"/>
        </w:rPr>
        <w:t xml:space="preserve">te verlenen als bedoeld in artikel 3:95 Wft. Advisering vindt plaats als de aanvrager van de </w:t>
      </w:r>
      <w:r w:rsidR="00966AF0">
        <w:rPr>
          <w:sz w:val="18"/>
          <w:szCs w:val="18"/>
        </w:rPr>
        <w:t>vvgb</w:t>
      </w:r>
      <w:r w:rsidR="00A82CF3">
        <w:rPr>
          <w:sz w:val="18"/>
          <w:szCs w:val="18"/>
        </w:rPr>
        <w:t xml:space="preserve"> een </w:t>
      </w:r>
      <w:r w:rsidRPr="00A82CF3" w:rsidR="00A82CF3">
        <w:rPr>
          <w:sz w:val="18"/>
          <w:szCs w:val="18"/>
        </w:rPr>
        <w:t>beheerder van een icbe, beleggingsonderneming, herverzekeraar, bank, levensverzekeraar, schadeverzekeraar of betaalinstelling</w:t>
      </w:r>
      <w:r w:rsidR="00A82CF3">
        <w:rPr>
          <w:sz w:val="18"/>
          <w:szCs w:val="18"/>
        </w:rPr>
        <w:t xml:space="preserve"> in een andere lidstaat is, de moederonderneming van een van de hierboven genoemde ondernemingen in een andere lidstaat is, of de rechtspersoon die zeggenschap uitoefent over een van de hierboven genoemde ondernemingen in een andere lidstaat is.</w:t>
      </w:r>
    </w:p>
    <w:p w:rsidR="00A82CF3" w:rsidP="001E56AB" w:rsidRDefault="00A82CF3" w14:paraId="0D5900CA" w14:textId="77777777">
      <w:pPr>
        <w:spacing w:line="240" w:lineRule="atLeast"/>
        <w:rPr>
          <w:sz w:val="18"/>
          <w:szCs w:val="18"/>
        </w:rPr>
      </w:pPr>
    </w:p>
    <w:p w:rsidR="00A82CF3" w:rsidP="001E56AB" w:rsidRDefault="00A82CF3" w14:paraId="40EA99F3" w14:textId="52652F03">
      <w:pPr>
        <w:spacing w:line="240" w:lineRule="atLeast"/>
        <w:rPr>
          <w:sz w:val="18"/>
          <w:szCs w:val="18"/>
        </w:rPr>
      </w:pPr>
      <w:r>
        <w:rPr>
          <w:sz w:val="18"/>
          <w:szCs w:val="18"/>
        </w:rPr>
        <w:t xml:space="preserve">Voor de </w:t>
      </w:r>
      <w:r w:rsidR="00525BD0">
        <w:rPr>
          <w:sz w:val="18"/>
          <w:szCs w:val="18"/>
        </w:rPr>
        <w:t>vvgb’s</w:t>
      </w:r>
      <w:r>
        <w:rPr>
          <w:sz w:val="18"/>
          <w:szCs w:val="18"/>
        </w:rPr>
        <w:t xml:space="preserve"> uit artikel 3:96a en 3:96c </w:t>
      </w:r>
      <w:r w:rsidR="00C15DFC">
        <w:rPr>
          <w:sz w:val="18"/>
          <w:szCs w:val="18"/>
        </w:rPr>
        <w:t xml:space="preserve">Wft </w:t>
      </w:r>
      <w:r>
        <w:rPr>
          <w:sz w:val="18"/>
          <w:szCs w:val="18"/>
        </w:rPr>
        <w:t xml:space="preserve">die met deze implementatiewet worden </w:t>
      </w:r>
      <w:r w:rsidRPr="0094740F">
        <w:rPr>
          <w:sz w:val="18"/>
          <w:szCs w:val="18"/>
        </w:rPr>
        <w:t xml:space="preserve">ingevoerd (zie Onderdeel </w:t>
      </w:r>
      <w:r w:rsidR="009B7432">
        <w:rPr>
          <w:sz w:val="18"/>
          <w:szCs w:val="18"/>
        </w:rPr>
        <w:t>EEE</w:t>
      </w:r>
      <w:r w:rsidRPr="0094740F">
        <w:rPr>
          <w:sz w:val="18"/>
          <w:szCs w:val="18"/>
        </w:rPr>
        <w:t>), zijn</w:t>
      </w:r>
      <w:r>
        <w:rPr>
          <w:sz w:val="18"/>
          <w:szCs w:val="18"/>
        </w:rPr>
        <w:t xml:space="preserve"> soortgelijke bepalingen opgenomen in de artikelen 27 quater, eerste lid, en 27 duodecies, eerste lid, CRD. Ter implementatie van die artikelen wordt de huidige tekst van artikel 1:62 Wft omgezet naar een eerste lid, en </w:t>
      </w:r>
      <w:r w:rsidR="00F72A4B">
        <w:rPr>
          <w:sz w:val="18"/>
          <w:szCs w:val="18"/>
        </w:rPr>
        <w:t>wordt er een tweede lid toegevoegd aan artikel 1:62</w:t>
      </w:r>
      <w:r w:rsidR="00793980">
        <w:rPr>
          <w:sz w:val="18"/>
          <w:szCs w:val="18"/>
        </w:rPr>
        <w:t xml:space="preserve"> Wft</w:t>
      </w:r>
      <w:r w:rsidR="00F72A4B">
        <w:rPr>
          <w:sz w:val="18"/>
          <w:szCs w:val="18"/>
        </w:rPr>
        <w:t xml:space="preserve">. In dit tweede lid is opgenomen dat DNB een toezichthoudende instantie in de gelegenheid stelt om advies uit te brengen </w:t>
      </w:r>
      <w:r w:rsidR="00140FE5">
        <w:rPr>
          <w:sz w:val="18"/>
          <w:szCs w:val="18"/>
        </w:rPr>
        <w:t xml:space="preserve">alvorens </w:t>
      </w:r>
      <w:r w:rsidR="00F72A4B">
        <w:rPr>
          <w:sz w:val="18"/>
          <w:szCs w:val="18"/>
        </w:rPr>
        <w:t xml:space="preserve">DNB een </w:t>
      </w:r>
      <w:r w:rsidR="00966AF0">
        <w:rPr>
          <w:sz w:val="18"/>
          <w:szCs w:val="18"/>
        </w:rPr>
        <w:t>vvgb</w:t>
      </w:r>
      <w:r w:rsidR="00F72A4B">
        <w:rPr>
          <w:sz w:val="18"/>
          <w:szCs w:val="18"/>
        </w:rPr>
        <w:t xml:space="preserve"> verleent die ziet op het aangaan van een deelneming van betekenis</w:t>
      </w:r>
      <w:r w:rsidR="002B6602">
        <w:rPr>
          <w:sz w:val="18"/>
          <w:szCs w:val="18"/>
        </w:rPr>
        <w:t xml:space="preserve"> dan wel</w:t>
      </w:r>
      <w:r w:rsidR="00F72A4B">
        <w:rPr>
          <w:sz w:val="18"/>
          <w:szCs w:val="18"/>
        </w:rPr>
        <w:t xml:space="preserve"> </w:t>
      </w:r>
      <w:r w:rsidR="00F72A4B">
        <w:rPr>
          <w:sz w:val="18"/>
          <w:szCs w:val="18"/>
        </w:rPr>
        <w:lastRenderedPageBreak/>
        <w:t>een fusie of splitsing</w:t>
      </w:r>
      <w:r w:rsidR="002B6602">
        <w:rPr>
          <w:sz w:val="18"/>
          <w:szCs w:val="18"/>
        </w:rPr>
        <w:t xml:space="preserve"> als bedoeld in artikel 3:96a of 3:96c Wft</w:t>
      </w:r>
      <w:r w:rsidR="00F72A4B">
        <w:rPr>
          <w:sz w:val="18"/>
          <w:szCs w:val="18"/>
        </w:rPr>
        <w:t xml:space="preserve">, </w:t>
      </w:r>
      <w:r w:rsidR="002B6602">
        <w:rPr>
          <w:sz w:val="18"/>
          <w:szCs w:val="18"/>
        </w:rPr>
        <w:t xml:space="preserve">waar een </w:t>
      </w:r>
      <w:r w:rsidR="00F72A4B">
        <w:rPr>
          <w:sz w:val="18"/>
          <w:szCs w:val="18"/>
        </w:rPr>
        <w:t>bank, beheerder van een beleggingsinstelling, beheerder van een icbe, beleggingsonderneming, herverzekeraar, levensverzekeraar of schadeverzekeraar</w:t>
      </w:r>
      <w:r w:rsidR="002B6602">
        <w:rPr>
          <w:sz w:val="18"/>
          <w:szCs w:val="18"/>
        </w:rPr>
        <w:t xml:space="preserve"> </w:t>
      </w:r>
      <w:r w:rsidR="00FF1456">
        <w:rPr>
          <w:sz w:val="18"/>
          <w:szCs w:val="18"/>
        </w:rPr>
        <w:t>ofwel de onderneming zijn waarin de deelneming van betekenis wordt verworven, dan wel betrokken zijn bij de fusie of splitsing, ofwel de hiervoor genoemde ondernemingen de moederonderneming zijn van die hiervoor genoemde ondernemingen, of wel dat een andere rechtspersoon zeggenschap uitoefent over de hiervoor genoemde ondernemingen waarin een deelneming van betekenis wordt verworven, dan wel een fusie of splitsing mee wordt aangegeven</w:t>
      </w:r>
      <w:r w:rsidR="00F72A4B">
        <w:rPr>
          <w:sz w:val="18"/>
          <w:szCs w:val="18"/>
        </w:rPr>
        <w:t>.</w:t>
      </w:r>
      <w:r w:rsidR="00FF1456">
        <w:rPr>
          <w:sz w:val="18"/>
          <w:szCs w:val="18"/>
        </w:rPr>
        <w:t xml:space="preserve"> Het doel hiervan is dat de betrokken toezichthouders hun beoordelingen </w:t>
      </w:r>
      <w:r w:rsidR="007B4AA9">
        <w:rPr>
          <w:sz w:val="18"/>
          <w:szCs w:val="18"/>
        </w:rPr>
        <w:t>coördineren</w:t>
      </w:r>
      <w:r w:rsidR="00FF1456">
        <w:rPr>
          <w:sz w:val="18"/>
          <w:szCs w:val="18"/>
        </w:rPr>
        <w:t xml:space="preserve"> en </w:t>
      </w:r>
      <w:r w:rsidR="00E50FD4">
        <w:rPr>
          <w:sz w:val="18"/>
          <w:szCs w:val="18"/>
        </w:rPr>
        <w:t>d</w:t>
      </w:r>
      <w:r w:rsidR="00FF1456">
        <w:rPr>
          <w:sz w:val="18"/>
          <w:szCs w:val="18"/>
        </w:rPr>
        <w:t xml:space="preserve">e </w:t>
      </w:r>
      <w:r w:rsidR="007B4AA9">
        <w:rPr>
          <w:sz w:val="18"/>
          <w:szCs w:val="18"/>
        </w:rPr>
        <w:t>consistentie</w:t>
      </w:r>
      <w:r w:rsidR="00FF1456">
        <w:rPr>
          <w:sz w:val="18"/>
          <w:szCs w:val="18"/>
        </w:rPr>
        <w:t xml:space="preserve"> van hun </w:t>
      </w:r>
      <w:r w:rsidR="007B4AA9">
        <w:rPr>
          <w:sz w:val="18"/>
          <w:szCs w:val="18"/>
        </w:rPr>
        <w:t>beslissingen</w:t>
      </w:r>
      <w:r w:rsidR="00FF1456">
        <w:rPr>
          <w:sz w:val="18"/>
          <w:szCs w:val="18"/>
        </w:rPr>
        <w:t xml:space="preserve"> waarborgen.</w:t>
      </w:r>
      <w:r w:rsidR="007B4AA9">
        <w:rPr>
          <w:sz w:val="18"/>
          <w:szCs w:val="18"/>
        </w:rPr>
        <w:t xml:space="preserve"> In het besluit dat DNB uiteindelijk neemt, worden de standpunten of bezwaren van de betrokken toezichthouders(s) opgenomen.</w:t>
      </w:r>
    </w:p>
    <w:p w:rsidR="0094740F" w:rsidP="0094740F" w:rsidRDefault="0094740F" w14:paraId="183D8325" w14:textId="77777777">
      <w:pPr>
        <w:spacing w:line="240" w:lineRule="atLeast"/>
        <w:rPr>
          <w:sz w:val="18"/>
          <w:szCs w:val="18"/>
        </w:rPr>
      </w:pPr>
    </w:p>
    <w:p w:rsidR="0094740F" w:rsidP="0094740F" w:rsidRDefault="0094740F" w14:paraId="65FE3281" w14:textId="51FA811F">
      <w:pPr>
        <w:spacing w:line="240" w:lineRule="atLeast"/>
        <w:rPr>
          <w:sz w:val="18"/>
          <w:szCs w:val="18"/>
        </w:rPr>
      </w:pPr>
      <w:r>
        <w:rPr>
          <w:sz w:val="18"/>
          <w:szCs w:val="18"/>
        </w:rPr>
        <w:t>Hierbij moet opgemerkt worden dat het nieuwe tweede lid van artikel 1:62 Wft niet alleen de beheerder van een icbe noemt</w:t>
      </w:r>
      <w:r w:rsidR="00140FE5">
        <w:rPr>
          <w:sz w:val="18"/>
          <w:szCs w:val="18"/>
        </w:rPr>
        <w:t>,</w:t>
      </w:r>
      <w:r>
        <w:rPr>
          <w:sz w:val="18"/>
          <w:szCs w:val="18"/>
        </w:rPr>
        <w:t xml:space="preserve"> maar ook, in tegenstelling tot het eerste lid, een beheerder van een beleggingsinstelling. Dit komt doordat de nieuwe artikelen in de CRD het begrip ‘vermogensbeheerder’ gebruiken, waaronder de beide type beheerders vallen</w:t>
      </w:r>
      <w:r w:rsidR="00140FE5">
        <w:rPr>
          <w:sz w:val="18"/>
          <w:szCs w:val="18"/>
        </w:rPr>
        <w:t>,</w:t>
      </w:r>
      <w:r>
        <w:rPr>
          <w:sz w:val="18"/>
          <w:szCs w:val="18"/>
        </w:rPr>
        <w:t xml:space="preserve"> terwijl het oude artikel 24 CRD alleen de beheerder van een icbe bevat.</w:t>
      </w:r>
    </w:p>
    <w:p w:rsidR="002867AB" w:rsidP="001E56AB" w:rsidRDefault="002867AB" w14:paraId="0C2F697C" w14:textId="77777777">
      <w:pPr>
        <w:spacing w:line="240" w:lineRule="atLeast"/>
        <w:rPr>
          <w:sz w:val="18"/>
          <w:szCs w:val="18"/>
        </w:rPr>
      </w:pPr>
    </w:p>
    <w:p w:rsidR="001E56AB" w:rsidP="001E56AB" w:rsidRDefault="00B14A85" w14:paraId="68EBB1B5" w14:textId="44F67B98">
      <w:pPr>
        <w:spacing w:line="240" w:lineRule="atLeast"/>
        <w:rPr>
          <w:sz w:val="18"/>
          <w:szCs w:val="18"/>
        </w:rPr>
      </w:pPr>
      <w:r>
        <w:rPr>
          <w:sz w:val="18"/>
          <w:szCs w:val="18"/>
        </w:rPr>
        <w:t>H</w:t>
      </w:r>
      <w:r w:rsidRPr="00BD04E1" w:rsidR="001E56AB">
        <w:rPr>
          <w:sz w:val="18"/>
          <w:szCs w:val="18"/>
        </w:rPr>
        <w:t xml:space="preserve"> (1:65)</w:t>
      </w:r>
    </w:p>
    <w:p w:rsidR="007E594C" w:rsidP="001E56AB" w:rsidRDefault="007E594C" w14:paraId="129F969E" w14:textId="77777777">
      <w:pPr>
        <w:spacing w:line="240" w:lineRule="atLeast"/>
        <w:rPr>
          <w:sz w:val="18"/>
          <w:szCs w:val="18"/>
        </w:rPr>
      </w:pPr>
    </w:p>
    <w:p w:rsidR="00871BB0" w:rsidP="001E56AB" w:rsidRDefault="007E594C" w14:paraId="4947BCDC" w14:textId="77777777">
      <w:pPr>
        <w:spacing w:line="240" w:lineRule="atLeast"/>
        <w:rPr>
          <w:sz w:val="18"/>
          <w:szCs w:val="18"/>
        </w:rPr>
      </w:pPr>
      <w:r>
        <w:rPr>
          <w:sz w:val="18"/>
          <w:szCs w:val="18"/>
        </w:rPr>
        <w:t xml:space="preserve">Artikel 1:65 Wft ziet op de samenwerking tussen de Nederlandse toezichthouder en toezichthouders uit staten die geen lidstaat zijn. De huidige tekst van het eerste lid van artikel 1:65 Wft gaat over de verstrekking van gegevens aan een toezichthouder van een staat die geen lidstaat is. De formulering van de tekst beschrijft dit proces </w:t>
      </w:r>
      <w:r w:rsidR="00871BB0">
        <w:rPr>
          <w:sz w:val="18"/>
          <w:szCs w:val="18"/>
        </w:rPr>
        <w:t>slechts in termen van verstrekking door de Nederlandse toezichthouder aan de toezichthouder in een staat die geen lidstaat is.</w:t>
      </w:r>
    </w:p>
    <w:p w:rsidR="00871BB0" w:rsidP="001E56AB" w:rsidRDefault="00871BB0" w14:paraId="0EDDECB8" w14:textId="77777777">
      <w:pPr>
        <w:spacing w:line="240" w:lineRule="atLeast"/>
        <w:rPr>
          <w:sz w:val="18"/>
          <w:szCs w:val="18"/>
        </w:rPr>
      </w:pPr>
    </w:p>
    <w:p w:rsidRPr="00BD04E1" w:rsidR="00871BB0" w:rsidP="001E56AB" w:rsidRDefault="00871BB0" w14:paraId="2426A0EF" w14:textId="017846C7">
      <w:pPr>
        <w:spacing w:line="240" w:lineRule="atLeast"/>
        <w:rPr>
          <w:sz w:val="18"/>
          <w:szCs w:val="18"/>
        </w:rPr>
      </w:pPr>
      <w:r>
        <w:rPr>
          <w:sz w:val="18"/>
          <w:szCs w:val="18"/>
        </w:rPr>
        <w:t xml:space="preserve">Artikel 48 quater, tweede lid, CRD schrijft echter voor dat DNB met toezichthouders uit staten die geen lidstaten zijn over en weer gegevens </w:t>
      </w:r>
      <w:r w:rsidR="00140FE5">
        <w:rPr>
          <w:sz w:val="18"/>
          <w:szCs w:val="18"/>
        </w:rPr>
        <w:t xml:space="preserve">kan </w:t>
      </w:r>
      <w:r>
        <w:rPr>
          <w:sz w:val="18"/>
          <w:szCs w:val="18"/>
        </w:rPr>
        <w:t xml:space="preserve">uitwisselen betreffende het toezicht op </w:t>
      </w:r>
      <w:r w:rsidR="001C0C28">
        <w:rPr>
          <w:sz w:val="18"/>
          <w:szCs w:val="18"/>
        </w:rPr>
        <w:t>derde land</w:t>
      </w:r>
      <w:r>
        <w:rPr>
          <w:sz w:val="18"/>
          <w:szCs w:val="18"/>
        </w:rPr>
        <w:t xml:space="preserve"> bijkantoren. Door de beperkte formulering van 1:65, eerste lid, Wft lijkt die uitwisseling slechts één kant op te gaan</w:t>
      </w:r>
      <w:r w:rsidR="00761ECE">
        <w:rPr>
          <w:sz w:val="18"/>
          <w:szCs w:val="18"/>
        </w:rPr>
        <w:t>, namelijk van Nederland naar de toezichthouder in een staat die geen lidstaat is</w:t>
      </w:r>
      <w:r>
        <w:rPr>
          <w:sz w:val="18"/>
          <w:szCs w:val="18"/>
        </w:rPr>
        <w:t xml:space="preserve">. </w:t>
      </w:r>
      <w:r w:rsidR="00ED72E9">
        <w:rPr>
          <w:sz w:val="18"/>
          <w:szCs w:val="18"/>
        </w:rPr>
        <w:t>Door aanpassing van artikel 1:65, eerste lid,</w:t>
      </w:r>
      <w:r w:rsidR="00430C86">
        <w:rPr>
          <w:sz w:val="18"/>
          <w:szCs w:val="18"/>
        </w:rPr>
        <w:t xml:space="preserve"> en te spreken over ‘uitwisseling’ in </w:t>
      </w:r>
      <w:r w:rsidRPr="00A56784" w:rsidR="00430C86">
        <w:rPr>
          <w:sz w:val="18"/>
          <w:szCs w:val="18"/>
        </w:rPr>
        <w:t xml:space="preserve">plaats van ‘verstrekking’ kunnen toezichthouders in Nederland en derde landen </w:t>
      </w:r>
      <w:r w:rsidRPr="00A56784">
        <w:rPr>
          <w:sz w:val="18"/>
          <w:szCs w:val="18"/>
        </w:rPr>
        <w:t>over en weer gegevens uitwisselen</w:t>
      </w:r>
      <w:r w:rsidR="00A56784">
        <w:rPr>
          <w:sz w:val="18"/>
          <w:szCs w:val="18"/>
        </w:rPr>
        <w:t>,</w:t>
      </w:r>
      <w:r w:rsidRPr="00A56784">
        <w:rPr>
          <w:sz w:val="18"/>
          <w:szCs w:val="18"/>
        </w:rPr>
        <w:t xml:space="preserve"> voor zover </w:t>
      </w:r>
      <w:r w:rsidRPr="00A56784" w:rsidR="00430C86">
        <w:rPr>
          <w:sz w:val="18"/>
          <w:szCs w:val="18"/>
        </w:rPr>
        <w:t xml:space="preserve">dit voor de uitoefening van hun wettelijke taken nodig is. </w:t>
      </w:r>
      <w:r w:rsidRPr="00A56784">
        <w:rPr>
          <w:sz w:val="18"/>
          <w:szCs w:val="18"/>
        </w:rPr>
        <w:t>Hierbij wordt opgemerkt dat het gebruikelijk is dat er schriftelijke overeenkomsten worden gesloten met de toezichthouders in de staten die geen lidstaat zijn voorafgaand</w:t>
      </w:r>
      <w:r>
        <w:rPr>
          <w:sz w:val="18"/>
          <w:szCs w:val="18"/>
        </w:rPr>
        <w:t xml:space="preserve"> aan eventuele informatie</w:t>
      </w:r>
      <w:r w:rsidR="00754CC7">
        <w:rPr>
          <w:sz w:val="18"/>
          <w:szCs w:val="18"/>
        </w:rPr>
        <w:t>-</w:t>
      </w:r>
      <w:r>
        <w:rPr>
          <w:sz w:val="18"/>
          <w:szCs w:val="18"/>
        </w:rPr>
        <w:t>uitwisseling.</w:t>
      </w:r>
    </w:p>
    <w:p w:rsidR="00754CC7" w:rsidP="001E56AB" w:rsidRDefault="00754CC7" w14:paraId="135EA085" w14:textId="77777777">
      <w:pPr>
        <w:spacing w:line="240" w:lineRule="atLeast"/>
        <w:rPr>
          <w:sz w:val="18"/>
          <w:szCs w:val="18"/>
        </w:rPr>
      </w:pPr>
    </w:p>
    <w:p w:rsidRPr="00BD04E1" w:rsidR="001E56AB" w:rsidP="001E56AB" w:rsidRDefault="00B14A85" w14:paraId="5C4B2501" w14:textId="70FC0B69">
      <w:pPr>
        <w:spacing w:line="240" w:lineRule="atLeast"/>
        <w:rPr>
          <w:sz w:val="18"/>
          <w:szCs w:val="18"/>
        </w:rPr>
      </w:pPr>
      <w:r>
        <w:rPr>
          <w:sz w:val="18"/>
          <w:szCs w:val="18"/>
        </w:rPr>
        <w:t>I</w:t>
      </w:r>
      <w:r w:rsidRPr="00BD04E1" w:rsidR="001E56AB">
        <w:rPr>
          <w:sz w:val="18"/>
          <w:szCs w:val="18"/>
        </w:rPr>
        <w:t xml:space="preserve"> (1:86)</w:t>
      </w:r>
    </w:p>
    <w:p w:rsidR="001E56AB" w:rsidP="001E56AB" w:rsidRDefault="001E56AB" w14:paraId="49D79192" w14:textId="77777777">
      <w:pPr>
        <w:spacing w:line="240" w:lineRule="atLeast"/>
        <w:rPr>
          <w:sz w:val="18"/>
          <w:szCs w:val="18"/>
        </w:rPr>
      </w:pPr>
    </w:p>
    <w:p w:rsidR="00511BA9" w:rsidP="001E56AB" w:rsidRDefault="00511BA9" w14:paraId="313C58BC" w14:textId="612E6AAA">
      <w:pPr>
        <w:spacing w:line="240" w:lineRule="atLeast"/>
        <w:rPr>
          <w:sz w:val="18"/>
          <w:szCs w:val="18"/>
        </w:rPr>
      </w:pPr>
      <w:r>
        <w:rPr>
          <w:sz w:val="18"/>
          <w:szCs w:val="18"/>
        </w:rPr>
        <w:t>Artikel 1:86</w:t>
      </w:r>
      <w:r w:rsidR="001C3D07">
        <w:rPr>
          <w:sz w:val="18"/>
          <w:szCs w:val="18"/>
        </w:rPr>
        <w:t xml:space="preserve"> Wft</w:t>
      </w:r>
      <w:r>
        <w:rPr>
          <w:sz w:val="18"/>
          <w:szCs w:val="18"/>
        </w:rPr>
        <w:t xml:space="preserve"> </w:t>
      </w:r>
      <w:r w:rsidR="0094740F">
        <w:rPr>
          <w:sz w:val="18"/>
          <w:szCs w:val="18"/>
        </w:rPr>
        <w:t>betreft</w:t>
      </w:r>
      <w:r>
        <w:rPr>
          <w:sz w:val="18"/>
          <w:szCs w:val="18"/>
        </w:rPr>
        <w:t xml:space="preserve"> de implementatie van artikel 66, </w:t>
      </w:r>
      <w:r w:rsidR="00FA2D3C">
        <w:rPr>
          <w:sz w:val="18"/>
          <w:szCs w:val="18"/>
        </w:rPr>
        <w:t xml:space="preserve">tweede lid, onderdeel f, CRD waarin de </w:t>
      </w:r>
      <w:r w:rsidR="00715B95">
        <w:rPr>
          <w:sz w:val="18"/>
          <w:szCs w:val="18"/>
        </w:rPr>
        <w:t xml:space="preserve">administratieve maatregel is opgenomen om de stemrechten van aandeelhouders te kunnen schorsen indien die aandeelhouders </w:t>
      </w:r>
      <w:r w:rsidR="00754CC7">
        <w:rPr>
          <w:sz w:val="18"/>
          <w:szCs w:val="18"/>
        </w:rPr>
        <w:t>verantwoordelijk</w:t>
      </w:r>
      <w:r w:rsidR="00715B95">
        <w:rPr>
          <w:sz w:val="18"/>
          <w:szCs w:val="18"/>
        </w:rPr>
        <w:t xml:space="preserve"> worden geacht voor </w:t>
      </w:r>
      <w:r w:rsidR="00140FE5">
        <w:rPr>
          <w:sz w:val="18"/>
          <w:szCs w:val="18"/>
        </w:rPr>
        <w:t xml:space="preserve">een </w:t>
      </w:r>
      <w:r w:rsidR="00715B95">
        <w:rPr>
          <w:sz w:val="18"/>
          <w:szCs w:val="18"/>
        </w:rPr>
        <w:t xml:space="preserve">inbreuk op verschillende vergunningvereisten en vereisten voor </w:t>
      </w:r>
      <w:r w:rsidR="00140FE5">
        <w:rPr>
          <w:sz w:val="18"/>
          <w:szCs w:val="18"/>
        </w:rPr>
        <w:t xml:space="preserve">een </w:t>
      </w:r>
      <w:r w:rsidR="00966AF0">
        <w:rPr>
          <w:sz w:val="18"/>
          <w:szCs w:val="18"/>
        </w:rPr>
        <w:t>vvgb</w:t>
      </w:r>
      <w:r w:rsidR="00140FE5">
        <w:rPr>
          <w:sz w:val="18"/>
          <w:szCs w:val="18"/>
        </w:rPr>
        <w:t xml:space="preserve"> inzake de </w:t>
      </w:r>
      <w:r w:rsidR="00715B95">
        <w:rPr>
          <w:sz w:val="18"/>
          <w:szCs w:val="18"/>
        </w:rPr>
        <w:t xml:space="preserve">verwerving van gekwalificeerde deelnemingen als beschreven in artikel 66, eerste lid, CRD. </w:t>
      </w:r>
    </w:p>
    <w:p w:rsidR="00715B95" w:rsidP="001E56AB" w:rsidRDefault="00715B95" w14:paraId="09A2D12E" w14:textId="77777777">
      <w:pPr>
        <w:spacing w:line="240" w:lineRule="atLeast"/>
        <w:rPr>
          <w:sz w:val="18"/>
          <w:szCs w:val="18"/>
        </w:rPr>
      </w:pPr>
    </w:p>
    <w:p w:rsidR="001C3D07" w:rsidP="001E56AB" w:rsidRDefault="00715B95" w14:paraId="6DC46917" w14:textId="58567068">
      <w:pPr>
        <w:spacing w:line="240" w:lineRule="atLeast"/>
        <w:rPr>
          <w:sz w:val="18"/>
          <w:szCs w:val="18"/>
        </w:rPr>
      </w:pPr>
      <w:r>
        <w:rPr>
          <w:sz w:val="18"/>
          <w:szCs w:val="18"/>
        </w:rPr>
        <w:t xml:space="preserve">Door de richtlijn wordt </w:t>
      </w:r>
      <w:r w:rsidR="00761ECE">
        <w:rPr>
          <w:sz w:val="18"/>
          <w:szCs w:val="18"/>
        </w:rPr>
        <w:t xml:space="preserve">artikel 66 </w:t>
      </w:r>
      <w:r>
        <w:rPr>
          <w:sz w:val="18"/>
          <w:szCs w:val="18"/>
        </w:rPr>
        <w:t xml:space="preserve">opnieuw vastgesteld. Wezenlijke verandering hierbij is dat naast de reeds bestaande bepalingen die overtreden konden worden nu ook de nieuwe bepalingen uit de artikelen 27 bis, 27 quinquies, 27 septies en 27 decies </w:t>
      </w:r>
      <w:r w:rsidR="00761ECE">
        <w:rPr>
          <w:sz w:val="18"/>
          <w:szCs w:val="18"/>
        </w:rPr>
        <w:t xml:space="preserve">CRD </w:t>
      </w:r>
      <w:r>
        <w:rPr>
          <w:sz w:val="18"/>
          <w:szCs w:val="18"/>
        </w:rPr>
        <w:t>met betrekking tot de deelname van betekenis verwerven en afstoten, een materiële overdracht van activa en passiva bewerkstelligen of een fusie danwel splitsing aangaan.</w:t>
      </w:r>
      <w:r w:rsidR="002B6602">
        <w:rPr>
          <w:sz w:val="18"/>
          <w:szCs w:val="18"/>
        </w:rPr>
        <w:t xml:space="preserve"> </w:t>
      </w:r>
      <w:r>
        <w:rPr>
          <w:sz w:val="18"/>
          <w:szCs w:val="18"/>
        </w:rPr>
        <w:t>Ter implementatie zijn de artikelen</w:t>
      </w:r>
      <w:r w:rsidR="001C3D07">
        <w:rPr>
          <w:sz w:val="18"/>
          <w:szCs w:val="18"/>
        </w:rPr>
        <w:t xml:space="preserve"> </w:t>
      </w:r>
      <w:r w:rsidR="001C3D07">
        <w:rPr>
          <w:sz w:val="18"/>
          <w:szCs w:val="18"/>
        </w:rPr>
        <w:lastRenderedPageBreak/>
        <w:t>waarin de prudentieel relevante transacties zijn opgenomen (3:96a tot en met 3:96d</w:t>
      </w:r>
      <w:r w:rsidR="007C1006">
        <w:rPr>
          <w:sz w:val="18"/>
          <w:szCs w:val="18"/>
        </w:rPr>
        <w:t xml:space="preserve"> Wft</w:t>
      </w:r>
      <w:r w:rsidR="001C3D07">
        <w:rPr>
          <w:sz w:val="18"/>
          <w:szCs w:val="18"/>
        </w:rPr>
        <w:t>) opgenomen in artikel 1:86 Wft.</w:t>
      </w:r>
    </w:p>
    <w:p w:rsidR="001C3D07" w:rsidP="001E56AB" w:rsidRDefault="001C3D07" w14:paraId="09C7F445" w14:textId="77777777">
      <w:pPr>
        <w:spacing w:line="240" w:lineRule="atLeast"/>
        <w:rPr>
          <w:sz w:val="18"/>
          <w:szCs w:val="18"/>
        </w:rPr>
      </w:pPr>
    </w:p>
    <w:p w:rsidRPr="00BD04E1" w:rsidR="00715B95" w:rsidP="002F669D" w:rsidRDefault="001C3D07" w14:paraId="2B0D0078" w14:textId="709C1D30">
      <w:pPr>
        <w:spacing w:line="240" w:lineRule="atLeast"/>
        <w:rPr>
          <w:sz w:val="18"/>
          <w:szCs w:val="18"/>
        </w:rPr>
      </w:pPr>
      <w:r>
        <w:rPr>
          <w:sz w:val="18"/>
          <w:szCs w:val="18"/>
        </w:rPr>
        <w:t xml:space="preserve">In de opsomming van artikelen in 1:86 Wft </w:t>
      </w:r>
      <w:r w:rsidR="002F669D">
        <w:rPr>
          <w:sz w:val="18"/>
          <w:szCs w:val="18"/>
        </w:rPr>
        <w:t xml:space="preserve">is tevens </w:t>
      </w:r>
      <w:r w:rsidR="00046C5A">
        <w:rPr>
          <w:sz w:val="18"/>
          <w:szCs w:val="18"/>
        </w:rPr>
        <w:t>een omissie uit de vorige implementatie van CRD hersteld. In artikel 1:86</w:t>
      </w:r>
      <w:r w:rsidR="002B6602">
        <w:rPr>
          <w:sz w:val="18"/>
          <w:szCs w:val="18"/>
        </w:rPr>
        <w:t xml:space="preserve"> W</w:t>
      </w:r>
      <w:r w:rsidR="007C1006">
        <w:rPr>
          <w:sz w:val="18"/>
          <w:szCs w:val="18"/>
        </w:rPr>
        <w:t>f</w:t>
      </w:r>
      <w:r w:rsidR="002B6602">
        <w:rPr>
          <w:sz w:val="18"/>
          <w:szCs w:val="18"/>
        </w:rPr>
        <w:t>t</w:t>
      </w:r>
      <w:r w:rsidR="00046C5A">
        <w:rPr>
          <w:sz w:val="18"/>
          <w:szCs w:val="18"/>
        </w:rPr>
        <w:t xml:space="preserve"> had ook het goedkeuringsvereiste-artikel </w:t>
      </w:r>
      <w:r w:rsidR="0069723F">
        <w:rPr>
          <w:sz w:val="18"/>
          <w:szCs w:val="18"/>
        </w:rPr>
        <w:t xml:space="preserve">21 bis </w:t>
      </w:r>
      <w:r w:rsidR="007C1006">
        <w:rPr>
          <w:sz w:val="18"/>
          <w:szCs w:val="18"/>
        </w:rPr>
        <w:t xml:space="preserve">CRD </w:t>
      </w:r>
      <w:r w:rsidR="00046C5A">
        <w:rPr>
          <w:sz w:val="18"/>
          <w:szCs w:val="18"/>
        </w:rPr>
        <w:t>voor (gemengde) financiële holdings opgenomen moeten worden</w:t>
      </w:r>
      <w:r w:rsidR="00140FE5">
        <w:rPr>
          <w:sz w:val="18"/>
          <w:szCs w:val="18"/>
        </w:rPr>
        <w:t>,</w:t>
      </w:r>
      <w:r w:rsidR="0069723F">
        <w:rPr>
          <w:sz w:val="18"/>
          <w:szCs w:val="18"/>
        </w:rPr>
        <w:t xml:space="preserve"> nu dit artikel ook staat in de lijst met handhaafbare artikelen in artikel 66, eerste lid, CRD.</w:t>
      </w:r>
      <w:r w:rsidR="00046C5A">
        <w:rPr>
          <w:sz w:val="18"/>
          <w:szCs w:val="18"/>
        </w:rPr>
        <w:t xml:space="preserve"> Met </w:t>
      </w:r>
      <w:r w:rsidR="00140FE5">
        <w:rPr>
          <w:sz w:val="18"/>
          <w:szCs w:val="18"/>
        </w:rPr>
        <w:t xml:space="preserve">onderhavige </w:t>
      </w:r>
      <w:r w:rsidR="00046C5A">
        <w:rPr>
          <w:sz w:val="18"/>
          <w:szCs w:val="18"/>
        </w:rPr>
        <w:t xml:space="preserve">wijziging wordt </w:t>
      </w:r>
      <w:r w:rsidR="0069723F">
        <w:rPr>
          <w:sz w:val="18"/>
          <w:szCs w:val="18"/>
        </w:rPr>
        <w:t xml:space="preserve">de implementatie van artikel 21 bis </w:t>
      </w:r>
      <w:r w:rsidR="007C1006">
        <w:rPr>
          <w:sz w:val="18"/>
          <w:szCs w:val="18"/>
        </w:rPr>
        <w:t xml:space="preserve">CRD </w:t>
      </w:r>
      <w:r w:rsidR="0069723F">
        <w:rPr>
          <w:sz w:val="18"/>
          <w:szCs w:val="18"/>
        </w:rPr>
        <w:t>in artikel 3:280a Wft</w:t>
      </w:r>
      <w:r w:rsidR="00046C5A">
        <w:rPr>
          <w:sz w:val="18"/>
          <w:szCs w:val="18"/>
        </w:rPr>
        <w:t xml:space="preserve"> alsnog toegevoegd, evenals dat </w:t>
      </w:r>
      <w:r w:rsidR="00C94995">
        <w:rPr>
          <w:sz w:val="18"/>
          <w:szCs w:val="18"/>
        </w:rPr>
        <w:t xml:space="preserve">(gemengde) </w:t>
      </w:r>
      <w:r w:rsidR="00046C5A">
        <w:rPr>
          <w:sz w:val="18"/>
          <w:szCs w:val="18"/>
        </w:rPr>
        <w:t>financi</w:t>
      </w:r>
      <w:r w:rsidR="0069723F">
        <w:rPr>
          <w:sz w:val="18"/>
          <w:szCs w:val="18"/>
        </w:rPr>
        <w:t>ë</w:t>
      </w:r>
      <w:r w:rsidR="00046C5A">
        <w:rPr>
          <w:sz w:val="18"/>
          <w:szCs w:val="18"/>
        </w:rPr>
        <w:t>le holding</w:t>
      </w:r>
      <w:r w:rsidR="00C94995">
        <w:rPr>
          <w:sz w:val="18"/>
          <w:szCs w:val="18"/>
        </w:rPr>
        <w:t>s</w:t>
      </w:r>
      <w:r w:rsidR="00046C5A">
        <w:rPr>
          <w:sz w:val="18"/>
          <w:szCs w:val="18"/>
        </w:rPr>
        <w:t xml:space="preserve"> zijn toegevoegd in de opsomming </w:t>
      </w:r>
      <w:r w:rsidR="0069723F">
        <w:rPr>
          <w:sz w:val="18"/>
          <w:szCs w:val="18"/>
        </w:rPr>
        <w:t xml:space="preserve">in artikel 1:86 Wft </w:t>
      </w:r>
      <w:r w:rsidR="00046C5A">
        <w:rPr>
          <w:sz w:val="18"/>
          <w:szCs w:val="18"/>
        </w:rPr>
        <w:t>van ondernemingen waarvan de stemrechten op deelnemingen in die ondernemingen opgeschort kan worden.</w:t>
      </w:r>
      <w:r w:rsidR="00EA4F35">
        <w:rPr>
          <w:sz w:val="18"/>
          <w:szCs w:val="18"/>
        </w:rPr>
        <w:t xml:space="preserve"> </w:t>
      </w:r>
    </w:p>
    <w:p w:rsidRPr="00BD04E1" w:rsidR="001E56AB" w:rsidP="001E56AB" w:rsidRDefault="001E56AB" w14:paraId="6DF871B1" w14:textId="77777777">
      <w:pPr>
        <w:spacing w:line="240" w:lineRule="atLeast"/>
        <w:rPr>
          <w:sz w:val="18"/>
          <w:szCs w:val="18"/>
        </w:rPr>
      </w:pPr>
    </w:p>
    <w:p w:rsidRPr="00BD04E1" w:rsidR="001E56AB" w:rsidP="001E56AB" w:rsidRDefault="00B14A85" w14:paraId="6F2E8377" w14:textId="77C3E07E">
      <w:pPr>
        <w:spacing w:line="240" w:lineRule="atLeast"/>
        <w:rPr>
          <w:sz w:val="18"/>
          <w:szCs w:val="18"/>
        </w:rPr>
      </w:pPr>
      <w:r>
        <w:rPr>
          <w:sz w:val="18"/>
          <w:szCs w:val="18"/>
        </w:rPr>
        <w:t>J</w:t>
      </w:r>
      <w:r w:rsidRPr="00BD04E1" w:rsidR="001E56AB">
        <w:rPr>
          <w:sz w:val="18"/>
          <w:szCs w:val="18"/>
        </w:rPr>
        <w:t xml:space="preserve"> (1:104)</w:t>
      </w:r>
    </w:p>
    <w:p w:rsidR="001E56AB" w:rsidP="001E56AB" w:rsidRDefault="001E56AB" w14:paraId="66766949" w14:textId="77777777">
      <w:pPr>
        <w:spacing w:line="240" w:lineRule="atLeast"/>
        <w:rPr>
          <w:sz w:val="18"/>
          <w:szCs w:val="18"/>
        </w:rPr>
      </w:pPr>
    </w:p>
    <w:p w:rsidR="00EE18F1" w:rsidP="001E56AB" w:rsidRDefault="00EE18F1" w14:paraId="3AD1E1D6" w14:textId="315600D0">
      <w:pPr>
        <w:spacing w:line="240" w:lineRule="atLeast"/>
        <w:rPr>
          <w:sz w:val="18"/>
          <w:szCs w:val="18"/>
        </w:rPr>
      </w:pPr>
      <w:r>
        <w:rPr>
          <w:sz w:val="18"/>
          <w:szCs w:val="18"/>
        </w:rPr>
        <w:t>Artikel 1:104 Wft bevat de bevoegdheden voor de toezichthouders om</w:t>
      </w:r>
      <w:r w:rsidR="00C9706C">
        <w:rPr>
          <w:sz w:val="18"/>
          <w:szCs w:val="18"/>
        </w:rPr>
        <w:t xml:space="preserve"> een</w:t>
      </w:r>
      <w:r>
        <w:rPr>
          <w:sz w:val="18"/>
          <w:szCs w:val="18"/>
        </w:rPr>
        <w:t xml:space="preserve"> vergunning te wijzigen, geheel of gedeeltelijk in te trekken of te beperken, dan wel nadere voorschriften aan vergunningen te verbinden. Voor de vergunning voor een </w:t>
      </w:r>
      <w:r w:rsidR="001C0C28">
        <w:rPr>
          <w:sz w:val="18"/>
          <w:szCs w:val="18"/>
        </w:rPr>
        <w:t>derde land</w:t>
      </w:r>
      <w:r w:rsidR="0094740F">
        <w:rPr>
          <w:sz w:val="18"/>
          <w:szCs w:val="18"/>
        </w:rPr>
        <w:t xml:space="preserve"> </w:t>
      </w:r>
      <w:r>
        <w:rPr>
          <w:sz w:val="18"/>
          <w:szCs w:val="18"/>
        </w:rPr>
        <w:t>bijkantoor worden ter implementatie van artikel 48</w:t>
      </w:r>
      <w:r w:rsidR="0052691A">
        <w:rPr>
          <w:sz w:val="18"/>
          <w:szCs w:val="18"/>
        </w:rPr>
        <w:t xml:space="preserve"> </w:t>
      </w:r>
      <w:r>
        <w:rPr>
          <w:sz w:val="18"/>
          <w:szCs w:val="18"/>
        </w:rPr>
        <w:t>quinquies</w:t>
      </w:r>
      <w:r w:rsidR="0052691A">
        <w:rPr>
          <w:sz w:val="18"/>
          <w:szCs w:val="18"/>
        </w:rPr>
        <w:t xml:space="preserve"> </w:t>
      </w:r>
      <w:r w:rsidR="001E09D2">
        <w:rPr>
          <w:sz w:val="18"/>
          <w:szCs w:val="18"/>
        </w:rPr>
        <w:t>CRD</w:t>
      </w:r>
      <w:r>
        <w:rPr>
          <w:sz w:val="18"/>
          <w:szCs w:val="18"/>
        </w:rPr>
        <w:t xml:space="preserve"> enkele aanpassingen in dit artikel aangebracht.</w:t>
      </w:r>
    </w:p>
    <w:p w:rsidR="00EE18F1" w:rsidP="001E56AB" w:rsidRDefault="00EE18F1" w14:paraId="02894FFC" w14:textId="77777777">
      <w:pPr>
        <w:spacing w:line="240" w:lineRule="atLeast"/>
        <w:rPr>
          <w:sz w:val="18"/>
          <w:szCs w:val="18"/>
        </w:rPr>
      </w:pPr>
    </w:p>
    <w:p w:rsidR="00EE18F1" w:rsidP="001E56AB" w:rsidRDefault="0052691A" w14:paraId="3B24CD28" w14:textId="2B520875">
      <w:pPr>
        <w:spacing w:line="240" w:lineRule="atLeast"/>
        <w:rPr>
          <w:sz w:val="18"/>
          <w:szCs w:val="18"/>
        </w:rPr>
      </w:pPr>
      <w:r>
        <w:rPr>
          <w:sz w:val="18"/>
          <w:szCs w:val="18"/>
        </w:rPr>
        <w:t>Allereerst is de tekst in artikel 1:104, eerste lid, onderdeel f, opgeknipt in verschillende subonderdelen, wat de leesbaarheid ten goede komt. Daarnaast is in subonderdeel 2° ter implementatie van artikel 48 quinquies</w:t>
      </w:r>
      <w:r w:rsidR="001E09D2">
        <w:rPr>
          <w:sz w:val="18"/>
          <w:szCs w:val="18"/>
        </w:rPr>
        <w:t>,</w:t>
      </w:r>
      <w:r>
        <w:rPr>
          <w:sz w:val="18"/>
          <w:szCs w:val="18"/>
        </w:rPr>
        <w:t xml:space="preserve"> </w:t>
      </w:r>
      <w:r w:rsidR="001E09D2">
        <w:rPr>
          <w:sz w:val="18"/>
          <w:szCs w:val="18"/>
        </w:rPr>
        <w:t>t</w:t>
      </w:r>
      <w:r>
        <w:rPr>
          <w:sz w:val="18"/>
          <w:szCs w:val="18"/>
        </w:rPr>
        <w:t xml:space="preserve">weede lid, onderdeel a, derde zinsnede, </w:t>
      </w:r>
      <w:r w:rsidR="001E09D2">
        <w:rPr>
          <w:sz w:val="18"/>
          <w:szCs w:val="18"/>
        </w:rPr>
        <w:t>CRD</w:t>
      </w:r>
      <w:r>
        <w:rPr>
          <w:sz w:val="18"/>
          <w:szCs w:val="18"/>
        </w:rPr>
        <w:t xml:space="preserve"> opgenomen dat ook een </w:t>
      </w:r>
      <w:r w:rsidR="00FF0FD3">
        <w:rPr>
          <w:sz w:val="18"/>
          <w:szCs w:val="18"/>
        </w:rPr>
        <w:t>klasse 1-bijkantoor en klasse 2-bijkantoor</w:t>
      </w:r>
      <w:r>
        <w:rPr>
          <w:sz w:val="18"/>
          <w:szCs w:val="18"/>
        </w:rPr>
        <w:t xml:space="preserve"> onderworpen kan worden aan de wijzigingen van de vergunning</w:t>
      </w:r>
      <w:r w:rsidR="00140FE5">
        <w:rPr>
          <w:sz w:val="18"/>
          <w:szCs w:val="18"/>
        </w:rPr>
        <w:t>,</w:t>
      </w:r>
      <w:r>
        <w:rPr>
          <w:sz w:val="18"/>
          <w:szCs w:val="18"/>
        </w:rPr>
        <w:t xml:space="preserve"> indien het bijkantoor zijn werkzaamheden gedurende meer dan zes maanden gestaakt heeft.</w:t>
      </w:r>
    </w:p>
    <w:p w:rsidR="00977535" w:rsidP="001E56AB" w:rsidRDefault="00977535" w14:paraId="220C958F" w14:textId="77777777">
      <w:pPr>
        <w:spacing w:line="240" w:lineRule="atLeast"/>
        <w:rPr>
          <w:sz w:val="18"/>
          <w:szCs w:val="18"/>
        </w:rPr>
      </w:pPr>
    </w:p>
    <w:p w:rsidR="00977535" w:rsidP="001E56AB" w:rsidRDefault="00977535" w14:paraId="6EEE5941" w14:textId="3A61747E">
      <w:pPr>
        <w:spacing w:line="240" w:lineRule="atLeast"/>
        <w:rPr>
          <w:sz w:val="18"/>
          <w:szCs w:val="18"/>
        </w:rPr>
      </w:pPr>
      <w:r>
        <w:rPr>
          <w:sz w:val="18"/>
          <w:szCs w:val="18"/>
        </w:rPr>
        <w:t xml:space="preserve">Daarnaast zijn de </w:t>
      </w:r>
      <w:r w:rsidR="001C0C28">
        <w:rPr>
          <w:sz w:val="18"/>
          <w:szCs w:val="18"/>
        </w:rPr>
        <w:t>derde land</w:t>
      </w:r>
      <w:r>
        <w:rPr>
          <w:sz w:val="18"/>
          <w:szCs w:val="18"/>
        </w:rPr>
        <w:t xml:space="preserve"> bijkantoren ook opgenomen in de opsomming onder onderdeel k van artikel 1:104, eerste lid, Wft waar het gaa</w:t>
      </w:r>
      <w:r w:rsidR="00140FE5">
        <w:rPr>
          <w:sz w:val="18"/>
          <w:szCs w:val="18"/>
        </w:rPr>
        <w:t>t</w:t>
      </w:r>
      <w:r>
        <w:rPr>
          <w:sz w:val="18"/>
          <w:szCs w:val="18"/>
        </w:rPr>
        <w:t xml:space="preserve"> om ondernemingen die uitdrukkelijk te kennen hebben gegeven het bedrijf niet of niet langer te zullen uitoefenen. Dit is de implementatie van artikel 48 quinquies, tweede lid, onderdeel a, tweede zin, </w:t>
      </w:r>
      <w:r w:rsidR="001E09D2">
        <w:rPr>
          <w:sz w:val="18"/>
          <w:szCs w:val="18"/>
        </w:rPr>
        <w:t>CRD</w:t>
      </w:r>
      <w:r>
        <w:rPr>
          <w:sz w:val="18"/>
          <w:szCs w:val="18"/>
        </w:rPr>
        <w:t>.</w:t>
      </w:r>
    </w:p>
    <w:p w:rsidR="00977535" w:rsidP="001E56AB" w:rsidRDefault="00977535" w14:paraId="723C98B9" w14:textId="77777777">
      <w:pPr>
        <w:spacing w:line="240" w:lineRule="atLeast"/>
        <w:rPr>
          <w:sz w:val="18"/>
          <w:szCs w:val="18"/>
        </w:rPr>
      </w:pPr>
    </w:p>
    <w:p w:rsidR="00EC11DA" w:rsidP="001E56AB" w:rsidRDefault="005C05B1" w14:paraId="1A3182C7" w14:textId="0697F101">
      <w:pPr>
        <w:spacing w:line="240" w:lineRule="atLeast"/>
        <w:rPr>
          <w:sz w:val="18"/>
          <w:szCs w:val="18"/>
        </w:rPr>
      </w:pPr>
      <w:r>
        <w:rPr>
          <w:sz w:val="18"/>
          <w:szCs w:val="18"/>
        </w:rPr>
        <w:t>Tevens</w:t>
      </w:r>
      <w:r w:rsidR="00977535">
        <w:rPr>
          <w:sz w:val="18"/>
          <w:szCs w:val="18"/>
        </w:rPr>
        <w:t xml:space="preserve"> wordt, onder vernummering van de onderdelen o tot en met r tot </w:t>
      </w:r>
      <w:r w:rsidR="00F2258F">
        <w:rPr>
          <w:sz w:val="18"/>
          <w:szCs w:val="18"/>
        </w:rPr>
        <w:t>q</w:t>
      </w:r>
      <w:r w:rsidR="00977535">
        <w:rPr>
          <w:sz w:val="18"/>
          <w:szCs w:val="18"/>
        </w:rPr>
        <w:t xml:space="preserve"> tot en met s een nieuw onderdeel o ingevoegd in artikel 1:104, eerste lid, Wft. Hiermee wordt het mogelijk om de vergunning van een </w:t>
      </w:r>
      <w:r w:rsidR="001C0C28">
        <w:rPr>
          <w:sz w:val="18"/>
          <w:szCs w:val="18"/>
        </w:rPr>
        <w:t>derde land</w:t>
      </w:r>
      <w:r w:rsidR="00977535">
        <w:rPr>
          <w:sz w:val="18"/>
          <w:szCs w:val="18"/>
        </w:rPr>
        <w:t xml:space="preserve"> bijkantoor aan te passen indien de moederonderneming van dat </w:t>
      </w:r>
      <w:r w:rsidR="001C0C28">
        <w:rPr>
          <w:sz w:val="18"/>
          <w:szCs w:val="18"/>
        </w:rPr>
        <w:t>derde land</w:t>
      </w:r>
      <w:r w:rsidR="00977535">
        <w:rPr>
          <w:sz w:val="18"/>
          <w:szCs w:val="18"/>
        </w:rPr>
        <w:t xml:space="preserve"> bijkantoor niet aan de </w:t>
      </w:r>
      <w:r w:rsidR="00D66B00">
        <w:rPr>
          <w:sz w:val="18"/>
          <w:szCs w:val="18"/>
        </w:rPr>
        <w:t>prudentiële</w:t>
      </w:r>
      <w:r w:rsidR="00977535">
        <w:rPr>
          <w:sz w:val="18"/>
          <w:szCs w:val="18"/>
        </w:rPr>
        <w:t xml:space="preserve"> vereisten van die staat voldoet, of er een vermoeden is dat zij niet meer voldoet of binnen twaalf maanden niet meer zal voldoen. Hiermee wordt artikel 48 quinquies, eerste lid, onderdeel b, </w:t>
      </w:r>
      <w:r w:rsidR="001E09D2">
        <w:rPr>
          <w:sz w:val="18"/>
          <w:szCs w:val="18"/>
        </w:rPr>
        <w:t>CRD</w:t>
      </w:r>
      <w:r w:rsidR="00977535">
        <w:rPr>
          <w:sz w:val="18"/>
          <w:szCs w:val="18"/>
        </w:rPr>
        <w:t xml:space="preserve"> geïmplementeerd</w:t>
      </w:r>
      <w:r w:rsidRPr="0094740F" w:rsidR="0094740F">
        <w:rPr>
          <w:sz w:val="18"/>
          <w:szCs w:val="18"/>
        </w:rPr>
        <w:t xml:space="preserve"> </w:t>
      </w:r>
      <w:r w:rsidR="0094740F">
        <w:rPr>
          <w:sz w:val="18"/>
          <w:szCs w:val="18"/>
        </w:rPr>
        <w:t xml:space="preserve">voor wat betreft het intrekken van de vergunning. </w:t>
      </w:r>
      <w:r w:rsidR="0006476A">
        <w:rPr>
          <w:sz w:val="18"/>
          <w:szCs w:val="18"/>
        </w:rPr>
        <w:t xml:space="preserve">De gronden voor het </w:t>
      </w:r>
      <w:r w:rsidR="0094740F">
        <w:rPr>
          <w:sz w:val="18"/>
          <w:szCs w:val="18"/>
        </w:rPr>
        <w:t>weigeren van de vergunning uit hetzelfde onderdeel word</w:t>
      </w:r>
      <w:r w:rsidR="0006476A">
        <w:rPr>
          <w:sz w:val="18"/>
          <w:szCs w:val="18"/>
        </w:rPr>
        <w:t>en</w:t>
      </w:r>
      <w:r w:rsidR="0094740F">
        <w:rPr>
          <w:sz w:val="18"/>
          <w:szCs w:val="18"/>
        </w:rPr>
        <w:t xml:space="preserve"> opgenomen in artikel 2:21 Wft (zie onderdeel </w:t>
      </w:r>
      <w:r w:rsidR="00C62671">
        <w:rPr>
          <w:sz w:val="18"/>
          <w:szCs w:val="18"/>
        </w:rPr>
        <w:t>T</w:t>
      </w:r>
      <w:r w:rsidR="0094740F">
        <w:rPr>
          <w:sz w:val="18"/>
          <w:szCs w:val="18"/>
        </w:rPr>
        <w:t>).</w:t>
      </w:r>
      <w:r w:rsidR="00EC11DA">
        <w:rPr>
          <w:sz w:val="18"/>
          <w:szCs w:val="18"/>
        </w:rPr>
        <w:t xml:space="preserve"> Artikel 48 quinquies, eerste lid, tweede alinea schrijft voor dat de </w:t>
      </w:r>
      <w:r w:rsidR="001C0C28">
        <w:rPr>
          <w:sz w:val="18"/>
          <w:szCs w:val="18"/>
        </w:rPr>
        <w:t>derde land</w:t>
      </w:r>
      <w:r w:rsidR="00EC11DA">
        <w:rPr>
          <w:sz w:val="18"/>
          <w:szCs w:val="18"/>
        </w:rPr>
        <w:t xml:space="preserve"> bijkantoren de toezichthouder onverwijld op de hoogte stellen wanneer de omstandigheid zoals nu opgenomen in artikel 1:104, eerste lid, onderdeel o, Wft zich voordoet. Dit is geïmplementeerd in </w:t>
      </w:r>
      <w:r w:rsidR="00780F76">
        <w:rPr>
          <w:sz w:val="18"/>
          <w:szCs w:val="18"/>
        </w:rPr>
        <w:t xml:space="preserve">artikel 3:43a, tweede lid, Wft </w:t>
      </w:r>
      <w:r w:rsidRPr="0094740F" w:rsidR="00780F76">
        <w:rPr>
          <w:sz w:val="18"/>
          <w:szCs w:val="18"/>
        </w:rPr>
        <w:t xml:space="preserve">(zie onderdeel </w:t>
      </w:r>
      <w:r w:rsidR="009B7432">
        <w:rPr>
          <w:sz w:val="18"/>
          <w:szCs w:val="18"/>
        </w:rPr>
        <w:t>KK</w:t>
      </w:r>
      <w:r w:rsidRPr="0094740F" w:rsidR="00780F76">
        <w:rPr>
          <w:sz w:val="18"/>
          <w:szCs w:val="18"/>
        </w:rPr>
        <w:t>)</w:t>
      </w:r>
      <w:r w:rsidRPr="0094740F" w:rsidR="00EC11DA">
        <w:rPr>
          <w:sz w:val="18"/>
          <w:szCs w:val="18"/>
        </w:rPr>
        <w:t>.</w:t>
      </w:r>
    </w:p>
    <w:p w:rsidR="00C62671" w:rsidP="001E56AB" w:rsidRDefault="00C62671" w14:paraId="3F867338" w14:textId="77777777">
      <w:pPr>
        <w:spacing w:line="240" w:lineRule="atLeast"/>
        <w:rPr>
          <w:sz w:val="18"/>
          <w:szCs w:val="18"/>
        </w:rPr>
      </w:pPr>
    </w:p>
    <w:p w:rsidR="005C05B1" w:rsidP="001E56AB" w:rsidRDefault="00365476" w14:paraId="18BCA4A3" w14:textId="7DC25355">
      <w:pPr>
        <w:spacing w:line="240" w:lineRule="atLeast"/>
        <w:rPr>
          <w:sz w:val="18"/>
          <w:szCs w:val="18"/>
        </w:rPr>
      </w:pPr>
      <w:r>
        <w:rPr>
          <w:sz w:val="18"/>
          <w:szCs w:val="18"/>
        </w:rPr>
        <w:t>Ook wordt</w:t>
      </w:r>
      <w:r w:rsidR="005C05B1">
        <w:rPr>
          <w:sz w:val="18"/>
          <w:szCs w:val="18"/>
        </w:rPr>
        <w:t xml:space="preserve"> een</w:t>
      </w:r>
      <w:r>
        <w:rPr>
          <w:sz w:val="18"/>
          <w:szCs w:val="18"/>
        </w:rPr>
        <w:t xml:space="preserve"> zevende</w:t>
      </w:r>
      <w:r w:rsidR="005C05B1">
        <w:rPr>
          <w:sz w:val="18"/>
          <w:szCs w:val="18"/>
        </w:rPr>
        <w:t xml:space="preserve"> lid toegevoegd. Voor de </w:t>
      </w:r>
      <w:r w:rsidR="001C0C28">
        <w:rPr>
          <w:sz w:val="18"/>
          <w:szCs w:val="18"/>
        </w:rPr>
        <w:t>derde land</w:t>
      </w:r>
      <w:r w:rsidR="005C05B1">
        <w:rPr>
          <w:sz w:val="18"/>
          <w:szCs w:val="18"/>
        </w:rPr>
        <w:t xml:space="preserve"> bijkantoren geldt dat zij moeten voldoen aan anti-witwaswetgeving en bij overtreding daarvan de vergunning ingetrokken kan worden (zie artikel 1:104, eerste lid, onderdeel</w:t>
      </w:r>
      <w:r w:rsidR="006F3C10">
        <w:rPr>
          <w:sz w:val="18"/>
          <w:szCs w:val="18"/>
        </w:rPr>
        <w:t xml:space="preserve"> r (nieuw)).</w:t>
      </w:r>
      <w:r w:rsidR="007B4AA9">
        <w:rPr>
          <w:sz w:val="18"/>
          <w:szCs w:val="18"/>
        </w:rPr>
        <w:t xml:space="preserve"> Dit volgt uit artikel 48 quinquies, tweede lid, onderdeel g, CRD.</w:t>
      </w:r>
      <w:r w:rsidR="006F3C10">
        <w:rPr>
          <w:sz w:val="18"/>
          <w:szCs w:val="18"/>
        </w:rPr>
        <w:t xml:space="preserve"> Deze bepaling geldt voor </w:t>
      </w:r>
      <w:r w:rsidR="001C0C28">
        <w:rPr>
          <w:sz w:val="18"/>
          <w:szCs w:val="18"/>
        </w:rPr>
        <w:t>derde land</w:t>
      </w:r>
      <w:r w:rsidR="006F3C10">
        <w:rPr>
          <w:sz w:val="18"/>
          <w:szCs w:val="18"/>
        </w:rPr>
        <w:t xml:space="preserve"> bijkantoren echter ook op het niveau van de </w:t>
      </w:r>
      <w:r w:rsidR="0006476A">
        <w:rPr>
          <w:sz w:val="18"/>
          <w:szCs w:val="18"/>
        </w:rPr>
        <w:t>moederonderneming</w:t>
      </w:r>
      <w:r w:rsidR="006F3C10">
        <w:rPr>
          <w:sz w:val="18"/>
          <w:szCs w:val="18"/>
        </w:rPr>
        <w:t xml:space="preserve"> van het </w:t>
      </w:r>
      <w:r w:rsidR="001C0C28">
        <w:rPr>
          <w:sz w:val="18"/>
          <w:szCs w:val="18"/>
        </w:rPr>
        <w:t>derde land</w:t>
      </w:r>
      <w:r w:rsidR="006F3C10">
        <w:rPr>
          <w:sz w:val="18"/>
          <w:szCs w:val="18"/>
        </w:rPr>
        <w:t xml:space="preserve"> bijkantoor en de groep waar het </w:t>
      </w:r>
      <w:r w:rsidR="001C0C28">
        <w:rPr>
          <w:sz w:val="18"/>
          <w:szCs w:val="18"/>
        </w:rPr>
        <w:t>derde land</w:t>
      </w:r>
      <w:r w:rsidR="006F3C10">
        <w:rPr>
          <w:sz w:val="18"/>
          <w:szCs w:val="18"/>
        </w:rPr>
        <w:t xml:space="preserve"> bijkantoor onderdeel van is. Als bij de moederonderneming of de </w:t>
      </w:r>
      <w:r w:rsidR="006F3C10">
        <w:rPr>
          <w:sz w:val="18"/>
          <w:szCs w:val="18"/>
        </w:rPr>
        <w:lastRenderedPageBreak/>
        <w:t>groep sprake is van een vermoeden of een verhoogd risico op witwassen of terrorismefinanciering,</w:t>
      </w:r>
      <w:r w:rsidR="00C62671">
        <w:rPr>
          <w:sz w:val="18"/>
          <w:szCs w:val="18"/>
        </w:rPr>
        <w:t xml:space="preserve"> kan</w:t>
      </w:r>
      <w:r w:rsidR="006F3C10">
        <w:rPr>
          <w:sz w:val="18"/>
          <w:szCs w:val="18"/>
        </w:rPr>
        <w:t xml:space="preserve"> de vergunning van het </w:t>
      </w:r>
      <w:r w:rsidR="001C0C28">
        <w:rPr>
          <w:sz w:val="18"/>
          <w:szCs w:val="18"/>
        </w:rPr>
        <w:t>derde land</w:t>
      </w:r>
      <w:r w:rsidR="006F3C10">
        <w:rPr>
          <w:sz w:val="18"/>
          <w:szCs w:val="18"/>
        </w:rPr>
        <w:t xml:space="preserve"> bijkantoor ook ingetrokken worden.</w:t>
      </w:r>
    </w:p>
    <w:p w:rsidR="005C05B1" w:rsidP="001E56AB" w:rsidRDefault="005C05B1" w14:paraId="44F6CDD5" w14:textId="77777777">
      <w:pPr>
        <w:spacing w:line="240" w:lineRule="atLeast"/>
        <w:rPr>
          <w:sz w:val="18"/>
          <w:szCs w:val="18"/>
        </w:rPr>
      </w:pPr>
    </w:p>
    <w:p w:rsidR="003970C2" w:rsidP="001E56AB" w:rsidRDefault="006F3C10" w14:paraId="16B9258B" w14:textId="1D625130">
      <w:pPr>
        <w:spacing w:line="240" w:lineRule="atLeast"/>
        <w:rPr>
          <w:sz w:val="18"/>
          <w:szCs w:val="18"/>
        </w:rPr>
      </w:pPr>
      <w:r>
        <w:rPr>
          <w:sz w:val="18"/>
          <w:szCs w:val="18"/>
        </w:rPr>
        <w:t xml:space="preserve">Als laatste wordt opgemerkt dat artikel 48, </w:t>
      </w:r>
      <w:r w:rsidR="003970C2">
        <w:rPr>
          <w:sz w:val="18"/>
          <w:szCs w:val="18"/>
        </w:rPr>
        <w:t xml:space="preserve">quinquies, eerste en tweede lid, CRD nog meer </w:t>
      </w:r>
      <w:r w:rsidR="007B4AA9">
        <w:rPr>
          <w:sz w:val="18"/>
          <w:szCs w:val="18"/>
        </w:rPr>
        <w:t xml:space="preserve">gronden </w:t>
      </w:r>
      <w:r w:rsidR="003970C2">
        <w:rPr>
          <w:sz w:val="18"/>
          <w:szCs w:val="18"/>
        </w:rPr>
        <w:t>kennen waaro</w:t>
      </w:r>
      <w:r w:rsidR="007B4AA9">
        <w:rPr>
          <w:sz w:val="18"/>
          <w:szCs w:val="18"/>
        </w:rPr>
        <w:t>p</w:t>
      </w:r>
      <w:r w:rsidR="003970C2">
        <w:rPr>
          <w:sz w:val="18"/>
          <w:szCs w:val="18"/>
        </w:rPr>
        <w:t xml:space="preserve"> de vergunning van een </w:t>
      </w:r>
      <w:r w:rsidR="001C0C28">
        <w:rPr>
          <w:sz w:val="18"/>
          <w:szCs w:val="18"/>
        </w:rPr>
        <w:t>derde land</w:t>
      </w:r>
      <w:r w:rsidR="003970C2">
        <w:rPr>
          <w:sz w:val="18"/>
          <w:szCs w:val="18"/>
        </w:rPr>
        <w:t xml:space="preserve"> bijkantoor ingetrokken kan worden. Dit </w:t>
      </w:r>
      <w:r w:rsidR="0094740F">
        <w:rPr>
          <w:sz w:val="18"/>
          <w:szCs w:val="18"/>
        </w:rPr>
        <w:t>kan</w:t>
      </w:r>
      <w:r w:rsidR="003970C2">
        <w:rPr>
          <w:sz w:val="18"/>
          <w:szCs w:val="18"/>
        </w:rPr>
        <w:t xml:space="preserve"> bijv</w:t>
      </w:r>
      <w:r w:rsidR="00C9706C">
        <w:rPr>
          <w:sz w:val="18"/>
          <w:szCs w:val="18"/>
        </w:rPr>
        <w:t>oorbeeld</w:t>
      </w:r>
      <w:r w:rsidR="003970C2">
        <w:rPr>
          <w:sz w:val="18"/>
          <w:szCs w:val="18"/>
        </w:rPr>
        <w:t xml:space="preserve"> wanneer het bijkantoor niet meer voldoet aan de vergunning vereisten (48, eerste lid, onderdeel a, CRD), het bijkantoor de vergunning heeft verkregen door valse verklaringen (48, tweede lid, onderdeel b, CRD) of </w:t>
      </w:r>
      <w:r w:rsidR="005C05B1">
        <w:rPr>
          <w:sz w:val="18"/>
          <w:szCs w:val="18"/>
        </w:rPr>
        <w:t xml:space="preserve">het bijkantoor niet meer voldoet aan de wet of de vereisten waaronder de vergunning is verleend (artikel 48, tweede lid, onderdeel c en e, CRD). Deze gevallen zijn reeds opgenomen in </w:t>
      </w:r>
      <w:r w:rsidR="0094740F">
        <w:rPr>
          <w:sz w:val="18"/>
          <w:szCs w:val="18"/>
        </w:rPr>
        <w:t xml:space="preserve">reeds bestaande onderdelen van </w:t>
      </w:r>
      <w:r w:rsidR="005C05B1">
        <w:rPr>
          <w:sz w:val="18"/>
          <w:szCs w:val="18"/>
        </w:rPr>
        <w:t>artikel 1:104, eerste lid, Wft</w:t>
      </w:r>
      <w:r>
        <w:rPr>
          <w:sz w:val="18"/>
          <w:szCs w:val="18"/>
        </w:rPr>
        <w:t>.</w:t>
      </w:r>
      <w:r w:rsidR="005C05B1">
        <w:rPr>
          <w:sz w:val="18"/>
          <w:szCs w:val="18"/>
        </w:rPr>
        <w:t xml:space="preserve"> </w:t>
      </w:r>
      <w:r w:rsidR="0006476A">
        <w:rPr>
          <w:sz w:val="18"/>
          <w:szCs w:val="18"/>
        </w:rPr>
        <w:t xml:space="preserve">Doordat dit artikel van toepassing is op alle op grond van de Wft door de toezichthouder verleende vergunningen, behoeft artikel 1:104 Wft voor deze onderdelen van de richtlijn geen wijziging. </w:t>
      </w:r>
    </w:p>
    <w:p w:rsidR="001E56AB" w:rsidP="001E56AB" w:rsidRDefault="001E56AB" w14:paraId="67B1F580" w14:textId="77777777">
      <w:pPr>
        <w:spacing w:line="240" w:lineRule="atLeast"/>
        <w:rPr>
          <w:sz w:val="18"/>
          <w:szCs w:val="18"/>
        </w:rPr>
      </w:pPr>
    </w:p>
    <w:p w:rsidRPr="00BD04E1" w:rsidR="001E56AB" w:rsidP="001E56AB" w:rsidRDefault="00B14A85" w14:paraId="3124237D" w14:textId="784E99EB">
      <w:pPr>
        <w:spacing w:line="240" w:lineRule="atLeast"/>
        <w:rPr>
          <w:sz w:val="18"/>
          <w:szCs w:val="18"/>
        </w:rPr>
      </w:pPr>
      <w:r>
        <w:rPr>
          <w:sz w:val="18"/>
          <w:szCs w:val="18"/>
        </w:rPr>
        <w:t>K</w:t>
      </w:r>
      <w:r w:rsidRPr="00BD04E1" w:rsidR="001E56AB">
        <w:rPr>
          <w:sz w:val="18"/>
          <w:szCs w:val="18"/>
        </w:rPr>
        <w:t xml:space="preserve"> (1:106b)</w:t>
      </w:r>
    </w:p>
    <w:p w:rsidRPr="00BD04E1" w:rsidR="001E56AB" w:rsidP="001E56AB" w:rsidRDefault="001E56AB" w14:paraId="52725324" w14:textId="77777777">
      <w:pPr>
        <w:spacing w:line="240" w:lineRule="atLeast"/>
        <w:rPr>
          <w:sz w:val="18"/>
          <w:szCs w:val="18"/>
        </w:rPr>
      </w:pPr>
    </w:p>
    <w:p w:rsidR="00365476" w:rsidP="001E56AB" w:rsidRDefault="001E56AB" w14:paraId="7664AEBF" w14:textId="4E45717B">
      <w:pPr>
        <w:widowControl w:val="0"/>
        <w:tabs>
          <w:tab w:val="num" w:pos="720"/>
        </w:tabs>
        <w:spacing w:line="240" w:lineRule="atLeast"/>
        <w:rPr>
          <w:rFonts w:cs="Arial"/>
          <w:sz w:val="18"/>
          <w:szCs w:val="18"/>
        </w:rPr>
      </w:pPr>
      <w:r w:rsidRPr="00BD04E1">
        <w:rPr>
          <w:rFonts w:cs="Arial"/>
          <w:sz w:val="18"/>
          <w:szCs w:val="18"/>
        </w:rPr>
        <w:t xml:space="preserve">Artikel 22, tweede lid, </w:t>
      </w:r>
      <w:r w:rsidR="009A3FBB">
        <w:rPr>
          <w:rFonts w:cs="Arial"/>
          <w:sz w:val="18"/>
          <w:szCs w:val="18"/>
        </w:rPr>
        <w:t>CRD</w:t>
      </w:r>
      <w:r w:rsidRPr="00BD04E1">
        <w:rPr>
          <w:rFonts w:cs="Arial"/>
          <w:sz w:val="18"/>
          <w:szCs w:val="18"/>
        </w:rPr>
        <w:t xml:space="preserve"> bevat voorschriften over de ontvangstbevestiging die de toezichthouder moet sturen als een persoon een gekwalificeerde deelneming in een bank wil verwerven of vergroten en hiervan kennisgeeft aan de toezichthouder. Artikel 22, tweede lid, is geïmplementeerd in artikel 1:106b Wft, waar in het eerste lid is opgenomen dat DNB binnen twee werkdagen een ontvangstbevestiging stuurt </w:t>
      </w:r>
      <w:r w:rsidR="0006476A">
        <w:rPr>
          <w:rFonts w:cs="Arial"/>
          <w:sz w:val="18"/>
          <w:szCs w:val="18"/>
        </w:rPr>
        <w:t>na ontvangst van</w:t>
      </w:r>
      <w:r w:rsidRPr="00BD04E1" w:rsidR="0006476A">
        <w:rPr>
          <w:rFonts w:cs="Arial"/>
          <w:sz w:val="18"/>
          <w:szCs w:val="18"/>
        </w:rPr>
        <w:t xml:space="preserve"> </w:t>
      </w:r>
      <w:r w:rsidRPr="00BD04E1">
        <w:rPr>
          <w:rFonts w:cs="Arial"/>
          <w:sz w:val="18"/>
          <w:szCs w:val="18"/>
        </w:rPr>
        <w:t xml:space="preserve">de aanvraag </w:t>
      </w:r>
      <w:r w:rsidR="0006476A">
        <w:rPr>
          <w:rFonts w:cs="Arial"/>
          <w:sz w:val="18"/>
          <w:szCs w:val="18"/>
        </w:rPr>
        <w:t>voor</w:t>
      </w:r>
      <w:r w:rsidRPr="00BD04E1" w:rsidR="0006476A">
        <w:rPr>
          <w:rFonts w:cs="Arial"/>
          <w:sz w:val="18"/>
          <w:szCs w:val="18"/>
        </w:rPr>
        <w:t xml:space="preserve"> </w:t>
      </w:r>
      <w:r w:rsidRPr="00BD04E1">
        <w:rPr>
          <w:rFonts w:cs="Arial"/>
          <w:sz w:val="18"/>
          <w:szCs w:val="18"/>
        </w:rPr>
        <w:t xml:space="preserve">een </w:t>
      </w:r>
      <w:r w:rsidR="00966AF0">
        <w:rPr>
          <w:rFonts w:cs="Arial"/>
          <w:sz w:val="18"/>
          <w:szCs w:val="18"/>
        </w:rPr>
        <w:t>vvgb</w:t>
      </w:r>
      <w:r w:rsidRPr="00BD04E1">
        <w:rPr>
          <w:rFonts w:cs="Arial"/>
          <w:sz w:val="18"/>
          <w:szCs w:val="18"/>
        </w:rPr>
        <w:t xml:space="preserve"> voor, in casu, verwerving of vergroting van een gekwalificeerde deelneming in een bank. </w:t>
      </w:r>
      <w:r w:rsidR="00DC5C70">
        <w:rPr>
          <w:rFonts w:cs="Arial"/>
          <w:sz w:val="18"/>
          <w:szCs w:val="18"/>
        </w:rPr>
        <w:t xml:space="preserve">De </w:t>
      </w:r>
      <w:r w:rsidR="00365476">
        <w:rPr>
          <w:rFonts w:cs="Arial"/>
          <w:sz w:val="18"/>
          <w:szCs w:val="18"/>
        </w:rPr>
        <w:t xml:space="preserve">nieuwe artikelen 3:96a </w:t>
      </w:r>
      <w:r w:rsidR="005F6110">
        <w:rPr>
          <w:rFonts w:cs="Arial"/>
          <w:sz w:val="18"/>
          <w:szCs w:val="18"/>
        </w:rPr>
        <w:t>tot en met 3:</w:t>
      </w:r>
      <w:r w:rsidR="00365476">
        <w:rPr>
          <w:rFonts w:cs="Arial"/>
          <w:sz w:val="18"/>
          <w:szCs w:val="18"/>
        </w:rPr>
        <w:t>96</w:t>
      </w:r>
      <w:r w:rsidR="005F6110">
        <w:rPr>
          <w:rFonts w:cs="Arial"/>
          <w:sz w:val="18"/>
          <w:szCs w:val="18"/>
        </w:rPr>
        <w:t>d</w:t>
      </w:r>
      <w:r w:rsidR="00365476">
        <w:rPr>
          <w:rFonts w:cs="Arial"/>
          <w:sz w:val="18"/>
          <w:szCs w:val="18"/>
        </w:rPr>
        <w:t xml:space="preserve"> </w:t>
      </w:r>
      <w:r w:rsidR="00C404F2">
        <w:rPr>
          <w:rFonts w:cs="Arial"/>
          <w:sz w:val="18"/>
          <w:szCs w:val="18"/>
        </w:rPr>
        <w:t xml:space="preserve">Wft </w:t>
      </w:r>
      <w:r w:rsidR="00DC5C70">
        <w:rPr>
          <w:rFonts w:cs="Arial"/>
          <w:sz w:val="18"/>
          <w:szCs w:val="18"/>
        </w:rPr>
        <w:t xml:space="preserve">verlopen volgens dezelfde procedure </w:t>
      </w:r>
      <w:r w:rsidR="00365476">
        <w:rPr>
          <w:rFonts w:cs="Arial"/>
          <w:sz w:val="18"/>
          <w:szCs w:val="18"/>
        </w:rPr>
        <w:t xml:space="preserve">zodat </w:t>
      </w:r>
      <w:r w:rsidR="00C404F2">
        <w:rPr>
          <w:rFonts w:cs="Arial"/>
          <w:sz w:val="18"/>
          <w:szCs w:val="18"/>
        </w:rPr>
        <w:t>artikel 1:106b, eerste lid,</w:t>
      </w:r>
      <w:r w:rsidR="00365476">
        <w:rPr>
          <w:rFonts w:cs="Arial"/>
          <w:sz w:val="18"/>
          <w:szCs w:val="18"/>
        </w:rPr>
        <w:t xml:space="preserve"> ook geldt indien er een </w:t>
      </w:r>
      <w:r w:rsidR="00966AF0">
        <w:rPr>
          <w:rFonts w:cs="Arial"/>
          <w:sz w:val="18"/>
          <w:szCs w:val="18"/>
        </w:rPr>
        <w:t>vvgb</w:t>
      </w:r>
      <w:r w:rsidR="00365476">
        <w:rPr>
          <w:rFonts w:cs="Arial"/>
          <w:sz w:val="18"/>
          <w:szCs w:val="18"/>
        </w:rPr>
        <w:t xml:space="preserve"> voor een deelneming van betekenis, </w:t>
      </w:r>
      <w:r w:rsidR="00CB09B2">
        <w:rPr>
          <w:rFonts w:cs="Arial"/>
          <w:sz w:val="18"/>
          <w:szCs w:val="18"/>
        </w:rPr>
        <w:t>splitsing</w:t>
      </w:r>
      <w:r w:rsidR="00365476">
        <w:rPr>
          <w:rFonts w:cs="Arial"/>
          <w:sz w:val="18"/>
          <w:szCs w:val="18"/>
        </w:rPr>
        <w:t xml:space="preserve"> of fusie door banken en (gemengde) financiële holdings wordt aangevraagd.</w:t>
      </w:r>
      <w:r w:rsidR="00DC5C70">
        <w:rPr>
          <w:rFonts w:cs="Arial"/>
          <w:sz w:val="18"/>
          <w:szCs w:val="18"/>
        </w:rPr>
        <w:t xml:space="preserve"> Wel</w:t>
      </w:r>
      <w:r w:rsidR="00C62671">
        <w:rPr>
          <w:rFonts w:cs="Arial"/>
          <w:sz w:val="18"/>
          <w:szCs w:val="18"/>
        </w:rPr>
        <w:t xml:space="preserve"> schrijven de artikelen 22 en 23 en de nieuwe artikelen uit 27 bis e.v. van de CRD </w:t>
      </w:r>
      <w:r w:rsidR="00DC5C70">
        <w:rPr>
          <w:rFonts w:cs="Arial"/>
          <w:sz w:val="18"/>
          <w:szCs w:val="18"/>
        </w:rPr>
        <w:t>voor</w:t>
      </w:r>
      <w:r w:rsidR="00C62671">
        <w:rPr>
          <w:rFonts w:cs="Arial"/>
          <w:sz w:val="18"/>
          <w:szCs w:val="18"/>
        </w:rPr>
        <w:t xml:space="preserve"> dat</w:t>
      </w:r>
      <w:r w:rsidR="00DC5C70">
        <w:rPr>
          <w:rFonts w:cs="Arial"/>
          <w:sz w:val="18"/>
          <w:szCs w:val="18"/>
        </w:rPr>
        <w:t xml:space="preserve"> de te versturen ontvangstbevestiging DNB niet </w:t>
      </w:r>
      <w:r w:rsidR="00C62671">
        <w:rPr>
          <w:rFonts w:cs="Arial"/>
          <w:sz w:val="18"/>
          <w:szCs w:val="18"/>
        </w:rPr>
        <w:t xml:space="preserve">binnen </w:t>
      </w:r>
      <w:r w:rsidR="00DC5C70">
        <w:rPr>
          <w:rFonts w:cs="Arial"/>
          <w:sz w:val="18"/>
          <w:szCs w:val="18"/>
        </w:rPr>
        <w:t xml:space="preserve">twee werkdagen </w:t>
      </w:r>
      <w:r w:rsidR="00C62671">
        <w:rPr>
          <w:rFonts w:cs="Arial"/>
          <w:sz w:val="18"/>
          <w:szCs w:val="18"/>
        </w:rPr>
        <w:t xml:space="preserve">verzonden moet zijn, </w:t>
      </w:r>
      <w:r w:rsidR="00DC5C70">
        <w:rPr>
          <w:rFonts w:cs="Arial"/>
          <w:sz w:val="18"/>
          <w:szCs w:val="18"/>
        </w:rPr>
        <w:t xml:space="preserve">zoals nu voorgeschreven in artikel 1:106b, eerste lid, Wft, maar 10 werkdagen. Om dit onderscheid duidelijk te maken is het eerste lid van artikel 1:106b Wft opnieuw vastgesteld. Onderdeel a van het eerste lid bevat nu de regel dat DNB binnen twee werkdagen een ontvangstbevestiging stuurt voor de aanvragen van een vvgb en alle gegevens en bescheiden op grond van artikel 3:95, tweede lid, </w:t>
      </w:r>
      <w:r w:rsidR="00C62671">
        <w:rPr>
          <w:rFonts w:cs="Arial"/>
          <w:sz w:val="18"/>
          <w:szCs w:val="18"/>
        </w:rPr>
        <w:t xml:space="preserve">Wft </w:t>
      </w:r>
      <w:r w:rsidR="00DC5C70">
        <w:rPr>
          <w:rFonts w:cs="Arial"/>
          <w:sz w:val="18"/>
          <w:szCs w:val="18"/>
        </w:rPr>
        <w:t>met uitzondering van de vvgb bij een gekwalificeerde deelneming in een bank als bedoeld in artikel 3:95, eerste lid, onderdeel b, Wft. Die vvgb-aanvra</w:t>
      </w:r>
      <w:r w:rsidR="006C592C">
        <w:rPr>
          <w:rFonts w:cs="Arial"/>
          <w:sz w:val="18"/>
          <w:szCs w:val="18"/>
        </w:rPr>
        <w:t>a</w:t>
      </w:r>
      <w:r w:rsidR="00DC5C70">
        <w:rPr>
          <w:rFonts w:cs="Arial"/>
          <w:sz w:val="18"/>
          <w:szCs w:val="18"/>
        </w:rPr>
        <w:t>g val</w:t>
      </w:r>
      <w:r w:rsidR="006C592C">
        <w:rPr>
          <w:rFonts w:cs="Arial"/>
          <w:sz w:val="18"/>
          <w:szCs w:val="18"/>
        </w:rPr>
        <w:t>t</w:t>
      </w:r>
      <w:r w:rsidR="00DC5C70">
        <w:rPr>
          <w:rFonts w:cs="Arial"/>
          <w:sz w:val="18"/>
          <w:szCs w:val="18"/>
        </w:rPr>
        <w:t xml:space="preserve"> onder het t</w:t>
      </w:r>
      <w:r w:rsidR="00C62671">
        <w:rPr>
          <w:rFonts w:cs="Arial"/>
          <w:sz w:val="18"/>
          <w:szCs w:val="18"/>
        </w:rPr>
        <w:t>iend</w:t>
      </w:r>
      <w:r w:rsidR="00DC5C70">
        <w:rPr>
          <w:rFonts w:cs="Arial"/>
          <w:sz w:val="18"/>
          <w:szCs w:val="18"/>
        </w:rPr>
        <w:t>agenregime. In het onderdeel b van het eerste lid van artikel 1:106b is opgenomen dat DNB in drie gevallen binnen tien werkdagen een ontvangstbevestiging stuurt: a) de vvgb-aanvraag op grond van artikel 3:95, eerste lid, onderdeel b, Wft, b) de vvgb-aanvragen uit de artikel 3:96a en 3:96c Wft, en c) de kennisgevingen die banken en (gemengde) financiële holdings op grond van de artikelen 3:96b en 3:96d Wft moeten doen. Deze drie aanvragen vallen allemaal onder het tiendagenregime.</w:t>
      </w:r>
      <w:r w:rsidR="00311C8A">
        <w:rPr>
          <w:rFonts w:cs="Arial"/>
          <w:sz w:val="18"/>
          <w:szCs w:val="18"/>
        </w:rPr>
        <w:t xml:space="preserve"> </w:t>
      </w:r>
    </w:p>
    <w:p w:rsidR="00365476" w:rsidP="001E56AB" w:rsidRDefault="00365476" w14:paraId="3E87BFD5" w14:textId="77777777">
      <w:pPr>
        <w:widowControl w:val="0"/>
        <w:tabs>
          <w:tab w:val="num" w:pos="720"/>
        </w:tabs>
        <w:spacing w:line="240" w:lineRule="atLeast"/>
        <w:rPr>
          <w:rFonts w:cs="Arial"/>
          <w:sz w:val="18"/>
          <w:szCs w:val="18"/>
        </w:rPr>
      </w:pPr>
    </w:p>
    <w:p w:rsidR="001E56AB" w:rsidP="001E56AB" w:rsidRDefault="00CB09B2" w14:paraId="06EC7907" w14:textId="6DDFA396">
      <w:pPr>
        <w:widowControl w:val="0"/>
        <w:tabs>
          <w:tab w:val="num" w:pos="720"/>
        </w:tabs>
        <w:spacing w:line="240" w:lineRule="atLeast"/>
        <w:rPr>
          <w:rFonts w:cs="Arial"/>
          <w:sz w:val="18"/>
          <w:szCs w:val="18"/>
        </w:rPr>
      </w:pPr>
      <w:r>
        <w:rPr>
          <w:rFonts w:cs="Arial"/>
          <w:sz w:val="18"/>
          <w:szCs w:val="18"/>
        </w:rPr>
        <w:t>Hiermee wordt de aanpassing aan artikel 22, tweede lid, CRD en de nieuwe artikelen 27 bis, vijfde lid,</w:t>
      </w:r>
      <w:r w:rsidR="005F6110">
        <w:rPr>
          <w:rFonts w:cs="Arial"/>
          <w:sz w:val="18"/>
          <w:szCs w:val="18"/>
        </w:rPr>
        <w:t xml:space="preserve"> 27 septies, derde lid,</w:t>
      </w:r>
      <w:r>
        <w:rPr>
          <w:rFonts w:cs="Arial"/>
          <w:sz w:val="18"/>
          <w:szCs w:val="18"/>
        </w:rPr>
        <w:t xml:space="preserve"> en 27 decies, vierde lid, CRD geïmplementeerd.</w:t>
      </w:r>
      <w:r w:rsidR="00C41C8C">
        <w:rPr>
          <w:rFonts w:cs="Arial"/>
          <w:sz w:val="18"/>
          <w:szCs w:val="18"/>
        </w:rPr>
        <w:t xml:space="preserve"> Andere EU regelgeving, zoals de prudentiële kaders voor onder meer verzekeraars in de richtlijn solvabiliteit II</w:t>
      </w:r>
      <w:r w:rsidR="00C41C8C">
        <w:rPr>
          <w:rStyle w:val="Voetnootmarkering"/>
          <w:rFonts w:cs="Arial"/>
          <w:sz w:val="18"/>
          <w:szCs w:val="18"/>
        </w:rPr>
        <w:footnoteReference w:id="77"/>
      </w:r>
      <w:r w:rsidR="00C41C8C">
        <w:rPr>
          <w:rFonts w:cs="Arial"/>
          <w:sz w:val="18"/>
          <w:szCs w:val="18"/>
        </w:rPr>
        <w:t xml:space="preserve"> en beleggingsondernemingen in </w:t>
      </w:r>
      <w:r w:rsidR="00C62671">
        <w:rPr>
          <w:rFonts w:cs="Arial"/>
          <w:sz w:val="18"/>
          <w:szCs w:val="18"/>
        </w:rPr>
        <w:t>MiFID II</w:t>
      </w:r>
      <w:r w:rsidR="00C41C8C">
        <w:rPr>
          <w:rFonts w:cs="Arial"/>
          <w:sz w:val="18"/>
          <w:szCs w:val="18"/>
        </w:rPr>
        <w:t xml:space="preserve"> schrijven </w:t>
      </w:r>
      <w:r w:rsidR="00DC5C70">
        <w:rPr>
          <w:rFonts w:cs="Arial"/>
          <w:sz w:val="18"/>
          <w:szCs w:val="18"/>
        </w:rPr>
        <w:t xml:space="preserve">twee </w:t>
      </w:r>
      <w:r w:rsidR="00C41C8C">
        <w:rPr>
          <w:rFonts w:cs="Arial"/>
          <w:sz w:val="18"/>
          <w:szCs w:val="18"/>
        </w:rPr>
        <w:t>werkdagen voor als termijn voor een ontvangstbevestiging. Hierdoor kan niet uniform een termijn van 10 dagen gaan gelden voor alle type vvgb’s.</w:t>
      </w:r>
      <w:r w:rsidR="00933131">
        <w:rPr>
          <w:rFonts w:cs="Arial"/>
          <w:sz w:val="18"/>
          <w:szCs w:val="18"/>
        </w:rPr>
        <w:t xml:space="preserve"> Opname van de artikelen 3:96b en 3:96d Wft betekent dat naast een kennisgeving voor de activa/passiva-overdracht (voorgeschreven </w:t>
      </w:r>
      <w:r w:rsidR="00933131">
        <w:rPr>
          <w:rFonts w:cs="Arial"/>
          <w:sz w:val="18"/>
          <w:szCs w:val="18"/>
        </w:rPr>
        <w:lastRenderedPageBreak/>
        <w:t xml:space="preserve">door artikel 27 septies, derde lid, CRD), ook een </w:t>
      </w:r>
      <w:r w:rsidR="005F571F">
        <w:rPr>
          <w:rFonts w:cs="Arial"/>
          <w:sz w:val="18"/>
          <w:szCs w:val="18"/>
        </w:rPr>
        <w:t>ontvangstbevestiging</w:t>
      </w:r>
      <w:r w:rsidR="00933131">
        <w:rPr>
          <w:rFonts w:cs="Arial"/>
          <w:sz w:val="18"/>
          <w:szCs w:val="18"/>
        </w:rPr>
        <w:t xml:space="preserve"> door DNB verstuurd zal worden voor de afstoting van een deelneming van betekenis. Dat is niet voorgeschreven door de CRD maar wordt nu wel voorgeschreven door de Wft.</w:t>
      </w:r>
      <w:r w:rsidR="00DC5C70">
        <w:rPr>
          <w:rFonts w:cs="Arial"/>
          <w:sz w:val="18"/>
          <w:szCs w:val="18"/>
        </w:rPr>
        <w:t xml:space="preserve"> Dit zal voor DNB een kleine moeite zijn maar komt de rechtszekerheid voor markt</w:t>
      </w:r>
      <w:r w:rsidR="00C62671">
        <w:rPr>
          <w:rFonts w:cs="Arial"/>
          <w:sz w:val="18"/>
          <w:szCs w:val="18"/>
        </w:rPr>
        <w:t>partijen</w:t>
      </w:r>
      <w:r w:rsidR="00DC5C70">
        <w:rPr>
          <w:rFonts w:cs="Arial"/>
          <w:sz w:val="18"/>
          <w:szCs w:val="18"/>
        </w:rPr>
        <w:t xml:space="preserve"> wel ten goede.</w:t>
      </w:r>
    </w:p>
    <w:p w:rsidR="00384692" w:rsidP="001E56AB" w:rsidRDefault="00384692" w14:paraId="5181DA61" w14:textId="77777777">
      <w:pPr>
        <w:widowControl w:val="0"/>
        <w:tabs>
          <w:tab w:val="num" w:pos="720"/>
        </w:tabs>
        <w:spacing w:line="240" w:lineRule="atLeast"/>
        <w:rPr>
          <w:rFonts w:cs="Arial"/>
          <w:sz w:val="18"/>
          <w:szCs w:val="18"/>
        </w:rPr>
      </w:pPr>
    </w:p>
    <w:p w:rsidR="00384692" w:rsidP="001E56AB" w:rsidRDefault="00384692" w14:paraId="068F9DF8" w14:textId="5232667E">
      <w:pPr>
        <w:widowControl w:val="0"/>
        <w:tabs>
          <w:tab w:val="num" w:pos="720"/>
        </w:tabs>
        <w:spacing w:line="240" w:lineRule="atLeast"/>
        <w:rPr>
          <w:rFonts w:cs="Arial"/>
          <w:sz w:val="18"/>
          <w:szCs w:val="18"/>
        </w:rPr>
      </w:pPr>
      <w:r>
        <w:rPr>
          <w:rFonts w:cs="Arial"/>
          <w:sz w:val="18"/>
          <w:szCs w:val="18"/>
        </w:rPr>
        <w:t xml:space="preserve">In het vierde lid van artikel 1:106b </w:t>
      </w:r>
      <w:r w:rsidR="00C62671">
        <w:rPr>
          <w:rFonts w:cs="Arial"/>
          <w:sz w:val="18"/>
          <w:szCs w:val="18"/>
        </w:rPr>
        <w:t xml:space="preserve">Wft </w:t>
      </w:r>
      <w:r>
        <w:rPr>
          <w:rFonts w:cs="Arial"/>
          <w:sz w:val="18"/>
          <w:szCs w:val="18"/>
        </w:rPr>
        <w:t>wordt “artikel 3:95” vervangen door “</w:t>
      </w:r>
      <w:r w:rsidR="00C404F2">
        <w:rPr>
          <w:rFonts w:cs="Arial"/>
          <w:sz w:val="18"/>
          <w:szCs w:val="18"/>
        </w:rPr>
        <w:t xml:space="preserve">de </w:t>
      </w:r>
      <w:r>
        <w:rPr>
          <w:rFonts w:cs="Arial"/>
          <w:sz w:val="18"/>
          <w:szCs w:val="18"/>
        </w:rPr>
        <w:t>artikel</w:t>
      </w:r>
      <w:r w:rsidR="00C404F2">
        <w:rPr>
          <w:rFonts w:cs="Arial"/>
          <w:sz w:val="18"/>
          <w:szCs w:val="18"/>
        </w:rPr>
        <w:t>en</w:t>
      </w:r>
      <w:r>
        <w:rPr>
          <w:rFonts w:cs="Arial"/>
          <w:sz w:val="18"/>
          <w:szCs w:val="18"/>
        </w:rPr>
        <w:t xml:space="preserve"> 3:95, 3:96a of 3:96c”. Deze toevoeging is naar aanleiding van de toevoeging </w:t>
      </w:r>
      <w:r w:rsidR="00C404F2">
        <w:rPr>
          <w:rFonts w:cs="Arial"/>
          <w:sz w:val="18"/>
          <w:szCs w:val="18"/>
        </w:rPr>
        <w:t>v</w:t>
      </w:r>
      <w:r>
        <w:rPr>
          <w:rFonts w:cs="Arial"/>
          <w:sz w:val="18"/>
          <w:szCs w:val="18"/>
        </w:rPr>
        <w:t xml:space="preserve">an artikel 1:62, tweede lid, Wft. </w:t>
      </w:r>
      <w:r w:rsidR="0006476A">
        <w:rPr>
          <w:rFonts w:cs="Arial"/>
          <w:sz w:val="18"/>
          <w:szCs w:val="18"/>
        </w:rPr>
        <w:t>H</w:t>
      </w:r>
      <w:r>
        <w:rPr>
          <w:rFonts w:cs="Arial"/>
          <w:sz w:val="18"/>
          <w:szCs w:val="18"/>
        </w:rPr>
        <w:t>et advies van de toezichthoudende instantie die op grond van artikel 1:62, tweede lid, Wft geraadpleegd is door DNB wordt ook vermeld in het (ontwerp)besluit, zoals ook voorgeschreven door artikel 27 quater, vierde lid, tweede alinea, en artikel 27 duodecies, tweede lid, tweede zin, CRD.</w:t>
      </w:r>
    </w:p>
    <w:p w:rsidR="008E502B" w:rsidP="001E56AB" w:rsidRDefault="008E502B" w14:paraId="48536A13" w14:textId="77777777">
      <w:pPr>
        <w:widowControl w:val="0"/>
        <w:tabs>
          <w:tab w:val="num" w:pos="720"/>
        </w:tabs>
        <w:spacing w:line="240" w:lineRule="atLeast"/>
        <w:rPr>
          <w:rFonts w:cs="Arial"/>
          <w:sz w:val="18"/>
          <w:szCs w:val="18"/>
        </w:rPr>
      </w:pPr>
    </w:p>
    <w:p w:rsidR="009650F4" w:rsidP="001E56AB" w:rsidRDefault="00755020" w14:paraId="4BB68D97" w14:textId="4DF22159">
      <w:pPr>
        <w:spacing w:line="240" w:lineRule="atLeast"/>
        <w:rPr>
          <w:sz w:val="18"/>
          <w:szCs w:val="18"/>
        </w:rPr>
      </w:pPr>
      <w:r>
        <w:rPr>
          <w:sz w:val="18"/>
          <w:szCs w:val="18"/>
        </w:rPr>
        <w:t xml:space="preserve">Tevens zijn aan het artikel twee leden toegevoegd. Het vijfde lid </w:t>
      </w:r>
      <w:r w:rsidR="0006476A">
        <w:rPr>
          <w:sz w:val="18"/>
          <w:szCs w:val="18"/>
        </w:rPr>
        <w:t xml:space="preserve">strekt tot </w:t>
      </w:r>
      <w:r>
        <w:rPr>
          <w:sz w:val="18"/>
          <w:szCs w:val="18"/>
        </w:rPr>
        <w:t xml:space="preserve">implementatie van artikel 27 bis, zesde lid, tweede alinea, CRD. Dit betreft de situatie dat er niet alleen een </w:t>
      </w:r>
      <w:r w:rsidR="00966AF0">
        <w:rPr>
          <w:sz w:val="18"/>
          <w:szCs w:val="18"/>
        </w:rPr>
        <w:t>vvgb</w:t>
      </w:r>
      <w:r>
        <w:rPr>
          <w:sz w:val="18"/>
          <w:szCs w:val="18"/>
        </w:rPr>
        <w:t xml:space="preserve"> is aangevraagd voor een deelneming van betekenis </w:t>
      </w:r>
      <w:r w:rsidRPr="00A6284F">
        <w:rPr>
          <w:i/>
          <w:iCs/>
          <w:sz w:val="18"/>
          <w:szCs w:val="18"/>
        </w:rPr>
        <w:t xml:space="preserve">door </w:t>
      </w:r>
      <w:r>
        <w:rPr>
          <w:sz w:val="18"/>
          <w:szCs w:val="18"/>
        </w:rPr>
        <w:t xml:space="preserve">een bank (of (gemengde) financiële holding), maar ook dat die deelneming van betekenis plaatsvindt </w:t>
      </w:r>
      <w:r>
        <w:rPr>
          <w:i/>
          <w:iCs/>
          <w:sz w:val="18"/>
          <w:szCs w:val="18"/>
        </w:rPr>
        <w:t xml:space="preserve">in </w:t>
      </w:r>
      <w:r>
        <w:rPr>
          <w:sz w:val="18"/>
          <w:szCs w:val="18"/>
        </w:rPr>
        <w:t xml:space="preserve">een bank wat zelfstandig kan leiden tot een </w:t>
      </w:r>
      <w:r w:rsidR="00966AF0">
        <w:rPr>
          <w:sz w:val="18"/>
          <w:szCs w:val="18"/>
        </w:rPr>
        <w:t>vvgb</w:t>
      </w:r>
      <w:r>
        <w:rPr>
          <w:sz w:val="18"/>
          <w:szCs w:val="18"/>
        </w:rPr>
        <w:t xml:space="preserve"> op grond van artikel 3:95 Wft. </w:t>
      </w:r>
      <w:r w:rsidR="00883F85">
        <w:rPr>
          <w:sz w:val="18"/>
          <w:szCs w:val="18"/>
        </w:rPr>
        <w:t>In een dergelijk geval</w:t>
      </w:r>
      <w:r w:rsidR="0006476A">
        <w:rPr>
          <w:sz w:val="18"/>
          <w:szCs w:val="18"/>
        </w:rPr>
        <w:t>,</w:t>
      </w:r>
      <w:r w:rsidR="00883F85">
        <w:rPr>
          <w:sz w:val="18"/>
          <w:szCs w:val="18"/>
        </w:rPr>
        <w:t xml:space="preserve"> waarbij beide </w:t>
      </w:r>
      <w:r w:rsidR="00525BD0">
        <w:rPr>
          <w:sz w:val="18"/>
          <w:szCs w:val="18"/>
        </w:rPr>
        <w:t>vvgb’s</w:t>
      </w:r>
      <w:r w:rsidR="00883F85">
        <w:rPr>
          <w:sz w:val="18"/>
          <w:szCs w:val="18"/>
        </w:rPr>
        <w:t xml:space="preserve"> aangevraagd moeten worden, is er sprake van enige samenloop, </w:t>
      </w:r>
      <w:r w:rsidR="0006476A">
        <w:rPr>
          <w:sz w:val="18"/>
          <w:szCs w:val="18"/>
        </w:rPr>
        <w:t xml:space="preserve">maar wijken </w:t>
      </w:r>
      <w:r w:rsidR="00883F85">
        <w:rPr>
          <w:sz w:val="18"/>
          <w:szCs w:val="18"/>
        </w:rPr>
        <w:t>de beslistermijn</w:t>
      </w:r>
      <w:r w:rsidR="0006476A">
        <w:rPr>
          <w:sz w:val="18"/>
          <w:szCs w:val="18"/>
        </w:rPr>
        <w:t>en</w:t>
      </w:r>
      <w:r w:rsidR="00883F85">
        <w:rPr>
          <w:sz w:val="18"/>
          <w:szCs w:val="18"/>
        </w:rPr>
        <w:t xml:space="preserve"> die </w:t>
      </w:r>
      <w:r w:rsidR="002A2C85">
        <w:rPr>
          <w:sz w:val="18"/>
          <w:szCs w:val="18"/>
        </w:rPr>
        <w:t xml:space="preserve">de ECB (indien DNB een ontwerpbesluit opstelt) en </w:t>
      </w:r>
      <w:r w:rsidR="00883F85">
        <w:rPr>
          <w:sz w:val="18"/>
          <w:szCs w:val="18"/>
        </w:rPr>
        <w:t xml:space="preserve">DNB geboden </w:t>
      </w:r>
      <w:r w:rsidR="0006476A">
        <w:rPr>
          <w:sz w:val="18"/>
          <w:szCs w:val="18"/>
        </w:rPr>
        <w:t xml:space="preserve">zijn </w:t>
      </w:r>
      <w:r w:rsidR="00515369">
        <w:rPr>
          <w:sz w:val="18"/>
          <w:szCs w:val="18"/>
        </w:rPr>
        <w:t xml:space="preserve">in het tweede en derde lid </w:t>
      </w:r>
      <w:r w:rsidR="00C404F2">
        <w:rPr>
          <w:sz w:val="18"/>
          <w:szCs w:val="18"/>
        </w:rPr>
        <w:t xml:space="preserve">van artikel 1:106b Wft </w:t>
      </w:r>
      <w:r w:rsidR="0006476A">
        <w:rPr>
          <w:sz w:val="18"/>
          <w:szCs w:val="18"/>
        </w:rPr>
        <w:t>af</w:t>
      </w:r>
      <w:r w:rsidR="00515369">
        <w:rPr>
          <w:sz w:val="18"/>
          <w:szCs w:val="18"/>
        </w:rPr>
        <w:t xml:space="preserve">. </w:t>
      </w:r>
      <w:r w:rsidR="0006476A">
        <w:rPr>
          <w:sz w:val="18"/>
          <w:szCs w:val="18"/>
        </w:rPr>
        <w:t xml:space="preserve">In dat geval </w:t>
      </w:r>
      <w:r w:rsidR="00515369">
        <w:rPr>
          <w:sz w:val="18"/>
          <w:szCs w:val="18"/>
        </w:rPr>
        <w:t>geldt dat de termijn</w:t>
      </w:r>
      <w:r w:rsidR="00C404F2">
        <w:rPr>
          <w:sz w:val="18"/>
          <w:szCs w:val="18"/>
        </w:rPr>
        <w:t xml:space="preserve"> die als laatst verloopt</w:t>
      </w:r>
      <w:r w:rsidR="0006476A">
        <w:rPr>
          <w:sz w:val="18"/>
          <w:szCs w:val="18"/>
        </w:rPr>
        <w:t>,</w:t>
      </w:r>
      <w:r w:rsidR="00C404F2">
        <w:rPr>
          <w:sz w:val="18"/>
          <w:szCs w:val="18"/>
        </w:rPr>
        <w:t xml:space="preserve"> de beslistermijn bepaalt</w:t>
      </w:r>
      <w:r w:rsidR="00515369">
        <w:rPr>
          <w:sz w:val="18"/>
          <w:szCs w:val="18"/>
        </w:rPr>
        <w:t>.</w:t>
      </w:r>
    </w:p>
    <w:p w:rsidR="00515369" w:rsidP="001E56AB" w:rsidRDefault="00515369" w14:paraId="3C1AC5CB" w14:textId="77777777">
      <w:pPr>
        <w:spacing w:line="240" w:lineRule="atLeast"/>
        <w:rPr>
          <w:sz w:val="18"/>
          <w:szCs w:val="18"/>
        </w:rPr>
      </w:pPr>
    </w:p>
    <w:p w:rsidRPr="00BD04E1" w:rsidR="00515369" w:rsidP="001E56AB" w:rsidRDefault="00515369" w14:paraId="7A5F97C6" w14:textId="1036DA21">
      <w:pPr>
        <w:spacing w:line="240" w:lineRule="atLeast"/>
        <w:rPr>
          <w:sz w:val="18"/>
          <w:szCs w:val="18"/>
        </w:rPr>
      </w:pPr>
      <w:r>
        <w:rPr>
          <w:sz w:val="18"/>
          <w:szCs w:val="18"/>
        </w:rPr>
        <w:t xml:space="preserve">Het nieuwe zesde lid betreft de implementatie van artikel 27 decies, derde lid, CRD. Dit lid schrijft voor dat als een </w:t>
      </w:r>
      <w:r w:rsidR="00966AF0">
        <w:rPr>
          <w:sz w:val="18"/>
          <w:szCs w:val="18"/>
        </w:rPr>
        <w:t>vvgb</w:t>
      </w:r>
      <w:r>
        <w:rPr>
          <w:sz w:val="18"/>
          <w:szCs w:val="18"/>
        </w:rPr>
        <w:t xml:space="preserve"> wordt aangevraagd voor een fusie of splitsing, maar om die transactie te voltooien er ook een vergunningaanvraag voor een bank als bedoeld in artikel 2:11 Wft of een goedkeuring voor een (gemengde) financiële holding</w:t>
      </w:r>
      <w:r w:rsidR="007B4AA9">
        <w:rPr>
          <w:sz w:val="18"/>
          <w:szCs w:val="18"/>
        </w:rPr>
        <w:t xml:space="preserve"> als bedoeld in artikel 3:280a Wft</w:t>
      </w:r>
      <w:r>
        <w:rPr>
          <w:sz w:val="18"/>
          <w:szCs w:val="18"/>
        </w:rPr>
        <w:t xml:space="preserve"> vereist is, de aanvraag niet in behandeling wordt genomen. </w:t>
      </w:r>
      <w:r w:rsidR="008752CA">
        <w:rPr>
          <w:sz w:val="18"/>
          <w:szCs w:val="18"/>
        </w:rPr>
        <w:t xml:space="preserve">Hiermee wordt voorkomen dat DNB een aanvraag tot een </w:t>
      </w:r>
      <w:r w:rsidR="00966AF0">
        <w:rPr>
          <w:sz w:val="18"/>
          <w:szCs w:val="18"/>
        </w:rPr>
        <w:t>vvgb</w:t>
      </w:r>
      <w:r w:rsidR="008752CA">
        <w:rPr>
          <w:sz w:val="18"/>
          <w:szCs w:val="18"/>
        </w:rPr>
        <w:t xml:space="preserve"> moet beoordelen </w:t>
      </w:r>
      <w:r w:rsidR="00D25640">
        <w:rPr>
          <w:sz w:val="18"/>
          <w:szCs w:val="18"/>
        </w:rPr>
        <w:t xml:space="preserve">terwijl er ook een volledige vergunningaanvraag voor een bank of een goedkeuring voor een (gemengde) financiële holding voorligt. </w:t>
      </w:r>
      <w:r w:rsidR="00995F35">
        <w:rPr>
          <w:sz w:val="18"/>
          <w:szCs w:val="18"/>
        </w:rPr>
        <w:t>Op grond van artikel 4:5, vierde lid, Awb stelt DNB de aanvrager hiervan op de hoogte.</w:t>
      </w:r>
    </w:p>
    <w:p w:rsidRPr="00BD04E1" w:rsidR="001E56AB" w:rsidP="001E56AB" w:rsidRDefault="001E56AB" w14:paraId="46278B81" w14:textId="77777777">
      <w:pPr>
        <w:widowControl w:val="0"/>
        <w:spacing w:line="240" w:lineRule="atLeast"/>
        <w:rPr>
          <w:rFonts w:eastAsiaTheme="minorHAnsi"/>
          <w:color w:val="000000"/>
          <w:sz w:val="18"/>
          <w:szCs w:val="18"/>
          <w:lang w:eastAsia="en-US"/>
        </w:rPr>
      </w:pPr>
    </w:p>
    <w:p w:rsidRPr="00BD04E1" w:rsidR="001E56AB" w:rsidP="001E56AB" w:rsidRDefault="00B14A85" w14:paraId="761FB4E4" w14:textId="74D3B417">
      <w:pPr>
        <w:widowControl w:val="0"/>
        <w:spacing w:line="240" w:lineRule="atLeast"/>
        <w:rPr>
          <w:sz w:val="18"/>
          <w:szCs w:val="18"/>
        </w:rPr>
      </w:pPr>
      <w:r>
        <w:rPr>
          <w:sz w:val="18"/>
          <w:szCs w:val="18"/>
        </w:rPr>
        <w:t>L</w:t>
      </w:r>
      <w:r w:rsidRPr="00BD04E1" w:rsidR="001E56AB">
        <w:rPr>
          <w:sz w:val="18"/>
          <w:szCs w:val="18"/>
        </w:rPr>
        <w:t xml:space="preserve"> (1:106c)</w:t>
      </w:r>
    </w:p>
    <w:p w:rsidR="001E56AB" w:rsidP="001E56AB" w:rsidRDefault="001E56AB" w14:paraId="396B97A6" w14:textId="77777777">
      <w:pPr>
        <w:widowControl w:val="0"/>
        <w:spacing w:line="240" w:lineRule="atLeast"/>
        <w:rPr>
          <w:sz w:val="18"/>
          <w:szCs w:val="18"/>
        </w:rPr>
      </w:pPr>
    </w:p>
    <w:p w:rsidR="008752CA" w:rsidP="001E56AB" w:rsidRDefault="00C9641D" w14:paraId="3721F4DE" w14:textId="3844A05A">
      <w:pPr>
        <w:widowControl w:val="0"/>
        <w:spacing w:line="240" w:lineRule="atLeast"/>
        <w:rPr>
          <w:sz w:val="18"/>
          <w:szCs w:val="18"/>
        </w:rPr>
      </w:pPr>
      <w:r>
        <w:rPr>
          <w:sz w:val="18"/>
          <w:szCs w:val="18"/>
        </w:rPr>
        <w:t>Art</w:t>
      </w:r>
      <w:r w:rsidR="00BD3653">
        <w:rPr>
          <w:sz w:val="18"/>
          <w:szCs w:val="18"/>
        </w:rPr>
        <w:t>i</w:t>
      </w:r>
      <w:r>
        <w:rPr>
          <w:sz w:val="18"/>
          <w:szCs w:val="18"/>
        </w:rPr>
        <w:t>kel 1:106c</w:t>
      </w:r>
      <w:r w:rsidR="00C404F2">
        <w:rPr>
          <w:sz w:val="18"/>
          <w:szCs w:val="18"/>
        </w:rPr>
        <w:t xml:space="preserve"> Wft</w:t>
      </w:r>
      <w:r>
        <w:rPr>
          <w:sz w:val="18"/>
          <w:szCs w:val="18"/>
        </w:rPr>
        <w:t xml:space="preserve"> bevat procedurele bepalingen omtrent het opvragen van aanvullende informatie bij een </w:t>
      </w:r>
      <w:r w:rsidR="00966AF0">
        <w:rPr>
          <w:sz w:val="18"/>
          <w:szCs w:val="18"/>
        </w:rPr>
        <w:t>vvgb</w:t>
      </w:r>
      <w:r>
        <w:rPr>
          <w:sz w:val="18"/>
          <w:szCs w:val="18"/>
        </w:rPr>
        <w:t xml:space="preserve">. Dit artikel dient ter implementatie van artikel 22 CRD. De termijn die voor de </w:t>
      </w:r>
      <w:r w:rsidR="00A83F47">
        <w:rPr>
          <w:sz w:val="18"/>
          <w:szCs w:val="18"/>
        </w:rPr>
        <w:t xml:space="preserve">ontvangstbevestiging </w:t>
      </w:r>
      <w:r>
        <w:rPr>
          <w:sz w:val="18"/>
          <w:szCs w:val="18"/>
        </w:rPr>
        <w:t>staat opgenomen in het tweede lid van artikel 1:106c Wft wordt ver</w:t>
      </w:r>
      <w:r w:rsidR="00C9706C">
        <w:rPr>
          <w:sz w:val="18"/>
          <w:szCs w:val="18"/>
        </w:rPr>
        <w:t>lengd</w:t>
      </w:r>
      <w:r>
        <w:rPr>
          <w:sz w:val="18"/>
          <w:szCs w:val="18"/>
        </w:rPr>
        <w:t xml:space="preserve"> naar 10 dagen nu dit ook zo in artikel 22, tweede lid, CRD is opgenomen.</w:t>
      </w:r>
      <w:r w:rsidR="009342D9">
        <w:rPr>
          <w:sz w:val="18"/>
          <w:szCs w:val="18"/>
        </w:rPr>
        <w:t xml:space="preserve"> Hiertoe is een tweede zin opgenomen om te differentiëren tussen de verschillende vvgb-procedures die gelden voor banken en (gemengde) financiële holdings die een termijn van 10 werkdagen hebben, en de overige vvgb-procedures</w:t>
      </w:r>
      <w:r w:rsidR="00C9706C">
        <w:rPr>
          <w:sz w:val="18"/>
          <w:szCs w:val="18"/>
        </w:rPr>
        <w:t xml:space="preserve"> waarvoor de termijn 2 werkdagen </w:t>
      </w:r>
      <w:r w:rsidR="00C41C8C">
        <w:rPr>
          <w:sz w:val="18"/>
          <w:szCs w:val="18"/>
        </w:rPr>
        <w:t>blijft</w:t>
      </w:r>
      <w:r w:rsidR="009342D9">
        <w:rPr>
          <w:sz w:val="18"/>
          <w:szCs w:val="18"/>
        </w:rPr>
        <w:t>.</w:t>
      </w:r>
    </w:p>
    <w:p w:rsidR="00C9641D" w:rsidP="001E56AB" w:rsidRDefault="00C9641D" w14:paraId="23F9D76C" w14:textId="77777777">
      <w:pPr>
        <w:widowControl w:val="0"/>
        <w:spacing w:line="240" w:lineRule="atLeast"/>
        <w:rPr>
          <w:sz w:val="18"/>
          <w:szCs w:val="18"/>
        </w:rPr>
      </w:pPr>
    </w:p>
    <w:p w:rsidR="00C9641D" w:rsidP="009C5BAC" w:rsidRDefault="00FF5195" w14:paraId="79A80F4B" w14:textId="0AF70819">
      <w:pPr>
        <w:widowControl w:val="0"/>
        <w:spacing w:line="240" w:lineRule="atLeast"/>
        <w:rPr>
          <w:sz w:val="18"/>
          <w:szCs w:val="18"/>
        </w:rPr>
      </w:pPr>
      <w:r>
        <w:rPr>
          <w:sz w:val="18"/>
          <w:szCs w:val="18"/>
        </w:rPr>
        <w:t xml:space="preserve">Het derde lid van artikel 1:106c Wft betreft een implementatie van artikel 21 bis, tweede lid, tweede alinea, CRD waarin de samenloop is opgenomen van enerzijds het aanvragen van een goedkeuring voor een (gemengde) financiële holding en anderzijds </w:t>
      </w:r>
      <w:r w:rsidR="003708B2">
        <w:rPr>
          <w:sz w:val="18"/>
          <w:szCs w:val="18"/>
        </w:rPr>
        <w:t xml:space="preserve">de beoordeling van een verwerving van een gekwalificeerde deelneming in een bank op grond van artikel 22 CRD. Met de wijziging van de </w:t>
      </w:r>
      <w:r w:rsidR="001E09D2">
        <w:rPr>
          <w:sz w:val="18"/>
          <w:szCs w:val="18"/>
        </w:rPr>
        <w:t>CRD</w:t>
      </w:r>
      <w:r w:rsidR="00A83F47">
        <w:rPr>
          <w:sz w:val="18"/>
          <w:szCs w:val="18"/>
        </w:rPr>
        <w:t xml:space="preserve"> van dat artikel</w:t>
      </w:r>
      <w:r w:rsidR="003708B2">
        <w:rPr>
          <w:sz w:val="18"/>
          <w:szCs w:val="18"/>
        </w:rPr>
        <w:t xml:space="preserve"> wordt in deze alinea een aantal veranderingen doorgevoerd. Allereerst is opgenomen dat het niet alleen gaat om </w:t>
      </w:r>
      <w:r w:rsidR="00556CE9">
        <w:rPr>
          <w:sz w:val="18"/>
          <w:szCs w:val="18"/>
        </w:rPr>
        <w:t xml:space="preserve">de goedkeuring van een (gemengde) financiële holding, maar tevens om de ontheffing voor een (gemengde) financiële holding als bedoeld in artikel 21 bis, vierde lid, </w:t>
      </w:r>
      <w:r w:rsidR="00556CE9">
        <w:rPr>
          <w:sz w:val="18"/>
          <w:szCs w:val="18"/>
        </w:rPr>
        <w:lastRenderedPageBreak/>
        <w:t>CRD. Deze wijziging krijgt vorm in 1:106c, derde lid, Wft</w:t>
      </w:r>
      <w:r w:rsidR="00653E72">
        <w:rPr>
          <w:sz w:val="18"/>
          <w:szCs w:val="18"/>
        </w:rPr>
        <w:t>,</w:t>
      </w:r>
      <w:r w:rsidR="00556CE9">
        <w:rPr>
          <w:sz w:val="18"/>
          <w:szCs w:val="18"/>
        </w:rPr>
        <w:t xml:space="preserve"> door</w:t>
      </w:r>
      <w:r w:rsidR="00A83F47">
        <w:rPr>
          <w:sz w:val="18"/>
          <w:szCs w:val="18"/>
        </w:rPr>
        <w:t>dat</w:t>
      </w:r>
      <w:r w:rsidR="00556CE9">
        <w:rPr>
          <w:sz w:val="18"/>
          <w:szCs w:val="18"/>
        </w:rPr>
        <w:t xml:space="preserve"> </w:t>
      </w:r>
      <w:r w:rsidR="009C5BAC">
        <w:rPr>
          <w:sz w:val="18"/>
          <w:szCs w:val="18"/>
        </w:rPr>
        <w:t>tevens de ontheffing van een (gemengde) financiële holding als bedoeld in artikel 3:280c Wft een reden kan zijn om de beslistermijn op te schorten indien er samenloop is met de</w:t>
      </w:r>
      <w:r w:rsidR="00C91277">
        <w:rPr>
          <w:sz w:val="18"/>
          <w:szCs w:val="18"/>
        </w:rPr>
        <w:t xml:space="preserve"> </w:t>
      </w:r>
      <w:r w:rsidR="00966AF0">
        <w:rPr>
          <w:sz w:val="18"/>
          <w:szCs w:val="18"/>
        </w:rPr>
        <w:t>vvgb</w:t>
      </w:r>
      <w:r w:rsidR="00C91277">
        <w:rPr>
          <w:sz w:val="18"/>
          <w:szCs w:val="18"/>
        </w:rPr>
        <w:t xml:space="preserve"> voor de verwerving van een deelneming van betekenis op grond van artikel 3:96c, eerste lid, onderdeel a, Wft </w:t>
      </w:r>
      <w:r w:rsidR="00556CE9">
        <w:rPr>
          <w:sz w:val="18"/>
          <w:szCs w:val="18"/>
        </w:rPr>
        <w:t xml:space="preserve">(deelneming van betekenis). </w:t>
      </w:r>
      <w:r w:rsidR="00C91277">
        <w:rPr>
          <w:sz w:val="18"/>
          <w:szCs w:val="18"/>
        </w:rPr>
        <w:t>De</w:t>
      </w:r>
      <w:r w:rsidR="00556CE9">
        <w:rPr>
          <w:sz w:val="18"/>
          <w:szCs w:val="18"/>
        </w:rPr>
        <w:t xml:space="preserve"> </w:t>
      </w:r>
      <w:r w:rsidR="00966AF0">
        <w:rPr>
          <w:sz w:val="18"/>
          <w:szCs w:val="18"/>
        </w:rPr>
        <w:t>vvgb</w:t>
      </w:r>
      <w:r w:rsidR="00520D61">
        <w:rPr>
          <w:sz w:val="18"/>
          <w:szCs w:val="18"/>
        </w:rPr>
        <w:t xml:space="preserve"> </w:t>
      </w:r>
      <w:r w:rsidR="00556CE9">
        <w:rPr>
          <w:sz w:val="18"/>
          <w:szCs w:val="18"/>
        </w:rPr>
        <w:t xml:space="preserve">procedures voor de gekwalificeerde deelneming en de deelneming van betekenis </w:t>
      </w:r>
      <w:r w:rsidR="00C91277">
        <w:rPr>
          <w:sz w:val="18"/>
          <w:szCs w:val="18"/>
        </w:rPr>
        <w:t xml:space="preserve">worden </w:t>
      </w:r>
      <w:r w:rsidR="00556CE9">
        <w:rPr>
          <w:sz w:val="18"/>
          <w:szCs w:val="18"/>
        </w:rPr>
        <w:t xml:space="preserve">opgeschort totdat de goedkeuring of ontheffing van de (gemengde) financiële holding </w:t>
      </w:r>
      <w:r w:rsidR="00653E72">
        <w:rPr>
          <w:sz w:val="18"/>
          <w:szCs w:val="18"/>
        </w:rPr>
        <w:t xml:space="preserve">verleend </w:t>
      </w:r>
      <w:r w:rsidR="00556CE9">
        <w:rPr>
          <w:sz w:val="18"/>
          <w:szCs w:val="18"/>
        </w:rPr>
        <w:t>is.</w:t>
      </w:r>
    </w:p>
    <w:p w:rsidR="00556CE9" w:rsidP="001E56AB" w:rsidRDefault="00556CE9" w14:paraId="28953DD7" w14:textId="77777777">
      <w:pPr>
        <w:widowControl w:val="0"/>
        <w:spacing w:line="240" w:lineRule="atLeast"/>
        <w:rPr>
          <w:sz w:val="18"/>
          <w:szCs w:val="18"/>
        </w:rPr>
      </w:pPr>
    </w:p>
    <w:p w:rsidR="00DB6472" w:rsidP="001E56AB" w:rsidRDefault="00DB6472" w14:paraId="1665D529" w14:textId="44C6CD47">
      <w:pPr>
        <w:widowControl w:val="0"/>
        <w:spacing w:line="240" w:lineRule="atLeast"/>
        <w:rPr>
          <w:sz w:val="18"/>
          <w:szCs w:val="18"/>
        </w:rPr>
      </w:pPr>
      <w:r>
        <w:rPr>
          <w:sz w:val="18"/>
          <w:szCs w:val="18"/>
        </w:rPr>
        <w:t xml:space="preserve">Daarnaast is het vijfde lid van artikel 1:106c Wft aangepast. Dit lid ziet op een uitzonderingsmogelijkheid voor DNB om de opschorting uit artikel 1:106c, </w:t>
      </w:r>
      <w:r w:rsidR="00E50FD4">
        <w:rPr>
          <w:sz w:val="18"/>
          <w:szCs w:val="18"/>
        </w:rPr>
        <w:t xml:space="preserve">vierde </w:t>
      </w:r>
      <w:r>
        <w:rPr>
          <w:sz w:val="18"/>
          <w:szCs w:val="18"/>
        </w:rPr>
        <w:t xml:space="preserve">lid, in plaats van 20 dagen 30 dagen te laten duren. </w:t>
      </w:r>
      <w:r w:rsidR="00E50FD4">
        <w:rPr>
          <w:sz w:val="18"/>
          <w:szCs w:val="18"/>
        </w:rPr>
        <w:t xml:space="preserve">Hierbij is het wel nodig om in de aanhef “derde lid” te vervangen door “vierde lid” als herstel van een omissie van de Implementatiewet kapitaalvereisten 2020. </w:t>
      </w:r>
      <w:r>
        <w:rPr>
          <w:sz w:val="18"/>
          <w:szCs w:val="18"/>
        </w:rPr>
        <w:t xml:space="preserve">Onderdeel a biedt </w:t>
      </w:r>
      <w:r w:rsidR="00E50FD4">
        <w:rPr>
          <w:sz w:val="18"/>
          <w:szCs w:val="18"/>
        </w:rPr>
        <w:t>nu de</w:t>
      </w:r>
      <w:r>
        <w:rPr>
          <w:sz w:val="18"/>
          <w:szCs w:val="18"/>
        </w:rPr>
        <w:t xml:space="preserve"> mogelijkheid als de aanvrager van de </w:t>
      </w:r>
      <w:r w:rsidR="00966AF0">
        <w:rPr>
          <w:sz w:val="18"/>
          <w:szCs w:val="18"/>
        </w:rPr>
        <w:t>vvgb</w:t>
      </w:r>
      <w:r>
        <w:rPr>
          <w:sz w:val="18"/>
          <w:szCs w:val="18"/>
        </w:rPr>
        <w:t xml:space="preserve"> zijn zetel heeft of onder toezicht staat in een staat die geen lidstaat is</w:t>
      </w:r>
      <w:r w:rsidR="00E50FD4">
        <w:rPr>
          <w:sz w:val="18"/>
          <w:szCs w:val="18"/>
        </w:rPr>
        <w:t xml:space="preserve"> de termijn met 10 dagen te verlengen naar 30 dagen</w:t>
      </w:r>
      <w:r>
        <w:rPr>
          <w:sz w:val="18"/>
          <w:szCs w:val="18"/>
        </w:rPr>
        <w:t>. Aan die situatie word</w:t>
      </w:r>
      <w:r w:rsidR="00E11342">
        <w:rPr>
          <w:sz w:val="18"/>
          <w:szCs w:val="18"/>
        </w:rPr>
        <w:t>en nu toegevoegd het geval dat de onderneming waarin een deelneming van betekenis als b</w:t>
      </w:r>
      <w:r w:rsidR="00D65EA1">
        <w:rPr>
          <w:sz w:val="18"/>
          <w:szCs w:val="18"/>
        </w:rPr>
        <w:t xml:space="preserve">edoeld in artikel 3:96a, eerste lid, onderdeel a, of 3:96c, eerste lid, onderdeel a, Wft zijn zetel heeft of onder toezicht staat in een staat die niet een lidstaat is heeft, en het geval waarin een van de betrokken ondernemingen bij een fusie </w:t>
      </w:r>
      <w:r w:rsidR="004151F6">
        <w:rPr>
          <w:sz w:val="18"/>
          <w:szCs w:val="18"/>
        </w:rPr>
        <w:t>o</w:t>
      </w:r>
      <w:r w:rsidR="00D65EA1">
        <w:rPr>
          <w:sz w:val="18"/>
          <w:szCs w:val="18"/>
        </w:rPr>
        <w:t>f splitsing als bedoeld in artikel 3:96a, onderdelen b of c, of artikel 3:96c, eerste lid, onderdelen b of c, zijn zetel heeft of onder toezicht staat in een staat niet die geen lidstaat is.</w:t>
      </w:r>
    </w:p>
    <w:p w:rsidR="00297FDA" w:rsidP="001E56AB" w:rsidRDefault="00297FDA" w14:paraId="6AFAF264" w14:textId="77777777">
      <w:pPr>
        <w:widowControl w:val="0"/>
        <w:spacing w:line="240" w:lineRule="atLeast"/>
        <w:rPr>
          <w:sz w:val="18"/>
          <w:szCs w:val="18"/>
        </w:rPr>
      </w:pPr>
    </w:p>
    <w:p w:rsidR="0081153B" w:rsidP="001E56AB" w:rsidRDefault="00297FDA" w14:paraId="76F90102" w14:textId="0630355F">
      <w:pPr>
        <w:widowControl w:val="0"/>
        <w:spacing w:line="240" w:lineRule="atLeast"/>
        <w:rPr>
          <w:sz w:val="18"/>
          <w:szCs w:val="18"/>
        </w:rPr>
      </w:pPr>
      <w:r>
        <w:rPr>
          <w:sz w:val="18"/>
          <w:szCs w:val="18"/>
        </w:rPr>
        <w:t xml:space="preserve">Tevens is een nieuw onderdeel c opgenomen in het vijfde lid van artikel 1:106c Wft, </w:t>
      </w:r>
      <w:r w:rsidR="00741600">
        <w:rPr>
          <w:sz w:val="18"/>
          <w:szCs w:val="18"/>
        </w:rPr>
        <w:t>d</w:t>
      </w:r>
      <w:r>
        <w:rPr>
          <w:sz w:val="18"/>
          <w:szCs w:val="18"/>
        </w:rPr>
        <w:t xml:space="preserve">at ziet op de mogelijkheid om de opschorting in te zetten indien er een </w:t>
      </w:r>
      <w:r w:rsidRPr="00297FDA">
        <w:rPr>
          <w:sz w:val="18"/>
          <w:szCs w:val="18"/>
        </w:rPr>
        <w:t>uitwisseling van informatie met de toezichthoudende autoriteiten, bedoeld in artikel 1d, eerste lid, onderdelen a en b, van de Wet ter voorkoming van witwassen en financiering van terrorisme, noodzakelijk is</w:t>
      </w:r>
      <w:r>
        <w:rPr>
          <w:sz w:val="18"/>
          <w:szCs w:val="18"/>
        </w:rPr>
        <w:t>. Dit is ter implementatie van artikel 27 bis, elfde lid, en 27 decies, zesde lid, CRD.</w:t>
      </w:r>
    </w:p>
    <w:p w:rsidRPr="00BD04E1" w:rsidR="001E56AB" w:rsidP="001E56AB" w:rsidRDefault="001E56AB" w14:paraId="6FA588DA" w14:textId="77777777">
      <w:pPr>
        <w:widowControl w:val="0"/>
        <w:spacing w:line="240" w:lineRule="atLeast"/>
        <w:rPr>
          <w:sz w:val="18"/>
          <w:szCs w:val="18"/>
        </w:rPr>
      </w:pPr>
    </w:p>
    <w:p w:rsidRPr="00BD04E1" w:rsidR="001E56AB" w:rsidP="001E56AB" w:rsidRDefault="00A552B3" w14:paraId="3C801353" w14:textId="28BC03F2">
      <w:pPr>
        <w:widowControl w:val="0"/>
        <w:spacing w:line="240" w:lineRule="atLeast"/>
        <w:rPr>
          <w:sz w:val="18"/>
          <w:szCs w:val="18"/>
        </w:rPr>
      </w:pPr>
      <w:r>
        <w:rPr>
          <w:sz w:val="18"/>
          <w:szCs w:val="18"/>
        </w:rPr>
        <w:t>M</w:t>
      </w:r>
      <w:r w:rsidRPr="00BD04E1" w:rsidR="001E56AB">
        <w:rPr>
          <w:sz w:val="18"/>
          <w:szCs w:val="18"/>
        </w:rPr>
        <w:t xml:space="preserve"> (1:106d)</w:t>
      </w:r>
    </w:p>
    <w:p w:rsidR="001E56AB" w:rsidP="001E56AB" w:rsidRDefault="001E56AB" w14:paraId="18722202" w14:textId="77777777">
      <w:pPr>
        <w:widowControl w:val="0"/>
        <w:spacing w:line="240" w:lineRule="atLeast"/>
        <w:rPr>
          <w:sz w:val="18"/>
          <w:szCs w:val="18"/>
        </w:rPr>
      </w:pPr>
    </w:p>
    <w:p w:rsidR="001E0153" w:rsidP="001E56AB" w:rsidRDefault="004151F6" w14:paraId="5C1BEBD4" w14:textId="43A4B83D">
      <w:pPr>
        <w:widowControl w:val="0"/>
        <w:spacing w:line="240" w:lineRule="atLeast"/>
        <w:rPr>
          <w:sz w:val="18"/>
          <w:szCs w:val="18"/>
        </w:rPr>
      </w:pPr>
      <w:r>
        <w:rPr>
          <w:sz w:val="18"/>
          <w:szCs w:val="18"/>
        </w:rPr>
        <w:t>Artikel 1:106d</w:t>
      </w:r>
      <w:r w:rsidR="00C62671">
        <w:rPr>
          <w:sz w:val="18"/>
          <w:szCs w:val="18"/>
        </w:rPr>
        <w:t xml:space="preserve"> Wft</w:t>
      </w:r>
      <w:r>
        <w:rPr>
          <w:sz w:val="18"/>
          <w:szCs w:val="18"/>
        </w:rPr>
        <w:t xml:space="preserve"> </w:t>
      </w:r>
      <w:r w:rsidRPr="00A56784">
        <w:rPr>
          <w:sz w:val="18"/>
          <w:szCs w:val="18"/>
        </w:rPr>
        <w:t xml:space="preserve">bevat de </w:t>
      </w:r>
      <w:r w:rsidRPr="00A56784">
        <w:rPr>
          <w:i/>
          <w:iCs/>
          <w:sz w:val="18"/>
          <w:szCs w:val="18"/>
        </w:rPr>
        <w:t>lex silencio positivo</w:t>
      </w:r>
      <w:r w:rsidRPr="00A56784" w:rsidR="00430C86">
        <w:rPr>
          <w:rStyle w:val="Voetnootmarkering"/>
          <w:i/>
          <w:iCs/>
          <w:sz w:val="18"/>
          <w:szCs w:val="18"/>
        </w:rPr>
        <w:footnoteReference w:id="78"/>
      </w:r>
      <w:r w:rsidRPr="00A56784">
        <w:rPr>
          <w:i/>
          <w:iCs/>
          <w:sz w:val="18"/>
          <w:szCs w:val="18"/>
        </w:rPr>
        <w:t xml:space="preserve"> </w:t>
      </w:r>
      <w:r w:rsidRPr="00A56784">
        <w:rPr>
          <w:sz w:val="18"/>
          <w:szCs w:val="18"/>
        </w:rPr>
        <w:t>bij een</w:t>
      </w:r>
      <w:r>
        <w:rPr>
          <w:sz w:val="18"/>
          <w:szCs w:val="18"/>
        </w:rPr>
        <w:t xml:space="preserve"> </w:t>
      </w:r>
      <w:r w:rsidR="00966AF0">
        <w:rPr>
          <w:sz w:val="18"/>
          <w:szCs w:val="18"/>
        </w:rPr>
        <w:t>vvgb</w:t>
      </w:r>
      <w:r>
        <w:rPr>
          <w:sz w:val="18"/>
          <w:szCs w:val="18"/>
        </w:rPr>
        <w:t>. Aan dit artikel word</w:t>
      </w:r>
      <w:r w:rsidR="009342D9">
        <w:rPr>
          <w:sz w:val="18"/>
          <w:szCs w:val="18"/>
        </w:rPr>
        <w:t>en drie leden toegevo</w:t>
      </w:r>
      <w:r w:rsidR="00C41C8C">
        <w:rPr>
          <w:sz w:val="18"/>
          <w:szCs w:val="18"/>
        </w:rPr>
        <w:t>e</w:t>
      </w:r>
      <w:r w:rsidR="009342D9">
        <w:rPr>
          <w:sz w:val="18"/>
          <w:szCs w:val="18"/>
        </w:rPr>
        <w:t>gd</w:t>
      </w:r>
      <w:r>
        <w:rPr>
          <w:sz w:val="18"/>
          <w:szCs w:val="18"/>
        </w:rPr>
        <w:t xml:space="preserve">. </w:t>
      </w:r>
      <w:r w:rsidR="009342D9">
        <w:rPr>
          <w:sz w:val="18"/>
          <w:szCs w:val="18"/>
        </w:rPr>
        <w:t>He</w:t>
      </w:r>
      <w:r>
        <w:rPr>
          <w:sz w:val="18"/>
          <w:szCs w:val="18"/>
        </w:rPr>
        <w:t xml:space="preserve">t tweede lid ziet specifiek op de situatie dat er een </w:t>
      </w:r>
      <w:r w:rsidR="00966AF0">
        <w:rPr>
          <w:sz w:val="18"/>
          <w:szCs w:val="18"/>
        </w:rPr>
        <w:t>vvgb</w:t>
      </w:r>
      <w:r>
        <w:rPr>
          <w:sz w:val="18"/>
          <w:szCs w:val="18"/>
        </w:rPr>
        <w:t xml:space="preserve"> gevraagd wordt voor een fusie of splitsing</w:t>
      </w:r>
      <w:r w:rsidR="00A52A41">
        <w:rPr>
          <w:sz w:val="18"/>
          <w:szCs w:val="18"/>
        </w:rPr>
        <w:t xml:space="preserve"> zoals bedoeld in artikel 3:96a, onderdelen b of c </w:t>
      </w:r>
      <w:r w:rsidR="00653E72">
        <w:rPr>
          <w:sz w:val="18"/>
          <w:szCs w:val="18"/>
        </w:rPr>
        <w:t xml:space="preserve">of </w:t>
      </w:r>
      <w:r w:rsidR="00A52A41">
        <w:rPr>
          <w:sz w:val="18"/>
          <w:szCs w:val="18"/>
        </w:rPr>
        <w:t xml:space="preserve">artikel 3:96c, onderdelen b of c, Wft. Artikel 27 decies, zevende lid, CRD schrijft voor dat de transactie (de fusie of de splitsing) niet voltooid mag worden voordat de </w:t>
      </w:r>
      <w:r w:rsidR="00542EA1">
        <w:rPr>
          <w:sz w:val="18"/>
          <w:szCs w:val="18"/>
        </w:rPr>
        <w:t>”</w:t>
      </w:r>
      <w:r w:rsidR="00A52A41">
        <w:rPr>
          <w:sz w:val="18"/>
          <w:szCs w:val="18"/>
        </w:rPr>
        <w:t>bevoegde autoriteit een positief advies heeft uitgebracht</w:t>
      </w:r>
      <w:r w:rsidR="00542EA1">
        <w:rPr>
          <w:sz w:val="18"/>
          <w:szCs w:val="18"/>
        </w:rPr>
        <w:t>”</w:t>
      </w:r>
      <w:r w:rsidR="00A52A41">
        <w:rPr>
          <w:sz w:val="18"/>
          <w:szCs w:val="18"/>
        </w:rPr>
        <w:t>.</w:t>
      </w:r>
      <w:r w:rsidR="00542EA1">
        <w:rPr>
          <w:sz w:val="18"/>
          <w:szCs w:val="18"/>
        </w:rPr>
        <w:t xml:space="preserve"> In het Nederlandse geval zal dat zijn dat de fusie of splitsing niet voltooid mag worden voordat er een </w:t>
      </w:r>
      <w:r w:rsidR="00966AF0">
        <w:rPr>
          <w:sz w:val="18"/>
          <w:szCs w:val="18"/>
        </w:rPr>
        <w:t>vvgb</w:t>
      </w:r>
      <w:r w:rsidR="00542EA1">
        <w:rPr>
          <w:sz w:val="18"/>
          <w:szCs w:val="18"/>
        </w:rPr>
        <w:t xml:space="preserve"> door DNB (of ECB) is afgegeven.</w:t>
      </w:r>
      <w:r w:rsidR="00A52A41">
        <w:rPr>
          <w:sz w:val="18"/>
          <w:szCs w:val="18"/>
        </w:rPr>
        <w:t xml:space="preserve"> In tegenstelling tot </w:t>
      </w:r>
      <w:r w:rsidR="00A128E3">
        <w:rPr>
          <w:sz w:val="18"/>
          <w:szCs w:val="18"/>
        </w:rPr>
        <w:t xml:space="preserve">wat artikel 27 bis, veertiende lid, CRD voorschrijft bij </w:t>
      </w:r>
      <w:r w:rsidR="00A52A41">
        <w:rPr>
          <w:sz w:val="18"/>
          <w:szCs w:val="18"/>
        </w:rPr>
        <w:t>de deelneming van betekenis</w:t>
      </w:r>
      <w:r w:rsidR="00653E72">
        <w:rPr>
          <w:sz w:val="18"/>
          <w:szCs w:val="18"/>
        </w:rPr>
        <w:t>,</w:t>
      </w:r>
      <w:r w:rsidR="00A128E3">
        <w:rPr>
          <w:sz w:val="18"/>
          <w:szCs w:val="18"/>
        </w:rPr>
        <w:t xml:space="preserve"> is er bij een fusie of splitsing </w:t>
      </w:r>
      <w:r w:rsidR="00542EA1">
        <w:rPr>
          <w:sz w:val="18"/>
          <w:szCs w:val="18"/>
        </w:rPr>
        <w:t xml:space="preserve">dus </w:t>
      </w:r>
      <w:r w:rsidR="00A128E3">
        <w:rPr>
          <w:sz w:val="18"/>
          <w:szCs w:val="18"/>
        </w:rPr>
        <w:t>geen stilzwijgende goedkeuring. Dit is opgenomen in het nieuwe tweede lid. Daarbij is tevens de uitzondering opgenomen die is voorgeschreven in artikel 27 decies, negende lid, CRD. Indien de fusie</w:t>
      </w:r>
      <w:r w:rsidR="004A03A6">
        <w:rPr>
          <w:sz w:val="18"/>
          <w:szCs w:val="18"/>
        </w:rPr>
        <w:t xml:space="preserve"> of splitsing</w:t>
      </w:r>
      <w:r w:rsidR="00925F8D">
        <w:rPr>
          <w:sz w:val="18"/>
          <w:szCs w:val="18"/>
        </w:rPr>
        <w:t xml:space="preserve"> </w:t>
      </w:r>
      <w:r w:rsidR="00A128E3">
        <w:rPr>
          <w:sz w:val="18"/>
          <w:szCs w:val="18"/>
        </w:rPr>
        <w:t>plaatsvindt tussen twee</w:t>
      </w:r>
      <w:r w:rsidR="006F1D66">
        <w:rPr>
          <w:sz w:val="18"/>
          <w:szCs w:val="18"/>
        </w:rPr>
        <w:t xml:space="preserve"> financieel belanghebbenden (banken dan</w:t>
      </w:r>
      <w:r w:rsidR="00520D61">
        <w:rPr>
          <w:sz w:val="18"/>
          <w:szCs w:val="18"/>
        </w:rPr>
        <w:t xml:space="preserve"> </w:t>
      </w:r>
      <w:r w:rsidR="006F1D66">
        <w:rPr>
          <w:sz w:val="18"/>
          <w:szCs w:val="18"/>
        </w:rPr>
        <w:t>wel (gemengde) financiële holdings) van dezelfde groep is er wel sprake van een stilzwijgende goedkeuring.</w:t>
      </w:r>
      <w:r w:rsidR="004A03A6">
        <w:rPr>
          <w:sz w:val="18"/>
          <w:szCs w:val="18"/>
        </w:rPr>
        <w:t xml:space="preserve"> Hierbij wordt opgemerkt dat er bij een splitsing vanuit wordt gegaan dat hierbij dan altijd een groepssituatie ontstaat en dit artikel dus altijd van toepassing is bij de splitsing als bedoeld in artikel 3:96a, onderdeel c, of 3:96c, onderdeel c, Wft.</w:t>
      </w:r>
    </w:p>
    <w:p w:rsidR="008D1CF6" w:rsidP="0017262F" w:rsidRDefault="008D1CF6" w14:paraId="2F1C7EE0" w14:textId="77777777">
      <w:pPr>
        <w:widowControl w:val="0"/>
        <w:spacing w:line="240" w:lineRule="atLeast"/>
        <w:rPr>
          <w:sz w:val="18"/>
          <w:szCs w:val="18"/>
        </w:rPr>
      </w:pPr>
    </w:p>
    <w:p w:rsidR="0017262F" w:rsidP="0017262F" w:rsidRDefault="008D1CF6" w14:paraId="16DE04B6" w14:textId="710559DE">
      <w:pPr>
        <w:widowControl w:val="0"/>
        <w:spacing w:line="240" w:lineRule="atLeast"/>
        <w:rPr>
          <w:sz w:val="18"/>
          <w:szCs w:val="18"/>
        </w:rPr>
      </w:pPr>
      <w:r>
        <w:rPr>
          <w:sz w:val="18"/>
          <w:szCs w:val="18"/>
        </w:rPr>
        <w:t xml:space="preserve">In het </w:t>
      </w:r>
      <w:r w:rsidR="00D25640">
        <w:rPr>
          <w:sz w:val="18"/>
          <w:szCs w:val="18"/>
        </w:rPr>
        <w:t>der</w:t>
      </w:r>
      <w:r>
        <w:rPr>
          <w:sz w:val="18"/>
          <w:szCs w:val="18"/>
        </w:rPr>
        <w:t>de lid is opgenomen dat de betrokken onderneming he</w:t>
      </w:r>
      <w:r w:rsidR="004A03A6">
        <w:rPr>
          <w:sz w:val="18"/>
          <w:szCs w:val="18"/>
        </w:rPr>
        <w:t xml:space="preserve">t besluit gebruiken bij </w:t>
      </w:r>
      <w:r w:rsidR="00E978A5">
        <w:rPr>
          <w:sz w:val="18"/>
          <w:szCs w:val="18"/>
        </w:rPr>
        <w:t xml:space="preserve">de verplichtingen bij </w:t>
      </w:r>
      <w:r w:rsidR="0017262F">
        <w:rPr>
          <w:sz w:val="18"/>
          <w:szCs w:val="18"/>
        </w:rPr>
        <w:t>(</w:t>
      </w:r>
      <w:r w:rsidR="00E978A5">
        <w:rPr>
          <w:sz w:val="18"/>
          <w:szCs w:val="18"/>
        </w:rPr>
        <w:t>grensoverschrijdende</w:t>
      </w:r>
      <w:r w:rsidR="00124FA1">
        <w:rPr>
          <w:sz w:val="18"/>
          <w:szCs w:val="18"/>
        </w:rPr>
        <w:t>)</w:t>
      </w:r>
      <w:r w:rsidR="00E978A5">
        <w:rPr>
          <w:sz w:val="18"/>
          <w:szCs w:val="18"/>
        </w:rPr>
        <w:t xml:space="preserve"> fusies en splitsingen </w:t>
      </w:r>
      <w:r w:rsidR="00E978A5">
        <w:rPr>
          <w:sz w:val="18"/>
          <w:szCs w:val="18"/>
        </w:rPr>
        <w:lastRenderedPageBreak/>
        <w:t>die gelden op grond v</w:t>
      </w:r>
      <w:r>
        <w:rPr>
          <w:sz w:val="18"/>
          <w:szCs w:val="18"/>
        </w:rPr>
        <w:t>an het vennootschapsrecht in Boek 2 van het Burgerlijk Wetboek</w:t>
      </w:r>
      <w:r w:rsidR="008F020F">
        <w:rPr>
          <w:sz w:val="18"/>
          <w:szCs w:val="18"/>
        </w:rPr>
        <w:t xml:space="preserve"> (BW)</w:t>
      </w:r>
      <w:r w:rsidR="00E978A5">
        <w:rPr>
          <w:sz w:val="18"/>
          <w:szCs w:val="18"/>
        </w:rPr>
        <w:t xml:space="preserve">. </w:t>
      </w:r>
      <w:r w:rsidR="0017262F">
        <w:rPr>
          <w:sz w:val="18"/>
          <w:szCs w:val="18"/>
        </w:rPr>
        <w:t xml:space="preserve">Indien het een binnenlandse fusie betreft dan </w:t>
      </w:r>
      <w:r w:rsidR="001F623A">
        <w:rPr>
          <w:sz w:val="18"/>
          <w:szCs w:val="18"/>
        </w:rPr>
        <w:t xml:space="preserve">is </w:t>
      </w:r>
      <w:r w:rsidR="0017262F">
        <w:rPr>
          <w:sz w:val="18"/>
          <w:szCs w:val="18"/>
        </w:rPr>
        <w:t xml:space="preserve">de </w:t>
      </w:r>
      <w:r w:rsidR="00C41C8C">
        <w:rPr>
          <w:sz w:val="18"/>
          <w:szCs w:val="18"/>
        </w:rPr>
        <w:t>vvgb</w:t>
      </w:r>
      <w:r w:rsidR="0017262F">
        <w:rPr>
          <w:sz w:val="18"/>
          <w:szCs w:val="18"/>
        </w:rPr>
        <w:t xml:space="preserve"> van DNB</w:t>
      </w:r>
      <w:r w:rsidR="001F623A">
        <w:rPr>
          <w:sz w:val="18"/>
          <w:szCs w:val="18"/>
        </w:rPr>
        <w:t xml:space="preserve"> een van de vormvoorschriften die in acht genomen moet worden waarop</w:t>
      </w:r>
      <w:r w:rsidR="0017262F">
        <w:rPr>
          <w:sz w:val="18"/>
          <w:szCs w:val="18"/>
        </w:rPr>
        <w:t xml:space="preserve"> de notaris op grond </w:t>
      </w:r>
      <w:r w:rsidR="001F623A">
        <w:rPr>
          <w:sz w:val="18"/>
          <w:szCs w:val="18"/>
        </w:rPr>
        <w:t xml:space="preserve">van </w:t>
      </w:r>
      <w:r w:rsidR="0017262F">
        <w:rPr>
          <w:sz w:val="18"/>
          <w:szCs w:val="18"/>
        </w:rPr>
        <w:t>artikel 2:3</w:t>
      </w:r>
      <w:r w:rsidR="001F623A">
        <w:rPr>
          <w:sz w:val="18"/>
          <w:szCs w:val="18"/>
        </w:rPr>
        <w:t>1</w:t>
      </w:r>
      <w:r w:rsidR="0017262F">
        <w:rPr>
          <w:sz w:val="18"/>
          <w:szCs w:val="18"/>
        </w:rPr>
        <w:t>8, tweede lid, BW (fusie) of 2:334n, tweede lid, BW (splitsing)</w:t>
      </w:r>
      <w:r w:rsidR="001F623A">
        <w:rPr>
          <w:sz w:val="18"/>
          <w:szCs w:val="18"/>
        </w:rPr>
        <w:t xml:space="preserve"> toeziet</w:t>
      </w:r>
      <w:r w:rsidR="0017262F">
        <w:rPr>
          <w:sz w:val="18"/>
          <w:szCs w:val="18"/>
        </w:rPr>
        <w:t>. Indien er sprake is van een grensoverschrijdende fusie ligt dit net anders. Daar zal, op grond van artikel 2:333i BW (grensoverschrijdende fusie) of artikel 2:334uu BW (grensoverschrijdende splitsing) in Nederland de notaris een</w:t>
      </w:r>
      <w:r w:rsidRPr="0017262F" w:rsidR="0017262F">
        <w:rPr>
          <w:sz w:val="18"/>
          <w:szCs w:val="18"/>
        </w:rPr>
        <w:t xml:space="preserve"> verklaring </w:t>
      </w:r>
      <w:r w:rsidR="0017262F">
        <w:rPr>
          <w:sz w:val="18"/>
          <w:szCs w:val="18"/>
        </w:rPr>
        <w:t xml:space="preserve">moeten </w:t>
      </w:r>
      <w:r w:rsidRPr="0017262F" w:rsidR="0017262F">
        <w:rPr>
          <w:sz w:val="18"/>
          <w:szCs w:val="18"/>
        </w:rPr>
        <w:t xml:space="preserve">afgeven van de rechtmatigheid van de grensoverschrijdende verrichting (het zogenaamde pre-fusie/pre-splitsing attest; gezamenlijk het pre-verrichting attest). </w:t>
      </w:r>
      <w:r>
        <w:rPr>
          <w:sz w:val="18"/>
          <w:szCs w:val="18"/>
        </w:rPr>
        <w:t xml:space="preserve">De notaris </w:t>
      </w:r>
      <w:r w:rsidRPr="0017262F" w:rsidR="0017262F">
        <w:rPr>
          <w:sz w:val="18"/>
          <w:szCs w:val="18"/>
        </w:rPr>
        <w:t>verricht daartoe een rechtmati</w:t>
      </w:r>
      <w:r>
        <w:rPr>
          <w:sz w:val="18"/>
          <w:szCs w:val="18"/>
        </w:rPr>
        <w:t>g</w:t>
      </w:r>
      <w:r w:rsidRPr="0017262F" w:rsidR="0017262F">
        <w:rPr>
          <w:sz w:val="18"/>
          <w:szCs w:val="18"/>
        </w:rPr>
        <w:t xml:space="preserve">heidstoets en een fraudetoets en ontvangt daartoe ook bepaalde documenten van de </w:t>
      </w:r>
      <w:r w:rsidR="0017262F">
        <w:rPr>
          <w:sz w:val="18"/>
          <w:szCs w:val="18"/>
        </w:rPr>
        <w:t>ondernemingen</w:t>
      </w:r>
      <w:r w:rsidRPr="0017262F" w:rsidR="0017262F">
        <w:rPr>
          <w:sz w:val="18"/>
          <w:szCs w:val="18"/>
        </w:rPr>
        <w:t xml:space="preserve"> die deelnemen aan de grensoverschrijdende verrichting.</w:t>
      </w:r>
      <w:r w:rsidR="0017262F">
        <w:rPr>
          <w:sz w:val="18"/>
          <w:szCs w:val="18"/>
        </w:rPr>
        <w:t xml:space="preserve"> Vervolgens zal de Nederlandse bank of (gemengde) financiële holding die grensoverschrijdend fuseert/splitst dit pre-attest moeten aanleveren bij de bevoegde instantie in de lidstaat van bestemming die een verklaring afgeeft </w:t>
      </w:r>
      <w:r w:rsidRPr="0017262F" w:rsidR="0017262F">
        <w:rPr>
          <w:sz w:val="18"/>
          <w:szCs w:val="18"/>
        </w:rPr>
        <w:t>dat aan alle vereisten voor de grensoverschrijdende verrichting is voldaan (het zogenaamde slotattest)</w:t>
      </w:r>
      <w:r w:rsidR="0017262F">
        <w:rPr>
          <w:sz w:val="18"/>
          <w:szCs w:val="18"/>
        </w:rPr>
        <w:t>. Indien Nederland de lidstaat van bestemming is voor de grensoverschrijdende verrichting is hier de notaris de bevoegde instantie die het slotattest afgeeft. Zie hiervoor artikel 2:333ia BW (fusie) en artikel 2:334vv BW (splitsing).</w:t>
      </w:r>
    </w:p>
    <w:p w:rsidR="009342D9" w:rsidP="0017262F" w:rsidRDefault="009342D9" w14:paraId="3927ED60" w14:textId="77777777">
      <w:pPr>
        <w:widowControl w:val="0"/>
        <w:spacing w:line="240" w:lineRule="atLeast"/>
        <w:rPr>
          <w:sz w:val="18"/>
          <w:szCs w:val="18"/>
        </w:rPr>
      </w:pPr>
    </w:p>
    <w:p w:rsidR="00754CC7" w:rsidP="001E56AB" w:rsidRDefault="00B14A85" w14:paraId="473910EC" w14:textId="6D62197E">
      <w:pPr>
        <w:widowControl w:val="0"/>
        <w:spacing w:line="240" w:lineRule="atLeast"/>
        <w:rPr>
          <w:sz w:val="18"/>
          <w:szCs w:val="18"/>
        </w:rPr>
      </w:pPr>
      <w:r>
        <w:rPr>
          <w:sz w:val="18"/>
          <w:szCs w:val="18"/>
        </w:rPr>
        <w:t>N</w:t>
      </w:r>
      <w:r w:rsidR="00754CC7">
        <w:rPr>
          <w:sz w:val="18"/>
          <w:szCs w:val="18"/>
        </w:rPr>
        <w:t xml:space="preserve"> (1:106e)</w:t>
      </w:r>
    </w:p>
    <w:p w:rsidR="00754CC7" w:rsidP="001E56AB" w:rsidRDefault="00754CC7" w14:paraId="2024E0A0" w14:textId="77777777">
      <w:pPr>
        <w:widowControl w:val="0"/>
        <w:spacing w:line="240" w:lineRule="atLeast"/>
        <w:rPr>
          <w:sz w:val="18"/>
          <w:szCs w:val="18"/>
        </w:rPr>
      </w:pPr>
    </w:p>
    <w:p w:rsidRPr="00754CC7" w:rsidR="00754CC7" w:rsidP="001E56AB" w:rsidRDefault="00754CC7" w14:paraId="042748B1" w14:textId="6EA7F1CF">
      <w:pPr>
        <w:widowControl w:val="0"/>
        <w:spacing w:line="240" w:lineRule="atLeast"/>
        <w:rPr>
          <w:sz w:val="18"/>
          <w:szCs w:val="18"/>
        </w:rPr>
      </w:pPr>
      <w:r w:rsidRPr="00754CC7">
        <w:rPr>
          <w:sz w:val="18"/>
          <w:szCs w:val="18"/>
        </w:rPr>
        <w:t xml:space="preserve">In artikel 1:106e Wft, </w:t>
      </w:r>
      <w:r w:rsidR="00C9706C">
        <w:rPr>
          <w:sz w:val="18"/>
          <w:szCs w:val="18"/>
        </w:rPr>
        <w:t>d</w:t>
      </w:r>
      <w:r w:rsidRPr="00754CC7">
        <w:rPr>
          <w:sz w:val="18"/>
          <w:szCs w:val="18"/>
        </w:rPr>
        <w:t>at zie</w:t>
      </w:r>
      <w:r>
        <w:rPr>
          <w:sz w:val="18"/>
          <w:szCs w:val="18"/>
        </w:rPr>
        <w:t xml:space="preserve">t op </w:t>
      </w:r>
      <w:r w:rsidR="00195570">
        <w:rPr>
          <w:sz w:val="18"/>
          <w:szCs w:val="18"/>
        </w:rPr>
        <w:t xml:space="preserve">het stellen van termijnen door DNB na goedkeuring van een </w:t>
      </w:r>
      <w:r w:rsidR="00966AF0">
        <w:rPr>
          <w:sz w:val="18"/>
          <w:szCs w:val="18"/>
        </w:rPr>
        <w:t>vvgb</w:t>
      </w:r>
      <w:r w:rsidR="00195570">
        <w:rPr>
          <w:sz w:val="18"/>
          <w:szCs w:val="18"/>
        </w:rPr>
        <w:t xml:space="preserve"> op grond van artikel 3:95 of 3:96</w:t>
      </w:r>
      <w:r w:rsidR="008F020F">
        <w:rPr>
          <w:sz w:val="18"/>
          <w:szCs w:val="18"/>
        </w:rPr>
        <w:t xml:space="preserve"> Wft</w:t>
      </w:r>
      <w:r w:rsidR="00195570">
        <w:rPr>
          <w:sz w:val="18"/>
          <w:szCs w:val="18"/>
        </w:rPr>
        <w:t>, word</w:t>
      </w:r>
      <w:r w:rsidR="006C592C">
        <w:rPr>
          <w:sz w:val="18"/>
          <w:szCs w:val="18"/>
        </w:rPr>
        <w:t xml:space="preserve">t met het vervallen van artikel 3:96 Wft dat artikel vervangen door </w:t>
      </w:r>
      <w:r w:rsidR="00195570">
        <w:rPr>
          <w:sz w:val="18"/>
          <w:szCs w:val="18"/>
        </w:rPr>
        <w:t xml:space="preserve">de nieuwe artikelen 3:96a en 3:96c Wft, zodat DNB ook bij een afgegeven </w:t>
      </w:r>
      <w:r w:rsidR="00966AF0">
        <w:rPr>
          <w:sz w:val="18"/>
          <w:szCs w:val="18"/>
        </w:rPr>
        <w:t>vvgb</w:t>
      </w:r>
      <w:r w:rsidR="00195570">
        <w:rPr>
          <w:sz w:val="18"/>
          <w:szCs w:val="18"/>
        </w:rPr>
        <w:t xml:space="preserve"> op basis van die </w:t>
      </w:r>
      <w:r w:rsidR="00C62671">
        <w:rPr>
          <w:sz w:val="18"/>
          <w:szCs w:val="18"/>
        </w:rPr>
        <w:t xml:space="preserve">twee nieuwe </w:t>
      </w:r>
      <w:r w:rsidR="00195570">
        <w:rPr>
          <w:sz w:val="18"/>
          <w:szCs w:val="18"/>
        </w:rPr>
        <w:t>artikelen een termijn kan stellen waarbinnen de handeling voltooid moet zijn. Hiermee worden de artikelen 27 bis, vijftiende lid, en 27 decies, tiende lid, CRD geïmplementeerd.</w:t>
      </w:r>
      <w:r w:rsidR="00896381">
        <w:rPr>
          <w:sz w:val="18"/>
          <w:szCs w:val="18"/>
        </w:rPr>
        <w:t xml:space="preserve"> Zie verder onderdelen CCC en DDD.</w:t>
      </w:r>
    </w:p>
    <w:p w:rsidRPr="00754CC7" w:rsidR="00754CC7" w:rsidP="001E56AB" w:rsidRDefault="00754CC7" w14:paraId="5467660A" w14:textId="77777777">
      <w:pPr>
        <w:widowControl w:val="0"/>
        <w:spacing w:line="240" w:lineRule="atLeast"/>
        <w:rPr>
          <w:sz w:val="18"/>
          <w:szCs w:val="18"/>
        </w:rPr>
      </w:pPr>
    </w:p>
    <w:p w:rsidRPr="00BD04E1" w:rsidR="001E56AB" w:rsidP="001E56AB" w:rsidRDefault="00B14A85" w14:paraId="3227D02C" w14:textId="43D8FED1">
      <w:pPr>
        <w:widowControl w:val="0"/>
        <w:spacing w:line="240" w:lineRule="atLeast"/>
        <w:rPr>
          <w:sz w:val="18"/>
          <w:szCs w:val="18"/>
        </w:rPr>
      </w:pPr>
      <w:r>
        <w:rPr>
          <w:sz w:val="18"/>
          <w:szCs w:val="18"/>
        </w:rPr>
        <w:t>O</w:t>
      </w:r>
      <w:r w:rsidRPr="00BD04E1" w:rsidR="001E56AB">
        <w:rPr>
          <w:sz w:val="18"/>
          <w:szCs w:val="18"/>
        </w:rPr>
        <w:t xml:space="preserve"> (1:107)</w:t>
      </w:r>
    </w:p>
    <w:p w:rsidR="001E56AB" w:rsidP="001E56AB" w:rsidRDefault="001E56AB" w14:paraId="3C69F815" w14:textId="77777777">
      <w:pPr>
        <w:widowControl w:val="0"/>
        <w:spacing w:line="240" w:lineRule="atLeast"/>
        <w:rPr>
          <w:sz w:val="18"/>
          <w:szCs w:val="18"/>
        </w:rPr>
      </w:pPr>
    </w:p>
    <w:p w:rsidR="008561D5" w:rsidP="001E56AB" w:rsidRDefault="00EF4BAD" w14:paraId="5F57C579" w14:textId="2D75426C">
      <w:pPr>
        <w:widowControl w:val="0"/>
        <w:spacing w:line="240" w:lineRule="atLeast"/>
        <w:rPr>
          <w:sz w:val="18"/>
          <w:szCs w:val="18"/>
        </w:rPr>
      </w:pPr>
      <w:r>
        <w:rPr>
          <w:sz w:val="18"/>
          <w:szCs w:val="18"/>
        </w:rPr>
        <w:t>Artikel 1:107 Wft schrijft voor dat er een openbaar register is waarin onder andere is opgenomen welke ondernemingen een vergunning verleend hebben gekregen. Zowel DNB als de AFM houdt een dergelijk vergunningsverleningsregister bij.</w:t>
      </w:r>
      <w:r>
        <w:rPr>
          <w:rStyle w:val="Voetnootmarkering"/>
          <w:sz w:val="18"/>
          <w:szCs w:val="18"/>
        </w:rPr>
        <w:footnoteReference w:id="79"/>
      </w:r>
      <w:r w:rsidR="008A671E">
        <w:rPr>
          <w:sz w:val="18"/>
          <w:szCs w:val="18"/>
        </w:rPr>
        <w:t xml:space="preserve"> Ter implementatie van artikel 21 bis, eerste lid, vierde alinea, </w:t>
      </w:r>
      <w:r w:rsidR="00C62671">
        <w:rPr>
          <w:sz w:val="18"/>
          <w:szCs w:val="18"/>
        </w:rPr>
        <w:t xml:space="preserve">CRD </w:t>
      </w:r>
      <w:r w:rsidR="008A671E">
        <w:rPr>
          <w:sz w:val="18"/>
          <w:szCs w:val="18"/>
        </w:rPr>
        <w:t>word</w:t>
      </w:r>
      <w:r w:rsidR="00D25640">
        <w:rPr>
          <w:sz w:val="18"/>
          <w:szCs w:val="18"/>
        </w:rPr>
        <w:t>en er aan het tweede lid twee onderdelen toegevoegd. Onderdeel d voegt toe dat een goedkeuring op grond van artikel 3:280a</w:t>
      </w:r>
      <w:r w:rsidR="00C62671">
        <w:rPr>
          <w:sz w:val="18"/>
          <w:szCs w:val="18"/>
        </w:rPr>
        <w:t xml:space="preserve"> Wft</w:t>
      </w:r>
      <w:r w:rsidR="00D25640">
        <w:rPr>
          <w:sz w:val="18"/>
          <w:szCs w:val="18"/>
        </w:rPr>
        <w:t xml:space="preserve"> en een vrijstelling op grond van artikel 3:280c</w:t>
      </w:r>
      <w:r w:rsidR="00C62671">
        <w:rPr>
          <w:sz w:val="18"/>
          <w:szCs w:val="18"/>
        </w:rPr>
        <w:t xml:space="preserve"> Wft</w:t>
      </w:r>
      <w:r w:rsidR="00D25640">
        <w:rPr>
          <w:sz w:val="18"/>
          <w:szCs w:val="18"/>
        </w:rPr>
        <w:t xml:space="preserve"> wordt opgenomen in het register. </w:t>
      </w:r>
      <w:r w:rsidR="008A671E">
        <w:rPr>
          <w:sz w:val="18"/>
          <w:szCs w:val="18"/>
        </w:rPr>
        <w:t xml:space="preserve">Dit zijn enerzijds het goedkeuringsartikel voor (gemengde) financiële holdings en anderzijds het artikel waarbij een (gemengde) financiële holding in Nederland </w:t>
      </w:r>
      <w:r w:rsidR="00FD09C7">
        <w:rPr>
          <w:sz w:val="18"/>
          <w:szCs w:val="18"/>
        </w:rPr>
        <w:t>een ontheffing kan verkrijgen</w:t>
      </w:r>
      <w:r w:rsidR="008A671E">
        <w:rPr>
          <w:sz w:val="18"/>
          <w:szCs w:val="18"/>
        </w:rPr>
        <w:t xml:space="preserve"> van de verplichting om </w:t>
      </w:r>
      <w:r w:rsidR="00FD09C7">
        <w:rPr>
          <w:sz w:val="18"/>
          <w:szCs w:val="18"/>
        </w:rPr>
        <w:t xml:space="preserve">over </w:t>
      </w:r>
      <w:r w:rsidR="008A671E">
        <w:rPr>
          <w:sz w:val="18"/>
          <w:szCs w:val="18"/>
        </w:rPr>
        <w:t xml:space="preserve">een goedkeuring </w:t>
      </w:r>
      <w:r w:rsidR="00FD09C7">
        <w:rPr>
          <w:sz w:val="18"/>
          <w:szCs w:val="18"/>
        </w:rPr>
        <w:t>te beschikken</w:t>
      </w:r>
      <w:r w:rsidR="008A671E">
        <w:rPr>
          <w:sz w:val="18"/>
          <w:szCs w:val="18"/>
        </w:rPr>
        <w:t xml:space="preserve">. In dat laatste geval zal het register </w:t>
      </w:r>
      <w:r w:rsidR="00C2163E">
        <w:rPr>
          <w:sz w:val="18"/>
          <w:szCs w:val="18"/>
        </w:rPr>
        <w:t>naast de vrijgestelde (gemengde) financiële holding tevens</w:t>
      </w:r>
      <w:r w:rsidR="008A671E">
        <w:rPr>
          <w:sz w:val="18"/>
          <w:szCs w:val="18"/>
        </w:rPr>
        <w:t xml:space="preserve"> vermelden welke onderneming is aangewezen als onderneming waarop de verplichtingen van de (gemengde) financiële holding rusten</w:t>
      </w:r>
      <w:r w:rsidR="001063F8">
        <w:rPr>
          <w:sz w:val="18"/>
          <w:szCs w:val="18"/>
        </w:rPr>
        <w:t xml:space="preserve"> conform artikel 3:280c Wft.</w:t>
      </w:r>
    </w:p>
    <w:p w:rsidR="000779F8" w:rsidP="001E56AB" w:rsidRDefault="000779F8" w14:paraId="5820990E" w14:textId="77777777">
      <w:pPr>
        <w:widowControl w:val="0"/>
        <w:spacing w:line="240" w:lineRule="atLeast"/>
        <w:rPr>
          <w:sz w:val="18"/>
          <w:szCs w:val="18"/>
        </w:rPr>
      </w:pPr>
    </w:p>
    <w:p w:rsidR="000779F8" w:rsidP="000779F8" w:rsidRDefault="000779F8" w14:paraId="4FAEAC0F" w14:textId="69C5BECE">
      <w:pPr>
        <w:spacing w:line="240" w:lineRule="atLeast"/>
        <w:rPr>
          <w:sz w:val="18"/>
          <w:szCs w:val="18"/>
        </w:rPr>
      </w:pPr>
      <w:r>
        <w:rPr>
          <w:sz w:val="18"/>
          <w:szCs w:val="18"/>
        </w:rPr>
        <w:t xml:space="preserve">Tevens wordt een onderdeel </w:t>
      </w:r>
      <w:r w:rsidR="00D25640">
        <w:rPr>
          <w:sz w:val="18"/>
          <w:szCs w:val="18"/>
        </w:rPr>
        <w:t>e</w:t>
      </w:r>
      <w:r>
        <w:rPr>
          <w:sz w:val="18"/>
          <w:szCs w:val="18"/>
        </w:rPr>
        <w:t xml:space="preserve"> toegevoegd</w:t>
      </w:r>
      <w:r w:rsidR="00D25640">
        <w:rPr>
          <w:sz w:val="18"/>
          <w:szCs w:val="18"/>
        </w:rPr>
        <w:t xml:space="preserve"> aan artikel 1:107, tweede lid, Wft</w:t>
      </w:r>
      <w:r>
        <w:rPr>
          <w:sz w:val="18"/>
          <w:szCs w:val="18"/>
        </w:rPr>
        <w:t xml:space="preserve">. Dit onderdeel is opgenomen ter implementatie van artikel 48 bis, derde lid, CRD. Dat artikellid schrijft voor dat de toezichthouder de classificatie van de </w:t>
      </w:r>
      <w:r w:rsidR="001C0C28">
        <w:rPr>
          <w:sz w:val="18"/>
          <w:szCs w:val="18"/>
        </w:rPr>
        <w:t>derde land</w:t>
      </w:r>
      <w:r>
        <w:rPr>
          <w:sz w:val="18"/>
          <w:szCs w:val="18"/>
        </w:rPr>
        <w:t xml:space="preserve"> bijkantoren actualiseert indien een bijkantoor van klasse verandert. DNB zal hiervoor het register aanpassen zodat de juiste klasse van het </w:t>
      </w:r>
      <w:r w:rsidR="001C0C28">
        <w:rPr>
          <w:sz w:val="18"/>
          <w:szCs w:val="18"/>
        </w:rPr>
        <w:t>derde land</w:t>
      </w:r>
      <w:r>
        <w:rPr>
          <w:sz w:val="18"/>
          <w:szCs w:val="18"/>
        </w:rPr>
        <w:t xml:space="preserve"> bijkantoor vermeldt wordt. Een klasse 2-bijkantoor kan daarnaast geclassificeerd worden als een in aanmerking komend bijkantoor op grond van artikel 48 ter CRD. Ook hierbij wijzigt DNB het register zodat weergegeven wordt dat </w:t>
      </w:r>
      <w:r>
        <w:rPr>
          <w:sz w:val="18"/>
          <w:szCs w:val="18"/>
        </w:rPr>
        <w:lastRenderedPageBreak/>
        <w:t>het klasse 2-bijkantoor tevens een in aanmerking komend bijkantoor is. Deze classificering zal geplaatst worden bij de inschrijving van de vergunning als bedoeld in artikel 2:20, eerste lid, Wft in hetzelfde register aangezien de vergunning op grond van artikel 1:107, tweede lid</w:t>
      </w:r>
      <w:r w:rsidR="00C62671">
        <w:rPr>
          <w:sz w:val="18"/>
          <w:szCs w:val="18"/>
        </w:rPr>
        <w:t>, Wft</w:t>
      </w:r>
      <w:r>
        <w:rPr>
          <w:sz w:val="18"/>
          <w:szCs w:val="18"/>
        </w:rPr>
        <w:t>.</w:t>
      </w:r>
    </w:p>
    <w:p w:rsidRPr="00BD04E1" w:rsidR="000779F8" w:rsidP="001E56AB" w:rsidRDefault="000779F8" w14:paraId="28AA69DC" w14:textId="7B0BA4F2">
      <w:pPr>
        <w:widowControl w:val="0"/>
        <w:spacing w:line="240" w:lineRule="atLeast"/>
        <w:rPr>
          <w:sz w:val="18"/>
          <w:szCs w:val="18"/>
        </w:rPr>
      </w:pPr>
    </w:p>
    <w:p w:rsidRPr="00BD04E1" w:rsidR="001E56AB" w:rsidP="001E56AB" w:rsidRDefault="00B14A85" w14:paraId="0413FCC2" w14:textId="2E340F62">
      <w:pPr>
        <w:widowControl w:val="0"/>
        <w:spacing w:line="240" w:lineRule="atLeast"/>
        <w:rPr>
          <w:sz w:val="18"/>
          <w:szCs w:val="18"/>
        </w:rPr>
      </w:pPr>
      <w:r>
        <w:rPr>
          <w:sz w:val="18"/>
          <w:szCs w:val="18"/>
        </w:rPr>
        <w:t>P</w:t>
      </w:r>
      <w:r w:rsidRPr="00BD04E1" w:rsidR="001E56AB">
        <w:rPr>
          <w:sz w:val="18"/>
          <w:szCs w:val="18"/>
        </w:rPr>
        <w:t xml:space="preserve"> (1:112)</w:t>
      </w:r>
    </w:p>
    <w:p w:rsidR="001E56AB" w:rsidP="001E56AB" w:rsidRDefault="001E56AB" w14:paraId="0DD4625D" w14:textId="77777777">
      <w:pPr>
        <w:widowControl w:val="0"/>
        <w:spacing w:line="240" w:lineRule="atLeast"/>
        <w:rPr>
          <w:sz w:val="18"/>
          <w:szCs w:val="18"/>
        </w:rPr>
      </w:pPr>
    </w:p>
    <w:p w:rsidR="001063F8" w:rsidP="001E56AB" w:rsidRDefault="001063F8" w14:paraId="59F81DE1" w14:textId="7B3F24DE">
      <w:pPr>
        <w:widowControl w:val="0"/>
        <w:spacing w:line="240" w:lineRule="atLeast"/>
        <w:rPr>
          <w:sz w:val="18"/>
          <w:szCs w:val="18"/>
        </w:rPr>
      </w:pPr>
      <w:r>
        <w:rPr>
          <w:sz w:val="18"/>
          <w:szCs w:val="18"/>
        </w:rPr>
        <w:t xml:space="preserve">Artikel 1:112 Wft </w:t>
      </w:r>
      <w:r w:rsidR="009E43A1">
        <w:rPr>
          <w:sz w:val="18"/>
          <w:szCs w:val="18"/>
        </w:rPr>
        <w:t>regelt het toepassingsbereik van hoofdstuk 1.7 Wft</w:t>
      </w:r>
      <w:r w:rsidR="00D7348C">
        <w:rPr>
          <w:sz w:val="18"/>
          <w:szCs w:val="18"/>
        </w:rPr>
        <w:t xml:space="preserve">. Artikel 48 octies, tweede lid, CRD schrijft voor dat </w:t>
      </w:r>
      <w:r w:rsidR="001C0C28">
        <w:rPr>
          <w:sz w:val="18"/>
          <w:szCs w:val="18"/>
        </w:rPr>
        <w:t>derde land</w:t>
      </w:r>
      <w:r w:rsidR="00D7348C">
        <w:rPr>
          <w:sz w:val="18"/>
          <w:szCs w:val="18"/>
        </w:rPr>
        <w:t xml:space="preserve"> bijkantoren moeten voldoen aan de artikelen 92, 94 en 95 CRD voor de vergunning als bedoeld in artikel 2:20, eerste lid, Wft. Deze artikelen</w:t>
      </w:r>
      <w:r w:rsidR="008F020F">
        <w:rPr>
          <w:sz w:val="18"/>
          <w:szCs w:val="18"/>
        </w:rPr>
        <w:t xml:space="preserve"> uit de CRD, die zien op bepalingen omtrent het beloningsbeleid,</w:t>
      </w:r>
      <w:r w:rsidR="00D7348C">
        <w:rPr>
          <w:sz w:val="18"/>
          <w:szCs w:val="18"/>
        </w:rPr>
        <w:t xml:space="preserve"> zijn </w:t>
      </w:r>
      <w:r w:rsidR="008F020F">
        <w:rPr>
          <w:sz w:val="18"/>
          <w:szCs w:val="18"/>
        </w:rPr>
        <w:t xml:space="preserve">grotendeels </w:t>
      </w:r>
      <w:r w:rsidR="00D27619">
        <w:rPr>
          <w:sz w:val="18"/>
          <w:szCs w:val="18"/>
        </w:rPr>
        <w:t>geïmplementeerd</w:t>
      </w:r>
      <w:r w:rsidR="00D7348C">
        <w:rPr>
          <w:sz w:val="18"/>
          <w:szCs w:val="18"/>
        </w:rPr>
        <w:t xml:space="preserve"> in afdeling 1.7 van de Wft. Omdat dergelijke </w:t>
      </w:r>
      <w:r w:rsidR="001C0C28">
        <w:rPr>
          <w:sz w:val="18"/>
          <w:szCs w:val="18"/>
        </w:rPr>
        <w:t>derde land</w:t>
      </w:r>
      <w:r w:rsidR="00D7348C">
        <w:rPr>
          <w:sz w:val="18"/>
          <w:szCs w:val="18"/>
        </w:rPr>
        <w:t xml:space="preserve"> bijkantoren niet vallen onder de definitie van </w:t>
      </w:r>
      <w:r w:rsidR="00D7348C">
        <w:rPr>
          <w:i/>
          <w:iCs/>
          <w:sz w:val="18"/>
          <w:szCs w:val="18"/>
        </w:rPr>
        <w:t>financiële onderneming</w:t>
      </w:r>
      <w:r w:rsidR="00D7348C">
        <w:rPr>
          <w:sz w:val="18"/>
          <w:szCs w:val="18"/>
        </w:rPr>
        <w:t xml:space="preserve"> in de Wft, en tevens het tweede lid van artikel 1:112</w:t>
      </w:r>
      <w:r w:rsidR="008F020F">
        <w:rPr>
          <w:sz w:val="18"/>
          <w:szCs w:val="18"/>
        </w:rPr>
        <w:t xml:space="preserve"> Wft</w:t>
      </w:r>
      <w:r w:rsidR="00D7348C">
        <w:rPr>
          <w:sz w:val="18"/>
          <w:szCs w:val="18"/>
        </w:rPr>
        <w:t xml:space="preserve"> niet van toepassing is op </w:t>
      </w:r>
      <w:r w:rsidR="001C0C28">
        <w:rPr>
          <w:sz w:val="18"/>
          <w:szCs w:val="18"/>
        </w:rPr>
        <w:t>derde land</w:t>
      </w:r>
      <w:r w:rsidR="00D7348C">
        <w:rPr>
          <w:sz w:val="18"/>
          <w:szCs w:val="18"/>
        </w:rPr>
        <w:t xml:space="preserve"> bijkantoren, is het derde lid ingevoegd wat specifiek op d</w:t>
      </w:r>
      <w:r w:rsidR="00C91995">
        <w:rPr>
          <w:sz w:val="18"/>
          <w:szCs w:val="18"/>
        </w:rPr>
        <w:t>erde land</w:t>
      </w:r>
      <w:r w:rsidR="00D7348C">
        <w:rPr>
          <w:sz w:val="18"/>
          <w:szCs w:val="18"/>
        </w:rPr>
        <w:t xml:space="preserve"> bijkantoren ziet. In dit lid worden afdelingen 1.7.2 tot en met 1.7.6</w:t>
      </w:r>
      <w:r w:rsidR="008F020F">
        <w:rPr>
          <w:sz w:val="18"/>
          <w:szCs w:val="18"/>
        </w:rPr>
        <w:t xml:space="preserve"> Wft</w:t>
      </w:r>
      <w:r w:rsidR="00D7348C">
        <w:rPr>
          <w:sz w:val="18"/>
          <w:szCs w:val="18"/>
        </w:rPr>
        <w:t xml:space="preserve"> van overeenkomstige toepassing verklaard op een </w:t>
      </w:r>
      <w:r w:rsidR="001C0C28">
        <w:rPr>
          <w:sz w:val="18"/>
          <w:szCs w:val="18"/>
        </w:rPr>
        <w:t>derde land</w:t>
      </w:r>
      <w:r w:rsidR="00D7348C">
        <w:rPr>
          <w:sz w:val="18"/>
          <w:szCs w:val="18"/>
        </w:rPr>
        <w:t xml:space="preserve"> bijkantoor.</w:t>
      </w:r>
      <w:r w:rsidR="0095715B">
        <w:rPr>
          <w:sz w:val="18"/>
          <w:szCs w:val="18"/>
        </w:rPr>
        <w:t xml:space="preserve"> Hierbij wordt het volgende opgemerkt: de artikelen 92, 94 en 95 zijn grotendeels uitgewerkt via de delegatiegrondslag in artikel 1:11</w:t>
      </w:r>
      <w:r w:rsidR="009E43A1">
        <w:rPr>
          <w:sz w:val="18"/>
          <w:szCs w:val="18"/>
        </w:rPr>
        <w:t>7, vierde en vijfde lid, Wft</w:t>
      </w:r>
      <w:r w:rsidR="0095715B">
        <w:rPr>
          <w:sz w:val="18"/>
          <w:szCs w:val="18"/>
        </w:rPr>
        <w:t xml:space="preserve"> </w:t>
      </w:r>
      <w:r w:rsidR="009E43A1">
        <w:rPr>
          <w:sz w:val="18"/>
          <w:szCs w:val="18"/>
        </w:rPr>
        <w:t>middels een</w:t>
      </w:r>
      <w:r w:rsidR="0095715B">
        <w:rPr>
          <w:sz w:val="18"/>
          <w:szCs w:val="18"/>
        </w:rPr>
        <w:t xml:space="preserve"> toezichthoudersregeling (de Regeling beheerst beloningsbeleid</w:t>
      </w:r>
      <w:r w:rsidR="009E43A1">
        <w:rPr>
          <w:sz w:val="18"/>
          <w:szCs w:val="18"/>
        </w:rPr>
        <w:t xml:space="preserve"> Wft 2021</w:t>
      </w:r>
      <w:r w:rsidR="0095715B">
        <w:rPr>
          <w:sz w:val="18"/>
          <w:szCs w:val="18"/>
        </w:rPr>
        <w:t xml:space="preserve">). Deze regeling zal aangevuld worden met de vereisten die gelden voor </w:t>
      </w:r>
      <w:r w:rsidR="001C0C28">
        <w:rPr>
          <w:sz w:val="18"/>
          <w:szCs w:val="18"/>
        </w:rPr>
        <w:t>derde land</w:t>
      </w:r>
      <w:r w:rsidR="0095715B">
        <w:rPr>
          <w:sz w:val="18"/>
          <w:szCs w:val="18"/>
        </w:rPr>
        <w:t xml:space="preserve"> bijkantoren. De artikelen 92 en 94 gelden voor de </w:t>
      </w:r>
      <w:r w:rsidR="001C0C28">
        <w:rPr>
          <w:sz w:val="18"/>
          <w:szCs w:val="18"/>
        </w:rPr>
        <w:t>derde land</w:t>
      </w:r>
      <w:r w:rsidR="0095715B">
        <w:rPr>
          <w:sz w:val="18"/>
          <w:szCs w:val="18"/>
        </w:rPr>
        <w:t xml:space="preserve"> bijkantoren zelf. Artikel 95</w:t>
      </w:r>
      <w:r w:rsidR="00E13A56">
        <w:rPr>
          <w:sz w:val="18"/>
          <w:szCs w:val="18"/>
        </w:rPr>
        <w:t xml:space="preserve"> CRD</w:t>
      </w:r>
      <w:r w:rsidR="0095715B">
        <w:rPr>
          <w:sz w:val="18"/>
          <w:szCs w:val="18"/>
        </w:rPr>
        <w:t>, dat de oprichting vereist van een beloningscom</w:t>
      </w:r>
      <w:r w:rsidR="009E43A1">
        <w:rPr>
          <w:sz w:val="18"/>
          <w:szCs w:val="18"/>
        </w:rPr>
        <w:t>missie</w:t>
      </w:r>
      <w:r w:rsidR="0095715B">
        <w:rPr>
          <w:sz w:val="18"/>
          <w:szCs w:val="18"/>
        </w:rPr>
        <w:t xml:space="preserve"> is echter een verplichting die rust op de moederonderneming in een staat die geen lidstaat is van het </w:t>
      </w:r>
      <w:r w:rsidR="001C0C28">
        <w:rPr>
          <w:sz w:val="18"/>
          <w:szCs w:val="18"/>
        </w:rPr>
        <w:t>derde land</w:t>
      </w:r>
      <w:r w:rsidR="0095715B">
        <w:rPr>
          <w:sz w:val="18"/>
          <w:szCs w:val="18"/>
        </w:rPr>
        <w:t xml:space="preserve"> bijkantoor. </w:t>
      </w:r>
      <w:r w:rsidR="00E13A56">
        <w:rPr>
          <w:sz w:val="18"/>
          <w:szCs w:val="18"/>
        </w:rPr>
        <w:t xml:space="preserve">Het is aan het </w:t>
      </w:r>
      <w:r w:rsidR="001C0C28">
        <w:rPr>
          <w:sz w:val="18"/>
          <w:szCs w:val="18"/>
        </w:rPr>
        <w:t>derde land</w:t>
      </w:r>
      <w:r w:rsidR="00E13A56">
        <w:rPr>
          <w:sz w:val="18"/>
          <w:szCs w:val="18"/>
        </w:rPr>
        <w:t xml:space="preserve"> bijkantoor om aan de toezichthouder aan te tonen hoe de vereisten van artikel 95 CRD worden vervuld door de moederonderneming. Als het recht van de staat die geen lidstaat is niet voorziet in het oprichten van een beloningscomité, dan moet het </w:t>
      </w:r>
      <w:r w:rsidR="001C0C28">
        <w:rPr>
          <w:sz w:val="18"/>
          <w:szCs w:val="18"/>
        </w:rPr>
        <w:t>derde land</w:t>
      </w:r>
      <w:r w:rsidR="00E13A56">
        <w:rPr>
          <w:sz w:val="18"/>
          <w:szCs w:val="18"/>
        </w:rPr>
        <w:t xml:space="preserve"> bijkantoor aantonen dat het leidinggevend orgaan in zijn toezichtfunctie (artikel 3, eerste lid, onderdeel 8, CRD)</w:t>
      </w:r>
      <w:r w:rsidR="00767BB9">
        <w:rPr>
          <w:sz w:val="18"/>
          <w:szCs w:val="18"/>
        </w:rPr>
        <w:t xml:space="preserve"> van de moederonderneming die </w:t>
      </w:r>
      <w:r w:rsidR="00C91995">
        <w:rPr>
          <w:sz w:val="18"/>
          <w:szCs w:val="18"/>
        </w:rPr>
        <w:t xml:space="preserve">de </w:t>
      </w:r>
      <w:r w:rsidR="00767BB9">
        <w:rPr>
          <w:sz w:val="18"/>
          <w:szCs w:val="18"/>
        </w:rPr>
        <w:t>vereist</w:t>
      </w:r>
      <w:r w:rsidR="00C91995">
        <w:rPr>
          <w:sz w:val="18"/>
          <w:szCs w:val="18"/>
        </w:rPr>
        <w:t>en uit artikel 95 CRD</w:t>
      </w:r>
      <w:r w:rsidR="00767BB9">
        <w:rPr>
          <w:sz w:val="18"/>
          <w:szCs w:val="18"/>
        </w:rPr>
        <w:t xml:space="preserve"> vervult.</w:t>
      </w:r>
      <w:r w:rsidR="00A82A29">
        <w:rPr>
          <w:sz w:val="18"/>
          <w:szCs w:val="18"/>
        </w:rPr>
        <w:t xml:space="preserve"> </w:t>
      </w:r>
    </w:p>
    <w:p w:rsidR="00B8351E" w:rsidP="001E56AB" w:rsidRDefault="00B8351E" w14:paraId="3098C41F" w14:textId="77777777">
      <w:pPr>
        <w:widowControl w:val="0"/>
        <w:spacing w:line="240" w:lineRule="atLeast"/>
        <w:rPr>
          <w:sz w:val="18"/>
          <w:szCs w:val="18"/>
        </w:rPr>
      </w:pPr>
    </w:p>
    <w:p w:rsidRPr="00040BB7" w:rsidR="001E56AB" w:rsidP="001E56AB" w:rsidRDefault="00070306" w14:paraId="31529F82" w14:textId="713B37A6">
      <w:pPr>
        <w:widowControl w:val="0"/>
        <w:spacing w:line="240" w:lineRule="atLeast"/>
        <w:rPr>
          <w:sz w:val="18"/>
          <w:szCs w:val="18"/>
        </w:rPr>
      </w:pPr>
      <w:r>
        <w:rPr>
          <w:sz w:val="18"/>
          <w:szCs w:val="18"/>
        </w:rPr>
        <w:t>Q</w:t>
      </w:r>
      <w:r w:rsidRPr="00040BB7" w:rsidR="001E56AB">
        <w:rPr>
          <w:sz w:val="18"/>
          <w:szCs w:val="18"/>
        </w:rPr>
        <w:t xml:space="preserve"> (2:13</w:t>
      </w:r>
      <w:r w:rsidRPr="00A713E5" w:rsidR="00D27619">
        <w:rPr>
          <w:sz w:val="18"/>
          <w:szCs w:val="18"/>
        </w:rPr>
        <w:t>a</w:t>
      </w:r>
      <w:r w:rsidRPr="00040BB7" w:rsidR="001E56AB">
        <w:rPr>
          <w:sz w:val="18"/>
          <w:szCs w:val="18"/>
        </w:rPr>
        <w:t>)</w:t>
      </w:r>
    </w:p>
    <w:p w:rsidRPr="00040BB7" w:rsidR="001E56AB" w:rsidP="001E56AB" w:rsidRDefault="001E56AB" w14:paraId="49BE11C5" w14:textId="77777777">
      <w:pPr>
        <w:widowControl w:val="0"/>
        <w:spacing w:line="240" w:lineRule="atLeast"/>
        <w:rPr>
          <w:sz w:val="18"/>
          <w:szCs w:val="18"/>
        </w:rPr>
      </w:pPr>
    </w:p>
    <w:p w:rsidR="001E56AB" w:rsidP="001E56AB" w:rsidRDefault="002E27AA" w14:paraId="1BBCA0B7" w14:textId="4AD9099F">
      <w:pPr>
        <w:widowControl w:val="0"/>
        <w:spacing w:line="240" w:lineRule="atLeast"/>
        <w:rPr>
          <w:sz w:val="18"/>
          <w:szCs w:val="18"/>
        </w:rPr>
      </w:pPr>
      <w:r w:rsidRPr="00A6284F">
        <w:rPr>
          <w:sz w:val="18"/>
          <w:szCs w:val="18"/>
        </w:rPr>
        <w:t>Artikel 2:13a Wft is d</w:t>
      </w:r>
      <w:r>
        <w:rPr>
          <w:sz w:val="18"/>
          <w:szCs w:val="18"/>
        </w:rPr>
        <w:t xml:space="preserve">e implementatie van artikel 8 bis </w:t>
      </w:r>
      <w:r w:rsidR="009A3FBB">
        <w:rPr>
          <w:sz w:val="18"/>
          <w:szCs w:val="18"/>
        </w:rPr>
        <w:t>CRD</w:t>
      </w:r>
      <w:r>
        <w:rPr>
          <w:sz w:val="18"/>
          <w:szCs w:val="18"/>
        </w:rPr>
        <w:t>. Artikel 8 bis schrijft voor dat beleggingsonderneming</w:t>
      </w:r>
      <w:r w:rsidR="00270D8D">
        <w:rPr>
          <w:sz w:val="18"/>
          <w:szCs w:val="18"/>
        </w:rPr>
        <w:t>en</w:t>
      </w:r>
      <w:r w:rsidR="00A82A29">
        <w:rPr>
          <w:sz w:val="18"/>
          <w:szCs w:val="18"/>
        </w:rPr>
        <w:t xml:space="preserve"> </w:t>
      </w:r>
      <w:r w:rsidR="006C3F19">
        <w:rPr>
          <w:sz w:val="18"/>
          <w:szCs w:val="18"/>
        </w:rPr>
        <w:t>die</w:t>
      </w:r>
      <w:r w:rsidR="00FD09C7">
        <w:rPr>
          <w:sz w:val="18"/>
          <w:szCs w:val="18"/>
        </w:rPr>
        <w:t xml:space="preserve"> de </w:t>
      </w:r>
      <w:r w:rsidR="00C91995">
        <w:rPr>
          <w:sz w:val="18"/>
          <w:szCs w:val="18"/>
        </w:rPr>
        <w:t>in bijlage I, deel A, genoemde MiFID II-</w:t>
      </w:r>
      <w:r w:rsidR="00FD09C7">
        <w:rPr>
          <w:sz w:val="18"/>
          <w:szCs w:val="18"/>
        </w:rPr>
        <w:t>diensten</w:t>
      </w:r>
      <w:r w:rsidR="00C91995">
        <w:rPr>
          <w:sz w:val="18"/>
          <w:szCs w:val="18"/>
        </w:rPr>
        <w:t xml:space="preserve"> en activiteiten</w:t>
      </w:r>
      <w:r w:rsidR="00FD09C7">
        <w:rPr>
          <w:sz w:val="18"/>
          <w:szCs w:val="18"/>
        </w:rPr>
        <w:t xml:space="preserve"> 3 (handelen voor eigen rekening) of 6 (garanties en borgstellingen) uitvoeren,</w:t>
      </w:r>
      <w:r w:rsidR="00270D8D">
        <w:rPr>
          <w:sz w:val="18"/>
          <w:szCs w:val="18"/>
        </w:rPr>
        <w:t xml:space="preserve"> en </w:t>
      </w:r>
      <w:r>
        <w:rPr>
          <w:sz w:val="18"/>
          <w:szCs w:val="18"/>
        </w:rPr>
        <w:t>een gemiddelde omvang bereiken van € 30 miljard totale activa</w:t>
      </w:r>
      <w:r w:rsidR="00193435">
        <w:rPr>
          <w:sz w:val="18"/>
          <w:szCs w:val="18"/>
        </w:rPr>
        <w:t xml:space="preserve"> (al dan niet in groepsverband)</w:t>
      </w:r>
      <w:r w:rsidR="006C3F19">
        <w:rPr>
          <w:sz w:val="18"/>
          <w:szCs w:val="18"/>
        </w:rPr>
        <w:t xml:space="preserve"> over een periode van twaalf opeenvolgende maanden, op grond van artikel 4, eerste lid, onderdeel 1, subonderdeel b, </w:t>
      </w:r>
      <w:r w:rsidR="005257A0">
        <w:rPr>
          <w:sz w:val="18"/>
          <w:szCs w:val="18"/>
        </w:rPr>
        <w:t xml:space="preserve">CRR </w:t>
      </w:r>
      <w:r w:rsidR="006C3F19">
        <w:rPr>
          <w:sz w:val="18"/>
          <w:szCs w:val="18"/>
        </w:rPr>
        <w:t>kwalificeren als bank en daarom</w:t>
      </w:r>
      <w:r>
        <w:rPr>
          <w:sz w:val="18"/>
          <w:szCs w:val="18"/>
        </w:rPr>
        <w:t xml:space="preserve"> een bankvergunning dienen aan te vragen. Dit geldt zowel voor beleggingsondernemingen die zelfstandig de grens van € 30 miljard bereiken (gemiddeld berekend over 12 maanden), als beleggingsondernemingen die zich in een groep bevinden die op groepsbasis € 30 miljard totale activa aanhouden. Voor die laatste berekening wordt artikel 8 bis, eerste lid, onderdeel b, CRD aangepast, waarbij is opgenomen dat dit gaat om alle in de EU gevestigde ondernemingen in de groep, inclusief bijkantoren en dochterondernemingen die gevestigd zijn buiten de EU. Omdat artikel 2:13a, eerste lid, onderdeel a,</w:t>
      </w:r>
      <w:r w:rsidR="00270D8D">
        <w:rPr>
          <w:sz w:val="18"/>
          <w:szCs w:val="18"/>
        </w:rPr>
        <w:t xml:space="preserve"> Wft</w:t>
      </w:r>
      <w:r>
        <w:rPr>
          <w:sz w:val="18"/>
          <w:szCs w:val="18"/>
        </w:rPr>
        <w:t xml:space="preserve"> reeds een dynamische verwijzing naar artikel 8 bis, eerste lid, CRD bevat is aanpassing niet nodig.</w:t>
      </w:r>
    </w:p>
    <w:p w:rsidR="002E27AA" w:rsidP="001E56AB" w:rsidRDefault="002E27AA" w14:paraId="26688507" w14:textId="77777777">
      <w:pPr>
        <w:widowControl w:val="0"/>
        <w:spacing w:line="240" w:lineRule="atLeast"/>
        <w:rPr>
          <w:sz w:val="18"/>
          <w:szCs w:val="18"/>
        </w:rPr>
      </w:pPr>
    </w:p>
    <w:p w:rsidR="006411C8" w:rsidP="001E56AB" w:rsidRDefault="002E27AA" w14:paraId="79D57183" w14:textId="5F64009F">
      <w:pPr>
        <w:widowControl w:val="0"/>
        <w:spacing w:line="240" w:lineRule="atLeast"/>
        <w:rPr>
          <w:sz w:val="18"/>
          <w:szCs w:val="18"/>
        </w:rPr>
      </w:pPr>
      <w:r>
        <w:rPr>
          <w:sz w:val="18"/>
          <w:szCs w:val="18"/>
        </w:rPr>
        <w:t xml:space="preserve">Wel is aanpassing nodig om te voorzien in de mogelijkheid die het nieuwe derde lid bis van artikel 8 bis CRD biedt. </w:t>
      </w:r>
      <w:r w:rsidR="00742376">
        <w:rPr>
          <w:sz w:val="18"/>
          <w:szCs w:val="18"/>
        </w:rPr>
        <w:t>Hiermee wordt de mogelijkheid geboden dat beleggingsondernemingen bij de aanvraag van de bankvergunning tegelijkertijd een aanvraag voor een ontheffing van die verplichting</w:t>
      </w:r>
      <w:r w:rsidR="00FB7E97">
        <w:rPr>
          <w:sz w:val="18"/>
          <w:szCs w:val="18"/>
        </w:rPr>
        <w:t xml:space="preserve"> indienen</w:t>
      </w:r>
      <w:r w:rsidR="00742376">
        <w:rPr>
          <w:sz w:val="18"/>
          <w:szCs w:val="18"/>
        </w:rPr>
        <w:t>.</w:t>
      </w:r>
      <w:r w:rsidR="00037CDB">
        <w:rPr>
          <w:sz w:val="18"/>
          <w:szCs w:val="18"/>
        </w:rPr>
        <w:t xml:space="preserve"> Deze ontheffing zorgt ervoor dat </w:t>
      </w:r>
      <w:r w:rsidR="00E83C3A">
        <w:rPr>
          <w:sz w:val="18"/>
          <w:szCs w:val="18"/>
        </w:rPr>
        <w:t xml:space="preserve">een </w:t>
      </w:r>
      <w:r w:rsidR="00037CDB">
        <w:rPr>
          <w:sz w:val="18"/>
          <w:szCs w:val="18"/>
        </w:rPr>
        <w:t xml:space="preserve">beleggingsonderneming a) </w:t>
      </w:r>
      <w:r w:rsidR="00E83C3A">
        <w:rPr>
          <w:sz w:val="18"/>
          <w:szCs w:val="18"/>
        </w:rPr>
        <w:t xml:space="preserve">niet over een </w:t>
      </w:r>
      <w:r w:rsidR="00037CDB">
        <w:rPr>
          <w:sz w:val="18"/>
          <w:szCs w:val="18"/>
        </w:rPr>
        <w:lastRenderedPageBreak/>
        <w:t>bankvergunning hoe</w:t>
      </w:r>
      <w:r w:rsidR="00E83C3A">
        <w:rPr>
          <w:sz w:val="18"/>
          <w:szCs w:val="18"/>
        </w:rPr>
        <w:t>ft</w:t>
      </w:r>
      <w:r w:rsidR="00037CDB">
        <w:rPr>
          <w:sz w:val="18"/>
          <w:szCs w:val="18"/>
        </w:rPr>
        <w:t xml:space="preserve"> te </w:t>
      </w:r>
      <w:r w:rsidR="00E83C3A">
        <w:rPr>
          <w:sz w:val="18"/>
          <w:szCs w:val="18"/>
        </w:rPr>
        <w:t>beschikken</w:t>
      </w:r>
      <w:r w:rsidR="00037CDB">
        <w:rPr>
          <w:sz w:val="18"/>
          <w:szCs w:val="18"/>
        </w:rPr>
        <w:t xml:space="preserve"> zodat zij gekwalificeerd blij</w:t>
      </w:r>
      <w:r w:rsidR="00E83C3A">
        <w:rPr>
          <w:sz w:val="18"/>
          <w:szCs w:val="18"/>
        </w:rPr>
        <w:t>ft</w:t>
      </w:r>
      <w:r w:rsidR="00037CDB">
        <w:rPr>
          <w:sz w:val="18"/>
          <w:szCs w:val="18"/>
        </w:rPr>
        <w:t xml:space="preserve"> als beleggingsonderneming</w:t>
      </w:r>
      <w:r w:rsidR="00E83C3A">
        <w:rPr>
          <w:sz w:val="18"/>
          <w:szCs w:val="18"/>
        </w:rPr>
        <w:t xml:space="preserve"> onder de verordening kapitaalvereisten</w:t>
      </w:r>
      <w:r w:rsidR="00037CDB">
        <w:rPr>
          <w:sz w:val="18"/>
          <w:szCs w:val="18"/>
        </w:rPr>
        <w:t xml:space="preserve"> en b) vanwege aanpassing in artikel 4, eerste lid, onderdeel 1, subonderdeel b, CRR </w:t>
      </w:r>
      <w:r w:rsidR="006411C8">
        <w:rPr>
          <w:sz w:val="18"/>
          <w:szCs w:val="18"/>
        </w:rPr>
        <w:t xml:space="preserve">na een ontheffing </w:t>
      </w:r>
      <w:r w:rsidR="00037CDB">
        <w:rPr>
          <w:sz w:val="18"/>
          <w:szCs w:val="18"/>
        </w:rPr>
        <w:t xml:space="preserve">ook niet kwalificeert als een </w:t>
      </w:r>
      <w:r w:rsidR="00270D8D">
        <w:rPr>
          <w:sz w:val="18"/>
          <w:szCs w:val="18"/>
        </w:rPr>
        <w:t>bank</w:t>
      </w:r>
      <w:r w:rsidR="00037CDB">
        <w:rPr>
          <w:sz w:val="18"/>
          <w:szCs w:val="18"/>
        </w:rPr>
        <w:t xml:space="preserve"> zoals gedefinieerd in dat onderdeel</w:t>
      </w:r>
      <w:r w:rsidR="006411C8">
        <w:rPr>
          <w:sz w:val="18"/>
          <w:szCs w:val="18"/>
        </w:rPr>
        <w:t xml:space="preserve"> van de CRR</w:t>
      </w:r>
      <w:r w:rsidR="00037CDB">
        <w:rPr>
          <w:sz w:val="18"/>
          <w:szCs w:val="18"/>
        </w:rPr>
        <w:t xml:space="preserve">. </w:t>
      </w:r>
      <w:r w:rsidR="00FB7E97">
        <w:rPr>
          <w:sz w:val="18"/>
          <w:szCs w:val="18"/>
        </w:rPr>
        <w:t>Een aanvraag voor een o</w:t>
      </w:r>
      <w:r w:rsidR="00037CDB">
        <w:rPr>
          <w:sz w:val="18"/>
          <w:szCs w:val="18"/>
        </w:rPr>
        <w:t xml:space="preserve">ntheffing van de verplichting om een vergunning als bank aan te vragen wordt beoordeeld door de bankentoezichthouder (in casu de ECB op basis van een ontwerpbesluit van DNB). De ontheffing maakt het mogelijk dat </w:t>
      </w:r>
      <w:r w:rsidR="003511F5">
        <w:rPr>
          <w:sz w:val="18"/>
          <w:szCs w:val="18"/>
        </w:rPr>
        <w:t xml:space="preserve">beleggingsondernemingen die weliswaar de grens van € 30 miljard activa slechten, maar qua risico’s juist niet lijken op banken van een dergelijke omvang, uitgezonderd kunnen worden van de plicht om een bankvergunning aan te vragen. Bij beoordeling van de aanvraag </w:t>
      </w:r>
      <w:r w:rsidR="00B64DDF">
        <w:rPr>
          <w:sz w:val="18"/>
          <w:szCs w:val="18"/>
        </w:rPr>
        <w:t>houdt de toezichthouder rekening met onder meer de groepsstructuur en de verdeling van activa over de groep, de modaliteit van de activiteiten die de beleggingsonderneming verricht in de lidstaat en de EU als geheel, en het systeemrisico van die activiteiten.</w:t>
      </w:r>
    </w:p>
    <w:p w:rsidR="00E35461" w:rsidP="001E56AB" w:rsidRDefault="00E35461" w14:paraId="2E943FC6" w14:textId="77777777">
      <w:pPr>
        <w:widowControl w:val="0"/>
        <w:spacing w:line="240" w:lineRule="atLeast"/>
        <w:rPr>
          <w:sz w:val="18"/>
          <w:szCs w:val="18"/>
        </w:rPr>
      </w:pPr>
    </w:p>
    <w:p w:rsidR="006411C8" w:rsidP="001E56AB" w:rsidRDefault="006411C8" w14:paraId="35A79B00" w14:textId="02693156">
      <w:pPr>
        <w:widowControl w:val="0"/>
        <w:spacing w:line="240" w:lineRule="atLeast"/>
        <w:rPr>
          <w:sz w:val="18"/>
          <w:szCs w:val="18"/>
        </w:rPr>
      </w:pPr>
      <w:r>
        <w:rPr>
          <w:sz w:val="18"/>
          <w:szCs w:val="18"/>
        </w:rPr>
        <w:t>De aanpassing die hiervoor benodigd is</w:t>
      </w:r>
      <w:r w:rsidR="00270D8D">
        <w:rPr>
          <w:sz w:val="18"/>
          <w:szCs w:val="18"/>
        </w:rPr>
        <w:t>, is</w:t>
      </w:r>
      <w:r>
        <w:rPr>
          <w:sz w:val="18"/>
          <w:szCs w:val="18"/>
        </w:rPr>
        <w:t xml:space="preserve"> </w:t>
      </w:r>
      <w:r w:rsidR="0051475D">
        <w:rPr>
          <w:sz w:val="18"/>
          <w:szCs w:val="18"/>
        </w:rPr>
        <w:t xml:space="preserve">tweeledig. Enerzijds wordt er aan </w:t>
      </w:r>
      <w:r>
        <w:rPr>
          <w:sz w:val="18"/>
          <w:szCs w:val="18"/>
        </w:rPr>
        <w:t xml:space="preserve">artikel 2:13a, eerste lid, onderdeel a, </w:t>
      </w:r>
      <w:r w:rsidR="0051475D">
        <w:rPr>
          <w:sz w:val="18"/>
          <w:szCs w:val="18"/>
        </w:rPr>
        <w:t xml:space="preserve">Wft </w:t>
      </w:r>
      <w:r>
        <w:rPr>
          <w:sz w:val="18"/>
          <w:szCs w:val="18"/>
        </w:rPr>
        <w:t>de zinsnede “</w:t>
      </w:r>
      <w:r w:rsidRPr="006411C8">
        <w:rPr>
          <w:sz w:val="18"/>
          <w:szCs w:val="18"/>
        </w:rPr>
        <w:t xml:space="preserve">al dan niet </w:t>
      </w:r>
      <w:r w:rsidR="00270D8D">
        <w:rPr>
          <w:sz w:val="18"/>
          <w:szCs w:val="18"/>
        </w:rPr>
        <w:t>gelijktijdig</w:t>
      </w:r>
      <w:r w:rsidRPr="006411C8">
        <w:rPr>
          <w:sz w:val="18"/>
          <w:szCs w:val="18"/>
        </w:rPr>
        <w:t xml:space="preserve"> met een </w:t>
      </w:r>
      <w:r w:rsidR="0051475D">
        <w:rPr>
          <w:sz w:val="18"/>
          <w:szCs w:val="18"/>
        </w:rPr>
        <w:t xml:space="preserve">verzoek tot </w:t>
      </w:r>
      <w:r w:rsidRPr="006411C8">
        <w:rPr>
          <w:sz w:val="18"/>
          <w:szCs w:val="18"/>
        </w:rPr>
        <w:t>ontheffing als bedoeld in artikel 8 bis, derde lid bis, van de richtlijn kapitaalvereisten</w:t>
      </w:r>
      <w:r>
        <w:rPr>
          <w:sz w:val="18"/>
          <w:szCs w:val="18"/>
        </w:rPr>
        <w:t xml:space="preserve">” </w:t>
      </w:r>
      <w:r w:rsidR="0051475D">
        <w:rPr>
          <w:sz w:val="18"/>
          <w:szCs w:val="18"/>
        </w:rPr>
        <w:t xml:space="preserve">ingevoegd </w:t>
      </w:r>
      <w:r>
        <w:rPr>
          <w:sz w:val="18"/>
          <w:szCs w:val="18"/>
        </w:rPr>
        <w:t>na de huidige tekst van onderdeel a. Hiermee wordt duidelijk dat de aanvraag voor een ontheffing altijd gepaard moet gaan met de aanvraag van een bankvergunning. De verwachting is dat EBA nadere duiding zal geven over hoe precies omgegaan moet worden met de aanvraag voor een ontheffing in relatie tot de aanvraag van een bankvergunning.</w:t>
      </w:r>
    </w:p>
    <w:p w:rsidR="006411C8" w:rsidP="001E56AB" w:rsidRDefault="006411C8" w14:paraId="4915362B" w14:textId="77777777">
      <w:pPr>
        <w:widowControl w:val="0"/>
        <w:spacing w:line="240" w:lineRule="atLeast"/>
        <w:rPr>
          <w:sz w:val="18"/>
          <w:szCs w:val="18"/>
        </w:rPr>
      </w:pPr>
    </w:p>
    <w:p w:rsidRPr="00037CDB" w:rsidR="006411C8" w:rsidP="001E56AB" w:rsidRDefault="0051475D" w14:paraId="700AE6AA" w14:textId="613E77E5">
      <w:pPr>
        <w:widowControl w:val="0"/>
        <w:spacing w:line="240" w:lineRule="atLeast"/>
        <w:rPr>
          <w:sz w:val="18"/>
          <w:szCs w:val="18"/>
        </w:rPr>
      </w:pPr>
      <w:r>
        <w:rPr>
          <w:sz w:val="18"/>
          <w:szCs w:val="18"/>
        </w:rPr>
        <w:t xml:space="preserve">Daarnaast is onder vernummering van het tweede tot en met vierde lid tot derde tot en met vijfde lid een nieuw tweede lid ingevoegd. Hierin is opgenomen dat DNB, na een gelijktijdig bij de </w:t>
      </w:r>
      <w:r w:rsidR="00E70B69">
        <w:rPr>
          <w:sz w:val="18"/>
          <w:szCs w:val="18"/>
        </w:rPr>
        <w:t>aanvraag</w:t>
      </w:r>
      <w:r>
        <w:rPr>
          <w:sz w:val="18"/>
          <w:szCs w:val="18"/>
        </w:rPr>
        <w:t xml:space="preserve"> als </w:t>
      </w:r>
      <w:r w:rsidR="00E70B69">
        <w:rPr>
          <w:sz w:val="18"/>
          <w:szCs w:val="18"/>
        </w:rPr>
        <w:t>bedoeld</w:t>
      </w:r>
      <w:r>
        <w:rPr>
          <w:sz w:val="18"/>
          <w:szCs w:val="18"/>
        </w:rPr>
        <w:t xml:space="preserve"> in </w:t>
      </w:r>
      <w:r w:rsidR="00E70B69">
        <w:rPr>
          <w:sz w:val="18"/>
          <w:szCs w:val="18"/>
        </w:rPr>
        <w:t>het</w:t>
      </w:r>
      <w:r>
        <w:rPr>
          <w:sz w:val="18"/>
          <w:szCs w:val="18"/>
        </w:rPr>
        <w:t xml:space="preserve"> eerste lid, onderdeel a, ingediend verzoek, ontheffing kan verlenen van </w:t>
      </w:r>
      <w:r w:rsidR="00E70B69">
        <w:rPr>
          <w:sz w:val="18"/>
          <w:szCs w:val="18"/>
        </w:rPr>
        <w:t>het verkrijgen van een vergunning als bedoeld in artikel 2:12, eerste lid, indien de bank voldoet aan de vereisten van artikel 8 bis, derde lid bis, CRD</w:t>
      </w:r>
      <w:r w:rsidR="006411C8">
        <w:rPr>
          <w:sz w:val="18"/>
          <w:szCs w:val="18"/>
        </w:rPr>
        <w:t xml:space="preserve">. </w:t>
      </w:r>
      <w:r w:rsidR="00E70B69">
        <w:rPr>
          <w:sz w:val="18"/>
          <w:szCs w:val="18"/>
        </w:rPr>
        <w:t xml:space="preserve">Hiermee is artikel 8 bis, derde lid bis, eerste alinea, CRD geïmplementeerd. </w:t>
      </w:r>
      <w:r w:rsidR="00270D8D">
        <w:rPr>
          <w:sz w:val="18"/>
          <w:szCs w:val="18"/>
        </w:rPr>
        <w:t xml:space="preserve">Een beleggingsonderneming zal dus altijd een verzoek om een vergunning als bedoeld in artikel 2:12, eerste lid, Wft moeten indienen. Tegelijkertijd kan zij daarbij dus het verzoek doen voor een ontheffing. </w:t>
      </w:r>
      <w:r w:rsidR="00E70B69">
        <w:rPr>
          <w:sz w:val="18"/>
          <w:szCs w:val="18"/>
        </w:rPr>
        <w:t>DNB zal bij de beoordeling van het verzoek tot ontheffing rekening moeten houden met de technische reguleringsnormen die overeenkomstig artikel 8 bis, zevende lid, CRD door EBA opgesteld worden.</w:t>
      </w:r>
    </w:p>
    <w:p w:rsidRPr="002E27AA" w:rsidR="001E56AB" w:rsidP="001E56AB" w:rsidRDefault="001E56AB" w14:paraId="2E6E4068" w14:textId="77777777">
      <w:pPr>
        <w:widowControl w:val="0"/>
        <w:spacing w:line="240" w:lineRule="atLeast"/>
        <w:rPr>
          <w:sz w:val="18"/>
          <w:szCs w:val="18"/>
        </w:rPr>
      </w:pPr>
    </w:p>
    <w:p w:rsidRPr="00040BB7" w:rsidR="001E56AB" w:rsidP="001E56AB" w:rsidRDefault="00070306" w14:paraId="56A9AAE6" w14:textId="7CD77F18">
      <w:pPr>
        <w:widowControl w:val="0"/>
        <w:spacing w:line="240" w:lineRule="atLeast"/>
        <w:rPr>
          <w:sz w:val="18"/>
          <w:szCs w:val="18"/>
        </w:rPr>
      </w:pPr>
      <w:r>
        <w:rPr>
          <w:sz w:val="18"/>
          <w:szCs w:val="18"/>
        </w:rPr>
        <w:t>R</w:t>
      </w:r>
      <w:r w:rsidRPr="00040BB7" w:rsidR="001E56AB">
        <w:rPr>
          <w:sz w:val="18"/>
          <w:szCs w:val="18"/>
        </w:rPr>
        <w:t xml:space="preserve"> (</w:t>
      </w:r>
      <w:r w:rsidRPr="00A713E5" w:rsidR="00371EE4">
        <w:rPr>
          <w:sz w:val="18"/>
          <w:szCs w:val="18"/>
        </w:rPr>
        <w:t>paragraaf 2.2.2.3</w:t>
      </w:r>
      <w:r w:rsidRPr="00040BB7" w:rsidR="001E56AB">
        <w:rPr>
          <w:sz w:val="18"/>
          <w:szCs w:val="18"/>
        </w:rPr>
        <w:t>)</w:t>
      </w:r>
    </w:p>
    <w:p w:rsidRPr="00A6284F" w:rsidR="001E56AB" w:rsidP="001E56AB" w:rsidRDefault="001E56AB" w14:paraId="460E2095" w14:textId="77777777">
      <w:pPr>
        <w:widowControl w:val="0"/>
        <w:spacing w:line="240" w:lineRule="atLeast"/>
        <w:rPr>
          <w:sz w:val="18"/>
          <w:szCs w:val="18"/>
        </w:rPr>
      </w:pPr>
    </w:p>
    <w:p w:rsidR="0043317A" w:rsidP="001E56AB" w:rsidRDefault="00C14822" w14:paraId="6EADB6B9" w14:textId="6D38903E">
      <w:pPr>
        <w:widowControl w:val="0"/>
        <w:spacing w:line="240" w:lineRule="atLeast"/>
        <w:rPr>
          <w:sz w:val="18"/>
          <w:szCs w:val="18"/>
        </w:rPr>
      </w:pPr>
      <w:r>
        <w:rPr>
          <w:sz w:val="18"/>
          <w:szCs w:val="18"/>
        </w:rPr>
        <w:t xml:space="preserve">Paragraaf 2.2.2.3 van de Wft </w:t>
      </w:r>
      <w:r w:rsidRPr="00A6284F">
        <w:rPr>
          <w:sz w:val="18"/>
          <w:szCs w:val="18"/>
        </w:rPr>
        <w:t xml:space="preserve">bevat de </w:t>
      </w:r>
      <w:r>
        <w:rPr>
          <w:sz w:val="18"/>
          <w:szCs w:val="18"/>
        </w:rPr>
        <w:t xml:space="preserve">vereisten voor vergunningverlening aan een bijkantoor van een bank </w:t>
      </w:r>
      <w:r w:rsidR="00FB7E97">
        <w:rPr>
          <w:sz w:val="18"/>
          <w:szCs w:val="18"/>
        </w:rPr>
        <w:t xml:space="preserve">met zetel </w:t>
      </w:r>
      <w:r>
        <w:rPr>
          <w:sz w:val="18"/>
          <w:szCs w:val="18"/>
        </w:rPr>
        <w:t xml:space="preserve">in een staat die geen lidstaat is. </w:t>
      </w:r>
      <w:r w:rsidR="00C5489C">
        <w:rPr>
          <w:sz w:val="18"/>
          <w:szCs w:val="18"/>
        </w:rPr>
        <w:t>Na implementatie van de CRD dekt het opschrift de lading niet helemaal meer van hetgeen qua artikelen hieronder is opgenomen</w:t>
      </w:r>
      <w:r w:rsidR="00E4734E">
        <w:rPr>
          <w:sz w:val="18"/>
          <w:szCs w:val="18"/>
        </w:rPr>
        <w:t>.</w:t>
      </w:r>
      <w:r w:rsidR="00371EE4">
        <w:rPr>
          <w:sz w:val="18"/>
          <w:szCs w:val="18"/>
        </w:rPr>
        <w:t xml:space="preserve"> Het zijn tenslotte niet altijd banken uit </w:t>
      </w:r>
      <w:r w:rsidR="00270D8D">
        <w:rPr>
          <w:sz w:val="18"/>
          <w:szCs w:val="18"/>
        </w:rPr>
        <w:t>een staat die geen lidstaat is</w:t>
      </w:r>
      <w:r w:rsidR="00371EE4">
        <w:rPr>
          <w:sz w:val="18"/>
          <w:szCs w:val="18"/>
        </w:rPr>
        <w:t xml:space="preserve"> die een </w:t>
      </w:r>
      <w:r w:rsidR="001C0C28">
        <w:rPr>
          <w:sz w:val="18"/>
          <w:szCs w:val="18"/>
        </w:rPr>
        <w:t>derde land</w:t>
      </w:r>
      <w:r w:rsidR="00371EE4">
        <w:rPr>
          <w:sz w:val="18"/>
          <w:szCs w:val="18"/>
        </w:rPr>
        <w:t xml:space="preserve"> bijkantoor willen oprichten in Nederland</w:t>
      </w:r>
      <w:r w:rsidR="0043317A">
        <w:rPr>
          <w:sz w:val="18"/>
          <w:szCs w:val="18"/>
        </w:rPr>
        <w:t>, het kunnen ook andere ondernemingen zijn die de bancaire dienst 1 uit bijlage I CRD uitvoeren</w:t>
      </w:r>
      <w:r w:rsidR="00371EE4">
        <w:rPr>
          <w:sz w:val="18"/>
          <w:szCs w:val="18"/>
        </w:rPr>
        <w:t>.</w:t>
      </w:r>
      <w:r w:rsidR="0043317A">
        <w:rPr>
          <w:sz w:val="18"/>
          <w:szCs w:val="18"/>
        </w:rPr>
        <w:t xml:space="preserve"> </w:t>
      </w:r>
      <w:r w:rsidR="00C5489C">
        <w:rPr>
          <w:sz w:val="18"/>
          <w:szCs w:val="18"/>
        </w:rPr>
        <w:t>Hierom wordt ook de titel van de paragraaf aangepast, waarbij het woord ‘banken’ wordt vervangen door ‘ondernemingen’.</w:t>
      </w:r>
    </w:p>
    <w:p w:rsidR="0043317A" w:rsidP="001E56AB" w:rsidRDefault="0043317A" w14:paraId="3BE553D4" w14:textId="77777777">
      <w:pPr>
        <w:widowControl w:val="0"/>
        <w:spacing w:line="240" w:lineRule="atLeast"/>
        <w:rPr>
          <w:sz w:val="18"/>
          <w:szCs w:val="18"/>
        </w:rPr>
      </w:pPr>
    </w:p>
    <w:p w:rsidR="0043317A" w:rsidP="001E56AB" w:rsidRDefault="00070306" w14:paraId="0875915E" w14:textId="02E4DE7F">
      <w:pPr>
        <w:widowControl w:val="0"/>
        <w:spacing w:line="240" w:lineRule="atLeast"/>
        <w:rPr>
          <w:sz w:val="18"/>
          <w:szCs w:val="18"/>
        </w:rPr>
      </w:pPr>
      <w:r>
        <w:rPr>
          <w:sz w:val="18"/>
          <w:szCs w:val="18"/>
        </w:rPr>
        <w:t>S</w:t>
      </w:r>
      <w:r w:rsidR="0043317A">
        <w:rPr>
          <w:sz w:val="18"/>
          <w:szCs w:val="18"/>
        </w:rPr>
        <w:t xml:space="preserve"> (2:20)</w:t>
      </w:r>
    </w:p>
    <w:p w:rsidR="0043317A" w:rsidP="001E56AB" w:rsidRDefault="0043317A" w14:paraId="45025CEC" w14:textId="77777777">
      <w:pPr>
        <w:widowControl w:val="0"/>
        <w:spacing w:line="240" w:lineRule="atLeast"/>
        <w:rPr>
          <w:sz w:val="18"/>
          <w:szCs w:val="18"/>
        </w:rPr>
      </w:pPr>
    </w:p>
    <w:p w:rsidR="0043317A" w:rsidP="001E56AB" w:rsidRDefault="0043317A" w14:paraId="38AA3F0A" w14:textId="38AC3580">
      <w:pPr>
        <w:widowControl w:val="0"/>
        <w:spacing w:line="240" w:lineRule="atLeast"/>
        <w:rPr>
          <w:sz w:val="18"/>
          <w:szCs w:val="18"/>
        </w:rPr>
      </w:pPr>
      <w:r>
        <w:rPr>
          <w:sz w:val="18"/>
          <w:szCs w:val="18"/>
        </w:rPr>
        <w:t xml:space="preserve">Artikel 2:20 </w:t>
      </w:r>
      <w:r w:rsidR="00270D8D">
        <w:rPr>
          <w:sz w:val="18"/>
          <w:szCs w:val="18"/>
        </w:rPr>
        <w:t xml:space="preserve">Wft </w:t>
      </w:r>
      <w:r>
        <w:rPr>
          <w:sz w:val="18"/>
          <w:szCs w:val="18"/>
        </w:rPr>
        <w:t>bevat</w:t>
      </w:r>
      <w:r w:rsidR="00C5489C">
        <w:rPr>
          <w:sz w:val="18"/>
          <w:szCs w:val="18"/>
        </w:rPr>
        <w:t xml:space="preserve">te voorheen het verbod </w:t>
      </w:r>
      <w:r w:rsidR="00520D61">
        <w:rPr>
          <w:sz w:val="18"/>
          <w:szCs w:val="18"/>
        </w:rPr>
        <w:t xml:space="preserve">voor eenieder met zetel in een derde land </w:t>
      </w:r>
      <w:r w:rsidR="00C5489C">
        <w:rPr>
          <w:sz w:val="18"/>
          <w:szCs w:val="18"/>
        </w:rPr>
        <w:t xml:space="preserve">om </w:t>
      </w:r>
      <w:r w:rsidRPr="00C5489C" w:rsidR="00C5489C">
        <w:rPr>
          <w:sz w:val="18"/>
          <w:szCs w:val="18"/>
        </w:rPr>
        <w:t xml:space="preserve">zonder een daartoe door </w:t>
      </w:r>
      <w:r w:rsidR="001F217E">
        <w:rPr>
          <w:sz w:val="18"/>
          <w:szCs w:val="18"/>
        </w:rPr>
        <w:t>DNB</w:t>
      </w:r>
      <w:r w:rsidRPr="00C5489C" w:rsidR="00C5489C">
        <w:rPr>
          <w:sz w:val="18"/>
          <w:szCs w:val="18"/>
        </w:rPr>
        <w:t xml:space="preserve"> verleende vergunning het bedrijf</w:t>
      </w:r>
      <w:r w:rsidR="00C9706C">
        <w:rPr>
          <w:sz w:val="18"/>
          <w:szCs w:val="18"/>
        </w:rPr>
        <w:t xml:space="preserve"> van bank</w:t>
      </w:r>
      <w:r w:rsidRPr="00C5489C" w:rsidR="00C5489C">
        <w:rPr>
          <w:sz w:val="18"/>
          <w:szCs w:val="18"/>
        </w:rPr>
        <w:t xml:space="preserve"> uit te oefenen vanuit een in Nederland gelegen bijkantoor.</w:t>
      </w:r>
      <w:r w:rsidR="00C5489C">
        <w:rPr>
          <w:sz w:val="18"/>
          <w:szCs w:val="18"/>
        </w:rPr>
        <w:t xml:space="preserve"> Dit artikel wordt opnieuw vastgesteld ter implementatie van het </w:t>
      </w:r>
      <w:r w:rsidR="00520D61">
        <w:rPr>
          <w:sz w:val="18"/>
          <w:szCs w:val="18"/>
        </w:rPr>
        <w:t xml:space="preserve">nieuwe </w:t>
      </w:r>
      <w:r w:rsidR="001C0C28">
        <w:rPr>
          <w:sz w:val="18"/>
          <w:szCs w:val="18"/>
        </w:rPr>
        <w:t>derde land</w:t>
      </w:r>
      <w:r w:rsidR="00C5489C">
        <w:rPr>
          <w:sz w:val="18"/>
          <w:szCs w:val="18"/>
        </w:rPr>
        <w:t xml:space="preserve"> bijkantorenregime uit de richtlijn.</w:t>
      </w:r>
    </w:p>
    <w:p w:rsidR="0043317A" w:rsidP="001E56AB" w:rsidRDefault="0043317A" w14:paraId="4870C586" w14:textId="77777777">
      <w:pPr>
        <w:widowControl w:val="0"/>
        <w:spacing w:line="240" w:lineRule="atLeast"/>
        <w:rPr>
          <w:sz w:val="18"/>
          <w:szCs w:val="18"/>
        </w:rPr>
      </w:pPr>
    </w:p>
    <w:p w:rsidR="00245E61" w:rsidP="001E56AB" w:rsidRDefault="00477C15" w14:paraId="096640D7" w14:textId="6B986B4B">
      <w:pPr>
        <w:widowControl w:val="0"/>
        <w:spacing w:line="240" w:lineRule="atLeast"/>
        <w:rPr>
          <w:sz w:val="18"/>
          <w:szCs w:val="18"/>
        </w:rPr>
      </w:pPr>
      <w:r>
        <w:rPr>
          <w:sz w:val="18"/>
          <w:szCs w:val="18"/>
        </w:rPr>
        <w:t>Het eerste lid van artikel 2:20 bevat het nieuw geformuleerde verbod.</w:t>
      </w:r>
      <w:r w:rsidR="00C14D7D">
        <w:rPr>
          <w:sz w:val="18"/>
          <w:szCs w:val="18"/>
        </w:rPr>
        <w:t xml:space="preserve"> </w:t>
      </w:r>
      <w:r>
        <w:rPr>
          <w:sz w:val="18"/>
          <w:szCs w:val="18"/>
        </w:rPr>
        <w:t>Het</w:t>
      </w:r>
      <w:r w:rsidR="0043317A">
        <w:rPr>
          <w:sz w:val="18"/>
          <w:szCs w:val="18"/>
        </w:rPr>
        <w:t xml:space="preserve"> is verbod</w:t>
      </w:r>
      <w:r>
        <w:rPr>
          <w:sz w:val="18"/>
          <w:szCs w:val="18"/>
        </w:rPr>
        <w:t>en</w:t>
      </w:r>
      <w:r w:rsidR="0043317A">
        <w:rPr>
          <w:sz w:val="18"/>
          <w:szCs w:val="18"/>
        </w:rPr>
        <w:t xml:space="preserve"> </w:t>
      </w:r>
      <w:r>
        <w:rPr>
          <w:sz w:val="18"/>
          <w:szCs w:val="18"/>
        </w:rPr>
        <w:t xml:space="preserve">voor een onderneming in een staat die geen lidstaat is </w:t>
      </w:r>
      <w:r w:rsidR="0043317A">
        <w:rPr>
          <w:sz w:val="18"/>
          <w:szCs w:val="18"/>
        </w:rPr>
        <w:t xml:space="preserve">om in Nederland </w:t>
      </w:r>
      <w:r>
        <w:rPr>
          <w:sz w:val="18"/>
          <w:szCs w:val="18"/>
        </w:rPr>
        <w:t xml:space="preserve">zonder vestiging van een bijkantoor en verkrijging van een vergunning </w:t>
      </w:r>
      <w:r w:rsidR="0043317A">
        <w:rPr>
          <w:sz w:val="18"/>
          <w:szCs w:val="18"/>
        </w:rPr>
        <w:t>de bancaire diensten 1,</w:t>
      </w:r>
      <w:r w:rsidR="00825D8C">
        <w:rPr>
          <w:sz w:val="18"/>
          <w:szCs w:val="18"/>
        </w:rPr>
        <w:t xml:space="preserve"> </w:t>
      </w:r>
      <w:r w:rsidR="0043317A">
        <w:rPr>
          <w:sz w:val="18"/>
          <w:szCs w:val="18"/>
        </w:rPr>
        <w:t xml:space="preserve">2 </w:t>
      </w:r>
      <w:r w:rsidR="00047733">
        <w:rPr>
          <w:sz w:val="18"/>
          <w:szCs w:val="18"/>
        </w:rPr>
        <w:t>of</w:t>
      </w:r>
      <w:r w:rsidR="0043317A">
        <w:rPr>
          <w:sz w:val="18"/>
          <w:szCs w:val="18"/>
        </w:rPr>
        <w:t xml:space="preserve"> 6, genoemd in </w:t>
      </w:r>
      <w:r w:rsidR="0099210F">
        <w:rPr>
          <w:sz w:val="18"/>
          <w:szCs w:val="18"/>
        </w:rPr>
        <w:t>b</w:t>
      </w:r>
      <w:r w:rsidR="0043317A">
        <w:rPr>
          <w:sz w:val="18"/>
          <w:szCs w:val="18"/>
        </w:rPr>
        <w:t>ijlage I van de CRD uit te voeren. Voor de bancaire dienst 1, het aantrekken van opvorderbare gelden, geldt dit verbod</w:t>
      </w:r>
      <w:r w:rsidR="00245E61">
        <w:rPr>
          <w:sz w:val="18"/>
          <w:szCs w:val="18"/>
        </w:rPr>
        <w:t xml:space="preserve"> voor elke onderneming gezeteld in een staat die geen lidstaat is die in Nederland opvorderbare gelden wil aantrekken</w:t>
      </w:r>
      <w:r>
        <w:rPr>
          <w:sz w:val="18"/>
          <w:szCs w:val="18"/>
        </w:rPr>
        <w:t>, ongeacht of die onderneming een bank is of niet en ongeacht of de aantrekking gebeurt van professionele marktpartijen of niet.</w:t>
      </w:r>
      <w:r w:rsidR="00245E61">
        <w:rPr>
          <w:sz w:val="18"/>
          <w:szCs w:val="18"/>
        </w:rPr>
        <w:t xml:space="preserve"> De reikwijdte van artikel 21 quater en 47</w:t>
      </w:r>
      <w:r w:rsidR="00BC2007">
        <w:rPr>
          <w:sz w:val="18"/>
          <w:szCs w:val="18"/>
        </w:rPr>
        <w:t xml:space="preserve"> CRD strekken ertoe duidelijk te maken dat het verrichten van deze bancaire dienst 1 niet is toegestaan van buiten de EU naar een lidstaat toe zonder een </w:t>
      </w:r>
      <w:r w:rsidR="001C0C28">
        <w:rPr>
          <w:sz w:val="18"/>
          <w:szCs w:val="18"/>
        </w:rPr>
        <w:t>derde land</w:t>
      </w:r>
      <w:r w:rsidR="00BC2007">
        <w:rPr>
          <w:sz w:val="18"/>
          <w:szCs w:val="18"/>
        </w:rPr>
        <w:t xml:space="preserve"> bijkantoor te vestigen.</w:t>
      </w:r>
      <w:r>
        <w:rPr>
          <w:rStyle w:val="Voetnootmarkering"/>
          <w:sz w:val="18"/>
          <w:szCs w:val="18"/>
        </w:rPr>
        <w:footnoteReference w:id="80"/>
      </w:r>
      <w:r w:rsidR="00347D5A">
        <w:rPr>
          <w:sz w:val="18"/>
          <w:szCs w:val="18"/>
        </w:rPr>
        <w:t xml:space="preserve"> De enige uitzondering hierop indien de aantrekking het gevolg is van het aanbieden van effecten in Nederland in overeenstemming met hetgeen in de prospectusverordening is bepaald. Deze uitzondering is opgenomen zodat het mogelijk blijft voor ondernemingen uit een staat die geen lidstaat is om obligaties aan te bieden in Nederland, zolang deze aanbieding voldoen aan de vereisten uit de prospectusverordening.</w:t>
      </w:r>
    </w:p>
    <w:p w:rsidR="00245E61" w:rsidP="001E56AB" w:rsidRDefault="00245E61" w14:paraId="541C6BC0" w14:textId="77777777">
      <w:pPr>
        <w:widowControl w:val="0"/>
        <w:spacing w:line="240" w:lineRule="atLeast"/>
        <w:rPr>
          <w:sz w:val="18"/>
          <w:szCs w:val="18"/>
        </w:rPr>
      </w:pPr>
    </w:p>
    <w:p w:rsidR="00171038" w:rsidP="001E56AB" w:rsidRDefault="0043317A" w14:paraId="27326640" w14:textId="534EA454">
      <w:pPr>
        <w:widowControl w:val="0"/>
        <w:spacing w:line="240" w:lineRule="atLeast"/>
        <w:rPr>
          <w:sz w:val="18"/>
          <w:szCs w:val="18"/>
        </w:rPr>
      </w:pPr>
      <w:r>
        <w:rPr>
          <w:sz w:val="18"/>
          <w:szCs w:val="18"/>
        </w:rPr>
        <w:t xml:space="preserve">Het is ook verboden om de bancaire diensten 2 </w:t>
      </w:r>
      <w:r w:rsidR="00047733">
        <w:rPr>
          <w:sz w:val="18"/>
          <w:szCs w:val="18"/>
        </w:rPr>
        <w:t>of</w:t>
      </w:r>
      <w:r>
        <w:rPr>
          <w:sz w:val="18"/>
          <w:szCs w:val="18"/>
        </w:rPr>
        <w:t xml:space="preserve"> 6 </w:t>
      </w:r>
      <w:r w:rsidR="00BC7C8E">
        <w:rPr>
          <w:sz w:val="18"/>
          <w:szCs w:val="18"/>
        </w:rPr>
        <w:t xml:space="preserve">van bijlage I CRD </w:t>
      </w:r>
      <w:r>
        <w:rPr>
          <w:sz w:val="18"/>
          <w:szCs w:val="18"/>
        </w:rPr>
        <w:t>te verrichten</w:t>
      </w:r>
      <w:r w:rsidR="00BC7C8E">
        <w:rPr>
          <w:sz w:val="18"/>
          <w:szCs w:val="18"/>
        </w:rPr>
        <w:t xml:space="preserve"> in Nederland</w:t>
      </w:r>
      <w:r w:rsidR="00FB7E97">
        <w:rPr>
          <w:sz w:val="18"/>
          <w:szCs w:val="18"/>
        </w:rPr>
        <w:t>,</w:t>
      </w:r>
      <w:r w:rsidR="00BC7C8E">
        <w:rPr>
          <w:sz w:val="18"/>
          <w:szCs w:val="18"/>
        </w:rPr>
        <w:t xml:space="preserve"> indien de onderneming in </w:t>
      </w:r>
      <w:r w:rsidR="00721321">
        <w:rPr>
          <w:sz w:val="18"/>
          <w:szCs w:val="18"/>
        </w:rPr>
        <w:t xml:space="preserve">een staat die geen lidstaat is </w:t>
      </w:r>
      <w:r w:rsidR="00BC7C8E">
        <w:rPr>
          <w:sz w:val="18"/>
          <w:szCs w:val="18"/>
        </w:rPr>
        <w:t>een bank zou zijn geweest indien zij haar zetel in Nederland zou hebben.</w:t>
      </w:r>
      <w:r w:rsidR="00311C8A">
        <w:rPr>
          <w:sz w:val="18"/>
          <w:szCs w:val="18"/>
        </w:rPr>
        <w:t xml:space="preserve"> </w:t>
      </w:r>
      <w:r w:rsidR="00BC2007">
        <w:rPr>
          <w:sz w:val="18"/>
          <w:szCs w:val="18"/>
        </w:rPr>
        <w:t>Dit</w:t>
      </w:r>
      <w:r w:rsidR="00477C15">
        <w:rPr>
          <w:sz w:val="18"/>
          <w:szCs w:val="18"/>
        </w:rPr>
        <w:t xml:space="preserve"> verbod</w:t>
      </w:r>
      <w:r w:rsidR="00BC2007">
        <w:rPr>
          <w:sz w:val="18"/>
          <w:szCs w:val="18"/>
        </w:rPr>
        <w:t xml:space="preserve"> geldt</w:t>
      </w:r>
      <w:r w:rsidR="00477C15">
        <w:rPr>
          <w:sz w:val="18"/>
          <w:szCs w:val="18"/>
        </w:rPr>
        <w:t xml:space="preserve"> </w:t>
      </w:r>
      <w:r w:rsidR="005257A0">
        <w:rPr>
          <w:sz w:val="18"/>
          <w:szCs w:val="18"/>
        </w:rPr>
        <w:t xml:space="preserve">hiermee </w:t>
      </w:r>
      <w:r w:rsidR="00BC2007">
        <w:rPr>
          <w:sz w:val="18"/>
          <w:szCs w:val="18"/>
        </w:rPr>
        <w:t>ook voor de grote beleggingsondernemingen die voldoen aan de voorwaarden in artikel 4, eerste lid, onderdeel 1, subonderdeel b, CRR</w:t>
      </w:r>
      <w:r w:rsidR="00477C15">
        <w:rPr>
          <w:sz w:val="18"/>
          <w:szCs w:val="18"/>
        </w:rPr>
        <w:t xml:space="preserve">, te weten </w:t>
      </w:r>
      <w:r w:rsidR="00BC2007">
        <w:rPr>
          <w:sz w:val="18"/>
          <w:szCs w:val="18"/>
        </w:rPr>
        <w:t xml:space="preserve">de beleggingsonderneming die de </w:t>
      </w:r>
      <w:r w:rsidR="00C91995">
        <w:rPr>
          <w:sz w:val="18"/>
          <w:szCs w:val="18"/>
        </w:rPr>
        <w:t>in bijlage I, deel A, genoemde MiFID II-</w:t>
      </w:r>
      <w:r w:rsidR="00BC2007">
        <w:rPr>
          <w:sz w:val="18"/>
          <w:szCs w:val="18"/>
        </w:rPr>
        <w:t>diensten</w:t>
      </w:r>
      <w:r w:rsidR="00C91995">
        <w:rPr>
          <w:sz w:val="18"/>
          <w:szCs w:val="18"/>
        </w:rPr>
        <w:t xml:space="preserve"> en activiteiten</w:t>
      </w:r>
      <w:r w:rsidR="00BC2007">
        <w:rPr>
          <w:sz w:val="18"/>
          <w:szCs w:val="18"/>
        </w:rPr>
        <w:t xml:space="preserve"> 3 en 6 verricht, en voldoet aan een van de criteria voor de omvang in artikel 4, eerste lid, onderdeel 1, subonderdeel b, CRR</w:t>
      </w:r>
      <w:r w:rsidR="00171038">
        <w:rPr>
          <w:sz w:val="18"/>
          <w:szCs w:val="18"/>
        </w:rPr>
        <w:t>.</w:t>
      </w:r>
      <w:r w:rsidR="00BC2007">
        <w:rPr>
          <w:sz w:val="18"/>
          <w:szCs w:val="18"/>
        </w:rPr>
        <w:t xml:space="preserve"> </w:t>
      </w:r>
      <w:r w:rsidR="00477C15">
        <w:rPr>
          <w:sz w:val="18"/>
          <w:szCs w:val="18"/>
        </w:rPr>
        <w:t xml:space="preserve">Deze beleggingsondernemingen voldoen dan aan de definitie van ‘kredietinstelling’ in de CRR, en daarmee aan de definitie van ‘bank’ in </w:t>
      </w:r>
      <w:r w:rsidR="005257A0">
        <w:rPr>
          <w:sz w:val="18"/>
          <w:szCs w:val="18"/>
        </w:rPr>
        <w:t>artikel 1:1</w:t>
      </w:r>
      <w:r w:rsidR="00477C15">
        <w:rPr>
          <w:sz w:val="18"/>
          <w:szCs w:val="18"/>
        </w:rPr>
        <w:t xml:space="preserve"> Wft. </w:t>
      </w:r>
      <w:r w:rsidR="00BC2007">
        <w:rPr>
          <w:sz w:val="18"/>
          <w:szCs w:val="18"/>
        </w:rPr>
        <w:t xml:space="preserve">Partijen die niet zouden kwalificeren als een bank </w:t>
      </w:r>
      <w:r w:rsidR="00170F4D">
        <w:rPr>
          <w:sz w:val="18"/>
          <w:szCs w:val="18"/>
        </w:rPr>
        <w:t xml:space="preserve">en de diensten 2 of 6 </w:t>
      </w:r>
      <w:r w:rsidR="00A82954">
        <w:rPr>
          <w:sz w:val="18"/>
          <w:szCs w:val="18"/>
        </w:rPr>
        <w:t>(</w:t>
      </w:r>
      <w:r w:rsidR="00170F4D">
        <w:rPr>
          <w:sz w:val="18"/>
          <w:szCs w:val="18"/>
        </w:rPr>
        <w:t>willen</w:t>
      </w:r>
      <w:r w:rsidR="00A82954">
        <w:rPr>
          <w:sz w:val="18"/>
          <w:szCs w:val="18"/>
        </w:rPr>
        <w:t>)</w:t>
      </w:r>
      <w:r w:rsidR="00170F4D">
        <w:rPr>
          <w:sz w:val="18"/>
          <w:szCs w:val="18"/>
        </w:rPr>
        <w:t xml:space="preserve"> verlenen </w:t>
      </w:r>
      <w:r w:rsidR="00BC2007">
        <w:rPr>
          <w:sz w:val="18"/>
          <w:szCs w:val="18"/>
        </w:rPr>
        <w:t>vallen niet onder het verbod uit artikel 2:20, eerste lid, Wft.</w:t>
      </w:r>
      <w:r w:rsidR="00AA385E">
        <w:rPr>
          <w:sz w:val="18"/>
          <w:szCs w:val="18"/>
        </w:rPr>
        <w:t xml:space="preserve"> </w:t>
      </w:r>
    </w:p>
    <w:p w:rsidR="00171038" w:rsidP="001E56AB" w:rsidRDefault="00171038" w14:paraId="5CD1E78B" w14:textId="77777777">
      <w:pPr>
        <w:widowControl w:val="0"/>
        <w:spacing w:line="240" w:lineRule="atLeast"/>
        <w:rPr>
          <w:sz w:val="18"/>
          <w:szCs w:val="18"/>
        </w:rPr>
      </w:pPr>
    </w:p>
    <w:p w:rsidR="00117E7D" w:rsidP="001E56AB" w:rsidRDefault="000C23F8" w14:paraId="670D6F31" w14:textId="779FAACC">
      <w:pPr>
        <w:widowControl w:val="0"/>
        <w:spacing w:line="240" w:lineRule="atLeast"/>
        <w:rPr>
          <w:sz w:val="18"/>
          <w:szCs w:val="18"/>
        </w:rPr>
      </w:pPr>
      <w:r>
        <w:rPr>
          <w:sz w:val="18"/>
          <w:szCs w:val="18"/>
        </w:rPr>
        <w:t>Overigens wordt hierbij opgemerkt dat de bancaire dienst 2</w:t>
      </w:r>
      <w:r w:rsidR="0099210F">
        <w:rPr>
          <w:sz w:val="18"/>
          <w:szCs w:val="18"/>
        </w:rPr>
        <w:t xml:space="preserve"> uit bijlage I CRD</w:t>
      </w:r>
      <w:r>
        <w:rPr>
          <w:sz w:val="18"/>
          <w:szCs w:val="18"/>
        </w:rPr>
        <w:t xml:space="preserve"> het verstrekken van leningen, waaronder </w:t>
      </w:r>
      <w:r w:rsidRPr="000C23F8">
        <w:rPr>
          <w:sz w:val="18"/>
          <w:szCs w:val="18"/>
        </w:rPr>
        <w:t>consumentenkrediet, kredietovereenkomsten met betrekking tot onroerend goed, factoring (met of zonder regres), financiering van commerciële transacties (met inbegrip van voorschotten)</w:t>
      </w:r>
      <w:r>
        <w:rPr>
          <w:sz w:val="18"/>
          <w:szCs w:val="18"/>
        </w:rPr>
        <w:t xml:space="preserve"> betreft. Als een onderneming in een </w:t>
      </w:r>
      <w:r w:rsidR="00721321">
        <w:rPr>
          <w:sz w:val="18"/>
          <w:szCs w:val="18"/>
        </w:rPr>
        <w:t>staat die geen lidstaat is</w:t>
      </w:r>
      <w:r>
        <w:rPr>
          <w:sz w:val="18"/>
          <w:szCs w:val="18"/>
        </w:rPr>
        <w:t xml:space="preserve"> deze dienst wil verlenen in Nederland, maar niet gekwalificeerd zou worden als bank ware zij in de EU gevestigd,</w:t>
      </w:r>
      <w:r w:rsidR="005257A0">
        <w:rPr>
          <w:sz w:val="18"/>
          <w:szCs w:val="18"/>
        </w:rPr>
        <w:t xml:space="preserve"> behoeft zij niet te voldoen aan de vereisten van artikel 2:20 Wft. Wel kan het zijn dat </w:t>
      </w:r>
      <w:r>
        <w:rPr>
          <w:sz w:val="18"/>
          <w:szCs w:val="18"/>
        </w:rPr>
        <w:t>zij</w:t>
      </w:r>
      <w:r w:rsidR="005257A0">
        <w:rPr>
          <w:sz w:val="18"/>
          <w:szCs w:val="18"/>
        </w:rPr>
        <w:t xml:space="preserve"> </w:t>
      </w:r>
      <w:r>
        <w:rPr>
          <w:sz w:val="18"/>
          <w:szCs w:val="18"/>
        </w:rPr>
        <w:t xml:space="preserve">aan andere vergunningsartikelen zal moeten voldoen, zoals </w:t>
      </w:r>
      <w:r w:rsidR="00170F4D">
        <w:rPr>
          <w:sz w:val="18"/>
          <w:szCs w:val="18"/>
        </w:rPr>
        <w:t xml:space="preserve">bijvoorbeeld </w:t>
      </w:r>
      <w:r>
        <w:rPr>
          <w:sz w:val="18"/>
          <w:szCs w:val="18"/>
        </w:rPr>
        <w:t xml:space="preserve">artikel 2:60 </w:t>
      </w:r>
      <w:r w:rsidR="00C5489C">
        <w:rPr>
          <w:sz w:val="18"/>
          <w:szCs w:val="18"/>
        </w:rPr>
        <w:t xml:space="preserve">Wft </w:t>
      </w:r>
      <w:r>
        <w:rPr>
          <w:sz w:val="18"/>
          <w:szCs w:val="18"/>
        </w:rPr>
        <w:t>met betrekking tot het verbod op het aanbieden van krediet</w:t>
      </w:r>
      <w:r w:rsidR="00270D8D">
        <w:rPr>
          <w:sz w:val="18"/>
          <w:szCs w:val="18"/>
        </w:rPr>
        <w:t xml:space="preserve"> zonder vergunning</w:t>
      </w:r>
      <w:r>
        <w:rPr>
          <w:sz w:val="18"/>
          <w:szCs w:val="18"/>
        </w:rPr>
        <w:t>.</w:t>
      </w:r>
      <w:r w:rsidR="00117E7D">
        <w:rPr>
          <w:sz w:val="18"/>
          <w:szCs w:val="18"/>
        </w:rPr>
        <w:t xml:space="preserve"> </w:t>
      </w:r>
    </w:p>
    <w:p w:rsidR="007443A1" w:rsidP="001E56AB" w:rsidRDefault="007443A1" w14:paraId="2197BBBD" w14:textId="77777777">
      <w:pPr>
        <w:widowControl w:val="0"/>
        <w:spacing w:line="240" w:lineRule="atLeast"/>
        <w:rPr>
          <w:sz w:val="18"/>
          <w:szCs w:val="18"/>
        </w:rPr>
      </w:pPr>
    </w:p>
    <w:p w:rsidRPr="00496E2A" w:rsidR="007443A1" w:rsidP="007443A1" w:rsidRDefault="007443A1" w14:paraId="163A2FE7" w14:textId="58D346F5">
      <w:pPr>
        <w:widowControl w:val="0"/>
        <w:spacing w:line="240" w:lineRule="atLeast"/>
        <w:rPr>
          <w:rFonts w:cs="Arial"/>
          <w:iCs/>
          <w:sz w:val="18"/>
          <w:szCs w:val="18"/>
        </w:rPr>
      </w:pPr>
      <w:r>
        <w:rPr>
          <w:rFonts w:cs="Arial"/>
          <w:iCs/>
          <w:sz w:val="18"/>
          <w:szCs w:val="18"/>
        </w:rPr>
        <w:t xml:space="preserve">Hierbij dient </w:t>
      </w:r>
      <w:r w:rsidR="00171038">
        <w:rPr>
          <w:rFonts w:cs="Arial"/>
          <w:iCs/>
          <w:sz w:val="18"/>
          <w:szCs w:val="18"/>
        </w:rPr>
        <w:t xml:space="preserve">tevens </w:t>
      </w:r>
      <w:r>
        <w:rPr>
          <w:rFonts w:cs="Arial"/>
          <w:iCs/>
          <w:sz w:val="18"/>
          <w:szCs w:val="18"/>
        </w:rPr>
        <w:t xml:space="preserve">opgemerkt te worden dat hiermee het begrip ‘bijkantoor van een bank’ verdwijnt. De </w:t>
      </w:r>
      <w:r w:rsidR="00FD0858">
        <w:rPr>
          <w:rFonts w:cs="Arial"/>
          <w:iCs/>
          <w:sz w:val="18"/>
          <w:szCs w:val="18"/>
        </w:rPr>
        <w:t>moeder</w:t>
      </w:r>
      <w:r>
        <w:rPr>
          <w:rFonts w:cs="Arial"/>
          <w:iCs/>
          <w:sz w:val="18"/>
          <w:szCs w:val="18"/>
        </w:rPr>
        <w:t xml:space="preserve">onderneming in een staat die geen lidstaat is </w:t>
      </w:r>
      <w:r w:rsidR="00170F4D">
        <w:rPr>
          <w:rFonts w:cs="Arial"/>
          <w:iCs/>
          <w:sz w:val="18"/>
          <w:szCs w:val="18"/>
        </w:rPr>
        <w:t xml:space="preserve">behoeft niet uitsluitend een </w:t>
      </w:r>
      <w:r>
        <w:rPr>
          <w:rFonts w:cs="Arial"/>
          <w:iCs/>
          <w:sz w:val="18"/>
          <w:szCs w:val="18"/>
        </w:rPr>
        <w:t>bank te zijn. Het kan ook zo zijn dat dit een ander type onderneming is, die op basis van zijn vergunning in de staat die geen lidstaat</w:t>
      </w:r>
      <w:r w:rsidR="00270D8D">
        <w:rPr>
          <w:rFonts w:cs="Arial"/>
          <w:iCs/>
          <w:sz w:val="18"/>
          <w:szCs w:val="18"/>
        </w:rPr>
        <w:t xml:space="preserve"> is</w:t>
      </w:r>
      <w:r>
        <w:rPr>
          <w:rFonts w:cs="Arial"/>
          <w:iCs/>
          <w:sz w:val="18"/>
          <w:szCs w:val="18"/>
        </w:rPr>
        <w:t xml:space="preserve"> het </w:t>
      </w:r>
      <w:r w:rsidR="00270D8D">
        <w:rPr>
          <w:rFonts w:cs="Arial"/>
          <w:iCs/>
          <w:sz w:val="18"/>
          <w:szCs w:val="18"/>
        </w:rPr>
        <w:t xml:space="preserve">is </w:t>
      </w:r>
      <w:r>
        <w:rPr>
          <w:rFonts w:cs="Arial"/>
          <w:iCs/>
          <w:sz w:val="18"/>
          <w:szCs w:val="18"/>
        </w:rPr>
        <w:t>toegestaan om bancaire dienst</w:t>
      </w:r>
      <w:r w:rsidR="005257A0">
        <w:rPr>
          <w:rFonts w:cs="Arial"/>
          <w:iCs/>
          <w:sz w:val="18"/>
          <w:szCs w:val="18"/>
        </w:rPr>
        <w:t xml:space="preserve"> 1</w:t>
      </w:r>
      <w:r>
        <w:rPr>
          <w:rFonts w:cs="Arial"/>
          <w:iCs/>
          <w:sz w:val="18"/>
          <w:szCs w:val="18"/>
        </w:rPr>
        <w:t xml:space="preserve"> te verrichten. De CRD schrijft namelijk voor dat</w:t>
      </w:r>
      <w:r w:rsidR="00586722">
        <w:rPr>
          <w:rFonts w:cs="Arial"/>
          <w:iCs/>
          <w:sz w:val="18"/>
          <w:szCs w:val="18"/>
        </w:rPr>
        <w:t>,</w:t>
      </w:r>
      <w:r>
        <w:rPr>
          <w:rFonts w:cs="Arial"/>
          <w:iCs/>
          <w:sz w:val="18"/>
          <w:szCs w:val="18"/>
        </w:rPr>
        <w:t xml:space="preserve"> ongeacht het type onderneming in de staat die geen lidstaat </w:t>
      </w:r>
      <w:r w:rsidR="00586722">
        <w:rPr>
          <w:rFonts w:cs="Arial"/>
          <w:iCs/>
          <w:sz w:val="18"/>
          <w:szCs w:val="18"/>
        </w:rPr>
        <w:t xml:space="preserve">is, </w:t>
      </w:r>
      <w:r>
        <w:rPr>
          <w:rFonts w:cs="Arial"/>
          <w:iCs/>
          <w:sz w:val="18"/>
          <w:szCs w:val="18"/>
        </w:rPr>
        <w:t xml:space="preserve">het verplicht is om een </w:t>
      </w:r>
      <w:r w:rsidR="001C0C28">
        <w:rPr>
          <w:rFonts w:cs="Arial"/>
          <w:iCs/>
          <w:sz w:val="18"/>
          <w:szCs w:val="18"/>
        </w:rPr>
        <w:t>derde land</w:t>
      </w:r>
      <w:r>
        <w:rPr>
          <w:rFonts w:cs="Arial"/>
          <w:iCs/>
          <w:sz w:val="18"/>
          <w:szCs w:val="18"/>
        </w:rPr>
        <w:t xml:space="preserve"> bijkantoorvergunning aan te vragen indien er sprake is van</w:t>
      </w:r>
      <w:r w:rsidR="00520D61">
        <w:rPr>
          <w:rFonts w:cs="Arial"/>
          <w:iCs/>
          <w:sz w:val="18"/>
          <w:szCs w:val="18"/>
        </w:rPr>
        <w:t xml:space="preserve"> het aantrekken van</w:t>
      </w:r>
      <w:r>
        <w:rPr>
          <w:rFonts w:cs="Arial"/>
          <w:iCs/>
          <w:sz w:val="18"/>
          <w:szCs w:val="18"/>
        </w:rPr>
        <w:t xml:space="preserve"> deposito</w:t>
      </w:r>
      <w:r w:rsidR="005257A0">
        <w:rPr>
          <w:rFonts w:cs="Arial"/>
          <w:iCs/>
          <w:sz w:val="18"/>
          <w:szCs w:val="18"/>
        </w:rPr>
        <w:t>’</w:t>
      </w:r>
      <w:r>
        <w:rPr>
          <w:rFonts w:cs="Arial"/>
          <w:iCs/>
          <w:sz w:val="18"/>
          <w:szCs w:val="18"/>
        </w:rPr>
        <w:t>s</w:t>
      </w:r>
      <w:r w:rsidR="005257A0">
        <w:rPr>
          <w:rFonts w:cs="Arial"/>
          <w:iCs/>
          <w:sz w:val="18"/>
          <w:szCs w:val="18"/>
        </w:rPr>
        <w:t xml:space="preserve"> of andere opvorderbare </w:t>
      </w:r>
      <w:r w:rsidR="005257A0">
        <w:rPr>
          <w:rFonts w:cs="Arial"/>
          <w:iCs/>
          <w:sz w:val="18"/>
          <w:szCs w:val="18"/>
        </w:rPr>
        <w:lastRenderedPageBreak/>
        <w:t>gelden</w:t>
      </w:r>
      <w:r>
        <w:rPr>
          <w:rFonts w:cs="Arial"/>
          <w:iCs/>
          <w:sz w:val="18"/>
          <w:szCs w:val="18"/>
        </w:rPr>
        <w:t xml:space="preserve">. Voor de diensten 2 </w:t>
      </w:r>
      <w:r w:rsidR="00047733">
        <w:rPr>
          <w:rFonts w:cs="Arial"/>
          <w:iCs/>
          <w:sz w:val="18"/>
          <w:szCs w:val="18"/>
        </w:rPr>
        <w:t>of</w:t>
      </w:r>
      <w:r>
        <w:rPr>
          <w:rFonts w:cs="Arial"/>
          <w:iCs/>
          <w:sz w:val="18"/>
          <w:szCs w:val="18"/>
        </w:rPr>
        <w:t xml:space="preserve"> 6 met betrekking tot krediet verstrekken </w:t>
      </w:r>
      <w:r w:rsidR="00047733">
        <w:rPr>
          <w:rFonts w:cs="Arial"/>
          <w:iCs/>
          <w:sz w:val="18"/>
          <w:szCs w:val="18"/>
        </w:rPr>
        <w:t>of</w:t>
      </w:r>
      <w:r>
        <w:rPr>
          <w:rFonts w:cs="Arial"/>
          <w:iCs/>
          <w:sz w:val="18"/>
          <w:szCs w:val="18"/>
        </w:rPr>
        <w:t xml:space="preserve"> garanties afgeven, geldt de vergunningsplicht alleen indien de onderneming in een staat die geen lidstaat is, als bank zou worden beschouwd indien zij hier gevestigd zou zijn.</w:t>
      </w:r>
      <w:r w:rsidR="00A82954">
        <w:rPr>
          <w:rFonts w:cs="Arial"/>
          <w:iCs/>
          <w:sz w:val="18"/>
          <w:szCs w:val="18"/>
        </w:rPr>
        <w:t xml:space="preserve"> Dat beperkt het verbod heel duidelijk tot </w:t>
      </w:r>
      <w:r w:rsidR="00347D5A">
        <w:rPr>
          <w:rFonts w:cs="Arial"/>
          <w:iCs/>
          <w:sz w:val="18"/>
          <w:szCs w:val="18"/>
        </w:rPr>
        <w:t xml:space="preserve">ondernemingen </w:t>
      </w:r>
      <w:r w:rsidR="00A82954">
        <w:rPr>
          <w:rFonts w:cs="Arial"/>
          <w:iCs/>
          <w:sz w:val="18"/>
          <w:szCs w:val="18"/>
        </w:rPr>
        <w:t>die voldoen aan de definitie van kredietinstelling in artikel 4, eerste lid, onderdeel 1, CRR, ook als zij in hun eigen staat die geen lidstaat is geen bank zouden zijn.</w:t>
      </w:r>
      <w:r w:rsidR="00311C8A">
        <w:rPr>
          <w:rFonts w:cs="Arial"/>
          <w:iCs/>
          <w:sz w:val="18"/>
          <w:szCs w:val="18"/>
        </w:rPr>
        <w:t xml:space="preserve"> </w:t>
      </w:r>
    </w:p>
    <w:p w:rsidR="007443A1" w:rsidP="001E56AB" w:rsidRDefault="007443A1" w14:paraId="723EC660" w14:textId="77777777">
      <w:pPr>
        <w:widowControl w:val="0"/>
        <w:spacing w:line="240" w:lineRule="atLeast"/>
        <w:rPr>
          <w:sz w:val="18"/>
          <w:szCs w:val="18"/>
        </w:rPr>
      </w:pPr>
    </w:p>
    <w:p w:rsidR="00A82954" w:rsidP="001E56AB" w:rsidRDefault="00117E7D" w14:paraId="0355FF1D" w14:textId="30586529">
      <w:pPr>
        <w:widowControl w:val="0"/>
        <w:spacing w:line="240" w:lineRule="atLeast"/>
        <w:rPr>
          <w:sz w:val="18"/>
          <w:szCs w:val="18"/>
        </w:rPr>
      </w:pPr>
      <w:r>
        <w:rPr>
          <w:sz w:val="18"/>
          <w:szCs w:val="18"/>
        </w:rPr>
        <w:t xml:space="preserve">Het tweede lid </w:t>
      </w:r>
      <w:r w:rsidR="00A82954">
        <w:rPr>
          <w:sz w:val="18"/>
          <w:szCs w:val="18"/>
        </w:rPr>
        <w:t>bevat een dynamische verwijzing naar</w:t>
      </w:r>
      <w:r w:rsidRPr="00A82954" w:rsidR="00A82954">
        <w:rPr>
          <w:sz w:val="18"/>
          <w:szCs w:val="18"/>
        </w:rPr>
        <w:t xml:space="preserve"> </w:t>
      </w:r>
      <w:r w:rsidR="00A82954">
        <w:rPr>
          <w:sz w:val="18"/>
          <w:szCs w:val="18"/>
        </w:rPr>
        <w:t xml:space="preserve">artikel 21 quater, tweede en derde of vierde lid, CRD waarin de uitzonderingen op de verplichting om een bijkantoor met een bijbehorende vergunning te verkrijgen </w:t>
      </w:r>
      <w:r w:rsidR="00520D61">
        <w:rPr>
          <w:sz w:val="18"/>
          <w:szCs w:val="18"/>
        </w:rPr>
        <w:t xml:space="preserve">limitatief </w:t>
      </w:r>
      <w:r w:rsidR="00A82954">
        <w:rPr>
          <w:sz w:val="18"/>
          <w:szCs w:val="18"/>
        </w:rPr>
        <w:t>zijn opgenomen</w:t>
      </w:r>
      <w:r>
        <w:rPr>
          <w:sz w:val="18"/>
          <w:szCs w:val="18"/>
        </w:rPr>
        <w:t>.</w:t>
      </w:r>
      <w:r w:rsidR="00E2132F">
        <w:rPr>
          <w:sz w:val="18"/>
          <w:szCs w:val="18"/>
        </w:rPr>
        <w:t xml:space="preserve"> </w:t>
      </w:r>
      <w:r w:rsidR="005257A0">
        <w:rPr>
          <w:sz w:val="18"/>
          <w:szCs w:val="18"/>
        </w:rPr>
        <w:t>Dit zijn de volgende vier uitzonderingen:</w:t>
      </w:r>
    </w:p>
    <w:p w:rsidR="00D66C2E" w:rsidP="001E56AB" w:rsidRDefault="00D66C2E" w14:paraId="6860F1CF" w14:textId="77777777">
      <w:pPr>
        <w:widowControl w:val="0"/>
        <w:spacing w:line="240" w:lineRule="atLeast"/>
        <w:rPr>
          <w:sz w:val="18"/>
          <w:szCs w:val="18"/>
        </w:rPr>
      </w:pPr>
    </w:p>
    <w:p w:rsidR="00D66C2E" w:rsidP="001E56AB" w:rsidRDefault="00D66C2E" w14:paraId="2FC7277A" w14:textId="77777777">
      <w:pPr>
        <w:widowControl w:val="0"/>
        <w:spacing w:line="240" w:lineRule="atLeast"/>
        <w:rPr>
          <w:i/>
          <w:iCs/>
          <w:sz w:val="18"/>
          <w:szCs w:val="18"/>
        </w:rPr>
      </w:pPr>
      <w:r>
        <w:rPr>
          <w:i/>
          <w:iCs/>
          <w:sz w:val="18"/>
          <w:szCs w:val="18"/>
        </w:rPr>
        <w:t>a. reverse solicitation-uitzondering</w:t>
      </w:r>
    </w:p>
    <w:p w:rsidR="00D66C2E" w:rsidP="001E56AB" w:rsidRDefault="00D66C2E" w14:paraId="79D00CB9" w14:textId="3EFB9C16">
      <w:pPr>
        <w:widowControl w:val="0"/>
        <w:spacing w:line="240" w:lineRule="atLeast"/>
        <w:rPr>
          <w:sz w:val="18"/>
          <w:szCs w:val="18"/>
        </w:rPr>
      </w:pPr>
      <w:r w:rsidRPr="00A6284F">
        <w:rPr>
          <w:i/>
          <w:iCs/>
          <w:sz w:val="18"/>
          <w:szCs w:val="18"/>
        </w:rPr>
        <w:t>Reverse solicitation</w:t>
      </w:r>
      <w:r>
        <w:rPr>
          <w:sz w:val="18"/>
          <w:szCs w:val="18"/>
        </w:rPr>
        <w:t xml:space="preserve"> </w:t>
      </w:r>
      <w:r w:rsidR="00040BB7">
        <w:rPr>
          <w:sz w:val="18"/>
          <w:szCs w:val="18"/>
        </w:rPr>
        <w:t xml:space="preserve">is het verschijnsel </w:t>
      </w:r>
      <w:r w:rsidR="00586722">
        <w:rPr>
          <w:sz w:val="18"/>
          <w:szCs w:val="18"/>
        </w:rPr>
        <w:t>waarin</w:t>
      </w:r>
      <w:r w:rsidR="00040BB7">
        <w:rPr>
          <w:sz w:val="18"/>
          <w:szCs w:val="18"/>
        </w:rPr>
        <w:t xml:space="preserve"> een niet-professionele client, een tegenpartij of een professionele client als bedoeld in bijlage II</w:t>
      </w:r>
      <w:r w:rsidR="005257A0">
        <w:rPr>
          <w:sz w:val="18"/>
          <w:szCs w:val="18"/>
        </w:rPr>
        <w:t>, afdelingen I en II</w:t>
      </w:r>
      <w:r w:rsidR="00825D8C">
        <w:rPr>
          <w:sz w:val="18"/>
          <w:szCs w:val="18"/>
        </w:rPr>
        <w:t>,</w:t>
      </w:r>
      <w:r w:rsidR="005257A0">
        <w:rPr>
          <w:sz w:val="18"/>
          <w:szCs w:val="18"/>
        </w:rPr>
        <w:t xml:space="preserve"> van MiFID II</w:t>
      </w:r>
      <w:r w:rsidR="00040BB7">
        <w:rPr>
          <w:sz w:val="18"/>
          <w:szCs w:val="18"/>
        </w:rPr>
        <w:t xml:space="preserve"> </w:t>
      </w:r>
      <w:r w:rsidR="005257A0">
        <w:rPr>
          <w:sz w:val="18"/>
          <w:szCs w:val="18"/>
        </w:rPr>
        <w:t>o</w:t>
      </w:r>
      <w:r w:rsidR="00040BB7">
        <w:rPr>
          <w:sz w:val="18"/>
          <w:szCs w:val="18"/>
        </w:rPr>
        <w:t>p eigen initiatief een onderneming</w:t>
      </w:r>
      <w:r w:rsidRPr="00F63F89" w:rsidR="00F63F89">
        <w:rPr>
          <w:sz w:val="18"/>
          <w:szCs w:val="18"/>
        </w:rPr>
        <w:t xml:space="preserve"> </w:t>
      </w:r>
      <w:r w:rsidR="00F63F89">
        <w:rPr>
          <w:sz w:val="18"/>
          <w:szCs w:val="18"/>
        </w:rPr>
        <w:t>uit een staat die geen lidstaat is</w:t>
      </w:r>
      <w:r w:rsidR="00040BB7">
        <w:rPr>
          <w:sz w:val="18"/>
          <w:szCs w:val="18"/>
        </w:rPr>
        <w:t xml:space="preserve"> benader</w:t>
      </w:r>
      <w:r w:rsidR="00C9706C">
        <w:rPr>
          <w:sz w:val="18"/>
          <w:szCs w:val="18"/>
        </w:rPr>
        <w:t>t</w:t>
      </w:r>
      <w:r w:rsidR="00040BB7">
        <w:rPr>
          <w:sz w:val="18"/>
          <w:szCs w:val="18"/>
        </w:rPr>
        <w:t xml:space="preserve"> voor het verlenen van een dienst, </w:t>
      </w:r>
      <w:r w:rsidR="00F63F89">
        <w:rPr>
          <w:sz w:val="18"/>
          <w:szCs w:val="18"/>
        </w:rPr>
        <w:t xml:space="preserve">de </w:t>
      </w:r>
      <w:r w:rsidR="00040BB7">
        <w:rPr>
          <w:sz w:val="18"/>
          <w:szCs w:val="18"/>
        </w:rPr>
        <w:t>onderneming</w:t>
      </w:r>
      <w:r w:rsidR="00F63F89">
        <w:rPr>
          <w:sz w:val="18"/>
          <w:szCs w:val="18"/>
        </w:rPr>
        <w:t xml:space="preserve"> uit een staat die geen lidstaat is</w:t>
      </w:r>
      <w:r w:rsidR="00040BB7">
        <w:rPr>
          <w:sz w:val="18"/>
          <w:szCs w:val="18"/>
        </w:rPr>
        <w:t xml:space="preserve"> in dat specifieke geval en onder </w:t>
      </w:r>
      <w:r w:rsidR="00F63F89">
        <w:rPr>
          <w:sz w:val="18"/>
          <w:szCs w:val="18"/>
        </w:rPr>
        <w:t xml:space="preserve">specifieke </w:t>
      </w:r>
      <w:r w:rsidR="00040BB7">
        <w:rPr>
          <w:sz w:val="18"/>
          <w:szCs w:val="18"/>
        </w:rPr>
        <w:t xml:space="preserve">voorwaarden, </w:t>
      </w:r>
      <w:r w:rsidR="00F63F89">
        <w:rPr>
          <w:sz w:val="18"/>
          <w:szCs w:val="18"/>
        </w:rPr>
        <w:t>die gevraagde</w:t>
      </w:r>
      <w:r w:rsidR="00040BB7">
        <w:rPr>
          <w:sz w:val="18"/>
          <w:szCs w:val="18"/>
        </w:rPr>
        <w:t xml:space="preserve"> diensten of activiteiten </w:t>
      </w:r>
      <w:r w:rsidR="00F63F89">
        <w:rPr>
          <w:sz w:val="18"/>
          <w:szCs w:val="18"/>
        </w:rPr>
        <w:t xml:space="preserve">kan </w:t>
      </w:r>
      <w:r w:rsidR="00040BB7">
        <w:rPr>
          <w:sz w:val="18"/>
          <w:szCs w:val="18"/>
        </w:rPr>
        <w:t>verricht</w:t>
      </w:r>
      <w:r w:rsidR="00F63F89">
        <w:rPr>
          <w:sz w:val="18"/>
          <w:szCs w:val="18"/>
        </w:rPr>
        <w:t>en</w:t>
      </w:r>
      <w:r w:rsidR="00040BB7">
        <w:rPr>
          <w:sz w:val="18"/>
          <w:szCs w:val="18"/>
        </w:rPr>
        <w:t xml:space="preserve"> in Nederland </w:t>
      </w:r>
      <w:r w:rsidR="00F63F89">
        <w:rPr>
          <w:sz w:val="18"/>
          <w:szCs w:val="18"/>
        </w:rPr>
        <w:t>zonder dat zij in overtreding is van het verbod bedoeld in artikel 2:20, eerste lid</w:t>
      </w:r>
      <w:r w:rsidR="00270D8D">
        <w:rPr>
          <w:sz w:val="18"/>
          <w:szCs w:val="18"/>
        </w:rPr>
        <w:t>, Wft</w:t>
      </w:r>
      <w:r w:rsidR="00F63F89">
        <w:rPr>
          <w:sz w:val="18"/>
          <w:szCs w:val="18"/>
        </w:rPr>
        <w:t xml:space="preserve">. </w:t>
      </w:r>
      <w:r w:rsidR="00040BB7">
        <w:rPr>
          <w:sz w:val="18"/>
          <w:szCs w:val="18"/>
        </w:rPr>
        <w:t>Hiermee worden de fundamentele rechten van EU-burgers gewaarborgd, doordat deze zich tot niet-EU partijen k</w:t>
      </w:r>
      <w:r w:rsidR="00C9706C">
        <w:rPr>
          <w:sz w:val="18"/>
          <w:szCs w:val="18"/>
        </w:rPr>
        <w:t>unne</w:t>
      </w:r>
      <w:r w:rsidR="00040BB7">
        <w:rPr>
          <w:sz w:val="18"/>
          <w:szCs w:val="18"/>
        </w:rPr>
        <w:t>n wenden om van die partijen diensten af te nemen</w:t>
      </w:r>
      <w:r w:rsidR="002C7DA0">
        <w:rPr>
          <w:sz w:val="18"/>
          <w:szCs w:val="18"/>
        </w:rPr>
        <w:t xml:space="preserve"> zolang dit exclusief op het eigen initiatief van de EU-partij plaatsvindt. In zowel de richtlijn markten </w:t>
      </w:r>
      <w:r w:rsidR="00E84599">
        <w:rPr>
          <w:sz w:val="18"/>
          <w:szCs w:val="18"/>
        </w:rPr>
        <w:t>voor</w:t>
      </w:r>
      <w:r w:rsidR="002C7DA0">
        <w:rPr>
          <w:sz w:val="18"/>
          <w:szCs w:val="18"/>
        </w:rPr>
        <w:t xml:space="preserve"> financiële instrumenten 2014 (artikel 42) als in de verordening cryptoactiva</w:t>
      </w:r>
      <w:r w:rsidR="002C7DA0">
        <w:rPr>
          <w:rStyle w:val="Voetnootmarkering"/>
          <w:sz w:val="18"/>
          <w:szCs w:val="18"/>
        </w:rPr>
        <w:footnoteReference w:id="81"/>
      </w:r>
      <w:r w:rsidR="002C7DA0">
        <w:rPr>
          <w:sz w:val="18"/>
          <w:szCs w:val="18"/>
        </w:rPr>
        <w:t xml:space="preserve"> (artikel 61) zijn dergelijke </w:t>
      </w:r>
      <w:r w:rsidR="002C7DA0">
        <w:rPr>
          <w:i/>
          <w:iCs/>
          <w:sz w:val="18"/>
          <w:szCs w:val="18"/>
        </w:rPr>
        <w:t xml:space="preserve">reverse solicitation </w:t>
      </w:r>
      <w:r w:rsidR="002C7DA0">
        <w:rPr>
          <w:sz w:val="18"/>
          <w:szCs w:val="18"/>
        </w:rPr>
        <w:t>bepalingen</w:t>
      </w:r>
      <w:r w:rsidR="00F63F89">
        <w:rPr>
          <w:sz w:val="18"/>
          <w:szCs w:val="18"/>
        </w:rPr>
        <w:t xml:space="preserve"> eerder</w:t>
      </w:r>
      <w:r w:rsidR="002C7DA0">
        <w:rPr>
          <w:sz w:val="18"/>
          <w:szCs w:val="18"/>
        </w:rPr>
        <w:t xml:space="preserve"> opgenomen.</w:t>
      </w:r>
    </w:p>
    <w:p w:rsidR="002C7DA0" w:rsidP="001E56AB" w:rsidRDefault="002C7DA0" w14:paraId="0A12D99A" w14:textId="77777777">
      <w:pPr>
        <w:widowControl w:val="0"/>
        <w:spacing w:line="240" w:lineRule="atLeast"/>
        <w:rPr>
          <w:sz w:val="18"/>
          <w:szCs w:val="18"/>
        </w:rPr>
      </w:pPr>
    </w:p>
    <w:p w:rsidR="008171D0" w:rsidP="001E56AB" w:rsidRDefault="002C7DA0" w14:paraId="5E0AEEEC" w14:textId="0A33CC0A">
      <w:pPr>
        <w:widowControl w:val="0"/>
        <w:spacing w:line="240" w:lineRule="atLeast"/>
        <w:rPr>
          <w:sz w:val="18"/>
          <w:szCs w:val="18"/>
        </w:rPr>
      </w:pPr>
      <w:r>
        <w:rPr>
          <w:sz w:val="18"/>
          <w:szCs w:val="18"/>
        </w:rPr>
        <w:t xml:space="preserve">Hierbij zijn een aantal voorwaarden van belang om onder de uitzondering van </w:t>
      </w:r>
      <w:r>
        <w:rPr>
          <w:i/>
          <w:iCs/>
          <w:sz w:val="18"/>
          <w:szCs w:val="18"/>
        </w:rPr>
        <w:t xml:space="preserve">reverse solicitation </w:t>
      </w:r>
      <w:r>
        <w:rPr>
          <w:sz w:val="18"/>
          <w:szCs w:val="18"/>
        </w:rPr>
        <w:t xml:space="preserve">te vallen. Dit betreft allereerst het genoemde ‘exclusief op eigen initiatief’ wat zeer strikt </w:t>
      </w:r>
      <w:r w:rsidR="00F63F89">
        <w:rPr>
          <w:sz w:val="18"/>
          <w:szCs w:val="18"/>
        </w:rPr>
        <w:t>geïnterpreteerd</w:t>
      </w:r>
      <w:r>
        <w:rPr>
          <w:sz w:val="18"/>
          <w:szCs w:val="18"/>
        </w:rPr>
        <w:t xml:space="preserve"> dient te worden. Elke poging, al dan niet </w:t>
      </w:r>
      <w:r w:rsidR="00270D8D">
        <w:rPr>
          <w:sz w:val="18"/>
          <w:szCs w:val="18"/>
        </w:rPr>
        <w:t>in</w:t>
      </w:r>
      <w:r>
        <w:rPr>
          <w:sz w:val="18"/>
          <w:szCs w:val="18"/>
        </w:rPr>
        <w:t xml:space="preserve">direct, door een onderneming </w:t>
      </w:r>
      <w:r w:rsidR="00F63F89">
        <w:rPr>
          <w:sz w:val="18"/>
          <w:szCs w:val="18"/>
        </w:rPr>
        <w:t xml:space="preserve">uit een staat die geen lidstaat is </w:t>
      </w:r>
      <w:r>
        <w:rPr>
          <w:sz w:val="18"/>
          <w:szCs w:val="18"/>
        </w:rPr>
        <w:t xml:space="preserve">om een klant over te halen een dienst af te nemen, zorgt ervoor dat dit geen </w:t>
      </w:r>
      <w:r>
        <w:rPr>
          <w:i/>
          <w:iCs/>
          <w:sz w:val="18"/>
          <w:szCs w:val="18"/>
        </w:rPr>
        <w:t xml:space="preserve">reverse solicitation </w:t>
      </w:r>
      <w:r>
        <w:rPr>
          <w:sz w:val="18"/>
          <w:szCs w:val="18"/>
        </w:rPr>
        <w:t xml:space="preserve">meer is. </w:t>
      </w:r>
      <w:r w:rsidR="008171D0">
        <w:rPr>
          <w:sz w:val="18"/>
          <w:szCs w:val="18"/>
        </w:rPr>
        <w:t xml:space="preserve">Hierbij </w:t>
      </w:r>
      <w:r w:rsidR="00586722">
        <w:rPr>
          <w:sz w:val="18"/>
          <w:szCs w:val="18"/>
        </w:rPr>
        <w:t xml:space="preserve">kan </w:t>
      </w:r>
      <w:r w:rsidR="008171D0">
        <w:rPr>
          <w:sz w:val="18"/>
          <w:szCs w:val="18"/>
        </w:rPr>
        <w:t xml:space="preserve">ook gedacht worden aan enerzijds </w:t>
      </w:r>
      <w:r w:rsidR="001D6A30">
        <w:rPr>
          <w:sz w:val="18"/>
          <w:szCs w:val="18"/>
        </w:rPr>
        <w:t xml:space="preserve">het </w:t>
      </w:r>
      <w:r w:rsidR="008171D0">
        <w:rPr>
          <w:sz w:val="18"/>
          <w:szCs w:val="18"/>
        </w:rPr>
        <w:t>omzeil</w:t>
      </w:r>
      <w:r w:rsidR="001D6A30">
        <w:rPr>
          <w:sz w:val="18"/>
          <w:szCs w:val="18"/>
        </w:rPr>
        <w:t xml:space="preserve">en van het op eigen initiatief-principe </w:t>
      </w:r>
      <w:r w:rsidR="008171D0">
        <w:rPr>
          <w:sz w:val="18"/>
          <w:szCs w:val="18"/>
        </w:rPr>
        <w:t>door klanten te laten aanvinken dat dit op eigen initiatief was.</w:t>
      </w:r>
      <w:r w:rsidR="008171D0">
        <w:rPr>
          <w:rStyle w:val="Voetnootmarkering"/>
          <w:sz w:val="18"/>
          <w:szCs w:val="18"/>
        </w:rPr>
        <w:footnoteReference w:id="82"/>
      </w:r>
      <w:r w:rsidR="008171D0">
        <w:rPr>
          <w:sz w:val="18"/>
          <w:szCs w:val="18"/>
        </w:rPr>
        <w:t xml:space="preserve"> Anderzijds is het ook niet toegestaan om bijvoorbeeld reclame te maken </w:t>
      </w:r>
      <w:r w:rsidR="000A2674">
        <w:rPr>
          <w:sz w:val="18"/>
          <w:szCs w:val="18"/>
        </w:rPr>
        <w:t>(</w:t>
      </w:r>
      <w:r w:rsidR="008171D0">
        <w:rPr>
          <w:sz w:val="18"/>
          <w:szCs w:val="18"/>
        </w:rPr>
        <w:t>op social media</w:t>
      </w:r>
      <w:r w:rsidR="000A2674">
        <w:rPr>
          <w:sz w:val="18"/>
          <w:szCs w:val="18"/>
        </w:rPr>
        <w:t>),</w:t>
      </w:r>
      <w:r w:rsidR="008171D0">
        <w:rPr>
          <w:sz w:val="18"/>
          <w:szCs w:val="18"/>
        </w:rPr>
        <w:t xml:space="preserve"> met als doel EU-burgers in Nederland een dienst te laten afnemen</w:t>
      </w:r>
      <w:r w:rsidR="000A2674">
        <w:rPr>
          <w:sz w:val="18"/>
          <w:szCs w:val="18"/>
        </w:rPr>
        <w:t>,</w:t>
      </w:r>
      <w:r w:rsidR="008171D0">
        <w:rPr>
          <w:sz w:val="18"/>
          <w:szCs w:val="18"/>
        </w:rPr>
        <w:t xml:space="preserve"> of bijvoorbeeld AI-systemen te gebruiken om zo producten te kunnen presenteren. Een onderneming</w:t>
      </w:r>
      <w:r w:rsidR="00F63F89">
        <w:rPr>
          <w:sz w:val="18"/>
          <w:szCs w:val="18"/>
        </w:rPr>
        <w:t xml:space="preserve"> uit een staat die geen lidstaat is</w:t>
      </w:r>
      <w:r w:rsidR="008171D0">
        <w:rPr>
          <w:sz w:val="18"/>
          <w:szCs w:val="18"/>
        </w:rPr>
        <w:t xml:space="preserve"> moet kunnen aantonen dat de afname van een dienst door een EU-burger op eigen initiatief tot stand kwam. </w:t>
      </w:r>
    </w:p>
    <w:p w:rsidR="008171D0" w:rsidP="001E56AB" w:rsidRDefault="008171D0" w14:paraId="0A835AE9" w14:textId="77777777">
      <w:pPr>
        <w:widowControl w:val="0"/>
        <w:spacing w:line="240" w:lineRule="atLeast"/>
        <w:rPr>
          <w:sz w:val="18"/>
          <w:szCs w:val="18"/>
        </w:rPr>
      </w:pPr>
    </w:p>
    <w:p w:rsidR="008171D0" w:rsidP="001E56AB" w:rsidRDefault="008171D0" w14:paraId="4557093C" w14:textId="29A22595">
      <w:pPr>
        <w:widowControl w:val="0"/>
        <w:spacing w:line="240" w:lineRule="atLeast"/>
        <w:rPr>
          <w:sz w:val="18"/>
          <w:szCs w:val="18"/>
        </w:rPr>
      </w:pPr>
      <w:r>
        <w:rPr>
          <w:sz w:val="18"/>
          <w:szCs w:val="18"/>
        </w:rPr>
        <w:t xml:space="preserve">Daarnaast is het ook, op grond van artikel 21 quater, tweede lid, tweede alinea, </w:t>
      </w:r>
      <w:r w:rsidR="00270D8D">
        <w:rPr>
          <w:sz w:val="18"/>
          <w:szCs w:val="18"/>
        </w:rPr>
        <w:t>CRD</w:t>
      </w:r>
      <w:r w:rsidR="000A2674">
        <w:rPr>
          <w:sz w:val="18"/>
          <w:szCs w:val="18"/>
        </w:rPr>
        <w:t>,</w:t>
      </w:r>
      <w:r w:rsidR="00270D8D">
        <w:rPr>
          <w:sz w:val="18"/>
          <w:szCs w:val="18"/>
        </w:rPr>
        <w:t xml:space="preserve"> </w:t>
      </w:r>
      <w:r>
        <w:rPr>
          <w:sz w:val="18"/>
          <w:szCs w:val="18"/>
        </w:rPr>
        <w:t>niet toegestaan om klanten op indirecte wijze te benaderen via een entiteit die namens haar optreedt o</w:t>
      </w:r>
      <w:r w:rsidR="000A2674">
        <w:rPr>
          <w:sz w:val="18"/>
          <w:szCs w:val="18"/>
        </w:rPr>
        <w:t xml:space="preserve">f </w:t>
      </w:r>
      <w:r>
        <w:rPr>
          <w:sz w:val="18"/>
          <w:szCs w:val="18"/>
        </w:rPr>
        <w:t>nauwe banden heeft met de onderneming</w:t>
      </w:r>
      <w:r w:rsidR="00F63F89">
        <w:rPr>
          <w:sz w:val="18"/>
          <w:szCs w:val="18"/>
        </w:rPr>
        <w:t xml:space="preserve"> uit een staat die geen lidstaat is</w:t>
      </w:r>
      <w:r>
        <w:rPr>
          <w:sz w:val="18"/>
          <w:szCs w:val="18"/>
        </w:rPr>
        <w:t>. Hieronder valt ter illustratie bijvoorbeeld ook het betalen van (f)influencers op social media om reclame te maken voor diensten.</w:t>
      </w:r>
    </w:p>
    <w:p w:rsidR="008171D0" w:rsidP="001E56AB" w:rsidRDefault="008171D0" w14:paraId="5E88F7C5" w14:textId="77777777">
      <w:pPr>
        <w:widowControl w:val="0"/>
        <w:spacing w:line="240" w:lineRule="atLeast"/>
        <w:rPr>
          <w:sz w:val="18"/>
          <w:szCs w:val="18"/>
        </w:rPr>
      </w:pPr>
    </w:p>
    <w:p w:rsidRPr="00A6284F" w:rsidR="002C7DA0" w:rsidP="001E56AB" w:rsidRDefault="008171D0" w14:paraId="12D4C3D2" w14:textId="1CB06C12">
      <w:pPr>
        <w:widowControl w:val="0"/>
        <w:spacing w:line="240" w:lineRule="atLeast"/>
        <w:rPr>
          <w:sz w:val="18"/>
          <w:szCs w:val="18"/>
        </w:rPr>
      </w:pPr>
      <w:r>
        <w:rPr>
          <w:sz w:val="18"/>
          <w:szCs w:val="18"/>
        </w:rPr>
        <w:t xml:space="preserve">Tevens is het niet toegestaan, op grond van artikel 21 quater, derde lid, </w:t>
      </w:r>
      <w:r w:rsidR="00270D8D">
        <w:rPr>
          <w:sz w:val="18"/>
          <w:szCs w:val="18"/>
        </w:rPr>
        <w:t xml:space="preserve">CRD </w:t>
      </w:r>
      <w:r>
        <w:rPr>
          <w:sz w:val="18"/>
          <w:szCs w:val="18"/>
        </w:rPr>
        <w:t>om andere producten, activiteiten of diensten aan te bieden indien er een dienst wordt afgenomen door een EU-burger</w:t>
      </w:r>
      <w:r w:rsidR="00233AA2">
        <w:rPr>
          <w:sz w:val="18"/>
          <w:szCs w:val="18"/>
        </w:rPr>
        <w:t>, tenzij deze andere dienst noodzakelijk is voor</w:t>
      </w:r>
      <w:r w:rsidR="00E926BD">
        <w:rPr>
          <w:sz w:val="18"/>
          <w:szCs w:val="18"/>
        </w:rPr>
        <w:t xml:space="preserve"> of nauw samenhangt met</w:t>
      </w:r>
      <w:r w:rsidR="00233AA2">
        <w:rPr>
          <w:sz w:val="18"/>
          <w:szCs w:val="18"/>
        </w:rPr>
        <w:t xml:space="preserve"> de initieel aangevraagde dienst. Ter </w:t>
      </w:r>
      <w:r w:rsidR="00233AA2">
        <w:rPr>
          <w:sz w:val="18"/>
          <w:szCs w:val="18"/>
        </w:rPr>
        <w:lastRenderedPageBreak/>
        <w:t xml:space="preserve">illustratie, als een EU-burger een lening wil afsluiten, dan kan een noodzakelijke dienst zijn dat deze persoon ook een rekening kan aanhouden bij de onderneming </w:t>
      </w:r>
      <w:r w:rsidR="00F63F89">
        <w:rPr>
          <w:sz w:val="18"/>
          <w:szCs w:val="18"/>
        </w:rPr>
        <w:t xml:space="preserve">uit een staat die geen lidstaat is </w:t>
      </w:r>
      <w:r w:rsidR="00233AA2">
        <w:rPr>
          <w:sz w:val="18"/>
          <w:szCs w:val="18"/>
        </w:rPr>
        <w:t>om die lening af te betalen.</w:t>
      </w:r>
      <w:r w:rsidR="000A2674">
        <w:rPr>
          <w:sz w:val="18"/>
          <w:szCs w:val="18"/>
        </w:rPr>
        <w:t xml:space="preserve"> In dat geval </w:t>
      </w:r>
      <w:r w:rsidR="00E926BD">
        <w:rPr>
          <w:sz w:val="18"/>
          <w:szCs w:val="18"/>
        </w:rPr>
        <w:t>valt een dergelijke dienstverlening onder de uitzondering van reverse solicitation nu deze dienst (of bijvoorbeeld een product) noodzakelijk of nauw verbonden is met de oorspronkelijk verzochte dienst of product.</w:t>
      </w:r>
    </w:p>
    <w:p w:rsidR="00D66C2E" w:rsidP="001E56AB" w:rsidRDefault="00D66C2E" w14:paraId="514B5A05" w14:textId="77777777">
      <w:pPr>
        <w:widowControl w:val="0"/>
        <w:spacing w:line="240" w:lineRule="atLeast"/>
        <w:rPr>
          <w:i/>
          <w:iCs/>
          <w:sz w:val="18"/>
          <w:szCs w:val="18"/>
        </w:rPr>
      </w:pPr>
    </w:p>
    <w:p w:rsidR="00D66C2E" w:rsidP="001E56AB" w:rsidRDefault="00D66C2E" w14:paraId="6EADA7AA" w14:textId="77777777">
      <w:pPr>
        <w:widowControl w:val="0"/>
        <w:spacing w:line="240" w:lineRule="atLeast"/>
        <w:rPr>
          <w:i/>
          <w:iCs/>
          <w:sz w:val="18"/>
          <w:szCs w:val="18"/>
        </w:rPr>
      </w:pPr>
      <w:r>
        <w:rPr>
          <w:i/>
          <w:iCs/>
          <w:sz w:val="18"/>
          <w:szCs w:val="18"/>
        </w:rPr>
        <w:t>b. dienstverlening aan banken</w:t>
      </w:r>
    </w:p>
    <w:p w:rsidRPr="00A6284F" w:rsidR="000330DA" w:rsidP="001E56AB" w:rsidRDefault="000330DA" w14:paraId="56D5005F" w14:textId="46BB4DBA">
      <w:pPr>
        <w:widowControl w:val="0"/>
        <w:spacing w:line="240" w:lineRule="atLeast"/>
        <w:rPr>
          <w:sz w:val="18"/>
          <w:szCs w:val="18"/>
        </w:rPr>
      </w:pPr>
      <w:r>
        <w:rPr>
          <w:sz w:val="18"/>
          <w:szCs w:val="18"/>
        </w:rPr>
        <w:t xml:space="preserve">Interbancaire dienstverlening over grenzen heen moet niet leiden tot een verplichting voor </w:t>
      </w:r>
      <w:r w:rsidR="00F63F89">
        <w:rPr>
          <w:sz w:val="18"/>
          <w:szCs w:val="18"/>
        </w:rPr>
        <w:t xml:space="preserve">een </w:t>
      </w:r>
      <w:r w:rsidR="00BC2007">
        <w:rPr>
          <w:sz w:val="18"/>
          <w:szCs w:val="18"/>
        </w:rPr>
        <w:t xml:space="preserve">bank </w:t>
      </w:r>
      <w:r w:rsidR="00F63F89">
        <w:rPr>
          <w:sz w:val="18"/>
          <w:szCs w:val="18"/>
        </w:rPr>
        <w:t>uit een staat die geen lidstaat is</w:t>
      </w:r>
      <w:r>
        <w:rPr>
          <w:sz w:val="18"/>
          <w:szCs w:val="18"/>
        </w:rPr>
        <w:t xml:space="preserve"> om een bijkantoor te vestigen in Nederland indien zij</w:t>
      </w:r>
      <w:r w:rsidR="0036470A">
        <w:rPr>
          <w:sz w:val="18"/>
          <w:szCs w:val="18"/>
        </w:rPr>
        <w:t xml:space="preserve"> alleen</w:t>
      </w:r>
      <w:r>
        <w:rPr>
          <w:sz w:val="18"/>
          <w:szCs w:val="18"/>
        </w:rPr>
        <w:t xml:space="preserve"> diensten verlenen aan Nederlandse banken</w:t>
      </w:r>
      <w:r w:rsidR="0036470A">
        <w:rPr>
          <w:sz w:val="18"/>
          <w:szCs w:val="18"/>
        </w:rPr>
        <w:t xml:space="preserve"> en niet aan andere partijen (en behoudens de uitzonderingen onder a en c)</w:t>
      </w:r>
      <w:r>
        <w:rPr>
          <w:sz w:val="18"/>
          <w:szCs w:val="18"/>
        </w:rPr>
        <w:t>.</w:t>
      </w:r>
    </w:p>
    <w:p w:rsidR="00D66C2E" w:rsidP="001E56AB" w:rsidRDefault="00D66C2E" w14:paraId="315E677B" w14:textId="77777777">
      <w:pPr>
        <w:widowControl w:val="0"/>
        <w:spacing w:line="240" w:lineRule="atLeast"/>
        <w:rPr>
          <w:i/>
          <w:iCs/>
          <w:sz w:val="18"/>
          <w:szCs w:val="18"/>
        </w:rPr>
      </w:pPr>
    </w:p>
    <w:p w:rsidR="00D66C2E" w:rsidP="001E56AB" w:rsidRDefault="00D66C2E" w14:paraId="69FBCDFB" w14:textId="77777777">
      <w:pPr>
        <w:widowControl w:val="0"/>
        <w:spacing w:line="240" w:lineRule="atLeast"/>
        <w:rPr>
          <w:i/>
          <w:iCs/>
          <w:sz w:val="18"/>
          <w:szCs w:val="18"/>
        </w:rPr>
      </w:pPr>
      <w:r>
        <w:rPr>
          <w:i/>
          <w:iCs/>
          <w:sz w:val="18"/>
          <w:szCs w:val="18"/>
        </w:rPr>
        <w:t>c. intragroepsdienstverlening</w:t>
      </w:r>
    </w:p>
    <w:p w:rsidR="00D66C2E" w:rsidP="001E56AB" w:rsidRDefault="000330DA" w14:paraId="74E0B8DD" w14:textId="0D1DE843">
      <w:pPr>
        <w:widowControl w:val="0"/>
        <w:spacing w:line="240" w:lineRule="atLeast"/>
        <w:rPr>
          <w:sz w:val="18"/>
          <w:szCs w:val="18"/>
        </w:rPr>
      </w:pPr>
      <w:r>
        <w:rPr>
          <w:sz w:val="18"/>
          <w:szCs w:val="18"/>
        </w:rPr>
        <w:t>Voor intragroepsdienstverlening geldt eveneens dat het aanbieden van diensten door een onderneming</w:t>
      </w:r>
      <w:r w:rsidRPr="00F63F89" w:rsidR="00F63F89">
        <w:rPr>
          <w:sz w:val="18"/>
          <w:szCs w:val="18"/>
        </w:rPr>
        <w:t xml:space="preserve"> </w:t>
      </w:r>
      <w:r w:rsidR="00F63F89">
        <w:rPr>
          <w:sz w:val="18"/>
          <w:szCs w:val="18"/>
        </w:rPr>
        <w:t>uit een staat die geen lidstaat is</w:t>
      </w:r>
      <w:r>
        <w:rPr>
          <w:sz w:val="18"/>
          <w:szCs w:val="18"/>
        </w:rPr>
        <w:t xml:space="preserve"> niet leidt tot de verplichting om een bijkantoor in Nederland te vestigen</w:t>
      </w:r>
      <w:r w:rsidR="000A2674">
        <w:rPr>
          <w:sz w:val="18"/>
          <w:szCs w:val="18"/>
        </w:rPr>
        <w:t>. Het gaat om gevallen waarin een onderneming</w:t>
      </w:r>
      <w:r w:rsidR="00DC5FEF">
        <w:rPr>
          <w:sz w:val="18"/>
          <w:szCs w:val="18"/>
        </w:rPr>
        <w:t xml:space="preserve"> uit een staat die geen lidstaat is</w:t>
      </w:r>
      <w:r w:rsidR="0036470A">
        <w:rPr>
          <w:sz w:val="18"/>
          <w:szCs w:val="18"/>
        </w:rPr>
        <w:t xml:space="preserve"> diensten verstrekt aan een onderneming in Nederland die zich in dezelfde groep bevindt als de onderneming </w:t>
      </w:r>
      <w:r w:rsidR="00F63F89">
        <w:rPr>
          <w:sz w:val="18"/>
          <w:szCs w:val="18"/>
        </w:rPr>
        <w:t>uit een staat die geen lidstaat is</w:t>
      </w:r>
      <w:r>
        <w:rPr>
          <w:sz w:val="18"/>
          <w:szCs w:val="18"/>
        </w:rPr>
        <w:t>.</w:t>
      </w:r>
    </w:p>
    <w:p w:rsidR="003F267D" w:rsidP="001E56AB" w:rsidRDefault="003F267D" w14:paraId="2BDDC525" w14:textId="77777777">
      <w:pPr>
        <w:widowControl w:val="0"/>
        <w:spacing w:line="240" w:lineRule="atLeast"/>
        <w:rPr>
          <w:sz w:val="18"/>
          <w:szCs w:val="18"/>
        </w:rPr>
      </w:pPr>
    </w:p>
    <w:p w:rsidRPr="003F267D" w:rsidR="003F267D" w:rsidP="001E56AB" w:rsidRDefault="003F267D" w14:paraId="0EE6BDCA" w14:textId="5034398B">
      <w:pPr>
        <w:widowControl w:val="0"/>
        <w:spacing w:line="240" w:lineRule="atLeast"/>
        <w:rPr>
          <w:i/>
          <w:iCs/>
          <w:sz w:val="18"/>
          <w:szCs w:val="18"/>
        </w:rPr>
      </w:pPr>
      <w:r>
        <w:rPr>
          <w:i/>
          <w:iCs/>
          <w:sz w:val="18"/>
          <w:szCs w:val="18"/>
        </w:rPr>
        <w:t>d. MiFID</w:t>
      </w:r>
      <w:r w:rsidR="00E926BD">
        <w:rPr>
          <w:i/>
          <w:iCs/>
          <w:sz w:val="18"/>
          <w:szCs w:val="18"/>
        </w:rPr>
        <w:t xml:space="preserve"> II</w:t>
      </w:r>
      <w:r>
        <w:rPr>
          <w:i/>
          <w:iCs/>
          <w:sz w:val="18"/>
          <w:szCs w:val="18"/>
        </w:rPr>
        <w:t>-</w:t>
      </w:r>
      <w:r w:rsidR="00E926BD">
        <w:rPr>
          <w:i/>
          <w:iCs/>
          <w:sz w:val="18"/>
          <w:szCs w:val="18"/>
        </w:rPr>
        <w:t>dienstverlening</w:t>
      </w:r>
    </w:p>
    <w:p w:rsidR="00117E7D" w:rsidP="001E56AB" w:rsidRDefault="00B27F74" w14:paraId="7AE7BA44" w14:textId="2BECD699">
      <w:pPr>
        <w:widowControl w:val="0"/>
        <w:spacing w:line="240" w:lineRule="atLeast"/>
        <w:rPr>
          <w:sz w:val="18"/>
          <w:szCs w:val="18"/>
        </w:rPr>
      </w:pPr>
      <w:r>
        <w:rPr>
          <w:sz w:val="18"/>
          <w:szCs w:val="18"/>
        </w:rPr>
        <w:t xml:space="preserve"> </w:t>
      </w:r>
    </w:p>
    <w:p w:rsidRPr="00C14822" w:rsidR="000330DA" w:rsidP="001E56AB" w:rsidRDefault="000330DA" w14:paraId="52FC8E2D" w14:textId="0D0C66A8">
      <w:pPr>
        <w:widowControl w:val="0"/>
        <w:spacing w:line="240" w:lineRule="atLeast"/>
        <w:rPr>
          <w:sz w:val="18"/>
          <w:szCs w:val="18"/>
        </w:rPr>
      </w:pPr>
      <w:r>
        <w:rPr>
          <w:sz w:val="18"/>
          <w:szCs w:val="18"/>
        </w:rPr>
        <w:t xml:space="preserve">In het </w:t>
      </w:r>
      <w:r w:rsidR="00A82954">
        <w:rPr>
          <w:sz w:val="18"/>
          <w:szCs w:val="18"/>
        </w:rPr>
        <w:t xml:space="preserve">vierde </w:t>
      </w:r>
      <w:r>
        <w:rPr>
          <w:sz w:val="18"/>
          <w:szCs w:val="18"/>
        </w:rPr>
        <w:t xml:space="preserve">lid </w:t>
      </w:r>
      <w:r w:rsidR="0036470A">
        <w:rPr>
          <w:sz w:val="18"/>
          <w:szCs w:val="18"/>
        </w:rPr>
        <w:t xml:space="preserve">van artikel </w:t>
      </w:r>
      <w:r w:rsidR="00A82954">
        <w:rPr>
          <w:sz w:val="18"/>
          <w:szCs w:val="18"/>
        </w:rPr>
        <w:t xml:space="preserve">21 quater CRD </w:t>
      </w:r>
      <w:r>
        <w:rPr>
          <w:sz w:val="18"/>
          <w:szCs w:val="18"/>
        </w:rPr>
        <w:t xml:space="preserve">is de uitzondering opgenomen voor </w:t>
      </w:r>
      <w:r w:rsidR="007D5BDF">
        <w:rPr>
          <w:sz w:val="18"/>
          <w:szCs w:val="18"/>
        </w:rPr>
        <w:t>wanneer</w:t>
      </w:r>
      <w:r w:rsidRPr="00151B5B">
        <w:rPr>
          <w:sz w:val="18"/>
          <w:szCs w:val="18"/>
        </w:rPr>
        <w:t xml:space="preserve"> de in het eerste lid </w:t>
      </w:r>
      <w:r w:rsidR="00A82954">
        <w:rPr>
          <w:sz w:val="18"/>
          <w:szCs w:val="18"/>
        </w:rPr>
        <w:t xml:space="preserve">van dat artikel </w:t>
      </w:r>
      <w:r w:rsidRPr="00151B5B">
        <w:rPr>
          <w:sz w:val="18"/>
          <w:szCs w:val="18"/>
        </w:rPr>
        <w:t xml:space="preserve">genoemde activiteiten </w:t>
      </w:r>
      <w:r w:rsidR="006C2652">
        <w:rPr>
          <w:sz w:val="18"/>
          <w:szCs w:val="18"/>
        </w:rPr>
        <w:t>worden uitgevoerd ter verlening</w:t>
      </w:r>
      <w:r w:rsidRPr="00151B5B">
        <w:rPr>
          <w:sz w:val="18"/>
          <w:szCs w:val="18"/>
        </w:rPr>
        <w:t xml:space="preserve"> van de in bijlage I, deel A </w:t>
      </w:r>
      <w:r w:rsidR="00E926BD">
        <w:rPr>
          <w:sz w:val="18"/>
          <w:szCs w:val="18"/>
        </w:rPr>
        <w:t xml:space="preserve">en B, </w:t>
      </w:r>
      <w:r w:rsidRPr="00151B5B">
        <w:rPr>
          <w:sz w:val="18"/>
          <w:szCs w:val="18"/>
        </w:rPr>
        <w:t xml:space="preserve">genoemde </w:t>
      </w:r>
      <w:r w:rsidR="00C91995">
        <w:rPr>
          <w:sz w:val="18"/>
          <w:szCs w:val="18"/>
        </w:rPr>
        <w:t>MiFID II-diensten</w:t>
      </w:r>
      <w:r w:rsidR="00E926BD">
        <w:rPr>
          <w:sz w:val="18"/>
          <w:szCs w:val="18"/>
        </w:rPr>
        <w:t xml:space="preserve"> en</w:t>
      </w:r>
      <w:r w:rsidR="00C91995">
        <w:rPr>
          <w:sz w:val="18"/>
          <w:szCs w:val="18"/>
        </w:rPr>
        <w:t xml:space="preserve"> </w:t>
      </w:r>
      <w:r w:rsidRPr="00151B5B">
        <w:rPr>
          <w:sz w:val="18"/>
          <w:szCs w:val="18"/>
        </w:rPr>
        <w:t>activiteiten.</w:t>
      </w:r>
      <w:r w:rsidR="000625EC">
        <w:rPr>
          <w:sz w:val="18"/>
          <w:szCs w:val="18"/>
        </w:rPr>
        <w:t xml:space="preserve"> Deze uitzondering is opgenomen omdat ter uitvoering van </w:t>
      </w:r>
      <w:r w:rsidR="00E926BD">
        <w:rPr>
          <w:sz w:val="18"/>
          <w:szCs w:val="18"/>
        </w:rPr>
        <w:t xml:space="preserve">die diensten of </w:t>
      </w:r>
      <w:r w:rsidR="006C2652">
        <w:rPr>
          <w:sz w:val="18"/>
          <w:szCs w:val="18"/>
        </w:rPr>
        <w:t>activiteiten</w:t>
      </w:r>
      <w:r w:rsidR="000625EC">
        <w:rPr>
          <w:sz w:val="18"/>
          <w:szCs w:val="18"/>
        </w:rPr>
        <w:t xml:space="preserve"> uit </w:t>
      </w:r>
      <w:r w:rsidR="00E926BD">
        <w:rPr>
          <w:sz w:val="18"/>
          <w:szCs w:val="18"/>
        </w:rPr>
        <w:t>MiFID II</w:t>
      </w:r>
      <w:r w:rsidR="000625EC">
        <w:rPr>
          <w:sz w:val="18"/>
          <w:szCs w:val="18"/>
        </w:rPr>
        <w:t xml:space="preserve"> </w:t>
      </w:r>
      <w:r w:rsidR="00E84599">
        <w:rPr>
          <w:sz w:val="18"/>
          <w:szCs w:val="18"/>
        </w:rPr>
        <w:t>ondernemingen</w:t>
      </w:r>
      <w:r w:rsidR="000625EC">
        <w:rPr>
          <w:sz w:val="18"/>
          <w:szCs w:val="18"/>
        </w:rPr>
        <w:t xml:space="preserve"> </w:t>
      </w:r>
      <w:r w:rsidR="00E84599">
        <w:rPr>
          <w:sz w:val="18"/>
          <w:szCs w:val="18"/>
        </w:rPr>
        <w:t>diensten kunnen ver</w:t>
      </w:r>
      <w:r w:rsidR="000625EC">
        <w:rPr>
          <w:sz w:val="18"/>
          <w:szCs w:val="18"/>
        </w:rPr>
        <w:t xml:space="preserve">richten die </w:t>
      </w:r>
      <w:r w:rsidR="00E84599">
        <w:rPr>
          <w:sz w:val="18"/>
          <w:szCs w:val="18"/>
        </w:rPr>
        <w:t xml:space="preserve">vallen onder </w:t>
      </w:r>
      <w:r w:rsidR="000625EC">
        <w:rPr>
          <w:sz w:val="18"/>
          <w:szCs w:val="18"/>
        </w:rPr>
        <w:t xml:space="preserve">de diensten 1, 2 of 6 </w:t>
      </w:r>
      <w:r w:rsidR="0036470A">
        <w:rPr>
          <w:sz w:val="18"/>
          <w:szCs w:val="18"/>
        </w:rPr>
        <w:t xml:space="preserve">uit </w:t>
      </w:r>
      <w:r w:rsidR="00323C6A">
        <w:rPr>
          <w:sz w:val="18"/>
          <w:szCs w:val="18"/>
        </w:rPr>
        <w:t>b</w:t>
      </w:r>
      <w:r w:rsidR="0036470A">
        <w:rPr>
          <w:sz w:val="18"/>
          <w:szCs w:val="18"/>
        </w:rPr>
        <w:t xml:space="preserve">ijlage I </w:t>
      </w:r>
      <w:r w:rsidR="00323C6A">
        <w:rPr>
          <w:sz w:val="18"/>
          <w:szCs w:val="18"/>
        </w:rPr>
        <w:t xml:space="preserve">van de </w:t>
      </w:r>
      <w:r w:rsidR="0036470A">
        <w:rPr>
          <w:sz w:val="18"/>
          <w:szCs w:val="18"/>
        </w:rPr>
        <w:t>CRD.</w:t>
      </w:r>
      <w:r w:rsidR="000625EC">
        <w:rPr>
          <w:sz w:val="18"/>
          <w:szCs w:val="18"/>
        </w:rPr>
        <w:t xml:space="preserve"> </w:t>
      </w:r>
      <w:r w:rsidR="006C2652">
        <w:rPr>
          <w:sz w:val="18"/>
          <w:szCs w:val="18"/>
        </w:rPr>
        <w:t xml:space="preserve">De verlening van de bancaire diensten moet direct gerelateerd zijn aan de te verlenen dienst uit </w:t>
      </w:r>
      <w:r w:rsidR="00E926BD">
        <w:rPr>
          <w:sz w:val="18"/>
          <w:szCs w:val="18"/>
        </w:rPr>
        <w:t>MiFID II</w:t>
      </w:r>
      <w:r w:rsidR="006C2652">
        <w:rPr>
          <w:sz w:val="18"/>
          <w:szCs w:val="18"/>
        </w:rPr>
        <w:t xml:space="preserve">. </w:t>
      </w:r>
      <w:r w:rsidR="000625EC">
        <w:rPr>
          <w:sz w:val="18"/>
          <w:szCs w:val="18"/>
        </w:rPr>
        <w:t xml:space="preserve">Ter illustratie kan het bijvoorbeeld zijn dat de dienst portefeuillebeheer uit bijlage I, deel A, </w:t>
      </w:r>
      <w:r w:rsidR="00E84599">
        <w:rPr>
          <w:sz w:val="18"/>
          <w:szCs w:val="18"/>
        </w:rPr>
        <w:t xml:space="preserve">onderdeel 4, </w:t>
      </w:r>
      <w:r w:rsidR="00C91995">
        <w:rPr>
          <w:sz w:val="18"/>
          <w:szCs w:val="18"/>
        </w:rPr>
        <w:t>MiFID II</w:t>
      </w:r>
      <w:r w:rsidR="00E84599">
        <w:rPr>
          <w:sz w:val="18"/>
          <w:szCs w:val="18"/>
        </w:rPr>
        <w:t xml:space="preserve"> </w:t>
      </w:r>
      <w:r w:rsidR="000625EC">
        <w:rPr>
          <w:sz w:val="18"/>
          <w:szCs w:val="18"/>
        </w:rPr>
        <w:t xml:space="preserve">wordt uitgevoerd. Het kan daarvoor noodzakelijk zijn om tijdelijk </w:t>
      </w:r>
      <w:r w:rsidR="001D6A30">
        <w:rPr>
          <w:sz w:val="18"/>
          <w:szCs w:val="18"/>
        </w:rPr>
        <w:t>opvorderbare gelden</w:t>
      </w:r>
      <w:r w:rsidR="000625EC">
        <w:rPr>
          <w:sz w:val="18"/>
          <w:szCs w:val="18"/>
        </w:rPr>
        <w:t xml:space="preserve"> aan te houden (wat</w:t>
      </w:r>
      <w:r w:rsidR="00E84599">
        <w:rPr>
          <w:sz w:val="18"/>
          <w:szCs w:val="18"/>
        </w:rPr>
        <w:t xml:space="preserve"> </w:t>
      </w:r>
      <w:r w:rsidR="000625EC">
        <w:rPr>
          <w:sz w:val="18"/>
          <w:szCs w:val="18"/>
        </w:rPr>
        <w:t xml:space="preserve">dienst 1 uit bijlage I </w:t>
      </w:r>
      <w:r w:rsidR="001D6A30">
        <w:rPr>
          <w:sz w:val="18"/>
          <w:szCs w:val="18"/>
        </w:rPr>
        <w:t>CRD</w:t>
      </w:r>
      <w:r w:rsidR="000625EC">
        <w:rPr>
          <w:sz w:val="18"/>
          <w:szCs w:val="18"/>
        </w:rPr>
        <w:t xml:space="preserve"> is). Een ander voorbeeld is het verstrekken van leningen (dienst 2 uit bijlage I </w:t>
      </w:r>
      <w:r w:rsidR="001D6A30">
        <w:rPr>
          <w:sz w:val="18"/>
          <w:szCs w:val="18"/>
        </w:rPr>
        <w:t>CRD</w:t>
      </w:r>
      <w:r w:rsidR="000625EC">
        <w:rPr>
          <w:sz w:val="18"/>
          <w:szCs w:val="18"/>
        </w:rPr>
        <w:t xml:space="preserve">): dit valt alleen onder de uitzondering </w:t>
      </w:r>
      <w:r w:rsidR="00E84599">
        <w:rPr>
          <w:sz w:val="18"/>
          <w:szCs w:val="18"/>
        </w:rPr>
        <w:t xml:space="preserve">van artikel 21 quater, vierde lid, CRD </w:t>
      </w:r>
      <w:r w:rsidR="000625EC">
        <w:rPr>
          <w:sz w:val="18"/>
          <w:szCs w:val="18"/>
        </w:rPr>
        <w:t>als die lening gerelateerd is aan transacties in een of meer financiële instrumenten en de onderneming die de lening verstrekt zelf betrokken is bij de transactie.</w:t>
      </w:r>
      <w:r w:rsidR="00B77732">
        <w:rPr>
          <w:sz w:val="18"/>
          <w:szCs w:val="18"/>
        </w:rPr>
        <w:t xml:space="preserve"> Het kan zijn dat er sprake is van de betrokkenheid van</w:t>
      </w:r>
      <w:r w:rsidR="00CD16FC">
        <w:rPr>
          <w:sz w:val="18"/>
          <w:szCs w:val="18"/>
        </w:rPr>
        <w:t xml:space="preserve"> </w:t>
      </w:r>
      <w:r w:rsidR="009071B7">
        <w:rPr>
          <w:sz w:val="18"/>
          <w:szCs w:val="18"/>
        </w:rPr>
        <w:t>een bewaarder (</w:t>
      </w:r>
      <w:r w:rsidR="009071B7">
        <w:rPr>
          <w:i/>
          <w:iCs/>
          <w:sz w:val="18"/>
          <w:szCs w:val="18"/>
        </w:rPr>
        <w:t>custodian</w:t>
      </w:r>
      <w:r w:rsidR="009071B7">
        <w:rPr>
          <w:sz w:val="18"/>
          <w:szCs w:val="18"/>
        </w:rPr>
        <w:t xml:space="preserve">) </w:t>
      </w:r>
      <w:r w:rsidR="00B77732">
        <w:rPr>
          <w:sz w:val="18"/>
          <w:szCs w:val="18"/>
        </w:rPr>
        <w:t xml:space="preserve">bij deze transactie. Deze is dan weliswaar niet zelf partij bij de transactie, maar levert wel de nodige dienstverlening om de transactie mogelijk te maken en valt daarmee ook onder de uitzondering. </w:t>
      </w:r>
      <w:r w:rsidR="000625EC">
        <w:rPr>
          <w:sz w:val="18"/>
          <w:szCs w:val="18"/>
        </w:rPr>
        <w:t>Ook als een onderneming op zelfstandige basis bijvoorbeeld het bewaren van effecten</w:t>
      </w:r>
      <w:r w:rsidR="00B77732">
        <w:rPr>
          <w:sz w:val="18"/>
          <w:szCs w:val="18"/>
        </w:rPr>
        <w:t>-</w:t>
      </w:r>
      <w:r w:rsidR="000625EC">
        <w:rPr>
          <w:sz w:val="18"/>
          <w:szCs w:val="18"/>
        </w:rPr>
        <w:t xml:space="preserve"> en bewaarnemingsdiensten (</w:t>
      </w:r>
      <w:r w:rsidRPr="0036470A" w:rsidR="000625EC">
        <w:rPr>
          <w:i/>
          <w:iCs/>
          <w:sz w:val="18"/>
          <w:szCs w:val="18"/>
        </w:rPr>
        <w:t xml:space="preserve">safekeeping and custody services) </w:t>
      </w:r>
      <w:r w:rsidR="000625EC">
        <w:rPr>
          <w:sz w:val="18"/>
          <w:szCs w:val="18"/>
        </w:rPr>
        <w:t>aanbiedt, valt zij onder de uitzondering van artikel 21 quater, vierde lid, CRD</w:t>
      </w:r>
      <w:r w:rsidR="00B77732">
        <w:rPr>
          <w:sz w:val="18"/>
          <w:szCs w:val="18"/>
        </w:rPr>
        <w:t xml:space="preserve"> nu dergelijke dienstverlening vaak gepaard gaat met het aanbieden aan klanten van een geldrekening of het verstrekken van leningen ter uitvoering van de effecten- en bewaarnemingsdiensten. </w:t>
      </w:r>
      <w:r w:rsidR="000625EC">
        <w:rPr>
          <w:sz w:val="18"/>
          <w:szCs w:val="18"/>
        </w:rPr>
        <w:t xml:space="preserve">Dat wordt anders als </w:t>
      </w:r>
      <w:r w:rsidR="00B77732">
        <w:rPr>
          <w:sz w:val="18"/>
          <w:szCs w:val="18"/>
        </w:rPr>
        <w:t xml:space="preserve">een bewaarder </w:t>
      </w:r>
      <w:r w:rsidR="000625EC">
        <w:rPr>
          <w:sz w:val="18"/>
          <w:szCs w:val="18"/>
        </w:rPr>
        <w:t>daarnaast</w:t>
      </w:r>
      <w:r w:rsidR="00B77732">
        <w:rPr>
          <w:sz w:val="18"/>
          <w:szCs w:val="18"/>
        </w:rPr>
        <w:t>, dus niet gerelateerd aan de effecten- en bewaarnemingsdiensten,</w:t>
      </w:r>
      <w:r w:rsidR="000625EC">
        <w:rPr>
          <w:sz w:val="18"/>
          <w:szCs w:val="18"/>
        </w:rPr>
        <w:t xml:space="preserve"> </w:t>
      </w:r>
      <w:r w:rsidR="001D6A30">
        <w:rPr>
          <w:sz w:val="18"/>
          <w:szCs w:val="18"/>
        </w:rPr>
        <w:t>ook opvorderbare gelden aantrekt of leningen verstrekt.</w:t>
      </w:r>
    </w:p>
    <w:p w:rsidRPr="00C14822" w:rsidR="001E56AB" w:rsidP="001E56AB" w:rsidRDefault="001E56AB" w14:paraId="2704C49B" w14:textId="77777777">
      <w:pPr>
        <w:widowControl w:val="0"/>
        <w:spacing w:line="240" w:lineRule="atLeast"/>
        <w:rPr>
          <w:sz w:val="18"/>
          <w:szCs w:val="18"/>
        </w:rPr>
      </w:pPr>
    </w:p>
    <w:p w:rsidR="001E56AB" w:rsidP="001E56AB" w:rsidRDefault="00070306" w14:paraId="7CF724EE" w14:textId="7259DADE">
      <w:pPr>
        <w:widowControl w:val="0"/>
        <w:spacing w:line="240" w:lineRule="atLeast"/>
        <w:rPr>
          <w:sz w:val="18"/>
          <w:szCs w:val="18"/>
        </w:rPr>
      </w:pPr>
      <w:r>
        <w:rPr>
          <w:sz w:val="18"/>
          <w:szCs w:val="18"/>
        </w:rPr>
        <w:t>T</w:t>
      </w:r>
      <w:r w:rsidRPr="00A875CB" w:rsidR="001E56AB">
        <w:rPr>
          <w:sz w:val="18"/>
          <w:szCs w:val="18"/>
        </w:rPr>
        <w:t xml:space="preserve"> (2:21)</w:t>
      </w:r>
    </w:p>
    <w:p w:rsidRPr="00A6284F" w:rsidR="0017262F" w:rsidP="001E56AB" w:rsidRDefault="0017262F" w14:paraId="476B3A84" w14:textId="77777777">
      <w:pPr>
        <w:widowControl w:val="0"/>
        <w:spacing w:line="240" w:lineRule="atLeast"/>
        <w:rPr>
          <w:sz w:val="18"/>
          <w:szCs w:val="18"/>
        </w:rPr>
      </w:pPr>
    </w:p>
    <w:p w:rsidR="00A875CB" w:rsidP="001E56AB" w:rsidRDefault="001D6A30" w14:paraId="007D59BC" w14:textId="071DC09E">
      <w:pPr>
        <w:widowControl w:val="0"/>
        <w:spacing w:line="240" w:lineRule="atLeast"/>
        <w:rPr>
          <w:sz w:val="18"/>
          <w:szCs w:val="18"/>
        </w:rPr>
      </w:pPr>
      <w:r w:rsidRPr="00A6284F">
        <w:rPr>
          <w:sz w:val="18"/>
          <w:szCs w:val="18"/>
        </w:rPr>
        <w:t>Artikel 2:21 Wft bevat de v</w:t>
      </w:r>
      <w:r>
        <w:rPr>
          <w:sz w:val="18"/>
          <w:szCs w:val="18"/>
        </w:rPr>
        <w:t xml:space="preserve">ereisten waaraan een te vestigen </w:t>
      </w:r>
      <w:r w:rsidR="00DC5FEF">
        <w:rPr>
          <w:sz w:val="18"/>
          <w:szCs w:val="18"/>
        </w:rPr>
        <w:t xml:space="preserve">derde land </w:t>
      </w:r>
      <w:r>
        <w:rPr>
          <w:sz w:val="18"/>
          <w:szCs w:val="18"/>
        </w:rPr>
        <w:t xml:space="preserve">bijkantoor </w:t>
      </w:r>
      <w:r w:rsidR="00C9706C">
        <w:rPr>
          <w:sz w:val="18"/>
          <w:szCs w:val="18"/>
        </w:rPr>
        <w:t>van</w:t>
      </w:r>
      <w:r>
        <w:rPr>
          <w:sz w:val="18"/>
          <w:szCs w:val="18"/>
        </w:rPr>
        <w:t xml:space="preserve"> een onderneming</w:t>
      </w:r>
      <w:r w:rsidRPr="00F63F89" w:rsidR="00F63F89">
        <w:rPr>
          <w:sz w:val="18"/>
          <w:szCs w:val="18"/>
        </w:rPr>
        <w:t xml:space="preserve"> </w:t>
      </w:r>
      <w:r w:rsidR="00F63F89">
        <w:rPr>
          <w:sz w:val="18"/>
          <w:szCs w:val="18"/>
        </w:rPr>
        <w:t>uit een staat die geen lidstaat is</w:t>
      </w:r>
      <w:r>
        <w:rPr>
          <w:sz w:val="18"/>
          <w:szCs w:val="18"/>
        </w:rPr>
        <w:t xml:space="preserve"> moet voldoen </w:t>
      </w:r>
      <w:r w:rsidR="00C9706C">
        <w:rPr>
          <w:sz w:val="18"/>
          <w:szCs w:val="18"/>
        </w:rPr>
        <w:t xml:space="preserve">om </w:t>
      </w:r>
      <w:r>
        <w:rPr>
          <w:sz w:val="18"/>
          <w:szCs w:val="18"/>
        </w:rPr>
        <w:t xml:space="preserve">een vergunning als bedoeld in artikel 2:20, eerste lid, Wft </w:t>
      </w:r>
      <w:r w:rsidR="00C9706C">
        <w:rPr>
          <w:sz w:val="18"/>
          <w:szCs w:val="18"/>
        </w:rPr>
        <w:t>te krijgen</w:t>
      </w:r>
      <w:r>
        <w:rPr>
          <w:sz w:val="18"/>
          <w:szCs w:val="18"/>
        </w:rPr>
        <w:t xml:space="preserve">. Voorheen bevatte artikel 2:21 Wft veel van dezelfde vereisten als artikel 2:12 Wft waaraan een bank </w:t>
      </w:r>
      <w:r w:rsidR="00C9706C">
        <w:rPr>
          <w:sz w:val="18"/>
          <w:szCs w:val="18"/>
        </w:rPr>
        <w:t xml:space="preserve">met zetel in Nederland </w:t>
      </w:r>
      <w:r>
        <w:rPr>
          <w:sz w:val="18"/>
          <w:szCs w:val="18"/>
        </w:rPr>
        <w:t xml:space="preserve">moet voldoen. Voorheen werden </w:t>
      </w:r>
      <w:r w:rsidR="00C9706C">
        <w:rPr>
          <w:sz w:val="18"/>
          <w:szCs w:val="18"/>
        </w:rPr>
        <w:t xml:space="preserve">tevens </w:t>
      </w:r>
      <w:r w:rsidR="00DC5FEF">
        <w:rPr>
          <w:sz w:val="18"/>
          <w:szCs w:val="18"/>
        </w:rPr>
        <w:lastRenderedPageBreak/>
        <w:t xml:space="preserve">de </w:t>
      </w:r>
      <w:r>
        <w:rPr>
          <w:sz w:val="18"/>
          <w:szCs w:val="18"/>
        </w:rPr>
        <w:t xml:space="preserve">vereisten </w:t>
      </w:r>
      <w:r w:rsidR="0079731A">
        <w:rPr>
          <w:sz w:val="18"/>
          <w:szCs w:val="18"/>
        </w:rPr>
        <w:t xml:space="preserve">uit artikel 2:21 Wft </w:t>
      </w:r>
      <w:r w:rsidR="00DC5FEF">
        <w:rPr>
          <w:sz w:val="18"/>
          <w:szCs w:val="18"/>
        </w:rPr>
        <w:t xml:space="preserve">niet </w:t>
      </w:r>
      <w:r w:rsidR="0079731A">
        <w:rPr>
          <w:sz w:val="18"/>
          <w:szCs w:val="18"/>
        </w:rPr>
        <w:t>altijd</w:t>
      </w:r>
      <w:r w:rsidR="00DC5FEF">
        <w:rPr>
          <w:sz w:val="18"/>
          <w:szCs w:val="18"/>
        </w:rPr>
        <w:t xml:space="preserve"> </w:t>
      </w:r>
      <w:r>
        <w:rPr>
          <w:sz w:val="18"/>
          <w:szCs w:val="18"/>
        </w:rPr>
        <w:t xml:space="preserve">opgelegd aan </w:t>
      </w:r>
      <w:r w:rsidR="001C0C28">
        <w:rPr>
          <w:sz w:val="18"/>
          <w:szCs w:val="18"/>
        </w:rPr>
        <w:t>derde land</w:t>
      </w:r>
      <w:r>
        <w:rPr>
          <w:sz w:val="18"/>
          <w:szCs w:val="18"/>
        </w:rPr>
        <w:t xml:space="preserve"> bijkantoren</w:t>
      </w:r>
      <w:r w:rsidR="00DC5FEF">
        <w:rPr>
          <w:sz w:val="18"/>
          <w:szCs w:val="18"/>
        </w:rPr>
        <w:t xml:space="preserve"> zelf, maar </w:t>
      </w:r>
      <w:r w:rsidR="0079731A">
        <w:rPr>
          <w:sz w:val="18"/>
          <w:szCs w:val="18"/>
        </w:rPr>
        <w:t xml:space="preserve">ook </w:t>
      </w:r>
      <w:r w:rsidR="00DC5FEF">
        <w:rPr>
          <w:sz w:val="18"/>
          <w:szCs w:val="18"/>
        </w:rPr>
        <w:t>aan</w:t>
      </w:r>
      <w:r>
        <w:rPr>
          <w:sz w:val="18"/>
          <w:szCs w:val="18"/>
        </w:rPr>
        <w:t xml:space="preserve"> de moederonderneming</w:t>
      </w:r>
      <w:r w:rsidRPr="00F63F89" w:rsidR="00F63F89">
        <w:rPr>
          <w:sz w:val="18"/>
          <w:szCs w:val="18"/>
        </w:rPr>
        <w:t xml:space="preserve"> </w:t>
      </w:r>
      <w:r w:rsidR="00F63F89">
        <w:rPr>
          <w:sz w:val="18"/>
          <w:szCs w:val="18"/>
        </w:rPr>
        <w:t>uit een staat die geen lidstaat is</w:t>
      </w:r>
      <w:r w:rsidR="00825D8C">
        <w:rPr>
          <w:sz w:val="18"/>
          <w:szCs w:val="18"/>
        </w:rPr>
        <w:t>,</w:t>
      </w:r>
      <w:r>
        <w:rPr>
          <w:sz w:val="18"/>
          <w:szCs w:val="18"/>
        </w:rPr>
        <w:t xml:space="preserve"> omdat juridisch gezien een bijkantoor geen eigen juridische entiteit is.</w:t>
      </w:r>
      <w:r w:rsidR="00F72F62">
        <w:rPr>
          <w:sz w:val="18"/>
          <w:szCs w:val="18"/>
        </w:rPr>
        <w:t xml:space="preserve"> In Nederland was er reeds een uitgebreid </w:t>
      </w:r>
      <w:r w:rsidR="0079731A">
        <w:rPr>
          <w:sz w:val="18"/>
          <w:szCs w:val="18"/>
        </w:rPr>
        <w:t>vergunnings</w:t>
      </w:r>
      <w:r w:rsidR="00F72F62">
        <w:rPr>
          <w:sz w:val="18"/>
          <w:szCs w:val="18"/>
        </w:rPr>
        <w:t>regime aanwezig voor bijkantoren van</w:t>
      </w:r>
      <w:r w:rsidR="00A82A29">
        <w:rPr>
          <w:sz w:val="18"/>
          <w:szCs w:val="18"/>
        </w:rPr>
        <w:t xml:space="preserve"> </w:t>
      </w:r>
      <w:r w:rsidR="00F72F62">
        <w:rPr>
          <w:sz w:val="18"/>
          <w:szCs w:val="18"/>
        </w:rPr>
        <w:t>banken</w:t>
      </w:r>
      <w:r w:rsidR="001C0C28">
        <w:rPr>
          <w:sz w:val="18"/>
          <w:szCs w:val="18"/>
        </w:rPr>
        <w:t xml:space="preserve"> uit staten die geen lidstaat zijn</w:t>
      </w:r>
      <w:r w:rsidR="00F72F62">
        <w:rPr>
          <w:sz w:val="18"/>
          <w:szCs w:val="18"/>
        </w:rPr>
        <w:t xml:space="preserve">. Met de komst van de richtlijn is het nodig daar aanpassingen aan te maken omdat, zoals eerder geschreven, het niet louter meer banken uit staten die geen lidstaat zijn betreft die een bijkantoor in Nederland kunnen vestigen. Ook zijn er nieuwe vereisten gaan gelden voor zowel de aanvrager in een staat die geen lidstaat is, als het bijkantoor dat in Nederland wordt gevestigd. </w:t>
      </w:r>
      <w:r w:rsidR="00A875CB">
        <w:rPr>
          <w:sz w:val="18"/>
          <w:szCs w:val="18"/>
        </w:rPr>
        <w:t xml:space="preserve">Omwille van de duidelijkheid is daarom de lijst met vereisten waaraan een </w:t>
      </w:r>
      <w:r w:rsidR="001C0C28">
        <w:rPr>
          <w:sz w:val="18"/>
          <w:szCs w:val="18"/>
        </w:rPr>
        <w:t>derde land</w:t>
      </w:r>
      <w:r w:rsidR="00A875CB">
        <w:rPr>
          <w:sz w:val="18"/>
          <w:szCs w:val="18"/>
        </w:rPr>
        <w:t xml:space="preserve"> bijkantoor moet voldoen opnieuw vastgesteld.</w:t>
      </w:r>
    </w:p>
    <w:p w:rsidR="00A875CB" w:rsidP="001E56AB" w:rsidRDefault="00A875CB" w14:paraId="0BA069CF" w14:textId="77777777">
      <w:pPr>
        <w:widowControl w:val="0"/>
        <w:spacing w:line="240" w:lineRule="atLeast"/>
        <w:rPr>
          <w:sz w:val="18"/>
          <w:szCs w:val="18"/>
        </w:rPr>
      </w:pPr>
    </w:p>
    <w:p w:rsidR="00B73183" w:rsidP="001E56AB" w:rsidRDefault="00F72F62" w14:paraId="3AF0471A" w14:textId="77BD9F2E">
      <w:pPr>
        <w:widowControl w:val="0"/>
        <w:spacing w:line="240" w:lineRule="atLeast"/>
        <w:rPr>
          <w:sz w:val="18"/>
          <w:szCs w:val="18"/>
        </w:rPr>
      </w:pPr>
      <w:r>
        <w:rPr>
          <w:sz w:val="18"/>
          <w:szCs w:val="18"/>
        </w:rPr>
        <w:t xml:space="preserve">Artikel 2:21, eerste lid, </w:t>
      </w:r>
      <w:r w:rsidR="0079731A">
        <w:rPr>
          <w:sz w:val="18"/>
          <w:szCs w:val="18"/>
        </w:rPr>
        <w:t xml:space="preserve">Wft </w:t>
      </w:r>
      <w:r>
        <w:rPr>
          <w:sz w:val="18"/>
          <w:szCs w:val="18"/>
        </w:rPr>
        <w:t xml:space="preserve">bevat nu alle </w:t>
      </w:r>
      <w:r w:rsidR="00C54FBA">
        <w:rPr>
          <w:sz w:val="18"/>
          <w:szCs w:val="18"/>
        </w:rPr>
        <w:t xml:space="preserve">cumulatieve </w:t>
      </w:r>
      <w:r>
        <w:rPr>
          <w:sz w:val="18"/>
          <w:szCs w:val="18"/>
        </w:rPr>
        <w:t xml:space="preserve">vereisten waaraan zowel </w:t>
      </w:r>
      <w:r w:rsidR="00B73183">
        <w:rPr>
          <w:sz w:val="18"/>
          <w:szCs w:val="18"/>
        </w:rPr>
        <w:t xml:space="preserve">de toezichthouder, </w:t>
      </w:r>
      <w:r>
        <w:rPr>
          <w:sz w:val="18"/>
          <w:szCs w:val="18"/>
        </w:rPr>
        <w:t xml:space="preserve">de aanvrager (de </w:t>
      </w:r>
      <w:r w:rsidR="00BF6713">
        <w:rPr>
          <w:sz w:val="18"/>
          <w:szCs w:val="18"/>
        </w:rPr>
        <w:t>moeder</w:t>
      </w:r>
      <w:r>
        <w:rPr>
          <w:sz w:val="18"/>
          <w:szCs w:val="18"/>
        </w:rPr>
        <w:t>onderneming in een staat die geen lidstaat is) als het bijkantoor (wat wordt gevestigd in Nederland) moet voldoen</w:t>
      </w:r>
      <w:r w:rsidR="00B73183">
        <w:rPr>
          <w:sz w:val="18"/>
          <w:szCs w:val="18"/>
        </w:rPr>
        <w:t xml:space="preserve"> alvorens een vergunning voor een </w:t>
      </w:r>
      <w:r w:rsidR="001C0C28">
        <w:rPr>
          <w:sz w:val="18"/>
          <w:szCs w:val="18"/>
        </w:rPr>
        <w:t>derde land</w:t>
      </w:r>
      <w:r w:rsidR="00B73183">
        <w:rPr>
          <w:sz w:val="18"/>
          <w:szCs w:val="18"/>
        </w:rPr>
        <w:t xml:space="preserve"> bijkantoor wordt verleend</w:t>
      </w:r>
      <w:r>
        <w:rPr>
          <w:sz w:val="18"/>
          <w:szCs w:val="18"/>
        </w:rPr>
        <w:t xml:space="preserve">. </w:t>
      </w:r>
      <w:r w:rsidR="00B73183">
        <w:rPr>
          <w:sz w:val="18"/>
          <w:szCs w:val="18"/>
        </w:rPr>
        <w:t xml:space="preserve">Deze voorwaarden zijn </w:t>
      </w:r>
      <w:r w:rsidR="00C54FBA">
        <w:rPr>
          <w:sz w:val="18"/>
          <w:szCs w:val="18"/>
        </w:rPr>
        <w:t>uitgesplitst</w:t>
      </w:r>
      <w:r w:rsidR="00B73183">
        <w:rPr>
          <w:sz w:val="18"/>
          <w:szCs w:val="18"/>
        </w:rPr>
        <w:t xml:space="preserve"> in drie onderdelen in artikel 2:21, eerste lid, Wft.</w:t>
      </w:r>
    </w:p>
    <w:p w:rsidR="00B73183" w:rsidP="001E56AB" w:rsidRDefault="00B73183" w14:paraId="10662686" w14:textId="77777777">
      <w:pPr>
        <w:widowControl w:val="0"/>
        <w:spacing w:line="240" w:lineRule="atLeast"/>
        <w:rPr>
          <w:sz w:val="18"/>
          <w:szCs w:val="18"/>
        </w:rPr>
      </w:pPr>
    </w:p>
    <w:p w:rsidR="00B73183" w:rsidP="001E56AB" w:rsidRDefault="00B73183" w14:paraId="06CBA68A" w14:textId="573CEC54">
      <w:pPr>
        <w:widowControl w:val="0"/>
        <w:spacing w:line="240" w:lineRule="atLeast"/>
        <w:rPr>
          <w:sz w:val="18"/>
          <w:szCs w:val="18"/>
        </w:rPr>
      </w:pPr>
      <w:r>
        <w:rPr>
          <w:sz w:val="18"/>
          <w:szCs w:val="18"/>
        </w:rPr>
        <w:t xml:space="preserve">Onderdeel a vereist dat </w:t>
      </w:r>
      <w:r w:rsidR="00F72F62">
        <w:rPr>
          <w:sz w:val="18"/>
          <w:szCs w:val="18"/>
        </w:rPr>
        <w:t xml:space="preserve">DNB als </w:t>
      </w:r>
      <w:r>
        <w:rPr>
          <w:sz w:val="18"/>
          <w:szCs w:val="18"/>
        </w:rPr>
        <w:t>toezichthouder</w:t>
      </w:r>
      <w:r w:rsidR="00F72F62">
        <w:rPr>
          <w:sz w:val="18"/>
          <w:szCs w:val="18"/>
        </w:rPr>
        <w:t xml:space="preserve"> </w:t>
      </w:r>
      <w:r w:rsidR="0038506C">
        <w:rPr>
          <w:sz w:val="18"/>
          <w:szCs w:val="18"/>
        </w:rPr>
        <w:t>zich ervan vergewist</w:t>
      </w:r>
      <w:r w:rsidR="00F72F62">
        <w:rPr>
          <w:sz w:val="18"/>
          <w:szCs w:val="18"/>
        </w:rPr>
        <w:t xml:space="preserve"> dat aan de vereisten van artikel 48 quater, vierde lid, onderdel</w:t>
      </w:r>
      <w:r w:rsidR="00D57A46">
        <w:rPr>
          <w:sz w:val="18"/>
          <w:szCs w:val="18"/>
        </w:rPr>
        <w:t>en</w:t>
      </w:r>
      <w:r w:rsidR="00F72F62">
        <w:rPr>
          <w:sz w:val="18"/>
          <w:szCs w:val="18"/>
        </w:rPr>
        <w:t xml:space="preserve"> e en f, CRD is voldaan. Dit betreft artikel 48 quater, vierde lid, onderdeel e, CRD omtrent het kunnen verkrijgen van alle informatie die nodig is voor adequaat toezicht op het bijkantoor (bijvoorbeeld via gesloten overeenkomsten met de toezichthouder van de </w:t>
      </w:r>
      <w:r w:rsidR="00BF6713">
        <w:rPr>
          <w:sz w:val="18"/>
          <w:szCs w:val="18"/>
        </w:rPr>
        <w:t>moeder</w:t>
      </w:r>
      <w:r w:rsidR="00F72F62">
        <w:rPr>
          <w:sz w:val="18"/>
          <w:szCs w:val="18"/>
        </w:rPr>
        <w:t xml:space="preserve">onderneming in de staat die geen lidstaat is). Artikel 48 quater, vierde lid, onderdeel f, CRD </w:t>
      </w:r>
      <w:r>
        <w:rPr>
          <w:sz w:val="18"/>
          <w:szCs w:val="18"/>
        </w:rPr>
        <w:t>vereist dat er geen redelijke gronden zijn om te vermoeden dat het bijkantoor in Nederland gebruikt gaat worden voor witwassen of terrorismefinanciering.</w:t>
      </w:r>
    </w:p>
    <w:p w:rsidR="00B73183" w:rsidP="001E56AB" w:rsidRDefault="00B73183" w14:paraId="75AD535D" w14:textId="77777777">
      <w:pPr>
        <w:widowControl w:val="0"/>
        <w:spacing w:line="240" w:lineRule="atLeast"/>
        <w:rPr>
          <w:sz w:val="18"/>
          <w:szCs w:val="18"/>
        </w:rPr>
      </w:pPr>
    </w:p>
    <w:p w:rsidR="001D6A30" w:rsidP="001E56AB" w:rsidRDefault="00B73183" w14:paraId="6F7B34F4" w14:textId="4BFFD552">
      <w:pPr>
        <w:widowControl w:val="0"/>
        <w:spacing w:line="240" w:lineRule="atLeast"/>
        <w:rPr>
          <w:sz w:val="18"/>
          <w:szCs w:val="18"/>
        </w:rPr>
      </w:pPr>
      <w:r>
        <w:rPr>
          <w:sz w:val="18"/>
          <w:szCs w:val="18"/>
        </w:rPr>
        <w:t xml:space="preserve">Onderdeel b vereist dat de aanvrager voldoet aan artikel 48 quater, vierde lid, onderdelen b en c, CRD. </w:t>
      </w:r>
      <w:r w:rsidR="006A1AFD">
        <w:rPr>
          <w:sz w:val="18"/>
          <w:szCs w:val="18"/>
        </w:rPr>
        <w:t xml:space="preserve">Dit betreft </w:t>
      </w:r>
      <w:r>
        <w:rPr>
          <w:sz w:val="18"/>
          <w:szCs w:val="18"/>
        </w:rPr>
        <w:t xml:space="preserve">de voorwaarde dat de activiteiten die de aanvrager wil gaan ontplooien vanuit het bijkantoor vallen onder de vergunning die de </w:t>
      </w:r>
      <w:r w:rsidR="00BF6713">
        <w:rPr>
          <w:sz w:val="18"/>
          <w:szCs w:val="18"/>
        </w:rPr>
        <w:t>moeder</w:t>
      </w:r>
      <w:r>
        <w:rPr>
          <w:sz w:val="18"/>
          <w:szCs w:val="18"/>
        </w:rPr>
        <w:t>onderneming bezit in de staat die geen lidstaat is en dat zij voor die activiteiten onder toezicht staat. Daarnaast betreft dit</w:t>
      </w:r>
      <w:r w:rsidR="00D55B7F">
        <w:rPr>
          <w:sz w:val="18"/>
          <w:szCs w:val="18"/>
        </w:rPr>
        <w:t xml:space="preserve"> </w:t>
      </w:r>
      <w:r w:rsidR="006A1AFD">
        <w:rPr>
          <w:sz w:val="18"/>
          <w:szCs w:val="18"/>
        </w:rPr>
        <w:t xml:space="preserve">de voorwaarde dat de toezichthouder van de </w:t>
      </w:r>
      <w:r w:rsidR="00BF6713">
        <w:rPr>
          <w:sz w:val="18"/>
          <w:szCs w:val="18"/>
        </w:rPr>
        <w:t>moeder</w:t>
      </w:r>
      <w:r w:rsidR="006A1AFD">
        <w:rPr>
          <w:sz w:val="18"/>
          <w:szCs w:val="18"/>
        </w:rPr>
        <w:t xml:space="preserve">onderneming in </w:t>
      </w:r>
      <w:r w:rsidR="00C92D3D">
        <w:rPr>
          <w:sz w:val="18"/>
          <w:szCs w:val="18"/>
        </w:rPr>
        <w:t>de staat die geen lidstaat is</w:t>
      </w:r>
      <w:r w:rsidR="006A1AFD">
        <w:rPr>
          <w:sz w:val="18"/>
          <w:szCs w:val="18"/>
        </w:rPr>
        <w:t xml:space="preserve"> in kennis is gesteld van de aanvraag voor een vergunning en alle documenten daarvoor heeft ontvangen</w:t>
      </w:r>
      <w:r w:rsidR="00D55B7F">
        <w:rPr>
          <w:sz w:val="18"/>
          <w:szCs w:val="18"/>
        </w:rPr>
        <w:t xml:space="preserve"> (artikel 48 quater, vierde lid, onderdeel c, CRD</w:t>
      </w:r>
      <w:r w:rsidR="00C92D3D">
        <w:rPr>
          <w:sz w:val="18"/>
          <w:szCs w:val="18"/>
        </w:rPr>
        <w:t>)</w:t>
      </w:r>
      <w:r w:rsidR="00D55B7F">
        <w:rPr>
          <w:sz w:val="18"/>
          <w:szCs w:val="18"/>
        </w:rPr>
        <w:t xml:space="preserve">. </w:t>
      </w:r>
    </w:p>
    <w:p w:rsidR="00EB3076" w:rsidP="001E56AB" w:rsidRDefault="00EB3076" w14:paraId="2A32618D" w14:textId="77777777">
      <w:pPr>
        <w:widowControl w:val="0"/>
        <w:spacing w:line="240" w:lineRule="atLeast"/>
        <w:rPr>
          <w:sz w:val="18"/>
          <w:szCs w:val="18"/>
        </w:rPr>
      </w:pPr>
    </w:p>
    <w:p w:rsidR="00484074" w:rsidP="001E56AB" w:rsidRDefault="00B73183" w14:paraId="39A08650" w14:textId="390A04BE">
      <w:pPr>
        <w:widowControl w:val="0"/>
        <w:spacing w:line="240" w:lineRule="atLeast"/>
        <w:rPr>
          <w:sz w:val="18"/>
          <w:szCs w:val="18"/>
        </w:rPr>
      </w:pPr>
      <w:r>
        <w:rPr>
          <w:sz w:val="18"/>
          <w:szCs w:val="18"/>
        </w:rPr>
        <w:t xml:space="preserve">Tevens zijn in onderdeel b de vereisten opgenomen die van toepassing zijn op het bijkantoor. </w:t>
      </w:r>
      <w:r w:rsidR="00AF3D3B">
        <w:rPr>
          <w:sz w:val="18"/>
          <w:szCs w:val="18"/>
        </w:rPr>
        <w:t>Daar</w:t>
      </w:r>
      <w:r>
        <w:rPr>
          <w:sz w:val="18"/>
          <w:szCs w:val="18"/>
        </w:rPr>
        <w:t xml:space="preserve">bij </w:t>
      </w:r>
      <w:r w:rsidR="00AF3D3B">
        <w:rPr>
          <w:sz w:val="18"/>
          <w:szCs w:val="18"/>
        </w:rPr>
        <w:t xml:space="preserve">zijn enkele aanpassingen gemaakt </w:t>
      </w:r>
      <w:r>
        <w:rPr>
          <w:sz w:val="18"/>
          <w:szCs w:val="18"/>
        </w:rPr>
        <w:t>in vergelijking met de reeds bestaande tekst van artikel 2:21, eerste lid, Wft</w:t>
      </w:r>
      <w:r w:rsidR="00AF3D3B">
        <w:rPr>
          <w:sz w:val="18"/>
          <w:szCs w:val="18"/>
        </w:rPr>
        <w:t xml:space="preserve">. Allereerst is </w:t>
      </w:r>
      <w:r w:rsidR="00EB3076">
        <w:rPr>
          <w:sz w:val="18"/>
          <w:szCs w:val="18"/>
        </w:rPr>
        <w:t>artikel 3:18 Wft met betrekking tot uitbesteding aan een derde</w:t>
      </w:r>
      <w:r w:rsidR="00AF3D3B">
        <w:rPr>
          <w:sz w:val="18"/>
          <w:szCs w:val="18"/>
        </w:rPr>
        <w:t xml:space="preserve"> opgenomen</w:t>
      </w:r>
      <w:r w:rsidR="00EB3076">
        <w:rPr>
          <w:sz w:val="18"/>
          <w:szCs w:val="18"/>
        </w:rPr>
        <w:t xml:space="preserve">. </w:t>
      </w:r>
      <w:r w:rsidR="00484074">
        <w:rPr>
          <w:sz w:val="18"/>
          <w:szCs w:val="18"/>
        </w:rPr>
        <w:t xml:space="preserve">Voorheen gold op grond van artikel 3:23, tweede lid, </w:t>
      </w:r>
      <w:r w:rsidR="00AF3D3B">
        <w:rPr>
          <w:sz w:val="18"/>
          <w:szCs w:val="18"/>
        </w:rPr>
        <w:t>Wft</w:t>
      </w:r>
      <w:r>
        <w:rPr>
          <w:sz w:val="18"/>
          <w:szCs w:val="18"/>
        </w:rPr>
        <w:t xml:space="preserve"> </w:t>
      </w:r>
      <w:r w:rsidR="00484074">
        <w:rPr>
          <w:sz w:val="18"/>
          <w:szCs w:val="18"/>
        </w:rPr>
        <w:t>de bepaling uit de Wft over uitbesteding (artikel 3:18</w:t>
      </w:r>
      <w:r w:rsidR="00AF3D3B">
        <w:rPr>
          <w:sz w:val="18"/>
          <w:szCs w:val="18"/>
        </w:rPr>
        <w:t xml:space="preserve"> Wft</w:t>
      </w:r>
      <w:r w:rsidR="00484074">
        <w:rPr>
          <w:sz w:val="18"/>
          <w:szCs w:val="18"/>
        </w:rPr>
        <w:t xml:space="preserve">) al voor de bank in </w:t>
      </w:r>
      <w:r w:rsidR="00721321">
        <w:rPr>
          <w:sz w:val="18"/>
          <w:szCs w:val="18"/>
        </w:rPr>
        <w:t>een staat die geen lidstaat is</w:t>
      </w:r>
      <w:r w:rsidR="00484074">
        <w:rPr>
          <w:sz w:val="18"/>
          <w:szCs w:val="18"/>
        </w:rPr>
        <w:t xml:space="preserve">. Met de komst van het </w:t>
      </w:r>
      <w:r w:rsidR="001C0C28">
        <w:rPr>
          <w:sz w:val="18"/>
          <w:szCs w:val="18"/>
        </w:rPr>
        <w:t>derde land</w:t>
      </w:r>
      <w:r w:rsidR="00484074">
        <w:rPr>
          <w:sz w:val="18"/>
          <w:szCs w:val="18"/>
        </w:rPr>
        <w:t xml:space="preserve"> bijkantorenregime gelden bepalingen omtrent uitbesteding voor het bijkantoor zelf, zoals ook volgt uit artikel 48 octies, vijfde lid, CRD. In het nieuwe artikel 3:23a</w:t>
      </w:r>
      <w:r w:rsidR="00AF3D3B">
        <w:rPr>
          <w:sz w:val="18"/>
          <w:szCs w:val="18"/>
        </w:rPr>
        <w:t xml:space="preserve"> Wft</w:t>
      </w:r>
      <w:r w:rsidR="00484074">
        <w:rPr>
          <w:sz w:val="18"/>
          <w:szCs w:val="18"/>
        </w:rPr>
        <w:t xml:space="preserve"> (zie onderdeel </w:t>
      </w:r>
      <w:r w:rsidR="00D57A46">
        <w:rPr>
          <w:sz w:val="18"/>
          <w:szCs w:val="18"/>
        </w:rPr>
        <w:t>HH</w:t>
      </w:r>
      <w:r w:rsidR="00484074">
        <w:rPr>
          <w:sz w:val="18"/>
          <w:szCs w:val="18"/>
        </w:rPr>
        <w:t xml:space="preserve">) wordt artikel 3:18 </w:t>
      </w:r>
      <w:r w:rsidR="00AF3D3B">
        <w:rPr>
          <w:sz w:val="18"/>
          <w:szCs w:val="18"/>
        </w:rPr>
        <w:t>Wft</w:t>
      </w:r>
      <w:r w:rsidR="0015417B">
        <w:rPr>
          <w:sz w:val="18"/>
          <w:szCs w:val="18"/>
        </w:rPr>
        <w:t xml:space="preserve"> </w:t>
      </w:r>
      <w:r w:rsidR="00484074">
        <w:rPr>
          <w:sz w:val="18"/>
          <w:szCs w:val="18"/>
        </w:rPr>
        <w:t xml:space="preserve">van overeenkomstige toepassing verklaard op de </w:t>
      </w:r>
      <w:r w:rsidR="001C0C28">
        <w:rPr>
          <w:sz w:val="18"/>
          <w:szCs w:val="18"/>
        </w:rPr>
        <w:t>derde land</w:t>
      </w:r>
      <w:r w:rsidR="00484074">
        <w:rPr>
          <w:sz w:val="18"/>
          <w:szCs w:val="18"/>
        </w:rPr>
        <w:t xml:space="preserve"> bijkantoren.</w:t>
      </w:r>
      <w:r>
        <w:rPr>
          <w:sz w:val="18"/>
          <w:szCs w:val="18"/>
        </w:rPr>
        <w:t xml:space="preserve"> </w:t>
      </w:r>
      <w:r w:rsidR="00AF3D3B">
        <w:rPr>
          <w:sz w:val="18"/>
          <w:szCs w:val="18"/>
        </w:rPr>
        <w:t>Tevens is artikel 3:46 verwijderd uit de lijst, nu dat artikel vervalt</w:t>
      </w:r>
      <w:r w:rsidR="00D57A46">
        <w:rPr>
          <w:sz w:val="18"/>
          <w:szCs w:val="18"/>
        </w:rPr>
        <w:t xml:space="preserve"> (zie onderdeel </w:t>
      </w:r>
      <w:r w:rsidR="009B7432">
        <w:rPr>
          <w:sz w:val="18"/>
          <w:szCs w:val="18"/>
        </w:rPr>
        <w:t>MM</w:t>
      </w:r>
      <w:r w:rsidR="00D57A46">
        <w:rPr>
          <w:sz w:val="18"/>
          <w:szCs w:val="18"/>
        </w:rPr>
        <w:t>)</w:t>
      </w:r>
      <w:r w:rsidR="00AF3D3B">
        <w:rPr>
          <w:sz w:val="18"/>
          <w:szCs w:val="18"/>
        </w:rPr>
        <w:t xml:space="preserve">. </w:t>
      </w:r>
      <w:r w:rsidR="00484074">
        <w:rPr>
          <w:sz w:val="18"/>
          <w:szCs w:val="18"/>
        </w:rPr>
        <w:t xml:space="preserve">De laatste aanpassing aan de opsomming met artikelen betreft boekingsvereisten. Op grond van artikel 48 nonies CRD gelden er specifieke boekingsvereisten voor </w:t>
      </w:r>
      <w:r w:rsidR="001C0C28">
        <w:rPr>
          <w:sz w:val="18"/>
          <w:szCs w:val="18"/>
        </w:rPr>
        <w:t>derde land</w:t>
      </w:r>
      <w:r w:rsidR="00484074">
        <w:rPr>
          <w:sz w:val="18"/>
          <w:szCs w:val="18"/>
        </w:rPr>
        <w:t xml:space="preserve"> bijkantoren. Het voldoen aan deze vereisten is opgenomen in het nieuwe artike</w:t>
      </w:r>
      <w:r w:rsidR="00D624EC">
        <w:rPr>
          <w:sz w:val="18"/>
          <w:szCs w:val="18"/>
        </w:rPr>
        <w:t>l</w:t>
      </w:r>
      <w:r w:rsidR="00484074">
        <w:rPr>
          <w:sz w:val="18"/>
          <w:szCs w:val="18"/>
        </w:rPr>
        <w:t xml:space="preserve"> 3:80a</w:t>
      </w:r>
      <w:r w:rsidR="00D624EC">
        <w:rPr>
          <w:sz w:val="18"/>
          <w:szCs w:val="18"/>
        </w:rPr>
        <w:t xml:space="preserve"> </w:t>
      </w:r>
      <w:r w:rsidR="00AF3D3B">
        <w:rPr>
          <w:sz w:val="18"/>
          <w:szCs w:val="18"/>
        </w:rPr>
        <w:t xml:space="preserve">Wft </w:t>
      </w:r>
      <w:r w:rsidR="00D624EC">
        <w:rPr>
          <w:sz w:val="18"/>
          <w:szCs w:val="18"/>
        </w:rPr>
        <w:t>en hieraan dient, op grond van artikel 48 quater, vierde lid, onderd</w:t>
      </w:r>
      <w:r w:rsidR="00F63F89">
        <w:rPr>
          <w:sz w:val="18"/>
          <w:szCs w:val="18"/>
        </w:rPr>
        <w:t>ee</w:t>
      </w:r>
      <w:r w:rsidR="00D624EC">
        <w:rPr>
          <w:sz w:val="18"/>
          <w:szCs w:val="18"/>
        </w:rPr>
        <w:t>l a, voldaan te zijn bij de vergunningaanvraag.</w:t>
      </w:r>
      <w:r w:rsidR="00925F8D">
        <w:rPr>
          <w:sz w:val="18"/>
          <w:szCs w:val="18"/>
        </w:rPr>
        <w:t xml:space="preserve"> </w:t>
      </w:r>
      <w:r w:rsidR="00AF3D3B">
        <w:rPr>
          <w:sz w:val="18"/>
          <w:szCs w:val="18"/>
        </w:rPr>
        <w:t>Daarom is de verwijzing naar artikel 3:75 Wft verwijderd uit de lijst ten opzichte van het oude artikel 2:21 Wft.</w:t>
      </w:r>
    </w:p>
    <w:p w:rsidR="001D6A30" w:rsidP="001E56AB" w:rsidRDefault="001D6A30" w14:paraId="28692A51" w14:textId="77777777">
      <w:pPr>
        <w:widowControl w:val="0"/>
        <w:spacing w:line="240" w:lineRule="atLeast"/>
        <w:rPr>
          <w:sz w:val="18"/>
          <w:szCs w:val="18"/>
        </w:rPr>
      </w:pPr>
    </w:p>
    <w:p w:rsidR="00B73183" w:rsidP="001E56AB" w:rsidRDefault="00B73183" w14:paraId="6EC9D52D" w14:textId="180D4AA0">
      <w:pPr>
        <w:widowControl w:val="0"/>
        <w:spacing w:line="240" w:lineRule="atLeast"/>
        <w:rPr>
          <w:sz w:val="18"/>
          <w:szCs w:val="18"/>
        </w:rPr>
      </w:pPr>
      <w:r>
        <w:rPr>
          <w:sz w:val="18"/>
          <w:szCs w:val="18"/>
        </w:rPr>
        <w:t xml:space="preserve">Als laatste bevat onderdeel c het vereiste dat artikel 48 quinquies, eerste lid, </w:t>
      </w:r>
      <w:r>
        <w:rPr>
          <w:sz w:val="18"/>
          <w:szCs w:val="18"/>
        </w:rPr>
        <w:lastRenderedPageBreak/>
        <w:t>onderdeel b, CRD</w:t>
      </w:r>
      <w:r w:rsidR="00C54FBA">
        <w:rPr>
          <w:sz w:val="18"/>
          <w:szCs w:val="18"/>
        </w:rPr>
        <w:t xml:space="preserve"> niet van toepassing is</w:t>
      </w:r>
      <w:r>
        <w:rPr>
          <w:sz w:val="18"/>
          <w:szCs w:val="18"/>
        </w:rPr>
        <w:t xml:space="preserve">. Hierin is opgenomen dat er een weigeringsgrond bestaat voor de verlening van een vergunning voor een </w:t>
      </w:r>
      <w:r w:rsidR="001C0C28">
        <w:rPr>
          <w:sz w:val="18"/>
          <w:szCs w:val="18"/>
        </w:rPr>
        <w:t>derde land</w:t>
      </w:r>
      <w:r>
        <w:rPr>
          <w:sz w:val="18"/>
          <w:szCs w:val="18"/>
        </w:rPr>
        <w:t xml:space="preserve"> bijkantoor indien de </w:t>
      </w:r>
      <w:r w:rsidR="00BF6713">
        <w:rPr>
          <w:sz w:val="18"/>
          <w:szCs w:val="18"/>
        </w:rPr>
        <w:t>moeder</w:t>
      </w:r>
      <w:r>
        <w:rPr>
          <w:sz w:val="18"/>
          <w:szCs w:val="18"/>
        </w:rPr>
        <w:t xml:space="preserve">onderneming of de groep waartoe de </w:t>
      </w:r>
      <w:r w:rsidR="00BF6713">
        <w:rPr>
          <w:sz w:val="18"/>
          <w:szCs w:val="18"/>
        </w:rPr>
        <w:t>moeder</w:t>
      </w:r>
      <w:r>
        <w:rPr>
          <w:sz w:val="18"/>
          <w:szCs w:val="18"/>
        </w:rPr>
        <w:t xml:space="preserve">onderneming behoort niet aan de prudentiële vereisten voldoet die van kracht zijn op de </w:t>
      </w:r>
      <w:r w:rsidR="00BF6713">
        <w:rPr>
          <w:sz w:val="18"/>
          <w:szCs w:val="18"/>
        </w:rPr>
        <w:t>moeder</w:t>
      </w:r>
      <w:r>
        <w:rPr>
          <w:sz w:val="18"/>
          <w:szCs w:val="18"/>
        </w:rPr>
        <w:t xml:space="preserve">onderneming (of groep) in de staat die geen lidstaat is. Ook als DNB redelijke gronden heeft om te vermoeden dat er binnenkort niet voldaan wordt aan de prudentiële vereisten of dat zij binnen twaalf maanden inbreuk pleegt op die vereisten, kan zij de vergunning voor een </w:t>
      </w:r>
      <w:r w:rsidR="001C0C28">
        <w:rPr>
          <w:sz w:val="18"/>
          <w:szCs w:val="18"/>
        </w:rPr>
        <w:t>derde land</w:t>
      </w:r>
      <w:r>
        <w:rPr>
          <w:sz w:val="18"/>
          <w:szCs w:val="18"/>
        </w:rPr>
        <w:t xml:space="preserve"> bijkantoor weigeren</w:t>
      </w:r>
      <w:r w:rsidR="00BF6713">
        <w:rPr>
          <w:sz w:val="18"/>
          <w:szCs w:val="18"/>
        </w:rPr>
        <w:t xml:space="preserve"> op grond van dit onderdeel</w:t>
      </w:r>
      <w:r>
        <w:rPr>
          <w:sz w:val="18"/>
          <w:szCs w:val="18"/>
        </w:rPr>
        <w:t>.</w:t>
      </w:r>
    </w:p>
    <w:p w:rsidR="00B73183" w:rsidP="001E56AB" w:rsidRDefault="00B73183" w14:paraId="6358D9F9" w14:textId="77777777">
      <w:pPr>
        <w:widowControl w:val="0"/>
        <w:spacing w:line="240" w:lineRule="atLeast"/>
        <w:rPr>
          <w:sz w:val="18"/>
          <w:szCs w:val="18"/>
        </w:rPr>
      </w:pPr>
    </w:p>
    <w:p w:rsidR="00DA7F45" w:rsidP="00DA7F45" w:rsidRDefault="00D624EC" w14:paraId="2BD8BBF7" w14:textId="27FE1743">
      <w:pPr>
        <w:widowControl w:val="0"/>
        <w:spacing w:line="240" w:lineRule="atLeast"/>
        <w:rPr>
          <w:rFonts w:cs="Arial"/>
          <w:iCs/>
          <w:sz w:val="18"/>
          <w:szCs w:val="18"/>
        </w:rPr>
      </w:pPr>
      <w:r>
        <w:rPr>
          <w:sz w:val="18"/>
          <w:szCs w:val="18"/>
        </w:rPr>
        <w:t xml:space="preserve">Naast aanpassing van het eerste lid van artikel 2:21 </w:t>
      </w:r>
      <w:r w:rsidR="00C54FBA">
        <w:rPr>
          <w:sz w:val="18"/>
          <w:szCs w:val="18"/>
        </w:rPr>
        <w:t xml:space="preserve">Wft </w:t>
      </w:r>
      <w:r>
        <w:rPr>
          <w:sz w:val="18"/>
          <w:szCs w:val="18"/>
        </w:rPr>
        <w:t>word</w:t>
      </w:r>
      <w:r w:rsidR="00DA7F45">
        <w:rPr>
          <w:sz w:val="18"/>
          <w:szCs w:val="18"/>
        </w:rPr>
        <w:t xml:space="preserve">t </w:t>
      </w:r>
      <w:r w:rsidR="00AF3D3B">
        <w:rPr>
          <w:sz w:val="18"/>
          <w:szCs w:val="18"/>
        </w:rPr>
        <w:t>er e</w:t>
      </w:r>
      <w:r>
        <w:rPr>
          <w:sz w:val="18"/>
          <w:szCs w:val="18"/>
        </w:rPr>
        <w:t>e</w:t>
      </w:r>
      <w:r w:rsidR="00DA7F45">
        <w:rPr>
          <w:sz w:val="18"/>
          <w:szCs w:val="18"/>
        </w:rPr>
        <w:t>n</w:t>
      </w:r>
      <w:r w:rsidR="00E703E4">
        <w:rPr>
          <w:sz w:val="18"/>
          <w:szCs w:val="18"/>
        </w:rPr>
        <w:t xml:space="preserve"> </w:t>
      </w:r>
      <w:r w:rsidR="00AF3D3B">
        <w:rPr>
          <w:sz w:val="18"/>
          <w:szCs w:val="18"/>
        </w:rPr>
        <w:t>l</w:t>
      </w:r>
      <w:r w:rsidR="00DA7F45">
        <w:rPr>
          <w:sz w:val="18"/>
          <w:szCs w:val="18"/>
        </w:rPr>
        <w:t>i</w:t>
      </w:r>
      <w:r w:rsidR="00AF3D3B">
        <w:rPr>
          <w:sz w:val="18"/>
          <w:szCs w:val="18"/>
        </w:rPr>
        <w:t>d</w:t>
      </w:r>
      <w:r w:rsidR="00E703E4">
        <w:rPr>
          <w:sz w:val="18"/>
          <w:szCs w:val="18"/>
        </w:rPr>
        <w:t xml:space="preserve"> toegevoegd</w:t>
      </w:r>
      <w:r w:rsidR="00AF3D3B">
        <w:rPr>
          <w:sz w:val="18"/>
          <w:szCs w:val="18"/>
        </w:rPr>
        <w:t>. Het nieuwe vierde lid ziet op</w:t>
      </w:r>
      <w:r w:rsidR="00DA7F45">
        <w:rPr>
          <w:sz w:val="18"/>
          <w:szCs w:val="18"/>
        </w:rPr>
        <w:t xml:space="preserve"> hetgeen op de vergunning vermeld moet worden</w:t>
      </w:r>
      <w:r w:rsidR="00520D61">
        <w:rPr>
          <w:sz w:val="18"/>
          <w:szCs w:val="18"/>
        </w:rPr>
        <w:t xml:space="preserve">, hetgeen </w:t>
      </w:r>
      <w:r w:rsidR="00681503">
        <w:rPr>
          <w:sz w:val="18"/>
          <w:szCs w:val="18"/>
        </w:rPr>
        <w:t>volgt uit artikel 48 quater, vierde lid, onderdeel d, CRD</w:t>
      </w:r>
      <w:r w:rsidR="00DA7F45">
        <w:rPr>
          <w:sz w:val="18"/>
          <w:szCs w:val="18"/>
        </w:rPr>
        <w:t>.</w:t>
      </w:r>
      <w:r w:rsidR="00DC5FEF">
        <w:rPr>
          <w:sz w:val="18"/>
          <w:szCs w:val="18"/>
        </w:rPr>
        <w:t xml:space="preserve"> </w:t>
      </w:r>
      <w:r w:rsidR="00DA7F45">
        <w:rPr>
          <w:sz w:val="18"/>
          <w:szCs w:val="18"/>
        </w:rPr>
        <w:t xml:space="preserve">Dit betreft allereerst </w:t>
      </w:r>
      <w:r w:rsidR="000D1395">
        <w:rPr>
          <w:rFonts w:cs="Arial"/>
          <w:iCs/>
          <w:sz w:val="18"/>
          <w:szCs w:val="18"/>
        </w:rPr>
        <w:t xml:space="preserve">de diensten die het </w:t>
      </w:r>
      <w:r w:rsidR="001C0C28">
        <w:rPr>
          <w:rFonts w:cs="Arial"/>
          <w:iCs/>
          <w:sz w:val="18"/>
          <w:szCs w:val="18"/>
        </w:rPr>
        <w:t>derde land</w:t>
      </w:r>
      <w:r w:rsidR="000D1395">
        <w:rPr>
          <w:rFonts w:cs="Arial"/>
          <w:iCs/>
          <w:sz w:val="18"/>
          <w:szCs w:val="18"/>
        </w:rPr>
        <w:t xml:space="preserve"> bijkantoor mag verrichten in Nederland wanneer zij de vergunning heeft verkregen. Het verlenen van de diensten door het </w:t>
      </w:r>
      <w:r w:rsidR="001C0C28">
        <w:rPr>
          <w:rFonts w:cs="Arial"/>
          <w:iCs/>
          <w:sz w:val="18"/>
          <w:szCs w:val="18"/>
        </w:rPr>
        <w:t>derde land</w:t>
      </w:r>
      <w:r w:rsidR="000D1395">
        <w:rPr>
          <w:rFonts w:cs="Arial"/>
          <w:iCs/>
          <w:sz w:val="18"/>
          <w:szCs w:val="18"/>
        </w:rPr>
        <w:t xml:space="preserve"> bijkantoor is namelijk afhankelijk van de diensten die de </w:t>
      </w:r>
      <w:r w:rsidR="00BF6713">
        <w:rPr>
          <w:rFonts w:cs="Arial"/>
          <w:iCs/>
          <w:sz w:val="18"/>
          <w:szCs w:val="18"/>
        </w:rPr>
        <w:t>moeder</w:t>
      </w:r>
      <w:r w:rsidR="000D1395">
        <w:rPr>
          <w:rFonts w:cs="Arial"/>
          <w:iCs/>
          <w:sz w:val="18"/>
          <w:szCs w:val="18"/>
        </w:rPr>
        <w:t xml:space="preserve">onderneming in de staat die geen lidstaat is volgens de vergunning aldaar kan verlenen. Het is </w:t>
      </w:r>
      <w:r w:rsidR="00200292">
        <w:rPr>
          <w:rFonts w:cs="Arial"/>
          <w:iCs/>
          <w:sz w:val="18"/>
          <w:szCs w:val="18"/>
        </w:rPr>
        <w:t xml:space="preserve">bijvoorbeeld </w:t>
      </w:r>
      <w:r w:rsidR="000D1395">
        <w:rPr>
          <w:rFonts w:cs="Arial"/>
          <w:iCs/>
          <w:sz w:val="18"/>
          <w:szCs w:val="18"/>
        </w:rPr>
        <w:t xml:space="preserve">niet toegestaan om, als de </w:t>
      </w:r>
      <w:r w:rsidR="00BF6713">
        <w:rPr>
          <w:rFonts w:cs="Arial"/>
          <w:iCs/>
          <w:sz w:val="18"/>
          <w:szCs w:val="18"/>
        </w:rPr>
        <w:t>moeder</w:t>
      </w:r>
      <w:r w:rsidR="000D1395">
        <w:rPr>
          <w:rFonts w:cs="Arial"/>
          <w:iCs/>
          <w:sz w:val="18"/>
          <w:szCs w:val="18"/>
        </w:rPr>
        <w:t xml:space="preserve">onderneming in de staat die geen lidstaat is geen vergunning heeft voor het aantrekken van opvorderbare gelden (dienst 1), hiervoor wel een vergunning voor het </w:t>
      </w:r>
      <w:r w:rsidR="001C0C28">
        <w:rPr>
          <w:rFonts w:cs="Arial"/>
          <w:iCs/>
          <w:sz w:val="18"/>
          <w:szCs w:val="18"/>
        </w:rPr>
        <w:t>derde land</w:t>
      </w:r>
      <w:r w:rsidR="000D1395">
        <w:rPr>
          <w:rFonts w:cs="Arial"/>
          <w:iCs/>
          <w:sz w:val="18"/>
          <w:szCs w:val="18"/>
        </w:rPr>
        <w:t xml:space="preserve"> bijkantoor voor die dienst aan te vragen.</w:t>
      </w:r>
      <w:r w:rsidR="00681503">
        <w:rPr>
          <w:rFonts w:cs="Arial"/>
          <w:iCs/>
          <w:sz w:val="18"/>
          <w:szCs w:val="18"/>
        </w:rPr>
        <w:t xml:space="preserve"> De voorwaarden bedoeld in artikel 48 quater, vierde lid, onderdeel d, CRD zijn dat he</w:t>
      </w:r>
      <w:r w:rsidR="00DC5FEF">
        <w:rPr>
          <w:rFonts w:cs="Arial"/>
          <w:iCs/>
          <w:sz w:val="18"/>
          <w:szCs w:val="18"/>
        </w:rPr>
        <w:t>t derde land bijkanto</w:t>
      </w:r>
      <w:r w:rsidR="00681503">
        <w:rPr>
          <w:rFonts w:cs="Arial"/>
          <w:iCs/>
          <w:sz w:val="18"/>
          <w:szCs w:val="18"/>
        </w:rPr>
        <w:t xml:space="preserve">or alleen in de lidstaat waarin deze gevestigd is zijn diensten mag aanbieden, tenzij er sprake is van a) intragroepsfinancieringstransacties met andere derde land bijkantoren in de EU of b) op basis van reverse solicitation verleende diensten in een andere EU-lidstaat. De redenering achter onderdeel b is dat als een EU partij diensten wil afnemen middels reverse solicitation, het de voorkeur heeft dat de EU partij deze dienst betrekt van een (in de EU gevestigd en onder EU toezicht staand) derde land bijkantoor </w:t>
      </w:r>
      <w:r w:rsidR="00BF6713">
        <w:rPr>
          <w:rFonts w:cs="Arial"/>
          <w:iCs/>
          <w:sz w:val="18"/>
          <w:szCs w:val="18"/>
        </w:rPr>
        <w:t>in plaats</w:t>
      </w:r>
      <w:r w:rsidR="00681503">
        <w:rPr>
          <w:rFonts w:cs="Arial"/>
          <w:iCs/>
          <w:sz w:val="18"/>
          <w:szCs w:val="18"/>
        </w:rPr>
        <w:t xml:space="preserve"> van de moederonderneming in een staat die geen lidstaat is.</w:t>
      </w:r>
    </w:p>
    <w:p w:rsidR="00DA7F45" w:rsidP="00DA7F45" w:rsidRDefault="00DA7F45" w14:paraId="51BCA03C" w14:textId="77777777">
      <w:pPr>
        <w:widowControl w:val="0"/>
        <w:spacing w:line="240" w:lineRule="atLeast"/>
        <w:rPr>
          <w:rFonts w:cs="Arial"/>
          <w:iCs/>
          <w:sz w:val="18"/>
          <w:szCs w:val="18"/>
        </w:rPr>
      </w:pPr>
    </w:p>
    <w:p w:rsidR="000D1395" w:rsidP="00DA7F45" w:rsidRDefault="00DA7F45" w14:paraId="035667ED" w14:textId="587DC233">
      <w:pPr>
        <w:widowControl w:val="0"/>
        <w:spacing w:line="240" w:lineRule="atLeast"/>
        <w:rPr>
          <w:rFonts w:cs="Arial"/>
          <w:iCs/>
          <w:sz w:val="18"/>
          <w:szCs w:val="18"/>
        </w:rPr>
      </w:pPr>
      <w:r>
        <w:rPr>
          <w:rFonts w:cs="Arial"/>
          <w:iCs/>
          <w:sz w:val="18"/>
          <w:szCs w:val="18"/>
        </w:rPr>
        <w:t xml:space="preserve">Ten tweede vermeldt de vergunning of het </w:t>
      </w:r>
      <w:r w:rsidR="001C0C28">
        <w:rPr>
          <w:rFonts w:cs="Arial"/>
          <w:iCs/>
          <w:sz w:val="18"/>
          <w:szCs w:val="18"/>
        </w:rPr>
        <w:t>derde land</w:t>
      </w:r>
      <w:r>
        <w:rPr>
          <w:rFonts w:cs="Arial"/>
          <w:iCs/>
          <w:sz w:val="18"/>
          <w:szCs w:val="18"/>
        </w:rPr>
        <w:t xml:space="preserve"> bijkantoor een klasse 1-bijkantoor of klasse 2-bijkantoor is. Ten derde vermeld de vergunning ook of het </w:t>
      </w:r>
      <w:r w:rsidR="001C0C28">
        <w:rPr>
          <w:rFonts w:cs="Arial"/>
          <w:iCs/>
          <w:sz w:val="18"/>
          <w:szCs w:val="18"/>
        </w:rPr>
        <w:t>derde land</w:t>
      </w:r>
      <w:r>
        <w:rPr>
          <w:rFonts w:cs="Arial"/>
          <w:iCs/>
          <w:sz w:val="18"/>
          <w:szCs w:val="18"/>
        </w:rPr>
        <w:t xml:space="preserve"> bijkantoor een in aanmerking komend bijkantoor is. Zie voor meer toelichting hierover onderde</w:t>
      </w:r>
      <w:r w:rsidR="0038506C">
        <w:rPr>
          <w:rFonts w:cs="Arial"/>
          <w:iCs/>
          <w:sz w:val="18"/>
          <w:szCs w:val="18"/>
        </w:rPr>
        <w:t>e</w:t>
      </w:r>
      <w:r>
        <w:rPr>
          <w:rFonts w:cs="Arial"/>
          <w:iCs/>
          <w:sz w:val="18"/>
          <w:szCs w:val="18"/>
        </w:rPr>
        <w:t>l A.</w:t>
      </w:r>
    </w:p>
    <w:p w:rsidRPr="00496E2A" w:rsidR="007443A1" w:rsidP="007443A1" w:rsidRDefault="007443A1" w14:paraId="79188D73" w14:textId="6F1123DE">
      <w:pPr>
        <w:widowControl w:val="0"/>
        <w:spacing w:line="240" w:lineRule="atLeast"/>
        <w:rPr>
          <w:rFonts w:cs="Arial"/>
          <w:iCs/>
          <w:sz w:val="18"/>
          <w:szCs w:val="18"/>
        </w:rPr>
      </w:pPr>
    </w:p>
    <w:p w:rsidRPr="007A44BE" w:rsidR="001E56AB" w:rsidP="001E56AB" w:rsidRDefault="00070306" w14:paraId="2153D81A" w14:textId="5FE284D2">
      <w:pPr>
        <w:widowControl w:val="0"/>
        <w:spacing w:line="240" w:lineRule="atLeast"/>
        <w:rPr>
          <w:sz w:val="18"/>
          <w:szCs w:val="18"/>
        </w:rPr>
      </w:pPr>
      <w:r>
        <w:rPr>
          <w:sz w:val="18"/>
          <w:szCs w:val="18"/>
        </w:rPr>
        <w:t>U</w:t>
      </w:r>
      <w:r w:rsidRPr="007A44BE" w:rsidR="001E56AB">
        <w:rPr>
          <w:sz w:val="18"/>
          <w:szCs w:val="18"/>
        </w:rPr>
        <w:t xml:space="preserve"> (2:22)</w:t>
      </w:r>
    </w:p>
    <w:p w:rsidRPr="00A6284F" w:rsidR="001E56AB" w:rsidP="001E56AB" w:rsidRDefault="001E56AB" w14:paraId="2896150B" w14:textId="77777777">
      <w:pPr>
        <w:widowControl w:val="0"/>
        <w:spacing w:line="240" w:lineRule="atLeast"/>
        <w:rPr>
          <w:sz w:val="18"/>
          <w:szCs w:val="18"/>
        </w:rPr>
      </w:pPr>
    </w:p>
    <w:p w:rsidRPr="00046595" w:rsidR="00046595" w:rsidP="00046595" w:rsidRDefault="00046595" w14:paraId="04FC1727" w14:textId="77777777">
      <w:pPr>
        <w:widowControl w:val="0"/>
        <w:spacing w:line="240" w:lineRule="atLeast"/>
        <w:rPr>
          <w:sz w:val="18"/>
          <w:szCs w:val="18"/>
        </w:rPr>
      </w:pPr>
      <w:r w:rsidRPr="00A6284F">
        <w:rPr>
          <w:sz w:val="18"/>
          <w:szCs w:val="18"/>
        </w:rPr>
        <w:t xml:space="preserve">Artikel 2:22 Wft ziet op </w:t>
      </w:r>
      <w:r>
        <w:rPr>
          <w:sz w:val="18"/>
          <w:szCs w:val="18"/>
        </w:rPr>
        <w:t xml:space="preserve">het </w:t>
      </w:r>
      <w:r w:rsidRPr="00046595">
        <w:rPr>
          <w:sz w:val="18"/>
          <w:szCs w:val="18"/>
        </w:rPr>
        <w:t xml:space="preserve">verlenen van beleggingsdiensten of </w:t>
      </w:r>
    </w:p>
    <w:p w:rsidR="00866820" w:rsidP="001E56AB" w:rsidRDefault="00046595" w14:paraId="0E9D8255" w14:textId="76964604">
      <w:pPr>
        <w:widowControl w:val="0"/>
        <w:spacing w:line="240" w:lineRule="atLeast"/>
        <w:rPr>
          <w:sz w:val="18"/>
          <w:szCs w:val="18"/>
        </w:rPr>
      </w:pPr>
      <w:r w:rsidRPr="00046595">
        <w:rPr>
          <w:sz w:val="18"/>
          <w:szCs w:val="18"/>
        </w:rPr>
        <w:t>het verrichten van beleggingsactiviteiten</w:t>
      </w:r>
      <w:r>
        <w:rPr>
          <w:sz w:val="18"/>
          <w:szCs w:val="18"/>
        </w:rPr>
        <w:t xml:space="preserve"> vanuit een door een bank in een </w:t>
      </w:r>
      <w:r w:rsidR="001C0C28">
        <w:rPr>
          <w:sz w:val="18"/>
          <w:szCs w:val="18"/>
        </w:rPr>
        <w:t>staat die geen lidstaat is</w:t>
      </w:r>
      <w:r>
        <w:rPr>
          <w:sz w:val="18"/>
          <w:szCs w:val="18"/>
        </w:rPr>
        <w:t xml:space="preserve"> gevestigd bijkantoor in Nederland. Deze mogelijkheid komt voort uit de richtlijn markten </w:t>
      </w:r>
      <w:r w:rsidR="00AA0002">
        <w:rPr>
          <w:sz w:val="18"/>
          <w:szCs w:val="18"/>
        </w:rPr>
        <w:t>voor</w:t>
      </w:r>
      <w:r>
        <w:rPr>
          <w:sz w:val="18"/>
          <w:szCs w:val="18"/>
        </w:rPr>
        <w:t xml:space="preserve"> financiële instrumenten 2014, en het nieuwe </w:t>
      </w:r>
      <w:r w:rsidR="001C0C28">
        <w:rPr>
          <w:sz w:val="18"/>
          <w:szCs w:val="18"/>
        </w:rPr>
        <w:t>derde land</w:t>
      </w:r>
      <w:r>
        <w:rPr>
          <w:sz w:val="18"/>
          <w:szCs w:val="18"/>
        </w:rPr>
        <w:t xml:space="preserve"> bijkantorenregime uit de richtlijn staat hier niet aan in de weg. Wel dient daartoe de aanhef aangepast te worden. Allereerst wordt nu verwezen naar artikel 2:20, eerste lid, Wft in plaats van alleen artikel 2:20 Wft. Daarnaast is de zinsnede “aan een bank die naast de uitoefening van het bedrijf van bank” vervangen door “aan een </w:t>
      </w:r>
      <w:r w:rsidR="00C175C4">
        <w:rPr>
          <w:sz w:val="18"/>
          <w:szCs w:val="18"/>
        </w:rPr>
        <w:t xml:space="preserve">bank </w:t>
      </w:r>
      <w:r>
        <w:rPr>
          <w:sz w:val="18"/>
          <w:szCs w:val="18"/>
        </w:rPr>
        <w:t>die naast de activiteiten bedoeld in artikel 2:20, eerste lid”. Hiermee volgt ook artikel 2:22 Wft het nieuw geformuleerde artikel 2:20, eerste lid, Wft.</w:t>
      </w:r>
    </w:p>
    <w:p w:rsidR="00866820" w:rsidP="001E56AB" w:rsidRDefault="00866820" w14:paraId="5CC7A7B5" w14:textId="77777777">
      <w:pPr>
        <w:widowControl w:val="0"/>
        <w:spacing w:line="240" w:lineRule="atLeast"/>
        <w:rPr>
          <w:sz w:val="18"/>
          <w:szCs w:val="18"/>
        </w:rPr>
      </w:pPr>
    </w:p>
    <w:p w:rsidR="003306BB" w:rsidP="001E56AB" w:rsidRDefault="00070306" w14:paraId="57BCEC5C" w14:textId="4469FAA7">
      <w:pPr>
        <w:widowControl w:val="0"/>
        <w:spacing w:line="240" w:lineRule="atLeast"/>
        <w:rPr>
          <w:sz w:val="18"/>
          <w:szCs w:val="18"/>
        </w:rPr>
      </w:pPr>
      <w:r>
        <w:rPr>
          <w:sz w:val="18"/>
          <w:szCs w:val="18"/>
        </w:rPr>
        <w:t>V</w:t>
      </w:r>
      <w:r w:rsidR="003306BB">
        <w:rPr>
          <w:sz w:val="18"/>
          <w:szCs w:val="18"/>
        </w:rPr>
        <w:t xml:space="preserve"> (2:25 en 2:26)</w:t>
      </w:r>
    </w:p>
    <w:p w:rsidR="003306BB" w:rsidP="001E56AB" w:rsidRDefault="003306BB" w14:paraId="51DCC035" w14:textId="77777777">
      <w:pPr>
        <w:widowControl w:val="0"/>
        <w:spacing w:line="240" w:lineRule="atLeast"/>
        <w:rPr>
          <w:sz w:val="18"/>
          <w:szCs w:val="18"/>
        </w:rPr>
      </w:pPr>
    </w:p>
    <w:p w:rsidR="003306BB" w:rsidP="001E56AB" w:rsidRDefault="003306BB" w14:paraId="0E7A9D09" w14:textId="7F7FDA60">
      <w:pPr>
        <w:widowControl w:val="0"/>
        <w:spacing w:line="240" w:lineRule="atLeast"/>
        <w:rPr>
          <w:sz w:val="18"/>
          <w:szCs w:val="18"/>
        </w:rPr>
      </w:pPr>
      <w:r>
        <w:rPr>
          <w:sz w:val="18"/>
          <w:szCs w:val="18"/>
        </w:rPr>
        <w:t>De artikelen 2:25 en 2:26 Wft bevatten voorschriften over de verrichting van diensten door financiële instellingen waarbij verwezen wordt naar bijlage I CRD. De werkzaamheden die in de bijlage van CRD genoemd zijn, zijn uitgebreid door de verordening cryptoactiva. Met die verordening is werkzaamheid 15 (uitgifte van elektronisch geld) uitgebreid met de zinsnede “</w:t>
      </w:r>
      <w:r w:rsidRPr="003306BB">
        <w:rPr>
          <w:sz w:val="18"/>
          <w:szCs w:val="18"/>
        </w:rPr>
        <w:t xml:space="preserve">waaronder e-moneytokens zoals gedefinieerd in artikel 3, lid 1, punt 7, van </w:t>
      </w:r>
      <w:r>
        <w:rPr>
          <w:sz w:val="18"/>
          <w:szCs w:val="18"/>
        </w:rPr>
        <w:t xml:space="preserve">de verordening </w:t>
      </w:r>
      <w:r>
        <w:rPr>
          <w:sz w:val="18"/>
          <w:szCs w:val="18"/>
        </w:rPr>
        <w:lastRenderedPageBreak/>
        <w:t>cryptoactiva</w:t>
      </w:r>
      <w:r w:rsidR="00520D61">
        <w:rPr>
          <w:sz w:val="18"/>
          <w:szCs w:val="18"/>
        </w:rPr>
        <w:t>”</w:t>
      </w:r>
      <w:r>
        <w:rPr>
          <w:sz w:val="18"/>
          <w:szCs w:val="18"/>
        </w:rPr>
        <w:t>. Daarnaast zijn de diensten 16 (uitgifte van activagerelateerde tokens) en 17 (cryptoactivadiensten) toegevoegd. Omdat de definitie van financiële instelling in artikel 4, eerste lid, onderdeel 26, van de verordening kapitaalvereisten ook is aangepast zodat financiële instellingen ook de diensten 16 en 17 kunnen verlenen, moeten de artikelen 2:25, tweede lid, en 2:26 Wft aangepast worden.</w:t>
      </w:r>
    </w:p>
    <w:p w:rsidR="003306BB" w:rsidP="001E56AB" w:rsidRDefault="003306BB" w14:paraId="23089584" w14:textId="77777777">
      <w:pPr>
        <w:widowControl w:val="0"/>
        <w:spacing w:line="240" w:lineRule="atLeast"/>
        <w:rPr>
          <w:sz w:val="18"/>
          <w:szCs w:val="18"/>
        </w:rPr>
      </w:pPr>
    </w:p>
    <w:p w:rsidR="001E56AB" w:rsidP="001E56AB" w:rsidRDefault="00070306" w14:paraId="20B2184C" w14:textId="0EB09732">
      <w:pPr>
        <w:widowControl w:val="0"/>
        <w:spacing w:line="240" w:lineRule="atLeast"/>
        <w:rPr>
          <w:sz w:val="18"/>
          <w:szCs w:val="18"/>
        </w:rPr>
      </w:pPr>
      <w:r>
        <w:rPr>
          <w:sz w:val="18"/>
          <w:szCs w:val="18"/>
        </w:rPr>
        <w:t>W</w:t>
      </w:r>
      <w:r w:rsidR="00866820">
        <w:rPr>
          <w:sz w:val="18"/>
          <w:szCs w:val="18"/>
        </w:rPr>
        <w:t xml:space="preserve"> (2:62a)</w:t>
      </w:r>
      <w:r w:rsidR="00046595">
        <w:rPr>
          <w:sz w:val="18"/>
          <w:szCs w:val="18"/>
        </w:rPr>
        <w:t xml:space="preserve"> </w:t>
      </w:r>
    </w:p>
    <w:p w:rsidR="00866820" w:rsidP="001E56AB" w:rsidRDefault="00866820" w14:paraId="3AF5206B" w14:textId="77777777">
      <w:pPr>
        <w:widowControl w:val="0"/>
        <w:spacing w:line="240" w:lineRule="atLeast"/>
        <w:rPr>
          <w:sz w:val="18"/>
          <w:szCs w:val="18"/>
        </w:rPr>
      </w:pPr>
    </w:p>
    <w:p w:rsidRPr="00046595" w:rsidR="00866820" w:rsidP="001E56AB" w:rsidRDefault="00866820" w14:paraId="6D8A077B" w14:textId="3AAB8F15">
      <w:pPr>
        <w:widowControl w:val="0"/>
        <w:spacing w:line="240" w:lineRule="atLeast"/>
        <w:rPr>
          <w:sz w:val="18"/>
          <w:szCs w:val="18"/>
        </w:rPr>
      </w:pPr>
      <w:r>
        <w:rPr>
          <w:sz w:val="18"/>
          <w:szCs w:val="18"/>
        </w:rPr>
        <w:t>Artikel 2:60</w:t>
      </w:r>
      <w:r w:rsidR="00BF6713">
        <w:rPr>
          <w:sz w:val="18"/>
          <w:szCs w:val="18"/>
        </w:rPr>
        <w:t xml:space="preserve"> Wft</w:t>
      </w:r>
      <w:r>
        <w:rPr>
          <w:sz w:val="18"/>
          <w:szCs w:val="18"/>
        </w:rPr>
        <w:t xml:space="preserve"> bevat het verbod om zonder daartoe strekkende vergunning krediet aan te bieden in Nederland. De artikelen 2:61 en 2:62 </w:t>
      </w:r>
      <w:r w:rsidR="00BF6713">
        <w:rPr>
          <w:sz w:val="18"/>
          <w:szCs w:val="18"/>
        </w:rPr>
        <w:t xml:space="preserve">Wft </w:t>
      </w:r>
      <w:r>
        <w:rPr>
          <w:sz w:val="18"/>
          <w:szCs w:val="18"/>
        </w:rPr>
        <w:t>bevatten uitzonderingen op dat verbod voor ondernemingen die op basis van hun vergunning (als bijv</w:t>
      </w:r>
      <w:r w:rsidR="00C9706C">
        <w:rPr>
          <w:sz w:val="18"/>
          <w:szCs w:val="18"/>
        </w:rPr>
        <w:t>oorbeeld</w:t>
      </w:r>
      <w:r>
        <w:rPr>
          <w:sz w:val="18"/>
          <w:szCs w:val="18"/>
        </w:rPr>
        <w:t xml:space="preserve"> bank of verzekeraar) krediet mogen aanbieden zonder dat zij een specifieke vergunning op grond van artikel 2:60 </w:t>
      </w:r>
      <w:r w:rsidR="00BF6713">
        <w:rPr>
          <w:sz w:val="18"/>
          <w:szCs w:val="18"/>
        </w:rPr>
        <w:t xml:space="preserve">Wft </w:t>
      </w:r>
      <w:r>
        <w:rPr>
          <w:sz w:val="18"/>
          <w:szCs w:val="18"/>
        </w:rPr>
        <w:t xml:space="preserve">nodig hebben. Kredietverlening </w:t>
      </w:r>
      <w:r w:rsidR="00BF6713">
        <w:rPr>
          <w:sz w:val="18"/>
          <w:szCs w:val="18"/>
        </w:rPr>
        <w:t xml:space="preserve">valt onder het verstrekken van leningen </w:t>
      </w:r>
      <w:r>
        <w:rPr>
          <w:sz w:val="18"/>
          <w:szCs w:val="18"/>
        </w:rPr>
        <w:t xml:space="preserve">zoals bedoeld in </w:t>
      </w:r>
      <w:r w:rsidR="00C9706C">
        <w:rPr>
          <w:sz w:val="18"/>
          <w:szCs w:val="18"/>
        </w:rPr>
        <w:t>b</w:t>
      </w:r>
      <w:r>
        <w:rPr>
          <w:sz w:val="18"/>
          <w:szCs w:val="18"/>
        </w:rPr>
        <w:t xml:space="preserve">ijlage I, onderdeel 2, </w:t>
      </w:r>
      <w:r w:rsidR="009A3FBB">
        <w:rPr>
          <w:sz w:val="18"/>
          <w:szCs w:val="18"/>
        </w:rPr>
        <w:t>CRD</w:t>
      </w:r>
      <w:r>
        <w:rPr>
          <w:sz w:val="18"/>
          <w:szCs w:val="18"/>
        </w:rPr>
        <w:t xml:space="preserve">. Als een </w:t>
      </w:r>
      <w:r w:rsidR="001C0C28">
        <w:rPr>
          <w:sz w:val="18"/>
          <w:szCs w:val="18"/>
        </w:rPr>
        <w:t>derde land</w:t>
      </w:r>
      <w:r>
        <w:rPr>
          <w:sz w:val="18"/>
          <w:szCs w:val="18"/>
        </w:rPr>
        <w:t xml:space="preserve"> bijkantoor een vergunning als bedoeld in artikel 2:20, eerste lid, Wft verkrijgt, zou het </w:t>
      </w:r>
      <w:r w:rsidR="001C0C28">
        <w:rPr>
          <w:sz w:val="18"/>
          <w:szCs w:val="18"/>
        </w:rPr>
        <w:t>derde land</w:t>
      </w:r>
      <w:r>
        <w:rPr>
          <w:sz w:val="18"/>
          <w:szCs w:val="18"/>
        </w:rPr>
        <w:t xml:space="preserve"> bijkantoor daarmee ook uitgezonderd moeten zijn van het verbod als bedoeld in artikel 2:60, eerste lid, Wft. Door</w:t>
      </w:r>
      <w:r w:rsidR="00C9706C">
        <w:rPr>
          <w:sz w:val="18"/>
          <w:szCs w:val="18"/>
        </w:rPr>
        <w:t xml:space="preserve"> de</w:t>
      </w:r>
      <w:r>
        <w:rPr>
          <w:sz w:val="18"/>
          <w:szCs w:val="18"/>
        </w:rPr>
        <w:t xml:space="preserve"> toevoeging van artikel 2:62a </w:t>
      </w:r>
      <w:r w:rsidR="00BF6713">
        <w:rPr>
          <w:sz w:val="18"/>
          <w:szCs w:val="18"/>
        </w:rPr>
        <w:t xml:space="preserve">Wft </w:t>
      </w:r>
      <w:r>
        <w:rPr>
          <w:sz w:val="18"/>
          <w:szCs w:val="18"/>
        </w:rPr>
        <w:t xml:space="preserve">wordt dit mogelijk gemaakt. Artikel 2:62a Wft zondert </w:t>
      </w:r>
      <w:r w:rsidR="00FF0FD3">
        <w:rPr>
          <w:sz w:val="18"/>
          <w:szCs w:val="18"/>
        </w:rPr>
        <w:t>klasse 1-bijkantoren en klasse 2-bijkantoren</w:t>
      </w:r>
      <w:r>
        <w:rPr>
          <w:sz w:val="18"/>
          <w:szCs w:val="18"/>
        </w:rPr>
        <w:t xml:space="preserve"> uit van het verbod in artikel 2:60, eerste lid, Wft</w:t>
      </w:r>
      <w:r w:rsidR="000A2674">
        <w:rPr>
          <w:sz w:val="18"/>
          <w:szCs w:val="18"/>
        </w:rPr>
        <w:t>,</w:t>
      </w:r>
      <w:r>
        <w:rPr>
          <w:sz w:val="18"/>
          <w:szCs w:val="18"/>
        </w:rPr>
        <w:t xml:space="preserve"> indien de vergunning van het </w:t>
      </w:r>
      <w:r w:rsidR="001C0C28">
        <w:rPr>
          <w:sz w:val="18"/>
          <w:szCs w:val="18"/>
        </w:rPr>
        <w:t>derde land</w:t>
      </w:r>
      <w:r>
        <w:rPr>
          <w:sz w:val="18"/>
          <w:szCs w:val="18"/>
        </w:rPr>
        <w:t xml:space="preserve"> bijkantoor het toestaat om de dienst 2 (</w:t>
      </w:r>
      <w:r w:rsidR="00BF6713">
        <w:rPr>
          <w:sz w:val="18"/>
          <w:szCs w:val="18"/>
        </w:rPr>
        <w:t>leningen verstrekken</w:t>
      </w:r>
      <w:r>
        <w:rPr>
          <w:sz w:val="18"/>
          <w:szCs w:val="18"/>
        </w:rPr>
        <w:t>) te</w:t>
      </w:r>
      <w:r w:rsidR="00BF6713">
        <w:rPr>
          <w:sz w:val="18"/>
          <w:szCs w:val="18"/>
        </w:rPr>
        <w:t xml:space="preserve"> verlenen</w:t>
      </w:r>
      <w:r>
        <w:rPr>
          <w:sz w:val="18"/>
          <w:szCs w:val="18"/>
        </w:rPr>
        <w:t>.</w:t>
      </w:r>
    </w:p>
    <w:p w:rsidR="00195570" w:rsidP="001E56AB" w:rsidRDefault="00195570" w14:paraId="53359A1A" w14:textId="77777777">
      <w:pPr>
        <w:widowControl w:val="0"/>
        <w:spacing w:line="240" w:lineRule="atLeast"/>
        <w:rPr>
          <w:sz w:val="18"/>
          <w:szCs w:val="18"/>
        </w:rPr>
      </w:pPr>
    </w:p>
    <w:p w:rsidRPr="00A6284F" w:rsidR="001E56AB" w:rsidP="001E56AB" w:rsidRDefault="00070306" w14:paraId="6B5AD228" w14:textId="4540C4E8">
      <w:pPr>
        <w:widowControl w:val="0"/>
        <w:spacing w:line="240" w:lineRule="atLeast"/>
        <w:rPr>
          <w:sz w:val="18"/>
          <w:szCs w:val="18"/>
        </w:rPr>
      </w:pPr>
      <w:r>
        <w:rPr>
          <w:sz w:val="18"/>
          <w:szCs w:val="18"/>
        </w:rPr>
        <w:t>X</w:t>
      </w:r>
      <w:r w:rsidR="00B14A85">
        <w:rPr>
          <w:sz w:val="18"/>
          <w:szCs w:val="18"/>
        </w:rPr>
        <w:t xml:space="preserve"> </w:t>
      </w:r>
      <w:r w:rsidRPr="00A6284F" w:rsidR="001E56AB">
        <w:rPr>
          <w:sz w:val="18"/>
          <w:szCs w:val="18"/>
        </w:rPr>
        <w:t>(3:5)</w:t>
      </w:r>
    </w:p>
    <w:p w:rsidRPr="00A6284F" w:rsidR="001E56AB" w:rsidP="001E56AB" w:rsidRDefault="001E56AB" w14:paraId="163D2B5D" w14:textId="77777777">
      <w:pPr>
        <w:widowControl w:val="0"/>
        <w:spacing w:line="240" w:lineRule="atLeast"/>
        <w:rPr>
          <w:sz w:val="18"/>
          <w:szCs w:val="18"/>
        </w:rPr>
      </w:pPr>
    </w:p>
    <w:p w:rsidR="00D20534" w:rsidP="001E56AB" w:rsidRDefault="007557AE" w14:paraId="22E38C3D" w14:textId="11290AD7">
      <w:pPr>
        <w:widowControl w:val="0"/>
        <w:spacing w:line="240" w:lineRule="atLeast"/>
        <w:rPr>
          <w:sz w:val="18"/>
          <w:szCs w:val="18"/>
        </w:rPr>
      </w:pPr>
      <w:r w:rsidRPr="00A6284F">
        <w:rPr>
          <w:sz w:val="18"/>
          <w:szCs w:val="18"/>
        </w:rPr>
        <w:t>Artikel 3:5</w:t>
      </w:r>
      <w:r w:rsidR="007F1DC4">
        <w:rPr>
          <w:sz w:val="18"/>
          <w:szCs w:val="18"/>
        </w:rPr>
        <w:t>, eerste lid,</w:t>
      </w:r>
      <w:r w:rsidRPr="00A6284F">
        <w:rPr>
          <w:sz w:val="18"/>
          <w:szCs w:val="18"/>
        </w:rPr>
        <w:t xml:space="preserve"> Wft bevat het</w:t>
      </w:r>
      <w:r>
        <w:rPr>
          <w:sz w:val="18"/>
          <w:szCs w:val="18"/>
        </w:rPr>
        <w:t xml:space="preserve"> verbod om </w:t>
      </w:r>
      <w:r w:rsidRPr="007557AE">
        <w:rPr>
          <w:sz w:val="18"/>
          <w:szCs w:val="18"/>
        </w:rPr>
        <w:t>in Nederland in de uitoefening van een bedrijf van het publiek opvorderbare gelden aan te trekken, ter beschikking te verkrijgen of ter beschikking te hebben.</w:t>
      </w:r>
      <w:r w:rsidR="009E43A1">
        <w:rPr>
          <w:sz w:val="18"/>
          <w:szCs w:val="18"/>
        </w:rPr>
        <w:t xml:space="preserve"> </w:t>
      </w:r>
      <w:r w:rsidR="00D20534">
        <w:rPr>
          <w:sz w:val="18"/>
          <w:szCs w:val="18"/>
        </w:rPr>
        <w:t xml:space="preserve">Ter implementatie van de artikelen 21 quater en 47 CRD wordt een tweede zin opgenomen om duidelijk te maken dat </w:t>
      </w:r>
      <w:r w:rsidR="00AE4D9A">
        <w:rPr>
          <w:sz w:val="18"/>
          <w:szCs w:val="18"/>
        </w:rPr>
        <w:t>het aantrekken</w:t>
      </w:r>
      <w:r w:rsidR="00D20534">
        <w:rPr>
          <w:sz w:val="18"/>
          <w:szCs w:val="18"/>
        </w:rPr>
        <w:t xml:space="preserve"> van opvorderbare gelden </w:t>
      </w:r>
      <w:r w:rsidR="00AE4D9A">
        <w:rPr>
          <w:sz w:val="18"/>
          <w:szCs w:val="18"/>
        </w:rPr>
        <w:t>ook breder dan van het publiek</w:t>
      </w:r>
      <w:r w:rsidR="00D20534">
        <w:rPr>
          <w:sz w:val="18"/>
          <w:szCs w:val="18"/>
        </w:rPr>
        <w:t xml:space="preserve"> niet is toegestaan voor ondernemingen uit staten die geen lidstaat zijn, behoudens de uitzonderingen in artikel 3:5, tweede lid, Wft. </w:t>
      </w:r>
    </w:p>
    <w:p w:rsidR="00D20534" w:rsidP="001E56AB" w:rsidRDefault="00D20534" w14:paraId="604720D1" w14:textId="77777777">
      <w:pPr>
        <w:widowControl w:val="0"/>
        <w:spacing w:line="240" w:lineRule="atLeast"/>
        <w:rPr>
          <w:sz w:val="18"/>
          <w:szCs w:val="18"/>
        </w:rPr>
      </w:pPr>
    </w:p>
    <w:p w:rsidR="007557AE" w:rsidP="001E56AB" w:rsidRDefault="007F1DC4" w14:paraId="4CE468E9" w14:textId="689046C3">
      <w:pPr>
        <w:widowControl w:val="0"/>
        <w:spacing w:line="240" w:lineRule="atLeast"/>
        <w:rPr>
          <w:sz w:val="18"/>
          <w:szCs w:val="18"/>
        </w:rPr>
      </w:pPr>
      <w:r>
        <w:rPr>
          <w:sz w:val="18"/>
          <w:szCs w:val="18"/>
        </w:rPr>
        <w:t>Het huidige artikel 3:5, tweede lid, onderdeel a, Wft schrijft voor dat het eerste lid</w:t>
      </w:r>
      <w:r w:rsidR="007557AE">
        <w:rPr>
          <w:sz w:val="18"/>
          <w:szCs w:val="18"/>
        </w:rPr>
        <w:t xml:space="preserve"> is niet van toepassing op banken die een vergunning hebben als bedoeld in artikel 2:11, eerste lid, of 2:20</w:t>
      </w:r>
      <w:r w:rsidR="00C54FBA">
        <w:rPr>
          <w:sz w:val="18"/>
          <w:szCs w:val="18"/>
        </w:rPr>
        <w:t xml:space="preserve"> Wft</w:t>
      </w:r>
      <w:r w:rsidR="007557AE">
        <w:rPr>
          <w:sz w:val="18"/>
          <w:szCs w:val="18"/>
        </w:rPr>
        <w:t xml:space="preserve">. Vanwege de aanpassingen </w:t>
      </w:r>
      <w:r>
        <w:rPr>
          <w:sz w:val="18"/>
          <w:szCs w:val="18"/>
        </w:rPr>
        <w:t xml:space="preserve">aan de vergunningverlening voor </w:t>
      </w:r>
      <w:r w:rsidR="001C0C28">
        <w:rPr>
          <w:sz w:val="18"/>
          <w:szCs w:val="18"/>
        </w:rPr>
        <w:t>derde land</w:t>
      </w:r>
      <w:r>
        <w:rPr>
          <w:sz w:val="18"/>
          <w:szCs w:val="18"/>
        </w:rPr>
        <w:t xml:space="preserve"> bijkantoren</w:t>
      </w:r>
      <w:r w:rsidR="007557AE">
        <w:rPr>
          <w:sz w:val="18"/>
          <w:szCs w:val="18"/>
        </w:rPr>
        <w:t xml:space="preserve"> wordt het tweede lid aangepast.</w:t>
      </w:r>
      <w:r w:rsidR="00BF6713">
        <w:rPr>
          <w:sz w:val="18"/>
          <w:szCs w:val="18"/>
        </w:rPr>
        <w:t xml:space="preserve"> </w:t>
      </w:r>
      <w:r w:rsidR="007557AE">
        <w:rPr>
          <w:sz w:val="18"/>
          <w:szCs w:val="18"/>
        </w:rPr>
        <w:t>In onderdeel a vervalt “of 2:20”. Het is niet meer het geval dat alleen banken</w:t>
      </w:r>
      <w:r w:rsidR="001C0C28">
        <w:rPr>
          <w:sz w:val="18"/>
          <w:szCs w:val="18"/>
        </w:rPr>
        <w:t xml:space="preserve"> uit staten die geen lidstaat zijn</w:t>
      </w:r>
      <w:r w:rsidR="007557AE">
        <w:rPr>
          <w:sz w:val="18"/>
          <w:szCs w:val="18"/>
        </w:rPr>
        <w:t xml:space="preserve"> een </w:t>
      </w:r>
      <w:r w:rsidR="001C0C28">
        <w:rPr>
          <w:sz w:val="18"/>
          <w:szCs w:val="18"/>
        </w:rPr>
        <w:t xml:space="preserve">derde land </w:t>
      </w:r>
      <w:r w:rsidR="007557AE">
        <w:rPr>
          <w:sz w:val="18"/>
          <w:szCs w:val="18"/>
        </w:rPr>
        <w:t>bijkantoor met een vergunning als bedoeld in artikel 2:20, eerste lid, Wft kunnen vestigen</w:t>
      </w:r>
      <w:r w:rsidR="00C65BCF">
        <w:rPr>
          <w:sz w:val="18"/>
          <w:szCs w:val="18"/>
        </w:rPr>
        <w:t>.</w:t>
      </w:r>
      <w:r w:rsidR="007557AE">
        <w:rPr>
          <w:sz w:val="18"/>
          <w:szCs w:val="18"/>
        </w:rPr>
        <w:t xml:space="preserve"> Daarom wordt er onder verlettering</w:t>
      </w:r>
      <w:r>
        <w:rPr>
          <w:sz w:val="18"/>
          <w:szCs w:val="18"/>
        </w:rPr>
        <w:t xml:space="preserve"> van de onderdelen c tot en met </w:t>
      </w:r>
      <w:r w:rsidR="0079731A">
        <w:rPr>
          <w:sz w:val="18"/>
          <w:szCs w:val="18"/>
        </w:rPr>
        <w:t>f</w:t>
      </w:r>
      <w:r w:rsidR="007557AE">
        <w:rPr>
          <w:sz w:val="18"/>
          <w:szCs w:val="18"/>
        </w:rPr>
        <w:t xml:space="preserve"> </w:t>
      </w:r>
      <w:r w:rsidR="0079731A">
        <w:rPr>
          <w:sz w:val="18"/>
          <w:szCs w:val="18"/>
        </w:rPr>
        <w:t>tot e tot en met h tw</w:t>
      </w:r>
      <w:r w:rsidR="007557AE">
        <w:rPr>
          <w:sz w:val="18"/>
          <w:szCs w:val="18"/>
        </w:rPr>
        <w:t>ee nieuw</w:t>
      </w:r>
      <w:r w:rsidR="0079731A">
        <w:rPr>
          <w:sz w:val="18"/>
          <w:szCs w:val="18"/>
        </w:rPr>
        <w:t>e</w:t>
      </w:r>
      <w:r w:rsidR="007557AE">
        <w:rPr>
          <w:sz w:val="18"/>
          <w:szCs w:val="18"/>
        </w:rPr>
        <w:t xml:space="preserve"> onderdel</w:t>
      </w:r>
      <w:r w:rsidR="0079731A">
        <w:rPr>
          <w:sz w:val="18"/>
          <w:szCs w:val="18"/>
        </w:rPr>
        <w:t>en</w:t>
      </w:r>
      <w:r w:rsidR="007557AE">
        <w:rPr>
          <w:sz w:val="18"/>
          <w:szCs w:val="18"/>
        </w:rPr>
        <w:t xml:space="preserve"> ingevoegd</w:t>
      </w:r>
      <w:r w:rsidR="0079731A">
        <w:rPr>
          <w:sz w:val="18"/>
          <w:szCs w:val="18"/>
        </w:rPr>
        <w:t xml:space="preserve">. In het nieuwe onderdeel c </w:t>
      </w:r>
      <w:r w:rsidR="007557AE">
        <w:rPr>
          <w:sz w:val="18"/>
          <w:szCs w:val="18"/>
        </w:rPr>
        <w:t xml:space="preserve">is opgenomen dat </w:t>
      </w:r>
      <w:r w:rsidR="00FF0FD3">
        <w:rPr>
          <w:sz w:val="18"/>
          <w:szCs w:val="18"/>
        </w:rPr>
        <w:t>klasse 1-bijkantoren en klasse 2-bijkantoren</w:t>
      </w:r>
      <w:r w:rsidR="00C54FBA">
        <w:rPr>
          <w:sz w:val="18"/>
          <w:szCs w:val="18"/>
        </w:rPr>
        <w:t xml:space="preserve"> </w:t>
      </w:r>
      <w:r w:rsidR="007557AE">
        <w:rPr>
          <w:sz w:val="18"/>
          <w:szCs w:val="18"/>
        </w:rPr>
        <w:t xml:space="preserve">ook uitgezonderd zijn van het verbod van </w:t>
      </w:r>
      <w:r w:rsidR="00C54FBA">
        <w:rPr>
          <w:sz w:val="18"/>
          <w:szCs w:val="18"/>
        </w:rPr>
        <w:t xml:space="preserve">artikel </w:t>
      </w:r>
      <w:r w:rsidR="007557AE">
        <w:rPr>
          <w:sz w:val="18"/>
          <w:szCs w:val="18"/>
        </w:rPr>
        <w:t>3:5</w:t>
      </w:r>
      <w:r w:rsidR="00C54FBA">
        <w:rPr>
          <w:sz w:val="18"/>
          <w:szCs w:val="18"/>
        </w:rPr>
        <w:t xml:space="preserve"> Wft</w:t>
      </w:r>
      <w:r w:rsidR="007557AE">
        <w:rPr>
          <w:sz w:val="18"/>
          <w:szCs w:val="18"/>
        </w:rPr>
        <w:t>. Dit is wel alleen maar het geval als de vergunning vermeld</w:t>
      </w:r>
      <w:r w:rsidR="00520D61">
        <w:rPr>
          <w:sz w:val="18"/>
          <w:szCs w:val="18"/>
        </w:rPr>
        <w:t>t</w:t>
      </w:r>
      <w:r w:rsidR="007557AE">
        <w:rPr>
          <w:sz w:val="18"/>
          <w:szCs w:val="18"/>
        </w:rPr>
        <w:t xml:space="preserve"> dat het </w:t>
      </w:r>
      <w:r w:rsidR="001C0C28">
        <w:rPr>
          <w:sz w:val="18"/>
          <w:szCs w:val="18"/>
        </w:rPr>
        <w:t>derde land</w:t>
      </w:r>
      <w:r w:rsidR="007557AE">
        <w:rPr>
          <w:sz w:val="18"/>
          <w:szCs w:val="18"/>
        </w:rPr>
        <w:t xml:space="preserve"> bijkantoor de dienst 1 zoals beschreven in bijlage I, onder 1, CRD mag verrichten. Het kan namelijk het geval zijn da</w:t>
      </w:r>
      <w:r w:rsidR="000A2674">
        <w:rPr>
          <w:sz w:val="18"/>
          <w:szCs w:val="18"/>
        </w:rPr>
        <w:t>t</w:t>
      </w:r>
      <w:r w:rsidR="007557AE">
        <w:rPr>
          <w:sz w:val="18"/>
          <w:szCs w:val="18"/>
        </w:rPr>
        <w:t xml:space="preserve"> een vergunning voor een </w:t>
      </w:r>
      <w:r w:rsidR="001C0C28">
        <w:rPr>
          <w:sz w:val="18"/>
          <w:szCs w:val="18"/>
        </w:rPr>
        <w:t>derde land</w:t>
      </w:r>
      <w:r w:rsidR="007557AE">
        <w:rPr>
          <w:sz w:val="18"/>
          <w:szCs w:val="18"/>
        </w:rPr>
        <w:t xml:space="preserve"> bijkantoor als bedoeld in artikel 2:20, eerste lid, </w:t>
      </w:r>
      <w:r w:rsidR="00C54FBA">
        <w:rPr>
          <w:sz w:val="18"/>
          <w:szCs w:val="18"/>
        </w:rPr>
        <w:t xml:space="preserve">Wft </w:t>
      </w:r>
      <w:r w:rsidR="007557AE">
        <w:rPr>
          <w:sz w:val="18"/>
          <w:szCs w:val="18"/>
        </w:rPr>
        <w:t xml:space="preserve">wordt verleend als er vanuit dat bijkantoor alleen de diensten 2 </w:t>
      </w:r>
      <w:r w:rsidR="00047733">
        <w:rPr>
          <w:sz w:val="18"/>
          <w:szCs w:val="18"/>
        </w:rPr>
        <w:t>of</w:t>
      </w:r>
      <w:r w:rsidR="007557AE">
        <w:rPr>
          <w:sz w:val="18"/>
          <w:szCs w:val="18"/>
        </w:rPr>
        <w:t xml:space="preserve"> 6 uit bijlage I CRD verricht gaan worden. Dergelijke bijkantoren mogen dan niet opvorderbare gelden aantrekken in Nederland en moeten in dat geval geen uitzondering hebben op het verbod van 3:5 Wft.</w:t>
      </w:r>
    </w:p>
    <w:p w:rsidR="007F1DC4" w:rsidP="001E56AB" w:rsidRDefault="007F1DC4" w14:paraId="06244BF4" w14:textId="77777777">
      <w:pPr>
        <w:widowControl w:val="0"/>
        <w:spacing w:line="240" w:lineRule="atLeast"/>
        <w:rPr>
          <w:sz w:val="18"/>
          <w:szCs w:val="18"/>
        </w:rPr>
      </w:pPr>
    </w:p>
    <w:p w:rsidR="007F1DC4" w:rsidP="001E56AB" w:rsidRDefault="006946E3" w14:paraId="6E89B94A" w14:textId="256983B9">
      <w:pPr>
        <w:widowControl w:val="0"/>
        <w:spacing w:line="240" w:lineRule="atLeast"/>
        <w:rPr>
          <w:sz w:val="18"/>
          <w:szCs w:val="18"/>
        </w:rPr>
      </w:pPr>
      <w:r>
        <w:rPr>
          <w:sz w:val="18"/>
          <w:szCs w:val="18"/>
        </w:rPr>
        <w:t>Het nieuwe onderdeel d is toegevoegd om een uitzondering te creëren voor ondernemingen uit een staat die geen lidstaat is en</w:t>
      </w:r>
      <w:r w:rsidR="00520D61">
        <w:rPr>
          <w:sz w:val="18"/>
          <w:szCs w:val="18"/>
        </w:rPr>
        <w:t xml:space="preserve"> die</w:t>
      </w:r>
      <w:r>
        <w:rPr>
          <w:sz w:val="18"/>
          <w:szCs w:val="18"/>
        </w:rPr>
        <w:t xml:space="preserve"> wel opvorderbare gelden aantrek</w:t>
      </w:r>
      <w:r w:rsidR="00520D61">
        <w:rPr>
          <w:sz w:val="18"/>
          <w:szCs w:val="18"/>
        </w:rPr>
        <w:t>ken</w:t>
      </w:r>
      <w:r>
        <w:rPr>
          <w:sz w:val="18"/>
          <w:szCs w:val="18"/>
        </w:rPr>
        <w:t xml:space="preserve"> van Nederlandse partijen</w:t>
      </w:r>
      <w:r w:rsidR="00520D61">
        <w:rPr>
          <w:sz w:val="18"/>
          <w:szCs w:val="18"/>
        </w:rPr>
        <w:t xml:space="preserve">, maar die onder </w:t>
      </w:r>
      <w:r>
        <w:rPr>
          <w:sz w:val="18"/>
          <w:szCs w:val="18"/>
        </w:rPr>
        <w:t>een van de uitzonderingen</w:t>
      </w:r>
      <w:r w:rsidR="00520D61">
        <w:rPr>
          <w:sz w:val="18"/>
          <w:szCs w:val="18"/>
        </w:rPr>
        <w:t xml:space="preserve"> vallen die zijn</w:t>
      </w:r>
      <w:r>
        <w:rPr>
          <w:sz w:val="18"/>
          <w:szCs w:val="18"/>
        </w:rPr>
        <w:t xml:space="preserve"> genoemd in artikel 21 quater, tweede en derde of vierde lid, </w:t>
      </w:r>
      <w:r>
        <w:rPr>
          <w:sz w:val="18"/>
          <w:szCs w:val="18"/>
        </w:rPr>
        <w:lastRenderedPageBreak/>
        <w:t xml:space="preserve">CRD. </w:t>
      </w:r>
      <w:r w:rsidR="00825D8C">
        <w:rPr>
          <w:sz w:val="18"/>
          <w:szCs w:val="18"/>
        </w:rPr>
        <w:t>Zie voor een toelichting op deze uitzonderingen de artikelsgewijze toelichting bij onderdeel S.</w:t>
      </w:r>
    </w:p>
    <w:p w:rsidR="007557AE" w:rsidP="001E56AB" w:rsidRDefault="007557AE" w14:paraId="4652AF3A" w14:textId="77777777">
      <w:pPr>
        <w:widowControl w:val="0"/>
        <w:spacing w:line="240" w:lineRule="atLeast"/>
        <w:rPr>
          <w:sz w:val="18"/>
          <w:szCs w:val="18"/>
        </w:rPr>
      </w:pPr>
    </w:p>
    <w:p w:rsidR="006946E3" w:rsidP="001E56AB" w:rsidRDefault="00070306" w14:paraId="708D4468" w14:textId="28A5F640">
      <w:pPr>
        <w:widowControl w:val="0"/>
        <w:spacing w:line="240" w:lineRule="atLeast"/>
        <w:rPr>
          <w:sz w:val="18"/>
          <w:szCs w:val="18"/>
        </w:rPr>
      </w:pPr>
      <w:r>
        <w:rPr>
          <w:sz w:val="18"/>
          <w:szCs w:val="18"/>
        </w:rPr>
        <w:t>Y</w:t>
      </w:r>
      <w:r w:rsidR="006946E3">
        <w:rPr>
          <w:sz w:val="18"/>
          <w:szCs w:val="18"/>
        </w:rPr>
        <w:t xml:space="preserve"> (3:7)</w:t>
      </w:r>
    </w:p>
    <w:p w:rsidR="006946E3" w:rsidP="001E56AB" w:rsidRDefault="006946E3" w14:paraId="15D0C064" w14:textId="77777777">
      <w:pPr>
        <w:widowControl w:val="0"/>
        <w:spacing w:line="240" w:lineRule="atLeast"/>
        <w:rPr>
          <w:sz w:val="18"/>
          <w:szCs w:val="18"/>
        </w:rPr>
      </w:pPr>
    </w:p>
    <w:p w:rsidR="006946E3" w:rsidP="001E56AB" w:rsidRDefault="006946E3" w14:paraId="6CDF7AB7" w14:textId="2A4AAB4C">
      <w:pPr>
        <w:widowControl w:val="0"/>
        <w:spacing w:line="240" w:lineRule="atLeast"/>
        <w:rPr>
          <w:sz w:val="18"/>
          <w:szCs w:val="18"/>
        </w:rPr>
      </w:pPr>
      <w:r>
        <w:rPr>
          <w:sz w:val="18"/>
          <w:szCs w:val="18"/>
        </w:rPr>
        <w:t>Artikel 3:7 bevat het verbod op het gebruik van het woord ‘bank’ in de naam van een onderneming. Aan het tweede lid van dat artikel wordt een onderdeel toegevoegd, zodat klasse 1-bijkantoren en klasse 2-bijkantoren wel de naam ‘bank’ mogen voeren.</w:t>
      </w:r>
    </w:p>
    <w:p w:rsidR="006946E3" w:rsidP="001E56AB" w:rsidRDefault="006946E3" w14:paraId="1DD4C26E" w14:textId="6B6716B8">
      <w:pPr>
        <w:widowControl w:val="0"/>
        <w:spacing w:line="240" w:lineRule="atLeast"/>
        <w:rPr>
          <w:sz w:val="18"/>
          <w:szCs w:val="18"/>
        </w:rPr>
      </w:pPr>
      <w:r>
        <w:rPr>
          <w:sz w:val="18"/>
          <w:szCs w:val="18"/>
        </w:rPr>
        <w:t xml:space="preserve"> </w:t>
      </w:r>
    </w:p>
    <w:p w:rsidR="00B8351E" w:rsidP="001E56AB" w:rsidRDefault="00070306" w14:paraId="7CDF4106" w14:textId="48525DFA">
      <w:pPr>
        <w:widowControl w:val="0"/>
        <w:spacing w:line="240" w:lineRule="atLeast"/>
        <w:rPr>
          <w:sz w:val="18"/>
          <w:szCs w:val="18"/>
        </w:rPr>
      </w:pPr>
      <w:bookmarkStart w:name="_Hlk213251201" w:id="8"/>
      <w:r>
        <w:rPr>
          <w:sz w:val="18"/>
          <w:szCs w:val="18"/>
        </w:rPr>
        <w:t xml:space="preserve">Z, </w:t>
      </w:r>
      <w:r w:rsidR="006946E3">
        <w:rPr>
          <w:sz w:val="18"/>
          <w:szCs w:val="18"/>
        </w:rPr>
        <w:t>AA</w:t>
      </w:r>
      <w:r>
        <w:rPr>
          <w:sz w:val="18"/>
          <w:szCs w:val="18"/>
        </w:rPr>
        <w:t xml:space="preserve"> en</w:t>
      </w:r>
      <w:r w:rsidR="006946E3">
        <w:rPr>
          <w:sz w:val="18"/>
          <w:szCs w:val="18"/>
        </w:rPr>
        <w:t xml:space="preserve"> </w:t>
      </w:r>
      <w:r w:rsidR="003306BB">
        <w:rPr>
          <w:sz w:val="18"/>
          <w:szCs w:val="18"/>
        </w:rPr>
        <w:t>BB</w:t>
      </w:r>
      <w:r w:rsidR="007D2915">
        <w:rPr>
          <w:sz w:val="18"/>
          <w:szCs w:val="18"/>
        </w:rPr>
        <w:t xml:space="preserve"> </w:t>
      </w:r>
      <w:r w:rsidR="00B8351E">
        <w:rPr>
          <w:sz w:val="18"/>
          <w:szCs w:val="18"/>
        </w:rPr>
        <w:t>(3:8</w:t>
      </w:r>
      <w:r w:rsidR="007D2915">
        <w:rPr>
          <w:sz w:val="18"/>
          <w:szCs w:val="18"/>
        </w:rPr>
        <w:t>, 3:9 en 3:9b</w:t>
      </w:r>
      <w:r w:rsidR="00B8351E">
        <w:rPr>
          <w:sz w:val="18"/>
          <w:szCs w:val="18"/>
        </w:rPr>
        <w:t>)</w:t>
      </w:r>
    </w:p>
    <w:p w:rsidR="00B8351E" w:rsidP="001E56AB" w:rsidRDefault="00B8351E" w14:paraId="35A3BB12" w14:textId="77777777">
      <w:pPr>
        <w:widowControl w:val="0"/>
        <w:spacing w:line="240" w:lineRule="atLeast"/>
        <w:rPr>
          <w:sz w:val="18"/>
          <w:szCs w:val="18"/>
        </w:rPr>
      </w:pPr>
    </w:p>
    <w:p w:rsidR="00B8351E" w:rsidP="001E56AB" w:rsidRDefault="00B8351E" w14:paraId="420F0AF2" w14:textId="12298EC9">
      <w:pPr>
        <w:widowControl w:val="0"/>
        <w:spacing w:line="240" w:lineRule="atLeast"/>
        <w:rPr>
          <w:sz w:val="18"/>
          <w:szCs w:val="18"/>
        </w:rPr>
      </w:pPr>
      <w:bookmarkStart w:name="_Hlk207290654" w:id="9"/>
      <w:r w:rsidRPr="00B8351E">
        <w:rPr>
          <w:sz w:val="18"/>
          <w:szCs w:val="18"/>
        </w:rPr>
        <w:t>Met de introductie van artikel 91 bis CRD word</w:t>
      </w:r>
      <w:r w:rsidR="00C54FBA">
        <w:rPr>
          <w:sz w:val="18"/>
          <w:szCs w:val="18"/>
        </w:rPr>
        <w:t>t</w:t>
      </w:r>
      <w:r w:rsidRPr="00B8351E">
        <w:rPr>
          <w:sz w:val="18"/>
          <w:szCs w:val="18"/>
        </w:rPr>
        <w:t xml:space="preserve"> een nieuwe bepaling t.a.v. de geschiktheid- en betrouwbaarheidseis geïntroduceerd voor “medewerkers met een sleutelfunctie” van banken</w:t>
      </w:r>
      <w:r w:rsidR="00FF0FD3">
        <w:rPr>
          <w:sz w:val="18"/>
          <w:szCs w:val="18"/>
        </w:rPr>
        <w:t xml:space="preserve"> (zie artikel 4:10a </w:t>
      </w:r>
      <w:r w:rsidR="00BF6713">
        <w:rPr>
          <w:sz w:val="18"/>
          <w:szCs w:val="18"/>
        </w:rPr>
        <w:t xml:space="preserve">Wft </w:t>
      </w:r>
      <w:r w:rsidR="00FF0FD3">
        <w:rPr>
          <w:sz w:val="18"/>
          <w:szCs w:val="18"/>
        </w:rPr>
        <w:t>voor de wijziging voor beleggingsondernemingen onder de verordening kapitaalvereisten)</w:t>
      </w:r>
      <w:r w:rsidRPr="00B8351E">
        <w:rPr>
          <w:sz w:val="18"/>
          <w:szCs w:val="18"/>
        </w:rPr>
        <w:t>. Dit zijn personen die geen lid zijn van het leidinggevend orgaan van de bank, maar wel invloed van betekenis hebben op de leiding van de bank. Dit begrip is breder dan de huidige definitie van tweede echelon</w:t>
      </w:r>
      <w:r w:rsidR="00307E30">
        <w:rPr>
          <w:sz w:val="18"/>
          <w:szCs w:val="18"/>
        </w:rPr>
        <w:t xml:space="preserve"> dat gebruikt wordt in de Wft</w:t>
      </w:r>
      <w:r w:rsidRPr="00B8351E">
        <w:rPr>
          <w:sz w:val="18"/>
          <w:szCs w:val="18"/>
        </w:rPr>
        <w:t>, d</w:t>
      </w:r>
      <w:r>
        <w:rPr>
          <w:sz w:val="18"/>
          <w:szCs w:val="18"/>
        </w:rPr>
        <w:t>at</w:t>
      </w:r>
      <w:r w:rsidRPr="00B8351E">
        <w:rPr>
          <w:sz w:val="18"/>
          <w:szCs w:val="18"/>
        </w:rPr>
        <w:t xml:space="preserve"> alleen ziet op personen die een leidinggevende functie vervullen direct onder het echelon van de beleidsbepaler en verantwoordelijk zijn voor natuurlijke personen wier werkzaamheden het risicoprofiel van de onderneming wezenlijk kunnen beïnvloeden. Er is daarom voor gekozen om het tweede echelon begrip, voor wat banken betreft, te vervangen.</w:t>
      </w:r>
      <w:r w:rsidR="007D2915">
        <w:rPr>
          <w:sz w:val="18"/>
          <w:szCs w:val="18"/>
        </w:rPr>
        <w:t xml:space="preserve"> Hiertoe vervalt in zowel artikel 3:8</w:t>
      </w:r>
      <w:r w:rsidR="00200292">
        <w:rPr>
          <w:sz w:val="18"/>
          <w:szCs w:val="18"/>
        </w:rPr>
        <w:t>, eerste lid, derde zin,</w:t>
      </w:r>
      <w:r w:rsidR="007D2915">
        <w:rPr>
          <w:sz w:val="18"/>
          <w:szCs w:val="18"/>
        </w:rPr>
        <w:t xml:space="preserve"> als 3:9</w:t>
      </w:r>
      <w:r w:rsidR="00200292">
        <w:rPr>
          <w:sz w:val="18"/>
          <w:szCs w:val="18"/>
        </w:rPr>
        <w:t>, eerste lid, derde zin,</w:t>
      </w:r>
      <w:r w:rsidR="007D2915">
        <w:rPr>
          <w:sz w:val="18"/>
          <w:szCs w:val="18"/>
        </w:rPr>
        <w:t xml:space="preserve"> </w:t>
      </w:r>
      <w:r w:rsidR="00BF6713">
        <w:rPr>
          <w:sz w:val="18"/>
          <w:szCs w:val="18"/>
        </w:rPr>
        <w:t xml:space="preserve">Wft </w:t>
      </w:r>
      <w:r w:rsidR="007D2915">
        <w:rPr>
          <w:sz w:val="18"/>
          <w:szCs w:val="18"/>
        </w:rPr>
        <w:t>het woord ‘bank’</w:t>
      </w:r>
      <w:r w:rsidR="00200292">
        <w:rPr>
          <w:sz w:val="18"/>
          <w:szCs w:val="18"/>
        </w:rPr>
        <w:t xml:space="preserve"> waardoor het tweede echelon-begrip niet meer geldt voor </w:t>
      </w:r>
      <w:r w:rsidR="00900C04">
        <w:rPr>
          <w:sz w:val="18"/>
          <w:szCs w:val="18"/>
        </w:rPr>
        <w:t xml:space="preserve">personentoetsingen bij </w:t>
      </w:r>
      <w:r w:rsidR="00200292">
        <w:rPr>
          <w:sz w:val="18"/>
          <w:szCs w:val="18"/>
        </w:rPr>
        <w:t>banken</w:t>
      </w:r>
      <w:r w:rsidR="007D2915">
        <w:rPr>
          <w:sz w:val="18"/>
          <w:szCs w:val="18"/>
        </w:rPr>
        <w:t xml:space="preserve">. </w:t>
      </w:r>
    </w:p>
    <w:p w:rsidR="0034108F" w:rsidP="001E56AB" w:rsidRDefault="0034108F" w14:paraId="506F8CF8" w14:textId="77777777">
      <w:pPr>
        <w:widowControl w:val="0"/>
        <w:spacing w:line="240" w:lineRule="atLeast"/>
        <w:rPr>
          <w:sz w:val="18"/>
          <w:szCs w:val="18"/>
        </w:rPr>
      </w:pPr>
    </w:p>
    <w:bookmarkEnd w:id="9"/>
    <w:p w:rsidR="00B8351E" w:rsidP="001E56AB" w:rsidRDefault="00B8351E" w14:paraId="1B88873E" w14:textId="55BE2CB1">
      <w:pPr>
        <w:widowControl w:val="0"/>
        <w:spacing w:line="240" w:lineRule="atLeast"/>
        <w:rPr>
          <w:sz w:val="18"/>
          <w:szCs w:val="18"/>
        </w:rPr>
      </w:pPr>
      <w:r w:rsidRPr="00B8351E">
        <w:rPr>
          <w:sz w:val="18"/>
          <w:szCs w:val="18"/>
        </w:rPr>
        <w:t>Met de toevoeging van onderdeel d aan artikel 3:8, derde lid,</w:t>
      </w:r>
      <w:r w:rsidR="00E20327">
        <w:rPr>
          <w:sz w:val="18"/>
          <w:szCs w:val="18"/>
        </w:rPr>
        <w:t xml:space="preserve"> Wft</w:t>
      </w:r>
      <w:r w:rsidR="007D2915">
        <w:rPr>
          <w:sz w:val="18"/>
          <w:szCs w:val="18"/>
        </w:rPr>
        <w:t xml:space="preserve"> en de toevoeging van het vierde lid aan artikel 3:9</w:t>
      </w:r>
      <w:r w:rsidRPr="00B8351E">
        <w:rPr>
          <w:sz w:val="18"/>
          <w:szCs w:val="18"/>
        </w:rPr>
        <w:t xml:space="preserve"> Wft wordt artikel 91, eerste lid, CRD geïmplementeerd. De geschiktheid en betrouwbaarheid van tijdelijk bewindvoerders en bijzondere bestuurders worden op grond van </w:t>
      </w:r>
      <w:r w:rsidR="00200292">
        <w:rPr>
          <w:sz w:val="18"/>
          <w:szCs w:val="18"/>
        </w:rPr>
        <w:t>de richtlijn herstel en afwikkeling van banken en beleggingsondernemingen</w:t>
      </w:r>
      <w:r w:rsidR="00200292">
        <w:rPr>
          <w:rStyle w:val="Voetnootmarkering"/>
          <w:sz w:val="18"/>
          <w:szCs w:val="18"/>
        </w:rPr>
        <w:footnoteReference w:id="83"/>
      </w:r>
      <w:r w:rsidR="00200292">
        <w:rPr>
          <w:sz w:val="18"/>
          <w:szCs w:val="18"/>
        </w:rPr>
        <w:t xml:space="preserve"> </w:t>
      </w:r>
      <w:r w:rsidRPr="00B8351E">
        <w:rPr>
          <w:sz w:val="18"/>
          <w:szCs w:val="18"/>
        </w:rPr>
        <w:t>getoetst</w:t>
      </w:r>
      <w:r w:rsidR="00200292">
        <w:rPr>
          <w:sz w:val="18"/>
          <w:szCs w:val="18"/>
        </w:rPr>
        <w:t xml:space="preserve"> nu deze personen aangesteld worden door de toezichthouder in een snel verslechterende situatie (tijdelijk bewindvoerder) of als een bank of beleggingsonderneming faalt en in afwikkeling belandt (bijzonder bestuurder)</w:t>
      </w:r>
      <w:r w:rsidRPr="00B8351E">
        <w:rPr>
          <w:sz w:val="18"/>
          <w:szCs w:val="18"/>
        </w:rPr>
        <w:t>. Er is daarom voor gekozen om in artikel 91 CRD te verduidelijken dat de geschiktheid en betrouwbaarheidstoets op grond van artikel 91 CRD niet op deze bestuurders van toepassing. Omwille van de duidelijkheid is dit ook in artikel 3:8, derde lid, Wft opgenomen.</w:t>
      </w:r>
    </w:p>
    <w:p w:rsidR="00EC4E3C" w:rsidP="001E56AB" w:rsidRDefault="00EC4E3C" w14:paraId="66D481B0" w14:textId="77777777">
      <w:pPr>
        <w:widowControl w:val="0"/>
        <w:spacing w:line="240" w:lineRule="atLeast"/>
        <w:rPr>
          <w:sz w:val="18"/>
          <w:szCs w:val="18"/>
        </w:rPr>
      </w:pPr>
    </w:p>
    <w:p w:rsidR="00EC4E3C" w:rsidP="001E56AB" w:rsidRDefault="00EC4E3C" w14:paraId="1C792F0C" w14:textId="0B23F50C">
      <w:pPr>
        <w:widowControl w:val="0"/>
        <w:spacing w:line="240" w:lineRule="atLeast"/>
        <w:rPr>
          <w:sz w:val="18"/>
          <w:szCs w:val="18"/>
        </w:rPr>
      </w:pPr>
      <w:r>
        <w:rPr>
          <w:sz w:val="18"/>
          <w:szCs w:val="18"/>
        </w:rPr>
        <w:t>Ter verduidelijking wordt in artikel 3:9</w:t>
      </w:r>
      <w:r w:rsidR="00B36F5D">
        <w:rPr>
          <w:sz w:val="18"/>
          <w:szCs w:val="18"/>
        </w:rPr>
        <w:t>, derde lid</w:t>
      </w:r>
      <w:r w:rsidR="00BF6713">
        <w:rPr>
          <w:sz w:val="18"/>
          <w:szCs w:val="18"/>
        </w:rPr>
        <w:t>, Wft</w:t>
      </w:r>
      <w:r>
        <w:rPr>
          <w:sz w:val="18"/>
          <w:szCs w:val="18"/>
        </w:rPr>
        <w:t xml:space="preserve"> (en artikel 4:10</w:t>
      </w:r>
      <w:r w:rsidR="00B36F5D">
        <w:rPr>
          <w:sz w:val="18"/>
          <w:szCs w:val="18"/>
        </w:rPr>
        <w:t>, derde lid</w:t>
      </w:r>
      <w:r w:rsidR="00BF6713">
        <w:rPr>
          <w:sz w:val="18"/>
          <w:szCs w:val="18"/>
        </w:rPr>
        <w:t>, Wft</w:t>
      </w:r>
      <w:r w:rsidR="00B36F5D">
        <w:rPr>
          <w:sz w:val="18"/>
          <w:szCs w:val="18"/>
        </w:rPr>
        <w:t xml:space="preserve">) een zin </w:t>
      </w:r>
      <w:r>
        <w:rPr>
          <w:sz w:val="18"/>
          <w:szCs w:val="18"/>
        </w:rPr>
        <w:t xml:space="preserve">toegevoegd </w:t>
      </w:r>
      <w:r w:rsidR="00B36F5D">
        <w:rPr>
          <w:sz w:val="18"/>
          <w:szCs w:val="18"/>
        </w:rPr>
        <w:t>dat aan de eisen van artikel 91 CRD moet worden voldaan bij het vaststellen van de betrouwbaarheid</w:t>
      </w:r>
      <w:r w:rsidR="00CB381F">
        <w:rPr>
          <w:sz w:val="18"/>
          <w:szCs w:val="18"/>
        </w:rPr>
        <w:t xml:space="preserve"> van het leidinggevend orgaan van een bank</w:t>
      </w:r>
      <w:r w:rsidR="00370842">
        <w:rPr>
          <w:sz w:val="18"/>
          <w:szCs w:val="18"/>
        </w:rPr>
        <w:t xml:space="preserve">. Hiermee wordt bewerkstelligd dat de uitwerking van de betrouwbaarheidseis in het </w:t>
      </w:r>
      <w:r w:rsidR="007739C9">
        <w:rPr>
          <w:sz w:val="18"/>
          <w:szCs w:val="18"/>
        </w:rPr>
        <w:t>Bpr</w:t>
      </w:r>
      <w:r w:rsidR="00370842">
        <w:rPr>
          <w:sz w:val="18"/>
          <w:szCs w:val="18"/>
        </w:rPr>
        <w:t xml:space="preserve"> en het </w:t>
      </w:r>
      <w:r w:rsidR="00BC2C1B">
        <w:rPr>
          <w:sz w:val="18"/>
          <w:szCs w:val="18"/>
        </w:rPr>
        <w:t>B</w:t>
      </w:r>
      <w:r w:rsidR="00370842">
        <w:rPr>
          <w:sz w:val="18"/>
          <w:szCs w:val="18"/>
        </w:rPr>
        <w:t>esluit Gedragstoezicht financiële ondernemingen Wft</w:t>
      </w:r>
      <w:r w:rsidR="00BC2C1B">
        <w:rPr>
          <w:sz w:val="18"/>
          <w:szCs w:val="18"/>
        </w:rPr>
        <w:t xml:space="preserve"> (BGfo)</w:t>
      </w:r>
      <w:r w:rsidR="00370842">
        <w:rPr>
          <w:sz w:val="18"/>
          <w:szCs w:val="18"/>
        </w:rPr>
        <w:t xml:space="preserve"> voldoe</w:t>
      </w:r>
      <w:r w:rsidR="00BC2C1B">
        <w:rPr>
          <w:sz w:val="18"/>
          <w:szCs w:val="18"/>
        </w:rPr>
        <w:t>t</w:t>
      </w:r>
      <w:r w:rsidR="00370842">
        <w:rPr>
          <w:sz w:val="18"/>
          <w:szCs w:val="18"/>
        </w:rPr>
        <w:t xml:space="preserve"> aan de eisen die artikel 91 CRD stelt. </w:t>
      </w:r>
      <w:r w:rsidR="00B36F5D">
        <w:rPr>
          <w:sz w:val="18"/>
          <w:szCs w:val="18"/>
        </w:rPr>
        <w:t>Deze dynamische verwijzing bestond reeds voor de geschiktheidseis (zie artikel 3:8, derde lid</w:t>
      </w:r>
      <w:r w:rsidR="00BC2C1B">
        <w:rPr>
          <w:sz w:val="18"/>
          <w:szCs w:val="18"/>
        </w:rPr>
        <w:t>,</w:t>
      </w:r>
      <w:r w:rsidR="00B36F5D">
        <w:rPr>
          <w:sz w:val="18"/>
          <w:szCs w:val="18"/>
        </w:rPr>
        <w:t xml:space="preserve"> en 4:9, tweede lid</w:t>
      </w:r>
      <w:r w:rsidR="00BC2C1B">
        <w:rPr>
          <w:sz w:val="18"/>
          <w:szCs w:val="18"/>
        </w:rPr>
        <w:t>, Wft</w:t>
      </w:r>
      <w:r w:rsidR="00B36F5D">
        <w:rPr>
          <w:sz w:val="18"/>
          <w:szCs w:val="18"/>
        </w:rPr>
        <w:t>).</w:t>
      </w:r>
    </w:p>
    <w:p w:rsidR="00B8351E" w:rsidP="001E56AB" w:rsidRDefault="00B8351E" w14:paraId="7D1F1FAD" w14:textId="77777777">
      <w:pPr>
        <w:widowControl w:val="0"/>
        <w:spacing w:line="240" w:lineRule="atLeast"/>
        <w:rPr>
          <w:sz w:val="18"/>
          <w:szCs w:val="18"/>
        </w:rPr>
      </w:pPr>
    </w:p>
    <w:p w:rsidRPr="00385727" w:rsidR="003E0B0A" w:rsidP="007D2915" w:rsidRDefault="00DC0EAF" w14:paraId="65E574C7" w14:textId="177386B2">
      <w:pPr>
        <w:widowControl w:val="0"/>
        <w:spacing w:line="240" w:lineRule="atLeast"/>
        <w:rPr>
          <w:sz w:val="18"/>
          <w:szCs w:val="18"/>
        </w:rPr>
      </w:pPr>
      <w:r w:rsidRPr="00385727">
        <w:rPr>
          <w:sz w:val="18"/>
          <w:szCs w:val="18"/>
        </w:rPr>
        <w:lastRenderedPageBreak/>
        <w:t>Het nieuwe artikel 3:9b Wft voorziet in de implementatie van artikel 91 bis CRD.</w:t>
      </w:r>
      <w:r w:rsidRPr="00385727" w:rsidR="0037682A">
        <w:rPr>
          <w:sz w:val="18"/>
          <w:szCs w:val="18"/>
        </w:rPr>
        <w:t xml:space="preserve"> </w:t>
      </w:r>
      <w:r w:rsidRPr="00385727" w:rsidR="003E0B0A">
        <w:rPr>
          <w:sz w:val="18"/>
          <w:szCs w:val="18"/>
        </w:rPr>
        <w:t>Artikel 91 bis CRD bevat, net als artikel 91 CRD</w:t>
      </w:r>
      <w:r w:rsidRPr="00385727" w:rsidR="00954224">
        <w:rPr>
          <w:sz w:val="18"/>
          <w:szCs w:val="18"/>
        </w:rPr>
        <w:t>,</w:t>
      </w:r>
      <w:r w:rsidRPr="00385727" w:rsidR="003E0B0A">
        <w:rPr>
          <w:sz w:val="18"/>
          <w:szCs w:val="18"/>
        </w:rPr>
        <w:t xml:space="preserve"> vereisten aan de geschiktheid en betrouwbaarheid van medewerkers met een sleutelfunctie. Deze medewerkers zijn personen die invloed van betekenis hebben op de leiding van een bank, maar geen lid zijn van het leidinggevend orgaan, met inbegrip van de hoofden van de internecontrolefuncties en de financieel directeur, als deze hoofden of die directeur geen lid zijn van het leidinggevend orgaan.</w:t>
      </w:r>
    </w:p>
    <w:p w:rsidRPr="00385727" w:rsidR="003E0B0A" w:rsidP="007D2915" w:rsidRDefault="003E0B0A" w14:paraId="1188A9B9" w14:textId="77777777">
      <w:pPr>
        <w:widowControl w:val="0"/>
        <w:spacing w:line="240" w:lineRule="atLeast"/>
        <w:rPr>
          <w:sz w:val="18"/>
          <w:szCs w:val="18"/>
        </w:rPr>
      </w:pPr>
    </w:p>
    <w:p w:rsidRPr="00385727" w:rsidR="003E0B0A" w:rsidP="007D2915" w:rsidRDefault="00001C57" w14:paraId="40F4BA25" w14:textId="3F696809">
      <w:pPr>
        <w:widowControl w:val="0"/>
        <w:spacing w:line="240" w:lineRule="atLeast"/>
        <w:rPr>
          <w:sz w:val="18"/>
          <w:szCs w:val="18"/>
        </w:rPr>
      </w:pPr>
      <w:r>
        <w:rPr>
          <w:sz w:val="18"/>
          <w:szCs w:val="18"/>
        </w:rPr>
        <w:t>Gelet hierop</w:t>
      </w:r>
      <w:r w:rsidRPr="00385727" w:rsidR="003E0B0A">
        <w:rPr>
          <w:sz w:val="18"/>
          <w:szCs w:val="18"/>
        </w:rPr>
        <w:t xml:space="preserve"> stelt a</w:t>
      </w:r>
      <w:r w:rsidRPr="00385727" w:rsidR="0037682A">
        <w:rPr>
          <w:sz w:val="18"/>
          <w:szCs w:val="18"/>
        </w:rPr>
        <w:t>rtikel 3:9b</w:t>
      </w:r>
      <w:r w:rsidRPr="00385727" w:rsidR="003E0B0A">
        <w:rPr>
          <w:sz w:val="18"/>
          <w:szCs w:val="18"/>
        </w:rPr>
        <w:t xml:space="preserve">, eerste lid, </w:t>
      </w:r>
      <w:r w:rsidRPr="00385727" w:rsidR="0037682A">
        <w:rPr>
          <w:sz w:val="18"/>
          <w:szCs w:val="18"/>
        </w:rPr>
        <w:t xml:space="preserve">Wft </w:t>
      </w:r>
      <w:r w:rsidRPr="00385727" w:rsidR="00622CDA">
        <w:rPr>
          <w:sz w:val="18"/>
          <w:szCs w:val="18"/>
        </w:rPr>
        <w:t xml:space="preserve">dat </w:t>
      </w:r>
      <w:r w:rsidRPr="00385727" w:rsidR="0037682A">
        <w:rPr>
          <w:sz w:val="18"/>
          <w:szCs w:val="18"/>
        </w:rPr>
        <w:t xml:space="preserve">medewerkers met een sleutelfunctie </w:t>
      </w:r>
      <w:r w:rsidRPr="00385727" w:rsidR="00954224">
        <w:rPr>
          <w:sz w:val="18"/>
          <w:szCs w:val="18"/>
        </w:rPr>
        <w:t xml:space="preserve">bij de bank </w:t>
      </w:r>
      <w:r w:rsidRPr="00385727" w:rsidR="0037682A">
        <w:rPr>
          <w:sz w:val="18"/>
          <w:szCs w:val="18"/>
        </w:rPr>
        <w:t xml:space="preserve">geschikt </w:t>
      </w:r>
      <w:r w:rsidRPr="00385727" w:rsidR="00622CDA">
        <w:rPr>
          <w:sz w:val="18"/>
          <w:szCs w:val="18"/>
        </w:rPr>
        <w:t xml:space="preserve">zijn en dat hun </w:t>
      </w:r>
      <w:r w:rsidRPr="00385727" w:rsidR="0037682A">
        <w:rPr>
          <w:sz w:val="18"/>
          <w:szCs w:val="18"/>
        </w:rPr>
        <w:t xml:space="preserve">betrouwbaar </w:t>
      </w:r>
      <w:r w:rsidRPr="00385727" w:rsidR="00622CDA">
        <w:rPr>
          <w:sz w:val="18"/>
          <w:szCs w:val="18"/>
        </w:rPr>
        <w:t xml:space="preserve">buiten twijfel staat. Banken moeten hieraan voldoen met inachtneming van artikel 91 bis, eerste tot en met vierde lid, CRD, wat regels geeft omtrent de interne toetsing van dergelijke medewerkers met een sleutelfunctie. </w:t>
      </w:r>
      <w:r w:rsidRPr="00385727" w:rsidR="003E0B0A">
        <w:rPr>
          <w:sz w:val="18"/>
          <w:szCs w:val="18"/>
        </w:rPr>
        <w:t xml:space="preserve">Dit betreft onder meer </w:t>
      </w:r>
      <w:r w:rsidRPr="00385727" w:rsidR="00896267">
        <w:rPr>
          <w:sz w:val="18"/>
          <w:szCs w:val="18"/>
        </w:rPr>
        <w:t>het moment van toetsing (</w:t>
      </w:r>
      <w:r w:rsidRPr="00385727" w:rsidR="00954224">
        <w:rPr>
          <w:sz w:val="18"/>
          <w:szCs w:val="18"/>
        </w:rPr>
        <w:t xml:space="preserve">zie artikel </w:t>
      </w:r>
      <w:r w:rsidRPr="00385727" w:rsidR="00896267">
        <w:rPr>
          <w:sz w:val="18"/>
          <w:szCs w:val="18"/>
        </w:rPr>
        <w:t>91 bis, tweede lid, CRD)</w:t>
      </w:r>
      <w:r w:rsidRPr="00385727" w:rsidR="00954224">
        <w:rPr>
          <w:sz w:val="18"/>
          <w:szCs w:val="18"/>
        </w:rPr>
        <w:t>.</w:t>
      </w:r>
      <w:r w:rsidRPr="00385727" w:rsidR="00896267">
        <w:rPr>
          <w:sz w:val="18"/>
          <w:szCs w:val="18"/>
        </w:rPr>
        <w:t xml:space="preserve"> </w:t>
      </w:r>
    </w:p>
    <w:p w:rsidRPr="00385727" w:rsidR="003E0B0A" w:rsidP="007D2915" w:rsidRDefault="003E0B0A" w14:paraId="1E1160A0" w14:textId="77777777">
      <w:pPr>
        <w:widowControl w:val="0"/>
        <w:spacing w:line="240" w:lineRule="atLeast"/>
        <w:rPr>
          <w:sz w:val="18"/>
          <w:szCs w:val="18"/>
        </w:rPr>
      </w:pPr>
    </w:p>
    <w:p w:rsidRPr="00385727" w:rsidR="00304497" w:rsidP="00622CDA" w:rsidRDefault="0037682A" w14:paraId="375A8C39" w14:textId="248E5770">
      <w:pPr>
        <w:widowControl w:val="0"/>
        <w:spacing w:line="240" w:lineRule="atLeast"/>
        <w:rPr>
          <w:sz w:val="18"/>
          <w:szCs w:val="18"/>
        </w:rPr>
      </w:pPr>
      <w:r w:rsidRPr="00385727">
        <w:rPr>
          <w:sz w:val="18"/>
          <w:szCs w:val="18"/>
        </w:rPr>
        <w:t>In</w:t>
      </w:r>
      <w:r w:rsidRPr="00385727" w:rsidR="003E0B0A">
        <w:rPr>
          <w:sz w:val="18"/>
          <w:szCs w:val="18"/>
        </w:rPr>
        <w:t xml:space="preserve"> artikel 3:9b,</w:t>
      </w:r>
      <w:r w:rsidRPr="00385727">
        <w:rPr>
          <w:sz w:val="18"/>
          <w:szCs w:val="18"/>
        </w:rPr>
        <w:t xml:space="preserve"> tweede lid</w:t>
      </w:r>
      <w:r w:rsidRPr="00385727" w:rsidR="003E0B0A">
        <w:rPr>
          <w:sz w:val="18"/>
          <w:szCs w:val="18"/>
        </w:rPr>
        <w:t>, Wft</w:t>
      </w:r>
      <w:r w:rsidRPr="00385727">
        <w:rPr>
          <w:sz w:val="18"/>
          <w:szCs w:val="18"/>
        </w:rPr>
        <w:t xml:space="preserve"> is opgenomen wanneer de betrouwbaarheid van </w:t>
      </w:r>
      <w:r w:rsidRPr="00385727" w:rsidR="00304497">
        <w:rPr>
          <w:sz w:val="18"/>
          <w:szCs w:val="18"/>
        </w:rPr>
        <w:t xml:space="preserve">de hoofden van de internecontrolefuncties en de financieel directeur </w:t>
      </w:r>
      <w:r w:rsidRPr="00385727">
        <w:rPr>
          <w:sz w:val="18"/>
          <w:szCs w:val="18"/>
        </w:rPr>
        <w:t>buiten twijfel staat</w:t>
      </w:r>
      <w:r w:rsidR="00786784">
        <w:rPr>
          <w:sz w:val="18"/>
          <w:szCs w:val="18"/>
        </w:rPr>
        <w:t>.</w:t>
      </w:r>
      <w:r w:rsidRPr="00385727" w:rsidR="00304497">
        <w:rPr>
          <w:sz w:val="18"/>
          <w:szCs w:val="18"/>
        </w:rPr>
        <w:t xml:space="preserve"> Deze genoemde functies</w:t>
      </w:r>
      <w:r w:rsidRPr="00385727" w:rsidR="003E0B0A">
        <w:rPr>
          <w:sz w:val="18"/>
          <w:szCs w:val="18"/>
        </w:rPr>
        <w:t xml:space="preserve"> van de hoofden van de internecontrolefuncties en financieel directeur</w:t>
      </w:r>
      <w:r w:rsidRPr="00385727" w:rsidR="00304497">
        <w:rPr>
          <w:sz w:val="18"/>
          <w:szCs w:val="18"/>
        </w:rPr>
        <w:t xml:space="preserve"> zijn een </w:t>
      </w:r>
      <w:r w:rsidRPr="00385727" w:rsidR="00954224">
        <w:rPr>
          <w:sz w:val="18"/>
          <w:szCs w:val="18"/>
        </w:rPr>
        <w:t>onderdeel</w:t>
      </w:r>
      <w:r w:rsidRPr="00385727" w:rsidR="00304497">
        <w:rPr>
          <w:sz w:val="18"/>
          <w:szCs w:val="18"/>
        </w:rPr>
        <w:t xml:space="preserve"> van</w:t>
      </w:r>
      <w:r w:rsidRPr="00385727" w:rsidR="00954224">
        <w:rPr>
          <w:sz w:val="18"/>
          <w:szCs w:val="18"/>
        </w:rPr>
        <w:t xml:space="preserve"> alle</w:t>
      </w:r>
      <w:r w:rsidR="00385727">
        <w:rPr>
          <w:sz w:val="18"/>
          <w:szCs w:val="18"/>
        </w:rPr>
        <w:t xml:space="preserve"> </w:t>
      </w:r>
      <w:r w:rsidRPr="00385727" w:rsidR="00304497">
        <w:rPr>
          <w:sz w:val="18"/>
          <w:szCs w:val="18"/>
        </w:rPr>
        <w:t>medewerkers met een sleutelfunctie, maar</w:t>
      </w:r>
      <w:r w:rsidRPr="00385727" w:rsidR="00954224">
        <w:rPr>
          <w:sz w:val="18"/>
          <w:szCs w:val="18"/>
        </w:rPr>
        <w:t xml:space="preserve"> zij</w:t>
      </w:r>
      <w:r w:rsidRPr="00385727" w:rsidR="00304497">
        <w:rPr>
          <w:sz w:val="18"/>
          <w:szCs w:val="18"/>
        </w:rPr>
        <w:t xml:space="preserve"> zijn de enige functies die aan de toetsing van DNB worden onderworpen. De overige medewerkers met een sleutelfunctie zullen primair door de bank zelf getoetst moeten worden op betrouwbaarheid.</w:t>
      </w:r>
      <w:r w:rsidRPr="00385727" w:rsidR="00DC0EAF">
        <w:rPr>
          <w:sz w:val="18"/>
          <w:szCs w:val="18"/>
        </w:rPr>
        <w:t xml:space="preserve"> </w:t>
      </w:r>
      <w:r w:rsidRPr="00385727" w:rsidR="00954224">
        <w:rPr>
          <w:sz w:val="18"/>
          <w:szCs w:val="18"/>
        </w:rPr>
        <w:t>Banken zijn verplicht</w:t>
      </w:r>
      <w:r w:rsidR="00385727">
        <w:rPr>
          <w:sz w:val="18"/>
          <w:szCs w:val="18"/>
        </w:rPr>
        <w:t xml:space="preserve"> </w:t>
      </w:r>
      <w:r w:rsidRPr="00385727" w:rsidR="00896267">
        <w:rPr>
          <w:sz w:val="18"/>
          <w:szCs w:val="18"/>
        </w:rPr>
        <w:t>maatregelen</w:t>
      </w:r>
      <w:r w:rsidRPr="00385727" w:rsidR="00954224">
        <w:rPr>
          <w:sz w:val="18"/>
          <w:szCs w:val="18"/>
        </w:rPr>
        <w:t xml:space="preserve"> te nemen</w:t>
      </w:r>
      <w:r w:rsidRPr="00385727" w:rsidR="00896267">
        <w:rPr>
          <w:sz w:val="18"/>
          <w:szCs w:val="18"/>
        </w:rPr>
        <w:t xml:space="preserve"> indien een medewerker met een sleutelfunctie niet voldoet aan de geschiktheid en betrouwbaarheid (</w:t>
      </w:r>
      <w:r w:rsidRPr="00385727" w:rsidR="00954224">
        <w:rPr>
          <w:sz w:val="18"/>
          <w:szCs w:val="18"/>
        </w:rPr>
        <w:t xml:space="preserve">zie </w:t>
      </w:r>
      <w:r w:rsidRPr="00385727" w:rsidR="00896267">
        <w:rPr>
          <w:sz w:val="18"/>
          <w:szCs w:val="18"/>
        </w:rPr>
        <w:t>artikel 91 bis, derde lid, CRD) en om informatie over de geschiktheid en betrouwbaarheid van medewerkers met een sleutelfunctie actueel te houden (</w:t>
      </w:r>
      <w:r w:rsidRPr="00385727" w:rsidR="00954224">
        <w:rPr>
          <w:sz w:val="18"/>
          <w:szCs w:val="18"/>
        </w:rPr>
        <w:t xml:space="preserve">zie </w:t>
      </w:r>
      <w:r w:rsidRPr="00385727" w:rsidR="00896267">
        <w:rPr>
          <w:sz w:val="18"/>
          <w:szCs w:val="18"/>
        </w:rPr>
        <w:t>artikel 91 bis, vierde lid, CRD</w:t>
      </w:r>
      <w:r w:rsidR="00900C04">
        <w:rPr>
          <w:sz w:val="18"/>
          <w:szCs w:val="18"/>
        </w:rPr>
        <w:t>).</w:t>
      </w:r>
    </w:p>
    <w:p w:rsidRPr="00385727" w:rsidR="00622CDA" w:rsidP="00622CDA" w:rsidRDefault="00622CDA" w14:paraId="5E833F80" w14:textId="77777777">
      <w:pPr>
        <w:widowControl w:val="0"/>
        <w:spacing w:line="240" w:lineRule="atLeast"/>
        <w:rPr>
          <w:sz w:val="18"/>
          <w:szCs w:val="18"/>
        </w:rPr>
      </w:pPr>
    </w:p>
    <w:p w:rsidRPr="00385727" w:rsidR="00622CDA" w:rsidP="00622CDA" w:rsidRDefault="00622CDA" w14:paraId="1A39553D" w14:textId="2587B7F3">
      <w:pPr>
        <w:widowControl w:val="0"/>
        <w:spacing w:line="240" w:lineRule="atLeast"/>
        <w:rPr>
          <w:sz w:val="18"/>
          <w:szCs w:val="18"/>
        </w:rPr>
      </w:pPr>
      <w:r w:rsidRPr="00385727">
        <w:rPr>
          <w:sz w:val="18"/>
          <w:szCs w:val="18"/>
        </w:rPr>
        <w:t xml:space="preserve">Voor de hoofden van de internecontrolefuncties en de financieel directeur (zie voor de definities hiervan artikel 1:1 en artikel I, onderdeel A, van deze memorie van toelichting) geldt dat deze personen getoetst moeten worden door DNB om de </w:t>
      </w:r>
      <w:r w:rsidR="00F14D6D">
        <w:rPr>
          <w:sz w:val="18"/>
          <w:szCs w:val="18"/>
        </w:rPr>
        <w:t xml:space="preserve">geschiktheid en </w:t>
      </w:r>
      <w:r w:rsidRPr="00385727">
        <w:rPr>
          <w:sz w:val="18"/>
          <w:szCs w:val="18"/>
        </w:rPr>
        <w:t>betrouwbaarheid vast te stellen. Dit zal verder worden uitgewerkt bij algemene maatregel van bestuur</w:t>
      </w:r>
      <w:r w:rsidR="00001C57">
        <w:rPr>
          <w:sz w:val="18"/>
          <w:szCs w:val="18"/>
        </w:rPr>
        <w:t>,</w:t>
      </w:r>
      <w:r w:rsidRPr="00385727">
        <w:rPr>
          <w:sz w:val="18"/>
          <w:szCs w:val="18"/>
        </w:rPr>
        <w:t xml:space="preserve"> gelijk aan </w:t>
      </w:r>
      <w:r w:rsidR="00001C57">
        <w:rPr>
          <w:sz w:val="18"/>
          <w:szCs w:val="18"/>
        </w:rPr>
        <w:t>de wijze waarop</w:t>
      </w:r>
      <w:r w:rsidRPr="00385727">
        <w:rPr>
          <w:sz w:val="18"/>
          <w:szCs w:val="18"/>
        </w:rPr>
        <w:t xml:space="preserve"> de externe toetsing is uitgewerkt voor artikel 3:9 Wft. De</w:t>
      </w:r>
      <w:r w:rsidR="00F14D6D">
        <w:rPr>
          <w:sz w:val="18"/>
          <w:szCs w:val="18"/>
        </w:rPr>
        <w:t xml:space="preserve"> geschiktheid en</w:t>
      </w:r>
      <w:r w:rsidRPr="00385727">
        <w:rPr>
          <w:sz w:val="18"/>
          <w:szCs w:val="18"/>
        </w:rPr>
        <w:t xml:space="preserve"> betrouwbaarheid vaststellen van medewerkers met een sleutelfunctie die niet de hiervoor genoemde functies vervullen zal de bank zelf moeten doen. Aan artikel 3:9b, tweede lid, Wft is toegevoegd dat artikel 3:9, derde lid, Wft van overeenkomstige toepassing is. Hierdoor is het mogelijk om bij algemene maatregel van bestuur regels te stellen over de externe toetsing.</w:t>
      </w:r>
    </w:p>
    <w:p w:rsidRPr="00385727" w:rsidR="00622CDA" w:rsidP="00622CDA" w:rsidRDefault="00622CDA" w14:paraId="01AB45D8" w14:textId="77777777">
      <w:pPr>
        <w:widowControl w:val="0"/>
        <w:spacing w:line="240" w:lineRule="atLeast"/>
        <w:rPr>
          <w:sz w:val="18"/>
          <w:szCs w:val="18"/>
        </w:rPr>
      </w:pPr>
    </w:p>
    <w:p w:rsidRPr="00385727" w:rsidR="00622CDA" w:rsidP="007D2915" w:rsidRDefault="003E0B0A" w14:paraId="1339FB12" w14:textId="15B53A60">
      <w:pPr>
        <w:widowControl w:val="0"/>
        <w:spacing w:line="240" w:lineRule="atLeast"/>
        <w:rPr>
          <w:sz w:val="18"/>
          <w:szCs w:val="18"/>
        </w:rPr>
      </w:pPr>
      <w:r w:rsidRPr="00385727">
        <w:rPr>
          <w:sz w:val="18"/>
          <w:szCs w:val="18"/>
        </w:rPr>
        <w:t xml:space="preserve">Het derde lid </w:t>
      </w:r>
      <w:r w:rsidRPr="00385727" w:rsidR="00896267">
        <w:rPr>
          <w:sz w:val="18"/>
          <w:szCs w:val="18"/>
        </w:rPr>
        <w:t xml:space="preserve">van artikel 3:9b Wft </w:t>
      </w:r>
      <w:r w:rsidRPr="00385727">
        <w:rPr>
          <w:sz w:val="18"/>
          <w:szCs w:val="18"/>
        </w:rPr>
        <w:t xml:space="preserve">bevat een delegatiegrondslag om, gelijk </w:t>
      </w:r>
      <w:r w:rsidRPr="00385727" w:rsidR="00144893">
        <w:rPr>
          <w:sz w:val="18"/>
          <w:szCs w:val="18"/>
        </w:rPr>
        <w:t xml:space="preserve">aan </w:t>
      </w:r>
      <w:r w:rsidRPr="00385727" w:rsidR="00622CDA">
        <w:rPr>
          <w:sz w:val="18"/>
          <w:szCs w:val="18"/>
        </w:rPr>
        <w:t>a</w:t>
      </w:r>
      <w:r w:rsidRPr="00385727">
        <w:rPr>
          <w:sz w:val="18"/>
          <w:szCs w:val="18"/>
        </w:rPr>
        <w:t xml:space="preserve">rtikel 3:8 </w:t>
      </w:r>
      <w:r w:rsidRPr="00385727" w:rsidR="00144893">
        <w:rPr>
          <w:sz w:val="18"/>
          <w:szCs w:val="18"/>
        </w:rPr>
        <w:t xml:space="preserve">Wft </w:t>
      </w:r>
      <w:r w:rsidRPr="00385727">
        <w:rPr>
          <w:sz w:val="18"/>
          <w:szCs w:val="18"/>
        </w:rPr>
        <w:t>regels te stellen met de wijze waarop de toetsing van de geschiktheid plaatsvindt</w:t>
      </w:r>
      <w:r w:rsidRPr="00385727" w:rsidR="00622CDA">
        <w:rPr>
          <w:sz w:val="18"/>
          <w:szCs w:val="18"/>
        </w:rPr>
        <w:t xml:space="preserve"> voor zover noodzakelijk</w:t>
      </w:r>
      <w:r w:rsidRPr="00385727">
        <w:rPr>
          <w:sz w:val="18"/>
          <w:szCs w:val="18"/>
        </w:rPr>
        <w:t>.</w:t>
      </w:r>
    </w:p>
    <w:p w:rsidRPr="00385727" w:rsidR="003E0B0A" w:rsidP="007D2915" w:rsidRDefault="003E0B0A" w14:paraId="10CD5580" w14:textId="370D45C2">
      <w:pPr>
        <w:widowControl w:val="0"/>
        <w:spacing w:line="240" w:lineRule="atLeast"/>
        <w:rPr>
          <w:sz w:val="18"/>
          <w:szCs w:val="18"/>
        </w:rPr>
      </w:pPr>
      <w:r w:rsidRPr="00385727">
        <w:rPr>
          <w:sz w:val="18"/>
          <w:szCs w:val="18"/>
        </w:rPr>
        <w:t xml:space="preserve"> </w:t>
      </w:r>
    </w:p>
    <w:p w:rsidRPr="00F14D6D" w:rsidR="00F14D6D" w:rsidP="00F14D6D" w:rsidRDefault="005B2732" w14:paraId="1AFF8EC8" w14:textId="10B97845">
      <w:pPr>
        <w:rPr>
          <w:sz w:val="18"/>
          <w:szCs w:val="18"/>
        </w:rPr>
      </w:pPr>
      <w:r w:rsidRPr="00385727">
        <w:rPr>
          <w:sz w:val="18"/>
          <w:szCs w:val="18"/>
        </w:rPr>
        <w:t xml:space="preserve">Voor deze wijziging is geen overgangsrecht nodig. Vanaf de inwerkingtreding van het wetsvoorstel zal iedere nieuwe aanmerking van een persoon die hetzij een leidinggevende functie vervult hetzij als sleutelfunctiehouder wordt aangemerkt, onder het nieuwe regime vallen. Personen die bij de inwerkingtreding van het wetsvoorstel niet als tweede echelon worden beschouwd, maar wel als sleutelfunctiehouder moeten worden aangemerkt, dienen op dat moment intern op geschiktheid </w:t>
      </w:r>
      <w:r w:rsidR="00786784">
        <w:rPr>
          <w:sz w:val="18"/>
          <w:szCs w:val="18"/>
        </w:rPr>
        <w:t xml:space="preserve">en betrouwbaarheid </w:t>
      </w:r>
      <w:r w:rsidRPr="00385727">
        <w:rPr>
          <w:sz w:val="18"/>
          <w:szCs w:val="18"/>
        </w:rPr>
        <w:t>te worden getoetst onder dit nieuwe regime.</w:t>
      </w:r>
      <w:r w:rsidRPr="00385727" w:rsidR="00A67B05">
        <w:rPr>
          <w:sz w:val="18"/>
          <w:szCs w:val="18"/>
        </w:rPr>
        <w:t xml:space="preserve"> </w:t>
      </w:r>
      <w:r w:rsidRPr="00644975" w:rsidR="00644975">
        <w:rPr>
          <w:sz w:val="18"/>
          <w:szCs w:val="18"/>
        </w:rPr>
        <w:t xml:space="preserve">Voor zover er hoofden van internecontrolefuncties of financieel directeuren zijn die niet al waren aangemerkt en getoetst onder het tweede echelon, of </w:t>
      </w:r>
      <w:r w:rsidR="00644975">
        <w:rPr>
          <w:sz w:val="18"/>
          <w:szCs w:val="18"/>
        </w:rPr>
        <w:t xml:space="preserve">er </w:t>
      </w:r>
      <w:r w:rsidRPr="00644975" w:rsidR="00644975">
        <w:rPr>
          <w:sz w:val="18"/>
          <w:szCs w:val="18"/>
        </w:rPr>
        <w:t>hoofden van de interneceontrolefuncties of financieel directeuren zijn die al wel onder het tweede echelon getoetst zijn op betrouwbaarheid, maar niet op geschiktheid, zal een toetsing alleen plaatsvinden indien feiten of omstandigheden daartoe redelijke aanleiding geven</w:t>
      </w:r>
      <w:r w:rsidRPr="00F14D6D" w:rsidR="00F14D6D">
        <w:rPr>
          <w:sz w:val="18"/>
          <w:szCs w:val="18"/>
        </w:rPr>
        <w:t>.</w:t>
      </w:r>
      <w:r w:rsidR="00F14D6D">
        <w:rPr>
          <w:rStyle w:val="Voetnootmarkering"/>
          <w:sz w:val="18"/>
          <w:szCs w:val="18"/>
        </w:rPr>
        <w:footnoteReference w:id="84"/>
      </w:r>
    </w:p>
    <w:p w:rsidR="007D2915" w:rsidP="001E56AB" w:rsidRDefault="007D2915" w14:paraId="1E6C0315" w14:textId="591552EA">
      <w:pPr>
        <w:widowControl w:val="0"/>
        <w:spacing w:line="240" w:lineRule="atLeast"/>
        <w:rPr>
          <w:sz w:val="18"/>
          <w:szCs w:val="18"/>
        </w:rPr>
      </w:pPr>
    </w:p>
    <w:bookmarkEnd w:id="8"/>
    <w:p w:rsidR="007557AE" w:rsidP="001E56AB" w:rsidRDefault="00070306" w14:paraId="00C99E7E" w14:textId="6128A124">
      <w:pPr>
        <w:widowControl w:val="0"/>
        <w:spacing w:line="240" w:lineRule="atLeast"/>
        <w:rPr>
          <w:sz w:val="18"/>
          <w:szCs w:val="18"/>
        </w:rPr>
      </w:pPr>
      <w:r>
        <w:rPr>
          <w:sz w:val="18"/>
          <w:szCs w:val="18"/>
        </w:rPr>
        <w:t>CC</w:t>
      </w:r>
      <w:r w:rsidRPr="00A6284F" w:rsidR="007557AE">
        <w:rPr>
          <w:sz w:val="18"/>
          <w:szCs w:val="18"/>
        </w:rPr>
        <w:t xml:space="preserve"> (3:11)</w:t>
      </w:r>
    </w:p>
    <w:p w:rsidR="00C65BCF" w:rsidP="001E56AB" w:rsidRDefault="00C65BCF" w14:paraId="2CB40E7A" w14:textId="77777777">
      <w:pPr>
        <w:widowControl w:val="0"/>
        <w:spacing w:line="240" w:lineRule="atLeast"/>
        <w:rPr>
          <w:sz w:val="18"/>
          <w:szCs w:val="18"/>
        </w:rPr>
      </w:pPr>
    </w:p>
    <w:p w:rsidR="00E028E0" w:rsidP="001E56AB" w:rsidRDefault="00C65BCF" w14:paraId="110F26D3" w14:textId="61367656">
      <w:pPr>
        <w:widowControl w:val="0"/>
        <w:spacing w:line="240" w:lineRule="atLeast"/>
        <w:rPr>
          <w:sz w:val="18"/>
          <w:szCs w:val="18"/>
        </w:rPr>
      </w:pPr>
      <w:r>
        <w:rPr>
          <w:sz w:val="18"/>
          <w:szCs w:val="18"/>
        </w:rPr>
        <w:t>Artikel 3:11</w:t>
      </w:r>
      <w:r w:rsidR="00CE1B41">
        <w:rPr>
          <w:sz w:val="18"/>
          <w:szCs w:val="18"/>
        </w:rPr>
        <w:t xml:space="preserve"> Wft</w:t>
      </w:r>
      <w:r>
        <w:rPr>
          <w:sz w:val="18"/>
          <w:szCs w:val="18"/>
        </w:rPr>
        <w:t xml:space="preserve"> verklaart de artikelen 3:8, 3:9 en 3:10 Wft van overeenkomstige toepassing op bijkantoren van banken</w:t>
      </w:r>
      <w:r w:rsidR="001C0C28">
        <w:rPr>
          <w:sz w:val="18"/>
          <w:szCs w:val="18"/>
        </w:rPr>
        <w:t xml:space="preserve"> uit staten die geen lidstaat zijn</w:t>
      </w:r>
      <w:r>
        <w:rPr>
          <w:sz w:val="18"/>
          <w:szCs w:val="18"/>
        </w:rPr>
        <w:t>. Vanwege de aanpassingen in artikel 2:20, eerste lid,</w:t>
      </w:r>
      <w:r w:rsidR="00CE1B41">
        <w:rPr>
          <w:sz w:val="18"/>
          <w:szCs w:val="18"/>
        </w:rPr>
        <w:t xml:space="preserve"> Wft</w:t>
      </w:r>
      <w:r>
        <w:rPr>
          <w:sz w:val="18"/>
          <w:szCs w:val="18"/>
        </w:rPr>
        <w:t xml:space="preserve"> wordt </w:t>
      </w:r>
      <w:r w:rsidRPr="00151B5B">
        <w:rPr>
          <w:sz w:val="18"/>
          <w:szCs w:val="18"/>
        </w:rPr>
        <w:t>“van banken met zetel in een staat die geen lidstaat is” vervangen door “met een vergunning als bedoeld in artikel 2:20, eerste lid”.</w:t>
      </w:r>
      <w:r>
        <w:rPr>
          <w:sz w:val="18"/>
          <w:szCs w:val="18"/>
        </w:rPr>
        <w:t xml:space="preserve"> </w:t>
      </w:r>
      <w:r w:rsidR="00E028E0">
        <w:rPr>
          <w:sz w:val="18"/>
          <w:szCs w:val="18"/>
        </w:rPr>
        <w:t>Op grond van artikel 3:11</w:t>
      </w:r>
      <w:r w:rsidR="00CE1B41">
        <w:rPr>
          <w:sz w:val="18"/>
          <w:szCs w:val="18"/>
        </w:rPr>
        <w:t xml:space="preserve"> Wft</w:t>
      </w:r>
      <w:r w:rsidR="00E028E0">
        <w:rPr>
          <w:sz w:val="18"/>
          <w:szCs w:val="18"/>
        </w:rPr>
        <w:t xml:space="preserve"> zijn d</w:t>
      </w:r>
      <w:r>
        <w:rPr>
          <w:sz w:val="18"/>
          <w:szCs w:val="18"/>
        </w:rPr>
        <w:t>e artikelen 3:8, 3:9 en 3:1</w:t>
      </w:r>
      <w:r w:rsidR="00E028E0">
        <w:rPr>
          <w:sz w:val="18"/>
          <w:szCs w:val="18"/>
        </w:rPr>
        <w:t xml:space="preserve">0 </w:t>
      </w:r>
      <w:r w:rsidR="00CE1B41">
        <w:rPr>
          <w:sz w:val="18"/>
          <w:szCs w:val="18"/>
        </w:rPr>
        <w:t xml:space="preserve">Wft </w:t>
      </w:r>
      <w:r w:rsidR="00E028E0">
        <w:rPr>
          <w:sz w:val="18"/>
          <w:szCs w:val="18"/>
        </w:rPr>
        <w:t xml:space="preserve">van overeenkomstige toepassing op bijkantoren van banken in een staat die geen lidstaat is. Deze bepalingen zullen ook van overeenkomstige toepassing zijn op </w:t>
      </w:r>
      <w:r w:rsidR="001C0C28">
        <w:rPr>
          <w:sz w:val="18"/>
          <w:szCs w:val="18"/>
        </w:rPr>
        <w:t>derde land</w:t>
      </w:r>
      <w:r w:rsidR="00E028E0">
        <w:rPr>
          <w:sz w:val="18"/>
          <w:szCs w:val="18"/>
        </w:rPr>
        <w:t xml:space="preserve"> bijkantoren </w:t>
      </w:r>
      <w:r w:rsidR="003B5107">
        <w:rPr>
          <w:sz w:val="18"/>
          <w:szCs w:val="18"/>
        </w:rPr>
        <w:t xml:space="preserve">gezien de vereisten aan de interne governance voor </w:t>
      </w:r>
      <w:r w:rsidR="001C0C28">
        <w:rPr>
          <w:sz w:val="18"/>
          <w:szCs w:val="18"/>
        </w:rPr>
        <w:t>derde land</w:t>
      </w:r>
      <w:r w:rsidR="003B5107">
        <w:rPr>
          <w:sz w:val="18"/>
          <w:szCs w:val="18"/>
        </w:rPr>
        <w:t xml:space="preserve"> bijkantoren op grond van artikel 48 octies CRD. </w:t>
      </w:r>
      <w:r w:rsidR="00E20327">
        <w:rPr>
          <w:sz w:val="18"/>
          <w:szCs w:val="18"/>
        </w:rPr>
        <w:t xml:space="preserve">De toetsing van de geschiktheid en betrouwbaarheid voor het </w:t>
      </w:r>
      <w:r w:rsidR="001C0C28">
        <w:rPr>
          <w:sz w:val="18"/>
          <w:szCs w:val="18"/>
        </w:rPr>
        <w:t>derde land</w:t>
      </w:r>
      <w:r w:rsidR="00E20327">
        <w:rPr>
          <w:sz w:val="18"/>
          <w:szCs w:val="18"/>
        </w:rPr>
        <w:t xml:space="preserve"> bijkantoor ziet op de twee beleidsbepalers die op grond van artikel 48 octies, eerste lid, CRD (en artikel 3:21 Wft) aanwezig moeten zijn.</w:t>
      </w:r>
    </w:p>
    <w:p w:rsidR="00E028E0" w:rsidP="001E56AB" w:rsidRDefault="00E028E0" w14:paraId="1B506255" w14:textId="77777777">
      <w:pPr>
        <w:widowControl w:val="0"/>
        <w:spacing w:line="240" w:lineRule="atLeast"/>
        <w:rPr>
          <w:sz w:val="18"/>
          <w:szCs w:val="18"/>
        </w:rPr>
      </w:pPr>
    </w:p>
    <w:p w:rsidR="007E3EF2" w:rsidP="001E56AB" w:rsidRDefault="00070306" w14:paraId="4FF2E0EF" w14:textId="1361333E">
      <w:pPr>
        <w:widowControl w:val="0"/>
        <w:spacing w:line="240" w:lineRule="atLeast"/>
        <w:rPr>
          <w:sz w:val="18"/>
          <w:szCs w:val="18"/>
        </w:rPr>
      </w:pPr>
      <w:r>
        <w:rPr>
          <w:sz w:val="18"/>
          <w:szCs w:val="18"/>
        </w:rPr>
        <w:t>DD</w:t>
      </w:r>
      <w:r w:rsidR="00195428">
        <w:rPr>
          <w:sz w:val="18"/>
          <w:szCs w:val="18"/>
        </w:rPr>
        <w:t xml:space="preserve"> </w:t>
      </w:r>
      <w:r w:rsidR="007E3EF2">
        <w:rPr>
          <w:sz w:val="18"/>
          <w:szCs w:val="18"/>
        </w:rPr>
        <w:t>(3:18a.1)</w:t>
      </w:r>
    </w:p>
    <w:p w:rsidR="007E3EF2" w:rsidP="001E56AB" w:rsidRDefault="007E3EF2" w14:paraId="4269D829" w14:textId="77777777">
      <w:pPr>
        <w:widowControl w:val="0"/>
        <w:spacing w:line="240" w:lineRule="atLeast"/>
        <w:rPr>
          <w:sz w:val="18"/>
          <w:szCs w:val="18"/>
        </w:rPr>
      </w:pPr>
    </w:p>
    <w:p w:rsidR="007E3EF2" w:rsidP="001E56AB" w:rsidRDefault="007E3EF2" w14:paraId="34307DA7" w14:textId="077056A6">
      <w:pPr>
        <w:widowControl w:val="0"/>
        <w:spacing w:line="240" w:lineRule="atLeast"/>
        <w:rPr>
          <w:sz w:val="18"/>
          <w:szCs w:val="18"/>
        </w:rPr>
      </w:pPr>
      <w:r>
        <w:rPr>
          <w:sz w:val="18"/>
          <w:szCs w:val="18"/>
        </w:rPr>
        <w:t>Artikel 3:18a.1</w:t>
      </w:r>
      <w:r w:rsidR="00BF6713">
        <w:rPr>
          <w:sz w:val="18"/>
          <w:szCs w:val="18"/>
        </w:rPr>
        <w:t xml:space="preserve"> Wft</w:t>
      </w:r>
      <w:r>
        <w:rPr>
          <w:sz w:val="18"/>
          <w:szCs w:val="18"/>
        </w:rPr>
        <w:t xml:space="preserve"> wordt nieuw ingevoegd ter implementatie van artikel 100, derde lid, CRD. Hierin is voorgeschreven dat banken, beleggingsondernemingen onder de verordening kapitaalvereisten en andere partijen </w:t>
      </w:r>
      <w:r w:rsidR="00EB1D47">
        <w:rPr>
          <w:sz w:val="18"/>
          <w:szCs w:val="18"/>
        </w:rPr>
        <w:t xml:space="preserve">die in het kader van stresstests optreden in een raadgevende functie voor banken of beleggingsondernemingen onder de verordening kapitaalvereisten </w:t>
      </w:r>
      <w:r>
        <w:rPr>
          <w:sz w:val="18"/>
          <w:szCs w:val="18"/>
        </w:rPr>
        <w:t xml:space="preserve">zich onthouden, in het kader van stresstesten </w:t>
      </w:r>
      <w:r w:rsidR="00B158B9">
        <w:rPr>
          <w:sz w:val="18"/>
          <w:szCs w:val="18"/>
        </w:rPr>
        <w:t xml:space="preserve">voor toezichtdoeleinden </w:t>
      </w:r>
      <w:r>
        <w:rPr>
          <w:sz w:val="18"/>
          <w:szCs w:val="18"/>
        </w:rPr>
        <w:t>van belemmerende gedragingen</w:t>
      </w:r>
      <w:r w:rsidR="00B158B9">
        <w:rPr>
          <w:sz w:val="18"/>
          <w:szCs w:val="18"/>
        </w:rPr>
        <w:t xml:space="preserve">. </w:t>
      </w:r>
      <w:r w:rsidR="00FA4310">
        <w:rPr>
          <w:sz w:val="18"/>
          <w:szCs w:val="18"/>
        </w:rPr>
        <w:t>Belemmerende gedragingen zijn bijvoorbeeld benchmarking, onderlinge uitwisseling van informatie, afspraken over gemeenschappelijk gedrag of optimalisering van hun bijdragen met als doel het belemmeren van die stresstesten. Voor de duidelijkheid ziet dit alleen op de stresstesten uitgevoerd door de toezichthouder, en niet op de interne stresstesten.</w:t>
      </w:r>
    </w:p>
    <w:p w:rsidR="007E3EF2" w:rsidP="001E56AB" w:rsidRDefault="007E3EF2" w14:paraId="4B74B24F" w14:textId="77777777">
      <w:pPr>
        <w:widowControl w:val="0"/>
        <w:spacing w:line="240" w:lineRule="atLeast"/>
        <w:rPr>
          <w:sz w:val="18"/>
          <w:szCs w:val="18"/>
        </w:rPr>
      </w:pPr>
    </w:p>
    <w:p w:rsidRPr="00A6284F" w:rsidR="001E56AB" w:rsidP="001E56AB" w:rsidRDefault="00070306" w14:paraId="1F1A2F37" w14:textId="16D32BC1">
      <w:pPr>
        <w:widowControl w:val="0"/>
        <w:spacing w:line="240" w:lineRule="atLeast"/>
        <w:rPr>
          <w:sz w:val="18"/>
          <w:szCs w:val="18"/>
        </w:rPr>
      </w:pPr>
      <w:r>
        <w:rPr>
          <w:sz w:val="18"/>
          <w:szCs w:val="18"/>
        </w:rPr>
        <w:t>EE</w:t>
      </w:r>
      <w:r w:rsidRPr="00A6284F" w:rsidR="001E56AB">
        <w:rPr>
          <w:sz w:val="18"/>
          <w:szCs w:val="18"/>
        </w:rPr>
        <w:t xml:space="preserve"> (3:18ab</w:t>
      </w:r>
      <w:r w:rsidR="00195570">
        <w:rPr>
          <w:sz w:val="18"/>
          <w:szCs w:val="18"/>
        </w:rPr>
        <w:t>)</w:t>
      </w:r>
      <w:r w:rsidRPr="00A6284F" w:rsidR="001E56AB">
        <w:rPr>
          <w:sz w:val="18"/>
          <w:szCs w:val="18"/>
        </w:rPr>
        <w:t xml:space="preserve"> </w:t>
      </w:r>
    </w:p>
    <w:p w:rsidRPr="00A6284F" w:rsidR="001E56AB" w:rsidP="001E56AB" w:rsidRDefault="001E56AB" w14:paraId="4A9221AE" w14:textId="77777777">
      <w:pPr>
        <w:widowControl w:val="0"/>
        <w:spacing w:line="240" w:lineRule="atLeast"/>
        <w:rPr>
          <w:sz w:val="18"/>
          <w:szCs w:val="18"/>
        </w:rPr>
      </w:pPr>
    </w:p>
    <w:p w:rsidR="003C515F" w:rsidP="001E56AB" w:rsidRDefault="007A44BE" w14:paraId="64B89412" w14:textId="45765E9F">
      <w:pPr>
        <w:widowControl w:val="0"/>
        <w:spacing w:line="240" w:lineRule="atLeast"/>
        <w:rPr>
          <w:sz w:val="18"/>
          <w:szCs w:val="18"/>
        </w:rPr>
      </w:pPr>
      <w:r w:rsidRPr="00A6284F">
        <w:rPr>
          <w:sz w:val="18"/>
          <w:szCs w:val="18"/>
        </w:rPr>
        <w:t>Artikel 3:18ab</w:t>
      </w:r>
      <w:r w:rsidR="00CE1B41">
        <w:rPr>
          <w:sz w:val="18"/>
          <w:szCs w:val="18"/>
        </w:rPr>
        <w:t xml:space="preserve"> Wft</w:t>
      </w:r>
      <w:r w:rsidRPr="00A6284F">
        <w:rPr>
          <w:sz w:val="18"/>
          <w:szCs w:val="18"/>
        </w:rPr>
        <w:t xml:space="preserve"> wordt ingevoegd i</w:t>
      </w:r>
      <w:r>
        <w:rPr>
          <w:sz w:val="18"/>
          <w:szCs w:val="18"/>
        </w:rPr>
        <w:t xml:space="preserve">n de Wft ter implementatie van artikel 48 quindecies CRD. Dit artikel voorziet in het uitvoeren van de toetsing en evaluatie door de toezichthouder van de regelingen, strategieën, processen en mechanismen die het </w:t>
      </w:r>
      <w:r w:rsidR="001C0C28">
        <w:rPr>
          <w:sz w:val="18"/>
          <w:szCs w:val="18"/>
        </w:rPr>
        <w:t>derde land</w:t>
      </w:r>
      <w:r>
        <w:rPr>
          <w:sz w:val="18"/>
          <w:szCs w:val="18"/>
        </w:rPr>
        <w:t xml:space="preserve"> </w:t>
      </w:r>
      <w:r w:rsidR="00307E30">
        <w:rPr>
          <w:sz w:val="18"/>
          <w:szCs w:val="18"/>
        </w:rPr>
        <w:t>bijkantoor</w:t>
      </w:r>
      <w:r>
        <w:rPr>
          <w:sz w:val="18"/>
          <w:szCs w:val="18"/>
        </w:rPr>
        <w:t xml:space="preserve"> uitvoert. </w:t>
      </w:r>
      <w:r w:rsidR="000A2674">
        <w:rPr>
          <w:sz w:val="18"/>
          <w:szCs w:val="18"/>
        </w:rPr>
        <w:t>Dit is</w:t>
      </w:r>
      <w:r>
        <w:rPr>
          <w:sz w:val="18"/>
          <w:szCs w:val="18"/>
        </w:rPr>
        <w:t xml:space="preserve"> gelijkend aan het standaard Supervisory Review and Evaluation Process (SREP) voor </w:t>
      </w:r>
      <w:r w:rsidR="00307E30">
        <w:rPr>
          <w:sz w:val="18"/>
          <w:szCs w:val="18"/>
        </w:rPr>
        <w:t xml:space="preserve">in Nederland </w:t>
      </w:r>
      <w:r>
        <w:rPr>
          <w:sz w:val="18"/>
          <w:szCs w:val="18"/>
        </w:rPr>
        <w:t>gezetelde banken</w:t>
      </w:r>
      <w:r w:rsidR="003C515F">
        <w:rPr>
          <w:sz w:val="18"/>
          <w:szCs w:val="18"/>
        </w:rPr>
        <w:t xml:space="preserve"> uit artikel 3:18a Wft</w:t>
      </w:r>
      <w:r>
        <w:rPr>
          <w:sz w:val="18"/>
          <w:szCs w:val="18"/>
        </w:rPr>
        <w:t xml:space="preserve">. </w:t>
      </w:r>
    </w:p>
    <w:p w:rsidR="003C515F" w:rsidP="001E56AB" w:rsidRDefault="003C515F" w14:paraId="3199680D" w14:textId="77777777">
      <w:pPr>
        <w:widowControl w:val="0"/>
        <w:spacing w:line="240" w:lineRule="atLeast"/>
        <w:rPr>
          <w:sz w:val="18"/>
          <w:szCs w:val="18"/>
        </w:rPr>
      </w:pPr>
    </w:p>
    <w:p w:rsidR="003C515F" w:rsidP="001E56AB" w:rsidRDefault="007A44BE" w14:paraId="66AE4F5A" w14:textId="77A2F650">
      <w:pPr>
        <w:widowControl w:val="0"/>
        <w:spacing w:line="240" w:lineRule="atLeast"/>
        <w:rPr>
          <w:sz w:val="18"/>
          <w:szCs w:val="18"/>
        </w:rPr>
      </w:pPr>
      <w:r>
        <w:rPr>
          <w:sz w:val="18"/>
          <w:szCs w:val="18"/>
        </w:rPr>
        <w:t xml:space="preserve">Het eerste lid van artikel 3:18ab Wft schrijft voor dat DNB periodiek controleert of het </w:t>
      </w:r>
      <w:r w:rsidR="001C0C28">
        <w:rPr>
          <w:sz w:val="18"/>
          <w:szCs w:val="18"/>
        </w:rPr>
        <w:t>derde land</w:t>
      </w:r>
      <w:r>
        <w:rPr>
          <w:sz w:val="18"/>
          <w:szCs w:val="18"/>
        </w:rPr>
        <w:t xml:space="preserve"> bijkantoor voldoet aan de vereisten bedoeld in artikel 2:21, eerste lid</w:t>
      </w:r>
      <w:r w:rsidR="00307E30">
        <w:rPr>
          <w:sz w:val="18"/>
          <w:szCs w:val="18"/>
        </w:rPr>
        <w:t>, Wft</w:t>
      </w:r>
      <w:r>
        <w:rPr>
          <w:sz w:val="18"/>
          <w:szCs w:val="18"/>
        </w:rPr>
        <w:t xml:space="preserve">. </w:t>
      </w:r>
    </w:p>
    <w:p w:rsidR="003C515F" w:rsidP="001E56AB" w:rsidRDefault="003C515F" w14:paraId="14E91297" w14:textId="77777777">
      <w:pPr>
        <w:widowControl w:val="0"/>
        <w:spacing w:line="240" w:lineRule="atLeast"/>
        <w:rPr>
          <w:sz w:val="18"/>
          <w:szCs w:val="18"/>
        </w:rPr>
      </w:pPr>
    </w:p>
    <w:p w:rsidR="007A44BE" w:rsidP="001E56AB" w:rsidRDefault="001F11ED" w14:paraId="63C36CFA" w14:textId="15F58FA5">
      <w:pPr>
        <w:widowControl w:val="0"/>
        <w:spacing w:line="240" w:lineRule="atLeast"/>
        <w:rPr>
          <w:sz w:val="18"/>
          <w:szCs w:val="18"/>
        </w:rPr>
      </w:pPr>
      <w:r>
        <w:rPr>
          <w:sz w:val="18"/>
          <w:szCs w:val="18"/>
        </w:rPr>
        <w:t xml:space="preserve">Het tweede lid bepaalt dat DNB op grond van de evaluatie in het eerste lid beoordeelt of een </w:t>
      </w:r>
      <w:r w:rsidR="001C0C28">
        <w:rPr>
          <w:sz w:val="18"/>
          <w:szCs w:val="18"/>
        </w:rPr>
        <w:t>derde land</w:t>
      </w:r>
      <w:r>
        <w:rPr>
          <w:sz w:val="18"/>
          <w:szCs w:val="18"/>
        </w:rPr>
        <w:t xml:space="preserve"> bijkantoor haar bedrijfsvoering op orde heeft, en de aangehouden liquiditeit en solvabiliteit een degelijk beheer, solide dekking en levensvatbaarheid van het bijkantoor waarborgen. De evaluatie uit het tweede lid kan gebruikt </w:t>
      </w:r>
      <w:r w:rsidRPr="00E364F8">
        <w:rPr>
          <w:sz w:val="18"/>
          <w:szCs w:val="18"/>
        </w:rPr>
        <w:t xml:space="preserve">worden als informatie om na te gaan of het nodig is om maatregelen op te leggen op grond van het nieuwe artikel 3:111a.1 Wft (zie onderdeel </w:t>
      </w:r>
      <w:r w:rsidR="009B7432">
        <w:rPr>
          <w:sz w:val="18"/>
          <w:szCs w:val="18"/>
        </w:rPr>
        <w:t>QQQ</w:t>
      </w:r>
      <w:r w:rsidRPr="00E364F8">
        <w:rPr>
          <w:sz w:val="18"/>
          <w:szCs w:val="18"/>
        </w:rPr>
        <w:t>).</w:t>
      </w:r>
    </w:p>
    <w:p w:rsidR="003C515F" w:rsidP="001E56AB" w:rsidRDefault="003C515F" w14:paraId="2E47AEE8" w14:textId="77777777">
      <w:pPr>
        <w:widowControl w:val="0"/>
        <w:spacing w:line="240" w:lineRule="atLeast"/>
        <w:rPr>
          <w:sz w:val="18"/>
          <w:szCs w:val="18"/>
        </w:rPr>
      </w:pPr>
    </w:p>
    <w:p w:rsidR="003C515F" w:rsidP="001E56AB" w:rsidRDefault="003C515F" w14:paraId="5F5E5BF5" w14:textId="7AC362BE">
      <w:pPr>
        <w:widowControl w:val="0"/>
        <w:spacing w:line="240" w:lineRule="atLeast"/>
        <w:rPr>
          <w:sz w:val="18"/>
          <w:szCs w:val="18"/>
        </w:rPr>
      </w:pPr>
      <w:r>
        <w:rPr>
          <w:sz w:val="18"/>
          <w:szCs w:val="18"/>
        </w:rPr>
        <w:t>Het derde lid van artikel 3:18ab</w:t>
      </w:r>
      <w:r w:rsidR="00CE1B41">
        <w:rPr>
          <w:sz w:val="18"/>
          <w:szCs w:val="18"/>
        </w:rPr>
        <w:t xml:space="preserve"> Wft</w:t>
      </w:r>
      <w:r>
        <w:rPr>
          <w:sz w:val="18"/>
          <w:szCs w:val="18"/>
        </w:rPr>
        <w:t xml:space="preserve"> schrijft voor dat DNB de frequentie en omvang van de SREP afstemt op de aard, omvang, complexiteit en classificatie van het bijkantoor. Hiermee kan enige mate van proportionaliteit worden betracht door de toezichthouder</w:t>
      </w:r>
      <w:r w:rsidR="00307E30">
        <w:rPr>
          <w:sz w:val="18"/>
          <w:szCs w:val="18"/>
        </w:rPr>
        <w:t xml:space="preserve"> zoals vereist door artikel 48 quindecies, derde lid, CRD.</w:t>
      </w:r>
    </w:p>
    <w:p w:rsidR="003C515F" w:rsidP="001E56AB" w:rsidRDefault="003C515F" w14:paraId="26E26594" w14:textId="77777777">
      <w:pPr>
        <w:widowControl w:val="0"/>
        <w:spacing w:line="240" w:lineRule="atLeast"/>
        <w:rPr>
          <w:sz w:val="18"/>
          <w:szCs w:val="18"/>
        </w:rPr>
      </w:pPr>
    </w:p>
    <w:p w:rsidR="00307E30" w:rsidP="001E56AB" w:rsidRDefault="00070306" w14:paraId="07B81103" w14:textId="1FC08A9E">
      <w:pPr>
        <w:widowControl w:val="0"/>
        <w:spacing w:line="240" w:lineRule="atLeast"/>
        <w:rPr>
          <w:sz w:val="18"/>
          <w:szCs w:val="18"/>
        </w:rPr>
      </w:pPr>
      <w:r>
        <w:rPr>
          <w:sz w:val="18"/>
          <w:szCs w:val="18"/>
        </w:rPr>
        <w:t>FF</w:t>
      </w:r>
      <w:r w:rsidR="00307E30">
        <w:rPr>
          <w:sz w:val="18"/>
          <w:szCs w:val="18"/>
        </w:rPr>
        <w:t xml:space="preserve"> (3:21)</w:t>
      </w:r>
    </w:p>
    <w:p w:rsidR="00307E30" w:rsidP="001E56AB" w:rsidRDefault="00307E30" w14:paraId="2692E2EB" w14:textId="77777777">
      <w:pPr>
        <w:widowControl w:val="0"/>
        <w:spacing w:line="240" w:lineRule="atLeast"/>
        <w:rPr>
          <w:sz w:val="18"/>
          <w:szCs w:val="18"/>
        </w:rPr>
      </w:pPr>
    </w:p>
    <w:p w:rsidR="00307E30" w:rsidP="001E56AB" w:rsidRDefault="00307E30" w14:paraId="3794100E" w14:textId="78002C85">
      <w:pPr>
        <w:widowControl w:val="0"/>
        <w:spacing w:line="240" w:lineRule="atLeast"/>
        <w:rPr>
          <w:sz w:val="18"/>
          <w:szCs w:val="18"/>
        </w:rPr>
      </w:pPr>
      <w:r>
        <w:rPr>
          <w:sz w:val="18"/>
          <w:szCs w:val="18"/>
        </w:rPr>
        <w:t>In artikel 3:21, eerste lid,</w:t>
      </w:r>
      <w:r w:rsidR="00992744">
        <w:rPr>
          <w:sz w:val="18"/>
          <w:szCs w:val="18"/>
        </w:rPr>
        <w:t xml:space="preserve"> Wft</w:t>
      </w:r>
      <w:r>
        <w:rPr>
          <w:sz w:val="18"/>
          <w:szCs w:val="18"/>
        </w:rPr>
        <w:t xml:space="preserve"> </w:t>
      </w:r>
      <w:r w:rsidRPr="00C06DF6" w:rsidR="00992744">
        <w:rPr>
          <w:sz w:val="18"/>
          <w:szCs w:val="18"/>
        </w:rPr>
        <w:t>wordt “van een bank met zetel in een staat die geen lidstaat is” vervangen door “met een vergunning als bedoeld in artikel 2:20, eerste lid”</w:t>
      </w:r>
      <w:r w:rsidR="00992744">
        <w:rPr>
          <w:sz w:val="18"/>
          <w:szCs w:val="18"/>
        </w:rPr>
        <w:t>.</w:t>
      </w:r>
      <w:r w:rsidR="00A715FD">
        <w:rPr>
          <w:sz w:val="18"/>
          <w:szCs w:val="18"/>
        </w:rPr>
        <w:t xml:space="preserve"> Dit artikel stelt dat ten minste twee natuurlijke personen het dagelijks beleid bepalen van een </w:t>
      </w:r>
      <w:r w:rsidR="001C0C28">
        <w:rPr>
          <w:sz w:val="18"/>
          <w:szCs w:val="18"/>
        </w:rPr>
        <w:t>derde land</w:t>
      </w:r>
      <w:r w:rsidR="00A715FD">
        <w:rPr>
          <w:sz w:val="18"/>
          <w:szCs w:val="18"/>
        </w:rPr>
        <w:t xml:space="preserve"> bijkantoor (eerste lid) en dat deze personen zich in Nederland bevinden (tweede lid). Hiermee is artikel 48 octies, eerste lid, eerste zin, CRD geïmplementeerd.</w:t>
      </w:r>
    </w:p>
    <w:p w:rsidRPr="00A6284F" w:rsidR="00992744" w:rsidP="001E56AB" w:rsidRDefault="00992744" w14:paraId="52C30C0D" w14:textId="77777777">
      <w:pPr>
        <w:widowControl w:val="0"/>
        <w:spacing w:line="240" w:lineRule="atLeast"/>
        <w:rPr>
          <w:sz w:val="18"/>
          <w:szCs w:val="18"/>
        </w:rPr>
      </w:pPr>
    </w:p>
    <w:p w:rsidRPr="00A6284F" w:rsidR="001E56AB" w:rsidP="001E56AB" w:rsidRDefault="00070306" w14:paraId="4B54BF18" w14:textId="4CC0A92F">
      <w:pPr>
        <w:widowControl w:val="0"/>
        <w:spacing w:line="240" w:lineRule="atLeast"/>
        <w:rPr>
          <w:sz w:val="18"/>
          <w:szCs w:val="18"/>
        </w:rPr>
      </w:pPr>
      <w:r>
        <w:rPr>
          <w:sz w:val="18"/>
          <w:szCs w:val="18"/>
        </w:rPr>
        <w:t>GG</w:t>
      </w:r>
      <w:r w:rsidRPr="00A6284F" w:rsidR="001E56AB">
        <w:rPr>
          <w:sz w:val="18"/>
          <w:szCs w:val="18"/>
        </w:rPr>
        <w:t xml:space="preserve"> </w:t>
      </w:r>
      <w:r w:rsidR="0009394A">
        <w:rPr>
          <w:sz w:val="18"/>
          <w:szCs w:val="18"/>
        </w:rPr>
        <w:t xml:space="preserve">en </w:t>
      </w:r>
      <w:r>
        <w:rPr>
          <w:sz w:val="18"/>
          <w:szCs w:val="18"/>
        </w:rPr>
        <w:t>HH</w:t>
      </w:r>
      <w:r w:rsidR="0009394A">
        <w:rPr>
          <w:sz w:val="18"/>
          <w:szCs w:val="18"/>
        </w:rPr>
        <w:t xml:space="preserve"> </w:t>
      </w:r>
      <w:r w:rsidRPr="00A6284F" w:rsidR="001E56AB">
        <w:rPr>
          <w:sz w:val="18"/>
          <w:szCs w:val="18"/>
        </w:rPr>
        <w:t>(3:23</w:t>
      </w:r>
      <w:r w:rsidR="0009394A">
        <w:rPr>
          <w:sz w:val="18"/>
          <w:szCs w:val="18"/>
        </w:rPr>
        <w:t xml:space="preserve"> en 3:23a</w:t>
      </w:r>
      <w:r w:rsidRPr="00A6284F" w:rsidR="001E56AB">
        <w:rPr>
          <w:sz w:val="18"/>
          <w:szCs w:val="18"/>
        </w:rPr>
        <w:t>)</w:t>
      </w:r>
    </w:p>
    <w:p w:rsidRPr="00A6284F" w:rsidR="003C515F" w:rsidP="001E56AB" w:rsidRDefault="003C515F" w14:paraId="5AA3548E" w14:textId="77777777">
      <w:pPr>
        <w:widowControl w:val="0"/>
        <w:spacing w:line="240" w:lineRule="atLeast"/>
        <w:rPr>
          <w:sz w:val="18"/>
          <w:szCs w:val="18"/>
        </w:rPr>
      </w:pPr>
    </w:p>
    <w:p w:rsidRPr="00A6284F" w:rsidR="003C515F" w:rsidP="001E56AB" w:rsidRDefault="003C515F" w14:paraId="3ADD63F3" w14:textId="7D535220">
      <w:pPr>
        <w:widowControl w:val="0"/>
        <w:spacing w:line="240" w:lineRule="atLeast"/>
        <w:rPr>
          <w:sz w:val="18"/>
          <w:szCs w:val="18"/>
        </w:rPr>
      </w:pPr>
      <w:r w:rsidRPr="00A6284F">
        <w:rPr>
          <w:sz w:val="18"/>
          <w:szCs w:val="18"/>
        </w:rPr>
        <w:t>Artikel 3:23</w:t>
      </w:r>
      <w:r w:rsidR="00A715FD">
        <w:rPr>
          <w:sz w:val="18"/>
          <w:szCs w:val="18"/>
        </w:rPr>
        <w:t xml:space="preserve"> Wft</w:t>
      </w:r>
      <w:r w:rsidRPr="00A6284F">
        <w:rPr>
          <w:sz w:val="18"/>
          <w:szCs w:val="18"/>
        </w:rPr>
        <w:t xml:space="preserve"> bevat een</w:t>
      </w:r>
      <w:r>
        <w:rPr>
          <w:sz w:val="18"/>
          <w:szCs w:val="18"/>
        </w:rPr>
        <w:t xml:space="preserve"> schakelbepaling waarmee de artikelen uit de reeks 3:17 tot en met 3:18 Wft van overeenkomstige toepassing werden verklaard op enerzijds </w:t>
      </w:r>
      <w:r w:rsidR="008418EA">
        <w:rPr>
          <w:sz w:val="18"/>
          <w:szCs w:val="18"/>
        </w:rPr>
        <w:t>banken</w:t>
      </w:r>
      <w:r w:rsidR="001C0C28">
        <w:rPr>
          <w:sz w:val="18"/>
          <w:szCs w:val="18"/>
        </w:rPr>
        <w:t xml:space="preserve"> uit staten die geen lidstaat zijn</w:t>
      </w:r>
      <w:r>
        <w:rPr>
          <w:sz w:val="18"/>
          <w:szCs w:val="18"/>
        </w:rPr>
        <w:t xml:space="preserve"> en anderzijds de bijkantoren van </w:t>
      </w:r>
      <w:r w:rsidR="001C0C28">
        <w:rPr>
          <w:sz w:val="18"/>
          <w:szCs w:val="18"/>
        </w:rPr>
        <w:t>dergelijke</w:t>
      </w:r>
      <w:r>
        <w:rPr>
          <w:sz w:val="18"/>
          <w:szCs w:val="18"/>
        </w:rPr>
        <w:t xml:space="preserve"> banken. Omdat door de komst van het </w:t>
      </w:r>
      <w:r w:rsidR="001C0C28">
        <w:rPr>
          <w:sz w:val="18"/>
          <w:szCs w:val="18"/>
        </w:rPr>
        <w:t>derde land</w:t>
      </w:r>
      <w:r>
        <w:rPr>
          <w:sz w:val="18"/>
          <w:szCs w:val="18"/>
        </w:rPr>
        <w:t xml:space="preserve"> bijkantorenregime er geen sprake meer is van dat het altijd een bank is </w:t>
      </w:r>
      <w:r w:rsidR="001C0C28">
        <w:rPr>
          <w:sz w:val="18"/>
          <w:szCs w:val="18"/>
        </w:rPr>
        <w:t>de staat die geen lidstaat is</w:t>
      </w:r>
      <w:r>
        <w:rPr>
          <w:sz w:val="18"/>
          <w:szCs w:val="18"/>
        </w:rPr>
        <w:t xml:space="preserve">, komen de onderdelen twee en drie vervallen. Het tweede lid dat vervalt legde de vereisten uit de artikelen 3:17 en 3:18 </w:t>
      </w:r>
      <w:r w:rsidR="00CE1B41">
        <w:rPr>
          <w:sz w:val="18"/>
          <w:szCs w:val="18"/>
        </w:rPr>
        <w:t xml:space="preserve">Wft </w:t>
      </w:r>
      <w:r>
        <w:rPr>
          <w:sz w:val="18"/>
          <w:szCs w:val="18"/>
        </w:rPr>
        <w:t xml:space="preserve">op aan de moederonderneming in een staat die geen lidstaat is, omdat deze vereisten niet voldaan konden worden door het bijkantoor van een dergelijke bank in Nederland. De artikelen 3:17b en 3:17c </w:t>
      </w:r>
      <w:r w:rsidR="00CE1B41">
        <w:rPr>
          <w:sz w:val="18"/>
          <w:szCs w:val="18"/>
        </w:rPr>
        <w:t xml:space="preserve">Wft </w:t>
      </w:r>
      <w:r>
        <w:rPr>
          <w:sz w:val="18"/>
          <w:szCs w:val="18"/>
        </w:rPr>
        <w:t>konden wel door het bijkantoor zelf worden voldaan, wat de reden is dat deze vereisten op het bijkantoor zelf kwamen te rusten middels het derde lid van artikel 3:23</w:t>
      </w:r>
      <w:r w:rsidR="00CE1B41">
        <w:rPr>
          <w:sz w:val="18"/>
          <w:szCs w:val="18"/>
        </w:rPr>
        <w:t xml:space="preserve"> Wft</w:t>
      </w:r>
      <w:r>
        <w:rPr>
          <w:sz w:val="18"/>
          <w:szCs w:val="18"/>
        </w:rPr>
        <w:t xml:space="preserve">. Alle vereisten komen onder het nieuwe regime op het </w:t>
      </w:r>
      <w:r w:rsidR="001C0C28">
        <w:rPr>
          <w:sz w:val="18"/>
          <w:szCs w:val="18"/>
        </w:rPr>
        <w:t>derde land</w:t>
      </w:r>
      <w:r>
        <w:rPr>
          <w:sz w:val="18"/>
          <w:szCs w:val="18"/>
        </w:rPr>
        <w:t xml:space="preserve"> bijkantoor zelf te rusten</w:t>
      </w:r>
      <w:r w:rsidRPr="00A715FD">
        <w:rPr>
          <w:sz w:val="18"/>
          <w:szCs w:val="18"/>
        </w:rPr>
        <w:t>,</w:t>
      </w:r>
      <w:r>
        <w:rPr>
          <w:sz w:val="18"/>
          <w:szCs w:val="18"/>
        </w:rPr>
        <w:t xml:space="preserve"> waardoor het tweede en derde lid van artikel 3:23</w:t>
      </w:r>
      <w:r w:rsidR="00CE1B41">
        <w:rPr>
          <w:sz w:val="18"/>
          <w:szCs w:val="18"/>
        </w:rPr>
        <w:t xml:space="preserve"> Wft</w:t>
      </w:r>
      <w:r>
        <w:rPr>
          <w:sz w:val="18"/>
          <w:szCs w:val="18"/>
        </w:rPr>
        <w:t xml:space="preserve"> niet meer nodig zijn. Door het vervallen van het tweede en derde lid kan ook de aanduiding “1.” voor het eerste lid vervallen. </w:t>
      </w:r>
    </w:p>
    <w:p w:rsidRPr="00A6284F" w:rsidR="001E56AB" w:rsidP="001E56AB" w:rsidRDefault="001E56AB" w14:paraId="0D33E8F8" w14:textId="77777777">
      <w:pPr>
        <w:widowControl w:val="0"/>
        <w:spacing w:line="240" w:lineRule="atLeast"/>
        <w:rPr>
          <w:sz w:val="18"/>
          <w:szCs w:val="18"/>
        </w:rPr>
      </w:pPr>
    </w:p>
    <w:p w:rsidR="007A516F" w:rsidP="001E56AB" w:rsidRDefault="003C515F" w14:paraId="1E4D1C59" w14:textId="78EBB825">
      <w:pPr>
        <w:widowControl w:val="0"/>
        <w:spacing w:line="240" w:lineRule="atLeast"/>
        <w:rPr>
          <w:sz w:val="18"/>
          <w:szCs w:val="18"/>
        </w:rPr>
      </w:pPr>
      <w:r>
        <w:rPr>
          <w:sz w:val="18"/>
          <w:szCs w:val="18"/>
        </w:rPr>
        <w:t xml:space="preserve">Artikel 3:23a </w:t>
      </w:r>
      <w:r w:rsidR="00CE1B41">
        <w:rPr>
          <w:sz w:val="18"/>
          <w:szCs w:val="18"/>
        </w:rPr>
        <w:t xml:space="preserve">Wft </w:t>
      </w:r>
      <w:r>
        <w:rPr>
          <w:sz w:val="18"/>
          <w:szCs w:val="18"/>
        </w:rPr>
        <w:t>wordt ingevoegd ter vervanging van de bepalingen in artikel 3:23</w:t>
      </w:r>
      <w:r w:rsidR="00CE1B41">
        <w:rPr>
          <w:sz w:val="18"/>
          <w:szCs w:val="18"/>
        </w:rPr>
        <w:t xml:space="preserve"> Wft</w:t>
      </w:r>
      <w:r>
        <w:rPr>
          <w:sz w:val="18"/>
          <w:szCs w:val="18"/>
        </w:rPr>
        <w:t xml:space="preserve">. Op het </w:t>
      </w:r>
      <w:r w:rsidR="001C0C28">
        <w:rPr>
          <w:sz w:val="18"/>
          <w:szCs w:val="18"/>
        </w:rPr>
        <w:t>derde land</w:t>
      </w:r>
      <w:r>
        <w:rPr>
          <w:sz w:val="18"/>
          <w:szCs w:val="18"/>
        </w:rPr>
        <w:t xml:space="preserve"> bijkantoor worden de artikelen 3:17 tot en met 3:18 </w:t>
      </w:r>
      <w:r w:rsidR="00CE1B41">
        <w:rPr>
          <w:sz w:val="18"/>
          <w:szCs w:val="18"/>
        </w:rPr>
        <w:t xml:space="preserve">Wft </w:t>
      </w:r>
      <w:r>
        <w:rPr>
          <w:sz w:val="18"/>
          <w:szCs w:val="18"/>
        </w:rPr>
        <w:t xml:space="preserve">van overeenkomstige toepassing verklaard. Hiermee moeten </w:t>
      </w:r>
      <w:r w:rsidR="001C0C28">
        <w:rPr>
          <w:sz w:val="18"/>
          <w:szCs w:val="18"/>
        </w:rPr>
        <w:t>derde land</w:t>
      </w:r>
      <w:r>
        <w:rPr>
          <w:sz w:val="18"/>
          <w:szCs w:val="18"/>
        </w:rPr>
        <w:t xml:space="preserve"> b</w:t>
      </w:r>
      <w:r w:rsidR="00C9706C">
        <w:rPr>
          <w:sz w:val="18"/>
          <w:szCs w:val="18"/>
        </w:rPr>
        <w:t>ijkantoren</w:t>
      </w:r>
      <w:r>
        <w:rPr>
          <w:sz w:val="18"/>
          <w:szCs w:val="18"/>
        </w:rPr>
        <w:t xml:space="preserve"> dus voldoen aan de bepalingen omtrent de beheerste en integ</w:t>
      </w:r>
      <w:r w:rsidR="007A516F">
        <w:rPr>
          <w:sz w:val="18"/>
          <w:szCs w:val="18"/>
        </w:rPr>
        <w:t>ere bedrijfsvoering (3:17</w:t>
      </w:r>
      <w:r w:rsidR="00CE1B41">
        <w:rPr>
          <w:sz w:val="18"/>
          <w:szCs w:val="18"/>
        </w:rPr>
        <w:t xml:space="preserve"> Wft</w:t>
      </w:r>
      <w:r w:rsidR="007A516F">
        <w:rPr>
          <w:sz w:val="18"/>
          <w:szCs w:val="18"/>
        </w:rPr>
        <w:t>), de eed (3:17b</w:t>
      </w:r>
      <w:r w:rsidR="00CE1B41">
        <w:rPr>
          <w:sz w:val="18"/>
          <w:szCs w:val="18"/>
        </w:rPr>
        <w:t xml:space="preserve"> Wft</w:t>
      </w:r>
      <w:r w:rsidR="007A516F">
        <w:rPr>
          <w:sz w:val="18"/>
          <w:szCs w:val="18"/>
        </w:rPr>
        <w:t>), de tuchtrechtregeling (3:17c</w:t>
      </w:r>
      <w:r w:rsidR="00CE1B41">
        <w:rPr>
          <w:sz w:val="18"/>
          <w:szCs w:val="18"/>
        </w:rPr>
        <w:t xml:space="preserve"> Wft</w:t>
      </w:r>
      <w:r w:rsidR="007A516F">
        <w:rPr>
          <w:sz w:val="18"/>
          <w:szCs w:val="18"/>
        </w:rPr>
        <w:t>) en uitbesteding (3:18</w:t>
      </w:r>
      <w:r w:rsidR="00CE1B41">
        <w:rPr>
          <w:sz w:val="18"/>
          <w:szCs w:val="18"/>
        </w:rPr>
        <w:t xml:space="preserve"> Wft</w:t>
      </w:r>
      <w:r w:rsidR="007A516F">
        <w:rPr>
          <w:sz w:val="18"/>
          <w:szCs w:val="18"/>
        </w:rPr>
        <w:t>).</w:t>
      </w:r>
      <w:r w:rsidR="00E9669E">
        <w:rPr>
          <w:sz w:val="18"/>
          <w:szCs w:val="18"/>
        </w:rPr>
        <w:t xml:space="preserve"> Hiermee wordt tevens de optie mogelijk om op het niveau van algemene maatregel van bestuur nadere invulling te geven aan </w:t>
      </w:r>
      <w:r w:rsidR="00D750A0">
        <w:rPr>
          <w:sz w:val="18"/>
          <w:szCs w:val="18"/>
        </w:rPr>
        <w:t>de bedrijfsvoering en uitbesteding.</w:t>
      </w:r>
    </w:p>
    <w:p w:rsidR="00E9669E" w:rsidP="001E56AB" w:rsidRDefault="00E9669E" w14:paraId="6C512CB4" w14:textId="77777777">
      <w:pPr>
        <w:widowControl w:val="0"/>
        <w:spacing w:line="240" w:lineRule="atLeast"/>
        <w:rPr>
          <w:sz w:val="18"/>
          <w:szCs w:val="18"/>
        </w:rPr>
      </w:pPr>
    </w:p>
    <w:p w:rsidR="00E9669E" w:rsidP="001E56AB" w:rsidRDefault="00E9669E" w14:paraId="3383693A" w14:textId="4BA4A69C">
      <w:pPr>
        <w:widowControl w:val="0"/>
        <w:spacing w:line="240" w:lineRule="atLeast"/>
        <w:rPr>
          <w:sz w:val="18"/>
          <w:szCs w:val="18"/>
        </w:rPr>
      </w:pPr>
      <w:r>
        <w:rPr>
          <w:sz w:val="18"/>
          <w:szCs w:val="18"/>
        </w:rPr>
        <w:t xml:space="preserve">In het tweede lid is de mogelijkheid opgenomen dat DNB nadere eisen oplegt als bedoeld in artikel 48 octies, tweede en derde lid, CRD. Dit betreft de bevoegdheid om </w:t>
      </w:r>
      <w:r w:rsidR="007E593F">
        <w:rPr>
          <w:sz w:val="18"/>
          <w:szCs w:val="18"/>
        </w:rPr>
        <w:t>een klasse 1-</w:t>
      </w:r>
      <w:r>
        <w:rPr>
          <w:sz w:val="18"/>
          <w:szCs w:val="18"/>
        </w:rPr>
        <w:t xml:space="preserve">bijkantoor te verplichten een plaatselijk beheerscomité op te richten of van </w:t>
      </w:r>
      <w:r w:rsidR="007E593F">
        <w:rPr>
          <w:sz w:val="18"/>
          <w:szCs w:val="18"/>
        </w:rPr>
        <w:t xml:space="preserve">een </w:t>
      </w:r>
      <w:r>
        <w:rPr>
          <w:sz w:val="18"/>
          <w:szCs w:val="18"/>
        </w:rPr>
        <w:t>klasse 2-bijkanto</w:t>
      </w:r>
      <w:r w:rsidR="007E593F">
        <w:rPr>
          <w:sz w:val="18"/>
          <w:szCs w:val="18"/>
        </w:rPr>
        <w:t>o</w:t>
      </w:r>
      <w:r>
        <w:rPr>
          <w:sz w:val="18"/>
          <w:szCs w:val="18"/>
        </w:rPr>
        <w:t>r</w:t>
      </w:r>
      <w:r w:rsidR="007E593F">
        <w:rPr>
          <w:sz w:val="18"/>
          <w:szCs w:val="18"/>
        </w:rPr>
        <w:t xml:space="preserve"> te</w:t>
      </w:r>
      <w:r>
        <w:rPr>
          <w:sz w:val="18"/>
          <w:szCs w:val="18"/>
        </w:rPr>
        <w:t xml:space="preserve"> verlangen dat zij hoofden van internecontrolefuncties aanstelt.</w:t>
      </w:r>
    </w:p>
    <w:p w:rsidR="007A516F" w:rsidP="001E56AB" w:rsidRDefault="007A516F" w14:paraId="647B3D36" w14:textId="77777777">
      <w:pPr>
        <w:widowControl w:val="0"/>
        <w:spacing w:line="240" w:lineRule="atLeast"/>
        <w:rPr>
          <w:sz w:val="18"/>
          <w:szCs w:val="18"/>
        </w:rPr>
      </w:pPr>
    </w:p>
    <w:p w:rsidR="007A516F" w:rsidP="001E56AB" w:rsidRDefault="007A516F" w14:paraId="29B5CE1A" w14:textId="3C5DECFF">
      <w:pPr>
        <w:widowControl w:val="0"/>
        <w:spacing w:line="240" w:lineRule="atLeast"/>
        <w:rPr>
          <w:sz w:val="18"/>
          <w:szCs w:val="18"/>
        </w:rPr>
      </w:pPr>
      <w:r>
        <w:rPr>
          <w:sz w:val="18"/>
          <w:szCs w:val="18"/>
        </w:rPr>
        <w:t xml:space="preserve">Op grond van het </w:t>
      </w:r>
      <w:r w:rsidR="00E9669E">
        <w:rPr>
          <w:sz w:val="18"/>
          <w:szCs w:val="18"/>
        </w:rPr>
        <w:t>derde</w:t>
      </w:r>
      <w:r>
        <w:rPr>
          <w:sz w:val="18"/>
          <w:szCs w:val="18"/>
        </w:rPr>
        <w:t xml:space="preserve"> lid dient een </w:t>
      </w:r>
      <w:r w:rsidR="001C0C28">
        <w:rPr>
          <w:sz w:val="18"/>
          <w:szCs w:val="18"/>
        </w:rPr>
        <w:t>derde land</w:t>
      </w:r>
      <w:r>
        <w:rPr>
          <w:sz w:val="18"/>
          <w:szCs w:val="18"/>
        </w:rPr>
        <w:t xml:space="preserve"> bijkantoor ervoor te zorgen dat er regelmatig een </w:t>
      </w:r>
      <w:r w:rsidR="00BF6713">
        <w:rPr>
          <w:sz w:val="18"/>
          <w:szCs w:val="18"/>
        </w:rPr>
        <w:t xml:space="preserve">beoordeling door een onafhankelijke derde plaatsvindt </w:t>
      </w:r>
      <w:r>
        <w:rPr>
          <w:sz w:val="18"/>
          <w:szCs w:val="18"/>
        </w:rPr>
        <w:t xml:space="preserve">waarbij gecontroleerd wordt of het </w:t>
      </w:r>
      <w:r w:rsidR="001C0C28">
        <w:rPr>
          <w:sz w:val="18"/>
          <w:szCs w:val="18"/>
        </w:rPr>
        <w:t>derde land</w:t>
      </w:r>
      <w:r>
        <w:rPr>
          <w:sz w:val="18"/>
          <w:szCs w:val="18"/>
        </w:rPr>
        <w:t xml:space="preserve"> bijkantoor voldoet aan de vereisten uit artikel 48 octies CRD.</w:t>
      </w:r>
    </w:p>
    <w:p w:rsidR="007A516F" w:rsidP="001E56AB" w:rsidRDefault="007A516F" w14:paraId="354D7875" w14:textId="77777777">
      <w:pPr>
        <w:widowControl w:val="0"/>
        <w:spacing w:line="240" w:lineRule="atLeast"/>
        <w:rPr>
          <w:sz w:val="18"/>
          <w:szCs w:val="18"/>
        </w:rPr>
      </w:pPr>
    </w:p>
    <w:p w:rsidR="00951F45" w:rsidP="00951F45" w:rsidRDefault="007A516F" w14:paraId="2D4B3E6F" w14:textId="06181FFC">
      <w:pPr>
        <w:widowControl w:val="0"/>
        <w:spacing w:line="240" w:lineRule="atLeast"/>
        <w:rPr>
          <w:sz w:val="18"/>
          <w:szCs w:val="18"/>
        </w:rPr>
      </w:pPr>
      <w:r>
        <w:rPr>
          <w:sz w:val="18"/>
          <w:szCs w:val="18"/>
        </w:rPr>
        <w:t xml:space="preserve">Het </w:t>
      </w:r>
      <w:r w:rsidR="00E9669E">
        <w:rPr>
          <w:sz w:val="18"/>
          <w:szCs w:val="18"/>
        </w:rPr>
        <w:t>vierde</w:t>
      </w:r>
      <w:r>
        <w:rPr>
          <w:sz w:val="18"/>
          <w:szCs w:val="18"/>
        </w:rPr>
        <w:t xml:space="preserve"> lid schrijft voor dat DNB de frequentie van de </w:t>
      </w:r>
      <w:r w:rsidR="00BF6713">
        <w:rPr>
          <w:sz w:val="18"/>
          <w:szCs w:val="18"/>
        </w:rPr>
        <w:t xml:space="preserve">beoordeling in het derde lid </w:t>
      </w:r>
      <w:r>
        <w:rPr>
          <w:sz w:val="18"/>
          <w:szCs w:val="18"/>
        </w:rPr>
        <w:t xml:space="preserve">vaststelt en de verwachting daaromtrent mededeelt aan het </w:t>
      </w:r>
      <w:r w:rsidR="001C0C28">
        <w:rPr>
          <w:sz w:val="18"/>
          <w:szCs w:val="18"/>
        </w:rPr>
        <w:t>derde land</w:t>
      </w:r>
      <w:r>
        <w:rPr>
          <w:sz w:val="18"/>
          <w:szCs w:val="18"/>
        </w:rPr>
        <w:t xml:space="preserve"> bijkantoor.</w:t>
      </w:r>
      <w:r w:rsidR="00951F45">
        <w:rPr>
          <w:sz w:val="18"/>
          <w:szCs w:val="18"/>
        </w:rPr>
        <w:t xml:space="preserve"> Hierbij dient DNB een proportionele afweging te </w:t>
      </w:r>
      <w:r w:rsidR="000D5528">
        <w:rPr>
          <w:sz w:val="18"/>
          <w:szCs w:val="18"/>
        </w:rPr>
        <w:t>maken</w:t>
      </w:r>
      <w:r w:rsidR="00951F45">
        <w:rPr>
          <w:sz w:val="18"/>
          <w:szCs w:val="18"/>
        </w:rPr>
        <w:t xml:space="preserve"> die recht doet aan enerzijds het belang van DNB als toezichthouder op </w:t>
      </w:r>
      <w:r w:rsidR="001C0C28">
        <w:rPr>
          <w:sz w:val="18"/>
          <w:szCs w:val="18"/>
        </w:rPr>
        <w:t>derde land</w:t>
      </w:r>
      <w:r w:rsidR="00951F45">
        <w:rPr>
          <w:sz w:val="18"/>
          <w:szCs w:val="18"/>
        </w:rPr>
        <w:t xml:space="preserve"> bijkantoren en anderzijds de regeldruk voor een </w:t>
      </w:r>
      <w:r w:rsidR="001C0C28">
        <w:rPr>
          <w:sz w:val="18"/>
          <w:szCs w:val="18"/>
        </w:rPr>
        <w:t>derde land</w:t>
      </w:r>
      <w:r w:rsidR="00951F45">
        <w:rPr>
          <w:sz w:val="18"/>
          <w:szCs w:val="18"/>
        </w:rPr>
        <w:t xml:space="preserve"> bijkantoor van een dergelijke externe audit.</w:t>
      </w:r>
    </w:p>
    <w:p w:rsidR="003306BB" w:rsidP="001E56AB" w:rsidRDefault="003306BB" w14:paraId="22038CFE" w14:textId="77777777">
      <w:pPr>
        <w:widowControl w:val="0"/>
        <w:spacing w:line="240" w:lineRule="atLeast"/>
        <w:rPr>
          <w:sz w:val="18"/>
          <w:szCs w:val="18"/>
        </w:rPr>
      </w:pPr>
    </w:p>
    <w:p w:rsidR="006B5C8D" w:rsidP="001E56AB" w:rsidRDefault="006B5C8D" w14:paraId="32524DA2" w14:textId="0C566390">
      <w:pPr>
        <w:widowControl w:val="0"/>
        <w:spacing w:line="240" w:lineRule="atLeast"/>
        <w:rPr>
          <w:sz w:val="18"/>
          <w:szCs w:val="18"/>
        </w:rPr>
      </w:pPr>
      <w:r>
        <w:rPr>
          <w:sz w:val="18"/>
          <w:szCs w:val="18"/>
        </w:rPr>
        <w:t>II</w:t>
      </w:r>
    </w:p>
    <w:p w:rsidR="006B5C8D" w:rsidP="001E56AB" w:rsidRDefault="006B5C8D" w14:paraId="3D7FA159" w14:textId="77777777">
      <w:pPr>
        <w:widowControl w:val="0"/>
        <w:spacing w:line="240" w:lineRule="atLeast"/>
        <w:rPr>
          <w:sz w:val="18"/>
          <w:szCs w:val="18"/>
        </w:rPr>
      </w:pPr>
    </w:p>
    <w:p w:rsidR="006B5C8D" w:rsidP="001E56AB" w:rsidRDefault="006B5C8D" w14:paraId="6DB469F2" w14:textId="752063B8">
      <w:pPr>
        <w:widowControl w:val="0"/>
        <w:spacing w:line="240" w:lineRule="atLeast"/>
        <w:rPr>
          <w:sz w:val="18"/>
          <w:szCs w:val="18"/>
        </w:rPr>
      </w:pPr>
      <w:r w:rsidRPr="006B5C8D">
        <w:rPr>
          <w:sz w:val="18"/>
          <w:szCs w:val="18"/>
        </w:rPr>
        <w:t>A</w:t>
      </w:r>
      <w:r w:rsidRPr="00385727">
        <w:rPr>
          <w:sz w:val="18"/>
          <w:szCs w:val="18"/>
        </w:rPr>
        <w:t xml:space="preserve">rtikel 3:29 </w:t>
      </w:r>
      <w:r>
        <w:rPr>
          <w:sz w:val="18"/>
          <w:szCs w:val="18"/>
        </w:rPr>
        <w:t xml:space="preserve">Wft </w:t>
      </w:r>
      <w:r w:rsidRPr="00385727">
        <w:rPr>
          <w:sz w:val="18"/>
          <w:szCs w:val="18"/>
        </w:rPr>
        <w:t>wordt op twee p</w:t>
      </w:r>
      <w:r>
        <w:rPr>
          <w:sz w:val="18"/>
          <w:szCs w:val="18"/>
        </w:rPr>
        <w:t xml:space="preserve">unten gewijzigd. </w:t>
      </w:r>
      <w:r w:rsidRPr="006B5C8D">
        <w:rPr>
          <w:sz w:val="18"/>
          <w:szCs w:val="18"/>
        </w:rPr>
        <w:t>Al</w:t>
      </w:r>
      <w:r w:rsidRPr="00385727">
        <w:rPr>
          <w:sz w:val="18"/>
          <w:szCs w:val="18"/>
        </w:rPr>
        <w:t>lereerst wordt art</w:t>
      </w:r>
      <w:r>
        <w:rPr>
          <w:sz w:val="18"/>
          <w:szCs w:val="18"/>
        </w:rPr>
        <w:t xml:space="preserve">ikel </w:t>
      </w:r>
      <w:r>
        <w:rPr>
          <w:sz w:val="18"/>
          <w:szCs w:val="18"/>
        </w:rPr>
        <w:lastRenderedPageBreak/>
        <w:t>2:106.0a Wft toegevoegd aan het eerste lid. Dit betreft de informatie die aangeleverd moet worden door e</w:t>
      </w:r>
      <w:r w:rsidRPr="006B5C8D">
        <w:rPr>
          <w:sz w:val="18"/>
          <w:szCs w:val="18"/>
        </w:rPr>
        <w:t>en afwikkelonderneming met zetel in Nederland die voornemens is vanuit een buiten Nederland gelegen bijkantoor haar bedrijf uit te oefenen jegens een cliënt met wie zij niet in een groep is verbonden</w:t>
      </w:r>
      <w:r>
        <w:rPr>
          <w:sz w:val="18"/>
          <w:szCs w:val="18"/>
        </w:rPr>
        <w:t>. Wijzigingen in de aangeleverde gegevens moet een afwikkelonderneming doorgeven aan DNB. Abusievelijk ontbrak dit artikel terwijl in artikel 3:29, eerste lid, wel afwikkelondernemingen zijn opgenomen.</w:t>
      </w:r>
    </w:p>
    <w:p w:rsidR="006B5C8D" w:rsidP="001E56AB" w:rsidRDefault="006B5C8D" w14:paraId="0EA633C2" w14:textId="77777777">
      <w:pPr>
        <w:widowControl w:val="0"/>
        <w:spacing w:line="240" w:lineRule="atLeast"/>
        <w:rPr>
          <w:sz w:val="18"/>
          <w:szCs w:val="18"/>
        </w:rPr>
      </w:pPr>
    </w:p>
    <w:p w:rsidR="006B5C8D" w:rsidP="001E56AB" w:rsidRDefault="006B5C8D" w14:paraId="641761F2" w14:textId="163CB26B">
      <w:pPr>
        <w:widowControl w:val="0"/>
        <w:spacing w:line="240" w:lineRule="atLeast"/>
        <w:rPr>
          <w:sz w:val="18"/>
          <w:szCs w:val="18"/>
        </w:rPr>
      </w:pPr>
      <w:r>
        <w:rPr>
          <w:sz w:val="18"/>
          <w:szCs w:val="18"/>
        </w:rPr>
        <w:t xml:space="preserve">In het tweede lid wordt de verwijzing naar artikel 2:108 Wft aangepast om te verwijzen naar het derde lid in plaats van het tweede lid nu het derde lid van artikel 2:108 Wft gaat over de gegevensaanlevering. </w:t>
      </w:r>
    </w:p>
    <w:p w:rsidRPr="006B5C8D" w:rsidR="006B5C8D" w:rsidP="001E56AB" w:rsidRDefault="006B5C8D" w14:paraId="496A5588" w14:textId="77777777">
      <w:pPr>
        <w:widowControl w:val="0"/>
        <w:spacing w:line="240" w:lineRule="atLeast"/>
        <w:rPr>
          <w:sz w:val="18"/>
          <w:szCs w:val="18"/>
        </w:rPr>
      </w:pPr>
    </w:p>
    <w:p w:rsidRPr="006B5C8D" w:rsidR="007A516F" w:rsidP="001E56AB" w:rsidRDefault="006B5C8D" w14:paraId="792275C1" w14:textId="41D57F80">
      <w:pPr>
        <w:widowControl w:val="0"/>
        <w:spacing w:line="240" w:lineRule="atLeast"/>
        <w:rPr>
          <w:sz w:val="18"/>
          <w:szCs w:val="18"/>
        </w:rPr>
      </w:pPr>
      <w:r>
        <w:rPr>
          <w:sz w:val="18"/>
          <w:szCs w:val="18"/>
        </w:rPr>
        <w:t>JJ</w:t>
      </w:r>
      <w:r w:rsidRPr="006B5C8D" w:rsidR="00B14A85">
        <w:rPr>
          <w:sz w:val="18"/>
          <w:szCs w:val="18"/>
        </w:rPr>
        <w:t xml:space="preserve"> en </w:t>
      </w:r>
      <w:r>
        <w:rPr>
          <w:sz w:val="18"/>
          <w:szCs w:val="18"/>
        </w:rPr>
        <w:t>KK</w:t>
      </w:r>
      <w:r w:rsidRPr="006B5C8D" w:rsidR="00B14A85">
        <w:rPr>
          <w:sz w:val="18"/>
          <w:szCs w:val="18"/>
        </w:rPr>
        <w:t xml:space="preserve"> </w:t>
      </w:r>
      <w:r w:rsidRPr="006B5C8D" w:rsidR="007A516F">
        <w:rPr>
          <w:sz w:val="18"/>
          <w:szCs w:val="18"/>
        </w:rPr>
        <w:t>(3:43</w:t>
      </w:r>
      <w:r w:rsidRPr="006B5C8D" w:rsidR="0009394A">
        <w:rPr>
          <w:sz w:val="18"/>
          <w:szCs w:val="18"/>
        </w:rPr>
        <w:t xml:space="preserve"> en 3:43a</w:t>
      </w:r>
      <w:r w:rsidRPr="006B5C8D" w:rsidR="007A516F">
        <w:rPr>
          <w:sz w:val="18"/>
          <w:szCs w:val="18"/>
        </w:rPr>
        <w:t>)</w:t>
      </w:r>
    </w:p>
    <w:p w:rsidRPr="006B5C8D" w:rsidR="007A516F" w:rsidP="001E56AB" w:rsidRDefault="007A516F" w14:paraId="5431C24C" w14:textId="77777777">
      <w:pPr>
        <w:widowControl w:val="0"/>
        <w:spacing w:line="240" w:lineRule="atLeast"/>
        <w:rPr>
          <w:sz w:val="18"/>
          <w:szCs w:val="18"/>
        </w:rPr>
      </w:pPr>
    </w:p>
    <w:p w:rsidR="007A516F" w:rsidP="001E56AB" w:rsidRDefault="007A516F" w14:paraId="4EEA4CA9" w14:textId="024D90DB">
      <w:pPr>
        <w:widowControl w:val="0"/>
        <w:spacing w:line="240" w:lineRule="atLeast"/>
        <w:rPr>
          <w:sz w:val="18"/>
          <w:szCs w:val="18"/>
        </w:rPr>
      </w:pPr>
      <w:r>
        <w:rPr>
          <w:sz w:val="18"/>
          <w:szCs w:val="18"/>
        </w:rPr>
        <w:t>Artikel 3:43</w:t>
      </w:r>
      <w:r w:rsidR="00CE1B41">
        <w:rPr>
          <w:sz w:val="18"/>
          <w:szCs w:val="18"/>
        </w:rPr>
        <w:t xml:space="preserve"> Wft</w:t>
      </w:r>
      <w:r>
        <w:rPr>
          <w:sz w:val="18"/>
          <w:szCs w:val="18"/>
        </w:rPr>
        <w:t xml:space="preserve">, </w:t>
      </w:r>
      <w:r w:rsidR="00C9706C">
        <w:rPr>
          <w:sz w:val="18"/>
          <w:szCs w:val="18"/>
        </w:rPr>
        <w:t>d</w:t>
      </w:r>
      <w:r>
        <w:rPr>
          <w:sz w:val="18"/>
          <w:szCs w:val="18"/>
        </w:rPr>
        <w:t>at artikel 3:32</w:t>
      </w:r>
      <w:r w:rsidR="00CE1B41">
        <w:rPr>
          <w:sz w:val="18"/>
          <w:szCs w:val="18"/>
        </w:rPr>
        <w:t xml:space="preserve"> Wft</w:t>
      </w:r>
      <w:r>
        <w:rPr>
          <w:sz w:val="18"/>
          <w:szCs w:val="18"/>
        </w:rPr>
        <w:t xml:space="preserve"> van overeenkomstige toepassing verklaart op bijkantoren van banken</w:t>
      </w:r>
      <w:r w:rsidR="001C0C28">
        <w:rPr>
          <w:sz w:val="18"/>
          <w:szCs w:val="18"/>
        </w:rPr>
        <w:t xml:space="preserve"> uit staten die geen lidstaat zijn</w:t>
      </w:r>
      <w:r w:rsidR="000A2674">
        <w:rPr>
          <w:sz w:val="18"/>
          <w:szCs w:val="18"/>
        </w:rPr>
        <w:t>,</w:t>
      </w:r>
      <w:r>
        <w:rPr>
          <w:sz w:val="18"/>
          <w:szCs w:val="18"/>
        </w:rPr>
        <w:t xml:space="preserve"> wordt aangepast nu het niet meer het geval is dat er altijd sprake is van een bank in een </w:t>
      </w:r>
      <w:r w:rsidR="00EA4F35">
        <w:rPr>
          <w:sz w:val="18"/>
          <w:szCs w:val="18"/>
        </w:rPr>
        <w:t>staat die geen lidstaat is</w:t>
      </w:r>
      <w:r>
        <w:rPr>
          <w:sz w:val="18"/>
          <w:szCs w:val="18"/>
        </w:rPr>
        <w:t xml:space="preserve"> dat een bijkantoor vestigt in Nederland. </w:t>
      </w:r>
      <w:r w:rsidR="005D041E">
        <w:rPr>
          <w:sz w:val="18"/>
          <w:szCs w:val="18"/>
        </w:rPr>
        <w:t xml:space="preserve">Hierom wordt het artikel 3:32 </w:t>
      </w:r>
      <w:r w:rsidR="00CE1B41">
        <w:rPr>
          <w:sz w:val="18"/>
          <w:szCs w:val="18"/>
        </w:rPr>
        <w:t xml:space="preserve">Wft </w:t>
      </w:r>
      <w:r w:rsidR="005D041E">
        <w:rPr>
          <w:sz w:val="18"/>
          <w:szCs w:val="18"/>
        </w:rPr>
        <w:t xml:space="preserve">uit het eerste lid gehaald, evenals het woord bank. Het eerste lid geldt nog steeds voor verzekeraars. </w:t>
      </w:r>
    </w:p>
    <w:p w:rsidR="005D041E" w:rsidP="001E56AB" w:rsidRDefault="005D041E" w14:paraId="05B9A0A0" w14:textId="77777777">
      <w:pPr>
        <w:widowControl w:val="0"/>
        <w:spacing w:line="240" w:lineRule="atLeast"/>
        <w:rPr>
          <w:sz w:val="18"/>
          <w:szCs w:val="18"/>
        </w:rPr>
      </w:pPr>
    </w:p>
    <w:p w:rsidR="005D041E" w:rsidP="001E56AB" w:rsidRDefault="005D041E" w14:paraId="57051A93" w14:textId="1827DF4F">
      <w:pPr>
        <w:widowControl w:val="0"/>
        <w:spacing w:line="240" w:lineRule="atLeast"/>
        <w:rPr>
          <w:sz w:val="18"/>
          <w:szCs w:val="18"/>
        </w:rPr>
      </w:pPr>
      <w:r>
        <w:rPr>
          <w:sz w:val="18"/>
          <w:szCs w:val="18"/>
        </w:rPr>
        <w:t xml:space="preserve">In het tweede lid vervalt ook “bank of” en “artikel 2:21, tweede lid”. Deze materie zal nu voor </w:t>
      </w:r>
      <w:r w:rsidR="001C0C28">
        <w:rPr>
          <w:sz w:val="18"/>
          <w:szCs w:val="18"/>
        </w:rPr>
        <w:t>derde land</w:t>
      </w:r>
      <w:r>
        <w:rPr>
          <w:sz w:val="18"/>
          <w:szCs w:val="18"/>
        </w:rPr>
        <w:t xml:space="preserve"> bijkantoren worden opgenomen in een nieuw artikel 3:43a Wft.</w:t>
      </w:r>
    </w:p>
    <w:p w:rsidR="00A552B3" w:rsidP="001E56AB" w:rsidRDefault="00A552B3" w14:paraId="2BB6F78C" w14:textId="77777777">
      <w:pPr>
        <w:widowControl w:val="0"/>
        <w:spacing w:line="240" w:lineRule="atLeast"/>
        <w:rPr>
          <w:sz w:val="18"/>
          <w:szCs w:val="18"/>
        </w:rPr>
      </w:pPr>
    </w:p>
    <w:p w:rsidR="008F329A" w:rsidP="001E56AB" w:rsidRDefault="007D5D75" w14:paraId="1377E23F" w14:textId="5EEF4595">
      <w:pPr>
        <w:widowControl w:val="0"/>
        <w:spacing w:line="240" w:lineRule="atLeast"/>
        <w:rPr>
          <w:sz w:val="18"/>
          <w:szCs w:val="18"/>
        </w:rPr>
      </w:pPr>
      <w:r>
        <w:rPr>
          <w:sz w:val="18"/>
          <w:szCs w:val="18"/>
        </w:rPr>
        <w:t xml:space="preserve">Artikel 3:43a Wft wordt ingevoegd om het mogelijk te maken dat wordt voorgeschreven dat </w:t>
      </w:r>
      <w:r w:rsidR="001C0C28">
        <w:rPr>
          <w:sz w:val="18"/>
          <w:szCs w:val="18"/>
        </w:rPr>
        <w:t>derde land</w:t>
      </w:r>
      <w:r>
        <w:rPr>
          <w:sz w:val="18"/>
          <w:szCs w:val="18"/>
        </w:rPr>
        <w:t xml:space="preserve"> bijkantoren bij wijzigingen in het bijkantoor DNB in kennis stellen hiervan. Door opname van het eerste lid kan deze kennisgeving verder uitgewerkt worden op het niveau van algemene maatregel van bestuur.</w:t>
      </w:r>
    </w:p>
    <w:p w:rsidR="008F329A" w:rsidP="001E56AB" w:rsidRDefault="008F329A" w14:paraId="1955DEF8" w14:textId="77777777">
      <w:pPr>
        <w:widowControl w:val="0"/>
        <w:spacing w:line="240" w:lineRule="atLeast"/>
        <w:rPr>
          <w:sz w:val="18"/>
          <w:szCs w:val="18"/>
        </w:rPr>
      </w:pPr>
    </w:p>
    <w:p w:rsidR="00D7788C" w:rsidP="001E56AB" w:rsidRDefault="00D7788C" w14:paraId="2E2D114C" w14:textId="5EFDF1F2">
      <w:pPr>
        <w:widowControl w:val="0"/>
        <w:spacing w:line="240" w:lineRule="atLeast"/>
        <w:rPr>
          <w:sz w:val="18"/>
          <w:szCs w:val="18"/>
        </w:rPr>
      </w:pPr>
      <w:r>
        <w:rPr>
          <w:sz w:val="18"/>
          <w:szCs w:val="18"/>
        </w:rPr>
        <w:t xml:space="preserve">In het tweede lid van artikel 3:43a Wft wordt een kennisgevingsverplichting opgenomen voor de </w:t>
      </w:r>
      <w:r w:rsidR="001C0C28">
        <w:rPr>
          <w:sz w:val="18"/>
          <w:szCs w:val="18"/>
        </w:rPr>
        <w:t>derde land</w:t>
      </w:r>
      <w:r>
        <w:rPr>
          <w:sz w:val="18"/>
          <w:szCs w:val="18"/>
        </w:rPr>
        <w:t xml:space="preserve"> bijkantoren. Het </w:t>
      </w:r>
      <w:r w:rsidR="001C0C28">
        <w:rPr>
          <w:sz w:val="18"/>
          <w:szCs w:val="18"/>
        </w:rPr>
        <w:t>derde land</w:t>
      </w:r>
      <w:r>
        <w:rPr>
          <w:sz w:val="18"/>
          <w:szCs w:val="18"/>
        </w:rPr>
        <w:t xml:space="preserve"> bijkantoor moet onverwijld DNB in kennisstellen indien de moederonderneming in een staat die geen lidstaat is niet meer voldoet aan de aldaar geldende prudentiele vereisten of dat zij niet meer gaat voldoen of in het komende jaar inbreuk maakt op die vereisten. Omdat DNB uiteraard alleen maar informatie van het </w:t>
      </w:r>
      <w:r w:rsidR="001C0C28">
        <w:rPr>
          <w:sz w:val="18"/>
          <w:szCs w:val="18"/>
        </w:rPr>
        <w:t>derde land</w:t>
      </w:r>
      <w:r>
        <w:rPr>
          <w:sz w:val="18"/>
          <w:szCs w:val="18"/>
        </w:rPr>
        <w:t xml:space="preserve"> bijkantoor kan ontvangen, en niet van de moederonderneming in </w:t>
      </w:r>
      <w:r w:rsidR="001C0C28">
        <w:rPr>
          <w:sz w:val="18"/>
          <w:szCs w:val="18"/>
        </w:rPr>
        <w:t>de staat die geen lidstaat is</w:t>
      </w:r>
      <w:r>
        <w:rPr>
          <w:sz w:val="18"/>
          <w:szCs w:val="18"/>
        </w:rPr>
        <w:t xml:space="preserve">, is het noodzakelijk om deze verplichting op de </w:t>
      </w:r>
      <w:r w:rsidR="001C0C28">
        <w:rPr>
          <w:sz w:val="18"/>
          <w:szCs w:val="18"/>
        </w:rPr>
        <w:t>derde land</w:t>
      </w:r>
      <w:r>
        <w:rPr>
          <w:sz w:val="18"/>
          <w:szCs w:val="18"/>
        </w:rPr>
        <w:t xml:space="preserve"> bijkantoren te leggen, zoals ook artikel 48 quinquies, eerste lid, tweede alinea, CRD voorschrijft.</w:t>
      </w:r>
    </w:p>
    <w:p w:rsidR="00A552B3" w:rsidP="001E56AB" w:rsidRDefault="00A552B3" w14:paraId="5C54BA1F" w14:textId="77777777">
      <w:pPr>
        <w:widowControl w:val="0"/>
        <w:spacing w:line="240" w:lineRule="atLeast"/>
        <w:rPr>
          <w:sz w:val="18"/>
          <w:szCs w:val="18"/>
        </w:rPr>
      </w:pPr>
    </w:p>
    <w:p w:rsidR="007A516F" w:rsidP="001E56AB" w:rsidRDefault="006B5C8D" w14:paraId="216607A7" w14:textId="355D16F1">
      <w:pPr>
        <w:widowControl w:val="0"/>
        <w:spacing w:line="240" w:lineRule="atLeast"/>
        <w:rPr>
          <w:sz w:val="18"/>
          <w:szCs w:val="18"/>
        </w:rPr>
      </w:pPr>
      <w:r>
        <w:rPr>
          <w:sz w:val="18"/>
          <w:szCs w:val="18"/>
        </w:rPr>
        <w:t>LL</w:t>
      </w:r>
      <w:r w:rsidR="00D7788C">
        <w:rPr>
          <w:sz w:val="18"/>
          <w:szCs w:val="18"/>
        </w:rPr>
        <w:t xml:space="preserve"> (3:44)</w:t>
      </w:r>
    </w:p>
    <w:p w:rsidR="00D7788C" w:rsidP="001E56AB" w:rsidRDefault="00D7788C" w14:paraId="7F2C0290" w14:textId="77777777">
      <w:pPr>
        <w:widowControl w:val="0"/>
        <w:spacing w:line="240" w:lineRule="atLeast"/>
        <w:rPr>
          <w:sz w:val="18"/>
          <w:szCs w:val="18"/>
        </w:rPr>
      </w:pPr>
    </w:p>
    <w:p w:rsidR="00D7788C" w:rsidP="001E56AB" w:rsidRDefault="00DF32D5" w14:paraId="042B0856" w14:textId="718A195D">
      <w:pPr>
        <w:widowControl w:val="0"/>
        <w:spacing w:line="240" w:lineRule="atLeast"/>
        <w:rPr>
          <w:sz w:val="18"/>
          <w:szCs w:val="18"/>
        </w:rPr>
      </w:pPr>
      <w:r>
        <w:rPr>
          <w:sz w:val="18"/>
          <w:szCs w:val="18"/>
        </w:rPr>
        <w:t xml:space="preserve">In artikel 3:44 </w:t>
      </w:r>
      <w:r w:rsidR="00EA4F35">
        <w:rPr>
          <w:sz w:val="18"/>
          <w:szCs w:val="18"/>
        </w:rPr>
        <w:t xml:space="preserve">Wft </w:t>
      </w:r>
      <w:r>
        <w:rPr>
          <w:sz w:val="18"/>
          <w:szCs w:val="18"/>
        </w:rPr>
        <w:t xml:space="preserve">vervalt in het eerste lid “bank”. Onder vernummering van het tweede tot derde lid, wordt er een nieuw lid twee ingevoegd, </w:t>
      </w:r>
      <w:r w:rsidR="00741600">
        <w:rPr>
          <w:sz w:val="18"/>
          <w:szCs w:val="18"/>
        </w:rPr>
        <w:t>d</w:t>
      </w:r>
      <w:r>
        <w:rPr>
          <w:sz w:val="18"/>
          <w:szCs w:val="18"/>
        </w:rPr>
        <w:t xml:space="preserve">at dezelfde materiële strekking heeft als het eerste lid, namelijk dat een </w:t>
      </w:r>
      <w:r w:rsidR="001C0C28">
        <w:rPr>
          <w:sz w:val="18"/>
          <w:szCs w:val="18"/>
        </w:rPr>
        <w:t>derde land</w:t>
      </w:r>
      <w:r>
        <w:rPr>
          <w:sz w:val="18"/>
          <w:szCs w:val="18"/>
        </w:rPr>
        <w:t xml:space="preserve"> bijkantoor DNB raadpleegt indien het bijkantoor heeft besloten te ontbinden of te liquideren.</w:t>
      </w:r>
    </w:p>
    <w:p w:rsidR="00900A7C" w:rsidP="001E56AB" w:rsidRDefault="00900A7C" w14:paraId="3AADB89E" w14:textId="0E04E8AC">
      <w:pPr>
        <w:widowControl w:val="0"/>
        <w:spacing w:line="240" w:lineRule="atLeast"/>
        <w:rPr>
          <w:sz w:val="18"/>
          <w:szCs w:val="18"/>
        </w:rPr>
      </w:pPr>
    </w:p>
    <w:p w:rsidR="00900A7C" w:rsidP="001E56AB" w:rsidRDefault="00900A7C" w14:paraId="4047838B" w14:textId="01349EDF">
      <w:pPr>
        <w:widowControl w:val="0"/>
        <w:spacing w:line="240" w:lineRule="atLeast"/>
        <w:rPr>
          <w:sz w:val="18"/>
          <w:szCs w:val="18"/>
        </w:rPr>
      </w:pPr>
      <w:r>
        <w:rPr>
          <w:sz w:val="18"/>
          <w:szCs w:val="18"/>
        </w:rPr>
        <w:t xml:space="preserve">Het nieuwe derde lid bevat een terugverwijzing naar artikel 3:30, tweede tot en met vierde lid, Wft wat van overeenkomstige toepassing is. Dit artikel geldt ook voor </w:t>
      </w:r>
      <w:r w:rsidR="001C0C28">
        <w:rPr>
          <w:sz w:val="18"/>
          <w:szCs w:val="18"/>
        </w:rPr>
        <w:t>derde land</w:t>
      </w:r>
      <w:r>
        <w:rPr>
          <w:sz w:val="18"/>
          <w:szCs w:val="18"/>
        </w:rPr>
        <w:t xml:space="preserve"> bijkantoren.</w:t>
      </w:r>
    </w:p>
    <w:p w:rsidR="00A552B3" w:rsidP="001E56AB" w:rsidRDefault="00A552B3" w14:paraId="52E092B7" w14:textId="77777777">
      <w:pPr>
        <w:widowControl w:val="0"/>
        <w:spacing w:line="240" w:lineRule="atLeast"/>
        <w:rPr>
          <w:sz w:val="18"/>
          <w:szCs w:val="18"/>
        </w:rPr>
      </w:pPr>
    </w:p>
    <w:p w:rsidRPr="00A6284F" w:rsidR="001E56AB" w:rsidP="001E56AB" w:rsidRDefault="006B5C8D" w14:paraId="2A1FEED6" w14:textId="54AE09D9">
      <w:pPr>
        <w:widowControl w:val="0"/>
        <w:spacing w:line="240" w:lineRule="atLeast"/>
        <w:rPr>
          <w:sz w:val="18"/>
          <w:szCs w:val="18"/>
        </w:rPr>
      </w:pPr>
      <w:r>
        <w:rPr>
          <w:sz w:val="18"/>
          <w:szCs w:val="18"/>
        </w:rPr>
        <w:t>MM</w:t>
      </w:r>
      <w:r w:rsidRPr="00A6284F" w:rsidR="001E56AB">
        <w:rPr>
          <w:sz w:val="18"/>
          <w:szCs w:val="18"/>
        </w:rPr>
        <w:t xml:space="preserve"> (3:46)</w:t>
      </w:r>
    </w:p>
    <w:p w:rsidRPr="00A6284F" w:rsidR="001E56AB" w:rsidP="001E56AB" w:rsidRDefault="001E56AB" w14:paraId="261A43E9" w14:textId="77777777">
      <w:pPr>
        <w:widowControl w:val="0"/>
        <w:spacing w:line="240" w:lineRule="atLeast"/>
        <w:rPr>
          <w:sz w:val="18"/>
          <w:szCs w:val="18"/>
        </w:rPr>
      </w:pPr>
    </w:p>
    <w:p w:rsidRPr="00A6284F" w:rsidR="001E56AB" w:rsidP="001E56AB" w:rsidRDefault="00FC2297" w14:paraId="58AC1603" w14:textId="22C6DF08">
      <w:pPr>
        <w:widowControl w:val="0"/>
        <w:spacing w:line="240" w:lineRule="atLeast"/>
        <w:rPr>
          <w:sz w:val="18"/>
          <w:szCs w:val="18"/>
        </w:rPr>
      </w:pPr>
      <w:r>
        <w:rPr>
          <w:sz w:val="18"/>
          <w:szCs w:val="18"/>
        </w:rPr>
        <w:t xml:space="preserve">Artikel 3:46 </w:t>
      </w:r>
      <w:r w:rsidR="00EA4F35">
        <w:rPr>
          <w:sz w:val="18"/>
          <w:szCs w:val="18"/>
        </w:rPr>
        <w:t xml:space="preserve">Wft </w:t>
      </w:r>
      <w:r>
        <w:rPr>
          <w:sz w:val="18"/>
          <w:szCs w:val="18"/>
        </w:rPr>
        <w:t xml:space="preserve">komt te vervallen. </w:t>
      </w:r>
      <w:r w:rsidR="007472E1">
        <w:rPr>
          <w:sz w:val="18"/>
          <w:szCs w:val="18"/>
        </w:rPr>
        <w:t xml:space="preserve">In dit artikel was opgenomen </w:t>
      </w:r>
      <w:r>
        <w:rPr>
          <w:sz w:val="18"/>
          <w:szCs w:val="18"/>
        </w:rPr>
        <w:t>dat als een bank</w:t>
      </w:r>
      <w:r w:rsidR="00EA4F35">
        <w:rPr>
          <w:sz w:val="18"/>
          <w:szCs w:val="18"/>
        </w:rPr>
        <w:t xml:space="preserve"> in een staat die geen lidstaat is</w:t>
      </w:r>
      <w:r>
        <w:rPr>
          <w:sz w:val="18"/>
          <w:szCs w:val="18"/>
        </w:rPr>
        <w:t xml:space="preserve"> een bijkantoor wilde vestigen in Nederland, deze bank in </w:t>
      </w:r>
      <w:r w:rsidR="00EA4F35">
        <w:rPr>
          <w:sz w:val="18"/>
          <w:szCs w:val="18"/>
        </w:rPr>
        <w:t>de staat die geen lidstaat is</w:t>
      </w:r>
      <w:r>
        <w:rPr>
          <w:sz w:val="18"/>
          <w:szCs w:val="18"/>
        </w:rPr>
        <w:t xml:space="preserve"> onder voldoende geconsolideerd </w:t>
      </w:r>
      <w:r>
        <w:rPr>
          <w:sz w:val="18"/>
          <w:szCs w:val="18"/>
        </w:rPr>
        <w:lastRenderedPageBreak/>
        <w:t xml:space="preserve">toezicht </w:t>
      </w:r>
      <w:r w:rsidR="00EA4F35">
        <w:rPr>
          <w:sz w:val="18"/>
          <w:szCs w:val="18"/>
        </w:rPr>
        <w:t>stond</w:t>
      </w:r>
      <w:r w:rsidR="00664D41">
        <w:rPr>
          <w:sz w:val="18"/>
          <w:szCs w:val="18"/>
        </w:rPr>
        <w:t xml:space="preserve"> om zeker te weten dat de </w:t>
      </w:r>
      <w:r w:rsidR="007472E1">
        <w:rPr>
          <w:sz w:val="18"/>
          <w:szCs w:val="18"/>
        </w:rPr>
        <w:t>toezichthouder</w:t>
      </w:r>
      <w:r w:rsidR="00664D41">
        <w:rPr>
          <w:sz w:val="18"/>
          <w:szCs w:val="18"/>
        </w:rPr>
        <w:t xml:space="preserve"> op de moederbank van de bank met bijkantoor in Nederland voldoende toezicht kon houden op de bank met bijkantoor en haar in Nederland gevestigde bijkantoor</w:t>
      </w:r>
      <w:r>
        <w:rPr>
          <w:sz w:val="18"/>
          <w:szCs w:val="18"/>
        </w:rPr>
        <w:t>.</w:t>
      </w:r>
      <w:r w:rsidR="00664D41">
        <w:rPr>
          <w:sz w:val="18"/>
          <w:szCs w:val="18"/>
        </w:rPr>
        <w:t xml:space="preserve"> Deze bepaling komt geen effect meer toe. Allereerst is vereist dat de onderneming die een </w:t>
      </w:r>
      <w:r w:rsidR="001C0C28">
        <w:rPr>
          <w:sz w:val="18"/>
          <w:szCs w:val="18"/>
        </w:rPr>
        <w:t>derde land</w:t>
      </w:r>
      <w:r w:rsidR="00664D41">
        <w:rPr>
          <w:sz w:val="18"/>
          <w:szCs w:val="18"/>
        </w:rPr>
        <w:t xml:space="preserve"> bijkantoor in Nederland vestigt onder voldoende toezicht staat op grond van </w:t>
      </w:r>
      <w:r>
        <w:rPr>
          <w:sz w:val="18"/>
          <w:szCs w:val="18"/>
        </w:rPr>
        <w:t>artikel 48 quater, vierde lid, onderdeel b, CRD</w:t>
      </w:r>
      <w:r w:rsidR="00664D41">
        <w:rPr>
          <w:sz w:val="18"/>
          <w:szCs w:val="18"/>
        </w:rPr>
        <w:t xml:space="preserve">. Dit is </w:t>
      </w:r>
      <w:r>
        <w:rPr>
          <w:sz w:val="18"/>
          <w:szCs w:val="18"/>
        </w:rPr>
        <w:t xml:space="preserve">een voorwaarde voor vergunningverlening aan het </w:t>
      </w:r>
      <w:r w:rsidR="001C0C28">
        <w:rPr>
          <w:sz w:val="18"/>
          <w:szCs w:val="18"/>
        </w:rPr>
        <w:t>derde land</w:t>
      </w:r>
      <w:r>
        <w:rPr>
          <w:sz w:val="18"/>
          <w:szCs w:val="18"/>
        </w:rPr>
        <w:t xml:space="preserve"> bijkantoor dat zich in Nederland wil vestigen.</w:t>
      </w:r>
      <w:r w:rsidR="00B92AF5">
        <w:rPr>
          <w:sz w:val="18"/>
          <w:szCs w:val="18"/>
        </w:rPr>
        <w:t xml:space="preserve"> Daarnaast was artikel 3:46 Wft vooral ingegeven door het feit dat de bank in een staat die geen lidstaat is verantwoordelijk was voor de vereisten rondom solvabiliteit en liquiditeit van het bijkantoor in Nederland. Omdat die vereisten voldaan moeten worden door het </w:t>
      </w:r>
      <w:r w:rsidR="001C0C28">
        <w:rPr>
          <w:sz w:val="18"/>
          <w:szCs w:val="18"/>
        </w:rPr>
        <w:t>derde land</w:t>
      </w:r>
      <w:r w:rsidR="00B92AF5">
        <w:rPr>
          <w:sz w:val="18"/>
          <w:szCs w:val="18"/>
        </w:rPr>
        <w:t xml:space="preserve"> bijkantoor zelf, en niet de moederonderneming in een staat die geen lidstaat is, is het niet meer relevant of de onderneming met bijkantoor onder voldoende geconsolideerd toezicht staat van de toezichthouder op haar moederonderneming. </w:t>
      </w:r>
    </w:p>
    <w:p w:rsidR="001E56AB" w:rsidP="001E56AB" w:rsidRDefault="001E56AB" w14:paraId="5CD55F28" w14:textId="77777777">
      <w:pPr>
        <w:widowControl w:val="0"/>
        <w:spacing w:line="240" w:lineRule="atLeast"/>
        <w:rPr>
          <w:sz w:val="18"/>
          <w:szCs w:val="18"/>
        </w:rPr>
      </w:pPr>
    </w:p>
    <w:p w:rsidR="00FC2297" w:rsidP="001E56AB" w:rsidRDefault="006B5C8D" w14:paraId="495C7DC1" w14:textId="4A6AA468">
      <w:pPr>
        <w:widowControl w:val="0"/>
        <w:spacing w:line="240" w:lineRule="atLeast"/>
        <w:rPr>
          <w:sz w:val="18"/>
          <w:szCs w:val="18"/>
        </w:rPr>
      </w:pPr>
      <w:r>
        <w:rPr>
          <w:sz w:val="18"/>
          <w:szCs w:val="18"/>
        </w:rPr>
        <w:t>NN</w:t>
      </w:r>
      <w:r w:rsidR="00EA4F35">
        <w:rPr>
          <w:sz w:val="18"/>
          <w:szCs w:val="18"/>
        </w:rPr>
        <w:t xml:space="preserve"> en </w:t>
      </w:r>
      <w:r>
        <w:rPr>
          <w:sz w:val="18"/>
          <w:szCs w:val="18"/>
        </w:rPr>
        <w:t>OO</w:t>
      </w:r>
      <w:r w:rsidR="00FC2297">
        <w:rPr>
          <w:sz w:val="18"/>
          <w:szCs w:val="18"/>
        </w:rPr>
        <w:t xml:space="preserve"> (3:54</w:t>
      </w:r>
      <w:r w:rsidR="00EA4F35">
        <w:rPr>
          <w:sz w:val="18"/>
          <w:szCs w:val="18"/>
        </w:rPr>
        <w:t xml:space="preserve"> en 3:54a</w:t>
      </w:r>
      <w:r w:rsidR="00FC2297">
        <w:rPr>
          <w:sz w:val="18"/>
          <w:szCs w:val="18"/>
        </w:rPr>
        <w:t>)</w:t>
      </w:r>
    </w:p>
    <w:p w:rsidR="00FC2297" w:rsidP="001E56AB" w:rsidRDefault="00FC2297" w14:paraId="3EF56263" w14:textId="77777777">
      <w:pPr>
        <w:widowControl w:val="0"/>
        <w:spacing w:line="240" w:lineRule="atLeast"/>
        <w:rPr>
          <w:sz w:val="18"/>
          <w:szCs w:val="18"/>
        </w:rPr>
      </w:pPr>
    </w:p>
    <w:p w:rsidR="00EA4F35" w:rsidP="001E56AB" w:rsidRDefault="006A29DB" w14:paraId="2CAE8AD6" w14:textId="2C9DEA66">
      <w:pPr>
        <w:widowControl w:val="0"/>
        <w:spacing w:line="240" w:lineRule="atLeast"/>
        <w:rPr>
          <w:sz w:val="18"/>
          <w:szCs w:val="18"/>
        </w:rPr>
      </w:pPr>
      <w:r>
        <w:rPr>
          <w:sz w:val="18"/>
          <w:szCs w:val="18"/>
        </w:rPr>
        <w:t xml:space="preserve">Artikel 3:54 </w:t>
      </w:r>
      <w:r w:rsidR="00EA4F35">
        <w:rPr>
          <w:sz w:val="18"/>
          <w:szCs w:val="18"/>
        </w:rPr>
        <w:t xml:space="preserve">Wft </w:t>
      </w:r>
      <w:r>
        <w:rPr>
          <w:sz w:val="18"/>
          <w:szCs w:val="18"/>
        </w:rPr>
        <w:t xml:space="preserve">verklaart een aantal artikelleden uit artikel 3:53 </w:t>
      </w:r>
      <w:r w:rsidR="00EA4F35">
        <w:rPr>
          <w:sz w:val="18"/>
          <w:szCs w:val="18"/>
        </w:rPr>
        <w:t xml:space="preserve">Wft </w:t>
      </w:r>
      <w:r>
        <w:rPr>
          <w:sz w:val="18"/>
          <w:szCs w:val="18"/>
        </w:rPr>
        <w:t>met betrekking tot het minimum vermogen van overeenkomstige toepassing op banken</w:t>
      </w:r>
      <w:r w:rsidR="001C0C28">
        <w:rPr>
          <w:sz w:val="18"/>
          <w:szCs w:val="18"/>
        </w:rPr>
        <w:t xml:space="preserve"> uit staten die geen lidstaat zijn</w:t>
      </w:r>
      <w:r>
        <w:rPr>
          <w:sz w:val="18"/>
          <w:szCs w:val="18"/>
        </w:rPr>
        <w:t xml:space="preserve"> die hun bedrijf uitoefenen vanuit een in Nederland gelegen bijkantoor. Artikel 48 sexies, eerste lid, CRD schrijft een minimumvermogen voor voor </w:t>
      </w:r>
      <w:r w:rsidR="001C0C28">
        <w:rPr>
          <w:sz w:val="18"/>
          <w:szCs w:val="18"/>
        </w:rPr>
        <w:t>derde land</w:t>
      </w:r>
      <w:r>
        <w:rPr>
          <w:sz w:val="18"/>
          <w:szCs w:val="18"/>
        </w:rPr>
        <w:t xml:space="preserve"> bijkantoren. </w:t>
      </w:r>
      <w:r w:rsidR="00EA4F35">
        <w:rPr>
          <w:sz w:val="18"/>
          <w:szCs w:val="18"/>
        </w:rPr>
        <w:t>Uit artikel 3:54</w:t>
      </w:r>
      <w:r w:rsidR="0009394A">
        <w:rPr>
          <w:sz w:val="18"/>
          <w:szCs w:val="18"/>
        </w:rPr>
        <w:t xml:space="preserve"> Wft</w:t>
      </w:r>
      <w:r w:rsidR="00EA4F35">
        <w:rPr>
          <w:sz w:val="18"/>
          <w:szCs w:val="18"/>
        </w:rPr>
        <w:t xml:space="preserve"> wordt het </w:t>
      </w:r>
      <w:r w:rsidR="00D65DA8">
        <w:rPr>
          <w:sz w:val="18"/>
          <w:szCs w:val="18"/>
        </w:rPr>
        <w:t xml:space="preserve">woord </w:t>
      </w:r>
      <w:r w:rsidR="00EA4F35">
        <w:rPr>
          <w:sz w:val="18"/>
          <w:szCs w:val="18"/>
        </w:rPr>
        <w:t>‘banken’ verwijderd</w:t>
      </w:r>
      <w:r w:rsidR="00D65DA8">
        <w:rPr>
          <w:sz w:val="18"/>
          <w:szCs w:val="18"/>
        </w:rPr>
        <w:t>, zodat artikel 48 sexies afzonderlijk kan worden geïmplementeerd</w:t>
      </w:r>
      <w:r w:rsidR="00EA4F35">
        <w:rPr>
          <w:sz w:val="18"/>
          <w:szCs w:val="18"/>
        </w:rPr>
        <w:t>.</w:t>
      </w:r>
    </w:p>
    <w:p w:rsidR="00EA4F35" w:rsidP="001E56AB" w:rsidRDefault="00EA4F35" w14:paraId="0B00ED4A" w14:textId="77777777">
      <w:pPr>
        <w:widowControl w:val="0"/>
        <w:spacing w:line="240" w:lineRule="atLeast"/>
        <w:rPr>
          <w:sz w:val="18"/>
          <w:szCs w:val="18"/>
        </w:rPr>
      </w:pPr>
    </w:p>
    <w:p w:rsidR="00FC2297" w:rsidP="00EA4F35" w:rsidRDefault="00EA4F35" w14:paraId="206E0CAD" w14:textId="5F83F377">
      <w:pPr>
        <w:widowControl w:val="0"/>
        <w:spacing w:line="240" w:lineRule="atLeast"/>
        <w:rPr>
          <w:sz w:val="18"/>
          <w:szCs w:val="18"/>
        </w:rPr>
      </w:pPr>
      <w:r>
        <w:rPr>
          <w:sz w:val="18"/>
          <w:szCs w:val="18"/>
        </w:rPr>
        <w:t>Een nieuw artikel 3:54a</w:t>
      </w:r>
      <w:r w:rsidR="0009394A">
        <w:rPr>
          <w:sz w:val="18"/>
          <w:szCs w:val="18"/>
        </w:rPr>
        <w:t xml:space="preserve"> Wft</w:t>
      </w:r>
      <w:r>
        <w:rPr>
          <w:sz w:val="18"/>
          <w:szCs w:val="18"/>
        </w:rPr>
        <w:t xml:space="preserve"> wordt toegevoegd, wat artikel 3:53, eerste en derde lid, Wft van overeenkomstige toepassing verklaart op </w:t>
      </w:r>
      <w:r w:rsidR="001C0C28">
        <w:rPr>
          <w:sz w:val="18"/>
          <w:szCs w:val="18"/>
        </w:rPr>
        <w:t>derde land</w:t>
      </w:r>
      <w:r>
        <w:rPr>
          <w:sz w:val="18"/>
          <w:szCs w:val="18"/>
        </w:rPr>
        <w:t xml:space="preserve"> bijkantoren.</w:t>
      </w:r>
      <w:r w:rsidR="006A29DB">
        <w:rPr>
          <w:sz w:val="18"/>
          <w:szCs w:val="18"/>
        </w:rPr>
        <w:t xml:space="preserve"> De daadwerkelijke minimumvermogens die genoemd worden in artikel 48 sexies, eerste lid, CRD (10 miljoen voor een klasse 1</w:t>
      </w:r>
      <w:r w:rsidR="0009394A">
        <w:rPr>
          <w:sz w:val="18"/>
          <w:szCs w:val="18"/>
        </w:rPr>
        <w:t>-</w:t>
      </w:r>
      <w:r w:rsidR="006A29DB">
        <w:rPr>
          <w:sz w:val="18"/>
          <w:szCs w:val="18"/>
        </w:rPr>
        <w:t>bijkantoor en 5 miljoen voor een klasse 2</w:t>
      </w:r>
      <w:r w:rsidR="0009394A">
        <w:rPr>
          <w:sz w:val="18"/>
          <w:szCs w:val="18"/>
        </w:rPr>
        <w:t>-</w:t>
      </w:r>
      <w:r w:rsidR="006A29DB">
        <w:rPr>
          <w:sz w:val="18"/>
          <w:szCs w:val="18"/>
        </w:rPr>
        <w:t xml:space="preserve">bijkantoor) worden opgenomen in het </w:t>
      </w:r>
      <w:r w:rsidR="00CE1B41">
        <w:rPr>
          <w:sz w:val="18"/>
          <w:szCs w:val="18"/>
        </w:rPr>
        <w:t>Bpr</w:t>
      </w:r>
      <w:r w:rsidR="006A29DB">
        <w:rPr>
          <w:sz w:val="18"/>
          <w:szCs w:val="18"/>
        </w:rPr>
        <w:t xml:space="preserve"> nu artikel 3:54, derde lid, </w:t>
      </w:r>
      <w:r>
        <w:rPr>
          <w:sz w:val="18"/>
          <w:szCs w:val="18"/>
        </w:rPr>
        <w:t xml:space="preserve">Wft </w:t>
      </w:r>
      <w:r w:rsidR="006A29DB">
        <w:rPr>
          <w:sz w:val="18"/>
          <w:szCs w:val="18"/>
        </w:rPr>
        <w:t>delegatie naar het niveau van a</w:t>
      </w:r>
      <w:r w:rsidR="00B4575A">
        <w:rPr>
          <w:sz w:val="18"/>
          <w:szCs w:val="18"/>
        </w:rPr>
        <w:t>lgemene maatregel van bestuur</w:t>
      </w:r>
      <w:r w:rsidR="006A29DB">
        <w:rPr>
          <w:sz w:val="18"/>
          <w:szCs w:val="18"/>
        </w:rPr>
        <w:t xml:space="preserve"> mogelijk maakt. </w:t>
      </w:r>
    </w:p>
    <w:p w:rsidRPr="00A6284F" w:rsidR="00FC2297" w:rsidP="001E56AB" w:rsidRDefault="00FC2297" w14:paraId="0E3F64A6" w14:textId="77777777">
      <w:pPr>
        <w:widowControl w:val="0"/>
        <w:spacing w:line="240" w:lineRule="atLeast"/>
        <w:rPr>
          <w:sz w:val="18"/>
          <w:szCs w:val="18"/>
        </w:rPr>
      </w:pPr>
    </w:p>
    <w:p w:rsidRPr="00A6284F" w:rsidR="001E56AB" w:rsidP="001E56AB" w:rsidRDefault="006B5C8D" w14:paraId="00B07B38" w14:textId="147790B8">
      <w:pPr>
        <w:widowControl w:val="0"/>
        <w:spacing w:line="240" w:lineRule="atLeast"/>
        <w:rPr>
          <w:sz w:val="18"/>
          <w:szCs w:val="18"/>
        </w:rPr>
      </w:pPr>
      <w:r>
        <w:rPr>
          <w:sz w:val="18"/>
          <w:szCs w:val="18"/>
        </w:rPr>
        <w:t>PP</w:t>
      </w:r>
      <w:r w:rsidR="000B4B5E">
        <w:rPr>
          <w:sz w:val="18"/>
          <w:szCs w:val="18"/>
        </w:rPr>
        <w:t xml:space="preserve"> en </w:t>
      </w:r>
      <w:r>
        <w:rPr>
          <w:sz w:val="18"/>
          <w:szCs w:val="18"/>
        </w:rPr>
        <w:t>QQ</w:t>
      </w:r>
      <w:r w:rsidRPr="00A6284F" w:rsidR="001E56AB">
        <w:rPr>
          <w:sz w:val="18"/>
          <w:szCs w:val="18"/>
        </w:rPr>
        <w:t xml:space="preserve"> (3:58</w:t>
      </w:r>
      <w:r w:rsidR="000B4B5E">
        <w:rPr>
          <w:sz w:val="18"/>
          <w:szCs w:val="18"/>
        </w:rPr>
        <w:t xml:space="preserve"> en 3:58a</w:t>
      </w:r>
      <w:r w:rsidRPr="00A6284F" w:rsidR="001E56AB">
        <w:rPr>
          <w:sz w:val="18"/>
          <w:szCs w:val="18"/>
        </w:rPr>
        <w:t>)</w:t>
      </w:r>
    </w:p>
    <w:p w:rsidRPr="00A6284F" w:rsidR="001E56AB" w:rsidP="001E56AB" w:rsidRDefault="001E56AB" w14:paraId="0D73C639" w14:textId="77777777">
      <w:pPr>
        <w:widowControl w:val="0"/>
        <w:spacing w:line="240" w:lineRule="atLeast"/>
        <w:rPr>
          <w:sz w:val="18"/>
          <w:szCs w:val="18"/>
        </w:rPr>
      </w:pPr>
    </w:p>
    <w:p w:rsidR="00EA4F35" w:rsidP="001E56AB" w:rsidRDefault="006A29DB" w14:paraId="4AAE086C" w14:textId="426A7D1B">
      <w:pPr>
        <w:widowControl w:val="0"/>
        <w:spacing w:line="240" w:lineRule="atLeast"/>
        <w:rPr>
          <w:sz w:val="18"/>
          <w:szCs w:val="18"/>
        </w:rPr>
      </w:pPr>
      <w:r w:rsidRPr="00A6284F">
        <w:rPr>
          <w:sz w:val="18"/>
          <w:szCs w:val="18"/>
        </w:rPr>
        <w:t xml:space="preserve">Artikel 3:58 </w:t>
      </w:r>
      <w:r w:rsidR="00EA2BB3">
        <w:rPr>
          <w:sz w:val="18"/>
          <w:szCs w:val="18"/>
        </w:rPr>
        <w:t xml:space="preserve">Wft </w:t>
      </w:r>
      <w:r w:rsidRPr="00A6284F">
        <w:rPr>
          <w:sz w:val="18"/>
          <w:szCs w:val="18"/>
        </w:rPr>
        <w:t>verklaart artikel 3:57</w:t>
      </w:r>
      <w:r w:rsidR="00EA2BB3">
        <w:rPr>
          <w:sz w:val="18"/>
          <w:szCs w:val="18"/>
        </w:rPr>
        <w:t xml:space="preserve"> Wft</w:t>
      </w:r>
      <w:r w:rsidRPr="00A6284F">
        <w:rPr>
          <w:sz w:val="18"/>
          <w:szCs w:val="18"/>
        </w:rPr>
        <w:t xml:space="preserve"> met b</w:t>
      </w:r>
      <w:r>
        <w:rPr>
          <w:sz w:val="18"/>
          <w:szCs w:val="18"/>
        </w:rPr>
        <w:t>etrekking tot de solvabiliteit van overeenkomstige toepassing op een aantal ondernemingen uit een staat die geen lidstaat is</w:t>
      </w:r>
      <w:r w:rsidR="00033BD8">
        <w:rPr>
          <w:sz w:val="18"/>
          <w:szCs w:val="18"/>
        </w:rPr>
        <w:t xml:space="preserve">. In het eerste lid, onderdeel b, wordt artikel 3:57 </w:t>
      </w:r>
      <w:r w:rsidR="00EA2BB3">
        <w:rPr>
          <w:sz w:val="18"/>
          <w:szCs w:val="18"/>
        </w:rPr>
        <w:t>Wft</w:t>
      </w:r>
      <w:r w:rsidR="000A46A5">
        <w:rPr>
          <w:sz w:val="18"/>
          <w:szCs w:val="18"/>
        </w:rPr>
        <w:t xml:space="preserve"> </w:t>
      </w:r>
      <w:r w:rsidR="00033BD8">
        <w:rPr>
          <w:sz w:val="18"/>
          <w:szCs w:val="18"/>
        </w:rPr>
        <w:t xml:space="preserve">van overeenkomstige toepassing verklaart op banken met zetel in een staat die geen lidstaat is </w:t>
      </w:r>
      <w:r w:rsidRPr="00033BD8" w:rsidR="00033BD8">
        <w:rPr>
          <w:sz w:val="18"/>
          <w:szCs w:val="18"/>
        </w:rPr>
        <w:t>die hun bedrijf uitoefenen vanuit in Nederland gelegen bijkantoren</w:t>
      </w:r>
      <w:r w:rsidR="00033BD8">
        <w:rPr>
          <w:sz w:val="18"/>
          <w:szCs w:val="18"/>
        </w:rPr>
        <w:t xml:space="preserve">. </w:t>
      </w:r>
      <w:r w:rsidR="00EA4F35">
        <w:rPr>
          <w:sz w:val="18"/>
          <w:szCs w:val="18"/>
        </w:rPr>
        <w:t>Dit onderdeel komt te vervallen, onder verlettering van onderdeel c tot onderdeel b.</w:t>
      </w:r>
    </w:p>
    <w:p w:rsidR="00EA4F35" w:rsidP="001E56AB" w:rsidRDefault="00EA4F35" w14:paraId="5BDFC7AA" w14:textId="77777777">
      <w:pPr>
        <w:widowControl w:val="0"/>
        <w:spacing w:line="240" w:lineRule="atLeast"/>
        <w:rPr>
          <w:sz w:val="18"/>
          <w:szCs w:val="18"/>
        </w:rPr>
      </w:pPr>
    </w:p>
    <w:p w:rsidRPr="00A6284F" w:rsidR="00033BD8" w:rsidP="00EA2BB3" w:rsidRDefault="00EA2BB3" w14:paraId="5FB5AD08" w14:textId="18603A75">
      <w:pPr>
        <w:widowControl w:val="0"/>
        <w:spacing w:line="240" w:lineRule="atLeast"/>
        <w:rPr>
          <w:sz w:val="18"/>
          <w:szCs w:val="18"/>
        </w:rPr>
      </w:pPr>
      <w:r>
        <w:rPr>
          <w:sz w:val="18"/>
          <w:szCs w:val="18"/>
        </w:rPr>
        <w:t xml:space="preserve">Artikel 3:58a Wft wordt nieuw ingevoegd om artikel 3:57 Wft van overeenkomstige toepassing te verklaren op een </w:t>
      </w:r>
      <w:r w:rsidR="00FF0FD3">
        <w:rPr>
          <w:sz w:val="18"/>
          <w:szCs w:val="18"/>
        </w:rPr>
        <w:t>klasse 1-</w:t>
      </w:r>
      <w:r>
        <w:rPr>
          <w:sz w:val="18"/>
          <w:szCs w:val="18"/>
        </w:rPr>
        <w:t>bijkantoor</w:t>
      </w:r>
      <w:r w:rsidR="00FF0FD3">
        <w:rPr>
          <w:sz w:val="18"/>
          <w:szCs w:val="18"/>
        </w:rPr>
        <w:t xml:space="preserve"> en klasse 2-bijkantoor</w:t>
      </w:r>
      <w:r>
        <w:rPr>
          <w:sz w:val="18"/>
          <w:szCs w:val="18"/>
        </w:rPr>
        <w:t>.</w:t>
      </w:r>
      <w:r w:rsidR="00033BD8">
        <w:rPr>
          <w:sz w:val="18"/>
          <w:szCs w:val="18"/>
        </w:rPr>
        <w:t xml:space="preserve"> </w:t>
      </w:r>
      <w:r>
        <w:rPr>
          <w:sz w:val="18"/>
          <w:szCs w:val="18"/>
        </w:rPr>
        <w:t xml:space="preserve">Hiermee kunnen er solvabiliteitsvereisten worden opgelegd aan het </w:t>
      </w:r>
      <w:r w:rsidR="001C0C28">
        <w:rPr>
          <w:sz w:val="18"/>
          <w:szCs w:val="18"/>
        </w:rPr>
        <w:t>derde land</w:t>
      </w:r>
      <w:r>
        <w:rPr>
          <w:sz w:val="18"/>
          <w:szCs w:val="18"/>
        </w:rPr>
        <w:t xml:space="preserve"> bijkantoor. </w:t>
      </w:r>
      <w:r w:rsidR="00033BD8">
        <w:rPr>
          <w:sz w:val="18"/>
          <w:szCs w:val="18"/>
        </w:rPr>
        <w:t xml:space="preserve">Deze </w:t>
      </w:r>
      <w:r>
        <w:rPr>
          <w:sz w:val="18"/>
          <w:szCs w:val="18"/>
        </w:rPr>
        <w:t>solvabiliteits</w:t>
      </w:r>
      <w:r w:rsidR="00033BD8">
        <w:rPr>
          <w:sz w:val="18"/>
          <w:szCs w:val="18"/>
        </w:rPr>
        <w:t xml:space="preserve">vereisten zullen verder uitgewerkt worden bij </w:t>
      </w:r>
      <w:r>
        <w:rPr>
          <w:sz w:val="18"/>
          <w:szCs w:val="18"/>
        </w:rPr>
        <w:t>algemene maatregel van bestuur</w:t>
      </w:r>
      <w:r w:rsidR="00033BD8">
        <w:rPr>
          <w:sz w:val="18"/>
          <w:szCs w:val="18"/>
        </w:rPr>
        <w:t xml:space="preserve"> op basis van hetgeen de CRD voorschrijft qua hoeveelheid (2,5% van alle passiva voor klasse 1</w:t>
      </w:r>
      <w:r w:rsidR="007472E1">
        <w:rPr>
          <w:sz w:val="18"/>
          <w:szCs w:val="18"/>
        </w:rPr>
        <w:t>-bijkantoren</w:t>
      </w:r>
      <w:r w:rsidR="00033BD8">
        <w:rPr>
          <w:sz w:val="18"/>
          <w:szCs w:val="18"/>
        </w:rPr>
        <w:t>, 0,5% van alle passiva voor klasse 2</w:t>
      </w:r>
      <w:r w:rsidR="007472E1">
        <w:rPr>
          <w:sz w:val="18"/>
          <w:szCs w:val="18"/>
        </w:rPr>
        <w:t>-bijkantoren</w:t>
      </w:r>
      <w:r w:rsidR="00033BD8">
        <w:rPr>
          <w:sz w:val="18"/>
          <w:szCs w:val="18"/>
        </w:rPr>
        <w:t xml:space="preserve"> </w:t>
      </w:r>
      <w:r w:rsidR="007472E1">
        <w:rPr>
          <w:sz w:val="18"/>
          <w:szCs w:val="18"/>
        </w:rPr>
        <w:t>uit</w:t>
      </w:r>
      <w:r w:rsidR="00033BD8">
        <w:rPr>
          <w:sz w:val="18"/>
          <w:szCs w:val="18"/>
        </w:rPr>
        <w:t xml:space="preserve"> artikel 48 sexies, eerste lid, CRD), type activa die hiervoor gebruikt kunnen worden (cash, schuldtitels of andere instrumenten voor beperkt en onmiddellijk gebruik </w:t>
      </w:r>
      <w:r w:rsidR="007472E1">
        <w:rPr>
          <w:sz w:val="18"/>
          <w:szCs w:val="18"/>
        </w:rPr>
        <w:t>uit</w:t>
      </w:r>
      <w:r w:rsidR="00033BD8">
        <w:rPr>
          <w:sz w:val="18"/>
          <w:szCs w:val="18"/>
        </w:rPr>
        <w:t xml:space="preserve"> artikel 48 sexies, tweede lid, CRD) en de wijze waarop zij deze middelen zullen moeten deponeren op een escrow</w:t>
      </w:r>
      <w:r w:rsidR="00EA4F35">
        <w:rPr>
          <w:sz w:val="18"/>
          <w:szCs w:val="18"/>
        </w:rPr>
        <w:t>-</w:t>
      </w:r>
      <w:r w:rsidR="00033BD8">
        <w:rPr>
          <w:sz w:val="18"/>
          <w:szCs w:val="18"/>
        </w:rPr>
        <w:t>rekening (artikel 48 sexies, derde lid, CRD). De op de escrow</w:t>
      </w:r>
      <w:r w:rsidR="00EA4F35">
        <w:rPr>
          <w:sz w:val="18"/>
          <w:szCs w:val="18"/>
        </w:rPr>
        <w:t>-</w:t>
      </w:r>
      <w:r w:rsidR="00033BD8">
        <w:rPr>
          <w:sz w:val="18"/>
          <w:szCs w:val="18"/>
        </w:rPr>
        <w:t xml:space="preserve">rekening gedeponeerde kapitaalinstrumenten zijn beschikbaar voor gebruik indien </w:t>
      </w:r>
      <w:r w:rsidR="007472E1">
        <w:rPr>
          <w:sz w:val="18"/>
          <w:szCs w:val="18"/>
        </w:rPr>
        <w:t>er sprake is van het toepassen van een afwikkelingsmaatregel of opschorting</w:t>
      </w:r>
      <w:r w:rsidRPr="007472E1" w:rsidR="007472E1">
        <w:rPr>
          <w:sz w:val="18"/>
          <w:szCs w:val="18"/>
        </w:rPr>
        <w:t xml:space="preserve"> </w:t>
      </w:r>
      <w:r w:rsidR="007472E1">
        <w:rPr>
          <w:sz w:val="18"/>
          <w:szCs w:val="18"/>
        </w:rPr>
        <w:t>als bedoeld in artikel 3A:19 Wft op het</w:t>
      </w:r>
      <w:r w:rsidR="00033BD8">
        <w:rPr>
          <w:sz w:val="18"/>
          <w:szCs w:val="18"/>
        </w:rPr>
        <w:t xml:space="preserve"> </w:t>
      </w:r>
      <w:r w:rsidR="007472E1">
        <w:rPr>
          <w:sz w:val="18"/>
          <w:szCs w:val="18"/>
        </w:rPr>
        <w:t xml:space="preserve">derde land </w:t>
      </w:r>
      <w:r w:rsidR="00033BD8">
        <w:rPr>
          <w:sz w:val="18"/>
          <w:szCs w:val="18"/>
        </w:rPr>
        <w:t>bijkantoor.</w:t>
      </w:r>
      <w:r w:rsidR="00B4575A">
        <w:rPr>
          <w:sz w:val="18"/>
          <w:szCs w:val="18"/>
        </w:rPr>
        <w:t xml:space="preserve"> </w:t>
      </w:r>
    </w:p>
    <w:p w:rsidRPr="00A6284F" w:rsidR="001E56AB" w:rsidP="001E56AB" w:rsidRDefault="001E56AB" w14:paraId="2D883900" w14:textId="77777777">
      <w:pPr>
        <w:widowControl w:val="0"/>
        <w:spacing w:line="240" w:lineRule="atLeast"/>
        <w:rPr>
          <w:sz w:val="18"/>
          <w:szCs w:val="18"/>
        </w:rPr>
      </w:pPr>
    </w:p>
    <w:p w:rsidRPr="003306BB" w:rsidR="00195428" w:rsidP="00195428" w:rsidRDefault="006B5C8D" w14:paraId="58A3B0DE" w14:textId="0042F2EE">
      <w:pPr>
        <w:widowControl w:val="0"/>
        <w:spacing w:line="240" w:lineRule="atLeast"/>
        <w:rPr>
          <w:sz w:val="18"/>
          <w:szCs w:val="18"/>
        </w:rPr>
      </w:pPr>
      <w:r>
        <w:rPr>
          <w:sz w:val="18"/>
          <w:szCs w:val="18"/>
        </w:rPr>
        <w:lastRenderedPageBreak/>
        <w:t>RR</w:t>
      </w:r>
      <w:r w:rsidRPr="003306BB" w:rsidR="00195428">
        <w:rPr>
          <w:sz w:val="18"/>
          <w:szCs w:val="18"/>
        </w:rPr>
        <w:t xml:space="preserve"> en</w:t>
      </w:r>
      <w:r>
        <w:rPr>
          <w:sz w:val="18"/>
          <w:szCs w:val="18"/>
        </w:rPr>
        <w:t xml:space="preserve"> SS</w:t>
      </w:r>
      <w:r w:rsidRPr="003306BB" w:rsidR="00195428">
        <w:rPr>
          <w:sz w:val="18"/>
          <w:szCs w:val="18"/>
        </w:rPr>
        <w:t xml:space="preserve"> (3:62b e</w:t>
      </w:r>
      <w:r w:rsidR="00195428">
        <w:rPr>
          <w:sz w:val="18"/>
          <w:szCs w:val="18"/>
        </w:rPr>
        <w:t>n 3:62ba)</w:t>
      </w:r>
    </w:p>
    <w:p w:rsidRPr="003306BB" w:rsidR="003306BB" w:rsidP="001E56AB" w:rsidRDefault="003306BB" w14:paraId="33DB99D4" w14:textId="77777777">
      <w:pPr>
        <w:widowControl w:val="0"/>
        <w:spacing w:line="240" w:lineRule="atLeast"/>
        <w:rPr>
          <w:sz w:val="18"/>
          <w:szCs w:val="18"/>
        </w:rPr>
      </w:pPr>
    </w:p>
    <w:p w:rsidRPr="003306BB" w:rsidR="001B3D79" w:rsidP="001E56AB" w:rsidRDefault="001B3D79" w14:paraId="52F1F988" w14:textId="11C1A7FF">
      <w:pPr>
        <w:widowControl w:val="0"/>
        <w:spacing w:line="240" w:lineRule="atLeast"/>
        <w:rPr>
          <w:sz w:val="18"/>
          <w:szCs w:val="18"/>
        </w:rPr>
      </w:pPr>
      <w:r>
        <w:rPr>
          <w:sz w:val="18"/>
          <w:szCs w:val="18"/>
        </w:rPr>
        <w:t xml:space="preserve">De aanpassingen van de artikelen 3:62b en 3:62ba </w:t>
      </w:r>
      <w:r w:rsidR="007472E1">
        <w:rPr>
          <w:sz w:val="18"/>
          <w:szCs w:val="18"/>
        </w:rPr>
        <w:t xml:space="preserve">Wft </w:t>
      </w:r>
      <w:r>
        <w:rPr>
          <w:sz w:val="18"/>
          <w:szCs w:val="18"/>
        </w:rPr>
        <w:t xml:space="preserve">zien op de implementatie van de artikelen 141 en 141 ter CRD. Naar aanleiding van vragen van de Europese Commissie over de implementatie van de vorige wijziging van de CRD zijn enkele aanpassingen gemaakt. Het betreft de </w:t>
      </w:r>
      <w:r w:rsidR="00520D61">
        <w:rPr>
          <w:sz w:val="18"/>
          <w:szCs w:val="18"/>
        </w:rPr>
        <w:t xml:space="preserve">verduidelijking </w:t>
      </w:r>
      <w:r>
        <w:rPr>
          <w:sz w:val="18"/>
          <w:szCs w:val="18"/>
        </w:rPr>
        <w:t xml:space="preserve">in een nieuw derde lid </w:t>
      </w:r>
      <w:r w:rsidR="00520D61">
        <w:rPr>
          <w:sz w:val="18"/>
          <w:szCs w:val="18"/>
        </w:rPr>
        <w:t xml:space="preserve">van </w:t>
      </w:r>
      <w:r>
        <w:rPr>
          <w:sz w:val="18"/>
          <w:szCs w:val="18"/>
        </w:rPr>
        <w:t>de artikelen 3:62b en 3:62ba Wft dat de verboden uitkeringen in het tweede lid niet van toepassing zijn indien het niet doen van die uitkeringen zou leiden tot het veroorzaken van wanbetaling of zou leiden tot het starten van een faillissementsprocedure. Hiermee worden de artikelleden 141, zevende lid, en 141 ter, zevende lid, CRD geïmplementeerd. De overige wijzigingen betreffen vooral aanpassingen in verband met kruisverwijzingen in artikel 3:62ba Wft.</w:t>
      </w:r>
    </w:p>
    <w:p w:rsidRPr="003306BB" w:rsidR="003306BB" w:rsidP="001E56AB" w:rsidRDefault="003306BB" w14:paraId="716695D3" w14:textId="77777777">
      <w:pPr>
        <w:widowControl w:val="0"/>
        <w:spacing w:line="240" w:lineRule="atLeast"/>
        <w:rPr>
          <w:sz w:val="18"/>
          <w:szCs w:val="18"/>
        </w:rPr>
      </w:pPr>
    </w:p>
    <w:p w:rsidRPr="00067024" w:rsidR="001E56AB" w:rsidP="001E56AB" w:rsidRDefault="006B5C8D" w14:paraId="5DFF6E22" w14:textId="3F01B602">
      <w:pPr>
        <w:widowControl w:val="0"/>
        <w:spacing w:line="240" w:lineRule="atLeast"/>
        <w:rPr>
          <w:sz w:val="18"/>
          <w:szCs w:val="18"/>
        </w:rPr>
      </w:pPr>
      <w:r>
        <w:rPr>
          <w:sz w:val="18"/>
          <w:szCs w:val="18"/>
        </w:rPr>
        <w:t>TT</w:t>
      </w:r>
      <w:r w:rsidRPr="00067024" w:rsidR="003306BB">
        <w:rPr>
          <w:sz w:val="18"/>
          <w:szCs w:val="18"/>
        </w:rPr>
        <w:t xml:space="preserve"> en </w:t>
      </w:r>
      <w:r>
        <w:rPr>
          <w:sz w:val="18"/>
          <w:szCs w:val="18"/>
        </w:rPr>
        <w:t>UU</w:t>
      </w:r>
      <w:r w:rsidRPr="00067024" w:rsidR="003306BB">
        <w:rPr>
          <w:sz w:val="18"/>
          <w:szCs w:val="18"/>
        </w:rPr>
        <w:t xml:space="preserve"> </w:t>
      </w:r>
      <w:r w:rsidRPr="00067024" w:rsidR="001E56AB">
        <w:rPr>
          <w:sz w:val="18"/>
          <w:szCs w:val="18"/>
        </w:rPr>
        <w:t>(3:65</w:t>
      </w:r>
      <w:r w:rsidRPr="00067024" w:rsidR="000B4B5E">
        <w:rPr>
          <w:sz w:val="18"/>
          <w:szCs w:val="18"/>
        </w:rPr>
        <w:t xml:space="preserve"> en 3:65a</w:t>
      </w:r>
      <w:r w:rsidRPr="00067024" w:rsidR="001E56AB">
        <w:rPr>
          <w:sz w:val="18"/>
          <w:szCs w:val="18"/>
        </w:rPr>
        <w:t>)</w:t>
      </w:r>
    </w:p>
    <w:p w:rsidRPr="00067024" w:rsidR="001E56AB" w:rsidP="001E56AB" w:rsidRDefault="001E56AB" w14:paraId="2B30E83B" w14:textId="77777777">
      <w:pPr>
        <w:widowControl w:val="0"/>
        <w:spacing w:line="240" w:lineRule="atLeast"/>
        <w:rPr>
          <w:sz w:val="18"/>
          <w:szCs w:val="18"/>
        </w:rPr>
      </w:pPr>
    </w:p>
    <w:p w:rsidR="00EA2BB3" w:rsidP="001E56AB" w:rsidRDefault="00033BD8" w14:paraId="76C1AE63" w14:textId="2A74A959">
      <w:pPr>
        <w:widowControl w:val="0"/>
        <w:spacing w:line="240" w:lineRule="atLeast"/>
        <w:rPr>
          <w:sz w:val="18"/>
          <w:szCs w:val="18"/>
        </w:rPr>
      </w:pPr>
      <w:r>
        <w:rPr>
          <w:sz w:val="18"/>
          <w:szCs w:val="18"/>
        </w:rPr>
        <w:t xml:space="preserve">Artikel 3:65 </w:t>
      </w:r>
      <w:r w:rsidR="00C94A40">
        <w:rPr>
          <w:sz w:val="18"/>
          <w:szCs w:val="18"/>
        </w:rPr>
        <w:t>Wft verklaart artikel 3:63 Wft</w:t>
      </w:r>
      <w:r w:rsidR="00E22B9E">
        <w:rPr>
          <w:sz w:val="18"/>
          <w:szCs w:val="18"/>
        </w:rPr>
        <w:t xml:space="preserve"> </w:t>
      </w:r>
      <w:r w:rsidR="00C94A40">
        <w:rPr>
          <w:sz w:val="18"/>
          <w:szCs w:val="18"/>
        </w:rPr>
        <w:t xml:space="preserve">met betrekking tot de liquiditeit van overeenkomstige toepassing op banken en beleggingsondernemingen </w:t>
      </w:r>
      <w:r w:rsidR="001C0C28">
        <w:rPr>
          <w:sz w:val="18"/>
          <w:szCs w:val="18"/>
        </w:rPr>
        <w:t xml:space="preserve">uit staten die geen lidstaat zijn </w:t>
      </w:r>
      <w:r w:rsidR="00C94A40">
        <w:rPr>
          <w:sz w:val="18"/>
          <w:szCs w:val="18"/>
        </w:rPr>
        <w:t xml:space="preserve">die vanuit een bijkantoor in Nederland diensten aanbieden. </w:t>
      </w:r>
    </w:p>
    <w:p w:rsidR="00EA2BB3" w:rsidP="001E56AB" w:rsidRDefault="00EA2BB3" w14:paraId="245335BF" w14:textId="77777777">
      <w:pPr>
        <w:widowControl w:val="0"/>
        <w:spacing w:line="240" w:lineRule="atLeast"/>
        <w:rPr>
          <w:sz w:val="18"/>
          <w:szCs w:val="18"/>
        </w:rPr>
      </w:pPr>
    </w:p>
    <w:p w:rsidR="00033BD8" w:rsidP="00EA2BB3" w:rsidRDefault="00EA2BB3" w14:paraId="569947DA" w14:textId="780B690F">
      <w:pPr>
        <w:widowControl w:val="0"/>
        <w:spacing w:line="240" w:lineRule="atLeast"/>
        <w:rPr>
          <w:sz w:val="18"/>
          <w:szCs w:val="18"/>
        </w:rPr>
      </w:pPr>
      <w:r>
        <w:rPr>
          <w:sz w:val="18"/>
          <w:szCs w:val="18"/>
        </w:rPr>
        <w:t xml:space="preserve">Daarnaast wordt een nieuw artikel 3:65a Wft toegevoegd aan paragraaf 3.3.7.3 Wft waarmee artikel 3:63 Wft van overeenkomstige toepassing wordt verklaard op </w:t>
      </w:r>
      <w:r w:rsidR="001C0C28">
        <w:rPr>
          <w:sz w:val="18"/>
          <w:szCs w:val="18"/>
        </w:rPr>
        <w:t>derde land</w:t>
      </w:r>
      <w:r>
        <w:rPr>
          <w:sz w:val="18"/>
          <w:szCs w:val="18"/>
        </w:rPr>
        <w:t xml:space="preserve"> bijkantoren.</w:t>
      </w:r>
      <w:r w:rsidR="00C94A40">
        <w:rPr>
          <w:sz w:val="18"/>
          <w:szCs w:val="18"/>
        </w:rPr>
        <w:t xml:space="preserve"> Met deze van overeenkomstige toepassing wordt het mogelijk om de liquiditeitsvereisten voor </w:t>
      </w:r>
      <w:r w:rsidR="001C0C28">
        <w:rPr>
          <w:sz w:val="18"/>
          <w:szCs w:val="18"/>
        </w:rPr>
        <w:t>derde land</w:t>
      </w:r>
      <w:r w:rsidR="00C94A40">
        <w:rPr>
          <w:sz w:val="18"/>
          <w:szCs w:val="18"/>
        </w:rPr>
        <w:t xml:space="preserve"> bijkantoren die artikel 48 septies CRD voorschrijft op het niveau van </w:t>
      </w:r>
      <w:r w:rsidR="00E22B9E">
        <w:rPr>
          <w:sz w:val="18"/>
          <w:szCs w:val="18"/>
        </w:rPr>
        <w:t>algemene maatregel van bestuur</w:t>
      </w:r>
      <w:r w:rsidR="00C94A40">
        <w:rPr>
          <w:sz w:val="18"/>
          <w:szCs w:val="18"/>
        </w:rPr>
        <w:t xml:space="preserve"> verder in te vullen op grond van de delegatiegrondslag in artikel 3:63, tweede lid, Wft.</w:t>
      </w:r>
    </w:p>
    <w:p w:rsidR="00C94A40" w:rsidP="001E56AB" w:rsidRDefault="00C94A40" w14:paraId="7714D101" w14:textId="77777777">
      <w:pPr>
        <w:widowControl w:val="0"/>
        <w:spacing w:line="240" w:lineRule="atLeast"/>
        <w:rPr>
          <w:sz w:val="18"/>
          <w:szCs w:val="18"/>
        </w:rPr>
      </w:pPr>
    </w:p>
    <w:p w:rsidRPr="00A6284F" w:rsidR="001E56AB" w:rsidP="001E56AB" w:rsidRDefault="006B5C8D" w14:paraId="4357CD5B" w14:textId="16EF3B4F">
      <w:pPr>
        <w:widowControl w:val="0"/>
        <w:spacing w:line="240" w:lineRule="atLeast"/>
        <w:rPr>
          <w:sz w:val="18"/>
          <w:szCs w:val="18"/>
        </w:rPr>
      </w:pPr>
      <w:r>
        <w:rPr>
          <w:sz w:val="18"/>
          <w:szCs w:val="18"/>
        </w:rPr>
        <w:t>VV</w:t>
      </w:r>
      <w:r w:rsidRPr="00A6284F" w:rsidR="001E56AB">
        <w:rPr>
          <w:sz w:val="18"/>
          <w:szCs w:val="18"/>
        </w:rPr>
        <w:t xml:space="preserve"> (3:74a)</w:t>
      </w:r>
    </w:p>
    <w:p w:rsidRPr="00A6284F" w:rsidR="001E56AB" w:rsidP="001E56AB" w:rsidRDefault="001E56AB" w14:paraId="1A6DFFB7" w14:textId="77777777">
      <w:pPr>
        <w:widowControl w:val="0"/>
        <w:spacing w:line="240" w:lineRule="atLeast"/>
        <w:rPr>
          <w:sz w:val="18"/>
          <w:szCs w:val="18"/>
        </w:rPr>
      </w:pPr>
    </w:p>
    <w:p w:rsidR="00171041" w:rsidP="00171041" w:rsidRDefault="00E22B9E" w14:paraId="37132593" w14:textId="4DFD9A28">
      <w:pPr>
        <w:widowControl w:val="0"/>
        <w:spacing w:line="240" w:lineRule="atLeast"/>
        <w:rPr>
          <w:sz w:val="18"/>
          <w:szCs w:val="18"/>
        </w:rPr>
      </w:pPr>
      <w:r w:rsidRPr="007E3619">
        <w:rPr>
          <w:sz w:val="18"/>
          <w:szCs w:val="18"/>
        </w:rPr>
        <w:t xml:space="preserve">Artikel 3:74a Wft omvat in de huidige vorm de specifieke openbaarmakingsvereisten uit zowel </w:t>
      </w:r>
      <w:r w:rsidR="000A46A5">
        <w:rPr>
          <w:sz w:val="18"/>
          <w:szCs w:val="18"/>
        </w:rPr>
        <w:t xml:space="preserve">artikel 106 </w:t>
      </w:r>
      <w:r>
        <w:rPr>
          <w:sz w:val="18"/>
          <w:szCs w:val="18"/>
        </w:rPr>
        <w:t>CRD</w:t>
      </w:r>
      <w:r w:rsidRPr="007E3619">
        <w:rPr>
          <w:sz w:val="18"/>
          <w:szCs w:val="18"/>
        </w:rPr>
        <w:t xml:space="preserve"> als </w:t>
      </w:r>
      <w:r w:rsidR="000A46A5">
        <w:rPr>
          <w:sz w:val="18"/>
          <w:szCs w:val="18"/>
        </w:rPr>
        <w:t xml:space="preserve">artikel </w:t>
      </w:r>
      <w:r w:rsidR="00126328">
        <w:rPr>
          <w:sz w:val="18"/>
          <w:szCs w:val="18"/>
        </w:rPr>
        <w:t>44</w:t>
      </w:r>
      <w:r w:rsidRPr="007E3619">
        <w:rPr>
          <w:sz w:val="18"/>
          <w:szCs w:val="18"/>
        </w:rPr>
        <w:t xml:space="preserve"> </w:t>
      </w:r>
      <w:r w:rsidR="0085538E">
        <w:rPr>
          <w:sz w:val="18"/>
          <w:szCs w:val="18"/>
        </w:rPr>
        <w:t>IFD</w:t>
      </w:r>
      <w:r w:rsidRPr="007E3619">
        <w:rPr>
          <w:sz w:val="18"/>
          <w:szCs w:val="18"/>
        </w:rPr>
        <w:t xml:space="preserve">. </w:t>
      </w:r>
      <w:r w:rsidRPr="007E3619" w:rsidR="00171041">
        <w:rPr>
          <w:sz w:val="18"/>
          <w:szCs w:val="18"/>
        </w:rPr>
        <w:t>Artikel 106 CRD bevat de mogelijkheid voor de toezichthouder om, in het kader van toezichtmaatregelen aan een bank of beleggingsonderneming onder de verordening kapitaalvereisten specifieke publicatieverplichtingen op te leggen</w:t>
      </w:r>
      <w:r w:rsidR="00171041">
        <w:rPr>
          <w:sz w:val="18"/>
          <w:szCs w:val="18"/>
        </w:rPr>
        <w:t xml:space="preserve">. </w:t>
      </w:r>
      <w:r w:rsidRPr="007E3619" w:rsidR="00171041">
        <w:rPr>
          <w:sz w:val="18"/>
          <w:szCs w:val="18"/>
        </w:rPr>
        <w:t xml:space="preserve">Ten opzichte van het huidige artikel 106 </w:t>
      </w:r>
      <w:r w:rsidR="00171041">
        <w:rPr>
          <w:sz w:val="18"/>
          <w:szCs w:val="18"/>
        </w:rPr>
        <w:t>CRD</w:t>
      </w:r>
      <w:r w:rsidRPr="007E3619" w:rsidR="00171041">
        <w:rPr>
          <w:sz w:val="18"/>
          <w:szCs w:val="18"/>
        </w:rPr>
        <w:t xml:space="preserve"> wordt het eerste lid</w:t>
      </w:r>
      <w:r w:rsidR="00171041">
        <w:rPr>
          <w:sz w:val="18"/>
          <w:szCs w:val="18"/>
        </w:rPr>
        <w:t xml:space="preserve"> van dat artikel</w:t>
      </w:r>
      <w:r w:rsidRPr="007E3619" w:rsidR="00171041">
        <w:rPr>
          <w:sz w:val="18"/>
          <w:szCs w:val="18"/>
        </w:rPr>
        <w:t xml:space="preserve"> aangepast. Omdat het gewijzigde artikel 106 </w:t>
      </w:r>
      <w:r w:rsidR="00171041">
        <w:rPr>
          <w:sz w:val="18"/>
          <w:szCs w:val="18"/>
        </w:rPr>
        <w:t>CRD</w:t>
      </w:r>
      <w:r w:rsidRPr="007E3619" w:rsidR="00171041">
        <w:rPr>
          <w:sz w:val="18"/>
          <w:szCs w:val="18"/>
        </w:rPr>
        <w:t xml:space="preserve"> afwijkt van de bevoegdheid voor beleggingsondernemingen onder artikel 44 </w:t>
      </w:r>
      <w:r w:rsidR="00171041">
        <w:rPr>
          <w:sz w:val="18"/>
          <w:szCs w:val="18"/>
        </w:rPr>
        <w:t>IFD</w:t>
      </w:r>
      <w:r w:rsidRPr="007E3619" w:rsidR="00171041">
        <w:rPr>
          <w:sz w:val="18"/>
          <w:szCs w:val="18"/>
        </w:rPr>
        <w:t>, is ervoor gekozen het eerste lid van artikel 3:74a Wft op te splitsen. Hierdoor ziet het voorgestelde artikel 3:74a, eerste lid, Wft enkel op openbaarmakingsverplichtingen waaraan</w:t>
      </w:r>
      <w:r w:rsidR="00171041">
        <w:rPr>
          <w:sz w:val="18"/>
          <w:szCs w:val="18"/>
        </w:rPr>
        <w:t xml:space="preserve"> </w:t>
      </w:r>
      <w:r w:rsidRPr="007E3619" w:rsidR="00171041">
        <w:rPr>
          <w:sz w:val="18"/>
          <w:szCs w:val="18"/>
        </w:rPr>
        <w:t xml:space="preserve">een bank of een beleggingsonderneming onder de verordening kapitaalvereisten moet voldoen. De vereisten voor beleggingsondernemingen die in artikel 3:74a, eerste lid, onderdelen b en c, Wft </w:t>
      </w:r>
      <w:r w:rsidR="00171041">
        <w:rPr>
          <w:sz w:val="18"/>
          <w:szCs w:val="18"/>
        </w:rPr>
        <w:t>waren</w:t>
      </w:r>
      <w:r w:rsidRPr="007E3619" w:rsidR="00171041">
        <w:rPr>
          <w:sz w:val="18"/>
          <w:szCs w:val="18"/>
        </w:rPr>
        <w:t xml:space="preserve"> opgenomen </w:t>
      </w:r>
      <w:r w:rsidR="00171041">
        <w:rPr>
          <w:sz w:val="18"/>
          <w:szCs w:val="18"/>
        </w:rPr>
        <w:t>zijn</w:t>
      </w:r>
      <w:r w:rsidRPr="007E3619" w:rsidR="00171041">
        <w:rPr>
          <w:sz w:val="18"/>
          <w:szCs w:val="18"/>
        </w:rPr>
        <w:t xml:space="preserve"> verplaatst naar een nieuw tweede lid.</w:t>
      </w:r>
    </w:p>
    <w:p w:rsidR="00171041" w:rsidP="007E3619" w:rsidRDefault="00171041" w14:paraId="52A17671" w14:textId="749550BD">
      <w:pPr>
        <w:widowControl w:val="0"/>
        <w:spacing w:line="240" w:lineRule="atLeast"/>
        <w:rPr>
          <w:sz w:val="18"/>
          <w:szCs w:val="18"/>
        </w:rPr>
      </w:pPr>
    </w:p>
    <w:p w:rsidRPr="007E3619" w:rsidR="007E3619" w:rsidP="007E3619" w:rsidRDefault="00171041" w14:paraId="52934672" w14:textId="16325220">
      <w:pPr>
        <w:widowControl w:val="0"/>
        <w:spacing w:line="240" w:lineRule="atLeast"/>
        <w:rPr>
          <w:sz w:val="18"/>
          <w:szCs w:val="18"/>
        </w:rPr>
      </w:pPr>
      <w:r>
        <w:rPr>
          <w:sz w:val="18"/>
          <w:szCs w:val="18"/>
        </w:rPr>
        <w:t xml:space="preserve">Daarnaast is inhoudelijk voor banken de </w:t>
      </w:r>
      <w:r w:rsidRPr="007E3619" w:rsidR="007E3619">
        <w:rPr>
          <w:sz w:val="18"/>
          <w:szCs w:val="18"/>
        </w:rPr>
        <w:t xml:space="preserve">openbaarmaking uit artikel 106, eerste lid, onderdeel a, </w:t>
      </w:r>
      <w:r w:rsidR="007E3619">
        <w:rPr>
          <w:sz w:val="18"/>
          <w:szCs w:val="18"/>
        </w:rPr>
        <w:t xml:space="preserve">CRD </w:t>
      </w:r>
      <w:r w:rsidRPr="007E3619" w:rsidR="007E3619">
        <w:rPr>
          <w:sz w:val="18"/>
          <w:szCs w:val="18"/>
        </w:rPr>
        <w:t xml:space="preserve">niet meer vastgezet op frequenter dan jaarlijks, maar wordt terugverwezen naar de artikelen 433 tot en met 433 quater </w:t>
      </w:r>
      <w:r w:rsidR="009A3FBB">
        <w:rPr>
          <w:sz w:val="18"/>
          <w:szCs w:val="18"/>
        </w:rPr>
        <w:t>CRR</w:t>
      </w:r>
      <w:r w:rsidRPr="007E3619" w:rsidR="007E3619">
        <w:rPr>
          <w:sz w:val="18"/>
          <w:szCs w:val="18"/>
        </w:rPr>
        <w:t>. Die reeks van artikelen bevat verschillende publicatiemomenten (jaarlijks/halfjaarlijks/kwartaalbasis) voor verschillende type bank</w:t>
      </w:r>
      <w:r w:rsidR="00E81365">
        <w:rPr>
          <w:sz w:val="18"/>
          <w:szCs w:val="18"/>
        </w:rPr>
        <w:t>en</w:t>
      </w:r>
      <w:r w:rsidRPr="007E3619" w:rsidR="007E3619">
        <w:rPr>
          <w:sz w:val="18"/>
          <w:szCs w:val="18"/>
        </w:rPr>
        <w:t xml:space="preserve"> (grote banken, kleine en niet-complexe banken en andere banken). Afhankelijk van de frequentie van publicatie en</w:t>
      </w:r>
      <w:r w:rsidR="00E81365">
        <w:rPr>
          <w:sz w:val="18"/>
          <w:szCs w:val="18"/>
        </w:rPr>
        <w:t xml:space="preserve"> het</w:t>
      </w:r>
      <w:r w:rsidRPr="007E3619" w:rsidR="007E3619">
        <w:rPr>
          <w:sz w:val="18"/>
          <w:szCs w:val="18"/>
        </w:rPr>
        <w:t xml:space="preserve"> type bank kan DNB opdragen dat een bank de desbetreffende informatie vaker publiceert dan voorgeschreven door de </w:t>
      </w:r>
      <w:r w:rsidR="009A3FBB">
        <w:rPr>
          <w:sz w:val="18"/>
          <w:szCs w:val="18"/>
        </w:rPr>
        <w:t>CRR</w:t>
      </w:r>
      <w:r w:rsidRPr="007E3619" w:rsidR="007E3619">
        <w:rPr>
          <w:sz w:val="18"/>
          <w:szCs w:val="18"/>
        </w:rPr>
        <w:t>. Dit geldt dus ook voor beleggingsondernemingen onder de verordening kapitaalvereisten die het regime van de verordening moeten toepassen.</w:t>
      </w:r>
      <w:r w:rsidR="00925F8D">
        <w:rPr>
          <w:sz w:val="18"/>
          <w:szCs w:val="18"/>
        </w:rPr>
        <w:t xml:space="preserve"> </w:t>
      </w:r>
      <w:r w:rsidRPr="007E3619" w:rsidR="007E3619">
        <w:rPr>
          <w:sz w:val="18"/>
          <w:szCs w:val="18"/>
        </w:rPr>
        <w:t xml:space="preserve">Nieuw is dat DNB aan banken en beleggingsondernemingen onder de verordening kapitaalvereisten bepaalde termijnen opleggen voor het indienen van openbaarmakingsinformatie bij EBA die deze informatie zal publiceren op haar website. Eveneens kan DNB bepalen </w:t>
      </w:r>
      <w:r w:rsidRPr="007E3619" w:rsidR="007E3619">
        <w:rPr>
          <w:sz w:val="18"/>
          <w:szCs w:val="18"/>
        </w:rPr>
        <w:lastRenderedPageBreak/>
        <w:t xml:space="preserve">dat een bank of een beleggingsonderneming onder de verordening kapitaalvereisten informatie publiceert </w:t>
      </w:r>
      <w:r w:rsidR="00E81365">
        <w:rPr>
          <w:sz w:val="18"/>
          <w:szCs w:val="18"/>
        </w:rPr>
        <w:t>via</w:t>
      </w:r>
      <w:r w:rsidRPr="007E3619" w:rsidR="00E81365">
        <w:rPr>
          <w:sz w:val="18"/>
          <w:szCs w:val="18"/>
        </w:rPr>
        <w:t xml:space="preserve"> </w:t>
      </w:r>
      <w:r w:rsidRPr="007E3619" w:rsidR="007E3619">
        <w:rPr>
          <w:sz w:val="18"/>
          <w:szCs w:val="18"/>
        </w:rPr>
        <w:t xml:space="preserve">andere specifieke media en </w:t>
      </w:r>
      <w:r w:rsidR="00E81365">
        <w:rPr>
          <w:sz w:val="18"/>
          <w:szCs w:val="18"/>
        </w:rPr>
        <w:t xml:space="preserve">op andere </w:t>
      </w:r>
      <w:r w:rsidRPr="007E3619" w:rsidR="007E3619">
        <w:rPr>
          <w:sz w:val="18"/>
          <w:szCs w:val="18"/>
        </w:rPr>
        <w:t>locaties dan de EBA-website.</w:t>
      </w:r>
    </w:p>
    <w:p w:rsidRPr="007E3619" w:rsidR="007E3619" w:rsidP="007E3619" w:rsidRDefault="007E3619" w14:paraId="7032A8B2" w14:textId="77777777">
      <w:pPr>
        <w:widowControl w:val="0"/>
        <w:spacing w:line="240" w:lineRule="atLeast"/>
        <w:rPr>
          <w:sz w:val="18"/>
          <w:szCs w:val="18"/>
        </w:rPr>
      </w:pPr>
    </w:p>
    <w:p w:rsidR="001E56AB" w:rsidP="007E3619" w:rsidRDefault="007E3619" w14:paraId="08F7D94A" w14:textId="4D1BD47F">
      <w:pPr>
        <w:widowControl w:val="0"/>
        <w:spacing w:line="240" w:lineRule="atLeast"/>
        <w:rPr>
          <w:sz w:val="18"/>
          <w:szCs w:val="18"/>
        </w:rPr>
      </w:pPr>
      <w:r w:rsidRPr="007E3619">
        <w:rPr>
          <w:sz w:val="18"/>
          <w:szCs w:val="18"/>
        </w:rPr>
        <w:t xml:space="preserve">Als laatste is een vierde lid ingevoegd, met daarin de uitzondering die geldt voor kleine en niet-complexe banken als bedoeld in artikel 4, eerste lid, onderdeel 145, </w:t>
      </w:r>
      <w:r w:rsidR="009A3FBB">
        <w:rPr>
          <w:sz w:val="18"/>
          <w:szCs w:val="18"/>
        </w:rPr>
        <w:t>CRR</w:t>
      </w:r>
      <w:r w:rsidR="00E81365">
        <w:rPr>
          <w:sz w:val="18"/>
          <w:szCs w:val="18"/>
        </w:rPr>
        <w:t>.</w:t>
      </w:r>
      <w:r w:rsidRPr="007E3619">
        <w:rPr>
          <w:sz w:val="18"/>
          <w:szCs w:val="18"/>
        </w:rPr>
        <w:t xml:space="preserve"> </w:t>
      </w:r>
      <w:r w:rsidR="00E81365">
        <w:rPr>
          <w:sz w:val="18"/>
          <w:szCs w:val="18"/>
        </w:rPr>
        <w:t>Voor deze</w:t>
      </w:r>
      <w:r w:rsidR="00171041">
        <w:rPr>
          <w:sz w:val="18"/>
          <w:szCs w:val="18"/>
        </w:rPr>
        <w:t xml:space="preserve"> banken</w:t>
      </w:r>
      <w:r w:rsidRPr="007E3619">
        <w:rPr>
          <w:sz w:val="18"/>
          <w:szCs w:val="18"/>
        </w:rPr>
        <w:t xml:space="preserve"> geldt dat DNB </w:t>
      </w:r>
      <w:r w:rsidR="0085538E">
        <w:rPr>
          <w:sz w:val="18"/>
          <w:szCs w:val="18"/>
        </w:rPr>
        <w:t xml:space="preserve">de </w:t>
      </w:r>
      <w:r w:rsidRPr="007E3619">
        <w:rPr>
          <w:sz w:val="18"/>
          <w:szCs w:val="18"/>
        </w:rPr>
        <w:t xml:space="preserve">termijnen </w:t>
      </w:r>
      <w:r w:rsidR="0085538E">
        <w:rPr>
          <w:sz w:val="18"/>
          <w:szCs w:val="18"/>
        </w:rPr>
        <w:t xml:space="preserve">niet </w:t>
      </w:r>
      <w:r w:rsidRPr="007E3619">
        <w:rPr>
          <w:sz w:val="18"/>
          <w:szCs w:val="18"/>
        </w:rPr>
        <w:t>kan stellen waarbinnen informatie aangeleverd moet worden bij EBA.</w:t>
      </w:r>
      <w:r w:rsidR="0085538E">
        <w:rPr>
          <w:sz w:val="18"/>
          <w:szCs w:val="18"/>
        </w:rPr>
        <w:t xml:space="preserve"> Dit volgt uit artikel 106, eerste lid, onderdeel b, CRD.</w:t>
      </w:r>
    </w:p>
    <w:p w:rsidRPr="00A6284F" w:rsidR="007E3619" w:rsidP="007E3619" w:rsidRDefault="007E3619" w14:paraId="5585E3B9" w14:textId="77777777">
      <w:pPr>
        <w:widowControl w:val="0"/>
        <w:spacing w:line="240" w:lineRule="atLeast"/>
        <w:rPr>
          <w:sz w:val="18"/>
          <w:szCs w:val="18"/>
        </w:rPr>
      </w:pPr>
    </w:p>
    <w:p w:rsidRPr="00BD04E1" w:rsidR="001E56AB" w:rsidP="001E56AB" w:rsidRDefault="006B5C8D" w14:paraId="27579C23" w14:textId="70C8859F">
      <w:pPr>
        <w:widowControl w:val="0"/>
        <w:spacing w:line="240" w:lineRule="atLeast"/>
        <w:rPr>
          <w:sz w:val="18"/>
          <w:szCs w:val="18"/>
        </w:rPr>
      </w:pPr>
      <w:r>
        <w:rPr>
          <w:sz w:val="18"/>
          <w:szCs w:val="18"/>
        </w:rPr>
        <w:t>WW</w:t>
      </w:r>
      <w:r w:rsidR="000A46A5">
        <w:rPr>
          <w:sz w:val="18"/>
          <w:szCs w:val="18"/>
        </w:rPr>
        <w:t xml:space="preserve"> en</w:t>
      </w:r>
      <w:r>
        <w:rPr>
          <w:sz w:val="18"/>
          <w:szCs w:val="18"/>
        </w:rPr>
        <w:t xml:space="preserve"> XX</w:t>
      </w:r>
      <w:r w:rsidRPr="00BD04E1" w:rsidR="001E56AB">
        <w:rPr>
          <w:sz w:val="18"/>
          <w:szCs w:val="18"/>
        </w:rPr>
        <w:t xml:space="preserve"> (3:80</w:t>
      </w:r>
      <w:r w:rsidR="000A46A5">
        <w:rPr>
          <w:sz w:val="18"/>
          <w:szCs w:val="18"/>
        </w:rPr>
        <w:t xml:space="preserve"> en 3:80a</w:t>
      </w:r>
      <w:r w:rsidRPr="00BD04E1" w:rsidR="001E56AB">
        <w:rPr>
          <w:sz w:val="18"/>
          <w:szCs w:val="18"/>
        </w:rPr>
        <w:t>)</w:t>
      </w:r>
    </w:p>
    <w:p w:rsidR="001E56AB" w:rsidP="001E56AB" w:rsidRDefault="001E56AB" w14:paraId="670DC3A7" w14:textId="77777777">
      <w:pPr>
        <w:widowControl w:val="0"/>
        <w:spacing w:line="240" w:lineRule="atLeast"/>
        <w:rPr>
          <w:sz w:val="18"/>
          <w:szCs w:val="18"/>
        </w:rPr>
      </w:pPr>
    </w:p>
    <w:p w:rsidR="00EE5802" w:rsidP="00951F45" w:rsidRDefault="00E81365" w14:paraId="1B6D937E" w14:textId="0548ADA3">
      <w:pPr>
        <w:widowControl w:val="0"/>
        <w:spacing w:line="240" w:lineRule="atLeast"/>
        <w:rPr>
          <w:sz w:val="18"/>
          <w:szCs w:val="18"/>
        </w:rPr>
      </w:pPr>
      <w:r>
        <w:rPr>
          <w:sz w:val="18"/>
          <w:szCs w:val="18"/>
        </w:rPr>
        <w:t>Voor</w:t>
      </w:r>
      <w:r w:rsidR="0029135B">
        <w:rPr>
          <w:sz w:val="18"/>
          <w:szCs w:val="18"/>
        </w:rPr>
        <w:t xml:space="preserve"> de </w:t>
      </w:r>
      <w:r w:rsidR="001C0C28">
        <w:rPr>
          <w:sz w:val="18"/>
          <w:szCs w:val="18"/>
        </w:rPr>
        <w:t>derde land</w:t>
      </w:r>
      <w:r w:rsidR="0029135B">
        <w:rPr>
          <w:sz w:val="18"/>
          <w:szCs w:val="18"/>
        </w:rPr>
        <w:t xml:space="preserve"> bijkantoren </w:t>
      </w:r>
      <w:r>
        <w:rPr>
          <w:sz w:val="18"/>
          <w:szCs w:val="18"/>
        </w:rPr>
        <w:t xml:space="preserve">wordt </w:t>
      </w:r>
      <w:r w:rsidR="000A46A5">
        <w:rPr>
          <w:sz w:val="18"/>
          <w:szCs w:val="18"/>
        </w:rPr>
        <w:t>artikel 3:80a Wft</w:t>
      </w:r>
      <w:r w:rsidR="007472E1">
        <w:rPr>
          <w:sz w:val="18"/>
          <w:szCs w:val="18"/>
        </w:rPr>
        <w:t xml:space="preserve"> ingevoegd</w:t>
      </w:r>
      <w:r w:rsidR="000A46A5">
        <w:rPr>
          <w:sz w:val="18"/>
          <w:szCs w:val="18"/>
        </w:rPr>
        <w:t xml:space="preserve">. </w:t>
      </w:r>
      <w:r w:rsidR="00FF0FD3">
        <w:rPr>
          <w:sz w:val="18"/>
          <w:szCs w:val="18"/>
        </w:rPr>
        <w:t>Klasse 1-bijkantoren en klasse 2-bijkantoren</w:t>
      </w:r>
      <w:r w:rsidR="003D3837">
        <w:rPr>
          <w:sz w:val="18"/>
          <w:szCs w:val="18"/>
        </w:rPr>
        <w:t xml:space="preserve"> moeten voldoen aan de boekingsvereisten die voorgeschreven worden door artikel 48 nonies CRD. Deze verplichting ziet erop dat dergelijke bijkantoren een register bijhouden dat hen in staat stelt een volledig en nauwkeurig </w:t>
      </w:r>
      <w:r>
        <w:rPr>
          <w:sz w:val="18"/>
          <w:szCs w:val="18"/>
        </w:rPr>
        <w:t xml:space="preserve">overzicht </w:t>
      </w:r>
      <w:r w:rsidR="003D3837">
        <w:rPr>
          <w:sz w:val="18"/>
          <w:szCs w:val="18"/>
        </w:rPr>
        <w:t>bij te houden van alle activa en passiva die het bijkantoor in Nederland boekt of initieert, en om deze activa en passiva autonoom te beh</w:t>
      </w:r>
      <w:r>
        <w:rPr>
          <w:sz w:val="18"/>
          <w:szCs w:val="18"/>
        </w:rPr>
        <w:t>e</w:t>
      </w:r>
      <w:r w:rsidR="003D3837">
        <w:rPr>
          <w:sz w:val="18"/>
          <w:szCs w:val="18"/>
        </w:rPr>
        <w:t>ren. In de eerste twee leden van artikel 48 nonies CRD staan alle eisen opgenomen voor het register en de daarmee samenhangende verplichtingen. Hierom is er in artikel 3:80a</w:t>
      </w:r>
      <w:r w:rsidR="009D3AF1">
        <w:rPr>
          <w:sz w:val="18"/>
          <w:szCs w:val="18"/>
        </w:rPr>
        <w:t>, eerste lid,</w:t>
      </w:r>
      <w:r w:rsidR="003D3837">
        <w:rPr>
          <w:sz w:val="18"/>
          <w:szCs w:val="18"/>
        </w:rPr>
        <w:t xml:space="preserve"> </w:t>
      </w:r>
      <w:r w:rsidR="007472E1">
        <w:rPr>
          <w:sz w:val="18"/>
          <w:szCs w:val="18"/>
        </w:rPr>
        <w:t xml:space="preserve">Wft </w:t>
      </w:r>
      <w:r w:rsidR="003D3837">
        <w:rPr>
          <w:sz w:val="18"/>
          <w:szCs w:val="18"/>
        </w:rPr>
        <w:t>een dynamische verwijzing opgenomen naar de eerste twee leden van artikel 48 nonies CRD. In het derde lid van artikel 48 nonies CRD is de verplichting opgenomen dat bijkantoren zorgen voor een onafhankelijk</w:t>
      </w:r>
      <w:r w:rsidR="009D3AF1">
        <w:rPr>
          <w:sz w:val="18"/>
          <w:szCs w:val="18"/>
        </w:rPr>
        <w:t>,</w:t>
      </w:r>
      <w:r w:rsidR="003D3837">
        <w:rPr>
          <w:sz w:val="18"/>
          <w:szCs w:val="18"/>
        </w:rPr>
        <w:t xml:space="preserve"> schriftelijk en met redenen omkleed advies over de uitvoering en naleving van de in artikel 3:80a, eerste lid, Wft opgenomen vereisten.</w:t>
      </w:r>
      <w:r w:rsidR="00DF4382">
        <w:rPr>
          <w:sz w:val="18"/>
          <w:szCs w:val="18"/>
        </w:rPr>
        <w:t xml:space="preserve"> Dit wordt geïmplementeerd in artikel 3:80a, tweede lid, Wft als een </w:t>
      </w:r>
      <w:r w:rsidR="007472E1">
        <w:rPr>
          <w:sz w:val="18"/>
          <w:szCs w:val="18"/>
        </w:rPr>
        <w:t>beoordeling door een onafhankelijke derde</w:t>
      </w:r>
      <w:r w:rsidR="00DF4382">
        <w:rPr>
          <w:sz w:val="18"/>
          <w:szCs w:val="18"/>
        </w:rPr>
        <w:t xml:space="preserve"> die uitgevoerd moet worden. Hiermee vertoon</w:t>
      </w:r>
      <w:r w:rsidR="007F010F">
        <w:rPr>
          <w:sz w:val="18"/>
          <w:szCs w:val="18"/>
        </w:rPr>
        <w:t>t</w:t>
      </w:r>
      <w:r w:rsidR="00DF4382">
        <w:rPr>
          <w:sz w:val="18"/>
          <w:szCs w:val="18"/>
        </w:rPr>
        <w:t xml:space="preserve"> dit grote gelijkenis met </w:t>
      </w:r>
      <w:r w:rsidR="007472E1">
        <w:rPr>
          <w:sz w:val="18"/>
          <w:szCs w:val="18"/>
        </w:rPr>
        <w:t>de vergelijkbare beoordeling door een onafhankelijke derde</w:t>
      </w:r>
      <w:r w:rsidR="00DF4382">
        <w:rPr>
          <w:sz w:val="18"/>
          <w:szCs w:val="18"/>
        </w:rPr>
        <w:t xml:space="preserve"> uit artikel 3:23a, tweede lid, Wft ter implementatie van artikel 48 octies, achtste lid, CRD</w:t>
      </w:r>
      <w:r w:rsidR="007472E1">
        <w:rPr>
          <w:sz w:val="18"/>
          <w:szCs w:val="18"/>
        </w:rPr>
        <w:t xml:space="preserve"> (zie onderdeel HH)</w:t>
      </w:r>
      <w:r w:rsidR="00DF4382">
        <w:rPr>
          <w:sz w:val="18"/>
          <w:szCs w:val="18"/>
        </w:rPr>
        <w:t xml:space="preserve">. Beide </w:t>
      </w:r>
      <w:r w:rsidR="007472E1">
        <w:rPr>
          <w:sz w:val="18"/>
          <w:szCs w:val="18"/>
        </w:rPr>
        <w:t xml:space="preserve">beoordelingen </w:t>
      </w:r>
      <w:r w:rsidR="00DF4382">
        <w:rPr>
          <w:sz w:val="18"/>
          <w:szCs w:val="18"/>
        </w:rPr>
        <w:t>dienen uitbesteed te worden aan een onafhankelijke derde die de expertise heeft om de interne governance en</w:t>
      </w:r>
      <w:r w:rsidR="007F010F">
        <w:rPr>
          <w:sz w:val="18"/>
          <w:szCs w:val="18"/>
        </w:rPr>
        <w:t xml:space="preserve"> het</w:t>
      </w:r>
      <w:r w:rsidR="00DF4382">
        <w:rPr>
          <w:sz w:val="18"/>
          <w:szCs w:val="18"/>
        </w:rPr>
        <w:t xml:space="preserve"> risicobeheer enerzijds en boekingsvereisten anderzijds te evalueren. Het kan noodzakelijk zijn om die diensten af te nemen bij verschillende partijen indien de expertise bij een partij ontbreekt voor een van de twee onderwerpen.</w:t>
      </w:r>
    </w:p>
    <w:p w:rsidR="009D3AF1" w:rsidP="001E56AB" w:rsidRDefault="009D3AF1" w14:paraId="0B274B59" w14:textId="77777777">
      <w:pPr>
        <w:widowControl w:val="0"/>
        <w:spacing w:line="240" w:lineRule="atLeast"/>
        <w:rPr>
          <w:sz w:val="18"/>
          <w:szCs w:val="18"/>
        </w:rPr>
      </w:pPr>
    </w:p>
    <w:p w:rsidR="009D3AF1" w:rsidP="001E56AB" w:rsidRDefault="009D3AF1" w14:paraId="0BE20B59" w14:textId="5F07C444">
      <w:pPr>
        <w:widowControl w:val="0"/>
        <w:spacing w:line="240" w:lineRule="atLeast"/>
        <w:rPr>
          <w:sz w:val="18"/>
          <w:szCs w:val="18"/>
        </w:rPr>
      </w:pPr>
      <w:r>
        <w:rPr>
          <w:sz w:val="18"/>
          <w:szCs w:val="18"/>
        </w:rPr>
        <w:t>Het vierde lid van artikel 48 nonies, wat een delegatiegrondslag voor EBA is om de boekingsvereisten nader uit te werken in een technische reguleringsnorm die als gedelegeerde verordening wordt vastgesteld door de Europese Commissie, is ook opgenomen in het eerste lid van artikel 3:80a Wft middels dynamische verwijzing.</w:t>
      </w:r>
    </w:p>
    <w:p w:rsidR="00B158B9" w:rsidP="001E56AB" w:rsidRDefault="00B158B9" w14:paraId="1260717D" w14:textId="77777777">
      <w:pPr>
        <w:widowControl w:val="0"/>
        <w:spacing w:line="240" w:lineRule="atLeast"/>
        <w:rPr>
          <w:sz w:val="18"/>
          <w:szCs w:val="18"/>
        </w:rPr>
      </w:pPr>
    </w:p>
    <w:p w:rsidR="00AC37E3" w:rsidP="001E56AB" w:rsidRDefault="006B5C8D" w14:paraId="3C49EE42" w14:textId="743F55FC">
      <w:pPr>
        <w:widowControl w:val="0"/>
        <w:spacing w:line="240" w:lineRule="atLeast"/>
        <w:rPr>
          <w:sz w:val="18"/>
          <w:szCs w:val="18"/>
        </w:rPr>
      </w:pPr>
      <w:r>
        <w:rPr>
          <w:sz w:val="18"/>
          <w:szCs w:val="18"/>
        </w:rPr>
        <w:t>YY</w:t>
      </w:r>
      <w:r w:rsidR="00B14A85">
        <w:rPr>
          <w:sz w:val="18"/>
          <w:szCs w:val="18"/>
        </w:rPr>
        <w:t xml:space="preserve"> </w:t>
      </w:r>
      <w:r w:rsidR="00AC37E3">
        <w:rPr>
          <w:sz w:val="18"/>
          <w:szCs w:val="18"/>
        </w:rPr>
        <w:t>(3:81)</w:t>
      </w:r>
    </w:p>
    <w:p w:rsidR="00C9706C" w:rsidP="001E56AB" w:rsidRDefault="00C9706C" w14:paraId="056752A3" w14:textId="77777777">
      <w:pPr>
        <w:widowControl w:val="0"/>
        <w:spacing w:line="240" w:lineRule="atLeast"/>
        <w:rPr>
          <w:sz w:val="18"/>
          <w:szCs w:val="18"/>
        </w:rPr>
      </w:pPr>
    </w:p>
    <w:p w:rsidR="00AC37E3" w:rsidP="001E56AB" w:rsidRDefault="00AC37E3" w14:paraId="56F62886" w14:textId="2DC83289">
      <w:pPr>
        <w:widowControl w:val="0"/>
        <w:spacing w:line="240" w:lineRule="atLeast"/>
        <w:rPr>
          <w:sz w:val="18"/>
          <w:szCs w:val="18"/>
        </w:rPr>
      </w:pPr>
      <w:r>
        <w:rPr>
          <w:sz w:val="18"/>
          <w:szCs w:val="18"/>
        </w:rPr>
        <w:t xml:space="preserve">In artikel 3:81 </w:t>
      </w:r>
      <w:r w:rsidR="009D3AF1">
        <w:rPr>
          <w:sz w:val="18"/>
          <w:szCs w:val="18"/>
        </w:rPr>
        <w:t xml:space="preserve">Wft </w:t>
      </w:r>
      <w:r>
        <w:rPr>
          <w:sz w:val="18"/>
          <w:szCs w:val="18"/>
        </w:rPr>
        <w:t>vervalt het woord bank, zodat op banken</w:t>
      </w:r>
      <w:r w:rsidR="001C0C28">
        <w:rPr>
          <w:sz w:val="18"/>
          <w:szCs w:val="18"/>
        </w:rPr>
        <w:t xml:space="preserve"> uit staten die geen lidstaat zijn</w:t>
      </w:r>
      <w:r>
        <w:rPr>
          <w:sz w:val="18"/>
          <w:szCs w:val="18"/>
        </w:rPr>
        <w:t xml:space="preserve"> met bijkantoor in Nederland niet meer de verplichting rust om </w:t>
      </w:r>
      <w:r w:rsidRPr="00AC37E3">
        <w:rPr>
          <w:sz w:val="18"/>
          <w:szCs w:val="18"/>
        </w:rPr>
        <w:t>binnen zes maanden na afloop van het boekjaar de jaarrekening, de geconsolideerde jaarrekening en het bestuursverslag</w:t>
      </w:r>
      <w:r>
        <w:rPr>
          <w:sz w:val="18"/>
          <w:szCs w:val="18"/>
        </w:rPr>
        <w:t xml:space="preserve"> te verstrekken aan DNB. Voorheen was dit logisch omdat het bijkantoor in Nederland van de bank</w:t>
      </w:r>
      <w:r w:rsidR="009D3AF1">
        <w:rPr>
          <w:sz w:val="18"/>
          <w:szCs w:val="18"/>
        </w:rPr>
        <w:t xml:space="preserve"> in een staat die geen lidstaat is</w:t>
      </w:r>
      <w:r>
        <w:rPr>
          <w:sz w:val="18"/>
          <w:szCs w:val="18"/>
        </w:rPr>
        <w:t xml:space="preserve"> geen eigen activa en passiva aanhield, maar alles via de moederonderneming in </w:t>
      </w:r>
      <w:r w:rsidR="00721321">
        <w:rPr>
          <w:sz w:val="18"/>
          <w:szCs w:val="18"/>
        </w:rPr>
        <w:t xml:space="preserve">een staat die geen lidstaat is </w:t>
      </w:r>
      <w:r>
        <w:rPr>
          <w:sz w:val="18"/>
          <w:szCs w:val="18"/>
        </w:rPr>
        <w:t xml:space="preserve">verliep. Nu de </w:t>
      </w:r>
      <w:r w:rsidR="001C0C28">
        <w:rPr>
          <w:sz w:val="18"/>
          <w:szCs w:val="18"/>
        </w:rPr>
        <w:t>derde land</w:t>
      </w:r>
      <w:r>
        <w:rPr>
          <w:sz w:val="18"/>
          <w:szCs w:val="18"/>
        </w:rPr>
        <w:t xml:space="preserve"> bijkantoren, die overigens niet altijd een bijkantoor van een bank</w:t>
      </w:r>
      <w:r w:rsidR="009D3AF1">
        <w:rPr>
          <w:sz w:val="18"/>
          <w:szCs w:val="18"/>
        </w:rPr>
        <w:t xml:space="preserve"> in een staat die geen lidstaat is</w:t>
      </w:r>
      <w:r>
        <w:rPr>
          <w:sz w:val="18"/>
          <w:szCs w:val="18"/>
        </w:rPr>
        <w:t xml:space="preserve"> zullen zijn, zelfstandig solvabiliteit en liquiditeit aanhouden en boekingsvereisten </w:t>
      </w:r>
      <w:r w:rsidR="0090494C">
        <w:rPr>
          <w:sz w:val="18"/>
          <w:szCs w:val="18"/>
        </w:rPr>
        <w:t xml:space="preserve">moeten naleven </w:t>
      </w:r>
      <w:r>
        <w:rPr>
          <w:sz w:val="18"/>
          <w:szCs w:val="18"/>
        </w:rPr>
        <w:t>uit hoofde va</w:t>
      </w:r>
      <w:r w:rsidR="009D3AF1">
        <w:rPr>
          <w:sz w:val="18"/>
          <w:szCs w:val="18"/>
        </w:rPr>
        <w:t>n</w:t>
      </w:r>
      <w:r>
        <w:rPr>
          <w:sz w:val="18"/>
          <w:szCs w:val="18"/>
        </w:rPr>
        <w:t xml:space="preserve"> de CRD en de implementatie in de Wft, is de rapportageverplichting voor de moeder</w:t>
      </w:r>
      <w:r w:rsidR="009D3AF1">
        <w:rPr>
          <w:sz w:val="18"/>
          <w:szCs w:val="18"/>
        </w:rPr>
        <w:t>onderneming in een staat die geen lidstaat is</w:t>
      </w:r>
      <w:r>
        <w:rPr>
          <w:sz w:val="18"/>
          <w:szCs w:val="18"/>
        </w:rPr>
        <w:t xml:space="preserve"> niet meer relevant. Bovendien dienen </w:t>
      </w:r>
      <w:r w:rsidR="001C0C28">
        <w:rPr>
          <w:sz w:val="18"/>
          <w:szCs w:val="18"/>
        </w:rPr>
        <w:t>derde land</w:t>
      </w:r>
      <w:r>
        <w:rPr>
          <w:sz w:val="18"/>
          <w:szCs w:val="18"/>
        </w:rPr>
        <w:t xml:space="preserve"> bijkantoren op grond van artikel 48 duodecies, tweede lid, CRD informatie aan DNB te rapporteren over de moederonderneming in </w:t>
      </w:r>
      <w:r w:rsidR="001C0C28">
        <w:rPr>
          <w:sz w:val="18"/>
          <w:szCs w:val="18"/>
        </w:rPr>
        <w:t xml:space="preserve">een staat die geen lidstaat </w:t>
      </w:r>
      <w:r w:rsidR="001C0C28">
        <w:rPr>
          <w:sz w:val="18"/>
          <w:szCs w:val="18"/>
        </w:rPr>
        <w:lastRenderedPageBreak/>
        <w:t>is</w:t>
      </w:r>
      <w:r>
        <w:rPr>
          <w:sz w:val="18"/>
          <w:szCs w:val="18"/>
        </w:rPr>
        <w:t>.</w:t>
      </w:r>
      <w:r w:rsidR="00925F8D">
        <w:rPr>
          <w:sz w:val="18"/>
          <w:szCs w:val="18"/>
        </w:rPr>
        <w:t xml:space="preserve"> </w:t>
      </w:r>
    </w:p>
    <w:p w:rsidRPr="003D3837" w:rsidR="00AC37E3" w:rsidP="001E56AB" w:rsidRDefault="00AC37E3" w14:paraId="7A0C9E40" w14:textId="77777777">
      <w:pPr>
        <w:widowControl w:val="0"/>
        <w:spacing w:line="240" w:lineRule="atLeast"/>
        <w:rPr>
          <w:sz w:val="18"/>
          <w:szCs w:val="18"/>
        </w:rPr>
      </w:pPr>
    </w:p>
    <w:p w:rsidRPr="00BD04E1" w:rsidR="001E56AB" w:rsidP="001E56AB" w:rsidRDefault="006B5C8D" w14:paraId="2A65BFAE" w14:textId="55E8803F">
      <w:pPr>
        <w:widowControl w:val="0"/>
        <w:spacing w:line="240" w:lineRule="atLeast"/>
        <w:rPr>
          <w:sz w:val="18"/>
          <w:szCs w:val="18"/>
        </w:rPr>
      </w:pPr>
      <w:r>
        <w:rPr>
          <w:sz w:val="18"/>
          <w:szCs w:val="18"/>
        </w:rPr>
        <w:t>ZZ</w:t>
      </w:r>
      <w:r w:rsidR="003C6BC9">
        <w:rPr>
          <w:sz w:val="18"/>
          <w:szCs w:val="18"/>
        </w:rPr>
        <w:t xml:space="preserve"> en </w:t>
      </w:r>
      <w:r>
        <w:rPr>
          <w:sz w:val="18"/>
          <w:szCs w:val="18"/>
        </w:rPr>
        <w:t>AAA</w:t>
      </w:r>
      <w:r w:rsidRPr="00BD04E1" w:rsidR="001E56AB">
        <w:rPr>
          <w:sz w:val="18"/>
          <w:szCs w:val="18"/>
        </w:rPr>
        <w:t xml:space="preserve"> (3:82</w:t>
      </w:r>
      <w:r w:rsidR="003C6BC9">
        <w:rPr>
          <w:sz w:val="18"/>
          <w:szCs w:val="18"/>
        </w:rPr>
        <w:t xml:space="preserve"> en 3:82b</w:t>
      </w:r>
      <w:r w:rsidRPr="00BD04E1" w:rsidR="001E56AB">
        <w:rPr>
          <w:sz w:val="18"/>
          <w:szCs w:val="18"/>
        </w:rPr>
        <w:t>)</w:t>
      </w:r>
    </w:p>
    <w:p w:rsidR="001E56AB" w:rsidP="001E56AB" w:rsidRDefault="001E56AB" w14:paraId="1C773FF1" w14:textId="77777777">
      <w:pPr>
        <w:widowControl w:val="0"/>
        <w:spacing w:line="240" w:lineRule="atLeast"/>
        <w:rPr>
          <w:sz w:val="18"/>
          <w:szCs w:val="18"/>
        </w:rPr>
      </w:pPr>
    </w:p>
    <w:p w:rsidR="00EA0F42" w:rsidP="001E56AB" w:rsidRDefault="00AC37E3" w14:paraId="3713274D" w14:textId="5D775C1B">
      <w:pPr>
        <w:widowControl w:val="0"/>
        <w:spacing w:line="240" w:lineRule="atLeast"/>
        <w:rPr>
          <w:sz w:val="18"/>
          <w:szCs w:val="18"/>
        </w:rPr>
      </w:pPr>
      <w:r>
        <w:rPr>
          <w:sz w:val="18"/>
          <w:szCs w:val="18"/>
        </w:rPr>
        <w:t xml:space="preserve">Artikel 3:82 </w:t>
      </w:r>
      <w:r w:rsidR="007472E1">
        <w:rPr>
          <w:sz w:val="18"/>
          <w:szCs w:val="18"/>
        </w:rPr>
        <w:t xml:space="preserve">Wft </w:t>
      </w:r>
      <w:r>
        <w:rPr>
          <w:sz w:val="18"/>
          <w:szCs w:val="18"/>
        </w:rPr>
        <w:t>verklaart artikel 3:72</w:t>
      </w:r>
      <w:r w:rsidR="007472E1">
        <w:rPr>
          <w:sz w:val="18"/>
          <w:szCs w:val="18"/>
        </w:rPr>
        <w:t xml:space="preserve"> Wft</w:t>
      </w:r>
      <w:r>
        <w:rPr>
          <w:sz w:val="18"/>
          <w:szCs w:val="18"/>
        </w:rPr>
        <w:t xml:space="preserve"> met betrekking tot het aanleveren van staten van overeenkomstige toepassing op </w:t>
      </w:r>
      <w:r w:rsidR="00F90E24">
        <w:rPr>
          <w:sz w:val="18"/>
          <w:szCs w:val="18"/>
        </w:rPr>
        <w:t>een aantal ondernemingen. In het eerste lid van artikel 3:82</w:t>
      </w:r>
      <w:r w:rsidR="00EA0F42">
        <w:rPr>
          <w:sz w:val="18"/>
          <w:szCs w:val="18"/>
        </w:rPr>
        <w:t xml:space="preserve"> </w:t>
      </w:r>
      <w:r w:rsidR="003971D5">
        <w:rPr>
          <w:sz w:val="18"/>
          <w:szCs w:val="18"/>
        </w:rPr>
        <w:t>Wft</w:t>
      </w:r>
      <w:r w:rsidR="00925F8D">
        <w:rPr>
          <w:sz w:val="18"/>
          <w:szCs w:val="18"/>
        </w:rPr>
        <w:t xml:space="preserve"> </w:t>
      </w:r>
      <w:r w:rsidR="00F90E24">
        <w:rPr>
          <w:sz w:val="18"/>
          <w:szCs w:val="18"/>
        </w:rPr>
        <w:t>vervallen alle verwijzingen naar banken en hun bijkantoren.</w:t>
      </w:r>
    </w:p>
    <w:p w:rsidR="00EA0F42" w:rsidP="001E56AB" w:rsidRDefault="00EA0F42" w14:paraId="0BC27C6C" w14:textId="77777777">
      <w:pPr>
        <w:widowControl w:val="0"/>
        <w:spacing w:line="240" w:lineRule="atLeast"/>
        <w:rPr>
          <w:sz w:val="18"/>
          <w:szCs w:val="18"/>
        </w:rPr>
      </w:pPr>
    </w:p>
    <w:p w:rsidR="00AC37E3" w:rsidP="001E56AB" w:rsidRDefault="00F90E24" w14:paraId="0067AFE2" w14:textId="01191621">
      <w:pPr>
        <w:widowControl w:val="0"/>
        <w:spacing w:line="240" w:lineRule="atLeast"/>
        <w:rPr>
          <w:sz w:val="18"/>
          <w:szCs w:val="18"/>
        </w:rPr>
      </w:pPr>
      <w:r>
        <w:rPr>
          <w:sz w:val="18"/>
          <w:szCs w:val="18"/>
        </w:rPr>
        <w:t xml:space="preserve">Voor de </w:t>
      </w:r>
      <w:r w:rsidR="001C0C28">
        <w:rPr>
          <w:sz w:val="18"/>
          <w:szCs w:val="18"/>
        </w:rPr>
        <w:t>derde land</w:t>
      </w:r>
      <w:r>
        <w:rPr>
          <w:sz w:val="18"/>
          <w:szCs w:val="18"/>
        </w:rPr>
        <w:t xml:space="preserve"> bijkantoren wordt een </w:t>
      </w:r>
      <w:r w:rsidR="00EA0F42">
        <w:rPr>
          <w:sz w:val="18"/>
          <w:szCs w:val="18"/>
        </w:rPr>
        <w:t>nieuw artikel 3:82b</w:t>
      </w:r>
      <w:r w:rsidR="007472E1">
        <w:rPr>
          <w:sz w:val="18"/>
          <w:szCs w:val="18"/>
        </w:rPr>
        <w:t xml:space="preserve"> Wft</w:t>
      </w:r>
      <w:r w:rsidR="00EA0F42">
        <w:rPr>
          <w:sz w:val="18"/>
          <w:szCs w:val="18"/>
        </w:rPr>
        <w:t xml:space="preserve"> ingevoegd, </w:t>
      </w:r>
      <w:r w:rsidR="00C9706C">
        <w:rPr>
          <w:sz w:val="18"/>
          <w:szCs w:val="18"/>
        </w:rPr>
        <w:t>d</w:t>
      </w:r>
      <w:r>
        <w:rPr>
          <w:sz w:val="18"/>
          <w:szCs w:val="18"/>
        </w:rPr>
        <w:t>at artikel 3:72, eerste lid en vijfde tot en met negende lid</w:t>
      </w:r>
      <w:r w:rsidR="00C9706C">
        <w:rPr>
          <w:sz w:val="18"/>
          <w:szCs w:val="18"/>
        </w:rPr>
        <w:t>,</w:t>
      </w:r>
      <w:r w:rsidR="003971D5">
        <w:rPr>
          <w:sz w:val="18"/>
          <w:szCs w:val="18"/>
        </w:rPr>
        <w:t xml:space="preserve"> Wft</w:t>
      </w:r>
      <w:r>
        <w:rPr>
          <w:sz w:val="18"/>
          <w:szCs w:val="18"/>
        </w:rPr>
        <w:t xml:space="preserve"> van overeenkomstige toepassing verklaart. Hierdoor is het mogelijk om in het </w:t>
      </w:r>
      <w:r w:rsidR="00CE1B41">
        <w:rPr>
          <w:sz w:val="18"/>
          <w:szCs w:val="18"/>
        </w:rPr>
        <w:t xml:space="preserve">Bpr </w:t>
      </w:r>
      <w:r>
        <w:rPr>
          <w:sz w:val="18"/>
          <w:szCs w:val="18"/>
        </w:rPr>
        <w:t>de inhoud en frequentie te bepalen van de staten die aangeleverd moeten worden.</w:t>
      </w:r>
      <w:r w:rsidR="00EA0F42">
        <w:rPr>
          <w:sz w:val="18"/>
          <w:szCs w:val="18"/>
        </w:rPr>
        <w:t xml:space="preserve"> Hiermee wordt artikel 48 duodecies, eerste en tweede lid, CRD geïmplementeerd.</w:t>
      </w:r>
    </w:p>
    <w:p w:rsidR="00EA0F42" w:rsidP="001E56AB" w:rsidRDefault="00EA0F42" w14:paraId="25718C56" w14:textId="77777777">
      <w:pPr>
        <w:widowControl w:val="0"/>
        <w:spacing w:line="240" w:lineRule="atLeast"/>
        <w:rPr>
          <w:sz w:val="18"/>
          <w:szCs w:val="18"/>
        </w:rPr>
      </w:pPr>
    </w:p>
    <w:p w:rsidR="00823AB3" w:rsidP="001E56AB" w:rsidRDefault="00EA0F42" w14:paraId="110EFE5C" w14:textId="52991976">
      <w:pPr>
        <w:widowControl w:val="0"/>
        <w:spacing w:line="240" w:lineRule="atLeast"/>
        <w:rPr>
          <w:sz w:val="18"/>
          <w:szCs w:val="18"/>
        </w:rPr>
      </w:pPr>
      <w:r>
        <w:rPr>
          <w:sz w:val="18"/>
          <w:szCs w:val="18"/>
        </w:rPr>
        <w:t>Tevens zijn er twee extra leden toegevoegd. Ten eerste is dat de bevoegdheid voor DNB in het tweede lid om aanvullende rapportagevereisten te stellen aan een bijkantoor zoals vereist door artikel 48 duodecies, derde lid, Wft.</w:t>
      </w:r>
      <w:r w:rsidR="00823AB3">
        <w:rPr>
          <w:sz w:val="18"/>
          <w:szCs w:val="18"/>
        </w:rPr>
        <w:t xml:space="preserve"> Dit dient om een volledig beeld te krijgen van de bedrijfsactiviteiten, solvabiliteit of liquiditeit van het </w:t>
      </w:r>
      <w:r w:rsidR="001C0C28">
        <w:rPr>
          <w:sz w:val="18"/>
          <w:szCs w:val="18"/>
        </w:rPr>
        <w:t>derde land</w:t>
      </w:r>
      <w:r w:rsidR="00823AB3">
        <w:rPr>
          <w:sz w:val="18"/>
          <w:szCs w:val="18"/>
        </w:rPr>
        <w:t xml:space="preserve"> bijkantoor of de moederonderneming, om </w:t>
      </w:r>
      <w:r w:rsidRPr="00346A55" w:rsidR="00823AB3">
        <w:rPr>
          <w:sz w:val="18"/>
          <w:szCs w:val="18"/>
        </w:rPr>
        <w:t xml:space="preserve">na te gaan of het bijkantoor of de moederonderneming de op hen van toepassing zijnde wetgeving </w:t>
      </w:r>
      <w:r w:rsidR="00823AB3">
        <w:rPr>
          <w:sz w:val="18"/>
          <w:szCs w:val="18"/>
        </w:rPr>
        <w:t>naleeft</w:t>
      </w:r>
      <w:r w:rsidRPr="00346A55" w:rsidR="00823AB3">
        <w:rPr>
          <w:sz w:val="18"/>
          <w:szCs w:val="18"/>
        </w:rPr>
        <w:t xml:space="preserve"> en om ervoor te zorgen dat de bijkantoren dat ook werkelijk doen</w:t>
      </w:r>
      <w:r w:rsidR="00823AB3">
        <w:rPr>
          <w:sz w:val="18"/>
          <w:szCs w:val="18"/>
        </w:rPr>
        <w:t xml:space="preserve"> </w:t>
      </w:r>
    </w:p>
    <w:p w:rsidR="00823AB3" w:rsidP="001E56AB" w:rsidRDefault="00823AB3" w14:paraId="18B3F1A6" w14:textId="77777777">
      <w:pPr>
        <w:widowControl w:val="0"/>
        <w:spacing w:line="240" w:lineRule="atLeast"/>
        <w:rPr>
          <w:sz w:val="18"/>
          <w:szCs w:val="18"/>
        </w:rPr>
      </w:pPr>
    </w:p>
    <w:p w:rsidR="00823AB3" w:rsidP="001E56AB" w:rsidRDefault="00823AB3" w14:paraId="3EEC54BF" w14:textId="4D329AD9">
      <w:pPr>
        <w:widowControl w:val="0"/>
        <w:spacing w:line="240" w:lineRule="atLeast"/>
        <w:rPr>
          <w:sz w:val="18"/>
          <w:szCs w:val="18"/>
        </w:rPr>
      </w:pPr>
      <w:r>
        <w:rPr>
          <w:sz w:val="18"/>
          <w:szCs w:val="18"/>
        </w:rPr>
        <w:t xml:space="preserve">Ten tweede is er de mogelijkheid voor DNB om met inachtneming van artikel 48 terdecies, derde lid, CRD een klasse 2-bijkantoor dat </w:t>
      </w:r>
      <w:r w:rsidR="00525BD0">
        <w:rPr>
          <w:sz w:val="18"/>
          <w:szCs w:val="18"/>
        </w:rPr>
        <w:t>tevens een in</w:t>
      </w:r>
      <w:r>
        <w:rPr>
          <w:sz w:val="18"/>
          <w:szCs w:val="18"/>
        </w:rPr>
        <w:t xml:space="preserve"> aanmerking komend bijkantoor </w:t>
      </w:r>
      <w:r w:rsidR="00525BD0">
        <w:rPr>
          <w:sz w:val="18"/>
          <w:szCs w:val="18"/>
        </w:rPr>
        <w:t>is</w:t>
      </w:r>
      <w:r>
        <w:rPr>
          <w:sz w:val="18"/>
          <w:szCs w:val="18"/>
        </w:rPr>
        <w:t xml:space="preserve"> uit te zonderen van het aanleveren van staten</w:t>
      </w:r>
      <w:r w:rsidR="00525BD0">
        <w:rPr>
          <w:sz w:val="18"/>
          <w:szCs w:val="18"/>
        </w:rPr>
        <w:t xml:space="preserve">. </w:t>
      </w:r>
      <w:r w:rsidR="00360868">
        <w:rPr>
          <w:sz w:val="18"/>
          <w:szCs w:val="18"/>
        </w:rPr>
        <w:t>Hiermee wordt artikel 48 terdecies, derde lid, CRD geïmplementeerd.</w:t>
      </w:r>
    </w:p>
    <w:p w:rsidR="00373B75" w:rsidP="001E56AB" w:rsidRDefault="00373B75" w14:paraId="112A7579" w14:textId="77777777">
      <w:pPr>
        <w:widowControl w:val="0"/>
        <w:spacing w:line="240" w:lineRule="atLeast"/>
        <w:rPr>
          <w:sz w:val="18"/>
          <w:szCs w:val="18"/>
        </w:rPr>
      </w:pPr>
    </w:p>
    <w:p w:rsidR="00373B75" w:rsidP="001E56AB" w:rsidRDefault="006B5C8D" w14:paraId="1F955DFE" w14:textId="1B859EE0">
      <w:pPr>
        <w:widowControl w:val="0"/>
        <w:spacing w:line="240" w:lineRule="atLeast"/>
        <w:rPr>
          <w:sz w:val="18"/>
          <w:szCs w:val="18"/>
        </w:rPr>
      </w:pPr>
      <w:r>
        <w:rPr>
          <w:sz w:val="18"/>
          <w:szCs w:val="18"/>
        </w:rPr>
        <w:t>BBB</w:t>
      </w:r>
      <w:r w:rsidR="000A46A5">
        <w:rPr>
          <w:sz w:val="18"/>
          <w:szCs w:val="18"/>
        </w:rPr>
        <w:t xml:space="preserve"> </w:t>
      </w:r>
      <w:r w:rsidR="00373B75">
        <w:rPr>
          <w:sz w:val="18"/>
          <w:szCs w:val="18"/>
        </w:rPr>
        <w:t>(3:83a)</w:t>
      </w:r>
    </w:p>
    <w:p w:rsidR="00373B75" w:rsidP="001E56AB" w:rsidRDefault="00373B75" w14:paraId="600A2241" w14:textId="77777777">
      <w:pPr>
        <w:widowControl w:val="0"/>
        <w:spacing w:line="240" w:lineRule="atLeast"/>
        <w:rPr>
          <w:sz w:val="18"/>
          <w:szCs w:val="18"/>
        </w:rPr>
      </w:pPr>
    </w:p>
    <w:p w:rsidRPr="00BD04E1" w:rsidR="00373B75" w:rsidP="001E56AB" w:rsidRDefault="00373B75" w14:paraId="12CAAD05" w14:textId="6CEEF6A4">
      <w:pPr>
        <w:widowControl w:val="0"/>
        <w:spacing w:line="240" w:lineRule="atLeast"/>
        <w:rPr>
          <w:sz w:val="18"/>
          <w:szCs w:val="18"/>
        </w:rPr>
      </w:pPr>
      <w:r>
        <w:rPr>
          <w:sz w:val="18"/>
          <w:szCs w:val="18"/>
        </w:rPr>
        <w:t>In artikel 3:83a</w:t>
      </w:r>
      <w:r w:rsidR="003971D5">
        <w:rPr>
          <w:sz w:val="18"/>
          <w:szCs w:val="18"/>
        </w:rPr>
        <w:t xml:space="preserve"> Wft</w:t>
      </w:r>
      <w:r>
        <w:rPr>
          <w:sz w:val="18"/>
          <w:szCs w:val="18"/>
        </w:rPr>
        <w:t xml:space="preserve"> vervalt de van overeenkomstige toepassingsverklaring van artikel 3:74a </w:t>
      </w:r>
      <w:r w:rsidR="003971D5">
        <w:rPr>
          <w:sz w:val="18"/>
          <w:szCs w:val="18"/>
        </w:rPr>
        <w:t xml:space="preserve">Wft </w:t>
      </w:r>
      <w:r>
        <w:rPr>
          <w:sz w:val="18"/>
          <w:szCs w:val="18"/>
        </w:rPr>
        <w:t>op bijkantoren van banken</w:t>
      </w:r>
      <w:r w:rsidR="001C0C28">
        <w:rPr>
          <w:sz w:val="18"/>
          <w:szCs w:val="18"/>
        </w:rPr>
        <w:t xml:space="preserve"> uit staten die geen lidstaat zijn</w:t>
      </w:r>
      <w:r>
        <w:rPr>
          <w:sz w:val="18"/>
          <w:szCs w:val="18"/>
        </w:rPr>
        <w:t xml:space="preserve"> nu </w:t>
      </w:r>
      <w:r w:rsidR="00FF0FD3">
        <w:rPr>
          <w:sz w:val="18"/>
          <w:szCs w:val="18"/>
        </w:rPr>
        <w:t>klasse 1-bijkantoren en klasse 2-bijkantoren</w:t>
      </w:r>
      <w:r>
        <w:rPr>
          <w:sz w:val="18"/>
          <w:szCs w:val="18"/>
        </w:rPr>
        <w:t xml:space="preserve"> </w:t>
      </w:r>
      <w:r w:rsidR="00823AB3">
        <w:rPr>
          <w:sz w:val="18"/>
          <w:szCs w:val="18"/>
        </w:rPr>
        <w:t xml:space="preserve">zelfstandig </w:t>
      </w:r>
      <w:r w:rsidR="00A81DC7">
        <w:rPr>
          <w:sz w:val="18"/>
          <w:szCs w:val="18"/>
        </w:rPr>
        <w:t xml:space="preserve">rapportageverplichtingen </w:t>
      </w:r>
      <w:r w:rsidR="00896E2E">
        <w:rPr>
          <w:sz w:val="18"/>
          <w:szCs w:val="18"/>
        </w:rPr>
        <w:t>hebben opgelegd gekregen</w:t>
      </w:r>
      <w:r w:rsidR="00823AB3">
        <w:rPr>
          <w:sz w:val="18"/>
          <w:szCs w:val="18"/>
        </w:rPr>
        <w:t xml:space="preserve"> in 3:82b Wft</w:t>
      </w:r>
      <w:r w:rsidR="00896E2E">
        <w:rPr>
          <w:sz w:val="18"/>
          <w:szCs w:val="18"/>
        </w:rPr>
        <w:t>.</w:t>
      </w:r>
    </w:p>
    <w:p w:rsidR="001E56AB" w:rsidP="001E56AB" w:rsidRDefault="001E56AB" w14:paraId="25DCD034" w14:textId="77777777">
      <w:pPr>
        <w:widowControl w:val="0"/>
        <w:spacing w:line="240" w:lineRule="atLeast"/>
        <w:rPr>
          <w:sz w:val="18"/>
          <w:szCs w:val="18"/>
        </w:rPr>
      </w:pPr>
    </w:p>
    <w:p w:rsidR="003971D5" w:rsidP="001E56AB" w:rsidRDefault="006B5C8D" w14:paraId="11B73E3C" w14:textId="5CEC1666">
      <w:pPr>
        <w:widowControl w:val="0"/>
        <w:spacing w:line="240" w:lineRule="atLeast"/>
        <w:rPr>
          <w:sz w:val="18"/>
          <w:szCs w:val="18"/>
        </w:rPr>
      </w:pPr>
      <w:r>
        <w:rPr>
          <w:sz w:val="18"/>
          <w:szCs w:val="18"/>
        </w:rPr>
        <w:t>CCC</w:t>
      </w:r>
      <w:r w:rsidR="000B4B5E">
        <w:rPr>
          <w:sz w:val="18"/>
          <w:szCs w:val="18"/>
        </w:rPr>
        <w:t xml:space="preserve"> </w:t>
      </w:r>
      <w:r w:rsidR="003971D5">
        <w:rPr>
          <w:sz w:val="18"/>
          <w:szCs w:val="18"/>
        </w:rPr>
        <w:t>(3:91)</w:t>
      </w:r>
    </w:p>
    <w:p w:rsidR="003971D5" w:rsidP="001E56AB" w:rsidRDefault="003971D5" w14:paraId="2FA6D114" w14:textId="77777777">
      <w:pPr>
        <w:widowControl w:val="0"/>
        <w:spacing w:line="240" w:lineRule="atLeast"/>
        <w:rPr>
          <w:sz w:val="18"/>
          <w:szCs w:val="18"/>
        </w:rPr>
      </w:pPr>
    </w:p>
    <w:p w:rsidR="003971D5" w:rsidP="001E56AB" w:rsidRDefault="003971D5" w14:paraId="09CF9994" w14:textId="06133ABE">
      <w:pPr>
        <w:widowControl w:val="0"/>
        <w:spacing w:line="240" w:lineRule="atLeast"/>
        <w:rPr>
          <w:sz w:val="18"/>
          <w:szCs w:val="18"/>
        </w:rPr>
      </w:pPr>
      <w:r>
        <w:rPr>
          <w:sz w:val="18"/>
          <w:szCs w:val="18"/>
        </w:rPr>
        <w:t xml:space="preserve">In artikel 3:91 Wft, </w:t>
      </w:r>
      <w:r w:rsidR="00741600">
        <w:rPr>
          <w:sz w:val="18"/>
          <w:szCs w:val="18"/>
        </w:rPr>
        <w:t>d</w:t>
      </w:r>
      <w:r>
        <w:rPr>
          <w:sz w:val="18"/>
          <w:szCs w:val="18"/>
        </w:rPr>
        <w:t xml:space="preserve">at artikel 3:88 Wft met betrekking tot de accountantsverklaring van overeenkomstige toepassing verklaart op </w:t>
      </w:r>
      <w:r w:rsidR="00D5018E">
        <w:rPr>
          <w:sz w:val="18"/>
          <w:szCs w:val="18"/>
        </w:rPr>
        <w:t xml:space="preserve">een </w:t>
      </w:r>
      <w:r>
        <w:rPr>
          <w:sz w:val="18"/>
          <w:szCs w:val="18"/>
        </w:rPr>
        <w:t xml:space="preserve">onderneming </w:t>
      </w:r>
      <w:r w:rsidR="00D5018E">
        <w:rPr>
          <w:sz w:val="18"/>
          <w:szCs w:val="18"/>
        </w:rPr>
        <w:t xml:space="preserve">in een staat die geen lidstaat is </w:t>
      </w:r>
      <w:r>
        <w:rPr>
          <w:sz w:val="18"/>
          <w:szCs w:val="18"/>
        </w:rPr>
        <w:t>met een bijkantoor in Nederland</w:t>
      </w:r>
      <w:r w:rsidR="007F010F">
        <w:rPr>
          <w:sz w:val="18"/>
          <w:szCs w:val="18"/>
        </w:rPr>
        <w:t>,</w:t>
      </w:r>
      <w:r>
        <w:rPr>
          <w:sz w:val="18"/>
          <w:szCs w:val="18"/>
        </w:rPr>
        <w:t xml:space="preserve"> wordt aangepast om een eigen lid te creëren voor </w:t>
      </w:r>
      <w:r w:rsidR="001C0C28">
        <w:rPr>
          <w:sz w:val="18"/>
          <w:szCs w:val="18"/>
        </w:rPr>
        <w:t>derde land</w:t>
      </w:r>
      <w:r>
        <w:rPr>
          <w:sz w:val="18"/>
          <w:szCs w:val="18"/>
        </w:rPr>
        <w:t xml:space="preserve"> bijkantoren. Hiertoe wordt voor de tekst van het huidige artikel een “1.” </w:t>
      </w:r>
      <w:r w:rsidR="00D5018E">
        <w:rPr>
          <w:sz w:val="18"/>
          <w:szCs w:val="18"/>
        </w:rPr>
        <w:t>g</w:t>
      </w:r>
      <w:r>
        <w:rPr>
          <w:sz w:val="18"/>
          <w:szCs w:val="18"/>
        </w:rPr>
        <w:t>eplaatst en vervalt het woord ‘bank’ in het nieuwgevormde lid. Een tweede lid wordt toegevoegd, waarin artikel 3:88</w:t>
      </w:r>
      <w:r w:rsidR="007472E1">
        <w:rPr>
          <w:sz w:val="18"/>
          <w:szCs w:val="18"/>
        </w:rPr>
        <w:t xml:space="preserve"> Wft</w:t>
      </w:r>
      <w:r>
        <w:rPr>
          <w:sz w:val="18"/>
          <w:szCs w:val="18"/>
        </w:rPr>
        <w:t xml:space="preserve"> van overeenkomstige toepassing wordt verklaard op accountants of andere deskundigen die het onderzoek, </w:t>
      </w:r>
      <w:r w:rsidRPr="003971D5">
        <w:rPr>
          <w:sz w:val="18"/>
          <w:szCs w:val="18"/>
        </w:rPr>
        <w:t>bedoeld in artikel 3:82</w:t>
      </w:r>
      <w:r w:rsidR="00896E2E">
        <w:rPr>
          <w:sz w:val="18"/>
          <w:szCs w:val="18"/>
        </w:rPr>
        <w:t>b</w:t>
      </w:r>
      <w:r w:rsidRPr="003971D5">
        <w:rPr>
          <w:sz w:val="18"/>
          <w:szCs w:val="18"/>
        </w:rPr>
        <w:t>, eerste of tweede lid,</w:t>
      </w:r>
      <w:r>
        <w:rPr>
          <w:sz w:val="18"/>
          <w:szCs w:val="18"/>
        </w:rPr>
        <w:t xml:space="preserve"> Wft</w:t>
      </w:r>
      <w:r w:rsidRPr="003971D5">
        <w:rPr>
          <w:sz w:val="18"/>
          <w:szCs w:val="18"/>
        </w:rPr>
        <w:t xml:space="preserve"> uitvoeren van de staten van een </w:t>
      </w:r>
      <w:r w:rsidR="00FF0FD3">
        <w:rPr>
          <w:sz w:val="18"/>
          <w:szCs w:val="18"/>
        </w:rPr>
        <w:t>klasse 1-</w:t>
      </w:r>
      <w:r w:rsidRPr="003971D5">
        <w:rPr>
          <w:sz w:val="18"/>
          <w:szCs w:val="18"/>
        </w:rPr>
        <w:t>bijkantoor</w:t>
      </w:r>
      <w:r w:rsidR="00FF0FD3">
        <w:rPr>
          <w:sz w:val="18"/>
          <w:szCs w:val="18"/>
        </w:rPr>
        <w:t xml:space="preserve"> en klasse 2-bijkantoor</w:t>
      </w:r>
      <w:r w:rsidRPr="003971D5">
        <w:rPr>
          <w:sz w:val="18"/>
          <w:szCs w:val="18"/>
        </w:rPr>
        <w:t>.</w:t>
      </w:r>
    </w:p>
    <w:p w:rsidRPr="00BD04E1" w:rsidR="003971D5" w:rsidP="001E56AB" w:rsidRDefault="003971D5" w14:paraId="50AEE221" w14:textId="77777777">
      <w:pPr>
        <w:widowControl w:val="0"/>
        <w:spacing w:line="240" w:lineRule="atLeast"/>
        <w:rPr>
          <w:sz w:val="18"/>
          <w:szCs w:val="18"/>
        </w:rPr>
      </w:pPr>
    </w:p>
    <w:p w:rsidRPr="00BD04E1" w:rsidR="001E56AB" w:rsidP="001E56AB" w:rsidRDefault="006B5C8D" w14:paraId="232C1197" w14:textId="1EB95BB8">
      <w:pPr>
        <w:widowControl w:val="0"/>
        <w:spacing w:line="240" w:lineRule="atLeast"/>
        <w:rPr>
          <w:sz w:val="18"/>
          <w:szCs w:val="18"/>
        </w:rPr>
      </w:pPr>
      <w:r>
        <w:rPr>
          <w:sz w:val="18"/>
          <w:szCs w:val="18"/>
        </w:rPr>
        <w:t>DDD</w:t>
      </w:r>
      <w:r w:rsidRPr="00BD04E1" w:rsidR="001E56AB">
        <w:rPr>
          <w:sz w:val="18"/>
          <w:szCs w:val="18"/>
        </w:rPr>
        <w:t xml:space="preserve"> (3:96)</w:t>
      </w:r>
    </w:p>
    <w:p w:rsidR="001E56AB" w:rsidP="001E56AB" w:rsidRDefault="001E56AB" w14:paraId="6CAB9842" w14:textId="77777777">
      <w:pPr>
        <w:widowControl w:val="0"/>
        <w:spacing w:line="240" w:lineRule="atLeast"/>
        <w:rPr>
          <w:sz w:val="18"/>
          <w:szCs w:val="18"/>
        </w:rPr>
      </w:pPr>
    </w:p>
    <w:p w:rsidR="0085083B" w:rsidP="007472E1" w:rsidRDefault="0085083B" w14:paraId="71BD99DD" w14:textId="03041093">
      <w:pPr>
        <w:widowControl w:val="0"/>
        <w:spacing w:line="240" w:lineRule="atLeast"/>
        <w:rPr>
          <w:sz w:val="18"/>
          <w:szCs w:val="18"/>
        </w:rPr>
      </w:pPr>
      <w:r>
        <w:rPr>
          <w:sz w:val="18"/>
          <w:szCs w:val="18"/>
        </w:rPr>
        <w:t xml:space="preserve">Artikel 3:96 Wft bevatte een </w:t>
      </w:r>
      <w:r w:rsidR="007F010F">
        <w:rPr>
          <w:sz w:val="18"/>
          <w:szCs w:val="18"/>
        </w:rPr>
        <w:t>verplichting</w:t>
      </w:r>
      <w:r>
        <w:rPr>
          <w:sz w:val="18"/>
          <w:szCs w:val="18"/>
        </w:rPr>
        <w:t xml:space="preserve"> voor een </w:t>
      </w:r>
      <w:r w:rsidR="00966AF0">
        <w:rPr>
          <w:sz w:val="18"/>
          <w:szCs w:val="18"/>
        </w:rPr>
        <w:t>vvgb</w:t>
      </w:r>
      <w:r>
        <w:rPr>
          <w:sz w:val="18"/>
          <w:szCs w:val="18"/>
        </w:rPr>
        <w:t xml:space="preserve"> wanneer een bank voornemens was een aantal handelingen te verrichten zoals gekwalificeerde deelnemingen te verwerven, activa en passiva over te dragen, een fusie aan te gaan, een financiële of vennootschappelijke reorganisatie te starten of een beherend vennoot toe te laten tot de bank. Vanwege de komst van een geharmoniseerd CRD-regime voor prudentieel relevante transacties komt </w:t>
      </w:r>
      <w:r w:rsidR="007472E1">
        <w:rPr>
          <w:sz w:val="18"/>
          <w:szCs w:val="18"/>
        </w:rPr>
        <w:t xml:space="preserve">dit artikel te </w:t>
      </w:r>
      <w:r w:rsidR="007472E1">
        <w:rPr>
          <w:sz w:val="18"/>
          <w:szCs w:val="18"/>
        </w:rPr>
        <w:lastRenderedPageBreak/>
        <w:t>vervallen.</w:t>
      </w:r>
    </w:p>
    <w:p w:rsidR="0085083B" w:rsidP="001E56AB" w:rsidRDefault="0085083B" w14:paraId="4D03C711" w14:textId="77777777">
      <w:pPr>
        <w:widowControl w:val="0"/>
        <w:spacing w:line="240" w:lineRule="atLeast"/>
        <w:rPr>
          <w:sz w:val="18"/>
          <w:szCs w:val="18"/>
        </w:rPr>
      </w:pPr>
    </w:p>
    <w:p w:rsidR="0085083B" w:rsidP="001E56AB" w:rsidRDefault="006B5C8D" w14:paraId="7404D41D" w14:textId="5277F96F">
      <w:pPr>
        <w:widowControl w:val="0"/>
        <w:spacing w:line="240" w:lineRule="atLeast"/>
        <w:rPr>
          <w:sz w:val="18"/>
          <w:szCs w:val="18"/>
        </w:rPr>
      </w:pPr>
      <w:r>
        <w:rPr>
          <w:sz w:val="18"/>
          <w:szCs w:val="18"/>
        </w:rPr>
        <w:t>EEE</w:t>
      </w:r>
      <w:r w:rsidR="00B158B9">
        <w:rPr>
          <w:sz w:val="18"/>
          <w:szCs w:val="18"/>
        </w:rPr>
        <w:t xml:space="preserve"> </w:t>
      </w:r>
      <w:r w:rsidR="0085083B">
        <w:rPr>
          <w:sz w:val="18"/>
          <w:szCs w:val="18"/>
        </w:rPr>
        <w:t>(3:96a tot en met 3:96</w:t>
      </w:r>
      <w:r w:rsidR="005C715A">
        <w:rPr>
          <w:sz w:val="18"/>
          <w:szCs w:val="18"/>
        </w:rPr>
        <w:t>e</w:t>
      </w:r>
      <w:r w:rsidR="0085083B">
        <w:rPr>
          <w:sz w:val="18"/>
          <w:szCs w:val="18"/>
        </w:rPr>
        <w:t>)</w:t>
      </w:r>
    </w:p>
    <w:p w:rsidR="0085083B" w:rsidP="001E56AB" w:rsidRDefault="0085083B" w14:paraId="336E7784" w14:textId="77777777">
      <w:pPr>
        <w:widowControl w:val="0"/>
        <w:spacing w:line="240" w:lineRule="atLeast"/>
        <w:rPr>
          <w:sz w:val="18"/>
          <w:szCs w:val="18"/>
        </w:rPr>
      </w:pPr>
    </w:p>
    <w:p w:rsidR="007663F9" w:rsidP="001E56AB" w:rsidRDefault="0085083B" w14:paraId="5BA34B12" w14:textId="7EB679A8">
      <w:pPr>
        <w:widowControl w:val="0"/>
        <w:spacing w:line="240" w:lineRule="atLeast"/>
        <w:rPr>
          <w:sz w:val="18"/>
          <w:szCs w:val="18"/>
        </w:rPr>
      </w:pPr>
      <w:r>
        <w:rPr>
          <w:sz w:val="18"/>
          <w:szCs w:val="18"/>
        </w:rPr>
        <w:t>De artikelen 3:96a tot en met 3:96e</w:t>
      </w:r>
      <w:r w:rsidR="00736EA4">
        <w:rPr>
          <w:sz w:val="18"/>
          <w:szCs w:val="18"/>
        </w:rPr>
        <w:t xml:space="preserve"> Wft</w:t>
      </w:r>
      <w:r>
        <w:rPr>
          <w:sz w:val="18"/>
          <w:szCs w:val="18"/>
        </w:rPr>
        <w:t xml:space="preserve"> vormen in belangrijke mate de implementatie van hetgeen bepaald is in de artikelen 27 bis</w:t>
      </w:r>
      <w:r w:rsidR="00D5018E">
        <w:rPr>
          <w:sz w:val="18"/>
          <w:szCs w:val="18"/>
        </w:rPr>
        <w:t xml:space="preserve"> tot en met 27 terdecies</w:t>
      </w:r>
      <w:r w:rsidR="00736EA4">
        <w:rPr>
          <w:sz w:val="18"/>
          <w:szCs w:val="18"/>
        </w:rPr>
        <w:t xml:space="preserve"> CRD</w:t>
      </w:r>
      <w:r w:rsidR="00D5018E">
        <w:rPr>
          <w:sz w:val="18"/>
          <w:szCs w:val="18"/>
        </w:rPr>
        <w:t xml:space="preserve"> </w:t>
      </w:r>
      <w:r>
        <w:rPr>
          <w:sz w:val="18"/>
          <w:szCs w:val="18"/>
        </w:rPr>
        <w:t xml:space="preserve">met betrekking tot prudentieel relevante transacties. </w:t>
      </w:r>
      <w:r w:rsidR="001F1B42">
        <w:rPr>
          <w:sz w:val="18"/>
          <w:szCs w:val="18"/>
        </w:rPr>
        <w:t xml:space="preserve">Op grond van de CRD gelden deze bepalingen zowel voor banken als (gemengde) financiële holdings. </w:t>
      </w:r>
      <w:r w:rsidR="007663F9">
        <w:rPr>
          <w:sz w:val="18"/>
          <w:szCs w:val="18"/>
        </w:rPr>
        <w:t>Banken en (gemengde) financiële holdings zijn verplicht om bij het verwerven van een deelneming van betekenis,</w:t>
      </w:r>
      <w:r w:rsidR="007472E1">
        <w:rPr>
          <w:sz w:val="18"/>
          <w:szCs w:val="18"/>
        </w:rPr>
        <w:t xml:space="preserve"> of</w:t>
      </w:r>
      <w:r w:rsidR="007663F9">
        <w:rPr>
          <w:sz w:val="18"/>
          <w:szCs w:val="18"/>
        </w:rPr>
        <w:t xml:space="preserve"> </w:t>
      </w:r>
      <w:r w:rsidR="007472E1">
        <w:rPr>
          <w:sz w:val="18"/>
          <w:szCs w:val="18"/>
        </w:rPr>
        <w:t xml:space="preserve">het aangaan van </w:t>
      </w:r>
      <w:r w:rsidR="007663F9">
        <w:rPr>
          <w:sz w:val="18"/>
          <w:szCs w:val="18"/>
        </w:rPr>
        <w:t xml:space="preserve">een fusie of splitsing, een </w:t>
      </w:r>
      <w:r w:rsidR="00736EA4">
        <w:rPr>
          <w:sz w:val="18"/>
          <w:szCs w:val="18"/>
        </w:rPr>
        <w:t>vvgb</w:t>
      </w:r>
      <w:r w:rsidR="007663F9">
        <w:rPr>
          <w:sz w:val="18"/>
          <w:szCs w:val="18"/>
        </w:rPr>
        <w:t xml:space="preserve"> aan te vragen op grond van artikel 3:96a</w:t>
      </w:r>
      <w:r w:rsidR="00D5018E">
        <w:rPr>
          <w:sz w:val="18"/>
          <w:szCs w:val="18"/>
        </w:rPr>
        <w:t xml:space="preserve"> (voor banken)</w:t>
      </w:r>
      <w:r w:rsidR="007663F9">
        <w:rPr>
          <w:sz w:val="18"/>
          <w:szCs w:val="18"/>
        </w:rPr>
        <w:t xml:space="preserve"> en 3:96c</w:t>
      </w:r>
      <w:r w:rsidR="00D5018E">
        <w:rPr>
          <w:sz w:val="18"/>
          <w:szCs w:val="18"/>
        </w:rPr>
        <w:t xml:space="preserve"> (voor (gemengde) </w:t>
      </w:r>
      <w:r w:rsidR="007472E1">
        <w:rPr>
          <w:sz w:val="18"/>
          <w:szCs w:val="18"/>
        </w:rPr>
        <w:t xml:space="preserve">financiële </w:t>
      </w:r>
      <w:r w:rsidR="00D5018E">
        <w:rPr>
          <w:sz w:val="18"/>
          <w:szCs w:val="18"/>
        </w:rPr>
        <w:t>holdings)</w:t>
      </w:r>
      <w:r w:rsidR="00736EA4">
        <w:rPr>
          <w:sz w:val="18"/>
          <w:szCs w:val="18"/>
        </w:rPr>
        <w:t xml:space="preserve"> Wft</w:t>
      </w:r>
      <w:r w:rsidR="007663F9">
        <w:rPr>
          <w:sz w:val="18"/>
          <w:szCs w:val="18"/>
        </w:rPr>
        <w:t>. Voor de afstoting van een deelneming van betekenis en een overname of overdracht van activa of passiva wordt alleen een kennisgevingsverplichting opgenomen in de artikelen 3:96b en 3:96d Wft.</w:t>
      </w:r>
    </w:p>
    <w:p w:rsidR="007663F9" w:rsidP="001E56AB" w:rsidRDefault="007663F9" w14:paraId="3E3CE4B9" w14:textId="77777777">
      <w:pPr>
        <w:widowControl w:val="0"/>
        <w:spacing w:line="240" w:lineRule="atLeast"/>
        <w:rPr>
          <w:sz w:val="18"/>
          <w:szCs w:val="18"/>
        </w:rPr>
      </w:pPr>
    </w:p>
    <w:p w:rsidR="007663F9" w:rsidP="001E56AB" w:rsidRDefault="007663F9" w14:paraId="26B9F3EF" w14:textId="77777777">
      <w:pPr>
        <w:widowControl w:val="0"/>
        <w:spacing w:line="240" w:lineRule="atLeast"/>
        <w:rPr>
          <w:i/>
          <w:iCs/>
          <w:sz w:val="18"/>
          <w:szCs w:val="18"/>
        </w:rPr>
      </w:pPr>
      <w:r>
        <w:rPr>
          <w:i/>
          <w:iCs/>
          <w:sz w:val="18"/>
          <w:szCs w:val="18"/>
        </w:rPr>
        <w:t>Artikel 3:96a</w:t>
      </w:r>
    </w:p>
    <w:p w:rsidR="00433782" w:rsidP="00433782" w:rsidRDefault="007663F9" w14:paraId="012A340D" w14:textId="1E2A4CC4">
      <w:pPr>
        <w:widowControl w:val="0"/>
        <w:spacing w:line="240" w:lineRule="atLeast"/>
        <w:rPr>
          <w:sz w:val="18"/>
          <w:szCs w:val="18"/>
        </w:rPr>
      </w:pPr>
      <w:r>
        <w:rPr>
          <w:sz w:val="18"/>
          <w:szCs w:val="18"/>
        </w:rPr>
        <w:t>Artikel 3:96a</w:t>
      </w:r>
      <w:r w:rsidR="00C27382">
        <w:rPr>
          <w:sz w:val="18"/>
          <w:szCs w:val="18"/>
        </w:rPr>
        <w:t xml:space="preserve"> Wft</w:t>
      </w:r>
      <w:r>
        <w:rPr>
          <w:sz w:val="18"/>
          <w:szCs w:val="18"/>
        </w:rPr>
        <w:t xml:space="preserve"> is de </w:t>
      </w:r>
      <w:r w:rsidR="00A81DC7">
        <w:rPr>
          <w:sz w:val="18"/>
          <w:szCs w:val="18"/>
        </w:rPr>
        <w:t xml:space="preserve">verplichting om over een vvgb te beschikken </w:t>
      </w:r>
      <w:r>
        <w:rPr>
          <w:sz w:val="18"/>
          <w:szCs w:val="18"/>
        </w:rPr>
        <w:t xml:space="preserve">voor banken. </w:t>
      </w:r>
      <w:r w:rsidR="00A81DC7">
        <w:rPr>
          <w:sz w:val="18"/>
          <w:szCs w:val="18"/>
        </w:rPr>
        <w:t>Hoewel in de CRD artikel 27 bis en 27 undecies zowel banken als (gemengde) financiële holdings samen noemen, is o</w:t>
      </w:r>
      <w:r w:rsidR="00433782">
        <w:rPr>
          <w:sz w:val="18"/>
          <w:szCs w:val="18"/>
        </w:rPr>
        <w:t xml:space="preserve">mwille van de overzichtelijkheid de artikelen voor banken </w:t>
      </w:r>
      <w:r w:rsidR="00051F70">
        <w:rPr>
          <w:sz w:val="18"/>
          <w:szCs w:val="18"/>
        </w:rPr>
        <w:t>af</w:t>
      </w:r>
      <w:r w:rsidR="00433782">
        <w:rPr>
          <w:sz w:val="18"/>
          <w:szCs w:val="18"/>
        </w:rPr>
        <w:t xml:space="preserve">gesplitst van de (gemengde) financiële holdings. Belangrijkste overweging hierbij was het niveau van (geconsolideerd) toezicht en de </w:t>
      </w:r>
      <w:r w:rsidR="00736EA4">
        <w:rPr>
          <w:sz w:val="18"/>
          <w:szCs w:val="18"/>
        </w:rPr>
        <w:t xml:space="preserve">daarbij </w:t>
      </w:r>
      <w:r w:rsidR="00433782">
        <w:rPr>
          <w:sz w:val="18"/>
          <w:szCs w:val="18"/>
        </w:rPr>
        <w:t>betrokken toezichthouder.</w:t>
      </w:r>
    </w:p>
    <w:p w:rsidR="00433782" w:rsidP="00433782" w:rsidRDefault="00433782" w14:paraId="4B1B9AAF" w14:textId="77777777">
      <w:pPr>
        <w:widowControl w:val="0"/>
        <w:spacing w:line="240" w:lineRule="atLeast"/>
        <w:rPr>
          <w:sz w:val="18"/>
          <w:szCs w:val="18"/>
        </w:rPr>
      </w:pPr>
    </w:p>
    <w:p w:rsidR="00B70F3F" w:rsidP="00433782" w:rsidRDefault="00433782" w14:paraId="62DE4065" w14:textId="5E02DE44">
      <w:pPr>
        <w:widowControl w:val="0"/>
        <w:spacing w:line="240" w:lineRule="atLeast"/>
        <w:rPr>
          <w:sz w:val="18"/>
          <w:szCs w:val="18"/>
        </w:rPr>
      </w:pPr>
      <w:r>
        <w:rPr>
          <w:sz w:val="18"/>
          <w:szCs w:val="18"/>
        </w:rPr>
        <w:t xml:space="preserve">Voor banken </w:t>
      </w:r>
      <w:r w:rsidR="00AB28D4">
        <w:rPr>
          <w:sz w:val="18"/>
          <w:szCs w:val="18"/>
        </w:rPr>
        <w:t>geld</w:t>
      </w:r>
      <w:r w:rsidR="0090494C">
        <w:rPr>
          <w:sz w:val="18"/>
          <w:szCs w:val="18"/>
        </w:rPr>
        <w:t>t</w:t>
      </w:r>
      <w:r w:rsidR="00AB28D4">
        <w:rPr>
          <w:sz w:val="18"/>
          <w:szCs w:val="18"/>
        </w:rPr>
        <w:t xml:space="preserve"> voor alle bepalingen dat, op één geval na, </w:t>
      </w:r>
      <w:r w:rsidR="00F40D65">
        <w:rPr>
          <w:sz w:val="18"/>
          <w:szCs w:val="18"/>
        </w:rPr>
        <w:t>d</w:t>
      </w:r>
      <w:r w:rsidR="00AB28D4">
        <w:rPr>
          <w:sz w:val="18"/>
          <w:szCs w:val="18"/>
        </w:rPr>
        <w:t>e drempel</w:t>
      </w:r>
      <w:r w:rsidR="0090494C">
        <w:rPr>
          <w:sz w:val="18"/>
          <w:szCs w:val="18"/>
        </w:rPr>
        <w:t xml:space="preserve"> voor de omvang van de deelneming van betekenis van 15% van het in aanmerking komend kapitaal</w:t>
      </w:r>
      <w:r w:rsidR="00AB28D4">
        <w:rPr>
          <w:sz w:val="18"/>
          <w:szCs w:val="18"/>
        </w:rPr>
        <w:t xml:space="preserve"> </w:t>
      </w:r>
      <w:r w:rsidR="0090494C">
        <w:rPr>
          <w:sz w:val="18"/>
          <w:szCs w:val="18"/>
        </w:rPr>
        <w:t>beoordeeld wordt</w:t>
      </w:r>
      <w:r w:rsidR="00AB28D4">
        <w:rPr>
          <w:sz w:val="18"/>
          <w:szCs w:val="18"/>
        </w:rPr>
        <w:t xml:space="preserve"> op individueel niveau</w:t>
      </w:r>
      <w:r w:rsidR="00F40D65">
        <w:rPr>
          <w:sz w:val="18"/>
          <w:szCs w:val="18"/>
        </w:rPr>
        <w:t xml:space="preserve"> van de bank</w:t>
      </w:r>
      <w:r w:rsidR="00AB28D4">
        <w:rPr>
          <w:sz w:val="18"/>
          <w:szCs w:val="18"/>
        </w:rPr>
        <w:t xml:space="preserve">. Dit zal betekenen dat </w:t>
      </w:r>
      <w:r>
        <w:rPr>
          <w:sz w:val="18"/>
          <w:szCs w:val="18"/>
        </w:rPr>
        <w:t>de toezichthouder</w:t>
      </w:r>
      <w:r w:rsidR="00051F70">
        <w:rPr>
          <w:sz w:val="18"/>
          <w:szCs w:val="18"/>
        </w:rPr>
        <w:t xml:space="preserve"> voor banken in Nederland die een vvgb willen aanvragen of een kennisgeving willen doen</w:t>
      </w:r>
      <w:r>
        <w:rPr>
          <w:sz w:val="18"/>
          <w:szCs w:val="18"/>
        </w:rPr>
        <w:t xml:space="preserve"> in veruit de meeste gevallen enerzijds DNB of </w:t>
      </w:r>
      <w:r w:rsidR="00051F70">
        <w:rPr>
          <w:sz w:val="18"/>
          <w:szCs w:val="18"/>
        </w:rPr>
        <w:t xml:space="preserve">anderzijds </w:t>
      </w:r>
      <w:r>
        <w:rPr>
          <w:sz w:val="18"/>
          <w:szCs w:val="18"/>
        </w:rPr>
        <w:t>de ECB</w:t>
      </w:r>
      <w:r w:rsidR="00AB28D4">
        <w:rPr>
          <w:sz w:val="18"/>
          <w:szCs w:val="18"/>
        </w:rPr>
        <w:t xml:space="preserve"> zal zijn</w:t>
      </w:r>
      <w:r>
        <w:rPr>
          <w:sz w:val="18"/>
          <w:szCs w:val="18"/>
        </w:rPr>
        <w:t xml:space="preserve">. </w:t>
      </w:r>
      <w:r w:rsidR="00051F70">
        <w:rPr>
          <w:sz w:val="18"/>
          <w:szCs w:val="18"/>
        </w:rPr>
        <w:t xml:space="preserve">Dit is afhankelijk </w:t>
      </w:r>
      <w:r>
        <w:rPr>
          <w:sz w:val="18"/>
          <w:szCs w:val="18"/>
        </w:rPr>
        <w:t xml:space="preserve">van de vraag of de bank significant is, en dus valt onder ECB toezicht op grond van de verordening bankentoezicht, of minder significant in welk geval DNB toezicht houdt. In één situatie kan het zo zijn dat zowel DNB als de ECB niet de consoliderende toezichthouder is, maar dat een toezichthouder van een andere lidstaat die rol vervult. </w:t>
      </w:r>
      <w:r w:rsidR="00AB28D4">
        <w:rPr>
          <w:sz w:val="18"/>
          <w:szCs w:val="18"/>
        </w:rPr>
        <w:t>Deze situatie doet zich bij banken alleen maar voor als er sprake is van een deelneming van betekenis die zowel op individueel niveau als op geconsolideerd niveau de drempel van 15% in aanmerking komend kapitaal overschrijdt</w:t>
      </w:r>
      <w:r w:rsidR="00D5018E">
        <w:rPr>
          <w:sz w:val="18"/>
          <w:szCs w:val="18"/>
        </w:rPr>
        <w:t>. Deze situatie</w:t>
      </w:r>
      <w:r w:rsidR="00AB28D4">
        <w:rPr>
          <w:sz w:val="18"/>
          <w:szCs w:val="18"/>
        </w:rPr>
        <w:t xml:space="preserve"> is opgenomen in het derde lid van artikel 3:96a Wft. </w:t>
      </w:r>
      <w:r>
        <w:rPr>
          <w:sz w:val="18"/>
          <w:szCs w:val="18"/>
        </w:rPr>
        <w:t>Deze situatie zou kunnen ontstaan indien er een kleinere bank in Nederland gezeteld is en een deelneming/fusie/splitsing aangaat, en waarvan de moeder</w:t>
      </w:r>
      <w:r w:rsidR="00736EA4">
        <w:rPr>
          <w:sz w:val="18"/>
          <w:szCs w:val="18"/>
        </w:rPr>
        <w:t>bank</w:t>
      </w:r>
      <w:r>
        <w:rPr>
          <w:sz w:val="18"/>
          <w:szCs w:val="18"/>
        </w:rPr>
        <w:t xml:space="preserve"> zich bevindt in een lidstaat die niet deelneemt aan de bankenunie. In dat geval staat de moeder</w:t>
      </w:r>
      <w:r w:rsidR="00736EA4">
        <w:rPr>
          <w:sz w:val="18"/>
          <w:szCs w:val="18"/>
        </w:rPr>
        <w:t>bank</w:t>
      </w:r>
      <w:r>
        <w:rPr>
          <w:sz w:val="18"/>
          <w:szCs w:val="18"/>
        </w:rPr>
        <w:t xml:space="preserve"> onder toezicht van een</w:t>
      </w:r>
      <w:r w:rsidR="00D5018E">
        <w:rPr>
          <w:sz w:val="18"/>
          <w:szCs w:val="18"/>
        </w:rPr>
        <w:t xml:space="preserve"> consoliderende</w:t>
      </w:r>
      <w:r>
        <w:rPr>
          <w:sz w:val="18"/>
          <w:szCs w:val="18"/>
        </w:rPr>
        <w:t xml:space="preserve"> toezichthouder uit een dergelijke lidstaat</w:t>
      </w:r>
      <w:r w:rsidR="00736EA4">
        <w:rPr>
          <w:sz w:val="18"/>
          <w:szCs w:val="18"/>
        </w:rPr>
        <w:t>, en dus niet de ECB</w:t>
      </w:r>
      <w:r>
        <w:rPr>
          <w:sz w:val="18"/>
          <w:szCs w:val="18"/>
        </w:rPr>
        <w:t xml:space="preserve">. De toezichthouder uit die lidstaat zal dan, in samenspraak met DNB als nationale toezichthouder van de bank in Nederland, een besluit moeten nemen. </w:t>
      </w:r>
      <w:r w:rsidR="00AB28D4">
        <w:rPr>
          <w:sz w:val="18"/>
          <w:szCs w:val="18"/>
        </w:rPr>
        <w:t>Alleen in dat geval wordt gekeken naar zowel de individuele situatie als de geconsolideerde situatie bij een bank.</w:t>
      </w:r>
      <w:r w:rsidR="00D5018E">
        <w:rPr>
          <w:sz w:val="18"/>
          <w:szCs w:val="18"/>
        </w:rPr>
        <w:t xml:space="preserve"> In alle andere gevallen wordt alleen gekeken naar de individuele situatie van een bank.</w:t>
      </w:r>
      <w:r w:rsidR="00AB28D4">
        <w:rPr>
          <w:sz w:val="18"/>
          <w:szCs w:val="18"/>
        </w:rPr>
        <w:t xml:space="preserve"> </w:t>
      </w:r>
    </w:p>
    <w:p w:rsidR="00A26783" w:rsidP="00433782" w:rsidRDefault="00A26783" w14:paraId="307F48D9" w14:textId="77777777">
      <w:pPr>
        <w:widowControl w:val="0"/>
        <w:spacing w:line="240" w:lineRule="atLeast"/>
        <w:rPr>
          <w:sz w:val="18"/>
          <w:szCs w:val="18"/>
        </w:rPr>
      </w:pPr>
    </w:p>
    <w:p w:rsidR="00A26783" w:rsidP="00F40D65" w:rsidRDefault="00F40D65" w14:paraId="7829631F" w14:textId="361ADA74">
      <w:pPr>
        <w:widowControl w:val="0"/>
        <w:spacing w:line="240" w:lineRule="atLeast"/>
        <w:rPr>
          <w:sz w:val="18"/>
          <w:szCs w:val="18"/>
        </w:rPr>
      </w:pPr>
      <w:r>
        <w:rPr>
          <w:sz w:val="18"/>
          <w:szCs w:val="18"/>
        </w:rPr>
        <w:t>Naast een bank</w:t>
      </w:r>
      <w:r w:rsidR="00D5018E">
        <w:rPr>
          <w:sz w:val="18"/>
          <w:szCs w:val="18"/>
        </w:rPr>
        <w:t xml:space="preserve"> als moederonderneming</w:t>
      </w:r>
      <w:r>
        <w:rPr>
          <w:sz w:val="18"/>
          <w:szCs w:val="18"/>
        </w:rPr>
        <w:t xml:space="preserve"> </w:t>
      </w:r>
      <w:r w:rsidR="00736EA4">
        <w:rPr>
          <w:sz w:val="18"/>
          <w:szCs w:val="18"/>
        </w:rPr>
        <w:t xml:space="preserve">van een bank </w:t>
      </w:r>
      <w:r>
        <w:rPr>
          <w:sz w:val="18"/>
          <w:szCs w:val="18"/>
        </w:rPr>
        <w:t xml:space="preserve">kan het geval zich ook voordoen dat een (gemengde) financiële holding de moederonderneming is van een bank in Nederland. Artikel 111, tweede lid, CRD beschrijft wie de consoliderende toezichthouder is van een (gemengde) financiële holding die de moederonderneming is van een bank. Het geconsolideerde toezicht volgt altijd de bank waarvan de (gemengde) financiële holding de (EU-)moederonderneming is. Indien een (gemengde) financiële holding de moederonderneming is van meerdere banken, dan is de toezichthouder van de bank met </w:t>
      </w:r>
      <w:r w:rsidR="00736EA4">
        <w:rPr>
          <w:sz w:val="18"/>
          <w:szCs w:val="18"/>
        </w:rPr>
        <w:t>het</w:t>
      </w:r>
      <w:r>
        <w:rPr>
          <w:sz w:val="18"/>
          <w:szCs w:val="18"/>
        </w:rPr>
        <w:t xml:space="preserve"> hoogste ba</w:t>
      </w:r>
      <w:r>
        <w:rPr>
          <w:sz w:val="18"/>
          <w:szCs w:val="18"/>
        </w:rPr>
        <w:lastRenderedPageBreak/>
        <w:t xml:space="preserve">lanstotaal de consoliderende toezichthouder. </w:t>
      </w:r>
      <w:r w:rsidR="00C27382">
        <w:rPr>
          <w:sz w:val="18"/>
          <w:szCs w:val="18"/>
        </w:rPr>
        <w:t>H</w:t>
      </w:r>
      <w:r>
        <w:rPr>
          <w:sz w:val="18"/>
          <w:szCs w:val="18"/>
        </w:rPr>
        <w:t>ieronder</w:t>
      </w:r>
      <w:r w:rsidR="00C27382">
        <w:rPr>
          <w:sz w:val="18"/>
          <w:szCs w:val="18"/>
        </w:rPr>
        <w:t xml:space="preserve"> is </w:t>
      </w:r>
      <w:r>
        <w:rPr>
          <w:sz w:val="18"/>
          <w:szCs w:val="18"/>
        </w:rPr>
        <w:t>schematisch weer</w:t>
      </w:r>
      <w:r w:rsidR="00C27382">
        <w:rPr>
          <w:sz w:val="18"/>
          <w:szCs w:val="18"/>
        </w:rPr>
        <w:t>gegeven</w:t>
      </w:r>
      <w:r>
        <w:rPr>
          <w:sz w:val="18"/>
          <w:szCs w:val="18"/>
        </w:rPr>
        <w:t xml:space="preserve"> welke toezichthouder verantwoordelijk is voor het geconsolideerde toezicht voor een in Nederland </w:t>
      </w:r>
      <w:r w:rsidR="002D5624">
        <w:rPr>
          <w:sz w:val="18"/>
          <w:szCs w:val="18"/>
        </w:rPr>
        <w:t>gezetelde</w:t>
      </w:r>
      <w:r>
        <w:rPr>
          <w:sz w:val="18"/>
          <w:szCs w:val="18"/>
        </w:rPr>
        <w:t xml:space="preserve"> bank met als moederonderneming een bank of (gemengde) financiële holding:</w:t>
      </w:r>
    </w:p>
    <w:p w:rsidR="00A26783" w:rsidP="00433782" w:rsidRDefault="00A26783" w14:paraId="39EDED13" w14:textId="77777777">
      <w:pPr>
        <w:widowControl w:val="0"/>
        <w:spacing w:line="240" w:lineRule="atLeast"/>
        <w:rPr>
          <w:sz w:val="18"/>
          <w:szCs w:val="18"/>
        </w:rPr>
      </w:pPr>
    </w:p>
    <w:tbl>
      <w:tblPr>
        <w:tblStyle w:val="Tabelraster"/>
        <w:tblW w:w="0" w:type="auto"/>
        <w:tblLook w:val="04A0" w:firstRow="1" w:lastRow="0" w:firstColumn="1" w:lastColumn="0" w:noHBand="0" w:noVBand="1"/>
      </w:tblPr>
      <w:tblGrid>
        <w:gridCol w:w="928"/>
        <w:gridCol w:w="1052"/>
        <w:gridCol w:w="1134"/>
        <w:gridCol w:w="1276"/>
        <w:gridCol w:w="1417"/>
        <w:gridCol w:w="1418"/>
      </w:tblGrid>
      <w:tr w:rsidR="00532CA8" w:rsidTr="00532CA8" w14:paraId="028A0C0D" w14:textId="77777777">
        <w:tc>
          <w:tcPr>
            <w:tcW w:w="7225" w:type="dxa"/>
            <w:gridSpan w:val="6"/>
          </w:tcPr>
          <w:p w:rsidRPr="00532CA8" w:rsidR="00532CA8" w:rsidP="00532CA8" w:rsidRDefault="00532CA8" w14:paraId="41A21846" w14:textId="6E8ABD0E">
            <w:pPr>
              <w:widowControl w:val="0"/>
              <w:spacing w:line="240" w:lineRule="atLeast"/>
              <w:rPr>
                <w:b/>
                <w:bCs/>
                <w:sz w:val="18"/>
                <w:szCs w:val="18"/>
              </w:rPr>
            </w:pPr>
            <w:r w:rsidRPr="00532CA8">
              <w:rPr>
                <w:b/>
                <w:bCs/>
                <w:sz w:val="18"/>
                <w:szCs w:val="18"/>
              </w:rPr>
              <w:t xml:space="preserve">Geconsolideerd toezicht op </w:t>
            </w:r>
            <w:r w:rsidR="00F40D65">
              <w:rPr>
                <w:b/>
                <w:bCs/>
                <w:sz w:val="18"/>
                <w:szCs w:val="18"/>
              </w:rPr>
              <w:t xml:space="preserve">een </w:t>
            </w:r>
            <w:r w:rsidRPr="00532CA8">
              <w:rPr>
                <w:b/>
                <w:bCs/>
                <w:sz w:val="18"/>
                <w:szCs w:val="18"/>
              </w:rPr>
              <w:t>bank in Nederland</w:t>
            </w:r>
          </w:p>
        </w:tc>
      </w:tr>
      <w:tr w:rsidR="00532CA8" w:rsidTr="0038610E" w14:paraId="2463FFB1" w14:textId="77777777">
        <w:tc>
          <w:tcPr>
            <w:tcW w:w="928" w:type="dxa"/>
          </w:tcPr>
          <w:p w:rsidR="00532CA8" w:rsidP="00532CA8" w:rsidRDefault="00532CA8" w14:paraId="05A8C2C4" w14:textId="6C976A15">
            <w:pPr>
              <w:widowControl w:val="0"/>
              <w:spacing w:line="240" w:lineRule="atLeast"/>
              <w:rPr>
                <w:i/>
                <w:iCs/>
                <w:sz w:val="18"/>
                <w:szCs w:val="18"/>
              </w:rPr>
            </w:pPr>
            <w:r>
              <w:rPr>
                <w:i/>
                <w:iCs/>
                <w:sz w:val="18"/>
                <w:szCs w:val="18"/>
              </w:rPr>
              <w:t xml:space="preserve">Wat is de moederonderneming van de bank? </w:t>
            </w:r>
          </w:p>
        </w:tc>
        <w:tc>
          <w:tcPr>
            <w:tcW w:w="1052" w:type="dxa"/>
          </w:tcPr>
          <w:p w:rsidR="00532CA8" w:rsidP="00532CA8" w:rsidRDefault="00F40D65" w14:paraId="36448F4D" w14:textId="1D7F09DF">
            <w:pPr>
              <w:widowControl w:val="0"/>
              <w:spacing w:line="240" w:lineRule="atLeast"/>
              <w:rPr>
                <w:i/>
                <w:iCs/>
                <w:sz w:val="18"/>
                <w:szCs w:val="18"/>
              </w:rPr>
            </w:pPr>
            <w:r>
              <w:rPr>
                <w:i/>
                <w:iCs/>
                <w:sz w:val="18"/>
                <w:szCs w:val="18"/>
              </w:rPr>
              <w:t>Is de m</w:t>
            </w:r>
            <w:r w:rsidR="00532CA8">
              <w:rPr>
                <w:i/>
                <w:iCs/>
                <w:sz w:val="18"/>
                <w:szCs w:val="18"/>
              </w:rPr>
              <w:t>oeder</w:t>
            </w:r>
            <w:r>
              <w:rPr>
                <w:i/>
                <w:iCs/>
                <w:sz w:val="18"/>
                <w:szCs w:val="18"/>
              </w:rPr>
              <w:t>onderneming</w:t>
            </w:r>
            <w:r w:rsidR="00532CA8">
              <w:rPr>
                <w:i/>
                <w:iCs/>
                <w:sz w:val="18"/>
                <w:szCs w:val="18"/>
              </w:rPr>
              <w:t xml:space="preserve"> in NL </w:t>
            </w:r>
            <w:r w:rsidR="002D5624">
              <w:rPr>
                <w:i/>
                <w:iCs/>
                <w:sz w:val="18"/>
                <w:szCs w:val="18"/>
              </w:rPr>
              <w:t>gezeteld</w:t>
            </w:r>
            <w:r w:rsidR="00532CA8">
              <w:rPr>
                <w:i/>
                <w:iCs/>
                <w:sz w:val="18"/>
                <w:szCs w:val="18"/>
              </w:rPr>
              <w:t>?</w:t>
            </w:r>
          </w:p>
        </w:tc>
        <w:tc>
          <w:tcPr>
            <w:tcW w:w="1134" w:type="dxa"/>
          </w:tcPr>
          <w:p w:rsidR="00532CA8" w:rsidP="00532CA8" w:rsidRDefault="00F40D65" w14:paraId="7F3A5C5A" w14:textId="3C1648BB">
            <w:pPr>
              <w:widowControl w:val="0"/>
              <w:spacing w:line="240" w:lineRule="atLeast"/>
              <w:rPr>
                <w:i/>
                <w:iCs/>
                <w:sz w:val="18"/>
                <w:szCs w:val="18"/>
              </w:rPr>
            </w:pPr>
            <w:r>
              <w:rPr>
                <w:i/>
                <w:iCs/>
                <w:sz w:val="18"/>
                <w:szCs w:val="18"/>
              </w:rPr>
              <w:t>Is de m</w:t>
            </w:r>
            <w:r w:rsidR="00532CA8">
              <w:rPr>
                <w:i/>
                <w:iCs/>
                <w:sz w:val="18"/>
                <w:szCs w:val="18"/>
              </w:rPr>
              <w:t>oeder</w:t>
            </w:r>
            <w:r>
              <w:rPr>
                <w:i/>
                <w:iCs/>
                <w:sz w:val="18"/>
                <w:szCs w:val="18"/>
              </w:rPr>
              <w:t>onderneming</w:t>
            </w:r>
            <w:r w:rsidR="00532CA8">
              <w:rPr>
                <w:i/>
                <w:iCs/>
                <w:sz w:val="18"/>
                <w:szCs w:val="18"/>
              </w:rPr>
              <w:t xml:space="preserve"> </w:t>
            </w:r>
            <w:r w:rsidR="002D5624">
              <w:rPr>
                <w:i/>
                <w:iCs/>
                <w:sz w:val="18"/>
                <w:szCs w:val="18"/>
              </w:rPr>
              <w:t>gezeteld</w:t>
            </w:r>
            <w:r w:rsidR="00532CA8">
              <w:rPr>
                <w:i/>
                <w:iCs/>
                <w:sz w:val="18"/>
                <w:szCs w:val="18"/>
              </w:rPr>
              <w:t xml:space="preserve"> in deelnemende lidstaat?</w:t>
            </w:r>
          </w:p>
        </w:tc>
        <w:tc>
          <w:tcPr>
            <w:tcW w:w="1276" w:type="dxa"/>
          </w:tcPr>
          <w:p w:rsidRPr="00851C7D" w:rsidR="00532CA8" w:rsidP="00532CA8" w:rsidRDefault="00532CA8" w14:paraId="7CF5F1A9" w14:textId="188019F1">
            <w:pPr>
              <w:widowControl w:val="0"/>
              <w:spacing w:line="240" w:lineRule="atLeast"/>
              <w:rPr>
                <w:i/>
                <w:iCs/>
                <w:sz w:val="18"/>
                <w:szCs w:val="18"/>
              </w:rPr>
            </w:pPr>
            <w:r w:rsidRPr="00851C7D">
              <w:rPr>
                <w:i/>
                <w:iCs/>
                <w:sz w:val="18"/>
                <w:szCs w:val="18"/>
              </w:rPr>
              <w:t>Is de NL bank significant?</w:t>
            </w:r>
          </w:p>
        </w:tc>
        <w:tc>
          <w:tcPr>
            <w:tcW w:w="1417" w:type="dxa"/>
          </w:tcPr>
          <w:p w:rsidRPr="00851C7D" w:rsidR="00532CA8" w:rsidP="00532CA8" w:rsidRDefault="00532CA8" w14:paraId="0244E219" w14:textId="056FF3D1">
            <w:pPr>
              <w:widowControl w:val="0"/>
              <w:spacing w:line="240" w:lineRule="atLeast"/>
              <w:rPr>
                <w:i/>
                <w:iCs/>
                <w:sz w:val="18"/>
                <w:szCs w:val="18"/>
              </w:rPr>
            </w:pPr>
            <w:r w:rsidRPr="00851C7D">
              <w:rPr>
                <w:i/>
                <w:iCs/>
                <w:sz w:val="18"/>
                <w:szCs w:val="18"/>
              </w:rPr>
              <w:t>Is de NL de grootste bank onder de holding?</w:t>
            </w:r>
          </w:p>
        </w:tc>
        <w:tc>
          <w:tcPr>
            <w:tcW w:w="1418" w:type="dxa"/>
          </w:tcPr>
          <w:p w:rsidRPr="001E4804" w:rsidR="00532CA8" w:rsidP="00532CA8" w:rsidRDefault="00532CA8" w14:paraId="27A29CBE" w14:textId="4490F0B7">
            <w:pPr>
              <w:widowControl w:val="0"/>
              <w:spacing w:line="240" w:lineRule="atLeast"/>
              <w:rPr>
                <w:b/>
                <w:bCs/>
                <w:i/>
                <w:iCs/>
                <w:sz w:val="18"/>
                <w:szCs w:val="18"/>
              </w:rPr>
            </w:pPr>
            <w:r w:rsidRPr="001E4804">
              <w:rPr>
                <w:b/>
                <w:bCs/>
                <w:i/>
                <w:iCs/>
                <w:sz w:val="18"/>
                <w:szCs w:val="18"/>
              </w:rPr>
              <w:t>Consoliderende toezichthouder</w:t>
            </w:r>
            <w:r w:rsidR="001E4804">
              <w:rPr>
                <w:b/>
                <w:bCs/>
                <w:i/>
                <w:iCs/>
                <w:sz w:val="18"/>
                <w:szCs w:val="18"/>
              </w:rPr>
              <w:t>van de bank</w:t>
            </w:r>
          </w:p>
        </w:tc>
      </w:tr>
      <w:tr w:rsidR="00532CA8" w:rsidTr="0038610E" w14:paraId="2C0E9B4C" w14:textId="77777777">
        <w:tc>
          <w:tcPr>
            <w:tcW w:w="928" w:type="dxa"/>
          </w:tcPr>
          <w:p w:rsidR="00532CA8" w:rsidP="00532CA8" w:rsidRDefault="00532CA8" w14:paraId="04FD014E" w14:textId="208E5B6F">
            <w:pPr>
              <w:widowControl w:val="0"/>
              <w:spacing w:line="240" w:lineRule="atLeast"/>
              <w:rPr>
                <w:sz w:val="18"/>
                <w:szCs w:val="18"/>
              </w:rPr>
            </w:pPr>
            <w:r>
              <w:rPr>
                <w:sz w:val="18"/>
                <w:szCs w:val="18"/>
              </w:rPr>
              <w:t>Bank</w:t>
            </w:r>
          </w:p>
        </w:tc>
        <w:tc>
          <w:tcPr>
            <w:tcW w:w="1052" w:type="dxa"/>
          </w:tcPr>
          <w:p w:rsidR="00532CA8" w:rsidP="00532CA8" w:rsidRDefault="00532CA8" w14:paraId="7927B1C0" w14:textId="46A6BA51">
            <w:pPr>
              <w:widowControl w:val="0"/>
              <w:spacing w:line="240" w:lineRule="atLeast"/>
              <w:rPr>
                <w:sz w:val="18"/>
                <w:szCs w:val="18"/>
              </w:rPr>
            </w:pPr>
            <w:r>
              <w:rPr>
                <w:sz w:val="18"/>
                <w:szCs w:val="18"/>
              </w:rPr>
              <w:t>Ja</w:t>
            </w:r>
          </w:p>
        </w:tc>
        <w:tc>
          <w:tcPr>
            <w:tcW w:w="1134" w:type="dxa"/>
          </w:tcPr>
          <w:p w:rsidR="00532CA8" w:rsidP="00532CA8" w:rsidRDefault="00F40D65" w14:paraId="28BD789A" w14:textId="064BBC32">
            <w:pPr>
              <w:widowControl w:val="0"/>
              <w:spacing w:line="240" w:lineRule="atLeast"/>
              <w:rPr>
                <w:sz w:val="18"/>
                <w:szCs w:val="18"/>
              </w:rPr>
            </w:pPr>
            <w:r>
              <w:rPr>
                <w:sz w:val="18"/>
                <w:szCs w:val="18"/>
              </w:rPr>
              <w:t>Ja</w:t>
            </w:r>
          </w:p>
        </w:tc>
        <w:tc>
          <w:tcPr>
            <w:tcW w:w="1276" w:type="dxa"/>
          </w:tcPr>
          <w:p w:rsidR="00532CA8" w:rsidP="00532CA8" w:rsidRDefault="00532CA8" w14:paraId="2D6076A5" w14:textId="3F07295E">
            <w:pPr>
              <w:widowControl w:val="0"/>
              <w:spacing w:line="240" w:lineRule="atLeast"/>
              <w:rPr>
                <w:sz w:val="18"/>
                <w:szCs w:val="18"/>
              </w:rPr>
            </w:pPr>
            <w:r>
              <w:rPr>
                <w:sz w:val="18"/>
                <w:szCs w:val="18"/>
              </w:rPr>
              <w:t>Ja</w:t>
            </w:r>
          </w:p>
        </w:tc>
        <w:tc>
          <w:tcPr>
            <w:tcW w:w="1417" w:type="dxa"/>
          </w:tcPr>
          <w:p w:rsidR="00532CA8" w:rsidP="00532CA8" w:rsidRDefault="0038610E" w14:paraId="68B4535B" w14:textId="47B6E753">
            <w:pPr>
              <w:widowControl w:val="0"/>
              <w:spacing w:line="240" w:lineRule="atLeast"/>
              <w:rPr>
                <w:sz w:val="18"/>
                <w:szCs w:val="18"/>
              </w:rPr>
            </w:pPr>
            <w:r>
              <w:rPr>
                <w:sz w:val="18"/>
                <w:szCs w:val="18"/>
              </w:rPr>
              <w:t>-</w:t>
            </w:r>
          </w:p>
        </w:tc>
        <w:tc>
          <w:tcPr>
            <w:tcW w:w="1418" w:type="dxa"/>
          </w:tcPr>
          <w:p w:rsidRPr="001E4804" w:rsidR="00532CA8" w:rsidP="00532CA8" w:rsidRDefault="00532CA8" w14:paraId="68EECBD5" w14:textId="77777777">
            <w:pPr>
              <w:widowControl w:val="0"/>
              <w:spacing w:line="240" w:lineRule="atLeast"/>
              <w:rPr>
                <w:b/>
                <w:bCs/>
                <w:sz w:val="18"/>
                <w:szCs w:val="18"/>
              </w:rPr>
            </w:pPr>
            <w:r w:rsidRPr="001E4804">
              <w:rPr>
                <w:b/>
                <w:bCs/>
                <w:sz w:val="18"/>
                <w:szCs w:val="18"/>
              </w:rPr>
              <w:t>ECB</w:t>
            </w:r>
          </w:p>
        </w:tc>
      </w:tr>
      <w:tr w:rsidR="00532CA8" w:rsidTr="0038610E" w14:paraId="464962A2" w14:textId="77777777">
        <w:tc>
          <w:tcPr>
            <w:tcW w:w="928" w:type="dxa"/>
          </w:tcPr>
          <w:p w:rsidR="00532CA8" w:rsidP="00532CA8" w:rsidRDefault="00532CA8" w14:paraId="4768822F" w14:textId="7472939D">
            <w:pPr>
              <w:widowControl w:val="0"/>
              <w:spacing w:line="240" w:lineRule="atLeast"/>
              <w:rPr>
                <w:sz w:val="18"/>
                <w:szCs w:val="18"/>
              </w:rPr>
            </w:pPr>
            <w:r>
              <w:rPr>
                <w:sz w:val="18"/>
                <w:szCs w:val="18"/>
              </w:rPr>
              <w:t>Bank</w:t>
            </w:r>
          </w:p>
        </w:tc>
        <w:tc>
          <w:tcPr>
            <w:tcW w:w="1052" w:type="dxa"/>
          </w:tcPr>
          <w:p w:rsidR="00532CA8" w:rsidP="00532CA8" w:rsidRDefault="00532CA8" w14:paraId="0F571B2C" w14:textId="77777777">
            <w:pPr>
              <w:widowControl w:val="0"/>
              <w:spacing w:line="240" w:lineRule="atLeast"/>
              <w:rPr>
                <w:sz w:val="18"/>
                <w:szCs w:val="18"/>
              </w:rPr>
            </w:pPr>
            <w:r>
              <w:rPr>
                <w:sz w:val="18"/>
                <w:szCs w:val="18"/>
              </w:rPr>
              <w:t>Ja</w:t>
            </w:r>
          </w:p>
        </w:tc>
        <w:tc>
          <w:tcPr>
            <w:tcW w:w="1134" w:type="dxa"/>
          </w:tcPr>
          <w:p w:rsidR="00532CA8" w:rsidP="00532CA8" w:rsidRDefault="00F40D65" w14:paraId="4BE3E611" w14:textId="51A032D8">
            <w:pPr>
              <w:widowControl w:val="0"/>
              <w:spacing w:line="240" w:lineRule="atLeast"/>
              <w:rPr>
                <w:sz w:val="18"/>
                <w:szCs w:val="18"/>
              </w:rPr>
            </w:pPr>
            <w:r>
              <w:rPr>
                <w:sz w:val="18"/>
                <w:szCs w:val="18"/>
              </w:rPr>
              <w:t>Ja</w:t>
            </w:r>
          </w:p>
        </w:tc>
        <w:tc>
          <w:tcPr>
            <w:tcW w:w="1276" w:type="dxa"/>
          </w:tcPr>
          <w:p w:rsidR="00532CA8" w:rsidP="00532CA8" w:rsidRDefault="00532CA8" w14:paraId="2ABAA14A" w14:textId="4E099A39">
            <w:pPr>
              <w:widowControl w:val="0"/>
              <w:spacing w:line="240" w:lineRule="atLeast"/>
              <w:rPr>
                <w:sz w:val="18"/>
                <w:szCs w:val="18"/>
              </w:rPr>
            </w:pPr>
            <w:r>
              <w:rPr>
                <w:sz w:val="18"/>
                <w:szCs w:val="18"/>
              </w:rPr>
              <w:t>Nee</w:t>
            </w:r>
          </w:p>
        </w:tc>
        <w:tc>
          <w:tcPr>
            <w:tcW w:w="1417" w:type="dxa"/>
          </w:tcPr>
          <w:p w:rsidR="00532CA8" w:rsidP="00532CA8" w:rsidRDefault="0038610E" w14:paraId="54CA5A51" w14:textId="4ED53212">
            <w:pPr>
              <w:widowControl w:val="0"/>
              <w:spacing w:line="240" w:lineRule="atLeast"/>
              <w:rPr>
                <w:sz w:val="18"/>
                <w:szCs w:val="18"/>
              </w:rPr>
            </w:pPr>
            <w:r>
              <w:rPr>
                <w:sz w:val="18"/>
                <w:szCs w:val="18"/>
              </w:rPr>
              <w:t>-</w:t>
            </w:r>
          </w:p>
        </w:tc>
        <w:tc>
          <w:tcPr>
            <w:tcW w:w="1418" w:type="dxa"/>
          </w:tcPr>
          <w:p w:rsidRPr="001E4804" w:rsidR="00532CA8" w:rsidP="00532CA8" w:rsidRDefault="00532CA8" w14:paraId="71F7B0DF" w14:textId="77777777">
            <w:pPr>
              <w:widowControl w:val="0"/>
              <w:spacing w:line="240" w:lineRule="atLeast"/>
              <w:rPr>
                <w:b/>
                <w:bCs/>
                <w:sz w:val="18"/>
                <w:szCs w:val="18"/>
              </w:rPr>
            </w:pPr>
            <w:r w:rsidRPr="001E4804">
              <w:rPr>
                <w:b/>
                <w:bCs/>
                <w:sz w:val="18"/>
                <w:szCs w:val="18"/>
              </w:rPr>
              <w:t>DNB</w:t>
            </w:r>
          </w:p>
        </w:tc>
      </w:tr>
      <w:tr w:rsidR="00532CA8" w:rsidTr="0038610E" w14:paraId="183719AD" w14:textId="77777777">
        <w:tc>
          <w:tcPr>
            <w:tcW w:w="928" w:type="dxa"/>
          </w:tcPr>
          <w:p w:rsidR="00532CA8" w:rsidP="00532CA8" w:rsidRDefault="00532CA8" w14:paraId="2B0E29B2" w14:textId="163E203E">
            <w:pPr>
              <w:widowControl w:val="0"/>
              <w:spacing w:line="240" w:lineRule="atLeast"/>
              <w:rPr>
                <w:sz w:val="18"/>
                <w:szCs w:val="18"/>
              </w:rPr>
            </w:pPr>
            <w:r>
              <w:rPr>
                <w:sz w:val="18"/>
                <w:szCs w:val="18"/>
              </w:rPr>
              <w:t>Bank</w:t>
            </w:r>
          </w:p>
        </w:tc>
        <w:tc>
          <w:tcPr>
            <w:tcW w:w="1052" w:type="dxa"/>
          </w:tcPr>
          <w:p w:rsidR="00532CA8" w:rsidP="00532CA8" w:rsidRDefault="00532CA8" w14:paraId="59625759" w14:textId="543573CC">
            <w:pPr>
              <w:widowControl w:val="0"/>
              <w:spacing w:line="240" w:lineRule="atLeast"/>
              <w:rPr>
                <w:sz w:val="18"/>
                <w:szCs w:val="18"/>
              </w:rPr>
            </w:pPr>
            <w:r>
              <w:rPr>
                <w:sz w:val="18"/>
                <w:szCs w:val="18"/>
              </w:rPr>
              <w:t>Nee</w:t>
            </w:r>
          </w:p>
        </w:tc>
        <w:tc>
          <w:tcPr>
            <w:tcW w:w="1134" w:type="dxa"/>
          </w:tcPr>
          <w:p w:rsidR="00532CA8" w:rsidP="00532CA8" w:rsidRDefault="00532CA8" w14:paraId="07BAED93" w14:textId="34B6612B">
            <w:pPr>
              <w:widowControl w:val="0"/>
              <w:spacing w:line="240" w:lineRule="atLeast"/>
              <w:rPr>
                <w:sz w:val="18"/>
                <w:szCs w:val="18"/>
              </w:rPr>
            </w:pPr>
            <w:r>
              <w:rPr>
                <w:sz w:val="18"/>
                <w:szCs w:val="18"/>
              </w:rPr>
              <w:t>Ja</w:t>
            </w:r>
          </w:p>
        </w:tc>
        <w:tc>
          <w:tcPr>
            <w:tcW w:w="1276" w:type="dxa"/>
          </w:tcPr>
          <w:p w:rsidR="00532CA8" w:rsidP="00532CA8" w:rsidRDefault="00532CA8" w14:paraId="048CABC2" w14:textId="61A782C5">
            <w:pPr>
              <w:widowControl w:val="0"/>
              <w:spacing w:line="240" w:lineRule="atLeast"/>
              <w:rPr>
                <w:sz w:val="18"/>
                <w:szCs w:val="18"/>
              </w:rPr>
            </w:pPr>
            <w:r>
              <w:rPr>
                <w:sz w:val="18"/>
                <w:szCs w:val="18"/>
              </w:rPr>
              <w:t>Ja</w:t>
            </w:r>
          </w:p>
        </w:tc>
        <w:tc>
          <w:tcPr>
            <w:tcW w:w="1417" w:type="dxa"/>
          </w:tcPr>
          <w:p w:rsidR="00532CA8" w:rsidP="00532CA8" w:rsidRDefault="0038610E" w14:paraId="23A5E99A" w14:textId="63EEAAFD">
            <w:pPr>
              <w:widowControl w:val="0"/>
              <w:spacing w:line="240" w:lineRule="atLeast"/>
              <w:rPr>
                <w:sz w:val="18"/>
                <w:szCs w:val="18"/>
              </w:rPr>
            </w:pPr>
            <w:r>
              <w:rPr>
                <w:sz w:val="18"/>
                <w:szCs w:val="18"/>
              </w:rPr>
              <w:t>-</w:t>
            </w:r>
          </w:p>
        </w:tc>
        <w:tc>
          <w:tcPr>
            <w:tcW w:w="1418" w:type="dxa"/>
          </w:tcPr>
          <w:p w:rsidRPr="001E4804" w:rsidR="00532CA8" w:rsidP="00532CA8" w:rsidRDefault="00532CA8" w14:paraId="2EFF6E4C" w14:textId="03B7DAF0">
            <w:pPr>
              <w:widowControl w:val="0"/>
              <w:spacing w:line="240" w:lineRule="atLeast"/>
              <w:rPr>
                <w:b/>
                <w:bCs/>
                <w:sz w:val="18"/>
                <w:szCs w:val="18"/>
              </w:rPr>
            </w:pPr>
            <w:r w:rsidRPr="001E4804">
              <w:rPr>
                <w:b/>
                <w:bCs/>
                <w:sz w:val="18"/>
                <w:szCs w:val="18"/>
              </w:rPr>
              <w:t>ECB</w:t>
            </w:r>
          </w:p>
        </w:tc>
      </w:tr>
      <w:tr w:rsidR="00532CA8" w:rsidTr="0038610E" w14:paraId="688B445F" w14:textId="77777777">
        <w:tc>
          <w:tcPr>
            <w:tcW w:w="928" w:type="dxa"/>
          </w:tcPr>
          <w:p w:rsidR="00532CA8" w:rsidP="00532CA8" w:rsidRDefault="00532CA8" w14:paraId="04482E36" w14:textId="3F56E67B">
            <w:pPr>
              <w:widowControl w:val="0"/>
              <w:spacing w:line="240" w:lineRule="atLeast"/>
              <w:rPr>
                <w:sz w:val="18"/>
                <w:szCs w:val="18"/>
              </w:rPr>
            </w:pPr>
            <w:r>
              <w:rPr>
                <w:sz w:val="18"/>
                <w:szCs w:val="18"/>
              </w:rPr>
              <w:t>Bank</w:t>
            </w:r>
          </w:p>
        </w:tc>
        <w:tc>
          <w:tcPr>
            <w:tcW w:w="1052" w:type="dxa"/>
          </w:tcPr>
          <w:p w:rsidR="00532CA8" w:rsidP="00532CA8" w:rsidRDefault="00532CA8" w14:paraId="60217C39" w14:textId="16A04065">
            <w:pPr>
              <w:widowControl w:val="0"/>
              <w:spacing w:line="240" w:lineRule="atLeast"/>
              <w:rPr>
                <w:sz w:val="18"/>
                <w:szCs w:val="18"/>
              </w:rPr>
            </w:pPr>
            <w:r>
              <w:rPr>
                <w:sz w:val="18"/>
                <w:szCs w:val="18"/>
              </w:rPr>
              <w:t>Nee</w:t>
            </w:r>
          </w:p>
        </w:tc>
        <w:tc>
          <w:tcPr>
            <w:tcW w:w="1134" w:type="dxa"/>
          </w:tcPr>
          <w:p w:rsidR="00532CA8" w:rsidP="00532CA8" w:rsidRDefault="00532CA8" w14:paraId="5578BDD3" w14:textId="35515134">
            <w:pPr>
              <w:widowControl w:val="0"/>
              <w:spacing w:line="240" w:lineRule="atLeast"/>
              <w:rPr>
                <w:sz w:val="18"/>
                <w:szCs w:val="18"/>
              </w:rPr>
            </w:pPr>
            <w:r>
              <w:rPr>
                <w:sz w:val="18"/>
                <w:szCs w:val="18"/>
              </w:rPr>
              <w:t>Ja</w:t>
            </w:r>
          </w:p>
        </w:tc>
        <w:tc>
          <w:tcPr>
            <w:tcW w:w="1276" w:type="dxa"/>
          </w:tcPr>
          <w:p w:rsidR="00532CA8" w:rsidP="00532CA8" w:rsidRDefault="00532CA8" w14:paraId="56C8AC4E" w14:textId="1C391881">
            <w:pPr>
              <w:widowControl w:val="0"/>
              <w:spacing w:line="240" w:lineRule="atLeast"/>
              <w:rPr>
                <w:sz w:val="18"/>
                <w:szCs w:val="18"/>
              </w:rPr>
            </w:pPr>
            <w:r>
              <w:rPr>
                <w:sz w:val="18"/>
                <w:szCs w:val="18"/>
              </w:rPr>
              <w:t>Nee</w:t>
            </w:r>
          </w:p>
        </w:tc>
        <w:tc>
          <w:tcPr>
            <w:tcW w:w="1417" w:type="dxa"/>
          </w:tcPr>
          <w:p w:rsidR="00532CA8" w:rsidP="00532CA8" w:rsidRDefault="0038610E" w14:paraId="6B871B4D" w14:textId="56228C91">
            <w:pPr>
              <w:widowControl w:val="0"/>
              <w:spacing w:line="240" w:lineRule="atLeast"/>
              <w:rPr>
                <w:sz w:val="18"/>
                <w:szCs w:val="18"/>
              </w:rPr>
            </w:pPr>
            <w:r>
              <w:rPr>
                <w:sz w:val="18"/>
                <w:szCs w:val="18"/>
              </w:rPr>
              <w:t>-</w:t>
            </w:r>
          </w:p>
        </w:tc>
        <w:tc>
          <w:tcPr>
            <w:tcW w:w="1418" w:type="dxa"/>
          </w:tcPr>
          <w:p w:rsidRPr="001E4804" w:rsidR="00532CA8" w:rsidP="00532CA8" w:rsidRDefault="00532CA8" w14:paraId="392F598D" w14:textId="47F05B18">
            <w:pPr>
              <w:widowControl w:val="0"/>
              <w:spacing w:line="240" w:lineRule="atLeast"/>
              <w:rPr>
                <w:b/>
                <w:bCs/>
                <w:sz w:val="18"/>
                <w:szCs w:val="18"/>
              </w:rPr>
            </w:pPr>
            <w:r w:rsidRPr="001E4804">
              <w:rPr>
                <w:b/>
                <w:bCs/>
                <w:sz w:val="18"/>
                <w:szCs w:val="18"/>
              </w:rPr>
              <w:t>NCA</w:t>
            </w:r>
            <w:r w:rsidR="00D5018E">
              <w:rPr>
                <w:rStyle w:val="Voetnootmarkering"/>
                <w:b/>
                <w:bCs/>
                <w:sz w:val="18"/>
                <w:szCs w:val="18"/>
              </w:rPr>
              <w:footnoteReference w:id="85"/>
            </w:r>
          </w:p>
        </w:tc>
      </w:tr>
      <w:tr w:rsidR="00532CA8" w:rsidTr="0038610E" w14:paraId="1FD8DA19" w14:textId="77777777">
        <w:tc>
          <w:tcPr>
            <w:tcW w:w="928" w:type="dxa"/>
          </w:tcPr>
          <w:p w:rsidR="00532CA8" w:rsidP="00532CA8" w:rsidRDefault="00532CA8" w14:paraId="6D1D5308" w14:textId="3549FCE8">
            <w:pPr>
              <w:widowControl w:val="0"/>
              <w:spacing w:line="240" w:lineRule="atLeast"/>
              <w:rPr>
                <w:sz w:val="18"/>
                <w:szCs w:val="18"/>
              </w:rPr>
            </w:pPr>
            <w:r>
              <w:rPr>
                <w:sz w:val="18"/>
                <w:szCs w:val="18"/>
              </w:rPr>
              <w:t>Bank</w:t>
            </w:r>
          </w:p>
        </w:tc>
        <w:tc>
          <w:tcPr>
            <w:tcW w:w="1052" w:type="dxa"/>
          </w:tcPr>
          <w:p w:rsidR="00532CA8" w:rsidP="00532CA8" w:rsidRDefault="00532CA8" w14:paraId="19073CF7" w14:textId="06BCBE1F">
            <w:pPr>
              <w:widowControl w:val="0"/>
              <w:spacing w:line="240" w:lineRule="atLeast"/>
              <w:rPr>
                <w:sz w:val="18"/>
                <w:szCs w:val="18"/>
              </w:rPr>
            </w:pPr>
            <w:r>
              <w:rPr>
                <w:sz w:val="18"/>
                <w:szCs w:val="18"/>
              </w:rPr>
              <w:t>Nee</w:t>
            </w:r>
          </w:p>
        </w:tc>
        <w:tc>
          <w:tcPr>
            <w:tcW w:w="1134" w:type="dxa"/>
          </w:tcPr>
          <w:p w:rsidR="00532CA8" w:rsidP="00532CA8" w:rsidRDefault="00532CA8" w14:paraId="200BD122" w14:textId="262CD350">
            <w:pPr>
              <w:widowControl w:val="0"/>
              <w:spacing w:line="240" w:lineRule="atLeast"/>
              <w:rPr>
                <w:sz w:val="18"/>
                <w:szCs w:val="18"/>
              </w:rPr>
            </w:pPr>
            <w:r>
              <w:rPr>
                <w:sz w:val="18"/>
                <w:szCs w:val="18"/>
              </w:rPr>
              <w:t>Nee</w:t>
            </w:r>
          </w:p>
        </w:tc>
        <w:tc>
          <w:tcPr>
            <w:tcW w:w="1276" w:type="dxa"/>
          </w:tcPr>
          <w:p w:rsidR="00532CA8" w:rsidP="00532CA8" w:rsidRDefault="00532CA8" w14:paraId="6A47816C" w14:textId="6F3092FF">
            <w:pPr>
              <w:widowControl w:val="0"/>
              <w:spacing w:line="240" w:lineRule="atLeast"/>
              <w:rPr>
                <w:sz w:val="18"/>
                <w:szCs w:val="18"/>
              </w:rPr>
            </w:pPr>
            <w:r>
              <w:rPr>
                <w:sz w:val="18"/>
                <w:szCs w:val="18"/>
              </w:rPr>
              <w:t>-</w:t>
            </w:r>
          </w:p>
        </w:tc>
        <w:tc>
          <w:tcPr>
            <w:tcW w:w="1417" w:type="dxa"/>
          </w:tcPr>
          <w:p w:rsidR="00532CA8" w:rsidP="00532CA8" w:rsidRDefault="0038610E" w14:paraId="543CF50F" w14:textId="06777CA8">
            <w:pPr>
              <w:widowControl w:val="0"/>
              <w:spacing w:line="240" w:lineRule="atLeast"/>
              <w:rPr>
                <w:sz w:val="18"/>
                <w:szCs w:val="18"/>
              </w:rPr>
            </w:pPr>
            <w:r>
              <w:rPr>
                <w:sz w:val="18"/>
                <w:szCs w:val="18"/>
              </w:rPr>
              <w:t>-</w:t>
            </w:r>
          </w:p>
        </w:tc>
        <w:tc>
          <w:tcPr>
            <w:tcW w:w="1418" w:type="dxa"/>
          </w:tcPr>
          <w:p w:rsidRPr="001E4804" w:rsidR="00532CA8" w:rsidP="00532CA8" w:rsidRDefault="00532CA8" w14:paraId="41922D18" w14:textId="67D826C3">
            <w:pPr>
              <w:widowControl w:val="0"/>
              <w:spacing w:line="240" w:lineRule="atLeast"/>
              <w:rPr>
                <w:b/>
                <w:bCs/>
                <w:sz w:val="18"/>
                <w:szCs w:val="18"/>
              </w:rPr>
            </w:pPr>
            <w:r w:rsidRPr="001E4804">
              <w:rPr>
                <w:b/>
                <w:bCs/>
                <w:sz w:val="18"/>
                <w:szCs w:val="18"/>
              </w:rPr>
              <w:t>NCA</w:t>
            </w:r>
          </w:p>
        </w:tc>
      </w:tr>
      <w:tr w:rsidR="00532CA8" w:rsidTr="0038610E" w14:paraId="32DCDB4C" w14:textId="77777777">
        <w:tc>
          <w:tcPr>
            <w:tcW w:w="928" w:type="dxa"/>
          </w:tcPr>
          <w:p w:rsidR="00532CA8" w:rsidP="00532CA8" w:rsidRDefault="00532CA8" w14:paraId="1FADF795" w14:textId="62A5F845">
            <w:pPr>
              <w:widowControl w:val="0"/>
              <w:spacing w:line="240" w:lineRule="atLeast"/>
              <w:rPr>
                <w:sz w:val="18"/>
                <w:szCs w:val="18"/>
              </w:rPr>
            </w:pPr>
            <w:r>
              <w:rPr>
                <w:sz w:val="18"/>
                <w:szCs w:val="18"/>
              </w:rPr>
              <w:t>Holding</w:t>
            </w:r>
          </w:p>
        </w:tc>
        <w:tc>
          <w:tcPr>
            <w:tcW w:w="1052" w:type="dxa"/>
          </w:tcPr>
          <w:p w:rsidR="00532CA8" w:rsidP="00532CA8" w:rsidRDefault="00532CA8" w14:paraId="6FFFD40F" w14:textId="6B347AA5">
            <w:pPr>
              <w:widowControl w:val="0"/>
              <w:spacing w:line="240" w:lineRule="atLeast"/>
              <w:rPr>
                <w:sz w:val="18"/>
                <w:szCs w:val="18"/>
              </w:rPr>
            </w:pPr>
            <w:r>
              <w:rPr>
                <w:sz w:val="18"/>
                <w:szCs w:val="18"/>
              </w:rPr>
              <w:t>Ja</w:t>
            </w:r>
          </w:p>
        </w:tc>
        <w:tc>
          <w:tcPr>
            <w:tcW w:w="1134" w:type="dxa"/>
          </w:tcPr>
          <w:p w:rsidR="00532CA8" w:rsidP="00532CA8" w:rsidRDefault="00F40D65" w14:paraId="2F0C282D" w14:textId="744B8FDF">
            <w:pPr>
              <w:widowControl w:val="0"/>
              <w:spacing w:line="240" w:lineRule="atLeast"/>
              <w:rPr>
                <w:sz w:val="18"/>
                <w:szCs w:val="18"/>
              </w:rPr>
            </w:pPr>
            <w:r>
              <w:rPr>
                <w:sz w:val="18"/>
                <w:szCs w:val="18"/>
              </w:rPr>
              <w:t>Ja</w:t>
            </w:r>
          </w:p>
        </w:tc>
        <w:tc>
          <w:tcPr>
            <w:tcW w:w="1276" w:type="dxa"/>
          </w:tcPr>
          <w:p w:rsidR="00532CA8" w:rsidP="00532CA8" w:rsidRDefault="00532CA8" w14:paraId="16F8FB1C" w14:textId="35844530">
            <w:pPr>
              <w:widowControl w:val="0"/>
              <w:spacing w:line="240" w:lineRule="atLeast"/>
              <w:rPr>
                <w:sz w:val="18"/>
                <w:szCs w:val="18"/>
              </w:rPr>
            </w:pPr>
            <w:r>
              <w:rPr>
                <w:sz w:val="18"/>
                <w:szCs w:val="18"/>
              </w:rPr>
              <w:t>Ja</w:t>
            </w:r>
          </w:p>
        </w:tc>
        <w:tc>
          <w:tcPr>
            <w:tcW w:w="1417" w:type="dxa"/>
          </w:tcPr>
          <w:p w:rsidR="00532CA8" w:rsidP="00532CA8" w:rsidRDefault="0038610E" w14:paraId="68C627E7" w14:textId="30F5F4AD">
            <w:pPr>
              <w:widowControl w:val="0"/>
              <w:spacing w:line="240" w:lineRule="atLeast"/>
              <w:rPr>
                <w:sz w:val="18"/>
                <w:szCs w:val="18"/>
              </w:rPr>
            </w:pPr>
            <w:r>
              <w:rPr>
                <w:sz w:val="18"/>
                <w:szCs w:val="18"/>
              </w:rPr>
              <w:t>-</w:t>
            </w:r>
          </w:p>
        </w:tc>
        <w:tc>
          <w:tcPr>
            <w:tcW w:w="1418" w:type="dxa"/>
          </w:tcPr>
          <w:p w:rsidRPr="001E4804" w:rsidR="00532CA8" w:rsidP="00532CA8" w:rsidRDefault="00532CA8" w14:paraId="14F5C03F" w14:textId="083FF138">
            <w:pPr>
              <w:widowControl w:val="0"/>
              <w:spacing w:line="240" w:lineRule="atLeast"/>
              <w:rPr>
                <w:b/>
                <w:bCs/>
                <w:sz w:val="18"/>
                <w:szCs w:val="18"/>
              </w:rPr>
            </w:pPr>
            <w:r w:rsidRPr="001E4804">
              <w:rPr>
                <w:b/>
                <w:bCs/>
                <w:sz w:val="18"/>
                <w:szCs w:val="18"/>
              </w:rPr>
              <w:t>ECB</w:t>
            </w:r>
          </w:p>
        </w:tc>
      </w:tr>
      <w:tr w:rsidR="00532CA8" w:rsidTr="0038610E" w14:paraId="2F0DDE8E" w14:textId="77777777">
        <w:tc>
          <w:tcPr>
            <w:tcW w:w="928" w:type="dxa"/>
          </w:tcPr>
          <w:p w:rsidR="00532CA8" w:rsidP="00532CA8" w:rsidRDefault="00532CA8" w14:paraId="6BC6FE6F" w14:textId="590AD53A">
            <w:pPr>
              <w:widowControl w:val="0"/>
              <w:spacing w:line="240" w:lineRule="atLeast"/>
              <w:rPr>
                <w:sz w:val="18"/>
                <w:szCs w:val="18"/>
              </w:rPr>
            </w:pPr>
            <w:r>
              <w:rPr>
                <w:sz w:val="18"/>
                <w:szCs w:val="18"/>
              </w:rPr>
              <w:t>Holding</w:t>
            </w:r>
          </w:p>
        </w:tc>
        <w:tc>
          <w:tcPr>
            <w:tcW w:w="1052" w:type="dxa"/>
          </w:tcPr>
          <w:p w:rsidR="00532CA8" w:rsidP="00532CA8" w:rsidRDefault="00532CA8" w14:paraId="4C1BE1C8" w14:textId="0FA2F641">
            <w:pPr>
              <w:widowControl w:val="0"/>
              <w:spacing w:line="240" w:lineRule="atLeast"/>
              <w:rPr>
                <w:sz w:val="18"/>
                <w:szCs w:val="18"/>
              </w:rPr>
            </w:pPr>
            <w:r>
              <w:rPr>
                <w:sz w:val="18"/>
                <w:szCs w:val="18"/>
              </w:rPr>
              <w:t>Ja</w:t>
            </w:r>
          </w:p>
        </w:tc>
        <w:tc>
          <w:tcPr>
            <w:tcW w:w="1134" w:type="dxa"/>
          </w:tcPr>
          <w:p w:rsidR="00532CA8" w:rsidP="00532CA8" w:rsidRDefault="00F40D65" w14:paraId="0D646F96" w14:textId="47807B97">
            <w:pPr>
              <w:widowControl w:val="0"/>
              <w:spacing w:line="240" w:lineRule="atLeast"/>
              <w:rPr>
                <w:sz w:val="18"/>
                <w:szCs w:val="18"/>
              </w:rPr>
            </w:pPr>
            <w:r>
              <w:rPr>
                <w:sz w:val="18"/>
                <w:szCs w:val="18"/>
              </w:rPr>
              <w:t>Ja</w:t>
            </w:r>
          </w:p>
        </w:tc>
        <w:tc>
          <w:tcPr>
            <w:tcW w:w="1276" w:type="dxa"/>
          </w:tcPr>
          <w:p w:rsidR="00532CA8" w:rsidP="00532CA8" w:rsidRDefault="00532CA8" w14:paraId="28CC0EE8" w14:textId="2E5F025A">
            <w:pPr>
              <w:widowControl w:val="0"/>
              <w:spacing w:line="240" w:lineRule="atLeast"/>
              <w:rPr>
                <w:sz w:val="18"/>
                <w:szCs w:val="18"/>
              </w:rPr>
            </w:pPr>
            <w:r>
              <w:rPr>
                <w:sz w:val="18"/>
                <w:szCs w:val="18"/>
              </w:rPr>
              <w:t>Nee</w:t>
            </w:r>
          </w:p>
        </w:tc>
        <w:tc>
          <w:tcPr>
            <w:tcW w:w="1417" w:type="dxa"/>
          </w:tcPr>
          <w:p w:rsidR="00532CA8" w:rsidP="00532CA8" w:rsidRDefault="0038610E" w14:paraId="3764AFC6" w14:textId="66B85ACD">
            <w:pPr>
              <w:widowControl w:val="0"/>
              <w:spacing w:line="240" w:lineRule="atLeast"/>
              <w:rPr>
                <w:sz w:val="18"/>
                <w:szCs w:val="18"/>
              </w:rPr>
            </w:pPr>
            <w:r>
              <w:rPr>
                <w:sz w:val="18"/>
                <w:szCs w:val="18"/>
              </w:rPr>
              <w:t>-</w:t>
            </w:r>
          </w:p>
        </w:tc>
        <w:tc>
          <w:tcPr>
            <w:tcW w:w="1418" w:type="dxa"/>
          </w:tcPr>
          <w:p w:rsidRPr="001E4804" w:rsidR="00532CA8" w:rsidP="00532CA8" w:rsidRDefault="00532CA8" w14:paraId="2CB82270" w14:textId="3099E29C">
            <w:pPr>
              <w:widowControl w:val="0"/>
              <w:spacing w:line="240" w:lineRule="atLeast"/>
              <w:rPr>
                <w:b/>
                <w:bCs/>
                <w:sz w:val="18"/>
                <w:szCs w:val="18"/>
              </w:rPr>
            </w:pPr>
            <w:r w:rsidRPr="001E4804">
              <w:rPr>
                <w:b/>
                <w:bCs/>
                <w:sz w:val="18"/>
                <w:szCs w:val="18"/>
              </w:rPr>
              <w:t>DNB</w:t>
            </w:r>
          </w:p>
        </w:tc>
      </w:tr>
      <w:tr w:rsidR="00532CA8" w:rsidTr="0038610E" w14:paraId="635C8261" w14:textId="77777777">
        <w:tc>
          <w:tcPr>
            <w:tcW w:w="928" w:type="dxa"/>
          </w:tcPr>
          <w:p w:rsidR="00532CA8" w:rsidP="00532CA8" w:rsidRDefault="00532CA8" w14:paraId="097FED48" w14:textId="2B9D6F84">
            <w:pPr>
              <w:widowControl w:val="0"/>
              <w:spacing w:line="240" w:lineRule="atLeast"/>
              <w:rPr>
                <w:sz w:val="18"/>
                <w:szCs w:val="18"/>
              </w:rPr>
            </w:pPr>
            <w:r>
              <w:rPr>
                <w:sz w:val="18"/>
                <w:szCs w:val="18"/>
              </w:rPr>
              <w:t>Holding</w:t>
            </w:r>
          </w:p>
        </w:tc>
        <w:tc>
          <w:tcPr>
            <w:tcW w:w="1052" w:type="dxa"/>
          </w:tcPr>
          <w:p w:rsidR="00532CA8" w:rsidP="00532CA8" w:rsidRDefault="00532CA8" w14:paraId="0BBE8853" w14:textId="2F98289A">
            <w:pPr>
              <w:widowControl w:val="0"/>
              <w:spacing w:line="240" w:lineRule="atLeast"/>
              <w:rPr>
                <w:sz w:val="18"/>
                <w:szCs w:val="18"/>
              </w:rPr>
            </w:pPr>
            <w:r>
              <w:rPr>
                <w:sz w:val="18"/>
                <w:szCs w:val="18"/>
              </w:rPr>
              <w:t>Nee</w:t>
            </w:r>
          </w:p>
        </w:tc>
        <w:tc>
          <w:tcPr>
            <w:tcW w:w="1134" w:type="dxa"/>
          </w:tcPr>
          <w:p w:rsidR="00532CA8" w:rsidP="00532CA8" w:rsidRDefault="00532CA8" w14:paraId="0A036AF5" w14:textId="21052BE2">
            <w:pPr>
              <w:widowControl w:val="0"/>
              <w:spacing w:line="240" w:lineRule="atLeast"/>
              <w:rPr>
                <w:sz w:val="18"/>
                <w:szCs w:val="18"/>
              </w:rPr>
            </w:pPr>
            <w:r>
              <w:rPr>
                <w:sz w:val="18"/>
                <w:szCs w:val="18"/>
              </w:rPr>
              <w:t>Ja</w:t>
            </w:r>
          </w:p>
        </w:tc>
        <w:tc>
          <w:tcPr>
            <w:tcW w:w="1276" w:type="dxa"/>
          </w:tcPr>
          <w:p w:rsidR="00532CA8" w:rsidP="00532CA8" w:rsidRDefault="00532CA8" w14:paraId="48C7C77A" w14:textId="67300D73">
            <w:pPr>
              <w:widowControl w:val="0"/>
              <w:spacing w:line="240" w:lineRule="atLeast"/>
              <w:rPr>
                <w:sz w:val="18"/>
                <w:szCs w:val="18"/>
              </w:rPr>
            </w:pPr>
            <w:r>
              <w:rPr>
                <w:sz w:val="18"/>
                <w:szCs w:val="18"/>
              </w:rPr>
              <w:t>Ja</w:t>
            </w:r>
          </w:p>
        </w:tc>
        <w:tc>
          <w:tcPr>
            <w:tcW w:w="1417" w:type="dxa"/>
          </w:tcPr>
          <w:p w:rsidR="00532CA8" w:rsidP="00532CA8" w:rsidRDefault="0038610E" w14:paraId="333C75DA" w14:textId="49804F07">
            <w:pPr>
              <w:widowControl w:val="0"/>
              <w:spacing w:line="240" w:lineRule="atLeast"/>
              <w:rPr>
                <w:sz w:val="18"/>
                <w:szCs w:val="18"/>
              </w:rPr>
            </w:pPr>
            <w:r>
              <w:rPr>
                <w:sz w:val="18"/>
                <w:szCs w:val="18"/>
              </w:rPr>
              <w:t>-</w:t>
            </w:r>
          </w:p>
        </w:tc>
        <w:tc>
          <w:tcPr>
            <w:tcW w:w="1418" w:type="dxa"/>
          </w:tcPr>
          <w:p w:rsidRPr="001E4804" w:rsidR="00532CA8" w:rsidP="00532CA8" w:rsidRDefault="00532CA8" w14:paraId="31820091" w14:textId="0938D91C">
            <w:pPr>
              <w:widowControl w:val="0"/>
              <w:spacing w:line="240" w:lineRule="atLeast"/>
              <w:rPr>
                <w:b/>
                <w:bCs/>
                <w:sz w:val="18"/>
                <w:szCs w:val="18"/>
              </w:rPr>
            </w:pPr>
            <w:r w:rsidRPr="001E4804">
              <w:rPr>
                <w:b/>
                <w:bCs/>
                <w:sz w:val="18"/>
                <w:szCs w:val="18"/>
              </w:rPr>
              <w:t>ECB</w:t>
            </w:r>
          </w:p>
        </w:tc>
      </w:tr>
      <w:tr w:rsidR="00532CA8" w:rsidTr="0038610E" w14:paraId="206E3AF7" w14:textId="77777777">
        <w:tc>
          <w:tcPr>
            <w:tcW w:w="928" w:type="dxa"/>
          </w:tcPr>
          <w:p w:rsidR="00532CA8" w:rsidP="00532CA8" w:rsidRDefault="00532CA8" w14:paraId="23DE55FB" w14:textId="1367AEAE">
            <w:pPr>
              <w:widowControl w:val="0"/>
              <w:spacing w:line="240" w:lineRule="atLeast"/>
              <w:rPr>
                <w:sz w:val="18"/>
                <w:szCs w:val="18"/>
              </w:rPr>
            </w:pPr>
            <w:r>
              <w:rPr>
                <w:sz w:val="18"/>
                <w:szCs w:val="18"/>
              </w:rPr>
              <w:t>Holding</w:t>
            </w:r>
          </w:p>
        </w:tc>
        <w:tc>
          <w:tcPr>
            <w:tcW w:w="1052" w:type="dxa"/>
          </w:tcPr>
          <w:p w:rsidR="00532CA8" w:rsidP="00532CA8" w:rsidRDefault="00532CA8" w14:paraId="239535DB" w14:textId="0BA51557">
            <w:pPr>
              <w:widowControl w:val="0"/>
              <w:spacing w:line="240" w:lineRule="atLeast"/>
              <w:rPr>
                <w:sz w:val="18"/>
                <w:szCs w:val="18"/>
              </w:rPr>
            </w:pPr>
            <w:r>
              <w:rPr>
                <w:sz w:val="18"/>
                <w:szCs w:val="18"/>
              </w:rPr>
              <w:t>Nee</w:t>
            </w:r>
          </w:p>
        </w:tc>
        <w:tc>
          <w:tcPr>
            <w:tcW w:w="1134" w:type="dxa"/>
          </w:tcPr>
          <w:p w:rsidR="00532CA8" w:rsidP="00532CA8" w:rsidRDefault="00532CA8" w14:paraId="65207971" w14:textId="411A208A">
            <w:pPr>
              <w:widowControl w:val="0"/>
              <w:spacing w:line="240" w:lineRule="atLeast"/>
              <w:rPr>
                <w:sz w:val="18"/>
                <w:szCs w:val="18"/>
              </w:rPr>
            </w:pPr>
            <w:r>
              <w:rPr>
                <w:sz w:val="18"/>
                <w:szCs w:val="18"/>
              </w:rPr>
              <w:t>Ja</w:t>
            </w:r>
          </w:p>
        </w:tc>
        <w:tc>
          <w:tcPr>
            <w:tcW w:w="1276" w:type="dxa"/>
          </w:tcPr>
          <w:p w:rsidR="00532CA8" w:rsidP="00532CA8" w:rsidRDefault="00532CA8" w14:paraId="08EBF557" w14:textId="57D7DF07">
            <w:pPr>
              <w:widowControl w:val="0"/>
              <w:spacing w:line="240" w:lineRule="atLeast"/>
              <w:rPr>
                <w:sz w:val="18"/>
                <w:szCs w:val="18"/>
              </w:rPr>
            </w:pPr>
            <w:r>
              <w:rPr>
                <w:sz w:val="18"/>
                <w:szCs w:val="18"/>
              </w:rPr>
              <w:t>Nee</w:t>
            </w:r>
          </w:p>
        </w:tc>
        <w:tc>
          <w:tcPr>
            <w:tcW w:w="1417" w:type="dxa"/>
          </w:tcPr>
          <w:p w:rsidR="00532CA8" w:rsidP="00532CA8" w:rsidRDefault="00532CA8" w14:paraId="5F2FAD39" w14:textId="74E05BCD">
            <w:pPr>
              <w:widowControl w:val="0"/>
              <w:spacing w:line="240" w:lineRule="atLeast"/>
              <w:rPr>
                <w:sz w:val="18"/>
                <w:szCs w:val="18"/>
              </w:rPr>
            </w:pPr>
            <w:r>
              <w:rPr>
                <w:sz w:val="18"/>
                <w:szCs w:val="18"/>
              </w:rPr>
              <w:t>Ja</w:t>
            </w:r>
          </w:p>
        </w:tc>
        <w:tc>
          <w:tcPr>
            <w:tcW w:w="1418" w:type="dxa"/>
          </w:tcPr>
          <w:p w:rsidRPr="001E4804" w:rsidR="00532CA8" w:rsidP="00532CA8" w:rsidRDefault="00532CA8" w14:paraId="43153A66" w14:textId="33293D99">
            <w:pPr>
              <w:widowControl w:val="0"/>
              <w:spacing w:line="240" w:lineRule="atLeast"/>
              <w:rPr>
                <w:b/>
                <w:bCs/>
                <w:sz w:val="18"/>
                <w:szCs w:val="18"/>
              </w:rPr>
            </w:pPr>
            <w:r w:rsidRPr="001E4804">
              <w:rPr>
                <w:b/>
                <w:bCs/>
                <w:sz w:val="18"/>
                <w:szCs w:val="18"/>
              </w:rPr>
              <w:t>DNB</w:t>
            </w:r>
          </w:p>
        </w:tc>
      </w:tr>
      <w:tr w:rsidR="00532CA8" w:rsidTr="0038610E" w14:paraId="605967FE" w14:textId="77777777">
        <w:tc>
          <w:tcPr>
            <w:tcW w:w="928" w:type="dxa"/>
          </w:tcPr>
          <w:p w:rsidR="00532CA8" w:rsidP="00532CA8" w:rsidRDefault="00532CA8" w14:paraId="3A07316F" w14:textId="49BA0008">
            <w:pPr>
              <w:widowControl w:val="0"/>
              <w:spacing w:line="240" w:lineRule="atLeast"/>
              <w:rPr>
                <w:sz w:val="18"/>
                <w:szCs w:val="18"/>
              </w:rPr>
            </w:pPr>
            <w:r>
              <w:rPr>
                <w:sz w:val="18"/>
                <w:szCs w:val="18"/>
              </w:rPr>
              <w:t>Holding</w:t>
            </w:r>
          </w:p>
        </w:tc>
        <w:tc>
          <w:tcPr>
            <w:tcW w:w="1052" w:type="dxa"/>
          </w:tcPr>
          <w:p w:rsidR="00532CA8" w:rsidP="00532CA8" w:rsidRDefault="00532CA8" w14:paraId="4100456B" w14:textId="7FA01223">
            <w:pPr>
              <w:widowControl w:val="0"/>
              <w:spacing w:line="240" w:lineRule="atLeast"/>
              <w:rPr>
                <w:sz w:val="18"/>
                <w:szCs w:val="18"/>
              </w:rPr>
            </w:pPr>
            <w:r>
              <w:rPr>
                <w:sz w:val="18"/>
                <w:szCs w:val="18"/>
              </w:rPr>
              <w:t>Nee</w:t>
            </w:r>
          </w:p>
        </w:tc>
        <w:tc>
          <w:tcPr>
            <w:tcW w:w="1134" w:type="dxa"/>
          </w:tcPr>
          <w:p w:rsidR="00532CA8" w:rsidP="00532CA8" w:rsidRDefault="00532CA8" w14:paraId="73A75250" w14:textId="36683153">
            <w:pPr>
              <w:widowControl w:val="0"/>
              <w:spacing w:line="240" w:lineRule="atLeast"/>
              <w:rPr>
                <w:sz w:val="18"/>
                <w:szCs w:val="18"/>
              </w:rPr>
            </w:pPr>
            <w:r>
              <w:rPr>
                <w:sz w:val="18"/>
                <w:szCs w:val="18"/>
              </w:rPr>
              <w:t>Ja</w:t>
            </w:r>
          </w:p>
        </w:tc>
        <w:tc>
          <w:tcPr>
            <w:tcW w:w="1276" w:type="dxa"/>
          </w:tcPr>
          <w:p w:rsidR="00532CA8" w:rsidP="00532CA8" w:rsidRDefault="00532CA8" w14:paraId="2DD5DFB0" w14:textId="407656D6">
            <w:pPr>
              <w:widowControl w:val="0"/>
              <w:spacing w:line="240" w:lineRule="atLeast"/>
              <w:rPr>
                <w:sz w:val="18"/>
                <w:szCs w:val="18"/>
              </w:rPr>
            </w:pPr>
            <w:r>
              <w:rPr>
                <w:sz w:val="18"/>
                <w:szCs w:val="18"/>
              </w:rPr>
              <w:t>Nee</w:t>
            </w:r>
          </w:p>
        </w:tc>
        <w:tc>
          <w:tcPr>
            <w:tcW w:w="1417" w:type="dxa"/>
          </w:tcPr>
          <w:p w:rsidR="00532CA8" w:rsidP="00532CA8" w:rsidRDefault="00532CA8" w14:paraId="00F33763" w14:textId="19079262">
            <w:pPr>
              <w:widowControl w:val="0"/>
              <w:spacing w:line="240" w:lineRule="atLeast"/>
              <w:rPr>
                <w:sz w:val="18"/>
                <w:szCs w:val="18"/>
              </w:rPr>
            </w:pPr>
            <w:r>
              <w:rPr>
                <w:sz w:val="18"/>
                <w:szCs w:val="18"/>
              </w:rPr>
              <w:t>Nee</w:t>
            </w:r>
          </w:p>
        </w:tc>
        <w:tc>
          <w:tcPr>
            <w:tcW w:w="1418" w:type="dxa"/>
          </w:tcPr>
          <w:p w:rsidRPr="001E4804" w:rsidR="00532CA8" w:rsidP="00532CA8" w:rsidRDefault="00532CA8" w14:paraId="0DA07948" w14:textId="02A6C823">
            <w:pPr>
              <w:widowControl w:val="0"/>
              <w:spacing w:line="240" w:lineRule="atLeast"/>
              <w:rPr>
                <w:b/>
                <w:bCs/>
                <w:sz w:val="18"/>
                <w:szCs w:val="18"/>
              </w:rPr>
            </w:pPr>
            <w:r w:rsidRPr="001E4804">
              <w:rPr>
                <w:b/>
                <w:bCs/>
                <w:sz w:val="18"/>
                <w:szCs w:val="18"/>
              </w:rPr>
              <w:t>NCA</w:t>
            </w:r>
          </w:p>
        </w:tc>
      </w:tr>
      <w:tr w:rsidR="00532CA8" w:rsidTr="0038610E" w14:paraId="78DB67D6" w14:textId="77777777">
        <w:tc>
          <w:tcPr>
            <w:tcW w:w="928" w:type="dxa"/>
          </w:tcPr>
          <w:p w:rsidR="00532CA8" w:rsidP="00532CA8" w:rsidRDefault="00532CA8" w14:paraId="0859B201" w14:textId="1A17373E">
            <w:pPr>
              <w:widowControl w:val="0"/>
              <w:spacing w:line="240" w:lineRule="atLeast"/>
              <w:rPr>
                <w:sz w:val="18"/>
                <w:szCs w:val="18"/>
              </w:rPr>
            </w:pPr>
            <w:r>
              <w:rPr>
                <w:sz w:val="18"/>
                <w:szCs w:val="18"/>
              </w:rPr>
              <w:t>Holding</w:t>
            </w:r>
          </w:p>
        </w:tc>
        <w:tc>
          <w:tcPr>
            <w:tcW w:w="1052" w:type="dxa"/>
          </w:tcPr>
          <w:p w:rsidR="00532CA8" w:rsidP="00532CA8" w:rsidRDefault="00532CA8" w14:paraId="740E78F9" w14:textId="07AF048B">
            <w:pPr>
              <w:widowControl w:val="0"/>
              <w:spacing w:line="240" w:lineRule="atLeast"/>
              <w:rPr>
                <w:sz w:val="18"/>
                <w:szCs w:val="18"/>
              </w:rPr>
            </w:pPr>
            <w:r>
              <w:rPr>
                <w:sz w:val="18"/>
                <w:szCs w:val="18"/>
              </w:rPr>
              <w:t>Nee</w:t>
            </w:r>
          </w:p>
        </w:tc>
        <w:tc>
          <w:tcPr>
            <w:tcW w:w="1134" w:type="dxa"/>
          </w:tcPr>
          <w:p w:rsidR="00532CA8" w:rsidP="00532CA8" w:rsidRDefault="00532CA8" w14:paraId="4716D19C" w14:textId="6CB2510A">
            <w:pPr>
              <w:widowControl w:val="0"/>
              <w:spacing w:line="240" w:lineRule="atLeast"/>
              <w:rPr>
                <w:sz w:val="18"/>
                <w:szCs w:val="18"/>
              </w:rPr>
            </w:pPr>
            <w:r>
              <w:rPr>
                <w:sz w:val="18"/>
                <w:szCs w:val="18"/>
              </w:rPr>
              <w:t>Nee</w:t>
            </w:r>
          </w:p>
        </w:tc>
        <w:tc>
          <w:tcPr>
            <w:tcW w:w="1276" w:type="dxa"/>
          </w:tcPr>
          <w:p w:rsidR="00532CA8" w:rsidP="00532CA8" w:rsidRDefault="0038610E" w14:paraId="72C5DF9C" w14:textId="0F020A26">
            <w:pPr>
              <w:widowControl w:val="0"/>
              <w:spacing w:line="240" w:lineRule="atLeast"/>
              <w:rPr>
                <w:sz w:val="18"/>
                <w:szCs w:val="18"/>
              </w:rPr>
            </w:pPr>
            <w:r>
              <w:rPr>
                <w:sz w:val="18"/>
                <w:szCs w:val="18"/>
              </w:rPr>
              <w:t>Ja</w:t>
            </w:r>
          </w:p>
        </w:tc>
        <w:tc>
          <w:tcPr>
            <w:tcW w:w="1417" w:type="dxa"/>
          </w:tcPr>
          <w:p w:rsidR="00532CA8" w:rsidP="00532CA8" w:rsidRDefault="0038610E" w14:paraId="2C2051D1" w14:textId="5C4C0FF9">
            <w:pPr>
              <w:widowControl w:val="0"/>
              <w:spacing w:line="240" w:lineRule="atLeast"/>
              <w:rPr>
                <w:sz w:val="18"/>
                <w:szCs w:val="18"/>
              </w:rPr>
            </w:pPr>
            <w:r>
              <w:rPr>
                <w:sz w:val="18"/>
                <w:szCs w:val="18"/>
              </w:rPr>
              <w:t>-</w:t>
            </w:r>
          </w:p>
        </w:tc>
        <w:tc>
          <w:tcPr>
            <w:tcW w:w="1418" w:type="dxa"/>
          </w:tcPr>
          <w:p w:rsidRPr="001E4804" w:rsidR="00532CA8" w:rsidP="00532CA8" w:rsidRDefault="0038610E" w14:paraId="6EEF995D" w14:textId="1CA44DB3">
            <w:pPr>
              <w:widowControl w:val="0"/>
              <w:spacing w:line="240" w:lineRule="atLeast"/>
              <w:rPr>
                <w:b/>
                <w:bCs/>
                <w:sz w:val="18"/>
                <w:szCs w:val="18"/>
              </w:rPr>
            </w:pPr>
            <w:r w:rsidRPr="001E4804">
              <w:rPr>
                <w:b/>
                <w:bCs/>
                <w:sz w:val="18"/>
                <w:szCs w:val="18"/>
              </w:rPr>
              <w:t>ECB</w:t>
            </w:r>
          </w:p>
        </w:tc>
      </w:tr>
      <w:tr w:rsidR="00532CA8" w:rsidTr="0038610E" w14:paraId="50AF3FCB" w14:textId="77777777">
        <w:tc>
          <w:tcPr>
            <w:tcW w:w="928" w:type="dxa"/>
          </w:tcPr>
          <w:p w:rsidR="00532CA8" w:rsidP="00532CA8" w:rsidRDefault="00532CA8" w14:paraId="142B820B" w14:textId="44B8B999">
            <w:pPr>
              <w:widowControl w:val="0"/>
              <w:spacing w:line="240" w:lineRule="atLeast"/>
              <w:rPr>
                <w:sz w:val="18"/>
                <w:szCs w:val="18"/>
              </w:rPr>
            </w:pPr>
            <w:r>
              <w:rPr>
                <w:sz w:val="18"/>
                <w:szCs w:val="18"/>
              </w:rPr>
              <w:t>Holding</w:t>
            </w:r>
          </w:p>
        </w:tc>
        <w:tc>
          <w:tcPr>
            <w:tcW w:w="1052" w:type="dxa"/>
          </w:tcPr>
          <w:p w:rsidR="00532CA8" w:rsidP="00532CA8" w:rsidRDefault="00532CA8" w14:paraId="642898DD" w14:textId="7DB4F107">
            <w:pPr>
              <w:widowControl w:val="0"/>
              <w:spacing w:line="240" w:lineRule="atLeast"/>
              <w:rPr>
                <w:sz w:val="18"/>
                <w:szCs w:val="18"/>
              </w:rPr>
            </w:pPr>
            <w:r>
              <w:rPr>
                <w:sz w:val="18"/>
                <w:szCs w:val="18"/>
              </w:rPr>
              <w:t>Nee</w:t>
            </w:r>
          </w:p>
        </w:tc>
        <w:tc>
          <w:tcPr>
            <w:tcW w:w="1134" w:type="dxa"/>
          </w:tcPr>
          <w:p w:rsidR="00532CA8" w:rsidP="00532CA8" w:rsidRDefault="00532CA8" w14:paraId="56A57401" w14:textId="48CF9B61">
            <w:pPr>
              <w:widowControl w:val="0"/>
              <w:spacing w:line="240" w:lineRule="atLeast"/>
              <w:rPr>
                <w:sz w:val="18"/>
                <w:szCs w:val="18"/>
              </w:rPr>
            </w:pPr>
            <w:r>
              <w:rPr>
                <w:sz w:val="18"/>
                <w:szCs w:val="18"/>
              </w:rPr>
              <w:t>Nee</w:t>
            </w:r>
          </w:p>
        </w:tc>
        <w:tc>
          <w:tcPr>
            <w:tcW w:w="1276" w:type="dxa"/>
          </w:tcPr>
          <w:p w:rsidR="00532CA8" w:rsidP="00532CA8" w:rsidRDefault="0038610E" w14:paraId="19A6F60E" w14:textId="32867C29">
            <w:pPr>
              <w:widowControl w:val="0"/>
              <w:spacing w:line="240" w:lineRule="atLeast"/>
              <w:rPr>
                <w:sz w:val="18"/>
                <w:szCs w:val="18"/>
              </w:rPr>
            </w:pPr>
            <w:r>
              <w:rPr>
                <w:sz w:val="18"/>
                <w:szCs w:val="18"/>
              </w:rPr>
              <w:t>Nee</w:t>
            </w:r>
          </w:p>
        </w:tc>
        <w:tc>
          <w:tcPr>
            <w:tcW w:w="1417" w:type="dxa"/>
          </w:tcPr>
          <w:p w:rsidR="00532CA8" w:rsidP="00532CA8" w:rsidRDefault="0038610E" w14:paraId="353A294A" w14:textId="2DEACF03">
            <w:pPr>
              <w:widowControl w:val="0"/>
              <w:spacing w:line="240" w:lineRule="atLeast"/>
              <w:rPr>
                <w:sz w:val="18"/>
                <w:szCs w:val="18"/>
              </w:rPr>
            </w:pPr>
            <w:r>
              <w:rPr>
                <w:sz w:val="18"/>
                <w:szCs w:val="18"/>
              </w:rPr>
              <w:t>Ja</w:t>
            </w:r>
          </w:p>
        </w:tc>
        <w:tc>
          <w:tcPr>
            <w:tcW w:w="1418" w:type="dxa"/>
          </w:tcPr>
          <w:p w:rsidRPr="001E4804" w:rsidR="00532CA8" w:rsidP="00532CA8" w:rsidRDefault="0038610E" w14:paraId="134ECA30" w14:textId="7C9E3141">
            <w:pPr>
              <w:widowControl w:val="0"/>
              <w:spacing w:line="240" w:lineRule="atLeast"/>
              <w:rPr>
                <w:b/>
                <w:bCs/>
                <w:sz w:val="18"/>
                <w:szCs w:val="18"/>
              </w:rPr>
            </w:pPr>
            <w:r w:rsidRPr="001E4804">
              <w:rPr>
                <w:b/>
                <w:bCs/>
                <w:sz w:val="18"/>
                <w:szCs w:val="18"/>
              </w:rPr>
              <w:t>DNB</w:t>
            </w:r>
          </w:p>
        </w:tc>
      </w:tr>
      <w:tr w:rsidR="00532CA8" w:rsidTr="0038610E" w14:paraId="22F58415" w14:textId="77777777">
        <w:tc>
          <w:tcPr>
            <w:tcW w:w="928" w:type="dxa"/>
          </w:tcPr>
          <w:p w:rsidR="00532CA8" w:rsidP="00532CA8" w:rsidRDefault="00532CA8" w14:paraId="6E2F3CF7" w14:textId="2E91DB9E">
            <w:pPr>
              <w:widowControl w:val="0"/>
              <w:spacing w:line="240" w:lineRule="atLeast"/>
              <w:rPr>
                <w:sz w:val="18"/>
                <w:szCs w:val="18"/>
              </w:rPr>
            </w:pPr>
            <w:r>
              <w:rPr>
                <w:sz w:val="18"/>
                <w:szCs w:val="18"/>
              </w:rPr>
              <w:t>Holding</w:t>
            </w:r>
          </w:p>
        </w:tc>
        <w:tc>
          <w:tcPr>
            <w:tcW w:w="1052" w:type="dxa"/>
          </w:tcPr>
          <w:p w:rsidR="00532CA8" w:rsidP="00532CA8" w:rsidRDefault="00532CA8" w14:paraId="2542B0FD" w14:textId="2CA3060E">
            <w:pPr>
              <w:widowControl w:val="0"/>
              <w:spacing w:line="240" w:lineRule="atLeast"/>
              <w:rPr>
                <w:sz w:val="18"/>
                <w:szCs w:val="18"/>
              </w:rPr>
            </w:pPr>
            <w:r>
              <w:rPr>
                <w:sz w:val="18"/>
                <w:szCs w:val="18"/>
              </w:rPr>
              <w:t>Nee</w:t>
            </w:r>
          </w:p>
        </w:tc>
        <w:tc>
          <w:tcPr>
            <w:tcW w:w="1134" w:type="dxa"/>
          </w:tcPr>
          <w:p w:rsidR="00532CA8" w:rsidP="00532CA8" w:rsidRDefault="00532CA8" w14:paraId="518B2D6C" w14:textId="5D8A6871">
            <w:pPr>
              <w:widowControl w:val="0"/>
              <w:spacing w:line="240" w:lineRule="atLeast"/>
              <w:rPr>
                <w:sz w:val="18"/>
                <w:szCs w:val="18"/>
              </w:rPr>
            </w:pPr>
            <w:r>
              <w:rPr>
                <w:sz w:val="18"/>
                <w:szCs w:val="18"/>
              </w:rPr>
              <w:t>Nee</w:t>
            </w:r>
          </w:p>
        </w:tc>
        <w:tc>
          <w:tcPr>
            <w:tcW w:w="1276" w:type="dxa"/>
          </w:tcPr>
          <w:p w:rsidR="00532CA8" w:rsidP="00532CA8" w:rsidRDefault="0038610E" w14:paraId="200666D5" w14:textId="27607782">
            <w:pPr>
              <w:widowControl w:val="0"/>
              <w:spacing w:line="240" w:lineRule="atLeast"/>
              <w:rPr>
                <w:sz w:val="18"/>
                <w:szCs w:val="18"/>
              </w:rPr>
            </w:pPr>
            <w:r>
              <w:rPr>
                <w:sz w:val="18"/>
                <w:szCs w:val="18"/>
              </w:rPr>
              <w:t>Nee</w:t>
            </w:r>
          </w:p>
        </w:tc>
        <w:tc>
          <w:tcPr>
            <w:tcW w:w="1417" w:type="dxa"/>
          </w:tcPr>
          <w:p w:rsidR="00532CA8" w:rsidP="00532CA8" w:rsidRDefault="0038610E" w14:paraId="30A3B7A5" w14:textId="32E0095D">
            <w:pPr>
              <w:widowControl w:val="0"/>
              <w:spacing w:line="240" w:lineRule="atLeast"/>
              <w:rPr>
                <w:sz w:val="18"/>
                <w:szCs w:val="18"/>
              </w:rPr>
            </w:pPr>
            <w:r>
              <w:rPr>
                <w:sz w:val="18"/>
                <w:szCs w:val="18"/>
              </w:rPr>
              <w:t>Nee</w:t>
            </w:r>
          </w:p>
        </w:tc>
        <w:tc>
          <w:tcPr>
            <w:tcW w:w="1418" w:type="dxa"/>
          </w:tcPr>
          <w:p w:rsidRPr="001E4804" w:rsidR="00532CA8" w:rsidP="00532CA8" w:rsidRDefault="0038610E" w14:paraId="13C90C9C" w14:textId="0E9F773D">
            <w:pPr>
              <w:widowControl w:val="0"/>
              <w:spacing w:line="240" w:lineRule="atLeast"/>
              <w:rPr>
                <w:b/>
                <w:bCs/>
                <w:sz w:val="18"/>
                <w:szCs w:val="18"/>
              </w:rPr>
            </w:pPr>
            <w:r w:rsidRPr="001E4804">
              <w:rPr>
                <w:b/>
                <w:bCs/>
                <w:sz w:val="18"/>
                <w:szCs w:val="18"/>
              </w:rPr>
              <w:t>NCA</w:t>
            </w:r>
          </w:p>
        </w:tc>
      </w:tr>
    </w:tbl>
    <w:p w:rsidRPr="001506F4" w:rsidR="00B70F3F" w:rsidP="00433782" w:rsidRDefault="001506F4" w14:paraId="1425E00B" w14:textId="7AD2D430">
      <w:pPr>
        <w:widowControl w:val="0"/>
        <w:spacing w:line="240" w:lineRule="atLeast"/>
      </w:pPr>
      <w:r w:rsidRPr="001506F4">
        <w:t>Tabel 3: Overzicht geconsolideerd toezicht op een bank in Nederland</w:t>
      </w:r>
    </w:p>
    <w:p w:rsidR="001506F4" w:rsidP="00433782" w:rsidRDefault="001506F4" w14:paraId="79582311" w14:textId="77777777">
      <w:pPr>
        <w:widowControl w:val="0"/>
        <w:spacing w:line="240" w:lineRule="atLeast"/>
        <w:rPr>
          <w:sz w:val="18"/>
          <w:szCs w:val="18"/>
        </w:rPr>
      </w:pPr>
    </w:p>
    <w:p w:rsidR="00433782" w:rsidP="00433782" w:rsidRDefault="00495E17" w14:paraId="19C676D9" w14:textId="1800D488">
      <w:pPr>
        <w:widowControl w:val="0"/>
        <w:spacing w:line="240" w:lineRule="atLeast"/>
        <w:rPr>
          <w:sz w:val="18"/>
          <w:szCs w:val="18"/>
        </w:rPr>
      </w:pPr>
      <w:r>
        <w:rPr>
          <w:sz w:val="18"/>
          <w:szCs w:val="18"/>
        </w:rPr>
        <w:t xml:space="preserve">In artikel 3:96a, eerste lid, onderdeel a, Wft wordt gesproken over in aanmerking komend kapitaal. </w:t>
      </w:r>
      <w:r w:rsidR="00433782">
        <w:rPr>
          <w:sz w:val="18"/>
          <w:szCs w:val="18"/>
        </w:rPr>
        <w:t xml:space="preserve">In aanmerking komend kapitaal volgt de definitie in de CRR in artikel 4, eerste lid, onderdeel 71. In die definitie zijn twee vormen opgenomen van in aanmerking komend kapitaal. Het betreft </w:t>
      </w:r>
      <w:r w:rsidR="00736EA4">
        <w:rPr>
          <w:sz w:val="18"/>
          <w:szCs w:val="18"/>
        </w:rPr>
        <w:t>bij artikel 3:96a (en ook 3:96c) Wft</w:t>
      </w:r>
      <w:r w:rsidR="00433782">
        <w:rPr>
          <w:sz w:val="18"/>
          <w:szCs w:val="18"/>
        </w:rPr>
        <w:t xml:space="preserve"> de eerste vorm onder a), namelijk die voor de toepassing van deel 2, titel III, CRR.</w:t>
      </w:r>
      <w:r w:rsidR="00193A5A">
        <w:rPr>
          <w:sz w:val="18"/>
          <w:szCs w:val="18"/>
        </w:rPr>
        <w:t xml:space="preserve"> Hierbij moet opgemerkt worden dat een verwerving van 15% van het in aanmerking komend kapitaal een nieuwe verwerving moet zijn. Als er reeds een deelneming is in een onderneming van bijvoorbeeld 11% en vanwege een kapitaalverlaging deze deelneming ineens 15% van het in aanmerking komend kapitaal bedraagt, dan geldt dit niet als een verwerving van een deelneming van betekenis in de zin van artikel 3:96a, eerste lid, onderdeel a (en 3:96c, eerste lid, onderdeel a,) Wft.</w:t>
      </w:r>
      <w:r w:rsidR="00B70F3F">
        <w:rPr>
          <w:sz w:val="18"/>
          <w:szCs w:val="18"/>
        </w:rPr>
        <w:t xml:space="preserve"> Ook een extra verwerving van minder dan 15% die de totale deelneming verhoog</w:t>
      </w:r>
      <w:r w:rsidR="007F010F">
        <w:rPr>
          <w:sz w:val="18"/>
          <w:szCs w:val="18"/>
        </w:rPr>
        <w:t>t</w:t>
      </w:r>
      <w:r w:rsidR="00B70F3F">
        <w:rPr>
          <w:sz w:val="18"/>
          <w:szCs w:val="18"/>
        </w:rPr>
        <w:t xml:space="preserve"> tot boven de grens van 15% van het in aanmerking komend kapitaal geldt niet als een verwerving van </w:t>
      </w:r>
      <w:r w:rsidR="007F010F">
        <w:rPr>
          <w:sz w:val="18"/>
          <w:szCs w:val="18"/>
        </w:rPr>
        <w:t xml:space="preserve">een </w:t>
      </w:r>
      <w:r w:rsidR="00B70F3F">
        <w:rPr>
          <w:sz w:val="18"/>
          <w:szCs w:val="18"/>
        </w:rPr>
        <w:t xml:space="preserve">deelneming </w:t>
      </w:r>
      <w:r w:rsidR="007472E1">
        <w:rPr>
          <w:sz w:val="18"/>
          <w:szCs w:val="18"/>
        </w:rPr>
        <w:t xml:space="preserve">van betekenis </w:t>
      </w:r>
      <w:r w:rsidR="00B70F3F">
        <w:rPr>
          <w:sz w:val="18"/>
          <w:szCs w:val="18"/>
        </w:rPr>
        <w:t>als bedoeld in artikel 3:96a, eerste lid, onderdeel a</w:t>
      </w:r>
      <w:r w:rsidR="00C9706C">
        <w:rPr>
          <w:sz w:val="18"/>
          <w:szCs w:val="18"/>
        </w:rPr>
        <w:t>,</w:t>
      </w:r>
      <w:r w:rsidR="00B70F3F">
        <w:rPr>
          <w:sz w:val="18"/>
          <w:szCs w:val="18"/>
        </w:rPr>
        <w:t xml:space="preserve"> (en 3:96c, eerste lid, onderdeel a,) Wft. Het </w:t>
      </w:r>
      <w:r w:rsidR="00736EA4">
        <w:rPr>
          <w:sz w:val="18"/>
          <w:szCs w:val="18"/>
        </w:rPr>
        <w:t xml:space="preserve">moet </w:t>
      </w:r>
      <w:r w:rsidR="00B70F3F">
        <w:rPr>
          <w:sz w:val="18"/>
          <w:szCs w:val="18"/>
        </w:rPr>
        <w:t xml:space="preserve">gaat om een initiële verwerving die 15% of meer </w:t>
      </w:r>
      <w:r w:rsidR="00957621">
        <w:rPr>
          <w:sz w:val="18"/>
          <w:szCs w:val="18"/>
        </w:rPr>
        <w:t xml:space="preserve">van het in aanmerking komend kapitaal </w:t>
      </w:r>
      <w:r w:rsidR="00B70F3F">
        <w:rPr>
          <w:sz w:val="18"/>
          <w:szCs w:val="18"/>
        </w:rPr>
        <w:t>bedraagt.</w:t>
      </w:r>
    </w:p>
    <w:p w:rsidR="00495E17" w:rsidP="00433782" w:rsidRDefault="00495E17" w14:paraId="38C84D40" w14:textId="77777777">
      <w:pPr>
        <w:widowControl w:val="0"/>
        <w:spacing w:line="240" w:lineRule="atLeast"/>
        <w:rPr>
          <w:sz w:val="18"/>
          <w:szCs w:val="18"/>
        </w:rPr>
      </w:pPr>
    </w:p>
    <w:p w:rsidR="00495E17" w:rsidP="00433782" w:rsidRDefault="00495E17" w14:paraId="2EC7954A" w14:textId="2A88D1B3">
      <w:pPr>
        <w:widowControl w:val="0"/>
        <w:spacing w:line="240" w:lineRule="atLeast"/>
        <w:rPr>
          <w:sz w:val="18"/>
          <w:szCs w:val="18"/>
        </w:rPr>
      </w:pPr>
      <w:r>
        <w:rPr>
          <w:sz w:val="18"/>
          <w:szCs w:val="18"/>
        </w:rPr>
        <w:t xml:space="preserve">In artikel 3:96a, eerste lid, onderdelen b en c, Wft wordt verwezen naar een fusie en een splitsing als bedoeld in artikel 27 nonies CRD. In dit artikel zijn verschillende vormen van fusies en splitsingen opgenomen. </w:t>
      </w:r>
      <w:r w:rsidR="00736EA4">
        <w:rPr>
          <w:sz w:val="18"/>
          <w:szCs w:val="18"/>
        </w:rPr>
        <w:t>Deze</w:t>
      </w:r>
      <w:r>
        <w:rPr>
          <w:sz w:val="18"/>
          <w:szCs w:val="18"/>
        </w:rPr>
        <w:t xml:space="preserve"> vormen </w:t>
      </w:r>
      <w:r w:rsidR="00736EA4">
        <w:rPr>
          <w:sz w:val="18"/>
          <w:szCs w:val="18"/>
        </w:rPr>
        <w:t xml:space="preserve">zijn </w:t>
      </w:r>
      <w:r>
        <w:rPr>
          <w:sz w:val="18"/>
          <w:szCs w:val="18"/>
        </w:rPr>
        <w:t>niet geheel gelijk aan de fusie en splitsing zoals bekend uit de Vennootschapsrichtlijn</w:t>
      </w:r>
      <w:r>
        <w:rPr>
          <w:rStyle w:val="Voetnootmarkering"/>
          <w:sz w:val="18"/>
          <w:szCs w:val="18"/>
        </w:rPr>
        <w:footnoteReference w:id="86"/>
      </w:r>
      <w:r>
        <w:rPr>
          <w:sz w:val="18"/>
          <w:szCs w:val="18"/>
        </w:rPr>
        <w:t xml:space="preserve"> en het BW. Hierom kan er niet naar nationale wetgeving verwezen worden voor duiding van deze fusies en zal de CRD hierin gevolgd moeten worden. In het geval van de fusie is het alleen nodig om een vvgb in Nederland aan te vragen indien de fuserende bank</w:t>
      </w:r>
      <w:r w:rsidR="00736EA4">
        <w:rPr>
          <w:sz w:val="18"/>
          <w:szCs w:val="18"/>
        </w:rPr>
        <w:t xml:space="preserve"> in Nederland</w:t>
      </w:r>
      <w:r>
        <w:rPr>
          <w:sz w:val="18"/>
          <w:szCs w:val="18"/>
        </w:rPr>
        <w:t xml:space="preserve"> ook de entiteit zal zijn die </w:t>
      </w:r>
      <w:r w:rsidR="004521D3">
        <w:rPr>
          <w:sz w:val="18"/>
          <w:szCs w:val="18"/>
        </w:rPr>
        <w:lastRenderedPageBreak/>
        <w:t>voortvloeit uit de fusie. Logischerwijs hoeft een bank die opgaat in een in een andere lidstaat gezetelde entiteit geen vvgb voor een fusie aan te vragen in Nederland, maar zal de entiteit</w:t>
      </w:r>
      <w:r w:rsidR="00D5018E">
        <w:rPr>
          <w:sz w:val="18"/>
          <w:szCs w:val="18"/>
        </w:rPr>
        <w:t xml:space="preserve"> in de andere lidstaat</w:t>
      </w:r>
      <w:r w:rsidR="004521D3">
        <w:rPr>
          <w:sz w:val="18"/>
          <w:szCs w:val="18"/>
        </w:rPr>
        <w:t>, indien zij een bank of (gemengde) financiële holding is, dat wel moeten doen bij haar toezichthouder</w:t>
      </w:r>
      <w:r w:rsidRPr="00D5018E" w:rsidR="00D5018E">
        <w:rPr>
          <w:sz w:val="18"/>
          <w:szCs w:val="18"/>
        </w:rPr>
        <w:t xml:space="preserve"> </w:t>
      </w:r>
      <w:r w:rsidR="00D5018E">
        <w:rPr>
          <w:sz w:val="18"/>
          <w:szCs w:val="18"/>
        </w:rPr>
        <w:t>in de andere lidstaat</w:t>
      </w:r>
      <w:r w:rsidR="004521D3">
        <w:rPr>
          <w:sz w:val="18"/>
          <w:szCs w:val="18"/>
        </w:rPr>
        <w:t>.</w:t>
      </w:r>
    </w:p>
    <w:p w:rsidR="00433782" w:rsidP="00433782" w:rsidRDefault="00433782" w14:paraId="7CCF45FB" w14:textId="77777777">
      <w:pPr>
        <w:widowControl w:val="0"/>
        <w:spacing w:line="240" w:lineRule="atLeast"/>
        <w:rPr>
          <w:sz w:val="18"/>
          <w:szCs w:val="18"/>
        </w:rPr>
      </w:pPr>
    </w:p>
    <w:p w:rsidR="004521D3" w:rsidP="004521D3" w:rsidRDefault="004521D3" w14:paraId="3193D183" w14:textId="74409545">
      <w:pPr>
        <w:widowControl w:val="0"/>
        <w:spacing w:line="240" w:lineRule="atLeast"/>
        <w:rPr>
          <w:sz w:val="18"/>
          <w:szCs w:val="18"/>
        </w:rPr>
      </w:pPr>
      <w:r>
        <w:rPr>
          <w:sz w:val="18"/>
          <w:szCs w:val="18"/>
        </w:rPr>
        <w:t>Het tweede lid van artikel 3:96a</w:t>
      </w:r>
      <w:r w:rsidR="00736EA4">
        <w:rPr>
          <w:sz w:val="18"/>
          <w:szCs w:val="18"/>
        </w:rPr>
        <w:t xml:space="preserve"> Wft</w:t>
      </w:r>
      <w:r>
        <w:rPr>
          <w:sz w:val="18"/>
          <w:szCs w:val="18"/>
        </w:rPr>
        <w:t xml:space="preserve"> schrijft voor waar de vvgb aangevraagd moet worden. In veruit de meeste gevallen zal de bank de vvgb aanvragen bij DNB, ook als zij een significante bank is. In de praktijk verloopt het huidige vvgb-proces via DNB richting de ECB</w:t>
      </w:r>
      <w:r>
        <w:rPr>
          <w:rStyle w:val="Voetnootmarkering"/>
          <w:sz w:val="18"/>
          <w:szCs w:val="18"/>
        </w:rPr>
        <w:footnoteReference w:id="87"/>
      </w:r>
      <w:r>
        <w:rPr>
          <w:sz w:val="18"/>
          <w:szCs w:val="18"/>
        </w:rPr>
        <w:t>, waar</w:t>
      </w:r>
      <w:r w:rsidR="00957621">
        <w:rPr>
          <w:sz w:val="18"/>
          <w:szCs w:val="18"/>
        </w:rPr>
        <w:t>bij</w:t>
      </w:r>
      <w:r>
        <w:rPr>
          <w:sz w:val="18"/>
          <w:szCs w:val="18"/>
        </w:rPr>
        <w:t xml:space="preserve"> de aanvraag geïnitieerd moet worden bij DNB. De verwachting is dat dit ook voor de nieuwe vormen van vvgb’s het geval zal zijn. </w:t>
      </w:r>
      <w:r w:rsidR="00073295">
        <w:rPr>
          <w:sz w:val="18"/>
          <w:szCs w:val="18"/>
        </w:rPr>
        <w:t>Het tweede lid bevat tevens een delegatiegrondslag om bij algemene maatregel van bestuur uit te werken welke gegevens aangeleverd moeten worden. EBA stelt hiervoor, op grond van artikel 27 ter, zevende lid, CRD een technische reguleringsnorm op</w:t>
      </w:r>
      <w:r w:rsidR="007F010F">
        <w:rPr>
          <w:sz w:val="18"/>
          <w:szCs w:val="18"/>
        </w:rPr>
        <w:t>,</w:t>
      </w:r>
      <w:r w:rsidR="00073295">
        <w:rPr>
          <w:sz w:val="18"/>
          <w:szCs w:val="18"/>
        </w:rPr>
        <w:t xml:space="preserve"> met minimaal aan te leveren informatie.</w:t>
      </w:r>
    </w:p>
    <w:p w:rsidR="004521D3" w:rsidP="004521D3" w:rsidRDefault="004521D3" w14:paraId="44856146" w14:textId="77777777">
      <w:pPr>
        <w:widowControl w:val="0"/>
        <w:spacing w:line="240" w:lineRule="atLeast"/>
        <w:rPr>
          <w:sz w:val="18"/>
          <w:szCs w:val="18"/>
        </w:rPr>
      </w:pPr>
    </w:p>
    <w:p w:rsidR="004521D3" w:rsidP="004521D3" w:rsidRDefault="004521D3" w14:paraId="451EF414" w14:textId="3A810CE1">
      <w:pPr>
        <w:widowControl w:val="0"/>
        <w:spacing w:line="240" w:lineRule="atLeast"/>
        <w:rPr>
          <w:sz w:val="18"/>
          <w:szCs w:val="18"/>
        </w:rPr>
      </w:pPr>
      <w:r>
        <w:rPr>
          <w:sz w:val="18"/>
          <w:szCs w:val="18"/>
        </w:rPr>
        <w:t>Het derde lid beschrijft de uitzondering op de regel dat alle drempels op individueel niveau gelden voor banken. Voor het specifieke geval dat een bank de drempel van 15% van het in aanmerking komend kapitaal behaald zowel op individueel als geconsolideerd niveau, indien er dus sprake is van een groep, moet de bank de vvgb-aanvraag tevens</w:t>
      </w:r>
      <w:r w:rsidR="00D5018E">
        <w:rPr>
          <w:sz w:val="18"/>
          <w:szCs w:val="18"/>
        </w:rPr>
        <w:t xml:space="preserve"> naar</w:t>
      </w:r>
      <w:r>
        <w:rPr>
          <w:sz w:val="18"/>
          <w:szCs w:val="18"/>
        </w:rPr>
        <w:t xml:space="preserve"> de consoliderende toezichthouder </w:t>
      </w:r>
      <w:r w:rsidR="00D5018E">
        <w:rPr>
          <w:sz w:val="18"/>
          <w:szCs w:val="18"/>
        </w:rPr>
        <w:t>verzenden</w:t>
      </w:r>
      <w:r>
        <w:rPr>
          <w:sz w:val="18"/>
          <w:szCs w:val="18"/>
        </w:rPr>
        <w:t>.</w:t>
      </w:r>
    </w:p>
    <w:p w:rsidR="004521D3" w:rsidP="004521D3" w:rsidRDefault="004521D3" w14:paraId="2B6BD873" w14:textId="77777777">
      <w:pPr>
        <w:widowControl w:val="0"/>
        <w:spacing w:line="240" w:lineRule="atLeast"/>
        <w:rPr>
          <w:sz w:val="18"/>
          <w:szCs w:val="18"/>
        </w:rPr>
      </w:pPr>
    </w:p>
    <w:p w:rsidR="004521D3" w:rsidP="004521D3" w:rsidRDefault="004521D3" w14:paraId="74E7A449" w14:textId="3BFBF998">
      <w:pPr>
        <w:widowControl w:val="0"/>
        <w:spacing w:line="240" w:lineRule="atLeast"/>
        <w:rPr>
          <w:sz w:val="18"/>
          <w:szCs w:val="18"/>
        </w:rPr>
      </w:pPr>
      <w:r>
        <w:rPr>
          <w:sz w:val="18"/>
          <w:szCs w:val="18"/>
        </w:rPr>
        <w:t>In het vierde lid van artikel 3:96a</w:t>
      </w:r>
      <w:r w:rsidR="007472E1">
        <w:rPr>
          <w:sz w:val="18"/>
          <w:szCs w:val="18"/>
        </w:rPr>
        <w:t xml:space="preserve"> Wft</w:t>
      </w:r>
      <w:r>
        <w:rPr>
          <w:sz w:val="18"/>
          <w:szCs w:val="18"/>
        </w:rPr>
        <w:t xml:space="preserve"> is opgenomen dat er een gezamenlijk besluit benodigd is van DNB en de consoliderende toezichthouder als </w:t>
      </w:r>
      <w:r w:rsidR="007472E1">
        <w:rPr>
          <w:sz w:val="18"/>
          <w:szCs w:val="18"/>
        </w:rPr>
        <w:t xml:space="preserve">het geval uit het derde lid </w:t>
      </w:r>
      <w:r>
        <w:rPr>
          <w:sz w:val="18"/>
          <w:szCs w:val="18"/>
        </w:rPr>
        <w:t>zich voordoet. Het uiteindelijk besluit zal worden genomen door DNB, in volledige samenspraak met de toezichthoudende instantie in een andere lidstaat. De samenwerking tussen DNB en de toezichthoudende instantie in een andere lidstaat is ook beschreven in artikel 27 quater, tweede en derde lid, CRD</w:t>
      </w:r>
      <w:r w:rsidR="00202A2A">
        <w:rPr>
          <w:sz w:val="18"/>
          <w:szCs w:val="18"/>
        </w:rPr>
        <w:t>,</w:t>
      </w:r>
      <w:r>
        <w:rPr>
          <w:sz w:val="18"/>
          <w:szCs w:val="18"/>
        </w:rPr>
        <w:t xml:space="preserve"> welk artikel in acht genomen moet worden bij deze samenwerking.</w:t>
      </w:r>
      <w:r w:rsidR="000D2494">
        <w:rPr>
          <w:sz w:val="18"/>
          <w:szCs w:val="18"/>
        </w:rPr>
        <w:t xml:space="preserve"> Dit zou ook de ECB kunnen zijn.</w:t>
      </w:r>
    </w:p>
    <w:p w:rsidR="004521D3" w:rsidP="00433782" w:rsidRDefault="004521D3" w14:paraId="629FFBEA" w14:textId="77777777">
      <w:pPr>
        <w:widowControl w:val="0"/>
        <w:spacing w:line="240" w:lineRule="atLeast"/>
        <w:rPr>
          <w:sz w:val="18"/>
          <w:szCs w:val="18"/>
        </w:rPr>
      </w:pPr>
    </w:p>
    <w:p w:rsidR="001F1B42" w:rsidP="00433782" w:rsidRDefault="00193A5A" w14:paraId="64F0E403" w14:textId="5F08AE30">
      <w:pPr>
        <w:widowControl w:val="0"/>
        <w:spacing w:line="240" w:lineRule="atLeast"/>
        <w:rPr>
          <w:sz w:val="18"/>
          <w:szCs w:val="18"/>
        </w:rPr>
      </w:pPr>
      <w:r>
        <w:rPr>
          <w:sz w:val="18"/>
          <w:szCs w:val="18"/>
        </w:rPr>
        <w:t>Het vijfde lid betreft de implementatie van artikel 27 decies, eerste lid, CRD waarbij vereist wordt dat bij een fusie of splitsing na de vaststelling van de ontwerpvoorwaarden van de beoogde handeling er een aanvraag voor een vvgb ingediend wordt.</w:t>
      </w:r>
    </w:p>
    <w:p w:rsidR="00193A5A" w:rsidP="00433782" w:rsidRDefault="00193A5A" w14:paraId="6EAB4BF4" w14:textId="77777777">
      <w:pPr>
        <w:widowControl w:val="0"/>
        <w:spacing w:line="240" w:lineRule="atLeast"/>
        <w:rPr>
          <w:sz w:val="18"/>
          <w:szCs w:val="18"/>
        </w:rPr>
      </w:pPr>
    </w:p>
    <w:p w:rsidR="00193A5A" w:rsidP="00433782" w:rsidRDefault="00193A5A" w14:paraId="22BF9904" w14:textId="3071D6FE">
      <w:pPr>
        <w:widowControl w:val="0"/>
        <w:spacing w:line="240" w:lineRule="atLeast"/>
        <w:rPr>
          <w:i/>
          <w:iCs/>
          <w:sz w:val="18"/>
          <w:szCs w:val="18"/>
        </w:rPr>
      </w:pPr>
      <w:r>
        <w:rPr>
          <w:i/>
          <w:iCs/>
          <w:sz w:val="18"/>
          <w:szCs w:val="18"/>
        </w:rPr>
        <w:t>3:96b</w:t>
      </w:r>
    </w:p>
    <w:p w:rsidR="00193A5A" w:rsidP="00433782" w:rsidRDefault="00193A5A" w14:paraId="0FC2BC5B" w14:textId="68F70E4E">
      <w:pPr>
        <w:widowControl w:val="0"/>
        <w:spacing w:line="240" w:lineRule="atLeast"/>
        <w:rPr>
          <w:sz w:val="18"/>
          <w:szCs w:val="18"/>
        </w:rPr>
      </w:pPr>
      <w:r>
        <w:rPr>
          <w:sz w:val="18"/>
          <w:szCs w:val="18"/>
        </w:rPr>
        <w:t xml:space="preserve">Artikel 3:96b </w:t>
      </w:r>
      <w:r w:rsidR="00C27382">
        <w:rPr>
          <w:sz w:val="18"/>
          <w:szCs w:val="18"/>
        </w:rPr>
        <w:t xml:space="preserve">Wft </w:t>
      </w:r>
      <w:r>
        <w:rPr>
          <w:sz w:val="18"/>
          <w:szCs w:val="18"/>
        </w:rPr>
        <w:t xml:space="preserve">voorziet in de kennisgeving voor de </w:t>
      </w:r>
      <w:r w:rsidR="002921FB">
        <w:rPr>
          <w:sz w:val="18"/>
          <w:szCs w:val="18"/>
        </w:rPr>
        <w:t xml:space="preserve">rechtstreekse of middellijke </w:t>
      </w:r>
      <w:r>
        <w:rPr>
          <w:sz w:val="18"/>
          <w:szCs w:val="18"/>
        </w:rPr>
        <w:t xml:space="preserve">afstoting van </w:t>
      </w:r>
      <w:r w:rsidR="002921FB">
        <w:rPr>
          <w:sz w:val="18"/>
          <w:szCs w:val="18"/>
        </w:rPr>
        <w:t>een deelneming van betekenis en een overname of overdracht van activa of passiva van materieel belang. Hierbij is evenals in artikel 3:96a, zesde lid, delegatie naar algemene maatregel van bestuur mogelijk gemaakt om voor te schrijven welke gegevens aangeleverd moeten worden.</w:t>
      </w:r>
      <w:r w:rsidR="00073295">
        <w:rPr>
          <w:sz w:val="18"/>
          <w:szCs w:val="18"/>
        </w:rPr>
        <w:t xml:space="preserve"> In tegenstelling tot de deelneming van betekenis en de fusie/splitsing, is het op grond van de CRD niet de bedoeling dat DNB tegen een dergelijke handeling in verzet kan komen. Daarom is deze bepaling vormgegeven als kennisgeving alvorens de handeling te verrichten, en niet de verbodsbepaling met vvgb-aanvraag zoals artikel 3:96a en 3:96c Wft. Wel kan DNB handhavend optreden indien niet voldaan wordt aan de kennisgeving. Dit volgt uit artikel 27 octies en artikel 66 CRD.</w:t>
      </w:r>
    </w:p>
    <w:p w:rsidR="002921FB" w:rsidP="00433782" w:rsidRDefault="002921FB" w14:paraId="6B89AB12" w14:textId="77777777">
      <w:pPr>
        <w:widowControl w:val="0"/>
        <w:spacing w:line="240" w:lineRule="atLeast"/>
        <w:rPr>
          <w:sz w:val="18"/>
          <w:szCs w:val="18"/>
        </w:rPr>
      </w:pPr>
    </w:p>
    <w:p w:rsidR="00202A2A" w:rsidP="00433782" w:rsidRDefault="002921FB" w14:paraId="44FA1EF0" w14:textId="23AFF575">
      <w:pPr>
        <w:widowControl w:val="0"/>
        <w:spacing w:line="240" w:lineRule="atLeast"/>
        <w:rPr>
          <w:sz w:val="18"/>
          <w:szCs w:val="18"/>
        </w:rPr>
      </w:pPr>
      <w:r>
        <w:rPr>
          <w:sz w:val="18"/>
          <w:szCs w:val="18"/>
        </w:rPr>
        <w:t>De kennisgeving voor een afstoting van een deelneming van betekenis is alleen nodig indien er sprake is van de afstoting van een deelneming van 15% of meer van het in aanmerking komend kapitaal.</w:t>
      </w:r>
      <w:r w:rsidR="00A55272">
        <w:rPr>
          <w:sz w:val="18"/>
          <w:szCs w:val="18"/>
        </w:rPr>
        <w:t xml:space="preserve"> </w:t>
      </w:r>
      <w:r w:rsidR="00202A2A">
        <w:rPr>
          <w:sz w:val="18"/>
          <w:szCs w:val="18"/>
        </w:rPr>
        <w:t xml:space="preserve">Indien door een kleinere afstoting het percentage onder de 15% van het in aanmerking komend kapitaal </w:t>
      </w:r>
      <w:r w:rsidR="00202A2A">
        <w:rPr>
          <w:sz w:val="18"/>
          <w:szCs w:val="18"/>
        </w:rPr>
        <w:lastRenderedPageBreak/>
        <w:t>komt, is dat niet te beschouwen als een afstoting van een deelneming van betekenis als bedoeld in artikel 3:96a, eerste lid, onderdeel a, Wft.</w:t>
      </w:r>
    </w:p>
    <w:p w:rsidR="00202A2A" w:rsidP="00433782" w:rsidRDefault="00202A2A" w14:paraId="6C042879" w14:textId="77777777">
      <w:pPr>
        <w:widowControl w:val="0"/>
        <w:spacing w:line="240" w:lineRule="atLeast"/>
        <w:rPr>
          <w:sz w:val="18"/>
          <w:szCs w:val="18"/>
        </w:rPr>
      </w:pPr>
    </w:p>
    <w:p w:rsidR="002921FB" w:rsidP="00433782" w:rsidRDefault="00A55272" w14:paraId="69B0CE03" w14:textId="33272764">
      <w:pPr>
        <w:widowControl w:val="0"/>
        <w:spacing w:line="240" w:lineRule="atLeast"/>
        <w:rPr>
          <w:sz w:val="18"/>
          <w:szCs w:val="18"/>
        </w:rPr>
      </w:pPr>
      <w:r>
        <w:rPr>
          <w:sz w:val="18"/>
          <w:szCs w:val="18"/>
        </w:rPr>
        <w:t xml:space="preserve">Een overname of overdracht van activa of passiva is </w:t>
      </w:r>
      <w:r w:rsidR="00202A2A">
        <w:rPr>
          <w:sz w:val="18"/>
          <w:szCs w:val="18"/>
        </w:rPr>
        <w:t xml:space="preserve">van materieel belang </w:t>
      </w:r>
      <w:r>
        <w:rPr>
          <w:sz w:val="18"/>
          <w:szCs w:val="18"/>
        </w:rPr>
        <w:t xml:space="preserve">indien het minstens 10% van alle activa of passiva betreft. Enige uitzondering daarop is indien de overdracht of overname plaatsvindt tussen ondernemingen die onderdeel zijn van dezelfde groep. Hierbij geldt dan een drempel van minstens 15% van de totale activa/passiva. Artikel 27 septies, tweede lid, CRD bevat ook een aantal activa die niet meetellen voor de 10%/15% drempel, te weten niet-renderende activa, activa die opgenomen worden in een gedekte obligatie, overdracht van te securitiseren activa en indien er sprake is van de overdracht van activa of passiva </w:t>
      </w:r>
      <w:r w:rsidR="00073295">
        <w:rPr>
          <w:sz w:val="18"/>
          <w:szCs w:val="18"/>
        </w:rPr>
        <w:t>op grond van het afwikkelingsraamwerk wat volgt uit de richtlijn herstel en afwikkeling van banken en beleggingsondernemingen in geïmplementeerd is in Deel 3A Wft.</w:t>
      </w:r>
    </w:p>
    <w:p w:rsidR="001A732C" w:rsidP="00433782" w:rsidRDefault="001A732C" w14:paraId="241DCCDA" w14:textId="77777777">
      <w:pPr>
        <w:widowControl w:val="0"/>
        <w:spacing w:line="240" w:lineRule="atLeast"/>
        <w:rPr>
          <w:sz w:val="18"/>
          <w:szCs w:val="18"/>
        </w:rPr>
      </w:pPr>
    </w:p>
    <w:p w:rsidR="001A732C" w:rsidP="00433782" w:rsidRDefault="00AB28D4" w14:paraId="461B2435" w14:textId="666A98D3">
      <w:pPr>
        <w:widowControl w:val="0"/>
        <w:spacing w:line="240" w:lineRule="atLeast"/>
        <w:rPr>
          <w:i/>
          <w:iCs/>
          <w:sz w:val="18"/>
          <w:szCs w:val="18"/>
        </w:rPr>
      </w:pPr>
      <w:r>
        <w:rPr>
          <w:i/>
          <w:iCs/>
          <w:sz w:val="18"/>
          <w:szCs w:val="18"/>
        </w:rPr>
        <w:t>3:96c</w:t>
      </w:r>
    </w:p>
    <w:p w:rsidR="00C27382" w:rsidP="00C27382" w:rsidRDefault="00AB28D4" w14:paraId="23666B47" w14:textId="38AF0093">
      <w:pPr>
        <w:widowControl w:val="0"/>
        <w:spacing w:line="240" w:lineRule="atLeast"/>
        <w:rPr>
          <w:sz w:val="18"/>
          <w:szCs w:val="18"/>
        </w:rPr>
      </w:pPr>
      <w:r>
        <w:rPr>
          <w:sz w:val="18"/>
          <w:szCs w:val="18"/>
        </w:rPr>
        <w:t>Artikel 3:96c</w:t>
      </w:r>
      <w:r w:rsidR="00C27382">
        <w:rPr>
          <w:sz w:val="18"/>
          <w:szCs w:val="18"/>
        </w:rPr>
        <w:t xml:space="preserve"> Wft</w:t>
      </w:r>
      <w:r>
        <w:rPr>
          <w:sz w:val="18"/>
          <w:szCs w:val="18"/>
        </w:rPr>
        <w:t xml:space="preserve"> is de evenknie van artikel 3:96a</w:t>
      </w:r>
      <w:r w:rsidR="00C27382">
        <w:rPr>
          <w:sz w:val="18"/>
          <w:szCs w:val="18"/>
        </w:rPr>
        <w:t xml:space="preserve"> Wft</w:t>
      </w:r>
      <w:r>
        <w:rPr>
          <w:sz w:val="18"/>
          <w:szCs w:val="18"/>
        </w:rPr>
        <w:t xml:space="preserve"> maar dan voor (gemengde) financiële holdings. Zoals eerder beschreven is met name de toezichtvraag relevant geweest voor de keuze om de bepalingen voor banken en (gemengde) financiële holdings) los te implementeren. In tegenstelling tot banken dient bij een (gemengde) financiële holding altijd de geconsolideerde situatie bekeken te worden, en gelden alle drempels zoals </w:t>
      </w:r>
      <w:r w:rsidR="00C27382">
        <w:rPr>
          <w:sz w:val="18"/>
          <w:szCs w:val="18"/>
        </w:rPr>
        <w:t xml:space="preserve">de </w:t>
      </w:r>
      <w:r>
        <w:rPr>
          <w:sz w:val="18"/>
          <w:szCs w:val="18"/>
        </w:rPr>
        <w:t xml:space="preserve">15% voor een deelneming van betekenis </w:t>
      </w:r>
      <w:r w:rsidR="00C27382">
        <w:rPr>
          <w:sz w:val="18"/>
          <w:szCs w:val="18"/>
        </w:rPr>
        <w:t xml:space="preserve">uit artikel 3:96c, eerste lid, onderdeel a, Wft </w:t>
      </w:r>
      <w:r>
        <w:rPr>
          <w:sz w:val="18"/>
          <w:szCs w:val="18"/>
        </w:rPr>
        <w:t xml:space="preserve">op geconsolideerd niveau. Het feit dat op geconsolideerd niveau gekeken moet worden betekent </w:t>
      </w:r>
      <w:r w:rsidR="00C27382">
        <w:rPr>
          <w:sz w:val="18"/>
          <w:szCs w:val="18"/>
        </w:rPr>
        <w:t>ook dat het altijd de consoliderende toezichthouder van de (gemengde) financiële holding zal zijn die de aanvraag voor een vvgb en de kennisgeving ontvangt en beoordeelt</w:t>
      </w:r>
      <w:r>
        <w:rPr>
          <w:sz w:val="18"/>
          <w:szCs w:val="18"/>
        </w:rPr>
        <w:t>. Artikel 111</w:t>
      </w:r>
      <w:r w:rsidR="009A7018">
        <w:rPr>
          <w:sz w:val="18"/>
          <w:szCs w:val="18"/>
        </w:rPr>
        <w:t>, tweede lid,</w:t>
      </w:r>
      <w:r>
        <w:rPr>
          <w:sz w:val="18"/>
          <w:szCs w:val="18"/>
        </w:rPr>
        <w:t xml:space="preserve"> CRD beschrijft wie de consoliderende toezichthouder is van een (gemengde) financiële holding</w:t>
      </w:r>
      <w:r w:rsidR="009A7018">
        <w:rPr>
          <w:sz w:val="18"/>
          <w:szCs w:val="18"/>
        </w:rPr>
        <w:t xml:space="preserve"> die de moederonderneming is van een bank</w:t>
      </w:r>
      <w:r>
        <w:rPr>
          <w:sz w:val="18"/>
          <w:szCs w:val="18"/>
        </w:rPr>
        <w:t xml:space="preserve">. </w:t>
      </w:r>
      <w:r w:rsidR="00146454">
        <w:rPr>
          <w:sz w:val="18"/>
          <w:szCs w:val="18"/>
        </w:rPr>
        <w:t xml:space="preserve">Het geconsolideerde toezicht volgt altijd de bank waarvan de (gemengde) financiële holding de (EU-)moederonderneming is. </w:t>
      </w:r>
      <w:r w:rsidR="00C27382">
        <w:rPr>
          <w:sz w:val="18"/>
          <w:szCs w:val="18"/>
        </w:rPr>
        <w:t xml:space="preserve">Hieronder is schematisch weergegeven welke toezichthouder verantwoordelijk is voor het geconsolideerde toezicht op een in Nederland </w:t>
      </w:r>
      <w:r w:rsidR="002D5624">
        <w:rPr>
          <w:sz w:val="18"/>
          <w:szCs w:val="18"/>
        </w:rPr>
        <w:t>gezetelde</w:t>
      </w:r>
      <w:r w:rsidR="00C27382">
        <w:rPr>
          <w:sz w:val="18"/>
          <w:szCs w:val="18"/>
        </w:rPr>
        <w:t xml:space="preserve"> (gemengde) financiële holding:</w:t>
      </w:r>
    </w:p>
    <w:p w:rsidR="00AB28D4" w:rsidP="00433782" w:rsidRDefault="00AB28D4" w14:paraId="13C3A84B" w14:textId="2B2E40E9">
      <w:pPr>
        <w:widowControl w:val="0"/>
        <w:spacing w:line="240" w:lineRule="atLeast"/>
        <w:rPr>
          <w:sz w:val="18"/>
          <w:szCs w:val="18"/>
        </w:rPr>
      </w:pPr>
    </w:p>
    <w:tbl>
      <w:tblPr>
        <w:tblStyle w:val="Tabelraster"/>
        <w:tblW w:w="0" w:type="auto"/>
        <w:tblLook w:val="04A0" w:firstRow="1" w:lastRow="0" w:firstColumn="1" w:lastColumn="0" w:noHBand="0" w:noVBand="1"/>
      </w:tblPr>
      <w:tblGrid>
        <w:gridCol w:w="834"/>
        <w:gridCol w:w="781"/>
        <w:gridCol w:w="434"/>
        <w:gridCol w:w="1049"/>
        <w:gridCol w:w="1433"/>
        <w:gridCol w:w="1291"/>
        <w:gridCol w:w="1418"/>
      </w:tblGrid>
      <w:tr w:rsidR="00851C7D" w:rsidTr="00851C7D" w14:paraId="24249E89" w14:textId="77777777">
        <w:tc>
          <w:tcPr>
            <w:tcW w:w="1615" w:type="dxa"/>
            <w:gridSpan w:val="2"/>
          </w:tcPr>
          <w:p w:rsidR="00851C7D" w:rsidP="005C4DB2" w:rsidRDefault="00851C7D" w14:paraId="0F17308F" w14:textId="77777777">
            <w:pPr>
              <w:widowControl w:val="0"/>
              <w:spacing w:line="240" w:lineRule="atLeast"/>
              <w:rPr>
                <w:b/>
                <w:bCs/>
                <w:sz w:val="18"/>
                <w:szCs w:val="18"/>
              </w:rPr>
            </w:pPr>
            <w:bookmarkStart w:name="_Hlk208500389" w:id="10"/>
          </w:p>
        </w:tc>
        <w:tc>
          <w:tcPr>
            <w:tcW w:w="5625" w:type="dxa"/>
            <w:gridSpan w:val="5"/>
          </w:tcPr>
          <w:p w:rsidRPr="00532CA8" w:rsidR="00851C7D" w:rsidP="005C4DB2" w:rsidRDefault="00851C7D" w14:paraId="3D19DC49" w14:textId="11CD6137">
            <w:pPr>
              <w:widowControl w:val="0"/>
              <w:spacing w:line="240" w:lineRule="atLeast"/>
              <w:rPr>
                <w:b/>
                <w:bCs/>
                <w:sz w:val="18"/>
                <w:szCs w:val="18"/>
              </w:rPr>
            </w:pPr>
            <w:r>
              <w:rPr>
                <w:b/>
                <w:bCs/>
                <w:sz w:val="18"/>
                <w:szCs w:val="18"/>
              </w:rPr>
              <w:t>Toezicht</w:t>
            </w:r>
            <w:r w:rsidRPr="00532CA8">
              <w:rPr>
                <w:b/>
                <w:bCs/>
                <w:sz w:val="18"/>
                <w:szCs w:val="18"/>
              </w:rPr>
              <w:t xml:space="preserve"> op </w:t>
            </w:r>
            <w:r>
              <w:rPr>
                <w:b/>
                <w:bCs/>
                <w:sz w:val="18"/>
                <w:szCs w:val="18"/>
              </w:rPr>
              <w:t>een (gemengde) financiële holding i</w:t>
            </w:r>
            <w:r w:rsidRPr="00532CA8">
              <w:rPr>
                <w:b/>
                <w:bCs/>
                <w:sz w:val="18"/>
                <w:szCs w:val="18"/>
              </w:rPr>
              <w:t>n Nederland</w:t>
            </w:r>
          </w:p>
        </w:tc>
      </w:tr>
      <w:tr w:rsidR="00851C7D" w:rsidTr="00851C7D" w14:paraId="51C0B968" w14:textId="77777777">
        <w:tc>
          <w:tcPr>
            <w:tcW w:w="834" w:type="dxa"/>
          </w:tcPr>
          <w:p w:rsidR="00851C7D" w:rsidP="005C4DB2" w:rsidRDefault="00851C7D" w14:paraId="2BE2A239" w14:textId="04FE2EA1">
            <w:pPr>
              <w:widowControl w:val="0"/>
              <w:spacing w:line="240" w:lineRule="atLeast"/>
              <w:rPr>
                <w:i/>
                <w:iCs/>
                <w:sz w:val="18"/>
                <w:szCs w:val="18"/>
              </w:rPr>
            </w:pPr>
            <w:r>
              <w:rPr>
                <w:i/>
                <w:iCs/>
                <w:sz w:val="18"/>
                <w:szCs w:val="18"/>
              </w:rPr>
              <w:t xml:space="preserve">Is de dochterbank gezeteld in NL? </w:t>
            </w:r>
          </w:p>
        </w:tc>
        <w:tc>
          <w:tcPr>
            <w:tcW w:w="1215" w:type="dxa"/>
            <w:gridSpan w:val="2"/>
          </w:tcPr>
          <w:p w:rsidR="00851C7D" w:rsidP="005C4DB2" w:rsidRDefault="00851C7D" w14:paraId="3E650AEB" w14:textId="4418D4DE">
            <w:pPr>
              <w:widowControl w:val="0"/>
              <w:spacing w:line="240" w:lineRule="atLeast"/>
              <w:rPr>
                <w:i/>
                <w:iCs/>
                <w:sz w:val="18"/>
                <w:szCs w:val="18"/>
              </w:rPr>
            </w:pPr>
            <w:r>
              <w:rPr>
                <w:i/>
                <w:iCs/>
                <w:sz w:val="18"/>
                <w:szCs w:val="18"/>
              </w:rPr>
              <w:t>Is de dochterbank gezeteld in deelnemende lidstaat?</w:t>
            </w:r>
          </w:p>
        </w:tc>
        <w:tc>
          <w:tcPr>
            <w:tcW w:w="1049" w:type="dxa"/>
          </w:tcPr>
          <w:p w:rsidRPr="00851C7D" w:rsidR="00851C7D" w:rsidP="005C4DB2" w:rsidRDefault="00851C7D" w14:paraId="4560AC77" w14:textId="77777777">
            <w:pPr>
              <w:widowControl w:val="0"/>
              <w:spacing w:line="240" w:lineRule="atLeast"/>
              <w:rPr>
                <w:i/>
                <w:iCs/>
                <w:sz w:val="18"/>
                <w:szCs w:val="18"/>
              </w:rPr>
            </w:pPr>
            <w:r w:rsidRPr="00851C7D">
              <w:rPr>
                <w:i/>
                <w:iCs/>
                <w:sz w:val="18"/>
                <w:szCs w:val="18"/>
              </w:rPr>
              <w:t>Is de NL bank significant?</w:t>
            </w:r>
          </w:p>
        </w:tc>
        <w:tc>
          <w:tcPr>
            <w:tcW w:w="1433" w:type="dxa"/>
          </w:tcPr>
          <w:p w:rsidRPr="00851C7D" w:rsidR="00851C7D" w:rsidP="005C4DB2" w:rsidRDefault="00851C7D" w14:paraId="4E52FCAD" w14:textId="0686F5EC">
            <w:pPr>
              <w:widowControl w:val="0"/>
              <w:spacing w:line="240" w:lineRule="atLeast"/>
              <w:rPr>
                <w:i/>
                <w:iCs/>
                <w:sz w:val="18"/>
                <w:szCs w:val="18"/>
              </w:rPr>
            </w:pPr>
            <w:r w:rsidRPr="00851C7D">
              <w:rPr>
                <w:i/>
                <w:iCs/>
                <w:sz w:val="18"/>
                <w:szCs w:val="18"/>
              </w:rPr>
              <w:t>Is de dochterbank in een andere lidstaat signficant?</w:t>
            </w:r>
          </w:p>
        </w:tc>
        <w:tc>
          <w:tcPr>
            <w:tcW w:w="1291" w:type="dxa"/>
          </w:tcPr>
          <w:p w:rsidRPr="00851C7D" w:rsidR="00851C7D" w:rsidP="005C4DB2" w:rsidRDefault="00851C7D" w14:paraId="28C53BEE" w14:textId="07AE8C8F">
            <w:pPr>
              <w:widowControl w:val="0"/>
              <w:spacing w:line="240" w:lineRule="atLeast"/>
              <w:rPr>
                <w:i/>
                <w:iCs/>
                <w:sz w:val="18"/>
                <w:szCs w:val="18"/>
              </w:rPr>
            </w:pPr>
            <w:r w:rsidRPr="00851C7D">
              <w:rPr>
                <w:i/>
                <w:iCs/>
                <w:sz w:val="18"/>
                <w:szCs w:val="18"/>
              </w:rPr>
              <w:t>Is de NL de grootste bank onder de holding?</w:t>
            </w:r>
          </w:p>
        </w:tc>
        <w:tc>
          <w:tcPr>
            <w:tcW w:w="1418" w:type="dxa"/>
          </w:tcPr>
          <w:p w:rsidRPr="001E4804" w:rsidR="00851C7D" w:rsidP="005C4DB2" w:rsidRDefault="00851C7D" w14:paraId="3198E61D" w14:textId="3B0B5FE9">
            <w:pPr>
              <w:widowControl w:val="0"/>
              <w:spacing w:line="240" w:lineRule="atLeast"/>
              <w:rPr>
                <w:b/>
                <w:bCs/>
                <w:i/>
                <w:iCs/>
                <w:sz w:val="18"/>
                <w:szCs w:val="18"/>
              </w:rPr>
            </w:pPr>
            <w:r w:rsidRPr="001E4804">
              <w:rPr>
                <w:b/>
                <w:bCs/>
                <w:i/>
                <w:iCs/>
                <w:sz w:val="18"/>
                <w:szCs w:val="18"/>
              </w:rPr>
              <w:t>Consoliderende toezichthouder</w:t>
            </w:r>
            <w:r>
              <w:rPr>
                <w:b/>
                <w:bCs/>
                <w:i/>
                <w:iCs/>
                <w:sz w:val="18"/>
                <w:szCs w:val="18"/>
              </w:rPr>
              <w:t xml:space="preserve"> van de (gemengde) financiële holding</w:t>
            </w:r>
          </w:p>
        </w:tc>
      </w:tr>
      <w:tr w:rsidR="00851C7D" w:rsidTr="00851C7D" w14:paraId="556BC36E" w14:textId="77777777">
        <w:tc>
          <w:tcPr>
            <w:tcW w:w="834" w:type="dxa"/>
          </w:tcPr>
          <w:p w:rsidR="00851C7D" w:rsidP="005C4DB2" w:rsidRDefault="00851C7D" w14:paraId="6995A092" w14:textId="6B53AC2E">
            <w:pPr>
              <w:widowControl w:val="0"/>
              <w:spacing w:line="240" w:lineRule="atLeast"/>
              <w:rPr>
                <w:sz w:val="18"/>
                <w:szCs w:val="18"/>
              </w:rPr>
            </w:pPr>
            <w:r>
              <w:rPr>
                <w:sz w:val="18"/>
                <w:szCs w:val="18"/>
              </w:rPr>
              <w:t>Ja</w:t>
            </w:r>
          </w:p>
        </w:tc>
        <w:tc>
          <w:tcPr>
            <w:tcW w:w="1215" w:type="dxa"/>
            <w:gridSpan w:val="2"/>
          </w:tcPr>
          <w:p w:rsidR="00851C7D" w:rsidP="005C4DB2" w:rsidRDefault="00851C7D" w14:paraId="61A2DA9E" w14:textId="7D96B946">
            <w:pPr>
              <w:widowControl w:val="0"/>
              <w:spacing w:line="240" w:lineRule="atLeast"/>
              <w:rPr>
                <w:sz w:val="18"/>
                <w:szCs w:val="18"/>
              </w:rPr>
            </w:pPr>
            <w:r>
              <w:rPr>
                <w:sz w:val="18"/>
                <w:szCs w:val="18"/>
              </w:rPr>
              <w:t>Nee</w:t>
            </w:r>
          </w:p>
        </w:tc>
        <w:tc>
          <w:tcPr>
            <w:tcW w:w="1049" w:type="dxa"/>
          </w:tcPr>
          <w:p w:rsidR="00851C7D" w:rsidP="005C4DB2" w:rsidRDefault="00851C7D" w14:paraId="3FA9BFC2" w14:textId="6CFA9DF3">
            <w:pPr>
              <w:widowControl w:val="0"/>
              <w:spacing w:line="240" w:lineRule="atLeast"/>
              <w:rPr>
                <w:sz w:val="18"/>
                <w:szCs w:val="18"/>
              </w:rPr>
            </w:pPr>
            <w:r>
              <w:rPr>
                <w:sz w:val="18"/>
                <w:szCs w:val="18"/>
              </w:rPr>
              <w:t>Ja</w:t>
            </w:r>
          </w:p>
        </w:tc>
        <w:tc>
          <w:tcPr>
            <w:tcW w:w="1433" w:type="dxa"/>
          </w:tcPr>
          <w:p w:rsidR="00851C7D" w:rsidP="005C4DB2" w:rsidRDefault="00851C7D" w14:paraId="00A9DD8E" w14:textId="65812CB6">
            <w:pPr>
              <w:widowControl w:val="0"/>
              <w:spacing w:line="240" w:lineRule="atLeast"/>
              <w:rPr>
                <w:sz w:val="18"/>
                <w:szCs w:val="18"/>
              </w:rPr>
            </w:pPr>
            <w:r>
              <w:rPr>
                <w:sz w:val="18"/>
                <w:szCs w:val="18"/>
              </w:rPr>
              <w:t>-</w:t>
            </w:r>
          </w:p>
        </w:tc>
        <w:tc>
          <w:tcPr>
            <w:tcW w:w="1291" w:type="dxa"/>
          </w:tcPr>
          <w:p w:rsidR="00851C7D" w:rsidP="005C4DB2" w:rsidRDefault="00851C7D" w14:paraId="6E2E3F94" w14:textId="60B45190">
            <w:pPr>
              <w:widowControl w:val="0"/>
              <w:spacing w:line="240" w:lineRule="atLeast"/>
              <w:rPr>
                <w:sz w:val="18"/>
                <w:szCs w:val="18"/>
              </w:rPr>
            </w:pPr>
            <w:r>
              <w:rPr>
                <w:sz w:val="18"/>
                <w:szCs w:val="18"/>
              </w:rPr>
              <w:t>-</w:t>
            </w:r>
          </w:p>
        </w:tc>
        <w:tc>
          <w:tcPr>
            <w:tcW w:w="1418" w:type="dxa"/>
          </w:tcPr>
          <w:p w:rsidRPr="001E4804" w:rsidR="00851C7D" w:rsidP="005C4DB2" w:rsidRDefault="00851C7D" w14:paraId="7F4A0341" w14:textId="4472E3AB">
            <w:pPr>
              <w:widowControl w:val="0"/>
              <w:spacing w:line="240" w:lineRule="atLeast"/>
              <w:rPr>
                <w:b/>
                <w:bCs/>
                <w:sz w:val="18"/>
                <w:szCs w:val="18"/>
              </w:rPr>
            </w:pPr>
            <w:r>
              <w:rPr>
                <w:b/>
                <w:bCs/>
                <w:sz w:val="18"/>
                <w:szCs w:val="18"/>
              </w:rPr>
              <w:t>ECB</w:t>
            </w:r>
          </w:p>
        </w:tc>
      </w:tr>
      <w:tr w:rsidR="00851C7D" w:rsidTr="00851C7D" w14:paraId="7C217BBF" w14:textId="77777777">
        <w:tc>
          <w:tcPr>
            <w:tcW w:w="834" w:type="dxa"/>
          </w:tcPr>
          <w:p w:rsidR="00851C7D" w:rsidP="005C4DB2" w:rsidRDefault="00851C7D" w14:paraId="223545AE" w14:textId="3F103AE2">
            <w:pPr>
              <w:widowControl w:val="0"/>
              <w:spacing w:line="240" w:lineRule="atLeast"/>
              <w:rPr>
                <w:sz w:val="18"/>
                <w:szCs w:val="18"/>
              </w:rPr>
            </w:pPr>
            <w:r>
              <w:rPr>
                <w:sz w:val="18"/>
                <w:szCs w:val="18"/>
              </w:rPr>
              <w:t>Ja</w:t>
            </w:r>
          </w:p>
        </w:tc>
        <w:tc>
          <w:tcPr>
            <w:tcW w:w="1215" w:type="dxa"/>
            <w:gridSpan w:val="2"/>
          </w:tcPr>
          <w:p w:rsidR="00851C7D" w:rsidP="005C4DB2" w:rsidRDefault="00851C7D" w14:paraId="64EC6687" w14:textId="64F96525">
            <w:pPr>
              <w:widowControl w:val="0"/>
              <w:spacing w:line="240" w:lineRule="atLeast"/>
              <w:rPr>
                <w:sz w:val="18"/>
                <w:szCs w:val="18"/>
              </w:rPr>
            </w:pPr>
            <w:r>
              <w:rPr>
                <w:sz w:val="18"/>
                <w:szCs w:val="18"/>
              </w:rPr>
              <w:t>Nee</w:t>
            </w:r>
          </w:p>
        </w:tc>
        <w:tc>
          <w:tcPr>
            <w:tcW w:w="1049" w:type="dxa"/>
          </w:tcPr>
          <w:p w:rsidR="00851C7D" w:rsidP="005C4DB2" w:rsidRDefault="00851C7D" w14:paraId="5C2646FF" w14:textId="6A6EBBD5">
            <w:pPr>
              <w:widowControl w:val="0"/>
              <w:spacing w:line="240" w:lineRule="atLeast"/>
              <w:rPr>
                <w:sz w:val="18"/>
                <w:szCs w:val="18"/>
              </w:rPr>
            </w:pPr>
            <w:r>
              <w:rPr>
                <w:sz w:val="18"/>
                <w:szCs w:val="18"/>
              </w:rPr>
              <w:t>Nee</w:t>
            </w:r>
          </w:p>
        </w:tc>
        <w:tc>
          <w:tcPr>
            <w:tcW w:w="1433" w:type="dxa"/>
          </w:tcPr>
          <w:p w:rsidR="00851C7D" w:rsidP="005C4DB2" w:rsidRDefault="00851C7D" w14:paraId="4FE3A5FF" w14:textId="1E55A17F">
            <w:pPr>
              <w:widowControl w:val="0"/>
              <w:spacing w:line="240" w:lineRule="atLeast"/>
              <w:rPr>
                <w:sz w:val="18"/>
                <w:szCs w:val="18"/>
              </w:rPr>
            </w:pPr>
            <w:r>
              <w:rPr>
                <w:sz w:val="18"/>
                <w:szCs w:val="18"/>
              </w:rPr>
              <w:t>-</w:t>
            </w:r>
          </w:p>
        </w:tc>
        <w:tc>
          <w:tcPr>
            <w:tcW w:w="1291" w:type="dxa"/>
          </w:tcPr>
          <w:p w:rsidR="00851C7D" w:rsidP="005C4DB2" w:rsidRDefault="00851C7D" w14:paraId="437E8B70" w14:textId="0FA534B4">
            <w:pPr>
              <w:widowControl w:val="0"/>
              <w:spacing w:line="240" w:lineRule="atLeast"/>
              <w:rPr>
                <w:sz w:val="18"/>
                <w:szCs w:val="18"/>
              </w:rPr>
            </w:pPr>
            <w:r>
              <w:rPr>
                <w:sz w:val="18"/>
                <w:szCs w:val="18"/>
              </w:rPr>
              <w:t>-</w:t>
            </w:r>
          </w:p>
        </w:tc>
        <w:tc>
          <w:tcPr>
            <w:tcW w:w="1418" w:type="dxa"/>
          </w:tcPr>
          <w:p w:rsidRPr="001E4804" w:rsidR="00851C7D" w:rsidP="005C4DB2" w:rsidRDefault="00851C7D" w14:paraId="68B8299E" w14:textId="0C92B359">
            <w:pPr>
              <w:widowControl w:val="0"/>
              <w:spacing w:line="240" w:lineRule="atLeast"/>
              <w:rPr>
                <w:b/>
                <w:bCs/>
                <w:sz w:val="18"/>
                <w:szCs w:val="18"/>
              </w:rPr>
            </w:pPr>
            <w:r>
              <w:rPr>
                <w:b/>
                <w:bCs/>
                <w:sz w:val="18"/>
                <w:szCs w:val="18"/>
              </w:rPr>
              <w:t>DNB</w:t>
            </w:r>
          </w:p>
        </w:tc>
      </w:tr>
      <w:tr w:rsidR="00851C7D" w:rsidTr="00851C7D" w14:paraId="36A7F779" w14:textId="77777777">
        <w:tc>
          <w:tcPr>
            <w:tcW w:w="834" w:type="dxa"/>
          </w:tcPr>
          <w:p w:rsidR="00851C7D" w:rsidP="005C4DB2" w:rsidRDefault="00851C7D" w14:paraId="2B953710" w14:textId="0EE84972">
            <w:pPr>
              <w:widowControl w:val="0"/>
              <w:spacing w:line="240" w:lineRule="atLeast"/>
              <w:rPr>
                <w:sz w:val="18"/>
                <w:szCs w:val="18"/>
              </w:rPr>
            </w:pPr>
            <w:r>
              <w:rPr>
                <w:sz w:val="18"/>
                <w:szCs w:val="18"/>
              </w:rPr>
              <w:t>Ja</w:t>
            </w:r>
          </w:p>
        </w:tc>
        <w:tc>
          <w:tcPr>
            <w:tcW w:w="1215" w:type="dxa"/>
            <w:gridSpan w:val="2"/>
          </w:tcPr>
          <w:p w:rsidR="00851C7D" w:rsidP="005C4DB2" w:rsidRDefault="00851C7D" w14:paraId="1C62BAA3" w14:textId="37BC5266">
            <w:pPr>
              <w:widowControl w:val="0"/>
              <w:spacing w:line="240" w:lineRule="atLeast"/>
              <w:rPr>
                <w:sz w:val="18"/>
                <w:szCs w:val="18"/>
              </w:rPr>
            </w:pPr>
            <w:r>
              <w:rPr>
                <w:sz w:val="18"/>
                <w:szCs w:val="18"/>
              </w:rPr>
              <w:t>Ja</w:t>
            </w:r>
          </w:p>
        </w:tc>
        <w:tc>
          <w:tcPr>
            <w:tcW w:w="1049" w:type="dxa"/>
          </w:tcPr>
          <w:p w:rsidR="00851C7D" w:rsidP="005C4DB2" w:rsidRDefault="00851C7D" w14:paraId="129EC6C6" w14:textId="18645B30">
            <w:pPr>
              <w:widowControl w:val="0"/>
              <w:spacing w:line="240" w:lineRule="atLeast"/>
              <w:rPr>
                <w:sz w:val="18"/>
                <w:szCs w:val="18"/>
              </w:rPr>
            </w:pPr>
            <w:r>
              <w:rPr>
                <w:sz w:val="18"/>
                <w:szCs w:val="18"/>
              </w:rPr>
              <w:t>Ja</w:t>
            </w:r>
          </w:p>
        </w:tc>
        <w:tc>
          <w:tcPr>
            <w:tcW w:w="1433" w:type="dxa"/>
          </w:tcPr>
          <w:p w:rsidR="00851C7D" w:rsidP="005C4DB2" w:rsidRDefault="00851C7D" w14:paraId="78611274" w14:textId="456EA642">
            <w:pPr>
              <w:widowControl w:val="0"/>
              <w:spacing w:line="240" w:lineRule="atLeast"/>
              <w:rPr>
                <w:sz w:val="18"/>
                <w:szCs w:val="18"/>
              </w:rPr>
            </w:pPr>
            <w:r>
              <w:rPr>
                <w:sz w:val="18"/>
                <w:szCs w:val="18"/>
              </w:rPr>
              <w:t>-</w:t>
            </w:r>
          </w:p>
        </w:tc>
        <w:tc>
          <w:tcPr>
            <w:tcW w:w="1291" w:type="dxa"/>
          </w:tcPr>
          <w:p w:rsidR="00851C7D" w:rsidP="005C4DB2" w:rsidRDefault="00851C7D" w14:paraId="703C5F50" w14:textId="6B640D59">
            <w:pPr>
              <w:widowControl w:val="0"/>
              <w:spacing w:line="240" w:lineRule="atLeast"/>
              <w:rPr>
                <w:sz w:val="18"/>
                <w:szCs w:val="18"/>
              </w:rPr>
            </w:pPr>
            <w:r>
              <w:rPr>
                <w:sz w:val="18"/>
                <w:szCs w:val="18"/>
              </w:rPr>
              <w:t>-</w:t>
            </w:r>
          </w:p>
        </w:tc>
        <w:tc>
          <w:tcPr>
            <w:tcW w:w="1418" w:type="dxa"/>
          </w:tcPr>
          <w:p w:rsidRPr="001E4804" w:rsidR="00851C7D" w:rsidP="005C4DB2" w:rsidRDefault="00851C7D" w14:paraId="5721618B" w14:textId="1B373480">
            <w:pPr>
              <w:widowControl w:val="0"/>
              <w:spacing w:line="240" w:lineRule="atLeast"/>
              <w:rPr>
                <w:b/>
                <w:bCs/>
                <w:sz w:val="18"/>
                <w:szCs w:val="18"/>
              </w:rPr>
            </w:pPr>
            <w:r>
              <w:rPr>
                <w:b/>
                <w:bCs/>
                <w:sz w:val="18"/>
                <w:szCs w:val="18"/>
              </w:rPr>
              <w:t>ECB</w:t>
            </w:r>
          </w:p>
        </w:tc>
      </w:tr>
      <w:tr w:rsidR="00851C7D" w:rsidTr="00851C7D" w14:paraId="18417302" w14:textId="77777777">
        <w:tc>
          <w:tcPr>
            <w:tcW w:w="834" w:type="dxa"/>
          </w:tcPr>
          <w:p w:rsidR="00851C7D" w:rsidP="005C4DB2" w:rsidRDefault="00851C7D" w14:paraId="64CDBEF6" w14:textId="547E6D33">
            <w:pPr>
              <w:widowControl w:val="0"/>
              <w:spacing w:line="240" w:lineRule="atLeast"/>
              <w:rPr>
                <w:sz w:val="18"/>
                <w:szCs w:val="18"/>
              </w:rPr>
            </w:pPr>
            <w:r>
              <w:rPr>
                <w:sz w:val="18"/>
                <w:szCs w:val="18"/>
              </w:rPr>
              <w:t>Ja</w:t>
            </w:r>
          </w:p>
        </w:tc>
        <w:tc>
          <w:tcPr>
            <w:tcW w:w="1215" w:type="dxa"/>
            <w:gridSpan w:val="2"/>
          </w:tcPr>
          <w:p w:rsidR="00851C7D" w:rsidP="005C4DB2" w:rsidRDefault="00851C7D" w14:paraId="2D7CC521" w14:textId="5985AF6B">
            <w:pPr>
              <w:widowControl w:val="0"/>
              <w:spacing w:line="240" w:lineRule="atLeast"/>
              <w:rPr>
                <w:sz w:val="18"/>
                <w:szCs w:val="18"/>
              </w:rPr>
            </w:pPr>
            <w:r>
              <w:rPr>
                <w:sz w:val="18"/>
                <w:szCs w:val="18"/>
              </w:rPr>
              <w:t>Ja</w:t>
            </w:r>
          </w:p>
        </w:tc>
        <w:tc>
          <w:tcPr>
            <w:tcW w:w="1049" w:type="dxa"/>
          </w:tcPr>
          <w:p w:rsidR="00851C7D" w:rsidP="005C4DB2" w:rsidRDefault="00851C7D" w14:paraId="26A353B0" w14:textId="4F401C9D">
            <w:pPr>
              <w:widowControl w:val="0"/>
              <w:spacing w:line="240" w:lineRule="atLeast"/>
              <w:rPr>
                <w:sz w:val="18"/>
                <w:szCs w:val="18"/>
              </w:rPr>
            </w:pPr>
            <w:r>
              <w:rPr>
                <w:sz w:val="18"/>
                <w:szCs w:val="18"/>
              </w:rPr>
              <w:t>Nee</w:t>
            </w:r>
          </w:p>
        </w:tc>
        <w:tc>
          <w:tcPr>
            <w:tcW w:w="1433" w:type="dxa"/>
          </w:tcPr>
          <w:p w:rsidR="00851C7D" w:rsidP="005C4DB2" w:rsidRDefault="00851C7D" w14:paraId="1378C5FF" w14:textId="6A09B0E2">
            <w:pPr>
              <w:widowControl w:val="0"/>
              <w:spacing w:line="240" w:lineRule="atLeast"/>
              <w:rPr>
                <w:sz w:val="18"/>
                <w:szCs w:val="18"/>
              </w:rPr>
            </w:pPr>
            <w:r>
              <w:rPr>
                <w:sz w:val="18"/>
                <w:szCs w:val="18"/>
              </w:rPr>
              <w:t>Nee</w:t>
            </w:r>
          </w:p>
        </w:tc>
        <w:tc>
          <w:tcPr>
            <w:tcW w:w="1291" w:type="dxa"/>
          </w:tcPr>
          <w:p w:rsidR="00851C7D" w:rsidP="005C4DB2" w:rsidRDefault="00851C7D" w14:paraId="62CE5277" w14:textId="3F0DE78C">
            <w:pPr>
              <w:widowControl w:val="0"/>
              <w:spacing w:line="240" w:lineRule="atLeast"/>
              <w:rPr>
                <w:sz w:val="18"/>
                <w:szCs w:val="18"/>
              </w:rPr>
            </w:pPr>
            <w:r>
              <w:rPr>
                <w:sz w:val="18"/>
                <w:szCs w:val="18"/>
              </w:rPr>
              <w:t>Ja</w:t>
            </w:r>
          </w:p>
        </w:tc>
        <w:tc>
          <w:tcPr>
            <w:tcW w:w="1418" w:type="dxa"/>
          </w:tcPr>
          <w:p w:rsidRPr="001E4804" w:rsidR="00851C7D" w:rsidP="005C4DB2" w:rsidRDefault="00851C7D" w14:paraId="203E7CAB" w14:textId="0A7D3443">
            <w:pPr>
              <w:widowControl w:val="0"/>
              <w:spacing w:line="240" w:lineRule="atLeast"/>
              <w:rPr>
                <w:b/>
                <w:bCs/>
                <w:sz w:val="18"/>
                <w:szCs w:val="18"/>
              </w:rPr>
            </w:pPr>
            <w:r>
              <w:rPr>
                <w:b/>
                <w:bCs/>
                <w:sz w:val="18"/>
                <w:szCs w:val="18"/>
              </w:rPr>
              <w:t>DNB</w:t>
            </w:r>
          </w:p>
        </w:tc>
      </w:tr>
      <w:tr w:rsidR="00851C7D" w:rsidTr="00851C7D" w14:paraId="446BE669" w14:textId="77777777">
        <w:tc>
          <w:tcPr>
            <w:tcW w:w="834" w:type="dxa"/>
          </w:tcPr>
          <w:p w:rsidR="00851C7D" w:rsidP="005C4DB2" w:rsidRDefault="00851C7D" w14:paraId="3EB92CA9" w14:textId="31D48BA1">
            <w:pPr>
              <w:widowControl w:val="0"/>
              <w:spacing w:line="240" w:lineRule="atLeast"/>
              <w:rPr>
                <w:sz w:val="18"/>
                <w:szCs w:val="18"/>
              </w:rPr>
            </w:pPr>
            <w:r>
              <w:rPr>
                <w:sz w:val="18"/>
                <w:szCs w:val="18"/>
              </w:rPr>
              <w:t>Ja</w:t>
            </w:r>
          </w:p>
        </w:tc>
        <w:tc>
          <w:tcPr>
            <w:tcW w:w="1215" w:type="dxa"/>
            <w:gridSpan w:val="2"/>
          </w:tcPr>
          <w:p w:rsidR="00851C7D" w:rsidP="005C4DB2" w:rsidRDefault="00851C7D" w14:paraId="60F31D65" w14:textId="48984138">
            <w:pPr>
              <w:widowControl w:val="0"/>
              <w:spacing w:line="240" w:lineRule="atLeast"/>
              <w:rPr>
                <w:sz w:val="18"/>
                <w:szCs w:val="18"/>
              </w:rPr>
            </w:pPr>
            <w:r>
              <w:rPr>
                <w:sz w:val="18"/>
                <w:szCs w:val="18"/>
              </w:rPr>
              <w:t>Ja</w:t>
            </w:r>
          </w:p>
        </w:tc>
        <w:tc>
          <w:tcPr>
            <w:tcW w:w="1049" w:type="dxa"/>
          </w:tcPr>
          <w:p w:rsidR="00851C7D" w:rsidP="005C4DB2" w:rsidRDefault="00851C7D" w14:paraId="69BB88E6" w14:textId="123B92EE">
            <w:pPr>
              <w:widowControl w:val="0"/>
              <w:spacing w:line="240" w:lineRule="atLeast"/>
              <w:rPr>
                <w:sz w:val="18"/>
                <w:szCs w:val="18"/>
              </w:rPr>
            </w:pPr>
            <w:r>
              <w:rPr>
                <w:sz w:val="18"/>
                <w:szCs w:val="18"/>
              </w:rPr>
              <w:t>Nee</w:t>
            </w:r>
          </w:p>
        </w:tc>
        <w:tc>
          <w:tcPr>
            <w:tcW w:w="1433" w:type="dxa"/>
          </w:tcPr>
          <w:p w:rsidR="00851C7D" w:rsidP="005C4DB2" w:rsidRDefault="00851C7D" w14:paraId="5A7FDE42" w14:textId="1C63C341">
            <w:pPr>
              <w:widowControl w:val="0"/>
              <w:spacing w:line="240" w:lineRule="atLeast"/>
              <w:rPr>
                <w:sz w:val="18"/>
                <w:szCs w:val="18"/>
              </w:rPr>
            </w:pPr>
            <w:r>
              <w:rPr>
                <w:sz w:val="18"/>
                <w:szCs w:val="18"/>
              </w:rPr>
              <w:t>Ja</w:t>
            </w:r>
          </w:p>
        </w:tc>
        <w:tc>
          <w:tcPr>
            <w:tcW w:w="1291" w:type="dxa"/>
          </w:tcPr>
          <w:p w:rsidR="00851C7D" w:rsidP="005C4DB2" w:rsidRDefault="00851C7D" w14:paraId="767E69BB" w14:textId="117D8F47">
            <w:pPr>
              <w:widowControl w:val="0"/>
              <w:spacing w:line="240" w:lineRule="atLeast"/>
              <w:rPr>
                <w:sz w:val="18"/>
                <w:szCs w:val="18"/>
              </w:rPr>
            </w:pPr>
            <w:r>
              <w:rPr>
                <w:sz w:val="18"/>
                <w:szCs w:val="18"/>
              </w:rPr>
              <w:t>-</w:t>
            </w:r>
          </w:p>
        </w:tc>
        <w:tc>
          <w:tcPr>
            <w:tcW w:w="1418" w:type="dxa"/>
          </w:tcPr>
          <w:p w:rsidR="00851C7D" w:rsidP="005C4DB2" w:rsidRDefault="00851C7D" w14:paraId="6AAB3061" w14:textId="253A2DDA">
            <w:pPr>
              <w:widowControl w:val="0"/>
              <w:spacing w:line="240" w:lineRule="atLeast"/>
              <w:rPr>
                <w:b/>
                <w:bCs/>
                <w:sz w:val="18"/>
                <w:szCs w:val="18"/>
              </w:rPr>
            </w:pPr>
            <w:r>
              <w:rPr>
                <w:b/>
                <w:bCs/>
                <w:sz w:val="18"/>
                <w:szCs w:val="18"/>
              </w:rPr>
              <w:t>ECB</w:t>
            </w:r>
          </w:p>
        </w:tc>
      </w:tr>
      <w:tr w:rsidR="00851C7D" w:rsidTr="00851C7D" w14:paraId="42292F0A" w14:textId="77777777">
        <w:tc>
          <w:tcPr>
            <w:tcW w:w="834" w:type="dxa"/>
          </w:tcPr>
          <w:p w:rsidR="00851C7D" w:rsidP="005C4DB2" w:rsidRDefault="00851C7D" w14:paraId="21E5C0C3" w14:textId="665062C5">
            <w:pPr>
              <w:widowControl w:val="0"/>
              <w:spacing w:line="240" w:lineRule="atLeast"/>
              <w:rPr>
                <w:sz w:val="18"/>
                <w:szCs w:val="18"/>
              </w:rPr>
            </w:pPr>
            <w:r>
              <w:rPr>
                <w:sz w:val="18"/>
                <w:szCs w:val="18"/>
              </w:rPr>
              <w:t>Ja</w:t>
            </w:r>
          </w:p>
        </w:tc>
        <w:tc>
          <w:tcPr>
            <w:tcW w:w="1215" w:type="dxa"/>
            <w:gridSpan w:val="2"/>
          </w:tcPr>
          <w:p w:rsidR="00851C7D" w:rsidP="005C4DB2" w:rsidRDefault="00851C7D" w14:paraId="2F73C61B" w14:textId="3E766BBF">
            <w:pPr>
              <w:widowControl w:val="0"/>
              <w:spacing w:line="240" w:lineRule="atLeast"/>
              <w:rPr>
                <w:sz w:val="18"/>
                <w:szCs w:val="18"/>
              </w:rPr>
            </w:pPr>
            <w:r>
              <w:rPr>
                <w:sz w:val="18"/>
                <w:szCs w:val="18"/>
              </w:rPr>
              <w:t>Ja</w:t>
            </w:r>
          </w:p>
        </w:tc>
        <w:tc>
          <w:tcPr>
            <w:tcW w:w="1049" w:type="dxa"/>
          </w:tcPr>
          <w:p w:rsidR="00851C7D" w:rsidP="005C4DB2" w:rsidRDefault="00851C7D" w14:paraId="0783CE2E" w14:textId="4563F964">
            <w:pPr>
              <w:widowControl w:val="0"/>
              <w:spacing w:line="240" w:lineRule="atLeast"/>
              <w:rPr>
                <w:sz w:val="18"/>
                <w:szCs w:val="18"/>
              </w:rPr>
            </w:pPr>
            <w:r>
              <w:rPr>
                <w:sz w:val="18"/>
                <w:szCs w:val="18"/>
              </w:rPr>
              <w:t>Nee</w:t>
            </w:r>
          </w:p>
        </w:tc>
        <w:tc>
          <w:tcPr>
            <w:tcW w:w="1433" w:type="dxa"/>
          </w:tcPr>
          <w:p w:rsidR="00851C7D" w:rsidP="005C4DB2" w:rsidRDefault="00851C7D" w14:paraId="79D1F63B" w14:textId="7E5BCBD7">
            <w:pPr>
              <w:widowControl w:val="0"/>
              <w:spacing w:line="240" w:lineRule="atLeast"/>
              <w:rPr>
                <w:sz w:val="18"/>
                <w:szCs w:val="18"/>
              </w:rPr>
            </w:pPr>
            <w:r>
              <w:rPr>
                <w:sz w:val="18"/>
                <w:szCs w:val="18"/>
              </w:rPr>
              <w:t>Nee</w:t>
            </w:r>
          </w:p>
        </w:tc>
        <w:tc>
          <w:tcPr>
            <w:tcW w:w="1291" w:type="dxa"/>
          </w:tcPr>
          <w:p w:rsidR="00851C7D" w:rsidP="005C4DB2" w:rsidRDefault="00851C7D" w14:paraId="6689826A" w14:textId="1B507CD7">
            <w:pPr>
              <w:widowControl w:val="0"/>
              <w:spacing w:line="240" w:lineRule="atLeast"/>
              <w:rPr>
                <w:sz w:val="18"/>
                <w:szCs w:val="18"/>
              </w:rPr>
            </w:pPr>
            <w:r>
              <w:rPr>
                <w:sz w:val="18"/>
                <w:szCs w:val="18"/>
              </w:rPr>
              <w:t>Nee</w:t>
            </w:r>
          </w:p>
        </w:tc>
        <w:tc>
          <w:tcPr>
            <w:tcW w:w="1418" w:type="dxa"/>
          </w:tcPr>
          <w:p w:rsidRPr="001E4804" w:rsidR="00851C7D" w:rsidP="005C4DB2" w:rsidRDefault="00851C7D" w14:paraId="445D1631" w14:textId="4B363699">
            <w:pPr>
              <w:widowControl w:val="0"/>
              <w:spacing w:line="240" w:lineRule="atLeast"/>
              <w:rPr>
                <w:b/>
                <w:bCs/>
                <w:sz w:val="18"/>
                <w:szCs w:val="18"/>
              </w:rPr>
            </w:pPr>
            <w:r>
              <w:rPr>
                <w:b/>
                <w:bCs/>
                <w:sz w:val="18"/>
                <w:szCs w:val="18"/>
              </w:rPr>
              <w:t>NCA</w:t>
            </w:r>
          </w:p>
        </w:tc>
      </w:tr>
      <w:tr w:rsidR="00851C7D" w:rsidTr="00851C7D" w14:paraId="492C3D90" w14:textId="77777777">
        <w:tc>
          <w:tcPr>
            <w:tcW w:w="834" w:type="dxa"/>
          </w:tcPr>
          <w:p w:rsidR="00851C7D" w:rsidP="005C4DB2" w:rsidRDefault="00851C7D" w14:paraId="7340EC2E" w14:textId="71691195">
            <w:pPr>
              <w:widowControl w:val="0"/>
              <w:spacing w:line="240" w:lineRule="atLeast"/>
              <w:rPr>
                <w:sz w:val="18"/>
                <w:szCs w:val="18"/>
              </w:rPr>
            </w:pPr>
            <w:r>
              <w:rPr>
                <w:sz w:val="18"/>
                <w:szCs w:val="18"/>
              </w:rPr>
              <w:t>Nee</w:t>
            </w:r>
          </w:p>
        </w:tc>
        <w:tc>
          <w:tcPr>
            <w:tcW w:w="1215" w:type="dxa"/>
            <w:gridSpan w:val="2"/>
          </w:tcPr>
          <w:p w:rsidR="00851C7D" w:rsidP="005C4DB2" w:rsidRDefault="00851C7D" w14:paraId="6385B933" w14:textId="3BB62472">
            <w:pPr>
              <w:widowControl w:val="0"/>
              <w:spacing w:line="240" w:lineRule="atLeast"/>
              <w:rPr>
                <w:sz w:val="18"/>
                <w:szCs w:val="18"/>
              </w:rPr>
            </w:pPr>
            <w:r>
              <w:rPr>
                <w:sz w:val="18"/>
                <w:szCs w:val="18"/>
              </w:rPr>
              <w:t>Ja</w:t>
            </w:r>
          </w:p>
        </w:tc>
        <w:tc>
          <w:tcPr>
            <w:tcW w:w="1049" w:type="dxa"/>
          </w:tcPr>
          <w:p w:rsidR="00851C7D" w:rsidP="005C4DB2" w:rsidRDefault="00851C7D" w14:paraId="1C1ED742" w14:textId="6BA608D8">
            <w:pPr>
              <w:widowControl w:val="0"/>
              <w:spacing w:line="240" w:lineRule="atLeast"/>
              <w:rPr>
                <w:sz w:val="18"/>
                <w:szCs w:val="18"/>
              </w:rPr>
            </w:pPr>
            <w:r>
              <w:rPr>
                <w:sz w:val="18"/>
                <w:szCs w:val="18"/>
              </w:rPr>
              <w:t>-</w:t>
            </w:r>
          </w:p>
        </w:tc>
        <w:tc>
          <w:tcPr>
            <w:tcW w:w="1433" w:type="dxa"/>
          </w:tcPr>
          <w:p w:rsidR="00851C7D" w:rsidP="005C4DB2" w:rsidRDefault="00851C7D" w14:paraId="4D2D3DB3" w14:textId="476253C8">
            <w:pPr>
              <w:widowControl w:val="0"/>
              <w:spacing w:line="240" w:lineRule="atLeast"/>
              <w:rPr>
                <w:sz w:val="18"/>
                <w:szCs w:val="18"/>
              </w:rPr>
            </w:pPr>
            <w:r>
              <w:rPr>
                <w:sz w:val="18"/>
                <w:szCs w:val="18"/>
              </w:rPr>
              <w:t>Nee</w:t>
            </w:r>
          </w:p>
        </w:tc>
        <w:tc>
          <w:tcPr>
            <w:tcW w:w="1291" w:type="dxa"/>
          </w:tcPr>
          <w:p w:rsidR="00851C7D" w:rsidP="005C4DB2" w:rsidRDefault="00851C7D" w14:paraId="6634D0DF" w14:textId="36703BB7">
            <w:pPr>
              <w:widowControl w:val="0"/>
              <w:spacing w:line="240" w:lineRule="atLeast"/>
              <w:rPr>
                <w:sz w:val="18"/>
                <w:szCs w:val="18"/>
              </w:rPr>
            </w:pPr>
            <w:r>
              <w:rPr>
                <w:sz w:val="18"/>
                <w:szCs w:val="18"/>
              </w:rPr>
              <w:t>-</w:t>
            </w:r>
          </w:p>
        </w:tc>
        <w:tc>
          <w:tcPr>
            <w:tcW w:w="1418" w:type="dxa"/>
          </w:tcPr>
          <w:p w:rsidRPr="001E4804" w:rsidR="00851C7D" w:rsidP="005C4DB2" w:rsidRDefault="00851C7D" w14:paraId="133DE94F" w14:textId="45F37C41">
            <w:pPr>
              <w:widowControl w:val="0"/>
              <w:spacing w:line="240" w:lineRule="atLeast"/>
              <w:rPr>
                <w:b/>
                <w:bCs/>
                <w:sz w:val="18"/>
                <w:szCs w:val="18"/>
              </w:rPr>
            </w:pPr>
            <w:r>
              <w:rPr>
                <w:b/>
                <w:bCs/>
                <w:sz w:val="18"/>
                <w:szCs w:val="18"/>
              </w:rPr>
              <w:t>NCA</w:t>
            </w:r>
          </w:p>
        </w:tc>
      </w:tr>
      <w:tr w:rsidR="00851C7D" w:rsidTr="00851C7D" w14:paraId="08CF8106" w14:textId="77777777">
        <w:tc>
          <w:tcPr>
            <w:tcW w:w="834" w:type="dxa"/>
          </w:tcPr>
          <w:p w:rsidR="00851C7D" w:rsidP="005C4DB2" w:rsidRDefault="00851C7D" w14:paraId="456E2CD3" w14:textId="50D3730C">
            <w:pPr>
              <w:widowControl w:val="0"/>
              <w:spacing w:line="240" w:lineRule="atLeast"/>
              <w:rPr>
                <w:sz w:val="18"/>
                <w:szCs w:val="18"/>
              </w:rPr>
            </w:pPr>
            <w:r>
              <w:rPr>
                <w:sz w:val="18"/>
                <w:szCs w:val="18"/>
              </w:rPr>
              <w:t>Nee</w:t>
            </w:r>
          </w:p>
        </w:tc>
        <w:tc>
          <w:tcPr>
            <w:tcW w:w="1215" w:type="dxa"/>
            <w:gridSpan w:val="2"/>
          </w:tcPr>
          <w:p w:rsidR="00851C7D" w:rsidP="005C4DB2" w:rsidRDefault="00851C7D" w14:paraId="2EBA71F2" w14:textId="661CB6AA">
            <w:pPr>
              <w:widowControl w:val="0"/>
              <w:spacing w:line="240" w:lineRule="atLeast"/>
              <w:rPr>
                <w:sz w:val="18"/>
                <w:szCs w:val="18"/>
              </w:rPr>
            </w:pPr>
            <w:r>
              <w:rPr>
                <w:sz w:val="18"/>
                <w:szCs w:val="18"/>
              </w:rPr>
              <w:t>Ja</w:t>
            </w:r>
          </w:p>
        </w:tc>
        <w:tc>
          <w:tcPr>
            <w:tcW w:w="1049" w:type="dxa"/>
          </w:tcPr>
          <w:p w:rsidR="00851C7D" w:rsidP="005C4DB2" w:rsidRDefault="00851C7D" w14:paraId="41B21BD8" w14:textId="3D05C43E">
            <w:pPr>
              <w:widowControl w:val="0"/>
              <w:spacing w:line="240" w:lineRule="atLeast"/>
              <w:rPr>
                <w:sz w:val="18"/>
                <w:szCs w:val="18"/>
              </w:rPr>
            </w:pPr>
            <w:r>
              <w:rPr>
                <w:sz w:val="18"/>
                <w:szCs w:val="18"/>
              </w:rPr>
              <w:t>-</w:t>
            </w:r>
          </w:p>
        </w:tc>
        <w:tc>
          <w:tcPr>
            <w:tcW w:w="1433" w:type="dxa"/>
          </w:tcPr>
          <w:p w:rsidR="00851C7D" w:rsidP="005C4DB2" w:rsidRDefault="00851C7D" w14:paraId="5F70C304" w14:textId="24201FC0">
            <w:pPr>
              <w:widowControl w:val="0"/>
              <w:spacing w:line="240" w:lineRule="atLeast"/>
              <w:rPr>
                <w:sz w:val="18"/>
                <w:szCs w:val="18"/>
              </w:rPr>
            </w:pPr>
            <w:r>
              <w:rPr>
                <w:sz w:val="18"/>
                <w:szCs w:val="18"/>
              </w:rPr>
              <w:t>Ja</w:t>
            </w:r>
          </w:p>
        </w:tc>
        <w:tc>
          <w:tcPr>
            <w:tcW w:w="1291" w:type="dxa"/>
          </w:tcPr>
          <w:p w:rsidR="00851C7D" w:rsidP="005C4DB2" w:rsidRDefault="00851C7D" w14:paraId="68E2F985" w14:textId="78F39C1C">
            <w:pPr>
              <w:widowControl w:val="0"/>
              <w:spacing w:line="240" w:lineRule="atLeast"/>
              <w:rPr>
                <w:sz w:val="18"/>
                <w:szCs w:val="18"/>
              </w:rPr>
            </w:pPr>
            <w:r>
              <w:rPr>
                <w:sz w:val="18"/>
                <w:szCs w:val="18"/>
              </w:rPr>
              <w:t>-</w:t>
            </w:r>
          </w:p>
        </w:tc>
        <w:tc>
          <w:tcPr>
            <w:tcW w:w="1418" w:type="dxa"/>
          </w:tcPr>
          <w:p w:rsidR="00851C7D" w:rsidP="005C4DB2" w:rsidRDefault="00851C7D" w14:paraId="668B4B2A" w14:textId="1790AD9D">
            <w:pPr>
              <w:widowControl w:val="0"/>
              <w:spacing w:line="240" w:lineRule="atLeast"/>
              <w:rPr>
                <w:b/>
                <w:bCs/>
                <w:sz w:val="18"/>
                <w:szCs w:val="18"/>
              </w:rPr>
            </w:pPr>
            <w:r>
              <w:rPr>
                <w:b/>
                <w:bCs/>
                <w:sz w:val="18"/>
                <w:szCs w:val="18"/>
              </w:rPr>
              <w:t>ECB</w:t>
            </w:r>
          </w:p>
        </w:tc>
      </w:tr>
      <w:tr w:rsidR="00851C7D" w:rsidTr="00851C7D" w14:paraId="5D2DA0D0" w14:textId="77777777">
        <w:tc>
          <w:tcPr>
            <w:tcW w:w="834" w:type="dxa"/>
          </w:tcPr>
          <w:p w:rsidR="00851C7D" w:rsidP="005C4DB2" w:rsidRDefault="00851C7D" w14:paraId="2CEDD657" w14:textId="21BB2EFB">
            <w:pPr>
              <w:widowControl w:val="0"/>
              <w:spacing w:line="240" w:lineRule="atLeast"/>
              <w:rPr>
                <w:sz w:val="18"/>
                <w:szCs w:val="18"/>
              </w:rPr>
            </w:pPr>
            <w:r>
              <w:rPr>
                <w:sz w:val="18"/>
                <w:szCs w:val="18"/>
              </w:rPr>
              <w:t>Nee</w:t>
            </w:r>
          </w:p>
        </w:tc>
        <w:tc>
          <w:tcPr>
            <w:tcW w:w="1215" w:type="dxa"/>
            <w:gridSpan w:val="2"/>
          </w:tcPr>
          <w:p w:rsidR="00851C7D" w:rsidP="005C4DB2" w:rsidRDefault="00851C7D" w14:paraId="3B449C6D" w14:textId="190A8372">
            <w:pPr>
              <w:widowControl w:val="0"/>
              <w:spacing w:line="240" w:lineRule="atLeast"/>
              <w:rPr>
                <w:sz w:val="18"/>
                <w:szCs w:val="18"/>
              </w:rPr>
            </w:pPr>
            <w:r>
              <w:rPr>
                <w:sz w:val="18"/>
                <w:szCs w:val="18"/>
              </w:rPr>
              <w:t>Nee</w:t>
            </w:r>
          </w:p>
        </w:tc>
        <w:tc>
          <w:tcPr>
            <w:tcW w:w="1049" w:type="dxa"/>
          </w:tcPr>
          <w:p w:rsidR="00851C7D" w:rsidP="005C4DB2" w:rsidRDefault="00851C7D" w14:paraId="5231CCC0" w14:textId="68ED850C">
            <w:pPr>
              <w:widowControl w:val="0"/>
              <w:spacing w:line="240" w:lineRule="atLeast"/>
              <w:rPr>
                <w:sz w:val="18"/>
                <w:szCs w:val="18"/>
              </w:rPr>
            </w:pPr>
            <w:r>
              <w:rPr>
                <w:sz w:val="18"/>
                <w:szCs w:val="18"/>
              </w:rPr>
              <w:t>-</w:t>
            </w:r>
          </w:p>
        </w:tc>
        <w:tc>
          <w:tcPr>
            <w:tcW w:w="1433" w:type="dxa"/>
          </w:tcPr>
          <w:p w:rsidR="00851C7D" w:rsidP="005C4DB2" w:rsidRDefault="00851C7D" w14:paraId="5B88C2B5" w14:textId="5DF38EE1">
            <w:pPr>
              <w:widowControl w:val="0"/>
              <w:spacing w:line="240" w:lineRule="atLeast"/>
              <w:rPr>
                <w:sz w:val="18"/>
                <w:szCs w:val="18"/>
              </w:rPr>
            </w:pPr>
            <w:r>
              <w:rPr>
                <w:sz w:val="18"/>
                <w:szCs w:val="18"/>
              </w:rPr>
              <w:t>-</w:t>
            </w:r>
          </w:p>
        </w:tc>
        <w:tc>
          <w:tcPr>
            <w:tcW w:w="1291" w:type="dxa"/>
          </w:tcPr>
          <w:p w:rsidR="00851C7D" w:rsidP="005C4DB2" w:rsidRDefault="00851C7D" w14:paraId="28A2753E" w14:textId="01476F05">
            <w:pPr>
              <w:widowControl w:val="0"/>
              <w:spacing w:line="240" w:lineRule="atLeast"/>
              <w:rPr>
                <w:sz w:val="18"/>
                <w:szCs w:val="18"/>
              </w:rPr>
            </w:pPr>
            <w:r>
              <w:rPr>
                <w:sz w:val="18"/>
                <w:szCs w:val="18"/>
              </w:rPr>
              <w:t>-</w:t>
            </w:r>
          </w:p>
        </w:tc>
        <w:tc>
          <w:tcPr>
            <w:tcW w:w="1418" w:type="dxa"/>
          </w:tcPr>
          <w:p w:rsidR="00851C7D" w:rsidP="005C4DB2" w:rsidRDefault="00851C7D" w14:paraId="7B789D0B" w14:textId="3CE6AC0F">
            <w:pPr>
              <w:widowControl w:val="0"/>
              <w:spacing w:line="240" w:lineRule="atLeast"/>
              <w:rPr>
                <w:b/>
                <w:bCs/>
                <w:sz w:val="18"/>
                <w:szCs w:val="18"/>
              </w:rPr>
            </w:pPr>
            <w:r>
              <w:rPr>
                <w:b/>
                <w:bCs/>
                <w:sz w:val="18"/>
                <w:szCs w:val="18"/>
              </w:rPr>
              <w:t>NCA</w:t>
            </w:r>
          </w:p>
        </w:tc>
      </w:tr>
    </w:tbl>
    <w:bookmarkEnd w:id="10"/>
    <w:p w:rsidRPr="001506F4" w:rsidR="001506F4" w:rsidP="001506F4" w:rsidRDefault="00AB28D4" w14:paraId="33EA3999" w14:textId="74C1BE73">
      <w:pPr>
        <w:widowControl w:val="0"/>
        <w:spacing w:line="240" w:lineRule="atLeast"/>
      </w:pPr>
      <w:r>
        <w:rPr>
          <w:sz w:val="18"/>
          <w:szCs w:val="18"/>
        </w:rPr>
        <w:t xml:space="preserve"> </w:t>
      </w:r>
      <w:r w:rsidRPr="001506F4" w:rsidR="001506F4">
        <w:t xml:space="preserve">Tabel </w:t>
      </w:r>
      <w:r w:rsidR="001506F4">
        <w:t>4</w:t>
      </w:r>
      <w:r w:rsidRPr="001506F4" w:rsidR="001506F4">
        <w:t xml:space="preserve">: Overzicht toezicht op een </w:t>
      </w:r>
      <w:r w:rsidR="001506F4">
        <w:t xml:space="preserve">(gemengde) financiële holding </w:t>
      </w:r>
      <w:r w:rsidRPr="001506F4" w:rsidR="001506F4">
        <w:t>in Nederland</w:t>
      </w:r>
    </w:p>
    <w:p w:rsidRPr="00AB28D4" w:rsidR="00AB28D4" w:rsidP="00433782" w:rsidRDefault="00AB28D4" w14:paraId="57573599" w14:textId="3BB0718F">
      <w:pPr>
        <w:widowControl w:val="0"/>
        <w:spacing w:line="240" w:lineRule="atLeast"/>
        <w:rPr>
          <w:sz w:val="18"/>
          <w:szCs w:val="18"/>
        </w:rPr>
      </w:pPr>
    </w:p>
    <w:p w:rsidR="00584E42" w:rsidP="001E56AB" w:rsidRDefault="00584E42" w14:paraId="1623B760" w14:textId="62C9C758">
      <w:pPr>
        <w:widowControl w:val="0"/>
        <w:spacing w:line="240" w:lineRule="atLeast"/>
        <w:rPr>
          <w:sz w:val="18"/>
          <w:szCs w:val="18"/>
        </w:rPr>
      </w:pPr>
      <w:r>
        <w:rPr>
          <w:sz w:val="18"/>
          <w:szCs w:val="18"/>
        </w:rPr>
        <w:t>Het tweede lid van artikel 3:96c</w:t>
      </w:r>
      <w:r w:rsidR="007472E1">
        <w:rPr>
          <w:sz w:val="18"/>
          <w:szCs w:val="18"/>
        </w:rPr>
        <w:t xml:space="preserve"> Wft</w:t>
      </w:r>
      <w:r>
        <w:rPr>
          <w:sz w:val="18"/>
          <w:szCs w:val="18"/>
        </w:rPr>
        <w:t xml:space="preserve"> schrijft voor dat een (gemengde) financiële holding een verklaring aanvraagt bij DNB, de ECB of de toezichthoudende instantie van een andere lidstaat, al naar gelang welke toezichthouder de consoliderende toezichthouder van de (gemengde) financiële holding is. </w:t>
      </w:r>
      <w:r w:rsidR="001E1330">
        <w:rPr>
          <w:sz w:val="18"/>
          <w:szCs w:val="18"/>
        </w:rPr>
        <w:t xml:space="preserve">Het derde lid schrijft voor dat DNB, als nationale toezichthouder, een besluit neemt over </w:t>
      </w:r>
      <w:r w:rsidR="001E1330">
        <w:rPr>
          <w:sz w:val="18"/>
          <w:szCs w:val="18"/>
        </w:rPr>
        <w:lastRenderedPageBreak/>
        <w:t xml:space="preserve">de aanvraag van de holding, ook als die aanvraag bij de consoliderende toezichthouder gedaan is. Artikel 27 quater, tweede en derde lid, CRD voorzien in een samenwerkingskader om gezamenlijk tot een dergelijk besluit te komen. Deze samenwerking is nodig omdat de consoliderende toezichthouder geen jurisdictie heeft in Nederland waar de (gemengde) financiële holding is </w:t>
      </w:r>
      <w:r w:rsidR="002D5624">
        <w:rPr>
          <w:sz w:val="18"/>
          <w:szCs w:val="18"/>
        </w:rPr>
        <w:t>gezeteld</w:t>
      </w:r>
      <w:r w:rsidR="000D2494">
        <w:rPr>
          <w:sz w:val="18"/>
          <w:szCs w:val="18"/>
        </w:rPr>
        <w:t xml:space="preserve"> en</w:t>
      </w:r>
      <w:r w:rsidR="001E1330">
        <w:rPr>
          <w:sz w:val="18"/>
          <w:szCs w:val="18"/>
        </w:rPr>
        <w:t xml:space="preserve"> geen besluit onder Nederlands recht kan nemen. Daarom zal de consoliderende toezichthouder overeenstemming moeten vinden met de nationale bevoegde autoriteit (in casu DNB) om een besluit te kunnen nemen over de vvgb voor een (gemengde) financiële holding.</w:t>
      </w:r>
    </w:p>
    <w:p w:rsidR="001E1330" w:rsidP="001E56AB" w:rsidRDefault="001E1330" w14:paraId="72E53DAA" w14:textId="77777777">
      <w:pPr>
        <w:widowControl w:val="0"/>
        <w:spacing w:line="240" w:lineRule="atLeast"/>
        <w:rPr>
          <w:sz w:val="18"/>
          <w:szCs w:val="18"/>
        </w:rPr>
      </w:pPr>
    </w:p>
    <w:p w:rsidR="001E1330" w:rsidP="001E56AB" w:rsidRDefault="001E1330" w14:paraId="2195723E" w14:textId="6CE35797">
      <w:pPr>
        <w:widowControl w:val="0"/>
        <w:spacing w:line="240" w:lineRule="atLeast"/>
        <w:rPr>
          <w:sz w:val="18"/>
          <w:szCs w:val="18"/>
        </w:rPr>
      </w:pPr>
      <w:r>
        <w:rPr>
          <w:sz w:val="18"/>
          <w:szCs w:val="18"/>
        </w:rPr>
        <w:t xml:space="preserve">Het </w:t>
      </w:r>
      <w:r w:rsidR="00E14CAC">
        <w:rPr>
          <w:sz w:val="18"/>
          <w:szCs w:val="18"/>
        </w:rPr>
        <w:t>derde</w:t>
      </w:r>
      <w:r>
        <w:rPr>
          <w:sz w:val="18"/>
          <w:szCs w:val="18"/>
        </w:rPr>
        <w:t xml:space="preserve"> en </w:t>
      </w:r>
      <w:r w:rsidR="00E14CAC">
        <w:rPr>
          <w:sz w:val="18"/>
          <w:szCs w:val="18"/>
        </w:rPr>
        <w:t>vierde</w:t>
      </w:r>
      <w:r>
        <w:rPr>
          <w:sz w:val="18"/>
          <w:szCs w:val="18"/>
        </w:rPr>
        <w:t xml:space="preserve"> lid van artikel 3:96c</w:t>
      </w:r>
      <w:r w:rsidR="007472E1">
        <w:rPr>
          <w:sz w:val="18"/>
          <w:szCs w:val="18"/>
        </w:rPr>
        <w:t xml:space="preserve"> Wft</w:t>
      </w:r>
      <w:r>
        <w:rPr>
          <w:sz w:val="18"/>
          <w:szCs w:val="18"/>
        </w:rPr>
        <w:t xml:space="preserve"> zijn het evenbeeld van artikel 3:96a, vijfde en zesde lid, met betrekking tot de vereisten over het moment van indienen van een vvgb bij een fusie of splitsing en de delegatiegrondslag voor de gegevens die bij de aanvraag van een vvgb aangeleverd moeten worden.</w:t>
      </w:r>
    </w:p>
    <w:p w:rsidR="00BD2543" w:rsidP="001E56AB" w:rsidRDefault="00BD2543" w14:paraId="23C62805" w14:textId="77777777">
      <w:pPr>
        <w:widowControl w:val="0"/>
        <w:spacing w:line="240" w:lineRule="atLeast"/>
        <w:rPr>
          <w:sz w:val="18"/>
          <w:szCs w:val="18"/>
        </w:rPr>
      </w:pPr>
    </w:p>
    <w:p w:rsidR="00BD2543" w:rsidP="001E56AB" w:rsidRDefault="00BD2543" w14:paraId="2A6C03ED" w14:textId="20AB619E">
      <w:pPr>
        <w:widowControl w:val="0"/>
        <w:spacing w:line="240" w:lineRule="atLeast"/>
        <w:rPr>
          <w:i/>
          <w:iCs/>
          <w:sz w:val="18"/>
          <w:szCs w:val="18"/>
        </w:rPr>
      </w:pPr>
      <w:r>
        <w:rPr>
          <w:i/>
          <w:iCs/>
          <w:sz w:val="18"/>
          <w:szCs w:val="18"/>
        </w:rPr>
        <w:t>3:96d</w:t>
      </w:r>
    </w:p>
    <w:p w:rsidRPr="00BD2543" w:rsidR="00BD2543" w:rsidP="001E56AB" w:rsidRDefault="00BD2543" w14:paraId="6D4C83F4" w14:textId="28667542">
      <w:pPr>
        <w:widowControl w:val="0"/>
        <w:spacing w:line="240" w:lineRule="atLeast"/>
        <w:rPr>
          <w:sz w:val="18"/>
          <w:szCs w:val="18"/>
        </w:rPr>
      </w:pPr>
      <w:r>
        <w:rPr>
          <w:sz w:val="18"/>
          <w:szCs w:val="18"/>
        </w:rPr>
        <w:t>Artikel 3:96d Wft ziet op de kennisgeving die (gemengde) financiële holdings moeten doen op het moment dat zij een deelneming van betekenis afstoten, dan wel een overname of overdracht van activa of passiva uitvoeren die van materieel belang is. Het is hiermee de evenknie van artikel 3:96b Wft. Het tweede lid voorziet in een delegatiegrondslag om bij algemene maatregel van bestuur te bepalen welke gegevens aangeleverd moeten worden bij de kennisgeving.</w:t>
      </w:r>
    </w:p>
    <w:p w:rsidR="001E1330" w:rsidP="001E56AB" w:rsidRDefault="001E1330" w14:paraId="5A19A1AA" w14:textId="77777777">
      <w:pPr>
        <w:widowControl w:val="0"/>
        <w:spacing w:line="240" w:lineRule="atLeast"/>
        <w:rPr>
          <w:sz w:val="18"/>
          <w:szCs w:val="18"/>
        </w:rPr>
      </w:pPr>
    </w:p>
    <w:p w:rsidR="00BD2543" w:rsidP="001E56AB" w:rsidRDefault="00BD2543" w14:paraId="3B692703" w14:textId="20313DA5">
      <w:pPr>
        <w:widowControl w:val="0"/>
        <w:spacing w:line="240" w:lineRule="atLeast"/>
        <w:rPr>
          <w:i/>
          <w:iCs/>
          <w:sz w:val="18"/>
          <w:szCs w:val="18"/>
        </w:rPr>
      </w:pPr>
      <w:r>
        <w:rPr>
          <w:i/>
          <w:iCs/>
          <w:sz w:val="18"/>
          <w:szCs w:val="18"/>
        </w:rPr>
        <w:t>3:96e</w:t>
      </w:r>
    </w:p>
    <w:p w:rsidR="002D5624" w:rsidP="00E162D9" w:rsidRDefault="00BD2543" w14:paraId="42FC664D" w14:textId="375506F0">
      <w:pPr>
        <w:widowControl w:val="0"/>
        <w:spacing w:line="240" w:lineRule="atLeast"/>
        <w:rPr>
          <w:sz w:val="18"/>
          <w:szCs w:val="18"/>
        </w:rPr>
      </w:pPr>
      <w:r w:rsidRPr="00BD2543">
        <w:rPr>
          <w:sz w:val="18"/>
          <w:szCs w:val="18"/>
        </w:rPr>
        <w:t>Artikel 3:</w:t>
      </w:r>
      <w:r w:rsidR="00E14CAC">
        <w:rPr>
          <w:sz w:val="18"/>
          <w:szCs w:val="18"/>
        </w:rPr>
        <w:t>96</w:t>
      </w:r>
      <w:r w:rsidRPr="00BD2543">
        <w:rPr>
          <w:sz w:val="18"/>
          <w:szCs w:val="18"/>
        </w:rPr>
        <w:t xml:space="preserve">e, eerste lid, Wft regelt de situatie dat DNB de consoliderende toezichthouder is van een holding met zetel in een andere lidstaat </w:t>
      </w:r>
      <w:r>
        <w:rPr>
          <w:sz w:val="18"/>
          <w:szCs w:val="18"/>
        </w:rPr>
        <w:t xml:space="preserve">die een kennisgeving als bedoeld in de artikelen 27 bis, eerste lid, of 27 septies, eerste lid, CRD ontvangt en beoordeelt. </w:t>
      </w:r>
      <w:r w:rsidR="00E162D9">
        <w:rPr>
          <w:sz w:val="18"/>
          <w:szCs w:val="18"/>
        </w:rPr>
        <w:t>Deze gevallen kunnen plaatsvinden als de (gemengde) financiële holding</w:t>
      </w:r>
      <w:r w:rsidR="00896381">
        <w:rPr>
          <w:sz w:val="18"/>
          <w:szCs w:val="18"/>
        </w:rPr>
        <w:t xml:space="preserve"> in een andere lidstaat</w:t>
      </w:r>
      <w:r w:rsidR="00E162D9">
        <w:rPr>
          <w:sz w:val="18"/>
          <w:szCs w:val="18"/>
        </w:rPr>
        <w:t xml:space="preserve"> de moederonderneming is van een bank die in Nederland is </w:t>
      </w:r>
      <w:r w:rsidR="002D5624">
        <w:rPr>
          <w:sz w:val="18"/>
          <w:szCs w:val="18"/>
        </w:rPr>
        <w:t>gezeteld</w:t>
      </w:r>
      <w:r w:rsidR="00E162D9">
        <w:rPr>
          <w:sz w:val="18"/>
          <w:szCs w:val="18"/>
        </w:rPr>
        <w:t xml:space="preserve">. </w:t>
      </w:r>
      <w:r w:rsidRPr="00E162D9" w:rsidR="00E162D9">
        <w:rPr>
          <w:sz w:val="18"/>
          <w:szCs w:val="18"/>
        </w:rPr>
        <w:t xml:space="preserve">DNB </w:t>
      </w:r>
      <w:r w:rsidR="00E162D9">
        <w:rPr>
          <w:sz w:val="18"/>
          <w:szCs w:val="18"/>
        </w:rPr>
        <w:t xml:space="preserve">is dan op grond van artikel 111, tweede lid, CRD de consoliderende toezichthouder indien de in Nederland </w:t>
      </w:r>
      <w:r w:rsidR="002D5624">
        <w:rPr>
          <w:sz w:val="18"/>
          <w:szCs w:val="18"/>
        </w:rPr>
        <w:t>gezetelde</w:t>
      </w:r>
      <w:r w:rsidR="00E162D9">
        <w:rPr>
          <w:sz w:val="18"/>
          <w:szCs w:val="18"/>
        </w:rPr>
        <w:t xml:space="preserve"> bank de grootste dochterbank</w:t>
      </w:r>
      <w:r w:rsidR="002D5624">
        <w:rPr>
          <w:sz w:val="18"/>
          <w:szCs w:val="18"/>
        </w:rPr>
        <w:t xml:space="preserve"> is van </w:t>
      </w:r>
      <w:r w:rsidR="00896381">
        <w:rPr>
          <w:sz w:val="18"/>
          <w:szCs w:val="18"/>
        </w:rPr>
        <w:t xml:space="preserve">die </w:t>
      </w:r>
      <w:r w:rsidR="002D5624">
        <w:rPr>
          <w:sz w:val="18"/>
          <w:szCs w:val="18"/>
        </w:rPr>
        <w:t>(gemengde) financiële moederholding. Voorwaarde is dat de Nederlandse dochterbank niet-significant is, nu Nederland een deelnemende lidstaat is. Indien de dochterbank wel significant is, is de ECB de consoliderende toezichthouder.</w:t>
      </w:r>
    </w:p>
    <w:p w:rsidR="00C9706C" w:rsidP="002D5624" w:rsidRDefault="00C9706C" w14:paraId="26E7174C" w14:textId="77777777">
      <w:pPr>
        <w:widowControl w:val="0"/>
        <w:spacing w:line="240" w:lineRule="atLeast"/>
        <w:rPr>
          <w:sz w:val="18"/>
          <w:szCs w:val="18"/>
        </w:rPr>
      </w:pPr>
    </w:p>
    <w:p w:rsidR="002D5624" w:rsidP="002D5624" w:rsidRDefault="002D5624" w14:paraId="7C5EDE59" w14:textId="1F4E5042">
      <w:pPr>
        <w:widowControl w:val="0"/>
        <w:spacing w:line="240" w:lineRule="atLeast"/>
        <w:rPr>
          <w:sz w:val="18"/>
          <w:szCs w:val="18"/>
        </w:rPr>
      </w:pPr>
      <w:r w:rsidRPr="002D5624">
        <w:rPr>
          <w:sz w:val="18"/>
          <w:szCs w:val="18"/>
        </w:rPr>
        <w:t xml:space="preserve">Voor een (gemengde) financiële holding die is gezeteld in een deelnemende lidstaat en waarvan de grootste dochterbank significant is en haar zetel heeft in Nederland, is de ECB de consoliderende toezichthouder (gezien artikel 111, tweede lid, </w:t>
      </w:r>
      <w:r w:rsidR="001E09D2">
        <w:rPr>
          <w:sz w:val="18"/>
          <w:szCs w:val="18"/>
        </w:rPr>
        <w:t>CRD</w:t>
      </w:r>
      <w:r w:rsidRPr="002D5624">
        <w:rPr>
          <w:sz w:val="18"/>
          <w:szCs w:val="18"/>
        </w:rPr>
        <w:t xml:space="preserve"> i</w:t>
      </w:r>
      <w:r w:rsidR="00C9706C">
        <w:rPr>
          <w:sz w:val="18"/>
          <w:szCs w:val="18"/>
        </w:rPr>
        <w:t>n combinatie met</w:t>
      </w:r>
      <w:r w:rsidRPr="002D5624">
        <w:rPr>
          <w:sz w:val="18"/>
          <w:szCs w:val="18"/>
        </w:rPr>
        <w:t xml:space="preserve"> de artikelen 4 en 6 van de verordening bankentoezicht)</w:t>
      </w:r>
      <w:r w:rsidR="007F010F">
        <w:rPr>
          <w:sz w:val="18"/>
          <w:szCs w:val="18"/>
        </w:rPr>
        <w:t>.</w:t>
      </w:r>
      <w:r w:rsidRPr="002D5624">
        <w:rPr>
          <w:sz w:val="18"/>
          <w:szCs w:val="18"/>
        </w:rPr>
        <w:t xml:space="preserve"> </w:t>
      </w:r>
      <w:r w:rsidR="007F010F">
        <w:rPr>
          <w:sz w:val="18"/>
          <w:szCs w:val="18"/>
        </w:rPr>
        <w:t>I</w:t>
      </w:r>
      <w:r w:rsidRPr="002D5624">
        <w:rPr>
          <w:sz w:val="18"/>
          <w:szCs w:val="18"/>
        </w:rPr>
        <w:t xml:space="preserve">n dit geval is de ECB tevens de bevoegde autoriteit van de deelnemende lidstaat waar de holding is gezeteld (gezien de artikelen 4, 6 en 9 van de verordening bankentoezicht) en dus zelfstandig bevoegd te besluiten omtrent de </w:t>
      </w:r>
      <w:r>
        <w:rPr>
          <w:sz w:val="18"/>
          <w:szCs w:val="18"/>
        </w:rPr>
        <w:t>kennisgeving</w:t>
      </w:r>
      <w:r w:rsidRPr="002D5624">
        <w:rPr>
          <w:sz w:val="18"/>
          <w:szCs w:val="18"/>
        </w:rPr>
        <w:t xml:space="preserve"> van deze holding.</w:t>
      </w:r>
    </w:p>
    <w:p w:rsidR="002D5624" w:rsidP="00E162D9" w:rsidRDefault="002D5624" w14:paraId="19DDF9A0" w14:textId="77777777">
      <w:pPr>
        <w:widowControl w:val="0"/>
        <w:spacing w:line="240" w:lineRule="atLeast"/>
        <w:rPr>
          <w:sz w:val="18"/>
          <w:szCs w:val="18"/>
        </w:rPr>
      </w:pPr>
    </w:p>
    <w:p w:rsidR="00BD2543" w:rsidP="003F62E4" w:rsidRDefault="00BD2543" w14:paraId="77478C83" w14:textId="6C033FDE">
      <w:pPr>
        <w:widowControl w:val="0"/>
        <w:spacing w:line="240" w:lineRule="atLeast"/>
        <w:rPr>
          <w:sz w:val="18"/>
          <w:szCs w:val="18"/>
        </w:rPr>
      </w:pPr>
      <w:r w:rsidRPr="00BD2543">
        <w:rPr>
          <w:sz w:val="18"/>
          <w:szCs w:val="18"/>
        </w:rPr>
        <w:t>In</w:t>
      </w:r>
      <w:r>
        <w:rPr>
          <w:sz w:val="18"/>
          <w:szCs w:val="18"/>
        </w:rPr>
        <w:t xml:space="preserve"> </w:t>
      </w:r>
      <w:r w:rsidRPr="00BD2543">
        <w:rPr>
          <w:sz w:val="18"/>
          <w:szCs w:val="18"/>
        </w:rPr>
        <w:t xml:space="preserve">deze gevallen ligt het voor de hand dat de gezamenlijke besluiten omtrent </w:t>
      </w:r>
      <w:r w:rsidR="002D5624">
        <w:rPr>
          <w:sz w:val="18"/>
          <w:szCs w:val="18"/>
        </w:rPr>
        <w:t>de kennisgeving en de beoordeling</w:t>
      </w:r>
      <w:r w:rsidRPr="00BD2543">
        <w:rPr>
          <w:sz w:val="18"/>
          <w:szCs w:val="18"/>
        </w:rPr>
        <w:t xml:space="preserve"> worden genomen op grond van het toepasselijk recht dat geldt voor de holding met zetel in de andere lidstaat. In het geval dat het recht van de lidstaat waarin de holding is gezeteld niet voorziet in de mogelijkheid een dergelijk besluit te nemen, of de toezichthouders gezamenlijk van mening zijn dat het besluit beter genomen kan worden op grond van het recht van de lidstaat van de consoliderende toezichthouder is voorzien in dit artikel. </w:t>
      </w:r>
      <w:r w:rsidR="003F62E4">
        <w:rPr>
          <w:sz w:val="18"/>
          <w:szCs w:val="18"/>
        </w:rPr>
        <w:t>De artikelen 27 quater, tweede en derde lid, en 27 duodecies, eerste en tweede lid, CRD</w:t>
      </w:r>
      <w:r w:rsidR="007F010F">
        <w:rPr>
          <w:sz w:val="18"/>
          <w:szCs w:val="18"/>
        </w:rPr>
        <w:t>,</w:t>
      </w:r>
      <w:r w:rsidR="003F62E4">
        <w:rPr>
          <w:sz w:val="18"/>
          <w:szCs w:val="18"/>
        </w:rPr>
        <w:t xml:space="preserve"> </w:t>
      </w:r>
      <w:r w:rsidR="002D5624">
        <w:rPr>
          <w:sz w:val="18"/>
          <w:szCs w:val="18"/>
        </w:rPr>
        <w:t>die genoemd worden in het derde lid van artikel 3:96e Wft</w:t>
      </w:r>
      <w:r w:rsidR="007F010F">
        <w:rPr>
          <w:sz w:val="18"/>
          <w:szCs w:val="18"/>
        </w:rPr>
        <w:t>,</w:t>
      </w:r>
      <w:r w:rsidR="002D5624">
        <w:rPr>
          <w:sz w:val="18"/>
          <w:szCs w:val="18"/>
        </w:rPr>
        <w:t xml:space="preserve"> </w:t>
      </w:r>
      <w:r w:rsidR="003F62E4">
        <w:rPr>
          <w:sz w:val="18"/>
          <w:szCs w:val="18"/>
        </w:rPr>
        <w:t>voorzien in samenwerkingsbepalingen voor de toezichthouders die dergelijke kennisgevingen moeten beoordelen.</w:t>
      </w:r>
    </w:p>
    <w:p w:rsidR="00CF6DEC" w:rsidP="003F62E4" w:rsidRDefault="00CF6DEC" w14:paraId="50637DBC" w14:textId="77777777">
      <w:pPr>
        <w:widowControl w:val="0"/>
        <w:spacing w:line="240" w:lineRule="atLeast"/>
        <w:rPr>
          <w:sz w:val="18"/>
          <w:szCs w:val="18"/>
        </w:rPr>
      </w:pPr>
    </w:p>
    <w:p w:rsidR="008405ED" w:rsidP="003F62E4" w:rsidRDefault="006B5C8D" w14:paraId="1DF04D90" w14:textId="6CE1C5FD">
      <w:pPr>
        <w:widowControl w:val="0"/>
        <w:spacing w:line="240" w:lineRule="atLeast"/>
        <w:rPr>
          <w:sz w:val="18"/>
          <w:szCs w:val="18"/>
        </w:rPr>
      </w:pPr>
      <w:r>
        <w:rPr>
          <w:sz w:val="18"/>
          <w:szCs w:val="18"/>
        </w:rPr>
        <w:t>FFF</w:t>
      </w:r>
      <w:r w:rsidR="008405ED">
        <w:rPr>
          <w:sz w:val="18"/>
          <w:szCs w:val="18"/>
        </w:rPr>
        <w:t xml:space="preserve"> (3:98)</w:t>
      </w:r>
    </w:p>
    <w:p w:rsidR="008405ED" w:rsidP="003F62E4" w:rsidRDefault="008405ED" w14:paraId="715130FC" w14:textId="77777777">
      <w:pPr>
        <w:widowControl w:val="0"/>
        <w:spacing w:line="240" w:lineRule="atLeast"/>
        <w:rPr>
          <w:sz w:val="18"/>
          <w:szCs w:val="18"/>
        </w:rPr>
      </w:pPr>
    </w:p>
    <w:p w:rsidR="008405ED" w:rsidP="003F62E4" w:rsidRDefault="008405ED" w14:paraId="3AB04D0E" w14:textId="4CB51B33">
      <w:pPr>
        <w:widowControl w:val="0"/>
        <w:spacing w:line="240" w:lineRule="atLeast"/>
        <w:rPr>
          <w:sz w:val="18"/>
          <w:szCs w:val="18"/>
        </w:rPr>
      </w:pPr>
      <w:r>
        <w:rPr>
          <w:sz w:val="18"/>
          <w:szCs w:val="18"/>
        </w:rPr>
        <w:t>In artikel 3:98</w:t>
      </w:r>
      <w:r w:rsidR="00BF7365">
        <w:rPr>
          <w:sz w:val="18"/>
          <w:szCs w:val="18"/>
        </w:rPr>
        <w:t xml:space="preserve"> Wft</w:t>
      </w:r>
      <w:r>
        <w:rPr>
          <w:sz w:val="18"/>
          <w:szCs w:val="18"/>
        </w:rPr>
        <w:t xml:space="preserve"> vervallen de eerste twee leden. Dit waren samenloopbepalingen voor vvgb’s indien er sprake is van banken die ook beleggingsdiensten mogen uitvoeren (zogenoemde bankbeleggingsondernemingen). De eerste twee leden van artikel 3:98</w:t>
      </w:r>
      <w:r w:rsidR="00BF7365">
        <w:rPr>
          <w:sz w:val="18"/>
          <w:szCs w:val="18"/>
        </w:rPr>
        <w:t xml:space="preserve"> Wft</w:t>
      </w:r>
      <w:r>
        <w:rPr>
          <w:sz w:val="18"/>
          <w:szCs w:val="18"/>
        </w:rPr>
        <w:t xml:space="preserve"> komen geen betekenis meer toe</w:t>
      </w:r>
      <w:r w:rsidR="007F010F">
        <w:rPr>
          <w:sz w:val="18"/>
          <w:szCs w:val="18"/>
        </w:rPr>
        <w:t>,</w:t>
      </w:r>
      <w:r>
        <w:rPr>
          <w:sz w:val="18"/>
          <w:szCs w:val="18"/>
        </w:rPr>
        <w:t xml:space="preserve"> nu artikel 3:96</w:t>
      </w:r>
      <w:r w:rsidR="00BF7365">
        <w:rPr>
          <w:sz w:val="18"/>
          <w:szCs w:val="18"/>
        </w:rPr>
        <w:t xml:space="preserve"> Wft</w:t>
      </w:r>
      <w:r w:rsidR="00896381">
        <w:rPr>
          <w:sz w:val="18"/>
          <w:szCs w:val="18"/>
        </w:rPr>
        <w:t xml:space="preserve"> komt te vervallen </w:t>
      </w:r>
      <w:r>
        <w:rPr>
          <w:sz w:val="18"/>
          <w:szCs w:val="18"/>
        </w:rPr>
        <w:t xml:space="preserve">en er geen samenloop optreedt met de nieuwe artikelen 3:96a of 3:96c Wft. </w:t>
      </w:r>
    </w:p>
    <w:p w:rsidR="008405ED" w:rsidP="003F62E4" w:rsidRDefault="008405ED" w14:paraId="09A1729B" w14:textId="77777777">
      <w:pPr>
        <w:widowControl w:val="0"/>
        <w:spacing w:line="240" w:lineRule="atLeast"/>
        <w:rPr>
          <w:sz w:val="18"/>
          <w:szCs w:val="18"/>
        </w:rPr>
      </w:pPr>
    </w:p>
    <w:p w:rsidR="00483C50" w:rsidP="003F62E4" w:rsidRDefault="006B5C8D" w14:paraId="270489FB" w14:textId="7DE63DA5">
      <w:pPr>
        <w:widowControl w:val="0"/>
        <w:spacing w:line="240" w:lineRule="atLeast"/>
        <w:rPr>
          <w:sz w:val="18"/>
          <w:szCs w:val="18"/>
        </w:rPr>
      </w:pPr>
      <w:r>
        <w:rPr>
          <w:sz w:val="18"/>
          <w:szCs w:val="18"/>
        </w:rPr>
        <w:t>GGG</w:t>
      </w:r>
      <w:r w:rsidR="000B4B5E">
        <w:rPr>
          <w:sz w:val="18"/>
          <w:szCs w:val="18"/>
        </w:rPr>
        <w:t xml:space="preserve"> </w:t>
      </w:r>
      <w:r w:rsidR="00483C50">
        <w:rPr>
          <w:sz w:val="18"/>
          <w:szCs w:val="18"/>
        </w:rPr>
        <w:t>(3:100)</w:t>
      </w:r>
    </w:p>
    <w:p w:rsidR="00483C50" w:rsidP="003F62E4" w:rsidRDefault="00483C50" w14:paraId="4D2C08D1" w14:textId="77777777">
      <w:pPr>
        <w:widowControl w:val="0"/>
        <w:spacing w:line="240" w:lineRule="atLeast"/>
        <w:rPr>
          <w:sz w:val="18"/>
          <w:szCs w:val="18"/>
        </w:rPr>
      </w:pPr>
    </w:p>
    <w:p w:rsidR="00483C50" w:rsidP="003F62E4" w:rsidRDefault="00483C50" w14:paraId="1ACA0F9A" w14:textId="03BF8947">
      <w:pPr>
        <w:widowControl w:val="0"/>
        <w:spacing w:line="240" w:lineRule="atLeast"/>
        <w:rPr>
          <w:sz w:val="18"/>
          <w:szCs w:val="18"/>
        </w:rPr>
      </w:pPr>
      <w:r>
        <w:rPr>
          <w:sz w:val="18"/>
          <w:szCs w:val="18"/>
        </w:rPr>
        <w:t xml:space="preserve">Artikel 3:100 </w:t>
      </w:r>
      <w:r w:rsidR="00BF7365">
        <w:rPr>
          <w:sz w:val="18"/>
          <w:szCs w:val="18"/>
        </w:rPr>
        <w:t xml:space="preserve">Wft </w:t>
      </w:r>
      <w:r>
        <w:rPr>
          <w:sz w:val="18"/>
          <w:szCs w:val="18"/>
        </w:rPr>
        <w:t xml:space="preserve">bevat het beoordelingskader voor de vvgb’s die op grond van artikel 3:95 Wft worden aangevraagd. Artikel 23, eerste lid, derde alinea, CRD bevat een nieuwe weigeringsgrond die opgenomen moet worden in artikel 3:100, eerste lid, Wft. Hiermee kan DNB een </w:t>
      </w:r>
      <w:r w:rsidR="00DD1C67">
        <w:rPr>
          <w:sz w:val="18"/>
          <w:szCs w:val="18"/>
        </w:rPr>
        <w:t>vvgb</w:t>
      </w:r>
      <w:r>
        <w:rPr>
          <w:sz w:val="18"/>
          <w:szCs w:val="18"/>
        </w:rPr>
        <w:t xml:space="preserve"> weigeren indien de aanvrager gezeteld is in een staat die geen lidstaat is</w:t>
      </w:r>
      <w:r w:rsidR="007F010F">
        <w:rPr>
          <w:sz w:val="18"/>
          <w:szCs w:val="18"/>
        </w:rPr>
        <w:t>,</w:t>
      </w:r>
      <w:r w:rsidR="00837845">
        <w:rPr>
          <w:sz w:val="18"/>
          <w:szCs w:val="18"/>
        </w:rPr>
        <w:t xml:space="preserve"> indien die staat is aangemerkt als een staat met een hoog risico dat strategische tekortkomingen vertoont in zijn regelgeving met betrekking tot witwassen of terrorismefinanciering, of in een land dat onderworpen is aan beperkende maatregelen van de Europese Unie, en dit afbreuk doet aan de capaciteit van de kandidaat-verwerver om de vereiste praktijken en processen toe te passen om te voldoen aan de voorschriften van de Wet voorkoming van witwassen en financieren van terrorisme. Deze weigeringsgrond komt naast de weigeringsgrond om een vvgb af te wijzen indien er goede redenen zijn om te vermoeden dat er sprake zal zijn van witwassen of terrorismefinanciering. Omdat deze bepaling alleen in de CRD voorkomt, is in het onderdeel opgenomen dat het moet gaan om een vvgb ter verwerving van een gekwalificeerde deelneming in een bank</w:t>
      </w:r>
      <w:r w:rsidR="002360B9">
        <w:rPr>
          <w:sz w:val="18"/>
          <w:szCs w:val="18"/>
        </w:rPr>
        <w:t xml:space="preserve"> (artikel 3:95, eerste lid, onderdeel b, Wft)</w:t>
      </w:r>
      <w:r w:rsidR="00837845">
        <w:rPr>
          <w:sz w:val="18"/>
          <w:szCs w:val="18"/>
        </w:rPr>
        <w:t>. Hiermee is dit onderdeel alleen relevant voor dergelijke vvgb’s en is het geen weigeringsgrond indien een andere vvgb op grond van artikel 3:95 Wft wordt aangevraagd.</w:t>
      </w:r>
    </w:p>
    <w:p w:rsidR="00483C50" w:rsidP="003F62E4" w:rsidRDefault="00483C50" w14:paraId="2408A788" w14:textId="77777777">
      <w:pPr>
        <w:widowControl w:val="0"/>
        <w:spacing w:line="240" w:lineRule="atLeast"/>
        <w:rPr>
          <w:sz w:val="18"/>
          <w:szCs w:val="18"/>
        </w:rPr>
      </w:pPr>
    </w:p>
    <w:p w:rsidRPr="00BD04E1" w:rsidR="001E56AB" w:rsidP="001E56AB" w:rsidRDefault="006B5C8D" w14:paraId="3E8E6C28" w14:textId="2C9BADF4">
      <w:pPr>
        <w:widowControl w:val="0"/>
        <w:spacing w:line="240" w:lineRule="atLeast"/>
        <w:rPr>
          <w:sz w:val="18"/>
          <w:szCs w:val="18"/>
        </w:rPr>
      </w:pPr>
      <w:r>
        <w:rPr>
          <w:sz w:val="18"/>
          <w:szCs w:val="18"/>
        </w:rPr>
        <w:t>HHH</w:t>
      </w:r>
      <w:r w:rsidRPr="00BD04E1" w:rsidR="001E56AB">
        <w:rPr>
          <w:sz w:val="18"/>
          <w:szCs w:val="18"/>
        </w:rPr>
        <w:t xml:space="preserve"> (3:101)</w:t>
      </w:r>
    </w:p>
    <w:p w:rsidRPr="00BD04E1" w:rsidR="001E56AB" w:rsidP="001E56AB" w:rsidRDefault="001E56AB" w14:paraId="78D8084E" w14:textId="77777777">
      <w:pPr>
        <w:widowControl w:val="0"/>
        <w:spacing w:line="240" w:lineRule="atLeast"/>
        <w:rPr>
          <w:sz w:val="18"/>
          <w:szCs w:val="18"/>
        </w:rPr>
      </w:pPr>
    </w:p>
    <w:p w:rsidRPr="00BD04E1" w:rsidR="001E56AB" w:rsidP="001E56AB" w:rsidRDefault="00C30EC9" w14:paraId="12C38702" w14:textId="6B249E3F">
      <w:pPr>
        <w:widowControl w:val="0"/>
        <w:spacing w:line="240" w:lineRule="atLeast"/>
        <w:rPr>
          <w:sz w:val="18"/>
          <w:szCs w:val="18"/>
        </w:rPr>
      </w:pPr>
      <w:r>
        <w:rPr>
          <w:sz w:val="18"/>
          <w:szCs w:val="18"/>
        </w:rPr>
        <w:t>Artikel 3:101 Wft bevat de criteria die DNB meeneemt bij de beoordeling van de aanvraag van een vvgb op grond van artikel 3:96 en 3:97</w:t>
      </w:r>
      <w:r w:rsidR="00070306">
        <w:rPr>
          <w:sz w:val="18"/>
          <w:szCs w:val="18"/>
        </w:rPr>
        <w:t xml:space="preserve"> Wft</w:t>
      </w:r>
      <w:r>
        <w:rPr>
          <w:sz w:val="18"/>
          <w:szCs w:val="18"/>
        </w:rPr>
        <w:t xml:space="preserve"> (met betrekking tot vvgb’s bij verzekeraars). </w:t>
      </w:r>
      <w:r w:rsidR="00070306">
        <w:rPr>
          <w:sz w:val="18"/>
          <w:szCs w:val="18"/>
        </w:rPr>
        <w:t xml:space="preserve">Met het vervallen van artikel 3:96 Wft (zie onderdeel </w:t>
      </w:r>
      <w:r w:rsidR="009B7432">
        <w:rPr>
          <w:sz w:val="18"/>
          <w:szCs w:val="18"/>
        </w:rPr>
        <w:t>DDD</w:t>
      </w:r>
      <w:r w:rsidR="00070306">
        <w:rPr>
          <w:sz w:val="18"/>
          <w:szCs w:val="18"/>
        </w:rPr>
        <w:t xml:space="preserve">) kan in dit artikel de verwijzing naar artikel 3:96 Wft vervallen en bevat dit artikel na inwerkingtreding van deze wet alleen de criteria voor de beoordeling van een verklaring van geen bezwaar aangevraagd op grond van artikel 3:97 Wft. </w:t>
      </w:r>
    </w:p>
    <w:p w:rsidRPr="00BD04E1" w:rsidR="001E56AB" w:rsidP="001E56AB" w:rsidRDefault="001E56AB" w14:paraId="2DA148AF" w14:textId="77777777">
      <w:pPr>
        <w:widowControl w:val="0"/>
        <w:spacing w:line="240" w:lineRule="atLeast"/>
        <w:rPr>
          <w:sz w:val="18"/>
          <w:szCs w:val="18"/>
        </w:rPr>
      </w:pPr>
    </w:p>
    <w:p w:rsidRPr="00A6284F" w:rsidR="001E56AB" w:rsidP="001E56AB" w:rsidRDefault="006B5C8D" w14:paraId="1F6E20BE" w14:textId="2997C8DA">
      <w:pPr>
        <w:widowControl w:val="0"/>
        <w:spacing w:line="240" w:lineRule="atLeast"/>
        <w:rPr>
          <w:sz w:val="18"/>
          <w:szCs w:val="18"/>
        </w:rPr>
      </w:pPr>
      <w:r>
        <w:rPr>
          <w:sz w:val="18"/>
          <w:szCs w:val="18"/>
        </w:rPr>
        <w:t>III</w:t>
      </w:r>
      <w:r w:rsidRPr="00A6284F" w:rsidR="001E56AB">
        <w:rPr>
          <w:sz w:val="18"/>
          <w:szCs w:val="18"/>
        </w:rPr>
        <w:t xml:space="preserve"> (3:101a)</w:t>
      </w:r>
    </w:p>
    <w:p w:rsidR="001E56AB" w:rsidP="001E56AB" w:rsidRDefault="001E56AB" w14:paraId="5EEAD138" w14:textId="77777777">
      <w:pPr>
        <w:widowControl w:val="0"/>
        <w:spacing w:line="240" w:lineRule="atLeast"/>
        <w:rPr>
          <w:sz w:val="18"/>
          <w:szCs w:val="18"/>
        </w:rPr>
      </w:pPr>
    </w:p>
    <w:p w:rsidR="00E70E91" w:rsidP="001E56AB" w:rsidRDefault="002A6CC3" w14:paraId="5C32B888" w14:textId="447B03CA">
      <w:pPr>
        <w:widowControl w:val="0"/>
        <w:spacing w:line="240" w:lineRule="atLeast"/>
        <w:rPr>
          <w:sz w:val="18"/>
          <w:szCs w:val="18"/>
        </w:rPr>
      </w:pPr>
      <w:r>
        <w:rPr>
          <w:sz w:val="18"/>
          <w:szCs w:val="18"/>
        </w:rPr>
        <w:t>Artikel 3:101a Wft wordt ingevoegd ter implementatie van de artikelen 27 ter en 27 undecies CRD waarin de beoordelingscriteria zijn opgenomen van de aanvragen voor vvgb’s op grond van artikel 3:96a, eerste lid, en 3:96c, eerste lid, Wft.</w:t>
      </w:r>
      <w:r w:rsidR="00122A53">
        <w:rPr>
          <w:sz w:val="18"/>
          <w:szCs w:val="18"/>
        </w:rPr>
        <w:t xml:space="preserve"> In </w:t>
      </w:r>
      <w:r w:rsidR="00BF7365">
        <w:rPr>
          <w:sz w:val="18"/>
          <w:szCs w:val="18"/>
        </w:rPr>
        <w:t xml:space="preserve">artikel 3:101a, </w:t>
      </w:r>
      <w:r w:rsidR="00122A53">
        <w:rPr>
          <w:sz w:val="18"/>
          <w:szCs w:val="18"/>
        </w:rPr>
        <w:t>eerste en tweede lid</w:t>
      </w:r>
      <w:r w:rsidR="00BF7365">
        <w:rPr>
          <w:sz w:val="18"/>
          <w:szCs w:val="18"/>
        </w:rPr>
        <w:t>, Wft</w:t>
      </w:r>
      <w:r w:rsidR="00122A53">
        <w:rPr>
          <w:sz w:val="18"/>
          <w:szCs w:val="18"/>
        </w:rPr>
        <w:t xml:space="preserve"> </w:t>
      </w:r>
      <w:r w:rsidR="00BF7365">
        <w:rPr>
          <w:sz w:val="18"/>
          <w:szCs w:val="18"/>
        </w:rPr>
        <w:t>worden</w:t>
      </w:r>
      <w:r w:rsidR="00122A53">
        <w:rPr>
          <w:sz w:val="18"/>
          <w:szCs w:val="18"/>
        </w:rPr>
        <w:t xml:space="preserve"> de criteria opgenomen zoals deze in artikel 27 ter, eerste lid, en 27 undecies, eerste lid, CRD zijn opgenomen.</w:t>
      </w:r>
      <w:r w:rsidR="00E70E91">
        <w:rPr>
          <w:sz w:val="18"/>
          <w:szCs w:val="18"/>
        </w:rPr>
        <w:t xml:space="preserve"> Het eerste en tweede lid zijn zo geformuleerd dat DNB de vvgb verleent tenzij er sprake is van een van de weigeringsgronden. Dit volgt uit artikel 27 ter, derde lid, en artikel 27 undecies, derde lid, CRD.</w:t>
      </w:r>
      <w:r w:rsidR="00122A53">
        <w:rPr>
          <w:sz w:val="18"/>
          <w:szCs w:val="18"/>
        </w:rPr>
        <w:t xml:space="preserve"> </w:t>
      </w:r>
      <w:r w:rsidR="00E70E91">
        <w:rPr>
          <w:sz w:val="18"/>
          <w:szCs w:val="18"/>
        </w:rPr>
        <w:t>Er zijn geen nationale weigeringsgronden opgenomen.</w:t>
      </w:r>
    </w:p>
    <w:p w:rsidR="00E70E91" w:rsidP="001E56AB" w:rsidRDefault="00E70E91" w14:paraId="06160136" w14:textId="77777777">
      <w:pPr>
        <w:widowControl w:val="0"/>
        <w:spacing w:line="240" w:lineRule="atLeast"/>
        <w:rPr>
          <w:sz w:val="18"/>
          <w:szCs w:val="18"/>
        </w:rPr>
      </w:pPr>
    </w:p>
    <w:p w:rsidR="00E70E91" w:rsidP="001E56AB" w:rsidRDefault="00E70E91" w14:paraId="0D095F16" w14:textId="297612CD">
      <w:pPr>
        <w:widowControl w:val="0"/>
        <w:spacing w:line="240" w:lineRule="atLeast"/>
        <w:rPr>
          <w:sz w:val="18"/>
          <w:szCs w:val="18"/>
        </w:rPr>
      </w:pPr>
      <w:r>
        <w:rPr>
          <w:sz w:val="18"/>
          <w:szCs w:val="18"/>
        </w:rPr>
        <w:t xml:space="preserve">Het </w:t>
      </w:r>
      <w:r w:rsidR="00EA0257">
        <w:rPr>
          <w:sz w:val="18"/>
          <w:szCs w:val="18"/>
        </w:rPr>
        <w:t>derde</w:t>
      </w:r>
      <w:r>
        <w:rPr>
          <w:sz w:val="18"/>
          <w:szCs w:val="18"/>
        </w:rPr>
        <w:t xml:space="preserve"> lid van artikel 3:101a Wft regelt dat een </w:t>
      </w:r>
      <w:r w:rsidR="00966AF0">
        <w:rPr>
          <w:sz w:val="18"/>
          <w:szCs w:val="18"/>
        </w:rPr>
        <w:t>vvgb</w:t>
      </w:r>
      <w:r>
        <w:rPr>
          <w:sz w:val="18"/>
          <w:szCs w:val="18"/>
        </w:rPr>
        <w:t xml:space="preserve"> geweigerd kan worden indien een aanvrager ervan onjuiste of onvolledige informatie verstrekt, ondanks een verzoek als bedoeld in artikel 1:106c, eerste lid, Wft om aanvullende informatie te verstrekken. Hiermee wordt artikel 27 ter, derde lid, en artikel 27 </w:t>
      </w:r>
      <w:r>
        <w:rPr>
          <w:sz w:val="18"/>
          <w:szCs w:val="18"/>
        </w:rPr>
        <w:lastRenderedPageBreak/>
        <w:t>undecies, derde lid, CRD geïmplementeerd waarin deze weigeringsgrond is opgenomen.</w:t>
      </w:r>
    </w:p>
    <w:p w:rsidR="00E70E91" w:rsidP="001E56AB" w:rsidRDefault="00E70E91" w14:paraId="576C9118" w14:textId="77777777">
      <w:pPr>
        <w:widowControl w:val="0"/>
        <w:spacing w:line="240" w:lineRule="atLeast"/>
        <w:rPr>
          <w:sz w:val="18"/>
          <w:szCs w:val="18"/>
        </w:rPr>
      </w:pPr>
    </w:p>
    <w:p w:rsidRPr="00A6284F" w:rsidR="00E70E91" w:rsidP="001E56AB" w:rsidRDefault="00E70E91" w14:paraId="1BB37C93" w14:textId="4AFCEF6B">
      <w:pPr>
        <w:widowControl w:val="0"/>
        <w:spacing w:line="240" w:lineRule="atLeast"/>
        <w:rPr>
          <w:sz w:val="18"/>
          <w:szCs w:val="18"/>
        </w:rPr>
      </w:pPr>
      <w:r>
        <w:rPr>
          <w:sz w:val="18"/>
          <w:szCs w:val="18"/>
        </w:rPr>
        <w:t>Het v</w:t>
      </w:r>
      <w:r w:rsidR="00EA0257">
        <w:rPr>
          <w:sz w:val="18"/>
          <w:szCs w:val="18"/>
        </w:rPr>
        <w:t>ierde</w:t>
      </w:r>
      <w:r>
        <w:rPr>
          <w:sz w:val="18"/>
          <w:szCs w:val="18"/>
        </w:rPr>
        <w:t xml:space="preserve"> lid is de implementatie van artikel </w:t>
      </w:r>
      <w:r w:rsidR="00C8417F">
        <w:rPr>
          <w:sz w:val="18"/>
          <w:szCs w:val="18"/>
        </w:rPr>
        <w:t xml:space="preserve">27 bis, zevende lid, en artikel 27 decies, tweede lid, CRD. In deze twee leden zijn situaties opgenomen waarin DNB geen beoordeling hoeft te geven van een aangevraagde vvgb voor een deelneming van betekenis of fusie/splitsing. Dit kan het geval zijn als de deelneming van betekenis </w:t>
      </w:r>
      <w:r w:rsidR="007F010F">
        <w:rPr>
          <w:sz w:val="18"/>
          <w:szCs w:val="18"/>
        </w:rPr>
        <w:t>wordt verworven in een</w:t>
      </w:r>
      <w:r w:rsidR="00C8417F">
        <w:rPr>
          <w:sz w:val="18"/>
          <w:szCs w:val="18"/>
        </w:rPr>
        <w:t xml:space="preserve"> </w:t>
      </w:r>
      <w:r w:rsidR="00764935">
        <w:rPr>
          <w:sz w:val="18"/>
          <w:szCs w:val="18"/>
        </w:rPr>
        <w:t xml:space="preserve">entiteit behorende tot een groep die </w:t>
      </w:r>
      <w:r w:rsidR="005E57B0">
        <w:rPr>
          <w:sz w:val="18"/>
          <w:szCs w:val="18"/>
        </w:rPr>
        <w:t>binnen het</w:t>
      </w:r>
      <w:r w:rsidR="00764935">
        <w:rPr>
          <w:sz w:val="18"/>
          <w:szCs w:val="18"/>
        </w:rPr>
        <w:t>zelfde</w:t>
      </w:r>
      <w:r w:rsidR="005E57B0">
        <w:rPr>
          <w:sz w:val="18"/>
          <w:szCs w:val="18"/>
        </w:rPr>
        <w:t xml:space="preserve"> bereik van </w:t>
      </w:r>
      <w:r w:rsidR="00764935">
        <w:rPr>
          <w:sz w:val="18"/>
          <w:szCs w:val="18"/>
        </w:rPr>
        <w:t xml:space="preserve">consolidatie </w:t>
      </w:r>
      <w:r w:rsidR="007F010F">
        <w:rPr>
          <w:sz w:val="18"/>
          <w:szCs w:val="18"/>
        </w:rPr>
        <w:t xml:space="preserve">valt </w:t>
      </w:r>
      <w:r w:rsidR="00764935">
        <w:rPr>
          <w:sz w:val="18"/>
          <w:szCs w:val="18"/>
        </w:rPr>
        <w:t xml:space="preserve">of bij hetzelfde institutioneel protectiestelsel </w:t>
      </w:r>
      <w:r w:rsidR="007F010F">
        <w:rPr>
          <w:sz w:val="18"/>
          <w:szCs w:val="18"/>
        </w:rPr>
        <w:t xml:space="preserve">is </w:t>
      </w:r>
      <w:r w:rsidR="00764935">
        <w:rPr>
          <w:sz w:val="18"/>
          <w:szCs w:val="18"/>
        </w:rPr>
        <w:t>aangesloten (27 bis, zevende lid, CRD). Voor de fusie geldt dat een beoordeling niet nodig is bij een fusie tussen banken en/of (gemengde) financiële holdings van dezelfde groep, met inbegrip van banken die zijn aangesloten bij een centrale kredietinstelling. Omdat in deze gevallen wel voldaan moet worden aan de aanvraag van de vvgb, zijn deze artikelen niet opgenomen als uitzondering op de aanvraagverplichting. Op grond van het vi</w:t>
      </w:r>
      <w:r w:rsidR="00FE66CB">
        <w:rPr>
          <w:sz w:val="18"/>
          <w:szCs w:val="18"/>
        </w:rPr>
        <w:t>er</w:t>
      </w:r>
      <w:r w:rsidR="00764935">
        <w:rPr>
          <w:sz w:val="18"/>
          <w:szCs w:val="18"/>
        </w:rPr>
        <w:t xml:space="preserve">de lid kan DNB dan, in afwijking van het eerste en tweede lid van artikel 3:101a Wft, de vvgb alsnog verlenen omdat een beoordeling niet nodig is. DNB is voornemens ook in dergelijke gevallen wel positief te beschikken en de vvgb te verlenen. </w:t>
      </w:r>
    </w:p>
    <w:p w:rsidR="001E56AB" w:rsidP="001E56AB" w:rsidRDefault="001E56AB" w14:paraId="71693406" w14:textId="77777777">
      <w:pPr>
        <w:widowControl w:val="0"/>
        <w:spacing w:line="240" w:lineRule="atLeast"/>
        <w:rPr>
          <w:b/>
          <w:bCs/>
          <w:sz w:val="18"/>
          <w:szCs w:val="18"/>
        </w:rPr>
      </w:pPr>
    </w:p>
    <w:p w:rsidR="00384692" w:rsidP="001E56AB" w:rsidRDefault="006B5C8D" w14:paraId="2D1E4A35" w14:textId="37BD73F7">
      <w:pPr>
        <w:widowControl w:val="0"/>
        <w:spacing w:line="240" w:lineRule="atLeast"/>
        <w:rPr>
          <w:sz w:val="18"/>
          <w:szCs w:val="18"/>
        </w:rPr>
      </w:pPr>
      <w:r>
        <w:rPr>
          <w:sz w:val="18"/>
          <w:szCs w:val="18"/>
        </w:rPr>
        <w:t xml:space="preserve">JJJ </w:t>
      </w:r>
      <w:r w:rsidR="00384692">
        <w:rPr>
          <w:sz w:val="18"/>
          <w:szCs w:val="18"/>
        </w:rPr>
        <w:t>(3:102)</w:t>
      </w:r>
    </w:p>
    <w:p w:rsidR="00384692" w:rsidP="001E56AB" w:rsidRDefault="00384692" w14:paraId="308B437D" w14:textId="77777777">
      <w:pPr>
        <w:widowControl w:val="0"/>
        <w:spacing w:line="240" w:lineRule="atLeast"/>
        <w:rPr>
          <w:sz w:val="18"/>
          <w:szCs w:val="18"/>
        </w:rPr>
      </w:pPr>
    </w:p>
    <w:p w:rsidRPr="008405ED" w:rsidR="008706D4" w:rsidP="001E56AB" w:rsidRDefault="008405ED" w14:paraId="1AE6401A" w14:textId="32493C91">
      <w:pPr>
        <w:widowControl w:val="0"/>
        <w:spacing w:line="240" w:lineRule="atLeast"/>
        <w:rPr>
          <w:rFonts w:ascii="Arial" w:hAnsi="Arial" w:cs="Arial"/>
          <w:sz w:val="18"/>
          <w:szCs w:val="18"/>
        </w:rPr>
      </w:pPr>
      <w:r>
        <w:rPr>
          <w:sz w:val="18"/>
          <w:szCs w:val="18"/>
        </w:rPr>
        <w:t xml:space="preserve">Artikel 3:102, derde lid, Wft komt geen betekenis meer toe nu artikel 3:96 Wft </w:t>
      </w:r>
      <w:r w:rsidR="00896381">
        <w:rPr>
          <w:sz w:val="18"/>
          <w:szCs w:val="18"/>
        </w:rPr>
        <w:t>vervalt</w:t>
      </w:r>
      <w:r w:rsidR="00BF7365">
        <w:rPr>
          <w:sz w:val="18"/>
          <w:szCs w:val="18"/>
        </w:rPr>
        <w:t>.</w:t>
      </w:r>
      <w:r>
        <w:rPr>
          <w:sz w:val="18"/>
          <w:szCs w:val="18"/>
        </w:rPr>
        <w:t xml:space="preserve"> </w:t>
      </w:r>
    </w:p>
    <w:p w:rsidR="00384692" w:rsidP="001E56AB" w:rsidRDefault="00384692" w14:paraId="1B8DB76D" w14:textId="77777777">
      <w:pPr>
        <w:widowControl w:val="0"/>
        <w:spacing w:line="240" w:lineRule="atLeast"/>
        <w:rPr>
          <w:sz w:val="18"/>
          <w:szCs w:val="18"/>
        </w:rPr>
      </w:pPr>
    </w:p>
    <w:p w:rsidRPr="00384692" w:rsidR="00384692" w:rsidP="001E56AB" w:rsidRDefault="006B5C8D" w14:paraId="1179198B" w14:textId="5605E303">
      <w:pPr>
        <w:widowControl w:val="0"/>
        <w:spacing w:line="240" w:lineRule="atLeast"/>
        <w:rPr>
          <w:sz w:val="18"/>
          <w:szCs w:val="18"/>
        </w:rPr>
      </w:pPr>
      <w:r>
        <w:rPr>
          <w:sz w:val="18"/>
          <w:szCs w:val="18"/>
        </w:rPr>
        <w:t>KKK</w:t>
      </w:r>
      <w:r w:rsidR="00611BF4">
        <w:rPr>
          <w:sz w:val="18"/>
          <w:szCs w:val="18"/>
        </w:rPr>
        <w:t xml:space="preserve"> </w:t>
      </w:r>
      <w:r w:rsidR="00384692">
        <w:rPr>
          <w:sz w:val="18"/>
          <w:szCs w:val="18"/>
        </w:rPr>
        <w:t>(3:103a)</w:t>
      </w:r>
    </w:p>
    <w:p w:rsidR="00384692" w:rsidP="001E56AB" w:rsidRDefault="00384692" w14:paraId="1B07545B" w14:textId="77777777">
      <w:pPr>
        <w:widowControl w:val="0"/>
        <w:spacing w:line="240" w:lineRule="atLeast"/>
        <w:rPr>
          <w:b/>
          <w:bCs/>
          <w:sz w:val="18"/>
          <w:szCs w:val="18"/>
        </w:rPr>
      </w:pPr>
    </w:p>
    <w:p w:rsidRPr="00384692" w:rsidR="00384692" w:rsidP="001E56AB" w:rsidRDefault="00384692" w14:paraId="7FF3E9AF" w14:textId="49B17748">
      <w:pPr>
        <w:widowControl w:val="0"/>
        <w:spacing w:line="240" w:lineRule="atLeast"/>
        <w:rPr>
          <w:sz w:val="18"/>
          <w:szCs w:val="18"/>
        </w:rPr>
      </w:pPr>
      <w:r>
        <w:rPr>
          <w:sz w:val="18"/>
          <w:szCs w:val="18"/>
        </w:rPr>
        <w:t xml:space="preserve">Artikel 3:103a </w:t>
      </w:r>
      <w:r w:rsidR="008405ED">
        <w:rPr>
          <w:sz w:val="18"/>
          <w:szCs w:val="18"/>
        </w:rPr>
        <w:t xml:space="preserve">Wft </w:t>
      </w:r>
      <w:r>
        <w:rPr>
          <w:sz w:val="18"/>
          <w:szCs w:val="18"/>
        </w:rPr>
        <w:t xml:space="preserve">bevat een verwijzing naar artikel 1:62. Aan dat artikel is een tweede lid toegevoegd door dit wetsvoorstel. Daarom </w:t>
      </w:r>
      <w:r w:rsidR="00630CEC">
        <w:rPr>
          <w:sz w:val="18"/>
          <w:szCs w:val="18"/>
        </w:rPr>
        <w:t>wordt</w:t>
      </w:r>
      <w:r>
        <w:rPr>
          <w:sz w:val="18"/>
          <w:szCs w:val="18"/>
        </w:rPr>
        <w:t xml:space="preserve"> de verwijzing naar artikel 1:62 Wft gespecificeerd naar het eerste lid van dat artikel.</w:t>
      </w:r>
    </w:p>
    <w:p w:rsidRPr="00A6284F" w:rsidR="00384692" w:rsidP="001E56AB" w:rsidRDefault="00384692" w14:paraId="13D80A75" w14:textId="77777777">
      <w:pPr>
        <w:widowControl w:val="0"/>
        <w:spacing w:line="240" w:lineRule="atLeast"/>
        <w:rPr>
          <w:b/>
          <w:bCs/>
          <w:sz w:val="18"/>
          <w:szCs w:val="18"/>
        </w:rPr>
      </w:pPr>
    </w:p>
    <w:p w:rsidRPr="00A6284F" w:rsidR="001E56AB" w:rsidP="001E56AB" w:rsidRDefault="006B5C8D" w14:paraId="7B169E8D" w14:textId="03E44D63">
      <w:pPr>
        <w:widowControl w:val="0"/>
        <w:spacing w:line="240" w:lineRule="atLeast"/>
        <w:rPr>
          <w:sz w:val="18"/>
          <w:szCs w:val="18"/>
        </w:rPr>
      </w:pPr>
      <w:r>
        <w:rPr>
          <w:sz w:val="18"/>
          <w:szCs w:val="18"/>
        </w:rPr>
        <w:t>LLL</w:t>
      </w:r>
      <w:r w:rsidRPr="00A6284F" w:rsidR="001E56AB">
        <w:rPr>
          <w:sz w:val="18"/>
          <w:szCs w:val="18"/>
        </w:rPr>
        <w:t xml:space="preserve"> (3:104)</w:t>
      </w:r>
    </w:p>
    <w:p w:rsidR="001E56AB" w:rsidP="001E56AB" w:rsidRDefault="001E56AB" w14:paraId="2DCD943D" w14:textId="77777777">
      <w:pPr>
        <w:widowControl w:val="0"/>
        <w:spacing w:line="240" w:lineRule="atLeast"/>
        <w:rPr>
          <w:sz w:val="18"/>
          <w:szCs w:val="18"/>
        </w:rPr>
      </w:pPr>
    </w:p>
    <w:p w:rsidRPr="00A6284F" w:rsidR="00EA0257" w:rsidP="001E56AB" w:rsidRDefault="00EA0257" w14:paraId="771580B6" w14:textId="3E96A8D7">
      <w:pPr>
        <w:widowControl w:val="0"/>
        <w:spacing w:line="240" w:lineRule="atLeast"/>
        <w:rPr>
          <w:sz w:val="18"/>
          <w:szCs w:val="18"/>
        </w:rPr>
      </w:pPr>
      <w:r>
        <w:rPr>
          <w:sz w:val="18"/>
          <w:szCs w:val="18"/>
        </w:rPr>
        <w:t xml:space="preserve">Artikel 3:104 Wft bevat bepalingen over </w:t>
      </w:r>
      <w:r w:rsidR="00630CEC">
        <w:rPr>
          <w:sz w:val="18"/>
          <w:szCs w:val="18"/>
        </w:rPr>
        <w:t xml:space="preserve">aan een vvgb te verbinden </w:t>
      </w:r>
      <w:r>
        <w:rPr>
          <w:sz w:val="18"/>
          <w:szCs w:val="18"/>
        </w:rPr>
        <w:t>voorwaarden of de vernietigbaarheid van besluiten indien er zonder een vvgb rechtshandelingen worden verricht door een onderneming waarvoor een vvgb verplicht is. Vanwege de toevoegingen van de artikelen 3:96a en 3:96c Wft en de beoordeling daarvan in 3:101a Wft worden deze artikelen toegevoegd aan artikel 3:104 zodat ook voor deze vvgb’s de mogelijkheid tot voorwaarden verbinden en besluiten vernietigen mogelijk is voor DNB.</w:t>
      </w:r>
      <w:r w:rsidR="00BF7365">
        <w:rPr>
          <w:sz w:val="18"/>
          <w:szCs w:val="18"/>
        </w:rPr>
        <w:t xml:space="preserve"> Daarnaast vervallen de verwijzingen naar artikel 3:96 Wft nu dat artikel komt te vervallen.</w:t>
      </w:r>
    </w:p>
    <w:p w:rsidRPr="00A6284F" w:rsidR="001E56AB" w:rsidP="001E56AB" w:rsidRDefault="001E56AB" w14:paraId="42BCBC4E" w14:textId="77777777">
      <w:pPr>
        <w:widowControl w:val="0"/>
        <w:spacing w:line="240" w:lineRule="atLeast"/>
        <w:rPr>
          <w:sz w:val="18"/>
          <w:szCs w:val="18"/>
        </w:rPr>
      </w:pPr>
    </w:p>
    <w:p w:rsidRPr="00A6284F" w:rsidR="001E56AB" w:rsidP="001E56AB" w:rsidRDefault="006B5C8D" w14:paraId="5D90D580" w14:textId="34DD1515">
      <w:pPr>
        <w:widowControl w:val="0"/>
        <w:spacing w:line="240" w:lineRule="atLeast"/>
        <w:rPr>
          <w:sz w:val="18"/>
          <w:szCs w:val="18"/>
        </w:rPr>
      </w:pPr>
      <w:r>
        <w:rPr>
          <w:sz w:val="18"/>
          <w:szCs w:val="18"/>
        </w:rPr>
        <w:t>MMM</w:t>
      </w:r>
      <w:r w:rsidR="009D2DF7">
        <w:rPr>
          <w:sz w:val="18"/>
          <w:szCs w:val="18"/>
        </w:rPr>
        <w:t xml:space="preserve"> </w:t>
      </w:r>
      <w:r w:rsidRPr="00A6284F" w:rsidR="001E56AB">
        <w:rPr>
          <w:sz w:val="18"/>
          <w:szCs w:val="18"/>
        </w:rPr>
        <w:t>(</w:t>
      </w:r>
      <w:r w:rsidR="00E14CAC">
        <w:rPr>
          <w:sz w:val="18"/>
          <w:szCs w:val="18"/>
        </w:rPr>
        <w:t>paragraaf 3.3.11.2</w:t>
      </w:r>
      <w:r w:rsidRPr="00A6284F" w:rsidR="001E56AB">
        <w:rPr>
          <w:sz w:val="18"/>
          <w:szCs w:val="18"/>
        </w:rPr>
        <w:t>)</w:t>
      </w:r>
    </w:p>
    <w:p w:rsidRPr="00A6284F" w:rsidR="001E56AB" w:rsidP="001E56AB" w:rsidRDefault="001E56AB" w14:paraId="185B6F30" w14:textId="77777777">
      <w:pPr>
        <w:widowControl w:val="0"/>
        <w:spacing w:line="240" w:lineRule="atLeast"/>
        <w:rPr>
          <w:sz w:val="18"/>
          <w:szCs w:val="18"/>
        </w:rPr>
      </w:pPr>
    </w:p>
    <w:p w:rsidRPr="00A6284F" w:rsidR="001E56AB" w:rsidP="001E56AB" w:rsidRDefault="00A6284F" w14:paraId="06C53632" w14:textId="551AD6C2">
      <w:pPr>
        <w:widowControl w:val="0"/>
        <w:spacing w:line="240" w:lineRule="atLeast"/>
        <w:rPr>
          <w:sz w:val="18"/>
          <w:szCs w:val="18"/>
        </w:rPr>
      </w:pPr>
      <w:r>
        <w:rPr>
          <w:sz w:val="18"/>
          <w:szCs w:val="18"/>
        </w:rPr>
        <w:t>Paragraaf 3.3.11.2 van de Wft komt te vervallen. In deze paragraaf, getiteld ‘</w:t>
      </w:r>
      <w:r w:rsidRPr="00A6284F">
        <w:rPr>
          <w:sz w:val="18"/>
          <w:szCs w:val="18"/>
        </w:rPr>
        <w:t>Banken met zetel in een staat die geen lidstaat is</w:t>
      </w:r>
      <w:r>
        <w:rPr>
          <w:sz w:val="18"/>
          <w:szCs w:val="18"/>
        </w:rPr>
        <w:t xml:space="preserve">’ bevindt zich artikel 3:109 Wft. Dit artikel verklaart </w:t>
      </w:r>
      <w:r w:rsidR="00BF7365">
        <w:rPr>
          <w:sz w:val="18"/>
          <w:szCs w:val="18"/>
        </w:rPr>
        <w:t xml:space="preserve">artikel 3:96 Wft met betrekking tot de mogelijke vvgb-verplichtende handelingen door een bank </w:t>
      </w:r>
      <w:r>
        <w:rPr>
          <w:sz w:val="18"/>
          <w:szCs w:val="18"/>
        </w:rPr>
        <w:t>van overeenkomstige toepassing op</w:t>
      </w:r>
      <w:r w:rsidRPr="00A6284F">
        <w:rPr>
          <w:sz w:val="18"/>
          <w:szCs w:val="18"/>
        </w:rPr>
        <w:t xml:space="preserve"> in Nederland gelegen bijkantoren van banken met zetel in een staat die geen lidstaat</w:t>
      </w:r>
      <w:r>
        <w:rPr>
          <w:sz w:val="18"/>
          <w:szCs w:val="18"/>
        </w:rPr>
        <w:t xml:space="preserve"> zijn en een vergunning voor dat bijkantoor hebben. </w:t>
      </w:r>
      <w:r w:rsidR="00BF7365">
        <w:rPr>
          <w:sz w:val="18"/>
          <w:szCs w:val="18"/>
        </w:rPr>
        <w:t>Artikel 3:109 Wft, dat</w:t>
      </w:r>
      <w:r>
        <w:rPr>
          <w:sz w:val="18"/>
          <w:szCs w:val="18"/>
        </w:rPr>
        <w:t xml:space="preserve"> afkomstig is uit de Wet toezicht kredietwezen 1992,</w:t>
      </w:r>
      <w:r w:rsidR="00630CEC">
        <w:rPr>
          <w:sz w:val="18"/>
          <w:szCs w:val="18"/>
        </w:rPr>
        <w:t xml:space="preserve"> vervult geen behoefte meer</w:t>
      </w:r>
      <w:r>
        <w:rPr>
          <w:sz w:val="18"/>
          <w:szCs w:val="18"/>
        </w:rPr>
        <w:t xml:space="preserve">. </w:t>
      </w:r>
      <w:r w:rsidR="00BF7365">
        <w:rPr>
          <w:sz w:val="18"/>
          <w:szCs w:val="18"/>
        </w:rPr>
        <w:t>Artikel 3:96 Wft komt te vervallen</w:t>
      </w:r>
      <w:r>
        <w:rPr>
          <w:sz w:val="18"/>
          <w:szCs w:val="18"/>
        </w:rPr>
        <w:t xml:space="preserve">. </w:t>
      </w:r>
      <w:r w:rsidR="00BF7365">
        <w:rPr>
          <w:sz w:val="18"/>
          <w:szCs w:val="18"/>
        </w:rPr>
        <w:t xml:space="preserve">Bovendien is een bijkantoor geen zelfstandig juridische entiteit, waardoor bijvoorbeeld een verwerving van een gekwalificeerde deelneming niet mogelijk is. Het nieuwe artikel 3:96a wordt daarom niet van overeenkomstige toepassing verklaard. Hierom kan heel artikel 3:109 Wft, en daarmee paragraaf 3.3.11.2, komen te vervallen. </w:t>
      </w:r>
    </w:p>
    <w:p w:rsidR="001E56AB" w:rsidP="001E56AB" w:rsidRDefault="001E56AB" w14:paraId="56BCC0A7" w14:textId="77777777">
      <w:pPr>
        <w:widowControl w:val="0"/>
        <w:spacing w:line="240" w:lineRule="atLeast"/>
        <w:rPr>
          <w:sz w:val="18"/>
          <w:szCs w:val="18"/>
        </w:rPr>
      </w:pPr>
    </w:p>
    <w:p w:rsidR="00C8417F" w:rsidP="001E56AB" w:rsidRDefault="006B5C8D" w14:paraId="38D3573C" w14:textId="7347B656">
      <w:pPr>
        <w:widowControl w:val="0"/>
        <w:spacing w:line="240" w:lineRule="atLeast"/>
        <w:rPr>
          <w:sz w:val="18"/>
          <w:szCs w:val="18"/>
        </w:rPr>
      </w:pPr>
      <w:r>
        <w:rPr>
          <w:sz w:val="18"/>
          <w:szCs w:val="18"/>
        </w:rPr>
        <w:t>NNN</w:t>
      </w:r>
      <w:r w:rsidR="000B4B5E">
        <w:rPr>
          <w:sz w:val="18"/>
          <w:szCs w:val="18"/>
        </w:rPr>
        <w:t xml:space="preserve"> </w:t>
      </w:r>
      <w:r w:rsidR="00C8417F">
        <w:rPr>
          <w:sz w:val="18"/>
          <w:szCs w:val="18"/>
        </w:rPr>
        <w:t>(3:110)</w:t>
      </w:r>
    </w:p>
    <w:p w:rsidR="00C8417F" w:rsidP="001E56AB" w:rsidRDefault="00C8417F" w14:paraId="65E8F466" w14:textId="77777777">
      <w:pPr>
        <w:widowControl w:val="0"/>
        <w:spacing w:line="240" w:lineRule="atLeast"/>
        <w:rPr>
          <w:sz w:val="18"/>
          <w:szCs w:val="18"/>
        </w:rPr>
      </w:pPr>
    </w:p>
    <w:p w:rsidR="00C8417F" w:rsidP="001E56AB" w:rsidRDefault="00C8417F" w14:paraId="32F9D1C1" w14:textId="446FD940">
      <w:pPr>
        <w:widowControl w:val="0"/>
        <w:spacing w:line="240" w:lineRule="atLeast"/>
        <w:rPr>
          <w:sz w:val="18"/>
          <w:szCs w:val="18"/>
        </w:rPr>
      </w:pPr>
      <w:r>
        <w:rPr>
          <w:sz w:val="18"/>
          <w:szCs w:val="18"/>
        </w:rPr>
        <w:t>Artikel 3:110</w:t>
      </w:r>
      <w:r w:rsidR="00BF7365">
        <w:rPr>
          <w:sz w:val="18"/>
          <w:szCs w:val="18"/>
        </w:rPr>
        <w:t xml:space="preserve"> Wft</w:t>
      </w:r>
      <w:r>
        <w:rPr>
          <w:sz w:val="18"/>
          <w:szCs w:val="18"/>
        </w:rPr>
        <w:t xml:space="preserve"> wordt aangepast </w:t>
      </w:r>
      <w:r w:rsidR="00630CEC">
        <w:rPr>
          <w:sz w:val="18"/>
          <w:szCs w:val="18"/>
        </w:rPr>
        <w:t>om</w:t>
      </w:r>
      <w:r>
        <w:rPr>
          <w:sz w:val="18"/>
          <w:szCs w:val="18"/>
        </w:rPr>
        <w:t xml:space="preserve"> een onjuiste verwijzing te repareren. In het zesde lid dient verwezen te worden naar onderdeel b van artikel 3:95, eerste lid, </w:t>
      </w:r>
      <w:r w:rsidR="00BF7365">
        <w:rPr>
          <w:sz w:val="18"/>
          <w:szCs w:val="18"/>
        </w:rPr>
        <w:t xml:space="preserve">Wft en </w:t>
      </w:r>
      <w:r>
        <w:rPr>
          <w:sz w:val="18"/>
          <w:szCs w:val="18"/>
        </w:rPr>
        <w:t>niet</w:t>
      </w:r>
      <w:r w:rsidR="00630CEC">
        <w:rPr>
          <w:sz w:val="18"/>
          <w:szCs w:val="18"/>
        </w:rPr>
        <w:t xml:space="preserve"> naar</w:t>
      </w:r>
      <w:r>
        <w:rPr>
          <w:sz w:val="18"/>
          <w:szCs w:val="18"/>
        </w:rPr>
        <w:t xml:space="preserve"> onderdeel a.</w:t>
      </w:r>
    </w:p>
    <w:p w:rsidRPr="00A6284F" w:rsidR="00C8417F" w:rsidP="001E56AB" w:rsidRDefault="00C8417F" w14:paraId="2CFCC4E9" w14:textId="77777777">
      <w:pPr>
        <w:widowControl w:val="0"/>
        <w:spacing w:line="240" w:lineRule="atLeast"/>
        <w:rPr>
          <w:sz w:val="18"/>
          <w:szCs w:val="18"/>
        </w:rPr>
      </w:pPr>
    </w:p>
    <w:p w:rsidRPr="00A6284F" w:rsidR="003971D5" w:rsidP="001E56AB" w:rsidRDefault="006B5C8D" w14:paraId="1675FD17" w14:textId="7EA4CD11">
      <w:pPr>
        <w:widowControl w:val="0"/>
        <w:spacing w:line="240" w:lineRule="atLeast"/>
        <w:rPr>
          <w:sz w:val="18"/>
          <w:szCs w:val="18"/>
        </w:rPr>
      </w:pPr>
      <w:r>
        <w:rPr>
          <w:sz w:val="18"/>
          <w:szCs w:val="18"/>
        </w:rPr>
        <w:t>OOO</w:t>
      </w:r>
      <w:r w:rsidR="00B158B9">
        <w:rPr>
          <w:sz w:val="18"/>
          <w:szCs w:val="18"/>
        </w:rPr>
        <w:t xml:space="preserve"> </w:t>
      </w:r>
      <w:r w:rsidRPr="00A6284F" w:rsidR="003971D5">
        <w:rPr>
          <w:sz w:val="18"/>
          <w:szCs w:val="18"/>
        </w:rPr>
        <w:t>(3:111a)</w:t>
      </w:r>
    </w:p>
    <w:p w:rsidRPr="00A6284F" w:rsidR="003971D5" w:rsidP="001E56AB" w:rsidRDefault="003971D5" w14:paraId="60BA695E" w14:textId="77777777">
      <w:pPr>
        <w:widowControl w:val="0"/>
        <w:spacing w:line="240" w:lineRule="atLeast"/>
        <w:rPr>
          <w:sz w:val="18"/>
          <w:szCs w:val="18"/>
        </w:rPr>
      </w:pPr>
    </w:p>
    <w:p w:rsidR="003971D5" w:rsidP="001E56AB" w:rsidRDefault="00556047" w14:paraId="2B1B4EDA" w14:textId="44215710">
      <w:pPr>
        <w:widowControl w:val="0"/>
        <w:spacing w:line="240" w:lineRule="atLeast"/>
        <w:rPr>
          <w:sz w:val="18"/>
          <w:szCs w:val="18"/>
        </w:rPr>
      </w:pPr>
      <w:r w:rsidRPr="00A6284F">
        <w:rPr>
          <w:sz w:val="18"/>
          <w:szCs w:val="18"/>
        </w:rPr>
        <w:t>Artikel 3:111a</w:t>
      </w:r>
      <w:r>
        <w:rPr>
          <w:sz w:val="18"/>
          <w:szCs w:val="18"/>
        </w:rPr>
        <w:t xml:space="preserve"> Wft</w:t>
      </w:r>
      <w:r w:rsidRPr="00A6284F">
        <w:rPr>
          <w:sz w:val="18"/>
          <w:szCs w:val="18"/>
        </w:rPr>
        <w:t xml:space="preserve"> bevat de t</w:t>
      </w:r>
      <w:r>
        <w:rPr>
          <w:sz w:val="18"/>
          <w:szCs w:val="18"/>
        </w:rPr>
        <w:t xml:space="preserve">oezichtsbevoegdheden op basis waarvan DNB als toezichthouder maatregelen kan nemen indien een bank (of beleggingsonderneming onder de verordening kapitaalvereisten) onder andere niet meer voldoet aan Deel 3 van de Wft of de CRR (3:111a, eerste lid, onderdeel a, Wft). </w:t>
      </w:r>
      <w:r w:rsidR="007B7052">
        <w:rPr>
          <w:sz w:val="18"/>
          <w:szCs w:val="18"/>
        </w:rPr>
        <w:t>Het tweede lid van d</w:t>
      </w:r>
      <w:r>
        <w:rPr>
          <w:sz w:val="18"/>
          <w:szCs w:val="18"/>
        </w:rPr>
        <w:t>it artikel wordt op een aantal punten gewijzigd.</w:t>
      </w:r>
    </w:p>
    <w:p w:rsidR="007B28DB" w:rsidP="001E56AB" w:rsidRDefault="007B28DB" w14:paraId="687D1102" w14:textId="77777777">
      <w:pPr>
        <w:widowControl w:val="0"/>
        <w:spacing w:line="240" w:lineRule="atLeast"/>
        <w:rPr>
          <w:sz w:val="18"/>
          <w:szCs w:val="18"/>
        </w:rPr>
      </w:pPr>
    </w:p>
    <w:p w:rsidR="007B28DB" w:rsidP="001E56AB" w:rsidRDefault="007B7052" w14:paraId="13A9C739" w14:textId="2845522C">
      <w:pPr>
        <w:widowControl w:val="0"/>
        <w:spacing w:line="240" w:lineRule="atLeast"/>
        <w:rPr>
          <w:sz w:val="18"/>
          <w:szCs w:val="18"/>
        </w:rPr>
      </w:pPr>
      <w:r>
        <w:rPr>
          <w:sz w:val="18"/>
          <w:szCs w:val="18"/>
        </w:rPr>
        <w:t>Allereerst worden de</w:t>
      </w:r>
      <w:r w:rsidR="007B28DB">
        <w:rPr>
          <w:sz w:val="18"/>
          <w:szCs w:val="18"/>
        </w:rPr>
        <w:t xml:space="preserve"> onderdelen f en g opnieuw vastgesteld zodat deze nu nauwer aansluiten op de tekst van de CRD. De richtlijn wijzigt ook artikel 104, eerste lid, onderdeel e, CRD door de zinsnede “onder meer met betrekking tot het in ontvangst nemen van deposito’s” toe te voegen als een bedrijfsactiviteit welk beperkt kan worden door DNB. Deze zinsnede is nu opgenomen in onderdeel f. Hetgeen voorheen in de onderdelen f tot en met h in het tweede lid van artikel 3:111a Wft stond, en een weerspiegeling was van artikel 104, eerste lid, onderdelen e en f, CRD, is nu samengenomen in twee onderdelen in 3:111a, tweede lid, onderdelen f en g, Wft. </w:t>
      </w:r>
    </w:p>
    <w:p w:rsidR="007B28DB" w:rsidP="001E56AB" w:rsidRDefault="007B28DB" w14:paraId="6F32C867" w14:textId="77777777">
      <w:pPr>
        <w:widowControl w:val="0"/>
        <w:spacing w:line="240" w:lineRule="atLeast"/>
        <w:rPr>
          <w:sz w:val="18"/>
          <w:szCs w:val="18"/>
        </w:rPr>
      </w:pPr>
    </w:p>
    <w:p w:rsidRPr="00A6284F" w:rsidR="007B28DB" w:rsidP="001E56AB" w:rsidRDefault="007B28DB" w14:paraId="5AD3DE77" w14:textId="044F06DC">
      <w:pPr>
        <w:widowControl w:val="0"/>
        <w:spacing w:line="240" w:lineRule="atLeast"/>
        <w:rPr>
          <w:sz w:val="18"/>
          <w:szCs w:val="18"/>
        </w:rPr>
      </w:pPr>
      <w:r>
        <w:rPr>
          <w:sz w:val="18"/>
          <w:szCs w:val="18"/>
        </w:rPr>
        <w:t>Door de hiervoor besproken samenvoeging kan onderdeel h komen te vervallen waarbij de onderdelen i tot en met o verletterd worden tot h tot en met n. Daar</w:t>
      </w:r>
      <w:r w:rsidR="00BF7365">
        <w:rPr>
          <w:sz w:val="18"/>
          <w:szCs w:val="18"/>
        </w:rPr>
        <w:t xml:space="preserve">na </w:t>
      </w:r>
      <w:r>
        <w:rPr>
          <w:sz w:val="18"/>
          <w:szCs w:val="18"/>
        </w:rPr>
        <w:t xml:space="preserve">worden, </w:t>
      </w:r>
      <w:r w:rsidR="00BF7365">
        <w:rPr>
          <w:sz w:val="18"/>
          <w:szCs w:val="18"/>
        </w:rPr>
        <w:t xml:space="preserve">onder verlettering van het nieuwe onderdeel n tot q, </w:t>
      </w:r>
      <w:r>
        <w:rPr>
          <w:sz w:val="18"/>
          <w:szCs w:val="18"/>
        </w:rPr>
        <w:t xml:space="preserve">een drietal nieuwe onderdelen ingevoegd. De onderdelen n en o die worden ingevoegd volgen uit artikel 104, eerste lid, onderdelen m en n, CRD en zien op maatregelen die genomen kunnen worden in relatie tot ESG-risico’s en crypto-activa. </w:t>
      </w:r>
      <w:r w:rsidR="005D5B34">
        <w:rPr>
          <w:sz w:val="18"/>
          <w:szCs w:val="18"/>
        </w:rPr>
        <w:t>O</w:t>
      </w:r>
      <w:r>
        <w:rPr>
          <w:sz w:val="18"/>
          <w:szCs w:val="18"/>
        </w:rPr>
        <w:t xml:space="preserve">nderdeel p volgt uit </w:t>
      </w:r>
      <w:r w:rsidR="00663479">
        <w:rPr>
          <w:sz w:val="18"/>
          <w:szCs w:val="18"/>
        </w:rPr>
        <w:t>de EMIR 3-r</w:t>
      </w:r>
      <w:r>
        <w:rPr>
          <w:sz w:val="18"/>
          <w:szCs w:val="18"/>
        </w:rPr>
        <w:t>ichtlijn en ziet op het verminderen van de blootstellingen die banken of beleggingsondernemingen onder de verordening kapitaalvereisten hebben aan centrale tegenpartijen. Dit zal met name het geval zijn als dit excessieve blootstellingen op centrale tegenpartijen buiten de EU betreft.</w:t>
      </w:r>
      <w:r w:rsidR="00BF7365">
        <w:rPr>
          <w:sz w:val="18"/>
          <w:szCs w:val="18"/>
        </w:rPr>
        <w:t xml:space="preserve"> Het tot q verletterde onderdeel betreft het onderdeel dat de mogelijkheid geeft dat DNB </w:t>
      </w:r>
      <w:r w:rsidRPr="00BF7365" w:rsidR="00BF7365">
        <w:rPr>
          <w:sz w:val="18"/>
          <w:szCs w:val="18"/>
        </w:rPr>
        <w:t>haar voortdurende aanwezigheid instel</w:t>
      </w:r>
      <w:r w:rsidR="00BF7365">
        <w:rPr>
          <w:sz w:val="18"/>
          <w:szCs w:val="18"/>
        </w:rPr>
        <w:t>t</w:t>
      </w:r>
      <w:r w:rsidRPr="00BF7365" w:rsidR="00BF7365">
        <w:rPr>
          <w:sz w:val="18"/>
          <w:szCs w:val="18"/>
        </w:rPr>
        <w:t xml:space="preserve"> bij de bank of beleggingsonderneming</w:t>
      </w:r>
      <w:r w:rsidR="00BF7365">
        <w:rPr>
          <w:sz w:val="18"/>
          <w:szCs w:val="18"/>
        </w:rPr>
        <w:t>. Dit was voorheen het laatste onderdeel in de opsomming en is dat nu wederom.</w:t>
      </w:r>
      <w:r>
        <w:rPr>
          <w:sz w:val="18"/>
          <w:szCs w:val="18"/>
        </w:rPr>
        <w:t xml:space="preserve"> </w:t>
      </w:r>
    </w:p>
    <w:p w:rsidRPr="00A6284F" w:rsidR="003971D5" w:rsidP="001E56AB" w:rsidRDefault="003971D5" w14:paraId="603D876C" w14:textId="77777777">
      <w:pPr>
        <w:widowControl w:val="0"/>
        <w:spacing w:line="240" w:lineRule="atLeast"/>
        <w:rPr>
          <w:sz w:val="18"/>
          <w:szCs w:val="18"/>
        </w:rPr>
      </w:pPr>
    </w:p>
    <w:p w:rsidRPr="00A6284F" w:rsidR="003971D5" w:rsidP="001E56AB" w:rsidRDefault="006B5C8D" w14:paraId="3DB32E6B" w14:textId="147982AB">
      <w:pPr>
        <w:widowControl w:val="0"/>
        <w:spacing w:line="240" w:lineRule="atLeast"/>
        <w:rPr>
          <w:sz w:val="18"/>
          <w:szCs w:val="18"/>
        </w:rPr>
      </w:pPr>
      <w:r>
        <w:rPr>
          <w:sz w:val="18"/>
          <w:szCs w:val="18"/>
        </w:rPr>
        <w:t>PPP</w:t>
      </w:r>
      <w:r w:rsidRPr="00A6284F" w:rsidR="003971D5">
        <w:rPr>
          <w:sz w:val="18"/>
          <w:szCs w:val="18"/>
        </w:rPr>
        <w:t xml:space="preserve"> (3:111a.0)</w:t>
      </w:r>
    </w:p>
    <w:p w:rsidRPr="00A6284F" w:rsidR="003971D5" w:rsidP="001E56AB" w:rsidRDefault="003971D5" w14:paraId="330F2390" w14:textId="77777777">
      <w:pPr>
        <w:widowControl w:val="0"/>
        <w:spacing w:line="240" w:lineRule="atLeast"/>
        <w:rPr>
          <w:sz w:val="18"/>
          <w:szCs w:val="18"/>
        </w:rPr>
      </w:pPr>
    </w:p>
    <w:p w:rsidRPr="00A6284F" w:rsidR="003971D5" w:rsidP="001E56AB" w:rsidRDefault="007B28DB" w14:paraId="74F360B1" w14:textId="06C892B7">
      <w:pPr>
        <w:widowControl w:val="0"/>
        <w:spacing w:line="240" w:lineRule="atLeast"/>
        <w:rPr>
          <w:sz w:val="18"/>
          <w:szCs w:val="18"/>
        </w:rPr>
      </w:pPr>
      <w:r w:rsidRPr="00A6284F">
        <w:rPr>
          <w:sz w:val="18"/>
          <w:szCs w:val="18"/>
        </w:rPr>
        <w:t>In artikel 3:111a.0</w:t>
      </w:r>
      <w:r w:rsidR="005D5B34">
        <w:rPr>
          <w:sz w:val="18"/>
          <w:szCs w:val="18"/>
        </w:rPr>
        <w:t xml:space="preserve"> Wft</w:t>
      </w:r>
      <w:r w:rsidRPr="00A6284F">
        <w:rPr>
          <w:sz w:val="18"/>
          <w:szCs w:val="18"/>
        </w:rPr>
        <w:t xml:space="preserve">, </w:t>
      </w:r>
      <w:r w:rsidR="00630CEC">
        <w:rPr>
          <w:sz w:val="18"/>
          <w:szCs w:val="18"/>
        </w:rPr>
        <w:t>d</w:t>
      </w:r>
      <w:r w:rsidRPr="00A6284F">
        <w:rPr>
          <w:sz w:val="18"/>
          <w:szCs w:val="18"/>
        </w:rPr>
        <w:t xml:space="preserve">at </w:t>
      </w:r>
      <w:r>
        <w:rPr>
          <w:sz w:val="18"/>
          <w:szCs w:val="18"/>
        </w:rPr>
        <w:t>een kopie van artikel 3:111a</w:t>
      </w:r>
      <w:r w:rsidR="005D5B34">
        <w:rPr>
          <w:sz w:val="18"/>
          <w:szCs w:val="18"/>
        </w:rPr>
        <w:t xml:space="preserve"> Wft</w:t>
      </w:r>
      <w:r>
        <w:rPr>
          <w:sz w:val="18"/>
          <w:szCs w:val="18"/>
        </w:rPr>
        <w:t xml:space="preserve"> is maar dan voor beleggingsondernemingen </w:t>
      </w:r>
      <w:r w:rsidRPr="007B28DB">
        <w:rPr>
          <w:sz w:val="18"/>
          <w:szCs w:val="18"/>
        </w:rPr>
        <w:t xml:space="preserve">in de zin van de </w:t>
      </w:r>
      <w:r w:rsidR="001E09D2">
        <w:rPr>
          <w:sz w:val="18"/>
          <w:szCs w:val="18"/>
        </w:rPr>
        <w:t>IFD</w:t>
      </w:r>
      <w:r>
        <w:rPr>
          <w:sz w:val="18"/>
          <w:szCs w:val="18"/>
        </w:rPr>
        <w:t>, vinden dezelfde wijzigingen plaats als hiervoor beschreven bij artikel 3:111a</w:t>
      </w:r>
      <w:r w:rsidR="00E87938">
        <w:rPr>
          <w:sz w:val="18"/>
          <w:szCs w:val="18"/>
        </w:rPr>
        <w:t xml:space="preserve"> Wft</w:t>
      </w:r>
      <w:r>
        <w:rPr>
          <w:sz w:val="18"/>
          <w:szCs w:val="18"/>
        </w:rPr>
        <w:t>, behoudens de maatregelen met betrekking tot ESG-risico’s en crypto-activa die niet in de IFD zijn opgenomen.</w:t>
      </w:r>
      <w:r w:rsidR="00E87938">
        <w:rPr>
          <w:sz w:val="18"/>
          <w:szCs w:val="18"/>
        </w:rPr>
        <w:t xml:space="preserve"> De wijzigingen uit</w:t>
      </w:r>
      <w:r w:rsidR="00663479">
        <w:rPr>
          <w:sz w:val="18"/>
          <w:szCs w:val="18"/>
        </w:rPr>
        <w:t xml:space="preserve"> de EMIR 3-r</w:t>
      </w:r>
      <w:r w:rsidR="00E87938">
        <w:rPr>
          <w:sz w:val="18"/>
          <w:szCs w:val="18"/>
        </w:rPr>
        <w:t xml:space="preserve">ichtlijn zijn ook in dit artikel opgenomen middels toevoeging van het nieuwe onderdeel p van het tweede lid van artikel 3:111a.0 Wft waardoor DNB als toezichthouder van beleggingsondernemingen in de zin van de </w:t>
      </w:r>
      <w:r w:rsidR="001E09D2">
        <w:rPr>
          <w:sz w:val="18"/>
          <w:szCs w:val="18"/>
        </w:rPr>
        <w:t>IFD</w:t>
      </w:r>
      <w:r w:rsidR="00E87938">
        <w:rPr>
          <w:sz w:val="18"/>
          <w:szCs w:val="18"/>
        </w:rPr>
        <w:t xml:space="preserve"> ook bij dit type beleggingsondernemingen kan voorschrijven dat de blootstellingen aan centrale tegenpartijen verminderd moet worden.</w:t>
      </w:r>
    </w:p>
    <w:p w:rsidRPr="00A6284F" w:rsidR="003971D5" w:rsidP="001E56AB" w:rsidRDefault="003971D5" w14:paraId="36305E0B" w14:textId="77777777">
      <w:pPr>
        <w:widowControl w:val="0"/>
        <w:spacing w:line="240" w:lineRule="atLeast"/>
        <w:rPr>
          <w:sz w:val="18"/>
          <w:szCs w:val="18"/>
        </w:rPr>
      </w:pPr>
    </w:p>
    <w:p w:rsidRPr="00A6284F" w:rsidR="001E56AB" w:rsidP="001E56AB" w:rsidRDefault="006B5C8D" w14:paraId="2237B21E" w14:textId="3E788AF8">
      <w:pPr>
        <w:widowControl w:val="0"/>
        <w:spacing w:line="240" w:lineRule="atLeast"/>
        <w:rPr>
          <w:sz w:val="18"/>
          <w:szCs w:val="18"/>
        </w:rPr>
      </w:pPr>
      <w:r>
        <w:rPr>
          <w:sz w:val="18"/>
          <w:szCs w:val="18"/>
        </w:rPr>
        <w:t>QQQ</w:t>
      </w:r>
      <w:r w:rsidR="000B4B5E">
        <w:rPr>
          <w:sz w:val="18"/>
          <w:szCs w:val="18"/>
        </w:rPr>
        <w:t xml:space="preserve"> </w:t>
      </w:r>
      <w:r w:rsidRPr="00A6284F" w:rsidR="001E56AB">
        <w:rPr>
          <w:sz w:val="18"/>
          <w:szCs w:val="18"/>
        </w:rPr>
        <w:t>(3:111a.1)</w:t>
      </w:r>
    </w:p>
    <w:p w:rsidRPr="00A6284F" w:rsidR="001E56AB" w:rsidP="001E56AB" w:rsidRDefault="001E56AB" w14:paraId="4DB8EE82" w14:textId="77777777">
      <w:pPr>
        <w:widowControl w:val="0"/>
        <w:spacing w:line="240" w:lineRule="atLeast"/>
        <w:rPr>
          <w:sz w:val="18"/>
          <w:szCs w:val="18"/>
        </w:rPr>
      </w:pPr>
    </w:p>
    <w:p w:rsidRPr="00A6284F" w:rsidR="007B28DB" w:rsidP="001E56AB" w:rsidRDefault="007B28DB" w14:paraId="6DCB1DE8" w14:textId="74586943">
      <w:pPr>
        <w:widowControl w:val="0"/>
        <w:spacing w:line="240" w:lineRule="atLeast"/>
        <w:rPr>
          <w:sz w:val="18"/>
          <w:szCs w:val="18"/>
        </w:rPr>
      </w:pPr>
      <w:r w:rsidRPr="00A6284F">
        <w:rPr>
          <w:sz w:val="18"/>
          <w:szCs w:val="18"/>
        </w:rPr>
        <w:t xml:space="preserve">Na artikel 3:111a.0 </w:t>
      </w:r>
      <w:r w:rsidR="00663479">
        <w:rPr>
          <w:sz w:val="18"/>
          <w:szCs w:val="18"/>
        </w:rPr>
        <w:t xml:space="preserve">Wft </w:t>
      </w:r>
      <w:r w:rsidRPr="00A6284F">
        <w:rPr>
          <w:sz w:val="18"/>
          <w:szCs w:val="18"/>
        </w:rPr>
        <w:t xml:space="preserve">wordt </w:t>
      </w:r>
      <w:r>
        <w:rPr>
          <w:sz w:val="18"/>
          <w:szCs w:val="18"/>
        </w:rPr>
        <w:t>artikel 3:111a.1</w:t>
      </w:r>
      <w:r w:rsidR="00663479">
        <w:rPr>
          <w:sz w:val="18"/>
          <w:szCs w:val="18"/>
        </w:rPr>
        <w:t xml:space="preserve"> Wft</w:t>
      </w:r>
      <w:r>
        <w:rPr>
          <w:sz w:val="18"/>
          <w:szCs w:val="18"/>
        </w:rPr>
        <w:t xml:space="preserve"> ingevoegd. Dit betreft een soortgelijk artikel als 3:111a en 3:111a.0 Wft maar in het geval van 3:111a.</w:t>
      </w:r>
      <w:r w:rsidR="00BF7365">
        <w:rPr>
          <w:sz w:val="18"/>
          <w:szCs w:val="18"/>
        </w:rPr>
        <w:t>1</w:t>
      </w:r>
      <w:r>
        <w:rPr>
          <w:sz w:val="18"/>
          <w:szCs w:val="18"/>
        </w:rPr>
        <w:t xml:space="preserve"> Wft betreft het de toezichtmaatregelen die DNB kan toepassen op </w:t>
      </w:r>
      <w:r w:rsidR="001C0C28">
        <w:rPr>
          <w:sz w:val="18"/>
          <w:szCs w:val="18"/>
        </w:rPr>
        <w:t>derde land</w:t>
      </w:r>
      <w:r>
        <w:rPr>
          <w:sz w:val="18"/>
          <w:szCs w:val="18"/>
        </w:rPr>
        <w:t xml:space="preserve"> bijkantoren. Hiermee wordt artikel 48 sexdecies CRD geïmplementeerd. </w:t>
      </w:r>
      <w:r w:rsidR="00DD30AE">
        <w:rPr>
          <w:sz w:val="18"/>
          <w:szCs w:val="18"/>
        </w:rPr>
        <w:t xml:space="preserve">Hierbij wordt opgemerkt dat de formulering van artikel 48 sexdecies CRD (en dus de </w:t>
      </w:r>
      <w:r w:rsidR="00DD30AE">
        <w:rPr>
          <w:sz w:val="18"/>
          <w:szCs w:val="18"/>
        </w:rPr>
        <w:lastRenderedPageBreak/>
        <w:t>implementatie in 3:111a.1 Wft) anders is dan in de artikelen 3:111a en 3:111a.0</w:t>
      </w:r>
      <w:r w:rsidR="00663479">
        <w:rPr>
          <w:sz w:val="18"/>
          <w:szCs w:val="18"/>
        </w:rPr>
        <w:t xml:space="preserve"> Wft</w:t>
      </w:r>
      <w:r w:rsidR="00DD30AE">
        <w:rPr>
          <w:sz w:val="18"/>
          <w:szCs w:val="18"/>
        </w:rPr>
        <w:t>. Waar die laatstgenoemde twee artikelen in het eerste lid beschrijven dat DNB maatregelen oplegt indien een bank of een beleggingsonderneming niet meer voldoet, is de formulering in 3:111a.1</w:t>
      </w:r>
      <w:r w:rsidR="00663479">
        <w:rPr>
          <w:sz w:val="18"/>
          <w:szCs w:val="18"/>
        </w:rPr>
        <w:t xml:space="preserve"> Wft</w:t>
      </w:r>
      <w:r w:rsidR="00DD30AE">
        <w:rPr>
          <w:sz w:val="18"/>
          <w:szCs w:val="18"/>
        </w:rPr>
        <w:t xml:space="preserve"> zo dat DNB maatregelen oplegt om ervoor te zorgen dat een bijkantoor blijft voldoen aan bepaalde vereisten die volgen uit de Wft. </w:t>
      </w:r>
      <w:r w:rsidR="00A74313">
        <w:rPr>
          <w:sz w:val="18"/>
          <w:szCs w:val="18"/>
        </w:rPr>
        <w:t xml:space="preserve">Dit vergt dus een meer proactief ingrijpen van DNB als toezichthouder. </w:t>
      </w:r>
      <w:r w:rsidR="00DD30AE">
        <w:rPr>
          <w:sz w:val="18"/>
          <w:szCs w:val="18"/>
        </w:rPr>
        <w:t xml:space="preserve">Niettemin bevat het tweede lid van artikel 3:111a.1 </w:t>
      </w:r>
      <w:r w:rsidR="00663479">
        <w:rPr>
          <w:sz w:val="18"/>
          <w:szCs w:val="18"/>
        </w:rPr>
        <w:t xml:space="preserve">Wft </w:t>
      </w:r>
      <w:r w:rsidR="00DD30AE">
        <w:rPr>
          <w:sz w:val="18"/>
          <w:szCs w:val="18"/>
        </w:rPr>
        <w:t>dezelfde type maatregelen als ook in 3:111a en 3:111a.0 Wft te vinden zijn.</w:t>
      </w:r>
      <w:r w:rsidR="0062797A">
        <w:rPr>
          <w:sz w:val="18"/>
          <w:szCs w:val="18"/>
        </w:rPr>
        <w:t xml:space="preserve"> Dit betreft onder meer de bevoegdheid om een hogere solvabiliteit of liquiditeit voor te schrijven (onderdeel a), beperkingen op te leggen aan de bedrijfsactiviteiten (onderdeel c) en aanvullende informatie rapporteren danwel openbaar maken (onderdelen e en f).</w:t>
      </w:r>
      <w:r w:rsidR="00DD30AE">
        <w:rPr>
          <w:sz w:val="18"/>
          <w:szCs w:val="18"/>
        </w:rPr>
        <w:t xml:space="preserve"> </w:t>
      </w:r>
      <w:r w:rsidR="00E87938">
        <w:rPr>
          <w:sz w:val="18"/>
          <w:szCs w:val="18"/>
        </w:rPr>
        <w:t>Evenals het geval is in de artikelen 3:111a, vierde lid, en 3:111a.0, zevende lid, Wft is in het derde lid van artikel 3:111a.1 Wft opgenomen dat DNB de maatregel opheft zodra de omstandigheden bedoeld in het eerste lid van artikel 3:111a.1 Wft zich niet meer voordoen.</w:t>
      </w:r>
    </w:p>
    <w:p w:rsidRPr="00A6284F" w:rsidR="001E56AB" w:rsidP="001E56AB" w:rsidRDefault="001E56AB" w14:paraId="4AA2C140" w14:textId="77777777">
      <w:pPr>
        <w:widowControl w:val="0"/>
        <w:spacing w:line="240" w:lineRule="atLeast"/>
        <w:rPr>
          <w:sz w:val="18"/>
          <w:szCs w:val="18"/>
        </w:rPr>
      </w:pPr>
    </w:p>
    <w:p w:rsidRPr="00A6284F" w:rsidR="001E56AB" w:rsidP="001E56AB" w:rsidRDefault="006B5C8D" w14:paraId="60DC8DCA" w14:textId="2268BDF1">
      <w:pPr>
        <w:widowControl w:val="0"/>
        <w:spacing w:line="240" w:lineRule="atLeast"/>
        <w:rPr>
          <w:sz w:val="18"/>
          <w:szCs w:val="18"/>
        </w:rPr>
      </w:pPr>
      <w:r>
        <w:rPr>
          <w:sz w:val="18"/>
          <w:szCs w:val="18"/>
        </w:rPr>
        <w:t>RRR</w:t>
      </w:r>
      <w:r w:rsidR="000B4B5E">
        <w:rPr>
          <w:sz w:val="18"/>
          <w:szCs w:val="18"/>
        </w:rPr>
        <w:t xml:space="preserve"> </w:t>
      </w:r>
      <w:r w:rsidRPr="00A6284F" w:rsidR="001E56AB">
        <w:rPr>
          <w:sz w:val="18"/>
          <w:szCs w:val="18"/>
        </w:rPr>
        <w:t>(3:111aa)</w:t>
      </w:r>
    </w:p>
    <w:p w:rsidRPr="00A6284F" w:rsidR="001E56AB" w:rsidP="001E56AB" w:rsidRDefault="001E56AB" w14:paraId="08385A8C" w14:textId="77777777">
      <w:pPr>
        <w:widowControl w:val="0"/>
        <w:spacing w:line="240" w:lineRule="atLeast"/>
        <w:rPr>
          <w:sz w:val="18"/>
          <w:szCs w:val="18"/>
        </w:rPr>
      </w:pPr>
    </w:p>
    <w:p w:rsidRPr="00BD04E1" w:rsidR="001E56AB" w:rsidP="001E56AB" w:rsidRDefault="00A74313" w14:paraId="74F6705E" w14:textId="3FE8B196">
      <w:pPr>
        <w:widowControl w:val="0"/>
        <w:spacing w:line="240" w:lineRule="atLeast"/>
        <w:rPr>
          <w:sz w:val="18"/>
          <w:szCs w:val="18"/>
        </w:rPr>
      </w:pPr>
      <w:r w:rsidRPr="00BD04E1">
        <w:rPr>
          <w:sz w:val="18"/>
          <w:szCs w:val="18"/>
        </w:rPr>
        <w:t xml:space="preserve">Artikel 3:111aa, eerste lid, van de Wft bevat een dynamische verwijzing naar artikel 104 ter, derde en vierde lid, </w:t>
      </w:r>
      <w:r>
        <w:rPr>
          <w:sz w:val="18"/>
          <w:szCs w:val="18"/>
        </w:rPr>
        <w:t>CRD</w:t>
      </w:r>
      <w:r w:rsidRPr="00BD04E1">
        <w:rPr>
          <w:sz w:val="18"/>
          <w:szCs w:val="18"/>
        </w:rPr>
        <w:t>. Met de wijziging van artikel 3:111aa, eerste lid, van de Wft wordt artikel 104 ter, vierde lid bis</w:t>
      </w:r>
      <w:r>
        <w:rPr>
          <w:sz w:val="18"/>
          <w:szCs w:val="18"/>
        </w:rPr>
        <w:t>, CRD</w:t>
      </w:r>
      <w:r w:rsidRPr="00BD04E1">
        <w:rPr>
          <w:sz w:val="18"/>
          <w:szCs w:val="18"/>
        </w:rPr>
        <w:t xml:space="preserve"> toegevoegd aan de opsomming.</w:t>
      </w:r>
      <w:r>
        <w:rPr>
          <w:sz w:val="18"/>
          <w:szCs w:val="18"/>
        </w:rPr>
        <w:t xml:space="preserve"> </w:t>
      </w:r>
      <w:r w:rsidRPr="00BD04E1" w:rsidR="001E56AB">
        <w:rPr>
          <w:sz w:val="18"/>
          <w:szCs w:val="18"/>
        </w:rPr>
        <w:t xml:space="preserve">Artikel 104 ter, vierde lid bis, </w:t>
      </w:r>
      <w:r w:rsidR="009A3FBB">
        <w:rPr>
          <w:sz w:val="18"/>
          <w:szCs w:val="18"/>
        </w:rPr>
        <w:t>CRD</w:t>
      </w:r>
      <w:r w:rsidRPr="00BD04E1" w:rsidR="001E56AB">
        <w:rPr>
          <w:sz w:val="18"/>
          <w:szCs w:val="18"/>
        </w:rPr>
        <w:t xml:space="preserve"> bevat het voorschrift dat, indien een instelling aan de output floor wordt gebonden, de toezichthouder de richtsnoeren inzake aanvullend eigen vermogen kan toetsen om te waarborgen dat haar kalibratie passend blijft.</w:t>
      </w:r>
    </w:p>
    <w:p w:rsidR="001E56AB" w:rsidP="001E56AB" w:rsidRDefault="001E56AB" w14:paraId="4AED58AC" w14:textId="77777777">
      <w:pPr>
        <w:widowControl w:val="0"/>
        <w:spacing w:line="240" w:lineRule="atLeast"/>
        <w:rPr>
          <w:sz w:val="18"/>
          <w:szCs w:val="18"/>
        </w:rPr>
      </w:pPr>
    </w:p>
    <w:p w:rsidR="00E87938" w:rsidP="001E56AB" w:rsidRDefault="006B5C8D" w14:paraId="595AC7AF" w14:textId="529F32D1">
      <w:pPr>
        <w:widowControl w:val="0"/>
        <w:spacing w:line="240" w:lineRule="atLeast"/>
        <w:rPr>
          <w:sz w:val="18"/>
          <w:szCs w:val="18"/>
        </w:rPr>
      </w:pPr>
      <w:r>
        <w:rPr>
          <w:sz w:val="18"/>
          <w:szCs w:val="18"/>
        </w:rPr>
        <w:t>SSS</w:t>
      </w:r>
      <w:r w:rsidR="00E87938">
        <w:rPr>
          <w:sz w:val="18"/>
          <w:szCs w:val="18"/>
        </w:rPr>
        <w:t xml:space="preserve"> (3:111a</w:t>
      </w:r>
      <w:r w:rsidR="000F79D3">
        <w:rPr>
          <w:sz w:val="18"/>
          <w:szCs w:val="18"/>
        </w:rPr>
        <w:t>c</w:t>
      </w:r>
      <w:r w:rsidR="00E87938">
        <w:rPr>
          <w:sz w:val="18"/>
          <w:szCs w:val="18"/>
        </w:rPr>
        <w:t>-3:111ae)</w:t>
      </w:r>
    </w:p>
    <w:p w:rsidR="00E87938" w:rsidP="001E56AB" w:rsidRDefault="00E87938" w14:paraId="06FF5F63" w14:textId="77777777">
      <w:pPr>
        <w:widowControl w:val="0"/>
        <w:spacing w:line="240" w:lineRule="atLeast"/>
        <w:rPr>
          <w:sz w:val="18"/>
          <w:szCs w:val="18"/>
        </w:rPr>
      </w:pPr>
    </w:p>
    <w:p w:rsidRPr="00BD04E1" w:rsidR="00E87938" w:rsidP="001E56AB" w:rsidRDefault="00E87938" w14:paraId="1F7EDC1A" w14:textId="51435FEE">
      <w:pPr>
        <w:widowControl w:val="0"/>
        <w:spacing w:line="240" w:lineRule="atLeast"/>
        <w:rPr>
          <w:sz w:val="18"/>
          <w:szCs w:val="18"/>
        </w:rPr>
      </w:pPr>
      <w:r>
        <w:rPr>
          <w:sz w:val="18"/>
          <w:szCs w:val="18"/>
        </w:rPr>
        <w:t>De wijzigingen in de artikelen 3:111a</w:t>
      </w:r>
      <w:r w:rsidR="000F79D3">
        <w:rPr>
          <w:sz w:val="18"/>
          <w:szCs w:val="18"/>
        </w:rPr>
        <w:t xml:space="preserve">c tot </w:t>
      </w:r>
      <w:r>
        <w:rPr>
          <w:sz w:val="18"/>
          <w:szCs w:val="18"/>
        </w:rPr>
        <w:t>en</w:t>
      </w:r>
      <w:r w:rsidR="000F79D3">
        <w:rPr>
          <w:sz w:val="18"/>
          <w:szCs w:val="18"/>
        </w:rPr>
        <w:t xml:space="preserve"> met</w:t>
      </w:r>
      <w:r>
        <w:rPr>
          <w:sz w:val="18"/>
          <w:szCs w:val="18"/>
        </w:rPr>
        <w:t xml:space="preserve"> 3:111ae Wft volgen uit de verlettering die heeft plaatsgevonden in artikel 3:111a waarbij onderdeel k met betrekking tot een verbod op uitkeringen of betalingen doen aan aandeelhouders of vennoten verletterd is tot onderdeel j.</w:t>
      </w:r>
    </w:p>
    <w:p w:rsidRPr="00BD04E1" w:rsidR="001E56AB" w:rsidP="001E56AB" w:rsidRDefault="001E56AB" w14:paraId="0E6F97E1" w14:textId="77777777">
      <w:pPr>
        <w:widowControl w:val="0"/>
        <w:spacing w:line="240" w:lineRule="atLeast"/>
        <w:rPr>
          <w:sz w:val="18"/>
          <w:szCs w:val="18"/>
        </w:rPr>
      </w:pPr>
    </w:p>
    <w:p w:rsidRPr="00BD04E1" w:rsidR="001E56AB" w:rsidP="001E56AB" w:rsidRDefault="006B5C8D" w14:paraId="6A223A99" w14:textId="0349AD99">
      <w:pPr>
        <w:widowControl w:val="0"/>
        <w:spacing w:line="240" w:lineRule="atLeast"/>
        <w:rPr>
          <w:sz w:val="18"/>
          <w:szCs w:val="18"/>
        </w:rPr>
      </w:pPr>
      <w:r>
        <w:rPr>
          <w:sz w:val="18"/>
          <w:szCs w:val="18"/>
        </w:rPr>
        <w:t>TTT</w:t>
      </w:r>
      <w:r w:rsidR="00611BF4">
        <w:rPr>
          <w:sz w:val="18"/>
          <w:szCs w:val="18"/>
        </w:rPr>
        <w:t xml:space="preserve"> </w:t>
      </w:r>
      <w:r w:rsidRPr="00BD04E1" w:rsidR="001E56AB">
        <w:rPr>
          <w:sz w:val="18"/>
          <w:szCs w:val="18"/>
        </w:rPr>
        <w:t>(3:111ba – 3:</w:t>
      </w:r>
      <w:r w:rsidRPr="00BD04E1" w:rsidR="00B27565">
        <w:rPr>
          <w:sz w:val="18"/>
          <w:szCs w:val="18"/>
        </w:rPr>
        <w:t>111b</w:t>
      </w:r>
      <w:r w:rsidR="007306FC">
        <w:rPr>
          <w:sz w:val="18"/>
          <w:szCs w:val="18"/>
        </w:rPr>
        <w:t>b</w:t>
      </w:r>
      <w:r w:rsidRPr="00BD04E1" w:rsidR="001E56AB">
        <w:rPr>
          <w:sz w:val="18"/>
          <w:szCs w:val="18"/>
        </w:rPr>
        <w:t>)</w:t>
      </w:r>
    </w:p>
    <w:p w:rsidR="001E56AB" w:rsidP="001E56AB" w:rsidRDefault="001E56AB" w14:paraId="3E2EF1B3" w14:textId="77777777">
      <w:pPr>
        <w:widowControl w:val="0"/>
        <w:spacing w:line="240" w:lineRule="atLeast"/>
        <w:rPr>
          <w:sz w:val="18"/>
          <w:szCs w:val="18"/>
        </w:rPr>
      </w:pPr>
    </w:p>
    <w:p w:rsidR="00E87938" w:rsidP="001E56AB" w:rsidRDefault="00A74313" w14:paraId="42A69CC1" w14:textId="1E7EA878">
      <w:pPr>
        <w:widowControl w:val="0"/>
        <w:spacing w:line="240" w:lineRule="atLeast"/>
        <w:rPr>
          <w:sz w:val="18"/>
          <w:szCs w:val="18"/>
        </w:rPr>
      </w:pPr>
      <w:r>
        <w:rPr>
          <w:sz w:val="18"/>
          <w:szCs w:val="18"/>
        </w:rPr>
        <w:t>Na artikel 3:111b</w:t>
      </w:r>
      <w:r w:rsidR="00344C84">
        <w:rPr>
          <w:sz w:val="18"/>
          <w:szCs w:val="18"/>
        </w:rPr>
        <w:t xml:space="preserve"> Wft</w:t>
      </w:r>
      <w:r>
        <w:rPr>
          <w:sz w:val="18"/>
          <w:szCs w:val="18"/>
        </w:rPr>
        <w:t xml:space="preserve"> wordt een afdeling 3.5.1.0 ingevoegd met daarin de artikelen 3:111ba en 3:111bb Wft. </w:t>
      </w:r>
      <w:r w:rsidR="00E87938">
        <w:rPr>
          <w:sz w:val="18"/>
          <w:szCs w:val="18"/>
        </w:rPr>
        <w:t>D</w:t>
      </w:r>
      <w:r>
        <w:rPr>
          <w:sz w:val="18"/>
          <w:szCs w:val="18"/>
        </w:rPr>
        <w:t>eze artikelen</w:t>
      </w:r>
      <w:r w:rsidR="00E87938">
        <w:rPr>
          <w:sz w:val="18"/>
          <w:szCs w:val="18"/>
        </w:rPr>
        <w:t xml:space="preserve"> vormen de implementatie van de artikelen </w:t>
      </w:r>
      <w:r w:rsidR="00A74363">
        <w:rPr>
          <w:sz w:val="18"/>
          <w:szCs w:val="18"/>
        </w:rPr>
        <w:t xml:space="preserve">48 decies en 48 undecies CRD en bevatten </w:t>
      </w:r>
      <w:r w:rsidR="00B27565">
        <w:rPr>
          <w:sz w:val="18"/>
          <w:szCs w:val="18"/>
        </w:rPr>
        <w:t>bepaling</w:t>
      </w:r>
      <w:r w:rsidR="00D502AB">
        <w:rPr>
          <w:sz w:val="18"/>
          <w:szCs w:val="18"/>
        </w:rPr>
        <w:t>en</w:t>
      </w:r>
      <w:r w:rsidR="00B27565">
        <w:rPr>
          <w:sz w:val="18"/>
          <w:szCs w:val="18"/>
        </w:rPr>
        <w:t xml:space="preserve"> omtrent het bepalen van de systeemrelevantie van een </w:t>
      </w:r>
      <w:r w:rsidR="001C0C28">
        <w:rPr>
          <w:sz w:val="18"/>
          <w:szCs w:val="18"/>
        </w:rPr>
        <w:t>derde land</w:t>
      </w:r>
      <w:r w:rsidR="00B27565">
        <w:rPr>
          <w:sz w:val="18"/>
          <w:szCs w:val="18"/>
        </w:rPr>
        <w:t xml:space="preserve"> bijkantoor (3:111ba</w:t>
      </w:r>
      <w:r w:rsidR="00344C84">
        <w:rPr>
          <w:sz w:val="18"/>
          <w:szCs w:val="18"/>
        </w:rPr>
        <w:t xml:space="preserve"> Wft</w:t>
      </w:r>
      <w:r w:rsidR="00B27565">
        <w:rPr>
          <w:sz w:val="18"/>
          <w:szCs w:val="18"/>
        </w:rPr>
        <w:t xml:space="preserve">) en een verdochteringseis die opgelegd kan </w:t>
      </w:r>
      <w:r w:rsidR="00A05E37">
        <w:rPr>
          <w:sz w:val="18"/>
          <w:szCs w:val="18"/>
        </w:rPr>
        <w:t>worden</w:t>
      </w:r>
      <w:r w:rsidR="00B27565">
        <w:rPr>
          <w:sz w:val="18"/>
          <w:szCs w:val="18"/>
        </w:rPr>
        <w:t xml:space="preserve"> aan een </w:t>
      </w:r>
      <w:r w:rsidR="001C0C28">
        <w:rPr>
          <w:sz w:val="18"/>
          <w:szCs w:val="18"/>
        </w:rPr>
        <w:t>derde land</w:t>
      </w:r>
      <w:r w:rsidR="00B27565">
        <w:rPr>
          <w:sz w:val="18"/>
          <w:szCs w:val="18"/>
        </w:rPr>
        <w:t xml:space="preserve"> bijkantoor (3:111bb</w:t>
      </w:r>
      <w:r w:rsidR="00344C84">
        <w:rPr>
          <w:sz w:val="18"/>
          <w:szCs w:val="18"/>
        </w:rPr>
        <w:t xml:space="preserve"> Wft</w:t>
      </w:r>
      <w:r w:rsidR="00B27565">
        <w:rPr>
          <w:sz w:val="18"/>
          <w:szCs w:val="18"/>
        </w:rPr>
        <w:t>).</w:t>
      </w:r>
    </w:p>
    <w:p w:rsidR="00B27565" w:rsidP="001E56AB" w:rsidRDefault="00B27565" w14:paraId="3F15EC0F" w14:textId="77777777">
      <w:pPr>
        <w:widowControl w:val="0"/>
        <w:spacing w:line="240" w:lineRule="atLeast"/>
        <w:rPr>
          <w:sz w:val="18"/>
          <w:szCs w:val="18"/>
        </w:rPr>
      </w:pPr>
    </w:p>
    <w:p w:rsidR="00B27565" w:rsidP="001E56AB" w:rsidRDefault="00B27565" w14:paraId="67F0D8E8" w14:textId="7B28D3E7">
      <w:pPr>
        <w:widowControl w:val="0"/>
        <w:spacing w:line="240" w:lineRule="atLeast"/>
        <w:rPr>
          <w:sz w:val="18"/>
          <w:szCs w:val="18"/>
        </w:rPr>
      </w:pPr>
      <w:r w:rsidRPr="00B27565">
        <w:rPr>
          <w:sz w:val="18"/>
          <w:szCs w:val="18"/>
        </w:rPr>
        <w:t>Artikel 3:111ba</w:t>
      </w:r>
      <w:r w:rsidR="00344C84">
        <w:rPr>
          <w:sz w:val="18"/>
          <w:szCs w:val="18"/>
        </w:rPr>
        <w:t xml:space="preserve"> Wft</w:t>
      </w:r>
      <w:r w:rsidRPr="00B27565">
        <w:rPr>
          <w:sz w:val="18"/>
          <w:szCs w:val="18"/>
        </w:rPr>
        <w:t xml:space="preserve"> schrijft vo</w:t>
      </w:r>
      <w:r w:rsidRPr="00A6284F">
        <w:rPr>
          <w:sz w:val="18"/>
          <w:szCs w:val="18"/>
        </w:rPr>
        <w:t>or d</w:t>
      </w:r>
      <w:r>
        <w:rPr>
          <w:sz w:val="18"/>
          <w:szCs w:val="18"/>
        </w:rPr>
        <w:t xml:space="preserve">at DNB beoordeelt of een </w:t>
      </w:r>
      <w:r w:rsidR="001C0C28">
        <w:rPr>
          <w:sz w:val="18"/>
          <w:szCs w:val="18"/>
        </w:rPr>
        <w:t>derde land</w:t>
      </w:r>
      <w:r>
        <w:rPr>
          <w:sz w:val="18"/>
          <w:szCs w:val="18"/>
        </w:rPr>
        <w:t xml:space="preserve"> bijkantoor systeemrelevant is. </w:t>
      </w:r>
      <w:r w:rsidR="00A05E37">
        <w:rPr>
          <w:sz w:val="18"/>
          <w:szCs w:val="18"/>
        </w:rPr>
        <w:t xml:space="preserve">Deze beoordeling vindt alleen plaats als het </w:t>
      </w:r>
      <w:r w:rsidR="001C0C28">
        <w:rPr>
          <w:sz w:val="18"/>
          <w:szCs w:val="18"/>
        </w:rPr>
        <w:t>derde land</w:t>
      </w:r>
      <w:r w:rsidR="00A05E37">
        <w:rPr>
          <w:sz w:val="18"/>
          <w:szCs w:val="18"/>
        </w:rPr>
        <w:t xml:space="preserve"> bijkantoor onderdeel is van een groep ondernemingen waarvan de </w:t>
      </w:r>
      <w:r w:rsidR="00F1694E">
        <w:rPr>
          <w:sz w:val="18"/>
          <w:szCs w:val="18"/>
        </w:rPr>
        <w:t xml:space="preserve">derde land </w:t>
      </w:r>
      <w:r w:rsidR="00A05E37">
        <w:rPr>
          <w:sz w:val="18"/>
          <w:szCs w:val="18"/>
        </w:rPr>
        <w:t xml:space="preserve">bijkantoren in de EU gezamenlijk € 40 miljard of meer activa aanhouden. </w:t>
      </w:r>
      <w:r>
        <w:rPr>
          <w:sz w:val="18"/>
          <w:szCs w:val="18"/>
        </w:rPr>
        <w:t xml:space="preserve">Ter beoordeling hiervan </w:t>
      </w:r>
      <w:r w:rsidR="00A05E37">
        <w:rPr>
          <w:sz w:val="18"/>
          <w:szCs w:val="18"/>
        </w:rPr>
        <w:t>baseert</w:t>
      </w:r>
      <w:r>
        <w:rPr>
          <w:sz w:val="18"/>
          <w:szCs w:val="18"/>
        </w:rPr>
        <w:t xml:space="preserve"> DNB zich op hetgeen in de artikelen 48 decies, tweede lid, tweede alinea en 48 undecies, eerste tot en met derde lid, CRD is opgenomen. Hierin liggen criteria besloten om te bepalen of een </w:t>
      </w:r>
      <w:r w:rsidR="001C0C28">
        <w:rPr>
          <w:sz w:val="18"/>
          <w:szCs w:val="18"/>
        </w:rPr>
        <w:t>derde land</w:t>
      </w:r>
      <w:r>
        <w:rPr>
          <w:sz w:val="18"/>
          <w:szCs w:val="18"/>
        </w:rPr>
        <w:t xml:space="preserve"> bijkantoor relevant is. Criteria daarvoor zijn onder meer aard, omvang en complexiteit van het </w:t>
      </w:r>
      <w:r w:rsidR="001C0C28">
        <w:rPr>
          <w:sz w:val="18"/>
          <w:szCs w:val="18"/>
        </w:rPr>
        <w:t>derde land</w:t>
      </w:r>
      <w:r>
        <w:rPr>
          <w:sz w:val="18"/>
          <w:szCs w:val="18"/>
        </w:rPr>
        <w:t xml:space="preserve"> bijkantoor, het type dienstverlening en verwevenheid met het financiële stelsel in Nederland en de EU</w:t>
      </w:r>
      <w:r w:rsidR="00A05E37">
        <w:rPr>
          <w:sz w:val="18"/>
          <w:szCs w:val="18"/>
        </w:rPr>
        <w:t>, en de systeemrelevantiecriteria die gebruikt worden ter beoordeling van andere systeemrelevante banken op grond van artikel 131, derde lid, CRD</w:t>
      </w:r>
      <w:r>
        <w:rPr>
          <w:sz w:val="18"/>
          <w:szCs w:val="18"/>
        </w:rPr>
        <w:t xml:space="preserve">. </w:t>
      </w:r>
    </w:p>
    <w:p w:rsidR="00B27565" w:rsidP="001E56AB" w:rsidRDefault="00B27565" w14:paraId="21540565" w14:textId="77777777">
      <w:pPr>
        <w:widowControl w:val="0"/>
        <w:spacing w:line="240" w:lineRule="atLeast"/>
        <w:rPr>
          <w:sz w:val="18"/>
          <w:szCs w:val="18"/>
        </w:rPr>
      </w:pPr>
    </w:p>
    <w:p w:rsidR="00A05E37" w:rsidP="001E56AB" w:rsidRDefault="00B27565" w14:paraId="79F9CC27" w14:textId="7C478F5B">
      <w:pPr>
        <w:widowControl w:val="0"/>
        <w:spacing w:line="240" w:lineRule="atLeast"/>
        <w:rPr>
          <w:sz w:val="18"/>
          <w:szCs w:val="18"/>
        </w:rPr>
      </w:pPr>
      <w:r>
        <w:rPr>
          <w:sz w:val="18"/>
          <w:szCs w:val="18"/>
        </w:rPr>
        <w:t xml:space="preserve">Indien een </w:t>
      </w:r>
      <w:r w:rsidR="001C0C28">
        <w:rPr>
          <w:sz w:val="18"/>
          <w:szCs w:val="18"/>
        </w:rPr>
        <w:t>derde land</w:t>
      </w:r>
      <w:r>
        <w:rPr>
          <w:sz w:val="18"/>
          <w:szCs w:val="18"/>
        </w:rPr>
        <w:t xml:space="preserve"> bijkantoor als systeemrelevant aangemerkt wordt, kan DNB allereerst maatregelen nemen om de risico’s te adresseren. D</w:t>
      </w:r>
      <w:r w:rsidR="00A05E37">
        <w:rPr>
          <w:sz w:val="18"/>
          <w:szCs w:val="18"/>
        </w:rPr>
        <w:t xml:space="preserve">eze maatregelen zijn voorgeschreven in artikel 3:111ba, tweede lid, </w:t>
      </w:r>
      <w:r w:rsidR="00344C84">
        <w:rPr>
          <w:sz w:val="18"/>
          <w:szCs w:val="18"/>
        </w:rPr>
        <w:t xml:space="preserve">Wft </w:t>
      </w:r>
      <w:r w:rsidR="00A05E37">
        <w:rPr>
          <w:sz w:val="18"/>
          <w:szCs w:val="18"/>
        </w:rPr>
        <w:t xml:space="preserve">ter implementatie </w:t>
      </w:r>
      <w:r w:rsidR="00A05E37">
        <w:rPr>
          <w:sz w:val="18"/>
          <w:szCs w:val="18"/>
        </w:rPr>
        <w:lastRenderedPageBreak/>
        <w:t xml:space="preserve">van artikel 48 undecies, vierde lid, CRD. </w:t>
      </w:r>
    </w:p>
    <w:p w:rsidR="00A05E37" w:rsidP="001E56AB" w:rsidRDefault="00A05E37" w14:paraId="7ADF3555" w14:textId="77777777">
      <w:pPr>
        <w:widowControl w:val="0"/>
        <w:spacing w:line="240" w:lineRule="atLeast"/>
        <w:rPr>
          <w:sz w:val="18"/>
          <w:szCs w:val="18"/>
        </w:rPr>
      </w:pPr>
    </w:p>
    <w:p w:rsidRPr="008F2D06" w:rsidR="00B27565" w:rsidP="001E56AB" w:rsidRDefault="00A05E37" w14:paraId="65D9297D" w14:textId="5C29BDEF">
      <w:pPr>
        <w:widowControl w:val="0"/>
        <w:spacing w:line="240" w:lineRule="atLeast"/>
        <w:rPr>
          <w:sz w:val="18"/>
          <w:szCs w:val="18"/>
        </w:rPr>
      </w:pPr>
      <w:r>
        <w:rPr>
          <w:sz w:val="18"/>
          <w:szCs w:val="18"/>
        </w:rPr>
        <w:t>Een mogelijk gevolg van de systeemrelevantie kan zijn dat</w:t>
      </w:r>
      <w:r w:rsidR="007B7052">
        <w:rPr>
          <w:sz w:val="18"/>
          <w:szCs w:val="18"/>
        </w:rPr>
        <w:t xml:space="preserve"> </w:t>
      </w:r>
      <w:r w:rsidR="00D74507">
        <w:rPr>
          <w:sz w:val="18"/>
          <w:szCs w:val="18"/>
        </w:rPr>
        <w:t xml:space="preserve">een </w:t>
      </w:r>
      <w:r w:rsidR="001C0C28">
        <w:rPr>
          <w:sz w:val="18"/>
          <w:szCs w:val="18"/>
        </w:rPr>
        <w:t>derde land</w:t>
      </w:r>
      <w:r w:rsidR="00D74507">
        <w:rPr>
          <w:sz w:val="18"/>
          <w:szCs w:val="18"/>
        </w:rPr>
        <w:t xml:space="preserve"> bijkantoor een zelfstandige bankvergunning als bedoeld in artikel 2:11 Wft </w:t>
      </w:r>
      <w:r w:rsidR="007B7052">
        <w:rPr>
          <w:sz w:val="18"/>
          <w:szCs w:val="18"/>
        </w:rPr>
        <w:t xml:space="preserve">behoeft </w:t>
      </w:r>
      <w:r w:rsidR="005E57B0">
        <w:rPr>
          <w:sz w:val="18"/>
          <w:szCs w:val="18"/>
        </w:rPr>
        <w:t>zodat het bijkantoor een volwaardige dochteronderneming wordt en daarmee een zelfstandige juridische entiteit</w:t>
      </w:r>
      <w:r w:rsidR="00D74507">
        <w:rPr>
          <w:sz w:val="18"/>
          <w:szCs w:val="18"/>
        </w:rPr>
        <w:t>. Het eerste lid van artikel 3:111bb Wft schrijft voor wanneer</w:t>
      </w:r>
      <w:r w:rsidR="00F1694E">
        <w:rPr>
          <w:sz w:val="18"/>
          <w:szCs w:val="18"/>
        </w:rPr>
        <w:t xml:space="preserve"> DNB dit kan voorschrijven</w:t>
      </w:r>
      <w:r w:rsidR="00D74507">
        <w:rPr>
          <w:sz w:val="18"/>
          <w:szCs w:val="18"/>
        </w:rPr>
        <w:t xml:space="preserve">, namelijk </w:t>
      </w:r>
      <w:r w:rsidR="00BF7365">
        <w:rPr>
          <w:sz w:val="18"/>
          <w:szCs w:val="18"/>
        </w:rPr>
        <w:t xml:space="preserve">a) </w:t>
      </w:r>
      <w:r w:rsidR="00D74507">
        <w:rPr>
          <w:sz w:val="18"/>
          <w:szCs w:val="18"/>
        </w:rPr>
        <w:t xml:space="preserve">als het bijkantoor toch activiteiten verricht over de landsgrenzen heen die niet voldoen aan de uitzonderingen voor intragroepfinancieringstransacties of de uitzondering van reverse solicitation uit artikel 21 quater, tweede lid, onderdeel a, CRD, </w:t>
      </w:r>
      <w:r w:rsidR="00BF7365">
        <w:rPr>
          <w:sz w:val="18"/>
          <w:szCs w:val="18"/>
        </w:rPr>
        <w:t xml:space="preserve">b) </w:t>
      </w:r>
      <w:r w:rsidR="00D74507">
        <w:rPr>
          <w:sz w:val="18"/>
          <w:szCs w:val="18"/>
        </w:rPr>
        <w:t xml:space="preserve">het bijkantoor op grond van artikel 3:111ba Wft systeemrelevant wordt geacht, of </w:t>
      </w:r>
      <w:r w:rsidR="00BF7365">
        <w:rPr>
          <w:sz w:val="18"/>
          <w:szCs w:val="18"/>
        </w:rPr>
        <w:t xml:space="preserve">c) </w:t>
      </w:r>
      <w:r w:rsidR="00D74507">
        <w:rPr>
          <w:sz w:val="18"/>
          <w:szCs w:val="18"/>
        </w:rPr>
        <w:t xml:space="preserve">het </w:t>
      </w:r>
      <w:r w:rsidR="001C0C28">
        <w:rPr>
          <w:sz w:val="18"/>
          <w:szCs w:val="18"/>
        </w:rPr>
        <w:t>derde land</w:t>
      </w:r>
      <w:r w:rsidR="00D74507">
        <w:rPr>
          <w:sz w:val="18"/>
          <w:szCs w:val="18"/>
        </w:rPr>
        <w:t xml:space="preserve"> bijkantoor zelf € 10 miljard activa op de balans heeft staan of onderdeel is van een groep </w:t>
      </w:r>
      <w:r w:rsidR="001C0C28">
        <w:rPr>
          <w:sz w:val="18"/>
          <w:szCs w:val="18"/>
        </w:rPr>
        <w:t>derde land</w:t>
      </w:r>
      <w:r w:rsidR="00D74507">
        <w:rPr>
          <w:sz w:val="18"/>
          <w:szCs w:val="18"/>
        </w:rPr>
        <w:t xml:space="preserve"> bijkantoren met meer dan € 40 miljard op de balans. Voor de berekening van de € 10 miljard en € 40 miljard activa tellen de activa die verkregen zijn door </w:t>
      </w:r>
      <w:r w:rsidRPr="00A6284F" w:rsidR="00D74507">
        <w:rPr>
          <w:i/>
          <w:iCs/>
          <w:sz w:val="18"/>
          <w:szCs w:val="18"/>
        </w:rPr>
        <w:t>reverse solicitation</w:t>
      </w:r>
      <w:r w:rsidR="008F2D06">
        <w:rPr>
          <w:i/>
          <w:iCs/>
          <w:sz w:val="18"/>
          <w:szCs w:val="18"/>
        </w:rPr>
        <w:t xml:space="preserve"> </w:t>
      </w:r>
      <w:r w:rsidR="008F2D06">
        <w:rPr>
          <w:sz w:val="18"/>
          <w:szCs w:val="18"/>
        </w:rPr>
        <w:t xml:space="preserve">en intragroepstransacties wel mee. </w:t>
      </w:r>
    </w:p>
    <w:p w:rsidR="00D74507" w:rsidP="001E56AB" w:rsidRDefault="00D74507" w14:paraId="19BAA7C4" w14:textId="77777777">
      <w:pPr>
        <w:widowControl w:val="0"/>
        <w:spacing w:line="240" w:lineRule="atLeast"/>
        <w:rPr>
          <w:sz w:val="18"/>
          <w:szCs w:val="18"/>
        </w:rPr>
      </w:pPr>
    </w:p>
    <w:p w:rsidRPr="00B27565" w:rsidR="00D74507" w:rsidP="001E56AB" w:rsidRDefault="00D74507" w14:paraId="58997C8E" w14:textId="0616B1B1">
      <w:pPr>
        <w:widowControl w:val="0"/>
        <w:spacing w:line="240" w:lineRule="atLeast"/>
        <w:rPr>
          <w:sz w:val="18"/>
          <w:szCs w:val="18"/>
        </w:rPr>
      </w:pPr>
      <w:r>
        <w:rPr>
          <w:sz w:val="18"/>
          <w:szCs w:val="18"/>
        </w:rPr>
        <w:t>DNB</w:t>
      </w:r>
      <w:r w:rsidR="006438AD">
        <w:rPr>
          <w:sz w:val="18"/>
          <w:szCs w:val="18"/>
        </w:rPr>
        <w:t xml:space="preserve"> kan </w:t>
      </w:r>
      <w:r w:rsidR="007B7052">
        <w:rPr>
          <w:sz w:val="18"/>
          <w:szCs w:val="18"/>
        </w:rPr>
        <w:t xml:space="preserve">tevens </w:t>
      </w:r>
      <w:r>
        <w:rPr>
          <w:sz w:val="18"/>
          <w:szCs w:val="18"/>
        </w:rPr>
        <w:t xml:space="preserve">de verdochtering </w:t>
      </w:r>
      <w:r w:rsidR="008F2D06">
        <w:rPr>
          <w:sz w:val="18"/>
          <w:szCs w:val="18"/>
        </w:rPr>
        <w:t xml:space="preserve">van een </w:t>
      </w:r>
      <w:r w:rsidR="001C0C28">
        <w:rPr>
          <w:sz w:val="18"/>
          <w:szCs w:val="18"/>
        </w:rPr>
        <w:t>derde land</w:t>
      </w:r>
      <w:r w:rsidR="008F2D06">
        <w:rPr>
          <w:sz w:val="18"/>
          <w:szCs w:val="18"/>
        </w:rPr>
        <w:t xml:space="preserve"> bijkantoor </w:t>
      </w:r>
      <w:r>
        <w:rPr>
          <w:sz w:val="18"/>
          <w:szCs w:val="18"/>
        </w:rPr>
        <w:t xml:space="preserve">voorschrijven, </w:t>
      </w:r>
      <w:r w:rsidR="006438AD">
        <w:rPr>
          <w:sz w:val="18"/>
          <w:szCs w:val="18"/>
        </w:rPr>
        <w:t xml:space="preserve">als zij </w:t>
      </w:r>
      <w:r>
        <w:rPr>
          <w:sz w:val="18"/>
          <w:szCs w:val="18"/>
        </w:rPr>
        <w:t>eer</w:t>
      </w:r>
      <w:r w:rsidR="006438AD">
        <w:rPr>
          <w:sz w:val="18"/>
          <w:szCs w:val="18"/>
        </w:rPr>
        <w:t>der</w:t>
      </w:r>
      <w:r>
        <w:rPr>
          <w:sz w:val="18"/>
          <w:szCs w:val="18"/>
        </w:rPr>
        <w:t xml:space="preserve"> </w:t>
      </w:r>
      <w:r w:rsidR="006438AD">
        <w:rPr>
          <w:sz w:val="18"/>
          <w:szCs w:val="18"/>
        </w:rPr>
        <w:t xml:space="preserve">al </w:t>
      </w:r>
      <w:r>
        <w:rPr>
          <w:sz w:val="18"/>
          <w:szCs w:val="18"/>
        </w:rPr>
        <w:t xml:space="preserve">de maatregelen uit artikel 3:111a.1, tweede lid, of 3:111ba, tweede lid, Wft </w:t>
      </w:r>
      <w:r w:rsidR="006438AD">
        <w:rPr>
          <w:sz w:val="18"/>
          <w:szCs w:val="18"/>
        </w:rPr>
        <w:t>heeft genomen</w:t>
      </w:r>
      <w:r>
        <w:rPr>
          <w:sz w:val="18"/>
          <w:szCs w:val="18"/>
        </w:rPr>
        <w:t>, dan</w:t>
      </w:r>
      <w:r w:rsidR="00BF7365">
        <w:rPr>
          <w:sz w:val="18"/>
          <w:szCs w:val="18"/>
        </w:rPr>
        <w:t xml:space="preserve"> </w:t>
      </w:r>
      <w:r>
        <w:rPr>
          <w:sz w:val="18"/>
          <w:szCs w:val="18"/>
        </w:rPr>
        <w:t xml:space="preserve">wel </w:t>
      </w:r>
      <w:r w:rsidR="002917A7">
        <w:rPr>
          <w:sz w:val="18"/>
          <w:szCs w:val="18"/>
        </w:rPr>
        <w:t xml:space="preserve">van oordeel is </w:t>
      </w:r>
      <w:r>
        <w:rPr>
          <w:sz w:val="18"/>
          <w:szCs w:val="18"/>
        </w:rPr>
        <w:t xml:space="preserve">dat het op andere gronden dan die </w:t>
      </w:r>
      <w:r w:rsidR="008F2D06">
        <w:rPr>
          <w:sz w:val="18"/>
          <w:szCs w:val="18"/>
        </w:rPr>
        <w:t xml:space="preserve">in de vorige alinea genoemd zijn </w:t>
      </w:r>
      <w:r>
        <w:rPr>
          <w:sz w:val="18"/>
          <w:szCs w:val="18"/>
        </w:rPr>
        <w:t>kan rechtvaardigen dat de hiervoor genoemde maatregelen ontoereikend zijn om toezichtproblemen weg te nemen en dat alleen een verdochtering dit kan remediëren.</w:t>
      </w:r>
      <w:r w:rsidR="008F2D06">
        <w:rPr>
          <w:sz w:val="18"/>
          <w:szCs w:val="18"/>
        </w:rPr>
        <w:t xml:space="preserve"> </w:t>
      </w:r>
    </w:p>
    <w:p w:rsidR="001E56AB" w:rsidP="001E56AB" w:rsidRDefault="001E56AB" w14:paraId="29FB2C02" w14:textId="77777777">
      <w:pPr>
        <w:widowControl w:val="0"/>
        <w:spacing w:line="240" w:lineRule="atLeast"/>
        <w:rPr>
          <w:sz w:val="18"/>
          <w:szCs w:val="18"/>
        </w:rPr>
      </w:pPr>
    </w:p>
    <w:p w:rsidR="001B3D79" w:rsidP="001E56AB" w:rsidRDefault="006B5C8D" w14:paraId="2C90170B" w14:textId="657DA0E9">
      <w:pPr>
        <w:widowControl w:val="0"/>
        <w:spacing w:line="240" w:lineRule="atLeast"/>
        <w:rPr>
          <w:sz w:val="18"/>
          <w:szCs w:val="18"/>
        </w:rPr>
      </w:pPr>
      <w:r>
        <w:rPr>
          <w:sz w:val="18"/>
          <w:szCs w:val="18"/>
        </w:rPr>
        <w:t>UUU</w:t>
      </w:r>
      <w:r w:rsidR="00070306">
        <w:rPr>
          <w:sz w:val="18"/>
          <w:szCs w:val="18"/>
        </w:rPr>
        <w:t xml:space="preserve"> &amp; </w:t>
      </w:r>
      <w:r>
        <w:rPr>
          <w:sz w:val="18"/>
          <w:szCs w:val="18"/>
        </w:rPr>
        <w:t>VVV</w:t>
      </w:r>
      <w:r w:rsidR="001B3D79">
        <w:rPr>
          <w:sz w:val="18"/>
          <w:szCs w:val="18"/>
        </w:rPr>
        <w:t xml:space="preserve"> </w:t>
      </w:r>
      <w:r w:rsidR="00070306">
        <w:rPr>
          <w:sz w:val="18"/>
          <w:szCs w:val="18"/>
        </w:rPr>
        <w:t>(3:271 en 3:272)</w:t>
      </w:r>
    </w:p>
    <w:p w:rsidR="001B3D79" w:rsidP="001E56AB" w:rsidRDefault="001B3D79" w14:paraId="26BA7B71" w14:textId="77777777">
      <w:pPr>
        <w:widowControl w:val="0"/>
        <w:spacing w:line="240" w:lineRule="atLeast"/>
        <w:rPr>
          <w:sz w:val="18"/>
          <w:szCs w:val="18"/>
        </w:rPr>
      </w:pPr>
    </w:p>
    <w:p w:rsidR="001B3D79" w:rsidP="001E56AB" w:rsidRDefault="00681503" w14:paraId="4844E2FC" w14:textId="5B318FDB">
      <w:pPr>
        <w:widowControl w:val="0"/>
        <w:spacing w:line="240" w:lineRule="atLeast"/>
        <w:rPr>
          <w:sz w:val="18"/>
          <w:szCs w:val="18"/>
        </w:rPr>
      </w:pPr>
      <w:r>
        <w:rPr>
          <w:sz w:val="18"/>
          <w:szCs w:val="18"/>
        </w:rPr>
        <w:t>De artikelen 3:271 en 3:272</w:t>
      </w:r>
      <w:r w:rsidR="00344C84">
        <w:rPr>
          <w:sz w:val="18"/>
          <w:szCs w:val="18"/>
        </w:rPr>
        <w:t xml:space="preserve"> Wft</w:t>
      </w:r>
      <w:r>
        <w:rPr>
          <w:sz w:val="18"/>
          <w:szCs w:val="18"/>
        </w:rPr>
        <w:t xml:space="preserve"> zien op de</w:t>
      </w:r>
      <w:r w:rsidR="0060142A">
        <w:rPr>
          <w:sz w:val="18"/>
          <w:szCs w:val="18"/>
        </w:rPr>
        <w:t xml:space="preserve"> vereisten van geschiktheid en betrouwbaarheid uit de artikelen 3:8 en 3:9</w:t>
      </w:r>
      <w:r w:rsidR="00344C84">
        <w:rPr>
          <w:sz w:val="18"/>
          <w:szCs w:val="18"/>
        </w:rPr>
        <w:t xml:space="preserve"> Wft</w:t>
      </w:r>
      <w:r w:rsidR="0060142A">
        <w:rPr>
          <w:sz w:val="18"/>
          <w:szCs w:val="18"/>
        </w:rPr>
        <w:t xml:space="preserve"> die van overeenkomstige toepassing zijn op verschillende typen holdings in Nederland. De wijzigingen uit de richtlijn in artikel 91 CRD maken duidelijk dat alleen de (gemengde) financiële holdings in het toepassingsbereik van artikel 21 bis CRD moeten voldoen aan de vereisten uit artikel 91 en daarmee de artikelen 3:8 en 3:9 Wft. Hierop zijn de artikelen 3:271 en 3:272</w:t>
      </w:r>
      <w:r w:rsidR="00344C84">
        <w:rPr>
          <w:sz w:val="18"/>
          <w:szCs w:val="18"/>
        </w:rPr>
        <w:t xml:space="preserve"> Wft</w:t>
      </w:r>
      <w:r w:rsidR="0060142A">
        <w:rPr>
          <w:sz w:val="18"/>
          <w:szCs w:val="18"/>
        </w:rPr>
        <w:t xml:space="preserve"> aangepast.</w:t>
      </w:r>
    </w:p>
    <w:p w:rsidR="001B3D79" w:rsidP="001E56AB" w:rsidRDefault="001B3D79" w14:paraId="3FEF2124" w14:textId="77777777">
      <w:pPr>
        <w:widowControl w:val="0"/>
        <w:spacing w:line="240" w:lineRule="atLeast"/>
        <w:rPr>
          <w:sz w:val="18"/>
          <w:szCs w:val="18"/>
        </w:rPr>
      </w:pPr>
    </w:p>
    <w:p w:rsidR="007D2915" w:rsidP="001E56AB" w:rsidRDefault="006B5C8D" w14:paraId="44F7B5CC" w14:textId="1938EAF7">
      <w:pPr>
        <w:widowControl w:val="0"/>
        <w:spacing w:line="240" w:lineRule="atLeast"/>
        <w:rPr>
          <w:sz w:val="18"/>
          <w:szCs w:val="18"/>
        </w:rPr>
      </w:pPr>
      <w:r>
        <w:rPr>
          <w:sz w:val="18"/>
          <w:szCs w:val="18"/>
        </w:rPr>
        <w:t>WWW</w:t>
      </w:r>
      <w:r w:rsidR="001B3D79">
        <w:rPr>
          <w:sz w:val="18"/>
          <w:szCs w:val="18"/>
        </w:rPr>
        <w:t xml:space="preserve"> </w:t>
      </w:r>
      <w:r w:rsidR="007D2915">
        <w:rPr>
          <w:sz w:val="18"/>
          <w:szCs w:val="18"/>
        </w:rPr>
        <w:t>(3:272a)</w:t>
      </w:r>
    </w:p>
    <w:p w:rsidR="007D2915" w:rsidP="001E56AB" w:rsidRDefault="007D2915" w14:paraId="717669BE" w14:textId="77777777">
      <w:pPr>
        <w:widowControl w:val="0"/>
        <w:spacing w:line="240" w:lineRule="atLeast"/>
        <w:rPr>
          <w:sz w:val="18"/>
          <w:szCs w:val="18"/>
        </w:rPr>
      </w:pPr>
    </w:p>
    <w:p w:rsidR="007D2915" w:rsidP="001E56AB" w:rsidRDefault="00A74313" w14:paraId="750DBD44" w14:textId="4AA40C05">
      <w:pPr>
        <w:widowControl w:val="0"/>
        <w:spacing w:line="240" w:lineRule="atLeast"/>
        <w:rPr>
          <w:sz w:val="18"/>
          <w:szCs w:val="18"/>
        </w:rPr>
      </w:pPr>
      <w:r>
        <w:rPr>
          <w:sz w:val="18"/>
          <w:szCs w:val="18"/>
        </w:rPr>
        <w:t xml:space="preserve">Zoals eerder beschreven bij artikel 1:1 en 3:8 </w:t>
      </w:r>
      <w:r w:rsidR="00663479">
        <w:rPr>
          <w:sz w:val="18"/>
          <w:szCs w:val="18"/>
        </w:rPr>
        <w:t>Wf</w:t>
      </w:r>
      <w:r w:rsidRPr="008405ED" w:rsidR="00663479">
        <w:rPr>
          <w:sz w:val="18"/>
          <w:szCs w:val="18"/>
        </w:rPr>
        <w:t xml:space="preserve">t </w:t>
      </w:r>
      <w:r w:rsidRPr="008405ED">
        <w:rPr>
          <w:sz w:val="18"/>
          <w:szCs w:val="18"/>
        </w:rPr>
        <w:t>(</w:t>
      </w:r>
      <w:r w:rsidR="00344C84">
        <w:rPr>
          <w:sz w:val="18"/>
          <w:szCs w:val="18"/>
        </w:rPr>
        <w:t xml:space="preserve">zie </w:t>
      </w:r>
      <w:r w:rsidRPr="008405ED">
        <w:rPr>
          <w:sz w:val="18"/>
          <w:szCs w:val="18"/>
        </w:rPr>
        <w:t xml:space="preserve">onderdelen A en </w:t>
      </w:r>
      <w:r w:rsidR="00BF7365">
        <w:rPr>
          <w:sz w:val="18"/>
          <w:szCs w:val="18"/>
        </w:rPr>
        <w:t>Z</w:t>
      </w:r>
      <w:r w:rsidRPr="008405ED">
        <w:rPr>
          <w:sz w:val="18"/>
          <w:szCs w:val="18"/>
        </w:rPr>
        <w:t>)</w:t>
      </w:r>
      <w:r>
        <w:rPr>
          <w:sz w:val="18"/>
          <w:szCs w:val="18"/>
        </w:rPr>
        <w:t xml:space="preserve"> wordt h</w:t>
      </w:r>
      <w:r w:rsidRPr="007D2915" w:rsidR="007D2915">
        <w:rPr>
          <w:sz w:val="18"/>
          <w:szCs w:val="18"/>
        </w:rPr>
        <w:t>et tweede echelonbegrip voor banken</w:t>
      </w:r>
      <w:r w:rsidR="00FC4064">
        <w:rPr>
          <w:sz w:val="18"/>
          <w:szCs w:val="18"/>
        </w:rPr>
        <w:t xml:space="preserve"> en</w:t>
      </w:r>
      <w:r w:rsidR="006438AD">
        <w:rPr>
          <w:sz w:val="18"/>
          <w:szCs w:val="18"/>
        </w:rPr>
        <w:t xml:space="preserve"> beleggingsondernemingen onder de verordening kapitaalvereisten </w:t>
      </w:r>
      <w:r w:rsidRPr="007D2915" w:rsidR="007D2915">
        <w:rPr>
          <w:sz w:val="18"/>
          <w:szCs w:val="18"/>
        </w:rPr>
        <w:t xml:space="preserve">vervangen door de </w:t>
      </w:r>
      <w:r w:rsidR="00663479">
        <w:rPr>
          <w:sz w:val="18"/>
          <w:szCs w:val="18"/>
        </w:rPr>
        <w:t>CRD-</w:t>
      </w:r>
      <w:r w:rsidRPr="007D2915" w:rsidR="007D2915">
        <w:rPr>
          <w:sz w:val="18"/>
          <w:szCs w:val="18"/>
        </w:rPr>
        <w:t xml:space="preserve">definitie van medewerker met een sleutelfunctie </w:t>
      </w:r>
      <w:r>
        <w:rPr>
          <w:sz w:val="18"/>
          <w:szCs w:val="18"/>
        </w:rPr>
        <w:t>waarvoor</w:t>
      </w:r>
      <w:r w:rsidRPr="007D2915" w:rsidR="007D2915">
        <w:rPr>
          <w:sz w:val="18"/>
          <w:szCs w:val="18"/>
        </w:rPr>
        <w:t xml:space="preserve"> een apart artikel </w:t>
      </w:r>
      <w:r>
        <w:rPr>
          <w:sz w:val="18"/>
          <w:szCs w:val="18"/>
        </w:rPr>
        <w:t xml:space="preserve">is </w:t>
      </w:r>
      <w:r w:rsidRPr="007D2915" w:rsidR="007D2915">
        <w:rPr>
          <w:sz w:val="18"/>
          <w:szCs w:val="18"/>
        </w:rPr>
        <w:t>opgenomen</w:t>
      </w:r>
      <w:r>
        <w:rPr>
          <w:sz w:val="18"/>
          <w:szCs w:val="18"/>
        </w:rPr>
        <w:t xml:space="preserve">. Daarom wordt een nieuw artikel </w:t>
      </w:r>
      <w:r w:rsidRPr="007D2915" w:rsidR="007D2915">
        <w:rPr>
          <w:sz w:val="18"/>
          <w:szCs w:val="18"/>
        </w:rPr>
        <w:t>3:272</w:t>
      </w:r>
      <w:r>
        <w:rPr>
          <w:sz w:val="18"/>
          <w:szCs w:val="18"/>
        </w:rPr>
        <w:t>a</w:t>
      </w:r>
      <w:r w:rsidRPr="007D2915" w:rsidR="007D2915">
        <w:rPr>
          <w:sz w:val="18"/>
          <w:szCs w:val="18"/>
        </w:rPr>
        <w:t xml:space="preserve"> Wft </w:t>
      </w:r>
      <w:r w:rsidR="00663479">
        <w:rPr>
          <w:sz w:val="18"/>
          <w:szCs w:val="18"/>
        </w:rPr>
        <w:t xml:space="preserve">ingevoegd </w:t>
      </w:r>
      <w:r>
        <w:rPr>
          <w:sz w:val="18"/>
          <w:szCs w:val="18"/>
        </w:rPr>
        <w:t>om artikel 3:9b</w:t>
      </w:r>
      <w:r w:rsidR="00663479">
        <w:rPr>
          <w:sz w:val="18"/>
          <w:szCs w:val="18"/>
        </w:rPr>
        <w:t xml:space="preserve"> Wft</w:t>
      </w:r>
      <w:r>
        <w:rPr>
          <w:sz w:val="18"/>
          <w:szCs w:val="18"/>
        </w:rPr>
        <w:t xml:space="preserve"> van overeenkomstige toepassing te verklaren op (gemengde) </w:t>
      </w:r>
      <w:r w:rsidRPr="007D2915" w:rsidR="007D2915">
        <w:rPr>
          <w:sz w:val="18"/>
          <w:szCs w:val="18"/>
        </w:rPr>
        <w:t xml:space="preserve">financiële holdings </w:t>
      </w:r>
      <w:r w:rsidR="007D2915">
        <w:rPr>
          <w:sz w:val="18"/>
          <w:szCs w:val="18"/>
        </w:rPr>
        <w:t>nu deze ondernemingen onder het bereik van artikel 91 CRD vallen.</w:t>
      </w:r>
      <w:r w:rsidR="003D4DE8">
        <w:rPr>
          <w:sz w:val="18"/>
          <w:szCs w:val="18"/>
        </w:rPr>
        <w:t xml:space="preserve"> Dit volgt uit het opnieuw vastgestelde artikel 91, eerste lid, CRD.</w:t>
      </w:r>
    </w:p>
    <w:p w:rsidR="008405ED" w:rsidP="001E56AB" w:rsidRDefault="008405ED" w14:paraId="7FE6056F" w14:textId="77777777">
      <w:pPr>
        <w:widowControl w:val="0"/>
        <w:spacing w:line="240" w:lineRule="atLeast"/>
        <w:rPr>
          <w:sz w:val="18"/>
          <w:szCs w:val="18"/>
        </w:rPr>
      </w:pPr>
    </w:p>
    <w:p w:rsidR="007D2915" w:rsidP="001E56AB" w:rsidRDefault="006B5C8D" w14:paraId="0F1123D0" w14:textId="146FE85D">
      <w:pPr>
        <w:widowControl w:val="0"/>
        <w:spacing w:line="240" w:lineRule="atLeast"/>
        <w:rPr>
          <w:sz w:val="18"/>
          <w:szCs w:val="18"/>
        </w:rPr>
      </w:pPr>
      <w:r>
        <w:rPr>
          <w:sz w:val="18"/>
          <w:szCs w:val="18"/>
        </w:rPr>
        <w:t>XXX</w:t>
      </w:r>
      <w:r w:rsidR="001B3D79">
        <w:rPr>
          <w:sz w:val="18"/>
          <w:szCs w:val="18"/>
        </w:rPr>
        <w:t xml:space="preserve"> </w:t>
      </w:r>
      <w:r w:rsidR="007D2915">
        <w:rPr>
          <w:sz w:val="18"/>
          <w:szCs w:val="18"/>
        </w:rPr>
        <w:t>(3:273)</w:t>
      </w:r>
    </w:p>
    <w:p w:rsidR="007D2915" w:rsidP="001E56AB" w:rsidRDefault="007D2915" w14:paraId="18A8FBCD" w14:textId="77777777">
      <w:pPr>
        <w:widowControl w:val="0"/>
        <w:spacing w:line="240" w:lineRule="atLeast"/>
        <w:rPr>
          <w:sz w:val="18"/>
          <w:szCs w:val="18"/>
        </w:rPr>
      </w:pPr>
    </w:p>
    <w:p w:rsidR="007D2915" w:rsidP="001E56AB" w:rsidRDefault="007D2915" w14:paraId="526464F4" w14:textId="714863F3">
      <w:pPr>
        <w:widowControl w:val="0"/>
        <w:spacing w:line="240" w:lineRule="atLeast"/>
        <w:rPr>
          <w:sz w:val="18"/>
          <w:szCs w:val="18"/>
        </w:rPr>
      </w:pPr>
      <w:r w:rsidRPr="007D2915">
        <w:rPr>
          <w:sz w:val="18"/>
          <w:szCs w:val="18"/>
        </w:rPr>
        <w:t xml:space="preserve">Artikel 3:273 Wft omschrijft de informatieplicht van de </w:t>
      </w:r>
      <w:r w:rsidR="0060142A">
        <w:rPr>
          <w:sz w:val="18"/>
          <w:szCs w:val="18"/>
        </w:rPr>
        <w:t>(</w:t>
      </w:r>
      <w:r w:rsidRPr="007D2915">
        <w:rPr>
          <w:sz w:val="18"/>
          <w:szCs w:val="18"/>
        </w:rPr>
        <w:t>gemengde</w:t>
      </w:r>
      <w:r w:rsidR="0060142A">
        <w:rPr>
          <w:sz w:val="18"/>
          <w:szCs w:val="18"/>
        </w:rPr>
        <w:t>)</w:t>
      </w:r>
      <w:r w:rsidRPr="007D2915">
        <w:rPr>
          <w:sz w:val="18"/>
          <w:szCs w:val="18"/>
        </w:rPr>
        <w:t xml:space="preserve"> financiële holding met zetel in Nederland bij wijzigingen van geschiktheid en betrouwbaarheid van dagelijkse beleidsbepalers. Omdat de geschiktheid- en betrouwbaarheidseis voor medewerkers met een sleutelfunctie is geregeld in een separaat artikel 3:9b en met een schakelbepaling in artikel 3:272a </w:t>
      </w:r>
      <w:r w:rsidR="00344C84">
        <w:rPr>
          <w:sz w:val="18"/>
          <w:szCs w:val="18"/>
        </w:rPr>
        <w:t xml:space="preserve">Wft </w:t>
      </w:r>
      <w:r w:rsidRPr="007D2915">
        <w:rPr>
          <w:sz w:val="18"/>
          <w:szCs w:val="18"/>
        </w:rPr>
        <w:t>voor gemengde financiële holdings en financiële holdings met zetel in Nederland geldt, wordt de informatieplicht uit artikel 3:273, eerste lid, Wft daarmee aangevuld. Deze informatieverstrekking aan de bevoegde autoriteit vloeit voort uit artikel 91 bis, vierde lid, CRD.</w:t>
      </w:r>
    </w:p>
    <w:p w:rsidRPr="00B27565" w:rsidR="007D2915" w:rsidP="001E56AB" w:rsidRDefault="007D2915" w14:paraId="44F07FA8" w14:textId="77777777">
      <w:pPr>
        <w:widowControl w:val="0"/>
        <w:spacing w:line="240" w:lineRule="atLeast"/>
        <w:rPr>
          <w:sz w:val="18"/>
          <w:szCs w:val="18"/>
        </w:rPr>
      </w:pPr>
    </w:p>
    <w:p w:rsidRPr="00BD04E1" w:rsidR="001E56AB" w:rsidP="001E56AB" w:rsidRDefault="006B5C8D" w14:paraId="23D4033F" w14:textId="0AA3E9A1">
      <w:pPr>
        <w:widowControl w:val="0"/>
        <w:spacing w:line="240" w:lineRule="atLeast"/>
        <w:rPr>
          <w:sz w:val="18"/>
          <w:szCs w:val="18"/>
        </w:rPr>
      </w:pPr>
      <w:r>
        <w:rPr>
          <w:sz w:val="18"/>
          <w:szCs w:val="18"/>
        </w:rPr>
        <w:t>YYY</w:t>
      </w:r>
      <w:r w:rsidRPr="00BD04E1" w:rsidR="001B3D79">
        <w:rPr>
          <w:sz w:val="18"/>
          <w:szCs w:val="18"/>
        </w:rPr>
        <w:t xml:space="preserve"> </w:t>
      </w:r>
      <w:r w:rsidRPr="00BD04E1" w:rsidR="001E56AB">
        <w:rPr>
          <w:sz w:val="18"/>
          <w:szCs w:val="18"/>
        </w:rPr>
        <w:t>(3:275)</w:t>
      </w:r>
    </w:p>
    <w:p w:rsidRPr="00BD04E1" w:rsidR="001E56AB" w:rsidP="001E56AB" w:rsidRDefault="001E56AB" w14:paraId="178D5C69" w14:textId="77777777">
      <w:pPr>
        <w:widowControl w:val="0"/>
        <w:spacing w:line="240" w:lineRule="atLeast"/>
        <w:rPr>
          <w:sz w:val="18"/>
          <w:szCs w:val="18"/>
        </w:rPr>
      </w:pPr>
    </w:p>
    <w:p w:rsidR="001E56AB" w:rsidP="001E56AB" w:rsidRDefault="001E56AB" w14:paraId="0A0A9392" w14:textId="186E0CD6">
      <w:pPr>
        <w:widowControl w:val="0"/>
        <w:spacing w:line="240" w:lineRule="atLeast"/>
        <w:rPr>
          <w:sz w:val="18"/>
          <w:szCs w:val="18"/>
        </w:rPr>
      </w:pPr>
      <w:r w:rsidRPr="00BD04E1">
        <w:rPr>
          <w:sz w:val="18"/>
          <w:szCs w:val="18"/>
        </w:rPr>
        <w:t xml:space="preserve">Artikel 110 bis </w:t>
      </w:r>
      <w:r w:rsidR="009A3FBB">
        <w:rPr>
          <w:sz w:val="18"/>
          <w:szCs w:val="18"/>
        </w:rPr>
        <w:t>CRD</w:t>
      </w:r>
      <w:r w:rsidRPr="00BD04E1">
        <w:rPr>
          <w:sz w:val="18"/>
          <w:szCs w:val="18"/>
        </w:rPr>
        <w:t xml:space="preserve"> is ingevoegd door de richtlijn en verklaart kort gezegd het hoofdstuk over geconsolideerd toezicht (Titel VII, hoofdstuk 3) uit de </w:t>
      </w:r>
      <w:r w:rsidR="009A3FBB">
        <w:rPr>
          <w:sz w:val="18"/>
          <w:szCs w:val="18"/>
        </w:rPr>
        <w:t>CRD</w:t>
      </w:r>
      <w:r w:rsidRPr="00BD04E1">
        <w:rPr>
          <w:sz w:val="18"/>
          <w:szCs w:val="18"/>
        </w:rPr>
        <w:t xml:space="preserve"> van toepassing op beleggingsondernemingsgroepen waarin zich een beleggingsonderneming bevindt waarop de </w:t>
      </w:r>
      <w:r w:rsidR="009A3FBB">
        <w:rPr>
          <w:sz w:val="18"/>
          <w:szCs w:val="18"/>
        </w:rPr>
        <w:t>CRR</w:t>
      </w:r>
      <w:r w:rsidRPr="00BD04E1">
        <w:rPr>
          <w:sz w:val="18"/>
          <w:szCs w:val="18"/>
        </w:rPr>
        <w:t xml:space="preserve"> van toepassing is. Een beleggingsondernemingsgroep is gedefinieerd in artikel 1:1 van de Wft en behelst een groep van een moederonderneming met dochterondernemingen waarvan ten minste één onderneming een beleggingsonderneming is en de groep geen banken bevat. Dat bepaalde beleggingsondernemingen de vereisten van de </w:t>
      </w:r>
      <w:r w:rsidR="009A3FBB">
        <w:rPr>
          <w:sz w:val="18"/>
          <w:szCs w:val="18"/>
        </w:rPr>
        <w:t>CRR</w:t>
      </w:r>
      <w:r w:rsidRPr="00BD04E1">
        <w:rPr>
          <w:sz w:val="18"/>
          <w:szCs w:val="18"/>
        </w:rPr>
        <w:t xml:space="preserve"> moeten toepassen, volgt uit artikel 1, tweede of vijfde lid, </w:t>
      </w:r>
      <w:r w:rsidR="001E09D2">
        <w:rPr>
          <w:sz w:val="18"/>
          <w:szCs w:val="18"/>
        </w:rPr>
        <w:t>IFR</w:t>
      </w:r>
      <w:r w:rsidRPr="00BD04E1">
        <w:rPr>
          <w:sz w:val="18"/>
          <w:szCs w:val="18"/>
        </w:rPr>
        <w:t xml:space="preserve">. Dit zijn beleggingsondernemingen die </w:t>
      </w:r>
      <w:r w:rsidR="00D9104B">
        <w:rPr>
          <w:sz w:val="18"/>
          <w:szCs w:val="18"/>
        </w:rPr>
        <w:t xml:space="preserve">de diensten 3 of 6 van </w:t>
      </w:r>
      <w:r w:rsidR="003D4DE8">
        <w:rPr>
          <w:sz w:val="18"/>
          <w:szCs w:val="18"/>
        </w:rPr>
        <w:t>b</w:t>
      </w:r>
      <w:r w:rsidR="00D9104B">
        <w:rPr>
          <w:sz w:val="18"/>
          <w:szCs w:val="18"/>
        </w:rPr>
        <w:t>ijlage I</w:t>
      </w:r>
      <w:r w:rsidR="003D4DE8">
        <w:rPr>
          <w:sz w:val="18"/>
          <w:szCs w:val="18"/>
        </w:rPr>
        <w:t xml:space="preserve">, deel A, MiFID II </w:t>
      </w:r>
      <w:r w:rsidR="00D9104B">
        <w:rPr>
          <w:sz w:val="18"/>
          <w:szCs w:val="18"/>
        </w:rPr>
        <w:t xml:space="preserve">verrichten, </w:t>
      </w:r>
      <w:r w:rsidRPr="00BD04E1">
        <w:rPr>
          <w:sz w:val="18"/>
          <w:szCs w:val="18"/>
        </w:rPr>
        <w:t xml:space="preserve">gemiddeld over 12 </w:t>
      </w:r>
      <w:r w:rsidR="00D9104B">
        <w:rPr>
          <w:sz w:val="18"/>
          <w:szCs w:val="18"/>
        </w:rPr>
        <w:t xml:space="preserve">onafgebroken </w:t>
      </w:r>
      <w:r w:rsidRPr="00BD04E1">
        <w:rPr>
          <w:sz w:val="18"/>
          <w:szCs w:val="18"/>
        </w:rPr>
        <w:t xml:space="preserve">maanden meer dan 15 miljard, al dan niet in groepsverband, aan geconsolideerde activa hebben (artikel 1, tweede lid, onderdelen a en b, </w:t>
      </w:r>
      <w:r w:rsidR="003D4DE8">
        <w:rPr>
          <w:sz w:val="18"/>
          <w:szCs w:val="18"/>
        </w:rPr>
        <w:t>IFR</w:t>
      </w:r>
      <w:r w:rsidRPr="00BD04E1">
        <w:rPr>
          <w:sz w:val="18"/>
          <w:szCs w:val="18"/>
        </w:rPr>
        <w:t xml:space="preserve">) of beleggingsondernemingen </w:t>
      </w:r>
      <w:r w:rsidR="00D9104B">
        <w:rPr>
          <w:sz w:val="18"/>
          <w:szCs w:val="18"/>
        </w:rPr>
        <w:t>die toestemming verkrijgen van de toezichthouder om de CRR toe te passen</w:t>
      </w:r>
      <w:r w:rsidRPr="00BD04E1">
        <w:rPr>
          <w:sz w:val="18"/>
          <w:szCs w:val="18"/>
        </w:rPr>
        <w:t xml:space="preserve"> (artikel 1, vijfde lid, </w:t>
      </w:r>
      <w:r w:rsidR="003D4DE8">
        <w:rPr>
          <w:sz w:val="18"/>
          <w:szCs w:val="18"/>
        </w:rPr>
        <w:t>IFR</w:t>
      </w:r>
      <w:r w:rsidRPr="00BD04E1">
        <w:rPr>
          <w:sz w:val="18"/>
          <w:szCs w:val="18"/>
        </w:rPr>
        <w:t xml:space="preserve">). Verder vallen hier ook de beleggingsondernemingen onder waarvoor door </w:t>
      </w:r>
      <w:r w:rsidR="001F217E">
        <w:rPr>
          <w:sz w:val="18"/>
          <w:szCs w:val="18"/>
        </w:rPr>
        <w:t>DNB</w:t>
      </w:r>
      <w:r w:rsidR="00344C84">
        <w:rPr>
          <w:sz w:val="18"/>
          <w:szCs w:val="18"/>
        </w:rPr>
        <w:t xml:space="preserve"> </w:t>
      </w:r>
      <w:r w:rsidRPr="00BD04E1">
        <w:rPr>
          <w:sz w:val="18"/>
          <w:szCs w:val="18"/>
        </w:rPr>
        <w:t xml:space="preserve">is besloten dat de </w:t>
      </w:r>
      <w:r w:rsidR="009A3FBB">
        <w:rPr>
          <w:sz w:val="18"/>
          <w:szCs w:val="18"/>
        </w:rPr>
        <w:t>CRR</w:t>
      </w:r>
      <w:r w:rsidRPr="00BD04E1">
        <w:rPr>
          <w:sz w:val="18"/>
          <w:szCs w:val="18"/>
        </w:rPr>
        <w:t xml:space="preserve"> van toepassing zijn (artikel 5 </w:t>
      </w:r>
      <w:r w:rsidR="001E09D2">
        <w:rPr>
          <w:sz w:val="18"/>
          <w:szCs w:val="18"/>
        </w:rPr>
        <w:t>IFD</w:t>
      </w:r>
      <w:r w:rsidRPr="00BD04E1">
        <w:rPr>
          <w:sz w:val="18"/>
          <w:szCs w:val="18"/>
        </w:rPr>
        <w:t xml:space="preserve"> jo. artikel 1, tweede lid, onderdeel c, </w:t>
      </w:r>
      <w:r w:rsidR="003D4DE8">
        <w:rPr>
          <w:sz w:val="18"/>
          <w:szCs w:val="18"/>
        </w:rPr>
        <w:t>IFR</w:t>
      </w:r>
      <w:r w:rsidRPr="00BD04E1">
        <w:rPr>
          <w:sz w:val="18"/>
          <w:szCs w:val="18"/>
        </w:rPr>
        <w:t>).</w:t>
      </w:r>
    </w:p>
    <w:p w:rsidRPr="00BD04E1" w:rsidR="00D1600D" w:rsidP="001E56AB" w:rsidRDefault="00D1600D" w14:paraId="0959A61D" w14:textId="77777777">
      <w:pPr>
        <w:widowControl w:val="0"/>
        <w:spacing w:line="240" w:lineRule="atLeast"/>
        <w:rPr>
          <w:sz w:val="18"/>
          <w:szCs w:val="18"/>
        </w:rPr>
      </w:pPr>
    </w:p>
    <w:p w:rsidRPr="00BD04E1" w:rsidR="001E56AB" w:rsidP="001E56AB" w:rsidRDefault="001E56AB" w14:paraId="3D406424" w14:textId="1FA81227">
      <w:pPr>
        <w:widowControl w:val="0"/>
        <w:spacing w:line="240" w:lineRule="atLeast"/>
        <w:rPr>
          <w:sz w:val="18"/>
          <w:szCs w:val="18"/>
        </w:rPr>
      </w:pPr>
      <w:r w:rsidRPr="00BD04E1">
        <w:rPr>
          <w:sz w:val="18"/>
          <w:szCs w:val="18"/>
        </w:rPr>
        <w:t>Het geconsolideerde toezicht is in de Wft onder meer geïmplementeerd in de artikelen 3:274 Wft e.v. In artikel 3:275, eerste lid,</w:t>
      </w:r>
      <w:r w:rsidR="00663479">
        <w:rPr>
          <w:sz w:val="18"/>
          <w:szCs w:val="18"/>
        </w:rPr>
        <w:t xml:space="preserve"> Wft</w:t>
      </w:r>
      <w:r w:rsidRPr="00BD04E1">
        <w:rPr>
          <w:sz w:val="18"/>
          <w:szCs w:val="18"/>
        </w:rPr>
        <w:t xml:space="preserve"> is opgenomen dat DNB geconsolideerd toezicht houdt op banken en beleggingsondernemingen onder de verordening kapitaalvereisten indien dat voortvloeit uit de toepassing van artikel 111, eerste tot en met vijfde lid, </w:t>
      </w:r>
      <w:r w:rsidR="009A3FBB">
        <w:rPr>
          <w:sz w:val="18"/>
          <w:szCs w:val="18"/>
        </w:rPr>
        <w:t>CRD</w:t>
      </w:r>
      <w:r w:rsidRPr="00BD04E1">
        <w:rPr>
          <w:sz w:val="18"/>
          <w:szCs w:val="18"/>
        </w:rPr>
        <w:t xml:space="preserve"> of indien zij als consoliderend toezichthouder is aangewezen overeenkomstig artikel 111, zesde lid, van die richtlijn. Met de toevoeging van artikel 110 bis </w:t>
      </w:r>
      <w:r w:rsidR="009A3FBB">
        <w:rPr>
          <w:sz w:val="18"/>
          <w:szCs w:val="18"/>
        </w:rPr>
        <w:t>CRD</w:t>
      </w:r>
      <w:r w:rsidRPr="00BD04E1">
        <w:rPr>
          <w:sz w:val="18"/>
          <w:szCs w:val="18"/>
        </w:rPr>
        <w:t xml:space="preserve"> kan uit dat artikel ook volgen dat DNB geconsolideerd toezicht moet houden op beleggingsondernemingen onder de verordening kapitaalvereisten als die zich in een beleggingsondernemingsgroep bevinden. Hierom wordt artikel 110 bis </w:t>
      </w:r>
      <w:r w:rsidR="009A3FBB">
        <w:rPr>
          <w:sz w:val="18"/>
          <w:szCs w:val="18"/>
        </w:rPr>
        <w:t>CRD</w:t>
      </w:r>
      <w:r w:rsidRPr="00BD04E1">
        <w:rPr>
          <w:sz w:val="18"/>
          <w:szCs w:val="18"/>
        </w:rPr>
        <w:t xml:space="preserve"> toegevoegd aan artikel 3:275, eerste lid, Wft zodat duidelijk is dat het geconsolideerde toezicht op een beleggingsondernemingsgroep door DNB wordt uitgevoerd indien die groep een beleggingsonderneming onder de verordening kapitaalvereisten bevat</w:t>
      </w:r>
      <w:r w:rsidR="00754CC7">
        <w:rPr>
          <w:sz w:val="18"/>
          <w:szCs w:val="18"/>
        </w:rPr>
        <w:t>.</w:t>
      </w:r>
    </w:p>
    <w:p w:rsidR="001E56AB" w:rsidP="001E56AB" w:rsidRDefault="001E56AB" w14:paraId="6A4E9816" w14:textId="77777777">
      <w:pPr>
        <w:widowControl w:val="0"/>
        <w:spacing w:line="240" w:lineRule="atLeast"/>
        <w:rPr>
          <w:sz w:val="18"/>
          <w:szCs w:val="18"/>
        </w:rPr>
      </w:pPr>
    </w:p>
    <w:p w:rsidRPr="00257A4F" w:rsidR="00B158B9" w:rsidP="001E56AB" w:rsidRDefault="006B5C8D" w14:paraId="7F7A889D" w14:textId="1A5110AD">
      <w:pPr>
        <w:widowControl w:val="0"/>
        <w:spacing w:line="240" w:lineRule="atLeast"/>
        <w:rPr>
          <w:sz w:val="18"/>
          <w:szCs w:val="18"/>
        </w:rPr>
      </w:pPr>
      <w:r>
        <w:rPr>
          <w:sz w:val="18"/>
          <w:szCs w:val="18"/>
        </w:rPr>
        <w:t>ZZZ</w:t>
      </w:r>
      <w:r w:rsidRPr="00257A4F" w:rsidR="001B3D79">
        <w:rPr>
          <w:sz w:val="18"/>
          <w:szCs w:val="18"/>
        </w:rPr>
        <w:t xml:space="preserve"> </w:t>
      </w:r>
      <w:r w:rsidRPr="00257A4F" w:rsidR="00B158B9">
        <w:rPr>
          <w:sz w:val="18"/>
          <w:szCs w:val="18"/>
        </w:rPr>
        <w:t>(3:276)</w:t>
      </w:r>
    </w:p>
    <w:p w:rsidRPr="00257A4F" w:rsidR="00B158B9" w:rsidP="001E56AB" w:rsidRDefault="00B158B9" w14:paraId="729156D6" w14:textId="77777777">
      <w:pPr>
        <w:widowControl w:val="0"/>
        <w:spacing w:line="240" w:lineRule="atLeast"/>
        <w:rPr>
          <w:sz w:val="18"/>
          <w:szCs w:val="18"/>
        </w:rPr>
      </w:pPr>
    </w:p>
    <w:p w:rsidR="00B158B9" w:rsidP="001E56AB" w:rsidRDefault="00B158B9" w14:paraId="12696E6D" w14:textId="4B647E45">
      <w:pPr>
        <w:widowControl w:val="0"/>
        <w:spacing w:line="240" w:lineRule="atLeast"/>
        <w:rPr>
          <w:sz w:val="18"/>
          <w:szCs w:val="18"/>
        </w:rPr>
      </w:pPr>
      <w:r w:rsidRPr="00B158B9">
        <w:rPr>
          <w:sz w:val="18"/>
          <w:szCs w:val="18"/>
        </w:rPr>
        <w:t>In</w:t>
      </w:r>
      <w:r w:rsidR="00257A4F">
        <w:rPr>
          <w:sz w:val="18"/>
          <w:szCs w:val="18"/>
        </w:rPr>
        <w:t xml:space="preserve"> </w:t>
      </w:r>
      <w:r w:rsidRPr="00B158B9">
        <w:rPr>
          <w:sz w:val="18"/>
          <w:szCs w:val="18"/>
        </w:rPr>
        <w:t>artikel 3:276</w:t>
      </w:r>
      <w:r w:rsidR="00257A4F">
        <w:rPr>
          <w:sz w:val="18"/>
          <w:szCs w:val="18"/>
        </w:rPr>
        <w:t>, eerste en tweede lid,</w:t>
      </w:r>
      <w:r w:rsidR="00663479">
        <w:rPr>
          <w:sz w:val="18"/>
          <w:szCs w:val="18"/>
        </w:rPr>
        <w:t xml:space="preserve"> Wft</w:t>
      </w:r>
      <w:r w:rsidR="00257A4F">
        <w:rPr>
          <w:sz w:val="18"/>
          <w:szCs w:val="18"/>
        </w:rPr>
        <w:t xml:space="preserve"> </w:t>
      </w:r>
      <w:r w:rsidRPr="00B158B9">
        <w:rPr>
          <w:sz w:val="18"/>
          <w:szCs w:val="18"/>
        </w:rPr>
        <w:t xml:space="preserve">wordt </w:t>
      </w:r>
      <w:r w:rsidR="00257A4F">
        <w:rPr>
          <w:sz w:val="18"/>
          <w:szCs w:val="18"/>
        </w:rPr>
        <w:t xml:space="preserve">telkens </w:t>
      </w:r>
      <w:r w:rsidRPr="00B158B9">
        <w:rPr>
          <w:sz w:val="18"/>
          <w:szCs w:val="18"/>
        </w:rPr>
        <w:t>de v</w:t>
      </w:r>
      <w:r>
        <w:rPr>
          <w:sz w:val="18"/>
          <w:szCs w:val="18"/>
        </w:rPr>
        <w:t>erwijzing naar artikel 3:96, eerste lid, onderdeel b, Wft vervangen door een verwijzing naar het nieuwe artikel 3:96a, eerste lid, onderdeel a, Wft wat ziet op de deelneming van betekenis die een bank neemt in een onderneming.</w:t>
      </w:r>
      <w:r w:rsidR="00257A4F">
        <w:rPr>
          <w:sz w:val="18"/>
          <w:szCs w:val="18"/>
        </w:rPr>
        <w:t xml:space="preserve"> Deze verwijzing komt zowel in het eerste als tweede lid voor.</w:t>
      </w:r>
    </w:p>
    <w:p w:rsidR="00257A4F" w:rsidP="001E56AB" w:rsidRDefault="00257A4F" w14:paraId="5D8DB374" w14:textId="77777777">
      <w:pPr>
        <w:widowControl w:val="0"/>
        <w:spacing w:line="240" w:lineRule="atLeast"/>
        <w:rPr>
          <w:sz w:val="18"/>
          <w:szCs w:val="18"/>
        </w:rPr>
      </w:pPr>
    </w:p>
    <w:p w:rsidR="00257A4F" w:rsidP="001E56AB" w:rsidRDefault="006B5C8D" w14:paraId="12E4EB80" w14:textId="173E07E1">
      <w:pPr>
        <w:widowControl w:val="0"/>
        <w:spacing w:line="240" w:lineRule="atLeast"/>
        <w:rPr>
          <w:sz w:val="18"/>
          <w:szCs w:val="18"/>
        </w:rPr>
      </w:pPr>
      <w:r>
        <w:rPr>
          <w:sz w:val="18"/>
          <w:szCs w:val="18"/>
        </w:rPr>
        <w:t>AAAA</w:t>
      </w:r>
      <w:r w:rsidR="001B3D79">
        <w:rPr>
          <w:sz w:val="18"/>
          <w:szCs w:val="18"/>
        </w:rPr>
        <w:t xml:space="preserve"> </w:t>
      </w:r>
      <w:r w:rsidR="00257A4F">
        <w:rPr>
          <w:sz w:val="18"/>
          <w:szCs w:val="18"/>
        </w:rPr>
        <w:t>(3:277a)</w:t>
      </w:r>
    </w:p>
    <w:p w:rsidR="00257A4F" w:rsidP="001E56AB" w:rsidRDefault="00257A4F" w14:paraId="5D79D775" w14:textId="77777777">
      <w:pPr>
        <w:widowControl w:val="0"/>
        <w:spacing w:line="240" w:lineRule="atLeast"/>
        <w:rPr>
          <w:sz w:val="18"/>
          <w:szCs w:val="18"/>
        </w:rPr>
      </w:pPr>
    </w:p>
    <w:p w:rsidR="00257A4F" w:rsidP="00257A4F" w:rsidRDefault="00257A4F" w14:paraId="3A456285" w14:textId="69741AE5">
      <w:pPr>
        <w:widowControl w:val="0"/>
        <w:spacing w:line="240" w:lineRule="atLeast"/>
        <w:rPr>
          <w:sz w:val="18"/>
          <w:szCs w:val="18"/>
        </w:rPr>
      </w:pPr>
      <w:r w:rsidRPr="00B158B9">
        <w:rPr>
          <w:sz w:val="18"/>
          <w:szCs w:val="18"/>
        </w:rPr>
        <w:t>In</w:t>
      </w:r>
      <w:r>
        <w:rPr>
          <w:sz w:val="18"/>
          <w:szCs w:val="18"/>
        </w:rPr>
        <w:t xml:space="preserve"> </w:t>
      </w:r>
      <w:r w:rsidRPr="00B158B9">
        <w:rPr>
          <w:sz w:val="18"/>
          <w:szCs w:val="18"/>
        </w:rPr>
        <w:t>artikel 3:27</w:t>
      </w:r>
      <w:r>
        <w:rPr>
          <w:sz w:val="18"/>
          <w:szCs w:val="18"/>
        </w:rPr>
        <w:t xml:space="preserve">7a, eerste lid, </w:t>
      </w:r>
      <w:r w:rsidR="00663479">
        <w:rPr>
          <w:sz w:val="18"/>
          <w:szCs w:val="18"/>
        </w:rPr>
        <w:t xml:space="preserve">Wft </w:t>
      </w:r>
      <w:r w:rsidRPr="00B158B9">
        <w:rPr>
          <w:sz w:val="18"/>
          <w:szCs w:val="18"/>
        </w:rPr>
        <w:t>wordt de v</w:t>
      </w:r>
      <w:r>
        <w:rPr>
          <w:sz w:val="18"/>
          <w:szCs w:val="18"/>
        </w:rPr>
        <w:t>erwijzing naar artikel 3:96, eerste lid, onderdeel b, Wft vervangen door een verwijzing naar het nieuwe artikel 3:96a, eerste lid, onderdeel a, Wft wat ziet op de deelneming van betekenis die een bank neemt in een onderneming.</w:t>
      </w:r>
    </w:p>
    <w:p w:rsidRPr="00B158B9" w:rsidR="00B158B9" w:rsidP="001E56AB" w:rsidRDefault="00B158B9" w14:paraId="10AE17E1" w14:textId="77777777">
      <w:pPr>
        <w:widowControl w:val="0"/>
        <w:spacing w:line="240" w:lineRule="atLeast"/>
        <w:rPr>
          <w:sz w:val="18"/>
          <w:szCs w:val="18"/>
        </w:rPr>
      </w:pPr>
    </w:p>
    <w:p w:rsidRPr="00EE343F" w:rsidR="001E56AB" w:rsidP="001E56AB" w:rsidRDefault="006B5C8D" w14:paraId="642D6A1E" w14:textId="10724926">
      <w:pPr>
        <w:widowControl w:val="0"/>
        <w:spacing w:line="240" w:lineRule="atLeast"/>
        <w:rPr>
          <w:sz w:val="18"/>
          <w:szCs w:val="18"/>
        </w:rPr>
      </w:pPr>
      <w:r>
        <w:rPr>
          <w:sz w:val="18"/>
          <w:szCs w:val="18"/>
        </w:rPr>
        <w:t>BBBB</w:t>
      </w:r>
      <w:r w:rsidRPr="00EE343F" w:rsidR="001E56AB">
        <w:rPr>
          <w:sz w:val="18"/>
          <w:szCs w:val="18"/>
        </w:rPr>
        <w:t xml:space="preserve"> (3:280a)</w:t>
      </w:r>
    </w:p>
    <w:p w:rsidRPr="00EE343F" w:rsidR="001E56AB" w:rsidP="001E56AB" w:rsidRDefault="001E56AB" w14:paraId="3D4CF0D7" w14:textId="77777777">
      <w:pPr>
        <w:widowControl w:val="0"/>
        <w:spacing w:line="240" w:lineRule="atLeast"/>
        <w:rPr>
          <w:sz w:val="18"/>
          <w:szCs w:val="18"/>
        </w:rPr>
      </w:pPr>
    </w:p>
    <w:p w:rsidR="00744EE7" w:rsidP="001E56AB" w:rsidRDefault="00754CC7" w14:paraId="7C26E290" w14:textId="40F506AE">
      <w:pPr>
        <w:widowControl w:val="0"/>
        <w:spacing w:line="240" w:lineRule="atLeast"/>
        <w:rPr>
          <w:sz w:val="18"/>
          <w:szCs w:val="18"/>
        </w:rPr>
      </w:pPr>
      <w:r>
        <w:rPr>
          <w:sz w:val="18"/>
          <w:szCs w:val="18"/>
        </w:rPr>
        <w:t xml:space="preserve">In artikel 3:280a Wft, </w:t>
      </w:r>
      <w:r w:rsidR="00741600">
        <w:rPr>
          <w:sz w:val="18"/>
          <w:szCs w:val="18"/>
        </w:rPr>
        <w:t>d</w:t>
      </w:r>
      <w:r>
        <w:rPr>
          <w:sz w:val="18"/>
          <w:szCs w:val="18"/>
        </w:rPr>
        <w:t xml:space="preserve">at de implementatie vormt van artikel 21 bis CRD, wordt een zinsnede toegevoegd ter implementatie van de wijziging in artikel 21 bis, eerste lid, eerste alinea, CRD. Andere (gemengde) financiële holdings dan de hoogste financiële holdings in een lidstaat of op EU-niveau, zijn verplicht om goedkeuring aan te vragen indien zij op ge(sub)consolideerd verantwoordelijk zijn voor naleving van de prudentiële vereisten door de groep. Voorheen was in artikel 3:280a reeds opgenomen dat andere </w:t>
      </w:r>
      <w:r w:rsidR="003D4DE8">
        <w:rPr>
          <w:sz w:val="18"/>
          <w:szCs w:val="18"/>
        </w:rPr>
        <w:t xml:space="preserve">(gemengde) </w:t>
      </w:r>
      <w:r>
        <w:rPr>
          <w:sz w:val="18"/>
          <w:szCs w:val="18"/>
        </w:rPr>
        <w:t xml:space="preserve">financiële holdings een goedkeuring moesten aanvragen indien zij op gesubconsolideerd niveau </w:t>
      </w:r>
      <w:r>
        <w:rPr>
          <w:sz w:val="18"/>
          <w:szCs w:val="18"/>
        </w:rPr>
        <w:lastRenderedPageBreak/>
        <w:t xml:space="preserve">moeten voldoen aan de prudentiële regels van de </w:t>
      </w:r>
      <w:r w:rsidR="009A3FBB">
        <w:rPr>
          <w:sz w:val="18"/>
          <w:szCs w:val="18"/>
        </w:rPr>
        <w:t>CRR</w:t>
      </w:r>
      <w:r>
        <w:rPr>
          <w:sz w:val="18"/>
          <w:szCs w:val="18"/>
        </w:rPr>
        <w:t xml:space="preserve"> en de Wft. Hieraan wordt toegevoegd ter verduidelijking dat indien een (gemengde) financiële holding op grond van artikel 3:280c Wft wordt aangewezen als verantwoordelijk voor de naleving van de vereisten uit verordening en wet, die holding ook beschikt over een goedkeuring.</w:t>
      </w:r>
    </w:p>
    <w:p w:rsidR="007D2915" w:rsidP="001E56AB" w:rsidRDefault="007D2915" w14:paraId="04E974FE" w14:textId="77777777">
      <w:pPr>
        <w:widowControl w:val="0"/>
        <w:spacing w:line="240" w:lineRule="atLeast"/>
        <w:rPr>
          <w:sz w:val="18"/>
          <w:szCs w:val="18"/>
        </w:rPr>
      </w:pPr>
    </w:p>
    <w:p w:rsidR="007D2915" w:rsidP="001E56AB" w:rsidRDefault="006B5C8D" w14:paraId="48CFB329" w14:textId="7E77DCA1">
      <w:pPr>
        <w:widowControl w:val="0"/>
        <w:spacing w:line="240" w:lineRule="atLeast"/>
        <w:rPr>
          <w:sz w:val="18"/>
          <w:szCs w:val="18"/>
        </w:rPr>
      </w:pPr>
      <w:r>
        <w:rPr>
          <w:sz w:val="18"/>
          <w:szCs w:val="18"/>
        </w:rPr>
        <w:t>CCCC</w:t>
      </w:r>
      <w:r w:rsidR="00257A4F">
        <w:rPr>
          <w:sz w:val="18"/>
          <w:szCs w:val="18"/>
        </w:rPr>
        <w:t xml:space="preserve"> </w:t>
      </w:r>
      <w:r w:rsidR="007D2915">
        <w:rPr>
          <w:sz w:val="18"/>
          <w:szCs w:val="18"/>
        </w:rPr>
        <w:t>(3:280b)</w:t>
      </w:r>
    </w:p>
    <w:p w:rsidR="007D2915" w:rsidP="001E56AB" w:rsidRDefault="007D2915" w14:paraId="4FD7B159" w14:textId="77777777">
      <w:pPr>
        <w:widowControl w:val="0"/>
        <w:spacing w:line="240" w:lineRule="atLeast"/>
        <w:rPr>
          <w:sz w:val="18"/>
          <w:szCs w:val="18"/>
        </w:rPr>
      </w:pPr>
    </w:p>
    <w:p w:rsidRPr="00BD04E1" w:rsidR="007D2915" w:rsidP="001E56AB" w:rsidRDefault="007D2915" w14:paraId="51E0A820" w14:textId="3E5E0E46">
      <w:pPr>
        <w:widowControl w:val="0"/>
        <w:spacing w:line="240" w:lineRule="atLeast"/>
        <w:rPr>
          <w:sz w:val="18"/>
          <w:szCs w:val="18"/>
        </w:rPr>
      </w:pPr>
      <w:r w:rsidRPr="007D2915">
        <w:rPr>
          <w:sz w:val="18"/>
          <w:szCs w:val="18"/>
        </w:rPr>
        <w:t>In artikel 3:280b Wft worden de voorwaarden gesteld waaro</w:t>
      </w:r>
      <w:r w:rsidR="00480993">
        <w:rPr>
          <w:sz w:val="18"/>
          <w:szCs w:val="18"/>
        </w:rPr>
        <w:t>nder</w:t>
      </w:r>
      <w:r w:rsidRPr="007D2915">
        <w:rPr>
          <w:sz w:val="18"/>
          <w:szCs w:val="18"/>
        </w:rPr>
        <w:t xml:space="preserve"> </w:t>
      </w:r>
      <w:r w:rsidR="001F217E">
        <w:rPr>
          <w:sz w:val="18"/>
          <w:szCs w:val="18"/>
        </w:rPr>
        <w:t>DNB</w:t>
      </w:r>
      <w:r w:rsidRPr="007D2915">
        <w:rPr>
          <w:sz w:val="18"/>
          <w:szCs w:val="18"/>
        </w:rPr>
        <w:t xml:space="preserve"> een financiële holding of gemengde financiële holding goedkeuring kan geven als bedoeld in artikel 3:280a Wft. Een van die voorwaarden is dat de in artikel 3:271 en 3:272 Wft bedoelde personen aan de geschiktheid- en betrouwbaarheidseis voldoen. Nu artikel 3:272a Wft de geschiktheid- en betrouwbaarheidseis regelt van medewerkers met een sleutelfunctie</w:t>
      </w:r>
      <w:r w:rsidR="00480993">
        <w:rPr>
          <w:sz w:val="18"/>
          <w:szCs w:val="18"/>
        </w:rPr>
        <w:t xml:space="preserve"> van overeenkomstige toepassing verklaart op (gemengde) financiële holdings</w:t>
      </w:r>
      <w:r w:rsidRPr="007D2915">
        <w:rPr>
          <w:sz w:val="18"/>
          <w:szCs w:val="18"/>
        </w:rPr>
        <w:t>, wordt artikel 3:272a Wft toegevoegd aan de opsommingen met bepalingen die de geschiktheid- en betrouwbaarheidseis voorschrijven</w:t>
      </w:r>
      <w:r w:rsidR="00647A9B">
        <w:rPr>
          <w:sz w:val="18"/>
          <w:szCs w:val="18"/>
        </w:rPr>
        <w:t xml:space="preserve"> in artikel 3:280b Wft</w:t>
      </w:r>
      <w:r w:rsidRPr="007D2915">
        <w:rPr>
          <w:sz w:val="18"/>
          <w:szCs w:val="18"/>
        </w:rPr>
        <w:t>.</w:t>
      </w:r>
    </w:p>
    <w:p w:rsidRPr="00BD04E1" w:rsidR="001E56AB" w:rsidP="001E56AB" w:rsidRDefault="001E56AB" w14:paraId="4BC0502E" w14:textId="77777777">
      <w:pPr>
        <w:widowControl w:val="0"/>
        <w:spacing w:line="240" w:lineRule="atLeast"/>
        <w:rPr>
          <w:iCs/>
          <w:sz w:val="18"/>
          <w:szCs w:val="18"/>
        </w:rPr>
      </w:pPr>
    </w:p>
    <w:p w:rsidRPr="00BD04E1" w:rsidR="001E56AB" w:rsidP="001E56AB" w:rsidRDefault="006B5C8D" w14:paraId="2BD0DA04" w14:textId="37136923">
      <w:pPr>
        <w:widowControl w:val="0"/>
        <w:spacing w:line="240" w:lineRule="atLeast"/>
        <w:rPr>
          <w:iCs/>
          <w:sz w:val="18"/>
          <w:szCs w:val="18"/>
        </w:rPr>
      </w:pPr>
      <w:r>
        <w:rPr>
          <w:iCs/>
          <w:sz w:val="18"/>
          <w:szCs w:val="18"/>
        </w:rPr>
        <w:t>DDDD</w:t>
      </w:r>
      <w:r w:rsidRPr="00BD04E1" w:rsidR="001E56AB">
        <w:rPr>
          <w:iCs/>
          <w:sz w:val="18"/>
          <w:szCs w:val="18"/>
        </w:rPr>
        <w:t xml:space="preserve"> (3:280c)</w:t>
      </w:r>
    </w:p>
    <w:p w:rsidR="001E56AB" w:rsidP="001E56AB" w:rsidRDefault="001E56AB" w14:paraId="0648951D" w14:textId="77777777">
      <w:pPr>
        <w:widowControl w:val="0"/>
        <w:spacing w:line="240" w:lineRule="atLeast"/>
        <w:rPr>
          <w:sz w:val="18"/>
          <w:szCs w:val="18"/>
        </w:rPr>
      </w:pPr>
    </w:p>
    <w:p w:rsidR="00E57BD8" w:rsidP="001E56AB" w:rsidRDefault="00E57BD8" w14:paraId="2315719E" w14:textId="6FFED96D">
      <w:pPr>
        <w:widowControl w:val="0"/>
        <w:spacing w:line="240" w:lineRule="atLeast"/>
        <w:rPr>
          <w:sz w:val="18"/>
          <w:szCs w:val="18"/>
        </w:rPr>
      </w:pPr>
      <w:r>
        <w:rPr>
          <w:sz w:val="18"/>
          <w:szCs w:val="18"/>
        </w:rPr>
        <w:t xml:space="preserve">Artikel 3:280c </w:t>
      </w:r>
      <w:r w:rsidR="00663479">
        <w:rPr>
          <w:sz w:val="18"/>
          <w:szCs w:val="18"/>
        </w:rPr>
        <w:t xml:space="preserve">Wft </w:t>
      </w:r>
      <w:r>
        <w:rPr>
          <w:sz w:val="18"/>
          <w:szCs w:val="18"/>
        </w:rPr>
        <w:t xml:space="preserve">bevat de aanwijzing waarbij in plaats van een (gemengde) financiële holding een dochterbank in de groep wordt aangewezen die verantwoordelijk wordt geacht voor het op ge(sub)consolideerd niveau voldoen aan de vereisten van de </w:t>
      </w:r>
      <w:r w:rsidR="009A3FBB">
        <w:rPr>
          <w:sz w:val="18"/>
          <w:szCs w:val="18"/>
        </w:rPr>
        <w:t>CRR</w:t>
      </w:r>
      <w:r>
        <w:rPr>
          <w:sz w:val="18"/>
          <w:szCs w:val="18"/>
        </w:rPr>
        <w:t xml:space="preserve"> en de Wft. De wijziging in artikel 21 bis, vierde lid, onderdeel c, CRD maakt het nu mogelijk dat er ook een dochter</w:t>
      </w:r>
      <w:r w:rsidR="003D4DE8">
        <w:rPr>
          <w:sz w:val="18"/>
          <w:szCs w:val="18"/>
        </w:rPr>
        <w:t xml:space="preserve">(gemengde) financiële </w:t>
      </w:r>
      <w:r>
        <w:rPr>
          <w:sz w:val="18"/>
          <w:szCs w:val="18"/>
        </w:rPr>
        <w:t>holding wordt aangewezen die hiervoor verantwoordelijk wordt geacht zolang deze dochter</w:t>
      </w:r>
      <w:r w:rsidR="003D4DE8">
        <w:rPr>
          <w:sz w:val="18"/>
          <w:szCs w:val="18"/>
        </w:rPr>
        <w:t xml:space="preserve">(gemengde) financiële </w:t>
      </w:r>
      <w:r>
        <w:rPr>
          <w:sz w:val="18"/>
          <w:szCs w:val="18"/>
        </w:rPr>
        <w:t>holding een goedkeuring als bedoeld in artikel 3:280a</w:t>
      </w:r>
      <w:r w:rsidR="003D4DE8">
        <w:rPr>
          <w:sz w:val="18"/>
          <w:szCs w:val="18"/>
        </w:rPr>
        <w:t xml:space="preserve"> Wft</w:t>
      </w:r>
      <w:r>
        <w:rPr>
          <w:sz w:val="18"/>
          <w:szCs w:val="18"/>
        </w:rPr>
        <w:t xml:space="preserve"> heeft.</w:t>
      </w:r>
    </w:p>
    <w:p w:rsidR="00837845" w:rsidP="001E56AB" w:rsidRDefault="00837845" w14:paraId="1FA765FD" w14:textId="77777777">
      <w:pPr>
        <w:widowControl w:val="0"/>
        <w:spacing w:line="240" w:lineRule="atLeast"/>
        <w:rPr>
          <w:sz w:val="18"/>
          <w:szCs w:val="18"/>
        </w:rPr>
      </w:pPr>
    </w:p>
    <w:p w:rsidR="00837845" w:rsidP="001E56AB" w:rsidRDefault="00837845" w14:paraId="4C55CBEB" w14:textId="2210DBED">
      <w:pPr>
        <w:widowControl w:val="0"/>
        <w:spacing w:line="240" w:lineRule="atLeast"/>
        <w:rPr>
          <w:sz w:val="18"/>
          <w:szCs w:val="18"/>
        </w:rPr>
      </w:pPr>
      <w:r>
        <w:rPr>
          <w:sz w:val="18"/>
          <w:szCs w:val="18"/>
        </w:rPr>
        <w:t xml:space="preserve">In het eerste lid wordt tevens opgenomen dat de holding die uitgezonderd wordt, naast artikel 3:280a </w:t>
      </w:r>
      <w:r w:rsidR="00663479">
        <w:rPr>
          <w:sz w:val="18"/>
          <w:szCs w:val="18"/>
        </w:rPr>
        <w:t xml:space="preserve">Wft </w:t>
      </w:r>
      <w:r>
        <w:rPr>
          <w:sz w:val="18"/>
          <w:szCs w:val="18"/>
        </w:rPr>
        <w:t>(de goedkeuringsbepaling) ook uitgezonderd wordt van de vereisten die volgen uit artikel 3:27</w:t>
      </w:r>
      <w:r w:rsidR="00CF39E3">
        <w:rPr>
          <w:sz w:val="18"/>
          <w:szCs w:val="18"/>
        </w:rPr>
        <w:t>1</w:t>
      </w:r>
      <w:r w:rsidR="00480993">
        <w:rPr>
          <w:sz w:val="18"/>
          <w:szCs w:val="18"/>
        </w:rPr>
        <w:t>, 3:272</w:t>
      </w:r>
      <w:r>
        <w:rPr>
          <w:sz w:val="18"/>
          <w:szCs w:val="18"/>
        </w:rPr>
        <w:t xml:space="preserve"> en het </w:t>
      </w:r>
      <w:r w:rsidR="00480993">
        <w:rPr>
          <w:sz w:val="18"/>
          <w:szCs w:val="18"/>
        </w:rPr>
        <w:t xml:space="preserve">nieuw </w:t>
      </w:r>
      <w:r>
        <w:rPr>
          <w:sz w:val="18"/>
          <w:szCs w:val="18"/>
        </w:rPr>
        <w:t>toegevoegd 3:272a</w:t>
      </w:r>
      <w:r w:rsidR="00663479">
        <w:rPr>
          <w:sz w:val="18"/>
          <w:szCs w:val="18"/>
        </w:rPr>
        <w:t xml:space="preserve"> Wft</w:t>
      </w:r>
      <w:r>
        <w:rPr>
          <w:sz w:val="18"/>
          <w:szCs w:val="18"/>
        </w:rPr>
        <w:t>. Hierdoor zijn de artikelen 3:</w:t>
      </w:r>
      <w:r w:rsidR="00CF39E3">
        <w:rPr>
          <w:sz w:val="18"/>
          <w:szCs w:val="18"/>
        </w:rPr>
        <w:t>8</w:t>
      </w:r>
      <w:r w:rsidR="00480993">
        <w:rPr>
          <w:sz w:val="18"/>
          <w:szCs w:val="18"/>
        </w:rPr>
        <w:t>, 3:9</w:t>
      </w:r>
      <w:r>
        <w:rPr>
          <w:sz w:val="18"/>
          <w:szCs w:val="18"/>
        </w:rPr>
        <w:t xml:space="preserve"> en 3:9b</w:t>
      </w:r>
      <w:r w:rsidR="00663479">
        <w:rPr>
          <w:sz w:val="18"/>
          <w:szCs w:val="18"/>
        </w:rPr>
        <w:t xml:space="preserve"> Wft</w:t>
      </w:r>
      <w:r>
        <w:rPr>
          <w:sz w:val="18"/>
          <w:szCs w:val="18"/>
        </w:rPr>
        <w:t xml:space="preserve"> niet meer van overeenkomstige toepassing op een uitgezonderde holding. </w:t>
      </w:r>
      <w:r w:rsidR="00480993">
        <w:rPr>
          <w:sz w:val="18"/>
          <w:szCs w:val="18"/>
        </w:rPr>
        <w:t>Hiermee wordt artikel 121 CRD geïmplementeerd</w:t>
      </w:r>
      <w:r>
        <w:rPr>
          <w:sz w:val="18"/>
          <w:szCs w:val="18"/>
        </w:rPr>
        <w:t xml:space="preserve">. Hierin is opgenomen dat er weliswaar bestuurders </w:t>
      </w:r>
      <w:r w:rsidR="00CF39E3">
        <w:rPr>
          <w:sz w:val="18"/>
          <w:szCs w:val="18"/>
        </w:rPr>
        <w:t>aangesteld moeten worden die voldoen aan de betrouwbaarheids</w:t>
      </w:r>
      <w:r w:rsidR="00DF1914">
        <w:rPr>
          <w:sz w:val="18"/>
          <w:szCs w:val="18"/>
        </w:rPr>
        <w:t>-</w:t>
      </w:r>
      <w:r w:rsidR="00A82A29">
        <w:rPr>
          <w:sz w:val="18"/>
          <w:szCs w:val="18"/>
        </w:rPr>
        <w:t xml:space="preserve"> </w:t>
      </w:r>
      <w:r w:rsidR="00DF1914">
        <w:rPr>
          <w:sz w:val="18"/>
          <w:szCs w:val="18"/>
        </w:rPr>
        <w:t>en geschiktheids</w:t>
      </w:r>
      <w:r w:rsidR="00CF39E3">
        <w:rPr>
          <w:sz w:val="18"/>
          <w:szCs w:val="18"/>
        </w:rPr>
        <w:t>vereisten uit artikel 91, eerste lid, CRD (geïmplementeerd in artikel</w:t>
      </w:r>
      <w:r w:rsidR="00DF1914">
        <w:rPr>
          <w:sz w:val="18"/>
          <w:szCs w:val="18"/>
        </w:rPr>
        <w:t xml:space="preserve"> 3:8, eerste lid, en</w:t>
      </w:r>
      <w:r w:rsidR="00CF39E3">
        <w:rPr>
          <w:sz w:val="18"/>
          <w:szCs w:val="18"/>
        </w:rPr>
        <w:t xml:space="preserve"> 3:9</w:t>
      </w:r>
      <w:r w:rsidR="00480993">
        <w:rPr>
          <w:sz w:val="18"/>
          <w:szCs w:val="18"/>
        </w:rPr>
        <w:t>, eerste lid</w:t>
      </w:r>
      <w:r w:rsidR="00A82A29">
        <w:rPr>
          <w:sz w:val="18"/>
          <w:szCs w:val="18"/>
        </w:rPr>
        <w:t xml:space="preserve"> </w:t>
      </w:r>
      <w:r w:rsidR="00CF39E3">
        <w:rPr>
          <w:sz w:val="18"/>
          <w:szCs w:val="18"/>
        </w:rPr>
        <w:t xml:space="preserve">en via </w:t>
      </w:r>
      <w:r w:rsidR="00DF1914">
        <w:rPr>
          <w:sz w:val="18"/>
          <w:szCs w:val="18"/>
        </w:rPr>
        <w:t xml:space="preserve">3:271, tweede lid, en </w:t>
      </w:r>
      <w:r w:rsidR="00CF39E3">
        <w:rPr>
          <w:sz w:val="18"/>
          <w:szCs w:val="18"/>
        </w:rPr>
        <w:t>3:272</w:t>
      </w:r>
      <w:r w:rsidR="00480993">
        <w:rPr>
          <w:sz w:val="18"/>
          <w:szCs w:val="18"/>
        </w:rPr>
        <w:t>, tweede lid,</w:t>
      </w:r>
      <w:r w:rsidR="00CF39E3">
        <w:rPr>
          <w:sz w:val="18"/>
          <w:szCs w:val="18"/>
        </w:rPr>
        <w:t xml:space="preserve"> </w:t>
      </w:r>
      <w:r w:rsidR="00663479">
        <w:rPr>
          <w:sz w:val="18"/>
          <w:szCs w:val="18"/>
        </w:rPr>
        <w:t xml:space="preserve">Wft </w:t>
      </w:r>
      <w:r w:rsidR="00CF39E3">
        <w:rPr>
          <w:sz w:val="18"/>
          <w:szCs w:val="18"/>
        </w:rPr>
        <w:t xml:space="preserve">van overeenkomstige toepassing op </w:t>
      </w:r>
      <w:r w:rsidR="00480993">
        <w:rPr>
          <w:sz w:val="18"/>
          <w:szCs w:val="18"/>
        </w:rPr>
        <w:t xml:space="preserve">(gemengde) financiële </w:t>
      </w:r>
      <w:r w:rsidR="00CF39E3">
        <w:rPr>
          <w:sz w:val="18"/>
          <w:szCs w:val="18"/>
        </w:rPr>
        <w:t xml:space="preserve">holdings), maar </w:t>
      </w:r>
      <w:r>
        <w:rPr>
          <w:sz w:val="18"/>
          <w:szCs w:val="18"/>
        </w:rPr>
        <w:t xml:space="preserve">dat </w:t>
      </w:r>
      <w:r w:rsidR="00480993">
        <w:rPr>
          <w:sz w:val="18"/>
          <w:szCs w:val="18"/>
        </w:rPr>
        <w:t>zij zelf verantwoordelijk zijn voor de waarborging van die geschiktheid en betrouwbaarheid</w:t>
      </w:r>
      <w:r w:rsidR="00DF1914">
        <w:rPr>
          <w:sz w:val="18"/>
          <w:szCs w:val="18"/>
        </w:rPr>
        <w:t xml:space="preserve"> en hier niet op getoetst worden door DNB</w:t>
      </w:r>
      <w:r w:rsidR="00CF39E3">
        <w:rPr>
          <w:sz w:val="18"/>
          <w:szCs w:val="18"/>
        </w:rPr>
        <w:t xml:space="preserve">. </w:t>
      </w:r>
    </w:p>
    <w:p w:rsidR="00E57BD8" w:rsidP="001E56AB" w:rsidRDefault="00E57BD8" w14:paraId="16224367" w14:textId="77777777">
      <w:pPr>
        <w:widowControl w:val="0"/>
        <w:spacing w:line="240" w:lineRule="atLeast"/>
        <w:rPr>
          <w:sz w:val="18"/>
          <w:szCs w:val="18"/>
        </w:rPr>
      </w:pPr>
    </w:p>
    <w:p w:rsidRPr="00E57BD8" w:rsidR="00E57BD8" w:rsidP="001E56AB" w:rsidRDefault="00E57BD8" w14:paraId="49D4233E" w14:textId="31894DFB">
      <w:pPr>
        <w:widowControl w:val="0"/>
        <w:spacing w:line="240" w:lineRule="atLeast"/>
        <w:rPr>
          <w:b/>
          <w:bCs/>
          <w:sz w:val="18"/>
          <w:szCs w:val="18"/>
        </w:rPr>
      </w:pPr>
      <w:r>
        <w:rPr>
          <w:sz w:val="18"/>
          <w:szCs w:val="18"/>
        </w:rPr>
        <w:t>Daarnaast wordt een vijfde lid toegevoegd aan artikel 3:280c Wft ter implementatie van artikel 21 bis, vierde lid bis, CRD. Hiermee wordt het mogelijk voor DNB, indien zij de consoliderende toezichthouder is van de (gemengde) financiële holding, een dergelijke holding vrijstellen van het goedkeuringsvereiste op grond van artikel 3:280c</w:t>
      </w:r>
      <w:r w:rsidR="0065451F">
        <w:rPr>
          <w:sz w:val="18"/>
          <w:szCs w:val="18"/>
        </w:rPr>
        <w:t xml:space="preserve"> Wft</w:t>
      </w:r>
      <w:r>
        <w:rPr>
          <w:sz w:val="18"/>
          <w:szCs w:val="18"/>
        </w:rPr>
        <w:t xml:space="preserve"> (omdat een dochterbank of dochterholding is aangewezen), buiten de werkingssfeer van consolidatie laten vallen. Hieraan zijn een drietal voorwaarden verbonden: 1) het mag de doeltreffendheid van het toezicht op de dochterbank of groep niet hinderen 2) de </w:t>
      </w:r>
      <w:r w:rsidR="003D4DE8">
        <w:rPr>
          <w:sz w:val="18"/>
          <w:szCs w:val="18"/>
        </w:rPr>
        <w:t xml:space="preserve">(gemengde) financiële </w:t>
      </w:r>
      <w:r>
        <w:rPr>
          <w:sz w:val="18"/>
          <w:szCs w:val="18"/>
        </w:rPr>
        <w:t>holding heeft geen andere aandelen dan die in de dochterbank of de dochter</w:t>
      </w:r>
      <w:r w:rsidR="003D4DE8">
        <w:rPr>
          <w:sz w:val="18"/>
          <w:szCs w:val="18"/>
        </w:rPr>
        <w:t xml:space="preserve">(gemengde) financiële </w:t>
      </w:r>
      <w:r>
        <w:rPr>
          <w:sz w:val="18"/>
          <w:szCs w:val="18"/>
        </w:rPr>
        <w:t xml:space="preserve">holding die zeggenschap uitoefent over de dochterbank en 3) de </w:t>
      </w:r>
      <w:r w:rsidR="003D4DE8">
        <w:rPr>
          <w:sz w:val="18"/>
          <w:szCs w:val="18"/>
        </w:rPr>
        <w:t xml:space="preserve">(gemengde) financiële </w:t>
      </w:r>
      <w:r>
        <w:rPr>
          <w:sz w:val="18"/>
          <w:szCs w:val="18"/>
        </w:rPr>
        <w:t xml:space="preserve">holding maakt geen substantieel gebruik van hefboomwerking en heeft geen blootstellingen die geen verband houden met haar eigendommen in de dochterbank of in de dochterholding die zeggenschap uitoefent over de dochterbank. </w:t>
      </w:r>
    </w:p>
    <w:p w:rsidR="001F3B5F" w:rsidP="001F3B5F" w:rsidRDefault="001F3B5F" w14:paraId="2CC54513" w14:textId="0C00BC46">
      <w:pPr>
        <w:widowControl w:val="0"/>
        <w:tabs>
          <w:tab w:val="num" w:pos="720"/>
        </w:tabs>
        <w:spacing w:line="240" w:lineRule="atLeast"/>
        <w:rPr>
          <w:rFonts w:cs="Arial"/>
          <w:sz w:val="18"/>
          <w:szCs w:val="18"/>
        </w:rPr>
      </w:pPr>
    </w:p>
    <w:p w:rsidR="00CD3F8E" w:rsidP="001F3B5F" w:rsidRDefault="006B5C8D" w14:paraId="2B1FD78E" w14:textId="52EA9ADE">
      <w:pPr>
        <w:widowControl w:val="0"/>
        <w:tabs>
          <w:tab w:val="num" w:pos="720"/>
        </w:tabs>
        <w:spacing w:line="240" w:lineRule="atLeast"/>
        <w:rPr>
          <w:rFonts w:cs="Arial"/>
          <w:sz w:val="18"/>
          <w:szCs w:val="18"/>
        </w:rPr>
      </w:pPr>
      <w:r>
        <w:rPr>
          <w:rFonts w:cs="Arial"/>
          <w:sz w:val="18"/>
          <w:szCs w:val="18"/>
        </w:rPr>
        <w:t>EEEE</w:t>
      </w:r>
      <w:r w:rsidR="00CD3F8E">
        <w:rPr>
          <w:rFonts w:cs="Arial"/>
          <w:sz w:val="18"/>
          <w:szCs w:val="18"/>
        </w:rPr>
        <w:t xml:space="preserve"> (3:280e)</w:t>
      </w:r>
    </w:p>
    <w:p w:rsidR="00CD3F8E" w:rsidP="001F3B5F" w:rsidRDefault="00CD3F8E" w14:paraId="37592403" w14:textId="77777777">
      <w:pPr>
        <w:widowControl w:val="0"/>
        <w:tabs>
          <w:tab w:val="num" w:pos="720"/>
        </w:tabs>
        <w:spacing w:line="240" w:lineRule="atLeast"/>
        <w:rPr>
          <w:rFonts w:cs="Arial"/>
          <w:sz w:val="18"/>
          <w:szCs w:val="18"/>
        </w:rPr>
      </w:pPr>
    </w:p>
    <w:p w:rsidR="00CD3F8E" w:rsidP="005C6348" w:rsidRDefault="00CD3F8E" w14:paraId="2F6CD397" w14:textId="63A161A7">
      <w:pPr>
        <w:widowControl w:val="0"/>
        <w:tabs>
          <w:tab w:val="num" w:pos="720"/>
        </w:tabs>
        <w:spacing w:line="240" w:lineRule="atLeast"/>
        <w:rPr>
          <w:rFonts w:cs="Arial"/>
          <w:sz w:val="18"/>
          <w:szCs w:val="18"/>
        </w:rPr>
      </w:pPr>
      <w:r>
        <w:rPr>
          <w:rFonts w:cs="Arial"/>
          <w:sz w:val="18"/>
          <w:szCs w:val="18"/>
        </w:rPr>
        <w:t>Dit betreft herstel van een omissie. In het tweede lid van artikel 3:280e Wft wordt geen richtlijn genoemd, waardoor de terugverwijzing ‘van die richtlijn’ niet juist is. Dit wordt aangepast naar ‘van de richtlijn kapitaalvereisten’.</w:t>
      </w:r>
    </w:p>
    <w:p w:rsidR="001F3B5F" w:rsidP="005C6348" w:rsidRDefault="001F3B5F" w14:paraId="3EA96F71" w14:textId="77777777">
      <w:pPr>
        <w:widowControl w:val="0"/>
        <w:tabs>
          <w:tab w:val="num" w:pos="720"/>
        </w:tabs>
        <w:spacing w:line="240" w:lineRule="atLeast"/>
        <w:rPr>
          <w:rFonts w:cs="Arial"/>
          <w:sz w:val="18"/>
          <w:szCs w:val="18"/>
        </w:rPr>
      </w:pPr>
    </w:p>
    <w:p w:rsidRPr="003D4DE8" w:rsidR="008F005E" w:rsidP="005C6348" w:rsidRDefault="006B5C8D" w14:paraId="2B04346F" w14:textId="6E9094BE">
      <w:pPr>
        <w:widowControl w:val="0"/>
        <w:tabs>
          <w:tab w:val="num" w:pos="720"/>
        </w:tabs>
        <w:spacing w:line="240" w:lineRule="atLeast"/>
        <w:rPr>
          <w:rFonts w:cs="Arial"/>
          <w:sz w:val="18"/>
          <w:szCs w:val="18"/>
        </w:rPr>
      </w:pPr>
      <w:r>
        <w:rPr>
          <w:rFonts w:cs="Arial"/>
          <w:sz w:val="18"/>
          <w:szCs w:val="18"/>
        </w:rPr>
        <w:t>FFFF</w:t>
      </w:r>
      <w:r w:rsidRPr="003D4DE8" w:rsidR="00070306">
        <w:rPr>
          <w:rFonts w:cs="Arial"/>
          <w:sz w:val="18"/>
          <w:szCs w:val="18"/>
        </w:rPr>
        <w:t xml:space="preserve"> en </w:t>
      </w:r>
      <w:r>
        <w:rPr>
          <w:rFonts w:cs="Arial"/>
          <w:sz w:val="18"/>
          <w:szCs w:val="18"/>
        </w:rPr>
        <w:t xml:space="preserve">GGGG </w:t>
      </w:r>
      <w:r w:rsidRPr="003D4DE8" w:rsidR="008F005E">
        <w:rPr>
          <w:rFonts w:cs="Arial"/>
          <w:sz w:val="18"/>
          <w:szCs w:val="18"/>
        </w:rPr>
        <w:t>(</w:t>
      </w:r>
      <w:r w:rsidRPr="003D4DE8" w:rsidR="00C30640">
        <w:rPr>
          <w:rFonts w:cs="Arial"/>
          <w:sz w:val="18"/>
          <w:szCs w:val="18"/>
        </w:rPr>
        <w:t>3A:26</w:t>
      </w:r>
      <w:r w:rsidRPr="003D4DE8" w:rsidR="00696478">
        <w:rPr>
          <w:rFonts w:cs="Arial"/>
          <w:sz w:val="18"/>
          <w:szCs w:val="18"/>
        </w:rPr>
        <w:t xml:space="preserve"> en 3A:103</w:t>
      </w:r>
      <w:r w:rsidRPr="003D4DE8" w:rsidR="00C30640">
        <w:rPr>
          <w:rFonts w:cs="Arial"/>
          <w:sz w:val="18"/>
          <w:szCs w:val="18"/>
        </w:rPr>
        <w:t>)</w:t>
      </w:r>
    </w:p>
    <w:p w:rsidRPr="003D4DE8" w:rsidR="00C30640" w:rsidP="005C6348" w:rsidRDefault="00C30640" w14:paraId="6CA511D9" w14:textId="77777777">
      <w:pPr>
        <w:widowControl w:val="0"/>
        <w:tabs>
          <w:tab w:val="num" w:pos="720"/>
        </w:tabs>
        <w:spacing w:line="240" w:lineRule="atLeast"/>
        <w:rPr>
          <w:rFonts w:cs="Arial"/>
          <w:sz w:val="18"/>
          <w:szCs w:val="18"/>
        </w:rPr>
      </w:pPr>
    </w:p>
    <w:p w:rsidR="00C30640" w:rsidP="005C6348" w:rsidRDefault="00FE0DB6" w14:paraId="120A883C" w14:textId="6B1216D8">
      <w:pPr>
        <w:widowControl w:val="0"/>
        <w:tabs>
          <w:tab w:val="num" w:pos="720"/>
        </w:tabs>
        <w:spacing w:line="240" w:lineRule="atLeast"/>
        <w:rPr>
          <w:rFonts w:cs="Arial"/>
          <w:sz w:val="18"/>
          <w:szCs w:val="18"/>
        </w:rPr>
      </w:pPr>
      <w:r>
        <w:rPr>
          <w:rFonts w:cs="Arial"/>
          <w:sz w:val="18"/>
          <w:szCs w:val="18"/>
        </w:rPr>
        <w:t>Artikel 3A:26</w:t>
      </w:r>
      <w:r w:rsidR="0065451F">
        <w:rPr>
          <w:rFonts w:cs="Arial"/>
          <w:sz w:val="18"/>
          <w:szCs w:val="18"/>
        </w:rPr>
        <w:t xml:space="preserve"> Wft</w:t>
      </w:r>
      <w:r>
        <w:rPr>
          <w:rFonts w:cs="Arial"/>
          <w:sz w:val="18"/>
          <w:szCs w:val="18"/>
        </w:rPr>
        <w:t xml:space="preserve"> betreft de implementatie van de richtlijn herstel en afwikkeling van banken en beleggingsondernemingen </w:t>
      </w:r>
      <w:r w:rsidR="00D502AB">
        <w:rPr>
          <w:rFonts w:cs="Arial"/>
          <w:sz w:val="18"/>
          <w:szCs w:val="18"/>
        </w:rPr>
        <w:t xml:space="preserve">en </w:t>
      </w:r>
      <w:r>
        <w:rPr>
          <w:rFonts w:cs="Arial"/>
          <w:sz w:val="18"/>
          <w:szCs w:val="18"/>
        </w:rPr>
        <w:t>bevat onder meer uitzonderingen op het vvgb-regime indien er sprake is van de afwikkeling van een bank of beleggingsonderneming die faalt. Artikel 27 nonies CRD schrijft voor dat fusies en splitsingen die voortvloeien uit het gebruik van het afwikkelingsinstrumentarium uit de (implementatie van de) richtlijn niet hoeven te voldoen aan het vvgb-regime dat volgt uit de CRD. Hiertoe zijn de artikelen 3:96a en 3:96c</w:t>
      </w:r>
      <w:r w:rsidR="0065451F">
        <w:rPr>
          <w:rFonts w:cs="Arial"/>
          <w:sz w:val="18"/>
          <w:szCs w:val="18"/>
        </w:rPr>
        <w:t xml:space="preserve"> Wft</w:t>
      </w:r>
      <w:r>
        <w:rPr>
          <w:rFonts w:cs="Arial"/>
          <w:sz w:val="18"/>
          <w:szCs w:val="18"/>
        </w:rPr>
        <w:t xml:space="preserve"> opgenomen in artikel 3A:26, tweede lid, onderdeel b, Wft.</w:t>
      </w:r>
      <w:r w:rsidR="003D4DE8">
        <w:rPr>
          <w:rFonts w:cs="Arial"/>
          <w:sz w:val="18"/>
          <w:szCs w:val="18"/>
        </w:rPr>
        <w:t xml:space="preserve"> Hetzelfde geldt voor artikel 3A:103 Wft wat zich in het onderdeel over afwikkeling van verzekeraars bevindt.</w:t>
      </w:r>
    </w:p>
    <w:p w:rsidR="008F005E" w:rsidP="005C6348" w:rsidRDefault="008F005E" w14:paraId="5FD93BFC" w14:textId="77777777">
      <w:pPr>
        <w:widowControl w:val="0"/>
        <w:tabs>
          <w:tab w:val="num" w:pos="720"/>
        </w:tabs>
        <w:spacing w:line="240" w:lineRule="atLeast"/>
        <w:rPr>
          <w:rFonts w:cs="Arial"/>
          <w:sz w:val="18"/>
          <w:szCs w:val="18"/>
        </w:rPr>
      </w:pPr>
    </w:p>
    <w:p w:rsidR="00696478" w:rsidP="005C6348" w:rsidRDefault="006B5C8D" w14:paraId="4A3E6AB9" w14:textId="7F1D78DF">
      <w:pPr>
        <w:widowControl w:val="0"/>
        <w:tabs>
          <w:tab w:val="num" w:pos="720"/>
        </w:tabs>
        <w:spacing w:line="240" w:lineRule="atLeast"/>
        <w:rPr>
          <w:rFonts w:cs="Arial"/>
          <w:sz w:val="18"/>
          <w:szCs w:val="18"/>
        </w:rPr>
      </w:pPr>
      <w:r>
        <w:rPr>
          <w:rFonts w:cs="Arial"/>
          <w:sz w:val="18"/>
          <w:szCs w:val="18"/>
        </w:rPr>
        <w:t>HHHH</w:t>
      </w:r>
      <w:r w:rsidR="00696478">
        <w:rPr>
          <w:rFonts w:cs="Arial"/>
          <w:sz w:val="18"/>
          <w:szCs w:val="18"/>
        </w:rPr>
        <w:t xml:space="preserve"> (4:3)</w:t>
      </w:r>
    </w:p>
    <w:p w:rsidR="00696478" w:rsidP="005C6348" w:rsidRDefault="00696478" w14:paraId="39687575" w14:textId="77777777">
      <w:pPr>
        <w:widowControl w:val="0"/>
        <w:tabs>
          <w:tab w:val="num" w:pos="720"/>
        </w:tabs>
        <w:spacing w:line="240" w:lineRule="atLeast"/>
        <w:rPr>
          <w:rFonts w:cs="Arial"/>
          <w:sz w:val="18"/>
          <w:szCs w:val="18"/>
        </w:rPr>
      </w:pPr>
    </w:p>
    <w:p w:rsidR="00696478" w:rsidP="005C6348" w:rsidRDefault="00696478" w14:paraId="0212FBAF" w14:textId="1FDE7172">
      <w:pPr>
        <w:widowControl w:val="0"/>
        <w:tabs>
          <w:tab w:val="num" w:pos="720"/>
        </w:tabs>
        <w:spacing w:line="240" w:lineRule="atLeast"/>
        <w:rPr>
          <w:rFonts w:cs="Arial"/>
          <w:sz w:val="18"/>
          <w:szCs w:val="18"/>
        </w:rPr>
      </w:pPr>
      <w:r>
        <w:rPr>
          <w:rFonts w:cs="Arial"/>
          <w:sz w:val="18"/>
          <w:szCs w:val="18"/>
        </w:rPr>
        <w:t>Artikel 4:</w:t>
      </w:r>
      <w:r w:rsidR="00AD603E">
        <w:rPr>
          <w:rFonts w:cs="Arial"/>
          <w:sz w:val="18"/>
          <w:szCs w:val="18"/>
        </w:rPr>
        <w:t>3, tweede lid, Wft wordt aangepast om de verwijzing naar artikel 2:20</w:t>
      </w:r>
      <w:r w:rsidR="003D4DE8">
        <w:rPr>
          <w:rFonts w:cs="Arial"/>
          <w:sz w:val="18"/>
          <w:szCs w:val="18"/>
        </w:rPr>
        <w:t xml:space="preserve"> Wft</w:t>
      </w:r>
      <w:r w:rsidR="00AD603E">
        <w:rPr>
          <w:rFonts w:cs="Arial"/>
          <w:sz w:val="18"/>
          <w:szCs w:val="18"/>
        </w:rPr>
        <w:t xml:space="preserve"> in onderdeel a te verwijderen en een los onderdeel op te nemen voor derde land bijkantoren.</w:t>
      </w:r>
    </w:p>
    <w:p w:rsidR="00696478" w:rsidP="005C6348" w:rsidRDefault="00696478" w14:paraId="0C1FED67" w14:textId="77777777">
      <w:pPr>
        <w:widowControl w:val="0"/>
        <w:tabs>
          <w:tab w:val="num" w:pos="720"/>
        </w:tabs>
        <w:spacing w:line="240" w:lineRule="atLeast"/>
        <w:rPr>
          <w:rFonts w:cs="Arial"/>
          <w:sz w:val="18"/>
          <w:szCs w:val="18"/>
        </w:rPr>
      </w:pPr>
    </w:p>
    <w:p w:rsidR="00DF2B88" w:rsidP="005C6348" w:rsidRDefault="006B5C8D" w14:paraId="51082907" w14:textId="1F442D6B">
      <w:pPr>
        <w:widowControl w:val="0"/>
        <w:tabs>
          <w:tab w:val="num" w:pos="720"/>
        </w:tabs>
        <w:spacing w:line="240" w:lineRule="atLeast"/>
        <w:rPr>
          <w:rFonts w:cs="Arial"/>
          <w:sz w:val="18"/>
          <w:szCs w:val="18"/>
        </w:rPr>
      </w:pPr>
      <w:bookmarkStart w:name="_Hlk213251247" w:id="11"/>
      <w:r>
        <w:rPr>
          <w:rFonts w:cs="Arial"/>
          <w:sz w:val="18"/>
          <w:szCs w:val="18"/>
        </w:rPr>
        <w:t>IIII</w:t>
      </w:r>
      <w:r w:rsidR="00DB21CA">
        <w:rPr>
          <w:rFonts w:cs="Arial"/>
          <w:sz w:val="18"/>
          <w:szCs w:val="18"/>
        </w:rPr>
        <w:t xml:space="preserve"> </w:t>
      </w:r>
      <w:r w:rsidR="00DF2B88">
        <w:rPr>
          <w:rFonts w:cs="Arial"/>
          <w:sz w:val="18"/>
          <w:szCs w:val="18"/>
        </w:rPr>
        <w:t>(4:9.0a)</w:t>
      </w:r>
    </w:p>
    <w:p w:rsidR="00DF2B88" w:rsidP="005C6348" w:rsidRDefault="00DF2B88" w14:paraId="4FDA3539" w14:textId="77777777">
      <w:pPr>
        <w:widowControl w:val="0"/>
        <w:tabs>
          <w:tab w:val="num" w:pos="720"/>
        </w:tabs>
        <w:spacing w:line="240" w:lineRule="atLeast"/>
        <w:rPr>
          <w:rFonts w:cs="Arial"/>
          <w:sz w:val="18"/>
          <w:szCs w:val="18"/>
        </w:rPr>
      </w:pPr>
    </w:p>
    <w:p w:rsidRPr="000B4B5E" w:rsidR="00DF2B88" w:rsidP="00DF2B88" w:rsidRDefault="00DF2B88" w14:paraId="763951C2" w14:textId="27B95422">
      <w:pPr>
        <w:widowControl w:val="0"/>
        <w:tabs>
          <w:tab w:val="num" w:pos="720"/>
        </w:tabs>
        <w:spacing w:line="240" w:lineRule="atLeast"/>
        <w:rPr>
          <w:rFonts w:cs="Arial"/>
          <w:sz w:val="18"/>
          <w:szCs w:val="18"/>
        </w:rPr>
      </w:pPr>
      <w:r w:rsidRPr="00DF2B88">
        <w:rPr>
          <w:rFonts w:cs="Arial"/>
          <w:sz w:val="18"/>
          <w:szCs w:val="18"/>
        </w:rPr>
        <w:t>Artikel 91 en 91 bis CRD hebben betrekking op banken,</w:t>
      </w:r>
      <w:r w:rsidR="0065451F">
        <w:rPr>
          <w:rFonts w:cs="Arial"/>
          <w:sz w:val="18"/>
          <w:szCs w:val="18"/>
        </w:rPr>
        <w:t xml:space="preserve"> </w:t>
      </w:r>
      <w:r w:rsidRPr="00DF2B88">
        <w:rPr>
          <w:rFonts w:cs="Arial"/>
          <w:sz w:val="18"/>
          <w:szCs w:val="18"/>
        </w:rPr>
        <w:t xml:space="preserve">beleggingsondernemingen </w:t>
      </w:r>
      <w:r w:rsidR="0065451F">
        <w:rPr>
          <w:rFonts w:cs="Arial"/>
          <w:sz w:val="18"/>
          <w:szCs w:val="18"/>
        </w:rPr>
        <w:t>onder de verordening kapitaalvereisten en (gemengde) financiële holdings</w:t>
      </w:r>
      <w:r w:rsidRPr="00DF2B88">
        <w:rPr>
          <w:rFonts w:cs="Arial"/>
          <w:sz w:val="18"/>
          <w:szCs w:val="18"/>
        </w:rPr>
        <w:t xml:space="preserve">. Voor banken gelden de geschiktheid- en betrouwbaarheidseis uit artikelen 3:8 en 3:9 Wft terwijl voor beleggingsondernemingen deze eisen omschreven staan in artikel 4:9, 4:9.0a en 4:10 Wft. </w:t>
      </w:r>
      <w:r w:rsidR="0065451F">
        <w:rPr>
          <w:rFonts w:cs="Arial"/>
          <w:sz w:val="18"/>
          <w:szCs w:val="18"/>
        </w:rPr>
        <w:t>In artikel 4:9.</w:t>
      </w:r>
      <w:r w:rsidRPr="000B4B5E" w:rsidR="0065451F">
        <w:rPr>
          <w:rFonts w:cs="Arial"/>
          <w:sz w:val="18"/>
          <w:szCs w:val="18"/>
        </w:rPr>
        <w:t xml:space="preserve">0a </w:t>
      </w:r>
      <w:r w:rsidR="00D85044">
        <w:rPr>
          <w:rFonts w:cs="Arial"/>
          <w:sz w:val="18"/>
          <w:szCs w:val="18"/>
        </w:rPr>
        <w:t xml:space="preserve">Wft </w:t>
      </w:r>
      <w:r w:rsidRPr="000B4B5E" w:rsidR="0065451F">
        <w:rPr>
          <w:rFonts w:cs="Arial"/>
          <w:sz w:val="18"/>
          <w:szCs w:val="18"/>
        </w:rPr>
        <w:t xml:space="preserve">worden </w:t>
      </w:r>
      <w:r w:rsidRPr="000B4B5E" w:rsidR="00663479">
        <w:rPr>
          <w:rFonts w:cs="Arial"/>
          <w:sz w:val="18"/>
          <w:szCs w:val="18"/>
        </w:rPr>
        <w:t>dezelfde</w:t>
      </w:r>
      <w:r w:rsidRPr="000B4B5E" w:rsidR="0065451F">
        <w:rPr>
          <w:rFonts w:cs="Arial"/>
          <w:sz w:val="18"/>
          <w:szCs w:val="18"/>
        </w:rPr>
        <w:t xml:space="preserve"> wijzigingen als in artikel 3:8 Wft opgenomen</w:t>
      </w:r>
      <w:r w:rsidR="00D85044">
        <w:rPr>
          <w:rFonts w:cs="Arial"/>
          <w:sz w:val="18"/>
          <w:szCs w:val="18"/>
        </w:rPr>
        <w:t xml:space="preserve"> (zie </w:t>
      </w:r>
      <w:r w:rsidRPr="000B4B5E" w:rsidR="0065451F">
        <w:rPr>
          <w:rFonts w:cs="Arial"/>
          <w:sz w:val="18"/>
          <w:szCs w:val="18"/>
        </w:rPr>
        <w:t>onderdel</w:t>
      </w:r>
      <w:r w:rsidR="00D85044">
        <w:rPr>
          <w:rFonts w:cs="Arial"/>
          <w:sz w:val="18"/>
          <w:szCs w:val="18"/>
        </w:rPr>
        <w:t>en</w:t>
      </w:r>
      <w:r w:rsidRPr="000B4B5E" w:rsidR="0065451F">
        <w:rPr>
          <w:rFonts w:cs="Arial"/>
          <w:sz w:val="18"/>
          <w:szCs w:val="18"/>
        </w:rPr>
        <w:t xml:space="preserve"> </w:t>
      </w:r>
      <w:r w:rsidR="00D85044">
        <w:rPr>
          <w:rFonts w:cs="Arial"/>
          <w:sz w:val="18"/>
          <w:szCs w:val="18"/>
        </w:rPr>
        <w:t xml:space="preserve">Z, </w:t>
      </w:r>
      <w:r w:rsidR="0034108F">
        <w:rPr>
          <w:rFonts w:cs="Arial"/>
          <w:sz w:val="18"/>
          <w:szCs w:val="18"/>
        </w:rPr>
        <w:t>AA</w:t>
      </w:r>
      <w:r w:rsidR="00D85044">
        <w:rPr>
          <w:rFonts w:cs="Arial"/>
          <w:sz w:val="18"/>
          <w:szCs w:val="18"/>
        </w:rPr>
        <w:t xml:space="preserve"> en</w:t>
      </w:r>
      <w:r w:rsidR="0034108F">
        <w:rPr>
          <w:rFonts w:cs="Arial"/>
          <w:sz w:val="18"/>
          <w:szCs w:val="18"/>
        </w:rPr>
        <w:t xml:space="preserve"> BB</w:t>
      </w:r>
      <w:r w:rsidR="00D85044">
        <w:rPr>
          <w:rFonts w:cs="Arial"/>
          <w:sz w:val="18"/>
          <w:szCs w:val="18"/>
        </w:rPr>
        <w:t>)</w:t>
      </w:r>
      <w:r w:rsidRPr="000B4B5E" w:rsidR="0065451F">
        <w:rPr>
          <w:rFonts w:cs="Arial"/>
          <w:sz w:val="18"/>
          <w:szCs w:val="18"/>
        </w:rPr>
        <w:t>.</w:t>
      </w:r>
    </w:p>
    <w:p w:rsidRPr="000B4B5E" w:rsidR="00DF2B88" w:rsidP="005C6348" w:rsidRDefault="00DF2B88" w14:paraId="53952496" w14:textId="77777777">
      <w:pPr>
        <w:widowControl w:val="0"/>
        <w:tabs>
          <w:tab w:val="num" w:pos="720"/>
        </w:tabs>
        <w:spacing w:line="240" w:lineRule="atLeast"/>
        <w:rPr>
          <w:rFonts w:cs="Arial"/>
          <w:sz w:val="18"/>
          <w:szCs w:val="18"/>
        </w:rPr>
      </w:pPr>
    </w:p>
    <w:p w:rsidRPr="000B4B5E" w:rsidR="00DF2B88" w:rsidP="005C6348" w:rsidRDefault="006B5C8D" w14:paraId="1EA1ABD0" w14:textId="30C6B579">
      <w:pPr>
        <w:widowControl w:val="0"/>
        <w:tabs>
          <w:tab w:val="num" w:pos="720"/>
        </w:tabs>
        <w:spacing w:line="240" w:lineRule="atLeast"/>
        <w:rPr>
          <w:rFonts w:cs="Arial"/>
          <w:sz w:val="18"/>
          <w:szCs w:val="18"/>
        </w:rPr>
      </w:pPr>
      <w:r>
        <w:rPr>
          <w:rFonts w:cs="Arial"/>
          <w:sz w:val="18"/>
          <w:szCs w:val="18"/>
        </w:rPr>
        <w:t>JJJJ</w:t>
      </w:r>
      <w:r w:rsidRPr="000B4B5E" w:rsidR="00DF2B88">
        <w:rPr>
          <w:rFonts w:cs="Arial"/>
          <w:sz w:val="18"/>
          <w:szCs w:val="18"/>
        </w:rPr>
        <w:t xml:space="preserve"> (4:10)</w:t>
      </w:r>
    </w:p>
    <w:p w:rsidRPr="000B4B5E" w:rsidR="00DF2B88" w:rsidP="005C6348" w:rsidRDefault="00DF2B88" w14:paraId="4E8994E1" w14:textId="77777777">
      <w:pPr>
        <w:widowControl w:val="0"/>
        <w:tabs>
          <w:tab w:val="num" w:pos="720"/>
        </w:tabs>
        <w:spacing w:line="240" w:lineRule="atLeast"/>
        <w:rPr>
          <w:rFonts w:cs="Arial"/>
          <w:sz w:val="18"/>
          <w:szCs w:val="18"/>
        </w:rPr>
      </w:pPr>
    </w:p>
    <w:p w:rsidRPr="000B4B5E" w:rsidR="00DF2B88" w:rsidP="005C6348" w:rsidRDefault="00DF2B88" w14:paraId="4008988B" w14:textId="14F17B4D">
      <w:pPr>
        <w:widowControl w:val="0"/>
        <w:tabs>
          <w:tab w:val="num" w:pos="720"/>
        </w:tabs>
        <w:spacing w:line="240" w:lineRule="atLeast"/>
        <w:rPr>
          <w:rFonts w:cs="Arial"/>
          <w:sz w:val="18"/>
          <w:szCs w:val="18"/>
        </w:rPr>
      </w:pPr>
      <w:r w:rsidRPr="000B4B5E">
        <w:rPr>
          <w:rFonts w:cs="Arial"/>
          <w:sz w:val="18"/>
          <w:szCs w:val="18"/>
        </w:rPr>
        <w:t>Artikel 4:10 bevat bepalingen betreffende de betrouwbaarheid van beleidsbepalers bij verschillende ondernemingen waaronder beleggingsondernemingen.</w:t>
      </w:r>
    </w:p>
    <w:p w:rsidRPr="000B4B5E" w:rsidR="00DF2B88" w:rsidP="005C6348" w:rsidRDefault="00DF2B88" w14:paraId="0E5503D0" w14:textId="77777777">
      <w:pPr>
        <w:widowControl w:val="0"/>
        <w:tabs>
          <w:tab w:val="num" w:pos="720"/>
        </w:tabs>
        <w:spacing w:line="240" w:lineRule="atLeast"/>
        <w:rPr>
          <w:rFonts w:cs="Arial"/>
          <w:sz w:val="18"/>
          <w:szCs w:val="18"/>
        </w:rPr>
      </w:pPr>
    </w:p>
    <w:p w:rsidRPr="000B4B5E" w:rsidR="00DF2B88" w:rsidP="005C6348" w:rsidRDefault="00DF2B88" w14:paraId="12BC5D78" w14:textId="5EF4BB98">
      <w:pPr>
        <w:widowControl w:val="0"/>
        <w:tabs>
          <w:tab w:val="num" w:pos="720"/>
        </w:tabs>
        <w:spacing w:line="240" w:lineRule="atLeast"/>
        <w:rPr>
          <w:rFonts w:cs="Arial"/>
          <w:sz w:val="18"/>
          <w:szCs w:val="18"/>
        </w:rPr>
      </w:pPr>
      <w:r w:rsidRPr="000B4B5E">
        <w:rPr>
          <w:rFonts w:cs="Arial"/>
          <w:sz w:val="18"/>
          <w:szCs w:val="18"/>
        </w:rPr>
        <w:t xml:space="preserve">Met de toevoeging </w:t>
      </w:r>
      <w:r w:rsidR="00B87FAD">
        <w:rPr>
          <w:rFonts w:cs="Arial"/>
          <w:sz w:val="18"/>
          <w:szCs w:val="18"/>
        </w:rPr>
        <w:t xml:space="preserve">aan het derde </w:t>
      </w:r>
      <w:r w:rsidRPr="000B4B5E">
        <w:rPr>
          <w:rFonts w:cs="Arial"/>
          <w:sz w:val="18"/>
          <w:szCs w:val="18"/>
        </w:rPr>
        <w:t xml:space="preserve">lid aan artikel 4:10 Wft, wordt de koppeling gemaakt met de betrouwbaarheidseis uit artikel 91 CRD. Dit geldt alleen voor beleggingsondernemingen </w:t>
      </w:r>
      <w:r w:rsidRPr="000B4B5E" w:rsidR="0065451F">
        <w:rPr>
          <w:rFonts w:cs="Arial"/>
          <w:sz w:val="18"/>
          <w:szCs w:val="18"/>
        </w:rPr>
        <w:t xml:space="preserve">onder de verordening kapitaalvereisten. </w:t>
      </w:r>
    </w:p>
    <w:p w:rsidRPr="000B4B5E" w:rsidR="0065451F" w:rsidP="005C6348" w:rsidRDefault="0065451F" w14:paraId="01A742D6" w14:textId="77777777">
      <w:pPr>
        <w:widowControl w:val="0"/>
        <w:tabs>
          <w:tab w:val="num" w:pos="720"/>
        </w:tabs>
        <w:spacing w:line="240" w:lineRule="atLeast"/>
        <w:rPr>
          <w:rFonts w:cs="Arial"/>
          <w:sz w:val="18"/>
          <w:szCs w:val="18"/>
        </w:rPr>
      </w:pPr>
    </w:p>
    <w:p w:rsidRPr="000B4B5E" w:rsidR="00DF2B88" w:rsidP="005C6348" w:rsidRDefault="0065451F" w14:paraId="302F9482" w14:textId="4DC59C5C">
      <w:pPr>
        <w:widowControl w:val="0"/>
        <w:tabs>
          <w:tab w:val="num" w:pos="720"/>
        </w:tabs>
        <w:spacing w:line="240" w:lineRule="atLeast"/>
        <w:rPr>
          <w:rFonts w:cs="Arial"/>
          <w:sz w:val="18"/>
          <w:szCs w:val="18"/>
        </w:rPr>
      </w:pPr>
      <w:r w:rsidRPr="000B4B5E">
        <w:rPr>
          <w:rFonts w:cs="Arial"/>
          <w:sz w:val="18"/>
          <w:szCs w:val="18"/>
        </w:rPr>
        <w:t xml:space="preserve">Het vijfde lid </w:t>
      </w:r>
      <w:r w:rsidR="00B87FAD">
        <w:rPr>
          <w:rFonts w:cs="Arial"/>
          <w:sz w:val="18"/>
          <w:szCs w:val="18"/>
        </w:rPr>
        <w:t>bevat</w:t>
      </w:r>
      <w:r w:rsidRPr="000B4B5E" w:rsidR="00B87FAD">
        <w:rPr>
          <w:rFonts w:cs="Arial"/>
          <w:sz w:val="18"/>
          <w:szCs w:val="18"/>
        </w:rPr>
        <w:t xml:space="preserve"> </w:t>
      </w:r>
      <w:r w:rsidRPr="000B4B5E">
        <w:rPr>
          <w:rFonts w:cs="Arial"/>
          <w:sz w:val="18"/>
          <w:szCs w:val="18"/>
        </w:rPr>
        <w:t xml:space="preserve">dezelfde toevoeging als in artikel 3:9, vierde lid, Wft </w:t>
      </w:r>
      <w:r w:rsidR="00D85044">
        <w:rPr>
          <w:rFonts w:cs="Arial"/>
          <w:sz w:val="18"/>
          <w:szCs w:val="18"/>
        </w:rPr>
        <w:t xml:space="preserve">(zie </w:t>
      </w:r>
      <w:r w:rsidRPr="000B4B5E" w:rsidR="00D85044">
        <w:rPr>
          <w:rFonts w:cs="Arial"/>
          <w:sz w:val="18"/>
          <w:szCs w:val="18"/>
        </w:rPr>
        <w:t>onderdel</w:t>
      </w:r>
      <w:r w:rsidR="00D85044">
        <w:rPr>
          <w:rFonts w:cs="Arial"/>
          <w:sz w:val="18"/>
          <w:szCs w:val="18"/>
        </w:rPr>
        <w:t>en</w:t>
      </w:r>
      <w:r w:rsidRPr="000B4B5E" w:rsidR="00D85044">
        <w:rPr>
          <w:rFonts w:cs="Arial"/>
          <w:sz w:val="18"/>
          <w:szCs w:val="18"/>
        </w:rPr>
        <w:t xml:space="preserve"> </w:t>
      </w:r>
      <w:r w:rsidR="00D85044">
        <w:rPr>
          <w:rFonts w:cs="Arial"/>
          <w:sz w:val="18"/>
          <w:szCs w:val="18"/>
        </w:rPr>
        <w:t>Z, AA en BB)</w:t>
      </w:r>
      <w:r w:rsidRPr="000B4B5E" w:rsidR="00D85044">
        <w:rPr>
          <w:rFonts w:cs="Arial"/>
          <w:sz w:val="18"/>
          <w:szCs w:val="18"/>
        </w:rPr>
        <w:t>.</w:t>
      </w:r>
    </w:p>
    <w:p w:rsidRPr="000B4B5E" w:rsidR="00DF2B88" w:rsidP="005C6348" w:rsidRDefault="00DF2B88" w14:paraId="7BB0C702" w14:textId="77777777">
      <w:pPr>
        <w:widowControl w:val="0"/>
        <w:tabs>
          <w:tab w:val="num" w:pos="720"/>
        </w:tabs>
        <w:spacing w:line="240" w:lineRule="atLeast"/>
        <w:rPr>
          <w:rFonts w:cs="Arial"/>
          <w:sz w:val="18"/>
          <w:szCs w:val="18"/>
        </w:rPr>
      </w:pPr>
    </w:p>
    <w:p w:rsidRPr="000B4B5E" w:rsidR="00DF2B88" w:rsidP="005C6348" w:rsidRDefault="006B5C8D" w14:paraId="3870462F" w14:textId="63D2C550">
      <w:pPr>
        <w:widowControl w:val="0"/>
        <w:tabs>
          <w:tab w:val="num" w:pos="720"/>
        </w:tabs>
        <w:spacing w:line="240" w:lineRule="atLeast"/>
        <w:rPr>
          <w:rFonts w:cs="Arial"/>
          <w:sz w:val="18"/>
          <w:szCs w:val="18"/>
        </w:rPr>
      </w:pPr>
      <w:r>
        <w:rPr>
          <w:rFonts w:cs="Arial"/>
          <w:sz w:val="18"/>
          <w:szCs w:val="18"/>
        </w:rPr>
        <w:t>KKKK</w:t>
      </w:r>
      <w:r w:rsidRPr="000B4B5E" w:rsidR="00DF2B88">
        <w:rPr>
          <w:rFonts w:cs="Arial"/>
          <w:sz w:val="18"/>
          <w:szCs w:val="18"/>
        </w:rPr>
        <w:t xml:space="preserve"> (4:10a)</w:t>
      </w:r>
    </w:p>
    <w:p w:rsidRPr="000B4B5E" w:rsidR="00DF2B88" w:rsidP="005C6348" w:rsidRDefault="00DF2B88" w14:paraId="5DB6CC43" w14:textId="77777777">
      <w:pPr>
        <w:widowControl w:val="0"/>
        <w:tabs>
          <w:tab w:val="num" w:pos="720"/>
        </w:tabs>
        <w:spacing w:line="240" w:lineRule="atLeast"/>
        <w:rPr>
          <w:rFonts w:cs="Arial"/>
          <w:sz w:val="18"/>
          <w:szCs w:val="18"/>
        </w:rPr>
      </w:pPr>
    </w:p>
    <w:p w:rsidR="0065451F" w:rsidP="005C6348" w:rsidRDefault="0065451F" w14:paraId="72DBF475" w14:textId="2F46375B">
      <w:pPr>
        <w:widowControl w:val="0"/>
        <w:tabs>
          <w:tab w:val="num" w:pos="720"/>
        </w:tabs>
        <w:spacing w:line="240" w:lineRule="atLeast"/>
        <w:rPr>
          <w:rFonts w:cs="Arial"/>
          <w:sz w:val="18"/>
          <w:szCs w:val="18"/>
        </w:rPr>
      </w:pPr>
      <w:r w:rsidRPr="00385727">
        <w:rPr>
          <w:rFonts w:cs="Arial"/>
          <w:sz w:val="18"/>
          <w:szCs w:val="18"/>
        </w:rPr>
        <w:t xml:space="preserve">Artikel 4:10a </w:t>
      </w:r>
      <w:r w:rsidRPr="00385727" w:rsidR="00663479">
        <w:rPr>
          <w:rFonts w:cs="Arial"/>
          <w:sz w:val="18"/>
          <w:szCs w:val="18"/>
        </w:rPr>
        <w:t xml:space="preserve">Wft </w:t>
      </w:r>
      <w:r w:rsidRPr="00385727" w:rsidR="00506730">
        <w:rPr>
          <w:rFonts w:cs="Arial"/>
          <w:sz w:val="18"/>
          <w:szCs w:val="18"/>
        </w:rPr>
        <w:t>bevat dezelfde bepalingen als artikel 3:9b (zie onderdeel Z, AA en BB) betreffende de geschiktheid en betrouwbaarheid van medewerkers met een sleutelfunctie</w:t>
      </w:r>
      <w:r w:rsidRPr="00385727" w:rsidR="00516725">
        <w:rPr>
          <w:rFonts w:cs="Arial"/>
          <w:sz w:val="18"/>
          <w:szCs w:val="18"/>
        </w:rPr>
        <w:t xml:space="preserve"> bij een bank.</w:t>
      </w:r>
      <w:r w:rsidR="00385727">
        <w:rPr>
          <w:rFonts w:cs="Arial"/>
          <w:sz w:val="18"/>
          <w:szCs w:val="18"/>
        </w:rPr>
        <w:t xml:space="preserve"> </w:t>
      </w:r>
      <w:r w:rsidRPr="00385727" w:rsidR="00516725">
        <w:rPr>
          <w:rFonts w:cs="Arial"/>
          <w:sz w:val="18"/>
          <w:szCs w:val="18"/>
        </w:rPr>
        <w:t>A</w:t>
      </w:r>
      <w:r w:rsidRPr="00385727" w:rsidR="00506730">
        <w:rPr>
          <w:rFonts w:cs="Arial"/>
          <w:sz w:val="18"/>
          <w:szCs w:val="18"/>
        </w:rPr>
        <w:t xml:space="preserve">rtikel 4:10a Wft geldt </w:t>
      </w:r>
      <w:r w:rsidRPr="00385727" w:rsidR="00516725">
        <w:rPr>
          <w:rFonts w:cs="Arial"/>
          <w:sz w:val="18"/>
          <w:szCs w:val="18"/>
        </w:rPr>
        <w:t>hetzelfde</w:t>
      </w:r>
      <w:r w:rsidR="00385727">
        <w:rPr>
          <w:rFonts w:cs="Arial"/>
          <w:sz w:val="18"/>
          <w:szCs w:val="18"/>
        </w:rPr>
        <w:t xml:space="preserve"> </w:t>
      </w:r>
      <w:r w:rsidRPr="00385727" w:rsidR="00506730">
        <w:rPr>
          <w:rFonts w:cs="Arial"/>
          <w:sz w:val="18"/>
          <w:szCs w:val="18"/>
        </w:rPr>
        <w:t>voor beleggingsondernemingen onder de verordening kapitaalvereisten. Aanpassingen op het niveau van algemene maatregel van het bestuur z</w:t>
      </w:r>
      <w:r w:rsidR="00B54318">
        <w:rPr>
          <w:rFonts w:cs="Arial"/>
          <w:sz w:val="18"/>
          <w:szCs w:val="18"/>
        </w:rPr>
        <w:t>u</w:t>
      </w:r>
      <w:r w:rsidRPr="00385727" w:rsidR="00506730">
        <w:rPr>
          <w:rFonts w:cs="Arial"/>
          <w:sz w:val="18"/>
          <w:szCs w:val="18"/>
        </w:rPr>
        <w:t>l</w:t>
      </w:r>
      <w:r w:rsidR="00B54318">
        <w:rPr>
          <w:rFonts w:cs="Arial"/>
          <w:sz w:val="18"/>
          <w:szCs w:val="18"/>
        </w:rPr>
        <w:t>len</w:t>
      </w:r>
      <w:r w:rsidRPr="00385727" w:rsidR="00506730">
        <w:rPr>
          <w:rFonts w:cs="Arial"/>
          <w:sz w:val="18"/>
          <w:szCs w:val="18"/>
        </w:rPr>
        <w:t xml:space="preserve">, in tegenstelling tot wijzigingen in het Bpr vanuit artikel 3:9b, plaatsvinden in het BGfo. </w:t>
      </w:r>
      <w:bookmarkEnd w:id="11"/>
    </w:p>
    <w:p w:rsidR="00DF2B88" w:rsidP="005C6348" w:rsidRDefault="00DF2B88" w14:paraId="1E1F67A5" w14:textId="77777777">
      <w:pPr>
        <w:widowControl w:val="0"/>
        <w:tabs>
          <w:tab w:val="num" w:pos="720"/>
        </w:tabs>
        <w:spacing w:line="240" w:lineRule="atLeast"/>
        <w:rPr>
          <w:rFonts w:cs="Arial"/>
          <w:sz w:val="18"/>
          <w:szCs w:val="18"/>
        </w:rPr>
      </w:pPr>
    </w:p>
    <w:p w:rsidRPr="00BD04E1" w:rsidR="00CD3F8E" w:rsidP="005C6348" w:rsidRDefault="006B5C8D" w14:paraId="049AE0D2" w14:textId="316D8E42">
      <w:pPr>
        <w:widowControl w:val="0"/>
        <w:spacing w:line="240" w:lineRule="atLeast"/>
        <w:rPr>
          <w:sz w:val="18"/>
          <w:szCs w:val="18"/>
        </w:rPr>
      </w:pPr>
      <w:r>
        <w:rPr>
          <w:sz w:val="18"/>
          <w:szCs w:val="18"/>
        </w:rPr>
        <w:t>LLLL</w:t>
      </w:r>
      <w:r w:rsidRPr="00BD04E1" w:rsidR="00CD3F8E">
        <w:rPr>
          <w:sz w:val="18"/>
          <w:szCs w:val="18"/>
        </w:rPr>
        <w:t xml:space="preserve"> (Bijlagen behorende bij de artikelen 1:79 en 1:80)</w:t>
      </w:r>
    </w:p>
    <w:p w:rsidR="001F3B5F" w:rsidP="005C6348" w:rsidRDefault="001F3B5F" w14:paraId="05252AE1" w14:textId="77777777">
      <w:pPr>
        <w:widowControl w:val="0"/>
        <w:tabs>
          <w:tab w:val="num" w:pos="720"/>
        </w:tabs>
        <w:spacing w:line="240" w:lineRule="atLeast"/>
        <w:rPr>
          <w:rFonts w:cs="Arial"/>
          <w:sz w:val="18"/>
          <w:szCs w:val="18"/>
        </w:rPr>
      </w:pPr>
    </w:p>
    <w:p w:rsidR="00FD1F8F" w:rsidP="005C6348" w:rsidRDefault="00FD1F8F" w14:paraId="39A59BDE" w14:textId="56D79C8E">
      <w:pPr>
        <w:widowControl w:val="0"/>
        <w:tabs>
          <w:tab w:val="num" w:pos="720"/>
        </w:tabs>
        <w:spacing w:line="240" w:lineRule="atLeast"/>
        <w:rPr>
          <w:rFonts w:cs="Arial"/>
          <w:sz w:val="18"/>
          <w:szCs w:val="18"/>
        </w:rPr>
      </w:pPr>
      <w:r>
        <w:rPr>
          <w:rFonts w:cs="Arial"/>
          <w:sz w:val="18"/>
          <w:szCs w:val="18"/>
        </w:rPr>
        <w:t xml:space="preserve">Teneinde de toezichthouders de mogelijkheid tot handhaving te geven worden </w:t>
      </w:r>
      <w:r w:rsidRPr="00FD1F8F">
        <w:rPr>
          <w:rFonts w:cs="Arial"/>
          <w:sz w:val="18"/>
          <w:szCs w:val="18"/>
        </w:rPr>
        <w:t xml:space="preserve">aan de bijlagen bij de artikelen 1:79 en 1:80 Wft verwijzingen opgenomen naar </w:t>
      </w:r>
      <w:r w:rsidRPr="00FD1F8F">
        <w:rPr>
          <w:rFonts w:cs="Arial"/>
          <w:sz w:val="18"/>
          <w:szCs w:val="18"/>
        </w:rPr>
        <w:lastRenderedPageBreak/>
        <w:t xml:space="preserve">de nieuwe artikelen </w:t>
      </w:r>
      <w:r>
        <w:rPr>
          <w:rFonts w:cs="Arial"/>
          <w:sz w:val="18"/>
          <w:szCs w:val="18"/>
        </w:rPr>
        <w:t>3:18a.1,</w:t>
      </w:r>
      <w:r w:rsidR="00663479">
        <w:rPr>
          <w:rFonts w:cs="Arial"/>
          <w:sz w:val="18"/>
          <w:szCs w:val="18"/>
        </w:rPr>
        <w:t xml:space="preserve"> 3:43a,</w:t>
      </w:r>
      <w:r>
        <w:rPr>
          <w:rFonts w:cs="Arial"/>
          <w:sz w:val="18"/>
          <w:szCs w:val="18"/>
        </w:rPr>
        <w:t xml:space="preserve"> 3:96a tot en met 3:96d, 3:111a.1, 3:111ba, tweede lid en 3:111bb</w:t>
      </w:r>
      <w:r w:rsidR="00663479">
        <w:rPr>
          <w:rFonts w:cs="Arial"/>
          <w:sz w:val="18"/>
          <w:szCs w:val="18"/>
        </w:rPr>
        <w:t xml:space="preserve"> Wft</w:t>
      </w:r>
      <w:r>
        <w:rPr>
          <w:rFonts w:cs="Arial"/>
          <w:sz w:val="18"/>
          <w:szCs w:val="18"/>
        </w:rPr>
        <w:t>. Tevens worden artikel 2:20 en 3:74a</w:t>
      </w:r>
      <w:r w:rsidR="00663479">
        <w:rPr>
          <w:rFonts w:cs="Arial"/>
          <w:sz w:val="18"/>
          <w:szCs w:val="18"/>
        </w:rPr>
        <w:t xml:space="preserve"> Wft</w:t>
      </w:r>
      <w:r>
        <w:rPr>
          <w:rFonts w:cs="Arial"/>
          <w:sz w:val="18"/>
          <w:szCs w:val="18"/>
        </w:rPr>
        <w:t xml:space="preserve"> aangepast gezien de wijzigingen daarin. Ook wordt 2:13a, eerste lid,</w:t>
      </w:r>
      <w:r w:rsidR="00663479">
        <w:rPr>
          <w:rFonts w:cs="Arial"/>
          <w:sz w:val="18"/>
          <w:szCs w:val="18"/>
        </w:rPr>
        <w:t xml:space="preserve"> Wft</w:t>
      </w:r>
      <w:r>
        <w:rPr>
          <w:rFonts w:cs="Arial"/>
          <w:sz w:val="18"/>
          <w:szCs w:val="18"/>
        </w:rPr>
        <w:t xml:space="preserve"> toegevoegd aan de opsomming nu dit artikel, </w:t>
      </w:r>
      <w:r w:rsidR="00D502AB">
        <w:rPr>
          <w:rFonts w:cs="Arial"/>
          <w:sz w:val="18"/>
          <w:szCs w:val="18"/>
        </w:rPr>
        <w:t>d</w:t>
      </w:r>
      <w:r>
        <w:rPr>
          <w:rFonts w:cs="Arial"/>
          <w:sz w:val="18"/>
          <w:szCs w:val="18"/>
        </w:rPr>
        <w:t>at de implementatie vormt van artikel 8 bis CRD, handhaafbaar moet zijn op grond van artikel 66 CRD.</w:t>
      </w:r>
    </w:p>
    <w:p w:rsidR="00565855" w:rsidP="005C6348" w:rsidRDefault="00565855" w14:paraId="4835C86B" w14:textId="77777777">
      <w:pPr>
        <w:widowControl w:val="0"/>
        <w:tabs>
          <w:tab w:val="num" w:pos="720"/>
        </w:tabs>
        <w:spacing w:line="240" w:lineRule="atLeast"/>
        <w:rPr>
          <w:rFonts w:cs="Arial"/>
          <w:b/>
          <w:bCs/>
          <w:sz w:val="18"/>
          <w:szCs w:val="18"/>
        </w:rPr>
      </w:pPr>
    </w:p>
    <w:p w:rsidR="000A46A5" w:rsidP="005C6348" w:rsidRDefault="000A46A5" w14:paraId="5F364DE5" w14:textId="77777777">
      <w:pPr>
        <w:widowControl w:val="0"/>
        <w:tabs>
          <w:tab w:val="num" w:pos="720"/>
        </w:tabs>
        <w:spacing w:line="240" w:lineRule="atLeast"/>
        <w:rPr>
          <w:rFonts w:cs="Arial"/>
          <w:b/>
          <w:bCs/>
          <w:sz w:val="18"/>
          <w:szCs w:val="18"/>
        </w:rPr>
      </w:pPr>
    </w:p>
    <w:p w:rsidR="00565855" w:rsidP="005C6348" w:rsidRDefault="00565855" w14:paraId="5ECEE5DF" w14:textId="134C0546">
      <w:pPr>
        <w:widowControl w:val="0"/>
        <w:tabs>
          <w:tab w:val="num" w:pos="720"/>
        </w:tabs>
        <w:spacing w:line="240" w:lineRule="atLeast"/>
        <w:rPr>
          <w:rFonts w:cs="Arial"/>
          <w:b/>
          <w:bCs/>
          <w:sz w:val="18"/>
          <w:szCs w:val="18"/>
        </w:rPr>
      </w:pPr>
      <w:r>
        <w:rPr>
          <w:rFonts w:cs="Arial"/>
          <w:b/>
          <w:bCs/>
          <w:sz w:val="18"/>
          <w:szCs w:val="18"/>
        </w:rPr>
        <w:t>Artikel II</w:t>
      </w:r>
      <w:r w:rsidR="007018F3">
        <w:rPr>
          <w:rFonts w:cs="Arial"/>
          <w:b/>
          <w:bCs/>
          <w:sz w:val="18"/>
          <w:szCs w:val="18"/>
        </w:rPr>
        <w:t xml:space="preserve"> (Bankwet 1998)</w:t>
      </w:r>
    </w:p>
    <w:p w:rsidR="00565855" w:rsidP="005C6348" w:rsidRDefault="00565855" w14:paraId="1FC0AD91" w14:textId="77777777">
      <w:pPr>
        <w:widowControl w:val="0"/>
        <w:tabs>
          <w:tab w:val="num" w:pos="720"/>
        </w:tabs>
        <w:spacing w:line="240" w:lineRule="atLeast"/>
        <w:rPr>
          <w:rFonts w:cs="Arial"/>
          <w:b/>
          <w:bCs/>
          <w:sz w:val="18"/>
          <w:szCs w:val="18"/>
        </w:rPr>
      </w:pPr>
    </w:p>
    <w:p w:rsidR="00B1324F" w:rsidP="005C6348" w:rsidRDefault="00B1324F" w14:paraId="318C0AD8" w14:textId="468DA3E1">
      <w:pPr>
        <w:widowControl w:val="0"/>
        <w:tabs>
          <w:tab w:val="num" w:pos="720"/>
        </w:tabs>
        <w:spacing w:line="240" w:lineRule="atLeast"/>
        <w:rPr>
          <w:rFonts w:cs="Arial"/>
          <w:sz w:val="18"/>
          <w:szCs w:val="18"/>
        </w:rPr>
      </w:pPr>
      <w:r>
        <w:rPr>
          <w:rFonts w:cs="Arial"/>
          <w:sz w:val="18"/>
          <w:szCs w:val="18"/>
        </w:rPr>
        <w:t>A</w:t>
      </w:r>
      <w:r w:rsidR="00630CEC">
        <w:rPr>
          <w:rFonts w:cs="Arial"/>
          <w:sz w:val="18"/>
          <w:szCs w:val="18"/>
        </w:rPr>
        <w:t xml:space="preserve"> (artikel 1)</w:t>
      </w:r>
    </w:p>
    <w:p w:rsidR="00B1324F" w:rsidP="005C6348" w:rsidRDefault="00B1324F" w14:paraId="25C4819E" w14:textId="77777777">
      <w:pPr>
        <w:widowControl w:val="0"/>
        <w:tabs>
          <w:tab w:val="num" w:pos="720"/>
        </w:tabs>
        <w:spacing w:line="240" w:lineRule="atLeast"/>
        <w:rPr>
          <w:rFonts w:cs="Arial"/>
          <w:sz w:val="18"/>
          <w:szCs w:val="18"/>
        </w:rPr>
      </w:pPr>
    </w:p>
    <w:p w:rsidR="00B1324F" w:rsidP="005C6348" w:rsidRDefault="00B1324F" w14:paraId="58CC594B" w14:textId="7766E84C">
      <w:pPr>
        <w:widowControl w:val="0"/>
        <w:tabs>
          <w:tab w:val="num" w:pos="720"/>
        </w:tabs>
        <w:spacing w:line="240" w:lineRule="atLeast"/>
        <w:rPr>
          <w:rFonts w:cs="Arial"/>
          <w:sz w:val="18"/>
          <w:szCs w:val="18"/>
        </w:rPr>
      </w:pPr>
      <w:r>
        <w:rPr>
          <w:rFonts w:cs="Arial"/>
          <w:sz w:val="18"/>
          <w:szCs w:val="18"/>
        </w:rPr>
        <w:t>In artikel 1 van de Bankwet 1998 wordt de definitie van de CRD toegevoegd.</w:t>
      </w:r>
    </w:p>
    <w:p w:rsidR="00B1324F" w:rsidP="005C6348" w:rsidRDefault="00B1324F" w14:paraId="62E23B7A" w14:textId="77777777">
      <w:pPr>
        <w:widowControl w:val="0"/>
        <w:tabs>
          <w:tab w:val="num" w:pos="720"/>
        </w:tabs>
        <w:spacing w:line="240" w:lineRule="atLeast"/>
        <w:rPr>
          <w:rFonts w:cs="Arial"/>
          <w:sz w:val="18"/>
          <w:szCs w:val="18"/>
        </w:rPr>
      </w:pPr>
    </w:p>
    <w:p w:rsidR="00B1324F" w:rsidP="005C6348" w:rsidRDefault="00B1324F" w14:paraId="46101BDD" w14:textId="2ADD97D8">
      <w:pPr>
        <w:widowControl w:val="0"/>
        <w:tabs>
          <w:tab w:val="num" w:pos="720"/>
        </w:tabs>
        <w:spacing w:line="240" w:lineRule="atLeast"/>
        <w:rPr>
          <w:rFonts w:cs="Arial"/>
          <w:sz w:val="18"/>
          <w:szCs w:val="18"/>
        </w:rPr>
      </w:pPr>
      <w:r>
        <w:rPr>
          <w:rFonts w:cs="Arial"/>
          <w:sz w:val="18"/>
          <w:szCs w:val="18"/>
        </w:rPr>
        <w:t>B</w:t>
      </w:r>
      <w:r w:rsidR="00630CEC">
        <w:rPr>
          <w:rFonts w:cs="Arial"/>
          <w:sz w:val="18"/>
          <w:szCs w:val="18"/>
        </w:rPr>
        <w:t xml:space="preserve"> (artikel 12)</w:t>
      </w:r>
    </w:p>
    <w:p w:rsidRPr="00B1324F" w:rsidR="00B1324F" w:rsidP="005C6348" w:rsidRDefault="00B1324F" w14:paraId="38C49687" w14:textId="77777777">
      <w:pPr>
        <w:widowControl w:val="0"/>
        <w:tabs>
          <w:tab w:val="num" w:pos="720"/>
        </w:tabs>
        <w:spacing w:line="240" w:lineRule="atLeast"/>
        <w:rPr>
          <w:rFonts w:cs="Arial"/>
          <w:sz w:val="18"/>
          <w:szCs w:val="18"/>
        </w:rPr>
      </w:pPr>
    </w:p>
    <w:p w:rsidR="00B1324F" w:rsidP="005C6348" w:rsidRDefault="00B1324F" w14:paraId="347471BF" w14:textId="6E96E974">
      <w:pPr>
        <w:widowControl w:val="0"/>
        <w:tabs>
          <w:tab w:val="num" w:pos="720"/>
        </w:tabs>
        <w:spacing w:line="240" w:lineRule="atLeast"/>
        <w:rPr>
          <w:rFonts w:cs="Arial"/>
          <w:sz w:val="18"/>
          <w:szCs w:val="18"/>
        </w:rPr>
      </w:pPr>
      <w:r w:rsidRPr="00B1324F">
        <w:rPr>
          <w:rFonts w:cs="Arial"/>
          <w:sz w:val="18"/>
          <w:szCs w:val="18"/>
        </w:rPr>
        <w:t>Met deze wijzigingen van artikel 12 Bankwet 1998 wordt allereerst artikel 4</w:t>
      </w:r>
      <w:r w:rsidR="00D47955">
        <w:rPr>
          <w:rFonts w:cs="Arial"/>
          <w:sz w:val="18"/>
          <w:szCs w:val="18"/>
        </w:rPr>
        <w:t xml:space="preserve"> </w:t>
      </w:r>
      <w:r w:rsidRPr="00B1324F">
        <w:rPr>
          <w:rFonts w:cs="Arial"/>
          <w:sz w:val="18"/>
          <w:szCs w:val="18"/>
        </w:rPr>
        <w:t>bis, tweede lid, tweede alinea</w:t>
      </w:r>
      <w:r w:rsidR="00137C96">
        <w:rPr>
          <w:rFonts w:cs="Arial"/>
          <w:sz w:val="18"/>
          <w:szCs w:val="18"/>
        </w:rPr>
        <w:t>,</w:t>
      </w:r>
      <w:r w:rsidRPr="00B1324F">
        <w:rPr>
          <w:rFonts w:cs="Arial"/>
          <w:sz w:val="18"/>
          <w:szCs w:val="18"/>
        </w:rPr>
        <w:t xml:space="preserve"> CRD geïmplementeerd.</w:t>
      </w:r>
      <w:r w:rsidR="00A82A29">
        <w:rPr>
          <w:rFonts w:cs="Arial"/>
          <w:sz w:val="18"/>
          <w:szCs w:val="18"/>
        </w:rPr>
        <w:t xml:space="preserve"> </w:t>
      </w:r>
      <w:r w:rsidR="00202946">
        <w:rPr>
          <w:rFonts w:cs="Arial"/>
          <w:sz w:val="18"/>
          <w:szCs w:val="18"/>
        </w:rPr>
        <w:t>A</w:t>
      </w:r>
      <w:r w:rsidRPr="00B1324F">
        <w:rPr>
          <w:rFonts w:cs="Arial"/>
          <w:sz w:val="18"/>
          <w:szCs w:val="18"/>
        </w:rPr>
        <w:t>rtikel</w:t>
      </w:r>
      <w:r w:rsidR="00202946">
        <w:rPr>
          <w:rFonts w:cs="Arial"/>
          <w:sz w:val="18"/>
          <w:szCs w:val="18"/>
        </w:rPr>
        <w:t xml:space="preserve"> 4 bis CRD</w:t>
      </w:r>
      <w:r w:rsidRPr="00B1324F">
        <w:rPr>
          <w:rFonts w:cs="Arial"/>
          <w:sz w:val="18"/>
          <w:szCs w:val="18"/>
        </w:rPr>
        <w:t xml:space="preserve"> schrijft voor dat </w:t>
      </w:r>
      <w:r w:rsidR="0006558B">
        <w:rPr>
          <w:rFonts w:cs="Arial"/>
          <w:sz w:val="18"/>
          <w:szCs w:val="18"/>
        </w:rPr>
        <w:t>leden van het bestuursorgaan van de bevoegde autoriteit</w:t>
      </w:r>
      <w:r w:rsidRPr="00B1324F" w:rsidR="0006558B">
        <w:rPr>
          <w:rFonts w:cs="Arial"/>
          <w:sz w:val="18"/>
          <w:szCs w:val="18"/>
        </w:rPr>
        <w:t xml:space="preserve"> </w:t>
      </w:r>
      <w:r w:rsidRPr="00B1324F">
        <w:rPr>
          <w:rFonts w:cs="Arial"/>
          <w:sz w:val="18"/>
          <w:szCs w:val="18"/>
        </w:rPr>
        <w:t xml:space="preserve">benoemd worden op basis van objectieve en transparante criteria die gepubliceerd worden. Ten aanzien van de profielschets, zoals in </w:t>
      </w:r>
      <w:r w:rsidR="00BF7F25">
        <w:rPr>
          <w:rFonts w:cs="Arial"/>
          <w:sz w:val="18"/>
          <w:szCs w:val="18"/>
        </w:rPr>
        <w:t xml:space="preserve">de wijziging bij </w:t>
      </w:r>
      <w:r w:rsidRPr="00B1324F">
        <w:rPr>
          <w:rFonts w:cs="Arial"/>
          <w:sz w:val="18"/>
          <w:szCs w:val="18"/>
        </w:rPr>
        <w:t>artikel 1:27a Wft beschreven</w:t>
      </w:r>
      <w:r w:rsidR="00BF7F25">
        <w:rPr>
          <w:rFonts w:cs="Arial"/>
          <w:sz w:val="18"/>
          <w:szCs w:val="18"/>
        </w:rPr>
        <w:t xml:space="preserve"> </w:t>
      </w:r>
      <w:r w:rsidRPr="00BF7F25" w:rsidR="00BF7F25">
        <w:rPr>
          <w:rFonts w:cs="Arial"/>
          <w:sz w:val="18"/>
          <w:szCs w:val="18"/>
        </w:rPr>
        <w:t>(zie artikel I, onderdeel B)</w:t>
      </w:r>
      <w:r w:rsidRPr="00B1324F">
        <w:rPr>
          <w:rFonts w:cs="Arial"/>
          <w:sz w:val="18"/>
          <w:szCs w:val="18"/>
        </w:rPr>
        <w:t xml:space="preserve">, is het reeds staande praktijk </w:t>
      </w:r>
      <w:r w:rsidR="00AF3FBC">
        <w:rPr>
          <w:rFonts w:cs="Arial"/>
          <w:sz w:val="18"/>
          <w:szCs w:val="18"/>
        </w:rPr>
        <w:t xml:space="preserve">van DNB </w:t>
      </w:r>
      <w:r w:rsidRPr="00B1324F">
        <w:rPr>
          <w:rFonts w:cs="Arial"/>
          <w:sz w:val="18"/>
          <w:szCs w:val="18"/>
        </w:rPr>
        <w:t xml:space="preserve">om deze te publiceren (zie artikel 6, zesde lid, van de Statuten van </w:t>
      </w:r>
      <w:r w:rsidR="001F217E">
        <w:rPr>
          <w:rFonts w:cs="Arial"/>
          <w:sz w:val="18"/>
          <w:szCs w:val="18"/>
        </w:rPr>
        <w:t>DNB</w:t>
      </w:r>
      <w:r w:rsidRPr="00B1324F">
        <w:rPr>
          <w:rFonts w:cs="Arial"/>
          <w:sz w:val="18"/>
          <w:szCs w:val="18"/>
        </w:rPr>
        <w:t xml:space="preserve">). De profielschets geldt voor de gehele directie en er wordt vooral aandacht geschonken aan het opleidings- en kennisniveau en ervaring, waarna de functieprofielen een uittreksel zijn van de profielschets voor specifieke, individuele directieposities. Ter verduidelijking wordt nu in artikel 12 Bankwet 1998 opgenomen dat het functieprofiel, dat specifiek de eisen voor een functie omvat, </w:t>
      </w:r>
      <w:r w:rsidR="00AF3FBC">
        <w:rPr>
          <w:rFonts w:cs="Arial"/>
          <w:sz w:val="18"/>
          <w:szCs w:val="18"/>
        </w:rPr>
        <w:t xml:space="preserve">voor de directeuren als bedoeld in artikel 12a Bankwet 1998 </w:t>
      </w:r>
      <w:r w:rsidRPr="00B1324F">
        <w:rPr>
          <w:rFonts w:cs="Arial"/>
          <w:sz w:val="18"/>
          <w:szCs w:val="18"/>
        </w:rPr>
        <w:t xml:space="preserve">gebaseerd moet zijn op objectieve en transparante criteria en ook </w:t>
      </w:r>
      <w:r w:rsidR="007954F5">
        <w:rPr>
          <w:rFonts w:cs="Arial"/>
          <w:sz w:val="18"/>
          <w:szCs w:val="18"/>
        </w:rPr>
        <w:t xml:space="preserve">door DNB </w:t>
      </w:r>
      <w:r w:rsidRPr="00B1324F">
        <w:rPr>
          <w:rFonts w:cs="Arial"/>
          <w:sz w:val="18"/>
          <w:szCs w:val="18"/>
        </w:rPr>
        <w:t>gepubliceerd moet worden.</w:t>
      </w:r>
    </w:p>
    <w:p w:rsidRPr="00B1324F" w:rsidR="00B1324F" w:rsidP="005C6348" w:rsidRDefault="00B1324F" w14:paraId="7DD85E8E" w14:textId="77777777">
      <w:pPr>
        <w:widowControl w:val="0"/>
        <w:tabs>
          <w:tab w:val="num" w:pos="720"/>
        </w:tabs>
        <w:spacing w:line="240" w:lineRule="atLeast"/>
        <w:rPr>
          <w:rFonts w:cs="Arial"/>
          <w:sz w:val="18"/>
          <w:szCs w:val="18"/>
        </w:rPr>
      </w:pPr>
    </w:p>
    <w:p w:rsidR="00B1324F" w:rsidP="005C6348" w:rsidRDefault="00B1324F" w14:paraId="723C7A89" w14:textId="26B1B335">
      <w:pPr>
        <w:widowControl w:val="0"/>
        <w:tabs>
          <w:tab w:val="num" w:pos="720"/>
        </w:tabs>
        <w:spacing w:line="240" w:lineRule="atLeast"/>
        <w:rPr>
          <w:rFonts w:cs="Arial"/>
          <w:sz w:val="18"/>
          <w:szCs w:val="18"/>
        </w:rPr>
      </w:pPr>
      <w:r w:rsidRPr="00B1324F">
        <w:rPr>
          <w:rFonts w:cs="Arial"/>
          <w:sz w:val="18"/>
          <w:szCs w:val="18"/>
        </w:rPr>
        <w:t xml:space="preserve">Artikel 4 bis, tweede lid, tweede alinea, CRD geeft voorts aan dat leden ontslagen kunnen worden als ze niet meer aan de benoemingscriteria voldoen. </w:t>
      </w:r>
      <w:r w:rsidR="002835A6">
        <w:rPr>
          <w:rFonts w:cs="Arial"/>
          <w:sz w:val="18"/>
          <w:szCs w:val="18"/>
        </w:rPr>
        <w:t>A</w:t>
      </w:r>
      <w:r w:rsidRPr="00B1324F">
        <w:rPr>
          <w:rFonts w:cs="Arial"/>
          <w:sz w:val="18"/>
          <w:szCs w:val="18"/>
        </w:rPr>
        <w:t>rtikel 12, vierde lid, Bankwet 1998 geeft hier reeds uitvoering aan</w:t>
      </w:r>
      <w:r w:rsidR="002835A6">
        <w:rPr>
          <w:rFonts w:cs="Arial"/>
          <w:sz w:val="18"/>
          <w:szCs w:val="18"/>
        </w:rPr>
        <w:t>,</w:t>
      </w:r>
      <w:r w:rsidRPr="00B1324F">
        <w:rPr>
          <w:rFonts w:cs="Arial"/>
          <w:sz w:val="18"/>
          <w:szCs w:val="18"/>
        </w:rPr>
        <w:t xml:space="preserve"> door de bewoording in artikel 14.2 van de statuten van de </w:t>
      </w:r>
      <w:r w:rsidR="000D2494">
        <w:rPr>
          <w:rFonts w:cs="Arial"/>
          <w:sz w:val="18"/>
          <w:szCs w:val="18"/>
        </w:rPr>
        <w:t>ECB</w:t>
      </w:r>
      <w:r w:rsidRPr="00B1324F">
        <w:rPr>
          <w:rFonts w:cs="Arial"/>
          <w:sz w:val="18"/>
          <w:szCs w:val="18"/>
        </w:rPr>
        <w:t xml:space="preserve"> (“de eisen voor de uitoefening van hun functie”) te gebruiken.</w:t>
      </w:r>
    </w:p>
    <w:p w:rsidRPr="00B1324F" w:rsidR="00B1324F" w:rsidP="005C6348" w:rsidRDefault="00B1324F" w14:paraId="3B3A1283" w14:textId="77777777">
      <w:pPr>
        <w:widowControl w:val="0"/>
        <w:tabs>
          <w:tab w:val="num" w:pos="720"/>
        </w:tabs>
        <w:spacing w:line="240" w:lineRule="atLeast"/>
        <w:rPr>
          <w:rFonts w:cs="Arial"/>
          <w:sz w:val="18"/>
          <w:szCs w:val="18"/>
        </w:rPr>
      </w:pPr>
    </w:p>
    <w:p w:rsidR="00565855" w:rsidP="005C6348" w:rsidRDefault="00B1324F" w14:paraId="3C21086A" w14:textId="6A175BE8">
      <w:pPr>
        <w:widowControl w:val="0"/>
        <w:tabs>
          <w:tab w:val="num" w:pos="720"/>
        </w:tabs>
        <w:spacing w:line="240" w:lineRule="atLeast"/>
        <w:rPr>
          <w:rFonts w:cs="Arial"/>
          <w:sz w:val="18"/>
          <w:szCs w:val="18"/>
        </w:rPr>
      </w:pPr>
      <w:r w:rsidRPr="00B1324F">
        <w:rPr>
          <w:rFonts w:cs="Arial"/>
          <w:sz w:val="18"/>
          <w:szCs w:val="18"/>
        </w:rPr>
        <w:t xml:space="preserve">Bovendien volgt uit artikel 4 bis, tweede lid, tweede alinea, CRD dat </w:t>
      </w:r>
      <w:r w:rsidR="00AF3FBC">
        <w:rPr>
          <w:rFonts w:cs="Arial"/>
          <w:sz w:val="18"/>
          <w:szCs w:val="18"/>
        </w:rPr>
        <w:t xml:space="preserve">voor de in artikel 12a bedoelde directeuren </w:t>
      </w:r>
      <w:r w:rsidRPr="00B1324F">
        <w:rPr>
          <w:rFonts w:cs="Arial"/>
          <w:sz w:val="18"/>
          <w:szCs w:val="18"/>
        </w:rPr>
        <w:t xml:space="preserve">de redenen voor ontslag gepubliceerd dienen te worden. Uit de memorie van toelichting bij de Bankwet 1998 blijkt dat ontheffing uit de functie hetzelfde betekent als de term ontslag uit artikel 4 bis CRD. Ontslag </w:t>
      </w:r>
      <w:r w:rsidR="00630CEC">
        <w:rPr>
          <w:rFonts w:cs="Arial"/>
          <w:sz w:val="18"/>
          <w:szCs w:val="18"/>
        </w:rPr>
        <w:t>geschiedt bij</w:t>
      </w:r>
      <w:r w:rsidRPr="00B1324F">
        <w:rPr>
          <w:rFonts w:cs="Arial"/>
          <w:sz w:val="18"/>
          <w:szCs w:val="18"/>
        </w:rPr>
        <w:t xml:space="preserve"> koninklijk besluit</w:t>
      </w:r>
      <w:r w:rsidR="00630CEC">
        <w:rPr>
          <w:rFonts w:cs="Arial"/>
          <w:sz w:val="18"/>
          <w:szCs w:val="18"/>
        </w:rPr>
        <w:t>, waarvan een mededeling gepubliceerd wordt in de Staatscourant</w:t>
      </w:r>
      <w:r w:rsidRPr="00B1324F">
        <w:rPr>
          <w:rFonts w:cs="Arial"/>
          <w:sz w:val="18"/>
          <w:szCs w:val="18"/>
        </w:rPr>
        <w:t>. Met de toevoeging in artikel 12, vijfde lid, van de Bankwet 1998 wordt wettelijk verankerd dat de redenen voor ontslag ook gepubliceerd dienen te worden.</w:t>
      </w:r>
      <w:r>
        <w:rPr>
          <w:rFonts w:cs="Arial"/>
          <w:sz w:val="18"/>
          <w:szCs w:val="18"/>
        </w:rPr>
        <w:t xml:space="preserve"> De enige uitzondering daarop is als de betrokkene zich daartegen verzet, waarna publicatie niet zal volgen.</w:t>
      </w:r>
    </w:p>
    <w:p w:rsidR="00004A1C" w:rsidP="005C6348" w:rsidRDefault="00004A1C" w14:paraId="43D5A27C" w14:textId="77777777">
      <w:pPr>
        <w:widowControl w:val="0"/>
        <w:tabs>
          <w:tab w:val="num" w:pos="720"/>
        </w:tabs>
        <w:spacing w:line="240" w:lineRule="atLeast"/>
        <w:rPr>
          <w:rFonts w:cs="Arial"/>
          <w:sz w:val="18"/>
          <w:szCs w:val="18"/>
        </w:rPr>
      </w:pPr>
    </w:p>
    <w:p w:rsidR="00004A1C" w:rsidP="005C6348" w:rsidRDefault="00004A1C" w14:paraId="4F515827" w14:textId="6DBE2B64">
      <w:pPr>
        <w:widowControl w:val="0"/>
        <w:tabs>
          <w:tab w:val="num" w:pos="720"/>
        </w:tabs>
        <w:spacing w:line="240" w:lineRule="atLeast"/>
        <w:rPr>
          <w:rFonts w:cs="Arial"/>
          <w:sz w:val="18"/>
          <w:szCs w:val="18"/>
        </w:rPr>
      </w:pPr>
      <w:r w:rsidRPr="00004A1C">
        <w:rPr>
          <w:rFonts w:cs="Arial"/>
          <w:sz w:val="18"/>
          <w:szCs w:val="18"/>
        </w:rPr>
        <w:t>Artikel 4 bis, tweede lid, vierde alinea, CRD schrijft voor dat artikel 4 bis, tweede lid, CRD met betrekking tot de onafhankelijkheid van DNB als toezichthouder geldt “</w:t>
      </w:r>
      <w:r w:rsidRPr="00385727">
        <w:rPr>
          <w:rFonts w:cs="Arial"/>
          <w:i/>
          <w:iCs/>
          <w:sz w:val="18"/>
          <w:szCs w:val="18"/>
        </w:rPr>
        <w:t>onverminderd de rechten en verplichtingen van de bevoegde autoriteiten die voortvloeien uit het feit dat zij deel uitmaken van internationale of Europese systemen voor financieel toezicht</w:t>
      </w:r>
      <w:r w:rsidRPr="00004A1C">
        <w:rPr>
          <w:rFonts w:cs="Arial"/>
          <w:sz w:val="18"/>
          <w:szCs w:val="18"/>
        </w:rPr>
        <w:t xml:space="preserve">” en noemt hierbij specifiek de </w:t>
      </w:r>
      <w:r w:rsidRPr="00004A1C">
        <w:rPr>
          <w:rFonts w:cs="Arial"/>
          <w:sz w:val="18"/>
          <w:szCs w:val="18"/>
        </w:rPr>
        <w:lastRenderedPageBreak/>
        <w:t>verordening bankentoezicht, de kaderverordening gemeenschappelijk toezichtmechanisme</w:t>
      </w:r>
      <w:r>
        <w:rPr>
          <w:rStyle w:val="Voetnootmarkering"/>
          <w:rFonts w:cs="Arial"/>
          <w:sz w:val="18"/>
          <w:szCs w:val="18"/>
        </w:rPr>
        <w:footnoteReference w:id="88"/>
      </w:r>
      <w:r>
        <w:rPr>
          <w:rFonts w:cs="Arial"/>
          <w:sz w:val="18"/>
          <w:szCs w:val="18"/>
        </w:rPr>
        <w:t xml:space="preserve"> </w:t>
      </w:r>
      <w:r w:rsidRPr="00004A1C">
        <w:rPr>
          <w:rFonts w:cs="Arial"/>
          <w:sz w:val="18"/>
          <w:szCs w:val="18"/>
        </w:rPr>
        <w:t>en de verordening gemeenschappelijk afwikkelingsmechanisme.</w:t>
      </w:r>
      <w:r>
        <w:rPr>
          <w:rStyle w:val="Voetnootmarkering"/>
          <w:rFonts w:cs="Arial"/>
          <w:sz w:val="18"/>
          <w:szCs w:val="18"/>
        </w:rPr>
        <w:footnoteReference w:id="89"/>
      </w:r>
      <w:r w:rsidRPr="00004A1C">
        <w:rPr>
          <w:rFonts w:cs="Arial"/>
          <w:sz w:val="18"/>
          <w:szCs w:val="18"/>
        </w:rPr>
        <w:t xml:space="preserve"> Dit betekent in de praktijk dat de door DNB op te stellen interne richtlijnen niet mogen afdoen aan het ethische </w:t>
      </w:r>
      <w:r w:rsidR="00385727">
        <w:rPr>
          <w:rFonts w:cs="Arial"/>
          <w:sz w:val="18"/>
          <w:szCs w:val="18"/>
        </w:rPr>
        <w:t>kader</w:t>
      </w:r>
      <w:r w:rsidR="00385727">
        <w:rPr>
          <w:rStyle w:val="Voetnootmarkering"/>
          <w:rFonts w:cs="Arial"/>
          <w:sz w:val="18"/>
          <w:szCs w:val="18"/>
        </w:rPr>
        <w:footnoteReference w:id="90"/>
      </w:r>
      <w:r w:rsidRPr="00004A1C">
        <w:rPr>
          <w:rFonts w:cs="Arial"/>
          <w:sz w:val="18"/>
          <w:szCs w:val="18"/>
        </w:rPr>
        <w:t xml:space="preserve"> dat de ECB heeft vastgesteld om de onafhankelijkheid van de bevoegde autoriteiten te waarborgen. De </w:t>
      </w:r>
      <w:r w:rsidR="00F77A43">
        <w:rPr>
          <w:rFonts w:cs="Arial"/>
          <w:sz w:val="18"/>
          <w:szCs w:val="18"/>
        </w:rPr>
        <w:t>G</w:t>
      </w:r>
      <w:r w:rsidRPr="00004A1C">
        <w:rPr>
          <w:rFonts w:cs="Arial"/>
          <w:sz w:val="18"/>
          <w:szCs w:val="18"/>
        </w:rPr>
        <w:t>edragscode voor hoge ambtenaren van de ECB,</w:t>
      </w:r>
      <w:r w:rsidR="00F77A43">
        <w:rPr>
          <w:rStyle w:val="Voetnootmarkering"/>
          <w:rFonts w:cs="Arial"/>
          <w:sz w:val="18"/>
          <w:szCs w:val="18"/>
        </w:rPr>
        <w:footnoteReference w:id="91"/>
      </w:r>
      <w:r w:rsidRPr="00004A1C">
        <w:rPr>
          <w:rFonts w:cs="Arial"/>
          <w:sz w:val="18"/>
          <w:szCs w:val="18"/>
        </w:rPr>
        <w:t xml:space="preserve"> die van toepassing is op directieleden van DNB die tevens lid zijn van de Governing Council of Supervisory Board van de ECB en op hun plaatsvervangers, maakt onderdeel uit van dat ethische </w:t>
      </w:r>
      <w:r w:rsidR="004636D4">
        <w:rPr>
          <w:rFonts w:cs="Arial"/>
          <w:sz w:val="18"/>
          <w:szCs w:val="18"/>
        </w:rPr>
        <w:t>kader</w:t>
      </w:r>
      <w:r w:rsidR="00F77A43">
        <w:rPr>
          <w:rFonts w:cs="Arial"/>
          <w:sz w:val="18"/>
          <w:szCs w:val="18"/>
        </w:rPr>
        <w:t>.</w:t>
      </w:r>
    </w:p>
    <w:p w:rsidR="00B1324F" w:rsidP="005C6348" w:rsidRDefault="00B1324F" w14:paraId="6B613720" w14:textId="77777777">
      <w:pPr>
        <w:widowControl w:val="0"/>
        <w:tabs>
          <w:tab w:val="num" w:pos="720"/>
        </w:tabs>
        <w:spacing w:line="240" w:lineRule="atLeast"/>
        <w:rPr>
          <w:rFonts w:cs="Arial"/>
          <w:sz w:val="18"/>
          <w:szCs w:val="18"/>
        </w:rPr>
      </w:pPr>
    </w:p>
    <w:p w:rsidR="00B1324F" w:rsidP="005C6348" w:rsidRDefault="00B1324F" w14:paraId="327B075A" w14:textId="6679C34C">
      <w:pPr>
        <w:widowControl w:val="0"/>
        <w:tabs>
          <w:tab w:val="num" w:pos="720"/>
        </w:tabs>
        <w:spacing w:line="240" w:lineRule="atLeast"/>
        <w:rPr>
          <w:rFonts w:cs="Arial"/>
          <w:sz w:val="18"/>
          <w:szCs w:val="18"/>
        </w:rPr>
      </w:pPr>
      <w:r>
        <w:rPr>
          <w:rFonts w:cs="Arial"/>
          <w:sz w:val="18"/>
          <w:szCs w:val="18"/>
        </w:rPr>
        <w:t>C</w:t>
      </w:r>
      <w:r w:rsidR="00630CEC">
        <w:rPr>
          <w:rFonts w:cs="Arial"/>
          <w:sz w:val="18"/>
          <w:szCs w:val="18"/>
        </w:rPr>
        <w:t xml:space="preserve"> (artikel 12d)</w:t>
      </w:r>
    </w:p>
    <w:p w:rsidR="00B1324F" w:rsidP="005C6348" w:rsidRDefault="00B1324F" w14:paraId="557D6A99" w14:textId="77777777">
      <w:pPr>
        <w:widowControl w:val="0"/>
        <w:tabs>
          <w:tab w:val="num" w:pos="720"/>
        </w:tabs>
        <w:spacing w:line="240" w:lineRule="atLeast"/>
        <w:rPr>
          <w:rFonts w:cs="Arial"/>
          <w:sz w:val="18"/>
          <w:szCs w:val="18"/>
        </w:rPr>
      </w:pPr>
    </w:p>
    <w:p w:rsidRPr="00B1324F" w:rsidR="00B1324F" w:rsidP="005C6348" w:rsidRDefault="00B1324F" w14:paraId="4EB6CDAA" w14:textId="1FF9F3D7">
      <w:pPr>
        <w:widowControl w:val="0"/>
        <w:tabs>
          <w:tab w:val="num" w:pos="720"/>
        </w:tabs>
        <w:spacing w:line="240" w:lineRule="atLeast"/>
        <w:rPr>
          <w:rFonts w:cs="Arial"/>
          <w:sz w:val="18"/>
          <w:szCs w:val="18"/>
        </w:rPr>
      </w:pPr>
      <w:r w:rsidRPr="00B1324F">
        <w:rPr>
          <w:rFonts w:cs="Arial"/>
          <w:sz w:val="18"/>
          <w:szCs w:val="18"/>
        </w:rPr>
        <w:t>Allereerst wordt met dit nieuwe artikel 12d Bankwet 1998, artikel 4</w:t>
      </w:r>
      <w:r w:rsidR="00D47955">
        <w:rPr>
          <w:rFonts w:cs="Arial"/>
          <w:sz w:val="18"/>
          <w:szCs w:val="18"/>
        </w:rPr>
        <w:t xml:space="preserve"> </w:t>
      </w:r>
      <w:r w:rsidRPr="00B1324F">
        <w:rPr>
          <w:rFonts w:cs="Arial"/>
          <w:sz w:val="18"/>
          <w:szCs w:val="18"/>
        </w:rPr>
        <w:t>bis, derde lid</w:t>
      </w:r>
      <w:r w:rsidR="00F72F62">
        <w:rPr>
          <w:rFonts w:cs="Arial"/>
          <w:sz w:val="18"/>
          <w:szCs w:val="18"/>
        </w:rPr>
        <w:t>,</w:t>
      </w:r>
      <w:r w:rsidRPr="00B1324F">
        <w:rPr>
          <w:rFonts w:cs="Arial"/>
          <w:sz w:val="18"/>
          <w:szCs w:val="18"/>
        </w:rPr>
        <w:t xml:space="preserve"> </w:t>
      </w:r>
      <w:r w:rsidR="00F72F62">
        <w:rPr>
          <w:rFonts w:cs="Arial"/>
          <w:sz w:val="18"/>
          <w:szCs w:val="18"/>
        </w:rPr>
        <w:t xml:space="preserve">onderdeel a, </w:t>
      </w:r>
      <w:r w:rsidRPr="00B1324F">
        <w:rPr>
          <w:rFonts w:cs="Arial"/>
          <w:sz w:val="18"/>
          <w:szCs w:val="18"/>
        </w:rPr>
        <w:t>CRD geïmplementeerd. In dit artikel staat dat personeelsleden en leden van h</w:t>
      </w:r>
      <w:r w:rsidR="00F72F62">
        <w:rPr>
          <w:rFonts w:cs="Arial"/>
          <w:sz w:val="18"/>
          <w:szCs w:val="18"/>
        </w:rPr>
        <w:t>et</w:t>
      </w:r>
      <w:r w:rsidRPr="00B1324F">
        <w:rPr>
          <w:rFonts w:cs="Arial"/>
          <w:sz w:val="18"/>
          <w:szCs w:val="18"/>
        </w:rPr>
        <w:t xml:space="preserve"> bestuursorgaan </w:t>
      </w:r>
      <w:r w:rsidR="00F72F62">
        <w:rPr>
          <w:rFonts w:cs="Arial"/>
          <w:sz w:val="18"/>
          <w:szCs w:val="18"/>
        </w:rPr>
        <w:t xml:space="preserve">van de </w:t>
      </w:r>
      <w:r w:rsidR="0006558B">
        <w:rPr>
          <w:rFonts w:cs="Arial"/>
          <w:sz w:val="18"/>
          <w:szCs w:val="18"/>
        </w:rPr>
        <w:t xml:space="preserve">bevoegde autoriteit </w:t>
      </w:r>
      <w:r w:rsidR="00F72F62">
        <w:rPr>
          <w:rFonts w:cs="Arial"/>
          <w:sz w:val="18"/>
          <w:szCs w:val="18"/>
        </w:rPr>
        <w:t>(in casu</w:t>
      </w:r>
      <w:r w:rsidR="002835A6">
        <w:rPr>
          <w:rFonts w:cs="Arial"/>
          <w:sz w:val="18"/>
          <w:szCs w:val="18"/>
        </w:rPr>
        <w:t>:</w:t>
      </w:r>
      <w:r w:rsidR="00F72F62">
        <w:rPr>
          <w:rFonts w:cs="Arial"/>
          <w:sz w:val="18"/>
          <w:szCs w:val="18"/>
        </w:rPr>
        <w:t xml:space="preserve"> DNB</w:t>
      </w:r>
      <w:r w:rsidR="00AF3FBC">
        <w:rPr>
          <w:rFonts w:cs="Arial"/>
          <w:sz w:val="18"/>
          <w:szCs w:val="18"/>
        </w:rPr>
        <w:t xml:space="preserve"> in haar hoedanigheid als bevoegde autoriteit</w:t>
      </w:r>
      <w:r w:rsidR="00F72F62">
        <w:rPr>
          <w:rFonts w:cs="Arial"/>
          <w:sz w:val="18"/>
          <w:szCs w:val="18"/>
        </w:rPr>
        <w:t xml:space="preserve">) </w:t>
      </w:r>
      <w:r w:rsidRPr="00B1324F">
        <w:rPr>
          <w:rFonts w:cs="Arial"/>
          <w:sz w:val="18"/>
          <w:szCs w:val="18"/>
        </w:rPr>
        <w:t>geen handel mogen drijven in financiële instrumenten die uitgegeven zijn door of refereren aan direct</w:t>
      </w:r>
      <w:r w:rsidR="00630CEC">
        <w:rPr>
          <w:rFonts w:cs="Arial"/>
          <w:sz w:val="18"/>
          <w:szCs w:val="18"/>
        </w:rPr>
        <w:t>e</w:t>
      </w:r>
      <w:r w:rsidRPr="00B1324F">
        <w:rPr>
          <w:rFonts w:cs="Arial"/>
          <w:sz w:val="18"/>
          <w:szCs w:val="18"/>
        </w:rPr>
        <w:t xml:space="preserve"> of indirecte moeder</w:t>
      </w:r>
      <w:r w:rsidR="00F72F62">
        <w:rPr>
          <w:rFonts w:cs="Arial"/>
          <w:sz w:val="18"/>
          <w:szCs w:val="18"/>
        </w:rPr>
        <w:t>-</w:t>
      </w:r>
      <w:r w:rsidRPr="00B1324F">
        <w:rPr>
          <w:rFonts w:cs="Arial"/>
          <w:sz w:val="18"/>
          <w:szCs w:val="18"/>
        </w:rPr>
        <w:t xml:space="preserve"> of dochterondernemingen of </w:t>
      </w:r>
      <w:r w:rsidR="00630CEC">
        <w:rPr>
          <w:rFonts w:cs="Arial"/>
          <w:sz w:val="18"/>
          <w:szCs w:val="18"/>
        </w:rPr>
        <w:t xml:space="preserve">aan </w:t>
      </w:r>
      <w:r w:rsidRPr="00B1324F">
        <w:rPr>
          <w:rFonts w:cs="Arial"/>
          <w:sz w:val="18"/>
          <w:szCs w:val="18"/>
        </w:rPr>
        <w:t>gelieerde ondernemingen van banken</w:t>
      </w:r>
      <w:r w:rsidR="007A3F59">
        <w:rPr>
          <w:rFonts w:cs="Arial"/>
          <w:sz w:val="18"/>
          <w:szCs w:val="18"/>
        </w:rPr>
        <w:t xml:space="preserve"> of beleggingsondernemingen</w:t>
      </w:r>
      <w:r w:rsidRPr="00B1324F">
        <w:rPr>
          <w:rFonts w:cs="Arial"/>
          <w:sz w:val="18"/>
          <w:szCs w:val="18"/>
        </w:rPr>
        <w:t xml:space="preserve">. Daarnaast </w:t>
      </w:r>
      <w:r w:rsidR="00630CEC">
        <w:rPr>
          <w:rFonts w:cs="Arial"/>
          <w:sz w:val="18"/>
          <w:szCs w:val="18"/>
        </w:rPr>
        <w:t>schrijft</w:t>
      </w:r>
      <w:r w:rsidRPr="00B1324F">
        <w:rPr>
          <w:rFonts w:cs="Arial"/>
          <w:sz w:val="18"/>
          <w:szCs w:val="18"/>
        </w:rPr>
        <w:t xml:space="preserve"> artikel 4 bis, zevende en achtste lid, CRD voor dat personeelsleden en leden van het bestuursorgaan</w:t>
      </w:r>
      <w:r w:rsidR="00AF3FBC">
        <w:rPr>
          <w:rFonts w:cs="Arial"/>
          <w:sz w:val="18"/>
          <w:szCs w:val="18"/>
        </w:rPr>
        <w:t xml:space="preserve"> van de bevoegde autoriteit</w:t>
      </w:r>
      <w:r w:rsidRPr="00B1324F">
        <w:rPr>
          <w:rFonts w:cs="Arial"/>
          <w:sz w:val="18"/>
          <w:szCs w:val="18"/>
        </w:rPr>
        <w:t xml:space="preserve"> een belangenverklaring moeten afleggen en de verplichting om binnen een bepaalde termijn financiële instrumenten die aanleiding kunnen geven tot een belangenconflict te verkopen of af te stoten. Door middel van een verwijzing naar deze artikelleden van de CRD wordt bewerkstelligd dat </w:t>
      </w:r>
      <w:r w:rsidR="002835A6">
        <w:rPr>
          <w:rFonts w:cs="Arial"/>
          <w:sz w:val="18"/>
          <w:szCs w:val="18"/>
        </w:rPr>
        <w:t>DNB</w:t>
      </w:r>
      <w:r w:rsidRPr="00B1324F">
        <w:rPr>
          <w:rFonts w:cs="Arial"/>
          <w:sz w:val="18"/>
          <w:szCs w:val="18"/>
        </w:rPr>
        <w:t xml:space="preserve"> over deze onderwerpen interne richtlijnen vaststelt, zoals</w:t>
      </w:r>
      <w:r w:rsidR="007954F5">
        <w:rPr>
          <w:rFonts w:cs="Arial"/>
          <w:sz w:val="18"/>
          <w:szCs w:val="18"/>
        </w:rPr>
        <w:t xml:space="preserve"> bijvoorbeeld</w:t>
      </w:r>
      <w:r w:rsidRPr="00B1324F">
        <w:rPr>
          <w:rFonts w:cs="Arial"/>
          <w:sz w:val="18"/>
          <w:szCs w:val="18"/>
        </w:rPr>
        <w:t xml:space="preserve"> in de Regeling privébeleggingstransacties DNB uit 2023.</w:t>
      </w:r>
      <w:r w:rsidR="00F72F62">
        <w:rPr>
          <w:rStyle w:val="Voetnootmarkering"/>
          <w:rFonts w:cs="Arial"/>
          <w:sz w:val="18"/>
          <w:szCs w:val="18"/>
        </w:rPr>
        <w:footnoteReference w:id="92"/>
      </w:r>
      <w:r w:rsidRPr="00B1324F">
        <w:rPr>
          <w:rFonts w:cs="Arial"/>
          <w:sz w:val="18"/>
          <w:szCs w:val="18"/>
        </w:rPr>
        <w:t xml:space="preserve"> </w:t>
      </w:r>
    </w:p>
    <w:p w:rsidR="00B1324F" w:rsidP="005C6348" w:rsidRDefault="00B1324F" w14:paraId="7E8585FA" w14:textId="77777777">
      <w:pPr>
        <w:widowControl w:val="0"/>
        <w:tabs>
          <w:tab w:val="num" w:pos="720"/>
        </w:tabs>
        <w:spacing w:line="240" w:lineRule="atLeast"/>
        <w:rPr>
          <w:rFonts w:cs="Arial"/>
          <w:sz w:val="18"/>
          <w:szCs w:val="18"/>
        </w:rPr>
      </w:pPr>
    </w:p>
    <w:p w:rsidRPr="00B1324F" w:rsidR="00B1324F" w:rsidP="005C6348" w:rsidRDefault="00B1324F" w14:paraId="55FCD477" w14:textId="716CCE41">
      <w:pPr>
        <w:widowControl w:val="0"/>
        <w:tabs>
          <w:tab w:val="num" w:pos="720"/>
        </w:tabs>
        <w:spacing w:line="240" w:lineRule="atLeast"/>
        <w:rPr>
          <w:rFonts w:cs="Arial"/>
          <w:sz w:val="18"/>
          <w:szCs w:val="18"/>
        </w:rPr>
      </w:pPr>
      <w:r w:rsidRPr="00B1324F">
        <w:rPr>
          <w:rFonts w:cs="Arial"/>
          <w:sz w:val="18"/>
          <w:szCs w:val="18"/>
        </w:rPr>
        <w:t xml:space="preserve">Ten tweede wordt in artikel 12d Bankwet 1998 een afkoelingsperiode voorgeschreven (zie artikel </w:t>
      </w:r>
      <w:r w:rsidR="00160E2A">
        <w:rPr>
          <w:rFonts w:cs="Arial"/>
          <w:sz w:val="18"/>
          <w:szCs w:val="18"/>
        </w:rPr>
        <w:t>4</w:t>
      </w:r>
      <w:r w:rsidR="00D47955">
        <w:rPr>
          <w:rFonts w:cs="Arial"/>
          <w:sz w:val="18"/>
          <w:szCs w:val="18"/>
        </w:rPr>
        <w:t xml:space="preserve"> bis</w:t>
      </w:r>
      <w:r w:rsidRPr="00B1324F">
        <w:rPr>
          <w:rFonts w:cs="Arial"/>
          <w:sz w:val="18"/>
          <w:szCs w:val="18"/>
        </w:rPr>
        <w:t>, derde lid, onder</w:t>
      </w:r>
      <w:r w:rsidR="00F72F62">
        <w:rPr>
          <w:rFonts w:cs="Arial"/>
          <w:sz w:val="18"/>
          <w:szCs w:val="18"/>
        </w:rPr>
        <w:t>deel</w:t>
      </w:r>
      <w:r w:rsidRPr="00B1324F">
        <w:rPr>
          <w:rFonts w:cs="Arial"/>
          <w:sz w:val="18"/>
          <w:szCs w:val="18"/>
        </w:rPr>
        <w:t xml:space="preserve"> b, CRD) in geval personeelsleden of directeuren </w:t>
      </w:r>
      <w:r w:rsidR="00AF3FBC">
        <w:rPr>
          <w:rFonts w:cs="Arial"/>
          <w:sz w:val="18"/>
          <w:szCs w:val="18"/>
        </w:rPr>
        <w:t xml:space="preserve">als bedoeld in artikel 12a Bankwet 1998 </w:t>
      </w:r>
      <w:r w:rsidRPr="00B1324F">
        <w:rPr>
          <w:rFonts w:cs="Arial"/>
          <w:sz w:val="18"/>
          <w:szCs w:val="18"/>
        </w:rPr>
        <w:t xml:space="preserve">diensten willen gaan verrichten of in dienst willen treden bij </w:t>
      </w:r>
      <w:r w:rsidR="00160E2A">
        <w:rPr>
          <w:rFonts w:cs="Arial"/>
          <w:sz w:val="18"/>
          <w:szCs w:val="18"/>
        </w:rPr>
        <w:t xml:space="preserve">(i) </w:t>
      </w:r>
      <w:r w:rsidRPr="00B1324F">
        <w:rPr>
          <w:rFonts w:cs="Arial"/>
          <w:sz w:val="18"/>
          <w:szCs w:val="18"/>
        </w:rPr>
        <w:t xml:space="preserve">een instelling </w:t>
      </w:r>
      <w:r w:rsidR="00160E2A">
        <w:rPr>
          <w:rFonts w:cs="Arial"/>
          <w:sz w:val="18"/>
          <w:szCs w:val="18"/>
        </w:rPr>
        <w:t xml:space="preserve">waar zij rechtstreeks gelieerd zijn geweest aan het toezicht op die instelling, bij (ii) entiteiten die diensten verlenen aan zulke instellingen, of bij (iii) entiteiten die lobby- en </w:t>
      </w:r>
      <w:r w:rsidRPr="00B1324F">
        <w:rPr>
          <w:rFonts w:cs="Arial"/>
          <w:sz w:val="18"/>
          <w:szCs w:val="18"/>
        </w:rPr>
        <w:t>belangenbehartigingsactiviteiten verrichten (zie art</w:t>
      </w:r>
      <w:r w:rsidR="00AF3FBC">
        <w:rPr>
          <w:rFonts w:cs="Arial"/>
          <w:sz w:val="18"/>
          <w:szCs w:val="18"/>
        </w:rPr>
        <w:t>ikel</w:t>
      </w:r>
      <w:r w:rsidRPr="00B1324F">
        <w:rPr>
          <w:rFonts w:cs="Arial"/>
          <w:sz w:val="18"/>
          <w:szCs w:val="18"/>
        </w:rPr>
        <w:t xml:space="preserve"> 4 bis, derde lid, onder b, CRD). Dit is middels een verwijzing geregeld. </w:t>
      </w:r>
      <w:r w:rsidR="00C27AB7">
        <w:rPr>
          <w:rFonts w:cs="Arial"/>
          <w:sz w:val="18"/>
          <w:szCs w:val="18"/>
        </w:rPr>
        <w:t xml:space="preserve">Dit laat onverlet dat </w:t>
      </w:r>
      <w:r w:rsidRPr="000912CD" w:rsidR="00C27AB7">
        <w:rPr>
          <w:rFonts w:cs="Arial"/>
          <w:sz w:val="18"/>
          <w:szCs w:val="18"/>
        </w:rPr>
        <w:t xml:space="preserve">DNB </w:t>
      </w:r>
      <w:r w:rsidR="00C27AB7">
        <w:rPr>
          <w:rFonts w:cs="Arial"/>
          <w:sz w:val="18"/>
          <w:szCs w:val="18"/>
        </w:rPr>
        <w:t xml:space="preserve">voor andere gevallen dan omschreven in artikel 12d Bankwet 1998, </w:t>
      </w:r>
      <w:r w:rsidRPr="000912CD" w:rsidR="00C27AB7">
        <w:rPr>
          <w:rFonts w:cs="Arial"/>
          <w:sz w:val="18"/>
          <w:szCs w:val="18"/>
        </w:rPr>
        <w:t xml:space="preserve">een afkoelperiode </w:t>
      </w:r>
      <w:r w:rsidR="00C27AB7">
        <w:rPr>
          <w:rFonts w:cs="Arial"/>
          <w:sz w:val="18"/>
          <w:szCs w:val="18"/>
        </w:rPr>
        <w:t xml:space="preserve">kan opleggen. </w:t>
      </w:r>
      <w:r w:rsidRPr="00B1324F">
        <w:rPr>
          <w:rFonts w:cs="Arial"/>
          <w:sz w:val="18"/>
          <w:szCs w:val="18"/>
        </w:rPr>
        <w:t>De interne richtlijnen zullen betrekking hebben op:</w:t>
      </w:r>
    </w:p>
    <w:p w:rsidR="00B1324F" w:rsidP="005C6348" w:rsidRDefault="00B1324F" w14:paraId="74B5A5B6" w14:textId="77777777">
      <w:pPr>
        <w:spacing w:line="240" w:lineRule="atLeast"/>
        <w:rPr>
          <w:sz w:val="18"/>
          <w:szCs w:val="18"/>
        </w:rPr>
      </w:pPr>
    </w:p>
    <w:p w:rsidR="00B1324F" w:rsidP="005C6348" w:rsidRDefault="00630CEC" w14:paraId="3D0696B0" w14:textId="4DE135F7">
      <w:pPr>
        <w:pStyle w:val="Lijstalinea"/>
        <w:numPr>
          <w:ilvl w:val="0"/>
          <w:numId w:val="29"/>
        </w:numPr>
        <w:spacing w:after="0" w:line="240" w:lineRule="atLeast"/>
        <w:rPr>
          <w:szCs w:val="18"/>
        </w:rPr>
      </w:pPr>
      <w:r>
        <w:rPr>
          <w:szCs w:val="18"/>
        </w:rPr>
        <w:t>D</w:t>
      </w:r>
      <w:r w:rsidRPr="00B1324F" w:rsidR="00B1324F">
        <w:rPr>
          <w:szCs w:val="18"/>
        </w:rPr>
        <w:t>e entiteiten waarvoor de afkoelingsperiode geldt. Deze staan opgesomd in artikel 4 bis, derde lid, onder b, onder i tot en met iii, CRD</w:t>
      </w:r>
      <w:r w:rsidR="00AF3FBC">
        <w:rPr>
          <w:szCs w:val="18"/>
        </w:rPr>
        <w:t>. O</w:t>
      </w:r>
      <w:r w:rsidRPr="00B1324F" w:rsidR="00B1324F">
        <w:rPr>
          <w:szCs w:val="18"/>
        </w:rPr>
        <w:t xml:space="preserve">p verzoek van </w:t>
      </w:r>
      <w:r w:rsidR="001F217E">
        <w:rPr>
          <w:szCs w:val="18"/>
        </w:rPr>
        <w:t>DNB</w:t>
      </w:r>
      <w:r w:rsidRPr="00B1324F" w:rsidR="00B1324F">
        <w:rPr>
          <w:szCs w:val="18"/>
        </w:rPr>
        <w:t xml:space="preserve"> wordt </w:t>
      </w:r>
      <w:r w:rsidR="00AF3FBC">
        <w:rPr>
          <w:szCs w:val="18"/>
        </w:rPr>
        <w:t xml:space="preserve">middels artikel 12d, tweede lid, Bankwet 1998 </w:t>
      </w:r>
      <w:r w:rsidRPr="00B1324F" w:rsidR="00B1324F">
        <w:rPr>
          <w:szCs w:val="18"/>
        </w:rPr>
        <w:t>geregeld dat de afkoelingsperiode</w:t>
      </w:r>
      <w:r w:rsidR="00160E2A">
        <w:rPr>
          <w:szCs w:val="18"/>
        </w:rPr>
        <w:t xml:space="preserve"> kan worden toegepast</w:t>
      </w:r>
      <w:r w:rsidRPr="00B1324F" w:rsidR="00B1324F">
        <w:rPr>
          <w:szCs w:val="18"/>
        </w:rPr>
        <w:t xml:space="preserve"> ten aanzien van alle onder toezicht </w:t>
      </w:r>
      <w:r w:rsidR="00160E2A">
        <w:rPr>
          <w:szCs w:val="18"/>
        </w:rPr>
        <w:t xml:space="preserve">van DNB </w:t>
      </w:r>
      <w:r w:rsidRPr="00B1324F" w:rsidR="00B1324F">
        <w:rPr>
          <w:szCs w:val="18"/>
        </w:rPr>
        <w:t xml:space="preserve">staande instellingen. </w:t>
      </w:r>
    </w:p>
    <w:p w:rsidR="00B1324F" w:rsidP="005C6348" w:rsidRDefault="00630CEC" w14:paraId="392963FF" w14:textId="196091C6">
      <w:pPr>
        <w:pStyle w:val="Lijstalinea"/>
        <w:numPr>
          <w:ilvl w:val="0"/>
          <w:numId w:val="29"/>
        </w:numPr>
        <w:spacing w:after="0" w:line="240" w:lineRule="atLeast"/>
        <w:rPr>
          <w:szCs w:val="18"/>
        </w:rPr>
      </w:pPr>
      <w:r>
        <w:rPr>
          <w:szCs w:val="18"/>
        </w:rPr>
        <w:t>D</w:t>
      </w:r>
      <w:r w:rsidRPr="00B1324F" w:rsidR="00B1324F">
        <w:rPr>
          <w:szCs w:val="18"/>
        </w:rPr>
        <w:t>e aanvang van de termijn van afkoelingsperiode. Dat volgt uit artikel 4 bis, vierde lid, CRD en is het moment waarop rechtstreekse betrokkenheid bij het toezicht op de instellingen is beëindigd</w:t>
      </w:r>
      <w:r>
        <w:rPr>
          <w:szCs w:val="18"/>
        </w:rPr>
        <w:t>.</w:t>
      </w:r>
    </w:p>
    <w:p w:rsidR="00B1324F" w:rsidP="005C6348" w:rsidRDefault="00630CEC" w14:paraId="33351D74" w14:textId="4D9C835B">
      <w:pPr>
        <w:pStyle w:val="Lijstalinea"/>
        <w:numPr>
          <w:ilvl w:val="0"/>
          <w:numId w:val="29"/>
        </w:numPr>
        <w:spacing w:after="0" w:line="240" w:lineRule="atLeast"/>
        <w:rPr>
          <w:szCs w:val="18"/>
        </w:rPr>
      </w:pPr>
      <w:r>
        <w:rPr>
          <w:szCs w:val="18"/>
        </w:rPr>
        <w:lastRenderedPageBreak/>
        <w:t>D</w:t>
      </w:r>
      <w:r w:rsidRPr="00B1324F" w:rsidR="00B1324F">
        <w:rPr>
          <w:szCs w:val="18"/>
        </w:rPr>
        <w:t xml:space="preserve">e duur van de afkoelingsperiode. Dit is minstens drie maanden voor personeelsleden die rechtstreeks betrokken zijn geweest bij het toezicht op </w:t>
      </w:r>
      <w:r w:rsidR="00160E2A">
        <w:rPr>
          <w:szCs w:val="18"/>
        </w:rPr>
        <w:t>banken</w:t>
      </w:r>
      <w:r w:rsidR="007A3F59">
        <w:rPr>
          <w:szCs w:val="18"/>
        </w:rPr>
        <w:t xml:space="preserve"> of beleggingsondernemingen</w:t>
      </w:r>
      <w:r w:rsidRPr="00B1324F" w:rsidR="00B1324F">
        <w:rPr>
          <w:szCs w:val="18"/>
        </w:rPr>
        <w:t>, met inbegrip van directe of indirecte moederondernemingen, dochterondernemingen of gelieerde ondernemingen van die bank</w:t>
      </w:r>
      <w:r w:rsidR="00160E2A">
        <w:rPr>
          <w:szCs w:val="18"/>
        </w:rPr>
        <w:t xml:space="preserve"> </w:t>
      </w:r>
      <w:r w:rsidR="007A3F59">
        <w:rPr>
          <w:szCs w:val="18"/>
        </w:rPr>
        <w:t xml:space="preserve">of beleggingsonderneming </w:t>
      </w:r>
      <w:r w:rsidRPr="00160E2A" w:rsidR="00160E2A">
        <w:rPr>
          <w:szCs w:val="18"/>
        </w:rPr>
        <w:t>en de entiteiten die diensten verrichten aan die ondernemingen zoals bedoeld in artikel 4 bis, derde lid, onder b, onder ii, CRD</w:t>
      </w:r>
      <w:r w:rsidRPr="00B1324F" w:rsidR="00B1324F">
        <w:rPr>
          <w:szCs w:val="18"/>
        </w:rPr>
        <w:t xml:space="preserve">. Dit volgt uit artikel 4 bis, vijfde lid, CRD. De duur van de afkoelingsperiode bij personeelsleden die lobby- en belangenbehartigingsactiviteiten gaan verrichten bedraagt </w:t>
      </w:r>
      <w:r w:rsidR="00773176">
        <w:rPr>
          <w:szCs w:val="18"/>
        </w:rPr>
        <w:t>drie</w:t>
      </w:r>
      <w:r w:rsidRPr="00B1324F" w:rsidR="00773176">
        <w:rPr>
          <w:szCs w:val="18"/>
        </w:rPr>
        <w:t xml:space="preserve"> </w:t>
      </w:r>
      <w:r w:rsidRPr="00B1324F" w:rsidR="00B1324F">
        <w:rPr>
          <w:szCs w:val="18"/>
        </w:rPr>
        <w:t xml:space="preserve">maanden. Dit volgt uit artikel 4 bis, vierde lid, CRD. De duur van de afkoelingsperiode voor </w:t>
      </w:r>
      <w:r w:rsidR="00A70021">
        <w:rPr>
          <w:szCs w:val="18"/>
        </w:rPr>
        <w:t xml:space="preserve">leden van het bestuursorgaan </w:t>
      </w:r>
      <w:r w:rsidRPr="00B1324F" w:rsidR="00B1324F">
        <w:rPr>
          <w:szCs w:val="18"/>
        </w:rPr>
        <w:t>bedraagt minstens twaalf maanden indien zij rechtstreeks betrokken zijn geweest bij het toezicht op banken</w:t>
      </w:r>
      <w:r w:rsidR="007A3F59">
        <w:rPr>
          <w:szCs w:val="18"/>
        </w:rPr>
        <w:t xml:space="preserve"> of beleggingsondernemingen</w:t>
      </w:r>
      <w:r w:rsidRPr="00B1324F" w:rsidR="00B1324F">
        <w:rPr>
          <w:szCs w:val="18"/>
        </w:rPr>
        <w:t>, met inbegrip van directe of indirecte moederondernemingen, dochterondernemingen of gelieerde ondernemingen van die bank</w:t>
      </w:r>
      <w:r w:rsidR="007A3F59">
        <w:rPr>
          <w:szCs w:val="18"/>
        </w:rPr>
        <w:t xml:space="preserve"> of beleggingsonderneming</w:t>
      </w:r>
      <w:r w:rsidRPr="00B1324F" w:rsidR="00B1324F">
        <w:rPr>
          <w:szCs w:val="18"/>
        </w:rPr>
        <w:t xml:space="preserve">. Dit volgt uit artikel 4 bis, vierde lid, CRD. </w:t>
      </w:r>
    </w:p>
    <w:p w:rsidRPr="00B1324F" w:rsidR="00B1324F" w:rsidP="005C6348" w:rsidRDefault="00630CEC" w14:paraId="79A13C59" w14:textId="3D50069E">
      <w:pPr>
        <w:pStyle w:val="Lijstalinea"/>
        <w:numPr>
          <w:ilvl w:val="0"/>
          <w:numId w:val="29"/>
        </w:numPr>
        <w:spacing w:after="0" w:line="240" w:lineRule="atLeast"/>
        <w:rPr>
          <w:szCs w:val="18"/>
        </w:rPr>
      </w:pPr>
      <w:r>
        <w:rPr>
          <w:szCs w:val="18"/>
        </w:rPr>
        <w:t>D</w:t>
      </w:r>
      <w:r w:rsidRPr="00B1324F" w:rsidR="00B1324F">
        <w:rPr>
          <w:szCs w:val="18"/>
        </w:rPr>
        <w:t xml:space="preserve">e verplichting dat het personeelslid of </w:t>
      </w:r>
      <w:r w:rsidR="00A70021">
        <w:rPr>
          <w:szCs w:val="18"/>
        </w:rPr>
        <w:t xml:space="preserve">het lid van het bestuursorgaan </w:t>
      </w:r>
      <w:r w:rsidR="007954F5">
        <w:rPr>
          <w:szCs w:val="18"/>
        </w:rPr>
        <w:t>g</w:t>
      </w:r>
      <w:r w:rsidRPr="00B1324F" w:rsidR="00B1324F">
        <w:rPr>
          <w:szCs w:val="18"/>
        </w:rPr>
        <w:t>edurende de afkoelingsperiode geen toegang heeft tot vertrouwelijke of gevoelige informatie met betrekking tot de kredietinstelling of bank. Dit volgt uit artikel 4 bis, vierde lid, CRD.</w:t>
      </w:r>
      <w:r w:rsidR="00B1324F">
        <w:rPr>
          <w:szCs w:val="18"/>
        </w:rPr>
        <w:t xml:space="preserve"> </w:t>
      </w:r>
    </w:p>
    <w:p w:rsidRPr="00B1324F" w:rsidR="00B1324F" w:rsidP="005C6348" w:rsidRDefault="00630CEC" w14:paraId="39952BD3" w14:textId="585C92D3">
      <w:pPr>
        <w:pStyle w:val="Lijstalinea"/>
        <w:widowControl w:val="0"/>
        <w:numPr>
          <w:ilvl w:val="0"/>
          <w:numId w:val="29"/>
        </w:numPr>
        <w:tabs>
          <w:tab w:val="num" w:pos="720"/>
        </w:tabs>
        <w:spacing w:after="0" w:line="240" w:lineRule="atLeast"/>
        <w:rPr>
          <w:rFonts w:cs="Arial"/>
          <w:szCs w:val="18"/>
        </w:rPr>
      </w:pPr>
      <w:r>
        <w:rPr>
          <w:rFonts w:cs="Arial"/>
          <w:szCs w:val="18"/>
        </w:rPr>
        <w:t>D</w:t>
      </w:r>
      <w:r w:rsidRPr="00B1324F" w:rsidR="00B1324F">
        <w:rPr>
          <w:rFonts w:cs="Arial"/>
          <w:szCs w:val="18"/>
        </w:rPr>
        <w:t xml:space="preserve">e passende compensatie voor de afkoelingsperiodes. Dit volgt uit overweging 3 en artikel 4 bis, zesde lid, CRD. Bij de berekening van de compensatie voor </w:t>
      </w:r>
      <w:r w:rsidR="00A70021">
        <w:rPr>
          <w:rFonts w:cs="Arial"/>
          <w:szCs w:val="18"/>
        </w:rPr>
        <w:t xml:space="preserve">de leden van het bestuursorgaan </w:t>
      </w:r>
      <w:r w:rsidRPr="00B1324F" w:rsidR="00B1324F">
        <w:rPr>
          <w:rFonts w:cs="Arial"/>
          <w:szCs w:val="18"/>
        </w:rPr>
        <w:t xml:space="preserve">zal </w:t>
      </w:r>
      <w:r w:rsidR="001F217E">
        <w:rPr>
          <w:rFonts w:cs="Arial"/>
          <w:szCs w:val="18"/>
        </w:rPr>
        <w:t>DNB</w:t>
      </w:r>
      <w:r w:rsidRPr="00B1324F" w:rsidR="00B1324F">
        <w:rPr>
          <w:rFonts w:cs="Arial"/>
          <w:szCs w:val="18"/>
        </w:rPr>
        <w:t xml:space="preserve"> rekening moeten houden met de bepalingen uit de Wet normering topinkomens. </w:t>
      </w:r>
    </w:p>
    <w:p w:rsidR="00B1324F" w:rsidP="005C6348" w:rsidRDefault="00B1324F" w14:paraId="7B744503" w14:textId="77777777">
      <w:pPr>
        <w:widowControl w:val="0"/>
        <w:tabs>
          <w:tab w:val="num" w:pos="720"/>
        </w:tabs>
        <w:spacing w:line="240" w:lineRule="atLeast"/>
        <w:rPr>
          <w:rFonts w:cs="Arial"/>
          <w:sz w:val="18"/>
          <w:szCs w:val="18"/>
        </w:rPr>
      </w:pPr>
    </w:p>
    <w:p w:rsidR="00F4454A" w:rsidP="00F4454A" w:rsidRDefault="00B1324F" w14:paraId="71C218ED" w14:textId="51E5BB09">
      <w:pPr>
        <w:widowControl w:val="0"/>
        <w:tabs>
          <w:tab w:val="num" w:pos="720"/>
        </w:tabs>
        <w:spacing w:line="240" w:lineRule="atLeast"/>
        <w:rPr>
          <w:rFonts w:cs="Arial"/>
          <w:sz w:val="18"/>
          <w:szCs w:val="18"/>
        </w:rPr>
      </w:pPr>
      <w:r w:rsidRPr="00B1324F">
        <w:rPr>
          <w:rFonts w:cs="Arial"/>
          <w:sz w:val="18"/>
          <w:szCs w:val="18"/>
        </w:rPr>
        <w:t>Met de introductie van artikel 12d, tweede lid, Bankwet 1998 wordt artikel 4</w:t>
      </w:r>
      <w:r w:rsidR="00D47955">
        <w:rPr>
          <w:rFonts w:cs="Arial"/>
          <w:sz w:val="18"/>
          <w:szCs w:val="18"/>
        </w:rPr>
        <w:t xml:space="preserve"> </w:t>
      </w:r>
      <w:r w:rsidRPr="00B1324F">
        <w:rPr>
          <w:rFonts w:cs="Arial"/>
          <w:sz w:val="18"/>
          <w:szCs w:val="18"/>
        </w:rPr>
        <w:t>bis, vijfde lid, CRD geïmplementeerd. Deze bepaling bevat een lidstaatoptie om de termijnen van de afkoelingsperiodes uit artikel 4</w:t>
      </w:r>
      <w:r w:rsidR="007954F5">
        <w:rPr>
          <w:rFonts w:cs="Arial"/>
          <w:sz w:val="18"/>
          <w:szCs w:val="18"/>
        </w:rPr>
        <w:t xml:space="preserve"> </w:t>
      </w:r>
      <w:r w:rsidRPr="00B1324F">
        <w:rPr>
          <w:rFonts w:cs="Arial"/>
          <w:sz w:val="18"/>
          <w:szCs w:val="18"/>
        </w:rPr>
        <w:t xml:space="preserve">bis, vierde lid, CRD te verkorten van minstens zes naar minstens drie maanden voor personeelsleden die </w:t>
      </w:r>
      <w:r w:rsidRPr="006D2E62" w:rsidR="006D2E62">
        <w:rPr>
          <w:rFonts w:cs="Arial"/>
          <w:sz w:val="18"/>
          <w:szCs w:val="18"/>
        </w:rPr>
        <w:t>rechtstreeks betrokken zijn bij het toezicht op instellingen als bedoeld in artikel 4 bis, derde lid, onder</w:t>
      </w:r>
      <w:r w:rsidR="0099304A">
        <w:rPr>
          <w:rFonts w:cs="Arial"/>
          <w:sz w:val="18"/>
          <w:szCs w:val="18"/>
        </w:rPr>
        <w:t>deel</w:t>
      </w:r>
      <w:r w:rsidRPr="006D2E62" w:rsidR="006D2E62">
        <w:rPr>
          <w:rFonts w:cs="Arial"/>
          <w:sz w:val="18"/>
          <w:szCs w:val="18"/>
        </w:rPr>
        <w:t xml:space="preserve"> b, onder i</w:t>
      </w:r>
      <w:r w:rsidRPr="00A56784" w:rsidR="00C75509">
        <w:rPr>
          <w:rFonts w:cs="Arial"/>
          <w:sz w:val="18"/>
          <w:szCs w:val="18"/>
        </w:rPr>
        <w:t>, CRD</w:t>
      </w:r>
      <w:r w:rsidRPr="00A56784">
        <w:rPr>
          <w:rFonts w:cs="Arial"/>
          <w:sz w:val="18"/>
          <w:szCs w:val="18"/>
        </w:rPr>
        <w:t xml:space="preserve">. </w:t>
      </w:r>
      <w:r w:rsidRPr="00A56784" w:rsidR="00297F32">
        <w:rPr>
          <w:rFonts w:cs="Arial"/>
          <w:sz w:val="18"/>
          <w:szCs w:val="18"/>
        </w:rPr>
        <w:t>Hierbij</w:t>
      </w:r>
      <w:r w:rsidRPr="00A56784" w:rsidR="00F4454A">
        <w:rPr>
          <w:rFonts w:cs="Arial"/>
          <w:sz w:val="18"/>
          <w:szCs w:val="18"/>
        </w:rPr>
        <w:t xml:space="preserve"> is een bredere invulling gegeven dan de reikwijdte van artikel 4 bis, derde lid, CRD. Die ziet</w:t>
      </w:r>
      <w:r w:rsidRPr="00F4454A" w:rsidR="00F4454A">
        <w:rPr>
          <w:rFonts w:cs="Arial"/>
          <w:sz w:val="18"/>
          <w:szCs w:val="18"/>
        </w:rPr>
        <w:t xml:space="preserve"> namelijk alleen op de rechtstreekse betrokkenheid bij het toezicht op CRD-instellingen. Ook geldt deze afkoelingsperiode indien personeelsleden overstappen naar een dienstverlener van die financiële instelling, of een gelieerde entiteit aan die financiële instelling, zoals ook bepaald in artikel 4 bis, derde lid, onder</w:t>
      </w:r>
      <w:r w:rsidR="0099304A">
        <w:rPr>
          <w:rFonts w:cs="Arial"/>
          <w:sz w:val="18"/>
          <w:szCs w:val="18"/>
        </w:rPr>
        <w:t>deel</w:t>
      </w:r>
      <w:r w:rsidRPr="00F4454A" w:rsidR="00F4454A">
        <w:rPr>
          <w:rFonts w:cs="Arial"/>
          <w:sz w:val="18"/>
          <w:szCs w:val="18"/>
        </w:rPr>
        <w:t xml:space="preserve"> b, onder i en ii, CRD.</w:t>
      </w:r>
    </w:p>
    <w:p w:rsidR="000912CD" w:rsidP="00F4454A" w:rsidRDefault="000912CD" w14:paraId="1787B206" w14:textId="77777777">
      <w:pPr>
        <w:widowControl w:val="0"/>
        <w:tabs>
          <w:tab w:val="num" w:pos="720"/>
        </w:tabs>
        <w:spacing w:line="240" w:lineRule="atLeast"/>
        <w:rPr>
          <w:rFonts w:cs="Arial"/>
          <w:sz w:val="18"/>
          <w:szCs w:val="18"/>
        </w:rPr>
      </w:pPr>
    </w:p>
    <w:p w:rsidR="000912CD" w:rsidP="00F4454A" w:rsidRDefault="000912CD" w14:paraId="778BA7D0" w14:textId="54427D8E">
      <w:pPr>
        <w:widowControl w:val="0"/>
        <w:tabs>
          <w:tab w:val="num" w:pos="720"/>
        </w:tabs>
        <w:spacing w:line="240" w:lineRule="atLeast"/>
        <w:rPr>
          <w:rFonts w:cs="Arial"/>
          <w:sz w:val="18"/>
          <w:szCs w:val="18"/>
        </w:rPr>
      </w:pPr>
      <w:r w:rsidRPr="000912CD">
        <w:rPr>
          <w:rFonts w:cs="Arial"/>
          <w:sz w:val="18"/>
          <w:szCs w:val="18"/>
        </w:rPr>
        <w:t xml:space="preserve">Daarnaast wordt in artikel 12d, tweede lid, Bankwet 1998 de lidstaatoptie van artikel 4 bis, vierde lid, tweede alinea, CRD geïmplementeerd. </w:t>
      </w:r>
      <w:r w:rsidR="005836D0">
        <w:rPr>
          <w:rFonts w:cs="Arial"/>
          <w:sz w:val="18"/>
          <w:szCs w:val="18"/>
        </w:rPr>
        <w:t>DNB kan hiermee een</w:t>
      </w:r>
      <w:r w:rsidRPr="000912CD">
        <w:rPr>
          <w:rFonts w:cs="Arial"/>
          <w:sz w:val="18"/>
          <w:szCs w:val="18"/>
        </w:rPr>
        <w:t xml:space="preserve"> afkoelingsperiode </w:t>
      </w:r>
      <w:r w:rsidR="005836D0">
        <w:rPr>
          <w:rFonts w:cs="Arial"/>
          <w:sz w:val="18"/>
          <w:szCs w:val="18"/>
        </w:rPr>
        <w:t>opleggen</w:t>
      </w:r>
      <w:r w:rsidRPr="000912CD">
        <w:rPr>
          <w:rFonts w:cs="Arial"/>
          <w:sz w:val="18"/>
          <w:szCs w:val="18"/>
        </w:rPr>
        <w:t xml:space="preserve"> bij de overstap naar rechtstreeks</w:t>
      </w:r>
      <w:r w:rsidR="00C27AB7">
        <w:rPr>
          <w:rFonts w:cs="Arial"/>
          <w:sz w:val="18"/>
          <w:szCs w:val="18"/>
        </w:rPr>
        <w:t>e</w:t>
      </w:r>
      <w:r w:rsidRPr="000912CD">
        <w:rPr>
          <w:rFonts w:cs="Arial"/>
          <w:sz w:val="18"/>
          <w:szCs w:val="18"/>
        </w:rPr>
        <w:t xml:space="preserve"> concurrenten van de financiële instellingen waar een personeelslid of een lid van het bestuursorgaan van de bevoegde autoriteit rechtstreekse betrokkenheid heeft gehad bij het toezicht erop.</w:t>
      </w:r>
      <w:r w:rsidR="00C27AB7">
        <w:rPr>
          <w:rFonts w:cs="Arial"/>
          <w:sz w:val="18"/>
          <w:szCs w:val="18"/>
        </w:rPr>
        <w:t xml:space="preserve"> </w:t>
      </w:r>
      <w:r w:rsidR="005836D0">
        <w:rPr>
          <w:rFonts w:cs="Arial"/>
          <w:sz w:val="18"/>
          <w:szCs w:val="18"/>
        </w:rPr>
        <w:t>DNB kende reeds een dergelijk beleid omtrent rechtstreekse concurrenten.</w:t>
      </w:r>
    </w:p>
    <w:p w:rsidR="00F4454A" w:rsidP="005C6348" w:rsidRDefault="00F4454A" w14:paraId="4CF78044" w14:textId="77777777">
      <w:pPr>
        <w:widowControl w:val="0"/>
        <w:tabs>
          <w:tab w:val="num" w:pos="720"/>
        </w:tabs>
        <w:spacing w:line="240" w:lineRule="atLeast"/>
        <w:rPr>
          <w:rFonts w:cs="Arial"/>
          <w:sz w:val="18"/>
          <w:szCs w:val="18"/>
        </w:rPr>
      </w:pPr>
    </w:p>
    <w:p w:rsidRPr="00B1324F" w:rsidR="00B1324F" w:rsidP="005C6348" w:rsidRDefault="00B1324F" w14:paraId="01C0F9C2" w14:textId="0D613C4C">
      <w:pPr>
        <w:widowControl w:val="0"/>
        <w:tabs>
          <w:tab w:val="num" w:pos="720"/>
        </w:tabs>
        <w:spacing w:line="240" w:lineRule="atLeast"/>
        <w:rPr>
          <w:rFonts w:cs="Arial"/>
          <w:sz w:val="18"/>
          <w:szCs w:val="18"/>
        </w:rPr>
      </w:pPr>
      <w:r w:rsidRPr="00B1324F">
        <w:rPr>
          <w:rFonts w:cs="Arial"/>
          <w:sz w:val="18"/>
          <w:szCs w:val="18"/>
        </w:rPr>
        <w:t>Artikel 4</w:t>
      </w:r>
      <w:r w:rsidR="0099304A">
        <w:rPr>
          <w:rFonts w:cs="Arial"/>
          <w:sz w:val="18"/>
          <w:szCs w:val="18"/>
        </w:rPr>
        <w:t xml:space="preserve"> </w:t>
      </w:r>
      <w:r w:rsidRPr="00B1324F">
        <w:rPr>
          <w:rFonts w:cs="Arial"/>
          <w:sz w:val="18"/>
          <w:szCs w:val="18"/>
        </w:rPr>
        <w:t xml:space="preserve">bis, vijfde lid, CRD geeft een tweetal </w:t>
      </w:r>
      <w:r w:rsidR="006D2E62">
        <w:rPr>
          <w:rFonts w:cs="Arial"/>
          <w:sz w:val="18"/>
          <w:szCs w:val="18"/>
        </w:rPr>
        <w:t>situaties</w:t>
      </w:r>
      <w:r w:rsidRPr="00B1324F">
        <w:rPr>
          <w:rFonts w:cs="Arial"/>
          <w:sz w:val="18"/>
          <w:szCs w:val="18"/>
        </w:rPr>
        <w:t xml:space="preserve"> aan wanneer de lidstaat d</w:t>
      </w:r>
      <w:r w:rsidR="00F4454A">
        <w:rPr>
          <w:rFonts w:cs="Arial"/>
          <w:sz w:val="18"/>
          <w:szCs w:val="18"/>
        </w:rPr>
        <w:t>i</w:t>
      </w:r>
      <w:r w:rsidRPr="00B1324F">
        <w:rPr>
          <w:rFonts w:cs="Arial"/>
          <w:sz w:val="18"/>
          <w:szCs w:val="18"/>
        </w:rPr>
        <w:t>e lidstaatoptie kan gebruiken.</w:t>
      </w:r>
      <w:r w:rsidR="00F4454A">
        <w:rPr>
          <w:rFonts w:cs="Arial"/>
          <w:sz w:val="18"/>
          <w:szCs w:val="18"/>
        </w:rPr>
        <w:t xml:space="preserve"> </w:t>
      </w:r>
      <w:r w:rsidRPr="00B1324F">
        <w:rPr>
          <w:rFonts w:cs="Arial"/>
          <w:sz w:val="18"/>
          <w:szCs w:val="18"/>
        </w:rPr>
        <w:t xml:space="preserve">Allereerst </w:t>
      </w:r>
      <w:r w:rsidR="006D2E62">
        <w:rPr>
          <w:rFonts w:cs="Arial"/>
          <w:sz w:val="18"/>
          <w:szCs w:val="18"/>
        </w:rPr>
        <w:t>kan</w:t>
      </w:r>
      <w:r w:rsidRPr="00B1324F">
        <w:rPr>
          <w:rFonts w:cs="Arial"/>
          <w:sz w:val="18"/>
          <w:szCs w:val="18"/>
        </w:rPr>
        <w:t xml:space="preserve"> aangetoond worden dat de afkoelingsperiode van minstens zes maanden het vermogen van DNB onnodig beperkt om nieuwe personeelsleden in dienst te nemen die over de adequate of noodzakelijke vaardigheden beschikken voor de uitoefening van de toezichthoudende taken, met name vanwege de geringe omvang van de nationale arbeidsmarkt. </w:t>
      </w:r>
      <w:r w:rsidR="001F217E">
        <w:rPr>
          <w:rFonts w:cs="Arial"/>
          <w:sz w:val="18"/>
          <w:szCs w:val="18"/>
        </w:rPr>
        <w:t>DNB</w:t>
      </w:r>
      <w:r w:rsidRPr="00B1324F">
        <w:rPr>
          <w:rFonts w:cs="Arial"/>
          <w:sz w:val="18"/>
          <w:szCs w:val="18"/>
        </w:rPr>
        <w:t xml:space="preserve"> opereert qua werving in een competitief speelveld. Er wordt hieromtrent op nationaal, Europees en internationaal niveau geconcurreerd met publieke instellingen en private instellingen, zoals banken, verzekeraars, beleggingsondernemingen en pensioenfondsen. De krapte op de Nederlandse arbeidsmarkt heeft vooral betrekking op de werving van toezichthouders met gespecialiseerde</w:t>
      </w:r>
      <w:r w:rsidR="00902954">
        <w:rPr>
          <w:rFonts w:cs="Arial"/>
          <w:sz w:val="18"/>
          <w:szCs w:val="18"/>
        </w:rPr>
        <w:t xml:space="preserve"> </w:t>
      </w:r>
      <w:r w:rsidRPr="00B1324F">
        <w:rPr>
          <w:rFonts w:cs="Arial"/>
          <w:sz w:val="18"/>
          <w:szCs w:val="18"/>
        </w:rPr>
        <w:t>profielen, waaronder expertise in cyberveiligheid en IT-ri</w:t>
      </w:r>
      <w:r w:rsidRPr="00B1324F">
        <w:rPr>
          <w:rFonts w:cs="Arial"/>
          <w:sz w:val="18"/>
          <w:szCs w:val="18"/>
        </w:rPr>
        <w:lastRenderedPageBreak/>
        <w:t>sico’s, data-analyse of econometrie. Gelet op de opkomende risico’s en ontwikkelingen in de wetgeving is het noodzakelijk dat de toezichthouders kennis en expertise hebben hierin. Daarnaast dienen kandidaten ook te beschikken over de competenties en vaardigheden voor het functioneren als toezichthouder.</w:t>
      </w:r>
    </w:p>
    <w:p w:rsidR="00B1324F" w:rsidP="005C6348" w:rsidRDefault="00B1324F" w14:paraId="641D4E48" w14:textId="77777777">
      <w:pPr>
        <w:widowControl w:val="0"/>
        <w:tabs>
          <w:tab w:val="num" w:pos="720"/>
        </w:tabs>
        <w:spacing w:line="240" w:lineRule="atLeast"/>
        <w:rPr>
          <w:rFonts w:cs="Arial"/>
          <w:sz w:val="18"/>
          <w:szCs w:val="18"/>
        </w:rPr>
      </w:pPr>
    </w:p>
    <w:p w:rsidRPr="00B1324F" w:rsidR="00B1324F" w:rsidP="005C6348" w:rsidRDefault="00B1324F" w14:paraId="633A334F" w14:textId="79B9C34E">
      <w:pPr>
        <w:widowControl w:val="0"/>
        <w:tabs>
          <w:tab w:val="num" w:pos="720"/>
        </w:tabs>
        <w:spacing w:line="240" w:lineRule="atLeast"/>
        <w:rPr>
          <w:rFonts w:cs="Arial"/>
          <w:sz w:val="18"/>
          <w:szCs w:val="18"/>
        </w:rPr>
      </w:pPr>
      <w:r w:rsidRPr="00B1324F">
        <w:rPr>
          <w:rFonts w:cs="Arial"/>
          <w:sz w:val="18"/>
          <w:szCs w:val="18"/>
        </w:rPr>
        <w:t xml:space="preserve">Ten tweede </w:t>
      </w:r>
      <w:r w:rsidR="006D2E62">
        <w:rPr>
          <w:rFonts w:cs="Arial"/>
          <w:sz w:val="18"/>
          <w:szCs w:val="18"/>
        </w:rPr>
        <w:t>kan</w:t>
      </w:r>
      <w:r w:rsidRPr="00B1324F">
        <w:rPr>
          <w:rFonts w:cs="Arial"/>
          <w:sz w:val="18"/>
          <w:szCs w:val="18"/>
        </w:rPr>
        <w:t xml:space="preserve"> aangetoond worden dat een langere afkoelingsperiode een inbreuk zou vormen op grondrechten of op het nationale arbeidsrecht. Het belang van een afkoelingsperiode is om ervoor te zorgen dat personeelsleden niet toezichtvertrouwelijke informatie kunnen meenemen naar hun nieuwe functie, waarmee de onafhankelijkheid van de toezichthouder in het geding komt. Een minimale afkoelingsperiode van zes maanden vormt echter een disproportionele inperking voor werknemers. Deze afkoelingsperiodes maken namelijk geen onderscheid in hoe lang het personeelslid al betrokken is geweest bij de onder toezicht staande instellingen, of aanverwante ondernemingen, wat voor werkzaamheden die persoon bij dit toezicht had, en welke werkzaamheden die bij de kredietinstelling of bank gaat verrichten. Dit terwijl het wel factoren zijn die bepalen hoeveel belang DNB bij de afkoelingsperiode heeft</w:t>
      </w:r>
      <w:r w:rsidR="00C75509">
        <w:rPr>
          <w:rFonts w:cs="Arial"/>
          <w:sz w:val="18"/>
          <w:szCs w:val="18"/>
        </w:rPr>
        <w:t xml:space="preserve">, welk belang op grond van bovengenoemde wetgeving moeten worden afgewogen </w:t>
      </w:r>
      <w:r w:rsidRPr="00B1324F">
        <w:rPr>
          <w:rFonts w:cs="Arial"/>
          <w:sz w:val="18"/>
          <w:szCs w:val="18"/>
        </w:rPr>
        <w:t>tegen het belang van de medewerker om een bepaalde overstap te maken. Door gebruikmaking van de lidstaatoptie kan DNB per individueel geval een afweging maken, wat een betere balans biedt tussen enerzijds de borging van de onafhankelijkheid van de toezichthouder en het belang van werknemers op een vrije arbeidskeuze.</w:t>
      </w:r>
    </w:p>
    <w:p w:rsidR="00B1324F" w:rsidP="005C6348" w:rsidRDefault="00B1324F" w14:paraId="64965D2D" w14:textId="77777777">
      <w:pPr>
        <w:widowControl w:val="0"/>
        <w:tabs>
          <w:tab w:val="num" w:pos="720"/>
        </w:tabs>
        <w:spacing w:line="240" w:lineRule="atLeast"/>
        <w:rPr>
          <w:rFonts w:cs="Arial"/>
          <w:sz w:val="18"/>
          <w:szCs w:val="18"/>
        </w:rPr>
      </w:pPr>
    </w:p>
    <w:p w:rsidR="00B1324F" w:rsidP="005C6348" w:rsidRDefault="00B1324F" w14:paraId="1509F2C5" w14:textId="07C0D271">
      <w:pPr>
        <w:widowControl w:val="0"/>
        <w:tabs>
          <w:tab w:val="num" w:pos="720"/>
        </w:tabs>
        <w:spacing w:line="240" w:lineRule="atLeast"/>
        <w:rPr>
          <w:rFonts w:cs="Arial"/>
          <w:sz w:val="18"/>
          <w:szCs w:val="18"/>
        </w:rPr>
      </w:pPr>
      <w:r w:rsidRPr="00B1324F">
        <w:rPr>
          <w:rFonts w:cs="Arial"/>
          <w:sz w:val="18"/>
          <w:szCs w:val="18"/>
        </w:rPr>
        <w:t xml:space="preserve">Deze wettelijke verankering van afkoelingsperiodes wordt niet beschouwd als een concurrentiebeding in de zin van artikel </w:t>
      </w:r>
      <w:r w:rsidR="008F020F">
        <w:rPr>
          <w:rFonts w:cs="Arial"/>
          <w:sz w:val="18"/>
          <w:szCs w:val="18"/>
        </w:rPr>
        <w:t>7:</w:t>
      </w:r>
      <w:r w:rsidRPr="00B1324F">
        <w:rPr>
          <w:rFonts w:cs="Arial"/>
          <w:sz w:val="18"/>
          <w:szCs w:val="18"/>
        </w:rPr>
        <w:t>653</w:t>
      </w:r>
      <w:r w:rsidR="008F020F">
        <w:rPr>
          <w:rFonts w:cs="Arial"/>
          <w:sz w:val="18"/>
          <w:szCs w:val="18"/>
        </w:rPr>
        <w:t xml:space="preserve"> BW</w:t>
      </w:r>
      <w:r w:rsidRPr="00B1324F">
        <w:rPr>
          <w:rFonts w:cs="Arial"/>
          <w:sz w:val="18"/>
          <w:szCs w:val="18"/>
        </w:rPr>
        <w:t xml:space="preserve">. De afkoelingsperiode is een verplichting die voortvloeit uit een publiekrechtelijke norm, vastgelegd in de CRD en in dit wetsvoorstel, en </w:t>
      </w:r>
      <w:r w:rsidR="002835A6">
        <w:rPr>
          <w:rFonts w:cs="Arial"/>
          <w:sz w:val="18"/>
          <w:szCs w:val="18"/>
        </w:rPr>
        <w:t>DNB</w:t>
      </w:r>
      <w:r w:rsidRPr="00B1324F">
        <w:rPr>
          <w:rFonts w:cs="Arial"/>
          <w:sz w:val="18"/>
          <w:szCs w:val="18"/>
        </w:rPr>
        <w:t xml:space="preserve"> kan alleen een invulling geven aan de duur van de afkoelingsperiode en de mogelijke compensatie. Dit is anders bij het concurrentiebeding, waar de werkgever en de werknemer dit beding onderling als onderdeel van de arbeidsovereenkomst overeen kunnen komen. Bovendien verschilt het doel van de afkoelingsperiode</w:t>
      </w:r>
      <w:r w:rsidR="0099304A">
        <w:rPr>
          <w:rFonts w:cs="Arial"/>
          <w:sz w:val="18"/>
          <w:szCs w:val="18"/>
        </w:rPr>
        <w:t>:</w:t>
      </w:r>
      <w:r w:rsidRPr="00B1324F">
        <w:rPr>
          <w:rFonts w:cs="Arial"/>
          <w:sz w:val="18"/>
          <w:szCs w:val="18"/>
        </w:rPr>
        <w:t xml:space="preserve"> het is namelijk ter voorkoming van belangenconflicten in het kader van de onafhankelijke uitvoering van de toezichthoudende taak van </w:t>
      </w:r>
      <w:r w:rsidR="002835A6">
        <w:rPr>
          <w:rFonts w:cs="Arial"/>
          <w:sz w:val="18"/>
          <w:szCs w:val="18"/>
        </w:rPr>
        <w:t>DNB</w:t>
      </w:r>
      <w:r w:rsidRPr="00B1324F">
        <w:rPr>
          <w:rFonts w:cs="Arial"/>
          <w:sz w:val="18"/>
          <w:szCs w:val="18"/>
        </w:rPr>
        <w:t>. Bij het concurrentiebeding gaat het om bescherming van het bedrijfsdebiet ten opzichte van (potentiële) concurrenten. Tot slot verschilt de afkoelingsperiode van het concurrentiebeding in die zin dat het concurrentiebeding</w:t>
      </w:r>
      <w:r w:rsidR="006D2E62">
        <w:rPr>
          <w:rFonts w:cs="Arial"/>
          <w:sz w:val="18"/>
          <w:szCs w:val="18"/>
        </w:rPr>
        <w:t xml:space="preserve"> </w:t>
      </w:r>
      <w:r w:rsidRPr="00B1324F">
        <w:rPr>
          <w:rFonts w:cs="Arial"/>
          <w:sz w:val="18"/>
          <w:szCs w:val="18"/>
        </w:rPr>
        <w:t xml:space="preserve">pas een rol speelt na het einde van het dienstverband, waarvan </w:t>
      </w:r>
      <w:r w:rsidR="00C75509">
        <w:rPr>
          <w:rFonts w:cs="Arial"/>
          <w:sz w:val="18"/>
          <w:szCs w:val="18"/>
        </w:rPr>
        <w:t>geen</w:t>
      </w:r>
      <w:r w:rsidRPr="00B1324F">
        <w:rPr>
          <w:rFonts w:cs="Arial"/>
          <w:sz w:val="18"/>
          <w:szCs w:val="18"/>
        </w:rPr>
        <w:t xml:space="preserve"> sprake is bij de afkoelingsperiode uit dit wetsvoorstel.</w:t>
      </w:r>
    </w:p>
    <w:p w:rsidR="006E5095" w:rsidP="005C6348" w:rsidRDefault="006E5095" w14:paraId="119DBBA1" w14:textId="77777777">
      <w:pPr>
        <w:widowControl w:val="0"/>
        <w:tabs>
          <w:tab w:val="num" w:pos="720"/>
        </w:tabs>
        <w:spacing w:line="240" w:lineRule="atLeast"/>
        <w:rPr>
          <w:rFonts w:cs="Arial"/>
          <w:sz w:val="18"/>
          <w:szCs w:val="18"/>
        </w:rPr>
      </w:pPr>
    </w:p>
    <w:p w:rsidR="006E5095" w:rsidP="005C6348" w:rsidRDefault="006E5095" w14:paraId="06565ACB" w14:textId="77777777">
      <w:pPr>
        <w:widowControl w:val="0"/>
        <w:tabs>
          <w:tab w:val="num" w:pos="720"/>
        </w:tabs>
        <w:spacing w:line="240" w:lineRule="atLeast"/>
        <w:rPr>
          <w:rFonts w:cs="Arial"/>
          <w:sz w:val="18"/>
          <w:szCs w:val="18"/>
        </w:rPr>
      </w:pPr>
    </w:p>
    <w:p w:rsidR="006E5095" w:rsidP="001F3B5F" w:rsidRDefault="006E5095" w14:paraId="6A7FC974" w14:textId="3FC7241D">
      <w:pPr>
        <w:widowControl w:val="0"/>
        <w:tabs>
          <w:tab w:val="num" w:pos="720"/>
        </w:tabs>
        <w:spacing w:line="240" w:lineRule="atLeast"/>
        <w:rPr>
          <w:rFonts w:cs="Arial"/>
          <w:b/>
          <w:bCs/>
          <w:sz w:val="18"/>
          <w:szCs w:val="18"/>
        </w:rPr>
      </w:pPr>
      <w:bookmarkStart w:name="_Hlk204761681" w:id="12"/>
      <w:r>
        <w:rPr>
          <w:rFonts w:cs="Arial"/>
          <w:b/>
          <w:bCs/>
          <w:sz w:val="18"/>
          <w:szCs w:val="18"/>
        </w:rPr>
        <w:t>Artikel III</w:t>
      </w:r>
      <w:r w:rsidR="007018F3">
        <w:rPr>
          <w:rFonts w:cs="Arial"/>
          <w:b/>
          <w:bCs/>
          <w:sz w:val="18"/>
          <w:szCs w:val="18"/>
        </w:rPr>
        <w:t xml:space="preserve"> (Wet op de economische delicten)</w:t>
      </w:r>
    </w:p>
    <w:p w:rsidR="006E5095" w:rsidP="001F3B5F" w:rsidRDefault="006E5095" w14:paraId="5F7F60AB" w14:textId="77777777">
      <w:pPr>
        <w:widowControl w:val="0"/>
        <w:tabs>
          <w:tab w:val="num" w:pos="720"/>
        </w:tabs>
        <w:spacing w:line="240" w:lineRule="atLeast"/>
        <w:rPr>
          <w:rFonts w:cs="Arial"/>
          <w:b/>
          <w:bCs/>
          <w:sz w:val="18"/>
          <w:szCs w:val="18"/>
        </w:rPr>
      </w:pPr>
    </w:p>
    <w:p w:rsidR="00761584" w:rsidP="001F3B5F" w:rsidRDefault="006E5095" w14:paraId="4B2A8ED5" w14:textId="47BBB953">
      <w:pPr>
        <w:widowControl w:val="0"/>
        <w:tabs>
          <w:tab w:val="num" w:pos="720"/>
        </w:tabs>
        <w:spacing w:line="240" w:lineRule="atLeast"/>
        <w:rPr>
          <w:rFonts w:cs="Arial"/>
          <w:sz w:val="18"/>
          <w:szCs w:val="18"/>
        </w:rPr>
      </w:pPr>
      <w:r>
        <w:rPr>
          <w:rFonts w:cs="Arial"/>
          <w:sz w:val="18"/>
          <w:szCs w:val="18"/>
        </w:rPr>
        <w:t>Artikel III bevat een aanpassing van de Wet op de economische delicten</w:t>
      </w:r>
      <w:r w:rsidR="00761584">
        <w:rPr>
          <w:rFonts w:cs="Arial"/>
          <w:sz w:val="18"/>
          <w:szCs w:val="18"/>
        </w:rPr>
        <w:t xml:space="preserve"> (WED)</w:t>
      </w:r>
      <w:r>
        <w:rPr>
          <w:rFonts w:cs="Arial"/>
          <w:sz w:val="18"/>
          <w:szCs w:val="18"/>
        </w:rPr>
        <w:t xml:space="preserve">. </w:t>
      </w:r>
      <w:r w:rsidR="00761584">
        <w:rPr>
          <w:rFonts w:cs="Arial"/>
          <w:sz w:val="18"/>
          <w:szCs w:val="18"/>
        </w:rPr>
        <w:t>Met de uitsplitsing va</w:t>
      </w:r>
      <w:r w:rsidR="00D41349">
        <w:rPr>
          <w:rFonts w:cs="Arial"/>
          <w:sz w:val="18"/>
          <w:szCs w:val="18"/>
        </w:rPr>
        <w:t>n</w:t>
      </w:r>
      <w:r w:rsidR="00761584">
        <w:rPr>
          <w:rFonts w:cs="Arial"/>
          <w:sz w:val="18"/>
          <w:szCs w:val="18"/>
        </w:rPr>
        <w:t xml:space="preserve"> artikel 2:20 Wft in verschillende leden wordt in de WED de verwijzing naar artikel 2:20 Wft gespecificeerd naar artikel 2:20, eerste lid, Wft</w:t>
      </w:r>
      <w:r w:rsidR="00825D8C">
        <w:rPr>
          <w:rFonts w:cs="Arial"/>
          <w:sz w:val="18"/>
          <w:szCs w:val="18"/>
        </w:rPr>
        <w:t>,</w:t>
      </w:r>
      <w:r w:rsidR="00761584">
        <w:rPr>
          <w:rFonts w:cs="Arial"/>
          <w:sz w:val="18"/>
          <w:szCs w:val="18"/>
        </w:rPr>
        <w:t xml:space="preserve"> nu in het eerste lid van artikel 2:20 Wft na de wijzigingen van deze wet de verbodsbepaling is opgenomen. </w:t>
      </w:r>
      <w:r>
        <w:rPr>
          <w:rFonts w:cs="Arial"/>
          <w:sz w:val="18"/>
          <w:szCs w:val="18"/>
        </w:rPr>
        <w:t>Daarnaast wordt met het vervallen van artikel 3:96</w:t>
      </w:r>
      <w:r w:rsidR="00761584">
        <w:rPr>
          <w:rFonts w:cs="Arial"/>
          <w:sz w:val="18"/>
          <w:szCs w:val="18"/>
        </w:rPr>
        <w:t xml:space="preserve"> Wft</w:t>
      </w:r>
      <w:r>
        <w:rPr>
          <w:rFonts w:cs="Arial"/>
          <w:sz w:val="18"/>
          <w:szCs w:val="18"/>
        </w:rPr>
        <w:t xml:space="preserve"> (zie Artikel I, onderdeel </w:t>
      </w:r>
      <w:r w:rsidR="009B7432">
        <w:rPr>
          <w:rFonts w:cs="Arial"/>
          <w:sz w:val="18"/>
          <w:szCs w:val="18"/>
        </w:rPr>
        <w:t>DDD</w:t>
      </w:r>
      <w:r>
        <w:rPr>
          <w:rFonts w:cs="Arial"/>
          <w:sz w:val="18"/>
          <w:szCs w:val="18"/>
        </w:rPr>
        <w:t>) dit artikel vervangen door artikel 3:96a en 3:96c</w:t>
      </w:r>
      <w:r w:rsidR="00761584">
        <w:rPr>
          <w:rFonts w:cs="Arial"/>
          <w:sz w:val="18"/>
          <w:szCs w:val="18"/>
        </w:rPr>
        <w:t xml:space="preserve"> Wft</w:t>
      </w:r>
      <w:r w:rsidR="00D41349">
        <w:rPr>
          <w:rFonts w:cs="Arial"/>
          <w:sz w:val="18"/>
          <w:szCs w:val="18"/>
        </w:rPr>
        <w:t>. Artikel 3:96a en 3:96c Wft vervangen het nationale systeem van artikel 3:96 met een geharmoniseerd Europees kader. Niettemin wordt het systeem van verklaringen van geen bezwaar verhouden</w:t>
      </w:r>
      <w:r>
        <w:rPr>
          <w:rFonts w:cs="Arial"/>
          <w:sz w:val="18"/>
          <w:szCs w:val="18"/>
        </w:rPr>
        <w:t xml:space="preserve">. </w:t>
      </w:r>
    </w:p>
    <w:p w:rsidR="00761584" w:rsidP="001F3B5F" w:rsidRDefault="00761584" w14:paraId="276DB401" w14:textId="77777777">
      <w:pPr>
        <w:widowControl w:val="0"/>
        <w:tabs>
          <w:tab w:val="num" w:pos="720"/>
        </w:tabs>
        <w:spacing w:line="240" w:lineRule="atLeast"/>
        <w:rPr>
          <w:rFonts w:cs="Arial"/>
          <w:sz w:val="18"/>
          <w:szCs w:val="18"/>
        </w:rPr>
      </w:pPr>
    </w:p>
    <w:p w:rsidR="006E5095" w:rsidP="001F3B5F" w:rsidRDefault="006E5095" w14:paraId="2BDF7F29" w14:textId="584E1E86">
      <w:pPr>
        <w:widowControl w:val="0"/>
        <w:tabs>
          <w:tab w:val="num" w:pos="720"/>
        </w:tabs>
        <w:spacing w:line="240" w:lineRule="atLeast"/>
        <w:rPr>
          <w:rFonts w:cs="Arial"/>
          <w:sz w:val="18"/>
          <w:szCs w:val="18"/>
        </w:rPr>
      </w:pPr>
      <w:r>
        <w:rPr>
          <w:rFonts w:cs="Arial"/>
          <w:sz w:val="18"/>
          <w:szCs w:val="18"/>
        </w:rPr>
        <w:t xml:space="preserve">Verder </w:t>
      </w:r>
      <w:r w:rsidR="00520D61">
        <w:rPr>
          <w:rFonts w:cs="Arial"/>
          <w:sz w:val="18"/>
          <w:szCs w:val="18"/>
        </w:rPr>
        <w:t xml:space="preserve">voorziet </w:t>
      </w:r>
      <w:r>
        <w:rPr>
          <w:rFonts w:cs="Arial"/>
          <w:sz w:val="18"/>
          <w:szCs w:val="18"/>
        </w:rPr>
        <w:t xml:space="preserve">de wijzigingsopdracht </w:t>
      </w:r>
      <w:r w:rsidR="00520D61">
        <w:rPr>
          <w:rFonts w:cs="Arial"/>
          <w:sz w:val="18"/>
          <w:szCs w:val="18"/>
        </w:rPr>
        <w:t xml:space="preserve">in enige mate van </w:t>
      </w:r>
      <w:r>
        <w:rPr>
          <w:rFonts w:cs="Arial"/>
          <w:sz w:val="18"/>
          <w:szCs w:val="18"/>
        </w:rPr>
        <w:t>opschoning</w:t>
      </w:r>
      <w:r w:rsidR="00520D61">
        <w:rPr>
          <w:rFonts w:cs="Arial"/>
          <w:sz w:val="18"/>
          <w:szCs w:val="18"/>
        </w:rPr>
        <w:t>,</w:t>
      </w:r>
      <w:r>
        <w:rPr>
          <w:rFonts w:cs="Arial"/>
          <w:sz w:val="18"/>
          <w:szCs w:val="18"/>
        </w:rPr>
        <w:t xml:space="preserve"> door bij een aantal artikelen het woord ‘artikel’ voorafgaande aan het artikelnummer te verwijderen.</w:t>
      </w:r>
    </w:p>
    <w:bookmarkEnd w:id="12"/>
    <w:p w:rsidRPr="006E5095" w:rsidR="006E5095" w:rsidP="001F3B5F" w:rsidRDefault="006E5095" w14:paraId="6B87BFF2" w14:textId="77777777">
      <w:pPr>
        <w:widowControl w:val="0"/>
        <w:tabs>
          <w:tab w:val="num" w:pos="720"/>
        </w:tabs>
        <w:spacing w:line="240" w:lineRule="atLeast"/>
        <w:rPr>
          <w:rFonts w:cs="Arial"/>
          <w:sz w:val="18"/>
          <w:szCs w:val="18"/>
        </w:rPr>
      </w:pPr>
    </w:p>
    <w:p w:rsidR="006E5095" w:rsidP="001F3B5F" w:rsidRDefault="006E5095" w14:paraId="53C4D802" w14:textId="77777777">
      <w:pPr>
        <w:widowControl w:val="0"/>
        <w:tabs>
          <w:tab w:val="num" w:pos="720"/>
        </w:tabs>
        <w:spacing w:line="240" w:lineRule="atLeast"/>
        <w:rPr>
          <w:rFonts w:cs="Arial"/>
          <w:b/>
          <w:bCs/>
          <w:sz w:val="18"/>
          <w:szCs w:val="18"/>
        </w:rPr>
      </w:pPr>
    </w:p>
    <w:p w:rsidR="000F79D3" w:rsidP="001F3B5F" w:rsidRDefault="000F79D3" w14:paraId="6975B998" w14:textId="1560E215">
      <w:pPr>
        <w:widowControl w:val="0"/>
        <w:tabs>
          <w:tab w:val="num" w:pos="720"/>
        </w:tabs>
        <w:spacing w:line="240" w:lineRule="atLeast"/>
        <w:rPr>
          <w:rFonts w:cs="Arial"/>
          <w:sz w:val="18"/>
          <w:szCs w:val="18"/>
        </w:rPr>
      </w:pPr>
      <w:r>
        <w:rPr>
          <w:rFonts w:cs="Arial"/>
          <w:b/>
          <w:bCs/>
          <w:sz w:val="18"/>
          <w:szCs w:val="18"/>
        </w:rPr>
        <w:t>Artikel I</w:t>
      </w:r>
      <w:r w:rsidR="006E5095">
        <w:rPr>
          <w:rFonts w:cs="Arial"/>
          <w:b/>
          <w:bCs/>
          <w:sz w:val="18"/>
          <w:szCs w:val="18"/>
        </w:rPr>
        <w:t>V</w:t>
      </w:r>
      <w:r w:rsidR="007018F3">
        <w:rPr>
          <w:rFonts w:cs="Arial"/>
          <w:b/>
          <w:bCs/>
          <w:sz w:val="18"/>
          <w:szCs w:val="18"/>
        </w:rPr>
        <w:t xml:space="preserve"> (Overgangsrecht)</w:t>
      </w:r>
    </w:p>
    <w:p w:rsidR="000F79D3" w:rsidP="001F3B5F" w:rsidRDefault="000F79D3" w14:paraId="3DAB78B4" w14:textId="77777777">
      <w:pPr>
        <w:widowControl w:val="0"/>
        <w:tabs>
          <w:tab w:val="num" w:pos="720"/>
        </w:tabs>
        <w:spacing w:line="240" w:lineRule="atLeast"/>
        <w:rPr>
          <w:rFonts w:cs="Arial"/>
          <w:sz w:val="18"/>
          <w:szCs w:val="18"/>
        </w:rPr>
      </w:pPr>
    </w:p>
    <w:p w:rsidR="00B563A8" w:rsidP="008B60E8" w:rsidRDefault="000F79D3" w14:paraId="07000F3B" w14:textId="77777777">
      <w:pPr>
        <w:widowControl w:val="0"/>
        <w:tabs>
          <w:tab w:val="num" w:pos="720"/>
        </w:tabs>
        <w:spacing w:line="240" w:lineRule="atLeast"/>
        <w:rPr>
          <w:rFonts w:cs="Arial"/>
          <w:sz w:val="18"/>
          <w:szCs w:val="18"/>
        </w:rPr>
      </w:pPr>
      <w:r>
        <w:rPr>
          <w:rFonts w:cs="Arial"/>
          <w:sz w:val="18"/>
          <w:szCs w:val="18"/>
        </w:rPr>
        <w:t>Artikel III bevat overgangsrecht</w:t>
      </w:r>
      <w:r w:rsidR="008B60E8">
        <w:rPr>
          <w:rFonts w:cs="Arial"/>
          <w:sz w:val="18"/>
          <w:szCs w:val="18"/>
        </w:rPr>
        <w:t xml:space="preserve"> </w:t>
      </w:r>
      <w:r w:rsidR="00B563A8">
        <w:rPr>
          <w:rFonts w:cs="Arial"/>
          <w:sz w:val="18"/>
          <w:szCs w:val="18"/>
        </w:rPr>
        <w:t xml:space="preserve">op het gebied van derde land bijkantoren en de verklaringen van geen bezwaar. </w:t>
      </w:r>
    </w:p>
    <w:p w:rsidR="00B563A8" w:rsidP="008B60E8" w:rsidRDefault="00B563A8" w14:paraId="1FBBA5CA" w14:textId="77777777">
      <w:pPr>
        <w:widowControl w:val="0"/>
        <w:tabs>
          <w:tab w:val="num" w:pos="720"/>
        </w:tabs>
        <w:spacing w:line="240" w:lineRule="atLeast"/>
        <w:rPr>
          <w:rFonts w:cs="Arial"/>
          <w:sz w:val="18"/>
          <w:szCs w:val="18"/>
        </w:rPr>
      </w:pPr>
    </w:p>
    <w:p w:rsidRPr="00D521BF" w:rsidR="00B563A8" w:rsidP="008B60E8" w:rsidRDefault="00B563A8" w14:paraId="2D1D6689" w14:textId="31ED6484">
      <w:pPr>
        <w:widowControl w:val="0"/>
        <w:tabs>
          <w:tab w:val="num" w:pos="720"/>
        </w:tabs>
        <w:spacing w:line="240" w:lineRule="atLeast"/>
        <w:rPr>
          <w:rFonts w:cs="Arial"/>
          <w:sz w:val="18"/>
          <w:szCs w:val="18"/>
        </w:rPr>
      </w:pPr>
      <w:r>
        <w:rPr>
          <w:rFonts w:cs="Arial"/>
          <w:sz w:val="18"/>
          <w:szCs w:val="18"/>
        </w:rPr>
        <w:t xml:space="preserve">In het eerste lid is overgangsrecht opgenomen met betrekking tot de reeds bestaande bijkantoren van banken uit staten die geen lidstaat zijn. In Nederland zijn er twee </w:t>
      </w:r>
      <w:r w:rsidR="00520D61">
        <w:rPr>
          <w:rFonts w:cs="Arial"/>
          <w:sz w:val="18"/>
          <w:szCs w:val="18"/>
        </w:rPr>
        <w:t xml:space="preserve">van </w:t>
      </w:r>
      <w:r>
        <w:rPr>
          <w:rFonts w:cs="Arial"/>
          <w:sz w:val="18"/>
          <w:szCs w:val="18"/>
        </w:rPr>
        <w:t xml:space="preserve">dergelijke bijkantoren gevestigd die een vergunning van DNB hebben ontvangen op grond van het huidige artikel 2:20 Wft. </w:t>
      </w:r>
      <w:r w:rsidR="00C21B08">
        <w:rPr>
          <w:rFonts w:cs="Arial"/>
          <w:sz w:val="18"/>
          <w:szCs w:val="18"/>
        </w:rPr>
        <w:t xml:space="preserve">Deze </w:t>
      </w:r>
      <w:r>
        <w:rPr>
          <w:rFonts w:cs="Arial"/>
          <w:sz w:val="18"/>
          <w:szCs w:val="18"/>
        </w:rPr>
        <w:t xml:space="preserve">twee bijkantoren </w:t>
      </w:r>
      <w:r w:rsidR="00C21B08">
        <w:rPr>
          <w:rFonts w:cs="Arial"/>
          <w:sz w:val="18"/>
          <w:szCs w:val="18"/>
        </w:rPr>
        <w:t xml:space="preserve">moeten uiterlijk </w:t>
      </w:r>
      <w:r w:rsidR="008B60E8">
        <w:rPr>
          <w:rFonts w:cs="Arial"/>
          <w:sz w:val="18"/>
          <w:szCs w:val="18"/>
        </w:rPr>
        <w:t>10</w:t>
      </w:r>
      <w:r w:rsidR="00C21B08">
        <w:rPr>
          <w:rFonts w:cs="Arial"/>
          <w:sz w:val="18"/>
          <w:szCs w:val="18"/>
        </w:rPr>
        <w:t xml:space="preserve"> januari 2027 voldoen aan Titel VI van de richtlijn kapitaalvereisten met betrekking tot </w:t>
      </w:r>
      <w:r w:rsidR="001C0C28">
        <w:rPr>
          <w:rFonts w:cs="Arial"/>
          <w:sz w:val="18"/>
          <w:szCs w:val="18"/>
        </w:rPr>
        <w:t>derde land</w:t>
      </w:r>
      <w:r w:rsidR="00C21B08">
        <w:rPr>
          <w:rFonts w:cs="Arial"/>
          <w:sz w:val="18"/>
          <w:szCs w:val="18"/>
        </w:rPr>
        <w:t xml:space="preserve"> bijkantoren</w:t>
      </w:r>
      <w:r w:rsidR="008B60E8">
        <w:rPr>
          <w:rFonts w:cs="Arial"/>
          <w:sz w:val="18"/>
          <w:szCs w:val="18"/>
        </w:rPr>
        <w:t xml:space="preserve">. DNB beoordeelt of </w:t>
      </w:r>
      <w:r w:rsidR="00585B20">
        <w:rPr>
          <w:rFonts w:cs="Arial"/>
          <w:sz w:val="18"/>
          <w:szCs w:val="18"/>
        </w:rPr>
        <w:t xml:space="preserve">de reeds bestaande </w:t>
      </w:r>
      <w:r w:rsidR="008B60E8">
        <w:rPr>
          <w:rFonts w:cs="Arial"/>
          <w:sz w:val="18"/>
          <w:szCs w:val="18"/>
        </w:rPr>
        <w:t>bijkantoren</w:t>
      </w:r>
      <w:r w:rsidR="00585B20">
        <w:rPr>
          <w:rFonts w:cs="Arial"/>
          <w:sz w:val="18"/>
          <w:szCs w:val="18"/>
        </w:rPr>
        <w:t xml:space="preserve"> met een bestaande vergunning</w:t>
      </w:r>
      <w:r w:rsidR="00C21B08">
        <w:rPr>
          <w:rFonts w:cs="Arial"/>
          <w:sz w:val="18"/>
          <w:szCs w:val="18"/>
        </w:rPr>
        <w:t xml:space="preserve"> </w:t>
      </w:r>
      <w:r w:rsidR="008B60E8">
        <w:rPr>
          <w:rFonts w:cs="Arial"/>
          <w:sz w:val="18"/>
          <w:szCs w:val="18"/>
        </w:rPr>
        <w:t xml:space="preserve">voldoen aan alle vereisten die na inwerkingtreding van deze wet zijn opgenomen in artikel 2:21 Wft. Hiermee wordt </w:t>
      </w:r>
      <w:r w:rsidR="006C06E1">
        <w:rPr>
          <w:rFonts w:cs="Arial"/>
          <w:sz w:val="18"/>
          <w:szCs w:val="18"/>
        </w:rPr>
        <w:t>artikel 48 quater, vijfde lid, CRD</w:t>
      </w:r>
      <w:r w:rsidR="008B60E8">
        <w:rPr>
          <w:rFonts w:cs="Arial"/>
          <w:sz w:val="18"/>
          <w:szCs w:val="18"/>
        </w:rPr>
        <w:t xml:space="preserve"> geïmplementeerd. Indien het bijkantoor voldoet, verleent DNB een vergunning op grond van artikel 2:20, eerste lid, Wft waardoor het bijkantoor dan over een nieuwe vergunning beschikt afgegeven onder het nieuwe </w:t>
      </w:r>
      <w:r w:rsidR="001C0C28">
        <w:rPr>
          <w:rFonts w:cs="Arial"/>
          <w:sz w:val="18"/>
          <w:szCs w:val="18"/>
        </w:rPr>
        <w:t>derde land</w:t>
      </w:r>
      <w:r w:rsidR="008B60E8">
        <w:rPr>
          <w:rFonts w:cs="Arial"/>
          <w:sz w:val="18"/>
          <w:szCs w:val="18"/>
        </w:rPr>
        <w:t xml:space="preserve"> bijkantorenregime. </w:t>
      </w:r>
      <w:r w:rsidR="00751A9F">
        <w:rPr>
          <w:rFonts w:cs="Arial"/>
          <w:sz w:val="18"/>
          <w:szCs w:val="18"/>
        </w:rPr>
        <w:t>De oude vergunning, verstrekt op grond van artikel 2:20 van de Wft zoals dat artikel luidde voor inwerkingtreding van deze wet, wordt gelijktijdig ingetrokken</w:t>
      </w:r>
      <w:r w:rsidR="009D5AEE">
        <w:rPr>
          <w:rFonts w:cs="Arial"/>
          <w:sz w:val="18"/>
          <w:szCs w:val="18"/>
        </w:rPr>
        <w:t xml:space="preserve"> als de nieuwe vergunning wordt verleend</w:t>
      </w:r>
      <w:r w:rsidR="00751A9F">
        <w:rPr>
          <w:rFonts w:cs="Arial"/>
          <w:sz w:val="18"/>
          <w:szCs w:val="18"/>
        </w:rPr>
        <w:t xml:space="preserve">. </w:t>
      </w:r>
      <w:r w:rsidR="008B60E8">
        <w:rPr>
          <w:rFonts w:cs="Arial"/>
          <w:sz w:val="18"/>
          <w:szCs w:val="18"/>
        </w:rPr>
        <w:t xml:space="preserve">Indien blijkt dat </w:t>
      </w:r>
      <w:r w:rsidR="00817497">
        <w:rPr>
          <w:rFonts w:cs="Arial"/>
          <w:sz w:val="18"/>
          <w:szCs w:val="18"/>
        </w:rPr>
        <w:t xml:space="preserve">het bijkantoor niet voldoet aan de nieuwe vereisten, trekt DNB de oude vergunning in. </w:t>
      </w:r>
      <w:r w:rsidR="007E3EF2">
        <w:rPr>
          <w:rFonts w:cs="Arial"/>
          <w:sz w:val="18"/>
          <w:szCs w:val="18"/>
        </w:rPr>
        <w:t>Omdat dit artikel redelijk binair is (voldoen = vergunning, niet voldoen = intrekking) is het zaak voor bijkantoren die reeds een vergunning hebben en deze willen behouden onder het nieuwe regime om op tijd te voldoen aan de nieuwe vereisten voor dergelijke vergunningen uit artikel 2:20, eerste lid, Wft.</w:t>
      </w:r>
      <w:r>
        <w:rPr>
          <w:rFonts w:cs="Arial"/>
          <w:sz w:val="18"/>
          <w:szCs w:val="18"/>
        </w:rPr>
        <w:t xml:space="preserve"> Het is daarom raadzaam om in de aanloop naar de datum van 10 januari 2027 al na te gaan, zowel door het bijkantoor zelf als door DNB, of voldaan wordt aan de nieuwe vereisten die volgen uit de implementatie van de richtlijn.</w:t>
      </w:r>
      <w:r w:rsidR="00D521BF">
        <w:rPr>
          <w:rFonts w:cs="Arial"/>
          <w:sz w:val="18"/>
          <w:szCs w:val="18"/>
        </w:rPr>
        <w:t xml:space="preserve"> Het eventuele niet voldoen van het derde land bijkantoor kan dan nog geremedieerd worden voor de </w:t>
      </w:r>
      <w:r w:rsidR="00D521BF">
        <w:rPr>
          <w:rFonts w:cs="Arial"/>
          <w:i/>
          <w:iCs/>
          <w:sz w:val="18"/>
          <w:szCs w:val="18"/>
        </w:rPr>
        <w:t xml:space="preserve">cliff-edge </w:t>
      </w:r>
      <w:r w:rsidR="00D521BF">
        <w:rPr>
          <w:rFonts w:cs="Arial"/>
          <w:sz w:val="18"/>
          <w:szCs w:val="18"/>
        </w:rPr>
        <w:t>datum van 10 januari 2027.</w:t>
      </w:r>
    </w:p>
    <w:p w:rsidR="00B563A8" w:rsidP="008B60E8" w:rsidRDefault="00B563A8" w14:paraId="0832B05F" w14:textId="77777777">
      <w:pPr>
        <w:widowControl w:val="0"/>
        <w:tabs>
          <w:tab w:val="num" w:pos="720"/>
        </w:tabs>
        <w:spacing w:line="240" w:lineRule="atLeast"/>
        <w:rPr>
          <w:rFonts w:cs="Arial"/>
          <w:sz w:val="18"/>
          <w:szCs w:val="18"/>
        </w:rPr>
      </w:pPr>
    </w:p>
    <w:p w:rsidR="00D521BF" w:rsidP="00D521BF" w:rsidRDefault="00D521BF" w14:paraId="13950D20" w14:textId="5E16493B">
      <w:pPr>
        <w:widowControl w:val="0"/>
        <w:tabs>
          <w:tab w:val="num" w:pos="720"/>
        </w:tabs>
        <w:spacing w:line="240" w:lineRule="atLeast"/>
        <w:rPr>
          <w:rFonts w:cs="Arial"/>
          <w:sz w:val="18"/>
          <w:szCs w:val="18"/>
        </w:rPr>
      </w:pPr>
      <w:r w:rsidRPr="00D521BF">
        <w:rPr>
          <w:rFonts w:cs="Arial"/>
          <w:sz w:val="18"/>
          <w:szCs w:val="18"/>
        </w:rPr>
        <w:t xml:space="preserve">Met </w:t>
      </w:r>
      <w:r>
        <w:rPr>
          <w:rFonts w:cs="Arial"/>
          <w:sz w:val="18"/>
          <w:szCs w:val="18"/>
        </w:rPr>
        <w:t xml:space="preserve">het tweede lid </w:t>
      </w:r>
      <w:r w:rsidRPr="00D521BF">
        <w:rPr>
          <w:rFonts w:cs="Arial"/>
          <w:sz w:val="18"/>
          <w:szCs w:val="18"/>
        </w:rPr>
        <w:t>wordt artikel 21</w:t>
      </w:r>
      <w:r>
        <w:rPr>
          <w:rFonts w:cs="Arial"/>
          <w:sz w:val="18"/>
          <w:szCs w:val="18"/>
        </w:rPr>
        <w:t xml:space="preserve"> </w:t>
      </w:r>
      <w:r w:rsidRPr="00D521BF">
        <w:rPr>
          <w:rFonts w:cs="Arial"/>
          <w:sz w:val="18"/>
          <w:szCs w:val="18"/>
        </w:rPr>
        <w:t>quater, vijfde lid,</w:t>
      </w:r>
      <w:r>
        <w:rPr>
          <w:rFonts w:cs="Arial"/>
          <w:sz w:val="18"/>
          <w:szCs w:val="18"/>
        </w:rPr>
        <w:t xml:space="preserve"> CRD</w:t>
      </w:r>
      <w:r w:rsidRPr="00D521BF">
        <w:rPr>
          <w:rFonts w:cs="Arial"/>
          <w:sz w:val="18"/>
          <w:szCs w:val="18"/>
        </w:rPr>
        <w:t xml:space="preserve"> geïmplementeerd. Daarin is bepaald, met zoveel woorden, dat het vergunningvereiste voor </w:t>
      </w:r>
      <w:r>
        <w:rPr>
          <w:rFonts w:cs="Arial"/>
          <w:sz w:val="18"/>
          <w:szCs w:val="18"/>
        </w:rPr>
        <w:t>het vestigen van een derde land bijkantoor met bijbehorende vergunning</w:t>
      </w:r>
      <w:r w:rsidRPr="00D521BF">
        <w:rPr>
          <w:rFonts w:cs="Arial"/>
          <w:sz w:val="18"/>
          <w:szCs w:val="18"/>
        </w:rPr>
        <w:t>, geen afbreuk mag doen aan overeenkomsten die zijn gesloten voorafgaand aan 11 juli 2026</w:t>
      </w:r>
      <w:r w:rsidR="00751A9F">
        <w:rPr>
          <w:rFonts w:cs="Arial"/>
          <w:sz w:val="18"/>
          <w:szCs w:val="18"/>
        </w:rPr>
        <w:t xml:space="preserve"> tussen een onderneming gevestigd in een staat die geen lidstaat is en een persoon als bedoeld in artikel 1:1 Wft in Nederland</w:t>
      </w:r>
      <w:r w:rsidRPr="00D521BF">
        <w:rPr>
          <w:rFonts w:cs="Arial"/>
          <w:sz w:val="18"/>
          <w:szCs w:val="18"/>
        </w:rPr>
        <w:t xml:space="preserve">. In overweging 6 van de considerans bij de richtlijn is opgemerkt dat deze regel strikt moet worden geïmplementeerd om omzeiling te voorkomen. </w:t>
      </w:r>
      <w:r w:rsidR="001C7454">
        <w:rPr>
          <w:rFonts w:cs="Arial"/>
          <w:sz w:val="18"/>
          <w:szCs w:val="18"/>
        </w:rPr>
        <w:t xml:space="preserve">Hiermee wordt duidelijk gemaakt dat dit geen zogenoemd </w:t>
      </w:r>
      <w:r w:rsidR="001C7454">
        <w:rPr>
          <w:rFonts w:cs="Arial"/>
          <w:i/>
          <w:iCs/>
          <w:sz w:val="18"/>
          <w:szCs w:val="18"/>
        </w:rPr>
        <w:t>grandfathering regime</w:t>
      </w:r>
      <w:r w:rsidR="001C7454">
        <w:rPr>
          <w:rFonts w:cs="Arial"/>
          <w:sz w:val="18"/>
          <w:szCs w:val="18"/>
        </w:rPr>
        <w:t xml:space="preserve"> betreft waarin dergelijke oude contracten kunnen blijven doorlopen en aangepast mogen worden. Het betreft een </w:t>
      </w:r>
      <w:r w:rsidR="001C7454">
        <w:rPr>
          <w:rFonts w:cs="Arial"/>
          <w:i/>
          <w:iCs/>
          <w:sz w:val="18"/>
          <w:szCs w:val="18"/>
        </w:rPr>
        <w:t>phasing out regime</w:t>
      </w:r>
      <w:r w:rsidR="001C7454">
        <w:rPr>
          <w:rFonts w:cs="Arial"/>
          <w:sz w:val="18"/>
          <w:szCs w:val="18"/>
        </w:rPr>
        <w:t xml:space="preserve"> zodat bestaande contracten uitgediend worden, maar niet meer aangepast mogen worden</w:t>
      </w:r>
      <w:r w:rsidR="00520D61">
        <w:rPr>
          <w:rFonts w:cs="Arial"/>
          <w:sz w:val="18"/>
          <w:szCs w:val="18"/>
        </w:rPr>
        <w:t xml:space="preserve"> zonder dat aan de vereisten uit de richtlijn is voldaan</w:t>
      </w:r>
      <w:r w:rsidR="001C7454">
        <w:rPr>
          <w:rFonts w:cs="Arial"/>
          <w:sz w:val="18"/>
          <w:szCs w:val="18"/>
        </w:rPr>
        <w:t>.</w:t>
      </w:r>
      <w:r w:rsidRPr="00D521BF">
        <w:rPr>
          <w:rFonts w:cs="Arial"/>
          <w:sz w:val="18"/>
          <w:szCs w:val="18"/>
        </w:rPr>
        <w:t xml:space="preserve"> </w:t>
      </w:r>
      <w:r w:rsidRPr="00D521BF" w:rsidR="001C7454">
        <w:rPr>
          <w:rFonts w:cs="Arial"/>
          <w:sz w:val="18"/>
          <w:szCs w:val="18"/>
        </w:rPr>
        <w:t xml:space="preserve">Uit de considerans moet worden afgeleid dat een wijziging </w:t>
      </w:r>
      <w:r w:rsidR="00520D61">
        <w:rPr>
          <w:rFonts w:cs="Arial"/>
          <w:sz w:val="18"/>
          <w:szCs w:val="18"/>
        </w:rPr>
        <w:t xml:space="preserve">al </w:t>
      </w:r>
      <w:r w:rsidRPr="00D521BF" w:rsidR="001C7454">
        <w:rPr>
          <w:rFonts w:cs="Arial"/>
          <w:sz w:val="18"/>
          <w:szCs w:val="18"/>
        </w:rPr>
        <w:t xml:space="preserve">snel leidt tot een nieuwe overeenkomst die niet kan worden gesloten zonder </w:t>
      </w:r>
      <w:r w:rsidR="001C7454">
        <w:rPr>
          <w:rFonts w:cs="Arial"/>
          <w:sz w:val="18"/>
          <w:szCs w:val="18"/>
        </w:rPr>
        <w:t>vestiging van een derde land bijkantoor en verkrijging van bijbehorende vergunning</w:t>
      </w:r>
      <w:r w:rsidRPr="00D521BF" w:rsidR="001C7454">
        <w:rPr>
          <w:rFonts w:cs="Arial"/>
          <w:sz w:val="18"/>
          <w:szCs w:val="18"/>
        </w:rPr>
        <w:t>.</w:t>
      </w:r>
      <w:r w:rsidR="001C7454">
        <w:rPr>
          <w:rFonts w:cs="Arial"/>
          <w:sz w:val="18"/>
          <w:szCs w:val="18"/>
        </w:rPr>
        <w:t xml:space="preserve"> </w:t>
      </w:r>
      <w:r w:rsidRPr="00D521BF">
        <w:rPr>
          <w:rFonts w:cs="Arial"/>
          <w:sz w:val="18"/>
          <w:szCs w:val="18"/>
        </w:rPr>
        <w:t xml:space="preserve">Naar Nederlands recht is in </w:t>
      </w:r>
      <w:r>
        <w:rPr>
          <w:rFonts w:cs="Arial"/>
          <w:sz w:val="18"/>
          <w:szCs w:val="18"/>
        </w:rPr>
        <w:t>het concrete geval</w:t>
      </w:r>
      <w:r w:rsidRPr="00D521BF">
        <w:rPr>
          <w:rFonts w:cs="Arial"/>
          <w:sz w:val="18"/>
          <w:szCs w:val="18"/>
        </w:rPr>
        <w:t xml:space="preserve"> dikwijls moeilijk uit te maken of een bepaalde wijziging in de verbintenis wel of geen schuldvernieuwing (novatie) met zich meebrengt. Dat zal naar Europees recht niet anders zijn. Artikel 25 van de Richtlijn sanering en liquidatie van banken</w:t>
      </w:r>
      <w:r w:rsidR="006E358E">
        <w:rPr>
          <w:rStyle w:val="Voetnootmarkering"/>
          <w:rFonts w:cs="Arial"/>
          <w:sz w:val="18"/>
          <w:szCs w:val="18"/>
        </w:rPr>
        <w:footnoteReference w:id="93"/>
      </w:r>
      <w:r w:rsidR="006E358E">
        <w:rPr>
          <w:rFonts w:cs="Arial"/>
          <w:sz w:val="18"/>
          <w:szCs w:val="18"/>
        </w:rPr>
        <w:t>,</w:t>
      </w:r>
      <w:r w:rsidRPr="00D521BF">
        <w:rPr>
          <w:rFonts w:cs="Arial"/>
          <w:sz w:val="18"/>
          <w:szCs w:val="18"/>
        </w:rPr>
        <w:t xml:space="preserve"> en vooral een vergelijking van de Engelse taalversie met de Nederlandse taalversie daarvan</w:t>
      </w:r>
      <w:r w:rsidR="006E358E">
        <w:rPr>
          <w:rFonts w:cs="Arial"/>
          <w:sz w:val="18"/>
          <w:szCs w:val="18"/>
        </w:rPr>
        <w:t>,</w:t>
      </w:r>
      <w:r w:rsidRPr="00D521BF">
        <w:rPr>
          <w:rFonts w:cs="Arial"/>
          <w:sz w:val="18"/>
          <w:szCs w:val="18"/>
        </w:rPr>
        <w:t xml:space="preserve"> levert de aanwijzing op dat onder ‘novation’ ook verrekening of een </w:t>
      </w:r>
      <w:r w:rsidRPr="00964656">
        <w:rPr>
          <w:rFonts w:cs="Arial"/>
          <w:i/>
          <w:iCs/>
          <w:sz w:val="18"/>
          <w:szCs w:val="18"/>
        </w:rPr>
        <w:t>netting agreement</w:t>
      </w:r>
      <w:r w:rsidRPr="00D521BF">
        <w:rPr>
          <w:rFonts w:cs="Arial"/>
          <w:sz w:val="18"/>
          <w:szCs w:val="18"/>
        </w:rPr>
        <w:t xml:space="preserve"> moet worden verstaan.</w:t>
      </w:r>
      <w:r w:rsidR="00E608EA">
        <w:rPr>
          <w:rFonts w:cs="Arial"/>
          <w:sz w:val="18"/>
          <w:szCs w:val="18"/>
        </w:rPr>
        <w:t xml:space="preserve"> Alleen in het geval dat een novatie of verrekening louter leidt tot het reduceren van verplichtingen over en weer, of hiermee een overeenkomst beëindigd wordt, zal novatie of verrekening mogelijk zijn zonder dat dit voor de derde land onderneming ertoe leidt dat deze een </w:t>
      </w:r>
      <w:r w:rsidR="00E608EA">
        <w:rPr>
          <w:rFonts w:cs="Arial"/>
          <w:sz w:val="18"/>
          <w:szCs w:val="18"/>
        </w:rPr>
        <w:lastRenderedPageBreak/>
        <w:t>bijkantoor moet vestigen en een vergunning moet aanvragen. Alle andere gevallen, waarbij novatie of nettering zou</w:t>
      </w:r>
      <w:r w:rsidR="00CD16FC">
        <w:rPr>
          <w:rFonts w:cs="Arial"/>
          <w:sz w:val="18"/>
          <w:szCs w:val="18"/>
        </w:rPr>
        <w:t>den</w:t>
      </w:r>
      <w:r w:rsidR="00E608EA">
        <w:rPr>
          <w:rFonts w:cs="Arial"/>
          <w:sz w:val="18"/>
          <w:szCs w:val="18"/>
        </w:rPr>
        <w:t xml:space="preserve"> leiden tot een nieuwe verbintenis, een nieuwe schuld (niet zijnde de gereduceerde schuld door novatie/verrekening) of een aanpassing in de identiteit van de verbintenis, zijn niet toegestaan </w:t>
      </w:r>
      <w:r w:rsidRPr="00D521BF">
        <w:rPr>
          <w:rFonts w:cs="Arial"/>
          <w:sz w:val="18"/>
          <w:szCs w:val="18"/>
        </w:rPr>
        <w:t>zonder</w:t>
      </w:r>
      <w:r w:rsidR="00E608EA">
        <w:rPr>
          <w:rFonts w:cs="Arial"/>
          <w:sz w:val="18"/>
          <w:szCs w:val="18"/>
        </w:rPr>
        <w:t xml:space="preserve"> dat</w:t>
      </w:r>
      <w:r w:rsidRPr="00D521BF">
        <w:rPr>
          <w:rFonts w:cs="Arial"/>
          <w:sz w:val="18"/>
          <w:szCs w:val="18"/>
        </w:rPr>
        <w:t xml:space="preserve"> </w:t>
      </w:r>
      <w:r>
        <w:rPr>
          <w:rFonts w:cs="Arial"/>
          <w:sz w:val="18"/>
          <w:szCs w:val="18"/>
        </w:rPr>
        <w:t>een derde land bijkantoor te vestigen en daarvoor een vergunning te verkrijgen</w:t>
      </w:r>
      <w:r w:rsidR="00520D61">
        <w:rPr>
          <w:rFonts w:cs="Arial"/>
          <w:sz w:val="18"/>
          <w:szCs w:val="18"/>
        </w:rPr>
        <w:t xml:space="preserve"> (tenzij</w:t>
      </w:r>
      <w:r w:rsidR="001C7454">
        <w:rPr>
          <w:rFonts w:cs="Arial"/>
          <w:sz w:val="18"/>
          <w:szCs w:val="18"/>
        </w:rPr>
        <w:t xml:space="preserve"> de </w:t>
      </w:r>
      <w:r w:rsidR="00520D61">
        <w:rPr>
          <w:rFonts w:cs="Arial"/>
          <w:sz w:val="18"/>
          <w:szCs w:val="18"/>
        </w:rPr>
        <w:t xml:space="preserve">onderneming en overeenkomst </w:t>
      </w:r>
      <w:r w:rsidR="001C7454">
        <w:rPr>
          <w:rFonts w:cs="Arial"/>
          <w:sz w:val="18"/>
          <w:szCs w:val="18"/>
        </w:rPr>
        <w:t>valt onder de uitzonderingen op het derde land bijkantorenregime</w:t>
      </w:r>
      <w:r w:rsidR="00520D61">
        <w:rPr>
          <w:rFonts w:cs="Arial"/>
          <w:sz w:val="18"/>
          <w:szCs w:val="18"/>
        </w:rPr>
        <w:t>)</w:t>
      </w:r>
      <w:r w:rsidRPr="00D521BF">
        <w:rPr>
          <w:rFonts w:cs="Arial"/>
          <w:sz w:val="18"/>
          <w:szCs w:val="18"/>
        </w:rPr>
        <w:t>.</w:t>
      </w:r>
    </w:p>
    <w:p w:rsidR="00D85044" w:rsidP="00D521BF" w:rsidRDefault="00D85044" w14:paraId="316CC181" w14:textId="77777777">
      <w:pPr>
        <w:widowControl w:val="0"/>
        <w:tabs>
          <w:tab w:val="num" w:pos="720"/>
        </w:tabs>
        <w:spacing w:line="240" w:lineRule="atLeast"/>
        <w:rPr>
          <w:rFonts w:cs="Arial"/>
          <w:sz w:val="18"/>
          <w:szCs w:val="18"/>
        </w:rPr>
      </w:pPr>
    </w:p>
    <w:p w:rsidR="00D521BF" w:rsidP="00D521BF" w:rsidRDefault="00D521BF" w14:paraId="1712D9F7" w14:textId="3CC01EDC">
      <w:pPr>
        <w:widowControl w:val="0"/>
        <w:tabs>
          <w:tab w:val="num" w:pos="720"/>
        </w:tabs>
        <w:spacing w:line="240" w:lineRule="atLeast"/>
        <w:rPr>
          <w:rFonts w:cs="Arial"/>
          <w:sz w:val="18"/>
          <w:szCs w:val="18"/>
        </w:rPr>
      </w:pPr>
      <w:r>
        <w:rPr>
          <w:rFonts w:cs="Arial"/>
          <w:sz w:val="18"/>
          <w:szCs w:val="18"/>
        </w:rPr>
        <w:t xml:space="preserve">Het derde tot en met vijfde lid bevat overgangsrecht voor verklaringen van geen bezwaar. Het derde lid ziet op de situatie dat er voor inwerkingtreding van deze wet een aanvraag voor een verklaring van geen bezwaar is afgegeven op grond van artikel 3:96 Wft zoals dat artikel luidde voor inwerkingtreding van deze wet. Die vvgb’s worden gelijkgesteld met de vvgb’s op grond van artikel 3:96a Wft. Voor de artikelen 3:96, eerste lid, onderdelen a, b, en d, bevat artikel 3:96a Wft een evenknie. </w:t>
      </w:r>
    </w:p>
    <w:p w:rsidR="00D521BF" w:rsidP="00D521BF" w:rsidRDefault="00D521BF" w14:paraId="5D931628" w14:textId="77777777">
      <w:pPr>
        <w:widowControl w:val="0"/>
        <w:tabs>
          <w:tab w:val="num" w:pos="720"/>
        </w:tabs>
        <w:spacing w:line="240" w:lineRule="atLeast"/>
        <w:rPr>
          <w:rFonts w:cs="Arial"/>
          <w:sz w:val="18"/>
          <w:szCs w:val="18"/>
        </w:rPr>
      </w:pPr>
    </w:p>
    <w:p w:rsidR="00D521BF" w:rsidP="00D521BF" w:rsidRDefault="00D521BF" w14:paraId="2D1D2BED" w14:textId="62905113">
      <w:pPr>
        <w:widowControl w:val="0"/>
        <w:tabs>
          <w:tab w:val="num" w:pos="720"/>
        </w:tabs>
        <w:spacing w:line="240" w:lineRule="atLeast"/>
        <w:rPr>
          <w:rFonts w:cs="Arial"/>
          <w:sz w:val="18"/>
          <w:szCs w:val="18"/>
        </w:rPr>
      </w:pPr>
      <w:r>
        <w:rPr>
          <w:rFonts w:cs="Arial"/>
          <w:sz w:val="18"/>
          <w:szCs w:val="18"/>
        </w:rPr>
        <w:t xml:space="preserve">Voor vvgb’s met betrekking tot 3:96, eerste lid, onderdeel c, </w:t>
      </w:r>
      <w:r w:rsidR="00D85044">
        <w:rPr>
          <w:rFonts w:cs="Arial"/>
          <w:sz w:val="18"/>
          <w:szCs w:val="18"/>
        </w:rPr>
        <w:t xml:space="preserve">Wft </w:t>
      </w:r>
      <w:r>
        <w:rPr>
          <w:rFonts w:cs="Arial"/>
          <w:sz w:val="18"/>
          <w:szCs w:val="18"/>
        </w:rPr>
        <w:t xml:space="preserve">is er het vierde lid in dit artikel opgenomen. Dit verklaart artikel 3:96b, eerste lid, onderdeel b, Wft niet van toepassing indien er al een aanvraag voor een vvgb voor activa/passiva overdracht was ingediend of </w:t>
      </w:r>
      <w:r w:rsidR="00825D8C">
        <w:rPr>
          <w:rFonts w:cs="Arial"/>
          <w:sz w:val="18"/>
          <w:szCs w:val="18"/>
        </w:rPr>
        <w:t xml:space="preserve">een dergelijke vvgb was </w:t>
      </w:r>
      <w:r>
        <w:rPr>
          <w:rFonts w:cs="Arial"/>
          <w:sz w:val="18"/>
          <w:szCs w:val="18"/>
        </w:rPr>
        <w:t xml:space="preserve">verkregen voorafgaand aan inwerkingtreding van deze wet. Dit omdat de activa/passiva-overdracht na implementatie van de </w:t>
      </w:r>
      <w:r w:rsidR="006D36ED">
        <w:rPr>
          <w:rFonts w:cs="Arial"/>
          <w:sz w:val="18"/>
          <w:szCs w:val="18"/>
        </w:rPr>
        <w:t>richtlijn</w:t>
      </w:r>
      <w:r>
        <w:rPr>
          <w:rFonts w:cs="Arial"/>
          <w:sz w:val="18"/>
          <w:szCs w:val="18"/>
        </w:rPr>
        <w:t xml:space="preserve"> niet meer een activiteit betreft die een vvgb vereist</w:t>
      </w:r>
      <w:r w:rsidR="00825D8C">
        <w:rPr>
          <w:rFonts w:cs="Arial"/>
          <w:sz w:val="18"/>
          <w:szCs w:val="18"/>
        </w:rPr>
        <w:t>. In die gevallen is wel</w:t>
      </w:r>
      <w:r>
        <w:rPr>
          <w:rFonts w:cs="Arial"/>
          <w:sz w:val="18"/>
          <w:szCs w:val="18"/>
        </w:rPr>
        <w:t xml:space="preserve"> een kennisgeving </w:t>
      </w:r>
      <w:r w:rsidR="00825D8C">
        <w:rPr>
          <w:rFonts w:cs="Arial"/>
          <w:sz w:val="18"/>
          <w:szCs w:val="18"/>
        </w:rPr>
        <w:t>vereist</w:t>
      </w:r>
      <w:r>
        <w:rPr>
          <w:rFonts w:cs="Arial"/>
          <w:sz w:val="18"/>
          <w:szCs w:val="18"/>
        </w:rPr>
        <w:t xml:space="preserve">. Indien </w:t>
      </w:r>
      <w:r w:rsidR="00825D8C">
        <w:rPr>
          <w:rFonts w:cs="Arial"/>
          <w:sz w:val="18"/>
          <w:szCs w:val="18"/>
        </w:rPr>
        <w:t xml:space="preserve">echter </w:t>
      </w:r>
      <w:r>
        <w:rPr>
          <w:rFonts w:cs="Arial"/>
          <w:sz w:val="18"/>
          <w:szCs w:val="18"/>
        </w:rPr>
        <w:t>reeds een aanvraag voor een vvgb is gedaan voor activa/passiva-overdracht</w:t>
      </w:r>
      <w:r w:rsidR="00385727">
        <w:rPr>
          <w:rFonts w:cs="Arial"/>
          <w:sz w:val="18"/>
          <w:szCs w:val="18"/>
        </w:rPr>
        <w:t xml:space="preserve"> </w:t>
      </w:r>
      <w:r w:rsidR="00825D8C">
        <w:rPr>
          <w:rFonts w:cs="Arial"/>
          <w:sz w:val="18"/>
          <w:szCs w:val="18"/>
        </w:rPr>
        <w:t xml:space="preserve">voor de inwerkingtreding van dit onderdeel van het onderhavige wetsvoorstel, </w:t>
      </w:r>
      <w:r>
        <w:rPr>
          <w:rFonts w:cs="Arial"/>
          <w:sz w:val="18"/>
          <w:szCs w:val="18"/>
        </w:rPr>
        <w:t>is het niet nodig om alsnog een kennisgeving te doen. Daarom is artikel 3:96b, eerste lid, onderdeel b, Wft niet van toepassing verklaard.</w:t>
      </w:r>
    </w:p>
    <w:p w:rsidR="00D521BF" w:rsidP="00D521BF" w:rsidRDefault="00D521BF" w14:paraId="303DD6FE" w14:textId="77777777">
      <w:pPr>
        <w:widowControl w:val="0"/>
        <w:tabs>
          <w:tab w:val="num" w:pos="720"/>
        </w:tabs>
        <w:spacing w:line="240" w:lineRule="atLeast"/>
        <w:rPr>
          <w:rFonts w:cs="Arial"/>
          <w:sz w:val="18"/>
          <w:szCs w:val="18"/>
        </w:rPr>
      </w:pPr>
    </w:p>
    <w:p w:rsidR="00D521BF" w:rsidP="00D521BF" w:rsidRDefault="00D521BF" w14:paraId="7D82C185" w14:textId="73411076">
      <w:pPr>
        <w:widowControl w:val="0"/>
        <w:tabs>
          <w:tab w:val="num" w:pos="720"/>
        </w:tabs>
        <w:spacing w:line="240" w:lineRule="atLeast"/>
        <w:rPr>
          <w:rFonts w:cs="Arial"/>
          <w:sz w:val="18"/>
          <w:szCs w:val="18"/>
        </w:rPr>
      </w:pPr>
      <w:r>
        <w:rPr>
          <w:rFonts w:cs="Arial"/>
          <w:sz w:val="18"/>
          <w:szCs w:val="18"/>
        </w:rPr>
        <w:t>Het vijfde lid ziet op de situatie dat een aanvraag voor een vvgb op grond van artikel 3:96 Wft nog niet onherroepelijk is geworden voor de inwerkingtreding van deze wet. In dat geval moet de aanvraag beschouwd worden als een aanvraag onder het nieuwe systeem uit artikel 3:96a en 3:96b Wft. Omdat de drempelwaarden voor wanneer een vvgb aangevraagd moet worden hoger komen te liggen, en</w:t>
      </w:r>
      <w:r w:rsidR="00825D8C">
        <w:rPr>
          <w:rFonts w:cs="Arial"/>
          <w:sz w:val="18"/>
          <w:szCs w:val="18"/>
        </w:rPr>
        <w:t xml:space="preserve"> er</w:t>
      </w:r>
      <w:r>
        <w:rPr>
          <w:rFonts w:cs="Arial"/>
          <w:sz w:val="18"/>
          <w:szCs w:val="18"/>
        </w:rPr>
        <w:t xml:space="preserve"> dus minder snel sprake zal zijn van een deelneming van betekenis onder het nieuwe artikel 3:96a, zou het kunnen dat er gevallen zijn waar voorheen een vvgb-aanvraag nodig was, maar dat nu niet meer het geval is. Ook de beoordelingsgronden voor het oude systeem op grond van artikel 3:101 Wft en de nieuwe systematiek in 3:101a Wft zijn nagenoeg gelijk. Beoordeling onder het nieuwe kader zou hiermee geen verzwaring voor partijen moeten opleveren.</w:t>
      </w:r>
    </w:p>
    <w:p w:rsidR="00B02E45" w:rsidP="001F3B5F" w:rsidRDefault="00B02E45" w14:paraId="0255FCFB" w14:textId="77777777">
      <w:pPr>
        <w:widowControl w:val="0"/>
        <w:tabs>
          <w:tab w:val="num" w:pos="720"/>
        </w:tabs>
        <w:spacing w:line="240" w:lineRule="atLeast"/>
        <w:rPr>
          <w:rFonts w:cs="Arial"/>
          <w:sz w:val="18"/>
          <w:szCs w:val="18"/>
        </w:rPr>
      </w:pPr>
    </w:p>
    <w:p w:rsidR="00B02E45" w:rsidP="001F3B5F" w:rsidRDefault="00B02E45" w14:paraId="45CB5460" w14:textId="77777777">
      <w:pPr>
        <w:widowControl w:val="0"/>
        <w:tabs>
          <w:tab w:val="num" w:pos="720"/>
        </w:tabs>
        <w:spacing w:line="240" w:lineRule="atLeast"/>
        <w:rPr>
          <w:rFonts w:cs="Arial"/>
          <w:sz w:val="18"/>
          <w:szCs w:val="18"/>
        </w:rPr>
      </w:pPr>
    </w:p>
    <w:p w:rsidR="00972292" w:rsidRDefault="00972292" w14:paraId="62DBB95C" w14:textId="77777777">
      <w:pPr>
        <w:rPr>
          <w:rFonts w:cs="Arial"/>
          <w:b/>
          <w:bCs/>
          <w:sz w:val="18"/>
          <w:szCs w:val="18"/>
        </w:rPr>
      </w:pPr>
      <w:r>
        <w:rPr>
          <w:rFonts w:cs="Arial"/>
          <w:b/>
          <w:bCs/>
          <w:sz w:val="18"/>
          <w:szCs w:val="18"/>
        </w:rPr>
        <w:br w:type="page"/>
      </w:r>
    </w:p>
    <w:p w:rsidR="00B02E45" w:rsidP="001F3B5F" w:rsidRDefault="00B02E45" w14:paraId="141F83D8" w14:textId="55E8E666">
      <w:pPr>
        <w:widowControl w:val="0"/>
        <w:tabs>
          <w:tab w:val="num" w:pos="720"/>
        </w:tabs>
        <w:spacing w:line="240" w:lineRule="atLeast"/>
        <w:rPr>
          <w:rFonts w:cs="Arial"/>
          <w:b/>
          <w:bCs/>
          <w:sz w:val="18"/>
          <w:szCs w:val="18"/>
        </w:rPr>
      </w:pPr>
      <w:r>
        <w:rPr>
          <w:rFonts w:cs="Arial"/>
          <w:b/>
          <w:bCs/>
          <w:sz w:val="18"/>
          <w:szCs w:val="18"/>
        </w:rPr>
        <w:lastRenderedPageBreak/>
        <w:t>Artikel V</w:t>
      </w:r>
      <w:r w:rsidR="007018F3">
        <w:rPr>
          <w:rFonts w:cs="Arial"/>
          <w:b/>
          <w:bCs/>
          <w:sz w:val="18"/>
          <w:szCs w:val="18"/>
        </w:rPr>
        <w:t xml:space="preserve"> (Inwerkingtreding)</w:t>
      </w:r>
    </w:p>
    <w:p w:rsidR="00B02E45" w:rsidP="001F3B5F" w:rsidRDefault="00B02E45" w14:paraId="73B60C72" w14:textId="77777777">
      <w:pPr>
        <w:widowControl w:val="0"/>
        <w:tabs>
          <w:tab w:val="num" w:pos="720"/>
        </w:tabs>
        <w:spacing w:line="240" w:lineRule="atLeast"/>
        <w:rPr>
          <w:rFonts w:cs="Arial"/>
          <w:b/>
          <w:bCs/>
          <w:sz w:val="18"/>
          <w:szCs w:val="18"/>
        </w:rPr>
      </w:pPr>
    </w:p>
    <w:p w:rsidRPr="00B02E45" w:rsidR="00B02E45" w:rsidP="00B02E45" w:rsidRDefault="00B02E45" w14:paraId="1F469FCE" w14:textId="06A9ED83">
      <w:pPr>
        <w:widowControl w:val="0"/>
        <w:tabs>
          <w:tab w:val="num" w:pos="720"/>
        </w:tabs>
        <w:spacing w:line="240" w:lineRule="atLeast"/>
        <w:rPr>
          <w:rFonts w:cs="Arial"/>
          <w:sz w:val="18"/>
          <w:szCs w:val="18"/>
        </w:rPr>
      </w:pPr>
      <w:r>
        <w:rPr>
          <w:rFonts w:cs="Arial"/>
          <w:sz w:val="18"/>
          <w:szCs w:val="18"/>
        </w:rPr>
        <w:t xml:space="preserve">De </w:t>
      </w:r>
      <w:r w:rsidR="007E3EF2">
        <w:rPr>
          <w:rFonts w:cs="Arial"/>
          <w:sz w:val="18"/>
          <w:szCs w:val="18"/>
        </w:rPr>
        <w:t xml:space="preserve">omzettingsbepaling </w:t>
      </w:r>
      <w:r>
        <w:rPr>
          <w:rFonts w:cs="Arial"/>
          <w:sz w:val="18"/>
          <w:szCs w:val="18"/>
        </w:rPr>
        <w:t>van de richtlijn bevat een aantal</w:t>
      </w:r>
      <w:r w:rsidR="00983F90">
        <w:rPr>
          <w:rFonts w:cs="Arial"/>
          <w:sz w:val="18"/>
          <w:szCs w:val="18"/>
        </w:rPr>
        <w:t xml:space="preserve"> verschillende</w:t>
      </w:r>
      <w:r w:rsidR="00825D8C">
        <w:rPr>
          <w:rFonts w:cs="Arial"/>
          <w:sz w:val="18"/>
          <w:szCs w:val="18"/>
        </w:rPr>
        <w:t xml:space="preserve"> momenten waarop de bepalingen uit de richtlijn van toepassing worden</w:t>
      </w:r>
      <w:r>
        <w:rPr>
          <w:rFonts w:cs="Arial"/>
          <w:sz w:val="18"/>
          <w:szCs w:val="18"/>
        </w:rPr>
        <w:t xml:space="preserve">. </w:t>
      </w:r>
      <w:r w:rsidR="002835A6">
        <w:rPr>
          <w:rFonts w:cs="Arial"/>
          <w:sz w:val="18"/>
          <w:szCs w:val="18"/>
        </w:rPr>
        <w:t xml:space="preserve">Om die reden </w:t>
      </w:r>
      <w:r>
        <w:rPr>
          <w:rFonts w:cs="Arial"/>
          <w:sz w:val="18"/>
          <w:szCs w:val="18"/>
        </w:rPr>
        <w:t>wordt de inwerkingtreding geregeld bij koninklijk besluit zodat per artikel bepaald kan worden of dit op 11 januari 2026</w:t>
      </w:r>
      <w:r w:rsidR="00585B20">
        <w:rPr>
          <w:rFonts w:cs="Arial"/>
          <w:sz w:val="18"/>
          <w:szCs w:val="18"/>
        </w:rPr>
        <w:t xml:space="preserve"> (grootste gedeelte wijzigingen, niet zijnde artikelen die betrekking hebben op </w:t>
      </w:r>
      <w:r w:rsidR="001C0C28">
        <w:rPr>
          <w:rFonts w:cs="Arial"/>
          <w:sz w:val="18"/>
          <w:szCs w:val="18"/>
        </w:rPr>
        <w:t>derde land</w:t>
      </w:r>
      <w:r w:rsidR="00585B20">
        <w:rPr>
          <w:rFonts w:cs="Arial"/>
          <w:sz w:val="18"/>
          <w:szCs w:val="18"/>
        </w:rPr>
        <w:t xml:space="preserve"> bijkantoren), 11 juli 2026</w:t>
      </w:r>
      <w:r>
        <w:rPr>
          <w:rFonts w:cs="Arial"/>
          <w:sz w:val="18"/>
          <w:szCs w:val="18"/>
        </w:rPr>
        <w:t xml:space="preserve"> </w:t>
      </w:r>
      <w:r w:rsidR="00585B20">
        <w:rPr>
          <w:rFonts w:cs="Arial"/>
          <w:sz w:val="18"/>
          <w:szCs w:val="18"/>
        </w:rPr>
        <w:t xml:space="preserve">(voor bepaalde rapportagevereisten voor </w:t>
      </w:r>
      <w:r w:rsidR="001C0C28">
        <w:rPr>
          <w:rFonts w:cs="Arial"/>
          <w:sz w:val="18"/>
          <w:szCs w:val="18"/>
        </w:rPr>
        <w:t>derde land</w:t>
      </w:r>
      <w:r w:rsidR="00585B20">
        <w:rPr>
          <w:rFonts w:cs="Arial"/>
          <w:sz w:val="18"/>
          <w:szCs w:val="18"/>
        </w:rPr>
        <w:t xml:space="preserve"> bijkantoren) </w:t>
      </w:r>
      <w:r>
        <w:rPr>
          <w:rFonts w:cs="Arial"/>
          <w:sz w:val="18"/>
          <w:szCs w:val="18"/>
        </w:rPr>
        <w:t>of 11 januari 2027</w:t>
      </w:r>
      <w:r w:rsidR="00695A02">
        <w:rPr>
          <w:rFonts w:cs="Arial"/>
          <w:sz w:val="18"/>
          <w:szCs w:val="18"/>
        </w:rPr>
        <w:t xml:space="preserve"> (voor het </w:t>
      </w:r>
      <w:r w:rsidR="00585B20">
        <w:rPr>
          <w:rFonts w:cs="Arial"/>
          <w:sz w:val="18"/>
          <w:szCs w:val="18"/>
        </w:rPr>
        <w:t xml:space="preserve">gehele </w:t>
      </w:r>
      <w:r w:rsidR="001C0C28">
        <w:rPr>
          <w:rFonts w:cs="Arial"/>
          <w:sz w:val="18"/>
          <w:szCs w:val="18"/>
        </w:rPr>
        <w:t>derde land</w:t>
      </w:r>
      <w:r w:rsidR="00585B20">
        <w:rPr>
          <w:rFonts w:cs="Arial"/>
          <w:sz w:val="18"/>
          <w:szCs w:val="18"/>
        </w:rPr>
        <w:t xml:space="preserve"> </w:t>
      </w:r>
      <w:r w:rsidR="00695A02">
        <w:rPr>
          <w:rFonts w:cs="Arial"/>
          <w:sz w:val="18"/>
          <w:szCs w:val="18"/>
        </w:rPr>
        <w:t>bijkantorenregime)</w:t>
      </w:r>
      <w:r>
        <w:rPr>
          <w:rFonts w:cs="Arial"/>
          <w:sz w:val="18"/>
          <w:szCs w:val="18"/>
        </w:rPr>
        <w:t xml:space="preserve"> van toepassing moet worden.</w:t>
      </w:r>
    </w:p>
    <w:p w:rsidRPr="007021E8" w:rsidR="00565855" w:rsidP="001F3B5F" w:rsidRDefault="00565855" w14:paraId="048E8EE8" w14:textId="77777777">
      <w:pPr>
        <w:widowControl w:val="0"/>
        <w:tabs>
          <w:tab w:val="num" w:pos="720"/>
        </w:tabs>
        <w:spacing w:line="240" w:lineRule="atLeast"/>
        <w:rPr>
          <w:rFonts w:cs="Arial"/>
          <w:sz w:val="18"/>
          <w:szCs w:val="18"/>
        </w:rPr>
      </w:pPr>
    </w:p>
    <w:p w:rsidR="00CB056C" w:rsidRDefault="001F3B5F" w14:paraId="1E526B02" w14:textId="47A82222">
      <w:pPr>
        <w:widowControl w:val="0"/>
        <w:tabs>
          <w:tab w:val="num" w:pos="720"/>
        </w:tabs>
        <w:spacing w:line="240" w:lineRule="atLeast"/>
        <w:rPr>
          <w:rFonts w:cs="Arial"/>
          <w:sz w:val="18"/>
          <w:szCs w:val="18"/>
        </w:rPr>
      </w:pPr>
      <w:r w:rsidRPr="007021E8">
        <w:rPr>
          <w:rFonts w:cs="Arial"/>
          <w:sz w:val="18"/>
          <w:szCs w:val="18"/>
        </w:rPr>
        <w:t>De Minister van Financiën,</w:t>
      </w:r>
    </w:p>
    <w:p w:rsidR="00CB056C" w:rsidRDefault="00CB056C" w14:paraId="18324154" w14:textId="77777777">
      <w:pPr>
        <w:rPr>
          <w:rFonts w:cs="Arial"/>
          <w:sz w:val="18"/>
          <w:szCs w:val="18"/>
        </w:rPr>
      </w:pPr>
      <w:r>
        <w:rPr>
          <w:rFonts w:cs="Arial"/>
          <w:sz w:val="18"/>
          <w:szCs w:val="18"/>
        </w:rPr>
        <w:br w:type="page"/>
      </w:r>
    </w:p>
    <w:p w:rsidRPr="00AC2E4A" w:rsidR="002C5EC5" w:rsidP="002C5EC5" w:rsidRDefault="002C5EC5" w14:paraId="720975C6" w14:textId="77777777">
      <w:pPr>
        <w:rPr>
          <w:b/>
          <w:bCs/>
        </w:rPr>
      </w:pPr>
      <w:r w:rsidRPr="00AC2E4A">
        <w:rPr>
          <w:b/>
          <w:bCs/>
        </w:rPr>
        <w:lastRenderedPageBreak/>
        <w:t>Bijlage: transponeringstabellen</w:t>
      </w:r>
    </w:p>
    <w:p w:rsidRPr="00AC2E4A" w:rsidR="002C5EC5" w:rsidP="002C5EC5" w:rsidRDefault="002C5EC5" w14:paraId="6FF82184" w14:textId="77777777">
      <w:pPr>
        <w:rPr>
          <w:b/>
          <w:bCs/>
        </w:rPr>
      </w:pPr>
    </w:p>
    <w:p w:rsidRPr="00AC2E4A" w:rsidR="002C5EC5" w:rsidP="002C5EC5" w:rsidRDefault="002C5EC5" w14:paraId="1D2AB712" w14:textId="77777777">
      <w:r w:rsidRPr="00AC2E4A">
        <w:t>Afkortingen:</w:t>
      </w:r>
    </w:p>
    <w:p w:rsidRPr="00AC2E4A" w:rsidR="002C5EC5" w:rsidP="002C5EC5" w:rsidRDefault="002C5EC5" w14:paraId="0ABDF998" w14:textId="77777777"/>
    <w:p w:rsidRPr="00AC2E4A" w:rsidR="002C5EC5" w:rsidP="002C5EC5" w:rsidRDefault="002C5EC5" w14:paraId="351CFDB5" w14:textId="77777777">
      <w:r w:rsidRPr="00AC2E4A">
        <w:t>Awb = Algemene wet bestuursrecht</w:t>
      </w:r>
    </w:p>
    <w:p w:rsidRPr="00AC2E4A" w:rsidR="002C5EC5" w:rsidP="002C5EC5" w:rsidRDefault="002C5EC5" w14:paraId="343DD927" w14:textId="77777777"/>
    <w:p w:rsidRPr="00AC2E4A" w:rsidR="002C5EC5" w:rsidP="002C5EC5" w:rsidRDefault="002C5EC5" w14:paraId="43C08330" w14:textId="77777777">
      <w:r w:rsidRPr="00AC2E4A">
        <w:t>Bbbfs = Besluit bestuurlijke boetes financiële sector</w:t>
      </w:r>
    </w:p>
    <w:p w:rsidRPr="00AC2E4A" w:rsidR="002C5EC5" w:rsidP="002C5EC5" w:rsidRDefault="002C5EC5" w14:paraId="4B758FFE" w14:textId="77777777"/>
    <w:p w:rsidRPr="00AC2E4A" w:rsidR="002C5EC5" w:rsidP="002C5EC5" w:rsidRDefault="002C5EC5" w14:paraId="7821EF04" w14:textId="77777777">
      <w:r w:rsidRPr="00AC2E4A">
        <w:t>Bpr = Besluit prudentiële regels Wft</w:t>
      </w:r>
    </w:p>
    <w:p w:rsidRPr="00AC2E4A" w:rsidR="002C5EC5" w:rsidP="002C5EC5" w:rsidRDefault="002C5EC5" w14:paraId="48DB744C" w14:textId="77777777"/>
    <w:p w:rsidRPr="00AC2E4A" w:rsidR="002C5EC5" w:rsidP="002C5EC5" w:rsidRDefault="002C5EC5" w14:paraId="26096D97" w14:textId="77777777">
      <w:r w:rsidRPr="00AC2E4A">
        <w:t>BGfo = Besluit Gedragstoezicht financiële ondernemingen Wft</w:t>
      </w:r>
    </w:p>
    <w:p w:rsidRPr="00AC2E4A" w:rsidR="002C5EC5" w:rsidP="002C5EC5" w:rsidRDefault="002C5EC5" w14:paraId="52BDF57F" w14:textId="77777777"/>
    <w:p w:rsidRPr="00AC2E4A" w:rsidR="002C5EC5" w:rsidP="002C5EC5" w:rsidRDefault="002C5EC5" w14:paraId="5C7FF974" w14:textId="77777777">
      <w:r w:rsidRPr="00AC2E4A">
        <w:t>BMfo = Besluit Markttoegang financiële ondernemingen Wft</w:t>
      </w:r>
    </w:p>
    <w:p w:rsidRPr="00AC2E4A" w:rsidR="002C5EC5" w:rsidP="002C5EC5" w:rsidRDefault="002C5EC5" w14:paraId="3491BBB2" w14:textId="77777777"/>
    <w:p w:rsidRPr="001842E3" w:rsidR="001842E3" w:rsidP="002C5EC5" w:rsidRDefault="001842E3" w14:paraId="14A1A808" w14:textId="4C899AB9">
      <w:pPr>
        <w:rPr>
          <w:lang w:val="de-DE"/>
        </w:rPr>
      </w:pPr>
      <w:r w:rsidRPr="001842E3">
        <w:rPr>
          <w:lang w:val="de-DE"/>
        </w:rPr>
        <w:t>CRD = Richtlijn 2013/36/E</w:t>
      </w:r>
      <w:r>
        <w:rPr>
          <w:lang w:val="de-DE"/>
        </w:rPr>
        <w:t xml:space="preserve">U </w:t>
      </w:r>
    </w:p>
    <w:p w:rsidR="001842E3" w:rsidP="002C5EC5" w:rsidRDefault="001842E3" w14:paraId="64212D2F" w14:textId="77777777">
      <w:pPr>
        <w:rPr>
          <w:lang w:val="de-DE"/>
        </w:rPr>
      </w:pPr>
    </w:p>
    <w:p w:rsidR="001842E3" w:rsidP="002C5EC5" w:rsidRDefault="001842E3" w14:paraId="02D4484C" w14:textId="29014195">
      <w:pPr>
        <w:rPr>
          <w:lang w:val="de-DE"/>
        </w:rPr>
      </w:pPr>
      <w:r>
        <w:rPr>
          <w:lang w:val="de-DE"/>
        </w:rPr>
        <w:t>EMIR 3-verordening = Verordening (EU) 2024/2987</w:t>
      </w:r>
    </w:p>
    <w:p w:rsidR="001842E3" w:rsidP="002C5EC5" w:rsidRDefault="001842E3" w14:paraId="23165855" w14:textId="77777777">
      <w:pPr>
        <w:rPr>
          <w:lang w:val="de-DE"/>
        </w:rPr>
      </w:pPr>
    </w:p>
    <w:p w:rsidR="001842E3" w:rsidP="002C5EC5" w:rsidRDefault="001842E3" w14:paraId="6EDFACB1" w14:textId="0AF62DC8">
      <w:pPr>
        <w:rPr>
          <w:lang w:val="de-DE"/>
        </w:rPr>
      </w:pPr>
      <w:r>
        <w:rPr>
          <w:lang w:val="de-DE"/>
        </w:rPr>
        <w:t>EMIR 3-richtlijn = Richtlijn (EU) 2024/2994</w:t>
      </w:r>
    </w:p>
    <w:p w:rsidRPr="001842E3" w:rsidR="001842E3" w:rsidP="002C5EC5" w:rsidRDefault="001842E3" w14:paraId="0A67E941" w14:textId="77777777">
      <w:pPr>
        <w:rPr>
          <w:lang w:val="de-DE"/>
        </w:rPr>
      </w:pPr>
    </w:p>
    <w:p w:rsidRPr="00751A9F" w:rsidR="002C5EC5" w:rsidP="002C5EC5" w:rsidRDefault="002C5EC5" w14:paraId="55DA6C5C" w14:textId="493BC281">
      <w:pPr>
        <w:rPr>
          <w:lang w:val="de-DE"/>
        </w:rPr>
      </w:pPr>
      <w:r w:rsidRPr="00751A9F">
        <w:rPr>
          <w:lang w:val="de-DE"/>
        </w:rPr>
        <w:t>Fw = Faillissementswet</w:t>
      </w:r>
    </w:p>
    <w:p w:rsidRPr="00751A9F" w:rsidR="002C5EC5" w:rsidP="002C5EC5" w:rsidRDefault="002C5EC5" w14:paraId="377BF750" w14:textId="77777777">
      <w:pPr>
        <w:rPr>
          <w:lang w:val="de-DE"/>
        </w:rPr>
      </w:pPr>
    </w:p>
    <w:p w:rsidRPr="00751A9F" w:rsidR="001842E3" w:rsidP="002C5EC5" w:rsidRDefault="001842E3" w14:paraId="6B1999C4" w14:textId="0527E532">
      <w:pPr>
        <w:rPr>
          <w:lang w:val="de-DE"/>
        </w:rPr>
      </w:pPr>
      <w:r w:rsidRPr="00751A9F">
        <w:rPr>
          <w:lang w:val="de-DE"/>
        </w:rPr>
        <w:t>IFD = Richtlijn (EU) 2019/2034</w:t>
      </w:r>
    </w:p>
    <w:p w:rsidRPr="00751A9F" w:rsidR="001842E3" w:rsidP="002C5EC5" w:rsidRDefault="001842E3" w14:paraId="02F4ADF8" w14:textId="77777777">
      <w:pPr>
        <w:rPr>
          <w:lang w:val="de-DE"/>
        </w:rPr>
      </w:pPr>
    </w:p>
    <w:p w:rsidRPr="00AC2E4A" w:rsidR="002C5EC5" w:rsidP="002C5EC5" w:rsidRDefault="002C5EC5" w14:paraId="29CB9580" w14:textId="0DBB5366">
      <w:r w:rsidRPr="00AC2E4A">
        <w:t>Rt</w:t>
      </w:r>
      <w:r w:rsidR="008E0540">
        <w:t>t</w:t>
      </w:r>
      <w:r w:rsidRPr="00AC2E4A">
        <w:t xml:space="preserve"> = Regeling taakuitoefening toezichthouders Wft</w:t>
      </w:r>
    </w:p>
    <w:p w:rsidRPr="00AC2E4A" w:rsidR="002C5EC5" w:rsidP="002C5EC5" w:rsidRDefault="002C5EC5" w14:paraId="02331663" w14:textId="77777777"/>
    <w:p w:rsidRPr="00AC2E4A" w:rsidR="002C5EC5" w:rsidP="002C5EC5" w:rsidRDefault="002C5EC5" w14:paraId="7CEE80FE" w14:textId="77777777">
      <w:r w:rsidRPr="00AC2E4A">
        <w:t>Wbft = Wet bekostiging financieel toezicht 2019</w:t>
      </w:r>
    </w:p>
    <w:p w:rsidR="002C5EC5" w:rsidP="002C5EC5" w:rsidRDefault="002C5EC5" w14:paraId="64D796D8" w14:textId="77777777"/>
    <w:p w:rsidR="005B594D" w:rsidP="002C5EC5" w:rsidRDefault="005B594D" w14:paraId="22443A78" w14:textId="1681C3E3">
      <w:r>
        <w:t>Wed = Wet op de economische delicten</w:t>
      </w:r>
    </w:p>
    <w:p w:rsidRPr="00AC2E4A" w:rsidR="005B594D" w:rsidP="002C5EC5" w:rsidRDefault="005B594D" w14:paraId="713DEE6B" w14:textId="77777777"/>
    <w:p w:rsidRPr="00AC2E4A" w:rsidR="002C5EC5" w:rsidP="002C5EC5" w:rsidRDefault="002C5EC5" w14:paraId="3DC2D614" w14:textId="77777777">
      <w:r w:rsidRPr="00AC2E4A">
        <w:t>Wft = Wet op het financieel toezicht</w:t>
      </w:r>
    </w:p>
    <w:p w:rsidRPr="00AC2E4A" w:rsidR="002C5EC5" w:rsidP="002C5EC5" w:rsidRDefault="002C5EC5" w14:paraId="769B8F89" w14:textId="77777777"/>
    <w:p w:rsidRPr="00AC2E4A" w:rsidR="002C5EC5" w:rsidP="002C5EC5" w:rsidRDefault="002C5EC5" w14:paraId="48DE658B" w14:textId="77777777">
      <w:pPr>
        <w:widowControl w:val="0"/>
        <w:tabs>
          <w:tab w:val="num" w:pos="720"/>
        </w:tabs>
        <w:rPr>
          <w:b/>
          <w:bCs/>
        </w:rPr>
      </w:pPr>
      <w:r w:rsidRPr="00AC2E4A">
        <w:rPr>
          <w:b/>
          <w:bCs/>
        </w:rPr>
        <w:t>Transponeringstabel behorende bij Richtlijn (EU) 2024/1619 tot wijziging van Richtlijn 2013/36/EU wat betreft toezichtsbevoegdheden, sancties, bijkantoren uit derde landen en ecologische, sociale en governancerisico’s</w:t>
      </w:r>
    </w:p>
    <w:p w:rsidR="00CB056C" w:rsidRDefault="00CB056C" w14:paraId="68FDBF08" w14:textId="77777777">
      <w:pPr>
        <w:widowControl w:val="0"/>
        <w:tabs>
          <w:tab w:val="num" w:pos="720"/>
        </w:tabs>
        <w:spacing w:line="240" w:lineRule="atLeast"/>
        <w:rPr>
          <w:rFonts w:cs="Arial"/>
          <w:sz w:val="18"/>
          <w:szCs w:val="18"/>
        </w:rPr>
      </w:pPr>
    </w:p>
    <w:tbl>
      <w:tblPr>
        <w:tblStyle w:val="Tabelraster"/>
        <w:tblW w:w="0" w:type="auto"/>
        <w:tblInd w:w="-14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57" w:type="dxa"/>
          <w:bottom w:w="57" w:type="dxa"/>
        </w:tblCellMar>
        <w:tblLook w:val="04A0" w:firstRow="1" w:lastRow="0" w:firstColumn="1" w:lastColumn="0" w:noHBand="0" w:noVBand="1"/>
      </w:tblPr>
      <w:tblGrid>
        <w:gridCol w:w="1552"/>
        <w:gridCol w:w="1514"/>
        <w:gridCol w:w="1625"/>
        <w:gridCol w:w="1274"/>
        <w:gridCol w:w="1422"/>
      </w:tblGrid>
      <w:tr w:rsidR="00CA30A2" w:rsidTr="00CA30A2" w14:paraId="017BEE2A" w14:textId="77777777">
        <w:tc>
          <w:tcPr>
            <w:tcW w:w="1552" w:type="dxa"/>
            <w:shd w:val="clear" w:color="auto" w:fill="EEECE1" w:themeFill="background2"/>
          </w:tcPr>
          <w:p w:rsidRPr="00DD0008" w:rsidR="00CA30A2" w:rsidP="008549EB" w:rsidRDefault="00CA30A2" w14:paraId="21650300" w14:textId="77777777">
            <w:pPr>
              <w:rPr>
                <w:rFonts w:ascii="Verdana" w:hAnsi="Verdana"/>
                <w:b/>
                <w:sz w:val="16"/>
                <w:szCs w:val="16"/>
              </w:rPr>
            </w:pPr>
            <w:r>
              <w:rPr>
                <w:rFonts w:ascii="Verdana" w:hAnsi="Verdana"/>
                <w:b/>
                <w:sz w:val="16"/>
                <w:szCs w:val="16"/>
              </w:rPr>
              <w:t>Bepaling in Richtlijn (EU) 2024/1619</w:t>
            </w:r>
          </w:p>
        </w:tc>
        <w:tc>
          <w:tcPr>
            <w:tcW w:w="1514" w:type="dxa"/>
            <w:shd w:val="clear" w:color="auto" w:fill="EEECE1" w:themeFill="background2"/>
          </w:tcPr>
          <w:p w:rsidRPr="00DD0008" w:rsidR="00CA30A2" w:rsidP="008549EB" w:rsidRDefault="00CA30A2" w14:paraId="3B30CA7A" w14:textId="77777777">
            <w:pPr>
              <w:rPr>
                <w:rFonts w:ascii="Verdana" w:hAnsi="Verdana" w:cs="Times New Roman"/>
                <w:b/>
                <w:sz w:val="16"/>
                <w:szCs w:val="16"/>
                <w:lang w:eastAsia="nl-NL"/>
              </w:rPr>
            </w:pPr>
            <w:r w:rsidRPr="00DD0008">
              <w:rPr>
                <w:rFonts w:ascii="Verdana" w:hAnsi="Verdana" w:cs="Times New Roman"/>
                <w:b/>
                <w:sz w:val="16"/>
                <w:szCs w:val="16"/>
                <w:lang w:eastAsia="nl-NL"/>
              </w:rPr>
              <w:t xml:space="preserve">Bepaling </w:t>
            </w:r>
            <w:r>
              <w:rPr>
                <w:rFonts w:ascii="Verdana" w:hAnsi="Verdana" w:cs="Times New Roman"/>
                <w:b/>
                <w:sz w:val="16"/>
                <w:szCs w:val="16"/>
                <w:lang w:eastAsia="nl-NL"/>
              </w:rPr>
              <w:t>in Richtlijn 2013/36/EU</w:t>
            </w:r>
          </w:p>
        </w:tc>
        <w:tc>
          <w:tcPr>
            <w:tcW w:w="1625" w:type="dxa"/>
            <w:shd w:val="clear" w:color="auto" w:fill="EEECE1" w:themeFill="background2"/>
          </w:tcPr>
          <w:p w:rsidR="00CA30A2" w:rsidP="008549EB" w:rsidRDefault="00CA30A2" w14:paraId="59D47BFE" w14:textId="77777777">
            <w:pPr>
              <w:rPr>
                <w:rFonts w:ascii="Verdana" w:hAnsi="Verdana" w:cs="Times New Roman"/>
                <w:b/>
                <w:sz w:val="16"/>
                <w:szCs w:val="16"/>
                <w:lang w:eastAsia="nl-NL"/>
              </w:rPr>
            </w:pPr>
            <w:r w:rsidRPr="00DD0008">
              <w:rPr>
                <w:rFonts w:ascii="Verdana" w:hAnsi="Verdana" w:cs="Times New Roman"/>
                <w:b/>
                <w:sz w:val="16"/>
                <w:szCs w:val="16"/>
                <w:lang w:eastAsia="nl-NL"/>
              </w:rPr>
              <w:t>Bepaling in implementatie</w:t>
            </w:r>
            <w:r>
              <w:rPr>
                <w:rFonts w:ascii="Verdana" w:hAnsi="Verdana" w:cs="Times New Roman"/>
                <w:b/>
                <w:sz w:val="16"/>
                <w:szCs w:val="16"/>
                <w:lang w:eastAsia="nl-NL"/>
              </w:rPr>
              <w:t>regeling of bestaande regeling</w:t>
            </w:r>
          </w:p>
          <w:p w:rsidRPr="00DD0008" w:rsidR="00CA30A2" w:rsidP="008549EB" w:rsidRDefault="00CA30A2" w14:paraId="47A598AA" w14:textId="77777777">
            <w:pPr>
              <w:spacing w:line="100" w:lineRule="exact"/>
              <w:rPr>
                <w:rFonts w:ascii="Verdana" w:hAnsi="Verdana" w:cs="Times New Roman"/>
                <w:b/>
                <w:sz w:val="16"/>
                <w:szCs w:val="16"/>
                <w:lang w:eastAsia="nl-NL"/>
              </w:rPr>
            </w:pPr>
          </w:p>
          <w:p w:rsidRPr="00DD0008" w:rsidR="00CA30A2" w:rsidP="008549EB" w:rsidRDefault="00CA30A2" w14:paraId="36DE7FFC" w14:textId="77777777">
            <w:pPr>
              <w:rPr>
                <w:rFonts w:ascii="Verdana" w:hAnsi="Verdana" w:cs="Times New Roman"/>
                <w:i/>
                <w:sz w:val="16"/>
                <w:szCs w:val="16"/>
                <w:lang w:eastAsia="nl-NL"/>
              </w:rPr>
            </w:pPr>
            <w:r>
              <w:rPr>
                <w:rFonts w:ascii="Verdana" w:hAnsi="Verdana" w:cs="Times New Roman"/>
                <w:i/>
                <w:sz w:val="16"/>
                <w:szCs w:val="16"/>
                <w:lang w:eastAsia="nl-NL"/>
              </w:rPr>
              <w:t>(</w:t>
            </w:r>
            <w:r w:rsidRPr="00DD0008">
              <w:rPr>
                <w:rFonts w:ascii="Verdana" w:hAnsi="Verdana" w:cs="Times New Roman"/>
                <w:i/>
                <w:sz w:val="16"/>
                <w:szCs w:val="16"/>
                <w:lang w:eastAsia="nl-NL"/>
              </w:rPr>
              <w:t>Toelichting indien niet geïmplementeerd of naar zijn aard geen implementatie behoeft</w:t>
            </w:r>
            <w:r>
              <w:rPr>
                <w:rFonts w:ascii="Verdana" w:hAnsi="Verdana" w:cs="Times New Roman"/>
                <w:i/>
                <w:sz w:val="16"/>
                <w:szCs w:val="16"/>
                <w:lang w:eastAsia="nl-NL"/>
              </w:rPr>
              <w:t>)</w:t>
            </w:r>
          </w:p>
        </w:tc>
        <w:tc>
          <w:tcPr>
            <w:tcW w:w="1274" w:type="dxa"/>
            <w:shd w:val="clear" w:color="auto" w:fill="EEECE1" w:themeFill="background2"/>
          </w:tcPr>
          <w:p w:rsidRPr="00DD0008" w:rsidR="00CA30A2" w:rsidP="008549EB" w:rsidRDefault="00CA30A2" w14:paraId="10E0B24D" w14:textId="77777777">
            <w:pPr>
              <w:rPr>
                <w:rFonts w:ascii="Verdana" w:hAnsi="Verdana" w:cs="Times New Roman"/>
                <w:b/>
                <w:sz w:val="16"/>
                <w:szCs w:val="16"/>
                <w:lang w:eastAsia="nl-NL"/>
              </w:rPr>
            </w:pPr>
            <w:r w:rsidRPr="00DD0008">
              <w:rPr>
                <w:rFonts w:ascii="Verdana" w:hAnsi="Verdana" w:cs="Times New Roman"/>
                <w:b/>
                <w:sz w:val="16"/>
                <w:szCs w:val="16"/>
                <w:lang w:eastAsia="nl-NL"/>
              </w:rPr>
              <w:t>Omschrijving beleidsruimte</w:t>
            </w:r>
          </w:p>
        </w:tc>
        <w:tc>
          <w:tcPr>
            <w:tcW w:w="1422" w:type="dxa"/>
            <w:shd w:val="clear" w:color="auto" w:fill="EEECE1" w:themeFill="background2"/>
          </w:tcPr>
          <w:p w:rsidRPr="00DD0008" w:rsidR="00CA30A2" w:rsidP="008549EB" w:rsidRDefault="00CA30A2" w14:paraId="1724FFF4" w14:textId="77777777">
            <w:pPr>
              <w:rPr>
                <w:rFonts w:ascii="Verdana" w:hAnsi="Verdana" w:cs="Times New Roman"/>
                <w:b/>
                <w:sz w:val="16"/>
                <w:szCs w:val="16"/>
                <w:lang w:eastAsia="nl-NL"/>
              </w:rPr>
            </w:pPr>
            <w:r w:rsidRPr="00DD0008">
              <w:rPr>
                <w:rFonts w:ascii="Verdana" w:hAnsi="Verdana" w:cs="Times New Roman"/>
                <w:b/>
                <w:sz w:val="16"/>
                <w:szCs w:val="16"/>
                <w:lang w:eastAsia="nl-NL"/>
              </w:rPr>
              <w:t>Toelichting op de keuze(n) bij de invulling van de beleidsruimte</w:t>
            </w:r>
          </w:p>
        </w:tc>
      </w:tr>
      <w:tr w:rsidR="00CA30A2" w:rsidTr="00CA30A2" w14:paraId="1A4ED4C4" w14:textId="77777777">
        <w:tc>
          <w:tcPr>
            <w:tcW w:w="1552" w:type="dxa"/>
          </w:tcPr>
          <w:p w:rsidRPr="00DD0008" w:rsidR="00CA30A2" w:rsidP="008549EB" w:rsidRDefault="00334D7E" w14:paraId="0A6C6F6B" w14:textId="2C37463A">
            <w:pPr>
              <w:rPr>
                <w:rFonts w:ascii="Verdana" w:hAnsi="Verdana"/>
                <w:sz w:val="16"/>
                <w:szCs w:val="16"/>
              </w:rPr>
            </w:pPr>
            <w:r>
              <w:rPr>
                <w:rFonts w:ascii="Verdana" w:hAnsi="Verdana"/>
                <w:sz w:val="16"/>
                <w:szCs w:val="16"/>
              </w:rPr>
              <w:t>1, lid 1, onderdeel a</w:t>
            </w:r>
          </w:p>
        </w:tc>
        <w:tc>
          <w:tcPr>
            <w:tcW w:w="1514" w:type="dxa"/>
          </w:tcPr>
          <w:p w:rsidRPr="00DD0008" w:rsidR="00CA30A2" w:rsidP="008549EB" w:rsidRDefault="00CA30A2" w14:paraId="7CFB0B26" w14:textId="77777777">
            <w:pPr>
              <w:rPr>
                <w:rFonts w:ascii="Verdana" w:hAnsi="Verdana" w:cs="Times New Roman"/>
                <w:sz w:val="16"/>
                <w:szCs w:val="16"/>
                <w:lang w:eastAsia="nl-NL"/>
              </w:rPr>
            </w:pPr>
            <w:r w:rsidRPr="002C5EC5">
              <w:rPr>
                <w:rFonts w:ascii="Verdana" w:hAnsi="Verdana"/>
                <w:sz w:val="16"/>
                <w:szCs w:val="16"/>
              </w:rPr>
              <w:t>2, vijfde lid</w:t>
            </w:r>
          </w:p>
        </w:tc>
        <w:tc>
          <w:tcPr>
            <w:tcW w:w="1625" w:type="dxa"/>
          </w:tcPr>
          <w:p w:rsidRPr="00DD0008" w:rsidR="00CA30A2" w:rsidP="008549EB" w:rsidRDefault="00CA30A2" w14:paraId="45E7ADBF" w14:textId="77777777">
            <w:pPr>
              <w:rPr>
                <w:rFonts w:ascii="Verdana" w:hAnsi="Verdana" w:cs="Times New Roman"/>
                <w:sz w:val="16"/>
                <w:szCs w:val="16"/>
                <w:lang w:eastAsia="nl-NL"/>
              </w:rPr>
            </w:pPr>
            <w:r w:rsidRPr="002C5EC5">
              <w:rPr>
                <w:rFonts w:ascii="Verdana" w:hAnsi="Verdana"/>
                <w:sz w:val="16"/>
                <w:szCs w:val="16"/>
              </w:rPr>
              <w:t>Behoeft geen implementatie</w:t>
            </w:r>
            <w:r>
              <w:rPr>
                <w:rFonts w:ascii="Verdana" w:hAnsi="Verdana"/>
                <w:sz w:val="16"/>
                <w:szCs w:val="16"/>
              </w:rPr>
              <w:t>: bestaand recht middels</w:t>
            </w:r>
            <w:r w:rsidRPr="002C5EC5">
              <w:rPr>
                <w:rFonts w:ascii="Verdana" w:hAnsi="Verdana"/>
                <w:sz w:val="16"/>
                <w:szCs w:val="16"/>
              </w:rPr>
              <w:t xml:space="preserve"> dynamische verwijzing</w:t>
            </w:r>
            <w:r>
              <w:rPr>
                <w:rFonts w:ascii="Verdana" w:hAnsi="Verdana"/>
                <w:sz w:val="16"/>
                <w:szCs w:val="16"/>
              </w:rPr>
              <w:t xml:space="preserve"> naar artikel 2, vijfde lid, CRD</w:t>
            </w:r>
            <w:r w:rsidRPr="002C5EC5">
              <w:rPr>
                <w:rFonts w:ascii="Verdana" w:hAnsi="Verdana"/>
                <w:sz w:val="16"/>
                <w:szCs w:val="16"/>
              </w:rPr>
              <w:t xml:space="preserve"> in artikel 1:2, eerste lid, Wft</w:t>
            </w:r>
          </w:p>
        </w:tc>
        <w:tc>
          <w:tcPr>
            <w:tcW w:w="1274" w:type="dxa"/>
          </w:tcPr>
          <w:p w:rsidRPr="00DD0008" w:rsidR="00CA30A2" w:rsidP="008549EB" w:rsidRDefault="00CA30A2" w14:paraId="6401610F" w14:textId="77777777">
            <w:pPr>
              <w:rPr>
                <w:rFonts w:ascii="Verdana" w:hAnsi="Verdana" w:cs="Times New Roman"/>
                <w:sz w:val="16"/>
                <w:szCs w:val="16"/>
                <w:lang w:eastAsia="nl-NL"/>
              </w:rPr>
            </w:pPr>
            <w:r w:rsidRPr="002C5EC5">
              <w:rPr>
                <w:rFonts w:ascii="Verdana" w:hAnsi="Verdana"/>
                <w:sz w:val="16"/>
                <w:szCs w:val="16"/>
              </w:rPr>
              <w:t>Geen</w:t>
            </w:r>
          </w:p>
        </w:tc>
        <w:tc>
          <w:tcPr>
            <w:tcW w:w="1422" w:type="dxa"/>
          </w:tcPr>
          <w:p w:rsidRPr="00DD0008" w:rsidR="00CA30A2" w:rsidP="008549EB" w:rsidRDefault="00CA30A2" w14:paraId="23F57323" w14:textId="77777777">
            <w:pPr>
              <w:rPr>
                <w:rFonts w:ascii="Verdana" w:hAnsi="Verdana" w:cs="Times New Roman"/>
                <w:sz w:val="16"/>
                <w:szCs w:val="16"/>
                <w:lang w:eastAsia="nl-NL"/>
              </w:rPr>
            </w:pPr>
          </w:p>
        </w:tc>
      </w:tr>
      <w:tr w:rsidR="00CA30A2" w:rsidTr="00CA30A2" w14:paraId="644426DE" w14:textId="77777777">
        <w:tc>
          <w:tcPr>
            <w:tcW w:w="1552" w:type="dxa"/>
          </w:tcPr>
          <w:p w:rsidRPr="00DD0008" w:rsidR="00CA30A2" w:rsidP="008549EB" w:rsidRDefault="00334D7E" w14:paraId="5D452EE1" w14:textId="25A986E2">
            <w:pPr>
              <w:rPr>
                <w:rFonts w:ascii="Verdana" w:hAnsi="Verdana"/>
                <w:sz w:val="16"/>
                <w:szCs w:val="16"/>
              </w:rPr>
            </w:pPr>
            <w:r>
              <w:rPr>
                <w:rFonts w:ascii="Verdana" w:hAnsi="Verdana"/>
                <w:sz w:val="16"/>
                <w:szCs w:val="16"/>
              </w:rPr>
              <w:t>1, lid 1</w:t>
            </w:r>
            <w:r w:rsidR="00CA30A2">
              <w:rPr>
                <w:rFonts w:ascii="Verdana" w:hAnsi="Verdana"/>
                <w:sz w:val="16"/>
                <w:szCs w:val="16"/>
              </w:rPr>
              <w:t xml:space="preserve"> onderdeel b</w:t>
            </w:r>
          </w:p>
        </w:tc>
        <w:tc>
          <w:tcPr>
            <w:tcW w:w="1514" w:type="dxa"/>
          </w:tcPr>
          <w:p w:rsidRPr="00DD0008" w:rsidR="00CA30A2" w:rsidP="008549EB" w:rsidRDefault="00CA30A2" w14:paraId="4224591C" w14:textId="77777777">
            <w:pPr>
              <w:rPr>
                <w:rFonts w:ascii="Verdana" w:hAnsi="Verdana" w:cs="Times New Roman"/>
                <w:sz w:val="16"/>
                <w:szCs w:val="16"/>
                <w:lang w:eastAsia="nl-NL"/>
              </w:rPr>
            </w:pPr>
            <w:r w:rsidRPr="002C5EC5">
              <w:rPr>
                <w:rFonts w:ascii="Verdana" w:hAnsi="Verdana"/>
                <w:sz w:val="16"/>
                <w:szCs w:val="16"/>
              </w:rPr>
              <w:t>2, zesde lid</w:t>
            </w:r>
          </w:p>
        </w:tc>
        <w:tc>
          <w:tcPr>
            <w:tcW w:w="1625" w:type="dxa"/>
          </w:tcPr>
          <w:p w:rsidRPr="00DD0008" w:rsidR="00CA30A2" w:rsidP="008549EB" w:rsidRDefault="00CA30A2" w14:paraId="077B6C2E" w14:textId="77777777">
            <w:pPr>
              <w:rPr>
                <w:rFonts w:ascii="Verdana" w:hAnsi="Verdana" w:cs="Times New Roman"/>
                <w:sz w:val="16"/>
                <w:szCs w:val="16"/>
                <w:lang w:eastAsia="nl-NL"/>
              </w:rPr>
            </w:pPr>
            <w:r w:rsidRPr="002C5EC5">
              <w:rPr>
                <w:rFonts w:ascii="Verdana" w:hAnsi="Verdana"/>
                <w:sz w:val="16"/>
                <w:szCs w:val="16"/>
              </w:rPr>
              <w:t>Behoeft geen implementatie</w:t>
            </w:r>
            <w:r>
              <w:rPr>
                <w:rFonts w:ascii="Verdana" w:hAnsi="Verdana"/>
                <w:sz w:val="16"/>
                <w:szCs w:val="16"/>
              </w:rPr>
              <w:t>: louter technische aanpassing</w:t>
            </w:r>
            <w:r w:rsidRPr="002C5EC5">
              <w:rPr>
                <w:rFonts w:ascii="Verdana" w:hAnsi="Verdana"/>
                <w:sz w:val="16"/>
                <w:szCs w:val="16"/>
              </w:rPr>
              <w:t xml:space="preserve"> </w:t>
            </w:r>
          </w:p>
        </w:tc>
        <w:tc>
          <w:tcPr>
            <w:tcW w:w="1274" w:type="dxa"/>
          </w:tcPr>
          <w:p w:rsidRPr="00DD0008" w:rsidR="00CA30A2" w:rsidP="008549EB" w:rsidRDefault="00CA30A2" w14:paraId="24F1CE7E" w14:textId="77777777">
            <w:pPr>
              <w:rPr>
                <w:rFonts w:ascii="Verdana" w:hAnsi="Verdana" w:cs="Times New Roman"/>
                <w:sz w:val="16"/>
                <w:szCs w:val="16"/>
                <w:lang w:eastAsia="nl-NL"/>
              </w:rPr>
            </w:pPr>
            <w:r w:rsidRPr="002C5EC5">
              <w:rPr>
                <w:rFonts w:ascii="Verdana" w:hAnsi="Verdana"/>
                <w:sz w:val="16"/>
                <w:szCs w:val="16"/>
              </w:rPr>
              <w:t>Geen</w:t>
            </w:r>
          </w:p>
        </w:tc>
        <w:tc>
          <w:tcPr>
            <w:tcW w:w="1422" w:type="dxa"/>
          </w:tcPr>
          <w:p w:rsidRPr="00DD0008" w:rsidR="00CA30A2" w:rsidP="008549EB" w:rsidRDefault="00CA30A2" w14:paraId="6B8B90F0" w14:textId="77777777">
            <w:pPr>
              <w:rPr>
                <w:rFonts w:ascii="Verdana" w:hAnsi="Verdana" w:cs="Times New Roman"/>
                <w:sz w:val="16"/>
                <w:szCs w:val="16"/>
                <w:lang w:eastAsia="nl-NL"/>
              </w:rPr>
            </w:pPr>
            <w:r>
              <w:rPr>
                <w:rFonts w:ascii="Verdana" w:hAnsi="Verdana"/>
                <w:sz w:val="16"/>
                <w:szCs w:val="16"/>
              </w:rPr>
              <w:t>Alleen technische aanpassing n.a.v. wijziging in artikel 2, vijfde lid, CRD</w:t>
            </w:r>
          </w:p>
        </w:tc>
      </w:tr>
      <w:tr w:rsidR="00CA30A2" w:rsidTr="00CA30A2" w14:paraId="56ABCC59" w14:textId="77777777">
        <w:tc>
          <w:tcPr>
            <w:tcW w:w="1552" w:type="dxa"/>
          </w:tcPr>
          <w:p w:rsidRPr="00DD0008" w:rsidR="00CA30A2" w:rsidP="008549EB" w:rsidRDefault="00334D7E" w14:paraId="25941134" w14:textId="5503A2B3">
            <w:pPr>
              <w:rPr>
                <w:rFonts w:ascii="Verdana" w:hAnsi="Verdana"/>
                <w:sz w:val="16"/>
                <w:szCs w:val="16"/>
              </w:rPr>
            </w:pPr>
            <w:r>
              <w:rPr>
                <w:rFonts w:ascii="Verdana" w:hAnsi="Verdana"/>
                <w:sz w:val="16"/>
                <w:szCs w:val="16"/>
              </w:rPr>
              <w:t xml:space="preserve">1, lid </w:t>
            </w:r>
            <w:r w:rsidR="00CA30A2">
              <w:rPr>
                <w:rFonts w:ascii="Verdana" w:hAnsi="Verdana"/>
                <w:sz w:val="16"/>
                <w:szCs w:val="16"/>
              </w:rPr>
              <w:t>2</w:t>
            </w:r>
          </w:p>
        </w:tc>
        <w:tc>
          <w:tcPr>
            <w:tcW w:w="1514" w:type="dxa"/>
          </w:tcPr>
          <w:p w:rsidRPr="00DD0008" w:rsidR="00CA30A2" w:rsidP="008549EB" w:rsidRDefault="00CA30A2" w14:paraId="3C64C9B6" w14:textId="77777777">
            <w:pPr>
              <w:rPr>
                <w:rFonts w:ascii="Verdana" w:hAnsi="Verdana" w:cs="Times New Roman"/>
                <w:sz w:val="16"/>
                <w:szCs w:val="16"/>
                <w:lang w:eastAsia="nl-NL"/>
              </w:rPr>
            </w:pPr>
            <w:r w:rsidRPr="002C5EC5">
              <w:rPr>
                <w:rFonts w:ascii="Verdana" w:hAnsi="Verdana"/>
                <w:sz w:val="16"/>
                <w:szCs w:val="16"/>
              </w:rPr>
              <w:t>3, eerste lid</w:t>
            </w:r>
          </w:p>
        </w:tc>
        <w:tc>
          <w:tcPr>
            <w:tcW w:w="1625" w:type="dxa"/>
          </w:tcPr>
          <w:p w:rsidRPr="00DD0008" w:rsidR="00CA30A2" w:rsidP="008549EB" w:rsidRDefault="00CA30A2" w14:paraId="019B3273" w14:textId="77777777">
            <w:pPr>
              <w:rPr>
                <w:rFonts w:ascii="Verdana" w:hAnsi="Verdana" w:cs="Times New Roman"/>
                <w:sz w:val="16"/>
                <w:szCs w:val="16"/>
                <w:lang w:eastAsia="nl-NL"/>
              </w:rPr>
            </w:pPr>
            <w:r>
              <w:rPr>
                <w:rFonts w:ascii="Verdana" w:hAnsi="Verdana"/>
                <w:sz w:val="16"/>
                <w:szCs w:val="16"/>
              </w:rPr>
              <w:t>Artikel I, onderdeel A (</w:t>
            </w:r>
            <w:r w:rsidRPr="002C5EC5">
              <w:rPr>
                <w:rFonts w:ascii="Verdana" w:hAnsi="Verdana"/>
                <w:sz w:val="16"/>
                <w:szCs w:val="16"/>
              </w:rPr>
              <w:t>1:1 Wft</w:t>
            </w:r>
            <w:r>
              <w:rPr>
                <w:rFonts w:ascii="Verdana" w:hAnsi="Verdana"/>
                <w:sz w:val="16"/>
                <w:szCs w:val="16"/>
              </w:rPr>
              <w:t>)</w:t>
            </w:r>
          </w:p>
        </w:tc>
        <w:tc>
          <w:tcPr>
            <w:tcW w:w="1274" w:type="dxa"/>
          </w:tcPr>
          <w:p w:rsidRPr="00DD0008" w:rsidR="00CA30A2" w:rsidP="008549EB" w:rsidRDefault="00CA30A2" w14:paraId="39EB0566" w14:textId="77777777">
            <w:pPr>
              <w:rPr>
                <w:rFonts w:ascii="Verdana" w:hAnsi="Verdana" w:cs="Times New Roman"/>
                <w:sz w:val="16"/>
                <w:szCs w:val="16"/>
                <w:lang w:eastAsia="nl-NL"/>
              </w:rPr>
            </w:pPr>
            <w:r w:rsidRPr="002C5EC5">
              <w:rPr>
                <w:rFonts w:ascii="Verdana" w:hAnsi="Verdana"/>
                <w:sz w:val="16"/>
                <w:szCs w:val="16"/>
              </w:rPr>
              <w:t>Geen</w:t>
            </w:r>
          </w:p>
        </w:tc>
        <w:tc>
          <w:tcPr>
            <w:tcW w:w="1422" w:type="dxa"/>
          </w:tcPr>
          <w:p w:rsidRPr="00DD0008" w:rsidR="00CA30A2" w:rsidP="008549EB" w:rsidRDefault="00CA30A2" w14:paraId="083AE690" w14:textId="77777777">
            <w:pPr>
              <w:rPr>
                <w:rFonts w:ascii="Verdana" w:hAnsi="Verdana" w:cs="Times New Roman"/>
                <w:sz w:val="16"/>
                <w:szCs w:val="16"/>
                <w:lang w:eastAsia="nl-NL"/>
              </w:rPr>
            </w:pPr>
          </w:p>
        </w:tc>
      </w:tr>
      <w:tr w:rsidR="00CA30A2" w:rsidTr="00CA30A2" w14:paraId="1297494C" w14:textId="77777777">
        <w:tc>
          <w:tcPr>
            <w:tcW w:w="1552" w:type="dxa"/>
          </w:tcPr>
          <w:p w:rsidRPr="00DD0008" w:rsidR="00CA30A2" w:rsidP="008549EB" w:rsidRDefault="00334D7E" w14:paraId="17CB485A" w14:textId="1E4E9D0C">
            <w:pPr>
              <w:rPr>
                <w:rFonts w:ascii="Verdana" w:hAnsi="Verdana"/>
                <w:sz w:val="16"/>
                <w:szCs w:val="16"/>
              </w:rPr>
            </w:pPr>
            <w:r>
              <w:rPr>
                <w:rFonts w:ascii="Verdana" w:hAnsi="Verdana"/>
                <w:sz w:val="16"/>
                <w:szCs w:val="16"/>
              </w:rPr>
              <w:t xml:space="preserve">1, lid </w:t>
            </w:r>
            <w:r w:rsidR="00CA30A2">
              <w:rPr>
                <w:rFonts w:ascii="Verdana" w:hAnsi="Verdana"/>
                <w:sz w:val="16"/>
                <w:szCs w:val="16"/>
              </w:rPr>
              <w:t>3</w:t>
            </w:r>
          </w:p>
        </w:tc>
        <w:tc>
          <w:tcPr>
            <w:tcW w:w="1514" w:type="dxa"/>
          </w:tcPr>
          <w:p w:rsidRPr="00DD0008" w:rsidR="00CA30A2" w:rsidP="008549EB" w:rsidRDefault="00CA30A2" w14:paraId="6CA36C40" w14:textId="77777777">
            <w:pPr>
              <w:rPr>
                <w:rFonts w:ascii="Verdana" w:hAnsi="Verdana" w:cs="Times New Roman"/>
                <w:sz w:val="16"/>
                <w:szCs w:val="16"/>
                <w:lang w:eastAsia="nl-NL"/>
              </w:rPr>
            </w:pPr>
            <w:r w:rsidRPr="002C5EC5">
              <w:rPr>
                <w:rFonts w:ascii="Verdana" w:hAnsi="Verdana"/>
                <w:sz w:val="16"/>
                <w:szCs w:val="16"/>
              </w:rPr>
              <w:t>4, vierde lid</w:t>
            </w:r>
          </w:p>
        </w:tc>
        <w:tc>
          <w:tcPr>
            <w:tcW w:w="1625" w:type="dxa"/>
          </w:tcPr>
          <w:p w:rsidRPr="00DD0008" w:rsidR="00CA30A2" w:rsidP="008549EB" w:rsidRDefault="00CA30A2" w14:paraId="547CBEFF" w14:textId="77777777">
            <w:pPr>
              <w:rPr>
                <w:rFonts w:ascii="Verdana" w:hAnsi="Verdana" w:cs="Times New Roman"/>
                <w:sz w:val="16"/>
                <w:szCs w:val="16"/>
                <w:lang w:eastAsia="nl-NL"/>
              </w:rPr>
            </w:pPr>
            <w:r w:rsidRPr="002C5EC5">
              <w:rPr>
                <w:rFonts w:ascii="Verdana" w:hAnsi="Verdana"/>
                <w:sz w:val="16"/>
                <w:szCs w:val="16"/>
              </w:rPr>
              <w:t xml:space="preserve">Behoeft geen implementatie: bestaand recht in </w:t>
            </w:r>
            <w:r w:rsidRPr="002C5EC5">
              <w:rPr>
                <w:rFonts w:ascii="Verdana" w:hAnsi="Verdana"/>
                <w:sz w:val="16"/>
                <w:szCs w:val="16"/>
              </w:rPr>
              <w:lastRenderedPageBreak/>
              <w:t xml:space="preserve">o.a. Wft, Bankwet 1998, Wbft, Kaderwet ZBO’s. </w:t>
            </w:r>
          </w:p>
        </w:tc>
        <w:tc>
          <w:tcPr>
            <w:tcW w:w="1274" w:type="dxa"/>
          </w:tcPr>
          <w:p w:rsidRPr="00DD0008" w:rsidR="00CA30A2" w:rsidP="008549EB" w:rsidRDefault="00CA30A2" w14:paraId="50B81E45" w14:textId="77777777">
            <w:pPr>
              <w:rPr>
                <w:rFonts w:ascii="Verdana" w:hAnsi="Verdana" w:cs="Times New Roman"/>
                <w:sz w:val="16"/>
                <w:szCs w:val="16"/>
                <w:lang w:eastAsia="nl-NL"/>
              </w:rPr>
            </w:pPr>
            <w:r w:rsidRPr="002C5EC5">
              <w:rPr>
                <w:rFonts w:ascii="Verdana" w:hAnsi="Verdana"/>
                <w:sz w:val="16"/>
                <w:szCs w:val="16"/>
              </w:rPr>
              <w:lastRenderedPageBreak/>
              <w:t>Geen</w:t>
            </w:r>
          </w:p>
        </w:tc>
        <w:tc>
          <w:tcPr>
            <w:tcW w:w="1422" w:type="dxa"/>
          </w:tcPr>
          <w:p w:rsidRPr="00DD0008" w:rsidR="00CA30A2" w:rsidP="008549EB" w:rsidRDefault="00CA30A2" w14:paraId="426E0A8B" w14:textId="77777777">
            <w:pPr>
              <w:rPr>
                <w:rFonts w:ascii="Verdana" w:hAnsi="Verdana" w:cs="Times New Roman"/>
                <w:sz w:val="16"/>
                <w:szCs w:val="16"/>
                <w:lang w:eastAsia="nl-NL"/>
              </w:rPr>
            </w:pPr>
          </w:p>
        </w:tc>
      </w:tr>
      <w:tr w:rsidR="00CA30A2" w:rsidTr="00CA30A2" w14:paraId="00F21200" w14:textId="77777777">
        <w:tc>
          <w:tcPr>
            <w:tcW w:w="1552" w:type="dxa"/>
          </w:tcPr>
          <w:p w:rsidRPr="00DD0008" w:rsidR="00CA30A2" w:rsidP="008549EB" w:rsidRDefault="00334D7E" w14:paraId="50E39112" w14:textId="453C4D7A">
            <w:pPr>
              <w:rPr>
                <w:rFonts w:ascii="Verdana" w:hAnsi="Verdana"/>
                <w:sz w:val="16"/>
                <w:szCs w:val="16"/>
              </w:rPr>
            </w:pPr>
            <w:r>
              <w:rPr>
                <w:rFonts w:ascii="Verdana" w:hAnsi="Verdana"/>
                <w:sz w:val="16"/>
                <w:szCs w:val="16"/>
              </w:rPr>
              <w:t xml:space="preserve">1, lid </w:t>
            </w:r>
            <w:r w:rsidR="00CA30A2">
              <w:rPr>
                <w:rFonts w:ascii="Verdana" w:hAnsi="Verdana"/>
                <w:sz w:val="16"/>
                <w:szCs w:val="16"/>
              </w:rPr>
              <w:t>4</w:t>
            </w:r>
          </w:p>
        </w:tc>
        <w:tc>
          <w:tcPr>
            <w:tcW w:w="1514" w:type="dxa"/>
          </w:tcPr>
          <w:p w:rsidRPr="00DD0008" w:rsidR="00CA30A2" w:rsidP="008549EB" w:rsidRDefault="00CA30A2" w14:paraId="45413CAD" w14:textId="77777777">
            <w:pPr>
              <w:rPr>
                <w:rFonts w:ascii="Verdana" w:hAnsi="Verdana" w:cs="Times New Roman"/>
                <w:sz w:val="16"/>
                <w:szCs w:val="16"/>
                <w:lang w:eastAsia="nl-NL"/>
              </w:rPr>
            </w:pPr>
            <w:r w:rsidRPr="002C5EC5">
              <w:rPr>
                <w:rFonts w:ascii="Verdana" w:hAnsi="Verdana"/>
                <w:sz w:val="16"/>
                <w:szCs w:val="16"/>
              </w:rPr>
              <w:t>4 bis, eerste lid</w:t>
            </w:r>
          </w:p>
        </w:tc>
        <w:tc>
          <w:tcPr>
            <w:tcW w:w="1625" w:type="dxa"/>
          </w:tcPr>
          <w:p w:rsidRPr="00DD0008" w:rsidR="00CA30A2" w:rsidP="008549EB" w:rsidRDefault="00CA30A2" w14:paraId="72C18A38" w14:textId="77777777">
            <w:pPr>
              <w:rPr>
                <w:rFonts w:ascii="Verdana" w:hAnsi="Verdana" w:cs="Times New Roman"/>
                <w:sz w:val="16"/>
                <w:szCs w:val="16"/>
                <w:lang w:eastAsia="nl-NL"/>
              </w:rPr>
            </w:pPr>
            <w:r w:rsidRPr="002C5EC5">
              <w:rPr>
                <w:rFonts w:ascii="Verdana" w:hAnsi="Verdana"/>
                <w:sz w:val="16"/>
                <w:szCs w:val="16"/>
              </w:rPr>
              <w:t>Behoeft geen implementatie</w:t>
            </w:r>
          </w:p>
        </w:tc>
        <w:tc>
          <w:tcPr>
            <w:tcW w:w="1274" w:type="dxa"/>
          </w:tcPr>
          <w:p w:rsidRPr="00DD0008" w:rsidR="00CA30A2" w:rsidP="008549EB" w:rsidRDefault="00CA30A2" w14:paraId="05E06A3A" w14:textId="77777777">
            <w:pPr>
              <w:rPr>
                <w:rFonts w:ascii="Verdana" w:hAnsi="Verdana" w:cs="Times New Roman"/>
                <w:sz w:val="16"/>
                <w:szCs w:val="16"/>
                <w:lang w:eastAsia="nl-NL"/>
              </w:rPr>
            </w:pPr>
            <w:r w:rsidRPr="002C5EC5">
              <w:rPr>
                <w:rFonts w:ascii="Verdana" w:hAnsi="Verdana"/>
                <w:sz w:val="16"/>
                <w:szCs w:val="16"/>
              </w:rPr>
              <w:t>Geen</w:t>
            </w:r>
          </w:p>
        </w:tc>
        <w:tc>
          <w:tcPr>
            <w:tcW w:w="1422" w:type="dxa"/>
          </w:tcPr>
          <w:p w:rsidRPr="00DD0008" w:rsidR="00CA30A2" w:rsidP="008549EB" w:rsidRDefault="00CA30A2" w14:paraId="0D57EB7F" w14:textId="77777777">
            <w:pPr>
              <w:rPr>
                <w:rFonts w:ascii="Verdana" w:hAnsi="Verdana" w:cs="Times New Roman"/>
                <w:sz w:val="16"/>
                <w:szCs w:val="16"/>
                <w:lang w:eastAsia="nl-NL"/>
              </w:rPr>
            </w:pPr>
            <w:r w:rsidRPr="002C5EC5">
              <w:rPr>
                <w:rFonts w:ascii="Verdana" w:hAnsi="Verdana"/>
                <w:sz w:val="16"/>
                <w:szCs w:val="16"/>
              </w:rPr>
              <w:t>Definitie die niet gebruikt wordt</w:t>
            </w:r>
          </w:p>
        </w:tc>
      </w:tr>
      <w:tr w:rsidR="00334D7E" w:rsidTr="00CA30A2" w14:paraId="16F1CED7" w14:textId="77777777">
        <w:tc>
          <w:tcPr>
            <w:tcW w:w="1552" w:type="dxa"/>
          </w:tcPr>
          <w:p w:rsidRPr="00DD0008" w:rsidR="00334D7E" w:rsidP="00334D7E" w:rsidRDefault="00334D7E" w14:paraId="61A93994" w14:textId="00C3CD44">
            <w:pPr>
              <w:rPr>
                <w:rFonts w:ascii="Verdana" w:hAnsi="Verdana"/>
                <w:sz w:val="16"/>
                <w:szCs w:val="16"/>
              </w:rPr>
            </w:pPr>
            <w:r w:rsidRPr="000C716E">
              <w:rPr>
                <w:rFonts w:ascii="Verdana" w:hAnsi="Verdana"/>
                <w:sz w:val="16"/>
                <w:szCs w:val="16"/>
              </w:rPr>
              <w:t>1, lid 4</w:t>
            </w:r>
          </w:p>
        </w:tc>
        <w:tc>
          <w:tcPr>
            <w:tcW w:w="1514" w:type="dxa"/>
          </w:tcPr>
          <w:p w:rsidRPr="00DD0008" w:rsidR="00334D7E" w:rsidP="00334D7E" w:rsidRDefault="00334D7E" w14:paraId="3412C9B8" w14:textId="77777777">
            <w:pPr>
              <w:rPr>
                <w:rFonts w:ascii="Verdana" w:hAnsi="Verdana" w:cs="Times New Roman"/>
                <w:sz w:val="16"/>
                <w:szCs w:val="16"/>
                <w:lang w:eastAsia="nl-NL"/>
              </w:rPr>
            </w:pPr>
            <w:r w:rsidRPr="002C5EC5">
              <w:rPr>
                <w:rFonts w:ascii="Verdana" w:hAnsi="Verdana"/>
                <w:sz w:val="16"/>
                <w:szCs w:val="16"/>
              </w:rPr>
              <w:t>4 bis, tweede lid, eerste alinea</w:t>
            </w:r>
          </w:p>
        </w:tc>
        <w:tc>
          <w:tcPr>
            <w:tcW w:w="1625" w:type="dxa"/>
          </w:tcPr>
          <w:p w:rsidRPr="00DD0008" w:rsidR="00334D7E" w:rsidP="00334D7E" w:rsidRDefault="00334D7E" w14:paraId="4FD16CD0" w14:textId="77777777">
            <w:pPr>
              <w:rPr>
                <w:rFonts w:ascii="Verdana" w:hAnsi="Verdana" w:cs="Times New Roman"/>
                <w:sz w:val="16"/>
                <w:szCs w:val="16"/>
                <w:lang w:eastAsia="nl-NL"/>
              </w:rPr>
            </w:pPr>
            <w:r w:rsidRPr="002C5EC5">
              <w:rPr>
                <w:rFonts w:ascii="Verdana" w:hAnsi="Verdana"/>
                <w:sz w:val="16"/>
                <w:szCs w:val="16"/>
              </w:rPr>
              <w:t>Behoeft geen implementatie: Bestaand recht in 1:30 Wft jo 130 VWEU jo artikel 6 Wbft 2019 en artikel 29 Kaderwet ZBO’s.</w:t>
            </w:r>
          </w:p>
        </w:tc>
        <w:tc>
          <w:tcPr>
            <w:tcW w:w="1274" w:type="dxa"/>
          </w:tcPr>
          <w:p w:rsidRPr="00DD0008" w:rsidR="00334D7E" w:rsidP="00334D7E" w:rsidRDefault="00334D7E" w14:paraId="304840A7" w14:textId="77777777">
            <w:pPr>
              <w:rPr>
                <w:rFonts w:ascii="Verdana" w:hAnsi="Verdana" w:cs="Times New Roman"/>
                <w:sz w:val="16"/>
                <w:szCs w:val="16"/>
                <w:lang w:eastAsia="nl-NL"/>
              </w:rPr>
            </w:pPr>
            <w:r w:rsidRPr="002C5EC5">
              <w:rPr>
                <w:rFonts w:ascii="Verdana" w:hAnsi="Verdana"/>
                <w:sz w:val="16"/>
                <w:szCs w:val="16"/>
              </w:rPr>
              <w:t>Geen</w:t>
            </w:r>
          </w:p>
        </w:tc>
        <w:tc>
          <w:tcPr>
            <w:tcW w:w="1422" w:type="dxa"/>
          </w:tcPr>
          <w:p w:rsidRPr="00DD0008" w:rsidR="00334D7E" w:rsidP="00334D7E" w:rsidRDefault="00334D7E" w14:paraId="5EE51F62" w14:textId="77777777">
            <w:pPr>
              <w:rPr>
                <w:rFonts w:ascii="Verdana" w:hAnsi="Verdana" w:cs="Times New Roman"/>
                <w:sz w:val="16"/>
                <w:szCs w:val="16"/>
                <w:lang w:eastAsia="nl-NL"/>
              </w:rPr>
            </w:pPr>
          </w:p>
        </w:tc>
      </w:tr>
      <w:tr w:rsidR="00334D7E" w:rsidTr="00CA30A2" w14:paraId="04D8D43A" w14:textId="77777777">
        <w:tc>
          <w:tcPr>
            <w:tcW w:w="1552" w:type="dxa"/>
          </w:tcPr>
          <w:p w:rsidRPr="00DD0008" w:rsidR="00334D7E" w:rsidP="00334D7E" w:rsidRDefault="00334D7E" w14:paraId="5598D895" w14:textId="74BBAF16">
            <w:pPr>
              <w:rPr>
                <w:rFonts w:ascii="Verdana" w:hAnsi="Verdana"/>
                <w:sz w:val="16"/>
                <w:szCs w:val="16"/>
              </w:rPr>
            </w:pPr>
            <w:r w:rsidRPr="000C716E">
              <w:rPr>
                <w:rFonts w:ascii="Verdana" w:hAnsi="Verdana"/>
                <w:sz w:val="16"/>
                <w:szCs w:val="16"/>
              </w:rPr>
              <w:t>1, lid 4</w:t>
            </w:r>
          </w:p>
        </w:tc>
        <w:tc>
          <w:tcPr>
            <w:tcW w:w="1514" w:type="dxa"/>
          </w:tcPr>
          <w:p w:rsidRPr="00DD0008" w:rsidR="00334D7E" w:rsidP="00334D7E" w:rsidRDefault="00334D7E" w14:paraId="63B9BB19" w14:textId="77777777">
            <w:pPr>
              <w:rPr>
                <w:rFonts w:ascii="Verdana" w:hAnsi="Verdana" w:cs="Times New Roman"/>
                <w:sz w:val="16"/>
                <w:szCs w:val="16"/>
                <w:lang w:eastAsia="nl-NL"/>
              </w:rPr>
            </w:pPr>
            <w:r w:rsidRPr="002C5EC5">
              <w:rPr>
                <w:rFonts w:ascii="Verdana" w:hAnsi="Verdana"/>
                <w:sz w:val="16"/>
                <w:szCs w:val="16"/>
              </w:rPr>
              <w:t>4 bis, tweede lid, tweede alinea, eerste zin</w:t>
            </w:r>
          </w:p>
        </w:tc>
        <w:tc>
          <w:tcPr>
            <w:tcW w:w="1625" w:type="dxa"/>
          </w:tcPr>
          <w:p w:rsidRPr="00DD0008" w:rsidR="00334D7E" w:rsidP="00334D7E" w:rsidRDefault="00334D7E" w14:paraId="674B884B" w14:textId="77777777">
            <w:pPr>
              <w:rPr>
                <w:rFonts w:ascii="Verdana" w:hAnsi="Verdana" w:cs="Times New Roman"/>
                <w:sz w:val="16"/>
                <w:szCs w:val="16"/>
                <w:lang w:eastAsia="nl-NL"/>
              </w:rPr>
            </w:pPr>
            <w:r w:rsidRPr="002C5EC5">
              <w:rPr>
                <w:rFonts w:ascii="Verdana" w:hAnsi="Verdana"/>
                <w:sz w:val="16"/>
                <w:szCs w:val="16"/>
              </w:rPr>
              <w:t>Behoeft geen implementatie: Bestaand recht</w:t>
            </w:r>
            <w:r>
              <w:rPr>
                <w:rFonts w:ascii="Verdana" w:hAnsi="Verdana"/>
                <w:sz w:val="16"/>
                <w:szCs w:val="16"/>
              </w:rPr>
              <w:t xml:space="preserve"> in artikel 12, tweede lid, Bankwet 1998</w:t>
            </w:r>
          </w:p>
        </w:tc>
        <w:tc>
          <w:tcPr>
            <w:tcW w:w="1274" w:type="dxa"/>
          </w:tcPr>
          <w:p w:rsidRPr="00DD0008" w:rsidR="00334D7E" w:rsidP="00334D7E" w:rsidRDefault="00334D7E" w14:paraId="57B899C2" w14:textId="77777777">
            <w:pPr>
              <w:rPr>
                <w:rFonts w:ascii="Verdana" w:hAnsi="Verdana" w:cs="Times New Roman"/>
                <w:sz w:val="16"/>
                <w:szCs w:val="16"/>
                <w:lang w:eastAsia="nl-NL"/>
              </w:rPr>
            </w:pPr>
            <w:r w:rsidRPr="002C5EC5">
              <w:rPr>
                <w:rFonts w:ascii="Verdana" w:hAnsi="Verdana"/>
                <w:sz w:val="16"/>
                <w:szCs w:val="16"/>
              </w:rPr>
              <w:t>Geen</w:t>
            </w:r>
          </w:p>
        </w:tc>
        <w:tc>
          <w:tcPr>
            <w:tcW w:w="1422" w:type="dxa"/>
          </w:tcPr>
          <w:p w:rsidRPr="00DD0008" w:rsidR="00334D7E" w:rsidP="00334D7E" w:rsidRDefault="00334D7E" w14:paraId="5FEF929F" w14:textId="77777777">
            <w:pPr>
              <w:rPr>
                <w:rFonts w:ascii="Verdana" w:hAnsi="Verdana" w:cs="Times New Roman"/>
                <w:sz w:val="16"/>
                <w:szCs w:val="16"/>
                <w:lang w:eastAsia="nl-NL"/>
              </w:rPr>
            </w:pPr>
            <w:r w:rsidRPr="002C5EC5">
              <w:rPr>
                <w:rFonts w:ascii="Verdana" w:hAnsi="Verdana"/>
                <w:sz w:val="16"/>
                <w:szCs w:val="16"/>
              </w:rPr>
              <w:t>De periode van max. 14 jaar in functie blijven volgt reeds uit de parlementaire geschiedenis: er worden twee functies onderscheiden, die van directeur en die van president, zie artikel 12 Bankwet en nota naar aanleiding van het verslag op wet versterking governance DNB en AFM.</w:t>
            </w:r>
            <w:r w:rsidRPr="002C5EC5">
              <w:rPr>
                <w:rStyle w:val="Voetnootmarkering"/>
                <w:rFonts w:ascii="Verdana" w:hAnsi="Verdana"/>
                <w:sz w:val="16"/>
                <w:szCs w:val="16"/>
              </w:rPr>
              <w:footnoteReference w:id="94"/>
            </w:r>
          </w:p>
        </w:tc>
      </w:tr>
      <w:tr w:rsidR="00334D7E" w:rsidTr="00CA30A2" w14:paraId="7E22D149" w14:textId="77777777">
        <w:tc>
          <w:tcPr>
            <w:tcW w:w="1552" w:type="dxa"/>
          </w:tcPr>
          <w:p w:rsidRPr="00DD0008" w:rsidR="00334D7E" w:rsidP="00334D7E" w:rsidRDefault="00334D7E" w14:paraId="0D526F38" w14:textId="226D2335">
            <w:pPr>
              <w:rPr>
                <w:rFonts w:ascii="Verdana" w:hAnsi="Verdana"/>
                <w:sz w:val="16"/>
                <w:szCs w:val="16"/>
              </w:rPr>
            </w:pPr>
            <w:r w:rsidRPr="000C716E">
              <w:rPr>
                <w:rFonts w:ascii="Verdana" w:hAnsi="Verdana"/>
                <w:sz w:val="16"/>
                <w:szCs w:val="16"/>
              </w:rPr>
              <w:t>1, lid 4</w:t>
            </w:r>
          </w:p>
        </w:tc>
        <w:tc>
          <w:tcPr>
            <w:tcW w:w="1514" w:type="dxa"/>
          </w:tcPr>
          <w:p w:rsidRPr="00DD0008" w:rsidR="00334D7E" w:rsidP="00334D7E" w:rsidRDefault="00334D7E" w14:paraId="2E816906" w14:textId="77777777">
            <w:pPr>
              <w:rPr>
                <w:rFonts w:ascii="Verdana" w:hAnsi="Verdana" w:cs="Times New Roman"/>
                <w:sz w:val="16"/>
                <w:szCs w:val="16"/>
                <w:lang w:eastAsia="nl-NL"/>
              </w:rPr>
            </w:pPr>
            <w:r w:rsidRPr="002C5EC5">
              <w:rPr>
                <w:rFonts w:ascii="Verdana" w:hAnsi="Verdana"/>
                <w:sz w:val="16"/>
                <w:szCs w:val="16"/>
              </w:rPr>
              <w:t>4 bis, tweede lid, tweede alinea, tweede zin</w:t>
            </w:r>
          </w:p>
        </w:tc>
        <w:tc>
          <w:tcPr>
            <w:tcW w:w="1625" w:type="dxa"/>
          </w:tcPr>
          <w:p w:rsidRPr="00DD0008" w:rsidR="00334D7E" w:rsidP="00334D7E" w:rsidRDefault="00334D7E" w14:paraId="35A6CF11" w14:textId="77777777">
            <w:pPr>
              <w:rPr>
                <w:rFonts w:ascii="Verdana" w:hAnsi="Verdana" w:cs="Times New Roman"/>
                <w:sz w:val="16"/>
                <w:szCs w:val="16"/>
                <w:lang w:eastAsia="nl-NL"/>
              </w:rPr>
            </w:pPr>
            <w:r>
              <w:rPr>
                <w:rFonts w:ascii="Verdana" w:hAnsi="Verdana"/>
                <w:sz w:val="16"/>
                <w:szCs w:val="16"/>
              </w:rPr>
              <w:t>Artikel I, onderdeel B, en artikel II, onderdeel A (</w:t>
            </w:r>
            <w:r w:rsidRPr="002C5EC5">
              <w:rPr>
                <w:rFonts w:ascii="Verdana" w:hAnsi="Verdana"/>
                <w:sz w:val="16"/>
                <w:szCs w:val="16"/>
              </w:rPr>
              <w:t>1:27a Wft en artikel 12 Bankwet 1998</w:t>
            </w:r>
            <w:r>
              <w:rPr>
                <w:rFonts w:ascii="Verdana" w:hAnsi="Verdana"/>
                <w:sz w:val="16"/>
                <w:szCs w:val="16"/>
              </w:rPr>
              <w:t>)</w:t>
            </w:r>
          </w:p>
        </w:tc>
        <w:tc>
          <w:tcPr>
            <w:tcW w:w="1274" w:type="dxa"/>
          </w:tcPr>
          <w:p w:rsidRPr="00DD0008" w:rsidR="00334D7E" w:rsidP="00334D7E" w:rsidRDefault="00334D7E" w14:paraId="5B628861" w14:textId="77777777">
            <w:pPr>
              <w:rPr>
                <w:rFonts w:ascii="Verdana" w:hAnsi="Verdana" w:cs="Times New Roman"/>
                <w:sz w:val="16"/>
                <w:szCs w:val="16"/>
                <w:lang w:eastAsia="nl-NL"/>
              </w:rPr>
            </w:pPr>
            <w:r w:rsidRPr="002C5EC5">
              <w:rPr>
                <w:rFonts w:ascii="Verdana" w:hAnsi="Verdana"/>
                <w:sz w:val="16"/>
                <w:szCs w:val="16"/>
              </w:rPr>
              <w:t>Geen</w:t>
            </w:r>
          </w:p>
        </w:tc>
        <w:tc>
          <w:tcPr>
            <w:tcW w:w="1422" w:type="dxa"/>
          </w:tcPr>
          <w:p w:rsidRPr="00DD0008" w:rsidR="00334D7E" w:rsidP="00334D7E" w:rsidRDefault="00334D7E" w14:paraId="6E16DCD5" w14:textId="77777777">
            <w:pPr>
              <w:rPr>
                <w:rFonts w:ascii="Verdana" w:hAnsi="Verdana" w:cs="Times New Roman"/>
                <w:sz w:val="16"/>
                <w:szCs w:val="16"/>
                <w:lang w:eastAsia="nl-NL"/>
              </w:rPr>
            </w:pPr>
          </w:p>
        </w:tc>
      </w:tr>
      <w:tr w:rsidR="00334D7E" w:rsidTr="00CA30A2" w14:paraId="75043318" w14:textId="77777777">
        <w:tc>
          <w:tcPr>
            <w:tcW w:w="1552" w:type="dxa"/>
          </w:tcPr>
          <w:p w:rsidRPr="00DD0008" w:rsidR="00334D7E" w:rsidP="00334D7E" w:rsidRDefault="00334D7E" w14:paraId="18C3CBBE" w14:textId="3D9597EB">
            <w:pPr>
              <w:rPr>
                <w:rFonts w:ascii="Verdana" w:hAnsi="Verdana"/>
                <w:sz w:val="16"/>
                <w:szCs w:val="16"/>
              </w:rPr>
            </w:pPr>
            <w:r w:rsidRPr="000C716E">
              <w:rPr>
                <w:rFonts w:ascii="Verdana" w:hAnsi="Verdana"/>
                <w:sz w:val="16"/>
                <w:szCs w:val="16"/>
              </w:rPr>
              <w:t>1, lid 4</w:t>
            </w:r>
          </w:p>
        </w:tc>
        <w:tc>
          <w:tcPr>
            <w:tcW w:w="1514" w:type="dxa"/>
          </w:tcPr>
          <w:p w:rsidRPr="002C5EC5" w:rsidR="00334D7E" w:rsidP="00334D7E" w:rsidRDefault="00334D7E" w14:paraId="2A6BF2FE" w14:textId="77777777">
            <w:pPr>
              <w:rPr>
                <w:rFonts w:ascii="Verdana" w:hAnsi="Verdana"/>
                <w:sz w:val="16"/>
                <w:szCs w:val="16"/>
              </w:rPr>
            </w:pPr>
            <w:r w:rsidRPr="002C5EC5">
              <w:rPr>
                <w:rFonts w:ascii="Verdana" w:hAnsi="Verdana"/>
                <w:sz w:val="16"/>
                <w:szCs w:val="16"/>
              </w:rPr>
              <w:t>4 bis, tweede lid, tweede alinea, derde zin</w:t>
            </w:r>
          </w:p>
        </w:tc>
        <w:tc>
          <w:tcPr>
            <w:tcW w:w="1625" w:type="dxa"/>
          </w:tcPr>
          <w:p w:rsidR="00334D7E" w:rsidP="00334D7E" w:rsidRDefault="00334D7E" w14:paraId="0A55D23E" w14:textId="77777777">
            <w:pPr>
              <w:rPr>
                <w:rFonts w:ascii="Verdana" w:hAnsi="Verdana"/>
                <w:sz w:val="16"/>
                <w:szCs w:val="16"/>
              </w:rPr>
            </w:pPr>
            <w:r>
              <w:rPr>
                <w:rFonts w:ascii="Verdana" w:hAnsi="Verdana"/>
                <w:sz w:val="16"/>
                <w:szCs w:val="16"/>
              </w:rPr>
              <w:t>Artikel I, onderdeel B, en artikel II, onderdeel A (</w:t>
            </w:r>
            <w:r w:rsidRPr="002C5EC5">
              <w:rPr>
                <w:rFonts w:ascii="Verdana" w:hAnsi="Verdana"/>
                <w:sz w:val="16"/>
                <w:szCs w:val="16"/>
              </w:rPr>
              <w:t>1:27a Wft en artikel 12 Bankwet 1998</w:t>
            </w:r>
            <w:r>
              <w:rPr>
                <w:rFonts w:ascii="Verdana" w:hAnsi="Verdana"/>
                <w:sz w:val="16"/>
                <w:szCs w:val="16"/>
              </w:rPr>
              <w:t>)</w:t>
            </w:r>
          </w:p>
        </w:tc>
        <w:tc>
          <w:tcPr>
            <w:tcW w:w="1274" w:type="dxa"/>
          </w:tcPr>
          <w:p w:rsidRPr="002C5EC5" w:rsidR="00334D7E" w:rsidP="00334D7E" w:rsidRDefault="00334D7E" w14:paraId="196F5171" w14:textId="77777777">
            <w:pPr>
              <w:rPr>
                <w:rFonts w:ascii="Verdana" w:hAnsi="Verdana"/>
                <w:sz w:val="16"/>
                <w:szCs w:val="16"/>
              </w:rPr>
            </w:pPr>
            <w:r w:rsidRPr="002C5EC5">
              <w:rPr>
                <w:rFonts w:ascii="Verdana" w:hAnsi="Verdana"/>
                <w:sz w:val="16"/>
                <w:szCs w:val="16"/>
              </w:rPr>
              <w:t>Geen</w:t>
            </w:r>
          </w:p>
        </w:tc>
        <w:tc>
          <w:tcPr>
            <w:tcW w:w="1422" w:type="dxa"/>
          </w:tcPr>
          <w:p w:rsidRPr="00DD0008" w:rsidR="00334D7E" w:rsidP="00334D7E" w:rsidRDefault="00334D7E" w14:paraId="5E942960" w14:textId="77777777">
            <w:pPr>
              <w:rPr>
                <w:rFonts w:ascii="Verdana" w:hAnsi="Verdana"/>
                <w:sz w:val="16"/>
                <w:szCs w:val="16"/>
              </w:rPr>
            </w:pPr>
          </w:p>
        </w:tc>
      </w:tr>
      <w:tr w:rsidR="00334D7E" w:rsidTr="00CA30A2" w14:paraId="414EA99F" w14:textId="77777777">
        <w:tc>
          <w:tcPr>
            <w:tcW w:w="1552" w:type="dxa"/>
          </w:tcPr>
          <w:p w:rsidRPr="00DD0008" w:rsidR="00334D7E" w:rsidP="00334D7E" w:rsidRDefault="00334D7E" w14:paraId="3D291D26" w14:textId="13333774">
            <w:pPr>
              <w:rPr>
                <w:rFonts w:ascii="Verdana" w:hAnsi="Verdana"/>
                <w:sz w:val="16"/>
                <w:szCs w:val="16"/>
              </w:rPr>
            </w:pPr>
            <w:r w:rsidRPr="000C716E">
              <w:rPr>
                <w:rFonts w:ascii="Verdana" w:hAnsi="Verdana"/>
                <w:sz w:val="16"/>
                <w:szCs w:val="16"/>
              </w:rPr>
              <w:t>1, lid 4</w:t>
            </w:r>
          </w:p>
        </w:tc>
        <w:tc>
          <w:tcPr>
            <w:tcW w:w="1514" w:type="dxa"/>
          </w:tcPr>
          <w:p w:rsidRPr="002C5EC5" w:rsidR="00334D7E" w:rsidP="00334D7E" w:rsidRDefault="00334D7E" w14:paraId="6D501757" w14:textId="77777777">
            <w:pPr>
              <w:rPr>
                <w:rFonts w:ascii="Verdana" w:hAnsi="Verdana"/>
                <w:sz w:val="16"/>
                <w:szCs w:val="16"/>
              </w:rPr>
            </w:pPr>
            <w:r w:rsidRPr="002C5EC5">
              <w:rPr>
                <w:rFonts w:ascii="Verdana" w:hAnsi="Verdana"/>
                <w:sz w:val="16"/>
                <w:szCs w:val="16"/>
              </w:rPr>
              <w:t>4 bis, tweede lid, derde alinea</w:t>
            </w:r>
          </w:p>
        </w:tc>
        <w:tc>
          <w:tcPr>
            <w:tcW w:w="1625" w:type="dxa"/>
          </w:tcPr>
          <w:p w:rsidR="00334D7E" w:rsidP="00334D7E" w:rsidRDefault="00334D7E" w14:paraId="349C4AF5" w14:textId="77777777">
            <w:pPr>
              <w:rPr>
                <w:rFonts w:ascii="Verdana" w:hAnsi="Verdana"/>
                <w:sz w:val="16"/>
                <w:szCs w:val="16"/>
              </w:rPr>
            </w:pPr>
            <w:r w:rsidRPr="002C5EC5">
              <w:rPr>
                <w:rFonts w:ascii="Verdana" w:hAnsi="Verdana"/>
                <w:sz w:val="16"/>
                <w:szCs w:val="16"/>
              </w:rPr>
              <w:t>Behoeft geen implementatie: Bestaand recht op grond van artikel 2 en 4 Bankwet 1998, artikel 7, tweede en derde lid, Wbft, artikel 35 Kaderwet ZBO’s, artikel 7.24 en 7.25 Comptabiliteitswet 2016</w:t>
            </w:r>
          </w:p>
        </w:tc>
        <w:tc>
          <w:tcPr>
            <w:tcW w:w="1274" w:type="dxa"/>
          </w:tcPr>
          <w:p w:rsidRPr="002C5EC5" w:rsidR="00334D7E" w:rsidP="00334D7E" w:rsidRDefault="00334D7E" w14:paraId="6AF477A3" w14:textId="77777777">
            <w:pPr>
              <w:rPr>
                <w:rFonts w:ascii="Verdana" w:hAnsi="Verdana"/>
                <w:sz w:val="16"/>
                <w:szCs w:val="16"/>
              </w:rPr>
            </w:pPr>
            <w:r w:rsidRPr="002C5EC5">
              <w:rPr>
                <w:rFonts w:ascii="Verdana" w:hAnsi="Verdana"/>
                <w:sz w:val="16"/>
                <w:szCs w:val="16"/>
              </w:rPr>
              <w:t>Geen</w:t>
            </w:r>
          </w:p>
        </w:tc>
        <w:tc>
          <w:tcPr>
            <w:tcW w:w="1422" w:type="dxa"/>
          </w:tcPr>
          <w:p w:rsidRPr="00DD0008" w:rsidR="00334D7E" w:rsidP="00334D7E" w:rsidRDefault="00334D7E" w14:paraId="3F9E91DD" w14:textId="77777777">
            <w:pPr>
              <w:rPr>
                <w:rFonts w:ascii="Verdana" w:hAnsi="Verdana"/>
                <w:sz w:val="16"/>
                <w:szCs w:val="16"/>
              </w:rPr>
            </w:pPr>
          </w:p>
        </w:tc>
      </w:tr>
      <w:tr w:rsidR="00334D7E" w:rsidTr="00CA30A2" w14:paraId="539EEDD0" w14:textId="77777777">
        <w:tc>
          <w:tcPr>
            <w:tcW w:w="1552" w:type="dxa"/>
          </w:tcPr>
          <w:p w:rsidRPr="00DD0008" w:rsidR="00334D7E" w:rsidP="00334D7E" w:rsidRDefault="00334D7E" w14:paraId="01CE068B" w14:textId="5AD88E59">
            <w:pPr>
              <w:rPr>
                <w:rFonts w:ascii="Verdana" w:hAnsi="Verdana"/>
                <w:sz w:val="16"/>
                <w:szCs w:val="16"/>
              </w:rPr>
            </w:pPr>
            <w:r w:rsidRPr="000C716E">
              <w:rPr>
                <w:rFonts w:ascii="Verdana" w:hAnsi="Verdana"/>
                <w:sz w:val="16"/>
                <w:szCs w:val="16"/>
              </w:rPr>
              <w:t>1, lid 4</w:t>
            </w:r>
          </w:p>
        </w:tc>
        <w:tc>
          <w:tcPr>
            <w:tcW w:w="1514" w:type="dxa"/>
          </w:tcPr>
          <w:p w:rsidRPr="002C5EC5" w:rsidR="00334D7E" w:rsidP="00334D7E" w:rsidRDefault="00334D7E" w14:paraId="57DDA470" w14:textId="77777777">
            <w:pPr>
              <w:rPr>
                <w:rFonts w:ascii="Verdana" w:hAnsi="Verdana"/>
                <w:sz w:val="16"/>
                <w:szCs w:val="16"/>
              </w:rPr>
            </w:pPr>
            <w:r w:rsidRPr="002C5EC5">
              <w:rPr>
                <w:rFonts w:ascii="Verdana" w:hAnsi="Verdana"/>
                <w:sz w:val="16"/>
                <w:szCs w:val="16"/>
              </w:rPr>
              <w:t>4 bis, tweede lid, vierde alinea</w:t>
            </w:r>
          </w:p>
        </w:tc>
        <w:tc>
          <w:tcPr>
            <w:tcW w:w="1625" w:type="dxa"/>
          </w:tcPr>
          <w:p w:rsidRPr="002C5EC5" w:rsidR="00334D7E" w:rsidP="00334D7E" w:rsidRDefault="00334D7E" w14:paraId="6CFA4164" w14:textId="77777777">
            <w:pPr>
              <w:rPr>
                <w:rFonts w:ascii="Verdana" w:hAnsi="Verdana"/>
                <w:sz w:val="16"/>
                <w:szCs w:val="16"/>
              </w:rPr>
            </w:pPr>
            <w:r w:rsidRPr="002C5EC5">
              <w:rPr>
                <w:rFonts w:ascii="Verdana" w:hAnsi="Verdana"/>
                <w:sz w:val="16"/>
                <w:szCs w:val="16"/>
              </w:rPr>
              <w:t>Behoeft naar zijn aard geen implementatie</w:t>
            </w:r>
            <w:r>
              <w:rPr>
                <w:rFonts w:ascii="Verdana" w:hAnsi="Verdana"/>
                <w:sz w:val="16"/>
                <w:szCs w:val="16"/>
              </w:rPr>
              <w:t>.</w:t>
            </w:r>
          </w:p>
        </w:tc>
        <w:tc>
          <w:tcPr>
            <w:tcW w:w="1274" w:type="dxa"/>
          </w:tcPr>
          <w:p w:rsidRPr="002C5EC5" w:rsidR="00334D7E" w:rsidP="00334D7E" w:rsidRDefault="00334D7E" w14:paraId="57AB8EF7" w14:textId="77777777">
            <w:pPr>
              <w:rPr>
                <w:rFonts w:ascii="Verdana" w:hAnsi="Verdana"/>
                <w:sz w:val="16"/>
                <w:szCs w:val="16"/>
              </w:rPr>
            </w:pPr>
            <w:r w:rsidRPr="002C5EC5">
              <w:rPr>
                <w:rFonts w:ascii="Verdana" w:hAnsi="Verdana"/>
                <w:sz w:val="16"/>
                <w:szCs w:val="16"/>
              </w:rPr>
              <w:t>Geen</w:t>
            </w:r>
          </w:p>
        </w:tc>
        <w:tc>
          <w:tcPr>
            <w:tcW w:w="1422" w:type="dxa"/>
          </w:tcPr>
          <w:p w:rsidRPr="00DD0008" w:rsidR="00334D7E" w:rsidP="00334D7E" w:rsidRDefault="00334D7E" w14:paraId="6B987A76" w14:textId="77777777">
            <w:pPr>
              <w:rPr>
                <w:rFonts w:ascii="Verdana" w:hAnsi="Verdana"/>
                <w:sz w:val="16"/>
                <w:szCs w:val="16"/>
              </w:rPr>
            </w:pPr>
            <w:r>
              <w:rPr>
                <w:rFonts w:ascii="Verdana" w:hAnsi="Verdana"/>
                <w:sz w:val="16"/>
                <w:szCs w:val="16"/>
              </w:rPr>
              <w:t xml:space="preserve">De alinea geeft aan dat artikel 4 bis, </w:t>
            </w:r>
            <w:r>
              <w:rPr>
                <w:rFonts w:ascii="Verdana" w:hAnsi="Verdana"/>
                <w:sz w:val="16"/>
                <w:szCs w:val="16"/>
              </w:rPr>
              <w:lastRenderedPageBreak/>
              <w:t xml:space="preserve">eerste lid, geldt onverminderd het bepaalde in de EBA-verordening, de verordening bankentoezicht, de SSM-verordening en de SRM-verordening. </w:t>
            </w:r>
          </w:p>
        </w:tc>
      </w:tr>
      <w:tr w:rsidR="00334D7E" w:rsidTr="00CA30A2" w14:paraId="6E8A611E" w14:textId="77777777">
        <w:tc>
          <w:tcPr>
            <w:tcW w:w="1552" w:type="dxa"/>
          </w:tcPr>
          <w:p w:rsidRPr="00DD0008" w:rsidR="00334D7E" w:rsidP="00334D7E" w:rsidRDefault="00334D7E" w14:paraId="1316229A" w14:textId="023D41FD">
            <w:pPr>
              <w:rPr>
                <w:rFonts w:ascii="Verdana" w:hAnsi="Verdana"/>
                <w:sz w:val="16"/>
                <w:szCs w:val="16"/>
              </w:rPr>
            </w:pPr>
            <w:r w:rsidRPr="000C716E">
              <w:rPr>
                <w:rFonts w:ascii="Verdana" w:hAnsi="Verdana"/>
                <w:sz w:val="16"/>
                <w:szCs w:val="16"/>
              </w:rPr>
              <w:lastRenderedPageBreak/>
              <w:t>1, lid 4</w:t>
            </w:r>
          </w:p>
        </w:tc>
        <w:tc>
          <w:tcPr>
            <w:tcW w:w="1514" w:type="dxa"/>
          </w:tcPr>
          <w:p w:rsidRPr="002C5EC5" w:rsidR="00334D7E" w:rsidP="00334D7E" w:rsidRDefault="00334D7E" w14:paraId="533A1FD9" w14:textId="77777777">
            <w:pPr>
              <w:rPr>
                <w:rFonts w:ascii="Verdana" w:hAnsi="Verdana"/>
                <w:sz w:val="16"/>
                <w:szCs w:val="16"/>
              </w:rPr>
            </w:pPr>
            <w:r w:rsidRPr="002C5EC5">
              <w:rPr>
                <w:rFonts w:ascii="Verdana" w:hAnsi="Verdana"/>
                <w:sz w:val="16"/>
                <w:szCs w:val="16"/>
              </w:rPr>
              <w:t>4 bis, derde lid</w:t>
            </w:r>
          </w:p>
        </w:tc>
        <w:tc>
          <w:tcPr>
            <w:tcW w:w="1625" w:type="dxa"/>
          </w:tcPr>
          <w:p w:rsidRPr="002C5EC5" w:rsidR="00334D7E" w:rsidP="00334D7E" w:rsidRDefault="00334D7E" w14:paraId="77E4A09E" w14:textId="77777777">
            <w:pPr>
              <w:rPr>
                <w:rFonts w:ascii="Verdana" w:hAnsi="Verdana"/>
                <w:sz w:val="16"/>
                <w:szCs w:val="16"/>
              </w:rPr>
            </w:pPr>
            <w:r>
              <w:rPr>
                <w:rFonts w:ascii="Verdana" w:hAnsi="Verdana"/>
                <w:sz w:val="16"/>
                <w:szCs w:val="16"/>
              </w:rPr>
              <w:t>Artikel II, onderdeel C (</w:t>
            </w:r>
            <w:r w:rsidRPr="002C5EC5">
              <w:rPr>
                <w:rFonts w:ascii="Verdana" w:hAnsi="Verdana"/>
                <w:sz w:val="16"/>
                <w:szCs w:val="16"/>
              </w:rPr>
              <w:t>12d, eerste lid, Bankwet 1998</w:t>
            </w:r>
            <w:r>
              <w:rPr>
                <w:rFonts w:ascii="Verdana" w:hAnsi="Verdana"/>
                <w:sz w:val="16"/>
                <w:szCs w:val="16"/>
              </w:rPr>
              <w:t>)</w:t>
            </w:r>
          </w:p>
        </w:tc>
        <w:tc>
          <w:tcPr>
            <w:tcW w:w="1274" w:type="dxa"/>
          </w:tcPr>
          <w:p w:rsidRPr="002C5EC5" w:rsidR="00334D7E" w:rsidP="00334D7E" w:rsidRDefault="00334D7E" w14:paraId="18F2D6F8" w14:textId="77777777">
            <w:pPr>
              <w:rPr>
                <w:rFonts w:ascii="Verdana" w:hAnsi="Verdana"/>
                <w:sz w:val="16"/>
                <w:szCs w:val="16"/>
              </w:rPr>
            </w:pPr>
            <w:r w:rsidRPr="002C5EC5">
              <w:rPr>
                <w:rFonts w:ascii="Verdana" w:hAnsi="Verdana"/>
                <w:sz w:val="16"/>
                <w:szCs w:val="16"/>
              </w:rPr>
              <w:t>Geen</w:t>
            </w:r>
          </w:p>
        </w:tc>
        <w:tc>
          <w:tcPr>
            <w:tcW w:w="1422" w:type="dxa"/>
          </w:tcPr>
          <w:p w:rsidR="00334D7E" w:rsidP="00334D7E" w:rsidRDefault="00334D7E" w14:paraId="372DAE74" w14:textId="77777777">
            <w:pPr>
              <w:rPr>
                <w:rFonts w:ascii="Verdana" w:hAnsi="Verdana"/>
                <w:sz w:val="16"/>
                <w:szCs w:val="16"/>
              </w:rPr>
            </w:pPr>
          </w:p>
        </w:tc>
      </w:tr>
      <w:tr w:rsidR="00334D7E" w:rsidTr="00CA30A2" w14:paraId="08C1EE53" w14:textId="77777777">
        <w:tc>
          <w:tcPr>
            <w:tcW w:w="1552" w:type="dxa"/>
          </w:tcPr>
          <w:p w:rsidRPr="00DD0008" w:rsidR="00334D7E" w:rsidP="00334D7E" w:rsidRDefault="00334D7E" w14:paraId="4DBCB8F4" w14:textId="7C3A7E9B">
            <w:pPr>
              <w:rPr>
                <w:rFonts w:ascii="Verdana" w:hAnsi="Verdana"/>
                <w:sz w:val="16"/>
                <w:szCs w:val="16"/>
              </w:rPr>
            </w:pPr>
            <w:r w:rsidRPr="000C716E">
              <w:rPr>
                <w:rFonts w:ascii="Verdana" w:hAnsi="Verdana"/>
                <w:sz w:val="16"/>
                <w:szCs w:val="16"/>
              </w:rPr>
              <w:t>1, lid 4</w:t>
            </w:r>
          </w:p>
        </w:tc>
        <w:tc>
          <w:tcPr>
            <w:tcW w:w="1514" w:type="dxa"/>
          </w:tcPr>
          <w:p w:rsidRPr="002C5EC5" w:rsidR="00334D7E" w:rsidP="00334D7E" w:rsidRDefault="00334D7E" w14:paraId="5C10489F" w14:textId="77777777">
            <w:pPr>
              <w:rPr>
                <w:rFonts w:ascii="Verdana" w:hAnsi="Verdana"/>
                <w:sz w:val="16"/>
                <w:szCs w:val="16"/>
              </w:rPr>
            </w:pPr>
            <w:r w:rsidRPr="002C5EC5">
              <w:rPr>
                <w:rFonts w:ascii="Verdana" w:hAnsi="Verdana"/>
                <w:sz w:val="16"/>
                <w:szCs w:val="16"/>
              </w:rPr>
              <w:t>4 bis, vierde lid, eerste alinea</w:t>
            </w:r>
          </w:p>
        </w:tc>
        <w:tc>
          <w:tcPr>
            <w:tcW w:w="1625" w:type="dxa"/>
          </w:tcPr>
          <w:p w:rsidR="00334D7E" w:rsidP="00334D7E" w:rsidRDefault="00334D7E" w14:paraId="77BEEFBF" w14:textId="77777777">
            <w:pPr>
              <w:rPr>
                <w:rFonts w:ascii="Verdana" w:hAnsi="Verdana"/>
                <w:sz w:val="16"/>
                <w:szCs w:val="16"/>
              </w:rPr>
            </w:pPr>
            <w:r>
              <w:rPr>
                <w:rFonts w:ascii="Verdana" w:hAnsi="Verdana"/>
                <w:sz w:val="16"/>
                <w:szCs w:val="16"/>
              </w:rPr>
              <w:t>Artikel II, onderdeel C (</w:t>
            </w:r>
            <w:r w:rsidRPr="002C5EC5">
              <w:rPr>
                <w:rFonts w:ascii="Verdana" w:hAnsi="Verdana"/>
                <w:sz w:val="16"/>
                <w:szCs w:val="16"/>
              </w:rPr>
              <w:t>12d, eerste lid, Bankwet 1998</w:t>
            </w:r>
            <w:r>
              <w:rPr>
                <w:rFonts w:ascii="Verdana" w:hAnsi="Verdana"/>
                <w:sz w:val="16"/>
                <w:szCs w:val="16"/>
              </w:rPr>
              <w:t>)</w:t>
            </w:r>
          </w:p>
        </w:tc>
        <w:tc>
          <w:tcPr>
            <w:tcW w:w="1274" w:type="dxa"/>
          </w:tcPr>
          <w:p w:rsidRPr="002C5EC5" w:rsidR="00334D7E" w:rsidP="00334D7E" w:rsidRDefault="00334D7E" w14:paraId="7300797B" w14:textId="77777777">
            <w:pPr>
              <w:rPr>
                <w:rFonts w:ascii="Verdana" w:hAnsi="Verdana"/>
                <w:sz w:val="16"/>
                <w:szCs w:val="16"/>
              </w:rPr>
            </w:pPr>
            <w:r w:rsidRPr="002C5EC5">
              <w:rPr>
                <w:rFonts w:ascii="Verdana" w:hAnsi="Verdana"/>
                <w:sz w:val="16"/>
                <w:szCs w:val="16"/>
              </w:rPr>
              <w:t>Geen</w:t>
            </w:r>
          </w:p>
        </w:tc>
        <w:tc>
          <w:tcPr>
            <w:tcW w:w="1422" w:type="dxa"/>
          </w:tcPr>
          <w:p w:rsidR="00334D7E" w:rsidP="00334D7E" w:rsidRDefault="00334D7E" w14:paraId="744150B4" w14:textId="77777777">
            <w:pPr>
              <w:rPr>
                <w:rFonts w:ascii="Verdana" w:hAnsi="Verdana"/>
                <w:sz w:val="16"/>
                <w:szCs w:val="16"/>
              </w:rPr>
            </w:pPr>
          </w:p>
        </w:tc>
      </w:tr>
      <w:tr w:rsidR="00334D7E" w:rsidTr="00CA30A2" w14:paraId="116E82C7" w14:textId="77777777">
        <w:tc>
          <w:tcPr>
            <w:tcW w:w="1552" w:type="dxa"/>
          </w:tcPr>
          <w:p w:rsidRPr="00DD0008" w:rsidR="00334D7E" w:rsidP="00334D7E" w:rsidRDefault="00334D7E" w14:paraId="12E08D0B" w14:textId="13A17C48">
            <w:pPr>
              <w:rPr>
                <w:rFonts w:ascii="Verdana" w:hAnsi="Verdana"/>
                <w:sz w:val="16"/>
                <w:szCs w:val="16"/>
              </w:rPr>
            </w:pPr>
            <w:r w:rsidRPr="000C716E">
              <w:rPr>
                <w:rFonts w:ascii="Verdana" w:hAnsi="Verdana"/>
                <w:sz w:val="16"/>
                <w:szCs w:val="16"/>
              </w:rPr>
              <w:t>1, lid 4</w:t>
            </w:r>
          </w:p>
        </w:tc>
        <w:tc>
          <w:tcPr>
            <w:tcW w:w="1514" w:type="dxa"/>
          </w:tcPr>
          <w:p w:rsidRPr="002C5EC5" w:rsidR="00334D7E" w:rsidP="00334D7E" w:rsidRDefault="00334D7E" w14:paraId="4B8F9CE3" w14:textId="77777777">
            <w:pPr>
              <w:rPr>
                <w:rFonts w:ascii="Verdana" w:hAnsi="Verdana"/>
                <w:sz w:val="16"/>
                <w:szCs w:val="16"/>
              </w:rPr>
            </w:pPr>
            <w:r w:rsidRPr="002C5EC5">
              <w:rPr>
                <w:rFonts w:ascii="Verdana" w:hAnsi="Verdana"/>
                <w:sz w:val="16"/>
                <w:szCs w:val="16"/>
              </w:rPr>
              <w:t>4 bis, vierde lid, tweede alinea</w:t>
            </w:r>
          </w:p>
        </w:tc>
        <w:tc>
          <w:tcPr>
            <w:tcW w:w="1625" w:type="dxa"/>
          </w:tcPr>
          <w:p w:rsidR="00334D7E" w:rsidP="00334D7E" w:rsidRDefault="00334D7E" w14:paraId="5F828BA7" w14:textId="77777777">
            <w:pPr>
              <w:rPr>
                <w:rFonts w:ascii="Verdana" w:hAnsi="Verdana"/>
                <w:sz w:val="16"/>
                <w:szCs w:val="16"/>
              </w:rPr>
            </w:pPr>
            <w:r w:rsidRPr="00D4351E">
              <w:rPr>
                <w:rFonts w:ascii="Verdana" w:hAnsi="Verdana"/>
                <w:sz w:val="16"/>
                <w:szCs w:val="16"/>
              </w:rPr>
              <w:t>Artikel II, onderdeel C (12d, eerste lid, Bankwet 1998)</w:t>
            </w:r>
          </w:p>
        </w:tc>
        <w:tc>
          <w:tcPr>
            <w:tcW w:w="1274" w:type="dxa"/>
          </w:tcPr>
          <w:p w:rsidRPr="002C5EC5" w:rsidR="00334D7E" w:rsidP="00334D7E" w:rsidRDefault="00334D7E" w14:paraId="2E3461AE" w14:textId="77777777">
            <w:pPr>
              <w:rPr>
                <w:rFonts w:ascii="Verdana" w:hAnsi="Verdana"/>
                <w:sz w:val="16"/>
                <w:szCs w:val="16"/>
              </w:rPr>
            </w:pPr>
            <w:r>
              <w:rPr>
                <w:rFonts w:ascii="Verdana" w:hAnsi="Verdana"/>
                <w:sz w:val="16"/>
                <w:szCs w:val="16"/>
              </w:rPr>
              <w:t>L</w:t>
            </w:r>
            <w:r w:rsidRPr="002C5EC5">
              <w:rPr>
                <w:rFonts w:ascii="Verdana" w:hAnsi="Verdana"/>
                <w:sz w:val="16"/>
                <w:szCs w:val="16"/>
              </w:rPr>
              <w:t>idstaatoptie</w:t>
            </w:r>
            <w:r>
              <w:rPr>
                <w:rFonts w:ascii="Verdana" w:hAnsi="Verdana"/>
                <w:sz w:val="16"/>
                <w:szCs w:val="16"/>
              </w:rPr>
              <w:t xml:space="preserve"> waar gebruik van wordt gemaakt</w:t>
            </w:r>
          </w:p>
        </w:tc>
        <w:tc>
          <w:tcPr>
            <w:tcW w:w="1422" w:type="dxa"/>
          </w:tcPr>
          <w:p w:rsidR="00334D7E" w:rsidP="00334D7E" w:rsidRDefault="00334D7E" w14:paraId="2A942C26" w14:textId="77777777">
            <w:pPr>
              <w:rPr>
                <w:rFonts w:ascii="Verdana" w:hAnsi="Verdana"/>
                <w:sz w:val="16"/>
                <w:szCs w:val="16"/>
              </w:rPr>
            </w:pPr>
            <w:r w:rsidRPr="002C5EC5">
              <w:rPr>
                <w:rFonts w:ascii="Verdana" w:hAnsi="Verdana"/>
                <w:sz w:val="16"/>
                <w:szCs w:val="16"/>
              </w:rPr>
              <w:t>Termijn afkoelingsperiode in geval rechtstreekse concurrent van de instelling</w:t>
            </w:r>
            <w:r>
              <w:rPr>
                <w:rFonts w:ascii="Verdana" w:hAnsi="Verdana"/>
                <w:sz w:val="16"/>
                <w:szCs w:val="16"/>
              </w:rPr>
              <w:t>.</w:t>
            </w:r>
            <w:r w:rsidRPr="002C5EC5">
              <w:rPr>
                <w:rFonts w:ascii="Verdana" w:hAnsi="Verdana"/>
                <w:sz w:val="16"/>
                <w:szCs w:val="16"/>
              </w:rPr>
              <w:t xml:space="preserve"> </w:t>
            </w:r>
          </w:p>
        </w:tc>
      </w:tr>
      <w:tr w:rsidR="00334D7E" w:rsidTr="00CA30A2" w14:paraId="62488D51" w14:textId="77777777">
        <w:tc>
          <w:tcPr>
            <w:tcW w:w="1552" w:type="dxa"/>
          </w:tcPr>
          <w:p w:rsidRPr="00DD0008" w:rsidR="00334D7E" w:rsidP="00334D7E" w:rsidRDefault="00334D7E" w14:paraId="579BBF05" w14:textId="1649D540">
            <w:pPr>
              <w:rPr>
                <w:rFonts w:ascii="Verdana" w:hAnsi="Verdana"/>
                <w:sz w:val="16"/>
                <w:szCs w:val="16"/>
              </w:rPr>
            </w:pPr>
            <w:r w:rsidRPr="000C716E">
              <w:rPr>
                <w:rFonts w:ascii="Verdana" w:hAnsi="Verdana"/>
                <w:sz w:val="16"/>
                <w:szCs w:val="16"/>
              </w:rPr>
              <w:t>1, lid 4</w:t>
            </w:r>
          </w:p>
        </w:tc>
        <w:tc>
          <w:tcPr>
            <w:tcW w:w="1514" w:type="dxa"/>
          </w:tcPr>
          <w:p w:rsidRPr="002C5EC5" w:rsidR="00334D7E" w:rsidP="00334D7E" w:rsidRDefault="00334D7E" w14:paraId="0CFBFB89" w14:textId="77777777">
            <w:pPr>
              <w:rPr>
                <w:rFonts w:ascii="Verdana" w:hAnsi="Verdana"/>
                <w:sz w:val="16"/>
                <w:szCs w:val="16"/>
              </w:rPr>
            </w:pPr>
            <w:r w:rsidRPr="002C5EC5">
              <w:rPr>
                <w:rFonts w:ascii="Verdana" w:hAnsi="Verdana"/>
                <w:sz w:val="16"/>
                <w:szCs w:val="16"/>
              </w:rPr>
              <w:t>4 bis, vijfde lid</w:t>
            </w:r>
          </w:p>
        </w:tc>
        <w:tc>
          <w:tcPr>
            <w:tcW w:w="1625" w:type="dxa"/>
          </w:tcPr>
          <w:p w:rsidRPr="00D4351E" w:rsidR="00334D7E" w:rsidP="00334D7E" w:rsidRDefault="00334D7E" w14:paraId="39ED6CA5" w14:textId="77777777">
            <w:pPr>
              <w:rPr>
                <w:rFonts w:ascii="Verdana" w:hAnsi="Verdana"/>
                <w:sz w:val="16"/>
                <w:szCs w:val="16"/>
              </w:rPr>
            </w:pPr>
            <w:r w:rsidRPr="00D4351E">
              <w:rPr>
                <w:rFonts w:ascii="Verdana" w:hAnsi="Verdana"/>
                <w:sz w:val="16"/>
                <w:szCs w:val="16"/>
              </w:rPr>
              <w:t>Artikel II, onderdeel C (12d, eerste lid, Bankwet 1998)</w:t>
            </w:r>
          </w:p>
        </w:tc>
        <w:tc>
          <w:tcPr>
            <w:tcW w:w="1274" w:type="dxa"/>
          </w:tcPr>
          <w:p w:rsidR="00334D7E" w:rsidP="00334D7E" w:rsidRDefault="00334D7E" w14:paraId="646DC06B" w14:textId="77777777">
            <w:pPr>
              <w:rPr>
                <w:rFonts w:ascii="Verdana" w:hAnsi="Verdana"/>
                <w:sz w:val="16"/>
                <w:szCs w:val="16"/>
              </w:rPr>
            </w:pPr>
            <w:r w:rsidRPr="002C5EC5">
              <w:rPr>
                <w:rFonts w:ascii="Verdana" w:hAnsi="Verdana"/>
                <w:sz w:val="16"/>
                <w:szCs w:val="16"/>
              </w:rPr>
              <w:t>Lidstaatoptie waar gebruik van wordt gemaakt.</w:t>
            </w:r>
          </w:p>
        </w:tc>
        <w:tc>
          <w:tcPr>
            <w:tcW w:w="1422" w:type="dxa"/>
          </w:tcPr>
          <w:p w:rsidRPr="002C5EC5" w:rsidR="00334D7E" w:rsidP="00334D7E" w:rsidRDefault="00334D7E" w14:paraId="617BB7D7" w14:textId="77777777">
            <w:pPr>
              <w:rPr>
                <w:rFonts w:ascii="Verdana" w:hAnsi="Verdana"/>
                <w:sz w:val="16"/>
                <w:szCs w:val="16"/>
              </w:rPr>
            </w:pPr>
            <w:r w:rsidRPr="002C5EC5">
              <w:rPr>
                <w:rFonts w:ascii="Verdana" w:hAnsi="Verdana"/>
                <w:sz w:val="16"/>
                <w:szCs w:val="16"/>
              </w:rPr>
              <w:t>Verkorting afkoelingsperiode</w:t>
            </w:r>
          </w:p>
        </w:tc>
      </w:tr>
      <w:tr w:rsidR="00334D7E" w:rsidTr="00CA30A2" w14:paraId="308F2CBA" w14:textId="77777777">
        <w:tc>
          <w:tcPr>
            <w:tcW w:w="1552" w:type="dxa"/>
          </w:tcPr>
          <w:p w:rsidRPr="00DD0008" w:rsidR="00334D7E" w:rsidP="00334D7E" w:rsidRDefault="00334D7E" w14:paraId="146250F1" w14:textId="2F1D88BE">
            <w:pPr>
              <w:rPr>
                <w:rFonts w:ascii="Verdana" w:hAnsi="Verdana"/>
                <w:sz w:val="16"/>
                <w:szCs w:val="16"/>
              </w:rPr>
            </w:pPr>
            <w:r w:rsidRPr="000C716E">
              <w:rPr>
                <w:rFonts w:ascii="Verdana" w:hAnsi="Verdana"/>
                <w:sz w:val="16"/>
                <w:szCs w:val="16"/>
              </w:rPr>
              <w:t>1, lid 4</w:t>
            </w:r>
          </w:p>
        </w:tc>
        <w:tc>
          <w:tcPr>
            <w:tcW w:w="1514" w:type="dxa"/>
          </w:tcPr>
          <w:p w:rsidRPr="002C5EC5" w:rsidR="00334D7E" w:rsidP="00334D7E" w:rsidRDefault="00334D7E" w14:paraId="1AC7F256" w14:textId="77777777">
            <w:pPr>
              <w:rPr>
                <w:rFonts w:ascii="Verdana" w:hAnsi="Verdana"/>
                <w:sz w:val="16"/>
                <w:szCs w:val="16"/>
              </w:rPr>
            </w:pPr>
            <w:r w:rsidRPr="002C5EC5">
              <w:rPr>
                <w:rFonts w:ascii="Verdana" w:hAnsi="Verdana"/>
                <w:sz w:val="16"/>
                <w:szCs w:val="16"/>
              </w:rPr>
              <w:t>4 bis, zesde lid</w:t>
            </w:r>
          </w:p>
        </w:tc>
        <w:tc>
          <w:tcPr>
            <w:tcW w:w="1625" w:type="dxa"/>
          </w:tcPr>
          <w:p w:rsidRPr="00D4351E" w:rsidR="00334D7E" w:rsidP="00334D7E" w:rsidRDefault="00334D7E" w14:paraId="03A89D58" w14:textId="77777777">
            <w:pPr>
              <w:rPr>
                <w:rFonts w:ascii="Verdana" w:hAnsi="Verdana"/>
                <w:sz w:val="16"/>
                <w:szCs w:val="16"/>
              </w:rPr>
            </w:pPr>
            <w:r w:rsidRPr="00CF690D">
              <w:rPr>
                <w:rFonts w:ascii="Verdana" w:hAnsi="Verdana"/>
                <w:sz w:val="16"/>
                <w:szCs w:val="16"/>
              </w:rPr>
              <w:t>Artikel II, onderdeel C (12d, eerste lid, Bankwet 1998)</w:t>
            </w:r>
          </w:p>
        </w:tc>
        <w:tc>
          <w:tcPr>
            <w:tcW w:w="1274" w:type="dxa"/>
          </w:tcPr>
          <w:p w:rsidRPr="002C5EC5" w:rsidR="00334D7E" w:rsidP="00334D7E" w:rsidRDefault="00334D7E" w14:paraId="76A8F31C"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4A837793" w14:textId="77777777">
            <w:pPr>
              <w:rPr>
                <w:rFonts w:ascii="Verdana" w:hAnsi="Verdana"/>
                <w:sz w:val="16"/>
                <w:szCs w:val="16"/>
              </w:rPr>
            </w:pPr>
          </w:p>
        </w:tc>
      </w:tr>
      <w:tr w:rsidR="00334D7E" w:rsidTr="00CA30A2" w14:paraId="0E169C7D" w14:textId="77777777">
        <w:tc>
          <w:tcPr>
            <w:tcW w:w="1552" w:type="dxa"/>
          </w:tcPr>
          <w:p w:rsidRPr="00DD0008" w:rsidR="00334D7E" w:rsidP="00334D7E" w:rsidRDefault="00334D7E" w14:paraId="7FB3ABBD" w14:textId="5D9011FE">
            <w:pPr>
              <w:rPr>
                <w:rFonts w:ascii="Verdana" w:hAnsi="Verdana"/>
                <w:sz w:val="16"/>
                <w:szCs w:val="16"/>
              </w:rPr>
            </w:pPr>
            <w:r w:rsidRPr="000C716E">
              <w:rPr>
                <w:rFonts w:ascii="Verdana" w:hAnsi="Verdana"/>
                <w:sz w:val="16"/>
                <w:szCs w:val="16"/>
              </w:rPr>
              <w:t>1, lid 4</w:t>
            </w:r>
          </w:p>
        </w:tc>
        <w:tc>
          <w:tcPr>
            <w:tcW w:w="1514" w:type="dxa"/>
          </w:tcPr>
          <w:p w:rsidRPr="002C5EC5" w:rsidR="00334D7E" w:rsidP="00334D7E" w:rsidRDefault="00334D7E" w14:paraId="2AD07F80" w14:textId="77777777">
            <w:pPr>
              <w:rPr>
                <w:rFonts w:ascii="Verdana" w:hAnsi="Verdana"/>
                <w:sz w:val="16"/>
                <w:szCs w:val="16"/>
              </w:rPr>
            </w:pPr>
            <w:r w:rsidRPr="002C5EC5">
              <w:rPr>
                <w:rFonts w:ascii="Verdana" w:hAnsi="Verdana"/>
                <w:sz w:val="16"/>
                <w:szCs w:val="16"/>
              </w:rPr>
              <w:t>4 bis, zevende lid</w:t>
            </w:r>
          </w:p>
        </w:tc>
        <w:tc>
          <w:tcPr>
            <w:tcW w:w="1625" w:type="dxa"/>
          </w:tcPr>
          <w:p w:rsidRPr="00CF690D" w:rsidR="00334D7E" w:rsidP="00334D7E" w:rsidRDefault="00334D7E" w14:paraId="1BB8257F" w14:textId="77777777">
            <w:pPr>
              <w:rPr>
                <w:rFonts w:ascii="Verdana" w:hAnsi="Verdana"/>
                <w:sz w:val="16"/>
                <w:szCs w:val="16"/>
              </w:rPr>
            </w:pPr>
            <w:r w:rsidRPr="00CF690D">
              <w:rPr>
                <w:rFonts w:ascii="Verdana" w:hAnsi="Verdana"/>
                <w:sz w:val="16"/>
                <w:szCs w:val="16"/>
              </w:rPr>
              <w:t>Artikel II, onderdeel C (12d, eerste lid, Bankwet 1998)</w:t>
            </w:r>
          </w:p>
        </w:tc>
        <w:tc>
          <w:tcPr>
            <w:tcW w:w="1274" w:type="dxa"/>
          </w:tcPr>
          <w:p w:rsidRPr="002C5EC5" w:rsidR="00334D7E" w:rsidP="00334D7E" w:rsidRDefault="00334D7E" w14:paraId="0283445E"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00E28BB7" w14:textId="77777777">
            <w:pPr>
              <w:rPr>
                <w:rFonts w:ascii="Verdana" w:hAnsi="Verdana"/>
                <w:sz w:val="16"/>
                <w:szCs w:val="16"/>
              </w:rPr>
            </w:pPr>
          </w:p>
        </w:tc>
      </w:tr>
      <w:tr w:rsidR="00334D7E" w:rsidTr="00CA30A2" w14:paraId="317235F7" w14:textId="77777777">
        <w:tc>
          <w:tcPr>
            <w:tcW w:w="1552" w:type="dxa"/>
          </w:tcPr>
          <w:p w:rsidRPr="00DD0008" w:rsidR="00334D7E" w:rsidP="00334D7E" w:rsidRDefault="00334D7E" w14:paraId="147E29F2" w14:textId="0EBCB0C7">
            <w:pPr>
              <w:rPr>
                <w:rFonts w:ascii="Verdana" w:hAnsi="Verdana"/>
                <w:sz w:val="16"/>
                <w:szCs w:val="16"/>
              </w:rPr>
            </w:pPr>
            <w:r w:rsidRPr="000C716E">
              <w:rPr>
                <w:rFonts w:ascii="Verdana" w:hAnsi="Verdana"/>
                <w:sz w:val="16"/>
                <w:szCs w:val="16"/>
              </w:rPr>
              <w:t>1, lid 4</w:t>
            </w:r>
          </w:p>
        </w:tc>
        <w:tc>
          <w:tcPr>
            <w:tcW w:w="1514" w:type="dxa"/>
          </w:tcPr>
          <w:p w:rsidRPr="002C5EC5" w:rsidR="00334D7E" w:rsidP="00334D7E" w:rsidRDefault="00334D7E" w14:paraId="471BD4A7" w14:textId="77777777">
            <w:pPr>
              <w:rPr>
                <w:rFonts w:ascii="Verdana" w:hAnsi="Verdana"/>
                <w:sz w:val="16"/>
                <w:szCs w:val="16"/>
              </w:rPr>
            </w:pPr>
            <w:r w:rsidRPr="002C5EC5">
              <w:rPr>
                <w:rFonts w:ascii="Verdana" w:hAnsi="Verdana"/>
                <w:sz w:val="16"/>
                <w:szCs w:val="16"/>
              </w:rPr>
              <w:t>4 bis, achtste lid</w:t>
            </w:r>
          </w:p>
        </w:tc>
        <w:tc>
          <w:tcPr>
            <w:tcW w:w="1625" w:type="dxa"/>
          </w:tcPr>
          <w:p w:rsidRPr="00CF690D" w:rsidR="00334D7E" w:rsidP="00334D7E" w:rsidRDefault="00334D7E" w14:paraId="11B9EF5B" w14:textId="77777777">
            <w:pPr>
              <w:rPr>
                <w:rFonts w:ascii="Verdana" w:hAnsi="Verdana"/>
                <w:sz w:val="16"/>
                <w:szCs w:val="16"/>
              </w:rPr>
            </w:pPr>
            <w:r w:rsidRPr="00CF690D">
              <w:rPr>
                <w:rFonts w:ascii="Verdana" w:hAnsi="Verdana"/>
                <w:sz w:val="16"/>
                <w:szCs w:val="16"/>
              </w:rPr>
              <w:t>Artikel II, onderdeel C (12d, eerste lid, Bankwet 1998)</w:t>
            </w:r>
          </w:p>
        </w:tc>
        <w:tc>
          <w:tcPr>
            <w:tcW w:w="1274" w:type="dxa"/>
          </w:tcPr>
          <w:p w:rsidRPr="002C5EC5" w:rsidR="00334D7E" w:rsidP="00334D7E" w:rsidRDefault="00334D7E" w14:paraId="25203633"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5FCC0895" w14:textId="77777777">
            <w:pPr>
              <w:rPr>
                <w:rFonts w:ascii="Verdana" w:hAnsi="Verdana"/>
                <w:sz w:val="16"/>
                <w:szCs w:val="16"/>
              </w:rPr>
            </w:pPr>
          </w:p>
        </w:tc>
      </w:tr>
      <w:tr w:rsidR="00334D7E" w:rsidTr="00CA30A2" w14:paraId="07452F7F" w14:textId="77777777">
        <w:tc>
          <w:tcPr>
            <w:tcW w:w="1552" w:type="dxa"/>
          </w:tcPr>
          <w:p w:rsidRPr="00DD0008" w:rsidR="00334D7E" w:rsidP="00334D7E" w:rsidRDefault="00334D7E" w14:paraId="058D058C" w14:textId="7987D733">
            <w:pPr>
              <w:rPr>
                <w:rFonts w:ascii="Verdana" w:hAnsi="Verdana"/>
                <w:sz w:val="16"/>
                <w:szCs w:val="16"/>
              </w:rPr>
            </w:pPr>
            <w:r w:rsidRPr="000C716E">
              <w:rPr>
                <w:rFonts w:ascii="Verdana" w:hAnsi="Verdana"/>
                <w:sz w:val="16"/>
                <w:szCs w:val="16"/>
              </w:rPr>
              <w:t>1, lid 4</w:t>
            </w:r>
          </w:p>
        </w:tc>
        <w:tc>
          <w:tcPr>
            <w:tcW w:w="1514" w:type="dxa"/>
          </w:tcPr>
          <w:p w:rsidRPr="002C5EC5" w:rsidR="00334D7E" w:rsidP="00334D7E" w:rsidRDefault="00334D7E" w14:paraId="0E1A83E9" w14:textId="77777777">
            <w:pPr>
              <w:rPr>
                <w:rFonts w:ascii="Verdana" w:hAnsi="Verdana"/>
                <w:sz w:val="16"/>
                <w:szCs w:val="16"/>
              </w:rPr>
            </w:pPr>
            <w:r w:rsidRPr="002C5EC5">
              <w:rPr>
                <w:rFonts w:ascii="Verdana" w:hAnsi="Verdana"/>
                <w:sz w:val="16"/>
                <w:szCs w:val="16"/>
              </w:rPr>
              <w:t>4 bis, negende lid</w:t>
            </w:r>
          </w:p>
        </w:tc>
        <w:tc>
          <w:tcPr>
            <w:tcW w:w="1625" w:type="dxa"/>
          </w:tcPr>
          <w:p w:rsidRPr="00CF690D" w:rsidR="00334D7E" w:rsidP="00334D7E" w:rsidRDefault="00334D7E" w14:paraId="2A433007" w14:textId="77777777">
            <w:pPr>
              <w:rPr>
                <w:rFonts w:ascii="Verdana" w:hAnsi="Verdana"/>
                <w:sz w:val="16"/>
                <w:szCs w:val="16"/>
              </w:rPr>
            </w:pPr>
            <w:r w:rsidRPr="002C5EC5">
              <w:rPr>
                <w:rFonts w:ascii="Verdana" w:hAnsi="Verdana"/>
                <w:sz w:val="16"/>
                <w:szCs w:val="16"/>
              </w:rPr>
              <w:t>Behoeft naar zijn aard geen implementatie: bepaling gericht tot EBA</w:t>
            </w:r>
          </w:p>
        </w:tc>
        <w:tc>
          <w:tcPr>
            <w:tcW w:w="1274" w:type="dxa"/>
          </w:tcPr>
          <w:p w:rsidRPr="002C5EC5" w:rsidR="00334D7E" w:rsidP="00334D7E" w:rsidRDefault="00334D7E" w14:paraId="6E9640BA"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153E04A7" w14:textId="77777777">
            <w:pPr>
              <w:rPr>
                <w:rFonts w:ascii="Verdana" w:hAnsi="Verdana"/>
                <w:sz w:val="16"/>
                <w:szCs w:val="16"/>
              </w:rPr>
            </w:pPr>
          </w:p>
        </w:tc>
      </w:tr>
      <w:tr w:rsidR="00CA30A2" w:rsidTr="00CA30A2" w14:paraId="33C11CA4" w14:textId="77777777">
        <w:tc>
          <w:tcPr>
            <w:tcW w:w="1552" w:type="dxa"/>
          </w:tcPr>
          <w:p w:rsidRPr="00DD0008" w:rsidR="00CA30A2" w:rsidP="008549EB" w:rsidRDefault="00334D7E" w14:paraId="043BD0CA" w14:textId="0B384552">
            <w:pPr>
              <w:rPr>
                <w:rFonts w:ascii="Verdana" w:hAnsi="Verdana"/>
                <w:sz w:val="16"/>
                <w:szCs w:val="16"/>
              </w:rPr>
            </w:pPr>
            <w:r>
              <w:rPr>
                <w:rFonts w:ascii="Verdana" w:hAnsi="Verdana"/>
                <w:sz w:val="16"/>
                <w:szCs w:val="16"/>
              </w:rPr>
              <w:t>1, lid 5</w:t>
            </w:r>
            <w:r w:rsidR="00CA30A2">
              <w:rPr>
                <w:rFonts w:ascii="Verdana" w:hAnsi="Verdana"/>
                <w:sz w:val="16"/>
                <w:szCs w:val="16"/>
              </w:rPr>
              <w:t>, onderdeel a</w:t>
            </w:r>
          </w:p>
        </w:tc>
        <w:tc>
          <w:tcPr>
            <w:tcW w:w="1514" w:type="dxa"/>
          </w:tcPr>
          <w:p w:rsidRPr="002C5EC5" w:rsidR="00CA30A2" w:rsidP="008549EB" w:rsidRDefault="00CA30A2" w14:paraId="05C58AF6" w14:textId="77777777">
            <w:pPr>
              <w:rPr>
                <w:rFonts w:ascii="Verdana" w:hAnsi="Verdana"/>
                <w:sz w:val="16"/>
                <w:szCs w:val="16"/>
              </w:rPr>
            </w:pPr>
            <w:r w:rsidRPr="002C5EC5">
              <w:rPr>
                <w:rFonts w:ascii="Verdana" w:hAnsi="Verdana"/>
                <w:sz w:val="16"/>
                <w:szCs w:val="16"/>
              </w:rPr>
              <w:t>8 bis, eerste lid</w:t>
            </w:r>
          </w:p>
        </w:tc>
        <w:tc>
          <w:tcPr>
            <w:tcW w:w="1625" w:type="dxa"/>
          </w:tcPr>
          <w:p w:rsidRPr="002C5EC5" w:rsidR="00CA30A2" w:rsidP="008549EB" w:rsidRDefault="00CA30A2" w14:paraId="0670ADFA" w14:textId="77777777">
            <w:pPr>
              <w:rPr>
                <w:rFonts w:ascii="Verdana" w:hAnsi="Verdana"/>
                <w:sz w:val="16"/>
                <w:szCs w:val="16"/>
              </w:rPr>
            </w:pPr>
            <w:r w:rsidRPr="002C5EC5">
              <w:rPr>
                <w:rFonts w:ascii="Verdana" w:hAnsi="Verdana"/>
                <w:sz w:val="16"/>
                <w:szCs w:val="16"/>
              </w:rPr>
              <w:t>Behoeft geen implementatie: Dynamische verwijzing naar</w:t>
            </w:r>
            <w:r>
              <w:rPr>
                <w:rFonts w:ascii="Verdana" w:hAnsi="Verdana"/>
                <w:sz w:val="16"/>
                <w:szCs w:val="16"/>
              </w:rPr>
              <w:t xml:space="preserve"> artikel</w:t>
            </w:r>
            <w:r w:rsidRPr="002C5EC5">
              <w:rPr>
                <w:rFonts w:ascii="Verdana" w:hAnsi="Verdana"/>
                <w:sz w:val="16"/>
                <w:szCs w:val="16"/>
              </w:rPr>
              <w:t xml:space="preserve"> acht bis, eerste lid, </w:t>
            </w:r>
            <w:r>
              <w:rPr>
                <w:rFonts w:ascii="Verdana" w:hAnsi="Verdana"/>
                <w:sz w:val="16"/>
                <w:szCs w:val="16"/>
              </w:rPr>
              <w:t>CRD</w:t>
            </w:r>
            <w:r w:rsidRPr="002C5EC5">
              <w:rPr>
                <w:rFonts w:ascii="Verdana" w:hAnsi="Verdana"/>
                <w:sz w:val="16"/>
                <w:szCs w:val="16"/>
              </w:rPr>
              <w:t xml:space="preserve"> in Artikel 2:13a, eerste lid, Wft</w:t>
            </w:r>
          </w:p>
        </w:tc>
        <w:tc>
          <w:tcPr>
            <w:tcW w:w="1274" w:type="dxa"/>
          </w:tcPr>
          <w:p w:rsidRPr="002C5EC5" w:rsidR="00CA30A2" w:rsidP="008549EB" w:rsidRDefault="00CA30A2" w14:paraId="2BCF028C"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3FA18D93" w14:textId="77777777">
            <w:pPr>
              <w:rPr>
                <w:rFonts w:ascii="Verdana" w:hAnsi="Verdana"/>
                <w:sz w:val="16"/>
                <w:szCs w:val="16"/>
              </w:rPr>
            </w:pPr>
          </w:p>
        </w:tc>
      </w:tr>
      <w:tr w:rsidR="00CA30A2" w:rsidTr="00CA30A2" w14:paraId="0BCEFD3F" w14:textId="77777777">
        <w:tc>
          <w:tcPr>
            <w:tcW w:w="1552" w:type="dxa"/>
          </w:tcPr>
          <w:p w:rsidRPr="00DD0008" w:rsidR="00CA30A2" w:rsidP="008549EB" w:rsidRDefault="00334D7E" w14:paraId="12748A0F" w14:textId="6E5CB420">
            <w:pPr>
              <w:rPr>
                <w:rFonts w:ascii="Verdana" w:hAnsi="Verdana"/>
                <w:sz w:val="16"/>
                <w:szCs w:val="16"/>
              </w:rPr>
            </w:pPr>
            <w:r>
              <w:rPr>
                <w:rFonts w:ascii="Verdana" w:hAnsi="Verdana"/>
                <w:sz w:val="16"/>
                <w:szCs w:val="16"/>
              </w:rPr>
              <w:t xml:space="preserve">1, lid </w:t>
            </w:r>
            <w:r w:rsidR="00CA30A2">
              <w:rPr>
                <w:rFonts w:ascii="Verdana" w:hAnsi="Verdana"/>
                <w:sz w:val="16"/>
                <w:szCs w:val="16"/>
              </w:rPr>
              <w:t>5, onderdeel b</w:t>
            </w:r>
          </w:p>
        </w:tc>
        <w:tc>
          <w:tcPr>
            <w:tcW w:w="1514" w:type="dxa"/>
          </w:tcPr>
          <w:p w:rsidRPr="002C5EC5" w:rsidR="00CA30A2" w:rsidP="008549EB" w:rsidRDefault="00CA30A2" w14:paraId="1BE12A0F" w14:textId="77777777">
            <w:pPr>
              <w:rPr>
                <w:rFonts w:ascii="Verdana" w:hAnsi="Verdana"/>
                <w:sz w:val="16"/>
                <w:szCs w:val="16"/>
              </w:rPr>
            </w:pPr>
            <w:bookmarkStart w:name="_Hlk166013581" w:id="13"/>
            <w:r w:rsidRPr="002C5EC5">
              <w:rPr>
                <w:rFonts w:ascii="Verdana" w:hAnsi="Verdana"/>
                <w:sz w:val="16"/>
                <w:szCs w:val="16"/>
              </w:rPr>
              <w:t>8 bis, derde lid bis, eerste alinea</w:t>
            </w:r>
            <w:bookmarkEnd w:id="13"/>
          </w:p>
        </w:tc>
        <w:tc>
          <w:tcPr>
            <w:tcW w:w="1625" w:type="dxa"/>
          </w:tcPr>
          <w:p w:rsidRPr="002C5EC5" w:rsidR="00CA30A2" w:rsidP="008549EB" w:rsidRDefault="00CA30A2" w14:paraId="2817354D" w14:textId="77777777">
            <w:pPr>
              <w:rPr>
                <w:rFonts w:ascii="Verdana" w:hAnsi="Verdana"/>
                <w:sz w:val="16"/>
                <w:szCs w:val="16"/>
              </w:rPr>
            </w:pPr>
            <w:r>
              <w:rPr>
                <w:rFonts w:ascii="Verdana" w:hAnsi="Verdana"/>
                <w:sz w:val="16"/>
                <w:szCs w:val="16"/>
              </w:rPr>
              <w:t>Artikel I, onderdeel Q (</w:t>
            </w:r>
            <w:r w:rsidRPr="002C5EC5">
              <w:rPr>
                <w:rFonts w:ascii="Verdana" w:hAnsi="Verdana"/>
                <w:sz w:val="16"/>
                <w:szCs w:val="16"/>
              </w:rPr>
              <w:t>2:13a, vijfde lid, Wft</w:t>
            </w:r>
            <w:r>
              <w:rPr>
                <w:rFonts w:ascii="Verdana" w:hAnsi="Verdana"/>
                <w:sz w:val="16"/>
                <w:szCs w:val="16"/>
              </w:rPr>
              <w:t>)</w:t>
            </w:r>
          </w:p>
        </w:tc>
        <w:tc>
          <w:tcPr>
            <w:tcW w:w="1274" w:type="dxa"/>
          </w:tcPr>
          <w:p w:rsidRPr="002C5EC5" w:rsidR="00CA30A2" w:rsidP="008549EB" w:rsidRDefault="00CA30A2" w14:paraId="1D649920"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37532569" w14:textId="77777777">
            <w:pPr>
              <w:rPr>
                <w:rFonts w:ascii="Verdana" w:hAnsi="Verdana"/>
                <w:sz w:val="16"/>
                <w:szCs w:val="16"/>
              </w:rPr>
            </w:pPr>
          </w:p>
        </w:tc>
      </w:tr>
      <w:tr w:rsidR="00CA30A2" w:rsidTr="00CA30A2" w14:paraId="7919E2C6" w14:textId="77777777">
        <w:tc>
          <w:tcPr>
            <w:tcW w:w="1552" w:type="dxa"/>
          </w:tcPr>
          <w:p w:rsidRPr="00DD0008" w:rsidR="00CA30A2" w:rsidP="008549EB" w:rsidRDefault="00334D7E" w14:paraId="1ED61409" w14:textId="08A15ED2">
            <w:pPr>
              <w:rPr>
                <w:rFonts w:ascii="Verdana" w:hAnsi="Verdana"/>
                <w:sz w:val="16"/>
                <w:szCs w:val="16"/>
              </w:rPr>
            </w:pPr>
            <w:r>
              <w:rPr>
                <w:rFonts w:ascii="Verdana" w:hAnsi="Verdana"/>
                <w:sz w:val="16"/>
                <w:szCs w:val="16"/>
              </w:rPr>
              <w:t xml:space="preserve">1, lid </w:t>
            </w:r>
            <w:r w:rsidR="00CA30A2">
              <w:rPr>
                <w:rFonts w:ascii="Verdana" w:hAnsi="Verdana"/>
                <w:sz w:val="16"/>
                <w:szCs w:val="16"/>
              </w:rPr>
              <w:t>5, onderdeel b</w:t>
            </w:r>
          </w:p>
        </w:tc>
        <w:tc>
          <w:tcPr>
            <w:tcW w:w="1514" w:type="dxa"/>
          </w:tcPr>
          <w:p w:rsidRPr="002C5EC5" w:rsidR="00CA30A2" w:rsidP="008549EB" w:rsidRDefault="00CA30A2" w14:paraId="15CB4EF3" w14:textId="77777777">
            <w:pPr>
              <w:rPr>
                <w:rFonts w:ascii="Verdana" w:hAnsi="Verdana"/>
                <w:sz w:val="16"/>
                <w:szCs w:val="16"/>
              </w:rPr>
            </w:pPr>
            <w:r w:rsidRPr="002C5EC5">
              <w:rPr>
                <w:rFonts w:ascii="Verdana" w:hAnsi="Verdana"/>
                <w:sz w:val="16"/>
                <w:szCs w:val="16"/>
              </w:rPr>
              <w:t>8 bis, derde lid bis, tweede tot en met vijfde alinea</w:t>
            </w:r>
          </w:p>
        </w:tc>
        <w:tc>
          <w:tcPr>
            <w:tcW w:w="1625" w:type="dxa"/>
          </w:tcPr>
          <w:p w:rsidR="00CA30A2" w:rsidP="008549EB" w:rsidRDefault="00CA30A2" w14:paraId="33A0842A" w14:textId="77777777">
            <w:pPr>
              <w:rPr>
                <w:rFonts w:ascii="Verdana" w:hAnsi="Verdana"/>
                <w:sz w:val="16"/>
                <w:szCs w:val="16"/>
              </w:rPr>
            </w:pPr>
            <w:r>
              <w:rPr>
                <w:rFonts w:ascii="Verdana" w:hAnsi="Verdana"/>
                <w:sz w:val="16"/>
                <w:szCs w:val="16"/>
              </w:rPr>
              <w:t>Volgt bij implementatieregeling</w:t>
            </w:r>
            <w:r w:rsidRPr="002C5EC5">
              <w:rPr>
                <w:rFonts w:ascii="Verdana" w:hAnsi="Verdana"/>
                <w:sz w:val="16"/>
                <w:szCs w:val="16"/>
              </w:rPr>
              <w:t xml:space="preserve"> </w:t>
            </w:r>
            <w:r>
              <w:rPr>
                <w:rFonts w:ascii="Verdana" w:hAnsi="Verdana"/>
                <w:sz w:val="16"/>
                <w:szCs w:val="16"/>
              </w:rPr>
              <w:t>(Bijlage 6 Rtt)</w:t>
            </w:r>
          </w:p>
        </w:tc>
        <w:tc>
          <w:tcPr>
            <w:tcW w:w="1274" w:type="dxa"/>
          </w:tcPr>
          <w:p w:rsidRPr="002C5EC5" w:rsidR="00CA30A2" w:rsidP="008549EB" w:rsidRDefault="00CA30A2" w14:paraId="2FFB0877"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4C808277" w14:textId="77777777">
            <w:pPr>
              <w:rPr>
                <w:rFonts w:ascii="Verdana" w:hAnsi="Verdana"/>
                <w:sz w:val="16"/>
                <w:szCs w:val="16"/>
              </w:rPr>
            </w:pPr>
          </w:p>
        </w:tc>
      </w:tr>
      <w:tr w:rsidR="00CA30A2" w:rsidTr="00CA30A2" w14:paraId="28D25D0C" w14:textId="77777777">
        <w:tc>
          <w:tcPr>
            <w:tcW w:w="1552" w:type="dxa"/>
          </w:tcPr>
          <w:p w:rsidRPr="00DD0008" w:rsidR="00CA30A2" w:rsidP="008549EB" w:rsidRDefault="00334D7E" w14:paraId="711DB412" w14:textId="23E26F41">
            <w:pPr>
              <w:rPr>
                <w:rFonts w:ascii="Verdana" w:hAnsi="Verdana"/>
                <w:sz w:val="16"/>
                <w:szCs w:val="16"/>
              </w:rPr>
            </w:pPr>
            <w:r>
              <w:rPr>
                <w:rFonts w:ascii="Verdana" w:hAnsi="Verdana"/>
                <w:sz w:val="16"/>
                <w:szCs w:val="16"/>
              </w:rPr>
              <w:lastRenderedPageBreak/>
              <w:t xml:space="preserve">1, lid </w:t>
            </w:r>
            <w:r w:rsidR="00CA30A2">
              <w:rPr>
                <w:rFonts w:ascii="Verdana" w:hAnsi="Verdana"/>
                <w:sz w:val="16"/>
                <w:szCs w:val="16"/>
              </w:rPr>
              <w:t>5, onderdeel c</w:t>
            </w:r>
          </w:p>
        </w:tc>
        <w:tc>
          <w:tcPr>
            <w:tcW w:w="1514" w:type="dxa"/>
          </w:tcPr>
          <w:p w:rsidRPr="002C5EC5" w:rsidR="00CA30A2" w:rsidP="008549EB" w:rsidRDefault="00CA30A2" w14:paraId="1B921758" w14:textId="77777777">
            <w:pPr>
              <w:rPr>
                <w:rFonts w:ascii="Verdana" w:hAnsi="Verdana"/>
                <w:sz w:val="16"/>
                <w:szCs w:val="16"/>
              </w:rPr>
            </w:pPr>
            <w:r w:rsidRPr="002C5EC5">
              <w:rPr>
                <w:rFonts w:ascii="Verdana" w:hAnsi="Verdana"/>
                <w:sz w:val="16"/>
                <w:szCs w:val="16"/>
              </w:rPr>
              <w:t>8 bis, zevende en achtste lid</w:t>
            </w:r>
          </w:p>
        </w:tc>
        <w:tc>
          <w:tcPr>
            <w:tcW w:w="1625" w:type="dxa"/>
          </w:tcPr>
          <w:p w:rsidR="00CA30A2" w:rsidP="008549EB" w:rsidRDefault="00CA30A2" w14:paraId="4E9647BC" w14:textId="77777777">
            <w:pPr>
              <w:rPr>
                <w:rFonts w:ascii="Verdana" w:hAnsi="Verdana"/>
                <w:sz w:val="16"/>
                <w:szCs w:val="16"/>
              </w:rPr>
            </w:pPr>
            <w:r w:rsidRPr="002C5EC5">
              <w:rPr>
                <w:rFonts w:ascii="Verdana" w:hAnsi="Verdana"/>
                <w:sz w:val="16"/>
                <w:szCs w:val="16"/>
              </w:rPr>
              <w:t>Behoeft naar zijn aard geen implementatie: bepaling gericht tot EBA</w:t>
            </w:r>
          </w:p>
        </w:tc>
        <w:tc>
          <w:tcPr>
            <w:tcW w:w="1274" w:type="dxa"/>
          </w:tcPr>
          <w:p w:rsidRPr="002C5EC5" w:rsidR="00CA30A2" w:rsidP="008549EB" w:rsidRDefault="00CA30A2" w14:paraId="764ADD0C"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310F08D3" w14:textId="77777777">
            <w:pPr>
              <w:rPr>
                <w:rFonts w:ascii="Verdana" w:hAnsi="Verdana"/>
                <w:sz w:val="16"/>
                <w:szCs w:val="16"/>
              </w:rPr>
            </w:pPr>
          </w:p>
        </w:tc>
      </w:tr>
      <w:tr w:rsidR="00CA30A2" w:rsidTr="00CA30A2" w14:paraId="02804D73" w14:textId="77777777">
        <w:tc>
          <w:tcPr>
            <w:tcW w:w="1552" w:type="dxa"/>
          </w:tcPr>
          <w:p w:rsidRPr="00DD0008" w:rsidR="00CA30A2" w:rsidP="008549EB" w:rsidRDefault="00334D7E" w14:paraId="29485965" w14:textId="186AC024">
            <w:pPr>
              <w:rPr>
                <w:rFonts w:ascii="Verdana" w:hAnsi="Verdana"/>
                <w:sz w:val="16"/>
                <w:szCs w:val="16"/>
              </w:rPr>
            </w:pPr>
            <w:r>
              <w:rPr>
                <w:rFonts w:ascii="Verdana" w:hAnsi="Verdana"/>
                <w:sz w:val="16"/>
                <w:szCs w:val="16"/>
              </w:rPr>
              <w:t xml:space="preserve">1, lid </w:t>
            </w:r>
            <w:r w:rsidR="00CA30A2">
              <w:rPr>
                <w:rFonts w:ascii="Verdana" w:hAnsi="Verdana"/>
                <w:sz w:val="16"/>
                <w:szCs w:val="16"/>
              </w:rPr>
              <w:t>6</w:t>
            </w:r>
          </w:p>
        </w:tc>
        <w:tc>
          <w:tcPr>
            <w:tcW w:w="1514" w:type="dxa"/>
          </w:tcPr>
          <w:p w:rsidRPr="002C5EC5" w:rsidR="00CA30A2" w:rsidP="008549EB" w:rsidRDefault="00CA30A2" w14:paraId="579A4ED5" w14:textId="77777777">
            <w:pPr>
              <w:rPr>
                <w:rFonts w:ascii="Verdana" w:hAnsi="Verdana"/>
                <w:sz w:val="16"/>
                <w:szCs w:val="16"/>
              </w:rPr>
            </w:pPr>
            <w:r w:rsidRPr="002C5EC5">
              <w:rPr>
                <w:rFonts w:ascii="Verdana" w:hAnsi="Verdana"/>
                <w:sz w:val="16"/>
                <w:szCs w:val="16"/>
              </w:rPr>
              <w:t>18, punt g</w:t>
            </w:r>
          </w:p>
        </w:tc>
        <w:tc>
          <w:tcPr>
            <w:tcW w:w="1625" w:type="dxa"/>
          </w:tcPr>
          <w:p w:rsidRPr="002C5EC5" w:rsidR="00CA30A2" w:rsidP="008549EB" w:rsidRDefault="00CA30A2" w14:paraId="55CF24BC" w14:textId="77777777">
            <w:pPr>
              <w:rPr>
                <w:rFonts w:ascii="Verdana" w:hAnsi="Verdana"/>
                <w:sz w:val="16"/>
                <w:szCs w:val="16"/>
              </w:rPr>
            </w:pPr>
            <w:r w:rsidRPr="002C5EC5">
              <w:rPr>
                <w:rFonts w:ascii="Verdana" w:hAnsi="Verdana"/>
                <w:sz w:val="16"/>
                <w:szCs w:val="16"/>
              </w:rPr>
              <w:t>Behoeft geen implementatie: Bestaand recht in artikel 212ha en 212k Fw</w:t>
            </w:r>
          </w:p>
        </w:tc>
        <w:tc>
          <w:tcPr>
            <w:tcW w:w="1274" w:type="dxa"/>
          </w:tcPr>
          <w:p w:rsidRPr="002C5EC5" w:rsidR="00CA30A2" w:rsidP="008549EB" w:rsidRDefault="00CA30A2" w14:paraId="06C11498"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383FCBF5" w14:textId="77777777">
            <w:pPr>
              <w:rPr>
                <w:rFonts w:ascii="Verdana" w:hAnsi="Verdana"/>
                <w:sz w:val="16"/>
                <w:szCs w:val="16"/>
              </w:rPr>
            </w:pPr>
          </w:p>
        </w:tc>
      </w:tr>
      <w:tr w:rsidR="00CA30A2" w:rsidTr="00CA30A2" w14:paraId="585E7DA5" w14:textId="77777777">
        <w:tc>
          <w:tcPr>
            <w:tcW w:w="1552" w:type="dxa"/>
          </w:tcPr>
          <w:p w:rsidRPr="00DD0008" w:rsidR="00CA30A2" w:rsidP="008549EB" w:rsidRDefault="00334D7E" w14:paraId="0F27E748" w14:textId="40DA127C">
            <w:pPr>
              <w:rPr>
                <w:rFonts w:ascii="Verdana" w:hAnsi="Verdana"/>
                <w:sz w:val="16"/>
                <w:szCs w:val="16"/>
              </w:rPr>
            </w:pPr>
            <w:r>
              <w:rPr>
                <w:rFonts w:ascii="Verdana" w:hAnsi="Verdana"/>
                <w:sz w:val="16"/>
                <w:szCs w:val="16"/>
              </w:rPr>
              <w:t xml:space="preserve">1, lid </w:t>
            </w:r>
            <w:r w:rsidR="00CA30A2">
              <w:rPr>
                <w:rFonts w:ascii="Verdana" w:hAnsi="Verdana"/>
                <w:sz w:val="16"/>
                <w:szCs w:val="16"/>
              </w:rPr>
              <w:t>7, onderdeel a</w:t>
            </w:r>
          </w:p>
        </w:tc>
        <w:tc>
          <w:tcPr>
            <w:tcW w:w="1514" w:type="dxa"/>
          </w:tcPr>
          <w:p w:rsidRPr="002C5EC5" w:rsidR="00CA30A2" w:rsidP="008549EB" w:rsidRDefault="00CA30A2" w14:paraId="08E078F9" w14:textId="77777777">
            <w:pPr>
              <w:rPr>
                <w:rFonts w:ascii="Verdana" w:hAnsi="Verdana"/>
                <w:sz w:val="16"/>
                <w:szCs w:val="16"/>
              </w:rPr>
            </w:pPr>
            <w:r w:rsidRPr="002C5EC5">
              <w:rPr>
                <w:rFonts w:ascii="Verdana" w:hAnsi="Verdana"/>
                <w:sz w:val="16"/>
                <w:szCs w:val="16"/>
              </w:rPr>
              <w:t>21 bis, eerste lid, eerste alinea</w:t>
            </w:r>
          </w:p>
        </w:tc>
        <w:tc>
          <w:tcPr>
            <w:tcW w:w="1625" w:type="dxa"/>
          </w:tcPr>
          <w:p w:rsidRPr="002C5EC5" w:rsidR="00CA30A2" w:rsidP="008549EB" w:rsidRDefault="00CA30A2" w14:paraId="268D9B56" w14:textId="77777777">
            <w:pPr>
              <w:rPr>
                <w:rFonts w:ascii="Verdana" w:hAnsi="Verdana"/>
                <w:sz w:val="16"/>
                <w:szCs w:val="16"/>
              </w:rPr>
            </w:pPr>
            <w:r>
              <w:rPr>
                <w:rFonts w:ascii="Verdana" w:hAnsi="Verdana"/>
                <w:sz w:val="16"/>
                <w:szCs w:val="16"/>
              </w:rPr>
              <w:t>Artikel I, onderdeel BBBB (</w:t>
            </w:r>
            <w:r w:rsidRPr="002C5EC5">
              <w:rPr>
                <w:rFonts w:ascii="Verdana" w:hAnsi="Verdana"/>
                <w:sz w:val="16"/>
                <w:szCs w:val="16"/>
              </w:rPr>
              <w:t>Artikel 3:280a Wft</w:t>
            </w:r>
            <w:r>
              <w:rPr>
                <w:rFonts w:ascii="Verdana" w:hAnsi="Verdana"/>
                <w:sz w:val="16"/>
                <w:szCs w:val="16"/>
              </w:rPr>
              <w:t>)</w:t>
            </w:r>
          </w:p>
        </w:tc>
        <w:tc>
          <w:tcPr>
            <w:tcW w:w="1274" w:type="dxa"/>
          </w:tcPr>
          <w:p w:rsidRPr="002C5EC5" w:rsidR="00CA30A2" w:rsidP="008549EB" w:rsidRDefault="00CA30A2" w14:paraId="218CF288"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37411F67" w14:textId="77777777">
            <w:pPr>
              <w:rPr>
                <w:rFonts w:ascii="Verdana" w:hAnsi="Verdana"/>
                <w:sz w:val="16"/>
                <w:szCs w:val="16"/>
              </w:rPr>
            </w:pPr>
          </w:p>
        </w:tc>
      </w:tr>
      <w:tr w:rsidR="00CA30A2" w:rsidTr="00CA30A2" w14:paraId="42C66676" w14:textId="77777777">
        <w:tc>
          <w:tcPr>
            <w:tcW w:w="1552" w:type="dxa"/>
          </w:tcPr>
          <w:p w:rsidRPr="00DD0008" w:rsidR="00CA30A2" w:rsidP="008549EB" w:rsidRDefault="00334D7E" w14:paraId="3C070ADE" w14:textId="0AA66A2E">
            <w:pPr>
              <w:rPr>
                <w:rFonts w:ascii="Verdana" w:hAnsi="Verdana"/>
                <w:sz w:val="16"/>
                <w:szCs w:val="16"/>
              </w:rPr>
            </w:pPr>
            <w:r>
              <w:rPr>
                <w:rFonts w:ascii="Verdana" w:hAnsi="Verdana"/>
                <w:sz w:val="16"/>
                <w:szCs w:val="16"/>
              </w:rPr>
              <w:t xml:space="preserve">1, lid </w:t>
            </w:r>
            <w:r w:rsidR="00CA30A2">
              <w:rPr>
                <w:rFonts w:ascii="Verdana" w:hAnsi="Verdana"/>
                <w:sz w:val="16"/>
                <w:szCs w:val="16"/>
              </w:rPr>
              <w:t>7, onderdeel a</w:t>
            </w:r>
          </w:p>
        </w:tc>
        <w:tc>
          <w:tcPr>
            <w:tcW w:w="1514" w:type="dxa"/>
          </w:tcPr>
          <w:p w:rsidRPr="002C5EC5" w:rsidR="00CA30A2" w:rsidP="008549EB" w:rsidRDefault="00CA30A2" w14:paraId="7538BE03" w14:textId="77777777">
            <w:pPr>
              <w:rPr>
                <w:rFonts w:ascii="Verdana" w:hAnsi="Verdana"/>
                <w:sz w:val="16"/>
                <w:szCs w:val="16"/>
              </w:rPr>
            </w:pPr>
            <w:r w:rsidRPr="002C5EC5">
              <w:rPr>
                <w:rFonts w:ascii="Verdana" w:hAnsi="Verdana"/>
                <w:sz w:val="16"/>
                <w:szCs w:val="16"/>
              </w:rPr>
              <w:t>21 bis, eerste lid, tweede alinea</w:t>
            </w:r>
          </w:p>
        </w:tc>
        <w:tc>
          <w:tcPr>
            <w:tcW w:w="1625" w:type="dxa"/>
          </w:tcPr>
          <w:p w:rsidR="00CA30A2" w:rsidP="008549EB" w:rsidRDefault="00CA30A2" w14:paraId="1CDE715A" w14:textId="77777777">
            <w:pPr>
              <w:rPr>
                <w:rFonts w:ascii="Verdana" w:hAnsi="Verdana"/>
                <w:sz w:val="16"/>
                <w:szCs w:val="16"/>
              </w:rPr>
            </w:pPr>
            <w:r>
              <w:rPr>
                <w:rFonts w:ascii="Verdana" w:hAnsi="Verdana"/>
                <w:sz w:val="16"/>
                <w:szCs w:val="16"/>
              </w:rPr>
              <w:t>Volgt bij implementatieregeling</w:t>
            </w:r>
            <w:r w:rsidRPr="002C5EC5">
              <w:rPr>
                <w:rFonts w:ascii="Verdana" w:hAnsi="Verdana"/>
                <w:sz w:val="16"/>
                <w:szCs w:val="16"/>
              </w:rPr>
              <w:t xml:space="preserve"> </w:t>
            </w:r>
            <w:r>
              <w:rPr>
                <w:rFonts w:ascii="Verdana" w:hAnsi="Verdana"/>
                <w:sz w:val="16"/>
                <w:szCs w:val="16"/>
              </w:rPr>
              <w:t>(Bijlage 6 Rtt)</w:t>
            </w:r>
          </w:p>
        </w:tc>
        <w:tc>
          <w:tcPr>
            <w:tcW w:w="1274" w:type="dxa"/>
          </w:tcPr>
          <w:p w:rsidRPr="002C5EC5" w:rsidR="00CA30A2" w:rsidP="008549EB" w:rsidRDefault="00CA30A2" w14:paraId="1CAF51B4"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0CDE2F39" w14:textId="77777777">
            <w:pPr>
              <w:rPr>
                <w:rFonts w:ascii="Verdana" w:hAnsi="Verdana"/>
                <w:sz w:val="16"/>
                <w:szCs w:val="16"/>
              </w:rPr>
            </w:pPr>
          </w:p>
        </w:tc>
      </w:tr>
      <w:tr w:rsidR="00CA30A2" w:rsidTr="00CA30A2" w14:paraId="014F1DFE" w14:textId="77777777">
        <w:tc>
          <w:tcPr>
            <w:tcW w:w="1552" w:type="dxa"/>
          </w:tcPr>
          <w:p w:rsidRPr="00DD0008" w:rsidR="00CA30A2" w:rsidP="008549EB" w:rsidRDefault="00334D7E" w14:paraId="5055A504" w14:textId="5C15A8D9">
            <w:pPr>
              <w:rPr>
                <w:rFonts w:ascii="Verdana" w:hAnsi="Verdana"/>
                <w:sz w:val="16"/>
                <w:szCs w:val="16"/>
              </w:rPr>
            </w:pPr>
            <w:r>
              <w:rPr>
                <w:rFonts w:ascii="Verdana" w:hAnsi="Verdana"/>
                <w:sz w:val="16"/>
                <w:szCs w:val="16"/>
              </w:rPr>
              <w:t xml:space="preserve">1, lid </w:t>
            </w:r>
            <w:r w:rsidR="00CA30A2">
              <w:rPr>
                <w:rFonts w:ascii="Verdana" w:hAnsi="Verdana"/>
                <w:sz w:val="16"/>
                <w:szCs w:val="16"/>
              </w:rPr>
              <w:t>7, onderdeel a</w:t>
            </w:r>
          </w:p>
        </w:tc>
        <w:tc>
          <w:tcPr>
            <w:tcW w:w="1514" w:type="dxa"/>
          </w:tcPr>
          <w:p w:rsidRPr="002C5EC5" w:rsidR="00CA30A2" w:rsidP="008549EB" w:rsidRDefault="00CA30A2" w14:paraId="00A876BB" w14:textId="77777777">
            <w:pPr>
              <w:rPr>
                <w:rFonts w:ascii="Verdana" w:hAnsi="Verdana"/>
                <w:sz w:val="16"/>
                <w:szCs w:val="16"/>
              </w:rPr>
            </w:pPr>
            <w:r w:rsidRPr="002C5EC5">
              <w:rPr>
                <w:rFonts w:ascii="Verdana" w:hAnsi="Verdana"/>
                <w:sz w:val="16"/>
                <w:szCs w:val="16"/>
              </w:rPr>
              <w:t>21 bis, eerste lid, derde alinea</w:t>
            </w:r>
          </w:p>
        </w:tc>
        <w:tc>
          <w:tcPr>
            <w:tcW w:w="1625" w:type="dxa"/>
          </w:tcPr>
          <w:p w:rsidR="00CA30A2" w:rsidP="008549EB" w:rsidRDefault="00CA30A2" w14:paraId="59DF831A" w14:textId="77777777">
            <w:pPr>
              <w:rPr>
                <w:rFonts w:ascii="Verdana" w:hAnsi="Verdana"/>
                <w:sz w:val="16"/>
                <w:szCs w:val="16"/>
              </w:rPr>
            </w:pPr>
            <w:r>
              <w:rPr>
                <w:rFonts w:ascii="Verdana" w:hAnsi="Verdana"/>
                <w:sz w:val="16"/>
                <w:szCs w:val="16"/>
              </w:rPr>
              <w:t>Volgt bij implementatieregeling</w:t>
            </w:r>
            <w:r w:rsidRPr="002C5EC5">
              <w:rPr>
                <w:rFonts w:ascii="Verdana" w:hAnsi="Verdana"/>
                <w:sz w:val="16"/>
                <w:szCs w:val="16"/>
              </w:rPr>
              <w:t xml:space="preserve"> </w:t>
            </w:r>
            <w:r>
              <w:rPr>
                <w:rFonts w:ascii="Verdana" w:hAnsi="Verdana"/>
                <w:sz w:val="16"/>
                <w:szCs w:val="16"/>
              </w:rPr>
              <w:t>(Bijlage 6 Rtt)</w:t>
            </w:r>
          </w:p>
        </w:tc>
        <w:tc>
          <w:tcPr>
            <w:tcW w:w="1274" w:type="dxa"/>
          </w:tcPr>
          <w:p w:rsidRPr="002C5EC5" w:rsidR="00CA30A2" w:rsidP="008549EB" w:rsidRDefault="00CA30A2" w14:paraId="6EB56BDD"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40F7E669" w14:textId="77777777">
            <w:pPr>
              <w:rPr>
                <w:rFonts w:ascii="Verdana" w:hAnsi="Verdana"/>
                <w:sz w:val="16"/>
                <w:szCs w:val="16"/>
              </w:rPr>
            </w:pPr>
          </w:p>
        </w:tc>
      </w:tr>
      <w:tr w:rsidR="00CA30A2" w:rsidTr="00CA30A2" w14:paraId="1DD62E86" w14:textId="77777777">
        <w:tc>
          <w:tcPr>
            <w:tcW w:w="1552" w:type="dxa"/>
          </w:tcPr>
          <w:p w:rsidRPr="00DD0008" w:rsidR="00CA30A2" w:rsidP="008549EB" w:rsidRDefault="00334D7E" w14:paraId="533E5690" w14:textId="40987D43">
            <w:pPr>
              <w:rPr>
                <w:rFonts w:ascii="Verdana" w:hAnsi="Verdana"/>
                <w:sz w:val="16"/>
                <w:szCs w:val="16"/>
              </w:rPr>
            </w:pPr>
            <w:r>
              <w:rPr>
                <w:rFonts w:ascii="Verdana" w:hAnsi="Verdana"/>
                <w:sz w:val="16"/>
                <w:szCs w:val="16"/>
              </w:rPr>
              <w:t xml:space="preserve">1, lid </w:t>
            </w:r>
            <w:r w:rsidR="00CA30A2">
              <w:rPr>
                <w:rFonts w:ascii="Verdana" w:hAnsi="Verdana"/>
                <w:sz w:val="16"/>
                <w:szCs w:val="16"/>
              </w:rPr>
              <w:t>7, onderdeel a</w:t>
            </w:r>
          </w:p>
        </w:tc>
        <w:tc>
          <w:tcPr>
            <w:tcW w:w="1514" w:type="dxa"/>
          </w:tcPr>
          <w:p w:rsidRPr="002C5EC5" w:rsidR="00CA30A2" w:rsidP="008549EB" w:rsidRDefault="00CA30A2" w14:paraId="198BC27C" w14:textId="77777777">
            <w:pPr>
              <w:rPr>
                <w:rFonts w:ascii="Verdana" w:hAnsi="Verdana"/>
                <w:sz w:val="16"/>
                <w:szCs w:val="16"/>
              </w:rPr>
            </w:pPr>
            <w:r w:rsidRPr="002C5EC5">
              <w:rPr>
                <w:rFonts w:ascii="Verdana" w:hAnsi="Verdana"/>
                <w:sz w:val="16"/>
                <w:szCs w:val="16"/>
              </w:rPr>
              <w:t>21 bis, eerste lid, vierde alinea</w:t>
            </w:r>
          </w:p>
        </w:tc>
        <w:tc>
          <w:tcPr>
            <w:tcW w:w="1625" w:type="dxa"/>
          </w:tcPr>
          <w:p w:rsidR="00CA30A2" w:rsidP="008549EB" w:rsidRDefault="00CA30A2" w14:paraId="21B0CAC4" w14:textId="77777777">
            <w:pPr>
              <w:rPr>
                <w:rFonts w:ascii="Verdana" w:hAnsi="Verdana"/>
                <w:sz w:val="16"/>
                <w:szCs w:val="16"/>
              </w:rPr>
            </w:pPr>
            <w:r>
              <w:rPr>
                <w:rFonts w:ascii="Verdana" w:hAnsi="Verdana"/>
                <w:sz w:val="16"/>
                <w:szCs w:val="16"/>
              </w:rPr>
              <w:t>Artikel I, onderdeel O (</w:t>
            </w:r>
            <w:r w:rsidRPr="002C5EC5">
              <w:rPr>
                <w:rFonts w:ascii="Verdana" w:hAnsi="Verdana"/>
                <w:sz w:val="16"/>
                <w:szCs w:val="16"/>
              </w:rPr>
              <w:t>1:107, tweede lid, onderdeel</w:t>
            </w:r>
            <w:r>
              <w:rPr>
                <w:rFonts w:ascii="Verdana" w:hAnsi="Verdana"/>
                <w:sz w:val="16"/>
                <w:szCs w:val="16"/>
              </w:rPr>
              <w:t xml:space="preserve"> d, Wft)</w:t>
            </w:r>
          </w:p>
        </w:tc>
        <w:tc>
          <w:tcPr>
            <w:tcW w:w="1274" w:type="dxa"/>
          </w:tcPr>
          <w:p w:rsidRPr="002C5EC5" w:rsidR="00CA30A2" w:rsidP="008549EB" w:rsidRDefault="00CA30A2" w14:paraId="165F9221"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6B75B60E" w14:textId="77777777">
            <w:pPr>
              <w:rPr>
                <w:rFonts w:ascii="Verdana" w:hAnsi="Verdana"/>
                <w:sz w:val="16"/>
                <w:szCs w:val="16"/>
              </w:rPr>
            </w:pPr>
          </w:p>
        </w:tc>
      </w:tr>
      <w:tr w:rsidR="00CA30A2" w:rsidTr="00CA30A2" w14:paraId="246D4237" w14:textId="77777777">
        <w:tc>
          <w:tcPr>
            <w:tcW w:w="1552" w:type="dxa"/>
          </w:tcPr>
          <w:p w:rsidRPr="00DD0008" w:rsidR="00CA30A2" w:rsidP="008549EB" w:rsidRDefault="00334D7E" w14:paraId="3CC392D6" w14:textId="4F29CDEE">
            <w:pPr>
              <w:rPr>
                <w:rFonts w:ascii="Verdana" w:hAnsi="Verdana"/>
                <w:sz w:val="16"/>
                <w:szCs w:val="16"/>
              </w:rPr>
            </w:pPr>
            <w:r>
              <w:rPr>
                <w:rFonts w:ascii="Verdana" w:hAnsi="Verdana"/>
                <w:sz w:val="16"/>
                <w:szCs w:val="16"/>
              </w:rPr>
              <w:t xml:space="preserve">1, lid </w:t>
            </w:r>
            <w:r w:rsidR="00CA30A2">
              <w:rPr>
                <w:rFonts w:ascii="Verdana" w:hAnsi="Verdana"/>
                <w:sz w:val="16"/>
                <w:szCs w:val="16"/>
              </w:rPr>
              <w:t>7, onderdeel b</w:t>
            </w:r>
          </w:p>
        </w:tc>
        <w:tc>
          <w:tcPr>
            <w:tcW w:w="1514" w:type="dxa"/>
          </w:tcPr>
          <w:p w:rsidRPr="002C5EC5" w:rsidR="00CA30A2" w:rsidP="008549EB" w:rsidRDefault="00CA30A2" w14:paraId="35E4F283" w14:textId="77777777">
            <w:pPr>
              <w:rPr>
                <w:rFonts w:ascii="Verdana" w:hAnsi="Verdana"/>
                <w:sz w:val="16"/>
                <w:szCs w:val="16"/>
              </w:rPr>
            </w:pPr>
            <w:r w:rsidRPr="002C5EC5">
              <w:rPr>
                <w:rFonts w:ascii="Verdana" w:hAnsi="Verdana"/>
                <w:sz w:val="16"/>
                <w:szCs w:val="16"/>
              </w:rPr>
              <w:t>21 bis, tweede lid, eerste alinea</w:t>
            </w:r>
          </w:p>
        </w:tc>
        <w:tc>
          <w:tcPr>
            <w:tcW w:w="1625" w:type="dxa"/>
          </w:tcPr>
          <w:p w:rsidR="00CA30A2" w:rsidP="008549EB" w:rsidRDefault="00CA30A2" w14:paraId="2B384C1B" w14:textId="77777777">
            <w:pPr>
              <w:rPr>
                <w:rFonts w:ascii="Verdana" w:hAnsi="Verdana"/>
                <w:sz w:val="16"/>
                <w:szCs w:val="16"/>
              </w:rPr>
            </w:pPr>
            <w:r w:rsidRPr="002C5EC5">
              <w:rPr>
                <w:rFonts w:ascii="Verdana" w:hAnsi="Verdana"/>
                <w:sz w:val="16"/>
                <w:szCs w:val="16"/>
              </w:rPr>
              <w:t>Behoeft geen implementatie: Bestaand recht in 3:280b, eerste lid, onderdeel d, Wft</w:t>
            </w:r>
          </w:p>
        </w:tc>
        <w:tc>
          <w:tcPr>
            <w:tcW w:w="1274" w:type="dxa"/>
          </w:tcPr>
          <w:p w:rsidRPr="002C5EC5" w:rsidR="00CA30A2" w:rsidP="008549EB" w:rsidRDefault="00CA30A2" w14:paraId="29CC6A59"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22189733" w14:textId="77777777">
            <w:pPr>
              <w:rPr>
                <w:rFonts w:ascii="Verdana" w:hAnsi="Verdana"/>
                <w:sz w:val="16"/>
                <w:szCs w:val="16"/>
              </w:rPr>
            </w:pPr>
          </w:p>
        </w:tc>
      </w:tr>
      <w:tr w:rsidR="00CA30A2" w:rsidTr="00CA30A2" w14:paraId="58E732B2" w14:textId="77777777">
        <w:tc>
          <w:tcPr>
            <w:tcW w:w="1552" w:type="dxa"/>
          </w:tcPr>
          <w:p w:rsidRPr="00DD0008" w:rsidR="00CA30A2" w:rsidP="008549EB" w:rsidRDefault="00334D7E" w14:paraId="0E9204C9" w14:textId="4F189E91">
            <w:pPr>
              <w:rPr>
                <w:rFonts w:ascii="Verdana" w:hAnsi="Verdana"/>
                <w:sz w:val="16"/>
                <w:szCs w:val="16"/>
              </w:rPr>
            </w:pPr>
            <w:r>
              <w:rPr>
                <w:rFonts w:ascii="Verdana" w:hAnsi="Verdana"/>
                <w:sz w:val="16"/>
                <w:szCs w:val="16"/>
              </w:rPr>
              <w:t xml:space="preserve">1, lid </w:t>
            </w:r>
            <w:r w:rsidR="00CA30A2">
              <w:rPr>
                <w:rFonts w:ascii="Verdana" w:hAnsi="Verdana"/>
                <w:sz w:val="16"/>
                <w:szCs w:val="16"/>
              </w:rPr>
              <w:t>7, onderdeel b</w:t>
            </w:r>
          </w:p>
        </w:tc>
        <w:tc>
          <w:tcPr>
            <w:tcW w:w="1514" w:type="dxa"/>
          </w:tcPr>
          <w:p w:rsidRPr="002C5EC5" w:rsidR="00CA30A2" w:rsidP="008549EB" w:rsidRDefault="00CA30A2" w14:paraId="12CE4D77" w14:textId="77777777">
            <w:pPr>
              <w:rPr>
                <w:rFonts w:ascii="Verdana" w:hAnsi="Verdana"/>
                <w:sz w:val="16"/>
                <w:szCs w:val="16"/>
              </w:rPr>
            </w:pPr>
            <w:r w:rsidRPr="002C5EC5">
              <w:rPr>
                <w:rFonts w:ascii="Verdana" w:hAnsi="Verdana"/>
                <w:sz w:val="16"/>
                <w:szCs w:val="16"/>
              </w:rPr>
              <w:t>21 bis, tweede lid, tweede alinea</w:t>
            </w:r>
          </w:p>
        </w:tc>
        <w:tc>
          <w:tcPr>
            <w:tcW w:w="1625" w:type="dxa"/>
          </w:tcPr>
          <w:p w:rsidRPr="002C5EC5" w:rsidR="00CA30A2" w:rsidP="008549EB" w:rsidRDefault="00CA30A2" w14:paraId="0F7E9BC9" w14:textId="77777777">
            <w:pPr>
              <w:rPr>
                <w:rFonts w:ascii="Verdana" w:hAnsi="Verdana"/>
                <w:sz w:val="16"/>
                <w:szCs w:val="16"/>
              </w:rPr>
            </w:pPr>
            <w:r>
              <w:rPr>
                <w:rFonts w:ascii="Verdana" w:hAnsi="Verdana"/>
                <w:sz w:val="16"/>
                <w:szCs w:val="16"/>
              </w:rPr>
              <w:t>Artikel I, onderdeel L (</w:t>
            </w:r>
            <w:r w:rsidRPr="002C5EC5">
              <w:rPr>
                <w:rFonts w:ascii="Verdana" w:hAnsi="Verdana"/>
                <w:sz w:val="16"/>
                <w:szCs w:val="16"/>
              </w:rPr>
              <w:t>1:106c, derde lid, Wft</w:t>
            </w:r>
            <w:r>
              <w:rPr>
                <w:rFonts w:ascii="Verdana" w:hAnsi="Verdana"/>
                <w:sz w:val="16"/>
                <w:szCs w:val="16"/>
              </w:rPr>
              <w:t>)</w:t>
            </w:r>
          </w:p>
        </w:tc>
        <w:tc>
          <w:tcPr>
            <w:tcW w:w="1274" w:type="dxa"/>
          </w:tcPr>
          <w:p w:rsidRPr="002C5EC5" w:rsidR="00CA30A2" w:rsidP="008549EB" w:rsidRDefault="00CA30A2" w14:paraId="072B216D"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1CADF6F1" w14:textId="77777777">
            <w:pPr>
              <w:rPr>
                <w:rFonts w:ascii="Verdana" w:hAnsi="Verdana"/>
                <w:sz w:val="16"/>
                <w:szCs w:val="16"/>
              </w:rPr>
            </w:pPr>
          </w:p>
        </w:tc>
      </w:tr>
      <w:tr w:rsidR="00CA30A2" w:rsidTr="00CA30A2" w14:paraId="4238177F" w14:textId="77777777">
        <w:tc>
          <w:tcPr>
            <w:tcW w:w="1552" w:type="dxa"/>
          </w:tcPr>
          <w:p w:rsidRPr="00DD0008" w:rsidR="00CA30A2" w:rsidP="008549EB" w:rsidRDefault="00334D7E" w14:paraId="3890CAE1" w14:textId="54E162AE">
            <w:pPr>
              <w:rPr>
                <w:rFonts w:ascii="Verdana" w:hAnsi="Verdana"/>
                <w:sz w:val="16"/>
                <w:szCs w:val="16"/>
              </w:rPr>
            </w:pPr>
            <w:r>
              <w:rPr>
                <w:rFonts w:ascii="Verdana" w:hAnsi="Verdana"/>
                <w:sz w:val="16"/>
                <w:szCs w:val="16"/>
              </w:rPr>
              <w:t xml:space="preserve">1, lid </w:t>
            </w:r>
            <w:r w:rsidR="00CA30A2">
              <w:rPr>
                <w:rFonts w:ascii="Verdana" w:hAnsi="Verdana"/>
                <w:sz w:val="16"/>
                <w:szCs w:val="16"/>
              </w:rPr>
              <w:t>7, onderdeel c</w:t>
            </w:r>
          </w:p>
        </w:tc>
        <w:tc>
          <w:tcPr>
            <w:tcW w:w="1514" w:type="dxa"/>
          </w:tcPr>
          <w:p w:rsidRPr="002C5EC5" w:rsidR="00CA30A2" w:rsidP="008549EB" w:rsidRDefault="00CA30A2" w14:paraId="25C3E904" w14:textId="77777777">
            <w:pPr>
              <w:rPr>
                <w:rFonts w:ascii="Verdana" w:hAnsi="Verdana"/>
                <w:sz w:val="16"/>
                <w:szCs w:val="16"/>
              </w:rPr>
            </w:pPr>
            <w:r w:rsidRPr="002C5EC5">
              <w:rPr>
                <w:rFonts w:ascii="Verdana" w:hAnsi="Verdana"/>
                <w:sz w:val="16"/>
                <w:szCs w:val="16"/>
              </w:rPr>
              <w:t>21 bis, derde lid, onderdeel c</w:t>
            </w:r>
          </w:p>
        </w:tc>
        <w:tc>
          <w:tcPr>
            <w:tcW w:w="1625" w:type="dxa"/>
          </w:tcPr>
          <w:p w:rsidR="00CA30A2" w:rsidP="008549EB" w:rsidRDefault="00CA30A2" w14:paraId="67CEF8AC" w14:textId="77777777">
            <w:pPr>
              <w:rPr>
                <w:rFonts w:ascii="Verdana" w:hAnsi="Verdana"/>
                <w:sz w:val="16"/>
                <w:szCs w:val="16"/>
              </w:rPr>
            </w:pPr>
            <w:r w:rsidRPr="002C5EC5">
              <w:rPr>
                <w:rFonts w:ascii="Verdana" w:hAnsi="Verdana"/>
                <w:sz w:val="16"/>
                <w:szCs w:val="16"/>
              </w:rPr>
              <w:t>Behoeft geen implementatie: Bestaand recht in 3:280b, eerste lid, onderdeel d en e, Wft</w:t>
            </w:r>
          </w:p>
        </w:tc>
        <w:tc>
          <w:tcPr>
            <w:tcW w:w="1274" w:type="dxa"/>
          </w:tcPr>
          <w:p w:rsidRPr="002C5EC5" w:rsidR="00CA30A2" w:rsidP="008549EB" w:rsidRDefault="00CA30A2" w14:paraId="0A26BD7F"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0B4070E7" w14:textId="77777777">
            <w:pPr>
              <w:rPr>
                <w:rFonts w:ascii="Verdana" w:hAnsi="Verdana"/>
                <w:sz w:val="16"/>
                <w:szCs w:val="16"/>
              </w:rPr>
            </w:pPr>
          </w:p>
        </w:tc>
      </w:tr>
      <w:tr w:rsidR="00CA30A2" w:rsidTr="00CA30A2" w14:paraId="2ECFA8AD" w14:textId="77777777">
        <w:tc>
          <w:tcPr>
            <w:tcW w:w="1552" w:type="dxa"/>
          </w:tcPr>
          <w:p w:rsidRPr="00DD0008" w:rsidR="00CA30A2" w:rsidP="008549EB" w:rsidRDefault="00334D7E" w14:paraId="7CEA4B35" w14:textId="3FB4E1AE">
            <w:pPr>
              <w:rPr>
                <w:rFonts w:ascii="Verdana" w:hAnsi="Verdana"/>
                <w:sz w:val="16"/>
                <w:szCs w:val="16"/>
              </w:rPr>
            </w:pPr>
            <w:r>
              <w:rPr>
                <w:rFonts w:ascii="Verdana" w:hAnsi="Verdana"/>
                <w:sz w:val="16"/>
                <w:szCs w:val="16"/>
              </w:rPr>
              <w:t xml:space="preserve">1, lid </w:t>
            </w:r>
            <w:r w:rsidR="00CA30A2">
              <w:rPr>
                <w:rFonts w:ascii="Verdana" w:hAnsi="Verdana"/>
                <w:sz w:val="16"/>
                <w:szCs w:val="16"/>
              </w:rPr>
              <w:t>7, onderdeel d</w:t>
            </w:r>
          </w:p>
        </w:tc>
        <w:tc>
          <w:tcPr>
            <w:tcW w:w="1514" w:type="dxa"/>
          </w:tcPr>
          <w:p w:rsidRPr="002C5EC5" w:rsidR="00CA30A2" w:rsidP="008549EB" w:rsidRDefault="00CA30A2" w14:paraId="43543BEC" w14:textId="77777777">
            <w:pPr>
              <w:rPr>
                <w:rFonts w:ascii="Verdana" w:hAnsi="Verdana"/>
                <w:sz w:val="16"/>
                <w:szCs w:val="16"/>
              </w:rPr>
            </w:pPr>
            <w:r w:rsidRPr="002C5EC5">
              <w:rPr>
                <w:rFonts w:ascii="Verdana" w:hAnsi="Verdana"/>
                <w:sz w:val="16"/>
                <w:szCs w:val="16"/>
              </w:rPr>
              <w:t>21 bis, vierde lid, aanhef</w:t>
            </w:r>
          </w:p>
        </w:tc>
        <w:tc>
          <w:tcPr>
            <w:tcW w:w="1625" w:type="dxa"/>
          </w:tcPr>
          <w:p w:rsidRPr="002C5EC5" w:rsidR="00CA30A2" w:rsidP="008549EB" w:rsidRDefault="00CA30A2" w14:paraId="118B9664" w14:textId="77777777">
            <w:pPr>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b</w:t>
            </w:r>
            <w:r w:rsidRPr="002C5EC5">
              <w:rPr>
                <w:rFonts w:ascii="Verdana" w:hAnsi="Verdana"/>
                <w:sz w:val="16"/>
                <w:szCs w:val="16"/>
              </w:rPr>
              <w:t>estaand recht in artikel 3:280c, eerste lid, Wft</w:t>
            </w:r>
          </w:p>
        </w:tc>
        <w:tc>
          <w:tcPr>
            <w:tcW w:w="1274" w:type="dxa"/>
          </w:tcPr>
          <w:p w:rsidRPr="002C5EC5" w:rsidR="00CA30A2" w:rsidP="008549EB" w:rsidRDefault="00CA30A2" w14:paraId="33154302"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51B884E8" w14:textId="77777777">
            <w:pPr>
              <w:rPr>
                <w:rFonts w:ascii="Verdana" w:hAnsi="Verdana"/>
                <w:sz w:val="16"/>
                <w:szCs w:val="16"/>
              </w:rPr>
            </w:pPr>
          </w:p>
        </w:tc>
      </w:tr>
      <w:tr w:rsidR="00CA30A2" w:rsidTr="00CA30A2" w14:paraId="40EB0C2C" w14:textId="77777777">
        <w:tc>
          <w:tcPr>
            <w:tcW w:w="1552" w:type="dxa"/>
          </w:tcPr>
          <w:p w:rsidRPr="00DD0008" w:rsidR="00CA30A2" w:rsidP="008549EB" w:rsidRDefault="00334D7E" w14:paraId="6F86BA01" w14:textId="3302CC10">
            <w:pPr>
              <w:rPr>
                <w:rFonts w:ascii="Verdana" w:hAnsi="Verdana"/>
                <w:sz w:val="16"/>
                <w:szCs w:val="16"/>
              </w:rPr>
            </w:pPr>
            <w:r>
              <w:rPr>
                <w:rFonts w:ascii="Verdana" w:hAnsi="Verdana"/>
                <w:sz w:val="16"/>
                <w:szCs w:val="16"/>
              </w:rPr>
              <w:t xml:space="preserve">1, lid </w:t>
            </w:r>
            <w:r w:rsidR="00CA30A2">
              <w:rPr>
                <w:rFonts w:ascii="Verdana" w:hAnsi="Verdana"/>
                <w:sz w:val="16"/>
                <w:szCs w:val="16"/>
              </w:rPr>
              <w:t>7, onderdeel d</w:t>
            </w:r>
          </w:p>
        </w:tc>
        <w:tc>
          <w:tcPr>
            <w:tcW w:w="1514" w:type="dxa"/>
          </w:tcPr>
          <w:p w:rsidRPr="002C5EC5" w:rsidR="00CA30A2" w:rsidP="008549EB" w:rsidRDefault="00CA30A2" w14:paraId="1E9AAB4E" w14:textId="77777777">
            <w:pPr>
              <w:rPr>
                <w:rFonts w:ascii="Verdana" w:hAnsi="Verdana"/>
                <w:sz w:val="16"/>
                <w:szCs w:val="16"/>
              </w:rPr>
            </w:pPr>
            <w:r w:rsidRPr="002C5EC5">
              <w:rPr>
                <w:rFonts w:ascii="Verdana" w:hAnsi="Verdana"/>
                <w:sz w:val="16"/>
                <w:szCs w:val="16"/>
              </w:rPr>
              <w:t>21 bis, vierde lid, onderdeel c</w:t>
            </w:r>
          </w:p>
        </w:tc>
        <w:tc>
          <w:tcPr>
            <w:tcW w:w="1625" w:type="dxa"/>
          </w:tcPr>
          <w:p w:rsidRPr="002C5EC5" w:rsidR="00CA30A2" w:rsidP="008549EB" w:rsidRDefault="00CA30A2" w14:paraId="2EAA9B64" w14:textId="77777777">
            <w:pPr>
              <w:rPr>
                <w:rFonts w:ascii="Verdana" w:hAnsi="Verdana"/>
                <w:sz w:val="16"/>
                <w:szCs w:val="16"/>
              </w:rPr>
            </w:pPr>
            <w:r>
              <w:rPr>
                <w:rFonts w:ascii="Verdana" w:hAnsi="Verdana"/>
                <w:sz w:val="16"/>
                <w:szCs w:val="16"/>
              </w:rPr>
              <w:t>Artikel I, onderdeel DDDD (</w:t>
            </w:r>
            <w:r w:rsidRPr="002C5EC5">
              <w:rPr>
                <w:rFonts w:ascii="Verdana" w:hAnsi="Verdana"/>
                <w:sz w:val="16"/>
                <w:szCs w:val="16"/>
              </w:rPr>
              <w:t>3:280c, eerste lid, aanhef, Wft</w:t>
            </w:r>
            <w:r>
              <w:rPr>
                <w:rFonts w:ascii="Verdana" w:hAnsi="Verdana"/>
                <w:sz w:val="16"/>
                <w:szCs w:val="16"/>
              </w:rPr>
              <w:t>)</w:t>
            </w:r>
          </w:p>
        </w:tc>
        <w:tc>
          <w:tcPr>
            <w:tcW w:w="1274" w:type="dxa"/>
          </w:tcPr>
          <w:p w:rsidRPr="002C5EC5" w:rsidR="00CA30A2" w:rsidP="008549EB" w:rsidRDefault="00CA30A2" w14:paraId="62180CD0"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4FB07E53" w14:textId="77777777">
            <w:pPr>
              <w:rPr>
                <w:rFonts w:ascii="Verdana" w:hAnsi="Verdana"/>
                <w:sz w:val="16"/>
                <w:szCs w:val="16"/>
              </w:rPr>
            </w:pPr>
          </w:p>
        </w:tc>
      </w:tr>
      <w:tr w:rsidR="00CA30A2" w:rsidTr="00CA30A2" w14:paraId="3199B02D" w14:textId="77777777">
        <w:tc>
          <w:tcPr>
            <w:tcW w:w="1552" w:type="dxa"/>
          </w:tcPr>
          <w:p w:rsidRPr="00DD0008" w:rsidR="00CA30A2" w:rsidP="008549EB" w:rsidRDefault="00334D7E" w14:paraId="143EBB8B" w14:textId="772E32AB">
            <w:pPr>
              <w:rPr>
                <w:rFonts w:ascii="Verdana" w:hAnsi="Verdana"/>
                <w:sz w:val="16"/>
                <w:szCs w:val="16"/>
              </w:rPr>
            </w:pPr>
            <w:r>
              <w:rPr>
                <w:rFonts w:ascii="Verdana" w:hAnsi="Verdana"/>
                <w:sz w:val="16"/>
                <w:szCs w:val="16"/>
              </w:rPr>
              <w:t xml:space="preserve">1, lid </w:t>
            </w:r>
            <w:r w:rsidR="00CA30A2">
              <w:rPr>
                <w:rFonts w:ascii="Verdana" w:hAnsi="Verdana"/>
                <w:sz w:val="16"/>
                <w:szCs w:val="16"/>
              </w:rPr>
              <w:t>7, onderdeel e</w:t>
            </w:r>
          </w:p>
        </w:tc>
        <w:tc>
          <w:tcPr>
            <w:tcW w:w="1514" w:type="dxa"/>
          </w:tcPr>
          <w:p w:rsidRPr="002C5EC5" w:rsidR="00CA30A2" w:rsidP="008549EB" w:rsidRDefault="00CA30A2" w14:paraId="45AD88E1" w14:textId="77777777">
            <w:pPr>
              <w:rPr>
                <w:rFonts w:ascii="Verdana" w:hAnsi="Verdana"/>
                <w:sz w:val="16"/>
                <w:szCs w:val="16"/>
              </w:rPr>
            </w:pPr>
            <w:r w:rsidRPr="002C5EC5">
              <w:rPr>
                <w:rFonts w:ascii="Verdana" w:hAnsi="Verdana"/>
                <w:sz w:val="16"/>
                <w:szCs w:val="16"/>
              </w:rPr>
              <w:t>21 bis, vierde lid bis</w:t>
            </w:r>
          </w:p>
        </w:tc>
        <w:tc>
          <w:tcPr>
            <w:tcW w:w="1625" w:type="dxa"/>
          </w:tcPr>
          <w:p w:rsidR="00CA30A2" w:rsidP="008549EB" w:rsidRDefault="00CA30A2" w14:paraId="2D690139" w14:textId="77777777">
            <w:pPr>
              <w:rPr>
                <w:rFonts w:ascii="Verdana" w:hAnsi="Verdana"/>
                <w:sz w:val="16"/>
                <w:szCs w:val="16"/>
              </w:rPr>
            </w:pPr>
            <w:r>
              <w:rPr>
                <w:rFonts w:ascii="Verdana" w:hAnsi="Verdana"/>
                <w:sz w:val="16"/>
                <w:szCs w:val="16"/>
              </w:rPr>
              <w:t>Artikel I, onderdeel DDDD (</w:t>
            </w:r>
            <w:r w:rsidRPr="002C5EC5">
              <w:rPr>
                <w:rFonts w:ascii="Verdana" w:hAnsi="Verdana"/>
                <w:sz w:val="16"/>
                <w:szCs w:val="16"/>
              </w:rPr>
              <w:t>3:280c, vijfde lid, Wft</w:t>
            </w:r>
            <w:r>
              <w:rPr>
                <w:rFonts w:ascii="Verdana" w:hAnsi="Verdana"/>
                <w:sz w:val="16"/>
                <w:szCs w:val="16"/>
              </w:rPr>
              <w:t>)</w:t>
            </w:r>
          </w:p>
        </w:tc>
        <w:tc>
          <w:tcPr>
            <w:tcW w:w="1274" w:type="dxa"/>
          </w:tcPr>
          <w:p w:rsidRPr="002C5EC5" w:rsidR="00CA30A2" w:rsidP="008549EB" w:rsidRDefault="00CA30A2" w14:paraId="3060A73F"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06FCF6EE" w14:textId="77777777">
            <w:pPr>
              <w:rPr>
                <w:rFonts w:ascii="Verdana" w:hAnsi="Verdana"/>
                <w:sz w:val="16"/>
                <w:szCs w:val="16"/>
              </w:rPr>
            </w:pPr>
          </w:p>
        </w:tc>
      </w:tr>
      <w:tr w:rsidR="00CA30A2" w:rsidTr="00CA30A2" w14:paraId="547F8A6F" w14:textId="77777777">
        <w:tc>
          <w:tcPr>
            <w:tcW w:w="1552" w:type="dxa"/>
          </w:tcPr>
          <w:p w:rsidRPr="00DD0008" w:rsidR="00CA30A2" w:rsidP="008549EB" w:rsidRDefault="00334D7E" w14:paraId="70086C29" w14:textId="724E2FA0">
            <w:pPr>
              <w:rPr>
                <w:rFonts w:ascii="Verdana" w:hAnsi="Verdana"/>
                <w:sz w:val="16"/>
                <w:szCs w:val="16"/>
              </w:rPr>
            </w:pPr>
            <w:r>
              <w:rPr>
                <w:rFonts w:ascii="Verdana" w:hAnsi="Verdana"/>
                <w:sz w:val="16"/>
                <w:szCs w:val="16"/>
              </w:rPr>
              <w:t xml:space="preserve">1, lid </w:t>
            </w:r>
            <w:r w:rsidR="00CA30A2">
              <w:rPr>
                <w:rFonts w:ascii="Verdana" w:hAnsi="Verdana"/>
                <w:sz w:val="16"/>
                <w:szCs w:val="16"/>
              </w:rPr>
              <w:t>7, onderdeel f</w:t>
            </w:r>
          </w:p>
        </w:tc>
        <w:tc>
          <w:tcPr>
            <w:tcW w:w="1514" w:type="dxa"/>
          </w:tcPr>
          <w:p w:rsidRPr="002C5EC5" w:rsidR="00CA30A2" w:rsidP="008549EB" w:rsidRDefault="00CA30A2" w14:paraId="0E2A5B7B" w14:textId="77777777">
            <w:pPr>
              <w:rPr>
                <w:rFonts w:ascii="Verdana" w:hAnsi="Verdana"/>
                <w:sz w:val="16"/>
                <w:szCs w:val="16"/>
              </w:rPr>
            </w:pPr>
            <w:r w:rsidRPr="002C5EC5">
              <w:rPr>
                <w:rFonts w:ascii="Verdana" w:hAnsi="Verdana"/>
                <w:sz w:val="16"/>
                <w:szCs w:val="16"/>
              </w:rPr>
              <w:t>21 bis, achtste lid, eerste alinea</w:t>
            </w:r>
          </w:p>
        </w:tc>
        <w:tc>
          <w:tcPr>
            <w:tcW w:w="1625" w:type="dxa"/>
          </w:tcPr>
          <w:p w:rsidR="00CA30A2" w:rsidP="008549EB" w:rsidRDefault="00CA30A2" w14:paraId="0A043775" w14:textId="77777777">
            <w:pPr>
              <w:rPr>
                <w:rFonts w:ascii="Verdana" w:hAnsi="Verdana"/>
                <w:sz w:val="16"/>
                <w:szCs w:val="16"/>
              </w:rPr>
            </w:pPr>
            <w:r w:rsidRPr="002C5EC5">
              <w:rPr>
                <w:rFonts w:ascii="Verdana" w:hAnsi="Verdana"/>
                <w:sz w:val="16"/>
                <w:szCs w:val="16"/>
              </w:rPr>
              <w:t xml:space="preserve">Behoeft geen implementatie: bestaand recht in artikelen 3:280d en 3:280e Wft. </w:t>
            </w:r>
          </w:p>
        </w:tc>
        <w:tc>
          <w:tcPr>
            <w:tcW w:w="1274" w:type="dxa"/>
          </w:tcPr>
          <w:p w:rsidRPr="002C5EC5" w:rsidR="00CA30A2" w:rsidP="008549EB" w:rsidRDefault="00CA30A2" w14:paraId="5ED038B4"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751C29E1" w14:textId="77777777">
            <w:pPr>
              <w:rPr>
                <w:rFonts w:ascii="Verdana" w:hAnsi="Verdana"/>
                <w:sz w:val="16"/>
                <w:szCs w:val="16"/>
              </w:rPr>
            </w:pPr>
          </w:p>
        </w:tc>
      </w:tr>
      <w:tr w:rsidR="00CA30A2" w:rsidTr="00CA30A2" w14:paraId="6FFCC5A1" w14:textId="77777777">
        <w:tc>
          <w:tcPr>
            <w:tcW w:w="1552" w:type="dxa"/>
          </w:tcPr>
          <w:p w:rsidRPr="00DD0008" w:rsidR="00CA30A2" w:rsidP="008549EB" w:rsidRDefault="00334D7E" w14:paraId="3BEE9B2B" w14:textId="18A8FCCA">
            <w:pPr>
              <w:rPr>
                <w:rFonts w:ascii="Verdana" w:hAnsi="Verdana"/>
                <w:sz w:val="16"/>
                <w:szCs w:val="16"/>
              </w:rPr>
            </w:pPr>
            <w:r>
              <w:rPr>
                <w:rFonts w:ascii="Verdana" w:hAnsi="Verdana"/>
                <w:sz w:val="16"/>
                <w:szCs w:val="16"/>
              </w:rPr>
              <w:t xml:space="preserve">1, lid </w:t>
            </w:r>
            <w:r w:rsidR="00CA30A2">
              <w:rPr>
                <w:rFonts w:ascii="Verdana" w:hAnsi="Verdana"/>
                <w:sz w:val="16"/>
                <w:szCs w:val="16"/>
              </w:rPr>
              <w:t>7, onderdeel f</w:t>
            </w:r>
          </w:p>
        </w:tc>
        <w:tc>
          <w:tcPr>
            <w:tcW w:w="1514" w:type="dxa"/>
          </w:tcPr>
          <w:p w:rsidRPr="002C5EC5" w:rsidR="00CA30A2" w:rsidP="008549EB" w:rsidRDefault="00CA30A2" w14:paraId="4BC3881A" w14:textId="77777777">
            <w:pPr>
              <w:rPr>
                <w:rFonts w:ascii="Verdana" w:hAnsi="Verdana"/>
                <w:sz w:val="16"/>
                <w:szCs w:val="16"/>
              </w:rPr>
            </w:pPr>
            <w:r w:rsidRPr="002C5EC5">
              <w:rPr>
                <w:rFonts w:ascii="Verdana" w:hAnsi="Verdana"/>
                <w:sz w:val="16"/>
                <w:szCs w:val="16"/>
              </w:rPr>
              <w:t>21 bis, achtste lid, tweede alinea</w:t>
            </w:r>
          </w:p>
        </w:tc>
        <w:tc>
          <w:tcPr>
            <w:tcW w:w="1625" w:type="dxa"/>
          </w:tcPr>
          <w:p w:rsidRPr="002C5EC5" w:rsidR="00CA30A2" w:rsidP="008549EB" w:rsidRDefault="00CA30A2" w14:paraId="2749323A" w14:textId="77777777">
            <w:pPr>
              <w:rPr>
                <w:rFonts w:ascii="Verdana" w:hAnsi="Verdana"/>
                <w:sz w:val="16"/>
                <w:szCs w:val="16"/>
              </w:rPr>
            </w:pPr>
            <w:r w:rsidRPr="002C5EC5">
              <w:rPr>
                <w:rFonts w:ascii="Verdana" w:hAnsi="Verdana"/>
                <w:sz w:val="16"/>
                <w:szCs w:val="16"/>
              </w:rPr>
              <w:t>Behoeft geen implementatie: bestaand recht in 3:280d en 3:280e Wft</w:t>
            </w:r>
          </w:p>
        </w:tc>
        <w:tc>
          <w:tcPr>
            <w:tcW w:w="1274" w:type="dxa"/>
          </w:tcPr>
          <w:p w:rsidRPr="002C5EC5" w:rsidR="00CA30A2" w:rsidP="008549EB" w:rsidRDefault="00CA30A2" w14:paraId="3E189A4F"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50E4AE3A" w14:textId="77777777">
            <w:pPr>
              <w:rPr>
                <w:rFonts w:ascii="Verdana" w:hAnsi="Verdana"/>
                <w:sz w:val="16"/>
                <w:szCs w:val="16"/>
              </w:rPr>
            </w:pPr>
          </w:p>
        </w:tc>
      </w:tr>
      <w:tr w:rsidR="00CA30A2" w:rsidTr="00CA30A2" w14:paraId="2E08501A" w14:textId="77777777">
        <w:tc>
          <w:tcPr>
            <w:tcW w:w="1552" w:type="dxa"/>
          </w:tcPr>
          <w:p w:rsidRPr="00DD0008" w:rsidR="00CA30A2" w:rsidP="008549EB" w:rsidRDefault="00334D7E" w14:paraId="4F36942B" w14:textId="3E5808AE">
            <w:pPr>
              <w:rPr>
                <w:rFonts w:ascii="Verdana" w:hAnsi="Verdana"/>
                <w:sz w:val="16"/>
                <w:szCs w:val="16"/>
              </w:rPr>
            </w:pPr>
            <w:r>
              <w:rPr>
                <w:rFonts w:ascii="Verdana" w:hAnsi="Verdana"/>
                <w:sz w:val="16"/>
                <w:szCs w:val="16"/>
              </w:rPr>
              <w:lastRenderedPageBreak/>
              <w:t xml:space="preserve">1, lid </w:t>
            </w:r>
            <w:r w:rsidR="00CA30A2">
              <w:rPr>
                <w:rFonts w:ascii="Verdana" w:hAnsi="Verdana"/>
                <w:sz w:val="16"/>
                <w:szCs w:val="16"/>
              </w:rPr>
              <w:t>7, onderdeel g</w:t>
            </w:r>
          </w:p>
        </w:tc>
        <w:tc>
          <w:tcPr>
            <w:tcW w:w="1514" w:type="dxa"/>
          </w:tcPr>
          <w:p w:rsidRPr="002C5EC5" w:rsidR="00CA30A2" w:rsidP="008549EB" w:rsidRDefault="00CA30A2" w14:paraId="7BDF1800" w14:textId="77777777">
            <w:pPr>
              <w:rPr>
                <w:rFonts w:ascii="Verdana" w:hAnsi="Verdana"/>
                <w:sz w:val="16"/>
                <w:szCs w:val="16"/>
              </w:rPr>
            </w:pPr>
            <w:r w:rsidRPr="002C5EC5">
              <w:rPr>
                <w:rFonts w:ascii="Verdana" w:hAnsi="Verdana"/>
                <w:sz w:val="16"/>
                <w:szCs w:val="16"/>
              </w:rPr>
              <w:t>21 bis, tiende lid</w:t>
            </w:r>
          </w:p>
        </w:tc>
        <w:tc>
          <w:tcPr>
            <w:tcW w:w="1625" w:type="dxa"/>
          </w:tcPr>
          <w:p w:rsidRPr="002C5EC5" w:rsidR="00CA30A2" w:rsidP="008549EB" w:rsidRDefault="00CA30A2" w14:paraId="38A8A4CC" w14:textId="77777777">
            <w:pPr>
              <w:rPr>
                <w:rFonts w:ascii="Verdana" w:hAnsi="Verdana"/>
                <w:sz w:val="16"/>
                <w:szCs w:val="16"/>
              </w:rPr>
            </w:pPr>
            <w:r w:rsidRPr="002C5EC5">
              <w:rPr>
                <w:rFonts w:ascii="Verdana" w:hAnsi="Verdana"/>
                <w:sz w:val="16"/>
                <w:szCs w:val="16"/>
              </w:rPr>
              <w:t xml:space="preserve">Behoeft geen implementatie: dynamische verwijzing </w:t>
            </w:r>
            <w:r>
              <w:rPr>
                <w:rFonts w:ascii="Verdana" w:hAnsi="Verdana"/>
                <w:sz w:val="16"/>
                <w:szCs w:val="16"/>
              </w:rPr>
              <w:t xml:space="preserve">naar artikel 21 bis, tiende lid, CRD </w:t>
            </w:r>
            <w:r w:rsidRPr="002C5EC5">
              <w:rPr>
                <w:rFonts w:ascii="Verdana" w:hAnsi="Verdana"/>
                <w:sz w:val="16"/>
                <w:szCs w:val="16"/>
              </w:rPr>
              <w:t xml:space="preserve">in artikel 3:280c, vierde lid, Wft </w:t>
            </w:r>
          </w:p>
        </w:tc>
        <w:tc>
          <w:tcPr>
            <w:tcW w:w="1274" w:type="dxa"/>
          </w:tcPr>
          <w:p w:rsidRPr="002C5EC5" w:rsidR="00CA30A2" w:rsidP="008549EB" w:rsidRDefault="00CA30A2" w14:paraId="38C6F60F"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43DA7005" w14:textId="77777777">
            <w:pPr>
              <w:rPr>
                <w:rFonts w:ascii="Verdana" w:hAnsi="Verdana"/>
                <w:sz w:val="16"/>
                <w:szCs w:val="16"/>
              </w:rPr>
            </w:pPr>
          </w:p>
        </w:tc>
      </w:tr>
      <w:tr w:rsidR="00CA30A2" w:rsidTr="00CA30A2" w14:paraId="63BB46EF" w14:textId="77777777">
        <w:tc>
          <w:tcPr>
            <w:tcW w:w="1552" w:type="dxa"/>
          </w:tcPr>
          <w:p w:rsidRPr="00DD0008" w:rsidR="00CA30A2" w:rsidP="008549EB" w:rsidRDefault="00334D7E" w14:paraId="0FF5B896" w14:textId="4B648FC2">
            <w:pPr>
              <w:rPr>
                <w:rFonts w:ascii="Verdana" w:hAnsi="Verdana"/>
                <w:sz w:val="16"/>
                <w:szCs w:val="16"/>
              </w:rPr>
            </w:pPr>
            <w:r>
              <w:rPr>
                <w:rFonts w:ascii="Verdana" w:hAnsi="Verdana"/>
                <w:sz w:val="16"/>
                <w:szCs w:val="16"/>
              </w:rPr>
              <w:t xml:space="preserve">1, lid </w:t>
            </w:r>
            <w:r w:rsidR="00CA30A2">
              <w:rPr>
                <w:rFonts w:ascii="Verdana" w:hAnsi="Verdana"/>
                <w:sz w:val="16"/>
                <w:szCs w:val="16"/>
              </w:rPr>
              <w:t>8</w:t>
            </w:r>
          </w:p>
        </w:tc>
        <w:tc>
          <w:tcPr>
            <w:tcW w:w="1514" w:type="dxa"/>
          </w:tcPr>
          <w:p w:rsidRPr="002C5EC5" w:rsidR="00CA30A2" w:rsidP="008549EB" w:rsidRDefault="00CA30A2" w14:paraId="60B6FC60" w14:textId="77777777">
            <w:pPr>
              <w:rPr>
                <w:rFonts w:ascii="Verdana" w:hAnsi="Verdana"/>
                <w:sz w:val="16"/>
                <w:szCs w:val="16"/>
              </w:rPr>
            </w:pPr>
            <w:r w:rsidRPr="002C5EC5">
              <w:rPr>
                <w:rFonts w:ascii="Verdana" w:hAnsi="Verdana"/>
                <w:sz w:val="16"/>
                <w:szCs w:val="16"/>
              </w:rPr>
              <w:t>21 ter, zesde lid bis</w:t>
            </w:r>
          </w:p>
        </w:tc>
        <w:tc>
          <w:tcPr>
            <w:tcW w:w="1625" w:type="dxa"/>
          </w:tcPr>
          <w:p w:rsidRPr="002C5EC5" w:rsidR="00CA30A2" w:rsidP="008549EB" w:rsidRDefault="00CA30A2" w14:paraId="66FCDD51" w14:textId="77777777">
            <w:pPr>
              <w:rPr>
                <w:rFonts w:ascii="Verdana" w:hAnsi="Verdana"/>
                <w:sz w:val="16"/>
                <w:szCs w:val="16"/>
              </w:rPr>
            </w:pPr>
            <w:r w:rsidRPr="002C5EC5">
              <w:rPr>
                <w:rFonts w:ascii="Verdana" w:hAnsi="Verdana"/>
                <w:sz w:val="16"/>
                <w:szCs w:val="16"/>
              </w:rPr>
              <w:t xml:space="preserve">Behoeft naar zijn aard geen implementatie: bepaling gericht tot EBA </w:t>
            </w:r>
          </w:p>
        </w:tc>
        <w:tc>
          <w:tcPr>
            <w:tcW w:w="1274" w:type="dxa"/>
          </w:tcPr>
          <w:p w:rsidRPr="002C5EC5" w:rsidR="00CA30A2" w:rsidP="008549EB" w:rsidRDefault="00CA30A2" w14:paraId="0DC36297"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1BA9FF7E" w14:textId="77777777">
            <w:pPr>
              <w:rPr>
                <w:rFonts w:ascii="Verdana" w:hAnsi="Verdana"/>
                <w:sz w:val="16"/>
                <w:szCs w:val="16"/>
              </w:rPr>
            </w:pPr>
          </w:p>
        </w:tc>
      </w:tr>
      <w:tr w:rsidR="00CA30A2" w:rsidTr="00CA30A2" w14:paraId="7F651D10" w14:textId="77777777">
        <w:tc>
          <w:tcPr>
            <w:tcW w:w="1552" w:type="dxa"/>
          </w:tcPr>
          <w:p w:rsidRPr="00DD0008" w:rsidR="00CA30A2" w:rsidP="008549EB" w:rsidRDefault="00334D7E" w14:paraId="229D2793" w14:textId="219A2271">
            <w:pPr>
              <w:rPr>
                <w:rFonts w:ascii="Verdana" w:hAnsi="Verdana"/>
                <w:sz w:val="16"/>
                <w:szCs w:val="16"/>
              </w:rPr>
            </w:pPr>
            <w:r>
              <w:rPr>
                <w:rFonts w:ascii="Verdana" w:hAnsi="Verdana"/>
                <w:sz w:val="16"/>
                <w:szCs w:val="16"/>
              </w:rPr>
              <w:t xml:space="preserve">1, lid </w:t>
            </w:r>
            <w:r w:rsidR="00CA30A2">
              <w:rPr>
                <w:rFonts w:ascii="Verdana" w:hAnsi="Verdana"/>
                <w:sz w:val="16"/>
                <w:szCs w:val="16"/>
              </w:rPr>
              <w:t>9</w:t>
            </w:r>
          </w:p>
        </w:tc>
        <w:tc>
          <w:tcPr>
            <w:tcW w:w="1514" w:type="dxa"/>
          </w:tcPr>
          <w:p w:rsidRPr="002C5EC5" w:rsidR="00CA30A2" w:rsidP="008549EB" w:rsidRDefault="00CA30A2" w14:paraId="020409B3" w14:textId="77777777">
            <w:pPr>
              <w:rPr>
                <w:rFonts w:ascii="Verdana" w:hAnsi="Verdana"/>
                <w:sz w:val="16"/>
                <w:szCs w:val="16"/>
              </w:rPr>
            </w:pPr>
            <w:r w:rsidRPr="002C5EC5">
              <w:rPr>
                <w:rFonts w:ascii="Verdana" w:hAnsi="Verdana"/>
                <w:sz w:val="16"/>
                <w:szCs w:val="16"/>
              </w:rPr>
              <w:t>21 quater, eerste lid</w:t>
            </w:r>
          </w:p>
        </w:tc>
        <w:tc>
          <w:tcPr>
            <w:tcW w:w="1625" w:type="dxa"/>
          </w:tcPr>
          <w:p w:rsidRPr="002C5EC5" w:rsidR="00CA30A2" w:rsidP="008549EB" w:rsidRDefault="00CA30A2" w14:paraId="6FF4BC97" w14:textId="77777777">
            <w:pPr>
              <w:rPr>
                <w:rFonts w:ascii="Verdana" w:hAnsi="Verdana"/>
                <w:sz w:val="16"/>
                <w:szCs w:val="16"/>
              </w:rPr>
            </w:pPr>
            <w:r>
              <w:rPr>
                <w:rFonts w:ascii="Verdana" w:hAnsi="Verdana"/>
                <w:sz w:val="16"/>
                <w:szCs w:val="16"/>
              </w:rPr>
              <w:t>Artikel I, onderdeel S (</w:t>
            </w:r>
            <w:r w:rsidRPr="002C5EC5">
              <w:rPr>
                <w:rFonts w:ascii="Verdana" w:hAnsi="Verdana"/>
                <w:sz w:val="16"/>
                <w:szCs w:val="16"/>
              </w:rPr>
              <w:t>2:20, eerste lid, Wft</w:t>
            </w:r>
            <w:r>
              <w:rPr>
                <w:rFonts w:ascii="Verdana" w:hAnsi="Verdana"/>
                <w:sz w:val="16"/>
                <w:szCs w:val="16"/>
              </w:rPr>
              <w:t>)</w:t>
            </w:r>
          </w:p>
        </w:tc>
        <w:tc>
          <w:tcPr>
            <w:tcW w:w="1274" w:type="dxa"/>
          </w:tcPr>
          <w:p w:rsidRPr="002C5EC5" w:rsidR="00CA30A2" w:rsidP="008549EB" w:rsidRDefault="00CA30A2" w14:paraId="1AF3DF47"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18C958EC" w14:textId="77777777">
            <w:pPr>
              <w:rPr>
                <w:rFonts w:ascii="Verdana" w:hAnsi="Verdana"/>
                <w:sz w:val="16"/>
                <w:szCs w:val="16"/>
              </w:rPr>
            </w:pPr>
          </w:p>
        </w:tc>
      </w:tr>
      <w:tr w:rsidR="00334D7E" w:rsidTr="00CA30A2" w14:paraId="74568ED1" w14:textId="77777777">
        <w:tc>
          <w:tcPr>
            <w:tcW w:w="1552" w:type="dxa"/>
          </w:tcPr>
          <w:p w:rsidRPr="00DD0008" w:rsidR="00334D7E" w:rsidP="00334D7E" w:rsidRDefault="00334D7E" w14:paraId="6518EC04" w14:textId="72EFFE25">
            <w:pPr>
              <w:rPr>
                <w:rFonts w:ascii="Verdana" w:hAnsi="Verdana"/>
                <w:sz w:val="16"/>
                <w:szCs w:val="16"/>
              </w:rPr>
            </w:pPr>
            <w:r w:rsidRPr="000177C4">
              <w:rPr>
                <w:rFonts w:ascii="Verdana" w:hAnsi="Verdana"/>
                <w:sz w:val="16"/>
                <w:szCs w:val="16"/>
              </w:rPr>
              <w:t>1, lid 9</w:t>
            </w:r>
          </w:p>
        </w:tc>
        <w:tc>
          <w:tcPr>
            <w:tcW w:w="1514" w:type="dxa"/>
          </w:tcPr>
          <w:p w:rsidRPr="002C5EC5" w:rsidR="00334D7E" w:rsidP="00334D7E" w:rsidRDefault="00334D7E" w14:paraId="08234360" w14:textId="77777777">
            <w:pPr>
              <w:rPr>
                <w:rFonts w:ascii="Verdana" w:hAnsi="Verdana"/>
                <w:sz w:val="16"/>
                <w:szCs w:val="16"/>
              </w:rPr>
            </w:pPr>
            <w:r w:rsidRPr="002C5EC5">
              <w:rPr>
                <w:rFonts w:ascii="Verdana" w:hAnsi="Verdana"/>
                <w:sz w:val="16"/>
                <w:szCs w:val="16"/>
              </w:rPr>
              <w:t>21 quater, tweede lid, eerste alinea</w:t>
            </w:r>
          </w:p>
        </w:tc>
        <w:tc>
          <w:tcPr>
            <w:tcW w:w="1625" w:type="dxa"/>
          </w:tcPr>
          <w:p w:rsidR="00334D7E" w:rsidP="00334D7E" w:rsidRDefault="00334D7E" w14:paraId="4BDC7F42" w14:textId="77777777">
            <w:pPr>
              <w:rPr>
                <w:rFonts w:ascii="Verdana" w:hAnsi="Verdana"/>
                <w:sz w:val="16"/>
                <w:szCs w:val="16"/>
              </w:rPr>
            </w:pPr>
            <w:r>
              <w:rPr>
                <w:rFonts w:ascii="Verdana" w:hAnsi="Verdana"/>
                <w:sz w:val="16"/>
                <w:szCs w:val="16"/>
              </w:rPr>
              <w:t>Artikel I, onderdeel S (</w:t>
            </w:r>
            <w:r w:rsidRPr="002C5EC5">
              <w:rPr>
                <w:rFonts w:ascii="Verdana" w:hAnsi="Verdana"/>
                <w:sz w:val="16"/>
                <w:szCs w:val="16"/>
              </w:rPr>
              <w:t>2:20, tweede lid, Wft</w:t>
            </w:r>
            <w:r>
              <w:rPr>
                <w:rFonts w:ascii="Verdana" w:hAnsi="Verdana"/>
                <w:sz w:val="16"/>
                <w:szCs w:val="16"/>
              </w:rPr>
              <w:t>)</w:t>
            </w:r>
          </w:p>
        </w:tc>
        <w:tc>
          <w:tcPr>
            <w:tcW w:w="1274" w:type="dxa"/>
          </w:tcPr>
          <w:p w:rsidRPr="002C5EC5" w:rsidR="00334D7E" w:rsidP="00334D7E" w:rsidRDefault="00334D7E" w14:paraId="650AE875"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6E84B667" w14:textId="77777777">
            <w:pPr>
              <w:rPr>
                <w:rFonts w:ascii="Verdana" w:hAnsi="Verdana"/>
                <w:sz w:val="16"/>
                <w:szCs w:val="16"/>
              </w:rPr>
            </w:pPr>
          </w:p>
        </w:tc>
      </w:tr>
      <w:tr w:rsidR="00334D7E" w:rsidTr="00CA30A2" w14:paraId="23462986" w14:textId="77777777">
        <w:tc>
          <w:tcPr>
            <w:tcW w:w="1552" w:type="dxa"/>
          </w:tcPr>
          <w:p w:rsidRPr="00DD0008" w:rsidR="00334D7E" w:rsidP="00334D7E" w:rsidRDefault="00334D7E" w14:paraId="37B1DC71" w14:textId="1FE01F9F">
            <w:pPr>
              <w:rPr>
                <w:rFonts w:ascii="Verdana" w:hAnsi="Verdana"/>
                <w:sz w:val="16"/>
                <w:szCs w:val="16"/>
              </w:rPr>
            </w:pPr>
            <w:r w:rsidRPr="000177C4">
              <w:rPr>
                <w:rFonts w:ascii="Verdana" w:hAnsi="Verdana"/>
                <w:sz w:val="16"/>
                <w:szCs w:val="16"/>
              </w:rPr>
              <w:t>1, lid 9</w:t>
            </w:r>
          </w:p>
        </w:tc>
        <w:tc>
          <w:tcPr>
            <w:tcW w:w="1514" w:type="dxa"/>
          </w:tcPr>
          <w:p w:rsidRPr="002C5EC5" w:rsidR="00334D7E" w:rsidP="00334D7E" w:rsidRDefault="00334D7E" w14:paraId="3D629FE9" w14:textId="77777777">
            <w:pPr>
              <w:rPr>
                <w:rFonts w:ascii="Verdana" w:hAnsi="Verdana"/>
                <w:sz w:val="16"/>
                <w:szCs w:val="16"/>
              </w:rPr>
            </w:pPr>
            <w:r w:rsidRPr="002C5EC5">
              <w:rPr>
                <w:rFonts w:ascii="Verdana" w:hAnsi="Verdana"/>
                <w:sz w:val="16"/>
                <w:szCs w:val="16"/>
              </w:rPr>
              <w:t>21 quater, tweede lid, tweede alinea</w:t>
            </w:r>
          </w:p>
        </w:tc>
        <w:tc>
          <w:tcPr>
            <w:tcW w:w="1625" w:type="dxa"/>
          </w:tcPr>
          <w:p w:rsidR="00334D7E" w:rsidP="00334D7E" w:rsidRDefault="00334D7E" w14:paraId="0B9D84B7" w14:textId="77777777">
            <w:pPr>
              <w:rPr>
                <w:rFonts w:ascii="Verdana" w:hAnsi="Verdana"/>
                <w:sz w:val="16"/>
                <w:szCs w:val="16"/>
              </w:rPr>
            </w:pPr>
            <w:r>
              <w:rPr>
                <w:rFonts w:ascii="Verdana" w:hAnsi="Verdana"/>
                <w:sz w:val="16"/>
                <w:szCs w:val="16"/>
              </w:rPr>
              <w:t>Artikel I, onderdeel S (</w:t>
            </w:r>
            <w:r w:rsidRPr="002C5EC5">
              <w:rPr>
                <w:rFonts w:ascii="Verdana" w:hAnsi="Verdana"/>
                <w:sz w:val="16"/>
                <w:szCs w:val="16"/>
              </w:rPr>
              <w:t>2:20, tweede lid, Wft</w:t>
            </w:r>
            <w:r>
              <w:rPr>
                <w:rFonts w:ascii="Verdana" w:hAnsi="Verdana"/>
                <w:sz w:val="16"/>
                <w:szCs w:val="16"/>
              </w:rPr>
              <w:t>)</w:t>
            </w:r>
          </w:p>
        </w:tc>
        <w:tc>
          <w:tcPr>
            <w:tcW w:w="1274" w:type="dxa"/>
          </w:tcPr>
          <w:p w:rsidRPr="002C5EC5" w:rsidR="00334D7E" w:rsidP="00334D7E" w:rsidRDefault="00334D7E" w14:paraId="34F91681"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52E12B47" w14:textId="77777777">
            <w:pPr>
              <w:rPr>
                <w:rFonts w:ascii="Verdana" w:hAnsi="Verdana"/>
                <w:sz w:val="16"/>
                <w:szCs w:val="16"/>
              </w:rPr>
            </w:pPr>
          </w:p>
        </w:tc>
      </w:tr>
      <w:tr w:rsidR="00334D7E" w:rsidTr="00CA30A2" w14:paraId="3F0A8EA2" w14:textId="77777777">
        <w:tc>
          <w:tcPr>
            <w:tcW w:w="1552" w:type="dxa"/>
          </w:tcPr>
          <w:p w:rsidRPr="00DD0008" w:rsidR="00334D7E" w:rsidP="00334D7E" w:rsidRDefault="00334D7E" w14:paraId="55B3AE47" w14:textId="028554BB">
            <w:pPr>
              <w:rPr>
                <w:rFonts w:ascii="Verdana" w:hAnsi="Verdana"/>
                <w:sz w:val="16"/>
                <w:szCs w:val="16"/>
              </w:rPr>
            </w:pPr>
            <w:r w:rsidRPr="000177C4">
              <w:rPr>
                <w:rFonts w:ascii="Verdana" w:hAnsi="Verdana"/>
                <w:sz w:val="16"/>
                <w:szCs w:val="16"/>
              </w:rPr>
              <w:t>1, lid 9</w:t>
            </w:r>
          </w:p>
        </w:tc>
        <w:tc>
          <w:tcPr>
            <w:tcW w:w="1514" w:type="dxa"/>
          </w:tcPr>
          <w:p w:rsidRPr="002C5EC5" w:rsidR="00334D7E" w:rsidP="00334D7E" w:rsidRDefault="00334D7E" w14:paraId="6931C743" w14:textId="77777777">
            <w:pPr>
              <w:rPr>
                <w:rFonts w:ascii="Verdana" w:hAnsi="Verdana"/>
                <w:sz w:val="16"/>
                <w:szCs w:val="16"/>
              </w:rPr>
            </w:pPr>
            <w:r w:rsidRPr="002C5EC5">
              <w:rPr>
                <w:rFonts w:ascii="Verdana" w:hAnsi="Verdana"/>
                <w:sz w:val="16"/>
                <w:szCs w:val="16"/>
              </w:rPr>
              <w:t>21 quater, derde lid</w:t>
            </w:r>
          </w:p>
        </w:tc>
        <w:tc>
          <w:tcPr>
            <w:tcW w:w="1625" w:type="dxa"/>
          </w:tcPr>
          <w:p w:rsidR="00334D7E" w:rsidP="00334D7E" w:rsidRDefault="00334D7E" w14:paraId="35B63DA4" w14:textId="77777777">
            <w:pPr>
              <w:rPr>
                <w:rFonts w:ascii="Verdana" w:hAnsi="Verdana"/>
                <w:sz w:val="16"/>
                <w:szCs w:val="16"/>
              </w:rPr>
            </w:pPr>
            <w:r>
              <w:rPr>
                <w:rFonts w:ascii="Verdana" w:hAnsi="Verdana"/>
                <w:sz w:val="16"/>
                <w:szCs w:val="16"/>
              </w:rPr>
              <w:t>Artikel I, onderdeel S (</w:t>
            </w:r>
            <w:r w:rsidRPr="002C5EC5">
              <w:rPr>
                <w:rFonts w:ascii="Verdana" w:hAnsi="Verdana"/>
                <w:sz w:val="16"/>
                <w:szCs w:val="16"/>
              </w:rPr>
              <w:t>2:20, tweede lid, Wft</w:t>
            </w:r>
            <w:r>
              <w:rPr>
                <w:rFonts w:ascii="Verdana" w:hAnsi="Verdana"/>
                <w:sz w:val="16"/>
                <w:szCs w:val="16"/>
              </w:rPr>
              <w:t>)</w:t>
            </w:r>
          </w:p>
        </w:tc>
        <w:tc>
          <w:tcPr>
            <w:tcW w:w="1274" w:type="dxa"/>
          </w:tcPr>
          <w:p w:rsidRPr="002C5EC5" w:rsidR="00334D7E" w:rsidP="00334D7E" w:rsidRDefault="00334D7E" w14:paraId="2B67906D"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3F1C62E4" w14:textId="77777777">
            <w:pPr>
              <w:rPr>
                <w:rFonts w:ascii="Verdana" w:hAnsi="Verdana"/>
                <w:sz w:val="16"/>
                <w:szCs w:val="16"/>
              </w:rPr>
            </w:pPr>
          </w:p>
        </w:tc>
      </w:tr>
      <w:tr w:rsidR="00334D7E" w:rsidTr="00CA30A2" w14:paraId="4445D5E4" w14:textId="77777777">
        <w:tc>
          <w:tcPr>
            <w:tcW w:w="1552" w:type="dxa"/>
          </w:tcPr>
          <w:p w:rsidRPr="00DD0008" w:rsidR="00334D7E" w:rsidP="00334D7E" w:rsidRDefault="00334D7E" w14:paraId="130EB379" w14:textId="1C721B67">
            <w:pPr>
              <w:rPr>
                <w:rFonts w:ascii="Verdana" w:hAnsi="Verdana"/>
                <w:sz w:val="16"/>
                <w:szCs w:val="16"/>
              </w:rPr>
            </w:pPr>
            <w:r w:rsidRPr="000177C4">
              <w:rPr>
                <w:rFonts w:ascii="Verdana" w:hAnsi="Verdana"/>
                <w:sz w:val="16"/>
                <w:szCs w:val="16"/>
              </w:rPr>
              <w:t>1, lid 9</w:t>
            </w:r>
          </w:p>
        </w:tc>
        <w:tc>
          <w:tcPr>
            <w:tcW w:w="1514" w:type="dxa"/>
          </w:tcPr>
          <w:p w:rsidRPr="002C5EC5" w:rsidR="00334D7E" w:rsidP="00334D7E" w:rsidRDefault="00334D7E" w14:paraId="3607DB89" w14:textId="77777777">
            <w:pPr>
              <w:rPr>
                <w:rFonts w:ascii="Verdana" w:hAnsi="Verdana"/>
                <w:sz w:val="16"/>
                <w:szCs w:val="16"/>
              </w:rPr>
            </w:pPr>
            <w:r w:rsidRPr="002C5EC5">
              <w:rPr>
                <w:rFonts w:ascii="Verdana" w:hAnsi="Verdana"/>
                <w:sz w:val="16"/>
                <w:szCs w:val="16"/>
              </w:rPr>
              <w:t>21 quater, vierde lid</w:t>
            </w:r>
          </w:p>
        </w:tc>
        <w:tc>
          <w:tcPr>
            <w:tcW w:w="1625" w:type="dxa"/>
          </w:tcPr>
          <w:p w:rsidR="00334D7E" w:rsidP="00334D7E" w:rsidRDefault="00334D7E" w14:paraId="667DE18C" w14:textId="77777777">
            <w:pPr>
              <w:rPr>
                <w:rFonts w:ascii="Verdana" w:hAnsi="Verdana"/>
                <w:sz w:val="16"/>
                <w:szCs w:val="16"/>
              </w:rPr>
            </w:pPr>
            <w:r>
              <w:rPr>
                <w:rFonts w:ascii="Verdana" w:hAnsi="Verdana"/>
                <w:sz w:val="16"/>
                <w:szCs w:val="16"/>
              </w:rPr>
              <w:t>Artikel I, onderdeel S (</w:t>
            </w:r>
            <w:r w:rsidRPr="002C5EC5">
              <w:rPr>
                <w:rFonts w:ascii="Verdana" w:hAnsi="Verdana"/>
                <w:sz w:val="16"/>
                <w:szCs w:val="16"/>
              </w:rPr>
              <w:t xml:space="preserve">2:20, </w:t>
            </w:r>
            <w:r>
              <w:rPr>
                <w:rFonts w:ascii="Verdana" w:hAnsi="Verdana"/>
                <w:sz w:val="16"/>
                <w:szCs w:val="16"/>
              </w:rPr>
              <w:t>tweede</w:t>
            </w:r>
            <w:r w:rsidRPr="002C5EC5">
              <w:rPr>
                <w:rFonts w:ascii="Verdana" w:hAnsi="Verdana"/>
                <w:sz w:val="16"/>
                <w:szCs w:val="16"/>
              </w:rPr>
              <w:t xml:space="preserve"> lid, Wft</w:t>
            </w:r>
            <w:r>
              <w:rPr>
                <w:rFonts w:ascii="Verdana" w:hAnsi="Verdana"/>
                <w:sz w:val="16"/>
                <w:szCs w:val="16"/>
              </w:rPr>
              <w:t>)</w:t>
            </w:r>
          </w:p>
        </w:tc>
        <w:tc>
          <w:tcPr>
            <w:tcW w:w="1274" w:type="dxa"/>
          </w:tcPr>
          <w:p w:rsidRPr="002C5EC5" w:rsidR="00334D7E" w:rsidP="00334D7E" w:rsidRDefault="00334D7E" w14:paraId="06429C58"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44747F56" w14:textId="77777777">
            <w:pPr>
              <w:rPr>
                <w:rFonts w:ascii="Verdana" w:hAnsi="Verdana"/>
                <w:sz w:val="16"/>
                <w:szCs w:val="16"/>
              </w:rPr>
            </w:pPr>
          </w:p>
        </w:tc>
      </w:tr>
      <w:tr w:rsidR="00334D7E" w:rsidTr="00CA30A2" w14:paraId="6099E570" w14:textId="77777777">
        <w:tc>
          <w:tcPr>
            <w:tcW w:w="1552" w:type="dxa"/>
          </w:tcPr>
          <w:p w:rsidRPr="00DD0008" w:rsidR="00334D7E" w:rsidP="00334D7E" w:rsidRDefault="00334D7E" w14:paraId="462B68E4" w14:textId="5EA859EF">
            <w:pPr>
              <w:rPr>
                <w:rFonts w:ascii="Verdana" w:hAnsi="Verdana"/>
                <w:sz w:val="16"/>
                <w:szCs w:val="16"/>
              </w:rPr>
            </w:pPr>
            <w:r w:rsidRPr="000177C4">
              <w:rPr>
                <w:rFonts w:ascii="Verdana" w:hAnsi="Verdana"/>
                <w:sz w:val="16"/>
                <w:szCs w:val="16"/>
              </w:rPr>
              <w:t>1, lid 9</w:t>
            </w:r>
          </w:p>
        </w:tc>
        <w:tc>
          <w:tcPr>
            <w:tcW w:w="1514" w:type="dxa"/>
          </w:tcPr>
          <w:p w:rsidRPr="002C5EC5" w:rsidR="00334D7E" w:rsidP="00334D7E" w:rsidRDefault="00334D7E" w14:paraId="0A63BD3C" w14:textId="77777777">
            <w:pPr>
              <w:rPr>
                <w:rFonts w:ascii="Verdana" w:hAnsi="Verdana"/>
                <w:sz w:val="16"/>
                <w:szCs w:val="16"/>
              </w:rPr>
            </w:pPr>
            <w:r w:rsidRPr="002C5EC5">
              <w:rPr>
                <w:rFonts w:ascii="Verdana" w:hAnsi="Verdana"/>
                <w:sz w:val="16"/>
                <w:szCs w:val="16"/>
              </w:rPr>
              <w:t>21 quater, vijfde lid</w:t>
            </w:r>
          </w:p>
        </w:tc>
        <w:tc>
          <w:tcPr>
            <w:tcW w:w="1625" w:type="dxa"/>
          </w:tcPr>
          <w:p w:rsidR="00334D7E" w:rsidP="00334D7E" w:rsidRDefault="00334D7E" w14:paraId="2F5F686F" w14:textId="77777777">
            <w:pPr>
              <w:rPr>
                <w:rFonts w:ascii="Verdana" w:hAnsi="Verdana"/>
                <w:sz w:val="16"/>
                <w:szCs w:val="16"/>
              </w:rPr>
            </w:pPr>
            <w:r>
              <w:rPr>
                <w:rFonts w:ascii="Verdana" w:hAnsi="Verdana"/>
                <w:sz w:val="16"/>
                <w:szCs w:val="16"/>
              </w:rPr>
              <w:t>Artikel IV, lid 2.</w:t>
            </w:r>
            <w:r w:rsidRPr="002C5EC5">
              <w:rPr>
                <w:rFonts w:ascii="Verdana" w:hAnsi="Verdana"/>
                <w:sz w:val="16"/>
                <w:szCs w:val="16"/>
              </w:rPr>
              <w:t xml:space="preserve"> </w:t>
            </w:r>
          </w:p>
        </w:tc>
        <w:tc>
          <w:tcPr>
            <w:tcW w:w="1274" w:type="dxa"/>
          </w:tcPr>
          <w:p w:rsidRPr="002C5EC5" w:rsidR="00334D7E" w:rsidP="00334D7E" w:rsidRDefault="00334D7E" w14:paraId="7A3648A8"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0F8E492C" w14:textId="77777777">
            <w:pPr>
              <w:rPr>
                <w:rFonts w:ascii="Verdana" w:hAnsi="Verdana"/>
                <w:sz w:val="16"/>
                <w:szCs w:val="16"/>
              </w:rPr>
            </w:pPr>
          </w:p>
        </w:tc>
      </w:tr>
      <w:tr w:rsidR="00334D7E" w:rsidTr="00CA30A2" w14:paraId="08386F2C" w14:textId="77777777">
        <w:tc>
          <w:tcPr>
            <w:tcW w:w="1552" w:type="dxa"/>
          </w:tcPr>
          <w:p w:rsidRPr="00DD0008" w:rsidR="00334D7E" w:rsidP="00334D7E" w:rsidRDefault="00334D7E" w14:paraId="0B03EC55" w14:textId="390F81A1">
            <w:pPr>
              <w:rPr>
                <w:rFonts w:ascii="Verdana" w:hAnsi="Verdana"/>
                <w:sz w:val="16"/>
                <w:szCs w:val="16"/>
              </w:rPr>
            </w:pPr>
            <w:r w:rsidRPr="000177C4">
              <w:rPr>
                <w:rFonts w:ascii="Verdana" w:hAnsi="Verdana"/>
                <w:sz w:val="16"/>
                <w:szCs w:val="16"/>
              </w:rPr>
              <w:t>1, lid 9</w:t>
            </w:r>
          </w:p>
        </w:tc>
        <w:tc>
          <w:tcPr>
            <w:tcW w:w="1514" w:type="dxa"/>
          </w:tcPr>
          <w:p w:rsidRPr="002C5EC5" w:rsidR="00334D7E" w:rsidP="00334D7E" w:rsidRDefault="00334D7E" w14:paraId="308E28E9" w14:textId="77777777">
            <w:pPr>
              <w:rPr>
                <w:rFonts w:ascii="Verdana" w:hAnsi="Verdana"/>
                <w:sz w:val="16"/>
                <w:szCs w:val="16"/>
              </w:rPr>
            </w:pPr>
            <w:r w:rsidRPr="002C5EC5">
              <w:rPr>
                <w:rFonts w:ascii="Verdana" w:hAnsi="Verdana"/>
                <w:sz w:val="16"/>
                <w:szCs w:val="16"/>
              </w:rPr>
              <w:t>21 quater, zesde lid</w:t>
            </w:r>
          </w:p>
        </w:tc>
        <w:tc>
          <w:tcPr>
            <w:tcW w:w="1625" w:type="dxa"/>
          </w:tcPr>
          <w:p w:rsidR="00334D7E" w:rsidP="00334D7E" w:rsidRDefault="00334D7E" w14:paraId="58C436AE" w14:textId="77777777">
            <w:pPr>
              <w:rPr>
                <w:rFonts w:ascii="Verdana" w:hAnsi="Verdana"/>
                <w:sz w:val="16"/>
                <w:szCs w:val="16"/>
              </w:rPr>
            </w:pPr>
            <w:r w:rsidRPr="002C5EC5">
              <w:rPr>
                <w:rFonts w:ascii="Verdana" w:hAnsi="Verdana"/>
                <w:sz w:val="16"/>
                <w:szCs w:val="16"/>
              </w:rPr>
              <w:t>Behoeft naar zijn aard geen implementatie. Bepaling gericht tot EBA</w:t>
            </w:r>
          </w:p>
        </w:tc>
        <w:tc>
          <w:tcPr>
            <w:tcW w:w="1274" w:type="dxa"/>
          </w:tcPr>
          <w:p w:rsidRPr="002C5EC5" w:rsidR="00334D7E" w:rsidP="00334D7E" w:rsidRDefault="00334D7E" w14:paraId="7A728859"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16E5C80E" w14:textId="77777777">
            <w:pPr>
              <w:rPr>
                <w:rFonts w:ascii="Verdana" w:hAnsi="Verdana"/>
                <w:sz w:val="16"/>
                <w:szCs w:val="16"/>
              </w:rPr>
            </w:pPr>
          </w:p>
        </w:tc>
      </w:tr>
      <w:tr w:rsidR="00CA30A2" w:rsidTr="00CA30A2" w14:paraId="0C51AF65" w14:textId="77777777">
        <w:tc>
          <w:tcPr>
            <w:tcW w:w="1552" w:type="dxa"/>
          </w:tcPr>
          <w:p w:rsidRPr="00DD0008" w:rsidR="00CA30A2" w:rsidP="008549EB" w:rsidRDefault="00334D7E" w14:paraId="780D934B" w14:textId="4F2F3024">
            <w:pPr>
              <w:rPr>
                <w:rFonts w:ascii="Verdana" w:hAnsi="Verdana"/>
                <w:sz w:val="16"/>
                <w:szCs w:val="16"/>
              </w:rPr>
            </w:pPr>
            <w:r>
              <w:rPr>
                <w:rFonts w:ascii="Verdana" w:hAnsi="Verdana"/>
                <w:sz w:val="16"/>
                <w:szCs w:val="16"/>
              </w:rPr>
              <w:t xml:space="preserve">1, lid </w:t>
            </w:r>
            <w:r w:rsidR="00CA30A2">
              <w:rPr>
                <w:rFonts w:ascii="Verdana" w:hAnsi="Verdana"/>
                <w:sz w:val="16"/>
                <w:szCs w:val="16"/>
              </w:rPr>
              <w:t>10</w:t>
            </w:r>
          </w:p>
        </w:tc>
        <w:tc>
          <w:tcPr>
            <w:tcW w:w="1514" w:type="dxa"/>
          </w:tcPr>
          <w:p w:rsidRPr="002C5EC5" w:rsidR="00CA30A2" w:rsidP="008549EB" w:rsidRDefault="00CA30A2" w14:paraId="3BD899CF" w14:textId="77777777">
            <w:pPr>
              <w:rPr>
                <w:rFonts w:ascii="Verdana" w:hAnsi="Verdana"/>
                <w:sz w:val="16"/>
                <w:szCs w:val="16"/>
              </w:rPr>
            </w:pPr>
            <w:r w:rsidRPr="002C5EC5">
              <w:rPr>
                <w:rFonts w:ascii="Verdana" w:hAnsi="Verdana"/>
                <w:sz w:val="16"/>
                <w:szCs w:val="16"/>
              </w:rPr>
              <w:t>22, tweede lid, eerste alinea</w:t>
            </w:r>
          </w:p>
        </w:tc>
        <w:tc>
          <w:tcPr>
            <w:tcW w:w="1625" w:type="dxa"/>
          </w:tcPr>
          <w:p w:rsidRPr="002C5EC5" w:rsidR="00CA30A2" w:rsidP="008549EB" w:rsidRDefault="00CA30A2" w14:paraId="7F9173E3" w14:textId="77777777">
            <w:pPr>
              <w:rPr>
                <w:rFonts w:ascii="Verdana" w:hAnsi="Verdana"/>
                <w:sz w:val="16"/>
                <w:szCs w:val="16"/>
              </w:rPr>
            </w:pPr>
            <w:r>
              <w:rPr>
                <w:rFonts w:ascii="Verdana" w:hAnsi="Verdana"/>
                <w:sz w:val="16"/>
                <w:szCs w:val="16"/>
              </w:rPr>
              <w:t>Artikel I, onderdeel K (</w:t>
            </w:r>
            <w:r w:rsidRPr="002C5EC5">
              <w:rPr>
                <w:rFonts w:ascii="Verdana" w:hAnsi="Verdana"/>
                <w:sz w:val="16"/>
                <w:szCs w:val="16"/>
              </w:rPr>
              <w:t>1:106b, eerste lid, Wft</w:t>
            </w:r>
            <w:r>
              <w:rPr>
                <w:rFonts w:ascii="Verdana" w:hAnsi="Verdana"/>
                <w:sz w:val="16"/>
                <w:szCs w:val="16"/>
              </w:rPr>
              <w:t>)</w:t>
            </w:r>
          </w:p>
        </w:tc>
        <w:tc>
          <w:tcPr>
            <w:tcW w:w="1274" w:type="dxa"/>
          </w:tcPr>
          <w:p w:rsidRPr="002C5EC5" w:rsidR="00CA30A2" w:rsidP="008549EB" w:rsidRDefault="00CA30A2" w14:paraId="0A17B591"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4A9D36F2" w14:textId="77777777">
            <w:pPr>
              <w:rPr>
                <w:rFonts w:ascii="Verdana" w:hAnsi="Verdana"/>
                <w:sz w:val="16"/>
                <w:szCs w:val="16"/>
              </w:rPr>
            </w:pPr>
          </w:p>
        </w:tc>
      </w:tr>
      <w:tr w:rsidR="00CA30A2" w:rsidTr="00CA30A2" w14:paraId="4B40549C" w14:textId="77777777">
        <w:tc>
          <w:tcPr>
            <w:tcW w:w="1552" w:type="dxa"/>
          </w:tcPr>
          <w:p w:rsidRPr="00DD0008" w:rsidR="00CA30A2" w:rsidP="008549EB" w:rsidRDefault="00334D7E" w14:paraId="34C26220" w14:textId="58EF4E6B">
            <w:pPr>
              <w:rPr>
                <w:rFonts w:ascii="Verdana" w:hAnsi="Verdana"/>
                <w:sz w:val="16"/>
                <w:szCs w:val="16"/>
              </w:rPr>
            </w:pPr>
            <w:r>
              <w:rPr>
                <w:rFonts w:ascii="Verdana" w:hAnsi="Verdana"/>
                <w:sz w:val="16"/>
                <w:szCs w:val="16"/>
              </w:rPr>
              <w:t xml:space="preserve">1, lid </w:t>
            </w:r>
            <w:r w:rsidR="00CA30A2">
              <w:rPr>
                <w:rFonts w:ascii="Verdana" w:hAnsi="Verdana"/>
                <w:sz w:val="16"/>
                <w:szCs w:val="16"/>
              </w:rPr>
              <w:t>11, onderdeel a</w:t>
            </w:r>
          </w:p>
        </w:tc>
        <w:tc>
          <w:tcPr>
            <w:tcW w:w="1514" w:type="dxa"/>
          </w:tcPr>
          <w:p w:rsidRPr="002C5EC5" w:rsidR="00CA30A2" w:rsidP="008549EB" w:rsidRDefault="00CA30A2" w14:paraId="203B3474" w14:textId="77777777">
            <w:pPr>
              <w:rPr>
                <w:rFonts w:ascii="Verdana" w:hAnsi="Verdana"/>
                <w:sz w:val="16"/>
                <w:szCs w:val="16"/>
              </w:rPr>
            </w:pPr>
            <w:r w:rsidRPr="002C5EC5">
              <w:rPr>
                <w:rFonts w:ascii="Verdana" w:hAnsi="Verdana"/>
                <w:sz w:val="16"/>
                <w:szCs w:val="16"/>
              </w:rPr>
              <w:t>23, eerste lid, onderdeel e</w:t>
            </w:r>
          </w:p>
        </w:tc>
        <w:tc>
          <w:tcPr>
            <w:tcW w:w="1625" w:type="dxa"/>
          </w:tcPr>
          <w:p w:rsidR="00CA30A2" w:rsidP="008549EB" w:rsidRDefault="00CA30A2" w14:paraId="1A57FCEA" w14:textId="77777777">
            <w:pPr>
              <w:rPr>
                <w:rFonts w:ascii="Verdana" w:hAnsi="Verdana"/>
                <w:sz w:val="16"/>
                <w:szCs w:val="16"/>
              </w:rPr>
            </w:pPr>
            <w:r w:rsidRPr="002C5EC5">
              <w:rPr>
                <w:rFonts w:ascii="Verdana" w:hAnsi="Verdana"/>
                <w:sz w:val="16"/>
                <w:szCs w:val="16"/>
              </w:rPr>
              <w:t xml:space="preserve">Behoeft geen implementatie: Bestaand recht in artikel 3:100, eerste lid, onderdeel e, Wft </w:t>
            </w:r>
          </w:p>
        </w:tc>
        <w:tc>
          <w:tcPr>
            <w:tcW w:w="1274" w:type="dxa"/>
          </w:tcPr>
          <w:p w:rsidRPr="002C5EC5" w:rsidR="00CA30A2" w:rsidP="008549EB" w:rsidRDefault="00CA30A2" w14:paraId="3C8E6E61"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3F2D631E" w14:textId="77777777">
            <w:pPr>
              <w:rPr>
                <w:rFonts w:ascii="Verdana" w:hAnsi="Verdana"/>
                <w:sz w:val="16"/>
                <w:szCs w:val="16"/>
              </w:rPr>
            </w:pPr>
          </w:p>
        </w:tc>
      </w:tr>
      <w:tr w:rsidR="00CA30A2" w:rsidTr="00CA30A2" w14:paraId="15F88BE4" w14:textId="77777777">
        <w:tc>
          <w:tcPr>
            <w:tcW w:w="1552" w:type="dxa"/>
          </w:tcPr>
          <w:p w:rsidRPr="00DD0008" w:rsidR="00CA30A2" w:rsidP="008549EB" w:rsidRDefault="00334D7E" w14:paraId="7DFAAEEC" w14:textId="75E3EB60">
            <w:pPr>
              <w:rPr>
                <w:rFonts w:ascii="Verdana" w:hAnsi="Verdana"/>
                <w:sz w:val="16"/>
                <w:szCs w:val="16"/>
              </w:rPr>
            </w:pPr>
            <w:r>
              <w:rPr>
                <w:rFonts w:ascii="Verdana" w:hAnsi="Verdana"/>
                <w:sz w:val="16"/>
                <w:szCs w:val="16"/>
              </w:rPr>
              <w:t xml:space="preserve">1, lid </w:t>
            </w:r>
            <w:r w:rsidR="00CA30A2">
              <w:rPr>
                <w:rFonts w:ascii="Verdana" w:hAnsi="Verdana"/>
                <w:sz w:val="16"/>
                <w:szCs w:val="16"/>
              </w:rPr>
              <w:t>11, onderdeel a</w:t>
            </w:r>
          </w:p>
        </w:tc>
        <w:tc>
          <w:tcPr>
            <w:tcW w:w="1514" w:type="dxa"/>
          </w:tcPr>
          <w:p w:rsidRPr="002C5EC5" w:rsidR="00CA30A2" w:rsidP="008549EB" w:rsidRDefault="00CA30A2" w14:paraId="1515942A" w14:textId="77777777">
            <w:pPr>
              <w:rPr>
                <w:rFonts w:ascii="Verdana" w:hAnsi="Verdana"/>
                <w:sz w:val="16"/>
                <w:szCs w:val="16"/>
              </w:rPr>
            </w:pPr>
            <w:r w:rsidRPr="002C5EC5">
              <w:rPr>
                <w:rFonts w:ascii="Verdana" w:hAnsi="Verdana"/>
                <w:sz w:val="16"/>
                <w:szCs w:val="16"/>
              </w:rPr>
              <w:t>23, eerste lid, tweede alinea</w:t>
            </w:r>
          </w:p>
        </w:tc>
        <w:tc>
          <w:tcPr>
            <w:tcW w:w="1625" w:type="dxa"/>
          </w:tcPr>
          <w:p w:rsidRPr="002C5EC5" w:rsidR="00CA30A2" w:rsidP="008549EB" w:rsidRDefault="00CA30A2" w14:paraId="77E1CF9E" w14:textId="77777777">
            <w:pPr>
              <w:rPr>
                <w:rFonts w:ascii="Verdana" w:hAnsi="Verdana"/>
                <w:sz w:val="16"/>
                <w:szCs w:val="16"/>
              </w:rPr>
            </w:pPr>
            <w:r w:rsidRPr="002C5EC5">
              <w:rPr>
                <w:rFonts w:ascii="Verdana" w:hAnsi="Verdana"/>
                <w:sz w:val="16"/>
                <w:szCs w:val="16"/>
              </w:rPr>
              <w:t>Behoeft geen implementatie: Bestaand recht in artikel 1:51f</w:t>
            </w:r>
          </w:p>
        </w:tc>
        <w:tc>
          <w:tcPr>
            <w:tcW w:w="1274" w:type="dxa"/>
          </w:tcPr>
          <w:p w:rsidRPr="002C5EC5" w:rsidR="00CA30A2" w:rsidP="008549EB" w:rsidRDefault="00CA30A2" w14:paraId="2CE6E1BA"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306E63D4" w14:textId="77777777">
            <w:pPr>
              <w:rPr>
                <w:rFonts w:ascii="Verdana" w:hAnsi="Verdana"/>
                <w:sz w:val="16"/>
                <w:szCs w:val="16"/>
              </w:rPr>
            </w:pPr>
          </w:p>
        </w:tc>
      </w:tr>
      <w:tr w:rsidR="00CA30A2" w:rsidTr="00CA30A2" w14:paraId="37DAC617" w14:textId="77777777">
        <w:tc>
          <w:tcPr>
            <w:tcW w:w="1552" w:type="dxa"/>
          </w:tcPr>
          <w:p w:rsidRPr="00DD0008" w:rsidR="00CA30A2" w:rsidP="008549EB" w:rsidRDefault="00334D7E" w14:paraId="7B1B756D" w14:textId="3ACCFD81">
            <w:pPr>
              <w:rPr>
                <w:rFonts w:ascii="Verdana" w:hAnsi="Verdana"/>
                <w:sz w:val="16"/>
                <w:szCs w:val="16"/>
              </w:rPr>
            </w:pPr>
            <w:r>
              <w:rPr>
                <w:rFonts w:ascii="Verdana" w:hAnsi="Verdana"/>
                <w:sz w:val="16"/>
                <w:szCs w:val="16"/>
              </w:rPr>
              <w:t xml:space="preserve">1, lid </w:t>
            </w:r>
            <w:r w:rsidR="00CA30A2">
              <w:rPr>
                <w:rFonts w:ascii="Verdana" w:hAnsi="Verdana"/>
                <w:sz w:val="16"/>
                <w:szCs w:val="16"/>
              </w:rPr>
              <w:t>11, onderdeel a</w:t>
            </w:r>
          </w:p>
        </w:tc>
        <w:tc>
          <w:tcPr>
            <w:tcW w:w="1514" w:type="dxa"/>
          </w:tcPr>
          <w:p w:rsidRPr="002C5EC5" w:rsidR="00CA30A2" w:rsidP="008549EB" w:rsidRDefault="00CA30A2" w14:paraId="6774E15D" w14:textId="77777777">
            <w:pPr>
              <w:rPr>
                <w:rFonts w:ascii="Verdana" w:hAnsi="Verdana"/>
                <w:sz w:val="16"/>
                <w:szCs w:val="16"/>
              </w:rPr>
            </w:pPr>
            <w:r w:rsidRPr="002C5EC5">
              <w:rPr>
                <w:rFonts w:ascii="Verdana" w:hAnsi="Verdana"/>
                <w:sz w:val="16"/>
                <w:szCs w:val="16"/>
              </w:rPr>
              <w:t>23, eerste lid, derde alinea</w:t>
            </w:r>
          </w:p>
        </w:tc>
        <w:tc>
          <w:tcPr>
            <w:tcW w:w="1625" w:type="dxa"/>
          </w:tcPr>
          <w:p w:rsidRPr="002C5EC5" w:rsidR="00CA30A2" w:rsidP="008549EB" w:rsidRDefault="00CA30A2" w14:paraId="09F695EA" w14:textId="77777777">
            <w:pPr>
              <w:rPr>
                <w:rFonts w:ascii="Verdana" w:hAnsi="Verdana"/>
                <w:sz w:val="16"/>
                <w:szCs w:val="16"/>
              </w:rPr>
            </w:pPr>
            <w:r>
              <w:rPr>
                <w:rFonts w:ascii="Verdana" w:hAnsi="Verdana"/>
                <w:sz w:val="16"/>
                <w:szCs w:val="16"/>
              </w:rPr>
              <w:t>Artikel I, onderdeel GGG (</w:t>
            </w:r>
            <w:r w:rsidRPr="002C5EC5">
              <w:rPr>
                <w:rFonts w:ascii="Verdana" w:hAnsi="Verdana"/>
                <w:sz w:val="16"/>
                <w:szCs w:val="16"/>
              </w:rPr>
              <w:t>3:100, eerste lid</w:t>
            </w:r>
            <w:r>
              <w:rPr>
                <w:rFonts w:ascii="Verdana" w:hAnsi="Verdana"/>
                <w:sz w:val="16"/>
                <w:szCs w:val="16"/>
              </w:rPr>
              <w:t>)</w:t>
            </w:r>
          </w:p>
        </w:tc>
        <w:tc>
          <w:tcPr>
            <w:tcW w:w="1274" w:type="dxa"/>
          </w:tcPr>
          <w:p w:rsidRPr="002C5EC5" w:rsidR="00CA30A2" w:rsidP="008549EB" w:rsidRDefault="00CA30A2" w14:paraId="53E1DF6A"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1B44C232" w14:textId="77777777">
            <w:pPr>
              <w:rPr>
                <w:rFonts w:ascii="Verdana" w:hAnsi="Verdana"/>
                <w:sz w:val="16"/>
                <w:szCs w:val="16"/>
              </w:rPr>
            </w:pPr>
          </w:p>
        </w:tc>
      </w:tr>
      <w:tr w:rsidR="00CA30A2" w:rsidTr="00CA30A2" w14:paraId="4DBD4B9F" w14:textId="77777777">
        <w:tc>
          <w:tcPr>
            <w:tcW w:w="1552" w:type="dxa"/>
          </w:tcPr>
          <w:p w:rsidRPr="00DD0008" w:rsidR="00CA30A2" w:rsidP="008549EB" w:rsidRDefault="00334D7E" w14:paraId="5EEE3699" w14:textId="627EB546">
            <w:pPr>
              <w:rPr>
                <w:rFonts w:ascii="Verdana" w:hAnsi="Verdana"/>
                <w:sz w:val="16"/>
                <w:szCs w:val="16"/>
              </w:rPr>
            </w:pPr>
            <w:r>
              <w:rPr>
                <w:rFonts w:ascii="Verdana" w:hAnsi="Verdana"/>
                <w:sz w:val="16"/>
                <w:szCs w:val="16"/>
              </w:rPr>
              <w:t xml:space="preserve">1, lid </w:t>
            </w:r>
            <w:r w:rsidR="00CA30A2">
              <w:rPr>
                <w:rFonts w:ascii="Verdana" w:hAnsi="Verdana"/>
                <w:sz w:val="16"/>
                <w:szCs w:val="16"/>
              </w:rPr>
              <w:t>11, onderdeel b</w:t>
            </w:r>
          </w:p>
        </w:tc>
        <w:tc>
          <w:tcPr>
            <w:tcW w:w="1514" w:type="dxa"/>
          </w:tcPr>
          <w:p w:rsidRPr="002C5EC5" w:rsidR="00CA30A2" w:rsidP="008549EB" w:rsidRDefault="00CA30A2" w14:paraId="73B1680A" w14:textId="77777777">
            <w:pPr>
              <w:rPr>
                <w:rFonts w:ascii="Verdana" w:hAnsi="Verdana"/>
                <w:sz w:val="16"/>
                <w:szCs w:val="16"/>
              </w:rPr>
            </w:pPr>
            <w:r w:rsidRPr="002C5EC5">
              <w:rPr>
                <w:rFonts w:ascii="Verdana" w:hAnsi="Verdana"/>
                <w:sz w:val="16"/>
                <w:szCs w:val="16"/>
              </w:rPr>
              <w:t xml:space="preserve">23, tweede lid, tweede alinea </w:t>
            </w:r>
          </w:p>
        </w:tc>
        <w:tc>
          <w:tcPr>
            <w:tcW w:w="1625" w:type="dxa"/>
          </w:tcPr>
          <w:p w:rsidR="00CA30A2" w:rsidP="008549EB" w:rsidRDefault="00CA30A2" w14:paraId="77F14D60" w14:textId="77777777">
            <w:pPr>
              <w:rPr>
                <w:rFonts w:ascii="Verdana" w:hAnsi="Verdana"/>
                <w:sz w:val="16"/>
                <w:szCs w:val="16"/>
              </w:rPr>
            </w:pPr>
            <w:r>
              <w:rPr>
                <w:rFonts w:ascii="Verdana" w:hAnsi="Verdana"/>
                <w:sz w:val="16"/>
                <w:szCs w:val="16"/>
              </w:rPr>
              <w:t>Volgt bij implementatieregeling</w:t>
            </w:r>
            <w:r w:rsidRPr="002C5EC5">
              <w:rPr>
                <w:rFonts w:ascii="Verdana" w:hAnsi="Verdana"/>
                <w:sz w:val="16"/>
                <w:szCs w:val="16"/>
              </w:rPr>
              <w:t xml:space="preserve"> </w:t>
            </w:r>
            <w:r>
              <w:rPr>
                <w:rFonts w:ascii="Verdana" w:hAnsi="Verdana"/>
                <w:sz w:val="16"/>
                <w:szCs w:val="16"/>
              </w:rPr>
              <w:t>(Bijlage 6 Rtt)</w:t>
            </w:r>
          </w:p>
        </w:tc>
        <w:tc>
          <w:tcPr>
            <w:tcW w:w="1274" w:type="dxa"/>
          </w:tcPr>
          <w:p w:rsidRPr="002C5EC5" w:rsidR="00CA30A2" w:rsidP="008549EB" w:rsidRDefault="00CA30A2" w14:paraId="7F3264EA"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4B566DC0" w14:textId="77777777">
            <w:pPr>
              <w:rPr>
                <w:rFonts w:ascii="Verdana" w:hAnsi="Verdana"/>
                <w:sz w:val="16"/>
                <w:szCs w:val="16"/>
              </w:rPr>
            </w:pPr>
          </w:p>
        </w:tc>
      </w:tr>
      <w:tr w:rsidR="00CA30A2" w:rsidTr="00CA30A2" w14:paraId="5D9E366D" w14:textId="77777777">
        <w:tc>
          <w:tcPr>
            <w:tcW w:w="1552" w:type="dxa"/>
          </w:tcPr>
          <w:p w:rsidRPr="00DD0008" w:rsidR="00CA30A2" w:rsidP="008549EB" w:rsidRDefault="00334D7E" w14:paraId="720AE9AD" w14:textId="5C8EB237">
            <w:pPr>
              <w:rPr>
                <w:rFonts w:ascii="Verdana" w:hAnsi="Verdana"/>
                <w:sz w:val="16"/>
                <w:szCs w:val="16"/>
              </w:rPr>
            </w:pPr>
            <w:r>
              <w:rPr>
                <w:rFonts w:ascii="Verdana" w:hAnsi="Verdana"/>
                <w:sz w:val="16"/>
                <w:szCs w:val="16"/>
              </w:rPr>
              <w:t xml:space="preserve">1, lid </w:t>
            </w:r>
            <w:r w:rsidR="00CA30A2">
              <w:rPr>
                <w:rFonts w:ascii="Verdana" w:hAnsi="Verdana"/>
                <w:sz w:val="16"/>
                <w:szCs w:val="16"/>
              </w:rPr>
              <w:t>11, onderdeel c</w:t>
            </w:r>
          </w:p>
        </w:tc>
        <w:tc>
          <w:tcPr>
            <w:tcW w:w="1514" w:type="dxa"/>
          </w:tcPr>
          <w:p w:rsidRPr="002C5EC5" w:rsidR="00CA30A2" w:rsidP="008549EB" w:rsidRDefault="00CA30A2" w14:paraId="27B386AA" w14:textId="77777777">
            <w:pPr>
              <w:rPr>
                <w:rFonts w:ascii="Verdana" w:hAnsi="Verdana"/>
                <w:sz w:val="16"/>
                <w:szCs w:val="16"/>
              </w:rPr>
            </w:pPr>
            <w:r w:rsidRPr="002C5EC5">
              <w:rPr>
                <w:rFonts w:ascii="Verdana" w:hAnsi="Verdana"/>
                <w:sz w:val="16"/>
                <w:szCs w:val="16"/>
              </w:rPr>
              <w:t>23, zesde lid</w:t>
            </w:r>
          </w:p>
        </w:tc>
        <w:tc>
          <w:tcPr>
            <w:tcW w:w="1625" w:type="dxa"/>
          </w:tcPr>
          <w:p w:rsidR="00CA30A2" w:rsidP="008549EB" w:rsidRDefault="00CA30A2" w14:paraId="2D41E221" w14:textId="77777777">
            <w:pPr>
              <w:rPr>
                <w:rFonts w:ascii="Verdana" w:hAnsi="Verdana"/>
                <w:sz w:val="16"/>
                <w:szCs w:val="16"/>
              </w:rPr>
            </w:pPr>
            <w:r>
              <w:rPr>
                <w:rFonts w:ascii="Verdana" w:hAnsi="Verdana"/>
                <w:sz w:val="16"/>
                <w:szCs w:val="16"/>
              </w:rPr>
              <w:t>Volgt bij implementatiebesluit (</w:t>
            </w:r>
            <w:r w:rsidRPr="002C5EC5">
              <w:rPr>
                <w:rFonts w:ascii="Verdana" w:hAnsi="Verdana"/>
                <w:sz w:val="16"/>
                <w:szCs w:val="16"/>
              </w:rPr>
              <w:t>138, eerste en vijfde lid, Bpr</w:t>
            </w:r>
            <w:r>
              <w:rPr>
                <w:rFonts w:ascii="Verdana" w:hAnsi="Verdana"/>
                <w:sz w:val="16"/>
                <w:szCs w:val="16"/>
              </w:rPr>
              <w:t>)</w:t>
            </w:r>
          </w:p>
        </w:tc>
        <w:tc>
          <w:tcPr>
            <w:tcW w:w="1274" w:type="dxa"/>
          </w:tcPr>
          <w:p w:rsidRPr="002C5EC5" w:rsidR="00CA30A2" w:rsidP="008549EB" w:rsidRDefault="00CA30A2" w14:paraId="538CD292"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5C7708EC" w14:textId="77777777">
            <w:pPr>
              <w:rPr>
                <w:rFonts w:ascii="Verdana" w:hAnsi="Verdana"/>
                <w:sz w:val="16"/>
                <w:szCs w:val="16"/>
              </w:rPr>
            </w:pPr>
          </w:p>
        </w:tc>
      </w:tr>
      <w:tr w:rsidR="00CA30A2" w:rsidTr="00CA30A2" w14:paraId="79037CB5" w14:textId="77777777">
        <w:tc>
          <w:tcPr>
            <w:tcW w:w="1552" w:type="dxa"/>
          </w:tcPr>
          <w:p w:rsidRPr="00DD0008" w:rsidR="00CA30A2" w:rsidP="008549EB" w:rsidRDefault="00334D7E" w14:paraId="199AD4A2" w14:textId="15E443E8">
            <w:pPr>
              <w:rPr>
                <w:rFonts w:ascii="Verdana" w:hAnsi="Verdana"/>
                <w:sz w:val="16"/>
                <w:szCs w:val="16"/>
              </w:rPr>
            </w:pPr>
            <w:r>
              <w:rPr>
                <w:rFonts w:ascii="Verdana" w:hAnsi="Verdana"/>
                <w:sz w:val="16"/>
                <w:szCs w:val="16"/>
              </w:rPr>
              <w:t xml:space="preserve">1, lid </w:t>
            </w:r>
            <w:r w:rsidR="00CA30A2">
              <w:rPr>
                <w:rFonts w:ascii="Verdana" w:hAnsi="Verdana"/>
                <w:sz w:val="16"/>
                <w:szCs w:val="16"/>
              </w:rPr>
              <w:t>12</w:t>
            </w:r>
          </w:p>
        </w:tc>
        <w:tc>
          <w:tcPr>
            <w:tcW w:w="1514" w:type="dxa"/>
          </w:tcPr>
          <w:p w:rsidRPr="002C5EC5" w:rsidR="00CA30A2" w:rsidP="008549EB" w:rsidRDefault="00CA30A2" w14:paraId="63DC06F1" w14:textId="77777777">
            <w:pPr>
              <w:rPr>
                <w:rFonts w:ascii="Verdana" w:hAnsi="Verdana"/>
                <w:sz w:val="16"/>
                <w:szCs w:val="16"/>
              </w:rPr>
            </w:pPr>
            <w:r w:rsidRPr="002C5EC5">
              <w:rPr>
                <w:rFonts w:ascii="Verdana" w:hAnsi="Verdana"/>
                <w:sz w:val="16"/>
                <w:szCs w:val="16"/>
              </w:rPr>
              <w:t>27 bis, eerste lid</w:t>
            </w:r>
          </w:p>
        </w:tc>
        <w:tc>
          <w:tcPr>
            <w:tcW w:w="1625" w:type="dxa"/>
          </w:tcPr>
          <w:p w:rsidR="00CA30A2" w:rsidP="008549EB" w:rsidRDefault="00CA30A2" w14:paraId="0B033F52" w14:textId="77777777">
            <w:pPr>
              <w:rPr>
                <w:rFonts w:ascii="Verdana" w:hAnsi="Verdana"/>
                <w:sz w:val="16"/>
                <w:szCs w:val="16"/>
              </w:rPr>
            </w:pPr>
            <w:r>
              <w:rPr>
                <w:rFonts w:ascii="Verdana" w:hAnsi="Verdana"/>
                <w:sz w:val="16"/>
                <w:szCs w:val="16"/>
              </w:rPr>
              <w:t>Artikel I, onderdeel EEE (</w:t>
            </w:r>
            <w:r w:rsidRPr="002C5EC5">
              <w:rPr>
                <w:rFonts w:ascii="Verdana" w:hAnsi="Verdana"/>
                <w:sz w:val="16"/>
                <w:szCs w:val="16"/>
              </w:rPr>
              <w:t xml:space="preserve">3:96a, </w:t>
            </w:r>
            <w:r w:rsidRPr="002C5EC5">
              <w:rPr>
                <w:rFonts w:ascii="Verdana" w:hAnsi="Verdana"/>
                <w:sz w:val="16"/>
                <w:szCs w:val="16"/>
              </w:rPr>
              <w:lastRenderedPageBreak/>
              <w:t>eerste lid, en 3:96c, eerste lid, Wft</w:t>
            </w:r>
            <w:r>
              <w:rPr>
                <w:rFonts w:ascii="Verdana" w:hAnsi="Verdana"/>
                <w:sz w:val="16"/>
                <w:szCs w:val="16"/>
              </w:rPr>
              <w:t>)</w:t>
            </w:r>
          </w:p>
        </w:tc>
        <w:tc>
          <w:tcPr>
            <w:tcW w:w="1274" w:type="dxa"/>
          </w:tcPr>
          <w:p w:rsidRPr="002C5EC5" w:rsidR="00CA30A2" w:rsidP="008549EB" w:rsidRDefault="00CA30A2" w14:paraId="16A0D242" w14:textId="77777777">
            <w:pPr>
              <w:rPr>
                <w:rFonts w:ascii="Verdana" w:hAnsi="Verdana"/>
                <w:sz w:val="16"/>
                <w:szCs w:val="16"/>
              </w:rPr>
            </w:pPr>
            <w:r w:rsidRPr="002C5EC5">
              <w:rPr>
                <w:rFonts w:ascii="Verdana" w:hAnsi="Verdana"/>
                <w:sz w:val="16"/>
                <w:szCs w:val="16"/>
              </w:rPr>
              <w:lastRenderedPageBreak/>
              <w:t>Geen</w:t>
            </w:r>
          </w:p>
        </w:tc>
        <w:tc>
          <w:tcPr>
            <w:tcW w:w="1422" w:type="dxa"/>
          </w:tcPr>
          <w:p w:rsidRPr="002C5EC5" w:rsidR="00CA30A2" w:rsidP="008549EB" w:rsidRDefault="00CA30A2" w14:paraId="32AEDA8F" w14:textId="77777777">
            <w:pPr>
              <w:rPr>
                <w:rFonts w:ascii="Verdana" w:hAnsi="Verdana"/>
                <w:sz w:val="16"/>
                <w:szCs w:val="16"/>
              </w:rPr>
            </w:pPr>
          </w:p>
        </w:tc>
      </w:tr>
      <w:tr w:rsidR="00334D7E" w:rsidTr="00CA30A2" w14:paraId="54DA2A5D" w14:textId="77777777">
        <w:tc>
          <w:tcPr>
            <w:tcW w:w="1552" w:type="dxa"/>
          </w:tcPr>
          <w:p w:rsidRPr="00DD0008" w:rsidR="00334D7E" w:rsidP="00334D7E" w:rsidRDefault="00334D7E" w14:paraId="15D42704" w14:textId="3A02FDB2">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06E9704A" w14:textId="77777777">
            <w:pPr>
              <w:rPr>
                <w:rFonts w:ascii="Verdana" w:hAnsi="Verdana"/>
                <w:sz w:val="16"/>
                <w:szCs w:val="16"/>
              </w:rPr>
            </w:pPr>
            <w:r w:rsidRPr="002C5EC5">
              <w:rPr>
                <w:rFonts w:ascii="Verdana" w:hAnsi="Verdana"/>
                <w:sz w:val="16"/>
                <w:szCs w:val="16"/>
              </w:rPr>
              <w:t>27 bis, tweede lid</w:t>
            </w:r>
          </w:p>
        </w:tc>
        <w:tc>
          <w:tcPr>
            <w:tcW w:w="1625" w:type="dxa"/>
          </w:tcPr>
          <w:p w:rsidR="00334D7E" w:rsidP="00334D7E" w:rsidRDefault="00334D7E" w14:paraId="44858453" w14:textId="77777777">
            <w:pPr>
              <w:rPr>
                <w:rFonts w:ascii="Verdana" w:hAnsi="Verdana"/>
                <w:sz w:val="16"/>
                <w:szCs w:val="16"/>
              </w:rPr>
            </w:pPr>
            <w:r>
              <w:rPr>
                <w:rFonts w:ascii="Verdana" w:hAnsi="Verdana"/>
                <w:sz w:val="16"/>
                <w:szCs w:val="16"/>
              </w:rPr>
              <w:t>Artikel I, onderdeel EEE (</w:t>
            </w:r>
            <w:r w:rsidRPr="002C5EC5">
              <w:rPr>
                <w:rFonts w:ascii="Verdana" w:hAnsi="Verdana"/>
                <w:sz w:val="16"/>
                <w:szCs w:val="16"/>
              </w:rPr>
              <w:t>3:96a, eerste lid, en 3:96c, eerste lid, Wft</w:t>
            </w:r>
            <w:r>
              <w:rPr>
                <w:rFonts w:ascii="Verdana" w:hAnsi="Verdana"/>
                <w:sz w:val="16"/>
                <w:szCs w:val="16"/>
              </w:rPr>
              <w:t>)</w:t>
            </w:r>
          </w:p>
        </w:tc>
        <w:tc>
          <w:tcPr>
            <w:tcW w:w="1274" w:type="dxa"/>
          </w:tcPr>
          <w:p w:rsidRPr="002C5EC5" w:rsidR="00334D7E" w:rsidP="00334D7E" w:rsidRDefault="00334D7E" w14:paraId="51323BE5"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0F308E92" w14:textId="77777777">
            <w:pPr>
              <w:rPr>
                <w:rFonts w:ascii="Verdana" w:hAnsi="Verdana"/>
                <w:sz w:val="16"/>
                <w:szCs w:val="16"/>
              </w:rPr>
            </w:pPr>
          </w:p>
        </w:tc>
      </w:tr>
      <w:tr w:rsidR="00334D7E" w:rsidTr="00CA30A2" w14:paraId="64A3C29B" w14:textId="77777777">
        <w:tc>
          <w:tcPr>
            <w:tcW w:w="1552" w:type="dxa"/>
          </w:tcPr>
          <w:p w:rsidRPr="00DD0008" w:rsidR="00334D7E" w:rsidP="00334D7E" w:rsidRDefault="00334D7E" w14:paraId="50981BE2" w14:textId="57653D5B">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76728EBB" w14:textId="77777777">
            <w:pPr>
              <w:rPr>
                <w:rFonts w:ascii="Verdana" w:hAnsi="Verdana"/>
                <w:sz w:val="16"/>
                <w:szCs w:val="16"/>
              </w:rPr>
            </w:pPr>
            <w:r w:rsidRPr="002C5EC5">
              <w:rPr>
                <w:rFonts w:ascii="Verdana" w:hAnsi="Verdana"/>
                <w:sz w:val="16"/>
                <w:szCs w:val="16"/>
              </w:rPr>
              <w:t>27 bis, derde lid</w:t>
            </w:r>
          </w:p>
        </w:tc>
        <w:tc>
          <w:tcPr>
            <w:tcW w:w="1625" w:type="dxa"/>
          </w:tcPr>
          <w:p w:rsidR="00334D7E" w:rsidP="00334D7E" w:rsidRDefault="00334D7E" w14:paraId="23DA8FC6" w14:textId="77777777">
            <w:pPr>
              <w:rPr>
                <w:rFonts w:ascii="Verdana" w:hAnsi="Verdana"/>
                <w:sz w:val="16"/>
                <w:szCs w:val="16"/>
              </w:rPr>
            </w:pPr>
            <w:r>
              <w:rPr>
                <w:rFonts w:ascii="Verdana" w:hAnsi="Verdana"/>
                <w:sz w:val="16"/>
                <w:szCs w:val="16"/>
              </w:rPr>
              <w:t>Artikel I, onderdeel EEE (</w:t>
            </w:r>
            <w:r w:rsidRPr="002C5EC5">
              <w:rPr>
                <w:rFonts w:ascii="Verdana" w:hAnsi="Verdana"/>
                <w:sz w:val="16"/>
                <w:szCs w:val="16"/>
              </w:rPr>
              <w:t>3:96a, tweede en derde lid, Wft</w:t>
            </w:r>
            <w:r>
              <w:rPr>
                <w:rFonts w:ascii="Verdana" w:hAnsi="Verdana"/>
                <w:sz w:val="16"/>
                <w:szCs w:val="16"/>
              </w:rPr>
              <w:t>)</w:t>
            </w:r>
          </w:p>
        </w:tc>
        <w:tc>
          <w:tcPr>
            <w:tcW w:w="1274" w:type="dxa"/>
          </w:tcPr>
          <w:p w:rsidRPr="002C5EC5" w:rsidR="00334D7E" w:rsidP="00334D7E" w:rsidRDefault="00334D7E" w14:paraId="12CA71E1"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7B7F7B22" w14:textId="77777777">
            <w:pPr>
              <w:rPr>
                <w:rFonts w:ascii="Verdana" w:hAnsi="Verdana"/>
                <w:sz w:val="16"/>
                <w:szCs w:val="16"/>
              </w:rPr>
            </w:pPr>
          </w:p>
        </w:tc>
      </w:tr>
      <w:tr w:rsidR="00334D7E" w:rsidTr="00CA30A2" w14:paraId="6210E796" w14:textId="77777777">
        <w:tc>
          <w:tcPr>
            <w:tcW w:w="1552" w:type="dxa"/>
          </w:tcPr>
          <w:p w:rsidRPr="00DD0008" w:rsidR="00334D7E" w:rsidP="00334D7E" w:rsidRDefault="00334D7E" w14:paraId="796DACDD" w14:textId="460368F4">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7F8DA473" w14:textId="77777777">
            <w:pPr>
              <w:rPr>
                <w:rFonts w:ascii="Verdana" w:hAnsi="Verdana"/>
                <w:sz w:val="16"/>
                <w:szCs w:val="16"/>
              </w:rPr>
            </w:pPr>
            <w:r w:rsidRPr="002C5EC5">
              <w:rPr>
                <w:rFonts w:ascii="Verdana" w:hAnsi="Verdana"/>
                <w:sz w:val="16"/>
                <w:szCs w:val="16"/>
              </w:rPr>
              <w:t>27 bis, vierde lid</w:t>
            </w:r>
          </w:p>
        </w:tc>
        <w:tc>
          <w:tcPr>
            <w:tcW w:w="1625" w:type="dxa"/>
          </w:tcPr>
          <w:p w:rsidR="00334D7E" w:rsidP="00334D7E" w:rsidRDefault="00334D7E" w14:paraId="77EACDE1" w14:textId="77777777">
            <w:pPr>
              <w:rPr>
                <w:rFonts w:ascii="Verdana" w:hAnsi="Verdana"/>
                <w:sz w:val="16"/>
                <w:szCs w:val="16"/>
              </w:rPr>
            </w:pPr>
            <w:r>
              <w:rPr>
                <w:rFonts w:ascii="Verdana" w:hAnsi="Verdana"/>
                <w:sz w:val="16"/>
                <w:szCs w:val="16"/>
              </w:rPr>
              <w:t>Artikel I, onderdeel EEE (</w:t>
            </w:r>
            <w:r w:rsidRPr="002C5EC5">
              <w:rPr>
                <w:rFonts w:ascii="Verdana" w:hAnsi="Verdana"/>
                <w:sz w:val="16"/>
                <w:szCs w:val="16"/>
              </w:rPr>
              <w:t>3:96c, eerste en tweede lid, Wft</w:t>
            </w:r>
            <w:r>
              <w:rPr>
                <w:rFonts w:ascii="Verdana" w:hAnsi="Verdana"/>
                <w:sz w:val="16"/>
                <w:szCs w:val="16"/>
              </w:rPr>
              <w:t>)</w:t>
            </w:r>
          </w:p>
        </w:tc>
        <w:tc>
          <w:tcPr>
            <w:tcW w:w="1274" w:type="dxa"/>
          </w:tcPr>
          <w:p w:rsidRPr="002C5EC5" w:rsidR="00334D7E" w:rsidP="00334D7E" w:rsidRDefault="00334D7E" w14:paraId="05E9258E"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5C5272F4" w14:textId="77777777">
            <w:pPr>
              <w:rPr>
                <w:rFonts w:ascii="Verdana" w:hAnsi="Verdana"/>
                <w:sz w:val="16"/>
                <w:szCs w:val="16"/>
              </w:rPr>
            </w:pPr>
          </w:p>
        </w:tc>
      </w:tr>
      <w:tr w:rsidR="00334D7E" w:rsidTr="00CA30A2" w14:paraId="6DAE1FA4" w14:textId="77777777">
        <w:tc>
          <w:tcPr>
            <w:tcW w:w="1552" w:type="dxa"/>
          </w:tcPr>
          <w:p w:rsidRPr="00DD0008" w:rsidR="00334D7E" w:rsidP="00334D7E" w:rsidRDefault="00334D7E" w14:paraId="3D914361" w14:textId="669C8658">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08D2AA92" w14:textId="77777777">
            <w:pPr>
              <w:rPr>
                <w:rFonts w:ascii="Verdana" w:hAnsi="Verdana"/>
                <w:sz w:val="16"/>
                <w:szCs w:val="16"/>
              </w:rPr>
            </w:pPr>
            <w:r w:rsidRPr="002C5EC5">
              <w:rPr>
                <w:rFonts w:ascii="Verdana" w:hAnsi="Verdana"/>
                <w:sz w:val="16"/>
                <w:szCs w:val="16"/>
              </w:rPr>
              <w:t>27 bis, vijfde lid</w:t>
            </w:r>
          </w:p>
        </w:tc>
        <w:tc>
          <w:tcPr>
            <w:tcW w:w="1625" w:type="dxa"/>
          </w:tcPr>
          <w:p w:rsidR="00334D7E" w:rsidP="00334D7E" w:rsidRDefault="00334D7E" w14:paraId="14E65DB6" w14:textId="77777777">
            <w:pPr>
              <w:rPr>
                <w:rFonts w:ascii="Verdana" w:hAnsi="Verdana"/>
                <w:sz w:val="16"/>
                <w:szCs w:val="16"/>
              </w:rPr>
            </w:pPr>
            <w:r>
              <w:rPr>
                <w:rFonts w:ascii="Verdana" w:hAnsi="Verdana"/>
                <w:sz w:val="16"/>
                <w:szCs w:val="16"/>
              </w:rPr>
              <w:t>Artikel I, onderdeel K (</w:t>
            </w:r>
            <w:r w:rsidRPr="002C5EC5">
              <w:rPr>
                <w:rFonts w:ascii="Verdana" w:hAnsi="Verdana"/>
                <w:sz w:val="16"/>
                <w:szCs w:val="16"/>
              </w:rPr>
              <w:t>Artikel 1:106b, eerste lid, Wft</w:t>
            </w:r>
            <w:r>
              <w:rPr>
                <w:rFonts w:ascii="Verdana" w:hAnsi="Verdana"/>
                <w:sz w:val="16"/>
                <w:szCs w:val="16"/>
              </w:rPr>
              <w:t>)</w:t>
            </w:r>
          </w:p>
        </w:tc>
        <w:tc>
          <w:tcPr>
            <w:tcW w:w="1274" w:type="dxa"/>
          </w:tcPr>
          <w:p w:rsidRPr="002C5EC5" w:rsidR="00334D7E" w:rsidP="00334D7E" w:rsidRDefault="00334D7E" w14:paraId="64A5CB35"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4771A405" w14:textId="77777777">
            <w:pPr>
              <w:rPr>
                <w:rFonts w:ascii="Verdana" w:hAnsi="Verdana"/>
                <w:sz w:val="16"/>
                <w:szCs w:val="16"/>
              </w:rPr>
            </w:pPr>
          </w:p>
        </w:tc>
      </w:tr>
      <w:tr w:rsidR="00334D7E" w:rsidTr="00CA30A2" w14:paraId="1DAE7824" w14:textId="77777777">
        <w:tc>
          <w:tcPr>
            <w:tcW w:w="1552" w:type="dxa"/>
          </w:tcPr>
          <w:p w:rsidRPr="00DD0008" w:rsidR="00334D7E" w:rsidP="00334D7E" w:rsidRDefault="00334D7E" w14:paraId="4C00CFE3" w14:textId="6E930649">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5634144D" w14:textId="77777777">
            <w:pPr>
              <w:rPr>
                <w:rFonts w:ascii="Verdana" w:hAnsi="Verdana"/>
                <w:sz w:val="16"/>
                <w:szCs w:val="16"/>
              </w:rPr>
            </w:pPr>
            <w:r w:rsidRPr="002C5EC5">
              <w:rPr>
                <w:rFonts w:ascii="Verdana" w:hAnsi="Verdana"/>
                <w:sz w:val="16"/>
                <w:szCs w:val="16"/>
              </w:rPr>
              <w:t>27 bis, zesde lid, eerste alinea</w:t>
            </w:r>
          </w:p>
        </w:tc>
        <w:tc>
          <w:tcPr>
            <w:tcW w:w="1625" w:type="dxa"/>
          </w:tcPr>
          <w:p w:rsidR="00334D7E" w:rsidP="00334D7E" w:rsidRDefault="00334D7E" w14:paraId="26FBA9D6" w14:textId="77777777">
            <w:pPr>
              <w:rPr>
                <w:rFonts w:ascii="Verdana" w:hAnsi="Verdana"/>
                <w:sz w:val="16"/>
                <w:szCs w:val="16"/>
              </w:rPr>
            </w:pPr>
            <w:r w:rsidRPr="002C5EC5">
              <w:rPr>
                <w:rFonts w:ascii="Verdana" w:hAnsi="Verdana"/>
                <w:sz w:val="16"/>
                <w:szCs w:val="16"/>
              </w:rPr>
              <w:t xml:space="preserve">Behoeft geen implementatie: bestaand recht in 1:106b, derde lid, Wft </w:t>
            </w:r>
          </w:p>
        </w:tc>
        <w:tc>
          <w:tcPr>
            <w:tcW w:w="1274" w:type="dxa"/>
          </w:tcPr>
          <w:p w:rsidRPr="002C5EC5" w:rsidR="00334D7E" w:rsidP="00334D7E" w:rsidRDefault="00334D7E" w14:paraId="1FAF44BF"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21ED0A3D" w14:textId="77777777">
            <w:pPr>
              <w:rPr>
                <w:rFonts w:ascii="Verdana" w:hAnsi="Verdana"/>
                <w:sz w:val="16"/>
                <w:szCs w:val="16"/>
              </w:rPr>
            </w:pPr>
          </w:p>
        </w:tc>
      </w:tr>
      <w:tr w:rsidR="00334D7E" w:rsidTr="00CA30A2" w14:paraId="4CC15613" w14:textId="77777777">
        <w:tc>
          <w:tcPr>
            <w:tcW w:w="1552" w:type="dxa"/>
          </w:tcPr>
          <w:p w:rsidRPr="00DD0008" w:rsidR="00334D7E" w:rsidP="00334D7E" w:rsidRDefault="00334D7E" w14:paraId="4943B679" w14:textId="561F1F20">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45BC1F0A" w14:textId="77777777">
            <w:pPr>
              <w:rPr>
                <w:rFonts w:ascii="Verdana" w:hAnsi="Verdana"/>
                <w:sz w:val="16"/>
                <w:szCs w:val="16"/>
              </w:rPr>
            </w:pPr>
            <w:r w:rsidRPr="002C5EC5">
              <w:rPr>
                <w:rFonts w:ascii="Verdana" w:hAnsi="Verdana"/>
                <w:sz w:val="16"/>
                <w:szCs w:val="16"/>
              </w:rPr>
              <w:t>27 bis, zesde lid, tweede alinea</w:t>
            </w:r>
          </w:p>
        </w:tc>
        <w:tc>
          <w:tcPr>
            <w:tcW w:w="1625" w:type="dxa"/>
          </w:tcPr>
          <w:p w:rsidRPr="002C5EC5" w:rsidR="00334D7E" w:rsidP="00334D7E" w:rsidRDefault="00334D7E" w14:paraId="5CFFAFBA" w14:textId="77777777">
            <w:pPr>
              <w:rPr>
                <w:rFonts w:ascii="Verdana" w:hAnsi="Verdana"/>
                <w:sz w:val="16"/>
                <w:szCs w:val="16"/>
              </w:rPr>
            </w:pPr>
            <w:r>
              <w:rPr>
                <w:rFonts w:ascii="Verdana" w:hAnsi="Verdana"/>
                <w:sz w:val="16"/>
                <w:szCs w:val="16"/>
              </w:rPr>
              <w:t>Artikel I, onderdeel K (</w:t>
            </w:r>
            <w:r w:rsidRPr="002C5EC5">
              <w:rPr>
                <w:rFonts w:ascii="Verdana" w:hAnsi="Verdana"/>
                <w:sz w:val="16"/>
                <w:szCs w:val="16"/>
              </w:rPr>
              <w:t>1:106b, vijfde lid, Wft</w:t>
            </w:r>
            <w:r>
              <w:rPr>
                <w:rFonts w:ascii="Verdana" w:hAnsi="Verdana"/>
                <w:sz w:val="16"/>
                <w:szCs w:val="16"/>
              </w:rPr>
              <w:t>)</w:t>
            </w:r>
          </w:p>
        </w:tc>
        <w:tc>
          <w:tcPr>
            <w:tcW w:w="1274" w:type="dxa"/>
          </w:tcPr>
          <w:p w:rsidRPr="002C5EC5" w:rsidR="00334D7E" w:rsidP="00334D7E" w:rsidRDefault="00334D7E" w14:paraId="58055E64"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61030AC7" w14:textId="77777777">
            <w:pPr>
              <w:rPr>
                <w:rFonts w:ascii="Verdana" w:hAnsi="Verdana"/>
                <w:sz w:val="16"/>
                <w:szCs w:val="16"/>
              </w:rPr>
            </w:pPr>
          </w:p>
        </w:tc>
      </w:tr>
      <w:tr w:rsidR="00334D7E" w:rsidTr="00CA30A2" w14:paraId="3CFDADB8" w14:textId="77777777">
        <w:tc>
          <w:tcPr>
            <w:tcW w:w="1552" w:type="dxa"/>
          </w:tcPr>
          <w:p w:rsidRPr="00DD0008" w:rsidR="00334D7E" w:rsidP="00334D7E" w:rsidRDefault="00334D7E" w14:paraId="300FF251" w14:textId="48B10AE5">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6ECFD7FA" w14:textId="77777777">
            <w:pPr>
              <w:rPr>
                <w:rFonts w:ascii="Verdana" w:hAnsi="Verdana"/>
                <w:sz w:val="16"/>
                <w:szCs w:val="16"/>
              </w:rPr>
            </w:pPr>
            <w:r w:rsidRPr="002C5EC5">
              <w:rPr>
                <w:rFonts w:ascii="Verdana" w:hAnsi="Verdana"/>
                <w:sz w:val="16"/>
                <w:szCs w:val="16"/>
              </w:rPr>
              <w:t>27 bis, zevende lid</w:t>
            </w:r>
          </w:p>
        </w:tc>
        <w:tc>
          <w:tcPr>
            <w:tcW w:w="1625" w:type="dxa"/>
          </w:tcPr>
          <w:p w:rsidR="00334D7E" w:rsidP="00334D7E" w:rsidRDefault="00334D7E" w14:paraId="369D87C2" w14:textId="77777777">
            <w:pPr>
              <w:rPr>
                <w:rFonts w:ascii="Verdana" w:hAnsi="Verdana"/>
                <w:sz w:val="16"/>
                <w:szCs w:val="16"/>
              </w:rPr>
            </w:pPr>
            <w:r>
              <w:rPr>
                <w:rFonts w:ascii="Verdana" w:hAnsi="Verdana"/>
                <w:sz w:val="16"/>
                <w:szCs w:val="16"/>
              </w:rPr>
              <w:t>Artikel I, onderdeel III (</w:t>
            </w:r>
            <w:r w:rsidRPr="002C5EC5">
              <w:rPr>
                <w:rFonts w:ascii="Verdana" w:hAnsi="Verdana"/>
                <w:sz w:val="16"/>
                <w:szCs w:val="16"/>
              </w:rPr>
              <w:t>3:101a, vierde lid, onderdeel a, Wft</w:t>
            </w:r>
            <w:r>
              <w:rPr>
                <w:rFonts w:ascii="Verdana" w:hAnsi="Verdana"/>
                <w:sz w:val="16"/>
                <w:szCs w:val="16"/>
              </w:rPr>
              <w:t>)</w:t>
            </w:r>
          </w:p>
        </w:tc>
        <w:tc>
          <w:tcPr>
            <w:tcW w:w="1274" w:type="dxa"/>
          </w:tcPr>
          <w:p w:rsidRPr="002C5EC5" w:rsidR="00334D7E" w:rsidP="00334D7E" w:rsidRDefault="00334D7E" w14:paraId="546DF3B8"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192BB64F" w14:textId="77777777">
            <w:pPr>
              <w:rPr>
                <w:rFonts w:ascii="Verdana" w:hAnsi="Verdana"/>
                <w:sz w:val="16"/>
                <w:szCs w:val="16"/>
              </w:rPr>
            </w:pPr>
          </w:p>
        </w:tc>
      </w:tr>
      <w:tr w:rsidR="00334D7E" w:rsidTr="00CA30A2" w14:paraId="0BE9E047" w14:textId="77777777">
        <w:tc>
          <w:tcPr>
            <w:tcW w:w="1552" w:type="dxa"/>
          </w:tcPr>
          <w:p w:rsidRPr="00DD0008" w:rsidR="00334D7E" w:rsidP="00334D7E" w:rsidRDefault="00334D7E" w14:paraId="6AFE4E72" w14:textId="36FE8B37">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39146D1E" w14:textId="77777777">
            <w:pPr>
              <w:rPr>
                <w:rFonts w:ascii="Verdana" w:hAnsi="Verdana"/>
                <w:sz w:val="16"/>
                <w:szCs w:val="16"/>
              </w:rPr>
            </w:pPr>
            <w:r w:rsidRPr="002C5EC5">
              <w:rPr>
                <w:rFonts w:ascii="Verdana" w:hAnsi="Verdana"/>
                <w:sz w:val="16"/>
                <w:szCs w:val="16"/>
              </w:rPr>
              <w:t>27 bis, achtste lid</w:t>
            </w:r>
          </w:p>
        </w:tc>
        <w:tc>
          <w:tcPr>
            <w:tcW w:w="1625" w:type="dxa"/>
          </w:tcPr>
          <w:p w:rsidR="00334D7E" w:rsidP="00334D7E" w:rsidRDefault="00334D7E" w14:paraId="5FAADB8F" w14:textId="77777777">
            <w:pPr>
              <w:rPr>
                <w:rFonts w:ascii="Verdana" w:hAnsi="Verdana"/>
                <w:sz w:val="16"/>
                <w:szCs w:val="16"/>
              </w:rPr>
            </w:pPr>
            <w:r>
              <w:rPr>
                <w:rFonts w:ascii="Verdana" w:hAnsi="Verdana"/>
                <w:sz w:val="16"/>
                <w:szCs w:val="16"/>
              </w:rPr>
              <w:t>Artikel I, onderdeel K (</w:t>
            </w:r>
            <w:r w:rsidRPr="002C5EC5">
              <w:rPr>
                <w:rFonts w:ascii="Verdana" w:hAnsi="Verdana"/>
                <w:sz w:val="16"/>
                <w:szCs w:val="16"/>
              </w:rPr>
              <w:t>1:106b, eerste en derde lid</w:t>
            </w:r>
            <w:r>
              <w:rPr>
                <w:rFonts w:ascii="Verdana" w:hAnsi="Verdana"/>
                <w:sz w:val="16"/>
                <w:szCs w:val="16"/>
              </w:rPr>
              <w:t>, Wft)</w:t>
            </w:r>
          </w:p>
        </w:tc>
        <w:tc>
          <w:tcPr>
            <w:tcW w:w="1274" w:type="dxa"/>
          </w:tcPr>
          <w:p w:rsidRPr="002C5EC5" w:rsidR="00334D7E" w:rsidP="00334D7E" w:rsidRDefault="00334D7E" w14:paraId="38B5D79D"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331D73A2" w14:textId="77777777">
            <w:pPr>
              <w:rPr>
                <w:rFonts w:ascii="Verdana" w:hAnsi="Verdana"/>
                <w:sz w:val="16"/>
                <w:szCs w:val="16"/>
              </w:rPr>
            </w:pPr>
          </w:p>
        </w:tc>
      </w:tr>
      <w:tr w:rsidR="00334D7E" w:rsidTr="00CA30A2" w14:paraId="33D9293E" w14:textId="77777777">
        <w:tc>
          <w:tcPr>
            <w:tcW w:w="1552" w:type="dxa"/>
          </w:tcPr>
          <w:p w:rsidRPr="00DD0008" w:rsidR="00334D7E" w:rsidP="00334D7E" w:rsidRDefault="00334D7E" w14:paraId="264DAFC7" w14:textId="6024A5B4">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0D5D30AD" w14:textId="77777777">
            <w:pPr>
              <w:rPr>
                <w:rFonts w:ascii="Verdana" w:hAnsi="Verdana"/>
                <w:sz w:val="16"/>
                <w:szCs w:val="16"/>
              </w:rPr>
            </w:pPr>
            <w:r w:rsidRPr="002C5EC5">
              <w:rPr>
                <w:rFonts w:ascii="Verdana" w:hAnsi="Verdana"/>
                <w:sz w:val="16"/>
                <w:szCs w:val="16"/>
              </w:rPr>
              <w:t>27 bis, negende lid</w:t>
            </w:r>
          </w:p>
        </w:tc>
        <w:tc>
          <w:tcPr>
            <w:tcW w:w="1625" w:type="dxa"/>
          </w:tcPr>
          <w:p w:rsidR="00334D7E" w:rsidP="00334D7E" w:rsidRDefault="00334D7E" w14:paraId="4B2105FC" w14:textId="77777777">
            <w:pPr>
              <w:rPr>
                <w:rFonts w:ascii="Verdana" w:hAnsi="Verdana"/>
                <w:sz w:val="16"/>
                <w:szCs w:val="16"/>
              </w:rPr>
            </w:pPr>
            <w:r w:rsidRPr="002C5EC5">
              <w:rPr>
                <w:rFonts w:ascii="Verdana" w:hAnsi="Verdana"/>
                <w:sz w:val="16"/>
                <w:szCs w:val="16"/>
              </w:rPr>
              <w:t>Behoeft geen implementatie: bestaand recht in 1:106c, eerste lid, Wft</w:t>
            </w:r>
          </w:p>
        </w:tc>
        <w:tc>
          <w:tcPr>
            <w:tcW w:w="1274" w:type="dxa"/>
          </w:tcPr>
          <w:p w:rsidRPr="002C5EC5" w:rsidR="00334D7E" w:rsidP="00334D7E" w:rsidRDefault="00334D7E" w14:paraId="4CEF63AC"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16CF9022" w14:textId="77777777">
            <w:pPr>
              <w:rPr>
                <w:rFonts w:ascii="Verdana" w:hAnsi="Verdana"/>
                <w:sz w:val="16"/>
                <w:szCs w:val="16"/>
              </w:rPr>
            </w:pPr>
          </w:p>
        </w:tc>
      </w:tr>
      <w:tr w:rsidR="00334D7E" w:rsidTr="00CA30A2" w14:paraId="17495B99" w14:textId="77777777">
        <w:tc>
          <w:tcPr>
            <w:tcW w:w="1552" w:type="dxa"/>
          </w:tcPr>
          <w:p w:rsidRPr="00DD0008" w:rsidR="00334D7E" w:rsidP="00334D7E" w:rsidRDefault="00334D7E" w14:paraId="2D0FEE8A" w14:textId="0B752F12">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573EF4C1" w14:textId="77777777">
            <w:pPr>
              <w:rPr>
                <w:rFonts w:ascii="Verdana" w:hAnsi="Verdana"/>
                <w:sz w:val="16"/>
                <w:szCs w:val="16"/>
              </w:rPr>
            </w:pPr>
            <w:r w:rsidRPr="002C5EC5">
              <w:rPr>
                <w:rFonts w:ascii="Verdana" w:hAnsi="Verdana"/>
                <w:sz w:val="16"/>
                <w:szCs w:val="16"/>
              </w:rPr>
              <w:t>27 bis, tiende lid, eerste zin</w:t>
            </w:r>
          </w:p>
        </w:tc>
        <w:tc>
          <w:tcPr>
            <w:tcW w:w="1625" w:type="dxa"/>
          </w:tcPr>
          <w:p w:rsidRPr="002C5EC5" w:rsidR="00334D7E" w:rsidP="00334D7E" w:rsidRDefault="00334D7E" w14:paraId="25407B0A" w14:textId="77777777">
            <w:pPr>
              <w:rPr>
                <w:rFonts w:ascii="Verdana" w:hAnsi="Verdana"/>
                <w:sz w:val="16"/>
                <w:szCs w:val="16"/>
              </w:rPr>
            </w:pPr>
            <w:r w:rsidRPr="002C5EC5">
              <w:rPr>
                <w:rFonts w:ascii="Verdana" w:hAnsi="Verdana"/>
                <w:sz w:val="16"/>
                <w:szCs w:val="16"/>
              </w:rPr>
              <w:t>Behoeft geen implementatie: bestaand recht in 1:106c, vierde lid, Wft</w:t>
            </w:r>
          </w:p>
        </w:tc>
        <w:tc>
          <w:tcPr>
            <w:tcW w:w="1274" w:type="dxa"/>
          </w:tcPr>
          <w:p w:rsidRPr="002C5EC5" w:rsidR="00334D7E" w:rsidP="00334D7E" w:rsidRDefault="00334D7E" w14:paraId="35BCE9D4"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2B633086" w14:textId="77777777">
            <w:pPr>
              <w:rPr>
                <w:rFonts w:ascii="Verdana" w:hAnsi="Verdana"/>
                <w:sz w:val="16"/>
                <w:szCs w:val="16"/>
              </w:rPr>
            </w:pPr>
          </w:p>
        </w:tc>
      </w:tr>
      <w:tr w:rsidR="00334D7E" w:rsidTr="00CA30A2" w14:paraId="6C51AD9D" w14:textId="77777777">
        <w:tc>
          <w:tcPr>
            <w:tcW w:w="1552" w:type="dxa"/>
          </w:tcPr>
          <w:p w:rsidRPr="00DD0008" w:rsidR="00334D7E" w:rsidP="00334D7E" w:rsidRDefault="00334D7E" w14:paraId="744BCB07" w14:textId="4B0E70AE">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1AB8D291" w14:textId="77777777">
            <w:pPr>
              <w:rPr>
                <w:rFonts w:ascii="Verdana" w:hAnsi="Verdana"/>
                <w:sz w:val="16"/>
                <w:szCs w:val="16"/>
              </w:rPr>
            </w:pPr>
            <w:r w:rsidRPr="002C5EC5">
              <w:rPr>
                <w:rFonts w:ascii="Verdana" w:hAnsi="Verdana"/>
                <w:sz w:val="16"/>
                <w:szCs w:val="16"/>
              </w:rPr>
              <w:t>27 bis, tiende lid, tweede zin</w:t>
            </w:r>
          </w:p>
        </w:tc>
        <w:tc>
          <w:tcPr>
            <w:tcW w:w="1625" w:type="dxa"/>
          </w:tcPr>
          <w:p w:rsidRPr="002C5EC5" w:rsidR="00334D7E" w:rsidP="00334D7E" w:rsidRDefault="00334D7E" w14:paraId="3F72C471" w14:textId="77777777">
            <w:pPr>
              <w:rPr>
                <w:rFonts w:ascii="Verdana" w:hAnsi="Verdana"/>
                <w:sz w:val="16"/>
                <w:szCs w:val="16"/>
              </w:rPr>
            </w:pPr>
            <w:r>
              <w:rPr>
                <w:rFonts w:ascii="Verdana" w:hAnsi="Verdana"/>
                <w:sz w:val="16"/>
                <w:szCs w:val="16"/>
              </w:rPr>
              <w:t>Volgt bij implementatieregeling (Bijlage 6 Rtt)</w:t>
            </w:r>
          </w:p>
        </w:tc>
        <w:tc>
          <w:tcPr>
            <w:tcW w:w="1274" w:type="dxa"/>
          </w:tcPr>
          <w:p w:rsidRPr="002C5EC5" w:rsidR="00334D7E" w:rsidP="00334D7E" w:rsidRDefault="00334D7E" w14:paraId="30E6ECA2"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2610C491" w14:textId="77777777">
            <w:pPr>
              <w:rPr>
                <w:rFonts w:ascii="Verdana" w:hAnsi="Verdana"/>
                <w:sz w:val="16"/>
                <w:szCs w:val="16"/>
              </w:rPr>
            </w:pPr>
          </w:p>
        </w:tc>
      </w:tr>
      <w:tr w:rsidR="00334D7E" w:rsidTr="00CA30A2" w14:paraId="7BD63D0D" w14:textId="77777777">
        <w:tc>
          <w:tcPr>
            <w:tcW w:w="1552" w:type="dxa"/>
          </w:tcPr>
          <w:p w:rsidRPr="00DD0008" w:rsidR="00334D7E" w:rsidP="00334D7E" w:rsidRDefault="00334D7E" w14:paraId="147E500E" w14:textId="64E59EB9">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4CD1F1D7" w14:textId="77777777">
            <w:pPr>
              <w:rPr>
                <w:rFonts w:ascii="Verdana" w:hAnsi="Verdana"/>
                <w:sz w:val="16"/>
                <w:szCs w:val="16"/>
              </w:rPr>
            </w:pPr>
            <w:r w:rsidRPr="002C5EC5">
              <w:rPr>
                <w:rFonts w:ascii="Verdana" w:hAnsi="Verdana"/>
                <w:sz w:val="16"/>
                <w:szCs w:val="16"/>
              </w:rPr>
              <w:t>27 bis, elfde lid</w:t>
            </w:r>
          </w:p>
        </w:tc>
        <w:tc>
          <w:tcPr>
            <w:tcW w:w="1625" w:type="dxa"/>
          </w:tcPr>
          <w:p w:rsidR="00334D7E" w:rsidP="00334D7E" w:rsidRDefault="00334D7E" w14:paraId="2D37AD42" w14:textId="77777777">
            <w:pPr>
              <w:rPr>
                <w:rFonts w:ascii="Verdana" w:hAnsi="Verdana"/>
                <w:sz w:val="16"/>
                <w:szCs w:val="16"/>
              </w:rPr>
            </w:pPr>
            <w:r>
              <w:rPr>
                <w:rFonts w:ascii="Verdana" w:hAnsi="Verdana"/>
                <w:sz w:val="16"/>
                <w:szCs w:val="16"/>
              </w:rPr>
              <w:t>Artikel I, onderdeel L (</w:t>
            </w:r>
            <w:r w:rsidRPr="002C5EC5">
              <w:rPr>
                <w:rFonts w:ascii="Verdana" w:hAnsi="Verdana"/>
                <w:sz w:val="16"/>
                <w:szCs w:val="16"/>
              </w:rPr>
              <w:t>1:106c, vijfde lid, Wft</w:t>
            </w:r>
            <w:r>
              <w:rPr>
                <w:rFonts w:ascii="Verdana" w:hAnsi="Verdana"/>
                <w:sz w:val="16"/>
                <w:szCs w:val="16"/>
              </w:rPr>
              <w:t>)</w:t>
            </w:r>
          </w:p>
        </w:tc>
        <w:tc>
          <w:tcPr>
            <w:tcW w:w="1274" w:type="dxa"/>
          </w:tcPr>
          <w:p w:rsidRPr="002C5EC5" w:rsidR="00334D7E" w:rsidP="00334D7E" w:rsidRDefault="00334D7E" w14:paraId="4BFE82E2"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7DF003FF" w14:textId="77777777">
            <w:pPr>
              <w:rPr>
                <w:rFonts w:ascii="Verdana" w:hAnsi="Verdana"/>
                <w:sz w:val="16"/>
                <w:szCs w:val="16"/>
              </w:rPr>
            </w:pPr>
          </w:p>
        </w:tc>
      </w:tr>
      <w:tr w:rsidR="00334D7E" w:rsidTr="00CA30A2" w14:paraId="449429CA" w14:textId="77777777">
        <w:tc>
          <w:tcPr>
            <w:tcW w:w="1552" w:type="dxa"/>
          </w:tcPr>
          <w:p w:rsidRPr="00DD0008" w:rsidR="00334D7E" w:rsidP="00334D7E" w:rsidRDefault="00334D7E" w14:paraId="64F11FD2" w14:textId="20C079B0">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115E9E1F" w14:textId="77777777">
            <w:pPr>
              <w:rPr>
                <w:rFonts w:ascii="Verdana" w:hAnsi="Verdana"/>
                <w:sz w:val="16"/>
                <w:szCs w:val="16"/>
              </w:rPr>
            </w:pPr>
            <w:r w:rsidRPr="002C5EC5">
              <w:rPr>
                <w:rFonts w:ascii="Verdana" w:hAnsi="Verdana"/>
                <w:sz w:val="16"/>
                <w:szCs w:val="16"/>
              </w:rPr>
              <w:t>27 bis, twaalfde lid</w:t>
            </w:r>
          </w:p>
        </w:tc>
        <w:tc>
          <w:tcPr>
            <w:tcW w:w="1625" w:type="dxa"/>
          </w:tcPr>
          <w:p w:rsidR="00334D7E" w:rsidP="00334D7E" w:rsidRDefault="00334D7E" w14:paraId="75E4D523" w14:textId="77777777">
            <w:pPr>
              <w:rPr>
                <w:rFonts w:ascii="Verdana" w:hAnsi="Verdana"/>
                <w:sz w:val="16"/>
                <w:szCs w:val="16"/>
              </w:rPr>
            </w:pPr>
            <w:r>
              <w:rPr>
                <w:rFonts w:ascii="Verdana" w:hAnsi="Verdana"/>
                <w:sz w:val="16"/>
                <w:szCs w:val="16"/>
              </w:rPr>
              <w:t>Artikel I, onderdeel L (</w:t>
            </w:r>
            <w:r w:rsidRPr="002C5EC5">
              <w:rPr>
                <w:rFonts w:ascii="Verdana" w:hAnsi="Verdana"/>
                <w:sz w:val="16"/>
                <w:szCs w:val="16"/>
              </w:rPr>
              <w:t>1:106c, derde lid, Wft</w:t>
            </w:r>
            <w:r>
              <w:rPr>
                <w:rFonts w:ascii="Verdana" w:hAnsi="Verdana"/>
                <w:sz w:val="16"/>
                <w:szCs w:val="16"/>
              </w:rPr>
              <w:t>)</w:t>
            </w:r>
          </w:p>
        </w:tc>
        <w:tc>
          <w:tcPr>
            <w:tcW w:w="1274" w:type="dxa"/>
          </w:tcPr>
          <w:p w:rsidRPr="002C5EC5" w:rsidR="00334D7E" w:rsidP="00334D7E" w:rsidRDefault="00334D7E" w14:paraId="66D1A3A9"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138085A8" w14:textId="77777777">
            <w:pPr>
              <w:rPr>
                <w:rFonts w:ascii="Verdana" w:hAnsi="Verdana"/>
                <w:sz w:val="16"/>
                <w:szCs w:val="16"/>
              </w:rPr>
            </w:pPr>
          </w:p>
        </w:tc>
      </w:tr>
      <w:tr w:rsidR="00334D7E" w:rsidTr="00CA30A2" w14:paraId="50272A77" w14:textId="77777777">
        <w:tc>
          <w:tcPr>
            <w:tcW w:w="1552" w:type="dxa"/>
          </w:tcPr>
          <w:p w:rsidRPr="00DD0008" w:rsidR="00334D7E" w:rsidP="00334D7E" w:rsidRDefault="00334D7E" w14:paraId="03140739" w14:textId="5C32E093">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3265CB35" w14:textId="77777777">
            <w:pPr>
              <w:rPr>
                <w:rFonts w:ascii="Verdana" w:hAnsi="Verdana"/>
                <w:sz w:val="16"/>
                <w:szCs w:val="16"/>
              </w:rPr>
            </w:pPr>
            <w:r w:rsidRPr="002C5EC5">
              <w:rPr>
                <w:rFonts w:ascii="Verdana" w:hAnsi="Verdana"/>
                <w:sz w:val="16"/>
                <w:szCs w:val="16"/>
              </w:rPr>
              <w:t>27 bis, dertiende lid</w:t>
            </w:r>
          </w:p>
        </w:tc>
        <w:tc>
          <w:tcPr>
            <w:tcW w:w="1625" w:type="dxa"/>
          </w:tcPr>
          <w:p w:rsidR="00334D7E" w:rsidP="00334D7E" w:rsidRDefault="00334D7E" w14:paraId="06317E43" w14:textId="77777777">
            <w:pPr>
              <w:rPr>
                <w:rFonts w:ascii="Verdana" w:hAnsi="Verdana"/>
                <w:sz w:val="16"/>
                <w:szCs w:val="16"/>
              </w:rPr>
            </w:pPr>
            <w:r>
              <w:rPr>
                <w:rFonts w:ascii="Verdana" w:hAnsi="Verdana"/>
                <w:sz w:val="16"/>
                <w:szCs w:val="16"/>
              </w:rPr>
              <w:t>Volgt bij implementatieregeling</w:t>
            </w:r>
            <w:r w:rsidRPr="002C5EC5">
              <w:rPr>
                <w:rFonts w:ascii="Verdana" w:hAnsi="Verdana"/>
                <w:sz w:val="16"/>
                <w:szCs w:val="16"/>
              </w:rPr>
              <w:t xml:space="preserve"> </w:t>
            </w:r>
            <w:r>
              <w:rPr>
                <w:rFonts w:ascii="Verdana" w:hAnsi="Verdana"/>
                <w:sz w:val="16"/>
                <w:szCs w:val="16"/>
              </w:rPr>
              <w:t>(Bijlage 6 Rtt)</w:t>
            </w:r>
          </w:p>
        </w:tc>
        <w:tc>
          <w:tcPr>
            <w:tcW w:w="1274" w:type="dxa"/>
          </w:tcPr>
          <w:p w:rsidRPr="002C5EC5" w:rsidR="00334D7E" w:rsidP="00334D7E" w:rsidRDefault="00334D7E" w14:paraId="33C577D4"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3992CF4A" w14:textId="77777777">
            <w:pPr>
              <w:rPr>
                <w:rFonts w:ascii="Verdana" w:hAnsi="Verdana"/>
                <w:sz w:val="16"/>
                <w:szCs w:val="16"/>
              </w:rPr>
            </w:pPr>
          </w:p>
        </w:tc>
      </w:tr>
      <w:tr w:rsidR="00334D7E" w:rsidTr="00CA30A2" w14:paraId="0D146337" w14:textId="77777777">
        <w:tc>
          <w:tcPr>
            <w:tcW w:w="1552" w:type="dxa"/>
          </w:tcPr>
          <w:p w:rsidRPr="00DD0008" w:rsidR="00334D7E" w:rsidP="00334D7E" w:rsidRDefault="00334D7E" w14:paraId="0994F63E" w14:textId="3B288EC7">
            <w:pPr>
              <w:rPr>
                <w:rFonts w:ascii="Verdana" w:hAnsi="Verdana"/>
                <w:sz w:val="16"/>
                <w:szCs w:val="16"/>
              </w:rPr>
            </w:pPr>
            <w:r w:rsidRPr="001D5194">
              <w:rPr>
                <w:rFonts w:ascii="Verdana" w:hAnsi="Verdana"/>
                <w:sz w:val="16"/>
                <w:szCs w:val="16"/>
              </w:rPr>
              <w:lastRenderedPageBreak/>
              <w:t>1, lid 12</w:t>
            </w:r>
          </w:p>
        </w:tc>
        <w:tc>
          <w:tcPr>
            <w:tcW w:w="1514" w:type="dxa"/>
          </w:tcPr>
          <w:p w:rsidRPr="002C5EC5" w:rsidR="00334D7E" w:rsidP="00334D7E" w:rsidRDefault="00334D7E" w14:paraId="32B7684A" w14:textId="77777777">
            <w:pPr>
              <w:rPr>
                <w:rFonts w:ascii="Verdana" w:hAnsi="Verdana"/>
                <w:sz w:val="16"/>
                <w:szCs w:val="16"/>
              </w:rPr>
            </w:pPr>
            <w:r w:rsidRPr="002C5EC5">
              <w:rPr>
                <w:rFonts w:ascii="Verdana" w:hAnsi="Verdana"/>
                <w:sz w:val="16"/>
                <w:szCs w:val="16"/>
              </w:rPr>
              <w:t>27 bis, veertiende lid</w:t>
            </w:r>
          </w:p>
        </w:tc>
        <w:tc>
          <w:tcPr>
            <w:tcW w:w="1625" w:type="dxa"/>
          </w:tcPr>
          <w:p w:rsidR="00334D7E" w:rsidP="00334D7E" w:rsidRDefault="00334D7E" w14:paraId="4128A876" w14:textId="77777777">
            <w:pPr>
              <w:rPr>
                <w:rFonts w:ascii="Verdana" w:hAnsi="Verdana"/>
                <w:sz w:val="16"/>
                <w:szCs w:val="16"/>
              </w:rPr>
            </w:pPr>
            <w:r w:rsidRPr="002C5EC5">
              <w:rPr>
                <w:rFonts w:ascii="Verdana" w:hAnsi="Verdana"/>
                <w:sz w:val="16"/>
                <w:szCs w:val="16"/>
              </w:rPr>
              <w:t>Behoeft geen implementatie: bestaand recht in 1:106d Wft</w:t>
            </w:r>
          </w:p>
        </w:tc>
        <w:tc>
          <w:tcPr>
            <w:tcW w:w="1274" w:type="dxa"/>
          </w:tcPr>
          <w:p w:rsidRPr="002C5EC5" w:rsidR="00334D7E" w:rsidP="00334D7E" w:rsidRDefault="00334D7E" w14:paraId="4FD39EF1"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048568DC" w14:textId="77777777">
            <w:pPr>
              <w:rPr>
                <w:rFonts w:ascii="Verdana" w:hAnsi="Verdana"/>
                <w:sz w:val="16"/>
                <w:szCs w:val="16"/>
              </w:rPr>
            </w:pPr>
          </w:p>
        </w:tc>
      </w:tr>
      <w:tr w:rsidR="00334D7E" w:rsidTr="00CA30A2" w14:paraId="73110BD7" w14:textId="77777777">
        <w:tc>
          <w:tcPr>
            <w:tcW w:w="1552" w:type="dxa"/>
          </w:tcPr>
          <w:p w:rsidRPr="00DD0008" w:rsidR="00334D7E" w:rsidP="00334D7E" w:rsidRDefault="00334D7E" w14:paraId="622EFDA9" w14:textId="235DB452">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3FC61D94" w14:textId="77777777">
            <w:pPr>
              <w:rPr>
                <w:rFonts w:ascii="Verdana" w:hAnsi="Verdana"/>
                <w:sz w:val="16"/>
                <w:szCs w:val="16"/>
              </w:rPr>
            </w:pPr>
            <w:r w:rsidRPr="002C5EC5">
              <w:rPr>
                <w:rFonts w:ascii="Verdana" w:hAnsi="Verdana"/>
                <w:sz w:val="16"/>
                <w:szCs w:val="16"/>
              </w:rPr>
              <w:t>27 bis, vijftiende lid</w:t>
            </w:r>
          </w:p>
        </w:tc>
        <w:tc>
          <w:tcPr>
            <w:tcW w:w="1625" w:type="dxa"/>
          </w:tcPr>
          <w:p w:rsidRPr="002C5EC5" w:rsidR="00334D7E" w:rsidP="00334D7E" w:rsidRDefault="00334D7E" w14:paraId="2E6980CC" w14:textId="77777777">
            <w:pPr>
              <w:rPr>
                <w:rFonts w:ascii="Verdana" w:hAnsi="Verdana"/>
                <w:sz w:val="16"/>
                <w:szCs w:val="16"/>
              </w:rPr>
            </w:pPr>
            <w:r w:rsidRPr="002C5EC5">
              <w:rPr>
                <w:rFonts w:ascii="Verdana" w:hAnsi="Verdana"/>
                <w:sz w:val="16"/>
                <w:szCs w:val="16"/>
              </w:rPr>
              <w:t>Behoeft geen implementatie: Bestaand recht in 1:106e Wft</w:t>
            </w:r>
          </w:p>
        </w:tc>
        <w:tc>
          <w:tcPr>
            <w:tcW w:w="1274" w:type="dxa"/>
          </w:tcPr>
          <w:p w:rsidRPr="002C5EC5" w:rsidR="00334D7E" w:rsidP="00334D7E" w:rsidRDefault="00334D7E" w14:paraId="207ED745"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3D153EA5" w14:textId="77777777">
            <w:pPr>
              <w:rPr>
                <w:rFonts w:ascii="Verdana" w:hAnsi="Verdana"/>
                <w:sz w:val="16"/>
                <w:szCs w:val="16"/>
              </w:rPr>
            </w:pPr>
          </w:p>
        </w:tc>
      </w:tr>
      <w:tr w:rsidR="00334D7E" w:rsidTr="00CA30A2" w14:paraId="2891C054" w14:textId="77777777">
        <w:tc>
          <w:tcPr>
            <w:tcW w:w="1552" w:type="dxa"/>
          </w:tcPr>
          <w:p w:rsidRPr="00DD0008" w:rsidR="00334D7E" w:rsidP="00334D7E" w:rsidRDefault="00334D7E" w14:paraId="70003761" w14:textId="6A319CB7">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5359833E" w14:textId="77777777">
            <w:pPr>
              <w:rPr>
                <w:rFonts w:ascii="Verdana" w:hAnsi="Verdana"/>
                <w:sz w:val="16"/>
                <w:szCs w:val="16"/>
              </w:rPr>
            </w:pPr>
            <w:r w:rsidRPr="002C5EC5">
              <w:rPr>
                <w:rFonts w:ascii="Verdana" w:hAnsi="Verdana"/>
                <w:sz w:val="16"/>
                <w:szCs w:val="16"/>
              </w:rPr>
              <w:t>27 ter, eerste lid</w:t>
            </w:r>
          </w:p>
        </w:tc>
        <w:tc>
          <w:tcPr>
            <w:tcW w:w="1625" w:type="dxa"/>
          </w:tcPr>
          <w:p w:rsidRPr="002C5EC5" w:rsidR="00334D7E" w:rsidP="00334D7E" w:rsidRDefault="00334D7E" w14:paraId="2C0CB6DE" w14:textId="77777777">
            <w:pPr>
              <w:rPr>
                <w:rFonts w:ascii="Verdana" w:hAnsi="Verdana"/>
                <w:sz w:val="16"/>
                <w:szCs w:val="16"/>
              </w:rPr>
            </w:pPr>
            <w:r>
              <w:rPr>
                <w:rFonts w:ascii="Verdana" w:hAnsi="Verdana"/>
                <w:sz w:val="16"/>
                <w:szCs w:val="16"/>
              </w:rPr>
              <w:t>Artikel I, onderdeel III (</w:t>
            </w:r>
            <w:r w:rsidRPr="002C5EC5">
              <w:rPr>
                <w:rFonts w:ascii="Verdana" w:hAnsi="Verdana"/>
                <w:sz w:val="16"/>
                <w:szCs w:val="16"/>
              </w:rPr>
              <w:t>3:101a, eerste lid, Wft</w:t>
            </w:r>
            <w:r>
              <w:rPr>
                <w:rFonts w:ascii="Verdana" w:hAnsi="Verdana"/>
                <w:sz w:val="16"/>
                <w:szCs w:val="16"/>
              </w:rPr>
              <w:t>)</w:t>
            </w:r>
          </w:p>
        </w:tc>
        <w:tc>
          <w:tcPr>
            <w:tcW w:w="1274" w:type="dxa"/>
          </w:tcPr>
          <w:p w:rsidRPr="002C5EC5" w:rsidR="00334D7E" w:rsidP="00334D7E" w:rsidRDefault="00334D7E" w14:paraId="7ED03837"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15098075" w14:textId="77777777">
            <w:pPr>
              <w:rPr>
                <w:rFonts w:ascii="Verdana" w:hAnsi="Verdana"/>
                <w:sz w:val="16"/>
                <w:szCs w:val="16"/>
              </w:rPr>
            </w:pPr>
          </w:p>
        </w:tc>
      </w:tr>
      <w:tr w:rsidR="00334D7E" w:rsidTr="00CA30A2" w14:paraId="0C7A76AF" w14:textId="77777777">
        <w:tc>
          <w:tcPr>
            <w:tcW w:w="1552" w:type="dxa"/>
          </w:tcPr>
          <w:p w:rsidRPr="00DD0008" w:rsidR="00334D7E" w:rsidP="00334D7E" w:rsidRDefault="00334D7E" w14:paraId="7A8C165A" w14:textId="59633845">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6B42719B" w14:textId="77777777">
            <w:pPr>
              <w:rPr>
                <w:rFonts w:ascii="Verdana" w:hAnsi="Verdana"/>
                <w:sz w:val="16"/>
                <w:szCs w:val="16"/>
              </w:rPr>
            </w:pPr>
            <w:r w:rsidRPr="002C5EC5">
              <w:rPr>
                <w:rFonts w:ascii="Verdana" w:hAnsi="Verdana"/>
                <w:sz w:val="16"/>
                <w:szCs w:val="16"/>
              </w:rPr>
              <w:t>27 ter, tweede lid</w:t>
            </w:r>
          </w:p>
        </w:tc>
        <w:tc>
          <w:tcPr>
            <w:tcW w:w="1625" w:type="dxa"/>
          </w:tcPr>
          <w:p w:rsidR="00334D7E" w:rsidP="00334D7E" w:rsidRDefault="00334D7E" w14:paraId="6F0D2B56" w14:textId="77777777">
            <w:pPr>
              <w:rPr>
                <w:rFonts w:ascii="Verdana" w:hAnsi="Verdana"/>
                <w:sz w:val="16"/>
                <w:szCs w:val="16"/>
              </w:rPr>
            </w:pPr>
            <w:r>
              <w:rPr>
                <w:rFonts w:ascii="Verdana" w:hAnsi="Verdana"/>
                <w:sz w:val="16"/>
                <w:szCs w:val="16"/>
              </w:rPr>
              <w:t>Volgt bij implementatieregeling</w:t>
            </w:r>
            <w:r w:rsidRPr="002C5EC5">
              <w:rPr>
                <w:rFonts w:ascii="Verdana" w:hAnsi="Verdana"/>
                <w:sz w:val="16"/>
                <w:szCs w:val="16"/>
              </w:rPr>
              <w:t xml:space="preserve"> </w:t>
            </w:r>
            <w:r>
              <w:rPr>
                <w:rFonts w:ascii="Verdana" w:hAnsi="Verdana"/>
                <w:sz w:val="16"/>
                <w:szCs w:val="16"/>
              </w:rPr>
              <w:t>(Bijlage 6 Rtt)</w:t>
            </w:r>
          </w:p>
        </w:tc>
        <w:tc>
          <w:tcPr>
            <w:tcW w:w="1274" w:type="dxa"/>
          </w:tcPr>
          <w:p w:rsidRPr="002C5EC5" w:rsidR="00334D7E" w:rsidP="00334D7E" w:rsidRDefault="00334D7E" w14:paraId="67446EF6"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4761C2C9" w14:textId="77777777">
            <w:pPr>
              <w:rPr>
                <w:rFonts w:ascii="Verdana" w:hAnsi="Verdana"/>
                <w:sz w:val="16"/>
                <w:szCs w:val="16"/>
              </w:rPr>
            </w:pPr>
          </w:p>
        </w:tc>
      </w:tr>
      <w:tr w:rsidR="00334D7E" w:rsidTr="00CA30A2" w14:paraId="50CFB17F" w14:textId="77777777">
        <w:tc>
          <w:tcPr>
            <w:tcW w:w="1552" w:type="dxa"/>
          </w:tcPr>
          <w:p w:rsidRPr="00DD0008" w:rsidR="00334D7E" w:rsidP="00334D7E" w:rsidRDefault="00334D7E" w14:paraId="5127CCFF" w14:textId="1B28FBE3">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7EF04007" w14:textId="77777777">
            <w:pPr>
              <w:rPr>
                <w:rFonts w:ascii="Verdana" w:hAnsi="Verdana"/>
                <w:sz w:val="16"/>
                <w:szCs w:val="16"/>
              </w:rPr>
            </w:pPr>
            <w:r w:rsidRPr="002C5EC5">
              <w:rPr>
                <w:rFonts w:ascii="Verdana" w:hAnsi="Verdana"/>
                <w:sz w:val="16"/>
                <w:szCs w:val="16"/>
              </w:rPr>
              <w:t>27 ter, derde lid, eerste alinea</w:t>
            </w:r>
          </w:p>
        </w:tc>
        <w:tc>
          <w:tcPr>
            <w:tcW w:w="1625" w:type="dxa"/>
          </w:tcPr>
          <w:p w:rsidR="00334D7E" w:rsidP="00334D7E" w:rsidRDefault="00334D7E" w14:paraId="61D5543D" w14:textId="77777777">
            <w:pPr>
              <w:rPr>
                <w:rFonts w:ascii="Verdana" w:hAnsi="Verdana"/>
                <w:sz w:val="16"/>
                <w:szCs w:val="16"/>
              </w:rPr>
            </w:pPr>
            <w:r>
              <w:rPr>
                <w:rFonts w:ascii="Verdana" w:hAnsi="Verdana"/>
                <w:sz w:val="16"/>
                <w:szCs w:val="16"/>
              </w:rPr>
              <w:t>Artikel I, onderdeel III (</w:t>
            </w:r>
            <w:r w:rsidRPr="002C5EC5">
              <w:rPr>
                <w:rFonts w:ascii="Verdana" w:hAnsi="Verdana"/>
                <w:sz w:val="16"/>
                <w:szCs w:val="16"/>
              </w:rPr>
              <w:t>3:101a, eerste en derde lid, Wft</w:t>
            </w:r>
            <w:r>
              <w:rPr>
                <w:rFonts w:ascii="Verdana" w:hAnsi="Verdana"/>
                <w:sz w:val="16"/>
                <w:szCs w:val="16"/>
              </w:rPr>
              <w:t>)</w:t>
            </w:r>
          </w:p>
        </w:tc>
        <w:tc>
          <w:tcPr>
            <w:tcW w:w="1274" w:type="dxa"/>
          </w:tcPr>
          <w:p w:rsidRPr="002C5EC5" w:rsidR="00334D7E" w:rsidP="00334D7E" w:rsidRDefault="00334D7E" w14:paraId="500D8033"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30FC0EC7" w14:textId="77777777">
            <w:pPr>
              <w:rPr>
                <w:rFonts w:ascii="Verdana" w:hAnsi="Verdana"/>
                <w:sz w:val="16"/>
                <w:szCs w:val="16"/>
              </w:rPr>
            </w:pPr>
          </w:p>
        </w:tc>
      </w:tr>
      <w:tr w:rsidR="00334D7E" w:rsidTr="00CA30A2" w14:paraId="1586DB3A" w14:textId="77777777">
        <w:tc>
          <w:tcPr>
            <w:tcW w:w="1552" w:type="dxa"/>
          </w:tcPr>
          <w:p w:rsidRPr="00DD0008" w:rsidR="00334D7E" w:rsidP="00334D7E" w:rsidRDefault="00334D7E" w14:paraId="4AD940BC" w14:textId="455C2B60">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0B953FD8" w14:textId="77777777">
            <w:pPr>
              <w:rPr>
                <w:rFonts w:ascii="Verdana" w:hAnsi="Verdana"/>
                <w:sz w:val="16"/>
                <w:szCs w:val="16"/>
              </w:rPr>
            </w:pPr>
            <w:r w:rsidRPr="002C5EC5">
              <w:rPr>
                <w:rFonts w:ascii="Verdana" w:hAnsi="Verdana"/>
                <w:sz w:val="16"/>
                <w:szCs w:val="16"/>
              </w:rPr>
              <w:t>27 ter, derde lid, tweede alinea</w:t>
            </w:r>
          </w:p>
        </w:tc>
        <w:tc>
          <w:tcPr>
            <w:tcW w:w="1625" w:type="dxa"/>
          </w:tcPr>
          <w:p w:rsidR="00334D7E" w:rsidP="00334D7E" w:rsidRDefault="00334D7E" w14:paraId="77BF093F" w14:textId="77777777">
            <w:pPr>
              <w:rPr>
                <w:rFonts w:ascii="Verdana" w:hAnsi="Verdana"/>
                <w:sz w:val="16"/>
                <w:szCs w:val="16"/>
              </w:rPr>
            </w:pPr>
            <w:r>
              <w:rPr>
                <w:rFonts w:ascii="Verdana" w:hAnsi="Verdana"/>
                <w:sz w:val="16"/>
                <w:szCs w:val="16"/>
              </w:rPr>
              <w:t>Volgt bij implementatieregeling</w:t>
            </w:r>
            <w:r w:rsidRPr="002C5EC5">
              <w:rPr>
                <w:rFonts w:ascii="Verdana" w:hAnsi="Verdana"/>
                <w:sz w:val="16"/>
                <w:szCs w:val="16"/>
              </w:rPr>
              <w:t xml:space="preserve"> </w:t>
            </w:r>
            <w:r>
              <w:rPr>
                <w:rFonts w:ascii="Verdana" w:hAnsi="Verdana"/>
                <w:sz w:val="16"/>
                <w:szCs w:val="16"/>
              </w:rPr>
              <w:t>(Bijlage 6 Rtt)</w:t>
            </w:r>
          </w:p>
        </w:tc>
        <w:tc>
          <w:tcPr>
            <w:tcW w:w="1274" w:type="dxa"/>
          </w:tcPr>
          <w:p w:rsidRPr="002C5EC5" w:rsidR="00334D7E" w:rsidP="00334D7E" w:rsidRDefault="00334D7E" w14:paraId="76D2B689"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0CB1A154" w14:textId="77777777">
            <w:pPr>
              <w:rPr>
                <w:rFonts w:ascii="Verdana" w:hAnsi="Verdana"/>
                <w:sz w:val="16"/>
                <w:szCs w:val="16"/>
              </w:rPr>
            </w:pPr>
          </w:p>
        </w:tc>
      </w:tr>
      <w:tr w:rsidR="00334D7E" w:rsidTr="00CA30A2" w14:paraId="53191AB8" w14:textId="77777777">
        <w:tc>
          <w:tcPr>
            <w:tcW w:w="1552" w:type="dxa"/>
          </w:tcPr>
          <w:p w:rsidRPr="00DD0008" w:rsidR="00334D7E" w:rsidP="00334D7E" w:rsidRDefault="00334D7E" w14:paraId="7194ED06" w14:textId="1603424B">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7955FEC8" w14:textId="77777777">
            <w:pPr>
              <w:rPr>
                <w:rFonts w:ascii="Verdana" w:hAnsi="Verdana"/>
                <w:sz w:val="16"/>
                <w:szCs w:val="16"/>
              </w:rPr>
            </w:pPr>
            <w:r w:rsidRPr="002C5EC5">
              <w:rPr>
                <w:rFonts w:ascii="Verdana" w:hAnsi="Verdana"/>
                <w:sz w:val="16"/>
                <w:szCs w:val="16"/>
              </w:rPr>
              <w:t>27 ter, vierde lid</w:t>
            </w:r>
          </w:p>
        </w:tc>
        <w:tc>
          <w:tcPr>
            <w:tcW w:w="1625" w:type="dxa"/>
          </w:tcPr>
          <w:p w:rsidR="00334D7E" w:rsidP="00334D7E" w:rsidRDefault="00334D7E" w14:paraId="731C2561" w14:textId="77777777">
            <w:pPr>
              <w:rPr>
                <w:rFonts w:ascii="Verdana" w:hAnsi="Verdana"/>
                <w:sz w:val="16"/>
                <w:szCs w:val="16"/>
              </w:rPr>
            </w:pPr>
            <w:r>
              <w:rPr>
                <w:rFonts w:ascii="Verdana" w:hAnsi="Verdana"/>
                <w:sz w:val="16"/>
                <w:szCs w:val="16"/>
              </w:rPr>
              <w:t>Artikel I, onderdeel III (</w:t>
            </w:r>
            <w:r w:rsidRPr="002C5EC5">
              <w:rPr>
                <w:rFonts w:ascii="Verdana" w:hAnsi="Verdana"/>
                <w:sz w:val="16"/>
                <w:szCs w:val="16"/>
              </w:rPr>
              <w:t>3:101a, eerste lid, Wft</w:t>
            </w:r>
            <w:r>
              <w:rPr>
                <w:rFonts w:ascii="Verdana" w:hAnsi="Verdana"/>
                <w:sz w:val="16"/>
                <w:szCs w:val="16"/>
              </w:rPr>
              <w:t>)</w:t>
            </w:r>
          </w:p>
        </w:tc>
        <w:tc>
          <w:tcPr>
            <w:tcW w:w="1274" w:type="dxa"/>
          </w:tcPr>
          <w:p w:rsidRPr="002C5EC5" w:rsidR="00334D7E" w:rsidP="00334D7E" w:rsidRDefault="00334D7E" w14:paraId="19D2FBA4"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4E0C90BA" w14:textId="77777777">
            <w:pPr>
              <w:rPr>
                <w:rFonts w:ascii="Verdana" w:hAnsi="Verdana"/>
                <w:sz w:val="16"/>
                <w:szCs w:val="16"/>
              </w:rPr>
            </w:pPr>
          </w:p>
        </w:tc>
      </w:tr>
      <w:tr w:rsidR="00334D7E" w:rsidTr="00CA30A2" w14:paraId="4030A72E" w14:textId="77777777">
        <w:tc>
          <w:tcPr>
            <w:tcW w:w="1552" w:type="dxa"/>
          </w:tcPr>
          <w:p w:rsidRPr="00DD0008" w:rsidR="00334D7E" w:rsidP="00334D7E" w:rsidRDefault="00334D7E" w14:paraId="0522D4F2" w14:textId="6E958EF2">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2450020F" w14:textId="77777777">
            <w:pPr>
              <w:rPr>
                <w:rFonts w:ascii="Verdana" w:hAnsi="Verdana"/>
                <w:sz w:val="16"/>
                <w:szCs w:val="16"/>
              </w:rPr>
            </w:pPr>
            <w:r w:rsidRPr="002C5EC5">
              <w:rPr>
                <w:rFonts w:ascii="Verdana" w:hAnsi="Verdana"/>
                <w:sz w:val="16"/>
                <w:szCs w:val="16"/>
              </w:rPr>
              <w:t>27 ter, vijfde lid</w:t>
            </w:r>
          </w:p>
        </w:tc>
        <w:tc>
          <w:tcPr>
            <w:tcW w:w="1625" w:type="dxa"/>
          </w:tcPr>
          <w:p w:rsidR="00334D7E" w:rsidP="00334D7E" w:rsidRDefault="00334D7E" w14:paraId="2C6BD17E" w14:textId="77777777">
            <w:pPr>
              <w:rPr>
                <w:rFonts w:ascii="Verdana" w:hAnsi="Verdana"/>
                <w:sz w:val="16"/>
                <w:szCs w:val="16"/>
              </w:rPr>
            </w:pPr>
            <w:r>
              <w:rPr>
                <w:rFonts w:ascii="Verdana" w:hAnsi="Verdana"/>
                <w:sz w:val="16"/>
                <w:szCs w:val="16"/>
              </w:rPr>
              <w:t>Artikel I, onderdeel EEE (</w:t>
            </w:r>
            <w:r w:rsidRPr="002C5EC5">
              <w:rPr>
                <w:rFonts w:ascii="Verdana" w:hAnsi="Verdana"/>
                <w:sz w:val="16"/>
                <w:szCs w:val="16"/>
              </w:rPr>
              <w:t>3:96a, tweede lid, en 3:96c, tweede lid, Wft</w:t>
            </w:r>
            <w:r>
              <w:rPr>
                <w:rFonts w:ascii="Verdana" w:hAnsi="Verdana"/>
                <w:sz w:val="16"/>
                <w:szCs w:val="16"/>
              </w:rPr>
              <w:t>)</w:t>
            </w:r>
          </w:p>
        </w:tc>
        <w:tc>
          <w:tcPr>
            <w:tcW w:w="1274" w:type="dxa"/>
          </w:tcPr>
          <w:p w:rsidRPr="002C5EC5" w:rsidR="00334D7E" w:rsidP="00334D7E" w:rsidRDefault="00334D7E" w14:paraId="3F5092A9"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1117269A" w14:textId="77777777">
            <w:pPr>
              <w:rPr>
                <w:rFonts w:ascii="Verdana" w:hAnsi="Verdana"/>
                <w:sz w:val="16"/>
                <w:szCs w:val="16"/>
              </w:rPr>
            </w:pPr>
          </w:p>
        </w:tc>
      </w:tr>
      <w:tr w:rsidR="00334D7E" w:rsidTr="00CA30A2" w14:paraId="0D4B4467" w14:textId="77777777">
        <w:tc>
          <w:tcPr>
            <w:tcW w:w="1552" w:type="dxa"/>
          </w:tcPr>
          <w:p w:rsidRPr="00DD0008" w:rsidR="00334D7E" w:rsidP="00334D7E" w:rsidRDefault="00334D7E" w14:paraId="258A6342" w14:textId="79A2560A">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490EA2C2" w14:textId="77777777">
            <w:pPr>
              <w:rPr>
                <w:rFonts w:ascii="Verdana" w:hAnsi="Verdana"/>
                <w:sz w:val="16"/>
                <w:szCs w:val="16"/>
              </w:rPr>
            </w:pPr>
            <w:r w:rsidRPr="002C5EC5">
              <w:rPr>
                <w:rFonts w:ascii="Verdana" w:hAnsi="Verdana"/>
                <w:sz w:val="16"/>
                <w:szCs w:val="16"/>
              </w:rPr>
              <w:t>27 ter, zesde lid</w:t>
            </w:r>
          </w:p>
        </w:tc>
        <w:tc>
          <w:tcPr>
            <w:tcW w:w="1625" w:type="dxa"/>
          </w:tcPr>
          <w:p w:rsidR="00334D7E" w:rsidP="00334D7E" w:rsidRDefault="00334D7E" w14:paraId="5186C6C4" w14:textId="77777777">
            <w:pPr>
              <w:rPr>
                <w:rFonts w:ascii="Verdana" w:hAnsi="Verdana"/>
                <w:sz w:val="16"/>
                <w:szCs w:val="16"/>
              </w:rPr>
            </w:pPr>
            <w:r>
              <w:rPr>
                <w:rFonts w:ascii="Verdana" w:hAnsi="Verdana"/>
                <w:sz w:val="16"/>
                <w:szCs w:val="16"/>
              </w:rPr>
              <w:t>Volgt bij implementatieregeling</w:t>
            </w:r>
            <w:r w:rsidRPr="002C5EC5">
              <w:rPr>
                <w:rFonts w:ascii="Verdana" w:hAnsi="Verdana"/>
                <w:sz w:val="16"/>
                <w:szCs w:val="16"/>
              </w:rPr>
              <w:t xml:space="preserve"> </w:t>
            </w:r>
            <w:r>
              <w:rPr>
                <w:rFonts w:ascii="Verdana" w:hAnsi="Verdana"/>
                <w:sz w:val="16"/>
                <w:szCs w:val="16"/>
              </w:rPr>
              <w:t>(Bijlage 6 Rtt)</w:t>
            </w:r>
          </w:p>
        </w:tc>
        <w:tc>
          <w:tcPr>
            <w:tcW w:w="1274" w:type="dxa"/>
          </w:tcPr>
          <w:p w:rsidRPr="002C5EC5" w:rsidR="00334D7E" w:rsidP="00334D7E" w:rsidRDefault="00334D7E" w14:paraId="3A842253"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7A258AD0" w14:textId="77777777">
            <w:pPr>
              <w:rPr>
                <w:rFonts w:ascii="Verdana" w:hAnsi="Verdana"/>
                <w:sz w:val="16"/>
                <w:szCs w:val="16"/>
              </w:rPr>
            </w:pPr>
          </w:p>
        </w:tc>
      </w:tr>
      <w:tr w:rsidR="00334D7E" w:rsidTr="00CA30A2" w14:paraId="35DB92E5" w14:textId="77777777">
        <w:tc>
          <w:tcPr>
            <w:tcW w:w="1552" w:type="dxa"/>
          </w:tcPr>
          <w:p w:rsidRPr="00DD0008" w:rsidR="00334D7E" w:rsidP="00334D7E" w:rsidRDefault="00334D7E" w14:paraId="1B8BDA31" w14:textId="1BE2399C">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5F3E5B2C" w14:textId="77777777">
            <w:pPr>
              <w:rPr>
                <w:rFonts w:ascii="Verdana" w:hAnsi="Verdana"/>
                <w:sz w:val="16"/>
                <w:szCs w:val="16"/>
              </w:rPr>
            </w:pPr>
            <w:r w:rsidRPr="002C5EC5">
              <w:rPr>
                <w:rFonts w:ascii="Verdana" w:hAnsi="Verdana"/>
                <w:sz w:val="16"/>
                <w:szCs w:val="16"/>
              </w:rPr>
              <w:t>27 ter, zevende lid</w:t>
            </w:r>
          </w:p>
        </w:tc>
        <w:tc>
          <w:tcPr>
            <w:tcW w:w="1625" w:type="dxa"/>
          </w:tcPr>
          <w:p w:rsidR="00334D7E" w:rsidP="00334D7E" w:rsidRDefault="00334D7E" w14:paraId="763C8ADC" w14:textId="77777777">
            <w:pPr>
              <w:rPr>
                <w:rFonts w:ascii="Verdana" w:hAnsi="Verdana"/>
                <w:sz w:val="16"/>
                <w:szCs w:val="16"/>
              </w:rPr>
            </w:pPr>
            <w:r w:rsidRPr="002C5EC5">
              <w:rPr>
                <w:rFonts w:ascii="Verdana" w:hAnsi="Verdana"/>
                <w:sz w:val="16"/>
                <w:szCs w:val="16"/>
              </w:rPr>
              <w:t>Behoeft naar zijn aard geen implementatie, bepaling gericht tot EBA</w:t>
            </w:r>
          </w:p>
        </w:tc>
        <w:tc>
          <w:tcPr>
            <w:tcW w:w="1274" w:type="dxa"/>
          </w:tcPr>
          <w:p w:rsidRPr="002C5EC5" w:rsidR="00334D7E" w:rsidP="00334D7E" w:rsidRDefault="00334D7E" w14:paraId="0BA81EFF"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4BB9E6E4" w14:textId="77777777">
            <w:pPr>
              <w:rPr>
                <w:rFonts w:ascii="Verdana" w:hAnsi="Verdana"/>
                <w:sz w:val="16"/>
                <w:szCs w:val="16"/>
              </w:rPr>
            </w:pPr>
          </w:p>
        </w:tc>
      </w:tr>
      <w:tr w:rsidR="00334D7E" w:rsidTr="00CA30A2" w14:paraId="3D848B69" w14:textId="77777777">
        <w:tc>
          <w:tcPr>
            <w:tcW w:w="1552" w:type="dxa"/>
          </w:tcPr>
          <w:p w:rsidRPr="00DD0008" w:rsidR="00334D7E" w:rsidP="00334D7E" w:rsidRDefault="00334D7E" w14:paraId="439F1B68" w14:textId="44A54846">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49EB31CF" w14:textId="77777777">
            <w:pPr>
              <w:rPr>
                <w:rFonts w:ascii="Verdana" w:hAnsi="Verdana"/>
                <w:sz w:val="16"/>
                <w:szCs w:val="16"/>
              </w:rPr>
            </w:pPr>
            <w:r w:rsidRPr="002C5EC5">
              <w:rPr>
                <w:rFonts w:ascii="Verdana" w:hAnsi="Verdana"/>
                <w:sz w:val="16"/>
                <w:szCs w:val="16"/>
              </w:rPr>
              <w:t>27 quater, eerste lid</w:t>
            </w:r>
          </w:p>
        </w:tc>
        <w:tc>
          <w:tcPr>
            <w:tcW w:w="1625" w:type="dxa"/>
          </w:tcPr>
          <w:p w:rsidRPr="002C5EC5" w:rsidR="00334D7E" w:rsidP="00334D7E" w:rsidRDefault="00334D7E" w14:paraId="5EE2A18C" w14:textId="77777777">
            <w:pPr>
              <w:rPr>
                <w:rFonts w:ascii="Verdana" w:hAnsi="Verdana"/>
                <w:sz w:val="16"/>
                <w:szCs w:val="16"/>
              </w:rPr>
            </w:pPr>
            <w:r>
              <w:rPr>
                <w:rFonts w:ascii="Verdana" w:hAnsi="Verdana"/>
                <w:sz w:val="16"/>
                <w:szCs w:val="16"/>
              </w:rPr>
              <w:t>Artikel I, onderdeel G (</w:t>
            </w:r>
            <w:r w:rsidRPr="002C5EC5">
              <w:rPr>
                <w:rFonts w:ascii="Verdana" w:hAnsi="Verdana"/>
                <w:sz w:val="16"/>
                <w:szCs w:val="16"/>
              </w:rPr>
              <w:t>1:62, tweede lid, Wft</w:t>
            </w:r>
            <w:r>
              <w:rPr>
                <w:rFonts w:ascii="Verdana" w:hAnsi="Verdana"/>
                <w:sz w:val="16"/>
                <w:szCs w:val="16"/>
              </w:rPr>
              <w:t>)</w:t>
            </w:r>
          </w:p>
        </w:tc>
        <w:tc>
          <w:tcPr>
            <w:tcW w:w="1274" w:type="dxa"/>
          </w:tcPr>
          <w:p w:rsidRPr="002C5EC5" w:rsidR="00334D7E" w:rsidP="00334D7E" w:rsidRDefault="00334D7E" w14:paraId="375C5F69"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6DC51A08" w14:textId="77777777">
            <w:pPr>
              <w:rPr>
                <w:rFonts w:ascii="Verdana" w:hAnsi="Verdana"/>
                <w:sz w:val="16"/>
                <w:szCs w:val="16"/>
              </w:rPr>
            </w:pPr>
          </w:p>
        </w:tc>
      </w:tr>
      <w:tr w:rsidR="00334D7E" w:rsidTr="00CA30A2" w14:paraId="300A5661" w14:textId="77777777">
        <w:tc>
          <w:tcPr>
            <w:tcW w:w="1552" w:type="dxa"/>
          </w:tcPr>
          <w:p w:rsidRPr="00DD0008" w:rsidR="00334D7E" w:rsidP="00334D7E" w:rsidRDefault="00334D7E" w14:paraId="20E50134" w14:textId="0ECADBD6">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0C6BFB5D" w14:textId="77777777">
            <w:pPr>
              <w:rPr>
                <w:rFonts w:ascii="Verdana" w:hAnsi="Verdana"/>
                <w:sz w:val="16"/>
                <w:szCs w:val="16"/>
              </w:rPr>
            </w:pPr>
            <w:r w:rsidRPr="002C5EC5">
              <w:rPr>
                <w:rFonts w:ascii="Verdana" w:hAnsi="Verdana"/>
                <w:sz w:val="16"/>
                <w:szCs w:val="16"/>
              </w:rPr>
              <w:t>27 quater, tweede lid</w:t>
            </w:r>
          </w:p>
        </w:tc>
        <w:tc>
          <w:tcPr>
            <w:tcW w:w="1625" w:type="dxa"/>
          </w:tcPr>
          <w:p w:rsidR="00334D7E" w:rsidP="00334D7E" w:rsidRDefault="00334D7E" w14:paraId="2596DF9A" w14:textId="77777777">
            <w:pPr>
              <w:spacing w:line="240" w:lineRule="atLeast"/>
              <w:rPr>
                <w:rFonts w:ascii="Verdana" w:hAnsi="Verdana"/>
                <w:sz w:val="16"/>
                <w:szCs w:val="16"/>
              </w:rPr>
            </w:pPr>
            <w:r>
              <w:rPr>
                <w:rFonts w:ascii="Verdana" w:hAnsi="Verdana"/>
                <w:sz w:val="16"/>
                <w:szCs w:val="16"/>
              </w:rPr>
              <w:t>Artikel I, onderdeel EEE (</w:t>
            </w:r>
            <w:r w:rsidRPr="002C5EC5">
              <w:rPr>
                <w:rFonts w:ascii="Verdana" w:hAnsi="Verdana"/>
                <w:sz w:val="16"/>
                <w:szCs w:val="16"/>
              </w:rPr>
              <w:t>3:96a, vierde lid, 3:96c, derde lid, en 3:96</w:t>
            </w:r>
            <w:r>
              <w:rPr>
                <w:rFonts w:ascii="Verdana" w:hAnsi="Verdana"/>
                <w:sz w:val="16"/>
                <w:szCs w:val="16"/>
              </w:rPr>
              <w:t>e</w:t>
            </w:r>
            <w:r w:rsidRPr="002C5EC5">
              <w:rPr>
                <w:rFonts w:ascii="Verdana" w:hAnsi="Verdana"/>
                <w:sz w:val="16"/>
                <w:szCs w:val="16"/>
              </w:rPr>
              <w:t xml:space="preserve"> Wft</w:t>
            </w:r>
            <w:r>
              <w:rPr>
                <w:rFonts w:ascii="Verdana" w:hAnsi="Verdana"/>
                <w:sz w:val="16"/>
                <w:szCs w:val="16"/>
              </w:rPr>
              <w:t>)</w:t>
            </w:r>
            <w:r w:rsidRPr="002C5EC5">
              <w:rPr>
                <w:rFonts w:ascii="Verdana" w:hAnsi="Verdana"/>
                <w:sz w:val="16"/>
                <w:szCs w:val="16"/>
              </w:rPr>
              <w:t xml:space="preserve"> </w:t>
            </w:r>
          </w:p>
          <w:p w:rsidR="00334D7E" w:rsidP="00334D7E" w:rsidRDefault="00334D7E" w14:paraId="280CCEFE" w14:textId="77777777">
            <w:pPr>
              <w:spacing w:line="240" w:lineRule="atLeast"/>
              <w:rPr>
                <w:rFonts w:ascii="Verdana" w:hAnsi="Verdana"/>
                <w:sz w:val="16"/>
                <w:szCs w:val="16"/>
              </w:rPr>
            </w:pPr>
          </w:p>
          <w:p w:rsidR="00334D7E" w:rsidP="00334D7E" w:rsidRDefault="00334D7E" w14:paraId="0E6DBB05" w14:textId="77777777">
            <w:pPr>
              <w:rPr>
                <w:rFonts w:ascii="Verdana" w:hAnsi="Verdana"/>
                <w:sz w:val="16"/>
                <w:szCs w:val="16"/>
              </w:rPr>
            </w:pPr>
          </w:p>
        </w:tc>
        <w:tc>
          <w:tcPr>
            <w:tcW w:w="1274" w:type="dxa"/>
          </w:tcPr>
          <w:p w:rsidRPr="002C5EC5" w:rsidR="00334D7E" w:rsidP="00334D7E" w:rsidRDefault="00334D7E" w14:paraId="22AC7301"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4CC4AC14" w14:textId="77777777">
            <w:pPr>
              <w:rPr>
                <w:rFonts w:ascii="Verdana" w:hAnsi="Verdana"/>
                <w:sz w:val="16"/>
                <w:szCs w:val="16"/>
              </w:rPr>
            </w:pPr>
          </w:p>
        </w:tc>
      </w:tr>
      <w:tr w:rsidR="00334D7E" w:rsidTr="00CA30A2" w14:paraId="55ED14B5" w14:textId="77777777">
        <w:tc>
          <w:tcPr>
            <w:tcW w:w="1552" w:type="dxa"/>
          </w:tcPr>
          <w:p w:rsidRPr="00DD0008" w:rsidR="00334D7E" w:rsidP="00334D7E" w:rsidRDefault="00334D7E" w14:paraId="17A09C49" w14:textId="644128E3">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07985638" w14:textId="77777777">
            <w:pPr>
              <w:rPr>
                <w:rFonts w:ascii="Verdana" w:hAnsi="Verdana"/>
                <w:sz w:val="16"/>
                <w:szCs w:val="16"/>
              </w:rPr>
            </w:pPr>
            <w:r w:rsidRPr="002C5EC5">
              <w:rPr>
                <w:rFonts w:ascii="Verdana" w:hAnsi="Verdana"/>
                <w:sz w:val="16"/>
                <w:szCs w:val="16"/>
              </w:rPr>
              <w:t>27 quater, derde lid</w:t>
            </w:r>
            <w:r>
              <w:rPr>
                <w:rFonts w:ascii="Verdana" w:hAnsi="Verdana"/>
                <w:sz w:val="16"/>
                <w:szCs w:val="16"/>
              </w:rPr>
              <w:t>, eerste alinea</w:t>
            </w:r>
          </w:p>
        </w:tc>
        <w:tc>
          <w:tcPr>
            <w:tcW w:w="1625" w:type="dxa"/>
          </w:tcPr>
          <w:p w:rsidR="00334D7E" w:rsidP="00334D7E" w:rsidRDefault="00334D7E" w14:paraId="7A305092" w14:textId="77777777">
            <w:pPr>
              <w:spacing w:line="240" w:lineRule="atLeast"/>
              <w:rPr>
                <w:rFonts w:ascii="Verdana" w:hAnsi="Verdana"/>
                <w:sz w:val="16"/>
                <w:szCs w:val="16"/>
              </w:rPr>
            </w:pPr>
            <w:r>
              <w:rPr>
                <w:rFonts w:ascii="Verdana" w:hAnsi="Verdana"/>
                <w:sz w:val="16"/>
                <w:szCs w:val="16"/>
              </w:rPr>
              <w:t>Artikel I, onderdeel EEE (</w:t>
            </w:r>
            <w:r w:rsidRPr="002C5EC5">
              <w:rPr>
                <w:rFonts w:ascii="Verdana" w:hAnsi="Verdana"/>
                <w:sz w:val="16"/>
                <w:szCs w:val="16"/>
              </w:rPr>
              <w:t>3:96a, vierde lid, 3:96c, derde lid, en 3:96</w:t>
            </w:r>
            <w:r>
              <w:rPr>
                <w:rFonts w:ascii="Verdana" w:hAnsi="Verdana"/>
                <w:sz w:val="16"/>
                <w:szCs w:val="16"/>
              </w:rPr>
              <w:t xml:space="preserve">e </w:t>
            </w:r>
            <w:r w:rsidRPr="002C5EC5">
              <w:rPr>
                <w:rFonts w:ascii="Verdana" w:hAnsi="Verdana"/>
                <w:sz w:val="16"/>
                <w:szCs w:val="16"/>
              </w:rPr>
              <w:t>Wft</w:t>
            </w:r>
            <w:r>
              <w:rPr>
                <w:rFonts w:ascii="Verdana" w:hAnsi="Verdana"/>
                <w:sz w:val="16"/>
                <w:szCs w:val="16"/>
              </w:rPr>
              <w:t>)</w:t>
            </w:r>
          </w:p>
          <w:p w:rsidR="00334D7E" w:rsidP="00334D7E" w:rsidRDefault="00334D7E" w14:paraId="2A8FF404" w14:textId="77777777">
            <w:pPr>
              <w:spacing w:line="240" w:lineRule="atLeast"/>
              <w:rPr>
                <w:rFonts w:ascii="Verdana" w:hAnsi="Verdana"/>
                <w:sz w:val="16"/>
                <w:szCs w:val="16"/>
              </w:rPr>
            </w:pPr>
          </w:p>
          <w:p w:rsidR="00334D7E" w:rsidP="00334D7E" w:rsidRDefault="00334D7E" w14:paraId="6F910468" w14:textId="77777777">
            <w:pPr>
              <w:spacing w:line="240" w:lineRule="atLeast"/>
              <w:rPr>
                <w:rFonts w:ascii="Verdana" w:hAnsi="Verdana"/>
                <w:sz w:val="16"/>
                <w:szCs w:val="16"/>
              </w:rPr>
            </w:pPr>
          </w:p>
        </w:tc>
        <w:tc>
          <w:tcPr>
            <w:tcW w:w="1274" w:type="dxa"/>
          </w:tcPr>
          <w:p w:rsidRPr="002C5EC5" w:rsidR="00334D7E" w:rsidP="00334D7E" w:rsidRDefault="00334D7E" w14:paraId="29630A83"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5796F976" w14:textId="77777777">
            <w:pPr>
              <w:rPr>
                <w:rFonts w:ascii="Verdana" w:hAnsi="Verdana"/>
                <w:sz w:val="16"/>
                <w:szCs w:val="16"/>
              </w:rPr>
            </w:pPr>
          </w:p>
        </w:tc>
      </w:tr>
      <w:tr w:rsidR="00334D7E" w:rsidTr="00CA30A2" w14:paraId="375DE579" w14:textId="77777777">
        <w:tc>
          <w:tcPr>
            <w:tcW w:w="1552" w:type="dxa"/>
          </w:tcPr>
          <w:p w:rsidRPr="00DD0008" w:rsidR="00334D7E" w:rsidP="00334D7E" w:rsidRDefault="00334D7E" w14:paraId="034052BA" w14:textId="1BBA9961">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55B25D6B" w14:textId="77777777">
            <w:pPr>
              <w:rPr>
                <w:rFonts w:ascii="Verdana" w:hAnsi="Verdana"/>
                <w:sz w:val="16"/>
                <w:szCs w:val="16"/>
              </w:rPr>
            </w:pPr>
            <w:r w:rsidRPr="002C5EC5">
              <w:rPr>
                <w:rFonts w:ascii="Verdana" w:hAnsi="Verdana"/>
                <w:sz w:val="16"/>
                <w:szCs w:val="16"/>
              </w:rPr>
              <w:t>27 quater, vierde lid</w:t>
            </w:r>
            <w:r>
              <w:rPr>
                <w:rFonts w:ascii="Verdana" w:hAnsi="Verdana"/>
                <w:sz w:val="16"/>
                <w:szCs w:val="16"/>
              </w:rPr>
              <w:t>, eerste alinea</w:t>
            </w:r>
          </w:p>
        </w:tc>
        <w:tc>
          <w:tcPr>
            <w:tcW w:w="1625" w:type="dxa"/>
          </w:tcPr>
          <w:p w:rsidR="00334D7E" w:rsidP="00334D7E" w:rsidRDefault="00334D7E" w14:paraId="36B6C663" w14:textId="77777777">
            <w:pPr>
              <w:spacing w:line="240" w:lineRule="atLeast"/>
              <w:rPr>
                <w:rFonts w:ascii="Verdana" w:hAnsi="Verdana"/>
                <w:sz w:val="16"/>
                <w:szCs w:val="16"/>
              </w:rPr>
            </w:pPr>
            <w:r>
              <w:rPr>
                <w:rFonts w:ascii="Verdana" w:hAnsi="Verdana"/>
                <w:sz w:val="16"/>
                <w:szCs w:val="16"/>
              </w:rPr>
              <w:t>Artikel I, onderdeel D (</w:t>
            </w:r>
            <w:r w:rsidRPr="002C5EC5">
              <w:rPr>
                <w:rFonts w:ascii="Verdana" w:hAnsi="Verdana"/>
                <w:sz w:val="16"/>
                <w:szCs w:val="16"/>
              </w:rPr>
              <w:t>1:51, derde lid, Wft</w:t>
            </w:r>
            <w:r>
              <w:rPr>
                <w:rFonts w:ascii="Verdana" w:hAnsi="Verdana"/>
                <w:sz w:val="16"/>
                <w:szCs w:val="16"/>
              </w:rPr>
              <w:t>)</w:t>
            </w:r>
            <w:r w:rsidRPr="002C5EC5">
              <w:rPr>
                <w:rFonts w:ascii="Verdana" w:hAnsi="Verdana"/>
                <w:sz w:val="16"/>
                <w:szCs w:val="16"/>
              </w:rPr>
              <w:t xml:space="preserve"> </w:t>
            </w:r>
          </w:p>
          <w:p w:rsidR="00334D7E" w:rsidP="00334D7E" w:rsidRDefault="00334D7E" w14:paraId="1CE59FC1" w14:textId="77777777">
            <w:pPr>
              <w:spacing w:line="240" w:lineRule="atLeast"/>
              <w:rPr>
                <w:rFonts w:ascii="Verdana" w:hAnsi="Verdana"/>
                <w:sz w:val="16"/>
                <w:szCs w:val="16"/>
              </w:rPr>
            </w:pPr>
          </w:p>
          <w:p w:rsidR="00334D7E" w:rsidP="00334D7E" w:rsidRDefault="00334D7E" w14:paraId="302E7626" w14:textId="77777777">
            <w:pPr>
              <w:spacing w:line="240" w:lineRule="atLeast"/>
              <w:rPr>
                <w:rFonts w:ascii="Verdana" w:hAnsi="Verdana"/>
                <w:sz w:val="16"/>
                <w:szCs w:val="16"/>
              </w:rPr>
            </w:pPr>
          </w:p>
        </w:tc>
        <w:tc>
          <w:tcPr>
            <w:tcW w:w="1274" w:type="dxa"/>
          </w:tcPr>
          <w:p w:rsidRPr="002C5EC5" w:rsidR="00334D7E" w:rsidP="00334D7E" w:rsidRDefault="00334D7E" w14:paraId="01774AC7" w14:textId="77777777">
            <w:pPr>
              <w:rPr>
                <w:rFonts w:ascii="Verdana" w:hAnsi="Verdana"/>
                <w:sz w:val="16"/>
                <w:szCs w:val="16"/>
              </w:rPr>
            </w:pPr>
            <w:r w:rsidRPr="002C5EC5">
              <w:rPr>
                <w:rFonts w:ascii="Verdana" w:hAnsi="Verdana"/>
                <w:sz w:val="16"/>
                <w:szCs w:val="16"/>
              </w:rPr>
              <w:lastRenderedPageBreak/>
              <w:t>Geen</w:t>
            </w:r>
          </w:p>
        </w:tc>
        <w:tc>
          <w:tcPr>
            <w:tcW w:w="1422" w:type="dxa"/>
          </w:tcPr>
          <w:p w:rsidRPr="002C5EC5" w:rsidR="00334D7E" w:rsidP="00334D7E" w:rsidRDefault="00334D7E" w14:paraId="587C65E5" w14:textId="77777777">
            <w:pPr>
              <w:rPr>
                <w:rFonts w:ascii="Verdana" w:hAnsi="Verdana"/>
                <w:sz w:val="16"/>
                <w:szCs w:val="16"/>
              </w:rPr>
            </w:pPr>
          </w:p>
        </w:tc>
      </w:tr>
      <w:tr w:rsidR="00334D7E" w:rsidTr="00CA30A2" w14:paraId="6040A0AC" w14:textId="77777777">
        <w:tc>
          <w:tcPr>
            <w:tcW w:w="1552" w:type="dxa"/>
          </w:tcPr>
          <w:p w:rsidRPr="00DD0008" w:rsidR="00334D7E" w:rsidP="00334D7E" w:rsidRDefault="00334D7E" w14:paraId="28392BC0" w14:textId="2F82FE9C">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34502198" w14:textId="77777777">
            <w:pPr>
              <w:rPr>
                <w:rFonts w:ascii="Verdana" w:hAnsi="Verdana"/>
                <w:sz w:val="16"/>
                <w:szCs w:val="16"/>
              </w:rPr>
            </w:pPr>
            <w:r w:rsidRPr="002C5EC5">
              <w:rPr>
                <w:rFonts w:ascii="Verdana" w:hAnsi="Verdana"/>
                <w:sz w:val="16"/>
                <w:szCs w:val="16"/>
              </w:rPr>
              <w:t>27 quater, vierde lid, tweede alinea</w:t>
            </w:r>
            <w:r>
              <w:rPr>
                <w:rFonts w:ascii="Verdana" w:hAnsi="Verdana"/>
                <w:sz w:val="16"/>
                <w:szCs w:val="16"/>
              </w:rPr>
              <w:t>, eerste zin</w:t>
            </w:r>
          </w:p>
        </w:tc>
        <w:tc>
          <w:tcPr>
            <w:tcW w:w="1625" w:type="dxa"/>
          </w:tcPr>
          <w:p w:rsidR="00334D7E" w:rsidP="00334D7E" w:rsidRDefault="00334D7E" w14:paraId="01258A95" w14:textId="77777777">
            <w:pPr>
              <w:spacing w:line="240" w:lineRule="atLeast"/>
              <w:rPr>
                <w:rFonts w:ascii="Verdana" w:hAnsi="Verdana"/>
                <w:sz w:val="16"/>
                <w:szCs w:val="16"/>
              </w:rPr>
            </w:pPr>
            <w:r>
              <w:rPr>
                <w:rFonts w:ascii="Verdana" w:hAnsi="Verdana"/>
                <w:sz w:val="16"/>
                <w:szCs w:val="16"/>
              </w:rPr>
              <w:t>Volgt bij implementatieregeling</w:t>
            </w:r>
            <w:r w:rsidRPr="002C5EC5">
              <w:rPr>
                <w:rFonts w:ascii="Verdana" w:hAnsi="Verdana"/>
                <w:sz w:val="16"/>
                <w:szCs w:val="16"/>
              </w:rPr>
              <w:t xml:space="preserve"> </w:t>
            </w:r>
            <w:r>
              <w:rPr>
                <w:rFonts w:ascii="Verdana" w:hAnsi="Verdana"/>
                <w:sz w:val="16"/>
                <w:szCs w:val="16"/>
              </w:rPr>
              <w:t>(Bijlage 6 Rtt)</w:t>
            </w:r>
          </w:p>
        </w:tc>
        <w:tc>
          <w:tcPr>
            <w:tcW w:w="1274" w:type="dxa"/>
          </w:tcPr>
          <w:p w:rsidRPr="002C5EC5" w:rsidR="00334D7E" w:rsidP="00334D7E" w:rsidRDefault="00334D7E" w14:paraId="184218C0" w14:textId="77777777">
            <w:pPr>
              <w:rPr>
                <w:rFonts w:ascii="Verdana" w:hAnsi="Verdana"/>
                <w:sz w:val="16"/>
                <w:szCs w:val="16"/>
              </w:rPr>
            </w:pPr>
            <w:r w:rsidRPr="002368BF">
              <w:t xml:space="preserve">Geen </w:t>
            </w:r>
          </w:p>
        </w:tc>
        <w:tc>
          <w:tcPr>
            <w:tcW w:w="1422" w:type="dxa"/>
          </w:tcPr>
          <w:p w:rsidRPr="002C5EC5" w:rsidR="00334D7E" w:rsidP="00334D7E" w:rsidRDefault="00334D7E" w14:paraId="3ABC2E15" w14:textId="77777777">
            <w:pPr>
              <w:rPr>
                <w:rFonts w:ascii="Verdana" w:hAnsi="Verdana"/>
                <w:sz w:val="16"/>
                <w:szCs w:val="16"/>
              </w:rPr>
            </w:pPr>
          </w:p>
        </w:tc>
      </w:tr>
      <w:tr w:rsidR="00334D7E" w:rsidTr="00CA30A2" w14:paraId="51E9EFC7" w14:textId="77777777">
        <w:tc>
          <w:tcPr>
            <w:tcW w:w="1552" w:type="dxa"/>
          </w:tcPr>
          <w:p w:rsidRPr="00DD0008" w:rsidR="00334D7E" w:rsidP="00334D7E" w:rsidRDefault="00334D7E" w14:paraId="2A60E21E" w14:textId="5AC9AFD7">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61CF677F" w14:textId="77777777">
            <w:pPr>
              <w:rPr>
                <w:rFonts w:ascii="Verdana" w:hAnsi="Verdana"/>
                <w:sz w:val="16"/>
                <w:szCs w:val="16"/>
              </w:rPr>
            </w:pPr>
            <w:r w:rsidRPr="002C5EC5">
              <w:rPr>
                <w:rFonts w:ascii="Verdana" w:hAnsi="Verdana"/>
                <w:sz w:val="16"/>
                <w:szCs w:val="16"/>
              </w:rPr>
              <w:t>27 quater, vierde lid, tweede alinea</w:t>
            </w:r>
            <w:r>
              <w:rPr>
                <w:rFonts w:ascii="Verdana" w:hAnsi="Verdana"/>
                <w:sz w:val="16"/>
                <w:szCs w:val="16"/>
              </w:rPr>
              <w:t>, tweede zin</w:t>
            </w:r>
          </w:p>
        </w:tc>
        <w:tc>
          <w:tcPr>
            <w:tcW w:w="1625" w:type="dxa"/>
          </w:tcPr>
          <w:p w:rsidR="00334D7E" w:rsidP="00334D7E" w:rsidRDefault="00334D7E" w14:paraId="6CC261BA" w14:textId="77777777">
            <w:pPr>
              <w:spacing w:line="240" w:lineRule="atLeast"/>
              <w:rPr>
                <w:rFonts w:ascii="Verdana" w:hAnsi="Verdana"/>
                <w:sz w:val="16"/>
                <w:szCs w:val="16"/>
              </w:rPr>
            </w:pPr>
            <w:r>
              <w:rPr>
                <w:rFonts w:ascii="Verdana" w:hAnsi="Verdana"/>
                <w:sz w:val="16"/>
                <w:szCs w:val="16"/>
              </w:rPr>
              <w:t>Artikel I, onderdeel K (</w:t>
            </w:r>
            <w:r w:rsidRPr="002C5EC5">
              <w:rPr>
                <w:rFonts w:ascii="Verdana" w:hAnsi="Verdana"/>
                <w:sz w:val="16"/>
                <w:szCs w:val="16"/>
              </w:rPr>
              <w:t>1:106b, vierde lid, Wft</w:t>
            </w:r>
            <w:r>
              <w:rPr>
                <w:rFonts w:ascii="Verdana" w:hAnsi="Verdana"/>
                <w:sz w:val="16"/>
                <w:szCs w:val="16"/>
              </w:rPr>
              <w:t xml:space="preserve">) </w:t>
            </w:r>
          </w:p>
          <w:p w:rsidR="00334D7E" w:rsidP="00334D7E" w:rsidRDefault="00334D7E" w14:paraId="782C20AA" w14:textId="77777777">
            <w:pPr>
              <w:spacing w:line="240" w:lineRule="atLeast"/>
              <w:rPr>
                <w:rFonts w:ascii="Verdana" w:hAnsi="Verdana"/>
                <w:sz w:val="16"/>
                <w:szCs w:val="16"/>
              </w:rPr>
            </w:pPr>
          </w:p>
          <w:p w:rsidR="00334D7E" w:rsidP="00334D7E" w:rsidRDefault="00334D7E" w14:paraId="4FEE22F3" w14:textId="77777777">
            <w:pPr>
              <w:spacing w:line="240" w:lineRule="atLeast"/>
              <w:rPr>
                <w:rFonts w:ascii="Verdana" w:hAnsi="Verdana"/>
                <w:sz w:val="16"/>
                <w:szCs w:val="16"/>
              </w:rPr>
            </w:pPr>
          </w:p>
        </w:tc>
        <w:tc>
          <w:tcPr>
            <w:tcW w:w="1274" w:type="dxa"/>
          </w:tcPr>
          <w:p w:rsidRPr="002368BF" w:rsidR="00334D7E" w:rsidP="00334D7E" w:rsidRDefault="00334D7E" w14:paraId="7DBFB497" w14:textId="77777777">
            <w:r>
              <w:rPr>
                <w:rFonts w:ascii="Verdana" w:hAnsi="Verdana"/>
                <w:sz w:val="16"/>
                <w:szCs w:val="16"/>
              </w:rPr>
              <w:t>Geen</w:t>
            </w:r>
          </w:p>
        </w:tc>
        <w:tc>
          <w:tcPr>
            <w:tcW w:w="1422" w:type="dxa"/>
          </w:tcPr>
          <w:p w:rsidRPr="002C5EC5" w:rsidR="00334D7E" w:rsidP="00334D7E" w:rsidRDefault="00334D7E" w14:paraId="3E800FC6" w14:textId="77777777">
            <w:pPr>
              <w:rPr>
                <w:rFonts w:ascii="Verdana" w:hAnsi="Verdana"/>
                <w:sz w:val="16"/>
                <w:szCs w:val="16"/>
              </w:rPr>
            </w:pPr>
          </w:p>
        </w:tc>
      </w:tr>
      <w:tr w:rsidR="00334D7E" w:rsidTr="00CA30A2" w14:paraId="4E6E30E5" w14:textId="77777777">
        <w:tc>
          <w:tcPr>
            <w:tcW w:w="1552" w:type="dxa"/>
          </w:tcPr>
          <w:p w:rsidRPr="00DD0008" w:rsidR="00334D7E" w:rsidP="00334D7E" w:rsidRDefault="00334D7E" w14:paraId="16A07EC3" w14:textId="6ED3D958">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262BADAC" w14:textId="77777777">
            <w:pPr>
              <w:rPr>
                <w:rFonts w:ascii="Verdana" w:hAnsi="Verdana"/>
                <w:sz w:val="16"/>
                <w:szCs w:val="16"/>
              </w:rPr>
            </w:pPr>
            <w:r w:rsidRPr="002C5EC5">
              <w:rPr>
                <w:rFonts w:ascii="Verdana" w:hAnsi="Verdana"/>
                <w:sz w:val="16"/>
                <w:szCs w:val="16"/>
              </w:rPr>
              <w:t>27 quater, vijfde lid</w:t>
            </w:r>
          </w:p>
        </w:tc>
        <w:tc>
          <w:tcPr>
            <w:tcW w:w="1625" w:type="dxa"/>
          </w:tcPr>
          <w:p w:rsidR="00334D7E" w:rsidP="00334D7E" w:rsidRDefault="00334D7E" w14:paraId="74B2671D" w14:textId="77777777">
            <w:pPr>
              <w:spacing w:line="240" w:lineRule="atLeast"/>
              <w:rPr>
                <w:rFonts w:ascii="Verdana" w:hAnsi="Verdana"/>
                <w:sz w:val="16"/>
                <w:szCs w:val="16"/>
              </w:rPr>
            </w:pPr>
            <w:r w:rsidRPr="002C5EC5">
              <w:rPr>
                <w:rFonts w:ascii="Verdana" w:hAnsi="Verdana"/>
                <w:sz w:val="16"/>
                <w:szCs w:val="16"/>
              </w:rPr>
              <w:t>Behoeft naar zijn aard geen implementatie, bepaling gericht tot EBA</w:t>
            </w:r>
          </w:p>
        </w:tc>
        <w:tc>
          <w:tcPr>
            <w:tcW w:w="1274" w:type="dxa"/>
          </w:tcPr>
          <w:p w:rsidR="00334D7E" w:rsidP="00334D7E" w:rsidRDefault="00334D7E" w14:paraId="7B2AB63F"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309E92B0" w14:textId="77777777">
            <w:pPr>
              <w:rPr>
                <w:rFonts w:ascii="Verdana" w:hAnsi="Verdana"/>
                <w:sz w:val="16"/>
                <w:szCs w:val="16"/>
              </w:rPr>
            </w:pPr>
          </w:p>
        </w:tc>
      </w:tr>
      <w:tr w:rsidR="00334D7E" w:rsidTr="00CA30A2" w14:paraId="10EB7FF6" w14:textId="77777777">
        <w:tc>
          <w:tcPr>
            <w:tcW w:w="1552" w:type="dxa"/>
          </w:tcPr>
          <w:p w:rsidRPr="00DD0008" w:rsidR="00334D7E" w:rsidP="00334D7E" w:rsidRDefault="00334D7E" w14:paraId="74569B8D" w14:textId="28CB601C">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399A72AC" w14:textId="77777777">
            <w:pPr>
              <w:rPr>
                <w:rFonts w:ascii="Verdana" w:hAnsi="Verdana"/>
                <w:sz w:val="16"/>
                <w:szCs w:val="16"/>
              </w:rPr>
            </w:pPr>
            <w:r w:rsidRPr="002C5EC5">
              <w:rPr>
                <w:rFonts w:ascii="Verdana" w:hAnsi="Verdana"/>
                <w:sz w:val="16"/>
                <w:szCs w:val="16"/>
              </w:rPr>
              <w:t>27 quinquies</w:t>
            </w:r>
          </w:p>
        </w:tc>
        <w:tc>
          <w:tcPr>
            <w:tcW w:w="1625" w:type="dxa"/>
          </w:tcPr>
          <w:p w:rsidRPr="002C5EC5" w:rsidR="00334D7E" w:rsidP="00334D7E" w:rsidRDefault="00334D7E" w14:paraId="752E1376" w14:textId="77777777">
            <w:pPr>
              <w:spacing w:line="240" w:lineRule="atLeast"/>
              <w:rPr>
                <w:rFonts w:ascii="Verdana" w:hAnsi="Verdana"/>
                <w:sz w:val="16"/>
                <w:szCs w:val="16"/>
              </w:rPr>
            </w:pPr>
            <w:r>
              <w:rPr>
                <w:rFonts w:ascii="Verdana" w:hAnsi="Verdana"/>
                <w:sz w:val="16"/>
                <w:szCs w:val="16"/>
              </w:rPr>
              <w:t>Artikel I, onderdeel EEE (</w:t>
            </w:r>
            <w:r w:rsidRPr="002C5EC5">
              <w:rPr>
                <w:rFonts w:ascii="Verdana" w:hAnsi="Verdana"/>
                <w:sz w:val="16"/>
                <w:szCs w:val="16"/>
              </w:rPr>
              <w:t>3:96b, eerste lid, onderdeel a, en 3:96d, eerste lid, onderdeel a, Wft</w:t>
            </w:r>
            <w:r>
              <w:rPr>
                <w:rFonts w:ascii="Verdana" w:hAnsi="Verdana"/>
                <w:sz w:val="16"/>
                <w:szCs w:val="16"/>
              </w:rPr>
              <w:t>)</w:t>
            </w:r>
          </w:p>
        </w:tc>
        <w:tc>
          <w:tcPr>
            <w:tcW w:w="1274" w:type="dxa"/>
          </w:tcPr>
          <w:p w:rsidRPr="002C5EC5" w:rsidR="00334D7E" w:rsidP="00334D7E" w:rsidRDefault="00334D7E" w14:paraId="03AD940D"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351565B4" w14:textId="77777777">
            <w:pPr>
              <w:rPr>
                <w:rFonts w:ascii="Verdana" w:hAnsi="Verdana"/>
                <w:sz w:val="16"/>
                <w:szCs w:val="16"/>
              </w:rPr>
            </w:pPr>
          </w:p>
        </w:tc>
      </w:tr>
      <w:tr w:rsidR="00334D7E" w:rsidTr="00CA30A2" w14:paraId="7D4B1933" w14:textId="77777777">
        <w:tc>
          <w:tcPr>
            <w:tcW w:w="1552" w:type="dxa"/>
          </w:tcPr>
          <w:p w:rsidRPr="00DD0008" w:rsidR="00334D7E" w:rsidP="00334D7E" w:rsidRDefault="00334D7E" w14:paraId="3598C47A" w14:textId="442DB0ED">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40B65A6E" w14:textId="77777777">
            <w:pPr>
              <w:rPr>
                <w:rFonts w:ascii="Verdana" w:hAnsi="Verdana"/>
                <w:sz w:val="16"/>
                <w:szCs w:val="16"/>
              </w:rPr>
            </w:pPr>
            <w:r w:rsidRPr="002C5EC5">
              <w:rPr>
                <w:rFonts w:ascii="Verdana" w:hAnsi="Verdana"/>
                <w:sz w:val="16"/>
                <w:szCs w:val="16"/>
              </w:rPr>
              <w:t>27 sexies, eerste zin</w:t>
            </w:r>
          </w:p>
        </w:tc>
        <w:tc>
          <w:tcPr>
            <w:tcW w:w="1625" w:type="dxa"/>
          </w:tcPr>
          <w:p w:rsidR="00334D7E" w:rsidP="00334D7E" w:rsidRDefault="00334D7E" w14:paraId="2EB80D32" w14:textId="77777777">
            <w:pPr>
              <w:spacing w:line="240" w:lineRule="atLeast"/>
              <w:rPr>
                <w:rFonts w:ascii="Verdana" w:hAnsi="Verdana"/>
                <w:sz w:val="16"/>
                <w:szCs w:val="16"/>
              </w:rPr>
            </w:pPr>
            <w:r>
              <w:rPr>
                <w:rFonts w:ascii="Verdana" w:hAnsi="Verdana"/>
                <w:sz w:val="16"/>
                <w:szCs w:val="16"/>
              </w:rPr>
              <w:t xml:space="preserve">Artikel I, onderdeel LLLL (Bijlagen </w:t>
            </w:r>
            <w:r w:rsidRPr="002C5EC5">
              <w:rPr>
                <w:rFonts w:ascii="Verdana" w:hAnsi="Verdana"/>
                <w:sz w:val="16"/>
                <w:szCs w:val="16"/>
              </w:rPr>
              <w:t>behorende bij de artikel 1:79 en 1:80 Wft</w:t>
            </w:r>
            <w:r>
              <w:rPr>
                <w:rFonts w:ascii="Verdana" w:hAnsi="Verdana"/>
                <w:sz w:val="16"/>
                <w:szCs w:val="16"/>
              </w:rPr>
              <w:t>)</w:t>
            </w:r>
          </w:p>
        </w:tc>
        <w:tc>
          <w:tcPr>
            <w:tcW w:w="1274" w:type="dxa"/>
          </w:tcPr>
          <w:p w:rsidRPr="002C5EC5" w:rsidR="00334D7E" w:rsidP="00334D7E" w:rsidRDefault="00334D7E" w14:paraId="65DF0BD5"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38D5CDF6" w14:textId="77777777">
            <w:pPr>
              <w:rPr>
                <w:rFonts w:ascii="Verdana" w:hAnsi="Verdana"/>
                <w:sz w:val="16"/>
                <w:szCs w:val="16"/>
              </w:rPr>
            </w:pPr>
          </w:p>
        </w:tc>
      </w:tr>
      <w:tr w:rsidR="00334D7E" w:rsidTr="00CA30A2" w14:paraId="102A0928" w14:textId="77777777">
        <w:tc>
          <w:tcPr>
            <w:tcW w:w="1552" w:type="dxa"/>
          </w:tcPr>
          <w:p w:rsidRPr="00DD0008" w:rsidR="00334D7E" w:rsidP="00334D7E" w:rsidRDefault="00334D7E" w14:paraId="4512BAA1" w14:textId="3EC40650">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7A8E8B20" w14:textId="77777777">
            <w:pPr>
              <w:rPr>
                <w:rFonts w:ascii="Verdana" w:hAnsi="Verdana"/>
                <w:sz w:val="16"/>
                <w:szCs w:val="16"/>
              </w:rPr>
            </w:pPr>
            <w:r w:rsidRPr="002C5EC5">
              <w:rPr>
                <w:rFonts w:ascii="Verdana" w:hAnsi="Verdana"/>
                <w:sz w:val="16"/>
                <w:szCs w:val="16"/>
              </w:rPr>
              <w:t>27 sexies, tweede zin</w:t>
            </w:r>
          </w:p>
        </w:tc>
        <w:tc>
          <w:tcPr>
            <w:tcW w:w="1625" w:type="dxa"/>
          </w:tcPr>
          <w:p w:rsidR="00334D7E" w:rsidP="00334D7E" w:rsidRDefault="00334D7E" w14:paraId="497C4642" w14:textId="77777777">
            <w:pPr>
              <w:spacing w:line="240" w:lineRule="atLeast"/>
              <w:rPr>
                <w:rFonts w:ascii="Verdana" w:hAnsi="Verdana"/>
                <w:sz w:val="16"/>
                <w:szCs w:val="16"/>
              </w:rPr>
            </w:pPr>
            <w:r>
              <w:rPr>
                <w:rFonts w:ascii="Verdana" w:hAnsi="Verdana"/>
                <w:sz w:val="16"/>
                <w:szCs w:val="16"/>
              </w:rPr>
              <w:t>Artikel I, onderdelen I en KKK (</w:t>
            </w:r>
            <w:r w:rsidRPr="002C5EC5">
              <w:rPr>
                <w:rFonts w:ascii="Verdana" w:hAnsi="Verdana"/>
                <w:sz w:val="16"/>
                <w:szCs w:val="16"/>
              </w:rPr>
              <w:t>1:86 en 3:104, tweede lid, Wft</w:t>
            </w:r>
            <w:r>
              <w:rPr>
                <w:rFonts w:ascii="Verdana" w:hAnsi="Verdana"/>
                <w:sz w:val="16"/>
                <w:szCs w:val="16"/>
              </w:rPr>
              <w:t>)</w:t>
            </w:r>
          </w:p>
        </w:tc>
        <w:tc>
          <w:tcPr>
            <w:tcW w:w="1274" w:type="dxa"/>
          </w:tcPr>
          <w:p w:rsidRPr="002C5EC5" w:rsidR="00334D7E" w:rsidP="00334D7E" w:rsidRDefault="00334D7E" w14:paraId="3FA020BA"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7D1455BC" w14:textId="77777777">
            <w:pPr>
              <w:rPr>
                <w:rFonts w:ascii="Verdana" w:hAnsi="Verdana"/>
                <w:sz w:val="16"/>
                <w:szCs w:val="16"/>
              </w:rPr>
            </w:pPr>
          </w:p>
        </w:tc>
      </w:tr>
      <w:tr w:rsidR="00334D7E" w:rsidTr="00CA30A2" w14:paraId="541913B1" w14:textId="77777777">
        <w:tc>
          <w:tcPr>
            <w:tcW w:w="1552" w:type="dxa"/>
          </w:tcPr>
          <w:p w:rsidRPr="00DD0008" w:rsidR="00334D7E" w:rsidP="00334D7E" w:rsidRDefault="00334D7E" w14:paraId="37AE00C0" w14:textId="1DEDFC7B">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295F8896" w14:textId="77777777">
            <w:pPr>
              <w:rPr>
                <w:rFonts w:ascii="Verdana" w:hAnsi="Verdana"/>
                <w:sz w:val="16"/>
                <w:szCs w:val="16"/>
              </w:rPr>
            </w:pPr>
            <w:r w:rsidRPr="002C5EC5">
              <w:rPr>
                <w:rFonts w:ascii="Verdana" w:hAnsi="Verdana"/>
                <w:sz w:val="16"/>
                <w:szCs w:val="16"/>
              </w:rPr>
              <w:t>27 septies, eerste lid</w:t>
            </w:r>
          </w:p>
        </w:tc>
        <w:tc>
          <w:tcPr>
            <w:tcW w:w="1625" w:type="dxa"/>
          </w:tcPr>
          <w:p w:rsidR="00334D7E" w:rsidP="00334D7E" w:rsidRDefault="00334D7E" w14:paraId="5107BD3B" w14:textId="77777777">
            <w:pPr>
              <w:spacing w:line="240" w:lineRule="atLeast"/>
              <w:rPr>
                <w:rFonts w:ascii="Verdana" w:hAnsi="Verdana"/>
                <w:sz w:val="16"/>
                <w:szCs w:val="16"/>
              </w:rPr>
            </w:pPr>
            <w:r>
              <w:rPr>
                <w:rFonts w:ascii="Verdana" w:hAnsi="Verdana"/>
                <w:sz w:val="16"/>
                <w:szCs w:val="16"/>
              </w:rPr>
              <w:t>Artikel I, onderdeel EEE (</w:t>
            </w:r>
            <w:r w:rsidRPr="002C5EC5">
              <w:rPr>
                <w:rFonts w:ascii="Verdana" w:hAnsi="Verdana"/>
                <w:sz w:val="16"/>
                <w:szCs w:val="16"/>
              </w:rPr>
              <w:t>3:96b, eerste lid, en 3:96d, eerste lid, Wft</w:t>
            </w:r>
            <w:r>
              <w:rPr>
                <w:rFonts w:ascii="Verdana" w:hAnsi="Verdana"/>
                <w:sz w:val="16"/>
                <w:szCs w:val="16"/>
              </w:rPr>
              <w:t>)</w:t>
            </w:r>
          </w:p>
        </w:tc>
        <w:tc>
          <w:tcPr>
            <w:tcW w:w="1274" w:type="dxa"/>
          </w:tcPr>
          <w:p w:rsidRPr="002C5EC5" w:rsidR="00334D7E" w:rsidP="00334D7E" w:rsidRDefault="00334D7E" w14:paraId="30F35900"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02AA234E" w14:textId="77777777">
            <w:pPr>
              <w:rPr>
                <w:rFonts w:ascii="Verdana" w:hAnsi="Verdana"/>
                <w:sz w:val="16"/>
                <w:szCs w:val="16"/>
              </w:rPr>
            </w:pPr>
          </w:p>
        </w:tc>
      </w:tr>
      <w:tr w:rsidR="00334D7E" w:rsidTr="00CA30A2" w14:paraId="3C4E9E51" w14:textId="77777777">
        <w:tc>
          <w:tcPr>
            <w:tcW w:w="1552" w:type="dxa"/>
          </w:tcPr>
          <w:p w:rsidRPr="00DD0008" w:rsidR="00334D7E" w:rsidP="00334D7E" w:rsidRDefault="00334D7E" w14:paraId="61155B85" w14:textId="4BCB12C4">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0B64F594" w14:textId="77777777">
            <w:pPr>
              <w:rPr>
                <w:rFonts w:ascii="Verdana" w:hAnsi="Verdana"/>
                <w:sz w:val="16"/>
                <w:szCs w:val="16"/>
              </w:rPr>
            </w:pPr>
            <w:r w:rsidRPr="002C5EC5">
              <w:rPr>
                <w:rFonts w:ascii="Verdana" w:hAnsi="Verdana"/>
                <w:sz w:val="16"/>
                <w:szCs w:val="16"/>
              </w:rPr>
              <w:t>27 septies, tweede lid</w:t>
            </w:r>
          </w:p>
        </w:tc>
        <w:tc>
          <w:tcPr>
            <w:tcW w:w="1625" w:type="dxa"/>
          </w:tcPr>
          <w:p w:rsidR="00334D7E" w:rsidP="00334D7E" w:rsidRDefault="00334D7E" w14:paraId="3B2DF6B3" w14:textId="77777777">
            <w:pPr>
              <w:spacing w:line="240" w:lineRule="atLeast"/>
              <w:rPr>
                <w:rFonts w:ascii="Verdana" w:hAnsi="Verdana"/>
                <w:sz w:val="16"/>
                <w:szCs w:val="16"/>
              </w:rPr>
            </w:pPr>
            <w:r>
              <w:rPr>
                <w:rFonts w:ascii="Verdana" w:hAnsi="Verdana"/>
                <w:sz w:val="16"/>
                <w:szCs w:val="16"/>
              </w:rPr>
              <w:t>Artikel I, onderdeel EEE (</w:t>
            </w:r>
            <w:r w:rsidRPr="002C5EC5">
              <w:rPr>
                <w:rFonts w:ascii="Verdana" w:hAnsi="Verdana"/>
                <w:sz w:val="16"/>
                <w:szCs w:val="16"/>
              </w:rPr>
              <w:t>3:96b, eerste lid, en 3:96d, eerste lid, Wft</w:t>
            </w:r>
            <w:r>
              <w:rPr>
                <w:rFonts w:ascii="Verdana" w:hAnsi="Verdana"/>
                <w:sz w:val="16"/>
                <w:szCs w:val="16"/>
              </w:rPr>
              <w:t>)</w:t>
            </w:r>
          </w:p>
        </w:tc>
        <w:tc>
          <w:tcPr>
            <w:tcW w:w="1274" w:type="dxa"/>
          </w:tcPr>
          <w:p w:rsidRPr="002C5EC5" w:rsidR="00334D7E" w:rsidP="00334D7E" w:rsidRDefault="00334D7E" w14:paraId="6D5DF2E3"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483BE1B4" w14:textId="77777777">
            <w:pPr>
              <w:rPr>
                <w:rFonts w:ascii="Verdana" w:hAnsi="Verdana"/>
                <w:sz w:val="16"/>
                <w:szCs w:val="16"/>
              </w:rPr>
            </w:pPr>
          </w:p>
        </w:tc>
      </w:tr>
      <w:tr w:rsidR="00334D7E" w:rsidTr="00CA30A2" w14:paraId="3A960AEB" w14:textId="77777777">
        <w:tc>
          <w:tcPr>
            <w:tcW w:w="1552" w:type="dxa"/>
          </w:tcPr>
          <w:p w:rsidRPr="00DD0008" w:rsidR="00334D7E" w:rsidP="00334D7E" w:rsidRDefault="00334D7E" w14:paraId="2F1C60CB" w14:textId="1A6570DE">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6EBA1DA4" w14:textId="77777777">
            <w:pPr>
              <w:rPr>
                <w:rFonts w:ascii="Verdana" w:hAnsi="Verdana"/>
                <w:sz w:val="16"/>
                <w:szCs w:val="16"/>
              </w:rPr>
            </w:pPr>
            <w:r w:rsidRPr="002C5EC5">
              <w:rPr>
                <w:rFonts w:ascii="Verdana" w:hAnsi="Verdana"/>
                <w:sz w:val="16"/>
                <w:szCs w:val="16"/>
              </w:rPr>
              <w:t>27 septies, derde lid</w:t>
            </w:r>
          </w:p>
        </w:tc>
        <w:tc>
          <w:tcPr>
            <w:tcW w:w="1625" w:type="dxa"/>
          </w:tcPr>
          <w:p w:rsidR="00334D7E" w:rsidP="00334D7E" w:rsidRDefault="00334D7E" w14:paraId="75100ADF" w14:textId="77777777">
            <w:pPr>
              <w:spacing w:line="240" w:lineRule="atLeast"/>
              <w:rPr>
                <w:rFonts w:ascii="Verdana" w:hAnsi="Verdana"/>
                <w:sz w:val="16"/>
                <w:szCs w:val="16"/>
              </w:rPr>
            </w:pPr>
            <w:r>
              <w:rPr>
                <w:rFonts w:ascii="Verdana" w:hAnsi="Verdana"/>
                <w:sz w:val="16"/>
                <w:szCs w:val="16"/>
              </w:rPr>
              <w:t>Artikel I, onderdeel K (</w:t>
            </w:r>
            <w:r w:rsidRPr="002C5EC5">
              <w:rPr>
                <w:rFonts w:ascii="Verdana" w:hAnsi="Verdana"/>
                <w:sz w:val="16"/>
                <w:szCs w:val="16"/>
              </w:rPr>
              <w:t>1:106b, eerste lid, Wft</w:t>
            </w:r>
            <w:r>
              <w:rPr>
                <w:rFonts w:ascii="Verdana" w:hAnsi="Verdana"/>
                <w:sz w:val="16"/>
                <w:szCs w:val="16"/>
              </w:rPr>
              <w:t>)</w:t>
            </w:r>
          </w:p>
        </w:tc>
        <w:tc>
          <w:tcPr>
            <w:tcW w:w="1274" w:type="dxa"/>
          </w:tcPr>
          <w:p w:rsidRPr="002C5EC5" w:rsidR="00334D7E" w:rsidP="00334D7E" w:rsidRDefault="00334D7E" w14:paraId="037DF53E"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1235F21D" w14:textId="77777777">
            <w:pPr>
              <w:rPr>
                <w:rFonts w:ascii="Verdana" w:hAnsi="Verdana"/>
                <w:sz w:val="16"/>
                <w:szCs w:val="16"/>
              </w:rPr>
            </w:pPr>
          </w:p>
        </w:tc>
      </w:tr>
      <w:tr w:rsidR="00334D7E" w:rsidTr="00CA30A2" w14:paraId="1386E9A3" w14:textId="77777777">
        <w:tc>
          <w:tcPr>
            <w:tcW w:w="1552" w:type="dxa"/>
          </w:tcPr>
          <w:p w:rsidRPr="00DD0008" w:rsidR="00334D7E" w:rsidP="00334D7E" w:rsidRDefault="00334D7E" w14:paraId="292D9EAE" w14:textId="7F984F5D">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562D53B9" w14:textId="77777777">
            <w:pPr>
              <w:rPr>
                <w:rFonts w:ascii="Verdana" w:hAnsi="Verdana"/>
                <w:sz w:val="16"/>
                <w:szCs w:val="16"/>
              </w:rPr>
            </w:pPr>
            <w:r w:rsidRPr="002C5EC5">
              <w:rPr>
                <w:rFonts w:ascii="Verdana" w:hAnsi="Verdana"/>
                <w:sz w:val="16"/>
                <w:szCs w:val="16"/>
              </w:rPr>
              <w:t>27 octies</w:t>
            </w:r>
          </w:p>
        </w:tc>
        <w:tc>
          <w:tcPr>
            <w:tcW w:w="1625" w:type="dxa"/>
          </w:tcPr>
          <w:p w:rsidR="00334D7E" w:rsidP="00334D7E" w:rsidRDefault="00334D7E" w14:paraId="23F1CA3C" w14:textId="77777777">
            <w:pPr>
              <w:spacing w:line="240" w:lineRule="atLeast"/>
              <w:rPr>
                <w:rFonts w:ascii="Verdana" w:hAnsi="Verdana"/>
                <w:sz w:val="16"/>
                <w:szCs w:val="16"/>
              </w:rPr>
            </w:pPr>
            <w:r>
              <w:rPr>
                <w:rFonts w:ascii="Verdana" w:hAnsi="Verdana"/>
                <w:sz w:val="16"/>
                <w:szCs w:val="16"/>
              </w:rPr>
              <w:t xml:space="preserve">Artikel I, onderdeel LLLL (Bijlagen </w:t>
            </w:r>
            <w:r w:rsidRPr="002C5EC5">
              <w:rPr>
                <w:rFonts w:ascii="Verdana" w:hAnsi="Verdana"/>
                <w:sz w:val="16"/>
                <w:szCs w:val="16"/>
              </w:rPr>
              <w:t>behorende bij de artikel 1:79 en 1:80 Wft</w:t>
            </w:r>
            <w:r>
              <w:rPr>
                <w:rFonts w:ascii="Verdana" w:hAnsi="Verdana"/>
                <w:sz w:val="16"/>
                <w:szCs w:val="16"/>
              </w:rPr>
              <w:t>)</w:t>
            </w:r>
          </w:p>
        </w:tc>
        <w:tc>
          <w:tcPr>
            <w:tcW w:w="1274" w:type="dxa"/>
          </w:tcPr>
          <w:p w:rsidRPr="002C5EC5" w:rsidR="00334D7E" w:rsidP="00334D7E" w:rsidRDefault="00334D7E" w14:paraId="0DE8141A"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1B57D4AE" w14:textId="77777777">
            <w:pPr>
              <w:rPr>
                <w:rFonts w:ascii="Verdana" w:hAnsi="Verdana"/>
                <w:sz w:val="16"/>
                <w:szCs w:val="16"/>
              </w:rPr>
            </w:pPr>
          </w:p>
        </w:tc>
      </w:tr>
      <w:tr w:rsidR="00334D7E" w:rsidTr="00CA30A2" w14:paraId="3695D33A" w14:textId="77777777">
        <w:tc>
          <w:tcPr>
            <w:tcW w:w="1552" w:type="dxa"/>
          </w:tcPr>
          <w:p w:rsidRPr="00DD0008" w:rsidR="00334D7E" w:rsidP="00334D7E" w:rsidRDefault="00334D7E" w14:paraId="39BDBE33" w14:textId="067B28EF">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3F3675E8" w14:textId="77777777">
            <w:pPr>
              <w:rPr>
                <w:rFonts w:ascii="Verdana" w:hAnsi="Verdana"/>
                <w:sz w:val="16"/>
                <w:szCs w:val="16"/>
              </w:rPr>
            </w:pPr>
            <w:r w:rsidRPr="002C5EC5">
              <w:rPr>
                <w:rFonts w:ascii="Verdana" w:hAnsi="Verdana"/>
                <w:sz w:val="16"/>
                <w:szCs w:val="16"/>
              </w:rPr>
              <w:t>27 nonies</w:t>
            </w:r>
          </w:p>
        </w:tc>
        <w:tc>
          <w:tcPr>
            <w:tcW w:w="1625" w:type="dxa"/>
          </w:tcPr>
          <w:p w:rsidR="00334D7E" w:rsidP="00334D7E" w:rsidRDefault="00334D7E" w14:paraId="275614C8" w14:textId="77777777">
            <w:pPr>
              <w:spacing w:line="240" w:lineRule="atLeast"/>
              <w:rPr>
                <w:rFonts w:ascii="Verdana" w:hAnsi="Verdana"/>
                <w:sz w:val="16"/>
                <w:szCs w:val="16"/>
              </w:rPr>
            </w:pPr>
            <w:r>
              <w:rPr>
                <w:rFonts w:ascii="Verdana" w:hAnsi="Verdana"/>
                <w:sz w:val="16"/>
                <w:szCs w:val="16"/>
              </w:rPr>
              <w:t>Artikel I, onderdeel EEE (</w:t>
            </w:r>
            <w:r w:rsidRPr="002C5EC5">
              <w:rPr>
                <w:rFonts w:ascii="Verdana" w:hAnsi="Verdana"/>
                <w:sz w:val="16"/>
                <w:szCs w:val="16"/>
              </w:rPr>
              <w:t>3:96a, eerste lid, en 3:96c, eerste lid, Wft</w:t>
            </w:r>
            <w:r>
              <w:rPr>
                <w:rFonts w:ascii="Verdana" w:hAnsi="Verdana"/>
                <w:sz w:val="16"/>
                <w:szCs w:val="16"/>
              </w:rPr>
              <w:t>)</w:t>
            </w:r>
          </w:p>
        </w:tc>
        <w:tc>
          <w:tcPr>
            <w:tcW w:w="1274" w:type="dxa"/>
          </w:tcPr>
          <w:p w:rsidRPr="002C5EC5" w:rsidR="00334D7E" w:rsidP="00334D7E" w:rsidRDefault="00334D7E" w14:paraId="2C680BC8"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2E98CA4E" w14:textId="77777777">
            <w:pPr>
              <w:rPr>
                <w:rFonts w:ascii="Verdana" w:hAnsi="Verdana"/>
                <w:sz w:val="16"/>
                <w:szCs w:val="16"/>
              </w:rPr>
            </w:pPr>
          </w:p>
        </w:tc>
      </w:tr>
      <w:tr w:rsidR="00334D7E" w:rsidTr="00CA30A2" w14:paraId="45BECC35" w14:textId="77777777">
        <w:tc>
          <w:tcPr>
            <w:tcW w:w="1552" w:type="dxa"/>
          </w:tcPr>
          <w:p w:rsidRPr="00DD0008" w:rsidR="00334D7E" w:rsidP="00334D7E" w:rsidRDefault="00334D7E" w14:paraId="2CD51716" w14:textId="08E9EA67">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05E3779E" w14:textId="77777777">
            <w:pPr>
              <w:rPr>
                <w:rFonts w:ascii="Verdana" w:hAnsi="Verdana"/>
                <w:sz w:val="16"/>
                <w:szCs w:val="16"/>
              </w:rPr>
            </w:pPr>
            <w:r w:rsidRPr="002C5EC5">
              <w:rPr>
                <w:rFonts w:ascii="Verdana" w:hAnsi="Verdana"/>
                <w:sz w:val="16"/>
                <w:szCs w:val="16"/>
              </w:rPr>
              <w:t>27 decies, eerste lid</w:t>
            </w:r>
          </w:p>
        </w:tc>
        <w:tc>
          <w:tcPr>
            <w:tcW w:w="1625" w:type="dxa"/>
          </w:tcPr>
          <w:p w:rsidR="00334D7E" w:rsidP="00334D7E" w:rsidRDefault="00334D7E" w14:paraId="0270ACF6" w14:textId="77777777">
            <w:pPr>
              <w:spacing w:line="240" w:lineRule="atLeast"/>
              <w:rPr>
                <w:rFonts w:ascii="Verdana" w:hAnsi="Verdana"/>
                <w:sz w:val="16"/>
                <w:szCs w:val="16"/>
              </w:rPr>
            </w:pPr>
            <w:r>
              <w:rPr>
                <w:rFonts w:ascii="Verdana" w:hAnsi="Verdana"/>
                <w:sz w:val="16"/>
                <w:szCs w:val="16"/>
              </w:rPr>
              <w:t>Artikel I, onderdeel EEE (</w:t>
            </w:r>
            <w:r w:rsidRPr="002C5EC5">
              <w:rPr>
                <w:rFonts w:ascii="Verdana" w:hAnsi="Verdana"/>
                <w:sz w:val="16"/>
                <w:szCs w:val="16"/>
              </w:rPr>
              <w:t>3:96a, eerste en vijfde lid, en 3:96c, eerste en vierde lid, Wft</w:t>
            </w:r>
            <w:r>
              <w:rPr>
                <w:rFonts w:ascii="Verdana" w:hAnsi="Verdana"/>
                <w:sz w:val="16"/>
                <w:szCs w:val="16"/>
              </w:rPr>
              <w:t>)</w:t>
            </w:r>
          </w:p>
        </w:tc>
        <w:tc>
          <w:tcPr>
            <w:tcW w:w="1274" w:type="dxa"/>
          </w:tcPr>
          <w:p w:rsidRPr="002C5EC5" w:rsidR="00334D7E" w:rsidP="00334D7E" w:rsidRDefault="00334D7E" w14:paraId="37A81490"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46299ED3" w14:textId="77777777">
            <w:pPr>
              <w:rPr>
                <w:rFonts w:ascii="Verdana" w:hAnsi="Verdana"/>
                <w:sz w:val="16"/>
                <w:szCs w:val="16"/>
              </w:rPr>
            </w:pPr>
          </w:p>
        </w:tc>
      </w:tr>
      <w:tr w:rsidR="00334D7E" w:rsidTr="00CA30A2" w14:paraId="3FEEDCBC" w14:textId="77777777">
        <w:tc>
          <w:tcPr>
            <w:tcW w:w="1552" w:type="dxa"/>
          </w:tcPr>
          <w:p w:rsidRPr="00DD0008" w:rsidR="00334D7E" w:rsidP="00334D7E" w:rsidRDefault="00334D7E" w14:paraId="43ACF900" w14:textId="665D33B3">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5DD9567B" w14:textId="77777777">
            <w:pPr>
              <w:rPr>
                <w:rFonts w:ascii="Verdana" w:hAnsi="Verdana"/>
                <w:sz w:val="16"/>
                <w:szCs w:val="16"/>
              </w:rPr>
            </w:pPr>
            <w:r w:rsidRPr="002C5EC5">
              <w:rPr>
                <w:rFonts w:ascii="Verdana" w:hAnsi="Verdana"/>
                <w:sz w:val="16"/>
                <w:szCs w:val="16"/>
              </w:rPr>
              <w:t>27 decies, tweede lid</w:t>
            </w:r>
          </w:p>
        </w:tc>
        <w:tc>
          <w:tcPr>
            <w:tcW w:w="1625" w:type="dxa"/>
          </w:tcPr>
          <w:p w:rsidR="00334D7E" w:rsidP="00334D7E" w:rsidRDefault="00334D7E" w14:paraId="75D79295" w14:textId="77777777">
            <w:pPr>
              <w:spacing w:line="240" w:lineRule="atLeast"/>
              <w:rPr>
                <w:rFonts w:ascii="Verdana" w:hAnsi="Verdana"/>
                <w:sz w:val="16"/>
                <w:szCs w:val="16"/>
              </w:rPr>
            </w:pPr>
            <w:r>
              <w:rPr>
                <w:rFonts w:ascii="Verdana" w:hAnsi="Verdana"/>
                <w:sz w:val="16"/>
                <w:szCs w:val="16"/>
              </w:rPr>
              <w:t>Artikel I, onderdeel III (</w:t>
            </w:r>
            <w:r w:rsidRPr="002C5EC5">
              <w:rPr>
                <w:rFonts w:ascii="Verdana" w:hAnsi="Verdana"/>
                <w:sz w:val="16"/>
                <w:szCs w:val="16"/>
              </w:rPr>
              <w:t>3:101a, vierde lid, onderdeel b, Wft</w:t>
            </w:r>
            <w:r>
              <w:rPr>
                <w:rFonts w:ascii="Verdana" w:hAnsi="Verdana"/>
                <w:sz w:val="16"/>
                <w:szCs w:val="16"/>
              </w:rPr>
              <w:t>)</w:t>
            </w:r>
          </w:p>
        </w:tc>
        <w:tc>
          <w:tcPr>
            <w:tcW w:w="1274" w:type="dxa"/>
          </w:tcPr>
          <w:p w:rsidRPr="002C5EC5" w:rsidR="00334D7E" w:rsidP="00334D7E" w:rsidRDefault="00334D7E" w14:paraId="6A1F5F87"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50A0B28E" w14:textId="77777777">
            <w:pPr>
              <w:rPr>
                <w:rFonts w:ascii="Verdana" w:hAnsi="Verdana"/>
                <w:sz w:val="16"/>
                <w:szCs w:val="16"/>
              </w:rPr>
            </w:pPr>
          </w:p>
        </w:tc>
      </w:tr>
      <w:tr w:rsidR="00334D7E" w:rsidTr="00CA30A2" w14:paraId="0AC7D993" w14:textId="77777777">
        <w:tc>
          <w:tcPr>
            <w:tcW w:w="1552" w:type="dxa"/>
          </w:tcPr>
          <w:p w:rsidRPr="00DD0008" w:rsidR="00334D7E" w:rsidP="00334D7E" w:rsidRDefault="00334D7E" w14:paraId="4996E865" w14:textId="1C5FFEDC">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3D5E4B33" w14:textId="77777777">
            <w:pPr>
              <w:rPr>
                <w:rFonts w:ascii="Verdana" w:hAnsi="Verdana"/>
                <w:sz w:val="16"/>
                <w:szCs w:val="16"/>
              </w:rPr>
            </w:pPr>
            <w:r w:rsidRPr="002C5EC5">
              <w:rPr>
                <w:rFonts w:ascii="Verdana" w:hAnsi="Verdana"/>
                <w:sz w:val="16"/>
                <w:szCs w:val="16"/>
              </w:rPr>
              <w:t>27 decies, derde lid</w:t>
            </w:r>
          </w:p>
        </w:tc>
        <w:tc>
          <w:tcPr>
            <w:tcW w:w="1625" w:type="dxa"/>
          </w:tcPr>
          <w:p w:rsidR="00334D7E" w:rsidP="00334D7E" w:rsidRDefault="00334D7E" w14:paraId="6577BB91" w14:textId="77777777">
            <w:pPr>
              <w:spacing w:line="240" w:lineRule="atLeast"/>
              <w:rPr>
                <w:rFonts w:ascii="Verdana" w:hAnsi="Verdana"/>
                <w:sz w:val="16"/>
                <w:szCs w:val="16"/>
              </w:rPr>
            </w:pPr>
            <w:r>
              <w:rPr>
                <w:rFonts w:ascii="Verdana" w:hAnsi="Verdana"/>
                <w:sz w:val="16"/>
                <w:szCs w:val="16"/>
              </w:rPr>
              <w:t>Artikel I, onderdeel K (</w:t>
            </w:r>
            <w:r w:rsidRPr="002C5EC5">
              <w:rPr>
                <w:rFonts w:ascii="Verdana" w:hAnsi="Verdana"/>
                <w:sz w:val="16"/>
                <w:szCs w:val="16"/>
              </w:rPr>
              <w:t>1:106b, zesde lid, Wft</w:t>
            </w:r>
            <w:r>
              <w:rPr>
                <w:rFonts w:ascii="Verdana" w:hAnsi="Verdana"/>
                <w:sz w:val="16"/>
                <w:szCs w:val="16"/>
              </w:rPr>
              <w:t>)</w:t>
            </w:r>
          </w:p>
        </w:tc>
        <w:tc>
          <w:tcPr>
            <w:tcW w:w="1274" w:type="dxa"/>
          </w:tcPr>
          <w:p w:rsidRPr="002C5EC5" w:rsidR="00334D7E" w:rsidP="00334D7E" w:rsidRDefault="00334D7E" w14:paraId="3D6393ED"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302EB44E" w14:textId="77777777">
            <w:pPr>
              <w:rPr>
                <w:rFonts w:ascii="Verdana" w:hAnsi="Verdana"/>
                <w:sz w:val="16"/>
                <w:szCs w:val="16"/>
              </w:rPr>
            </w:pPr>
          </w:p>
        </w:tc>
      </w:tr>
      <w:tr w:rsidR="00334D7E" w:rsidTr="00CA30A2" w14:paraId="0CF4702B" w14:textId="77777777">
        <w:tc>
          <w:tcPr>
            <w:tcW w:w="1552" w:type="dxa"/>
          </w:tcPr>
          <w:p w:rsidRPr="00DD0008" w:rsidR="00334D7E" w:rsidP="00334D7E" w:rsidRDefault="00334D7E" w14:paraId="2FF28996" w14:textId="6A9200DF">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06950747" w14:textId="77777777">
            <w:pPr>
              <w:rPr>
                <w:rFonts w:ascii="Verdana" w:hAnsi="Verdana"/>
                <w:sz w:val="16"/>
                <w:szCs w:val="16"/>
              </w:rPr>
            </w:pPr>
            <w:r w:rsidRPr="002C5EC5">
              <w:rPr>
                <w:rFonts w:ascii="Verdana" w:hAnsi="Verdana"/>
                <w:sz w:val="16"/>
                <w:szCs w:val="16"/>
              </w:rPr>
              <w:t>27 decies, vierde lid, eerste alinea</w:t>
            </w:r>
          </w:p>
        </w:tc>
        <w:tc>
          <w:tcPr>
            <w:tcW w:w="1625" w:type="dxa"/>
          </w:tcPr>
          <w:p w:rsidR="00334D7E" w:rsidP="00334D7E" w:rsidRDefault="00334D7E" w14:paraId="1E44E2B8" w14:textId="77777777">
            <w:pPr>
              <w:spacing w:line="240" w:lineRule="atLeast"/>
              <w:rPr>
                <w:rFonts w:ascii="Verdana" w:hAnsi="Verdana"/>
                <w:sz w:val="16"/>
                <w:szCs w:val="16"/>
              </w:rPr>
            </w:pPr>
            <w:r>
              <w:rPr>
                <w:rFonts w:ascii="Verdana" w:hAnsi="Verdana"/>
                <w:sz w:val="16"/>
                <w:szCs w:val="16"/>
              </w:rPr>
              <w:t>Artikel I, onderdeel K (</w:t>
            </w:r>
            <w:r w:rsidRPr="002C5EC5">
              <w:rPr>
                <w:rFonts w:ascii="Verdana" w:hAnsi="Verdana"/>
                <w:sz w:val="16"/>
                <w:szCs w:val="16"/>
              </w:rPr>
              <w:t>1:106b, eerste lid, Wft</w:t>
            </w:r>
            <w:r>
              <w:rPr>
                <w:rFonts w:ascii="Verdana" w:hAnsi="Verdana"/>
                <w:sz w:val="16"/>
                <w:szCs w:val="16"/>
              </w:rPr>
              <w:t>)</w:t>
            </w:r>
          </w:p>
        </w:tc>
        <w:tc>
          <w:tcPr>
            <w:tcW w:w="1274" w:type="dxa"/>
          </w:tcPr>
          <w:p w:rsidRPr="002C5EC5" w:rsidR="00334D7E" w:rsidP="00334D7E" w:rsidRDefault="00334D7E" w14:paraId="53BA81F6"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3518A165" w14:textId="77777777">
            <w:pPr>
              <w:rPr>
                <w:rFonts w:ascii="Verdana" w:hAnsi="Verdana"/>
                <w:sz w:val="16"/>
                <w:szCs w:val="16"/>
              </w:rPr>
            </w:pPr>
          </w:p>
        </w:tc>
      </w:tr>
      <w:tr w:rsidR="00334D7E" w:rsidTr="00CA30A2" w14:paraId="6B3DFD1C" w14:textId="77777777">
        <w:tc>
          <w:tcPr>
            <w:tcW w:w="1552" w:type="dxa"/>
          </w:tcPr>
          <w:p w:rsidRPr="00DD0008" w:rsidR="00334D7E" w:rsidP="00334D7E" w:rsidRDefault="00334D7E" w14:paraId="187FD83F" w14:textId="51683D57">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7B97AC52" w14:textId="77777777">
            <w:pPr>
              <w:rPr>
                <w:rFonts w:ascii="Verdana" w:hAnsi="Verdana"/>
                <w:sz w:val="16"/>
                <w:szCs w:val="16"/>
              </w:rPr>
            </w:pPr>
            <w:r w:rsidRPr="002C5EC5">
              <w:rPr>
                <w:rFonts w:ascii="Verdana" w:hAnsi="Verdana"/>
                <w:sz w:val="16"/>
                <w:szCs w:val="16"/>
              </w:rPr>
              <w:t>27 decies, vierde lid, tweede en derde alinea</w:t>
            </w:r>
          </w:p>
        </w:tc>
        <w:tc>
          <w:tcPr>
            <w:tcW w:w="1625" w:type="dxa"/>
          </w:tcPr>
          <w:p w:rsidR="00334D7E" w:rsidP="00334D7E" w:rsidRDefault="00334D7E" w14:paraId="04BAB1EA" w14:textId="77777777">
            <w:pPr>
              <w:spacing w:line="240" w:lineRule="atLeast"/>
              <w:rPr>
                <w:rFonts w:ascii="Verdana" w:hAnsi="Verdana"/>
                <w:sz w:val="16"/>
                <w:szCs w:val="16"/>
              </w:rPr>
            </w:pPr>
            <w:r>
              <w:rPr>
                <w:rFonts w:ascii="Verdana" w:hAnsi="Verdana"/>
                <w:sz w:val="16"/>
                <w:szCs w:val="16"/>
              </w:rPr>
              <w:t>Behoeft geen implementatie: b</w:t>
            </w:r>
            <w:r w:rsidRPr="002C5EC5">
              <w:rPr>
                <w:rFonts w:ascii="Verdana" w:hAnsi="Verdana"/>
                <w:sz w:val="16"/>
                <w:szCs w:val="16"/>
              </w:rPr>
              <w:t>estaand recht in 1:106b, derde lid, Wft</w:t>
            </w:r>
          </w:p>
        </w:tc>
        <w:tc>
          <w:tcPr>
            <w:tcW w:w="1274" w:type="dxa"/>
          </w:tcPr>
          <w:p w:rsidRPr="002C5EC5" w:rsidR="00334D7E" w:rsidP="00334D7E" w:rsidRDefault="00334D7E" w14:paraId="094815AF"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2D748C7A" w14:textId="77777777">
            <w:pPr>
              <w:rPr>
                <w:rFonts w:ascii="Verdana" w:hAnsi="Verdana"/>
                <w:sz w:val="16"/>
                <w:szCs w:val="16"/>
              </w:rPr>
            </w:pPr>
          </w:p>
        </w:tc>
      </w:tr>
      <w:tr w:rsidR="00334D7E" w:rsidTr="00CA30A2" w14:paraId="7F8CA815" w14:textId="77777777">
        <w:tc>
          <w:tcPr>
            <w:tcW w:w="1552" w:type="dxa"/>
          </w:tcPr>
          <w:p w:rsidRPr="00DD0008" w:rsidR="00334D7E" w:rsidP="00334D7E" w:rsidRDefault="00334D7E" w14:paraId="4423FE61" w14:textId="2CC51259">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33E29599" w14:textId="77777777">
            <w:pPr>
              <w:rPr>
                <w:rFonts w:ascii="Verdana" w:hAnsi="Verdana"/>
                <w:sz w:val="16"/>
                <w:szCs w:val="16"/>
              </w:rPr>
            </w:pPr>
            <w:r w:rsidRPr="002C5EC5">
              <w:rPr>
                <w:rFonts w:ascii="Verdana" w:hAnsi="Verdana"/>
                <w:sz w:val="16"/>
                <w:szCs w:val="16"/>
              </w:rPr>
              <w:t>27 decies, vijfde lid</w:t>
            </w:r>
          </w:p>
        </w:tc>
        <w:tc>
          <w:tcPr>
            <w:tcW w:w="1625" w:type="dxa"/>
          </w:tcPr>
          <w:p w:rsidR="00334D7E" w:rsidP="00334D7E" w:rsidRDefault="00334D7E" w14:paraId="1691D791" w14:textId="77777777">
            <w:pPr>
              <w:spacing w:line="240" w:lineRule="atLeast"/>
              <w:rPr>
                <w:rFonts w:ascii="Verdana" w:hAnsi="Verdana"/>
                <w:sz w:val="16"/>
                <w:szCs w:val="16"/>
              </w:rPr>
            </w:pPr>
            <w:r>
              <w:rPr>
                <w:rFonts w:ascii="Verdana" w:hAnsi="Verdana"/>
                <w:sz w:val="16"/>
                <w:szCs w:val="16"/>
              </w:rPr>
              <w:t>Artikel I, onderdeel M (</w:t>
            </w:r>
            <w:r w:rsidRPr="002C5EC5">
              <w:rPr>
                <w:rFonts w:ascii="Verdana" w:hAnsi="Verdana"/>
                <w:sz w:val="16"/>
                <w:szCs w:val="16"/>
              </w:rPr>
              <w:t>1:106c, vijfde lid, Wft</w:t>
            </w:r>
            <w:r>
              <w:rPr>
                <w:rFonts w:ascii="Verdana" w:hAnsi="Verdana"/>
                <w:sz w:val="16"/>
                <w:szCs w:val="16"/>
              </w:rPr>
              <w:t>)</w:t>
            </w:r>
          </w:p>
        </w:tc>
        <w:tc>
          <w:tcPr>
            <w:tcW w:w="1274" w:type="dxa"/>
          </w:tcPr>
          <w:p w:rsidRPr="002C5EC5" w:rsidR="00334D7E" w:rsidP="00334D7E" w:rsidRDefault="00334D7E" w14:paraId="74078600"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5FACB445" w14:textId="77777777">
            <w:pPr>
              <w:rPr>
                <w:rFonts w:ascii="Verdana" w:hAnsi="Verdana"/>
                <w:sz w:val="16"/>
                <w:szCs w:val="16"/>
              </w:rPr>
            </w:pPr>
          </w:p>
        </w:tc>
      </w:tr>
      <w:tr w:rsidR="00334D7E" w:rsidTr="00CA30A2" w14:paraId="3813E92E" w14:textId="77777777">
        <w:tc>
          <w:tcPr>
            <w:tcW w:w="1552" w:type="dxa"/>
          </w:tcPr>
          <w:p w:rsidRPr="00DD0008" w:rsidR="00334D7E" w:rsidP="00334D7E" w:rsidRDefault="00334D7E" w14:paraId="521938D8" w14:textId="67CD91E6">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2CA6A331" w14:textId="77777777">
            <w:pPr>
              <w:rPr>
                <w:rFonts w:ascii="Verdana" w:hAnsi="Verdana"/>
                <w:sz w:val="16"/>
                <w:szCs w:val="16"/>
              </w:rPr>
            </w:pPr>
            <w:r w:rsidRPr="002C5EC5">
              <w:rPr>
                <w:rFonts w:ascii="Verdana" w:hAnsi="Verdana"/>
                <w:sz w:val="16"/>
                <w:szCs w:val="16"/>
              </w:rPr>
              <w:t>27 decies, zesde lid</w:t>
            </w:r>
          </w:p>
        </w:tc>
        <w:tc>
          <w:tcPr>
            <w:tcW w:w="1625" w:type="dxa"/>
          </w:tcPr>
          <w:p w:rsidR="00334D7E" w:rsidP="00334D7E" w:rsidRDefault="00334D7E" w14:paraId="0FCF57C9" w14:textId="77777777">
            <w:pPr>
              <w:spacing w:line="240" w:lineRule="atLeast"/>
              <w:rPr>
                <w:rFonts w:ascii="Verdana" w:hAnsi="Verdana"/>
                <w:sz w:val="16"/>
                <w:szCs w:val="16"/>
              </w:rPr>
            </w:pPr>
            <w:r>
              <w:rPr>
                <w:rFonts w:ascii="Verdana" w:hAnsi="Verdana"/>
                <w:sz w:val="16"/>
                <w:szCs w:val="16"/>
              </w:rPr>
              <w:t>Artikel I, onderdeel M (</w:t>
            </w:r>
            <w:r w:rsidRPr="002C5EC5">
              <w:rPr>
                <w:rFonts w:ascii="Verdana" w:hAnsi="Verdana"/>
                <w:sz w:val="16"/>
                <w:szCs w:val="16"/>
              </w:rPr>
              <w:t>1:106c, zesde lid, Wft</w:t>
            </w:r>
            <w:r>
              <w:rPr>
                <w:rFonts w:ascii="Verdana" w:hAnsi="Verdana"/>
                <w:sz w:val="16"/>
                <w:szCs w:val="16"/>
              </w:rPr>
              <w:t>)</w:t>
            </w:r>
          </w:p>
        </w:tc>
        <w:tc>
          <w:tcPr>
            <w:tcW w:w="1274" w:type="dxa"/>
          </w:tcPr>
          <w:p w:rsidRPr="002C5EC5" w:rsidR="00334D7E" w:rsidP="00334D7E" w:rsidRDefault="00334D7E" w14:paraId="20676A5A"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3A67B83E" w14:textId="77777777">
            <w:pPr>
              <w:rPr>
                <w:rFonts w:ascii="Verdana" w:hAnsi="Verdana"/>
                <w:sz w:val="16"/>
                <w:szCs w:val="16"/>
              </w:rPr>
            </w:pPr>
          </w:p>
        </w:tc>
      </w:tr>
      <w:tr w:rsidR="00334D7E" w:rsidTr="00CA30A2" w14:paraId="77F5CFE0" w14:textId="77777777">
        <w:tc>
          <w:tcPr>
            <w:tcW w:w="1552" w:type="dxa"/>
          </w:tcPr>
          <w:p w:rsidRPr="00DD0008" w:rsidR="00334D7E" w:rsidP="00334D7E" w:rsidRDefault="00334D7E" w14:paraId="6EE56E90" w14:textId="77725B95">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72CF76E1" w14:textId="77777777">
            <w:pPr>
              <w:rPr>
                <w:rFonts w:ascii="Verdana" w:hAnsi="Verdana"/>
                <w:sz w:val="16"/>
                <w:szCs w:val="16"/>
              </w:rPr>
            </w:pPr>
            <w:r w:rsidRPr="002C5EC5">
              <w:rPr>
                <w:rFonts w:ascii="Verdana" w:hAnsi="Verdana"/>
                <w:sz w:val="16"/>
                <w:szCs w:val="16"/>
              </w:rPr>
              <w:t>27 decies, zevende lid</w:t>
            </w:r>
          </w:p>
        </w:tc>
        <w:tc>
          <w:tcPr>
            <w:tcW w:w="1625" w:type="dxa"/>
          </w:tcPr>
          <w:p w:rsidR="00334D7E" w:rsidP="00334D7E" w:rsidRDefault="00334D7E" w14:paraId="1C109D96" w14:textId="77777777">
            <w:pPr>
              <w:spacing w:line="240" w:lineRule="atLeast"/>
              <w:rPr>
                <w:rFonts w:ascii="Verdana" w:hAnsi="Verdana"/>
                <w:sz w:val="16"/>
                <w:szCs w:val="16"/>
              </w:rPr>
            </w:pPr>
            <w:r>
              <w:rPr>
                <w:rFonts w:ascii="Verdana" w:hAnsi="Verdana"/>
                <w:sz w:val="16"/>
                <w:szCs w:val="16"/>
              </w:rPr>
              <w:t>Artikel I, onderdeel N (</w:t>
            </w:r>
            <w:r w:rsidRPr="002C5EC5">
              <w:rPr>
                <w:rFonts w:ascii="Verdana" w:hAnsi="Verdana"/>
                <w:sz w:val="16"/>
                <w:szCs w:val="16"/>
              </w:rPr>
              <w:t>1:106d, tweede lid, Wft</w:t>
            </w:r>
            <w:r>
              <w:rPr>
                <w:rFonts w:ascii="Verdana" w:hAnsi="Verdana"/>
                <w:sz w:val="16"/>
                <w:szCs w:val="16"/>
              </w:rPr>
              <w:t>)</w:t>
            </w:r>
          </w:p>
        </w:tc>
        <w:tc>
          <w:tcPr>
            <w:tcW w:w="1274" w:type="dxa"/>
          </w:tcPr>
          <w:p w:rsidRPr="002C5EC5" w:rsidR="00334D7E" w:rsidP="00334D7E" w:rsidRDefault="00334D7E" w14:paraId="447A431B"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216D44D1" w14:textId="77777777">
            <w:pPr>
              <w:rPr>
                <w:rFonts w:ascii="Verdana" w:hAnsi="Verdana"/>
                <w:sz w:val="16"/>
                <w:szCs w:val="16"/>
              </w:rPr>
            </w:pPr>
          </w:p>
        </w:tc>
      </w:tr>
      <w:tr w:rsidR="00334D7E" w:rsidTr="00CA30A2" w14:paraId="3B44EC87" w14:textId="77777777">
        <w:tc>
          <w:tcPr>
            <w:tcW w:w="1552" w:type="dxa"/>
          </w:tcPr>
          <w:p w:rsidRPr="00DD0008" w:rsidR="00334D7E" w:rsidP="00334D7E" w:rsidRDefault="00334D7E" w14:paraId="2C34CF4B" w14:textId="4D0CABE8">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01014119" w14:textId="77777777">
            <w:pPr>
              <w:rPr>
                <w:rFonts w:ascii="Verdana" w:hAnsi="Verdana"/>
                <w:sz w:val="16"/>
                <w:szCs w:val="16"/>
              </w:rPr>
            </w:pPr>
            <w:r w:rsidRPr="002C5EC5">
              <w:rPr>
                <w:rFonts w:ascii="Verdana" w:hAnsi="Verdana"/>
                <w:sz w:val="16"/>
                <w:szCs w:val="16"/>
              </w:rPr>
              <w:t>27 decies, achtste lid</w:t>
            </w:r>
          </w:p>
        </w:tc>
        <w:tc>
          <w:tcPr>
            <w:tcW w:w="1625" w:type="dxa"/>
          </w:tcPr>
          <w:p w:rsidR="00334D7E" w:rsidP="00334D7E" w:rsidRDefault="00334D7E" w14:paraId="282B0F2F" w14:textId="77777777">
            <w:pPr>
              <w:spacing w:line="240" w:lineRule="atLeast"/>
              <w:rPr>
                <w:rFonts w:ascii="Verdana" w:hAnsi="Verdana"/>
                <w:sz w:val="16"/>
                <w:szCs w:val="16"/>
              </w:rPr>
            </w:pPr>
            <w:r>
              <w:rPr>
                <w:rFonts w:ascii="Verdana" w:hAnsi="Verdana"/>
                <w:sz w:val="16"/>
                <w:szCs w:val="16"/>
              </w:rPr>
              <w:t>Artikel I, onderdeel N (</w:t>
            </w:r>
            <w:r w:rsidRPr="002C5EC5">
              <w:rPr>
                <w:rFonts w:ascii="Verdana" w:hAnsi="Verdana"/>
                <w:sz w:val="16"/>
                <w:szCs w:val="16"/>
              </w:rPr>
              <w:t xml:space="preserve">1:106d, </w:t>
            </w:r>
            <w:r>
              <w:rPr>
                <w:rFonts w:ascii="Verdana" w:hAnsi="Verdana"/>
                <w:sz w:val="16"/>
                <w:szCs w:val="16"/>
              </w:rPr>
              <w:t>derde en vierde</w:t>
            </w:r>
            <w:r w:rsidRPr="002C5EC5">
              <w:rPr>
                <w:rFonts w:ascii="Verdana" w:hAnsi="Verdana"/>
                <w:sz w:val="16"/>
                <w:szCs w:val="16"/>
              </w:rPr>
              <w:t xml:space="preserve"> lid, Wft</w:t>
            </w:r>
            <w:r>
              <w:rPr>
                <w:rFonts w:ascii="Verdana" w:hAnsi="Verdana"/>
                <w:sz w:val="16"/>
                <w:szCs w:val="16"/>
              </w:rPr>
              <w:t>)</w:t>
            </w:r>
          </w:p>
        </w:tc>
        <w:tc>
          <w:tcPr>
            <w:tcW w:w="1274" w:type="dxa"/>
          </w:tcPr>
          <w:p w:rsidRPr="002C5EC5" w:rsidR="00334D7E" w:rsidP="00334D7E" w:rsidRDefault="00334D7E" w14:paraId="16F25346"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69715132" w14:textId="77777777">
            <w:pPr>
              <w:rPr>
                <w:rFonts w:ascii="Verdana" w:hAnsi="Verdana"/>
                <w:sz w:val="16"/>
                <w:szCs w:val="16"/>
              </w:rPr>
            </w:pPr>
          </w:p>
        </w:tc>
      </w:tr>
      <w:tr w:rsidR="00334D7E" w:rsidTr="00CA30A2" w14:paraId="3C952846" w14:textId="77777777">
        <w:tc>
          <w:tcPr>
            <w:tcW w:w="1552" w:type="dxa"/>
          </w:tcPr>
          <w:p w:rsidRPr="00DD0008" w:rsidR="00334D7E" w:rsidP="00334D7E" w:rsidRDefault="00334D7E" w14:paraId="5E32D4DA" w14:textId="7AD52200">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5F1C98EB" w14:textId="77777777">
            <w:pPr>
              <w:rPr>
                <w:rFonts w:ascii="Verdana" w:hAnsi="Verdana"/>
                <w:sz w:val="16"/>
                <w:szCs w:val="16"/>
              </w:rPr>
            </w:pPr>
            <w:r w:rsidRPr="002C5EC5">
              <w:rPr>
                <w:rFonts w:ascii="Verdana" w:hAnsi="Verdana"/>
                <w:sz w:val="16"/>
                <w:szCs w:val="16"/>
              </w:rPr>
              <w:t>27 decies, negende lid</w:t>
            </w:r>
          </w:p>
        </w:tc>
        <w:tc>
          <w:tcPr>
            <w:tcW w:w="1625" w:type="dxa"/>
          </w:tcPr>
          <w:p w:rsidR="00334D7E" w:rsidP="00334D7E" w:rsidRDefault="00334D7E" w14:paraId="67235486" w14:textId="77777777">
            <w:pPr>
              <w:spacing w:line="240" w:lineRule="atLeast"/>
              <w:rPr>
                <w:rFonts w:ascii="Verdana" w:hAnsi="Verdana"/>
                <w:sz w:val="16"/>
                <w:szCs w:val="16"/>
              </w:rPr>
            </w:pPr>
            <w:r>
              <w:rPr>
                <w:rFonts w:ascii="Verdana" w:hAnsi="Verdana"/>
                <w:sz w:val="16"/>
                <w:szCs w:val="16"/>
              </w:rPr>
              <w:t>Artikel I, onderdeel N (</w:t>
            </w:r>
            <w:r w:rsidRPr="002C5EC5">
              <w:rPr>
                <w:rFonts w:ascii="Verdana" w:hAnsi="Verdana"/>
                <w:sz w:val="16"/>
                <w:szCs w:val="16"/>
              </w:rPr>
              <w:t>1:106d, tweede lid, Wft</w:t>
            </w:r>
            <w:r>
              <w:rPr>
                <w:rFonts w:ascii="Verdana" w:hAnsi="Verdana"/>
                <w:sz w:val="16"/>
                <w:szCs w:val="16"/>
              </w:rPr>
              <w:t>)</w:t>
            </w:r>
          </w:p>
        </w:tc>
        <w:tc>
          <w:tcPr>
            <w:tcW w:w="1274" w:type="dxa"/>
          </w:tcPr>
          <w:p w:rsidRPr="002C5EC5" w:rsidR="00334D7E" w:rsidP="00334D7E" w:rsidRDefault="00334D7E" w14:paraId="516E7AC3"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16685BC4" w14:textId="77777777">
            <w:pPr>
              <w:rPr>
                <w:rFonts w:ascii="Verdana" w:hAnsi="Verdana"/>
                <w:sz w:val="16"/>
                <w:szCs w:val="16"/>
              </w:rPr>
            </w:pPr>
          </w:p>
        </w:tc>
      </w:tr>
      <w:tr w:rsidR="00334D7E" w:rsidTr="00CA30A2" w14:paraId="3848BFD5" w14:textId="77777777">
        <w:tc>
          <w:tcPr>
            <w:tcW w:w="1552" w:type="dxa"/>
          </w:tcPr>
          <w:p w:rsidRPr="00DD0008" w:rsidR="00334D7E" w:rsidP="00334D7E" w:rsidRDefault="00334D7E" w14:paraId="4136D681" w14:textId="0495E1C8">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6FCFDADE" w14:textId="77777777">
            <w:pPr>
              <w:rPr>
                <w:rFonts w:ascii="Verdana" w:hAnsi="Verdana"/>
                <w:sz w:val="16"/>
                <w:szCs w:val="16"/>
              </w:rPr>
            </w:pPr>
            <w:r w:rsidRPr="002C5EC5">
              <w:rPr>
                <w:rFonts w:ascii="Verdana" w:hAnsi="Verdana"/>
                <w:sz w:val="16"/>
                <w:szCs w:val="16"/>
              </w:rPr>
              <w:t>27 decies, tiende lid</w:t>
            </w:r>
          </w:p>
        </w:tc>
        <w:tc>
          <w:tcPr>
            <w:tcW w:w="1625" w:type="dxa"/>
          </w:tcPr>
          <w:p w:rsidR="00334D7E" w:rsidP="00334D7E" w:rsidRDefault="00334D7E" w14:paraId="140C65D8" w14:textId="77777777">
            <w:pPr>
              <w:spacing w:line="240" w:lineRule="atLeast"/>
              <w:rPr>
                <w:rFonts w:ascii="Verdana" w:hAnsi="Verdana"/>
                <w:sz w:val="16"/>
                <w:szCs w:val="16"/>
              </w:rPr>
            </w:pPr>
            <w:r>
              <w:rPr>
                <w:rFonts w:ascii="Verdana" w:hAnsi="Verdana"/>
                <w:sz w:val="16"/>
                <w:szCs w:val="16"/>
              </w:rPr>
              <w:t>Artikel I, onderdeel O (</w:t>
            </w:r>
            <w:r w:rsidRPr="002C5EC5">
              <w:rPr>
                <w:rFonts w:ascii="Verdana" w:hAnsi="Verdana"/>
                <w:sz w:val="16"/>
                <w:szCs w:val="16"/>
              </w:rPr>
              <w:t>1:106</w:t>
            </w:r>
            <w:r>
              <w:rPr>
                <w:rFonts w:ascii="Verdana" w:hAnsi="Verdana"/>
                <w:sz w:val="16"/>
                <w:szCs w:val="16"/>
              </w:rPr>
              <w:t>e</w:t>
            </w:r>
            <w:r w:rsidRPr="002C5EC5">
              <w:rPr>
                <w:rFonts w:ascii="Verdana" w:hAnsi="Verdana"/>
                <w:sz w:val="16"/>
                <w:szCs w:val="16"/>
              </w:rPr>
              <w:t xml:space="preserve"> Wft</w:t>
            </w:r>
            <w:r>
              <w:rPr>
                <w:rFonts w:ascii="Verdana" w:hAnsi="Verdana"/>
                <w:sz w:val="16"/>
                <w:szCs w:val="16"/>
              </w:rPr>
              <w:t>)</w:t>
            </w:r>
          </w:p>
        </w:tc>
        <w:tc>
          <w:tcPr>
            <w:tcW w:w="1274" w:type="dxa"/>
          </w:tcPr>
          <w:p w:rsidRPr="002C5EC5" w:rsidR="00334D7E" w:rsidP="00334D7E" w:rsidRDefault="00334D7E" w14:paraId="3AABD83A"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6D92EADB" w14:textId="77777777">
            <w:pPr>
              <w:rPr>
                <w:rFonts w:ascii="Verdana" w:hAnsi="Verdana"/>
                <w:sz w:val="16"/>
                <w:szCs w:val="16"/>
              </w:rPr>
            </w:pPr>
          </w:p>
        </w:tc>
      </w:tr>
      <w:tr w:rsidR="00334D7E" w:rsidTr="00CA30A2" w14:paraId="2423C01D" w14:textId="77777777">
        <w:tc>
          <w:tcPr>
            <w:tcW w:w="1552" w:type="dxa"/>
          </w:tcPr>
          <w:p w:rsidRPr="00DD0008" w:rsidR="00334D7E" w:rsidP="00334D7E" w:rsidRDefault="00334D7E" w14:paraId="59F413FC" w14:textId="6F49AA7F">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03AFA0F0" w14:textId="77777777">
            <w:pPr>
              <w:rPr>
                <w:rFonts w:ascii="Verdana" w:hAnsi="Verdana"/>
                <w:sz w:val="16"/>
                <w:szCs w:val="16"/>
              </w:rPr>
            </w:pPr>
            <w:r w:rsidRPr="002C5EC5">
              <w:rPr>
                <w:rFonts w:ascii="Verdana" w:hAnsi="Verdana"/>
                <w:sz w:val="16"/>
                <w:szCs w:val="16"/>
              </w:rPr>
              <w:t>27 undecies, eerste lid</w:t>
            </w:r>
          </w:p>
        </w:tc>
        <w:tc>
          <w:tcPr>
            <w:tcW w:w="1625" w:type="dxa"/>
          </w:tcPr>
          <w:p w:rsidR="00334D7E" w:rsidP="00334D7E" w:rsidRDefault="00334D7E" w14:paraId="03BDCA5E" w14:textId="77777777">
            <w:pPr>
              <w:spacing w:line="240" w:lineRule="atLeast"/>
              <w:rPr>
                <w:rFonts w:ascii="Verdana" w:hAnsi="Verdana"/>
                <w:sz w:val="16"/>
                <w:szCs w:val="16"/>
              </w:rPr>
            </w:pPr>
            <w:r>
              <w:rPr>
                <w:rFonts w:ascii="Verdana" w:hAnsi="Verdana"/>
                <w:sz w:val="16"/>
                <w:szCs w:val="16"/>
              </w:rPr>
              <w:t>Artikel I, onderdeel III (</w:t>
            </w:r>
            <w:r w:rsidRPr="002C5EC5">
              <w:rPr>
                <w:rFonts w:ascii="Verdana" w:hAnsi="Verdana"/>
                <w:sz w:val="16"/>
                <w:szCs w:val="16"/>
              </w:rPr>
              <w:t>3:101a, tweede lid, Wft</w:t>
            </w:r>
            <w:r>
              <w:rPr>
                <w:rFonts w:ascii="Verdana" w:hAnsi="Verdana"/>
                <w:sz w:val="16"/>
                <w:szCs w:val="16"/>
              </w:rPr>
              <w:t>)</w:t>
            </w:r>
          </w:p>
        </w:tc>
        <w:tc>
          <w:tcPr>
            <w:tcW w:w="1274" w:type="dxa"/>
          </w:tcPr>
          <w:p w:rsidRPr="002C5EC5" w:rsidR="00334D7E" w:rsidP="00334D7E" w:rsidRDefault="00334D7E" w14:paraId="23092DF3"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323486CA" w14:textId="77777777">
            <w:pPr>
              <w:rPr>
                <w:rFonts w:ascii="Verdana" w:hAnsi="Verdana"/>
                <w:sz w:val="16"/>
                <w:szCs w:val="16"/>
              </w:rPr>
            </w:pPr>
          </w:p>
        </w:tc>
      </w:tr>
      <w:tr w:rsidR="00334D7E" w:rsidTr="00CA30A2" w14:paraId="1FC471AD" w14:textId="77777777">
        <w:tc>
          <w:tcPr>
            <w:tcW w:w="1552" w:type="dxa"/>
          </w:tcPr>
          <w:p w:rsidRPr="00DD0008" w:rsidR="00334D7E" w:rsidP="00334D7E" w:rsidRDefault="00334D7E" w14:paraId="0A8DCC04" w14:textId="4BD5D05C">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7CD860C2" w14:textId="77777777">
            <w:pPr>
              <w:rPr>
                <w:rFonts w:ascii="Verdana" w:hAnsi="Verdana"/>
                <w:sz w:val="16"/>
                <w:szCs w:val="16"/>
              </w:rPr>
            </w:pPr>
            <w:r w:rsidRPr="002C5EC5">
              <w:rPr>
                <w:rFonts w:ascii="Verdana" w:hAnsi="Verdana"/>
                <w:sz w:val="16"/>
                <w:szCs w:val="16"/>
              </w:rPr>
              <w:t>27 undecies, tweede lid</w:t>
            </w:r>
          </w:p>
        </w:tc>
        <w:tc>
          <w:tcPr>
            <w:tcW w:w="1625" w:type="dxa"/>
          </w:tcPr>
          <w:p w:rsidR="00334D7E" w:rsidP="00334D7E" w:rsidRDefault="00334D7E" w14:paraId="1404F23B" w14:textId="77777777">
            <w:pPr>
              <w:spacing w:line="240" w:lineRule="atLeast"/>
              <w:rPr>
                <w:rFonts w:ascii="Verdana" w:hAnsi="Verdana"/>
                <w:sz w:val="16"/>
                <w:szCs w:val="16"/>
              </w:rPr>
            </w:pPr>
            <w:r>
              <w:rPr>
                <w:rFonts w:ascii="Verdana" w:hAnsi="Verdana"/>
                <w:sz w:val="16"/>
                <w:szCs w:val="16"/>
              </w:rPr>
              <w:t>Behoeft geen implementatie: b</w:t>
            </w:r>
            <w:r w:rsidRPr="002C5EC5">
              <w:rPr>
                <w:rFonts w:ascii="Verdana" w:hAnsi="Verdana"/>
                <w:sz w:val="16"/>
                <w:szCs w:val="16"/>
              </w:rPr>
              <w:t>estaand recht in 1:51f Wft</w:t>
            </w:r>
          </w:p>
        </w:tc>
        <w:tc>
          <w:tcPr>
            <w:tcW w:w="1274" w:type="dxa"/>
          </w:tcPr>
          <w:p w:rsidRPr="002C5EC5" w:rsidR="00334D7E" w:rsidP="00334D7E" w:rsidRDefault="00334D7E" w14:paraId="1CCD8FBC"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150FF205" w14:textId="77777777">
            <w:pPr>
              <w:rPr>
                <w:rFonts w:ascii="Verdana" w:hAnsi="Verdana"/>
                <w:sz w:val="16"/>
                <w:szCs w:val="16"/>
              </w:rPr>
            </w:pPr>
          </w:p>
        </w:tc>
      </w:tr>
      <w:tr w:rsidR="00334D7E" w:rsidTr="00CA30A2" w14:paraId="53D03EBB" w14:textId="77777777">
        <w:tc>
          <w:tcPr>
            <w:tcW w:w="1552" w:type="dxa"/>
          </w:tcPr>
          <w:p w:rsidRPr="00DD0008" w:rsidR="00334D7E" w:rsidP="00334D7E" w:rsidRDefault="00334D7E" w14:paraId="4E49B4BE" w14:textId="7FD34713">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7CA7AE04" w14:textId="77777777">
            <w:pPr>
              <w:rPr>
                <w:rFonts w:ascii="Verdana" w:hAnsi="Verdana"/>
                <w:sz w:val="16"/>
                <w:szCs w:val="16"/>
              </w:rPr>
            </w:pPr>
            <w:r w:rsidRPr="002C5EC5">
              <w:rPr>
                <w:rFonts w:ascii="Verdana" w:hAnsi="Verdana"/>
                <w:sz w:val="16"/>
                <w:szCs w:val="16"/>
              </w:rPr>
              <w:t>27 undecies, derde lid, eerste alinea</w:t>
            </w:r>
          </w:p>
        </w:tc>
        <w:tc>
          <w:tcPr>
            <w:tcW w:w="1625" w:type="dxa"/>
          </w:tcPr>
          <w:p w:rsidR="00334D7E" w:rsidP="00334D7E" w:rsidRDefault="00334D7E" w14:paraId="47CBDD38" w14:textId="77777777">
            <w:pPr>
              <w:spacing w:line="240" w:lineRule="atLeast"/>
              <w:rPr>
                <w:rFonts w:ascii="Verdana" w:hAnsi="Verdana"/>
                <w:sz w:val="16"/>
                <w:szCs w:val="16"/>
              </w:rPr>
            </w:pPr>
            <w:r>
              <w:rPr>
                <w:rFonts w:ascii="Verdana" w:hAnsi="Verdana"/>
                <w:sz w:val="16"/>
                <w:szCs w:val="16"/>
              </w:rPr>
              <w:t>Artikel I, onderdeel III (</w:t>
            </w:r>
            <w:r w:rsidRPr="002C5EC5">
              <w:rPr>
                <w:rFonts w:ascii="Verdana" w:hAnsi="Verdana"/>
                <w:sz w:val="16"/>
                <w:szCs w:val="16"/>
              </w:rPr>
              <w:t>3:101a, derde lid, Wft</w:t>
            </w:r>
            <w:r>
              <w:rPr>
                <w:rFonts w:ascii="Verdana" w:hAnsi="Verdana"/>
                <w:sz w:val="16"/>
                <w:szCs w:val="16"/>
              </w:rPr>
              <w:t>)</w:t>
            </w:r>
          </w:p>
        </w:tc>
        <w:tc>
          <w:tcPr>
            <w:tcW w:w="1274" w:type="dxa"/>
          </w:tcPr>
          <w:p w:rsidRPr="002C5EC5" w:rsidR="00334D7E" w:rsidP="00334D7E" w:rsidRDefault="00334D7E" w14:paraId="72F27A4B"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5B4A7DFD" w14:textId="77777777">
            <w:pPr>
              <w:rPr>
                <w:rFonts w:ascii="Verdana" w:hAnsi="Verdana"/>
                <w:sz w:val="16"/>
                <w:szCs w:val="16"/>
              </w:rPr>
            </w:pPr>
          </w:p>
        </w:tc>
      </w:tr>
      <w:tr w:rsidR="00334D7E" w:rsidTr="00CA30A2" w14:paraId="2603DC58" w14:textId="77777777">
        <w:tc>
          <w:tcPr>
            <w:tcW w:w="1552" w:type="dxa"/>
          </w:tcPr>
          <w:p w:rsidRPr="00DD0008" w:rsidR="00334D7E" w:rsidP="00334D7E" w:rsidRDefault="00334D7E" w14:paraId="77037461" w14:textId="1A1A3FC9">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5A94B562" w14:textId="77777777">
            <w:pPr>
              <w:rPr>
                <w:rFonts w:ascii="Verdana" w:hAnsi="Verdana"/>
                <w:sz w:val="16"/>
                <w:szCs w:val="16"/>
              </w:rPr>
            </w:pPr>
            <w:r w:rsidRPr="002C5EC5">
              <w:rPr>
                <w:rFonts w:ascii="Verdana" w:hAnsi="Verdana"/>
                <w:sz w:val="16"/>
                <w:szCs w:val="16"/>
              </w:rPr>
              <w:t>27 undecies, derde lid, tweede alinea</w:t>
            </w:r>
          </w:p>
        </w:tc>
        <w:tc>
          <w:tcPr>
            <w:tcW w:w="1625" w:type="dxa"/>
          </w:tcPr>
          <w:p w:rsidR="00334D7E" w:rsidP="00334D7E" w:rsidRDefault="00334D7E" w14:paraId="15FF4C18" w14:textId="77777777">
            <w:pPr>
              <w:spacing w:line="240" w:lineRule="atLeast"/>
              <w:rPr>
                <w:rFonts w:ascii="Verdana" w:hAnsi="Verdana"/>
                <w:sz w:val="16"/>
                <w:szCs w:val="16"/>
              </w:rPr>
            </w:pPr>
            <w:r>
              <w:rPr>
                <w:rFonts w:ascii="Verdana" w:hAnsi="Verdana"/>
                <w:sz w:val="16"/>
                <w:szCs w:val="16"/>
              </w:rPr>
              <w:t>Volgt bij implementatieregeling</w:t>
            </w:r>
            <w:r w:rsidRPr="002C5EC5">
              <w:rPr>
                <w:rFonts w:ascii="Verdana" w:hAnsi="Verdana"/>
                <w:sz w:val="16"/>
                <w:szCs w:val="16"/>
              </w:rPr>
              <w:t xml:space="preserve"> </w:t>
            </w:r>
            <w:r>
              <w:rPr>
                <w:rFonts w:ascii="Verdana" w:hAnsi="Verdana"/>
                <w:sz w:val="16"/>
                <w:szCs w:val="16"/>
              </w:rPr>
              <w:t>(Bijlage 6 Rtt)</w:t>
            </w:r>
          </w:p>
        </w:tc>
        <w:tc>
          <w:tcPr>
            <w:tcW w:w="1274" w:type="dxa"/>
          </w:tcPr>
          <w:p w:rsidRPr="002C5EC5" w:rsidR="00334D7E" w:rsidP="00334D7E" w:rsidRDefault="00334D7E" w14:paraId="7E16DFE0"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4E978631" w14:textId="77777777">
            <w:pPr>
              <w:rPr>
                <w:rFonts w:ascii="Verdana" w:hAnsi="Verdana"/>
                <w:sz w:val="16"/>
                <w:szCs w:val="16"/>
              </w:rPr>
            </w:pPr>
          </w:p>
        </w:tc>
      </w:tr>
      <w:tr w:rsidR="00334D7E" w:rsidTr="00CA30A2" w14:paraId="43D868AB" w14:textId="77777777">
        <w:tc>
          <w:tcPr>
            <w:tcW w:w="1552" w:type="dxa"/>
          </w:tcPr>
          <w:p w:rsidRPr="00DD0008" w:rsidR="00334D7E" w:rsidP="00334D7E" w:rsidRDefault="00334D7E" w14:paraId="7D28EDF0" w14:textId="34E47BB7">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263D0574" w14:textId="77777777">
            <w:pPr>
              <w:rPr>
                <w:rFonts w:ascii="Verdana" w:hAnsi="Verdana"/>
                <w:sz w:val="16"/>
                <w:szCs w:val="16"/>
              </w:rPr>
            </w:pPr>
            <w:r w:rsidRPr="002C5EC5">
              <w:rPr>
                <w:rFonts w:ascii="Verdana" w:hAnsi="Verdana"/>
                <w:sz w:val="16"/>
                <w:szCs w:val="16"/>
              </w:rPr>
              <w:t>27 undecies, vierde lid</w:t>
            </w:r>
          </w:p>
        </w:tc>
        <w:tc>
          <w:tcPr>
            <w:tcW w:w="1625" w:type="dxa"/>
          </w:tcPr>
          <w:p w:rsidR="00334D7E" w:rsidP="00334D7E" w:rsidRDefault="00334D7E" w14:paraId="0E06F0F6" w14:textId="77777777">
            <w:pPr>
              <w:spacing w:line="240" w:lineRule="atLeast"/>
              <w:rPr>
                <w:rFonts w:ascii="Verdana" w:hAnsi="Verdana"/>
                <w:sz w:val="16"/>
                <w:szCs w:val="16"/>
              </w:rPr>
            </w:pPr>
            <w:r>
              <w:rPr>
                <w:rFonts w:ascii="Verdana" w:hAnsi="Verdana"/>
                <w:sz w:val="16"/>
                <w:szCs w:val="16"/>
              </w:rPr>
              <w:t>Artikel I, onderdeel III (3</w:t>
            </w:r>
            <w:r w:rsidRPr="002C5EC5">
              <w:rPr>
                <w:rFonts w:ascii="Verdana" w:hAnsi="Verdana"/>
                <w:sz w:val="16"/>
                <w:szCs w:val="16"/>
              </w:rPr>
              <w:t>:101a, tweede lid, Wft</w:t>
            </w:r>
            <w:r>
              <w:rPr>
                <w:rFonts w:ascii="Verdana" w:hAnsi="Verdana"/>
                <w:sz w:val="16"/>
                <w:szCs w:val="16"/>
              </w:rPr>
              <w:t>)</w:t>
            </w:r>
          </w:p>
        </w:tc>
        <w:tc>
          <w:tcPr>
            <w:tcW w:w="1274" w:type="dxa"/>
          </w:tcPr>
          <w:p w:rsidRPr="002C5EC5" w:rsidR="00334D7E" w:rsidP="00334D7E" w:rsidRDefault="00334D7E" w14:paraId="3B56BB39"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095959D8" w14:textId="77777777">
            <w:pPr>
              <w:rPr>
                <w:rFonts w:ascii="Verdana" w:hAnsi="Verdana"/>
                <w:sz w:val="16"/>
                <w:szCs w:val="16"/>
              </w:rPr>
            </w:pPr>
          </w:p>
        </w:tc>
      </w:tr>
      <w:tr w:rsidR="00334D7E" w:rsidTr="00CA30A2" w14:paraId="0230F96F" w14:textId="77777777">
        <w:tc>
          <w:tcPr>
            <w:tcW w:w="1552" w:type="dxa"/>
          </w:tcPr>
          <w:p w:rsidRPr="00DD0008" w:rsidR="00334D7E" w:rsidP="00334D7E" w:rsidRDefault="00334D7E" w14:paraId="6034409C" w14:textId="6CD6AD88">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4F9F8E5E" w14:textId="77777777">
            <w:pPr>
              <w:rPr>
                <w:rFonts w:ascii="Verdana" w:hAnsi="Verdana"/>
                <w:sz w:val="16"/>
                <w:szCs w:val="16"/>
              </w:rPr>
            </w:pPr>
            <w:r w:rsidRPr="002C5EC5">
              <w:rPr>
                <w:rFonts w:ascii="Verdana" w:hAnsi="Verdana"/>
                <w:sz w:val="16"/>
                <w:szCs w:val="16"/>
              </w:rPr>
              <w:t>27 undecies, vijfde lid</w:t>
            </w:r>
          </w:p>
        </w:tc>
        <w:tc>
          <w:tcPr>
            <w:tcW w:w="1625" w:type="dxa"/>
          </w:tcPr>
          <w:p w:rsidR="00334D7E" w:rsidP="00334D7E" w:rsidRDefault="00334D7E" w14:paraId="372582FE" w14:textId="77777777">
            <w:pPr>
              <w:spacing w:line="240" w:lineRule="atLeast"/>
              <w:rPr>
                <w:rFonts w:ascii="Verdana" w:hAnsi="Verdana"/>
                <w:sz w:val="16"/>
                <w:szCs w:val="16"/>
              </w:rPr>
            </w:pPr>
            <w:r>
              <w:rPr>
                <w:rFonts w:ascii="Verdana" w:hAnsi="Verdana"/>
                <w:sz w:val="16"/>
                <w:szCs w:val="16"/>
              </w:rPr>
              <w:t>Artikel I, onderdeel EEE (</w:t>
            </w:r>
            <w:r w:rsidRPr="002C5EC5">
              <w:rPr>
                <w:rFonts w:ascii="Verdana" w:hAnsi="Verdana"/>
                <w:sz w:val="16"/>
                <w:szCs w:val="16"/>
              </w:rPr>
              <w:t>3:96a, tweede lid, en 3:96c, tweede lid,</w:t>
            </w:r>
            <w:r>
              <w:rPr>
                <w:rFonts w:ascii="Verdana" w:hAnsi="Verdana"/>
                <w:sz w:val="16"/>
                <w:szCs w:val="16"/>
              </w:rPr>
              <w:t xml:space="preserve"> Wft)</w:t>
            </w:r>
            <w:r w:rsidRPr="002C5EC5">
              <w:rPr>
                <w:rFonts w:ascii="Verdana" w:hAnsi="Verdana"/>
                <w:sz w:val="16"/>
                <w:szCs w:val="16"/>
              </w:rPr>
              <w:t xml:space="preserve"> </w:t>
            </w:r>
          </w:p>
        </w:tc>
        <w:tc>
          <w:tcPr>
            <w:tcW w:w="1274" w:type="dxa"/>
          </w:tcPr>
          <w:p w:rsidRPr="002C5EC5" w:rsidR="00334D7E" w:rsidP="00334D7E" w:rsidRDefault="00334D7E" w14:paraId="351F11C2"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03F8FDE5" w14:textId="77777777">
            <w:pPr>
              <w:rPr>
                <w:rFonts w:ascii="Verdana" w:hAnsi="Verdana"/>
                <w:sz w:val="16"/>
                <w:szCs w:val="16"/>
              </w:rPr>
            </w:pPr>
          </w:p>
        </w:tc>
      </w:tr>
      <w:tr w:rsidR="00334D7E" w:rsidTr="00CA30A2" w14:paraId="51CA3471" w14:textId="77777777">
        <w:tc>
          <w:tcPr>
            <w:tcW w:w="1552" w:type="dxa"/>
          </w:tcPr>
          <w:p w:rsidRPr="00DD0008" w:rsidR="00334D7E" w:rsidP="00334D7E" w:rsidRDefault="00334D7E" w14:paraId="2BDDD67E" w14:textId="6B28BB82">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787A57F8" w14:textId="77777777">
            <w:pPr>
              <w:rPr>
                <w:rFonts w:ascii="Verdana" w:hAnsi="Verdana"/>
                <w:sz w:val="16"/>
                <w:szCs w:val="16"/>
              </w:rPr>
            </w:pPr>
            <w:r w:rsidRPr="002C5EC5">
              <w:rPr>
                <w:rFonts w:ascii="Verdana" w:hAnsi="Verdana"/>
                <w:sz w:val="16"/>
                <w:szCs w:val="16"/>
              </w:rPr>
              <w:t>27 duodecies, eerste lid</w:t>
            </w:r>
          </w:p>
        </w:tc>
        <w:tc>
          <w:tcPr>
            <w:tcW w:w="1625" w:type="dxa"/>
          </w:tcPr>
          <w:p w:rsidR="00334D7E" w:rsidP="00334D7E" w:rsidRDefault="00334D7E" w14:paraId="088DBEC8" w14:textId="77777777">
            <w:pPr>
              <w:spacing w:line="240" w:lineRule="atLeast"/>
              <w:rPr>
                <w:rFonts w:ascii="Verdana" w:hAnsi="Verdana"/>
                <w:sz w:val="16"/>
                <w:szCs w:val="16"/>
              </w:rPr>
            </w:pPr>
            <w:r>
              <w:rPr>
                <w:rFonts w:ascii="Verdana" w:hAnsi="Verdana"/>
                <w:sz w:val="16"/>
                <w:szCs w:val="16"/>
              </w:rPr>
              <w:t>Artikel I, onderdeel G (</w:t>
            </w:r>
            <w:r w:rsidRPr="002C5EC5">
              <w:rPr>
                <w:rFonts w:ascii="Verdana" w:hAnsi="Verdana"/>
                <w:sz w:val="16"/>
                <w:szCs w:val="16"/>
              </w:rPr>
              <w:t>1:62, tweede lid, Wft</w:t>
            </w:r>
            <w:r>
              <w:rPr>
                <w:rFonts w:ascii="Verdana" w:hAnsi="Verdana"/>
                <w:sz w:val="16"/>
                <w:szCs w:val="16"/>
              </w:rPr>
              <w:t>)</w:t>
            </w:r>
          </w:p>
        </w:tc>
        <w:tc>
          <w:tcPr>
            <w:tcW w:w="1274" w:type="dxa"/>
          </w:tcPr>
          <w:p w:rsidRPr="002C5EC5" w:rsidR="00334D7E" w:rsidP="00334D7E" w:rsidRDefault="00334D7E" w14:paraId="40DCB188"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6D93950E" w14:textId="77777777">
            <w:pPr>
              <w:rPr>
                <w:rFonts w:ascii="Verdana" w:hAnsi="Verdana"/>
                <w:sz w:val="16"/>
                <w:szCs w:val="16"/>
              </w:rPr>
            </w:pPr>
          </w:p>
        </w:tc>
      </w:tr>
      <w:tr w:rsidR="00334D7E" w:rsidTr="00CA30A2" w14:paraId="17E385A9" w14:textId="77777777">
        <w:tc>
          <w:tcPr>
            <w:tcW w:w="1552" w:type="dxa"/>
          </w:tcPr>
          <w:p w:rsidRPr="00DD0008" w:rsidR="00334D7E" w:rsidP="00334D7E" w:rsidRDefault="00334D7E" w14:paraId="554AC4B7" w14:textId="01D14B3E">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30698F60" w14:textId="77777777">
            <w:pPr>
              <w:rPr>
                <w:rFonts w:ascii="Verdana" w:hAnsi="Verdana"/>
                <w:sz w:val="16"/>
                <w:szCs w:val="16"/>
              </w:rPr>
            </w:pPr>
            <w:r w:rsidRPr="002C5EC5">
              <w:rPr>
                <w:rFonts w:ascii="Verdana" w:hAnsi="Verdana"/>
                <w:sz w:val="16"/>
                <w:szCs w:val="16"/>
              </w:rPr>
              <w:t>27 duodecies, tweede lid</w:t>
            </w:r>
            <w:r>
              <w:rPr>
                <w:rFonts w:ascii="Verdana" w:hAnsi="Verdana"/>
                <w:sz w:val="16"/>
                <w:szCs w:val="16"/>
              </w:rPr>
              <w:t>, eerste alinea</w:t>
            </w:r>
          </w:p>
        </w:tc>
        <w:tc>
          <w:tcPr>
            <w:tcW w:w="1625" w:type="dxa"/>
          </w:tcPr>
          <w:p w:rsidR="00334D7E" w:rsidP="00334D7E" w:rsidRDefault="00334D7E" w14:paraId="5CAE291E" w14:textId="77777777">
            <w:pPr>
              <w:spacing w:line="240" w:lineRule="atLeast"/>
              <w:rPr>
                <w:rFonts w:ascii="Verdana" w:hAnsi="Verdana"/>
                <w:sz w:val="16"/>
                <w:szCs w:val="16"/>
              </w:rPr>
            </w:pPr>
            <w:r>
              <w:rPr>
                <w:rFonts w:ascii="Verdana" w:hAnsi="Verdana"/>
                <w:sz w:val="16"/>
                <w:szCs w:val="16"/>
              </w:rPr>
              <w:t>Artikel I, onderdeel D (</w:t>
            </w:r>
            <w:r w:rsidRPr="002C5EC5">
              <w:rPr>
                <w:rFonts w:ascii="Verdana" w:hAnsi="Verdana"/>
                <w:sz w:val="16"/>
                <w:szCs w:val="16"/>
              </w:rPr>
              <w:t>1:51, derde lid, Wft</w:t>
            </w:r>
            <w:r>
              <w:rPr>
                <w:rFonts w:ascii="Verdana" w:hAnsi="Verdana"/>
                <w:sz w:val="16"/>
                <w:szCs w:val="16"/>
              </w:rPr>
              <w:t>)</w:t>
            </w:r>
            <w:r w:rsidRPr="002C5EC5">
              <w:rPr>
                <w:rFonts w:ascii="Verdana" w:hAnsi="Verdana"/>
                <w:sz w:val="16"/>
                <w:szCs w:val="16"/>
              </w:rPr>
              <w:t xml:space="preserve"> </w:t>
            </w:r>
          </w:p>
          <w:p w:rsidR="00334D7E" w:rsidP="00334D7E" w:rsidRDefault="00334D7E" w14:paraId="206C5C89" w14:textId="77777777">
            <w:pPr>
              <w:spacing w:line="240" w:lineRule="atLeast"/>
              <w:rPr>
                <w:rFonts w:ascii="Verdana" w:hAnsi="Verdana"/>
                <w:sz w:val="16"/>
                <w:szCs w:val="16"/>
              </w:rPr>
            </w:pPr>
          </w:p>
          <w:p w:rsidR="00334D7E" w:rsidP="00334D7E" w:rsidRDefault="00334D7E" w14:paraId="7826B82D" w14:textId="77777777">
            <w:pPr>
              <w:spacing w:line="240" w:lineRule="atLeast"/>
              <w:rPr>
                <w:rFonts w:ascii="Verdana" w:hAnsi="Verdana"/>
                <w:sz w:val="16"/>
                <w:szCs w:val="16"/>
              </w:rPr>
            </w:pPr>
          </w:p>
        </w:tc>
        <w:tc>
          <w:tcPr>
            <w:tcW w:w="1274" w:type="dxa"/>
          </w:tcPr>
          <w:p w:rsidRPr="002C5EC5" w:rsidR="00334D7E" w:rsidP="00334D7E" w:rsidRDefault="00334D7E" w14:paraId="00749056"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12D1DBA2" w14:textId="77777777">
            <w:pPr>
              <w:rPr>
                <w:rFonts w:ascii="Verdana" w:hAnsi="Verdana"/>
                <w:sz w:val="16"/>
                <w:szCs w:val="16"/>
              </w:rPr>
            </w:pPr>
          </w:p>
        </w:tc>
      </w:tr>
      <w:tr w:rsidR="00334D7E" w:rsidTr="00CA30A2" w14:paraId="039C080F" w14:textId="77777777">
        <w:tc>
          <w:tcPr>
            <w:tcW w:w="1552" w:type="dxa"/>
          </w:tcPr>
          <w:p w:rsidRPr="00DD0008" w:rsidR="00334D7E" w:rsidP="00334D7E" w:rsidRDefault="00334D7E" w14:paraId="0E8B5F07" w14:textId="1AADAEFB">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13C95B56" w14:textId="77777777">
            <w:pPr>
              <w:rPr>
                <w:rFonts w:ascii="Verdana" w:hAnsi="Verdana"/>
                <w:sz w:val="16"/>
                <w:szCs w:val="16"/>
              </w:rPr>
            </w:pPr>
            <w:r w:rsidRPr="002C5EC5">
              <w:rPr>
                <w:rFonts w:ascii="Verdana" w:hAnsi="Verdana"/>
                <w:sz w:val="16"/>
                <w:szCs w:val="16"/>
              </w:rPr>
              <w:t>27 duodecies, tweede</w:t>
            </w:r>
            <w:r>
              <w:rPr>
                <w:rFonts w:ascii="Verdana" w:hAnsi="Verdana"/>
                <w:sz w:val="16"/>
                <w:szCs w:val="16"/>
              </w:rPr>
              <w:t xml:space="preserve"> lid, tweede alinea</w:t>
            </w:r>
          </w:p>
        </w:tc>
        <w:tc>
          <w:tcPr>
            <w:tcW w:w="1625" w:type="dxa"/>
          </w:tcPr>
          <w:p w:rsidR="00334D7E" w:rsidP="00334D7E" w:rsidRDefault="00334D7E" w14:paraId="2EC1AE86" w14:textId="77777777">
            <w:pPr>
              <w:spacing w:line="240" w:lineRule="atLeast"/>
              <w:rPr>
                <w:rFonts w:ascii="Verdana" w:hAnsi="Verdana"/>
                <w:sz w:val="16"/>
                <w:szCs w:val="16"/>
              </w:rPr>
            </w:pPr>
            <w:r>
              <w:rPr>
                <w:rFonts w:ascii="Verdana" w:hAnsi="Verdana"/>
                <w:sz w:val="16"/>
                <w:szCs w:val="16"/>
              </w:rPr>
              <w:t>Volgt bij implementatieregeling</w:t>
            </w:r>
            <w:r w:rsidRPr="002C5EC5">
              <w:rPr>
                <w:rFonts w:ascii="Verdana" w:hAnsi="Verdana"/>
                <w:sz w:val="16"/>
                <w:szCs w:val="16"/>
              </w:rPr>
              <w:t xml:space="preserve"> </w:t>
            </w:r>
            <w:r>
              <w:rPr>
                <w:rFonts w:ascii="Verdana" w:hAnsi="Verdana"/>
                <w:sz w:val="16"/>
                <w:szCs w:val="16"/>
              </w:rPr>
              <w:t>(Bijlage 6 Rtt)</w:t>
            </w:r>
          </w:p>
        </w:tc>
        <w:tc>
          <w:tcPr>
            <w:tcW w:w="1274" w:type="dxa"/>
          </w:tcPr>
          <w:p w:rsidRPr="002C5EC5" w:rsidR="00334D7E" w:rsidP="00334D7E" w:rsidRDefault="00334D7E" w14:paraId="57511652" w14:textId="77777777">
            <w:pPr>
              <w:rPr>
                <w:rFonts w:ascii="Verdana" w:hAnsi="Verdana"/>
                <w:sz w:val="16"/>
                <w:szCs w:val="16"/>
              </w:rPr>
            </w:pPr>
          </w:p>
        </w:tc>
        <w:tc>
          <w:tcPr>
            <w:tcW w:w="1422" w:type="dxa"/>
          </w:tcPr>
          <w:p w:rsidRPr="002C5EC5" w:rsidR="00334D7E" w:rsidP="00334D7E" w:rsidRDefault="00334D7E" w14:paraId="5CD21C7E" w14:textId="77777777">
            <w:pPr>
              <w:rPr>
                <w:rFonts w:ascii="Verdana" w:hAnsi="Verdana"/>
                <w:sz w:val="16"/>
                <w:szCs w:val="16"/>
              </w:rPr>
            </w:pPr>
          </w:p>
        </w:tc>
      </w:tr>
      <w:tr w:rsidR="00334D7E" w:rsidTr="00CA30A2" w14:paraId="50E63988" w14:textId="77777777">
        <w:tc>
          <w:tcPr>
            <w:tcW w:w="1552" w:type="dxa"/>
          </w:tcPr>
          <w:p w:rsidRPr="00DD0008" w:rsidR="00334D7E" w:rsidP="00334D7E" w:rsidRDefault="00334D7E" w14:paraId="13EDEBB6" w14:textId="74BBB50F">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29786ACD" w14:textId="77777777">
            <w:pPr>
              <w:rPr>
                <w:rFonts w:ascii="Verdana" w:hAnsi="Verdana"/>
                <w:sz w:val="16"/>
                <w:szCs w:val="16"/>
              </w:rPr>
            </w:pPr>
            <w:r w:rsidRPr="002C5EC5">
              <w:rPr>
                <w:rFonts w:ascii="Verdana" w:hAnsi="Verdana"/>
                <w:sz w:val="16"/>
                <w:szCs w:val="16"/>
              </w:rPr>
              <w:t>27 duodecies, derde lid</w:t>
            </w:r>
          </w:p>
        </w:tc>
        <w:tc>
          <w:tcPr>
            <w:tcW w:w="1625" w:type="dxa"/>
          </w:tcPr>
          <w:p w:rsidR="00334D7E" w:rsidP="00334D7E" w:rsidRDefault="00334D7E" w14:paraId="0BA61178" w14:textId="77777777">
            <w:pPr>
              <w:spacing w:line="240" w:lineRule="atLeast"/>
              <w:rPr>
                <w:rFonts w:ascii="Verdana" w:hAnsi="Verdana"/>
                <w:sz w:val="16"/>
                <w:szCs w:val="16"/>
              </w:rPr>
            </w:pPr>
            <w:r w:rsidRPr="002C5EC5">
              <w:rPr>
                <w:rFonts w:ascii="Verdana" w:hAnsi="Verdana"/>
                <w:sz w:val="16"/>
                <w:szCs w:val="16"/>
              </w:rPr>
              <w:t>Behoeft naar zijn aard geen implementatie</w:t>
            </w:r>
            <w:r>
              <w:rPr>
                <w:rFonts w:ascii="Verdana" w:hAnsi="Verdana"/>
                <w:sz w:val="16"/>
                <w:szCs w:val="16"/>
              </w:rPr>
              <w:t>:</w:t>
            </w:r>
            <w:r w:rsidRPr="002C5EC5">
              <w:rPr>
                <w:rFonts w:ascii="Verdana" w:hAnsi="Verdana"/>
                <w:sz w:val="16"/>
                <w:szCs w:val="16"/>
              </w:rPr>
              <w:t xml:space="preserve"> bepaling gericht tot EBA</w:t>
            </w:r>
          </w:p>
        </w:tc>
        <w:tc>
          <w:tcPr>
            <w:tcW w:w="1274" w:type="dxa"/>
          </w:tcPr>
          <w:p w:rsidRPr="002C5EC5" w:rsidR="00334D7E" w:rsidP="00334D7E" w:rsidRDefault="00334D7E" w14:paraId="7CF8D7A5"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7175D7D7" w14:textId="77777777">
            <w:pPr>
              <w:rPr>
                <w:rFonts w:ascii="Verdana" w:hAnsi="Verdana"/>
                <w:sz w:val="16"/>
                <w:szCs w:val="16"/>
              </w:rPr>
            </w:pPr>
          </w:p>
        </w:tc>
      </w:tr>
      <w:tr w:rsidR="00334D7E" w:rsidTr="00CA30A2" w14:paraId="29281D78" w14:textId="77777777">
        <w:tc>
          <w:tcPr>
            <w:tcW w:w="1552" w:type="dxa"/>
          </w:tcPr>
          <w:p w:rsidRPr="00DD0008" w:rsidR="00334D7E" w:rsidP="00334D7E" w:rsidRDefault="00334D7E" w14:paraId="2B39FBF0" w14:textId="7A6D9404">
            <w:pPr>
              <w:rPr>
                <w:rFonts w:ascii="Verdana" w:hAnsi="Verdana"/>
                <w:sz w:val="16"/>
                <w:szCs w:val="16"/>
              </w:rPr>
            </w:pPr>
            <w:r w:rsidRPr="001D5194">
              <w:rPr>
                <w:rFonts w:ascii="Verdana" w:hAnsi="Verdana"/>
                <w:sz w:val="16"/>
                <w:szCs w:val="16"/>
              </w:rPr>
              <w:t>1, lid 12</w:t>
            </w:r>
          </w:p>
        </w:tc>
        <w:tc>
          <w:tcPr>
            <w:tcW w:w="1514" w:type="dxa"/>
          </w:tcPr>
          <w:p w:rsidRPr="002C5EC5" w:rsidR="00334D7E" w:rsidP="00334D7E" w:rsidRDefault="00334D7E" w14:paraId="6A82DE62" w14:textId="77777777">
            <w:pPr>
              <w:rPr>
                <w:rFonts w:ascii="Verdana" w:hAnsi="Verdana"/>
                <w:sz w:val="16"/>
                <w:szCs w:val="16"/>
              </w:rPr>
            </w:pPr>
            <w:r w:rsidRPr="002C5EC5">
              <w:rPr>
                <w:rFonts w:ascii="Verdana" w:hAnsi="Verdana"/>
                <w:sz w:val="16"/>
                <w:szCs w:val="16"/>
              </w:rPr>
              <w:t>27 terdecies</w:t>
            </w:r>
          </w:p>
        </w:tc>
        <w:tc>
          <w:tcPr>
            <w:tcW w:w="1625" w:type="dxa"/>
          </w:tcPr>
          <w:p w:rsidR="00334D7E" w:rsidP="00334D7E" w:rsidRDefault="00334D7E" w14:paraId="399A3848" w14:textId="77777777">
            <w:pPr>
              <w:spacing w:line="240" w:lineRule="atLeast"/>
              <w:rPr>
                <w:rFonts w:ascii="Verdana" w:hAnsi="Verdana"/>
                <w:sz w:val="16"/>
                <w:szCs w:val="16"/>
              </w:rPr>
            </w:pPr>
            <w:r>
              <w:rPr>
                <w:rFonts w:ascii="Verdana" w:hAnsi="Verdana"/>
                <w:sz w:val="16"/>
                <w:szCs w:val="16"/>
              </w:rPr>
              <w:t>Artikel I, onderdeel LLLL (</w:t>
            </w:r>
            <w:r w:rsidRPr="002C5EC5">
              <w:rPr>
                <w:rFonts w:ascii="Verdana" w:hAnsi="Verdana"/>
                <w:sz w:val="16"/>
                <w:szCs w:val="16"/>
              </w:rPr>
              <w:t>Bijlage behorende bij de artikel 1:79 en 1:80 Wft</w:t>
            </w:r>
            <w:r>
              <w:rPr>
                <w:rFonts w:ascii="Verdana" w:hAnsi="Verdana"/>
                <w:sz w:val="16"/>
                <w:szCs w:val="16"/>
              </w:rPr>
              <w:t>)</w:t>
            </w:r>
          </w:p>
          <w:p w:rsidR="00334D7E" w:rsidP="00334D7E" w:rsidRDefault="00334D7E" w14:paraId="6C6E0476" w14:textId="77777777">
            <w:pPr>
              <w:spacing w:line="240" w:lineRule="atLeast"/>
              <w:rPr>
                <w:rFonts w:ascii="Verdana" w:hAnsi="Verdana"/>
                <w:sz w:val="16"/>
                <w:szCs w:val="16"/>
              </w:rPr>
            </w:pPr>
          </w:p>
          <w:p w:rsidRPr="002C5EC5" w:rsidR="00334D7E" w:rsidP="00334D7E" w:rsidRDefault="00334D7E" w14:paraId="53AE08B2" w14:textId="77777777">
            <w:pPr>
              <w:spacing w:line="240" w:lineRule="atLeast"/>
              <w:rPr>
                <w:rFonts w:ascii="Verdana" w:hAnsi="Verdana"/>
                <w:sz w:val="16"/>
                <w:szCs w:val="16"/>
              </w:rPr>
            </w:pPr>
            <w:r>
              <w:rPr>
                <w:rFonts w:ascii="Verdana" w:hAnsi="Verdana"/>
                <w:sz w:val="16"/>
                <w:szCs w:val="16"/>
              </w:rPr>
              <w:t>Volgt bij implementatiebesluit (artikel 10 Bbbfs)</w:t>
            </w:r>
          </w:p>
        </w:tc>
        <w:tc>
          <w:tcPr>
            <w:tcW w:w="1274" w:type="dxa"/>
          </w:tcPr>
          <w:p w:rsidRPr="002C5EC5" w:rsidR="00334D7E" w:rsidP="00334D7E" w:rsidRDefault="00334D7E" w14:paraId="569068CF"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7D11A65C" w14:textId="77777777">
            <w:pPr>
              <w:rPr>
                <w:rFonts w:ascii="Verdana" w:hAnsi="Verdana"/>
                <w:sz w:val="16"/>
                <w:szCs w:val="16"/>
              </w:rPr>
            </w:pPr>
          </w:p>
        </w:tc>
      </w:tr>
      <w:tr w:rsidR="00CA30A2" w:rsidTr="00CA30A2" w14:paraId="11392243" w14:textId="77777777">
        <w:tc>
          <w:tcPr>
            <w:tcW w:w="1552" w:type="dxa"/>
          </w:tcPr>
          <w:p w:rsidRPr="00DD0008" w:rsidR="00CA30A2" w:rsidP="008549EB" w:rsidRDefault="00334D7E" w14:paraId="02FF5CCA" w14:textId="20F1C60B">
            <w:pPr>
              <w:rPr>
                <w:rFonts w:ascii="Verdana" w:hAnsi="Verdana"/>
                <w:sz w:val="16"/>
                <w:szCs w:val="16"/>
              </w:rPr>
            </w:pPr>
            <w:r>
              <w:rPr>
                <w:rFonts w:ascii="Verdana" w:hAnsi="Verdana"/>
                <w:sz w:val="16"/>
                <w:szCs w:val="16"/>
              </w:rPr>
              <w:t xml:space="preserve">1, lid </w:t>
            </w:r>
            <w:r w:rsidR="00CA30A2">
              <w:rPr>
                <w:rFonts w:ascii="Verdana" w:hAnsi="Verdana"/>
                <w:sz w:val="16"/>
                <w:szCs w:val="16"/>
              </w:rPr>
              <w:t>13</w:t>
            </w:r>
          </w:p>
        </w:tc>
        <w:tc>
          <w:tcPr>
            <w:tcW w:w="1514" w:type="dxa"/>
          </w:tcPr>
          <w:p w:rsidRPr="002C5EC5" w:rsidR="00CA30A2" w:rsidP="008549EB" w:rsidRDefault="00CA30A2" w14:paraId="19975CD8" w14:textId="77777777">
            <w:pPr>
              <w:rPr>
                <w:rFonts w:ascii="Verdana" w:hAnsi="Verdana"/>
                <w:sz w:val="16"/>
                <w:szCs w:val="16"/>
              </w:rPr>
            </w:pPr>
            <w:r w:rsidRPr="002C5EC5">
              <w:rPr>
                <w:rFonts w:ascii="Verdana" w:hAnsi="Verdana"/>
                <w:sz w:val="16"/>
                <w:szCs w:val="16"/>
              </w:rPr>
              <w:t>47, eerste lid</w:t>
            </w:r>
          </w:p>
        </w:tc>
        <w:tc>
          <w:tcPr>
            <w:tcW w:w="1625" w:type="dxa"/>
          </w:tcPr>
          <w:p w:rsidR="00CA30A2" w:rsidP="008549EB" w:rsidRDefault="00CA30A2" w14:paraId="5ED18B6F" w14:textId="77777777">
            <w:pPr>
              <w:spacing w:line="240" w:lineRule="atLeast"/>
              <w:rPr>
                <w:rFonts w:ascii="Verdana" w:hAnsi="Verdana"/>
                <w:sz w:val="16"/>
                <w:szCs w:val="16"/>
              </w:rPr>
            </w:pPr>
            <w:r>
              <w:rPr>
                <w:rFonts w:ascii="Verdana" w:hAnsi="Verdana"/>
                <w:sz w:val="16"/>
                <w:szCs w:val="16"/>
              </w:rPr>
              <w:t>Artikel I, onderdeel S (</w:t>
            </w:r>
            <w:r w:rsidRPr="002C5EC5">
              <w:rPr>
                <w:rFonts w:ascii="Verdana" w:hAnsi="Verdana"/>
                <w:sz w:val="16"/>
                <w:szCs w:val="16"/>
              </w:rPr>
              <w:t>2:20, eerste lid, Wft</w:t>
            </w:r>
            <w:r>
              <w:rPr>
                <w:rFonts w:ascii="Verdana" w:hAnsi="Verdana"/>
                <w:sz w:val="16"/>
                <w:szCs w:val="16"/>
              </w:rPr>
              <w:t>)</w:t>
            </w:r>
          </w:p>
        </w:tc>
        <w:tc>
          <w:tcPr>
            <w:tcW w:w="1274" w:type="dxa"/>
          </w:tcPr>
          <w:p w:rsidRPr="002C5EC5" w:rsidR="00CA30A2" w:rsidP="008549EB" w:rsidRDefault="00CA30A2" w14:paraId="27DEFE50"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30CF0680" w14:textId="77777777">
            <w:pPr>
              <w:rPr>
                <w:rFonts w:ascii="Verdana" w:hAnsi="Verdana"/>
                <w:sz w:val="16"/>
                <w:szCs w:val="16"/>
              </w:rPr>
            </w:pPr>
          </w:p>
        </w:tc>
      </w:tr>
      <w:tr w:rsidR="00334D7E" w:rsidTr="00CA30A2" w14:paraId="0C09DD5A" w14:textId="77777777">
        <w:tc>
          <w:tcPr>
            <w:tcW w:w="1552" w:type="dxa"/>
          </w:tcPr>
          <w:p w:rsidRPr="00DD0008" w:rsidR="00334D7E" w:rsidP="00334D7E" w:rsidRDefault="00334D7E" w14:paraId="57E41BEF" w14:textId="52407A0F">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6510977C" w14:textId="77777777">
            <w:pPr>
              <w:rPr>
                <w:rFonts w:ascii="Verdana" w:hAnsi="Verdana"/>
                <w:sz w:val="16"/>
                <w:szCs w:val="16"/>
              </w:rPr>
            </w:pPr>
            <w:r w:rsidRPr="002C5EC5">
              <w:rPr>
                <w:rFonts w:ascii="Verdana" w:hAnsi="Verdana"/>
                <w:sz w:val="16"/>
                <w:szCs w:val="16"/>
              </w:rPr>
              <w:t>47, tweede lid</w:t>
            </w:r>
          </w:p>
        </w:tc>
        <w:tc>
          <w:tcPr>
            <w:tcW w:w="1625" w:type="dxa"/>
          </w:tcPr>
          <w:p w:rsidR="00334D7E" w:rsidP="00334D7E" w:rsidRDefault="00334D7E" w14:paraId="48904CF5" w14:textId="77777777">
            <w:pPr>
              <w:spacing w:line="240" w:lineRule="atLeast"/>
              <w:rPr>
                <w:rFonts w:ascii="Verdana" w:hAnsi="Verdana"/>
                <w:sz w:val="16"/>
                <w:szCs w:val="16"/>
              </w:rPr>
            </w:pPr>
            <w:r>
              <w:rPr>
                <w:rFonts w:ascii="Verdana" w:hAnsi="Verdana"/>
                <w:sz w:val="16"/>
                <w:szCs w:val="16"/>
              </w:rPr>
              <w:t>Artikel I, onderdeel S (</w:t>
            </w:r>
            <w:r w:rsidRPr="002C5EC5">
              <w:rPr>
                <w:rFonts w:ascii="Verdana" w:hAnsi="Verdana"/>
                <w:sz w:val="16"/>
                <w:szCs w:val="16"/>
              </w:rPr>
              <w:t>2:20, tweede lid, Wft</w:t>
            </w:r>
            <w:r>
              <w:rPr>
                <w:rFonts w:ascii="Verdana" w:hAnsi="Verdana"/>
                <w:sz w:val="16"/>
                <w:szCs w:val="16"/>
              </w:rPr>
              <w:t>)</w:t>
            </w:r>
          </w:p>
        </w:tc>
        <w:tc>
          <w:tcPr>
            <w:tcW w:w="1274" w:type="dxa"/>
          </w:tcPr>
          <w:p w:rsidRPr="002C5EC5" w:rsidR="00334D7E" w:rsidP="00334D7E" w:rsidRDefault="00334D7E" w14:paraId="62E535D5"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0E4F1CA0" w14:textId="77777777">
            <w:pPr>
              <w:rPr>
                <w:rFonts w:ascii="Verdana" w:hAnsi="Verdana"/>
                <w:sz w:val="16"/>
                <w:szCs w:val="16"/>
              </w:rPr>
            </w:pPr>
          </w:p>
        </w:tc>
      </w:tr>
      <w:tr w:rsidR="00334D7E" w:rsidTr="00CA30A2" w14:paraId="1A3B89F9" w14:textId="77777777">
        <w:tc>
          <w:tcPr>
            <w:tcW w:w="1552" w:type="dxa"/>
          </w:tcPr>
          <w:p w:rsidRPr="00DD0008" w:rsidR="00334D7E" w:rsidP="00334D7E" w:rsidRDefault="00334D7E" w14:paraId="717D7426" w14:textId="647FAA95">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74DDC751" w14:textId="77777777">
            <w:pPr>
              <w:rPr>
                <w:rFonts w:ascii="Verdana" w:hAnsi="Verdana"/>
                <w:sz w:val="16"/>
                <w:szCs w:val="16"/>
              </w:rPr>
            </w:pPr>
            <w:r w:rsidRPr="002C5EC5">
              <w:rPr>
                <w:rFonts w:ascii="Verdana" w:hAnsi="Verdana"/>
                <w:sz w:val="16"/>
                <w:szCs w:val="16"/>
              </w:rPr>
              <w:t>47, derde lid</w:t>
            </w:r>
          </w:p>
        </w:tc>
        <w:tc>
          <w:tcPr>
            <w:tcW w:w="1625" w:type="dxa"/>
          </w:tcPr>
          <w:p w:rsidR="00334D7E" w:rsidP="00334D7E" w:rsidRDefault="00334D7E" w14:paraId="7B3475D1"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 Definities niet gebruikt</w:t>
            </w:r>
            <w:r w:rsidRPr="002C5EC5">
              <w:rPr>
                <w:rFonts w:ascii="Verdana" w:hAnsi="Verdana"/>
                <w:sz w:val="16"/>
                <w:szCs w:val="16"/>
              </w:rPr>
              <w:t xml:space="preserve"> </w:t>
            </w:r>
          </w:p>
        </w:tc>
        <w:tc>
          <w:tcPr>
            <w:tcW w:w="1274" w:type="dxa"/>
          </w:tcPr>
          <w:p w:rsidRPr="002C5EC5" w:rsidR="00334D7E" w:rsidP="00334D7E" w:rsidRDefault="00334D7E" w14:paraId="2698DBD2"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5135DBBC" w14:textId="77777777">
            <w:pPr>
              <w:rPr>
                <w:rFonts w:ascii="Verdana" w:hAnsi="Verdana"/>
                <w:sz w:val="16"/>
                <w:szCs w:val="16"/>
              </w:rPr>
            </w:pPr>
          </w:p>
        </w:tc>
      </w:tr>
      <w:tr w:rsidR="00334D7E" w:rsidTr="00CA30A2" w14:paraId="60EC31A6" w14:textId="77777777">
        <w:tc>
          <w:tcPr>
            <w:tcW w:w="1552" w:type="dxa"/>
          </w:tcPr>
          <w:p w:rsidRPr="00DD0008" w:rsidR="00334D7E" w:rsidP="00334D7E" w:rsidRDefault="00334D7E" w14:paraId="7928E4A7" w14:textId="33B85177">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30D8DAA6" w14:textId="77777777">
            <w:pPr>
              <w:rPr>
                <w:rFonts w:ascii="Verdana" w:hAnsi="Verdana"/>
                <w:sz w:val="16"/>
                <w:szCs w:val="16"/>
              </w:rPr>
            </w:pPr>
            <w:r w:rsidRPr="002C5EC5">
              <w:rPr>
                <w:rFonts w:ascii="Verdana" w:hAnsi="Verdana"/>
                <w:sz w:val="16"/>
                <w:szCs w:val="16"/>
              </w:rPr>
              <w:t>48</w:t>
            </w:r>
          </w:p>
        </w:tc>
        <w:tc>
          <w:tcPr>
            <w:tcW w:w="1625" w:type="dxa"/>
          </w:tcPr>
          <w:p w:rsidRPr="002C5EC5" w:rsidR="00334D7E" w:rsidP="00334D7E" w:rsidRDefault="00334D7E" w14:paraId="0A48CF13"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 Er is geen lichter regime voor bijkantoren uit staten die geen lidstaat zijn.</w:t>
            </w:r>
            <w:r w:rsidRPr="002C5EC5">
              <w:rPr>
                <w:rFonts w:ascii="Verdana" w:hAnsi="Verdana"/>
                <w:sz w:val="16"/>
                <w:szCs w:val="16"/>
              </w:rPr>
              <w:t xml:space="preserve"> </w:t>
            </w:r>
          </w:p>
        </w:tc>
        <w:tc>
          <w:tcPr>
            <w:tcW w:w="1274" w:type="dxa"/>
          </w:tcPr>
          <w:p w:rsidRPr="002C5EC5" w:rsidR="00334D7E" w:rsidP="00334D7E" w:rsidRDefault="00334D7E" w14:paraId="263CCB4B"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054FC95A" w14:textId="77777777">
            <w:pPr>
              <w:rPr>
                <w:rFonts w:ascii="Verdana" w:hAnsi="Verdana"/>
                <w:sz w:val="16"/>
                <w:szCs w:val="16"/>
              </w:rPr>
            </w:pPr>
          </w:p>
        </w:tc>
      </w:tr>
      <w:tr w:rsidR="00334D7E" w:rsidTr="00CA30A2" w14:paraId="2524B25C" w14:textId="77777777">
        <w:tc>
          <w:tcPr>
            <w:tcW w:w="1552" w:type="dxa"/>
          </w:tcPr>
          <w:p w:rsidRPr="00DD0008" w:rsidR="00334D7E" w:rsidP="00334D7E" w:rsidRDefault="00334D7E" w14:paraId="603990BC" w14:textId="221B2B8F">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1B725790" w14:textId="77777777">
            <w:pPr>
              <w:rPr>
                <w:rFonts w:ascii="Verdana" w:hAnsi="Verdana"/>
                <w:sz w:val="16"/>
                <w:szCs w:val="16"/>
              </w:rPr>
            </w:pPr>
            <w:r w:rsidRPr="002C5EC5">
              <w:rPr>
                <w:rFonts w:ascii="Verdana" w:hAnsi="Verdana"/>
                <w:sz w:val="16"/>
                <w:szCs w:val="16"/>
              </w:rPr>
              <w:t>48 bis, eerste lid</w:t>
            </w:r>
          </w:p>
        </w:tc>
        <w:tc>
          <w:tcPr>
            <w:tcW w:w="1625" w:type="dxa"/>
          </w:tcPr>
          <w:p w:rsidRPr="002C5EC5" w:rsidR="00334D7E" w:rsidP="00334D7E" w:rsidRDefault="00334D7E" w14:paraId="0C95EBEF" w14:textId="77777777">
            <w:pPr>
              <w:spacing w:line="240" w:lineRule="atLeast"/>
              <w:rPr>
                <w:rFonts w:ascii="Verdana" w:hAnsi="Verdana"/>
                <w:sz w:val="16"/>
                <w:szCs w:val="16"/>
              </w:rPr>
            </w:pPr>
            <w:r>
              <w:rPr>
                <w:rFonts w:ascii="Verdana" w:hAnsi="Verdana"/>
                <w:sz w:val="16"/>
                <w:szCs w:val="16"/>
              </w:rPr>
              <w:t>Artikel I, onderdeel A (1:1</w:t>
            </w:r>
            <w:r w:rsidRPr="002C5EC5">
              <w:rPr>
                <w:rFonts w:ascii="Verdana" w:hAnsi="Verdana"/>
                <w:sz w:val="16"/>
                <w:szCs w:val="16"/>
              </w:rPr>
              <w:t xml:space="preserve"> Wft</w:t>
            </w:r>
            <w:r>
              <w:rPr>
                <w:rFonts w:ascii="Verdana" w:hAnsi="Verdana"/>
                <w:sz w:val="16"/>
                <w:szCs w:val="16"/>
              </w:rPr>
              <w:t>)</w:t>
            </w:r>
          </w:p>
        </w:tc>
        <w:tc>
          <w:tcPr>
            <w:tcW w:w="1274" w:type="dxa"/>
          </w:tcPr>
          <w:p w:rsidRPr="002C5EC5" w:rsidR="00334D7E" w:rsidP="00334D7E" w:rsidRDefault="00334D7E" w14:paraId="6E88E146"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14373624" w14:textId="77777777">
            <w:pPr>
              <w:rPr>
                <w:rFonts w:ascii="Verdana" w:hAnsi="Verdana"/>
                <w:sz w:val="16"/>
                <w:szCs w:val="16"/>
              </w:rPr>
            </w:pPr>
          </w:p>
        </w:tc>
      </w:tr>
      <w:tr w:rsidR="00334D7E" w:rsidTr="00CA30A2" w14:paraId="33F83377" w14:textId="77777777">
        <w:tc>
          <w:tcPr>
            <w:tcW w:w="1552" w:type="dxa"/>
          </w:tcPr>
          <w:p w:rsidRPr="00DD0008" w:rsidR="00334D7E" w:rsidP="00334D7E" w:rsidRDefault="00334D7E" w14:paraId="0BDB3E81" w14:textId="732F1F40">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74F98E7C" w14:textId="77777777">
            <w:pPr>
              <w:rPr>
                <w:rFonts w:ascii="Verdana" w:hAnsi="Verdana"/>
                <w:sz w:val="16"/>
                <w:szCs w:val="16"/>
              </w:rPr>
            </w:pPr>
            <w:r w:rsidRPr="002C5EC5">
              <w:rPr>
                <w:rFonts w:ascii="Verdana" w:hAnsi="Verdana"/>
                <w:sz w:val="16"/>
                <w:szCs w:val="16"/>
              </w:rPr>
              <w:t>48 bis, tweede lid</w:t>
            </w:r>
          </w:p>
        </w:tc>
        <w:tc>
          <w:tcPr>
            <w:tcW w:w="1625" w:type="dxa"/>
          </w:tcPr>
          <w:p w:rsidR="00334D7E" w:rsidP="00334D7E" w:rsidRDefault="00334D7E" w14:paraId="24DC3105" w14:textId="77777777">
            <w:pPr>
              <w:spacing w:line="240" w:lineRule="atLeast"/>
              <w:rPr>
                <w:rFonts w:ascii="Verdana" w:hAnsi="Verdana"/>
                <w:sz w:val="16"/>
                <w:szCs w:val="16"/>
              </w:rPr>
            </w:pPr>
            <w:r>
              <w:rPr>
                <w:rFonts w:ascii="Verdana" w:hAnsi="Verdana"/>
                <w:sz w:val="16"/>
                <w:szCs w:val="16"/>
              </w:rPr>
              <w:t>Artikel I, onderdeel A (1:1</w:t>
            </w:r>
            <w:r w:rsidRPr="002C5EC5">
              <w:rPr>
                <w:rFonts w:ascii="Verdana" w:hAnsi="Verdana"/>
                <w:sz w:val="16"/>
                <w:szCs w:val="16"/>
              </w:rPr>
              <w:t xml:space="preserve"> Wft</w:t>
            </w:r>
            <w:r>
              <w:rPr>
                <w:rFonts w:ascii="Verdana" w:hAnsi="Verdana"/>
                <w:sz w:val="16"/>
                <w:szCs w:val="16"/>
              </w:rPr>
              <w:t>)</w:t>
            </w:r>
          </w:p>
        </w:tc>
        <w:tc>
          <w:tcPr>
            <w:tcW w:w="1274" w:type="dxa"/>
          </w:tcPr>
          <w:p w:rsidRPr="002C5EC5" w:rsidR="00334D7E" w:rsidP="00334D7E" w:rsidRDefault="00334D7E" w14:paraId="2E515DF7"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028E9BB5" w14:textId="77777777">
            <w:pPr>
              <w:rPr>
                <w:rFonts w:ascii="Verdana" w:hAnsi="Verdana"/>
                <w:sz w:val="16"/>
                <w:szCs w:val="16"/>
              </w:rPr>
            </w:pPr>
          </w:p>
        </w:tc>
      </w:tr>
      <w:tr w:rsidR="00334D7E" w:rsidTr="00CA30A2" w14:paraId="02DBB832" w14:textId="77777777">
        <w:tc>
          <w:tcPr>
            <w:tcW w:w="1552" w:type="dxa"/>
          </w:tcPr>
          <w:p w:rsidRPr="00DD0008" w:rsidR="00334D7E" w:rsidP="00334D7E" w:rsidRDefault="00334D7E" w14:paraId="53DB255D" w14:textId="23C29261">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1935360E" w14:textId="77777777">
            <w:pPr>
              <w:rPr>
                <w:rFonts w:ascii="Verdana" w:hAnsi="Verdana"/>
                <w:sz w:val="16"/>
                <w:szCs w:val="16"/>
              </w:rPr>
            </w:pPr>
            <w:r w:rsidRPr="002C5EC5">
              <w:rPr>
                <w:rFonts w:ascii="Verdana" w:hAnsi="Verdana"/>
                <w:sz w:val="16"/>
                <w:szCs w:val="16"/>
              </w:rPr>
              <w:t>48 bis, derde lid</w:t>
            </w:r>
          </w:p>
        </w:tc>
        <w:tc>
          <w:tcPr>
            <w:tcW w:w="1625" w:type="dxa"/>
          </w:tcPr>
          <w:p w:rsidR="00334D7E" w:rsidP="00334D7E" w:rsidRDefault="00334D7E" w14:paraId="296785B0" w14:textId="77777777">
            <w:pPr>
              <w:spacing w:line="240" w:lineRule="atLeast"/>
              <w:rPr>
                <w:rFonts w:ascii="Verdana" w:hAnsi="Verdana"/>
                <w:sz w:val="16"/>
                <w:szCs w:val="16"/>
              </w:rPr>
            </w:pPr>
            <w:r>
              <w:rPr>
                <w:rFonts w:ascii="Verdana" w:hAnsi="Verdana"/>
                <w:sz w:val="16"/>
                <w:szCs w:val="16"/>
              </w:rPr>
              <w:t>Artikel I, onderdeel O (1:107, tweede lid, onderdeel e, Wft)</w:t>
            </w:r>
          </w:p>
          <w:p w:rsidR="00334D7E" w:rsidP="00334D7E" w:rsidRDefault="00334D7E" w14:paraId="0380792C" w14:textId="77777777">
            <w:pPr>
              <w:spacing w:line="240" w:lineRule="atLeast"/>
              <w:rPr>
                <w:rFonts w:ascii="Verdana" w:hAnsi="Verdana"/>
                <w:sz w:val="16"/>
                <w:szCs w:val="16"/>
              </w:rPr>
            </w:pPr>
          </w:p>
          <w:p w:rsidR="00334D7E" w:rsidP="00334D7E" w:rsidRDefault="00334D7E" w14:paraId="72B5445B" w14:textId="77777777">
            <w:pPr>
              <w:spacing w:line="240" w:lineRule="atLeast"/>
              <w:rPr>
                <w:rFonts w:ascii="Verdana" w:hAnsi="Verdana"/>
                <w:sz w:val="16"/>
                <w:szCs w:val="16"/>
              </w:rPr>
            </w:pPr>
            <w:r>
              <w:rPr>
                <w:rFonts w:ascii="Verdana" w:hAnsi="Verdana"/>
                <w:sz w:val="16"/>
                <w:szCs w:val="16"/>
              </w:rPr>
              <w:t>Volgt bij implementatieregeling</w:t>
            </w:r>
            <w:r w:rsidRPr="002C5EC5">
              <w:rPr>
                <w:rFonts w:ascii="Verdana" w:hAnsi="Verdana"/>
                <w:sz w:val="16"/>
                <w:szCs w:val="16"/>
              </w:rPr>
              <w:t xml:space="preserve"> </w:t>
            </w:r>
            <w:r>
              <w:rPr>
                <w:rFonts w:ascii="Verdana" w:hAnsi="Verdana"/>
                <w:sz w:val="16"/>
                <w:szCs w:val="16"/>
              </w:rPr>
              <w:t>(Bijlage 6 Rtt)</w:t>
            </w:r>
          </w:p>
        </w:tc>
        <w:tc>
          <w:tcPr>
            <w:tcW w:w="1274" w:type="dxa"/>
          </w:tcPr>
          <w:p w:rsidRPr="002C5EC5" w:rsidR="00334D7E" w:rsidP="00334D7E" w:rsidRDefault="00334D7E" w14:paraId="2F0C39D1"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0312C9FE" w14:textId="77777777">
            <w:pPr>
              <w:rPr>
                <w:rFonts w:ascii="Verdana" w:hAnsi="Verdana"/>
                <w:sz w:val="16"/>
                <w:szCs w:val="16"/>
              </w:rPr>
            </w:pPr>
          </w:p>
        </w:tc>
      </w:tr>
      <w:tr w:rsidR="00334D7E" w:rsidTr="00CA30A2" w14:paraId="1B15AAA5" w14:textId="77777777">
        <w:tc>
          <w:tcPr>
            <w:tcW w:w="1552" w:type="dxa"/>
          </w:tcPr>
          <w:p w:rsidRPr="00DD0008" w:rsidR="00334D7E" w:rsidP="00334D7E" w:rsidRDefault="00334D7E" w14:paraId="4235FC01" w14:textId="273BA3E1">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2C1198CA" w14:textId="77777777">
            <w:pPr>
              <w:rPr>
                <w:rFonts w:ascii="Verdana" w:hAnsi="Verdana"/>
                <w:sz w:val="16"/>
                <w:szCs w:val="16"/>
              </w:rPr>
            </w:pPr>
            <w:r w:rsidRPr="002C5EC5">
              <w:rPr>
                <w:rFonts w:ascii="Verdana" w:hAnsi="Verdana"/>
                <w:sz w:val="16"/>
                <w:szCs w:val="16"/>
              </w:rPr>
              <w:t>48 bis, vierde lid</w:t>
            </w:r>
          </w:p>
        </w:tc>
        <w:tc>
          <w:tcPr>
            <w:tcW w:w="1625" w:type="dxa"/>
          </w:tcPr>
          <w:p w:rsidR="00334D7E" w:rsidP="00334D7E" w:rsidRDefault="00334D7E" w14:paraId="3A1F34D5"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Lidstaatoptie waar geen gebruik van wordt gemaakt.</w:t>
            </w:r>
          </w:p>
        </w:tc>
        <w:tc>
          <w:tcPr>
            <w:tcW w:w="1274" w:type="dxa"/>
          </w:tcPr>
          <w:p w:rsidRPr="002C5EC5" w:rsidR="00334D7E" w:rsidP="00334D7E" w:rsidRDefault="00334D7E" w14:paraId="5A3A92BD" w14:textId="77777777">
            <w:pPr>
              <w:rPr>
                <w:rFonts w:ascii="Verdana" w:hAnsi="Verdana"/>
                <w:sz w:val="16"/>
                <w:szCs w:val="16"/>
              </w:rPr>
            </w:pPr>
            <w:r>
              <w:rPr>
                <w:rFonts w:ascii="Verdana" w:hAnsi="Verdana"/>
                <w:sz w:val="16"/>
                <w:szCs w:val="16"/>
              </w:rPr>
              <w:t>Lidstaatoptie waar geen geen gebruik van wordt gemaakt.</w:t>
            </w:r>
          </w:p>
        </w:tc>
        <w:tc>
          <w:tcPr>
            <w:tcW w:w="1422" w:type="dxa"/>
          </w:tcPr>
          <w:p w:rsidRPr="002C5EC5" w:rsidR="00334D7E" w:rsidP="00334D7E" w:rsidRDefault="00334D7E" w14:paraId="141C41D1" w14:textId="77777777">
            <w:pPr>
              <w:rPr>
                <w:rFonts w:ascii="Verdana" w:hAnsi="Verdana"/>
                <w:sz w:val="16"/>
                <w:szCs w:val="16"/>
              </w:rPr>
            </w:pPr>
            <w:r w:rsidRPr="002C5EC5">
              <w:rPr>
                <w:rFonts w:ascii="Verdana" w:hAnsi="Verdana"/>
                <w:sz w:val="16"/>
                <w:szCs w:val="16"/>
              </w:rPr>
              <w:t xml:space="preserve">De lidstaatoptie biedt de mogelijkheid zwaardere eisen op te leggen aan </w:t>
            </w:r>
            <w:r>
              <w:rPr>
                <w:rFonts w:ascii="Verdana" w:hAnsi="Verdana"/>
                <w:sz w:val="16"/>
                <w:szCs w:val="16"/>
              </w:rPr>
              <w:t>derde land</w:t>
            </w:r>
            <w:r w:rsidRPr="002C5EC5">
              <w:rPr>
                <w:rFonts w:ascii="Verdana" w:hAnsi="Verdana"/>
                <w:sz w:val="16"/>
                <w:szCs w:val="16"/>
              </w:rPr>
              <w:t xml:space="preserve"> bijkantoren. Gekozen is om deze lidstaatoptie niet te gebruiken. Het </w:t>
            </w:r>
            <w:r>
              <w:rPr>
                <w:rFonts w:ascii="Verdana" w:hAnsi="Verdana"/>
                <w:sz w:val="16"/>
                <w:szCs w:val="16"/>
              </w:rPr>
              <w:t>derde land</w:t>
            </w:r>
            <w:r w:rsidRPr="002C5EC5">
              <w:rPr>
                <w:rFonts w:ascii="Verdana" w:hAnsi="Verdana"/>
                <w:sz w:val="16"/>
                <w:szCs w:val="16"/>
              </w:rPr>
              <w:t xml:space="preserve"> bijkantoren regime zoals geregeld in CRD VI bevat reeds stevige vereisten aan dergelijke bijkantoren. Daarnaast opteert het kabinet om de CRD VI lastenluw te implementeren.</w:t>
            </w:r>
          </w:p>
        </w:tc>
      </w:tr>
      <w:tr w:rsidR="00334D7E" w:rsidTr="00CA30A2" w14:paraId="3B51254C" w14:textId="77777777">
        <w:tc>
          <w:tcPr>
            <w:tcW w:w="1552" w:type="dxa"/>
          </w:tcPr>
          <w:p w:rsidRPr="00DD0008" w:rsidR="00334D7E" w:rsidP="00334D7E" w:rsidRDefault="00334D7E" w14:paraId="29404CDE" w14:textId="51AA61E4">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22D19AB8" w14:textId="77777777">
            <w:pPr>
              <w:rPr>
                <w:rFonts w:ascii="Verdana" w:hAnsi="Verdana"/>
                <w:sz w:val="16"/>
                <w:szCs w:val="16"/>
              </w:rPr>
            </w:pPr>
            <w:r w:rsidRPr="002C5EC5">
              <w:rPr>
                <w:rFonts w:ascii="Verdana" w:hAnsi="Verdana"/>
                <w:sz w:val="16"/>
                <w:szCs w:val="16"/>
              </w:rPr>
              <w:t>48 ter, eerste lid</w:t>
            </w:r>
          </w:p>
        </w:tc>
        <w:tc>
          <w:tcPr>
            <w:tcW w:w="1625" w:type="dxa"/>
          </w:tcPr>
          <w:p w:rsidRPr="002C5EC5" w:rsidR="00334D7E" w:rsidP="00334D7E" w:rsidRDefault="00334D7E" w14:paraId="5E2955EA" w14:textId="77777777">
            <w:pPr>
              <w:spacing w:line="240" w:lineRule="atLeast"/>
              <w:rPr>
                <w:rFonts w:ascii="Verdana" w:hAnsi="Verdana"/>
                <w:sz w:val="16"/>
                <w:szCs w:val="16"/>
              </w:rPr>
            </w:pPr>
            <w:r>
              <w:rPr>
                <w:rFonts w:ascii="Verdana" w:hAnsi="Verdana"/>
                <w:sz w:val="16"/>
                <w:szCs w:val="16"/>
              </w:rPr>
              <w:t>Artikel I, onderdeel A en O (1:1 en 1:107, tweede lid, onderdeel e Wft)</w:t>
            </w:r>
          </w:p>
        </w:tc>
        <w:tc>
          <w:tcPr>
            <w:tcW w:w="1274" w:type="dxa"/>
          </w:tcPr>
          <w:p w:rsidR="00334D7E" w:rsidP="00334D7E" w:rsidRDefault="00334D7E" w14:paraId="72D1E060"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7899B211" w14:textId="77777777">
            <w:pPr>
              <w:rPr>
                <w:rFonts w:ascii="Verdana" w:hAnsi="Verdana"/>
                <w:sz w:val="16"/>
                <w:szCs w:val="16"/>
              </w:rPr>
            </w:pPr>
          </w:p>
        </w:tc>
      </w:tr>
      <w:tr w:rsidR="00334D7E" w:rsidTr="00CA30A2" w14:paraId="2940477C" w14:textId="77777777">
        <w:tc>
          <w:tcPr>
            <w:tcW w:w="1552" w:type="dxa"/>
          </w:tcPr>
          <w:p w:rsidRPr="00DD0008" w:rsidR="00334D7E" w:rsidP="00334D7E" w:rsidRDefault="00334D7E" w14:paraId="33109679" w14:textId="40552AD7">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1E696CD6" w14:textId="77777777">
            <w:pPr>
              <w:rPr>
                <w:rFonts w:ascii="Verdana" w:hAnsi="Verdana"/>
                <w:sz w:val="16"/>
                <w:szCs w:val="16"/>
              </w:rPr>
            </w:pPr>
            <w:r w:rsidRPr="002C5EC5">
              <w:rPr>
                <w:rFonts w:ascii="Verdana" w:hAnsi="Verdana"/>
                <w:sz w:val="16"/>
                <w:szCs w:val="16"/>
              </w:rPr>
              <w:t>48 ter, tweede lid</w:t>
            </w:r>
          </w:p>
        </w:tc>
        <w:tc>
          <w:tcPr>
            <w:tcW w:w="1625" w:type="dxa"/>
          </w:tcPr>
          <w:p w:rsidR="00334D7E" w:rsidP="00334D7E" w:rsidRDefault="00334D7E" w14:paraId="4D810F27" w14:textId="77777777">
            <w:pPr>
              <w:spacing w:line="240" w:lineRule="atLeast"/>
              <w:rPr>
                <w:rFonts w:ascii="Verdana" w:hAnsi="Verdana"/>
                <w:sz w:val="16"/>
                <w:szCs w:val="16"/>
              </w:rPr>
            </w:pPr>
            <w:r w:rsidRPr="002C5EC5">
              <w:rPr>
                <w:rFonts w:ascii="Verdana" w:hAnsi="Verdana"/>
                <w:sz w:val="16"/>
                <w:szCs w:val="16"/>
              </w:rPr>
              <w:t>Behoeft naar zijn aard geen implementatie</w:t>
            </w:r>
            <w:r>
              <w:rPr>
                <w:rFonts w:ascii="Verdana" w:hAnsi="Verdana"/>
                <w:sz w:val="16"/>
                <w:szCs w:val="16"/>
              </w:rPr>
              <w:t>:</w:t>
            </w:r>
            <w:r w:rsidRPr="002C5EC5">
              <w:rPr>
                <w:rFonts w:ascii="Verdana" w:hAnsi="Verdana"/>
                <w:sz w:val="16"/>
                <w:szCs w:val="16"/>
              </w:rPr>
              <w:t xml:space="preserve"> Bepaling gericht tot de Europese Commissie</w:t>
            </w:r>
          </w:p>
        </w:tc>
        <w:tc>
          <w:tcPr>
            <w:tcW w:w="1274" w:type="dxa"/>
          </w:tcPr>
          <w:p w:rsidRPr="002C5EC5" w:rsidR="00334D7E" w:rsidP="00334D7E" w:rsidRDefault="00334D7E" w14:paraId="6B2F3AF5"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0DF5C982" w14:textId="77777777">
            <w:pPr>
              <w:rPr>
                <w:rFonts w:ascii="Verdana" w:hAnsi="Verdana"/>
                <w:sz w:val="16"/>
                <w:szCs w:val="16"/>
              </w:rPr>
            </w:pPr>
          </w:p>
        </w:tc>
      </w:tr>
      <w:tr w:rsidR="00334D7E" w:rsidTr="00CA30A2" w14:paraId="17047D9A" w14:textId="77777777">
        <w:tc>
          <w:tcPr>
            <w:tcW w:w="1552" w:type="dxa"/>
          </w:tcPr>
          <w:p w:rsidRPr="00DD0008" w:rsidR="00334D7E" w:rsidP="00334D7E" w:rsidRDefault="00334D7E" w14:paraId="22032FEC" w14:textId="64AE344F">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6F523C56" w14:textId="77777777">
            <w:pPr>
              <w:rPr>
                <w:rFonts w:ascii="Verdana" w:hAnsi="Verdana"/>
                <w:sz w:val="16"/>
                <w:szCs w:val="16"/>
              </w:rPr>
            </w:pPr>
            <w:r w:rsidRPr="002C5EC5">
              <w:rPr>
                <w:rFonts w:ascii="Verdana" w:hAnsi="Verdana"/>
                <w:sz w:val="16"/>
                <w:szCs w:val="16"/>
              </w:rPr>
              <w:t>48 ter, derde lid</w:t>
            </w:r>
          </w:p>
        </w:tc>
        <w:tc>
          <w:tcPr>
            <w:tcW w:w="1625" w:type="dxa"/>
          </w:tcPr>
          <w:p w:rsidRPr="002C5EC5" w:rsidR="00334D7E" w:rsidP="00334D7E" w:rsidRDefault="00334D7E" w14:paraId="40E193A5" w14:textId="77777777">
            <w:pPr>
              <w:spacing w:line="240" w:lineRule="atLeast"/>
              <w:rPr>
                <w:rFonts w:ascii="Verdana" w:hAnsi="Verdana"/>
                <w:sz w:val="16"/>
                <w:szCs w:val="16"/>
              </w:rPr>
            </w:pPr>
            <w:r w:rsidRPr="002C5EC5">
              <w:rPr>
                <w:rFonts w:ascii="Verdana" w:hAnsi="Verdana"/>
                <w:sz w:val="16"/>
                <w:szCs w:val="16"/>
              </w:rPr>
              <w:t>Behoeft naar zijn aard geen implementatie</w:t>
            </w:r>
            <w:r>
              <w:rPr>
                <w:rFonts w:ascii="Verdana" w:hAnsi="Verdana"/>
                <w:sz w:val="16"/>
                <w:szCs w:val="16"/>
              </w:rPr>
              <w:t>:</w:t>
            </w:r>
            <w:r w:rsidRPr="002C5EC5">
              <w:rPr>
                <w:rFonts w:ascii="Verdana" w:hAnsi="Verdana"/>
                <w:sz w:val="16"/>
                <w:szCs w:val="16"/>
              </w:rPr>
              <w:t xml:space="preserve"> Bepaling gericht tot de Europese Commissie en EBA</w:t>
            </w:r>
          </w:p>
        </w:tc>
        <w:tc>
          <w:tcPr>
            <w:tcW w:w="1274" w:type="dxa"/>
          </w:tcPr>
          <w:p w:rsidRPr="002C5EC5" w:rsidR="00334D7E" w:rsidP="00334D7E" w:rsidRDefault="00334D7E" w14:paraId="28EA0A11"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359101F2" w14:textId="77777777">
            <w:pPr>
              <w:rPr>
                <w:rFonts w:ascii="Verdana" w:hAnsi="Verdana"/>
                <w:sz w:val="16"/>
                <w:szCs w:val="16"/>
              </w:rPr>
            </w:pPr>
          </w:p>
        </w:tc>
      </w:tr>
      <w:tr w:rsidR="00334D7E" w:rsidTr="00CA30A2" w14:paraId="42E90E9D" w14:textId="77777777">
        <w:tc>
          <w:tcPr>
            <w:tcW w:w="1552" w:type="dxa"/>
          </w:tcPr>
          <w:p w:rsidRPr="00DD0008" w:rsidR="00334D7E" w:rsidP="00334D7E" w:rsidRDefault="00334D7E" w14:paraId="22534ADF" w14:textId="130AFC4F">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706C2340" w14:textId="77777777">
            <w:pPr>
              <w:rPr>
                <w:rFonts w:ascii="Verdana" w:hAnsi="Verdana"/>
                <w:sz w:val="16"/>
                <w:szCs w:val="16"/>
              </w:rPr>
            </w:pPr>
            <w:r w:rsidRPr="002C5EC5">
              <w:rPr>
                <w:rFonts w:ascii="Verdana" w:hAnsi="Verdana"/>
                <w:sz w:val="16"/>
                <w:szCs w:val="16"/>
              </w:rPr>
              <w:t>48 ter, vierde lid</w:t>
            </w:r>
          </w:p>
        </w:tc>
        <w:tc>
          <w:tcPr>
            <w:tcW w:w="1625" w:type="dxa"/>
          </w:tcPr>
          <w:p w:rsidRPr="002C5EC5" w:rsidR="00334D7E" w:rsidP="00334D7E" w:rsidRDefault="00334D7E" w14:paraId="7F915112" w14:textId="77777777">
            <w:pPr>
              <w:spacing w:line="240" w:lineRule="atLeast"/>
              <w:rPr>
                <w:rFonts w:ascii="Verdana" w:hAnsi="Verdana"/>
                <w:sz w:val="16"/>
                <w:szCs w:val="16"/>
              </w:rPr>
            </w:pPr>
            <w:r w:rsidRPr="002C5EC5">
              <w:rPr>
                <w:rFonts w:ascii="Verdana" w:hAnsi="Verdana"/>
                <w:sz w:val="16"/>
                <w:szCs w:val="16"/>
              </w:rPr>
              <w:t>Behoeft naar zijn aard geen implementatie</w:t>
            </w:r>
            <w:r>
              <w:rPr>
                <w:rFonts w:ascii="Verdana" w:hAnsi="Verdana"/>
                <w:sz w:val="16"/>
                <w:szCs w:val="16"/>
              </w:rPr>
              <w:t>:</w:t>
            </w:r>
            <w:r w:rsidRPr="002C5EC5">
              <w:rPr>
                <w:rFonts w:ascii="Verdana" w:hAnsi="Verdana"/>
                <w:sz w:val="16"/>
                <w:szCs w:val="16"/>
              </w:rPr>
              <w:t xml:space="preserve"> Bepaling gericht tot EBA</w:t>
            </w:r>
          </w:p>
        </w:tc>
        <w:tc>
          <w:tcPr>
            <w:tcW w:w="1274" w:type="dxa"/>
          </w:tcPr>
          <w:p w:rsidRPr="002C5EC5" w:rsidR="00334D7E" w:rsidP="00334D7E" w:rsidRDefault="00334D7E" w14:paraId="04E02571"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260903F1" w14:textId="77777777">
            <w:pPr>
              <w:rPr>
                <w:rFonts w:ascii="Verdana" w:hAnsi="Verdana"/>
                <w:sz w:val="16"/>
                <w:szCs w:val="16"/>
              </w:rPr>
            </w:pPr>
          </w:p>
        </w:tc>
      </w:tr>
      <w:tr w:rsidR="00334D7E" w:rsidTr="00CA30A2" w14:paraId="7F8108DB" w14:textId="77777777">
        <w:tc>
          <w:tcPr>
            <w:tcW w:w="1552" w:type="dxa"/>
          </w:tcPr>
          <w:p w:rsidRPr="00DD0008" w:rsidR="00334D7E" w:rsidP="00334D7E" w:rsidRDefault="00334D7E" w14:paraId="01E2839E" w14:textId="29C11E0F">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69DFEB0F" w14:textId="77777777">
            <w:pPr>
              <w:rPr>
                <w:rFonts w:ascii="Verdana" w:hAnsi="Verdana"/>
                <w:sz w:val="16"/>
                <w:szCs w:val="16"/>
              </w:rPr>
            </w:pPr>
            <w:r w:rsidRPr="002C5EC5">
              <w:rPr>
                <w:rFonts w:ascii="Verdana" w:hAnsi="Verdana"/>
                <w:sz w:val="16"/>
                <w:szCs w:val="16"/>
              </w:rPr>
              <w:t xml:space="preserve">48 ter, vijfde lid, eerste </w:t>
            </w:r>
            <w:r>
              <w:rPr>
                <w:rFonts w:ascii="Verdana" w:hAnsi="Verdana"/>
                <w:sz w:val="16"/>
                <w:szCs w:val="16"/>
              </w:rPr>
              <w:t xml:space="preserve">zin </w:t>
            </w:r>
          </w:p>
        </w:tc>
        <w:tc>
          <w:tcPr>
            <w:tcW w:w="1625" w:type="dxa"/>
          </w:tcPr>
          <w:p w:rsidR="00334D7E" w:rsidP="00334D7E" w:rsidRDefault="00334D7E" w14:paraId="4E49942A" w14:textId="77777777">
            <w:pPr>
              <w:spacing w:line="240" w:lineRule="atLeast"/>
              <w:rPr>
                <w:rFonts w:ascii="Verdana" w:hAnsi="Verdana"/>
                <w:sz w:val="16"/>
                <w:szCs w:val="16"/>
              </w:rPr>
            </w:pPr>
            <w:r>
              <w:rPr>
                <w:rFonts w:ascii="Verdana" w:hAnsi="Verdana"/>
                <w:sz w:val="16"/>
                <w:szCs w:val="16"/>
              </w:rPr>
              <w:t xml:space="preserve">Artikel I, onderdeel O (1:107, tweede lid, onderdeel e, </w:t>
            </w:r>
            <w:r w:rsidRPr="002C5EC5">
              <w:rPr>
                <w:rFonts w:ascii="Verdana" w:hAnsi="Verdana"/>
                <w:sz w:val="16"/>
                <w:szCs w:val="16"/>
              </w:rPr>
              <w:t>Wft</w:t>
            </w:r>
            <w:r>
              <w:rPr>
                <w:rFonts w:ascii="Verdana" w:hAnsi="Verdana"/>
                <w:sz w:val="16"/>
                <w:szCs w:val="16"/>
              </w:rPr>
              <w:t>)</w:t>
            </w:r>
            <w:r w:rsidRPr="002C5EC5">
              <w:rPr>
                <w:rFonts w:ascii="Verdana" w:hAnsi="Verdana"/>
                <w:sz w:val="16"/>
                <w:szCs w:val="16"/>
              </w:rPr>
              <w:t xml:space="preserve"> </w:t>
            </w:r>
          </w:p>
          <w:p w:rsidR="00334D7E" w:rsidP="00334D7E" w:rsidRDefault="00334D7E" w14:paraId="77C5E772" w14:textId="77777777">
            <w:pPr>
              <w:spacing w:line="240" w:lineRule="atLeast"/>
              <w:rPr>
                <w:rFonts w:ascii="Verdana" w:hAnsi="Verdana"/>
                <w:sz w:val="16"/>
                <w:szCs w:val="16"/>
              </w:rPr>
            </w:pPr>
          </w:p>
          <w:p w:rsidRPr="002C5EC5" w:rsidR="00334D7E" w:rsidP="00334D7E" w:rsidRDefault="00334D7E" w14:paraId="7E4CF898" w14:textId="77777777">
            <w:pPr>
              <w:spacing w:line="240" w:lineRule="atLeast"/>
              <w:rPr>
                <w:rFonts w:ascii="Verdana" w:hAnsi="Verdana"/>
                <w:sz w:val="16"/>
                <w:szCs w:val="16"/>
              </w:rPr>
            </w:pPr>
          </w:p>
        </w:tc>
        <w:tc>
          <w:tcPr>
            <w:tcW w:w="1274" w:type="dxa"/>
          </w:tcPr>
          <w:p w:rsidRPr="002C5EC5" w:rsidR="00334D7E" w:rsidP="00334D7E" w:rsidRDefault="00334D7E" w14:paraId="69E9ECE8"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4E326CB4" w14:textId="77777777">
            <w:pPr>
              <w:rPr>
                <w:rFonts w:ascii="Verdana" w:hAnsi="Verdana"/>
                <w:sz w:val="16"/>
                <w:szCs w:val="16"/>
              </w:rPr>
            </w:pPr>
          </w:p>
        </w:tc>
      </w:tr>
      <w:tr w:rsidR="00334D7E" w:rsidTr="00CA30A2" w14:paraId="12317F67" w14:textId="77777777">
        <w:tc>
          <w:tcPr>
            <w:tcW w:w="1552" w:type="dxa"/>
          </w:tcPr>
          <w:p w:rsidRPr="00DD0008" w:rsidR="00334D7E" w:rsidP="00334D7E" w:rsidRDefault="00334D7E" w14:paraId="143DC71A" w14:textId="6716F955">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210BE892" w14:textId="77777777">
            <w:pPr>
              <w:rPr>
                <w:rFonts w:ascii="Verdana" w:hAnsi="Verdana"/>
                <w:sz w:val="16"/>
                <w:szCs w:val="16"/>
              </w:rPr>
            </w:pPr>
            <w:r w:rsidRPr="002C5EC5">
              <w:rPr>
                <w:rFonts w:ascii="Verdana" w:hAnsi="Verdana"/>
                <w:sz w:val="16"/>
                <w:szCs w:val="16"/>
              </w:rPr>
              <w:t>48 ter, vijfde lid, tweede zin</w:t>
            </w:r>
          </w:p>
        </w:tc>
        <w:tc>
          <w:tcPr>
            <w:tcW w:w="1625" w:type="dxa"/>
          </w:tcPr>
          <w:p w:rsidR="00334D7E" w:rsidP="00334D7E" w:rsidRDefault="00334D7E" w14:paraId="60E5DE63" w14:textId="77777777">
            <w:pPr>
              <w:spacing w:line="240" w:lineRule="atLeast"/>
              <w:rPr>
                <w:rFonts w:ascii="Verdana" w:hAnsi="Verdana"/>
                <w:sz w:val="16"/>
                <w:szCs w:val="16"/>
              </w:rPr>
            </w:pPr>
            <w:r>
              <w:rPr>
                <w:rFonts w:ascii="Verdana" w:hAnsi="Verdana"/>
                <w:sz w:val="16"/>
                <w:szCs w:val="16"/>
              </w:rPr>
              <w:t>Volgt bij implementatieregeling</w:t>
            </w:r>
            <w:r w:rsidRPr="002C5EC5">
              <w:rPr>
                <w:rFonts w:ascii="Verdana" w:hAnsi="Verdana"/>
                <w:sz w:val="16"/>
                <w:szCs w:val="16"/>
              </w:rPr>
              <w:t xml:space="preserve"> </w:t>
            </w:r>
            <w:r>
              <w:rPr>
                <w:rFonts w:ascii="Verdana" w:hAnsi="Verdana"/>
                <w:sz w:val="16"/>
                <w:szCs w:val="16"/>
              </w:rPr>
              <w:t>(Bijlage 6 Rtt)</w:t>
            </w:r>
          </w:p>
        </w:tc>
        <w:tc>
          <w:tcPr>
            <w:tcW w:w="1274" w:type="dxa"/>
          </w:tcPr>
          <w:p w:rsidRPr="002C5EC5" w:rsidR="00334D7E" w:rsidP="00334D7E" w:rsidRDefault="00334D7E" w14:paraId="6D916264"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7D787BC7" w14:textId="77777777">
            <w:pPr>
              <w:rPr>
                <w:rFonts w:ascii="Verdana" w:hAnsi="Verdana"/>
                <w:sz w:val="16"/>
                <w:szCs w:val="16"/>
              </w:rPr>
            </w:pPr>
          </w:p>
        </w:tc>
      </w:tr>
      <w:tr w:rsidR="00334D7E" w:rsidTr="00CA30A2" w14:paraId="7AD3D447" w14:textId="77777777">
        <w:tc>
          <w:tcPr>
            <w:tcW w:w="1552" w:type="dxa"/>
          </w:tcPr>
          <w:p w:rsidRPr="00DD0008" w:rsidR="00334D7E" w:rsidP="00334D7E" w:rsidRDefault="00334D7E" w14:paraId="0FF13A82" w14:textId="736D2043">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345E4786" w14:textId="77777777">
            <w:pPr>
              <w:rPr>
                <w:rFonts w:ascii="Verdana" w:hAnsi="Verdana"/>
                <w:sz w:val="16"/>
                <w:szCs w:val="16"/>
              </w:rPr>
            </w:pPr>
            <w:r w:rsidRPr="002C5EC5">
              <w:rPr>
                <w:rFonts w:ascii="Verdana" w:hAnsi="Verdana"/>
                <w:sz w:val="16"/>
                <w:szCs w:val="16"/>
              </w:rPr>
              <w:t>48 ter, vijfde lid,</w:t>
            </w:r>
            <w:r>
              <w:rPr>
                <w:rFonts w:ascii="Verdana" w:hAnsi="Verdana"/>
                <w:sz w:val="16"/>
                <w:szCs w:val="16"/>
              </w:rPr>
              <w:t xml:space="preserve"> derde zin</w:t>
            </w:r>
          </w:p>
        </w:tc>
        <w:tc>
          <w:tcPr>
            <w:tcW w:w="1625" w:type="dxa"/>
          </w:tcPr>
          <w:p w:rsidR="00334D7E" w:rsidP="00334D7E" w:rsidRDefault="00334D7E" w14:paraId="1FEA9F4C" w14:textId="77777777">
            <w:pPr>
              <w:spacing w:line="240" w:lineRule="atLeast"/>
              <w:rPr>
                <w:rFonts w:ascii="Verdana" w:hAnsi="Verdana"/>
                <w:sz w:val="16"/>
                <w:szCs w:val="16"/>
              </w:rPr>
            </w:pPr>
            <w:r>
              <w:rPr>
                <w:rFonts w:ascii="Verdana" w:hAnsi="Verdana"/>
                <w:sz w:val="16"/>
                <w:szCs w:val="16"/>
              </w:rPr>
              <w:t xml:space="preserve">Artikel I, onderdeel O (1:107, tweede lid, onderdeel e, </w:t>
            </w:r>
            <w:r w:rsidRPr="002C5EC5">
              <w:rPr>
                <w:rFonts w:ascii="Verdana" w:hAnsi="Verdana"/>
                <w:sz w:val="16"/>
                <w:szCs w:val="16"/>
              </w:rPr>
              <w:t>Wft</w:t>
            </w:r>
            <w:r>
              <w:rPr>
                <w:rFonts w:ascii="Verdana" w:hAnsi="Verdana"/>
                <w:sz w:val="16"/>
                <w:szCs w:val="16"/>
              </w:rPr>
              <w:t>)</w:t>
            </w:r>
            <w:r w:rsidRPr="002C5EC5">
              <w:rPr>
                <w:rFonts w:ascii="Verdana" w:hAnsi="Verdana"/>
                <w:sz w:val="16"/>
                <w:szCs w:val="16"/>
              </w:rPr>
              <w:t xml:space="preserve"> </w:t>
            </w:r>
          </w:p>
          <w:p w:rsidR="00334D7E" w:rsidP="00334D7E" w:rsidRDefault="00334D7E" w14:paraId="06EDE242" w14:textId="77777777">
            <w:pPr>
              <w:spacing w:line="240" w:lineRule="atLeast"/>
              <w:rPr>
                <w:rFonts w:ascii="Verdana" w:hAnsi="Verdana"/>
                <w:sz w:val="16"/>
                <w:szCs w:val="16"/>
              </w:rPr>
            </w:pPr>
          </w:p>
        </w:tc>
        <w:tc>
          <w:tcPr>
            <w:tcW w:w="1274" w:type="dxa"/>
          </w:tcPr>
          <w:p w:rsidRPr="002C5EC5" w:rsidR="00334D7E" w:rsidP="00334D7E" w:rsidRDefault="00334D7E" w14:paraId="6F0DA191" w14:textId="77777777">
            <w:pPr>
              <w:rPr>
                <w:rFonts w:ascii="Verdana" w:hAnsi="Verdana"/>
                <w:sz w:val="16"/>
                <w:szCs w:val="16"/>
              </w:rPr>
            </w:pPr>
            <w:r w:rsidRPr="00EA4B9B">
              <w:rPr>
                <w:rFonts w:ascii="Verdana" w:hAnsi="Verdana"/>
                <w:sz w:val="16"/>
                <w:szCs w:val="16"/>
              </w:rPr>
              <w:t>Geen</w:t>
            </w:r>
          </w:p>
        </w:tc>
        <w:tc>
          <w:tcPr>
            <w:tcW w:w="1422" w:type="dxa"/>
          </w:tcPr>
          <w:p w:rsidRPr="002C5EC5" w:rsidR="00334D7E" w:rsidP="00334D7E" w:rsidRDefault="00334D7E" w14:paraId="78FC1C3A" w14:textId="77777777">
            <w:pPr>
              <w:rPr>
                <w:rFonts w:ascii="Verdana" w:hAnsi="Verdana"/>
                <w:sz w:val="16"/>
                <w:szCs w:val="16"/>
              </w:rPr>
            </w:pPr>
          </w:p>
        </w:tc>
      </w:tr>
      <w:tr w:rsidR="00334D7E" w:rsidTr="00CA30A2" w14:paraId="05845F9B" w14:textId="77777777">
        <w:tc>
          <w:tcPr>
            <w:tcW w:w="1552" w:type="dxa"/>
          </w:tcPr>
          <w:p w:rsidRPr="00DD0008" w:rsidR="00334D7E" w:rsidP="00334D7E" w:rsidRDefault="00334D7E" w14:paraId="2B83A7B2" w14:textId="700DDF72">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74C533E6" w14:textId="77777777">
            <w:pPr>
              <w:rPr>
                <w:rFonts w:ascii="Verdana" w:hAnsi="Verdana"/>
                <w:sz w:val="16"/>
                <w:szCs w:val="16"/>
              </w:rPr>
            </w:pPr>
            <w:r w:rsidRPr="002C5EC5">
              <w:rPr>
                <w:rFonts w:ascii="Verdana" w:hAnsi="Verdana"/>
                <w:sz w:val="16"/>
                <w:szCs w:val="16"/>
              </w:rPr>
              <w:t>48 quater, eerste lid</w:t>
            </w:r>
          </w:p>
        </w:tc>
        <w:tc>
          <w:tcPr>
            <w:tcW w:w="1625" w:type="dxa"/>
          </w:tcPr>
          <w:p w:rsidR="00334D7E" w:rsidP="00334D7E" w:rsidRDefault="00334D7E" w14:paraId="4C64EF65" w14:textId="77777777">
            <w:pPr>
              <w:spacing w:line="240" w:lineRule="atLeast"/>
              <w:rPr>
                <w:rFonts w:ascii="Verdana" w:hAnsi="Verdana"/>
                <w:sz w:val="16"/>
                <w:szCs w:val="16"/>
              </w:rPr>
            </w:pPr>
            <w:r>
              <w:rPr>
                <w:rFonts w:ascii="Verdana" w:hAnsi="Verdana"/>
                <w:sz w:val="16"/>
                <w:szCs w:val="16"/>
              </w:rPr>
              <w:t>Artikel I, onderdeel S (</w:t>
            </w:r>
            <w:r w:rsidRPr="002C5EC5">
              <w:rPr>
                <w:rFonts w:ascii="Verdana" w:hAnsi="Verdana"/>
                <w:sz w:val="16"/>
                <w:szCs w:val="16"/>
              </w:rPr>
              <w:t>2:20, eerste lid, Wft</w:t>
            </w:r>
            <w:r>
              <w:rPr>
                <w:rFonts w:ascii="Verdana" w:hAnsi="Verdana"/>
                <w:sz w:val="16"/>
                <w:szCs w:val="16"/>
              </w:rPr>
              <w:t>)</w:t>
            </w:r>
          </w:p>
        </w:tc>
        <w:tc>
          <w:tcPr>
            <w:tcW w:w="1274" w:type="dxa"/>
          </w:tcPr>
          <w:p w:rsidRPr="00EA4B9B" w:rsidR="00334D7E" w:rsidP="00334D7E" w:rsidRDefault="00334D7E" w14:paraId="5740E4CF"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6F96C159" w14:textId="77777777">
            <w:pPr>
              <w:rPr>
                <w:rFonts w:ascii="Verdana" w:hAnsi="Verdana"/>
                <w:sz w:val="16"/>
                <w:szCs w:val="16"/>
              </w:rPr>
            </w:pPr>
          </w:p>
        </w:tc>
      </w:tr>
      <w:tr w:rsidR="00334D7E" w:rsidTr="00CA30A2" w14:paraId="6AA53A71" w14:textId="77777777">
        <w:tc>
          <w:tcPr>
            <w:tcW w:w="1552" w:type="dxa"/>
          </w:tcPr>
          <w:p w:rsidRPr="00DD0008" w:rsidR="00334D7E" w:rsidP="00334D7E" w:rsidRDefault="00334D7E" w14:paraId="425482EB" w14:textId="04F0E026">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3F2F4165" w14:textId="77777777">
            <w:pPr>
              <w:rPr>
                <w:rFonts w:ascii="Verdana" w:hAnsi="Verdana"/>
                <w:sz w:val="16"/>
                <w:szCs w:val="16"/>
              </w:rPr>
            </w:pPr>
            <w:r w:rsidRPr="002C5EC5">
              <w:rPr>
                <w:rFonts w:ascii="Verdana" w:hAnsi="Verdana"/>
                <w:sz w:val="16"/>
                <w:szCs w:val="16"/>
              </w:rPr>
              <w:t>48 quater, tweede lid, eerste en tweede zin</w:t>
            </w:r>
          </w:p>
        </w:tc>
        <w:tc>
          <w:tcPr>
            <w:tcW w:w="1625" w:type="dxa"/>
          </w:tcPr>
          <w:p w:rsidR="00334D7E" w:rsidP="00334D7E" w:rsidRDefault="00334D7E" w14:paraId="12EC993C" w14:textId="77777777">
            <w:pPr>
              <w:spacing w:line="240" w:lineRule="atLeast"/>
              <w:rPr>
                <w:rFonts w:ascii="Verdana" w:hAnsi="Verdana"/>
                <w:sz w:val="16"/>
                <w:szCs w:val="16"/>
              </w:rPr>
            </w:pPr>
            <w:r>
              <w:rPr>
                <w:rFonts w:ascii="Verdana" w:hAnsi="Verdana"/>
                <w:sz w:val="16"/>
                <w:szCs w:val="16"/>
              </w:rPr>
              <w:t>Artikel I, onderdeel H (</w:t>
            </w:r>
            <w:r w:rsidRPr="002C5EC5">
              <w:rPr>
                <w:rFonts w:ascii="Verdana" w:hAnsi="Verdana"/>
                <w:sz w:val="16"/>
                <w:szCs w:val="16"/>
              </w:rPr>
              <w:t>1:65, eerste lid, Wft</w:t>
            </w:r>
            <w:r>
              <w:rPr>
                <w:rFonts w:ascii="Verdana" w:hAnsi="Verdana"/>
                <w:sz w:val="16"/>
                <w:szCs w:val="16"/>
              </w:rPr>
              <w:t>)</w:t>
            </w:r>
          </w:p>
        </w:tc>
        <w:tc>
          <w:tcPr>
            <w:tcW w:w="1274" w:type="dxa"/>
          </w:tcPr>
          <w:p w:rsidRPr="002C5EC5" w:rsidR="00334D7E" w:rsidP="00334D7E" w:rsidRDefault="00334D7E" w14:paraId="19BF4899"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5A50D917" w14:textId="77777777">
            <w:pPr>
              <w:rPr>
                <w:rFonts w:ascii="Verdana" w:hAnsi="Verdana"/>
                <w:sz w:val="16"/>
                <w:szCs w:val="16"/>
              </w:rPr>
            </w:pPr>
          </w:p>
        </w:tc>
      </w:tr>
      <w:tr w:rsidR="00334D7E" w:rsidTr="00CA30A2" w14:paraId="5E36DA2E" w14:textId="77777777">
        <w:tc>
          <w:tcPr>
            <w:tcW w:w="1552" w:type="dxa"/>
          </w:tcPr>
          <w:p w:rsidRPr="00DD0008" w:rsidR="00334D7E" w:rsidP="00334D7E" w:rsidRDefault="00334D7E" w14:paraId="5FC00140" w14:textId="00E85C7B">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63FCEC49" w14:textId="77777777">
            <w:pPr>
              <w:rPr>
                <w:rFonts w:ascii="Verdana" w:hAnsi="Verdana"/>
                <w:sz w:val="16"/>
                <w:szCs w:val="16"/>
              </w:rPr>
            </w:pPr>
            <w:r w:rsidRPr="002C5EC5">
              <w:rPr>
                <w:rFonts w:ascii="Verdana" w:hAnsi="Verdana"/>
                <w:sz w:val="16"/>
                <w:szCs w:val="16"/>
              </w:rPr>
              <w:t>48 quater, tweede lid, derde zin</w:t>
            </w:r>
          </w:p>
        </w:tc>
        <w:tc>
          <w:tcPr>
            <w:tcW w:w="1625" w:type="dxa"/>
          </w:tcPr>
          <w:p w:rsidR="00334D7E" w:rsidP="00334D7E" w:rsidRDefault="00334D7E" w14:paraId="790185E8" w14:textId="77777777">
            <w:pPr>
              <w:spacing w:line="240" w:lineRule="atLeast"/>
              <w:rPr>
                <w:rFonts w:ascii="Verdana" w:hAnsi="Verdana"/>
                <w:sz w:val="16"/>
                <w:szCs w:val="16"/>
              </w:rPr>
            </w:pPr>
            <w:r>
              <w:rPr>
                <w:rFonts w:ascii="Verdana" w:hAnsi="Verdana"/>
                <w:sz w:val="16"/>
                <w:szCs w:val="16"/>
              </w:rPr>
              <w:t>Volgt bij implementatieregeling</w:t>
            </w:r>
            <w:r w:rsidRPr="002C5EC5">
              <w:rPr>
                <w:rFonts w:ascii="Verdana" w:hAnsi="Verdana"/>
                <w:sz w:val="16"/>
                <w:szCs w:val="16"/>
              </w:rPr>
              <w:t xml:space="preserve"> </w:t>
            </w:r>
            <w:r>
              <w:rPr>
                <w:rFonts w:ascii="Verdana" w:hAnsi="Verdana"/>
                <w:sz w:val="16"/>
                <w:szCs w:val="16"/>
              </w:rPr>
              <w:t>(Bijlage 6 Rtt)</w:t>
            </w:r>
          </w:p>
        </w:tc>
        <w:tc>
          <w:tcPr>
            <w:tcW w:w="1274" w:type="dxa"/>
          </w:tcPr>
          <w:p w:rsidRPr="002C5EC5" w:rsidR="00334D7E" w:rsidP="00334D7E" w:rsidRDefault="00334D7E" w14:paraId="4A7B09DF"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6D367BC3" w14:textId="77777777">
            <w:pPr>
              <w:rPr>
                <w:rFonts w:ascii="Verdana" w:hAnsi="Verdana"/>
                <w:sz w:val="16"/>
                <w:szCs w:val="16"/>
              </w:rPr>
            </w:pPr>
          </w:p>
        </w:tc>
      </w:tr>
      <w:tr w:rsidR="00334D7E" w:rsidTr="00CA30A2" w14:paraId="72268C8E" w14:textId="77777777">
        <w:tc>
          <w:tcPr>
            <w:tcW w:w="1552" w:type="dxa"/>
          </w:tcPr>
          <w:p w:rsidRPr="00DD0008" w:rsidR="00334D7E" w:rsidP="00334D7E" w:rsidRDefault="00334D7E" w14:paraId="795CF7BD" w14:textId="7AB66D78">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7E99167A" w14:textId="77777777">
            <w:pPr>
              <w:rPr>
                <w:rFonts w:ascii="Verdana" w:hAnsi="Verdana"/>
                <w:sz w:val="16"/>
                <w:szCs w:val="16"/>
              </w:rPr>
            </w:pPr>
            <w:r w:rsidRPr="002C5EC5">
              <w:rPr>
                <w:rFonts w:ascii="Verdana" w:hAnsi="Verdana"/>
                <w:sz w:val="16"/>
                <w:szCs w:val="16"/>
              </w:rPr>
              <w:t>48 quater, derde lid</w:t>
            </w:r>
          </w:p>
        </w:tc>
        <w:tc>
          <w:tcPr>
            <w:tcW w:w="1625" w:type="dxa"/>
          </w:tcPr>
          <w:p w:rsidR="00334D7E" w:rsidP="00334D7E" w:rsidRDefault="00334D7E" w14:paraId="52003A3C" w14:textId="77777777">
            <w:pPr>
              <w:spacing w:line="240" w:lineRule="atLeast"/>
              <w:rPr>
                <w:rFonts w:ascii="Verdana" w:hAnsi="Verdana"/>
                <w:sz w:val="16"/>
                <w:szCs w:val="16"/>
              </w:rPr>
            </w:pPr>
            <w:r>
              <w:rPr>
                <w:rFonts w:ascii="Verdana" w:hAnsi="Verdana"/>
                <w:sz w:val="16"/>
                <w:szCs w:val="16"/>
              </w:rPr>
              <w:t>Artikel I, onderdeel T (</w:t>
            </w:r>
            <w:r w:rsidRPr="002C5EC5">
              <w:rPr>
                <w:rFonts w:ascii="Verdana" w:hAnsi="Verdana"/>
                <w:sz w:val="16"/>
                <w:szCs w:val="16"/>
              </w:rPr>
              <w:t xml:space="preserve">2:21, eerste lid, Wft; </w:t>
            </w:r>
          </w:p>
          <w:p w:rsidR="00334D7E" w:rsidP="00334D7E" w:rsidRDefault="00334D7E" w14:paraId="6DC6E9A2" w14:textId="77777777">
            <w:pPr>
              <w:spacing w:line="240" w:lineRule="atLeast"/>
              <w:rPr>
                <w:rFonts w:ascii="Verdana" w:hAnsi="Verdana"/>
                <w:sz w:val="16"/>
                <w:szCs w:val="16"/>
              </w:rPr>
            </w:pPr>
          </w:p>
          <w:p w:rsidR="00334D7E" w:rsidP="00334D7E" w:rsidRDefault="00334D7E" w14:paraId="02FDE3E4" w14:textId="77777777">
            <w:pPr>
              <w:spacing w:line="240" w:lineRule="atLeast"/>
              <w:rPr>
                <w:rFonts w:ascii="Verdana" w:hAnsi="Verdana"/>
                <w:sz w:val="16"/>
                <w:szCs w:val="16"/>
              </w:rPr>
            </w:pPr>
            <w:r>
              <w:rPr>
                <w:rFonts w:ascii="Verdana" w:hAnsi="Verdana"/>
                <w:sz w:val="16"/>
                <w:szCs w:val="16"/>
              </w:rPr>
              <w:t>Volgt bij implementatiebesluit (</w:t>
            </w:r>
            <w:r w:rsidRPr="002C5EC5">
              <w:rPr>
                <w:rFonts w:ascii="Verdana" w:hAnsi="Verdana"/>
                <w:sz w:val="16"/>
                <w:szCs w:val="16"/>
              </w:rPr>
              <w:t>10a BMfo</w:t>
            </w:r>
            <w:r>
              <w:rPr>
                <w:rFonts w:ascii="Verdana" w:hAnsi="Verdana"/>
                <w:sz w:val="16"/>
                <w:szCs w:val="16"/>
              </w:rPr>
              <w:t>)</w:t>
            </w:r>
          </w:p>
        </w:tc>
        <w:tc>
          <w:tcPr>
            <w:tcW w:w="1274" w:type="dxa"/>
          </w:tcPr>
          <w:p w:rsidRPr="002C5EC5" w:rsidR="00334D7E" w:rsidP="00334D7E" w:rsidRDefault="00334D7E" w14:paraId="611C5501"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16F5E388" w14:textId="77777777">
            <w:pPr>
              <w:rPr>
                <w:rFonts w:ascii="Verdana" w:hAnsi="Verdana"/>
                <w:sz w:val="16"/>
                <w:szCs w:val="16"/>
              </w:rPr>
            </w:pPr>
          </w:p>
        </w:tc>
      </w:tr>
      <w:tr w:rsidR="00334D7E" w:rsidTr="00CA30A2" w14:paraId="4203EA13" w14:textId="77777777">
        <w:tc>
          <w:tcPr>
            <w:tcW w:w="1552" w:type="dxa"/>
          </w:tcPr>
          <w:p w:rsidRPr="00DD0008" w:rsidR="00334D7E" w:rsidP="00334D7E" w:rsidRDefault="00334D7E" w14:paraId="4BEB0D9C" w14:textId="69A26502">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1375F46A" w14:textId="77777777">
            <w:pPr>
              <w:rPr>
                <w:rFonts w:ascii="Verdana" w:hAnsi="Verdana"/>
                <w:sz w:val="16"/>
                <w:szCs w:val="16"/>
              </w:rPr>
            </w:pPr>
            <w:r w:rsidRPr="002C5EC5">
              <w:rPr>
                <w:rFonts w:ascii="Verdana" w:hAnsi="Verdana"/>
                <w:sz w:val="16"/>
                <w:szCs w:val="16"/>
              </w:rPr>
              <w:t>48 quater, vierde lid</w:t>
            </w:r>
          </w:p>
        </w:tc>
        <w:tc>
          <w:tcPr>
            <w:tcW w:w="1625" w:type="dxa"/>
          </w:tcPr>
          <w:p w:rsidR="00334D7E" w:rsidP="00334D7E" w:rsidRDefault="00334D7E" w14:paraId="2F2E38B6" w14:textId="77777777">
            <w:pPr>
              <w:spacing w:line="240" w:lineRule="atLeast"/>
              <w:rPr>
                <w:rFonts w:ascii="Verdana" w:hAnsi="Verdana"/>
                <w:sz w:val="16"/>
                <w:szCs w:val="16"/>
              </w:rPr>
            </w:pPr>
            <w:r>
              <w:rPr>
                <w:rFonts w:ascii="Verdana" w:hAnsi="Verdana"/>
                <w:sz w:val="16"/>
                <w:szCs w:val="16"/>
              </w:rPr>
              <w:t>Artikel I, onderdeel T (</w:t>
            </w:r>
            <w:r w:rsidRPr="002C5EC5">
              <w:rPr>
                <w:rFonts w:ascii="Verdana" w:hAnsi="Verdana"/>
                <w:sz w:val="16"/>
                <w:szCs w:val="16"/>
              </w:rPr>
              <w:t>2:21, eerste</w:t>
            </w:r>
            <w:r>
              <w:rPr>
                <w:rFonts w:ascii="Verdana" w:hAnsi="Verdana"/>
                <w:sz w:val="16"/>
                <w:szCs w:val="16"/>
              </w:rPr>
              <w:t xml:space="preserve"> en vierde</w:t>
            </w:r>
            <w:r w:rsidRPr="002C5EC5">
              <w:rPr>
                <w:rFonts w:ascii="Verdana" w:hAnsi="Verdana"/>
                <w:sz w:val="16"/>
                <w:szCs w:val="16"/>
              </w:rPr>
              <w:t xml:space="preserve"> lid, Wft</w:t>
            </w:r>
            <w:r>
              <w:rPr>
                <w:rFonts w:ascii="Verdana" w:hAnsi="Verdana"/>
                <w:sz w:val="16"/>
                <w:szCs w:val="16"/>
              </w:rPr>
              <w:t>)</w:t>
            </w:r>
          </w:p>
        </w:tc>
        <w:tc>
          <w:tcPr>
            <w:tcW w:w="1274" w:type="dxa"/>
          </w:tcPr>
          <w:p w:rsidRPr="002C5EC5" w:rsidR="00334D7E" w:rsidP="00334D7E" w:rsidRDefault="00334D7E" w14:paraId="1B426C6B"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5E461797" w14:textId="77777777">
            <w:pPr>
              <w:rPr>
                <w:rFonts w:ascii="Verdana" w:hAnsi="Verdana"/>
                <w:sz w:val="16"/>
                <w:szCs w:val="16"/>
              </w:rPr>
            </w:pPr>
          </w:p>
        </w:tc>
      </w:tr>
      <w:tr w:rsidR="00334D7E" w:rsidTr="00CA30A2" w14:paraId="5F59B0A4" w14:textId="77777777">
        <w:tc>
          <w:tcPr>
            <w:tcW w:w="1552" w:type="dxa"/>
          </w:tcPr>
          <w:p w:rsidRPr="00DD0008" w:rsidR="00334D7E" w:rsidP="00334D7E" w:rsidRDefault="00334D7E" w14:paraId="2B37BC29" w14:textId="1742D1F0">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143A41E5" w14:textId="77777777">
            <w:pPr>
              <w:rPr>
                <w:rFonts w:ascii="Verdana" w:hAnsi="Verdana"/>
                <w:sz w:val="16"/>
                <w:szCs w:val="16"/>
              </w:rPr>
            </w:pPr>
            <w:r w:rsidRPr="002C5EC5">
              <w:rPr>
                <w:rFonts w:ascii="Verdana" w:hAnsi="Verdana"/>
                <w:sz w:val="16"/>
                <w:szCs w:val="16"/>
              </w:rPr>
              <w:t>48 quater, vijfde lid</w:t>
            </w:r>
          </w:p>
        </w:tc>
        <w:tc>
          <w:tcPr>
            <w:tcW w:w="1625" w:type="dxa"/>
          </w:tcPr>
          <w:p w:rsidR="00334D7E" w:rsidP="00334D7E" w:rsidRDefault="00334D7E" w14:paraId="19FEAF3B"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bestaand recht in</w:t>
            </w:r>
            <w:r>
              <w:rPr>
                <w:rFonts w:ascii="Verdana" w:hAnsi="Verdana"/>
                <w:sz w:val="16"/>
                <w:szCs w:val="16"/>
              </w:rPr>
              <w:t xml:space="preserve"> artikel</w:t>
            </w:r>
            <w:r w:rsidRPr="002C5EC5">
              <w:rPr>
                <w:rFonts w:ascii="Verdana" w:hAnsi="Verdana"/>
                <w:sz w:val="16"/>
                <w:szCs w:val="16"/>
              </w:rPr>
              <w:t xml:space="preserve"> 1:51f, eerste lid, Wft</w:t>
            </w:r>
          </w:p>
        </w:tc>
        <w:tc>
          <w:tcPr>
            <w:tcW w:w="1274" w:type="dxa"/>
          </w:tcPr>
          <w:p w:rsidRPr="002C5EC5" w:rsidR="00334D7E" w:rsidP="00334D7E" w:rsidRDefault="00334D7E" w14:paraId="5A953762"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297A9959" w14:textId="77777777">
            <w:pPr>
              <w:rPr>
                <w:rFonts w:ascii="Verdana" w:hAnsi="Verdana"/>
                <w:sz w:val="16"/>
                <w:szCs w:val="16"/>
              </w:rPr>
            </w:pPr>
          </w:p>
        </w:tc>
      </w:tr>
      <w:tr w:rsidR="00334D7E" w:rsidTr="00CA30A2" w14:paraId="2F715F39" w14:textId="77777777">
        <w:tc>
          <w:tcPr>
            <w:tcW w:w="1552" w:type="dxa"/>
          </w:tcPr>
          <w:p w:rsidRPr="00DD0008" w:rsidR="00334D7E" w:rsidP="00334D7E" w:rsidRDefault="00334D7E" w14:paraId="0EDA5E18" w14:textId="3F681D2D">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6A588260" w14:textId="77777777">
            <w:pPr>
              <w:rPr>
                <w:rFonts w:ascii="Verdana" w:hAnsi="Verdana"/>
                <w:sz w:val="16"/>
                <w:szCs w:val="16"/>
              </w:rPr>
            </w:pPr>
            <w:r w:rsidRPr="002C5EC5">
              <w:rPr>
                <w:rFonts w:ascii="Verdana" w:hAnsi="Verdana"/>
                <w:sz w:val="16"/>
                <w:szCs w:val="16"/>
              </w:rPr>
              <w:t>48 quater, zesde lid</w:t>
            </w:r>
          </w:p>
        </w:tc>
        <w:tc>
          <w:tcPr>
            <w:tcW w:w="1625" w:type="dxa"/>
          </w:tcPr>
          <w:p w:rsidRPr="002C5EC5" w:rsidR="00334D7E" w:rsidP="00334D7E" w:rsidRDefault="00334D7E" w14:paraId="608E9DE6" w14:textId="77777777">
            <w:pPr>
              <w:spacing w:line="240" w:lineRule="atLeast"/>
              <w:rPr>
                <w:rFonts w:ascii="Verdana" w:hAnsi="Verdana"/>
                <w:sz w:val="16"/>
                <w:szCs w:val="16"/>
              </w:rPr>
            </w:pPr>
            <w:r w:rsidRPr="002C5EC5">
              <w:rPr>
                <w:rFonts w:ascii="Verdana" w:hAnsi="Verdana"/>
                <w:sz w:val="16"/>
                <w:szCs w:val="16"/>
              </w:rPr>
              <w:t>Artikel I</w:t>
            </w:r>
            <w:r>
              <w:rPr>
                <w:rFonts w:ascii="Verdana" w:hAnsi="Verdana"/>
                <w:sz w:val="16"/>
                <w:szCs w:val="16"/>
              </w:rPr>
              <w:t>V, lid 1.</w:t>
            </w:r>
          </w:p>
        </w:tc>
        <w:tc>
          <w:tcPr>
            <w:tcW w:w="1274" w:type="dxa"/>
          </w:tcPr>
          <w:p w:rsidRPr="002C5EC5" w:rsidR="00334D7E" w:rsidP="00334D7E" w:rsidRDefault="00334D7E" w14:paraId="5A4C7883"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42B83260" w14:textId="77777777">
            <w:pPr>
              <w:rPr>
                <w:rFonts w:ascii="Verdana" w:hAnsi="Verdana"/>
                <w:sz w:val="16"/>
                <w:szCs w:val="16"/>
              </w:rPr>
            </w:pPr>
          </w:p>
        </w:tc>
      </w:tr>
      <w:tr w:rsidR="00334D7E" w:rsidTr="00CA30A2" w14:paraId="0E52B0AD" w14:textId="77777777">
        <w:tc>
          <w:tcPr>
            <w:tcW w:w="1552" w:type="dxa"/>
          </w:tcPr>
          <w:p w:rsidRPr="00DD0008" w:rsidR="00334D7E" w:rsidP="00334D7E" w:rsidRDefault="00334D7E" w14:paraId="2B5ED916" w14:textId="2151D27A">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70BAF07D" w14:textId="77777777">
            <w:pPr>
              <w:rPr>
                <w:rFonts w:ascii="Verdana" w:hAnsi="Verdana"/>
                <w:sz w:val="16"/>
                <w:szCs w:val="16"/>
              </w:rPr>
            </w:pPr>
            <w:r w:rsidRPr="002C5EC5">
              <w:rPr>
                <w:rFonts w:ascii="Verdana" w:hAnsi="Verdana"/>
                <w:sz w:val="16"/>
                <w:szCs w:val="16"/>
              </w:rPr>
              <w:t>48 quater, zevende lid</w:t>
            </w:r>
          </w:p>
        </w:tc>
        <w:tc>
          <w:tcPr>
            <w:tcW w:w="1625" w:type="dxa"/>
          </w:tcPr>
          <w:p w:rsidRPr="002C5EC5" w:rsidR="00334D7E" w:rsidP="00334D7E" w:rsidRDefault="00334D7E" w14:paraId="4EA8E0E6" w14:textId="77777777">
            <w:pPr>
              <w:spacing w:line="240" w:lineRule="atLeast"/>
              <w:rPr>
                <w:rFonts w:ascii="Verdana" w:hAnsi="Verdana"/>
                <w:sz w:val="16"/>
                <w:szCs w:val="16"/>
              </w:rPr>
            </w:pPr>
            <w:r w:rsidRPr="002C5EC5">
              <w:rPr>
                <w:rFonts w:ascii="Verdana" w:hAnsi="Verdana"/>
                <w:sz w:val="16"/>
                <w:szCs w:val="16"/>
              </w:rPr>
              <w:t>Behoeft naar zijn aard geen implementatie</w:t>
            </w:r>
            <w:r>
              <w:rPr>
                <w:rFonts w:ascii="Verdana" w:hAnsi="Verdana"/>
                <w:sz w:val="16"/>
                <w:szCs w:val="16"/>
              </w:rPr>
              <w:t>:</w:t>
            </w:r>
            <w:r w:rsidRPr="002C5EC5">
              <w:rPr>
                <w:rFonts w:ascii="Verdana" w:hAnsi="Verdana"/>
                <w:sz w:val="16"/>
                <w:szCs w:val="16"/>
              </w:rPr>
              <w:t xml:space="preserve"> Bepaling gericht tot EBA</w:t>
            </w:r>
          </w:p>
        </w:tc>
        <w:tc>
          <w:tcPr>
            <w:tcW w:w="1274" w:type="dxa"/>
          </w:tcPr>
          <w:p w:rsidRPr="002C5EC5" w:rsidR="00334D7E" w:rsidP="00334D7E" w:rsidRDefault="00334D7E" w14:paraId="3FC8AA33"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10364DC8" w14:textId="77777777">
            <w:pPr>
              <w:rPr>
                <w:rFonts w:ascii="Verdana" w:hAnsi="Verdana"/>
                <w:sz w:val="16"/>
                <w:szCs w:val="16"/>
              </w:rPr>
            </w:pPr>
          </w:p>
        </w:tc>
      </w:tr>
      <w:tr w:rsidR="00334D7E" w:rsidTr="00CA30A2" w14:paraId="2536605B" w14:textId="77777777">
        <w:tc>
          <w:tcPr>
            <w:tcW w:w="1552" w:type="dxa"/>
          </w:tcPr>
          <w:p w:rsidRPr="00DD0008" w:rsidR="00334D7E" w:rsidP="00334D7E" w:rsidRDefault="00334D7E" w14:paraId="1550871C" w14:textId="4F5AE4BF">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4D5C01BB" w14:textId="77777777">
            <w:pPr>
              <w:rPr>
                <w:rFonts w:ascii="Verdana" w:hAnsi="Verdana"/>
                <w:sz w:val="16"/>
                <w:szCs w:val="16"/>
              </w:rPr>
            </w:pPr>
            <w:r w:rsidRPr="002C5EC5">
              <w:rPr>
                <w:rFonts w:ascii="Verdana" w:hAnsi="Verdana"/>
                <w:sz w:val="16"/>
                <w:szCs w:val="16"/>
              </w:rPr>
              <w:t>48 quater, achtste lid</w:t>
            </w:r>
          </w:p>
        </w:tc>
        <w:tc>
          <w:tcPr>
            <w:tcW w:w="1625" w:type="dxa"/>
          </w:tcPr>
          <w:p w:rsidRPr="002C5EC5" w:rsidR="00334D7E" w:rsidP="00334D7E" w:rsidRDefault="00334D7E" w14:paraId="5DBB447D" w14:textId="77777777">
            <w:pPr>
              <w:spacing w:line="240" w:lineRule="atLeast"/>
              <w:rPr>
                <w:rFonts w:ascii="Verdana" w:hAnsi="Verdana"/>
                <w:sz w:val="16"/>
                <w:szCs w:val="16"/>
              </w:rPr>
            </w:pPr>
            <w:r w:rsidRPr="002C5EC5">
              <w:rPr>
                <w:rFonts w:ascii="Verdana" w:hAnsi="Verdana"/>
                <w:sz w:val="16"/>
                <w:szCs w:val="16"/>
              </w:rPr>
              <w:t>Behoeft naar zijn aard geen implementatie</w:t>
            </w:r>
            <w:r>
              <w:rPr>
                <w:rFonts w:ascii="Verdana" w:hAnsi="Verdana"/>
                <w:sz w:val="16"/>
                <w:szCs w:val="16"/>
              </w:rPr>
              <w:t>:</w:t>
            </w:r>
            <w:r w:rsidRPr="002C5EC5">
              <w:rPr>
                <w:rFonts w:ascii="Verdana" w:hAnsi="Verdana"/>
                <w:sz w:val="16"/>
                <w:szCs w:val="16"/>
              </w:rPr>
              <w:t xml:space="preserve"> Bepaling gericht tot EBA</w:t>
            </w:r>
          </w:p>
        </w:tc>
        <w:tc>
          <w:tcPr>
            <w:tcW w:w="1274" w:type="dxa"/>
          </w:tcPr>
          <w:p w:rsidRPr="002C5EC5" w:rsidR="00334D7E" w:rsidP="00334D7E" w:rsidRDefault="00334D7E" w14:paraId="743F5C47"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3DC40D13" w14:textId="77777777">
            <w:pPr>
              <w:rPr>
                <w:rFonts w:ascii="Verdana" w:hAnsi="Verdana"/>
                <w:sz w:val="16"/>
                <w:szCs w:val="16"/>
              </w:rPr>
            </w:pPr>
          </w:p>
        </w:tc>
      </w:tr>
      <w:tr w:rsidR="00334D7E" w:rsidTr="00CA30A2" w14:paraId="5311D652" w14:textId="77777777">
        <w:tc>
          <w:tcPr>
            <w:tcW w:w="1552" w:type="dxa"/>
          </w:tcPr>
          <w:p w:rsidRPr="00DD0008" w:rsidR="00334D7E" w:rsidP="00334D7E" w:rsidRDefault="00334D7E" w14:paraId="321B3D5B" w14:textId="23E4D1BB">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5A0D8BAC" w14:textId="77777777">
            <w:pPr>
              <w:rPr>
                <w:rFonts w:ascii="Verdana" w:hAnsi="Verdana"/>
                <w:sz w:val="16"/>
                <w:szCs w:val="16"/>
              </w:rPr>
            </w:pPr>
            <w:r w:rsidRPr="002C5EC5">
              <w:rPr>
                <w:rFonts w:ascii="Verdana" w:hAnsi="Verdana"/>
                <w:sz w:val="16"/>
                <w:szCs w:val="16"/>
              </w:rPr>
              <w:t>48 quinquies, eerste lid, eerste alinea</w:t>
            </w:r>
          </w:p>
        </w:tc>
        <w:tc>
          <w:tcPr>
            <w:tcW w:w="1625" w:type="dxa"/>
          </w:tcPr>
          <w:p w:rsidRPr="002C5EC5" w:rsidR="00334D7E" w:rsidP="00334D7E" w:rsidRDefault="00334D7E" w14:paraId="54B4277D" w14:textId="77777777">
            <w:pPr>
              <w:spacing w:line="240" w:lineRule="atLeast"/>
              <w:rPr>
                <w:rFonts w:ascii="Verdana" w:hAnsi="Verdana"/>
                <w:sz w:val="16"/>
                <w:szCs w:val="16"/>
              </w:rPr>
            </w:pPr>
            <w:r>
              <w:rPr>
                <w:rFonts w:ascii="Verdana" w:hAnsi="Verdana"/>
                <w:sz w:val="16"/>
                <w:szCs w:val="16"/>
              </w:rPr>
              <w:t>Artikel I, onderdelen J en T (</w:t>
            </w:r>
            <w:r w:rsidRPr="002C5EC5">
              <w:rPr>
                <w:rFonts w:ascii="Verdana" w:hAnsi="Verdana"/>
                <w:sz w:val="16"/>
                <w:szCs w:val="16"/>
              </w:rPr>
              <w:t>1:104, eerste lid, onderdeel o, en zevende lid, 2:21, eerste lid, aanhef</w:t>
            </w:r>
            <w:r>
              <w:rPr>
                <w:rFonts w:ascii="Verdana" w:hAnsi="Verdana"/>
                <w:sz w:val="16"/>
                <w:szCs w:val="16"/>
              </w:rPr>
              <w:t xml:space="preserve">, Wft) </w:t>
            </w:r>
          </w:p>
        </w:tc>
        <w:tc>
          <w:tcPr>
            <w:tcW w:w="1274" w:type="dxa"/>
          </w:tcPr>
          <w:p w:rsidRPr="002C5EC5" w:rsidR="00334D7E" w:rsidP="00334D7E" w:rsidRDefault="00334D7E" w14:paraId="1E5BD6BB"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44498220" w14:textId="77777777">
            <w:pPr>
              <w:rPr>
                <w:rFonts w:ascii="Verdana" w:hAnsi="Verdana"/>
                <w:sz w:val="16"/>
                <w:szCs w:val="16"/>
              </w:rPr>
            </w:pPr>
          </w:p>
        </w:tc>
      </w:tr>
      <w:tr w:rsidR="00334D7E" w:rsidTr="00CA30A2" w14:paraId="165E483B" w14:textId="77777777">
        <w:tc>
          <w:tcPr>
            <w:tcW w:w="1552" w:type="dxa"/>
          </w:tcPr>
          <w:p w:rsidRPr="00DD0008" w:rsidR="00334D7E" w:rsidP="00334D7E" w:rsidRDefault="00334D7E" w14:paraId="6E57F9AD" w14:textId="11C2CB44">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401265A6" w14:textId="77777777">
            <w:pPr>
              <w:rPr>
                <w:rFonts w:ascii="Verdana" w:hAnsi="Verdana"/>
                <w:sz w:val="16"/>
                <w:szCs w:val="16"/>
              </w:rPr>
            </w:pPr>
            <w:r w:rsidRPr="002C5EC5">
              <w:rPr>
                <w:rFonts w:ascii="Verdana" w:hAnsi="Verdana"/>
                <w:sz w:val="16"/>
                <w:szCs w:val="16"/>
              </w:rPr>
              <w:t>48 quinquies, eerste lid, tweede alinea</w:t>
            </w:r>
          </w:p>
        </w:tc>
        <w:tc>
          <w:tcPr>
            <w:tcW w:w="1625" w:type="dxa"/>
          </w:tcPr>
          <w:p w:rsidR="00334D7E" w:rsidP="00334D7E" w:rsidRDefault="00334D7E" w14:paraId="1CD25844" w14:textId="77777777">
            <w:pPr>
              <w:spacing w:line="240" w:lineRule="atLeast"/>
              <w:rPr>
                <w:rFonts w:ascii="Verdana" w:hAnsi="Verdana"/>
                <w:sz w:val="16"/>
                <w:szCs w:val="16"/>
              </w:rPr>
            </w:pPr>
            <w:r>
              <w:rPr>
                <w:rFonts w:ascii="Verdana" w:hAnsi="Verdana"/>
                <w:sz w:val="16"/>
                <w:szCs w:val="16"/>
              </w:rPr>
              <w:t>Artikel I, onderdeel KK (</w:t>
            </w:r>
            <w:r w:rsidRPr="002C5EC5">
              <w:rPr>
                <w:rFonts w:ascii="Verdana" w:hAnsi="Verdana"/>
                <w:sz w:val="16"/>
                <w:szCs w:val="16"/>
              </w:rPr>
              <w:t>3:43a, tweede lid, Wft</w:t>
            </w:r>
            <w:r>
              <w:rPr>
                <w:rFonts w:ascii="Verdana" w:hAnsi="Verdana"/>
                <w:sz w:val="16"/>
                <w:szCs w:val="16"/>
              </w:rPr>
              <w:t>)</w:t>
            </w:r>
          </w:p>
        </w:tc>
        <w:tc>
          <w:tcPr>
            <w:tcW w:w="1274" w:type="dxa"/>
          </w:tcPr>
          <w:p w:rsidRPr="002C5EC5" w:rsidR="00334D7E" w:rsidP="00334D7E" w:rsidRDefault="00334D7E" w14:paraId="4C90DCB4"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6C6FC17A" w14:textId="77777777">
            <w:pPr>
              <w:rPr>
                <w:rFonts w:ascii="Verdana" w:hAnsi="Verdana"/>
                <w:sz w:val="16"/>
                <w:szCs w:val="16"/>
              </w:rPr>
            </w:pPr>
          </w:p>
        </w:tc>
      </w:tr>
      <w:tr w:rsidR="00334D7E" w:rsidTr="00CA30A2" w14:paraId="177455F1" w14:textId="77777777">
        <w:tc>
          <w:tcPr>
            <w:tcW w:w="1552" w:type="dxa"/>
          </w:tcPr>
          <w:p w:rsidRPr="00DD0008" w:rsidR="00334D7E" w:rsidP="00334D7E" w:rsidRDefault="00334D7E" w14:paraId="3A05A9EB" w14:textId="106B9D9C">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065475D7" w14:textId="77777777">
            <w:pPr>
              <w:rPr>
                <w:rFonts w:ascii="Verdana" w:hAnsi="Verdana"/>
                <w:sz w:val="16"/>
                <w:szCs w:val="16"/>
              </w:rPr>
            </w:pPr>
            <w:r w:rsidRPr="002C5EC5">
              <w:rPr>
                <w:rFonts w:ascii="Verdana" w:hAnsi="Verdana"/>
                <w:sz w:val="16"/>
                <w:szCs w:val="16"/>
              </w:rPr>
              <w:t>48 quinquies, tweede lid</w:t>
            </w:r>
          </w:p>
        </w:tc>
        <w:tc>
          <w:tcPr>
            <w:tcW w:w="1625" w:type="dxa"/>
          </w:tcPr>
          <w:p w:rsidR="00334D7E" w:rsidP="00334D7E" w:rsidRDefault="00334D7E" w14:paraId="713967EF" w14:textId="77777777">
            <w:pPr>
              <w:spacing w:line="240" w:lineRule="atLeast"/>
              <w:rPr>
                <w:rFonts w:ascii="Verdana" w:hAnsi="Verdana"/>
                <w:sz w:val="16"/>
                <w:szCs w:val="16"/>
              </w:rPr>
            </w:pPr>
            <w:r>
              <w:rPr>
                <w:rFonts w:ascii="Verdana" w:hAnsi="Verdana"/>
                <w:sz w:val="16"/>
                <w:szCs w:val="16"/>
              </w:rPr>
              <w:t>Artikel I, onderdeel J (</w:t>
            </w:r>
            <w:r w:rsidRPr="002C5EC5">
              <w:rPr>
                <w:rFonts w:ascii="Verdana" w:hAnsi="Verdana"/>
                <w:sz w:val="16"/>
                <w:szCs w:val="16"/>
              </w:rPr>
              <w:t>1:104, eerste lid en zevende lid, Wft</w:t>
            </w:r>
            <w:r>
              <w:rPr>
                <w:rFonts w:ascii="Verdana" w:hAnsi="Verdana"/>
                <w:sz w:val="16"/>
                <w:szCs w:val="16"/>
              </w:rPr>
              <w:t>)</w:t>
            </w:r>
          </w:p>
        </w:tc>
        <w:tc>
          <w:tcPr>
            <w:tcW w:w="1274" w:type="dxa"/>
          </w:tcPr>
          <w:p w:rsidRPr="002C5EC5" w:rsidR="00334D7E" w:rsidP="00334D7E" w:rsidRDefault="00334D7E" w14:paraId="425529D2"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583229A4" w14:textId="77777777">
            <w:pPr>
              <w:rPr>
                <w:rFonts w:ascii="Verdana" w:hAnsi="Verdana"/>
                <w:sz w:val="16"/>
                <w:szCs w:val="16"/>
              </w:rPr>
            </w:pPr>
          </w:p>
        </w:tc>
      </w:tr>
      <w:tr w:rsidR="00334D7E" w:rsidTr="00CA30A2" w14:paraId="15D2B5D9" w14:textId="77777777">
        <w:tc>
          <w:tcPr>
            <w:tcW w:w="1552" w:type="dxa"/>
          </w:tcPr>
          <w:p w:rsidRPr="00DD0008" w:rsidR="00334D7E" w:rsidP="00334D7E" w:rsidRDefault="00334D7E" w14:paraId="6511BE76" w14:textId="4BE0943C">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74C4B2BE" w14:textId="77777777">
            <w:pPr>
              <w:rPr>
                <w:rFonts w:ascii="Verdana" w:hAnsi="Verdana"/>
                <w:sz w:val="16"/>
                <w:szCs w:val="16"/>
              </w:rPr>
            </w:pPr>
            <w:r w:rsidRPr="002C5EC5">
              <w:rPr>
                <w:rFonts w:ascii="Verdana" w:hAnsi="Verdana"/>
                <w:sz w:val="16"/>
                <w:szCs w:val="16"/>
              </w:rPr>
              <w:t>48 quinquies, derde lid</w:t>
            </w:r>
          </w:p>
        </w:tc>
        <w:tc>
          <w:tcPr>
            <w:tcW w:w="1625" w:type="dxa"/>
          </w:tcPr>
          <w:p w:rsidR="00334D7E" w:rsidP="00334D7E" w:rsidRDefault="00334D7E" w14:paraId="390A2939"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bestaand recht in </w:t>
            </w:r>
            <w:r>
              <w:rPr>
                <w:rFonts w:ascii="Verdana" w:hAnsi="Verdana"/>
                <w:sz w:val="16"/>
                <w:szCs w:val="16"/>
              </w:rPr>
              <w:t xml:space="preserve">artikel </w:t>
            </w:r>
            <w:r w:rsidRPr="002C5EC5">
              <w:rPr>
                <w:rFonts w:ascii="Verdana" w:hAnsi="Verdana"/>
                <w:sz w:val="16"/>
                <w:szCs w:val="16"/>
              </w:rPr>
              <w:t>1:51f, eerste lid, Wft</w:t>
            </w:r>
          </w:p>
        </w:tc>
        <w:tc>
          <w:tcPr>
            <w:tcW w:w="1274" w:type="dxa"/>
          </w:tcPr>
          <w:p w:rsidRPr="002C5EC5" w:rsidR="00334D7E" w:rsidP="00334D7E" w:rsidRDefault="00334D7E" w14:paraId="55DC2F78"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7B15FE89" w14:textId="77777777">
            <w:pPr>
              <w:rPr>
                <w:rFonts w:ascii="Verdana" w:hAnsi="Verdana"/>
                <w:sz w:val="16"/>
                <w:szCs w:val="16"/>
              </w:rPr>
            </w:pPr>
          </w:p>
        </w:tc>
      </w:tr>
      <w:tr w:rsidR="00334D7E" w:rsidTr="00CA30A2" w14:paraId="69B370A0" w14:textId="77777777">
        <w:tc>
          <w:tcPr>
            <w:tcW w:w="1552" w:type="dxa"/>
          </w:tcPr>
          <w:p w:rsidRPr="00DD0008" w:rsidR="00334D7E" w:rsidP="00334D7E" w:rsidRDefault="00334D7E" w14:paraId="4F9704D9" w14:textId="7F14B12C">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6FA1C974" w14:textId="77777777">
            <w:pPr>
              <w:rPr>
                <w:rFonts w:ascii="Verdana" w:hAnsi="Verdana"/>
                <w:sz w:val="16"/>
                <w:szCs w:val="16"/>
              </w:rPr>
            </w:pPr>
            <w:r w:rsidRPr="002C5EC5">
              <w:rPr>
                <w:rFonts w:ascii="Verdana" w:hAnsi="Verdana"/>
                <w:sz w:val="16"/>
                <w:szCs w:val="16"/>
              </w:rPr>
              <w:t>48 quinquies, vierde lid</w:t>
            </w:r>
          </w:p>
        </w:tc>
        <w:tc>
          <w:tcPr>
            <w:tcW w:w="1625" w:type="dxa"/>
          </w:tcPr>
          <w:p w:rsidRPr="002C5EC5" w:rsidR="00334D7E" w:rsidP="00334D7E" w:rsidRDefault="00334D7E" w14:paraId="2CBA5211"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bestaand recht in </w:t>
            </w:r>
            <w:r>
              <w:rPr>
                <w:rFonts w:ascii="Verdana" w:hAnsi="Verdana"/>
                <w:sz w:val="16"/>
                <w:szCs w:val="16"/>
              </w:rPr>
              <w:t xml:space="preserve">artikel </w:t>
            </w:r>
            <w:r w:rsidRPr="002C5EC5">
              <w:rPr>
                <w:rFonts w:ascii="Verdana" w:hAnsi="Verdana"/>
                <w:sz w:val="16"/>
                <w:szCs w:val="16"/>
              </w:rPr>
              <w:t>1:104 Wft</w:t>
            </w:r>
          </w:p>
        </w:tc>
        <w:tc>
          <w:tcPr>
            <w:tcW w:w="1274" w:type="dxa"/>
          </w:tcPr>
          <w:p w:rsidRPr="002C5EC5" w:rsidR="00334D7E" w:rsidP="00334D7E" w:rsidRDefault="00334D7E" w14:paraId="02EB1173"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0F090FE5" w14:textId="77777777">
            <w:pPr>
              <w:rPr>
                <w:rFonts w:ascii="Verdana" w:hAnsi="Verdana"/>
                <w:sz w:val="16"/>
                <w:szCs w:val="16"/>
              </w:rPr>
            </w:pPr>
          </w:p>
        </w:tc>
      </w:tr>
      <w:tr w:rsidR="00334D7E" w:rsidTr="00CA30A2" w14:paraId="3CA524BC" w14:textId="77777777">
        <w:tc>
          <w:tcPr>
            <w:tcW w:w="1552" w:type="dxa"/>
          </w:tcPr>
          <w:p w:rsidRPr="00DD0008" w:rsidR="00334D7E" w:rsidP="00334D7E" w:rsidRDefault="00334D7E" w14:paraId="23F48FF4" w14:textId="777D3669">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784357B5" w14:textId="77777777">
            <w:pPr>
              <w:rPr>
                <w:rFonts w:ascii="Verdana" w:hAnsi="Verdana"/>
                <w:sz w:val="16"/>
                <w:szCs w:val="16"/>
              </w:rPr>
            </w:pPr>
            <w:r w:rsidRPr="002C5EC5">
              <w:rPr>
                <w:rFonts w:ascii="Verdana" w:hAnsi="Verdana"/>
                <w:sz w:val="16"/>
                <w:szCs w:val="16"/>
              </w:rPr>
              <w:t>48 sexies, eerste lid</w:t>
            </w:r>
          </w:p>
        </w:tc>
        <w:tc>
          <w:tcPr>
            <w:tcW w:w="1625" w:type="dxa"/>
          </w:tcPr>
          <w:p w:rsidR="00334D7E" w:rsidP="00334D7E" w:rsidRDefault="00334D7E" w14:paraId="4A88B350" w14:textId="77777777">
            <w:pPr>
              <w:spacing w:line="240" w:lineRule="atLeast"/>
              <w:rPr>
                <w:rFonts w:ascii="Verdana" w:hAnsi="Verdana"/>
                <w:sz w:val="16"/>
                <w:szCs w:val="16"/>
              </w:rPr>
            </w:pPr>
            <w:r>
              <w:rPr>
                <w:rFonts w:ascii="Verdana" w:hAnsi="Verdana"/>
                <w:sz w:val="16"/>
                <w:szCs w:val="16"/>
              </w:rPr>
              <w:t>Artikel I, onderdelen NN en PP (</w:t>
            </w:r>
            <w:r w:rsidRPr="002C5EC5">
              <w:rPr>
                <w:rFonts w:ascii="Verdana" w:hAnsi="Verdana"/>
                <w:sz w:val="16"/>
                <w:szCs w:val="16"/>
              </w:rPr>
              <w:t>3:54</w:t>
            </w:r>
            <w:r>
              <w:rPr>
                <w:rFonts w:ascii="Verdana" w:hAnsi="Verdana"/>
                <w:sz w:val="16"/>
                <w:szCs w:val="16"/>
              </w:rPr>
              <w:t>a</w:t>
            </w:r>
            <w:r w:rsidRPr="002C5EC5">
              <w:rPr>
                <w:rFonts w:ascii="Verdana" w:hAnsi="Verdana"/>
                <w:sz w:val="16"/>
                <w:szCs w:val="16"/>
              </w:rPr>
              <w:t xml:space="preserve"> en 3:58</w:t>
            </w:r>
            <w:r>
              <w:rPr>
                <w:rFonts w:ascii="Verdana" w:hAnsi="Verdana"/>
                <w:sz w:val="16"/>
                <w:szCs w:val="16"/>
              </w:rPr>
              <w:t>a</w:t>
            </w:r>
            <w:r w:rsidRPr="002C5EC5">
              <w:rPr>
                <w:rFonts w:ascii="Verdana" w:hAnsi="Verdana"/>
                <w:sz w:val="16"/>
                <w:szCs w:val="16"/>
              </w:rPr>
              <w:t xml:space="preserve"> Wft</w:t>
            </w:r>
            <w:r>
              <w:rPr>
                <w:rFonts w:ascii="Verdana" w:hAnsi="Verdana"/>
                <w:sz w:val="16"/>
                <w:szCs w:val="16"/>
              </w:rPr>
              <w:t>)</w:t>
            </w:r>
            <w:r w:rsidRPr="002C5EC5">
              <w:rPr>
                <w:rFonts w:ascii="Verdana" w:hAnsi="Verdana"/>
                <w:sz w:val="16"/>
                <w:szCs w:val="16"/>
              </w:rPr>
              <w:t xml:space="preserve"> </w:t>
            </w:r>
          </w:p>
          <w:p w:rsidR="00334D7E" w:rsidP="00334D7E" w:rsidRDefault="00334D7E" w14:paraId="7953E7F0" w14:textId="77777777">
            <w:pPr>
              <w:spacing w:line="240" w:lineRule="atLeast"/>
              <w:rPr>
                <w:rFonts w:ascii="Verdana" w:hAnsi="Verdana"/>
                <w:sz w:val="16"/>
                <w:szCs w:val="16"/>
              </w:rPr>
            </w:pPr>
          </w:p>
          <w:p w:rsidRPr="002C5EC5" w:rsidR="00334D7E" w:rsidP="00334D7E" w:rsidRDefault="00334D7E" w14:paraId="22F5E743" w14:textId="77777777">
            <w:pPr>
              <w:spacing w:line="240" w:lineRule="atLeast"/>
              <w:rPr>
                <w:rFonts w:ascii="Verdana" w:hAnsi="Verdana"/>
                <w:sz w:val="16"/>
                <w:szCs w:val="16"/>
              </w:rPr>
            </w:pPr>
            <w:r>
              <w:rPr>
                <w:rFonts w:ascii="Verdana" w:hAnsi="Verdana"/>
                <w:sz w:val="16"/>
                <w:szCs w:val="16"/>
              </w:rPr>
              <w:t xml:space="preserve">Volgt bij implementatiebesluit (artikelen </w:t>
            </w:r>
            <w:r w:rsidRPr="002C5EC5">
              <w:rPr>
                <w:rFonts w:ascii="Verdana" w:hAnsi="Verdana"/>
                <w:sz w:val="16"/>
                <w:szCs w:val="16"/>
              </w:rPr>
              <w:t>48 en 59 Bpr</w:t>
            </w:r>
            <w:r>
              <w:rPr>
                <w:rFonts w:ascii="Verdana" w:hAnsi="Verdana"/>
                <w:sz w:val="16"/>
                <w:szCs w:val="16"/>
              </w:rPr>
              <w:t>)</w:t>
            </w:r>
          </w:p>
        </w:tc>
        <w:tc>
          <w:tcPr>
            <w:tcW w:w="1274" w:type="dxa"/>
          </w:tcPr>
          <w:p w:rsidRPr="002C5EC5" w:rsidR="00334D7E" w:rsidP="00334D7E" w:rsidRDefault="00334D7E" w14:paraId="4EB5BF98"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2D840449" w14:textId="77777777">
            <w:pPr>
              <w:rPr>
                <w:rFonts w:ascii="Verdana" w:hAnsi="Verdana"/>
                <w:sz w:val="16"/>
                <w:szCs w:val="16"/>
              </w:rPr>
            </w:pPr>
          </w:p>
        </w:tc>
      </w:tr>
      <w:tr w:rsidR="00334D7E" w:rsidTr="00CA30A2" w14:paraId="55039C71" w14:textId="77777777">
        <w:tc>
          <w:tcPr>
            <w:tcW w:w="1552" w:type="dxa"/>
          </w:tcPr>
          <w:p w:rsidRPr="00DD0008" w:rsidR="00334D7E" w:rsidP="00334D7E" w:rsidRDefault="00334D7E" w14:paraId="267F0D53" w14:textId="4138E131">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732EF880" w14:textId="77777777">
            <w:pPr>
              <w:rPr>
                <w:rFonts w:ascii="Verdana" w:hAnsi="Verdana"/>
                <w:sz w:val="16"/>
                <w:szCs w:val="16"/>
              </w:rPr>
            </w:pPr>
            <w:r w:rsidRPr="002C5EC5">
              <w:rPr>
                <w:rFonts w:ascii="Verdana" w:hAnsi="Verdana"/>
                <w:sz w:val="16"/>
                <w:szCs w:val="16"/>
              </w:rPr>
              <w:t>48 sexies, tweede lid</w:t>
            </w:r>
          </w:p>
        </w:tc>
        <w:tc>
          <w:tcPr>
            <w:tcW w:w="1625" w:type="dxa"/>
          </w:tcPr>
          <w:p w:rsidR="00334D7E" w:rsidP="00334D7E" w:rsidRDefault="00334D7E" w14:paraId="6C002E0C" w14:textId="77777777">
            <w:pPr>
              <w:spacing w:line="240" w:lineRule="atLeast"/>
              <w:rPr>
                <w:rFonts w:ascii="Verdana" w:hAnsi="Verdana"/>
                <w:sz w:val="16"/>
                <w:szCs w:val="16"/>
              </w:rPr>
            </w:pPr>
            <w:r>
              <w:rPr>
                <w:rFonts w:ascii="Verdana" w:hAnsi="Verdana"/>
                <w:sz w:val="16"/>
                <w:szCs w:val="16"/>
              </w:rPr>
              <w:t>Artikel I, onderdeel QQ (</w:t>
            </w:r>
            <w:r w:rsidRPr="002C5EC5">
              <w:rPr>
                <w:rFonts w:ascii="Verdana" w:hAnsi="Verdana"/>
                <w:sz w:val="16"/>
                <w:szCs w:val="16"/>
              </w:rPr>
              <w:t>3:58</w:t>
            </w:r>
            <w:r>
              <w:rPr>
                <w:rFonts w:ascii="Verdana" w:hAnsi="Verdana"/>
                <w:sz w:val="16"/>
                <w:szCs w:val="16"/>
              </w:rPr>
              <w:t>a</w:t>
            </w:r>
            <w:r w:rsidRPr="002C5EC5">
              <w:rPr>
                <w:rFonts w:ascii="Verdana" w:hAnsi="Verdana"/>
                <w:sz w:val="16"/>
                <w:szCs w:val="16"/>
              </w:rPr>
              <w:t xml:space="preserve"> Wft</w:t>
            </w:r>
            <w:r>
              <w:rPr>
                <w:rFonts w:ascii="Verdana" w:hAnsi="Verdana"/>
                <w:sz w:val="16"/>
                <w:szCs w:val="16"/>
              </w:rPr>
              <w:t>)</w:t>
            </w:r>
          </w:p>
          <w:p w:rsidR="00334D7E" w:rsidP="00334D7E" w:rsidRDefault="00334D7E" w14:paraId="5DF383C2" w14:textId="77777777">
            <w:pPr>
              <w:spacing w:line="240" w:lineRule="atLeast"/>
              <w:rPr>
                <w:rFonts w:ascii="Verdana" w:hAnsi="Verdana"/>
                <w:sz w:val="16"/>
                <w:szCs w:val="16"/>
              </w:rPr>
            </w:pPr>
          </w:p>
          <w:p w:rsidR="00334D7E" w:rsidP="00334D7E" w:rsidRDefault="00334D7E" w14:paraId="62129DFD" w14:textId="77777777">
            <w:pPr>
              <w:spacing w:line="240" w:lineRule="atLeast"/>
              <w:rPr>
                <w:rFonts w:ascii="Verdana" w:hAnsi="Verdana"/>
                <w:sz w:val="16"/>
                <w:szCs w:val="16"/>
              </w:rPr>
            </w:pPr>
            <w:r>
              <w:rPr>
                <w:rFonts w:ascii="Verdana" w:hAnsi="Verdana"/>
                <w:sz w:val="16"/>
                <w:szCs w:val="16"/>
              </w:rPr>
              <w:t>Volgt bij implementatiebesluit (</w:t>
            </w:r>
            <w:r w:rsidRPr="002C5EC5">
              <w:rPr>
                <w:rFonts w:ascii="Verdana" w:hAnsi="Verdana"/>
                <w:sz w:val="16"/>
                <w:szCs w:val="16"/>
              </w:rPr>
              <w:t>60, eerste lid, Bpr</w:t>
            </w:r>
            <w:r>
              <w:rPr>
                <w:rFonts w:ascii="Verdana" w:hAnsi="Verdana"/>
                <w:sz w:val="16"/>
                <w:szCs w:val="16"/>
              </w:rPr>
              <w:t>)</w:t>
            </w:r>
          </w:p>
        </w:tc>
        <w:tc>
          <w:tcPr>
            <w:tcW w:w="1274" w:type="dxa"/>
          </w:tcPr>
          <w:p w:rsidRPr="002C5EC5" w:rsidR="00334D7E" w:rsidP="00334D7E" w:rsidRDefault="00334D7E" w14:paraId="7F43DE0E"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69AAB58C" w14:textId="77777777">
            <w:pPr>
              <w:rPr>
                <w:rFonts w:ascii="Verdana" w:hAnsi="Verdana"/>
                <w:sz w:val="16"/>
                <w:szCs w:val="16"/>
              </w:rPr>
            </w:pPr>
          </w:p>
        </w:tc>
      </w:tr>
      <w:tr w:rsidR="00334D7E" w:rsidTr="00CA30A2" w14:paraId="347EBBCE" w14:textId="77777777">
        <w:tc>
          <w:tcPr>
            <w:tcW w:w="1552" w:type="dxa"/>
          </w:tcPr>
          <w:p w:rsidRPr="00DD0008" w:rsidR="00334D7E" w:rsidP="00334D7E" w:rsidRDefault="00334D7E" w14:paraId="06957A10" w14:textId="00DD99E8">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2F787794" w14:textId="77777777">
            <w:pPr>
              <w:rPr>
                <w:rFonts w:ascii="Verdana" w:hAnsi="Verdana"/>
                <w:sz w:val="16"/>
                <w:szCs w:val="16"/>
              </w:rPr>
            </w:pPr>
            <w:r w:rsidRPr="002C5EC5">
              <w:rPr>
                <w:rFonts w:ascii="Verdana" w:hAnsi="Verdana"/>
                <w:sz w:val="16"/>
                <w:szCs w:val="16"/>
              </w:rPr>
              <w:t>48 sexies, derde lid, eerste zin</w:t>
            </w:r>
          </w:p>
        </w:tc>
        <w:tc>
          <w:tcPr>
            <w:tcW w:w="1625" w:type="dxa"/>
          </w:tcPr>
          <w:p w:rsidR="00334D7E" w:rsidP="00334D7E" w:rsidRDefault="00334D7E" w14:paraId="3B903259" w14:textId="77777777">
            <w:pPr>
              <w:spacing w:line="240" w:lineRule="atLeast"/>
              <w:rPr>
                <w:rFonts w:ascii="Verdana" w:hAnsi="Verdana"/>
                <w:sz w:val="16"/>
                <w:szCs w:val="16"/>
              </w:rPr>
            </w:pPr>
            <w:r>
              <w:rPr>
                <w:rFonts w:ascii="Verdana" w:hAnsi="Verdana"/>
                <w:sz w:val="16"/>
                <w:szCs w:val="16"/>
              </w:rPr>
              <w:t>Artikel I, onderdeel QQ (</w:t>
            </w:r>
            <w:r w:rsidRPr="002C5EC5">
              <w:rPr>
                <w:rFonts w:ascii="Verdana" w:hAnsi="Verdana"/>
                <w:sz w:val="16"/>
                <w:szCs w:val="16"/>
              </w:rPr>
              <w:t>3:58</w:t>
            </w:r>
            <w:r>
              <w:rPr>
                <w:rFonts w:ascii="Verdana" w:hAnsi="Verdana"/>
                <w:sz w:val="16"/>
                <w:szCs w:val="16"/>
              </w:rPr>
              <w:t>a</w:t>
            </w:r>
            <w:r w:rsidRPr="002C5EC5">
              <w:rPr>
                <w:rFonts w:ascii="Verdana" w:hAnsi="Verdana"/>
                <w:sz w:val="16"/>
                <w:szCs w:val="16"/>
              </w:rPr>
              <w:t xml:space="preserve"> Wft</w:t>
            </w:r>
            <w:r>
              <w:rPr>
                <w:rFonts w:ascii="Verdana" w:hAnsi="Verdana"/>
                <w:sz w:val="16"/>
                <w:szCs w:val="16"/>
              </w:rPr>
              <w:t>)</w:t>
            </w:r>
          </w:p>
          <w:p w:rsidR="00334D7E" w:rsidP="00334D7E" w:rsidRDefault="00334D7E" w14:paraId="25E8420C" w14:textId="77777777">
            <w:pPr>
              <w:spacing w:line="240" w:lineRule="atLeast"/>
              <w:rPr>
                <w:rFonts w:ascii="Verdana" w:hAnsi="Verdana"/>
                <w:sz w:val="16"/>
                <w:szCs w:val="16"/>
              </w:rPr>
            </w:pPr>
          </w:p>
          <w:p w:rsidR="00334D7E" w:rsidP="00334D7E" w:rsidRDefault="00334D7E" w14:paraId="5A3A854C" w14:textId="77777777">
            <w:pPr>
              <w:spacing w:line="240" w:lineRule="atLeast"/>
              <w:rPr>
                <w:rFonts w:ascii="Verdana" w:hAnsi="Verdana"/>
                <w:sz w:val="16"/>
                <w:szCs w:val="16"/>
              </w:rPr>
            </w:pPr>
            <w:r>
              <w:rPr>
                <w:rFonts w:ascii="Verdana" w:hAnsi="Verdana"/>
                <w:sz w:val="16"/>
                <w:szCs w:val="16"/>
              </w:rPr>
              <w:t>Volgt bij implementatiebesluit (</w:t>
            </w:r>
            <w:r w:rsidRPr="002C5EC5">
              <w:rPr>
                <w:rFonts w:ascii="Verdana" w:hAnsi="Verdana"/>
                <w:sz w:val="16"/>
                <w:szCs w:val="16"/>
              </w:rPr>
              <w:t xml:space="preserve">60, </w:t>
            </w:r>
            <w:r>
              <w:rPr>
                <w:rFonts w:ascii="Verdana" w:hAnsi="Verdana"/>
                <w:sz w:val="16"/>
                <w:szCs w:val="16"/>
              </w:rPr>
              <w:t>tweede</w:t>
            </w:r>
            <w:r w:rsidRPr="002C5EC5">
              <w:rPr>
                <w:rFonts w:ascii="Verdana" w:hAnsi="Verdana"/>
                <w:sz w:val="16"/>
                <w:szCs w:val="16"/>
              </w:rPr>
              <w:t xml:space="preserve"> lid, Bpr</w:t>
            </w:r>
            <w:r>
              <w:rPr>
                <w:rFonts w:ascii="Verdana" w:hAnsi="Verdana"/>
                <w:sz w:val="16"/>
                <w:szCs w:val="16"/>
              </w:rPr>
              <w:t>)</w:t>
            </w:r>
          </w:p>
        </w:tc>
        <w:tc>
          <w:tcPr>
            <w:tcW w:w="1274" w:type="dxa"/>
          </w:tcPr>
          <w:p w:rsidRPr="002C5EC5" w:rsidR="00334D7E" w:rsidP="00334D7E" w:rsidRDefault="00334D7E" w14:paraId="1218A4A1"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56707D2B" w14:textId="77777777">
            <w:pPr>
              <w:rPr>
                <w:rFonts w:ascii="Verdana" w:hAnsi="Verdana"/>
                <w:sz w:val="16"/>
                <w:szCs w:val="16"/>
              </w:rPr>
            </w:pPr>
          </w:p>
        </w:tc>
      </w:tr>
      <w:tr w:rsidR="00334D7E" w:rsidTr="00CA30A2" w14:paraId="7CFA0DBA" w14:textId="77777777">
        <w:tc>
          <w:tcPr>
            <w:tcW w:w="1552" w:type="dxa"/>
          </w:tcPr>
          <w:p w:rsidRPr="00DD0008" w:rsidR="00334D7E" w:rsidP="00334D7E" w:rsidRDefault="00334D7E" w14:paraId="7CF797DD" w14:textId="72D6C4BF">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4189E4CF" w14:textId="77777777">
            <w:pPr>
              <w:rPr>
                <w:rFonts w:ascii="Verdana" w:hAnsi="Verdana"/>
                <w:sz w:val="16"/>
                <w:szCs w:val="16"/>
              </w:rPr>
            </w:pPr>
            <w:r w:rsidRPr="002C5EC5">
              <w:rPr>
                <w:rFonts w:ascii="Verdana" w:hAnsi="Verdana"/>
                <w:sz w:val="16"/>
                <w:szCs w:val="16"/>
              </w:rPr>
              <w:t>48 sexies, derde lid, tweede zin</w:t>
            </w:r>
          </w:p>
        </w:tc>
        <w:tc>
          <w:tcPr>
            <w:tcW w:w="1625" w:type="dxa"/>
          </w:tcPr>
          <w:p w:rsidR="00334D7E" w:rsidP="00334D7E" w:rsidRDefault="00334D7E" w14:paraId="621BA5D9" w14:textId="77777777">
            <w:pPr>
              <w:spacing w:line="240" w:lineRule="atLeast"/>
              <w:rPr>
                <w:rFonts w:ascii="Verdana" w:hAnsi="Verdana"/>
                <w:sz w:val="16"/>
                <w:szCs w:val="16"/>
              </w:rPr>
            </w:pPr>
            <w:r>
              <w:rPr>
                <w:rFonts w:ascii="Verdana" w:hAnsi="Verdana"/>
                <w:sz w:val="16"/>
                <w:szCs w:val="16"/>
              </w:rPr>
              <w:t>Artikel I, onderdeel QQ (</w:t>
            </w:r>
            <w:r w:rsidRPr="002C5EC5">
              <w:rPr>
                <w:rFonts w:ascii="Verdana" w:hAnsi="Verdana"/>
                <w:sz w:val="16"/>
                <w:szCs w:val="16"/>
              </w:rPr>
              <w:t>3:58</w:t>
            </w:r>
            <w:r>
              <w:rPr>
                <w:rFonts w:ascii="Verdana" w:hAnsi="Verdana"/>
                <w:sz w:val="16"/>
                <w:szCs w:val="16"/>
              </w:rPr>
              <w:t>a</w:t>
            </w:r>
            <w:r w:rsidRPr="002C5EC5">
              <w:rPr>
                <w:rFonts w:ascii="Verdana" w:hAnsi="Verdana"/>
                <w:sz w:val="16"/>
                <w:szCs w:val="16"/>
              </w:rPr>
              <w:t xml:space="preserve"> Wft</w:t>
            </w:r>
            <w:r>
              <w:rPr>
                <w:rFonts w:ascii="Verdana" w:hAnsi="Verdana"/>
                <w:sz w:val="16"/>
                <w:szCs w:val="16"/>
              </w:rPr>
              <w:t>)</w:t>
            </w:r>
          </w:p>
          <w:p w:rsidR="00334D7E" w:rsidP="00334D7E" w:rsidRDefault="00334D7E" w14:paraId="59B66F11" w14:textId="77777777">
            <w:pPr>
              <w:spacing w:line="240" w:lineRule="atLeast"/>
              <w:rPr>
                <w:rFonts w:ascii="Verdana" w:hAnsi="Verdana"/>
                <w:sz w:val="16"/>
                <w:szCs w:val="16"/>
              </w:rPr>
            </w:pPr>
          </w:p>
          <w:p w:rsidR="00334D7E" w:rsidP="00334D7E" w:rsidRDefault="00334D7E" w14:paraId="46CFB4F8" w14:textId="77777777">
            <w:pPr>
              <w:spacing w:line="240" w:lineRule="atLeast"/>
              <w:rPr>
                <w:rFonts w:ascii="Verdana" w:hAnsi="Verdana"/>
                <w:sz w:val="16"/>
                <w:szCs w:val="16"/>
              </w:rPr>
            </w:pPr>
            <w:r>
              <w:rPr>
                <w:rFonts w:ascii="Verdana" w:hAnsi="Verdana"/>
                <w:sz w:val="16"/>
                <w:szCs w:val="16"/>
              </w:rPr>
              <w:t>Volgt bij implementatiebesluit (</w:t>
            </w:r>
            <w:r w:rsidRPr="002C5EC5">
              <w:rPr>
                <w:rFonts w:ascii="Verdana" w:hAnsi="Verdana"/>
                <w:sz w:val="16"/>
                <w:szCs w:val="16"/>
              </w:rPr>
              <w:t xml:space="preserve">60, </w:t>
            </w:r>
            <w:r>
              <w:rPr>
                <w:rFonts w:ascii="Verdana" w:hAnsi="Verdana"/>
                <w:sz w:val="16"/>
                <w:szCs w:val="16"/>
              </w:rPr>
              <w:t>derde</w:t>
            </w:r>
            <w:r w:rsidRPr="002C5EC5">
              <w:rPr>
                <w:rFonts w:ascii="Verdana" w:hAnsi="Verdana"/>
                <w:sz w:val="16"/>
                <w:szCs w:val="16"/>
              </w:rPr>
              <w:t xml:space="preserve"> lid, Bpr</w:t>
            </w:r>
            <w:r>
              <w:rPr>
                <w:rFonts w:ascii="Verdana" w:hAnsi="Verdana"/>
                <w:sz w:val="16"/>
                <w:szCs w:val="16"/>
              </w:rPr>
              <w:t>)</w:t>
            </w:r>
          </w:p>
        </w:tc>
        <w:tc>
          <w:tcPr>
            <w:tcW w:w="1274" w:type="dxa"/>
          </w:tcPr>
          <w:p w:rsidRPr="002C5EC5" w:rsidR="00334D7E" w:rsidP="00334D7E" w:rsidRDefault="00334D7E" w14:paraId="295E671C"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25A66EEC" w14:textId="77777777">
            <w:pPr>
              <w:rPr>
                <w:rFonts w:ascii="Verdana" w:hAnsi="Verdana"/>
                <w:sz w:val="16"/>
                <w:szCs w:val="16"/>
              </w:rPr>
            </w:pPr>
          </w:p>
        </w:tc>
      </w:tr>
      <w:tr w:rsidR="00334D7E" w:rsidTr="00CA30A2" w14:paraId="27D5C154" w14:textId="77777777">
        <w:tc>
          <w:tcPr>
            <w:tcW w:w="1552" w:type="dxa"/>
          </w:tcPr>
          <w:p w:rsidRPr="00DD0008" w:rsidR="00334D7E" w:rsidP="00334D7E" w:rsidRDefault="00334D7E" w14:paraId="1FED890A" w14:textId="1A642E4C">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76AF10D5" w14:textId="77777777">
            <w:pPr>
              <w:rPr>
                <w:rFonts w:ascii="Verdana" w:hAnsi="Verdana"/>
                <w:sz w:val="16"/>
                <w:szCs w:val="16"/>
              </w:rPr>
            </w:pPr>
            <w:r w:rsidRPr="002C5EC5">
              <w:rPr>
                <w:rFonts w:ascii="Verdana" w:hAnsi="Verdana"/>
                <w:sz w:val="16"/>
                <w:szCs w:val="16"/>
              </w:rPr>
              <w:t>48 sexies, vierde lid</w:t>
            </w:r>
          </w:p>
        </w:tc>
        <w:tc>
          <w:tcPr>
            <w:tcW w:w="1625" w:type="dxa"/>
          </w:tcPr>
          <w:p w:rsidR="00334D7E" w:rsidP="00334D7E" w:rsidRDefault="00334D7E" w14:paraId="3525B12B" w14:textId="77777777">
            <w:pPr>
              <w:spacing w:line="240" w:lineRule="atLeast"/>
              <w:rPr>
                <w:rFonts w:ascii="Verdana" w:hAnsi="Verdana"/>
                <w:sz w:val="16"/>
                <w:szCs w:val="16"/>
              </w:rPr>
            </w:pPr>
            <w:r w:rsidRPr="002C5EC5">
              <w:rPr>
                <w:rFonts w:ascii="Verdana" w:hAnsi="Verdana"/>
                <w:sz w:val="16"/>
                <w:szCs w:val="16"/>
              </w:rPr>
              <w:t>Behoeft naar zijn aard geen implementatie. Bepaling gericht tot EBA</w:t>
            </w:r>
          </w:p>
        </w:tc>
        <w:tc>
          <w:tcPr>
            <w:tcW w:w="1274" w:type="dxa"/>
          </w:tcPr>
          <w:p w:rsidRPr="002C5EC5" w:rsidR="00334D7E" w:rsidP="00334D7E" w:rsidRDefault="00334D7E" w14:paraId="020A86C8"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68E1570F" w14:textId="77777777">
            <w:pPr>
              <w:rPr>
                <w:rFonts w:ascii="Verdana" w:hAnsi="Verdana"/>
                <w:sz w:val="16"/>
                <w:szCs w:val="16"/>
              </w:rPr>
            </w:pPr>
          </w:p>
        </w:tc>
      </w:tr>
      <w:tr w:rsidR="00334D7E" w:rsidTr="00CA30A2" w14:paraId="023A272F" w14:textId="77777777">
        <w:tc>
          <w:tcPr>
            <w:tcW w:w="1552" w:type="dxa"/>
          </w:tcPr>
          <w:p w:rsidRPr="00DD0008" w:rsidR="00334D7E" w:rsidP="00334D7E" w:rsidRDefault="00334D7E" w14:paraId="4E668D0E" w14:textId="08E69F00">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4F3E2E3F" w14:textId="77777777">
            <w:pPr>
              <w:rPr>
                <w:rFonts w:ascii="Verdana" w:hAnsi="Verdana"/>
                <w:sz w:val="16"/>
                <w:szCs w:val="16"/>
              </w:rPr>
            </w:pPr>
            <w:r w:rsidRPr="002C5EC5">
              <w:rPr>
                <w:rFonts w:ascii="Verdana" w:hAnsi="Verdana"/>
                <w:sz w:val="16"/>
                <w:szCs w:val="16"/>
              </w:rPr>
              <w:t>48 septies, eerste lid</w:t>
            </w:r>
          </w:p>
        </w:tc>
        <w:tc>
          <w:tcPr>
            <w:tcW w:w="1625" w:type="dxa"/>
          </w:tcPr>
          <w:p w:rsidR="00334D7E" w:rsidP="00334D7E" w:rsidRDefault="00334D7E" w14:paraId="1F8110C3" w14:textId="77777777">
            <w:pPr>
              <w:spacing w:line="240" w:lineRule="atLeast"/>
              <w:rPr>
                <w:rFonts w:ascii="Verdana" w:hAnsi="Verdana"/>
                <w:sz w:val="16"/>
                <w:szCs w:val="16"/>
              </w:rPr>
            </w:pPr>
            <w:r>
              <w:rPr>
                <w:rFonts w:ascii="Verdana" w:hAnsi="Verdana"/>
                <w:sz w:val="16"/>
                <w:szCs w:val="16"/>
              </w:rPr>
              <w:t>Artikel I, onderdeel UU (</w:t>
            </w:r>
            <w:r w:rsidRPr="002C5EC5">
              <w:rPr>
                <w:rFonts w:ascii="Verdana" w:hAnsi="Verdana"/>
                <w:sz w:val="16"/>
                <w:szCs w:val="16"/>
              </w:rPr>
              <w:t>3:65</w:t>
            </w:r>
            <w:r>
              <w:rPr>
                <w:rFonts w:ascii="Verdana" w:hAnsi="Verdana"/>
                <w:sz w:val="16"/>
                <w:szCs w:val="16"/>
              </w:rPr>
              <w:t>a W</w:t>
            </w:r>
            <w:r w:rsidRPr="002C5EC5">
              <w:rPr>
                <w:rFonts w:ascii="Verdana" w:hAnsi="Verdana"/>
                <w:sz w:val="16"/>
                <w:szCs w:val="16"/>
              </w:rPr>
              <w:t>ft</w:t>
            </w:r>
            <w:r>
              <w:rPr>
                <w:rFonts w:ascii="Verdana" w:hAnsi="Verdana"/>
                <w:sz w:val="16"/>
                <w:szCs w:val="16"/>
              </w:rPr>
              <w:t>)</w:t>
            </w:r>
          </w:p>
          <w:p w:rsidR="00334D7E" w:rsidP="00334D7E" w:rsidRDefault="00334D7E" w14:paraId="356CD591" w14:textId="77777777">
            <w:pPr>
              <w:spacing w:line="240" w:lineRule="atLeast"/>
              <w:rPr>
                <w:rFonts w:ascii="Verdana" w:hAnsi="Verdana"/>
                <w:sz w:val="16"/>
                <w:szCs w:val="16"/>
              </w:rPr>
            </w:pPr>
          </w:p>
          <w:p w:rsidRPr="002C5EC5" w:rsidR="00334D7E" w:rsidP="00334D7E" w:rsidRDefault="00334D7E" w14:paraId="2B49F584" w14:textId="77777777">
            <w:pPr>
              <w:spacing w:line="240" w:lineRule="atLeast"/>
              <w:rPr>
                <w:rFonts w:ascii="Verdana" w:hAnsi="Verdana"/>
                <w:sz w:val="16"/>
                <w:szCs w:val="16"/>
              </w:rPr>
            </w:pPr>
            <w:r>
              <w:rPr>
                <w:rFonts w:ascii="Verdana" w:hAnsi="Verdana"/>
                <w:sz w:val="16"/>
                <w:szCs w:val="16"/>
              </w:rPr>
              <w:t>Volgt bij implementatiebesluit (</w:t>
            </w:r>
            <w:r w:rsidRPr="002C5EC5">
              <w:rPr>
                <w:rFonts w:ascii="Verdana" w:hAnsi="Verdana"/>
                <w:sz w:val="16"/>
                <w:szCs w:val="16"/>
              </w:rPr>
              <w:t>106c, eerste lid, Bpr</w:t>
            </w:r>
            <w:r>
              <w:rPr>
                <w:rFonts w:ascii="Verdana" w:hAnsi="Verdana"/>
                <w:sz w:val="16"/>
                <w:szCs w:val="16"/>
              </w:rPr>
              <w:t>)</w:t>
            </w:r>
          </w:p>
        </w:tc>
        <w:tc>
          <w:tcPr>
            <w:tcW w:w="1274" w:type="dxa"/>
          </w:tcPr>
          <w:p w:rsidRPr="002C5EC5" w:rsidR="00334D7E" w:rsidP="00334D7E" w:rsidRDefault="00334D7E" w14:paraId="4F5C9AA0"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2EA4C584" w14:textId="77777777">
            <w:pPr>
              <w:rPr>
                <w:rFonts w:ascii="Verdana" w:hAnsi="Verdana"/>
                <w:sz w:val="16"/>
                <w:szCs w:val="16"/>
              </w:rPr>
            </w:pPr>
          </w:p>
        </w:tc>
      </w:tr>
      <w:tr w:rsidR="00334D7E" w:rsidTr="00CA30A2" w14:paraId="3597422A" w14:textId="77777777">
        <w:tc>
          <w:tcPr>
            <w:tcW w:w="1552" w:type="dxa"/>
          </w:tcPr>
          <w:p w:rsidRPr="00DD0008" w:rsidR="00334D7E" w:rsidP="00334D7E" w:rsidRDefault="00334D7E" w14:paraId="0BFDDB78" w14:textId="34A9C223">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24D93036" w14:textId="77777777">
            <w:pPr>
              <w:rPr>
                <w:rFonts w:ascii="Verdana" w:hAnsi="Verdana"/>
                <w:sz w:val="16"/>
                <w:szCs w:val="16"/>
              </w:rPr>
            </w:pPr>
            <w:r w:rsidRPr="002C5EC5">
              <w:rPr>
                <w:rFonts w:ascii="Verdana" w:hAnsi="Verdana"/>
                <w:sz w:val="16"/>
                <w:szCs w:val="16"/>
              </w:rPr>
              <w:t>48 septies, tweede lid</w:t>
            </w:r>
          </w:p>
        </w:tc>
        <w:tc>
          <w:tcPr>
            <w:tcW w:w="1625" w:type="dxa"/>
          </w:tcPr>
          <w:p w:rsidR="00334D7E" w:rsidP="00334D7E" w:rsidRDefault="00334D7E" w14:paraId="3B1B5921" w14:textId="77777777">
            <w:pPr>
              <w:spacing w:line="240" w:lineRule="atLeast"/>
              <w:rPr>
                <w:rFonts w:ascii="Verdana" w:hAnsi="Verdana"/>
                <w:sz w:val="16"/>
                <w:szCs w:val="16"/>
              </w:rPr>
            </w:pPr>
            <w:r>
              <w:rPr>
                <w:rFonts w:ascii="Verdana" w:hAnsi="Verdana"/>
                <w:sz w:val="16"/>
                <w:szCs w:val="16"/>
              </w:rPr>
              <w:t>Artikel I, onderdeel UU (</w:t>
            </w:r>
            <w:r w:rsidRPr="002C5EC5">
              <w:rPr>
                <w:rFonts w:ascii="Verdana" w:hAnsi="Verdana"/>
                <w:sz w:val="16"/>
                <w:szCs w:val="16"/>
              </w:rPr>
              <w:t>3:65</w:t>
            </w:r>
            <w:r>
              <w:rPr>
                <w:rFonts w:ascii="Verdana" w:hAnsi="Verdana"/>
                <w:sz w:val="16"/>
                <w:szCs w:val="16"/>
              </w:rPr>
              <w:t>a W</w:t>
            </w:r>
            <w:r w:rsidRPr="002C5EC5">
              <w:rPr>
                <w:rFonts w:ascii="Verdana" w:hAnsi="Verdana"/>
                <w:sz w:val="16"/>
                <w:szCs w:val="16"/>
              </w:rPr>
              <w:t>ft</w:t>
            </w:r>
            <w:r>
              <w:rPr>
                <w:rFonts w:ascii="Verdana" w:hAnsi="Verdana"/>
                <w:sz w:val="16"/>
                <w:szCs w:val="16"/>
              </w:rPr>
              <w:t>)</w:t>
            </w:r>
          </w:p>
          <w:p w:rsidR="00334D7E" w:rsidP="00334D7E" w:rsidRDefault="00334D7E" w14:paraId="2337298F" w14:textId="77777777">
            <w:pPr>
              <w:spacing w:line="240" w:lineRule="atLeast"/>
              <w:rPr>
                <w:rFonts w:ascii="Verdana" w:hAnsi="Verdana"/>
                <w:sz w:val="16"/>
                <w:szCs w:val="16"/>
              </w:rPr>
            </w:pPr>
          </w:p>
          <w:p w:rsidR="00334D7E" w:rsidP="00334D7E" w:rsidRDefault="00334D7E" w14:paraId="16421796" w14:textId="77777777">
            <w:pPr>
              <w:spacing w:line="240" w:lineRule="atLeast"/>
              <w:rPr>
                <w:rFonts w:ascii="Verdana" w:hAnsi="Verdana"/>
                <w:sz w:val="16"/>
                <w:szCs w:val="16"/>
              </w:rPr>
            </w:pPr>
            <w:r>
              <w:rPr>
                <w:rFonts w:ascii="Verdana" w:hAnsi="Verdana"/>
                <w:sz w:val="16"/>
                <w:szCs w:val="16"/>
              </w:rPr>
              <w:t>Volgt bij implementatiebesluit (</w:t>
            </w:r>
            <w:r w:rsidRPr="002C5EC5">
              <w:rPr>
                <w:rFonts w:ascii="Verdana" w:hAnsi="Verdana"/>
                <w:sz w:val="16"/>
                <w:szCs w:val="16"/>
              </w:rPr>
              <w:t xml:space="preserve">106c, </w:t>
            </w:r>
            <w:r>
              <w:rPr>
                <w:rFonts w:ascii="Verdana" w:hAnsi="Verdana"/>
                <w:sz w:val="16"/>
                <w:szCs w:val="16"/>
              </w:rPr>
              <w:t>tweede</w:t>
            </w:r>
            <w:r w:rsidRPr="002C5EC5">
              <w:rPr>
                <w:rFonts w:ascii="Verdana" w:hAnsi="Verdana"/>
                <w:sz w:val="16"/>
                <w:szCs w:val="16"/>
              </w:rPr>
              <w:t xml:space="preserve"> lid, Bpr</w:t>
            </w:r>
            <w:r>
              <w:rPr>
                <w:rFonts w:ascii="Verdana" w:hAnsi="Verdana"/>
                <w:sz w:val="16"/>
                <w:szCs w:val="16"/>
              </w:rPr>
              <w:t>)</w:t>
            </w:r>
          </w:p>
        </w:tc>
        <w:tc>
          <w:tcPr>
            <w:tcW w:w="1274" w:type="dxa"/>
          </w:tcPr>
          <w:p w:rsidRPr="002C5EC5" w:rsidR="00334D7E" w:rsidP="00334D7E" w:rsidRDefault="00334D7E" w14:paraId="008F97A8"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1FB9CA6C" w14:textId="77777777">
            <w:pPr>
              <w:rPr>
                <w:rFonts w:ascii="Verdana" w:hAnsi="Verdana"/>
                <w:sz w:val="16"/>
                <w:szCs w:val="16"/>
              </w:rPr>
            </w:pPr>
          </w:p>
        </w:tc>
      </w:tr>
      <w:tr w:rsidR="00334D7E" w:rsidTr="00CA30A2" w14:paraId="7971D560" w14:textId="77777777">
        <w:tc>
          <w:tcPr>
            <w:tcW w:w="1552" w:type="dxa"/>
          </w:tcPr>
          <w:p w:rsidRPr="00DD0008" w:rsidR="00334D7E" w:rsidP="00334D7E" w:rsidRDefault="00334D7E" w14:paraId="06D21BB1" w14:textId="0AD3CE41">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457D099A" w14:textId="77777777">
            <w:pPr>
              <w:rPr>
                <w:rFonts w:ascii="Verdana" w:hAnsi="Verdana"/>
                <w:sz w:val="16"/>
                <w:szCs w:val="16"/>
              </w:rPr>
            </w:pPr>
            <w:r w:rsidRPr="002C5EC5">
              <w:rPr>
                <w:rFonts w:ascii="Verdana" w:hAnsi="Verdana"/>
                <w:sz w:val="16"/>
                <w:szCs w:val="16"/>
              </w:rPr>
              <w:t>48 septies, derde lid, eerste zin</w:t>
            </w:r>
          </w:p>
        </w:tc>
        <w:tc>
          <w:tcPr>
            <w:tcW w:w="1625" w:type="dxa"/>
          </w:tcPr>
          <w:p w:rsidR="00334D7E" w:rsidP="00334D7E" w:rsidRDefault="00334D7E" w14:paraId="68E62A8A" w14:textId="77777777">
            <w:pPr>
              <w:spacing w:line="240" w:lineRule="atLeast"/>
              <w:rPr>
                <w:rFonts w:ascii="Verdana" w:hAnsi="Verdana"/>
                <w:sz w:val="16"/>
                <w:szCs w:val="16"/>
              </w:rPr>
            </w:pPr>
            <w:r>
              <w:rPr>
                <w:rFonts w:ascii="Verdana" w:hAnsi="Verdana"/>
                <w:sz w:val="16"/>
                <w:szCs w:val="16"/>
              </w:rPr>
              <w:t>Artikel I, onderdeel UU (</w:t>
            </w:r>
            <w:r w:rsidRPr="002C5EC5">
              <w:rPr>
                <w:rFonts w:ascii="Verdana" w:hAnsi="Verdana"/>
                <w:sz w:val="16"/>
                <w:szCs w:val="16"/>
              </w:rPr>
              <w:t>3:65</w:t>
            </w:r>
            <w:r>
              <w:rPr>
                <w:rFonts w:ascii="Verdana" w:hAnsi="Verdana"/>
                <w:sz w:val="16"/>
                <w:szCs w:val="16"/>
              </w:rPr>
              <w:t>a W</w:t>
            </w:r>
            <w:r w:rsidRPr="002C5EC5">
              <w:rPr>
                <w:rFonts w:ascii="Verdana" w:hAnsi="Verdana"/>
                <w:sz w:val="16"/>
                <w:szCs w:val="16"/>
              </w:rPr>
              <w:t>ft</w:t>
            </w:r>
            <w:r>
              <w:rPr>
                <w:rFonts w:ascii="Verdana" w:hAnsi="Verdana"/>
                <w:sz w:val="16"/>
                <w:szCs w:val="16"/>
              </w:rPr>
              <w:t>)</w:t>
            </w:r>
          </w:p>
          <w:p w:rsidR="00334D7E" w:rsidP="00334D7E" w:rsidRDefault="00334D7E" w14:paraId="60FAE8EA" w14:textId="77777777">
            <w:pPr>
              <w:spacing w:line="240" w:lineRule="atLeast"/>
              <w:rPr>
                <w:rFonts w:ascii="Verdana" w:hAnsi="Verdana"/>
                <w:sz w:val="16"/>
                <w:szCs w:val="16"/>
              </w:rPr>
            </w:pPr>
          </w:p>
          <w:p w:rsidR="00334D7E" w:rsidP="00334D7E" w:rsidRDefault="00334D7E" w14:paraId="14C651B8" w14:textId="77777777">
            <w:pPr>
              <w:spacing w:line="240" w:lineRule="atLeast"/>
              <w:rPr>
                <w:rFonts w:ascii="Verdana" w:hAnsi="Verdana"/>
                <w:sz w:val="16"/>
                <w:szCs w:val="16"/>
              </w:rPr>
            </w:pPr>
            <w:r>
              <w:rPr>
                <w:rFonts w:ascii="Verdana" w:hAnsi="Verdana"/>
                <w:sz w:val="16"/>
                <w:szCs w:val="16"/>
              </w:rPr>
              <w:t>Volgt bij implementatiebesluit (</w:t>
            </w:r>
            <w:r w:rsidRPr="002C5EC5">
              <w:rPr>
                <w:rFonts w:ascii="Verdana" w:hAnsi="Verdana"/>
                <w:sz w:val="16"/>
                <w:szCs w:val="16"/>
              </w:rPr>
              <w:t xml:space="preserve">106c, </w:t>
            </w:r>
            <w:r>
              <w:rPr>
                <w:rFonts w:ascii="Verdana" w:hAnsi="Verdana"/>
                <w:sz w:val="16"/>
                <w:szCs w:val="16"/>
              </w:rPr>
              <w:t>derde</w:t>
            </w:r>
            <w:r w:rsidRPr="002C5EC5">
              <w:rPr>
                <w:rFonts w:ascii="Verdana" w:hAnsi="Verdana"/>
                <w:sz w:val="16"/>
                <w:szCs w:val="16"/>
              </w:rPr>
              <w:t xml:space="preserve"> lid, Bpr</w:t>
            </w:r>
            <w:r>
              <w:rPr>
                <w:rFonts w:ascii="Verdana" w:hAnsi="Verdana"/>
                <w:sz w:val="16"/>
                <w:szCs w:val="16"/>
              </w:rPr>
              <w:t>)</w:t>
            </w:r>
          </w:p>
        </w:tc>
        <w:tc>
          <w:tcPr>
            <w:tcW w:w="1274" w:type="dxa"/>
          </w:tcPr>
          <w:p w:rsidRPr="002C5EC5" w:rsidR="00334D7E" w:rsidP="00334D7E" w:rsidRDefault="00334D7E" w14:paraId="1739CB39"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1F361935" w14:textId="77777777">
            <w:pPr>
              <w:rPr>
                <w:rFonts w:ascii="Verdana" w:hAnsi="Verdana"/>
                <w:sz w:val="16"/>
                <w:szCs w:val="16"/>
              </w:rPr>
            </w:pPr>
          </w:p>
        </w:tc>
      </w:tr>
      <w:tr w:rsidR="00334D7E" w:rsidTr="00CA30A2" w14:paraId="13455696" w14:textId="77777777">
        <w:tc>
          <w:tcPr>
            <w:tcW w:w="1552" w:type="dxa"/>
          </w:tcPr>
          <w:p w:rsidRPr="00DD0008" w:rsidR="00334D7E" w:rsidP="00334D7E" w:rsidRDefault="00334D7E" w14:paraId="1F13BCE3" w14:textId="59124702">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5342116D" w14:textId="77777777">
            <w:pPr>
              <w:rPr>
                <w:rFonts w:ascii="Verdana" w:hAnsi="Verdana"/>
                <w:sz w:val="16"/>
                <w:szCs w:val="16"/>
              </w:rPr>
            </w:pPr>
            <w:r w:rsidRPr="002C5EC5">
              <w:rPr>
                <w:rFonts w:ascii="Verdana" w:hAnsi="Verdana"/>
                <w:sz w:val="16"/>
                <w:szCs w:val="16"/>
              </w:rPr>
              <w:t>48 septies, derde lid, tweede zin</w:t>
            </w:r>
          </w:p>
        </w:tc>
        <w:tc>
          <w:tcPr>
            <w:tcW w:w="1625" w:type="dxa"/>
          </w:tcPr>
          <w:p w:rsidR="00334D7E" w:rsidP="00334D7E" w:rsidRDefault="00334D7E" w14:paraId="28A36EF2" w14:textId="77777777">
            <w:pPr>
              <w:spacing w:line="240" w:lineRule="atLeast"/>
              <w:rPr>
                <w:rFonts w:ascii="Verdana" w:hAnsi="Verdana"/>
                <w:sz w:val="16"/>
                <w:szCs w:val="16"/>
              </w:rPr>
            </w:pPr>
            <w:r>
              <w:rPr>
                <w:rFonts w:ascii="Verdana" w:hAnsi="Verdana"/>
                <w:sz w:val="16"/>
                <w:szCs w:val="16"/>
              </w:rPr>
              <w:t>Artikel I, onderdeel UU (</w:t>
            </w:r>
            <w:r w:rsidRPr="002C5EC5">
              <w:rPr>
                <w:rFonts w:ascii="Verdana" w:hAnsi="Verdana"/>
                <w:sz w:val="16"/>
                <w:szCs w:val="16"/>
              </w:rPr>
              <w:t>3:65</w:t>
            </w:r>
            <w:r>
              <w:rPr>
                <w:rFonts w:ascii="Verdana" w:hAnsi="Verdana"/>
                <w:sz w:val="16"/>
                <w:szCs w:val="16"/>
              </w:rPr>
              <w:t>a W</w:t>
            </w:r>
            <w:r w:rsidRPr="002C5EC5">
              <w:rPr>
                <w:rFonts w:ascii="Verdana" w:hAnsi="Verdana"/>
                <w:sz w:val="16"/>
                <w:szCs w:val="16"/>
              </w:rPr>
              <w:t>ft</w:t>
            </w:r>
            <w:r>
              <w:rPr>
                <w:rFonts w:ascii="Verdana" w:hAnsi="Verdana"/>
                <w:sz w:val="16"/>
                <w:szCs w:val="16"/>
              </w:rPr>
              <w:t>)</w:t>
            </w:r>
          </w:p>
          <w:p w:rsidR="00334D7E" w:rsidP="00334D7E" w:rsidRDefault="00334D7E" w14:paraId="20E4066B" w14:textId="77777777">
            <w:pPr>
              <w:spacing w:line="240" w:lineRule="atLeast"/>
              <w:rPr>
                <w:rFonts w:ascii="Verdana" w:hAnsi="Verdana"/>
                <w:sz w:val="16"/>
                <w:szCs w:val="16"/>
              </w:rPr>
            </w:pPr>
          </w:p>
          <w:p w:rsidR="00334D7E" w:rsidP="00334D7E" w:rsidRDefault="00334D7E" w14:paraId="66D6FBCE" w14:textId="77777777">
            <w:pPr>
              <w:spacing w:line="240" w:lineRule="atLeast"/>
              <w:rPr>
                <w:rFonts w:ascii="Verdana" w:hAnsi="Verdana"/>
                <w:sz w:val="16"/>
                <w:szCs w:val="16"/>
              </w:rPr>
            </w:pPr>
            <w:r>
              <w:rPr>
                <w:rFonts w:ascii="Verdana" w:hAnsi="Verdana"/>
                <w:sz w:val="16"/>
                <w:szCs w:val="16"/>
              </w:rPr>
              <w:t>Volgt bij implementatiebesluit (</w:t>
            </w:r>
            <w:r w:rsidRPr="002C5EC5">
              <w:rPr>
                <w:rFonts w:ascii="Verdana" w:hAnsi="Verdana"/>
                <w:sz w:val="16"/>
                <w:szCs w:val="16"/>
              </w:rPr>
              <w:t xml:space="preserve">106c, </w:t>
            </w:r>
            <w:r>
              <w:rPr>
                <w:rFonts w:ascii="Verdana" w:hAnsi="Verdana"/>
                <w:sz w:val="16"/>
                <w:szCs w:val="16"/>
              </w:rPr>
              <w:t>vierde</w:t>
            </w:r>
            <w:r w:rsidRPr="002C5EC5">
              <w:rPr>
                <w:rFonts w:ascii="Verdana" w:hAnsi="Verdana"/>
                <w:sz w:val="16"/>
                <w:szCs w:val="16"/>
              </w:rPr>
              <w:t xml:space="preserve"> lid, Bpr</w:t>
            </w:r>
            <w:r>
              <w:rPr>
                <w:rFonts w:ascii="Verdana" w:hAnsi="Verdana"/>
                <w:sz w:val="16"/>
                <w:szCs w:val="16"/>
              </w:rPr>
              <w:t>)</w:t>
            </w:r>
          </w:p>
        </w:tc>
        <w:tc>
          <w:tcPr>
            <w:tcW w:w="1274" w:type="dxa"/>
          </w:tcPr>
          <w:p w:rsidRPr="002C5EC5" w:rsidR="00334D7E" w:rsidP="00334D7E" w:rsidRDefault="00334D7E" w14:paraId="6086EBDF"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3313A247" w14:textId="77777777">
            <w:pPr>
              <w:rPr>
                <w:rFonts w:ascii="Verdana" w:hAnsi="Verdana"/>
                <w:sz w:val="16"/>
                <w:szCs w:val="16"/>
              </w:rPr>
            </w:pPr>
          </w:p>
        </w:tc>
      </w:tr>
      <w:tr w:rsidR="00334D7E" w:rsidTr="00CA30A2" w14:paraId="4ED50023" w14:textId="77777777">
        <w:tc>
          <w:tcPr>
            <w:tcW w:w="1552" w:type="dxa"/>
          </w:tcPr>
          <w:p w:rsidRPr="00DD0008" w:rsidR="00334D7E" w:rsidP="00334D7E" w:rsidRDefault="00334D7E" w14:paraId="66177555" w14:textId="4B35039F">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2CFD2A9A" w14:textId="77777777">
            <w:pPr>
              <w:rPr>
                <w:rFonts w:ascii="Verdana" w:hAnsi="Verdana"/>
                <w:sz w:val="16"/>
                <w:szCs w:val="16"/>
              </w:rPr>
            </w:pPr>
            <w:r w:rsidRPr="002C5EC5">
              <w:rPr>
                <w:rFonts w:ascii="Verdana" w:hAnsi="Verdana"/>
                <w:sz w:val="16"/>
                <w:szCs w:val="16"/>
              </w:rPr>
              <w:t>48 septies, vierde lid</w:t>
            </w:r>
          </w:p>
        </w:tc>
        <w:tc>
          <w:tcPr>
            <w:tcW w:w="1625" w:type="dxa"/>
          </w:tcPr>
          <w:p w:rsidR="00334D7E" w:rsidP="00334D7E" w:rsidRDefault="00334D7E" w14:paraId="07581EEE" w14:textId="77777777">
            <w:pPr>
              <w:spacing w:line="240" w:lineRule="atLeast"/>
              <w:rPr>
                <w:rFonts w:ascii="Verdana" w:hAnsi="Verdana"/>
                <w:sz w:val="16"/>
                <w:szCs w:val="16"/>
              </w:rPr>
            </w:pPr>
            <w:r>
              <w:rPr>
                <w:rFonts w:ascii="Verdana" w:hAnsi="Verdana"/>
                <w:sz w:val="16"/>
                <w:szCs w:val="16"/>
              </w:rPr>
              <w:t>Artikel I, onderdeel UU (</w:t>
            </w:r>
            <w:r w:rsidRPr="002C5EC5">
              <w:rPr>
                <w:rFonts w:ascii="Verdana" w:hAnsi="Verdana"/>
                <w:sz w:val="16"/>
                <w:szCs w:val="16"/>
              </w:rPr>
              <w:t>3:65</w:t>
            </w:r>
            <w:r>
              <w:rPr>
                <w:rFonts w:ascii="Verdana" w:hAnsi="Verdana"/>
                <w:sz w:val="16"/>
                <w:szCs w:val="16"/>
              </w:rPr>
              <w:t>a W</w:t>
            </w:r>
            <w:r w:rsidRPr="002C5EC5">
              <w:rPr>
                <w:rFonts w:ascii="Verdana" w:hAnsi="Verdana"/>
                <w:sz w:val="16"/>
                <w:szCs w:val="16"/>
              </w:rPr>
              <w:t>ft</w:t>
            </w:r>
            <w:r>
              <w:rPr>
                <w:rFonts w:ascii="Verdana" w:hAnsi="Verdana"/>
                <w:sz w:val="16"/>
                <w:szCs w:val="16"/>
              </w:rPr>
              <w:t>)</w:t>
            </w:r>
          </w:p>
          <w:p w:rsidR="00334D7E" w:rsidP="00334D7E" w:rsidRDefault="00334D7E" w14:paraId="5AA740CA" w14:textId="77777777">
            <w:pPr>
              <w:spacing w:line="240" w:lineRule="atLeast"/>
              <w:rPr>
                <w:rFonts w:ascii="Verdana" w:hAnsi="Verdana"/>
                <w:sz w:val="16"/>
                <w:szCs w:val="16"/>
              </w:rPr>
            </w:pPr>
          </w:p>
          <w:p w:rsidR="00334D7E" w:rsidP="00334D7E" w:rsidRDefault="00334D7E" w14:paraId="5D6D654A" w14:textId="77777777">
            <w:pPr>
              <w:spacing w:line="240" w:lineRule="atLeast"/>
              <w:rPr>
                <w:rFonts w:ascii="Verdana" w:hAnsi="Verdana"/>
                <w:sz w:val="16"/>
                <w:szCs w:val="16"/>
              </w:rPr>
            </w:pPr>
            <w:r>
              <w:rPr>
                <w:rFonts w:ascii="Verdana" w:hAnsi="Verdana"/>
                <w:sz w:val="16"/>
                <w:szCs w:val="16"/>
              </w:rPr>
              <w:t>Volgt bij implementatiebesluit (</w:t>
            </w:r>
            <w:r w:rsidRPr="002C5EC5">
              <w:rPr>
                <w:rFonts w:ascii="Verdana" w:hAnsi="Verdana"/>
                <w:sz w:val="16"/>
                <w:szCs w:val="16"/>
              </w:rPr>
              <w:t xml:space="preserve">106c, </w:t>
            </w:r>
            <w:r>
              <w:rPr>
                <w:rFonts w:ascii="Verdana" w:hAnsi="Verdana"/>
                <w:sz w:val="16"/>
                <w:szCs w:val="16"/>
              </w:rPr>
              <w:t>vijfde</w:t>
            </w:r>
            <w:r w:rsidRPr="002C5EC5">
              <w:rPr>
                <w:rFonts w:ascii="Verdana" w:hAnsi="Verdana"/>
                <w:sz w:val="16"/>
                <w:szCs w:val="16"/>
              </w:rPr>
              <w:t xml:space="preserve"> lid, Bpr</w:t>
            </w:r>
            <w:r>
              <w:rPr>
                <w:rFonts w:ascii="Verdana" w:hAnsi="Verdana"/>
                <w:sz w:val="16"/>
                <w:szCs w:val="16"/>
              </w:rPr>
              <w:t>)</w:t>
            </w:r>
          </w:p>
        </w:tc>
        <w:tc>
          <w:tcPr>
            <w:tcW w:w="1274" w:type="dxa"/>
          </w:tcPr>
          <w:p w:rsidRPr="002C5EC5" w:rsidR="00334D7E" w:rsidP="00334D7E" w:rsidRDefault="00334D7E" w14:paraId="48D3B4E7"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7CCFE6C5" w14:textId="77777777">
            <w:pPr>
              <w:rPr>
                <w:rFonts w:ascii="Verdana" w:hAnsi="Verdana"/>
                <w:sz w:val="16"/>
                <w:szCs w:val="16"/>
              </w:rPr>
            </w:pPr>
          </w:p>
        </w:tc>
      </w:tr>
      <w:tr w:rsidR="00334D7E" w:rsidTr="00CA30A2" w14:paraId="67CC899D" w14:textId="77777777">
        <w:tc>
          <w:tcPr>
            <w:tcW w:w="1552" w:type="dxa"/>
          </w:tcPr>
          <w:p w:rsidRPr="00DD0008" w:rsidR="00334D7E" w:rsidP="00334D7E" w:rsidRDefault="00334D7E" w14:paraId="5C732032" w14:textId="55A4DD7F">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47A70411" w14:textId="77777777">
            <w:pPr>
              <w:rPr>
                <w:rFonts w:ascii="Verdana" w:hAnsi="Verdana"/>
                <w:sz w:val="16"/>
                <w:szCs w:val="16"/>
              </w:rPr>
            </w:pPr>
            <w:r w:rsidRPr="002C5EC5">
              <w:rPr>
                <w:rFonts w:ascii="Verdana" w:hAnsi="Verdana"/>
                <w:sz w:val="16"/>
                <w:szCs w:val="16"/>
              </w:rPr>
              <w:t>48 octies, eerste lid</w:t>
            </w:r>
          </w:p>
        </w:tc>
        <w:tc>
          <w:tcPr>
            <w:tcW w:w="1625" w:type="dxa"/>
          </w:tcPr>
          <w:p w:rsidR="00334D7E" w:rsidP="00334D7E" w:rsidRDefault="00334D7E" w14:paraId="6D53DB36" w14:textId="77777777">
            <w:pPr>
              <w:spacing w:line="240" w:lineRule="atLeast"/>
              <w:rPr>
                <w:rFonts w:ascii="Verdana" w:hAnsi="Verdana"/>
                <w:sz w:val="16"/>
                <w:szCs w:val="16"/>
              </w:rPr>
            </w:pPr>
            <w:r>
              <w:rPr>
                <w:rFonts w:ascii="Verdana" w:hAnsi="Verdana"/>
                <w:sz w:val="16"/>
                <w:szCs w:val="16"/>
              </w:rPr>
              <w:t>Artikel I, onderdelen CC en FF (3</w:t>
            </w:r>
            <w:r w:rsidRPr="002C5EC5">
              <w:rPr>
                <w:rFonts w:ascii="Verdana" w:hAnsi="Verdana"/>
                <w:sz w:val="16"/>
                <w:szCs w:val="16"/>
              </w:rPr>
              <w:t>:11, 3:21, eerste lid, Wft</w:t>
            </w:r>
            <w:r>
              <w:rPr>
                <w:rFonts w:ascii="Verdana" w:hAnsi="Verdana"/>
                <w:sz w:val="16"/>
                <w:szCs w:val="16"/>
              </w:rPr>
              <w:t>)</w:t>
            </w:r>
          </w:p>
          <w:p w:rsidR="00334D7E" w:rsidP="00334D7E" w:rsidRDefault="00334D7E" w14:paraId="450D9B0E" w14:textId="77777777">
            <w:pPr>
              <w:spacing w:line="240" w:lineRule="atLeast"/>
              <w:rPr>
                <w:rFonts w:ascii="Verdana" w:hAnsi="Verdana"/>
                <w:sz w:val="16"/>
                <w:szCs w:val="16"/>
              </w:rPr>
            </w:pPr>
          </w:p>
          <w:p w:rsidR="00334D7E" w:rsidP="00334D7E" w:rsidRDefault="00334D7E" w14:paraId="36024C6A" w14:textId="77777777">
            <w:pPr>
              <w:spacing w:line="240" w:lineRule="atLeast"/>
              <w:rPr>
                <w:rFonts w:ascii="Verdana" w:hAnsi="Verdana"/>
                <w:sz w:val="16"/>
                <w:szCs w:val="16"/>
              </w:rPr>
            </w:pPr>
            <w:r>
              <w:rPr>
                <w:rFonts w:ascii="Verdana" w:hAnsi="Verdana"/>
                <w:sz w:val="16"/>
                <w:szCs w:val="16"/>
              </w:rPr>
              <w:t>Volgt bij implementatiebesluit (</w:t>
            </w:r>
            <w:r w:rsidRPr="002C5EC5">
              <w:rPr>
                <w:rFonts w:ascii="Verdana" w:hAnsi="Verdana"/>
                <w:sz w:val="16"/>
                <w:szCs w:val="16"/>
              </w:rPr>
              <w:t>5, eerste lid, Bpr</w:t>
            </w:r>
            <w:r>
              <w:rPr>
                <w:rFonts w:ascii="Verdana" w:hAnsi="Verdana"/>
                <w:sz w:val="16"/>
                <w:szCs w:val="16"/>
              </w:rPr>
              <w:t>)</w:t>
            </w:r>
          </w:p>
        </w:tc>
        <w:tc>
          <w:tcPr>
            <w:tcW w:w="1274" w:type="dxa"/>
          </w:tcPr>
          <w:p w:rsidRPr="002C5EC5" w:rsidR="00334D7E" w:rsidP="00334D7E" w:rsidRDefault="00334D7E" w14:paraId="113A60AB"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079B31A7" w14:textId="77777777">
            <w:pPr>
              <w:rPr>
                <w:rFonts w:ascii="Verdana" w:hAnsi="Verdana"/>
                <w:sz w:val="16"/>
                <w:szCs w:val="16"/>
              </w:rPr>
            </w:pPr>
          </w:p>
        </w:tc>
      </w:tr>
      <w:tr w:rsidR="00334D7E" w:rsidTr="00CA30A2" w14:paraId="0C801009" w14:textId="77777777">
        <w:tc>
          <w:tcPr>
            <w:tcW w:w="1552" w:type="dxa"/>
          </w:tcPr>
          <w:p w:rsidRPr="00DD0008" w:rsidR="00334D7E" w:rsidP="00334D7E" w:rsidRDefault="00334D7E" w14:paraId="2CC843D9" w14:textId="0AFDFC87">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19DFA052" w14:textId="77777777">
            <w:pPr>
              <w:rPr>
                <w:rFonts w:ascii="Verdana" w:hAnsi="Verdana"/>
                <w:sz w:val="16"/>
                <w:szCs w:val="16"/>
              </w:rPr>
            </w:pPr>
            <w:r w:rsidRPr="002C5EC5">
              <w:rPr>
                <w:rFonts w:ascii="Verdana" w:hAnsi="Verdana"/>
                <w:sz w:val="16"/>
                <w:szCs w:val="16"/>
              </w:rPr>
              <w:t>48 octies, tweede lid, eerste zin</w:t>
            </w:r>
          </w:p>
        </w:tc>
        <w:tc>
          <w:tcPr>
            <w:tcW w:w="1625" w:type="dxa"/>
          </w:tcPr>
          <w:p w:rsidR="00334D7E" w:rsidP="00334D7E" w:rsidRDefault="00334D7E" w14:paraId="33161E04" w14:textId="77777777">
            <w:pPr>
              <w:spacing w:line="240" w:lineRule="atLeast"/>
              <w:rPr>
                <w:rFonts w:ascii="Verdana" w:hAnsi="Verdana"/>
                <w:sz w:val="16"/>
                <w:szCs w:val="16"/>
              </w:rPr>
            </w:pPr>
            <w:r>
              <w:rPr>
                <w:rFonts w:ascii="Verdana" w:hAnsi="Verdana"/>
                <w:sz w:val="16"/>
                <w:szCs w:val="16"/>
              </w:rPr>
              <w:t>Artikel I, onderdeel HH (</w:t>
            </w:r>
            <w:r w:rsidRPr="002C5EC5">
              <w:rPr>
                <w:rFonts w:ascii="Verdana" w:hAnsi="Verdana"/>
                <w:sz w:val="16"/>
                <w:szCs w:val="16"/>
              </w:rPr>
              <w:t>3:23a, eerste lid, Wft</w:t>
            </w:r>
            <w:r>
              <w:rPr>
                <w:rFonts w:ascii="Verdana" w:hAnsi="Verdana"/>
                <w:sz w:val="16"/>
                <w:szCs w:val="16"/>
              </w:rPr>
              <w:t>)</w:t>
            </w:r>
          </w:p>
        </w:tc>
        <w:tc>
          <w:tcPr>
            <w:tcW w:w="1274" w:type="dxa"/>
          </w:tcPr>
          <w:p w:rsidRPr="002C5EC5" w:rsidR="00334D7E" w:rsidP="00334D7E" w:rsidRDefault="00334D7E" w14:paraId="728A4A14"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3E48DE2C" w14:textId="77777777">
            <w:pPr>
              <w:rPr>
                <w:rFonts w:ascii="Verdana" w:hAnsi="Verdana"/>
                <w:sz w:val="16"/>
                <w:szCs w:val="16"/>
              </w:rPr>
            </w:pPr>
          </w:p>
        </w:tc>
      </w:tr>
      <w:tr w:rsidR="00334D7E" w:rsidTr="00CA30A2" w14:paraId="7BE1BBC9" w14:textId="77777777">
        <w:tc>
          <w:tcPr>
            <w:tcW w:w="1552" w:type="dxa"/>
          </w:tcPr>
          <w:p w:rsidRPr="00DD0008" w:rsidR="00334D7E" w:rsidP="00334D7E" w:rsidRDefault="00334D7E" w14:paraId="27F3D8C7" w14:textId="041B3863">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50D003EA" w14:textId="77777777">
            <w:pPr>
              <w:rPr>
                <w:rFonts w:ascii="Verdana" w:hAnsi="Verdana"/>
                <w:sz w:val="16"/>
                <w:szCs w:val="16"/>
              </w:rPr>
            </w:pPr>
            <w:r w:rsidRPr="002C5EC5">
              <w:rPr>
                <w:rFonts w:ascii="Verdana" w:hAnsi="Verdana"/>
                <w:sz w:val="16"/>
                <w:szCs w:val="16"/>
              </w:rPr>
              <w:t>48 octies, tweede lid, tweede zin</w:t>
            </w:r>
          </w:p>
        </w:tc>
        <w:tc>
          <w:tcPr>
            <w:tcW w:w="1625" w:type="dxa"/>
          </w:tcPr>
          <w:p w:rsidR="00334D7E" w:rsidP="00334D7E" w:rsidRDefault="00334D7E" w14:paraId="5732F5A2" w14:textId="77777777">
            <w:pPr>
              <w:spacing w:line="240" w:lineRule="atLeast"/>
              <w:rPr>
                <w:rFonts w:ascii="Verdana" w:hAnsi="Verdana"/>
                <w:sz w:val="16"/>
                <w:szCs w:val="16"/>
              </w:rPr>
            </w:pPr>
            <w:r>
              <w:rPr>
                <w:rFonts w:ascii="Verdana" w:hAnsi="Verdana"/>
                <w:sz w:val="16"/>
                <w:szCs w:val="16"/>
              </w:rPr>
              <w:t>Artikel I, onderdeel HH (</w:t>
            </w:r>
            <w:r w:rsidRPr="002C5EC5">
              <w:rPr>
                <w:rFonts w:ascii="Verdana" w:hAnsi="Verdana"/>
                <w:sz w:val="16"/>
                <w:szCs w:val="16"/>
              </w:rPr>
              <w:t>3:23a, derde lid, Wft</w:t>
            </w:r>
            <w:r>
              <w:rPr>
                <w:rFonts w:ascii="Verdana" w:hAnsi="Verdana"/>
                <w:sz w:val="16"/>
                <w:szCs w:val="16"/>
              </w:rPr>
              <w:t>)</w:t>
            </w:r>
          </w:p>
        </w:tc>
        <w:tc>
          <w:tcPr>
            <w:tcW w:w="1274" w:type="dxa"/>
          </w:tcPr>
          <w:p w:rsidRPr="002C5EC5" w:rsidR="00334D7E" w:rsidP="00334D7E" w:rsidRDefault="00334D7E" w14:paraId="59062895"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5C4FC913" w14:textId="77777777">
            <w:pPr>
              <w:rPr>
                <w:rFonts w:ascii="Verdana" w:hAnsi="Verdana"/>
                <w:sz w:val="16"/>
                <w:szCs w:val="16"/>
              </w:rPr>
            </w:pPr>
          </w:p>
        </w:tc>
      </w:tr>
      <w:tr w:rsidR="00334D7E" w:rsidTr="00CA30A2" w14:paraId="7E3EE223" w14:textId="77777777">
        <w:tc>
          <w:tcPr>
            <w:tcW w:w="1552" w:type="dxa"/>
          </w:tcPr>
          <w:p w:rsidRPr="00DD0008" w:rsidR="00334D7E" w:rsidP="00334D7E" w:rsidRDefault="00334D7E" w14:paraId="1DEDFEB7" w14:textId="228D9059">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4E516D26" w14:textId="77777777">
            <w:pPr>
              <w:rPr>
                <w:rFonts w:ascii="Verdana" w:hAnsi="Verdana"/>
                <w:sz w:val="16"/>
                <w:szCs w:val="16"/>
              </w:rPr>
            </w:pPr>
            <w:r w:rsidRPr="002C5EC5">
              <w:rPr>
                <w:rFonts w:ascii="Verdana" w:hAnsi="Verdana"/>
                <w:sz w:val="16"/>
                <w:szCs w:val="16"/>
              </w:rPr>
              <w:t>48 octies, derde lid, eerste alinea</w:t>
            </w:r>
          </w:p>
        </w:tc>
        <w:tc>
          <w:tcPr>
            <w:tcW w:w="1625" w:type="dxa"/>
          </w:tcPr>
          <w:p w:rsidR="00334D7E" w:rsidP="00334D7E" w:rsidRDefault="00334D7E" w14:paraId="24D52D43" w14:textId="77777777">
            <w:pPr>
              <w:spacing w:line="240" w:lineRule="atLeast"/>
              <w:rPr>
                <w:rFonts w:ascii="Verdana" w:hAnsi="Verdana"/>
                <w:sz w:val="16"/>
                <w:szCs w:val="16"/>
              </w:rPr>
            </w:pPr>
            <w:r>
              <w:rPr>
                <w:rFonts w:ascii="Verdana" w:hAnsi="Verdana"/>
                <w:sz w:val="16"/>
                <w:szCs w:val="16"/>
              </w:rPr>
              <w:t>Artikel I, onderdeel HH (</w:t>
            </w:r>
            <w:r w:rsidRPr="002C5EC5">
              <w:rPr>
                <w:rFonts w:ascii="Verdana" w:hAnsi="Verdana"/>
                <w:sz w:val="16"/>
                <w:szCs w:val="16"/>
              </w:rPr>
              <w:t>3:23a, eerste lid, Wft</w:t>
            </w:r>
            <w:r>
              <w:rPr>
                <w:rFonts w:ascii="Verdana" w:hAnsi="Verdana"/>
                <w:sz w:val="16"/>
                <w:szCs w:val="16"/>
              </w:rPr>
              <w:t>)</w:t>
            </w:r>
          </w:p>
        </w:tc>
        <w:tc>
          <w:tcPr>
            <w:tcW w:w="1274" w:type="dxa"/>
          </w:tcPr>
          <w:p w:rsidRPr="002C5EC5" w:rsidR="00334D7E" w:rsidP="00334D7E" w:rsidRDefault="00334D7E" w14:paraId="213630BE"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36F8B4DA" w14:textId="77777777">
            <w:pPr>
              <w:rPr>
                <w:rFonts w:ascii="Verdana" w:hAnsi="Verdana"/>
                <w:sz w:val="16"/>
                <w:szCs w:val="16"/>
              </w:rPr>
            </w:pPr>
          </w:p>
        </w:tc>
      </w:tr>
      <w:tr w:rsidR="00334D7E" w:rsidTr="00CA30A2" w14:paraId="2CC8BAA7" w14:textId="77777777">
        <w:tc>
          <w:tcPr>
            <w:tcW w:w="1552" w:type="dxa"/>
          </w:tcPr>
          <w:p w:rsidRPr="00DD0008" w:rsidR="00334D7E" w:rsidP="00334D7E" w:rsidRDefault="00334D7E" w14:paraId="4D765BD7" w14:textId="680DCD9B">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50AE1C26" w14:textId="77777777">
            <w:pPr>
              <w:rPr>
                <w:rFonts w:ascii="Verdana" w:hAnsi="Verdana"/>
                <w:sz w:val="16"/>
                <w:szCs w:val="16"/>
              </w:rPr>
            </w:pPr>
            <w:r w:rsidRPr="002C5EC5">
              <w:rPr>
                <w:rFonts w:ascii="Verdana" w:hAnsi="Verdana"/>
                <w:sz w:val="16"/>
                <w:szCs w:val="16"/>
              </w:rPr>
              <w:t>48 octies, derde lid, tweede alinea</w:t>
            </w:r>
          </w:p>
        </w:tc>
        <w:tc>
          <w:tcPr>
            <w:tcW w:w="1625" w:type="dxa"/>
          </w:tcPr>
          <w:p w:rsidR="00334D7E" w:rsidP="00334D7E" w:rsidRDefault="00334D7E" w14:paraId="427ABDDD" w14:textId="77777777">
            <w:pPr>
              <w:spacing w:line="240" w:lineRule="atLeast"/>
              <w:rPr>
                <w:rFonts w:ascii="Verdana" w:hAnsi="Verdana"/>
                <w:sz w:val="16"/>
                <w:szCs w:val="16"/>
              </w:rPr>
            </w:pPr>
            <w:r>
              <w:rPr>
                <w:rFonts w:ascii="Verdana" w:hAnsi="Verdana"/>
                <w:sz w:val="16"/>
                <w:szCs w:val="16"/>
              </w:rPr>
              <w:t>Artikel I, onderdeel HH (</w:t>
            </w:r>
            <w:r w:rsidRPr="002C5EC5">
              <w:rPr>
                <w:rFonts w:ascii="Verdana" w:hAnsi="Verdana"/>
                <w:sz w:val="16"/>
                <w:szCs w:val="16"/>
              </w:rPr>
              <w:t>3:23a, derde lid, Wft</w:t>
            </w:r>
            <w:r>
              <w:rPr>
                <w:rFonts w:ascii="Verdana" w:hAnsi="Verdana"/>
                <w:sz w:val="16"/>
                <w:szCs w:val="16"/>
              </w:rPr>
              <w:t>)</w:t>
            </w:r>
          </w:p>
        </w:tc>
        <w:tc>
          <w:tcPr>
            <w:tcW w:w="1274" w:type="dxa"/>
          </w:tcPr>
          <w:p w:rsidRPr="002C5EC5" w:rsidR="00334D7E" w:rsidP="00334D7E" w:rsidRDefault="00334D7E" w14:paraId="79D29BE0"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1FB2E35A" w14:textId="77777777">
            <w:pPr>
              <w:rPr>
                <w:rFonts w:ascii="Verdana" w:hAnsi="Verdana"/>
                <w:sz w:val="16"/>
                <w:szCs w:val="16"/>
              </w:rPr>
            </w:pPr>
          </w:p>
        </w:tc>
      </w:tr>
      <w:tr w:rsidR="00334D7E" w:rsidTr="00CA30A2" w14:paraId="7E2E43B3" w14:textId="77777777">
        <w:tc>
          <w:tcPr>
            <w:tcW w:w="1552" w:type="dxa"/>
          </w:tcPr>
          <w:p w:rsidRPr="00DD0008" w:rsidR="00334D7E" w:rsidP="00334D7E" w:rsidRDefault="00334D7E" w14:paraId="2BAD7308" w14:textId="2D3A0418">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3822D5FE" w14:textId="77777777">
            <w:pPr>
              <w:rPr>
                <w:rFonts w:ascii="Verdana" w:hAnsi="Verdana"/>
                <w:sz w:val="16"/>
                <w:szCs w:val="16"/>
              </w:rPr>
            </w:pPr>
            <w:r w:rsidRPr="002C5EC5">
              <w:rPr>
                <w:rFonts w:ascii="Verdana" w:hAnsi="Verdana"/>
                <w:sz w:val="16"/>
                <w:szCs w:val="16"/>
              </w:rPr>
              <w:t>48 octies, vierde lid</w:t>
            </w:r>
          </w:p>
        </w:tc>
        <w:tc>
          <w:tcPr>
            <w:tcW w:w="1625" w:type="dxa"/>
          </w:tcPr>
          <w:p w:rsidR="00334D7E" w:rsidP="00334D7E" w:rsidRDefault="00334D7E" w14:paraId="2B78542E" w14:textId="77777777">
            <w:pPr>
              <w:spacing w:line="240" w:lineRule="atLeast"/>
              <w:rPr>
                <w:rFonts w:ascii="Verdana" w:hAnsi="Verdana"/>
                <w:sz w:val="16"/>
                <w:szCs w:val="16"/>
              </w:rPr>
            </w:pPr>
            <w:r>
              <w:rPr>
                <w:rFonts w:ascii="Verdana" w:hAnsi="Verdana"/>
                <w:sz w:val="16"/>
                <w:szCs w:val="16"/>
              </w:rPr>
              <w:t>Artikel I, onderdeel HH (</w:t>
            </w:r>
            <w:r w:rsidRPr="002C5EC5">
              <w:rPr>
                <w:rFonts w:ascii="Verdana" w:hAnsi="Verdana"/>
                <w:sz w:val="16"/>
                <w:szCs w:val="16"/>
              </w:rPr>
              <w:t>3:23a, eerste lid, Wft</w:t>
            </w:r>
            <w:r>
              <w:rPr>
                <w:rFonts w:ascii="Verdana" w:hAnsi="Verdana"/>
                <w:sz w:val="16"/>
                <w:szCs w:val="16"/>
              </w:rPr>
              <w:t>)</w:t>
            </w:r>
          </w:p>
        </w:tc>
        <w:tc>
          <w:tcPr>
            <w:tcW w:w="1274" w:type="dxa"/>
          </w:tcPr>
          <w:p w:rsidRPr="002C5EC5" w:rsidR="00334D7E" w:rsidP="00334D7E" w:rsidRDefault="00334D7E" w14:paraId="4242398F"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01A6FC6B" w14:textId="77777777">
            <w:pPr>
              <w:rPr>
                <w:rFonts w:ascii="Verdana" w:hAnsi="Verdana"/>
                <w:sz w:val="16"/>
                <w:szCs w:val="16"/>
              </w:rPr>
            </w:pPr>
          </w:p>
        </w:tc>
      </w:tr>
      <w:tr w:rsidR="00334D7E" w:rsidTr="00CA30A2" w14:paraId="491B4E0E" w14:textId="77777777">
        <w:tc>
          <w:tcPr>
            <w:tcW w:w="1552" w:type="dxa"/>
          </w:tcPr>
          <w:p w:rsidRPr="00DD0008" w:rsidR="00334D7E" w:rsidP="00334D7E" w:rsidRDefault="00334D7E" w14:paraId="4FE81806" w14:textId="2FAF057E">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15EE7613" w14:textId="77777777">
            <w:pPr>
              <w:rPr>
                <w:rFonts w:ascii="Verdana" w:hAnsi="Verdana"/>
                <w:sz w:val="16"/>
                <w:szCs w:val="16"/>
              </w:rPr>
            </w:pPr>
            <w:r w:rsidRPr="002C5EC5">
              <w:rPr>
                <w:rFonts w:ascii="Verdana" w:hAnsi="Verdana"/>
                <w:sz w:val="16"/>
                <w:szCs w:val="16"/>
              </w:rPr>
              <w:t>48 octies, vijfde lid</w:t>
            </w:r>
          </w:p>
        </w:tc>
        <w:tc>
          <w:tcPr>
            <w:tcW w:w="1625" w:type="dxa"/>
          </w:tcPr>
          <w:p w:rsidR="00334D7E" w:rsidP="00334D7E" w:rsidRDefault="00334D7E" w14:paraId="78346CD9" w14:textId="77777777">
            <w:pPr>
              <w:spacing w:line="240" w:lineRule="atLeast"/>
              <w:rPr>
                <w:rFonts w:ascii="Verdana" w:hAnsi="Verdana"/>
                <w:sz w:val="16"/>
                <w:szCs w:val="16"/>
              </w:rPr>
            </w:pPr>
            <w:r>
              <w:rPr>
                <w:rFonts w:ascii="Verdana" w:hAnsi="Verdana"/>
                <w:sz w:val="16"/>
                <w:szCs w:val="16"/>
              </w:rPr>
              <w:t>Artikel I, onderdeel HH (</w:t>
            </w:r>
            <w:r w:rsidRPr="002C5EC5">
              <w:rPr>
                <w:rFonts w:ascii="Verdana" w:hAnsi="Verdana"/>
                <w:sz w:val="16"/>
                <w:szCs w:val="16"/>
              </w:rPr>
              <w:t>3:23a, eerste lid, Wft</w:t>
            </w:r>
            <w:r>
              <w:rPr>
                <w:rFonts w:ascii="Verdana" w:hAnsi="Verdana"/>
                <w:sz w:val="16"/>
                <w:szCs w:val="16"/>
              </w:rPr>
              <w:t>)</w:t>
            </w:r>
          </w:p>
        </w:tc>
        <w:tc>
          <w:tcPr>
            <w:tcW w:w="1274" w:type="dxa"/>
          </w:tcPr>
          <w:p w:rsidRPr="002C5EC5" w:rsidR="00334D7E" w:rsidP="00334D7E" w:rsidRDefault="00334D7E" w14:paraId="0E40B8A5"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63F85680" w14:textId="77777777">
            <w:pPr>
              <w:rPr>
                <w:rFonts w:ascii="Verdana" w:hAnsi="Verdana"/>
                <w:sz w:val="16"/>
                <w:szCs w:val="16"/>
              </w:rPr>
            </w:pPr>
          </w:p>
        </w:tc>
      </w:tr>
      <w:tr w:rsidR="00334D7E" w:rsidTr="00CA30A2" w14:paraId="401805E3" w14:textId="77777777">
        <w:tc>
          <w:tcPr>
            <w:tcW w:w="1552" w:type="dxa"/>
          </w:tcPr>
          <w:p w:rsidRPr="00DD0008" w:rsidR="00334D7E" w:rsidP="00334D7E" w:rsidRDefault="00334D7E" w14:paraId="378E5BF5" w14:textId="0A0E1CCD">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6B6A9CEB" w14:textId="77777777">
            <w:pPr>
              <w:rPr>
                <w:rFonts w:ascii="Verdana" w:hAnsi="Verdana"/>
                <w:sz w:val="16"/>
                <w:szCs w:val="16"/>
              </w:rPr>
            </w:pPr>
            <w:r w:rsidRPr="002C5EC5">
              <w:rPr>
                <w:rFonts w:ascii="Verdana" w:hAnsi="Verdana"/>
                <w:sz w:val="16"/>
                <w:szCs w:val="16"/>
              </w:rPr>
              <w:t>48 octies, zesde lid</w:t>
            </w:r>
          </w:p>
        </w:tc>
        <w:tc>
          <w:tcPr>
            <w:tcW w:w="1625" w:type="dxa"/>
          </w:tcPr>
          <w:p w:rsidR="00334D7E" w:rsidP="00334D7E" w:rsidRDefault="00334D7E" w14:paraId="7412D82E" w14:textId="77777777">
            <w:pPr>
              <w:spacing w:line="240" w:lineRule="atLeast"/>
              <w:rPr>
                <w:rFonts w:ascii="Verdana" w:hAnsi="Verdana"/>
                <w:sz w:val="16"/>
                <w:szCs w:val="16"/>
              </w:rPr>
            </w:pPr>
            <w:r>
              <w:rPr>
                <w:rFonts w:ascii="Verdana" w:hAnsi="Verdana"/>
                <w:sz w:val="16"/>
                <w:szCs w:val="16"/>
              </w:rPr>
              <w:t>Artikel I, onderdeel HH (</w:t>
            </w:r>
            <w:r w:rsidRPr="002C5EC5">
              <w:rPr>
                <w:rFonts w:ascii="Verdana" w:hAnsi="Verdana"/>
                <w:sz w:val="16"/>
                <w:szCs w:val="16"/>
              </w:rPr>
              <w:t>3:23a, eerste lid, Wft</w:t>
            </w:r>
            <w:r>
              <w:rPr>
                <w:rFonts w:ascii="Verdana" w:hAnsi="Verdana"/>
                <w:sz w:val="16"/>
                <w:szCs w:val="16"/>
              </w:rPr>
              <w:t>)</w:t>
            </w:r>
          </w:p>
          <w:p w:rsidR="00334D7E" w:rsidP="00334D7E" w:rsidRDefault="00334D7E" w14:paraId="11FC63CF" w14:textId="77777777">
            <w:pPr>
              <w:spacing w:line="240" w:lineRule="atLeast"/>
              <w:rPr>
                <w:rFonts w:ascii="Verdana" w:hAnsi="Verdana"/>
                <w:sz w:val="16"/>
                <w:szCs w:val="16"/>
              </w:rPr>
            </w:pPr>
          </w:p>
          <w:p w:rsidR="00334D7E" w:rsidP="00334D7E" w:rsidRDefault="00334D7E" w14:paraId="1A8DC2DC" w14:textId="77777777">
            <w:pPr>
              <w:spacing w:line="240" w:lineRule="atLeast"/>
              <w:rPr>
                <w:rFonts w:ascii="Verdana" w:hAnsi="Verdana"/>
                <w:sz w:val="16"/>
                <w:szCs w:val="16"/>
              </w:rPr>
            </w:pPr>
            <w:r>
              <w:rPr>
                <w:rFonts w:ascii="Verdana" w:hAnsi="Verdana"/>
                <w:sz w:val="16"/>
                <w:szCs w:val="16"/>
              </w:rPr>
              <w:t>Volgt bij implementatiebesluit (</w:t>
            </w:r>
            <w:r w:rsidRPr="002C5EC5">
              <w:rPr>
                <w:rFonts w:ascii="Verdana" w:hAnsi="Verdana"/>
                <w:sz w:val="16"/>
                <w:szCs w:val="16"/>
              </w:rPr>
              <w:t>15, vierde lid, Bpr</w:t>
            </w:r>
            <w:r>
              <w:rPr>
                <w:rFonts w:ascii="Verdana" w:hAnsi="Verdana"/>
                <w:sz w:val="16"/>
                <w:szCs w:val="16"/>
              </w:rPr>
              <w:t>)</w:t>
            </w:r>
          </w:p>
        </w:tc>
        <w:tc>
          <w:tcPr>
            <w:tcW w:w="1274" w:type="dxa"/>
          </w:tcPr>
          <w:p w:rsidRPr="002C5EC5" w:rsidR="00334D7E" w:rsidP="00334D7E" w:rsidRDefault="00334D7E" w14:paraId="4B793069"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034318B8" w14:textId="77777777">
            <w:pPr>
              <w:rPr>
                <w:rFonts w:ascii="Verdana" w:hAnsi="Verdana"/>
                <w:sz w:val="16"/>
                <w:szCs w:val="16"/>
              </w:rPr>
            </w:pPr>
          </w:p>
        </w:tc>
      </w:tr>
      <w:tr w:rsidR="00334D7E" w:rsidTr="00CA30A2" w14:paraId="6AC5E456" w14:textId="77777777">
        <w:tc>
          <w:tcPr>
            <w:tcW w:w="1552" w:type="dxa"/>
          </w:tcPr>
          <w:p w:rsidRPr="00DD0008" w:rsidR="00334D7E" w:rsidP="00334D7E" w:rsidRDefault="00334D7E" w14:paraId="74A6B466" w14:textId="214283D0">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3A63A338" w14:textId="77777777">
            <w:pPr>
              <w:rPr>
                <w:rFonts w:ascii="Verdana" w:hAnsi="Verdana"/>
                <w:sz w:val="16"/>
                <w:szCs w:val="16"/>
              </w:rPr>
            </w:pPr>
            <w:r w:rsidRPr="002C5EC5">
              <w:rPr>
                <w:rFonts w:ascii="Verdana" w:hAnsi="Verdana"/>
                <w:sz w:val="16"/>
                <w:szCs w:val="16"/>
              </w:rPr>
              <w:t>48 octies, zevende lid</w:t>
            </w:r>
          </w:p>
        </w:tc>
        <w:tc>
          <w:tcPr>
            <w:tcW w:w="1625" w:type="dxa"/>
          </w:tcPr>
          <w:p w:rsidR="00334D7E" w:rsidP="00334D7E" w:rsidRDefault="00334D7E" w14:paraId="1B79600E" w14:textId="77777777">
            <w:pPr>
              <w:spacing w:line="240" w:lineRule="atLeast"/>
              <w:rPr>
                <w:rFonts w:ascii="Verdana" w:hAnsi="Verdana"/>
                <w:sz w:val="16"/>
                <w:szCs w:val="16"/>
              </w:rPr>
            </w:pPr>
            <w:r>
              <w:rPr>
                <w:rFonts w:ascii="Verdana" w:hAnsi="Verdana"/>
                <w:sz w:val="16"/>
                <w:szCs w:val="16"/>
              </w:rPr>
              <w:t>Artikel I, onderdeel HH (</w:t>
            </w:r>
            <w:r w:rsidRPr="002C5EC5">
              <w:rPr>
                <w:rFonts w:ascii="Verdana" w:hAnsi="Verdana"/>
                <w:sz w:val="16"/>
                <w:szCs w:val="16"/>
              </w:rPr>
              <w:t>3:23a, eerste lid, Wft</w:t>
            </w:r>
            <w:r>
              <w:rPr>
                <w:rFonts w:ascii="Verdana" w:hAnsi="Verdana"/>
                <w:sz w:val="16"/>
                <w:szCs w:val="16"/>
              </w:rPr>
              <w:t>)</w:t>
            </w:r>
            <w:r w:rsidRPr="002C5EC5">
              <w:rPr>
                <w:rFonts w:ascii="Verdana" w:hAnsi="Verdana"/>
                <w:sz w:val="16"/>
                <w:szCs w:val="16"/>
              </w:rPr>
              <w:t xml:space="preserve"> </w:t>
            </w:r>
          </w:p>
        </w:tc>
        <w:tc>
          <w:tcPr>
            <w:tcW w:w="1274" w:type="dxa"/>
          </w:tcPr>
          <w:p w:rsidRPr="002C5EC5" w:rsidR="00334D7E" w:rsidP="00334D7E" w:rsidRDefault="00334D7E" w14:paraId="1A66C238"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73359C9B" w14:textId="77777777">
            <w:pPr>
              <w:rPr>
                <w:rFonts w:ascii="Verdana" w:hAnsi="Verdana"/>
                <w:sz w:val="16"/>
                <w:szCs w:val="16"/>
              </w:rPr>
            </w:pPr>
          </w:p>
        </w:tc>
      </w:tr>
      <w:tr w:rsidR="00334D7E" w:rsidTr="00CA30A2" w14:paraId="309393BE" w14:textId="77777777">
        <w:tc>
          <w:tcPr>
            <w:tcW w:w="1552" w:type="dxa"/>
          </w:tcPr>
          <w:p w:rsidRPr="00DD0008" w:rsidR="00334D7E" w:rsidP="00334D7E" w:rsidRDefault="00334D7E" w14:paraId="44D5A529" w14:textId="728C695A">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532E01B7" w14:textId="77777777">
            <w:pPr>
              <w:rPr>
                <w:rFonts w:ascii="Verdana" w:hAnsi="Verdana"/>
                <w:sz w:val="16"/>
                <w:szCs w:val="16"/>
              </w:rPr>
            </w:pPr>
            <w:r w:rsidRPr="002C5EC5">
              <w:rPr>
                <w:rFonts w:ascii="Verdana" w:hAnsi="Verdana"/>
                <w:sz w:val="16"/>
                <w:szCs w:val="16"/>
              </w:rPr>
              <w:t>48 octies, achtste lid</w:t>
            </w:r>
          </w:p>
        </w:tc>
        <w:tc>
          <w:tcPr>
            <w:tcW w:w="1625" w:type="dxa"/>
          </w:tcPr>
          <w:p w:rsidR="00334D7E" w:rsidP="00334D7E" w:rsidRDefault="00334D7E" w14:paraId="2704B1EF" w14:textId="77777777">
            <w:pPr>
              <w:spacing w:line="240" w:lineRule="atLeast"/>
              <w:rPr>
                <w:rFonts w:ascii="Verdana" w:hAnsi="Verdana"/>
                <w:sz w:val="16"/>
                <w:szCs w:val="16"/>
              </w:rPr>
            </w:pPr>
            <w:r>
              <w:rPr>
                <w:rFonts w:ascii="Verdana" w:hAnsi="Verdana"/>
                <w:sz w:val="16"/>
                <w:szCs w:val="16"/>
              </w:rPr>
              <w:t>Artikel I, onderdeel HH (</w:t>
            </w:r>
            <w:r w:rsidRPr="002C5EC5">
              <w:rPr>
                <w:rFonts w:ascii="Verdana" w:hAnsi="Verdana"/>
                <w:sz w:val="16"/>
                <w:szCs w:val="16"/>
              </w:rPr>
              <w:t>3:23a,</w:t>
            </w:r>
            <w:r>
              <w:rPr>
                <w:rFonts w:ascii="Verdana" w:hAnsi="Verdana"/>
                <w:sz w:val="16"/>
                <w:szCs w:val="16"/>
              </w:rPr>
              <w:t xml:space="preserve"> tweede en vierde</w:t>
            </w:r>
            <w:r w:rsidRPr="002C5EC5">
              <w:rPr>
                <w:rFonts w:ascii="Verdana" w:hAnsi="Verdana"/>
                <w:sz w:val="16"/>
                <w:szCs w:val="16"/>
              </w:rPr>
              <w:t xml:space="preserve"> lid, Wft</w:t>
            </w:r>
            <w:r>
              <w:rPr>
                <w:rFonts w:ascii="Verdana" w:hAnsi="Verdana"/>
                <w:sz w:val="16"/>
                <w:szCs w:val="16"/>
              </w:rPr>
              <w:t>)</w:t>
            </w:r>
          </w:p>
        </w:tc>
        <w:tc>
          <w:tcPr>
            <w:tcW w:w="1274" w:type="dxa"/>
          </w:tcPr>
          <w:p w:rsidRPr="002C5EC5" w:rsidR="00334D7E" w:rsidP="00334D7E" w:rsidRDefault="00334D7E" w14:paraId="7A2AD93D"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58DCFAEF" w14:textId="77777777">
            <w:pPr>
              <w:rPr>
                <w:rFonts w:ascii="Verdana" w:hAnsi="Verdana"/>
                <w:sz w:val="16"/>
                <w:szCs w:val="16"/>
              </w:rPr>
            </w:pPr>
          </w:p>
        </w:tc>
      </w:tr>
      <w:tr w:rsidR="00334D7E" w:rsidTr="00CA30A2" w14:paraId="10CD8493" w14:textId="77777777">
        <w:tc>
          <w:tcPr>
            <w:tcW w:w="1552" w:type="dxa"/>
          </w:tcPr>
          <w:p w:rsidRPr="00DD0008" w:rsidR="00334D7E" w:rsidP="00334D7E" w:rsidRDefault="00334D7E" w14:paraId="2897AF99" w14:textId="533EC332">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5E3856AC" w14:textId="77777777">
            <w:pPr>
              <w:rPr>
                <w:rFonts w:ascii="Verdana" w:hAnsi="Verdana"/>
                <w:sz w:val="16"/>
                <w:szCs w:val="16"/>
              </w:rPr>
            </w:pPr>
            <w:r w:rsidRPr="002C5EC5">
              <w:rPr>
                <w:rFonts w:ascii="Verdana" w:hAnsi="Verdana"/>
                <w:sz w:val="16"/>
                <w:szCs w:val="16"/>
              </w:rPr>
              <w:t>48 octies, negende lid</w:t>
            </w:r>
          </w:p>
        </w:tc>
        <w:tc>
          <w:tcPr>
            <w:tcW w:w="1625" w:type="dxa"/>
          </w:tcPr>
          <w:p w:rsidR="00334D7E" w:rsidP="00334D7E" w:rsidRDefault="00334D7E" w14:paraId="3261F960" w14:textId="77777777">
            <w:pPr>
              <w:spacing w:line="240" w:lineRule="atLeast"/>
              <w:rPr>
                <w:rFonts w:ascii="Verdana" w:hAnsi="Verdana"/>
                <w:sz w:val="16"/>
                <w:szCs w:val="16"/>
              </w:rPr>
            </w:pPr>
            <w:r w:rsidRPr="002C5EC5">
              <w:rPr>
                <w:rFonts w:ascii="Verdana" w:hAnsi="Verdana"/>
                <w:sz w:val="16"/>
                <w:szCs w:val="16"/>
              </w:rPr>
              <w:t>Behoeft naar zijn aard geen implementatie</w:t>
            </w:r>
            <w:r>
              <w:rPr>
                <w:rFonts w:ascii="Verdana" w:hAnsi="Verdana"/>
                <w:sz w:val="16"/>
                <w:szCs w:val="16"/>
              </w:rPr>
              <w:t>:</w:t>
            </w:r>
            <w:r w:rsidRPr="002C5EC5">
              <w:rPr>
                <w:rFonts w:ascii="Verdana" w:hAnsi="Verdana"/>
                <w:sz w:val="16"/>
                <w:szCs w:val="16"/>
              </w:rPr>
              <w:t xml:space="preserve"> Bepaling gericht tot EBA</w:t>
            </w:r>
          </w:p>
        </w:tc>
        <w:tc>
          <w:tcPr>
            <w:tcW w:w="1274" w:type="dxa"/>
          </w:tcPr>
          <w:p w:rsidRPr="002C5EC5" w:rsidR="00334D7E" w:rsidP="00334D7E" w:rsidRDefault="00334D7E" w14:paraId="73A89922"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2607B593" w14:textId="77777777">
            <w:pPr>
              <w:rPr>
                <w:rFonts w:ascii="Verdana" w:hAnsi="Verdana"/>
                <w:sz w:val="16"/>
                <w:szCs w:val="16"/>
              </w:rPr>
            </w:pPr>
          </w:p>
        </w:tc>
      </w:tr>
      <w:tr w:rsidR="00334D7E" w:rsidTr="00CA30A2" w14:paraId="31D70323" w14:textId="77777777">
        <w:tc>
          <w:tcPr>
            <w:tcW w:w="1552" w:type="dxa"/>
          </w:tcPr>
          <w:p w:rsidRPr="00DD0008" w:rsidR="00334D7E" w:rsidP="00334D7E" w:rsidRDefault="00334D7E" w14:paraId="3763A969" w14:textId="292603DA">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0566E8DB" w14:textId="77777777">
            <w:pPr>
              <w:rPr>
                <w:rFonts w:ascii="Verdana" w:hAnsi="Verdana"/>
                <w:sz w:val="16"/>
                <w:szCs w:val="16"/>
              </w:rPr>
            </w:pPr>
            <w:r w:rsidRPr="002C5EC5">
              <w:rPr>
                <w:rFonts w:ascii="Verdana" w:hAnsi="Verdana"/>
                <w:sz w:val="16"/>
                <w:szCs w:val="16"/>
              </w:rPr>
              <w:t>48 nonies, eerste lid</w:t>
            </w:r>
          </w:p>
        </w:tc>
        <w:tc>
          <w:tcPr>
            <w:tcW w:w="1625" w:type="dxa"/>
          </w:tcPr>
          <w:p w:rsidRPr="002C5EC5" w:rsidR="00334D7E" w:rsidP="00334D7E" w:rsidRDefault="00334D7E" w14:paraId="57FFC684" w14:textId="77777777">
            <w:pPr>
              <w:spacing w:line="240" w:lineRule="atLeast"/>
              <w:rPr>
                <w:rFonts w:ascii="Verdana" w:hAnsi="Verdana"/>
                <w:sz w:val="16"/>
                <w:szCs w:val="16"/>
              </w:rPr>
            </w:pPr>
            <w:r>
              <w:rPr>
                <w:rFonts w:ascii="Verdana" w:hAnsi="Verdana"/>
                <w:sz w:val="16"/>
                <w:szCs w:val="16"/>
              </w:rPr>
              <w:t>Artikel I, onderdeel XX (</w:t>
            </w:r>
            <w:r w:rsidRPr="002C5EC5">
              <w:rPr>
                <w:rFonts w:ascii="Verdana" w:hAnsi="Verdana"/>
                <w:sz w:val="16"/>
                <w:szCs w:val="16"/>
              </w:rPr>
              <w:t>3:80a, eerste lid, Wft</w:t>
            </w:r>
            <w:r>
              <w:rPr>
                <w:rFonts w:ascii="Verdana" w:hAnsi="Verdana"/>
                <w:sz w:val="16"/>
                <w:szCs w:val="16"/>
              </w:rPr>
              <w:t>)</w:t>
            </w:r>
          </w:p>
        </w:tc>
        <w:tc>
          <w:tcPr>
            <w:tcW w:w="1274" w:type="dxa"/>
          </w:tcPr>
          <w:p w:rsidRPr="002C5EC5" w:rsidR="00334D7E" w:rsidP="00334D7E" w:rsidRDefault="00334D7E" w14:paraId="0A6F8F32"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74D53173" w14:textId="77777777">
            <w:pPr>
              <w:rPr>
                <w:rFonts w:ascii="Verdana" w:hAnsi="Verdana"/>
                <w:sz w:val="16"/>
                <w:szCs w:val="16"/>
              </w:rPr>
            </w:pPr>
          </w:p>
        </w:tc>
      </w:tr>
      <w:tr w:rsidR="00334D7E" w:rsidTr="00CA30A2" w14:paraId="37998FB1" w14:textId="77777777">
        <w:tc>
          <w:tcPr>
            <w:tcW w:w="1552" w:type="dxa"/>
          </w:tcPr>
          <w:p w:rsidRPr="00DD0008" w:rsidR="00334D7E" w:rsidP="00334D7E" w:rsidRDefault="00334D7E" w14:paraId="20A02105" w14:textId="552BDC0F">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3A1F8559" w14:textId="77777777">
            <w:pPr>
              <w:rPr>
                <w:rFonts w:ascii="Verdana" w:hAnsi="Verdana"/>
                <w:sz w:val="16"/>
                <w:szCs w:val="16"/>
              </w:rPr>
            </w:pPr>
            <w:r w:rsidRPr="002C5EC5">
              <w:rPr>
                <w:rFonts w:ascii="Verdana" w:hAnsi="Verdana"/>
                <w:sz w:val="16"/>
                <w:szCs w:val="16"/>
              </w:rPr>
              <w:t>48 nonies, tweede lid</w:t>
            </w:r>
          </w:p>
        </w:tc>
        <w:tc>
          <w:tcPr>
            <w:tcW w:w="1625" w:type="dxa"/>
          </w:tcPr>
          <w:p w:rsidR="00334D7E" w:rsidP="00334D7E" w:rsidRDefault="00334D7E" w14:paraId="664B7A93" w14:textId="77777777">
            <w:pPr>
              <w:spacing w:line="240" w:lineRule="atLeast"/>
              <w:rPr>
                <w:rFonts w:ascii="Verdana" w:hAnsi="Verdana"/>
                <w:sz w:val="16"/>
                <w:szCs w:val="16"/>
              </w:rPr>
            </w:pPr>
            <w:r>
              <w:rPr>
                <w:rFonts w:ascii="Verdana" w:hAnsi="Verdana"/>
                <w:sz w:val="16"/>
                <w:szCs w:val="16"/>
              </w:rPr>
              <w:t>Artikel I, onderdeel XX (</w:t>
            </w:r>
            <w:r w:rsidRPr="002C5EC5">
              <w:rPr>
                <w:rFonts w:ascii="Verdana" w:hAnsi="Verdana"/>
                <w:sz w:val="16"/>
                <w:szCs w:val="16"/>
              </w:rPr>
              <w:t>3:80a, eerste lid, Wft</w:t>
            </w:r>
            <w:r>
              <w:rPr>
                <w:rFonts w:ascii="Verdana" w:hAnsi="Verdana"/>
                <w:sz w:val="16"/>
                <w:szCs w:val="16"/>
              </w:rPr>
              <w:t>)</w:t>
            </w:r>
          </w:p>
        </w:tc>
        <w:tc>
          <w:tcPr>
            <w:tcW w:w="1274" w:type="dxa"/>
          </w:tcPr>
          <w:p w:rsidRPr="002C5EC5" w:rsidR="00334D7E" w:rsidP="00334D7E" w:rsidRDefault="00334D7E" w14:paraId="78AA5209"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391A0E0B" w14:textId="77777777">
            <w:pPr>
              <w:rPr>
                <w:rFonts w:ascii="Verdana" w:hAnsi="Verdana"/>
                <w:sz w:val="16"/>
                <w:szCs w:val="16"/>
              </w:rPr>
            </w:pPr>
          </w:p>
        </w:tc>
      </w:tr>
      <w:tr w:rsidR="00334D7E" w:rsidTr="00CA30A2" w14:paraId="5718FD7A" w14:textId="77777777">
        <w:tc>
          <w:tcPr>
            <w:tcW w:w="1552" w:type="dxa"/>
          </w:tcPr>
          <w:p w:rsidRPr="00DD0008" w:rsidR="00334D7E" w:rsidP="00334D7E" w:rsidRDefault="00334D7E" w14:paraId="192A4F05" w14:textId="111A6596">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072644DE" w14:textId="77777777">
            <w:pPr>
              <w:rPr>
                <w:rFonts w:ascii="Verdana" w:hAnsi="Verdana"/>
                <w:sz w:val="16"/>
                <w:szCs w:val="16"/>
              </w:rPr>
            </w:pPr>
            <w:r w:rsidRPr="002C5EC5">
              <w:rPr>
                <w:rFonts w:ascii="Verdana" w:hAnsi="Verdana"/>
                <w:sz w:val="16"/>
                <w:szCs w:val="16"/>
              </w:rPr>
              <w:t>48 nonies, derde lid</w:t>
            </w:r>
          </w:p>
        </w:tc>
        <w:tc>
          <w:tcPr>
            <w:tcW w:w="1625" w:type="dxa"/>
          </w:tcPr>
          <w:p w:rsidR="00334D7E" w:rsidP="00334D7E" w:rsidRDefault="00334D7E" w14:paraId="622CA827" w14:textId="77777777">
            <w:pPr>
              <w:spacing w:line="240" w:lineRule="atLeast"/>
              <w:rPr>
                <w:rFonts w:ascii="Verdana" w:hAnsi="Verdana"/>
                <w:sz w:val="16"/>
                <w:szCs w:val="16"/>
              </w:rPr>
            </w:pPr>
            <w:r>
              <w:rPr>
                <w:rFonts w:ascii="Verdana" w:hAnsi="Verdana"/>
                <w:sz w:val="16"/>
                <w:szCs w:val="16"/>
              </w:rPr>
              <w:t>Artikel I, onderdeel XX (</w:t>
            </w:r>
            <w:r w:rsidRPr="002C5EC5">
              <w:rPr>
                <w:rFonts w:ascii="Verdana" w:hAnsi="Verdana"/>
                <w:sz w:val="16"/>
                <w:szCs w:val="16"/>
              </w:rPr>
              <w:t xml:space="preserve">3:80a, </w:t>
            </w:r>
            <w:r>
              <w:rPr>
                <w:rFonts w:ascii="Verdana" w:hAnsi="Verdana"/>
                <w:sz w:val="16"/>
                <w:szCs w:val="16"/>
              </w:rPr>
              <w:t>tweede</w:t>
            </w:r>
            <w:r w:rsidRPr="002C5EC5">
              <w:rPr>
                <w:rFonts w:ascii="Verdana" w:hAnsi="Verdana"/>
                <w:sz w:val="16"/>
                <w:szCs w:val="16"/>
              </w:rPr>
              <w:t xml:space="preserve"> lid, Wft</w:t>
            </w:r>
            <w:r>
              <w:rPr>
                <w:rFonts w:ascii="Verdana" w:hAnsi="Verdana"/>
                <w:sz w:val="16"/>
                <w:szCs w:val="16"/>
              </w:rPr>
              <w:t>)</w:t>
            </w:r>
          </w:p>
        </w:tc>
        <w:tc>
          <w:tcPr>
            <w:tcW w:w="1274" w:type="dxa"/>
          </w:tcPr>
          <w:p w:rsidRPr="002C5EC5" w:rsidR="00334D7E" w:rsidP="00334D7E" w:rsidRDefault="00334D7E" w14:paraId="663BC026"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1D4765CC" w14:textId="77777777">
            <w:pPr>
              <w:rPr>
                <w:rFonts w:ascii="Verdana" w:hAnsi="Verdana"/>
                <w:sz w:val="16"/>
                <w:szCs w:val="16"/>
              </w:rPr>
            </w:pPr>
          </w:p>
        </w:tc>
      </w:tr>
      <w:tr w:rsidR="00334D7E" w:rsidTr="00CA30A2" w14:paraId="584C5B4E" w14:textId="77777777">
        <w:tc>
          <w:tcPr>
            <w:tcW w:w="1552" w:type="dxa"/>
          </w:tcPr>
          <w:p w:rsidRPr="00DD0008" w:rsidR="00334D7E" w:rsidP="00334D7E" w:rsidRDefault="00334D7E" w14:paraId="74C11E43" w14:textId="74D2032F">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2FB2F497" w14:textId="77777777">
            <w:pPr>
              <w:rPr>
                <w:rFonts w:ascii="Verdana" w:hAnsi="Verdana"/>
                <w:sz w:val="16"/>
                <w:szCs w:val="16"/>
              </w:rPr>
            </w:pPr>
            <w:r w:rsidRPr="002C5EC5">
              <w:rPr>
                <w:rFonts w:ascii="Verdana" w:hAnsi="Verdana"/>
                <w:sz w:val="16"/>
                <w:szCs w:val="16"/>
              </w:rPr>
              <w:t>48 nonies, vierde lid</w:t>
            </w:r>
          </w:p>
        </w:tc>
        <w:tc>
          <w:tcPr>
            <w:tcW w:w="1625" w:type="dxa"/>
          </w:tcPr>
          <w:p w:rsidR="00334D7E" w:rsidP="00334D7E" w:rsidRDefault="00334D7E" w14:paraId="7F5E0F41" w14:textId="77777777">
            <w:pPr>
              <w:spacing w:line="240" w:lineRule="atLeast"/>
              <w:rPr>
                <w:rFonts w:ascii="Verdana" w:hAnsi="Verdana"/>
                <w:sz w:val="16"/>
                <w:szCs w:val="16"/>
              </w:rPr>
            </w:pPr>
            <w:r>
              <w:rPr>
                <w:rFonts w:ascii="Verdana" w:hAnsi="Verdana"/>
                <w:sz w:val="16"/>
                <w:szCs w:val="16"/>
              </w:rPr>
              <w:t>Artikel I, onderdeel XX (</w:t>
            </w:r>
            <w:r w:rsidRPr="002C5EC5">
              <w:rPr>
                <w:rFonts w:ascii="Verdana" w:hAnsi="Verdana"/>
                <w:sz w:val="16"/>
                <w:szCs w:val="16"/>
              </w:rPr>
              <w:t>3:80a, eerste lid, Wft</w:t>
            </w:r>
            <w:r>
              <w:rPr>
                <w:rFonts w:ascii="Verdana" w:hAnsi="Verdana"/>
                <w:sz w:val="16"/>
                <w:szCs w:val="16"/>
              </w:rPr>
              <w:t>)</w:t>
            </w:r>
          </w:p>
        </w:tc>
        <w:tc>
          <w:tcPr>
            <w:tcW w:w="1274" w:type="dxa"/>
          </w:tcPr>
          <w:p w:rsidRPr="002C5EC5" w:rsidR="00334D7E" w:rsidP="00334D7E" w:rsidRDefault="00334D7E" w14:paraId="567C3EFA"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7788DB27" w14:textId="77777777">
            <w:pPr>
              <w:rPr>
                <w:rFonts w:ascii="Verdana" w:hAnsi="Verdana"/>
                <w:sz w:val="16"/>
                <w:szCs w:val="16"/>
              </w:rPr>
            </w:pPr>
          </w:p>
        </w:tc>
      </w:tr>
      <w:tr w:rsidR="00334D7E" w:rsidTr="00CA30A2" w14:paraId="7060FD77" w14:textId="77777777">
        <w:tc>
          <w:tcPr>
            <w:tcW w:w="1552" w:type="dxa"/>
          </w:tcPr>
          <w:p w:rsidRPr="00DD0008" w:rsidR="00334D7E" w:rsidP="00334D7E" w:rsidRDefault="00334D7E" w14:paraId="0457AE29" w14:textId="6E16E45C">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32C100CF" w14:textId="77777777">
            <w:pPr>
              <w:rPr>
                <w:rFonts w:ascii="Verdana" w:hAnsi="Verdana"/>
                <w:sz w:val="16"/>
                <w:szCs w:val="16"/>
              </w:rPr>
            </w:pPr>
            <w:r w:rsidRPr="002C5EC5">
              <w:rPr>
                <w:rFonts w:ascii="Verdana" w:hAnsi="Verdana"/>
                <w:sz w:val="16"/>
                <w:szCs w:val="16"/>
              </w:rPr>
              <w:t>48 decies, eerste lid</w:t>
            </w:r>
          </w:p>
        </w:tc>
        <w:tc>
          <w:tcPr>
            <w:tcW w:w="1625" w:type="dxa"/>
          </w:tcPr>
          <w:p w:rsidR="00334D7E" w:rsidP="00334D7E" w:rsidRDefault="00334D7E" w14:paraId="3148DB98" w14:textId="77777777">
            <w:pPr>
              <w:spacing w:line="240" w:lineRule="atLeast"/>
              <w:rPr>
                <w:rFonts w:ascii="Verdana" w:hAnsi="Verdana"/>
                <w:sz w:val="16"/>
                <w:szCs w:val="16"/>
              </w:rPr>
            </w:pPr>
            <w:r>
              <w:rPr>
                <w:rFonts w:ascii="Verdana" w:hAnsi="Verdana"/>
                <w:sz w:val="16"/>
                <w:szCs w:val="16"/>
              </w:rPr>
              <w:t>Artikel I, onderdeel TTT (</w:t>
            </w:r>
            <w:r w:rsidRPr="002C5EC5">
              <w:rPr>
                <w:rFonts w:ascii="Verdana" w:hAnsi="Verdana"/>
                <w:sz w:val="16"/>
                <w:szCs w:val="16"/>
              </w:rPr>
              <w:t>3:111bb Wft</w:t>
            </w:r>
            <w:r>
              <w:rPr>
                <w:rFonts w:ascii="Verdana" w:hAnsi="Verdana"/>
                <w:sz w:val="16"/>
                <w:szCs w:val="16"/>
              </w:rPr>
              <w:t>)</w:t>
            </w:r>
          </w:p>
        </w:tc>
        <w:tc>
          <w:tcPr>
            <w:tcW w:w="1274" w:type="dxa"/>
          </w:tcPr>
          <w:p w:rsidRPr="002C5EC5" w:rsidR="00334D7E" w:rsidP="00334D7E" w:rsidRDefault="00334D7E" w14:paraId="531D1A41"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1E8506C2" w14:textId="77777777">
            <w:pPr>
              <w:rPr>
                <w:rFonts w:ascii="Verdana" w:hAnsi="Verdana"/>
                <w:sz w:val="16"/>
                <w:szCs w:val="16"/>
              </w:rPr>
            </w:pPr>
          </w:p>
        </w:tc>
      </w:tr>
      <w:tr w:rsidR="00334D7E" w:rsidTr="00CA30A2" w14:paraId="2F342601" w14:textId="77777777">
        <w:tc>
          <w:tcPr>
            <w:tcW w:w="1552" w:type="dxa"/>
          </w:tcPr>
          <w:p w:rsidRPr="00DD0008" w:rsidR="00334D7E" w:rsidP="00334D7E" w:rsidRDefault="00334D7E" w14:paraId="53E8B8E3" w14:textId="600B748F">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2209C3A5" w14:textId="77777777">
            <w:pPr>
              <w:rPr>
                <w:rFonts w:ascii="Verdana" w:hAnsi="Verdana"/>
                <w:sz w:val="16"/>
                <w:szCs w:val="16"/>
              </w:rPr>
            </w:pPr>
            <w:r w:rsidRPr="002C5EC5">
              <w:rPr>
                <w:rFonts w:ascii="Verdana" w:hAnsi="Verdana"/>
                <w:sz w:val="16"/>
                <w:szCs w:val="16"/>
              </w:rPr>
              <w:t>48 decies, tweede lid, eerste alinea</w:t>
            </w:r>
          </w:p>
        </w:tc>
        <w:tc>
          <w:tcPr>
            <w:tcW w:w="1625" w:type="dxa"/>
          </w:tcPr>
          <w:p w:rsidR="00334D7E" w:rsidP="00334D7E" w:rsidRDefault="00334D7E" w14:paraId="6BA348FC" w14:textId="77777777">
            <w:pPr>
              <w:spacing w:line="240" w:lineRule="atLeast"/>
              <w:rPr>
                <w:rFonts w:ascii="Verdana" w:hAnsi="Verdana"/>
                <w:sz w:val="16"/>
                <w:szCs w:val="16"/>
              </w:rPr>
            </w:pPr>
            <w:r>
              <w:rPr>
                <w:rFonts w:ascii="Verdana" w:hAnsi="Verdana"/>
                <w:sz w:val="16"/>
                <w:szCs w:val="16"/>
              </w:rPr>
              <w:t>Volgt bij implementatieregeling</w:t>
            </w:r>
            <w:r w:rsidRPr="002C5EC5">
              <w:rPr>
                <w:rFonts w:ascii="Verdana" w:hAnsi="Verdana"/>
                <w:sz w:val="16"/>
                <w:szCs w:val="16"/>
              </w:rPr>
              <w:t xml:space="preserve"> </w:t>
            </w:r>
            <w:r>
              <w:rPr>
                <w:rFonts w:ascii="Verdana" w:hAnsi="Verdana"/>
                <w:sz w:val="16"/>
                <w:szCs w:val="16"/>
              </w:rPr>
              <w:t>(Bijlage 6 Rtt)</w:t>
            </w:r>
          </w:p>
        </w:tc>
        <w:tc>
          <w:tcPr>
            <w:tcW w:w="1274" w:type="dxa"/>
          </w:tcPr>
          <w:p w:rsidRPr="002C5EC5" w:rsidR="00334D7E" w:rsidP="00334D7E" w:rsidRDefault="00334D7E" w14:paraId="7233E6A7"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4C247F4A" w14:textId="77777777">
            <w:pPr>
              <w:rPr>
                <w:rFonts w:ascii="Verdana" w:hAnsi="Verdana"/>
                <w:sz w:val="16"/>
                <w:szCs w:val="16"/>
              </w:rPr>
            </w:pPr>
          </w:p>
        </w:tc>
      </w:tr>
      <w:tr w:rsidR="00334D7E" w:rsidTr="00CA30A2" w14:paraId="161FBB35" w14:textId="77777777">
        <w:tc>
          <w:tcPr>
            <w:tcW w:w="1552" w:type="dxa"/>
          </w:tcPr>
          <w:p w:rsidRPr="00DD0008" w:rsidR="00334D7E" w:rsidP="00334D7E" w:rsidRDefault="00334D7E" w14:paraId="7EA2D252" w14:textId="76F8F3FB">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476B8B73" w14:textId="77777777">
            <w:pPr>
              <w:rPr>
                <w:rFonts w:ascii="Verdana" w:hAnsi="Verdana"/>
                <w:sz w:val="16"/>
                <w:szCs w:val="16"/>
              </w:rPr>
            </w:pPr>
            <w:r w:rsidRPr="002C5EC5">
              <w:rPr>
                <w:rFonts w:ascii="Verdana" w:hAnsi="Verdana"/>
                <w:sz w:val="16"/>
                <w:szCs w:val="16"/>
              </w:rPr>
              <w:t>48 decies, tweede lid, tweede alinea</w:t>
            </w:r>
          </w:p>
        </w:tc>
        <w:tc>
          <w:tcPr>
            <w:tcW w:w="1625" w:type="dxa"/>
          </w:tcPr>
          <w:p w:rsidR="00334D7E" w:rsidP="00334D7E" w:rsidRDefault="00334D7E" w14:paraId="03D197C4" w14:textId="77777777">
            <w:pPr>
              <w:spacing w:line="240" w:lineRule="atLeast"/>
              <w:rPr>
                <w:rFonts w:ascii="Verdana" w:hAnsi="Verdana"/>
                <w:sz w:val="16"/>
                <w:szCs w:val="16"/>
              </w:rPr>
            </w:pPr>
            <w:r>
              <w:rPr>
                <w:rFonts w:ascii="Verdana" w:hAnsi="Verdana"/>
                <w:sz w:val="16"/>
                <w:szCs w:val="16"/>
              </w:rPr>
              <w:t>Artikel I, onderdeel TTT (</w:t>
            </w:r>
            <w:r w:rsidRPr="002C5EC5">
              <w:rPr>
                <w:rFonts w:ascii="Verdana" w:hAnsi="Verdana"/>
                <w:sz w:val="16"/>
                <w:szCs w:val="16"/>
              </w:rPr>
              <w:t>3:111ba, eerste lid, 3:111bb, eerste lid, Wft</w:t>
            </w:r>
            <w:r>
              <w:rPr>
                <w:rFonts w:ascii="Verdana" w:hAnsi="Verdana"/>
                <w:sz w:val="16"/>
                <w:szCs w:val="16"/>
              </w:rPr>
              <w:t>)</w:t>
            </w:r>
          </w:p>
        </w:tc>
        <w:tc>
          <w:tcPr>
            <w:tcW w:w="1274" w:type="dxa"/>
          </w:tcPr>
          <w:p w:rsidRPr="002C5EC5" w:rsidR="00334D7E" w:rsidP="00334D7E" w:rsidRDefault="00334D7E" w14:paraId="1AB7FDA4"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1F8A4257" w14:textId="77777777">
            <w:pPr>
              <w:rPr>
                <w:rFonts w:ascii="Verdana" w:hAnsi="Verdana"/>
                <w:sz w:val="16"/>
                <w:szCs w:val="16"/>
              </w:rPr>
            </w:pPr>
          </w:p>
        </w:tc>
      </w:tr>
      <w:tr w:rsidR="00334D7E" w:rsidTr="00CA30A2" w14:paraId="650B41CA" w14:textId="77777777">
        <w:tc>
          <w:tcPr>
            <w:tcW w:w="1552" w:type="dxa"/>
          </w:tcPr>
          <w:p w:rsidRPr="00DD0008" w:rsidR="00334D7E" w:rsidP="00334D7E" w:rsidRDefault="00334D7E" w14:paraId="5A5D8B30" w14:textId="033729DE">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51B18D59" w14:textId="77777777">
            <w:pPr>
              <w:rPr>
                <w:rFonts w:ascii="Verdana" w:hAnsi="Verdana"/>
                <w:sz w:val="16"/>
                <w:szCs w:val="16"/>
              </w:rPr>
            </w:pPr>
            <w:r w:rsidRPr="002C5EC5">
              <w:rPr>
                <w:rFonts w:ascii="Verdana" w:hAnsi="Verdana"/>
                <w:sz w:val="16"/>
                <w:szCs w:val="16"/>
              </w:rPr>
              <w:t>48 undecies, eerste lid, eerste alinea</w:t>
            </w:r>
          </w:p>
        </w:tc>
        <w:tc>
          <w:tcPr>
            <w:tcW w:w="1625" w:type="dxa"/>
          </w:tcPr>
          <w:p w:rsidR="00334D7E" w:rsidP="00334D7E" w:rsidRDefault="00334D7E" w14:paraId="2388722A" w14:textId="77777777">
            <w:pPr>
              <w:spacing w:line="240" w:lineRule="atLeast"/>
              <w:rPr>
                <w:rFonts w:ascii="Verdana" w:hAnsi="Verdana"/>
                <w:sz w:val="16"/>
                <w:szCs w:val="16"/>
              </w:rPr>
            </w:pPr>
            <w:r w:rsidRPr="001B3A3A">
              <w:rPr>
                <w:rFonts w:ascii="Verdana" w:hAnsi="Verdana"/>
                <w:sz w:val="16"/>
                <w:szCs w:val="16"/>
              </w:rPr>
              <w:t xml:space="preserve">Artikel I, onderdeel </w:t>
            </w:r>
            <w:r>
              <w:rPr>
                <w:rFonts w:ascii="Verdana" w:hAnsi="Verdana"/>
                <w:sz w:val="16"/>
                <w:szCs w:val="16"/>
              </w:rPr>
              <w:t>TTT</w:t>
            </w:r>
            <w:r w:rsidRPr="001B3A3A">
              <w:rPr>
                <w:rFonts w:ascii="Verdana" w:hAnsi="Verdana"/>
                <w:sz w:val="16"/>
                <w:szCs w:val="16"/>
              </w:rPr>
              <w:t xml:space="preserve"> (3:111ba, eerste lid, Wft)</w:t>
            </w:r>
          </w:p>
        </w:tc>
        <w:tc>
          <w:tcPr>
            <w:tcW w:w="1274" w:type="dxa"/>
          </w:tcPr>
          <w:p w:rsidRPr="002C5EC5" w:rsidR="00334D7E" w:rsidP="00334D7E" w:rsidRDefault="00334D7E" w14:paraId="44907F23"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766A3F4C" w14:textId="77777777">
            <w:pPr>
              <w:rPr>
                <w:rFonts w:ascii="Verdana" w:hAnsi="Verdana"/>
                <w:sz w:val="16"/>
                <w:szCs w:val="16"/>
              </w:rPr>
            </w:pPr>
          </w:p>
        </w:tc>
      </w:tr>
      <w:tr w:rsidR="00334D7E" w:rsidTr="00CA30A2" w14:paraId="0DB0489E" w14:textId="77777777">
        <w:tc>
          <w:tcPr>
            <w:tcW w:w="1552" w:type="dxa"/>
          </w:tcPr>
          <w:p w:rsidRPr="00DD0008" w:rsidR="00334D7E" w:rsidP="00334D7E" w:rsidRDefault="00334D7E" w14:paraId="7BE7D3E5" w14:textId="2625AF69">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07B8FF84" w14:textId="77777777">
            <w:pPr>
              <w:rPr>
                <w:rFonts w:ascii="Verdana" w:hAnsi="Verdana"/>
                <w:sz w:val="16"/>
                <w:szCs w:val="16"/>
              </w:rPr>
            </w:pPr>
            <w:r w:rsidRPr="002C5EC5">
              <w:rPr>
                <w:rFonts w:ascii="Verdana" w:hAnsi="Verdana"/>
                <w:sz w:val="16"/>
                <w:szCs w:val="16"/>
              </w:rPr>
              <w:t>48 undecies, eerste lid, tweede alinea</w:t>
            </w:r>
          </w:p>
        </w:tc>
        <w:tc>
          <w:tcPr>
            <w:tcW w:w="1625" w:type="dxa"/>
          </w:tcPr>
          <w:p w:rsidRPr="001B3A3A" w:rsidR="00334D7E" w:rsidP="00334D7E" w:rsidRDefault="00334D7E" w14:paraId="5F2F203A" w14:textId="77777777">
            <w:pPr>
              <w:spacing w:line="240" w:lineRule="atLeast"/>
              <w:rPr>
                <w:rFonts w:ascii="Verdana" w:hAnsi="Verdana"/>
                <w:sz w:val="16"/>
                <w:szCs w:val="16"/>
              </w:rPr>
            </w:pPr>
            <w:r w:rsidRPr="001B3A3A">
              <w:rPr>
                <w:rFonts w:ascii="Verdana" w:hAnsi="Verdana"/>
                <w:sz w:val="16"/>
                <w:szCs w:val="16"/>
              </w:rPr>
              <w:t xml:space="preserve">Artikel I, onderdeel </w:t>
            </w:r>
            <w:r>
              <w:rPr>
                <w:rFonts w:ascii="Verdana" w:hAnsi="Verdana"/>
                <w:sz w:val="16"/>
                <w:szCs w:val="16"/>
              </w:rPr>
              <w:t>TTT</w:t>
            </w:r>
            <w:r w:rsidRPr="001B3A3A">
              <w:rPr>
                <w:rFonts w:ascii="Verdana" w:hAnsi="Verdana"/>
                <w:sz w:val="16"/>
                <w:szCs w:val="16"/>
              </w:rPr>
              <w:t xml:space="preserve"> (3:111ba, eerste lid, , Wft)</w:t>
            </w:r>
          </w:p>
        </w:tc>
        <w:tc>
          <w:tcPr>
            <w:tcW w:w="1274" w:type="dxa"/>
          </w:tcPr>
          <w:p w:rsidRPr="002C5EC5" w:rsidR="00334D7E" w:rsidP="00334D7E" w:rsidRDefault="00334D7E" w14:paraId="2DF43088"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0BF6949F" w14:textId="77777777">
            <w:pPr>
              <w:rPr>
                <w:rFonts w:ascii="Verdana" w:hAnsi="Verdana"/>
                <w:sz w:val="16"/>
                <w:szCs w:val="16"/>
              </w:rPr>
            </w:pPr>
          </w:p>
        </w:tc>
      </w:tr>
      <w:tr w:rsidR="00334D7E" w:rsidTr="00CA30A2" w14:paraId="0C4D15B1" w14:textId="77777777">
        <w:tc>
          <w:tcPr>
            <w:tcW w:w="1552" w:type="dxa"/>
          </w:tcPr>
          <w:p w:rsidRPr="00DD0008" w:rsidR="00334D7E" w:rsidP="00334D7E" w:rsidRDefault="00334D7E" w14:paraId="3EDE995C" w14:textId="0709796A">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7CAE2E97" w14:textId="77777777">
            <w:pPr>
              <w:rPr>
                <w:rFonts w:ascii="Verdana" w:hAnsi="Verdana"/>
                <w:sz w:val="16"/>
                <w:szCs w:val="16"/>
              </w:rPr>
            </w:pPr>
            <w:r w:rsidRPr="002C5EC5">
              <w:rPr>
                <w:rFonts w:ascii="Verdana" w:hAnsi="Verdana"/>
                <w:sz w:val="16"/>
                <w:szCs w:val="16"/>
              </w:rPr>
              <w:t>48 undecies, tweede lid, eerste alinea</w:t>
            </w:r>
          </w:p>
        </w:tc>
        <w:tc>
          <w:tcPr>
            <w:tcW w:w="1625" w:type="dxa"/>
          </w:tcPr>
          <w:p w:rsidRPr="001B3A3A" w:rsidR="00334D7E" w:rsidP="00334D7E" w:rsidRDefault="00334D7E" w14:paraId="413E64B2" w14:textId="77777777">
            <w:pPr>
              <w:spacing w:line="240" w:lineRule="atLeast"/>
              <w:rPr>
                <w:rFonts w:ascii="Verdana" w:hAnsi="Verdana"/>
                <w:sz w:val="16"/>
                <w:szCs w:val="16"/>
              </w:rPr>
            </w:pPr>
            <w:r w:rsidRPr="001B3A3A">
              <w:rPr>
                <w:rFonts w:ascii="Verdana" w:hAnsi="Verdana"/>
                <w:sz w:val="16"/>
                <w:szCs w:val="16"/>
              </w:rPr>
              <w:t xml:space="preserve">Artikel I, onderdeel </w:t>
            </w:r>
            <w:r>
              <w:rPr>
                <w:rFonts w:ascii="Verdana" w:hAnsi="Verdana"/>
                <w:sz w:val="16"/>
                <w:szCs w:val="16"/>
              </w:rPr>
              <w:t>TTT</w:t>
            </w:r>
            <w:r w:rsidRPr="001B3A3A">
              <w:rPr>
                <w:rFonts w:ascii="Verdana" w:hAnsi="Verdana"/>
                <w:sz w:val="16"/>
                <w:szCs w:val="16"/>
              </w:rPr>
              <w:t xml:space="preserve"> (3:111ba, eerste lid Wft)</w:t>
            </w:r>
          </w:p>
        </w:tc>
        <w:tc>
          <w:tcPr>
            <w:tcW w:w="1274" w:type="dxa"/>
          </w:tcPr>
          <w:p w:rsidRPr="002C5EC5" w:rsidR="00334D7E" w:rsidP="00334D7E" w:rsidRDefault="00334D7E" w14:paraId="11A9D4A9"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3B5022A0" w14:textId="77777777">
            <w:pPr>
              <w:rPr>
                <w:rFonts w:ascii="Verdana" w:hAnsi="Verdana"/>
                <w:sz w:val="16"/>
                <w:szCs w:val="16"/>
              </w:rPr>
            </w:pPr>
          </w:p>
        </w:tc>
      </w:tr>
      <w:tr w:rsidR="00334D7E" w:rsidTr="00CA30A2" w14:paraId="03C50354" w14:textId="77777777">
        <w:tc>
          <w:tcPr>
            <w:tcW w:w="1552" w:type="dxa"/>
          </w:tcPr>
          <w:p w:rsidRPr="00DD0008" w:rsidR="00334D7E" w:rsidP="00334D7E" w:rsidRDefault="00334D7E" w14:paraId="0445D84F" w14:textId="00CD9C53">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0687FA3D" w14:textId="77777777">
            <w:pPr>
              <w:rPr>
                <w:rFonts w:ascii="Verdana" w:hAnsi="Verdana"/>
                <w:sz w:val="16"/>
                <w:szCs w:val="16"/>
              </w:rPr>
            </w:pPr>
            <w:r w:rsidRPr="002C5EC5">
              <w:rPr>
                <w:rFonts w:ascii="Verdana" w:hAnsi="Verdana"/>
                <w:sz w:val="16"/>
                <w:szCs w:val="16"/>
              </w:rPr>
              <w:t>48 undecies, tweede lid, tweede zin</w:t>
            </w:r>
          </w:p>
        </w:tc>
        <w:tc>
          <w:tcPr>
            <w:tcW w:w="1625" w:type="dxa"/>
          </w:tcPr>
          <w:p w:rsidRPr="001B3A3A" w:rsidR="00334D7E" w:rsidP="00334D7E" w:rsidRDefault="00334D7E" w14:paraId="299797BB" w14:textId="77777777">
            <w:pPr>
              <w:spacing w:line="240" w:lineRule="atLeast"/>
              <w:rPr>
                <w:rFonts w:ascii="Verdana" w:hAnsi="Verdana"/>
                <w:sz w:val="16"/>
                <w:szCs w:val="16"/>
              </w:rPr>
            </w:pPr>
            <w:r w:rsidRPr="001F453A">
              <w:rPr>
                <w:rFonts w:ascii="Verdana" w:hAnsi="Verdana"/>
                <w:sz w:val="16"/>
                <w:szCs w:val="16"/>
              </w:rPr>
              <w:t>Volgt bij implementatieregeling (Bijlage 6 Rtt)</w:t>
            </w:r>
          </w:p>
        </w:tc>
        <w:tc>
          <w:tcPr>
            <w:tcW w:w="1274" w:type="dxa"/>
          </w:tcPr>
          <w:p w:rsidRPr="002C5EC5" w:rsidR="00334D7E" w:rsidP="00334D7E" w:rsidRDefault="00334D7E" w14:paraId="37A4A2CC"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420638FC" w14:textId="77777777">
            <w:pPr>
              <w:rPr>
                <w:rFonts w:ascii="Verdana" w:hAnsi="Verdana"/>
                <w:sz w:val="16"/>
                <w:szCs w:val="16"/>
              </w:rPr>
            </w:pPr>
          </w:p>
        </w:tc>
      </w:tr>
      <w:tr w:rsidR="00334D7E" w:rsidTr="00CA30A2" w14:paraId="5EF20BA4" w14:textId="77777777">
        <w:tc>
          <w:tcPr>
            <w:tcW w:w="1552" w:type="dxa"/>
          </w:tcPr>
          <w:p w:rsidRPr="00DD0008" w:rsidR="00334D7E" w:rsidP="00334D7E" w:rsidRDefault="00334D7E" w14:paraId="381D5095" w14:textId="7E08FCB2">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57A93E44" w14:textId="77777777">
            <w:pPr>
              <w:rPr>
                <w:rFonts w:ascii="Verdana" w:hAnsi="Verdana"/>
                <w:sz w:val="16"/>
                <w:szCs w:val="16"/>
              </w:rPr>
            </w:pPr>
            <w:r w:rsidRPr="002C5EC5">
              <w:rPr>
                <w:rFonts w:ascii="Verdana" w:hAnsi="Verdana"/>
                <w:sz w:val="16"/>
                <w:szCs w:val="16"/>
              </w:rPr>
              <w:t>48 undecies, derde lid</w:t>
            </w:r>
          </w:p>
        </w:tc>
        <w:tc>
          <w:tcPr>
            <w:tcW w:w="1625" w:type="dxa"/>
          </w:tcPr>
          <w:p w:rsidRPr="001F453A" w:rsidR="00334D7E" w:rsidP="00334D7E" w:rsidRDefault="00334D7E" w14:paraId="12C6A440" w14:textId="77777777">
            <w:pPr>
              <w:spacing w:line="240" w:lineRule="atLeast"/>
              <w:rPr>
                <w:rFonts w:ascii="Verdana" w:hAnsi="Verdana"/>
                <w:sz w:val="16"/>
                <w:szCs w:val="16"/>
              </w:rPr>
            </w:pPr>
            <w:r w:rsidRPr="001F453A">
              <w:rPr>
                <w:rFonts w:ascii="Verdana" w:hAnsi="Verdana"/>
                <w:sz w:val="16"/>
                <w:szCs w:val="16"/>
              </w:rPr>
              <w:t>Volgt bij implementatieregeling (Bijlage 6 Rtt)</w:t>
            </w:r>
          </w:p>
        </w:tc>
        <w:tc>
          <w:tcPr>
            <w:tcW w:w="1274" w:type="dxa"/>
          </w:tcPr>
          <w:p w:rsidRPr="002C5EC5" w:rsidR="00334D7E" w:rsidP="00334D7E" w:rsidRDefault="00334D7E" w14:paraId="6997F427"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057E7242" w14:textId="77777777">
            <w:pPr>
              <w:rPr>
                <w:rFonts w:ascii="Verdana" w:hAnsi="Verdana"/>
                <w:sz w:val="16"/>
                <w:szCs w:val="16"/>
              </w:rPr>
            </w:pPr>
          </w:p>
        </w:tc>
      </w:tr>
      <w:tr w:rsidR="00334D7E" w:rsidTr="00CA30A2" w14:paraId="26ED8195" w14:textId="77777777">
        <w:tc>
          <w:tcPr>
            <w:tcW w:w="1552" w:type="dxa"/>
          </w:tcPr>
          <w:p w:rsidRPr="00DD0008" w:rsidR="00334D7E" w:rsidP="00334D7E" w:rsidRDefault="00334D7E" w14:paraId="06B57F3A" w14:textId="764DB8FF">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7BDE9614" w14:textId="77777777">
            <w:pPr>
              <w:rPr>
                <w:rFonts w:ascii="Verdana" w:hAnsi="Verdana"/>
                <w:sz w:val="16"/>
                <w:szCs w:val="16"/>
              </w:rPr>
            </w:pPr>
            <w:r w:rsidRPr="002C5EC5">
              <w:rPr>
                <w:rFonts w:ascii="Verdana" w:hAnsi="Verdana"/>
                <w:sz w:val="16"/>
                <w:szCs w:val="16"/>
              </w:rPr>
              <w:t>48 undecies, vierde lid, eerste alinea</w:t>
            </w:r>
          </w:p>
        </w:tc>
        <w:tc>
          <w:tcPr>
            <w:tcW w:w="1625" w:type="dxa"/>
          </w:tcPr>
          <w:p w:rsidRPr="001F453A" w:rsidR="00334D7E" w:rsidP="00334D7E" w:rsidRDefault="00334D7E" w14:paraId="25307E72" w14:textId="77777777">
            <w:pPr>
              <w:spacing w:line="240" w:lineRule="atLeast"/>
              <w:rPr>
                <w:rFonts w:ascii="Verdana" w:hAnsi="Verdana"/>
                <w:sz w:val="16"/>
                <w:szCs w:val="16"/>
              </w:rPr>
            </w:pPr>
            <w:r>
              <w:rPr>
                <w:rFonts w:ascii="Verdana" w:hAnsi="Verdana"/>
                <w:sz w:val="16"/>
                <w:szCs w:val="16"/>
              </w:rPr>
              <w:t>Artikel I, onderdeel TTT (</w:t>
            </w:r>
            <w:r w:rsidRPr="002C5EC5">
              <w:rPr>
                <w:rFonts w:ascii="Verdana" w:hAnsi="Verdana"/>
                <w:sz w:val="16"/>
                <w:szCs w:val="16"/>
              </w:rPr>
              <w:t xml:space="preserve">3:111ba, </w:t>
            </w:r>
            <w:r>
              <w:rPr>
                <w:rFonts w:ascii="Verdana" w:hAnsi="Verdana"/>
                <w:sz w:val="16"/>
                <w:szCs w:val="16"/>
              </w:rPr>
              <w:t>tweede</w:t>
            </w:r>
            <w:r w:rsidRPr="002C5EC5">
              <w:rPr>
                <w:rFonts w:ascii="Verdana" w:hAnsi="Verdana"/>
                <w:sz w:val="16"/>
                <w:szCs w:val="16"/>
              </w:rPr>
              <w:t xml:space="preserve"> lid, Wft</w:t>
            </w:r>
            <w:r>
              <w:rPr>
                <w:rFonts w:ascii="Verdana" w:hAnsi="Verdana"/>
                <w:sz w:val="16"/>
                <w:szCs w:val="16"/>
              </w:rPr>
              <w:t>)</w:t>
            </w:r>
          </w:p>
        </w:tc>
        <w:tc>
          <w:tcPr>
            <w:tcW w:w="1274" w:type="dxa"/>
          </w:tcPr>
          <w:p w:rsidRPr="002C5EC5" w:rsidR="00334D7E" w:rsidP="00334D7E" w:rsidRDefault="00334D7E" w14:paraId="506F9495"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63A408AB" w14:textId="77777777">
            <w:pPr>
              <w:rPr>
                <w:rFonts w:ascii="Verdana" w:hAnsi="Verdana"/>
                <w:sz w:val="16"/>
                <w:szCs w:val="16"/>
              </w:rPr>
            </w:pPr>
          </w:p>
        </w:tc>
      </w:tr>
      <w:tr w:rsidR="00334D7E" w:rsidTr="00CA30A2" w14:paraId="11B183B9" w14:textId="77777777">
        <w:tc>
          <w:tcPr>
            <w:tcW w:w="1552" w:type="dxa"/>
          </w:tcPr>
          <w:p w:rsidRPr="00DD0008" w:rsidR="00334D7E" w:rsidP="00334D7E" w:rsidRDefault="00334D7E" w14:paraId="0090F578" w14:textId="22898134">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5425A2E2" w14:textId="77777777">
            <w:pPr>
              <w:rPr>
                <w:rFonts w:ascii="Verdana" w:hAnsi="Verdana"/>
                <w:sz w:val="16"/>
                <w:szCs w:val="16"/>
              </w:rPr>
            </w:pPr>
            <w:r w:rsidRPr="002C5EC5">
              <w:rPr>
                <w:rFonts w:ascii="Verdana" w:hAnsi="Verdana"/>
                <w:sz w:val="16"/>
                <w:szCs w:val="16"/>
              </w:rPr>
              <w:t>48 undecies, vierde lid, tweede alinea</w:t>
            </w:r>
          </w:p>
        </w:tc>
        <w:tc>
          <w:tcPr>
            <w:tcW w:w="1625" w:type="dxa"/>
          </w:tcPr>
          <w:p w:rsidR="00334D7E" w:rsidP="00334D7E" w:rsidRDefault="00334D7E" w14:paraId="42E68AF9" w14:textId="77777777">
            <w:pPr>
              <w:spacing w:line="240" w:lineRule="atLeast"/>
              <w:rPr>
                <w:rFonts w:ascii="Verdana" w:hAnsi="Verdana"/>
                <w:sz w:val="16"/>
                <w:szCs w:val="16"/>
              </w:rPr>
            </w:pPr>
            <w:r>
              <w:rPr>
                <w:rFonts w:ascii="Verdana" w:hAnsi="Verdana"/>
                <w:sz w:val="16"/>
                <w:szCs w:val="16"/>
              </w:rPr>
              <w:t>Volgt bij implementatieregeling</w:t>
            </w:r>
            <w:r w:rsidRPr="002C5EC5">
              <w:rPr>
                <w:rFonts w:ascii="Verdana" w:hAnsi="Verdana"/>
                <w:sz w:val="16"/>
                <w:szCs w:val="16"/>
              </w:rPr>
              <w:t xml:space="preserve"> </w:t>
            </w:r>
            <w:r>
              <w:rPr>
                <w:rFonts w:ascii="Verdana" w:hAnsi="Verdana"/>
                <w:sz w:val="16"/>
                <w:szCs w:val="16"/>
              </w:rPr>
              <w:t>(Bijlage 6 Rtt)</w:t>
            </w:r>
          </w:p>
        </w:tc>
        <w:tc>
          <w:tcPr>
            <w:tcW w:w="1274" w:type="dxa"/>
          </w:tcPr>
          <w:p w:rsidRPr="002C5EC5" w:rsidR="00334D7E" w:rsidP="00334D7E" w:rsidRDefault="00334D7E" w14:paraId="216E53B7"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208E647B" w14:textId="77777777">
            <w:pPr>
              <w:rPr>
                <w:rFonts w:ascii="Verdana" w:hAnsi="Verdana"/>
                <w:sz w:val="16"/>
                <w:szCs w:val="16"/>
              </w:rPr>
            </w:pPr>
          </w:p>
        </w:tc>
      </w:tr>
      <w:tr w:rsidR="00334D7E" w:rsidTr="00CA30A2" w14:paraId="2B21BE35" w14:textId="77777777">
        <w:tc>
          <w:tcPr>
            <w:tcW w:w="1552" w:type="dxa"/>
          </w:tcPr>
          <w:p w:rsidRPr="00DD0008" w:rsidR="00334D7E" w:rsidP="00334D7E" w:rsidRDefault="00334D7E" w14:paraId="62171D28" w14:textId="5E6E0B91">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2BC67647" w14:textId="77777777">
            <w:pPr>
              <w:rPr>
                <w:rFonts w:ascii="Verdana" w:hAnsi="Verdana"/>
                <w:sz w:val="16"/>
                <w:szCs w:val="16"/>
              </w:rPr>
            </w:pPr>
            <w:r w:rsidRPr="002C5EC5">
              <w:rPr>
                <w:rFonts w:ascii="Verdana" w:hAnsi="Verdana"/>
                <w:sz w:val="16"/>
                <w:szCs w:val="16"/>
              </w:rPr>
              <w:t>48 undecies, vijfde lid</w:t>
            </w:r>
          </w:p>
        </w:tc>
        <w:tc>
          <w:tcPr>
            <w:tcW w:w="1625" w:type="dxa"/>
          </w:tcPr>
          <w:p w:rsidR="00334D7E" w:rsidP="00334D7E" w:rsidRDefault="00334D7E" w14:paraId="77B44719" w14:textId="77777777">
            <w:pPr>
              <w:spacing w:line="240" w:lineRule="atLeast"/>
              <w:rPr>
                <w:rFonts w:ascii="Verdana" w:hAnsi="Verdana"/>
                <w:sz w:val="16"/>
                <w:szCs w:val="16"/>
              </w:rPr>
            </w:pPr>
            <w:r w:rsidRPr="002C5EC5">
              <w:rPr>
                <w:rFonts w:ascii="Verdana" w:hAnsi="Verdana"/>
                <w:sz w:val="16"/>
                <w:szCs w:val="16"/>
              </w:rPr>
              <w:t>Behoeft naar zijn aard geen implementatie</w:t>
            </w:r>
            <w:r>
              <w:rPr>
                <w:rFonts w:ascii="Verdana" w:hAnsi="Verdana"/>
                <w:sz w:val="16"/>
                <w:szCs w:val="16"/>
              </w:rPr>
              <w:t>:</w:t>
            </w:r>
            <w:r w:rsidRPr="002C5EC5">
              <w:rPr>
                <w:rFonts w:ascii="Verdana" w:hAnsi="Verdana"/>
                <w:sz w:val="16"/>
                <w:szCs w:val="16"/>
              </w:rPr>
              <w:t xml:space="preserve"> Bepaling gericht tot EBA</w:t>
            </w:r>
          </w:p>
        </w:tc>
        <w:tc>
          <w:tcPr>
            <w:tcW w:w="1274" w:type="dxa"/>
          </w:tcPr>
          <w:p w:rsidRPr="002C5EC5" w:rsidR="00334D7E" w:rsidP="00334D7E" w:rsidRDefault="00334D7E" w14:paraId="5A188AF5"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7A97C306" w14:textId="77777777">
            <w:pPr>
              <w:rPr>
                <w:rFonts w:ascii="Verdana" w:hAnsi="Verdana"/>
                <w:sz w:val="16"/>
                <w:szCs w:val="16"/>
              </w:rPr>
            </w:pPr>
          </w:p>
        </w:tc>
      </w:tr>
      <w:tr w:rsidR="00334D7E" w:rsidTr="00CA30A2" w14:paraId="5D3CC8AE" w14:textId="77777777">
        <w:tc>
          <w:tcPr>
            <w:tcW w:w="1552" w:type="dxa"/>
          </w:tcPr>
          <w:p w:rsidRPr="00DD0008" w:rsidR="00334D7E" w:rsidP="00334D7E" w:rsidRDefault="00334D7E" w14:paraId="488AC900" w14:textId="33DFB614">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0F4DE55C" w14:textId="77777777">
            <w:pPr>
              <w:rPr>
                <w:rFonts w:ascii="Verdana" w:hAnsi="Verdana"/>
                <w:sz w:val="16"/>
                <w:szCs w:val="16"/>
              </w:rPr>
            </w:pPr>
            <w:r w:rsidRPr="002C5EC5">
              <w:rPr>
                <w:rFonts w:ascii="Verdana" w:hAnsi="Verdana"/>
                <w:sz w:val="16"/>
                <w:szCs w:val="16"/>
              </w:rPr>
              <w:t>48 duodecies, eerste lid</w:t>
            </w:r>
          </w:p>
        </w:tc>
        <w:tc>
          <w:tcPr>
            <w:tcW w:w="1625" w:type="dxa"/>
          </w:tcPr>
          <w:p w:rsidR="00334D7E" w:rsidP="00334D7E" w:rsidRDefault="00334D7E" w14:paraId="3A64C487" w14:textId="77777777">
            <w:pPr>
              <w:spacing w:line="240" w:lineRule="atLeast"/>
              <w:rPr>
                <w:rFonts w:ascii="Verdana" w:hAnsi="Verdana"/>
                <w:sz w:val="16"/>
                <w:szCs w:val="16"/>
              </w:rPr>
            </w:pPr>
            <w:r>
              <w:rPr>
                <w:rFonts w:ascii="Verdana" w:hAnsi="Verdana"/>
                <w:sz w:val="16"/>
                <w:szCs w:val="16"/>
              </w:rPr>
              <w:t>Artikel I, onderdeel AAA (</w:t>
            </w:r>
            <w:r w:rsidRPr="002C5EC5">
              <w:rPr>
                <w:rFonts w:ascii="Verdana" w:hAnsi="Verdana"/>
                <w:sz w:val="16"/>
                <w:szCs w:val="16"/>
              </w:rPr>
              <w:t>3:82b, eerste lid, Wft</w:t>
            </w:r>
            <w:r>
              <w:rPr>
                <w:rFonts w:ascii="Verdana" w:hAnsi="Verdana"/>
                <w:sz w:val="16"/>
                <w:szCs w:val="16"/>
              </w:rPr>
              <w:t>)</w:t>
            </w:r>
          </w:p>
          <w:p w:rsidR="00334D7E" w:rsidP="00334D7E" w:rsidRDefault="00334D7E" w14:paraId="46D43B2C" w14:textId="77777777">
            <w:pPr>
              <w:spacing w:line="240" w:lineRule="atLeast"/>
              <w:rPr>
                <w:rFonts w:ascii="Verdana" w:hAnsi="Verdana"/>
                <w:sz w:val="16"/>
                <w:szCs w:val="16"/>
              </w:rPr>
            </w:pPr>
          </w:p>
          <w:p w:rsidRPr="002C5EC5" w:rsidR="00334D7E" w:rsidP="00334D7E" w:rsidRDefault="00334D7E" w14:paraId="56EECF70" w14:textId="77777777">
            <w:pPr>
              <w:spacing w:line="240" w:lineRule="atLeast"/>
              <w:rPr>
                <w:rFonts w:ascii="Verdana" w:hAnsi="Verdana"/>
                <w:sz w:val="16"/>
                <w:szCs w:val="16"/>
              </w:rPr>
            </w:pPr>
            <w:r>
              <w:rPr>
                <w:rFonts w:ascii="Verdana" w:hAnsi="Verdana"/>
                <w:sz w:val="16"/>
                <w:szCs w:val="16"/>
              </w:rPr>
              <w:t>Volgt bij implementatiebesluit (</w:t>
            </w:r>
            <w:r w:rsidRPr="002C5EC5">
              <w:rPr>
                <w:rFonts w:ascii="Verdana" w:hAnsi="Verdana"/>
                <w:sz w:val="16"/>
                <w:szCs w:val="16"/>
              </w:rPr>
              <w:t>130, dertiende lid, Bpr</w:t>
            </w:r>
            <w:r>
              <w:rPr>
                <w:rFonts w:ascii="Verdana" w:hAnsi="Verdana"/>
                <w:sz w:val="16"/>
                <w:szCs w:val="16"/>
              </w:rPr>
              <w:t>)</w:t>
            </w:r>
          </w:p>
        </w:tc>
        <w:tc>
          <w:tcPr>
            <w:tcW w:w="1274" w:type="dxa"/>
          </w:tcPr>
          <w:p w:rsidRPr="002C5EC5" w:rsidR="00334D7E" w:rsidP="00334D7E" w:rsidRDefault="00334D7E" w14:paraId="2298EE54"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5FFBE2E8" w14:textId="77777777">
            <w:pPr>
              <w:rPr>
                <w:rFonts w:ascii="Verdana" w:hAnsi="Verdana"/>
                <w:sz w:val="16"/>
                <w:szCs w:val="16"/>
              </w:rPr>
            </w:pPr>
          </w:p>
        </w:tc>
      </w:tr>
      <w:tr w:rsidR="00334D7E" w:rsidTr="00CA30A2" w14:paraId="295A9F0E" w14:textId="77777777">
        <w:tc>
          <w:tcPr>
            <w:tcW w:w="1552" w:type="dxa"/>
          </w:tcPr>
          <w:p w:rsidRPr="00DD0008" w:rsidR="00334D7E" w:rsidP="00334D7E" w:rsidRDefault="00334D7E" w14:paraId="7FEB9259" w14:textId="76044FE3">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0B5A6A0E" w14:textId="77777777">
            <w:pPr>
              <w:rPr>
                <w:rFonts w:ascii="Verdana" w:hAnsi="Verdana"/>
                <w:sz w:val="16"/>
                <w:szCs w:val="16"/>
              </w:rPr>
            </w:pPr>
            <w:r w:rsidRPr="002C5EC5">
              <w:rPr>
                <w:rFonts w:ascii="Verdana" w:hAnsi="Verdana"/>
                <w:sz w:val="16"/>
                <w:szCs w:val="16"/>
              </w:rPr>
              <w:t>48 duodecies, tweede lid</w:t>
            </w:r>
          </w:p>
        </w:tc>
        <w:tc>
          <w:tcPr>
            <w:tcW w:w="1625" w:type="dxa"/>
          </w:tcPr>
          <w:p w:rsidR="00334D7E" w:rsidP="00334D7E" w:rsidRDefault="00334D7E" w14:paraId="26A3492B" w14:textId="77777777">
            <w:pPr>
              <w:spacing w:line="240" w:lineRule="atLeast"/>
              <w:rPr>
                <w:rFonts w:ascii="Verdana" w:hAnsi="Verdana"/>
                <w:sz w:val="16"/>
                <w:szCs w:val="16"/>
              </w:rPr>
            </w:pPr>
            <w:r>
              <w:rPr>
                <w:rFonts w:ascii="Verdana" w:hAnsi="Verdana"/>
                <w:sz w:val="16"/>
                <w:szCs w:val="16"/>
              </w:rPr>
              <w:t>Artikel I, onderdeel AAA (</w:t>
            </w:r>
            <w:r w:rsidRPr="002C5EC5">
              <w:rPr>
                <w:rFonts w:ascii="Verdana" w:hAnsi="Verdana"/>
                <w:sz w:val="16"/>
                <w:szCs w:val="16"/>
              </w:rPr>
              <w:t>3:82b, eerste lid, Wft</w:t>
            </w:r>
            <w:r>
              <w:rPr>
                <w:rFonts w:ascii="Verdana" w:hAnsi="Verdana"/>
                <w:sz w:val="16"/>
                <w:szCs w:val="16"/>
              </w:rPr>
              <w:t>)</w:t>
            </w:r>
          </w:p>
          <w:p w:rsidR="00334D7E" w:rsidP="00334D7E" w:rsidRDefault="00334D7E" w14:paraId="613AC54B" w14:textId="77777777">
            <w:pPr>
              <w:spacing w:line="240" w:lineRule="atLeast"/>
              <w:rPr>
                <w:rFonts w:ascii="Verdana" w:hAnsi="Verdana"/>
                <w:sz w:val="16"/>
                <w:szCs w:val="16"/>
              </w:rPr>
            </w:pPr>
          </w:p>
          <w:p w:rsidR="00334D7E" w:rsidP="00334D7E" w:rsidRDefault="00334D7E" w14:paraId="26AFC3CF" w14:textId="77777777">
            <w:pPr>
              <w:spacing w:line="240" w:lineRule="atLeast"/>
              <w:rPr>
                <w:rFonts w:ascii="Verdana" w:hAnsi="Verdana"/>
                <w:sz w:val="16"/>
                <w:szCs w:val="16"/>
              </w:rPr>
            </w:pPr>
            <w:r>
              <w:rPr>
                <w:rFonts w:ascii="Verdana" w:hAnsi="Verdana"/>
                <w:sz w:val="16"/>
                <w:szCs w:val="16"/>
              </w:rPr>
              <w:t>Volgt bij implementatiebesluit (</w:t>
            </w:r>
            <w:r w:rsidRPr="002C5EC5">
              <w:rPr>
                <w:rFonts w:ascii="Verdana" w:hAnsi="Verdana"/>
                <w:sz w:val="16"/>
                <w:szCs w:val="16"/>
              </w:rPr>
              <w:t>130, dertiende lid, Bpr</w:t>
            </w:r>
            <w:r>
              <w:rPr>
                <w:rFonts w:ascii="Verdana" w:hAnsi="Verdana"/>
                <w:sz w:val="16"/>
                <w:szCs w:val="16"/>
              </w:rPr>
              <w:t>)</w:t>
            </w:r>
          </w:p>
        </w:tc>
        <w:tc>
          <w:tcPr>
            <w:tcW w:w="1274" w:type="dxa"/>
          </w:tcPr>
          <w:p w:rsidRPr="002C5EC5" w:rsidR="00334D7E" w:rsidP="00334D7E" w:rsidRDefault="00334D7E" w14:paraId="3FF7B5D0"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1D06CFB2" w14:textId="77777777">
            <w:pPr>
              <w:rPr>
                <w:rFonts w:ascii="Verdana" w:hAnsi="Verdana"/>
                <w:sz w:val="16"/>
                <w:szCs w:val="16"/>
              </w:rPr>
            </w:pPr>
          </w:p>
        </w:tc>
      </w:tr>
      <w:tr w:rsidR="00334D7E" w:rsidTr="00CA30A2" w14:paraId="030F95EB" w14:textId="77777777">
        <w:tc>
          <w:tcPr>
            <w:tcW w:w="1552" w:type="dxa"/>
          </w:tcPr>
          <w:p w:rsidRPr="00DD0008" w:rsidR="00334D7E" w:rsidP="00334D7E" w:rsidRDefault="00334D7E" w14:paraId="1494A931" w14:textId="3B43726D">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262B6CC2" w14:textId="77777777">
            <w:pPr>
              <w:rPr>
                <w:rFonts w:ascii="Verdana" w:hAnsi="Verdana"/>
                <w:sz w:val="16"/>
                <w:szCs w:val="16"/>
              </w:rPr>
            </w:pPr>
            <w:r w:rsidRPr="002C5EC5">
              <w:rPr>
                <w:rFonts w:ascii="Verdana" w:hAnsi="Verdana"/>
                <w:sz w:val="16"/>
                <w:szCs w:val="16"/>
              </w:rPr>
              <w:t>48 duodecies, derde lid</w:t>
            </w:r>
          </w:p>
        </w:tc>
        <w:tc>
          <w:tcPr>
            <w:tcW w:w="1625" w:type="dxa"/>
          </w:tcPr>
          <w:p w:rsidR="00334D7E" w:rsidP="00334D7E" w:rsidRDefault="00334D7E" w14:paraId="6AF80B8A" w14:textId="77777777">
            <w:pPr>
              <w:spacing w:line="240" w:lineRule="atLeast"/>
              <w:rPr>
                <w:rFonts w:ascii="Verdana" w:hAnsi="Verdana"/>
                <w:sz w:val="16"/>
                <w:szCs w:val="16"/>
              </w:rPr>
            </w:pPr>
            <w:r>
              <w:rPr>
                <w:rFonts w:ascii="Verdana" w:hAnsi="Verdana"/>
                <w:sz w:val="16"/>
                <w:szCs w:val="16"/>
              </w:rPr>
              <w:t>Artikel I, onderdeel AAA (</w:t>
            </w:r>
            <w:r w:rsidRPr="002C5EC5">
              <w:rPr>
                <w:rFonts w:ascii="Verdana" w:hAnsi="Verdana"/>
                <w:sz w:val="16"/>
                <w:szCs w:val="16"/>
              </w:rPr>
              <w:t xml:space="preserve">3:82b, </w:t>
            </w:r>
            <w:r>
              <w:rPr>
                <w:rFonts w:ascii="Verdana" w:hAnsi="Verdana"/>
                <w:sz w:val="16"/>
                <w:szCs w:val="16"/>
              </w:rPr>
              <w:t>tweede</w:t>
            </w:r>
            <w:r w:rsidRPr="002C5EC5">
              <w:rPr>
                <w:rFonts w:ascii="Verdana" w:hAnsi="Verdana"/>
                <w:sz w:val="16"/>
                <w:szCs w:val="16"/>
              </w:rPr>
              <w:t xml:space="preserve"> lid, Wft</w:t>
            </w:r>
            <w:r>
              <w:rPr>
                <w:rFonts w:ascii="Verdana" w:hAnsi="Verdana"/>
                <w:sz w:val="16"/>
                <w:szCs w:val="16"/>
              </w:rPr>
              <w:t>)</w:t>
            </w:r>
          </w:p>
          <w:p w:rsidR="00334D7E" w:rsidP="00334D7E" w:rsidRDefault="00334D7E" w14:paraId="48DFAEC2" w14:textId="77777777">
            <w:pPr>
              <w:spacing w:line="240" w:lineRule="atLeast"/>
              <w:rPr>
                <w:rFonts w:ascii="Verdana" w:hAnsi="Verdana"/>
                <w:sz w:val="16"/>
                <w:szCs w:val="16"/>
              </w:rPr>
            </w:pPr>
          </w:p>
        </w:tc>
        <w:tc>
          <w:tcPr>
            <w:tcW w:w="1274" w:type="dxa"/>
          </w:tcPr>
          <w:p w:rsidRPr="002C5EC5" w:rsidR="00334D7E" w:rsidP="00334D7E" w:rsidRDefault="00334D7E" w14:paraId="48402B9B"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60D5BF0F" w14:textId="77777777">
            <w:pPr>
              <w:rPr>
                <w:rFonts w:ascii="Verdana" w:hAnsi="Verdana"/>
                <w:sz w:val="16"/>
                <w:szCs w:val="16"/>
              </w:rPr>
            </w:pPr>
          </w:p>
        </w:tc>
      </w:tr>
      <w:tr w:rsidR="00334D7E" w:rsidTr="00CA30A2" w14:paraId="6F8B14C1" w14:textId="77777777">
        <w:tc>
          <w:tcPr>
            <w:tcW w:w="1552" w:type="dxa"/>
          </w:tcPr>
          <w:p w:rsidRPr="00DD0008" w:rsidR="00334D7E" w:rsidP="00334D7E" w:rsidRDefault="00334D7E" w14:paraId="07F70854" w14:textId="2C3D3EF0">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2B073B96" w14:textId="77777777">
            <w:pPr>
              <w:rPr>
                <w:rFonts w:ascii="Verdana" w:hAnsi="Verdana"/>
                <w:sz w:val="16"/>
                <w:szCs w:val="16"/>
              </w:rPr>
            </w:pPr>
            <w:r w:rsidRPr="002C5EC5">
              <w:rPr>
                <w:rFonts w:ascii="Verdana" w:hAnsi="Verdana"/>
                <w:sz w:val="16"/>
                <w:szCs w:val="16"/>
              </w:rPr>
              <w:t>48 terdecies, eerste lid</w:t>
            </w:r>
          </w:p>
        </w:tc>
        <w:tc>
          <w:tcPr>
            <w:tcW w:w="1625" w:type="dxa"/>
          </w:tcPr>
          <w:p w:rsidR="00334D7E" w:rsidP="00334D7E" w:rsidRDefault="00334D7E" w14:paraId="4F85B562" w14:textId="77777777">
            <w:pPr>
              <w:spacing w:line="240" w:lineRule="atLeast"/>
              <w:rPr>
                <w:rFonts w:ascii="Verdana" w:hAnsi="Verdana"/>
                <w:sz w:val="16"/>
                <w:szCs w:val="16"/>
              </w:rPr>
            </w:pPr>
            <w:r>
              <w:rPr>
                <w:rFonts w:ascii="Verdana" w:hAnsi="Verdana"/>
                <w:sz w:val="16"/>
                <w:szCs w:val="16"/>
              </w:rPr>
              <w:t>Artikel I, onderdeel AAA (</w:t>
            </w:r>
            <w:r w:rsidRPr="002C5EC5">
              <w:rPr>
                <w:rFonts w:ascii="Verdana" w:hAnsi="Verdana"/>
                <w:sz w:val="16"/>
                <w:szCs w:val="16"/>
              </w:rPr>
              <w:t>3:82b, eerste lid, Wft</w:t>
            </w:r>
            <w:r>
              <w:rPr>
                <w:rFonts w:ascii="Verdana" w:hAnsi="Verdana"/>
                <w:sz w:val="16"/>
                <w:szCs w:val="16"/>
              </w:rPr>
              <w:t>)</w:t>
            </w:r>
          </w:p>
          <w:p w:rsidR="00334D7E" w:rsidP="00334D7E" w:rsidRDefault="00334D7E" w14:paraId="578C61A1" w14:textId="77777777">
            <w:pPr>
              <w:spacing w:line="240" w:lineRule="atLeast"/>
              <w:rPr>
                <w:rFonts w:ascii="Verdana" w:hAnsi="Verdana"/>
                <w:sz w:val="16"/>
                <w:szCs w:val="16"/>
              </w:rPr>
            </w:pPr>
          </w:p>
          <w:p w:rsidR="00334D7E" w:rsidP="00334D7E" w:rsidRDefault="00334D7E" w14:paraId="3F8A4ABC" w14:textId="77777777">
            <w:pPr>
              <w:spacing w:line="240" w:lineRule="atLeast"/>
              <w:rPr>
                <w:rFonts w:ascii="Verdana" w:hAnsi="Verdana"/>
                <w:sz w:val="16"/>
                <w:szCs w:val="16"/>
              </w:rPr>
            </w:pPr>
            <w:r>
              <w:rPr>
                <w:rFonts w:ascii="Verdana" w:hAnsi="Verdana"/>
                <w:sz w:val="16"/>
                <w:szCs w:val="16"/>
              </w:rPr>
              <w:t>Volgt bij implementatiebesluit (</w:t>
            </w:r>
            <w:r w:rsidRPr="002C5EC5">
              <w:rPr>
                <w:rFonts w:ascii="Verdana" w:hAnsi="Verdana"/>
                <w:sz w:val="16"/>
                <w:szCs w:val="16"/>
              </w:rPr>
              <w:t>130, dertiende lid, Bpr</w:t>
            </w:r>
            <w:r>
              <w:rPr>
                <w:rFonts w:ascii="Verdana" w:hAnsi="Verdana"/>
                <w:sz w:val="16"/>
                <w:szCs w:val="16"/>
              </w:rPr>
              <w:t>)</w:t>
            </w:r>
          </w:p>
        </w:tc>
        <w:tc>
          <w:tcPr>
            <w:tcW w:w="1274" w:type="dxa"/>
          </w:tcPr>
          <w:p w:rsidRPr="002C5EC5" w:rsidR="00334D7E" w:rsidP="00334D7E" w:rsidRDefault="00334D7E" w14:paraId="3761E1B1"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411C2382" w14:textId="77777777">
            <w:pPr>
              <w:rPr>
                <w:rFonts w:ascii="Verdana" w:hAnsi="Verdana"/>
                <w:sz w:val="16"/>
                <w:szCs w:val="16"/>
              </w:rPr>
            </w:pPr>
          </w:p>
        </w:tc>
      </w:tr>
      <w:tr w:rsidR="00334D7E" w:rsidTr="00CA30A2" w14:paraId="27D653F9" w14:textId="77777777">
        <w:tc>
          <w:tcPr>
            <w:tcW w:w="1552" w:type="dxa"/>
          </w:tcPr>
          <w:p w:rsidRPr="00DD0008" w:rsidR="00334D7E" w:rsidP="00334D7E" w:rsidRDefault="00334D7E" w14:paraId="45A82AD9" w14:textId="6BE88489">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5F808EB0" w14:textId="77777777">
            <w:pPr>
              <w:rPr>
                <w:rFonts w:ascii="Verdana" w:hAnsi="Verdana"/>
                <w:sz w:val="16"/>
                <w:szCs w:val="16"/>
              </w:rPr>
            </w:pPr>
            <w:r w:rsidRPr="002C5EC5">
              <w:rPr>
                <w:rFonts w:ascii="Verdana" w:hAnsi="Verdana"/>
                <w:sz w:val="16"/>
                <w:szCs w:val="16"/>
              </w:rPr>
              <w:t>48 terdecies, tweede lid</w:t>
            </w:r>
          </w:p>
        </w:tc>
        <w:tc>
          <w:tcPr>
            <w:tcW w:w="1625" w:type="dxa"/>
          </w:tcPr>
          <w:p w:rsidR="00334D7E" w:rsidP="00334D7E" w:rsidRDefault="00334D7E" w14:paraId="61EED731" w14:textId="77777777">
            <w:pPr>
              <w:spacing w:line="240" w:lineRule="atLeast"/>
              <w:rPr>
                <w:rFonts w:ascii="Verdana" w:hAnsi="Verdana"/>
                <w:sz w:val="16"/>
                <w:szCs w:val="16"/>
              </w:rPr>
            </w:pPr>
            <w:r>
              <w:rPr>
                <w:rFonts w:ascii="Verdana" w:hAnsi="Verdana"/>
                <w:sz w:val="16"/>
                <w:szCs w:val="16"/>
              </w:rPr>
              <w:t>Artikel I, onderdeel AAA (</w:t>
            </w:r>
            <w:r w:rsidRPr="002C5EC5">
              <w:rPr>
                <w:rFonts w:ascii="Verdana" w:hAnsi="Verdana"/>
                <w:sz w:val="16"/>
                <w:szCs w:val="16"/>
              </w:rPr>
              <w:t xml:space="preserve">3:82b, </w:t>
            </w:r>
            <w:r>
              <w:rPr>
                <w:rFonts w:ascii="Verdana" w:hAnsi="Verdana"/>
                <w:sz w:val="16"/>
                <w:szCs w:val="16"/>
              </w:rPr>
              <w:t>derde</w:t>
            </w:r>
            <w:r w:rsidRPr="002C5EC5">
              <w:rPr>
                <w:rFonts w:ascii="Verdana" w:hAnsi="Verdana"/>
                <w:sz w:val="16"/>
                <w:szCs w:val="16"/>
              </w:rPr>
              <w:t xml:space="preserve"> lid, Wft</w:t>
            </w:r>
            <w:r>
              <w:rPr>
                <w:rFonts w:ascii="Verdana" w:hAnsi="Verdana"/>
                <w:sz w:val="16"/>
                <w:szCs w:val="16"/>
              </w:rPr>
              <w:t>)</w:t>
            </w:r>
          </w:p>
          <w:p w:rsidR="00334D7E" w:rsidP="00334D7E" w:rsidRDefault="00334D7E" w14:paraId="22C26A2A" w14:textId="77777777">
            <w:pPr>
              <w:spacing w:line="240" w:lineRule="atLeast"/>
              <w:rPr>
                <w:rFonts w:ascii="Verdana" w:hAnsi="Verdana"/>
                <w:sz w:val="16"/>
                <w:szCs w:val="16"/>
              </w:rPr>
            </w:pPr>
          </w:p>
          <w:p w:rsidR="00334D7E" w:rsidP="00334D7E" w:rsidRDefault="00334D7E" w14:paraId="176F8E4C" w14:textId="77777777">
            <w:pPr>
              <w:spacing w:line="240" w:lineRule="atLeast"/>
              <w:rPr>
                <w:rFonts w:ascii="Verdana" w:hAnsi="Verdana"/>
                <w:sz w:val="16"/>
                <w:szCs w:val="16"/>
              </w:rPr>
            </w:pPr>
            <w:r>
              <w:rPr>
                <w:rFonts w:ascii="Verdana" w:hAnsi="Verdana"/>
                <w:sz w:val="16"/>
                <w:szCs w:val="16"/>
              </w:rPr>
              <w:t>Volgt bij implementatiebesluit (</w:t>
            </w:r>
            <w:r w:rsidRPr="002C5EC5">
              <w:rPr>
                <w:rFonts w:ascii="Verdana" w:hAnsi="Verdana"/>
                <w:sz w:val="16"/>
                <w:szCs w:val="16"/>
              </w:rPr>
              <w:t>130, dertiende lid, Bpr</w:t>
            </w:r>
            <w:r>
              <w:rPr>
                <w:rFonts w:ascii="Verdana" w:hAnsi="Verdana"/>
                <w:sz w:val="16"/>
                <w:szCs w:val="16"/>
              </w:rPr>
              <w:t>)</w:t>
            </w:r>
          </w:p>
        </w:tc>
        <w:tc>
          <w:tcPr>
            <w:tcW w:w="1274" w:type="dxa"/>
          </w:tcPr>
          <w:p w:rsidRPr="002C5EC5" w:rsidR="00334D7E" w:rsidP="00334D7E" w:rsidRDefault="00334D7E" w14:paraId="2DB2C690"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3E784AB2" w14:textId="77777777">
            <w:pPr>
              <w:rPr>
                <w:rFonts w:ascii="Verdana" w:hAnsi="Verdana"/>
                <w:sz w:val="16"/>
                <w:szCs w:val="16"/>
              </w:rPr>
            </w:pPr>
          </w:p>
        </w:tc>
      </w:tr>
      <w:tr w:rsidR="00334D7E" w:rsidTr="00CA30A2" w14:paraId="5B7F7A22" w14:textId="77777777">
        <w:tc>
          <w:tcPr>
            <w:tcW w:w="1552" w:type="dxa"/>
          </w:tcPr>
          <w:p w:rsidRPr="00DD0008" w:rsidR="00334D7E" w:rsidP="00334D7E" w:rsidRDefault="00334D7E" w14:paraId="646051F8" w14:textId="4F4872F6">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5E35811E" w14:textId="77777777">
            <w:pPr>
              <w:rPr>
                <w:rFonts w:ascii="Verdana" w:hAnsi="Verdana"/>
                <w:sz w:val="16"/>
                <w:szCs w:val="16"/>
              </w:rPr>
            </w:pPr>
            <w:r w:rsidRPr="002C5EC5">
              <w:rPr>
                <w:rFonts w:ascii="Verdana" w:hAnsi="Verdana"/>
                <w:sz w:val="16"/>
                <w:szCs w:val="16"/>
              </w:rPr>
              <w:t>48 terdecies, derde lid</w:t>
            </w:r>
          </w:p>
        </w:tc>
        <w:tc>
          <w:tcPr>
            <w:tcW w:w="1625" w:type="dxa"/>
          </w:tcPr>
          <w:p w:rsidRPr="002C5EC5" w:rsidR="00334D7E" w:rsidP="00334D7E" w:rsidRDefault="00334D7E" w14:paraId="45A73690" w14:textId="77777777">
            <w:pPr>
              <w:spacing w:line="240" w:lineRule="atLeast"/>
              <w:rPr>
                <w:rFonts w:ascii="Verdana" w:hAnsi="Verdana"/>
                <w:sz w:val="16"/>
                <w:szCs w:val="16"/>
              </w:rPr>
            </w:pPr>
            <w:r>
              <w:rPr>
                <w:rFonts w:ascii="Verdana" w:hAnsi="Verdana"/>
                <w:sz w:val="16"/>
                <w:szCs w:val="16"/>
              </w:rPr>
              <w:t>Artikel I, onderdeel AAA (</w:t>
            </w:r>
            <w:r w:rsidRPr="002C5EC5">
              <w:rPr>
                <w:rFonts w:ascii="Verdana" w:hAnsi="Verdana"/>
                <w:sz w:val="16"/>
                <w:szCs w:val="16"/>
              </w:rPr>
              <w:t xml:space="preserve">3:82b, </w:t>
            </w:r>
            <w:r>
              <w:rPr>
                <w:rFonts w:ascii="Verdana" w:hAnsi="Verdana"/>
                <w:sz w:val="16"/>
                <w:szCs w:val="16"/>
              </w:rPr>
              <w:t>derde</w:t>
            </w:r>
            <w:r w:rsidRPr="002C5EC5">
              <w:rPr>
                <w:rFonts w:ascii="Verdana" w:hAnsi="Verdana"/>
                <w:sz w:val="16"/>
                <w:szCs w:val="16"/>
              </w:rPr>
              <w:t xml:space="preserve"> lid, Wft</w:t>
            </w:r>
            <w:r>
              <w:rPr>
                <w:rFonts w:ascii="Verdana" w:hAnsi="Verdana"/>
                <w:sz w:val="16"/>
                <w:szCs w:val="16"/>
              </w:rPr>
              <w:t>)</w:t>
            </w:r>
          </w:p>
          <w:p w:rsidR="00334D7E" w:rsidP="00334D7E" w:rsidRDefault="00334D7E" w14:paraId="3AE503E9" w14:textId="77777777">
            <w:pPr>
              <w:spacing w:line="240" w:lineRule="atLeast"/>
              <w:rPr>
                <w:rFonts w:ascii="Verdana" w:hAnsi="Verdana"/>
                <w:sz w:val="16"/>
                <w:szCs w:val="16"/>
              </w:rPr>
            </w:pPr>
          </w:p>
        </w:tc>
        <w:tc>
          <w:tcPr>
            <w:tcW w:w="1274" w:type="dxa"/>
          </w:tcPr>
          <w:p w:rsidRPr="002C5EC5" w:rsidR="00334D7E" w:rsidP="00334D7E" w:rsidRDefault="00334D7E" w14:paraId="7ED3D410"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1F7B6286" w14:textId="77777777">
            <w:pPr>
              <w:rPr>
                <w:rFonts w:ascii="Verdana" w:hAnsi="Verdana"/>
                <w:sz w:val="16"/>
                <w:szCs w:val="16"/>
              </w:rPr>
            </w:pPr>
          </w:p>
        </w:tc>
      </w:tr>
      <w:tr w:rsidR="00334D7E" w:rsidTr="00CA30A2" w14:paraId="53BC4FBA" w14:textId="77777777">
        <w:tc>
          <w:tcPr>
            <w:tcW w:w="1552" w:type="dxa"/>
          </w:tcPr>
          <w:p w:rsidRPr="00DD0008" w:rsidR="00334D7E" w:rsidP="00334D7E" w:rsidRDefault="00334D7E" w14:paraId="447D40D2" w14:textId="25E6F09C">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142C834C" w14:textId="77777777">
            <w:pPr>
              <w:rPr>
                <w:rFonts w:ascii="Verdana" w:hAnsi="Verdana"/>
                <w:sz w:val="16"/>
                <w:szCs w:val="16"/>
              </w:rPr>
            </w:pPr>
            <w:r w:rsidRPr="002C5EC5">
              <w:rPr>
                <w:rFonts w:ascii="Verdana" w:hAnsi="Verdana"/>
                <w:sz w:val="16"/>
                <w:szCs w:val="16"/>
              </w:rPr>
              <w:t>48 quaterdecies, eerste lid</w:t>
            </w:r>
          </w:p>
        </w:tc>
        <w:tc>
          <w:tcPr>
            <w:tcW w:w="1625" w:type="dxa"/>
          </w:tcPr>
          <w:p w:rsidR="00334D7E" w:rsidP="00334D7E" w:rsidRDefault="00334D7E" w14:paraId="0AB5A745"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Volgt uit het systeem van de wet.</w:t>
            </w:r>
          </w:p>
        </w:tc>
        <w:tc>
          <w:tcPr>
            <w:tcW w:w="1274" w:type="dxa"/>
          </w:tcPr>
          <w:p w:rsidRPr="002C5EC5" w:rsidR="00334D7E" w:rsidP="00334D7E" w:rsidRDefault="00334D7E" w14:paraId="75DEBF6E"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7D62D618" w14:textId="77777777">
            <w:pPr>
              <w:rPr>
                <w:rFonts w:ascii="Verdana" w:hAnsi="Verdana"/>
                <w:sz w:val="16"/>
                <w:szCs w:val="16"/>
              </w:rPr>
            </w:pPr>
          </w:p>
        </w:tc>
      </w:tr>
      <w:tr w:rsidR="00334D7E" w:rsidTr="00CA30A2" w14:paraId="3FAA30C8" w14:textId="77777777">
        <w:tc>
          <w:tcPr>
            <w:tcW w:w="1552" w:type="dxa"/>
          </w:tcPr>
          <w:p w:rsidRPr="00DD0008" w:rsidR="00334D7E" w:rsidP="00334D7E" w:rsidRDefault="00334D7E" w14:paraId="7A4B79E5" w14:textId="2884DF7B">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3C90328A" w14:textId="77777777">
            <w:pPr>
              <w:rPr>
                <w:rFonts w:ascii="Verdana" w:hAnsi="Verdana"/>
                <w:sz w:val="16"/>
                <w:szCs w:val="16"/>
              </w:rPr>
            </w:pPr>
            <w:r w:rsidRPr="002C5EC5">
              <w:rPr>
                <w:rFonts w:ascii="Verdana" w:hAnsi="Verdana"/>
                <w:sz w:val="16"/>
                <w:szCs w:val="16"/>
              </w:rPr>
              <w:t>48 quaterdecies, tweede lid</w:t>
            </w:r>
          </w:p>
        </w:tc>
        <w:tc>
          <w:tcPr>
            <w:tcW w:w="1625" w:type="dxa"/>
          </w:tcPr>
          <w:p w:rsidRPr="002C5EC5" w:rsidR="00334D7E" w:rsidP="00334D7E" w:rsidRDefault="00334D7E" w14:paraId="02EFA4CA" w14:textId="77777777">
            <w:pPr>
              <w:spacing w:line="240" w:lineRule="atLeast"/>
              <w:rPr>
                <w:rFonts w:ascii="Verdana" w:hAnsi="Verdana"/>
                <w:sz w:val="16"/>
                <w:szCs w:val="16"/>
              </w:rPr>
            </w:pPr>
            <w:r>
              <w:rPr>
                <w:rFonts w:ascii="Verdana" w:hAnsi="Verdana"/>
                <w:sz w:val="16"/>
                <w:szCs w:val="16"/>
              </w:rPr>
              <w:t>Volgt bij implementatieregeling</w:t>
            </w:r>
            <w:r w:rsidRPr="002C5EC5">
              <w:rPr>
                <w:rFonts w:ascii="Verdana" w:hAnsi="Verdana"/>
                <w:sz w:val="16"/>
                <w:szCs w:val="16"/>
              </w:rPr>
              <w:t xml:space="preserve"> </w:t>
            </w:r>
            <w:r>
              <w:rPr>
                <w:rFonts w:ascii="Verdana" w:hAnsi="Verdana"/>
                <w:sz w:val="16"/>
                <w:szCs w:val="16"/>
              </w:rPr>
              <w:t>(Bijlage 6 Rtt)</w:t>
            </w:r>
          </w:p>
        </w:tc>
        <w:tc>
          <w:tcPr>
            <w:tcW w:w="1274" w:type="dxa"/>
          </w:tcPr>
          <w:p w:rsidRPr="002C5EC5" w:rsidR="00334D7E" w:rsidP="00334D7E" w:rsidRDefault="00334D7E" w14:paraId="3E9185E4"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6FCA519F" w14:textId="77777777">
            <w:pPr>
              <w:rPr>
                <w:rFonts w:ascii="Verdana" w:hAnsi="Verdana"/>
                <w:sz w:val="16"/>
                <w:szCs w:val="16"/>
              </w:rPr>
            </w:pPr>
          </w:p>
        </w:tc>
      </w:tr>
      <w:tr w:rsidR="00334D7E" w:rsidTr="00CA30A2" w14:paraId="420BD251" w14:textId="77777777">
        <w:tc>
          <w:tcPr>
            <w:tcW w:w="1552" w:type="dxa"/>
          </w:tcPr>
          <w:p w:rsidRPr="00DD0008" w:rsidR="00334D7E" w:rsidP="00334D7E" w:rsidRDefault="00334D7E" w14:paraId="7F1E3168" w14:textId="611EE823">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445A714C" w14:textId="77777777">
            <w:pPr>
              <w:rPr>
                <w:rFonts w:ascii="Verdana" w:hAnsi="Verdana"/>
                <w:sz w:val="16"/>
                <w:szCs w:val="16"/>
              </w:rPr>
            </w:pPr>
            <w:r w:rsidRPr="002C5EC5">
              <w:rPr>
                <w:rFonts w:ascii="Verdana" w:hAnsi="Verdana"/>
                <w:sz w:val="16"/>
                <w:szCs w:val="16"/>
              </w:rPr>
              <w:t>48 quindecies, eerste lid</w:t>
            </w:r>
          </w:p>
        </w:tc>
        <w:tc>
          <w:tcPr>
            <w:tcW w:w="1625" w:type="dxa"/>
          </w:tcPr>
          <w:p w:rsidR="00334D7E" w:rsidP="00334D7E" w:rsidRDefault="00334D7E" w14:paraId="5CB936AA" w14:textId="77777777">
            <w:pPr>
              <w:spacing w:line="240" w:lineRule="atLeast"/>
              <w:rPr>
                <w:rFonts w:ascii="Verdana" w:hAnsi="Verdana"/>
                <w:sz w:val="16"/>
                <w:szCs w:val="16"/>
              </w:rPr>
            </w:pPr>
            <w:r>
              <w:rPr>
                <w:rFonts w:ascii="Verdana" w:hAnsi="Verdana"/>
                <w:sz w:val="16"/>
                <w:szCs w:val="16"/>
              </w:rPr>
              <w:t>Artikel I, onderdeel EE (</w:t>
            </w:r>
            <w:r w:rsidRPr="002C5EC5">
              <w:rPr>
                <w:rFonts w:ascii="Verdana" w:hAnsi="Verdana"/>
                <w:sz w:val="16"/>
                <w:szCs w:val="16"/>
              </w:rPr>
              <w:t>3:18ab, eerste lid, Wft</w:t>
            </w:r>
            <w:r>
              <w:rPr>
                <w:rFonts w:ascii="Verdana" w:hAnsi="Verdana"/>
                <w:sz w:val="16"/>
                <w:szCs w:val="16"/>
              </w:rPr>
              <w:t>)</w:t>
            </w:r>
          </w:p>
        </w:tc>
        <w:tc>
          <w:tcPr>
            <w:tcW w:w="1274" w:type="dxa"/>
          </w:tcPr>
          <w:p w:rsidRPr="002C5EC5" w:rsidR="00334D7E" w:rsidP="00334D7E" w:rsidRDefault="00334D7E" w14:paraId="48731197"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0176B509" w14:textId="77777777">
            <w:pPr>
              <w:rPr>
                <w:rFonts w:ascii="Verdana" w:hAnsi="Verdana"/>
                <w:sz w:val="16"/>
                <w:szCs w:val="16"/>
              </w:rPr>
            </w:pPr>
          </w:p>
        </w:tc>
      </w:tr>
      <w:tr w:rsidR="00334D7E" w:rsidTr="00CA30A2" w14:paraId="74FFA48E" w14:textId="77777777">
        <w:tc>
          <w:tcPr>
            <w:tcW w:w="1552" w:type="dxa"/>
          </w:tcPr>
          <w:p w:rsidRPr="00DD0008" w:rsidR="00334D7E" w:rsidP="00334D7E" w:rsidRDefault="00334D7E" w14:paraId="5A90422B" w14:textId="4FE71EAC">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6B4761A1" w14:textId="77777777">
            <w:pPr>
              <w:rPr>
                <w:rFonts w:ascii="Verdana" w:hAnsi="Verdana"/>
                <w:sz w:val="16"/>
                <w:szCs w:val="16"/>
              </w:rPr>
            </w:pPr>
            <w:r w:rsidRPr="002C5EC5">
              <w:rPr>
                <w:rFonts w:ascii="Verdana" w:hAnsi="Verdana"/>
                <w:sz w:val="16"/>
                <w:szCs w:val="16"/>
              </w:rPr>
              <w:t>48 quindecies, tweede lid</w:t>
            </w:r>
          </w:p>
        </w:tc>
        <w:tc>
          <w:tcPr>
            <w:tcW w:w="1625" w:type="dxa"/>
          </w:tcPr>
          <w:p w:rsidR="00334D7E" w:rsidP="00334D7E" w:rsidRDefault="00334D7E" w14:paraId="2C7960EA" w14:textId="77777777">
            <w:pPr>
              <w:spacing w:line="240" w:lineRule="atLeast"/>
              <w:rPr>
                <w:rFonts w:ascii="Verdana" w:hAnsi="Verdana"/>
                <w:sz w:val="16"/>
                <w:szCs w:val="16"/>
              </w:rPr>
            </w:pPr>
            <w:r>
              <w:rPr>
                <w:rFonts w:ascii="Verdana" w:hAnsi="Verdana"/>
                <w:sz w:val="16"/>
                <w:szCs w:val="16"/>
              </w:rPr>
              <w:t>Artikel I, onderdeel EE (</w:t>
            </w:r>
            <w:r w:rsidRPr="002C5EC5">
              <w:rPr>
                <w:rFonts w:ascii="Verdana" w:hAnsi="Verdana"/>
                <w:sz w:val="16"/>
                <w:szCs w:val="16"/>
              </w:rPr>
              <w:t>3:18ab, tweede lid, Wft</w:t>
            </w:r>
            <w:r>
              <w:rPr>
                <w:rFonts w:ascii="Verdana" w:hAnsi="Verdana"/>
                <w:sz w:val="16"/>
                <w:szCs w:val="16"/>
              </w:rPr>
              <w:t>)</w:t>
            </w:r>
          </w:p>
        </w:tc>
        <w:tc>
          <w:tcPr>
            <w:tcW w:w="1274" w:type="dxa"/>
          </w:tcPr>
          <w:p w:rsidRPr="002C5EC5" w:rsidR="00334D7E" w:rsidP="00334D7E" w:rsidRDefault="00334D7E" w14:paraId="4787BB90"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3D3352E3" w14:textId="77777777">
            <w:pPr>
              <w:rPr>
                <w:rFonts w:ascii="Verdana" w:hAnsi="Verdana"/>
                <w:sz w:val="16"/>
                <w:szCs w:val="16"/>
              </w:rPr>
            </w:pPr>
          </w:p>
        </w:tc>
      </w:tr>
      <w:tr w:rsidR="00334D7E" w:rsidTr="00CA30A2" w14:paraId="62297F5C" w14:textId="77777777">
        <w:tc>
          <w:tcPr>
            <w:tcW w:w="1552" w:type="dxa"/>
          </w:tcPr>
          <w:p w:rsidRPr="00DD0008" w:rsidR="00334D7E" w:rsidP="00334D7E" w:rsidRDefault="00334D7E" w14:paraId="0E58D07A" w14:textId="7560DA18">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00429996" w14:textId="77777777">
            <w:pPr>
              <w:rPr>
                <w:rFonts w:ascii="Verdana" w:hAnsi="Verdana"/>
                <w:sz w:val="16"/>
                <w:szCs w:val="16"/>
              </w:rPr>
            </w:pPr>
            <w:r w:rsidRPr="002C5EC5">
              <w:rPr>
                <w:rFonts w:ascii="Verdana" w:hAnsi="Verdana"/>
                <w:sz w:val="16"/>
                <w:szCs w:val="16"/>
              </w:rPr>
              <w:t>48 quindecies, derde lid, eerste zin</w:t>
            </w:r>
          </w:p>
        </w:tc>
        <w:tc>
          <w:tcPr>
            <w:tcW w:w="1625" w:type="dxa"/>
          </w:tcPr>
          <w:p w:rsidR="00334D7E" w:rsidP="00334D7E" w:rsidRDefault="00334D7E" w14:paraId="160ACAFD" w14:textId="77777777">
            <w:pPr>
              <w:spacing w:line="240" w:lineRule="atLeast"/>
              <w:rPr>
                <w:rFonts w:ascii="Verdana" w:hAnsi="Verdana"/>
                <w:sz w:val="16"/>
                <w:szCs w:val="16"/>
              </w:rPr>
            </w:pPr>
            <w:r>
              <w:rPr>
                <w:rFonts w:ascii="Verdana" w:hAnsi="Verdana"/>
                <w:sz w:val="16"/>
                <w:szCs w:val="16"/>
              </w:rPr>
              <w:t>Volgt bij implementatieregeling</w:t>
            </w:r>
            <w:r w:rsidRPr="002C5EC5">
              <w:rPr>
                <w:rFonts w:ascii="Verdana" w:hAnsi="Verdana"/>
                <w:sz w:val="16"/>
                <w:szCs w:val="16"/>
              </w:rPr>
              <w:t xml:space="preserve"> </w:t>
            </w:r>
            <w:r>
              <w:rPr>
                <w:rFonts w:ascii="Verdana" w:hAnsi="Verdana"/>
                <w:sz w:val="16"/>
                <w:szCs w:val="16"/>
              </w:rPr>
              <w:t>(Bijlage 6 Rtt)</w:t>
            </w:r>
          </w:p>
        </w:tc>
        <w:tc>
          <w:tcPr>
            <w:tcW w:w="1274" w:type="dxa"/>
          </w:tcPr>
          <w:p w:rsidRPr="002C5EC5" w:rsidR="00334D7E" w:rsidP="00334D7E" w:rsidRDefault="00334D7E" w14:paraId="371A07EE"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7CAF0A42" w14:textId="77777777">
            <w:pPr>
              <w:rPr>
                <w:rFonts w:ascii="Verdana" w:hAnsi="Verdana"/>
                <w:sz w:val="16"/>
                <w:szCs w:val="16"/>
              </w:rPr>
            </w:pPr>
          </w:p>
        </w:tc>
      </w:tr>
      <w:tr w:rsidR="00334D7E" w:rsidTr="00CA30A2" w14:paraId="2304D517" w14:textId="77777777">
        <w:tc>
          <w:tcPr>
            <w:tcW w:w="1552" w:type="dxa"/>
          </w:tcPr>
          <w:p w:rsidRPr="00DD0008" w:rsidR="00334D7E" w:rsidP="00334D7E" w:rsidRDefault="00334D7E" w14:paraId="6D07D026" w14:textId="3674151A">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5FC938F0" w14:textId="77777777">
            <w:pPr>
              <w:rPr>
                <w:rFonts w:ascii="Verdana" w:hAnsi="Verdana"/>
                <w:sz w:val="16"/>
                <w:szCs w:val="16"/>
              </w:rPr>
            </w:pPr>
            <w:r w:rsidRPr="002C5EC5">
              <w:rPr>
                <w:rFonts w:ascii="Verdana" w:hAnsi="Verdana"/>
                <w:sz w:val="16"/>
                <w:szCs w:val="16"/>
              </w:rPr>
              <w:t>48 quindecies, derde lid, tweede zin</w:t>
            </w:r>
          </w:p>
        </w:tc>
        <w:tc>
          <w:tcPr>
            <w:tcW w:w="1625" w:type="dxa"/>
          </w:tcPr>
          <w:p w:rsidR="00334D7E" w:rsidP="00334D7E" w:rsidRDefault="00334D7E" w14:paraId="459A4832" w14:textId="77777777">
            <w:pPr>
              <w:spacing w:line="240" w:lineRule="atLeast"/>
              <w:rPr>
                <w:rFonts w:ascii="Verdana" w:hAnsi="Verdana"/>
                <w:sz w:val="16"/>
                <w:szCs w:val="16"/>
              </w:rPr>
            </w:pPr>
            <w:r>
              <w:rPr>
                <w:rFonts w:ascii="Verdana" w:hAnsi="Verdana"/>
                <w:sz w:val="16"/>
                <w:szCs w:val="16"/>
              </w:rPr>
              <w:t>Artikel I, onderdeel EE (</w:t>
            </w:r>
            <w:r w:rsidRPr="002C5EC5">
              <w:rPr>
                <w:rFonts w:ascii="Verdana" w:hAnsi="Verdana"/>
                <w:sz w:val="16"/>
                <w:szCs w:val="16"/>
              </w:rPr>
              <w:t>3:18ab, derde lid, Wft</w:t>
            </w:r>
            <w:r>
              <w:rPr>
                <w:rFonts w:ascii="Verdana" w:hAnsi="Verdana"/>
                <w:sz w:val="16"/>
                <w:szCs w:val="16"/>
              </w:rPr>
              <w:t>)</w:t>
            </w:r>
          </w:p>
        </w:tc>
        <w:tc>
          <w:tcPr>
            <w:tcW w:w="1274" w:type="dxa"/>
          </w:tcPr>
          <w:p w:rsidRPr="002C5EC5" w:rsidR="00334D7E" w:rsidP="00334D7E" w:rsidRDefault="00334D7E" w14:paraId="4AD08D6A"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3DCE00E3" w14:textId="77777777">
            <w:pPr>
              <w:rPr>
                <w:rFonts w:ascii="Verdana" w:hAnsi="Verdana"/>
                <w:sz w:val="16"/>
                <w:szCs w:val="16"/>
              </w:rPr>
            </w:pPr>
          </w:p>
        </w:tc>
      </w:tr>
      <w:tr w:rsidR="00334D7E" w:rsidTr="00CA30A2" w14:paraId="0F79CADE" w14:textId="77777777">
        <w:tc>
          <w:tcPr>
            <w:tcW w:w="1552" w:type="dxa"/>
          </w:tcPr>
          <w:p w:rsidRPr="00DD0008" w:rsidR="00334D7E" w:rsidP="00334D7E" w:rsidRDefault="00334D7E" w14:paraId="0B6F97EB" w14:textId="0D32366D">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5323CD90" w14:textId="77777777">
            <w:pPr>
              <w:rPr>
                <w:rFonts w:ascii="Verdana" w:hAnsi="Verdana"/>
                <w:sz w:val="16"/>
                <w:szCs w:val="16"/>
              </w:rPr>
            </w:pPr>
            <w:r w:rsidRPr="002C5EC5">
              <w:rPr>
                <w:rFonts w:ascii="Verdana" w:hAnsi="Verdana"/>
                <w:sz w:val="16"/>
                <w:szCs w:val="16"/>
              </w:rPr>
              <w:t>48 quindecies, vierde lid, eerste zin</w:t>
            </w:r>
          </w:p>
        </w:tc>
        <w:tc>
          <w:tcPr>
            <w:tcW w:w="1625" w:type="dxa"/>
          </w:tcPr>
          <w:p w:rsidR="00334D7E" w:rsidP="00334D7E" w:rsidRDefault="00334D7E" w14:paraId="1F91FA30" w14:textId="77777777">
            <w:pPr>
              <w:spacing w:line="240" w:lineRule="atLeast"/>
              <w:rPr>
                <w:rFonts w:ascii="Verdana" w:hAnsi="Verdana"/>
                <w:sz w:val="16"/>
                <w:szCs w:val="16"/>
              </w:rPr>
            </w:pPr>
            <w:r w:rsidRPr="00D40E47">
              <w:rPr>
                <w:rFonts w:ascii="Verdana" w:hAnsi="Verdana"/>
                <w:sz w:val="16"/>
                <w:szCs w:val="16"/>
              </w:rPr>
              <w:t>Volgt bij implementatieregeling (Bijlage 6 Rtt)</w:t>
            </w:r>
          </w:p>
        </w:tc>
        <w:tc>
          <w:tcPr>
            <w:tcW w:w="1274" w:type="dxa"/>
          </w:tcPr>
          <w:p w:rsidRPr="002C5EC5" w:rsidR="00334D7E" w:rsidP="00334D7E" w:rsidRDefault="00334D7E" w14:paraId="3E37B3FE"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7A00E5B8" w14:textId="77777777">
            <w:pPr>
              <w:rPr>
                <w:rFonts w:ascii="Verdana" w:hAnsi="Verdana"/>
                <w:sz w:val="16"/>
                <w:szCs w:val="16"/>
              </w:rPr>
            </w:pPr>
          </w:p>
        </w:tc>
      </w:tr>
      <w:tr w:rsidR="00334D7E" w:rsidTr="00CA30A2" w14:paraId="5969C149" w14:textId="77777777">
        <w:tc>
          <w:tcPr>
            <w:tcW w:w="1552" w:type="dxa"/>
          </w:tcPr>
          <w:p w:rsidRPr="00DD0008" w:rsidR="00334D7E" w:rsidP="00334D7E" w:rsidRDefault="00334D7E" w14:paraId="4E686669" w14:textId="7D75A779">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162DBA17" w14:textId="77777777">
            <w:pPr>
              <w:rPr>
                <w:rFonts w:ascii="Verdana" w:hAnsi="Verdana"/>
                <w:sz w:val="16"/>
                <w:szCs w:val="16"/>
              </w:rPr>
            </w:pPr>
            <w:r w:rsidRPr="002C5EC5">
              <w:rPr>
                <w:rFonts w:ascii="Verdana" w:hAnsi="Verdana"/>
                <w:sz w:val="16"/>
                <w:szCs w:val="16"/>
              </w:rPr>
              <w:t>48 quindecies, vierde lid, tweede zin</w:t>
            </w:r>
          </w:p>
        </w:tc>
        <w:tc>
          <w:tcPr>
            <w:tcW w:w="1625" w:type="dxa"/>
          </w:tcPr>
          <w:p w:rsidRPr="00D40E47" w:rsidR="00334D7E" w:rsidP="00334D7E" w:rsidRDefault="00334D7E" w14:paraId="7348C611" w14:textId="77777777">
            <w:pPr>
              <w:spacing w:line="240" w:lineRule="atLeast"/>
              <w:rPr>
                <w:rFonts w:ascii="Verdana" w:hAnsi="Verdana"/>
                <w:sz w:val="16"/>
                <w:szCs w:val="16"/>
              </w:rPr>
            </w:pPr>
            <w:r w:rsidRPr="00D40E47">
              <w:rPr>
                <w:rFonts w:ascii="Verdana" w:hAnsi="Verdana"/>
                <w:sz w:val="16"/>
                <w:szCs w:val="16"/>
              </w:rPr>
              <w:t>Volgt bij implementatieregeling (Bijlage 6 Rtt)</w:t>
            </w:r>
          </w:p>
        </w:tc>
        <w:tc>
          <w:tcPr>
            <w:tcW w:w="1274" w:type="dxa"/>
          </w:tcPr>
          <w:p w:rsidRPr="002C5EC5" w:rsidR="00334D7E" w:rsidP="00334D7E" w:rsidRDefault="00334D7E" w14:paraId="49E35F7B"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32D2BB57" w14:textId="77777777">
            <w:pPr>
              <w:rPr>
                <w:rFonts w:ascii="Verdana" w:hAnsi="Verdana"/>
                <w:sz w:val="16"/>
                <w:szCs w:val="16"/>
              </w:rPr>
            </w:pPr>
          </w:p>
        </w:tc>
      </w:tr>
      <w:tr w:rsidR="00334D7E" w:rsidTr="00CA30A2" w14:paraId="75CF5214" w14:textId="77777777">
        <w:tc>
          <w:tcPr>
            <w:tcW w:w="1552" w:type="dxa"/>
          </w:tcPr>
          <w:p w:rsidRPr="00DD0008" w:rsidR="00334D7E" w:rsidP="00334D7E" w:rsidRDefault="00334D7E" w14:paraId="4928EEB4" w14:textId="0CB47D3A">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425A396C" w14:textId="77777777">
            <w:pPr>
              <w:rPr>
                <w:rFonts w:ascii="Verdana" w:hAnsi="Verdana"/>
                <w:sz w:val="16"/>
                <w:szCs w:val="16"/>
              </w:rPr>
            </w:pPr>
            <w:r w:rsidRPr="002C5EC5">
              <w:rPr>
                <w:rFonts w:ascii="Verdana" w:hAnsi="Verdana"/>
                <w:sz w:val="16"/>
                <w:szCs w:val="16"/>
              </w:rPr>
              <w:t>48 quindecies, vierde lid, derde zin</w:t>
            </w:r>
          </w:p>
        </w:tc>
        <w:tc>
          <w:tcPr>
            <w:tcW w:w="1625" w:type="dxa"/>
          </w:tcPr>
          <w:p w:rsidRPr="00D40E47" w:rsidR="00334D7E" w:rsidP="00334D7E" w:rsidRDefault="00334D7E" w14:paraId="1A59A965" w14:textId="77777777">
            <w:pPr>
              <w:spacing w:line="240" w:lineRule="atLeast"/>
              <w:rPr>
                <w:rFonts w:ascii="Verdana" w:hAnsi="Verdana"/>
                <w:sz w:val="16"/>
                <w:szCs w:val="16"/>
              </w:rPr>
            </w:pPr>
            <w:r>
              <w:rPr>
                <w:rFonts w:ascii="Verdana" w:hAnsi="Verdana"/>
                <w:sz w:val="16"/>
                <w:szCs w:val="16"/>
              </w:rPr>
              <w:t>Artikel I, onderdeel J (</w:t>
            </w:r>
            <w:r w:rsidRPr="002C5EC5">
              <w:rPr>
                <w:rFonts w:ascii="Verdana" w:hAnsi="Verdana"/>
                <w:sz w:val="16"/>
                <w:szCs w:val="16"/>
              </w:rPr>
              <w:t>1:104, zevende lid, Wft</w:t>
            </w:r>
            <w:r>
              <w:rPr>
                <w:rFonts w:ascii="Verdana" w:hAnsi="Verdana"/>
                <w:sz w:val="16"/>
                <w:szCs w:val="16"/>
              </w:rPr>
              <w:t>)</w:t>
            </w:r>
          </w:p>
        </w:tc>
        <w:tc>
          <w:tcPr>
            <w:tcW w:w="1274" w:type="dxa"/>
          </w:tcPr>
          <w:p w:rsidRPr="002C5EC5" w:rsidR="00334D7E" w:rsidP="00334D7E" w:rsidRDefault="00334D7E" w14:paraId="7CC45444"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12E1A6F9" w14:textId="77777777">
            <w:pPr>
              <w:rPr>
                <w:rFonts w:ascii="Verdana" w:hAnsi="Verdana"/>
                <w:sz w:val="16"/>
                <w:szCs w:val="16"/>
              </w:rPr>
            </w:pPr>
          </w:p>
        </w:tc>
      </w:tr>
      <w:tr w:rsidR="00334D7E" w:rsidTr="00CA30A2" w14:paraId="1AF8B8E6" w14:textId="77777777">
        <w:tc>
          <w:tcPr>
            <w:tcW w:w="1552" w:type="dxa"/>
          </w:tcPr>
          <w:p w:rsidRPr="00DD0008" w:rsidR="00334D7E" w:rsidP="00334D7E" w:rsidRDefault="00334D7E" w14:paraId="2D8CCF3D" w14:textId="1BAFE62E">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0DF72850" w14:textId="77777777">
            <w:pPr>
              <w:rPr>
                <w:rFonts w:ascii="Verdana" w:hAnsi="Verdana"/>
                <w:sz w:val="16"/>
                <w:szCs w:val="16"/>
              </w:rPr>
            </w:pPr>
            <w:r w:rsidRPr="002C5EC5">
              <w:rPr>
                <w:rFonts w:ascii="Verdana" w:hAnsi="Verdana"/>
                <w:sz w:val="16"/>
                <w:szCs w:val="16"/>
              </w:rPr>
              <w:t>48 quindecies, vijfde lid, eerste zin</w:t>
            </w:r>
          </w:p>
        </w:tc>
        <w:tc>
          <w:tcPr>
            <w:tcW w:w="1625" w:type="dxa"/>
          </w:tcPr>
          <w:p w:rsidR="00334D7E" w:rsidP="00334D7E" w:rsidRDefault="00334D7E" w14:paraId="5DD22DAC"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b</w:t>
            </w:r>
            <w:r w:rsidRPr="002C5EC5">
              <w:rPr>
                <w:rFonts w:ascii="Verdana" w:hAnsi="Verdana"/>
                <w:sz w:val="16"/>
                <w:szCs w:val="16"/>
              </w:rPr>
              <w:t>estaand recht in artikel 1:51f Wft</w:t>
            </w:r>
          </w:p>
        </w:tc>
        <w:tc>
          <w:tcPr>
            <w:tcW w:w="1274" w:type="dxa"/>
          </w:tcPr>
          <w:p w:rsidRPr="002C5EC5" w:rsidR="00334D7E" w:rsidP="00334D7E" w:rsidRDefault="00334D7E" w14:paraId="632F0A8E"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1EB4D915" w14:textId="77777777">
            <w:pPr>
              <w:rPr>
                <w:rFonts w:ascii="Verdana" w:hAnsi="Verdana"/>
                <w:sz w:val="16"/>
                <w:szCs w:val="16"/>
              </w:rPr>
            </w:pPr>
          </w:p>
        </w:tc>
      </w:tr>
      <w:tr w:rsidR="00334D7E" w:rsidTr="00CA30A2" w14:paraId="0F450F21" w14:textId="77777777">
        <w:tc>
          <w:tcPr>
            <w:tcW w:w="1552" w:type="dxa"/>
          </w:tcPr>
          <w:p w:rsidRPr="00DD0008" w:rsidR="00334D7E" w:rsidP="00334D7E" w:rsidRDefault="00334D7E" w14:paraId="52DA00DB" w14:textId="10B12554">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105FBF55" w14:textId="77777777">
            <w:pPr>
              <w:rPr>
                <w:rFonts w:ascii="Verdana" w:hAnsi="Verdana"/>
                <w:sz w:val="16"/>
                <w:szCs w:val="16"/>
              </w:rPr>
            </w:pPr>
            <w:r w:rsidRPr="002C5EC5">
              <w:rPr>
                <w:rFonts w:ascii="Verdana" w:hAnsi="Verdana"/>
                <w:sz w:val="16"/>
                <w:szCs w:val="16"/>
              </w:rPr>
              <w:t>48 quindecies, vijfde lid, eerste zin</w:t>
            </w:r>
          </w:p>
        </w:tc>
        <w:tc>
          <w:tcPr>
            <w:tcW w:w="1625" w:type="dxa"/>
          </w:tcPr>
          <w:p w:rsidRPr="002C5EC5" w:rsidR="00334D7E" w:rsidP="00334D7E" w:rsidRDefault="00334D7E" w14:paraId="443BD753" w14:textId="77777777">
            <w:pPr>
              <w:spacing w:line="240" w:lineRule="atLeast"/>
              <w:rPr>
                <w:rFonts w:ascii="Verdana" w:hAnsi="Verdana"/>
                <w:sz w:val="16"/>
                <w:szCs w:val="16"/>
              </w:rPr>
            </w:pPr>
            <w:r w:rsidRPr="002C5EC5">
              <w:rPr>
                <w:rFonts w:ascii="Verdana" w:hAnsi="Verdana"/>
                <w:sz w:val="16"/>
                <w:szCs w:val="16"/>
              </w:rPr>
              <w:t>Behoeft naar zijn aard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b</w:t>
            </w:r>
            <w:r w:rsidRPr="002C5EC5">
              <w:rPr>
                <w:rFonts w:ascii="Verdana" w:hAnsi="Verdana"/>
                <w:sz w:val="16"/>
                <w:szCs w:val="16"/>
              </w:rPr>
              <w:t>epaling gericht tot EBA</w:t>
            </w:r>
          </w:p>
        </w:tc>
        <w:tc>
          <w:tcPr>
            <w:tcW w:w="1274" w:type="dxa"/>
          </w:tcPr>
          <w:p w:rsidRPr="002C5EC5" w:rsidR="00334D7E" w:rsidP="00334D7E" w:rsidRDefault="00334D7E" w14:paraId="46C074E0"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60509A87" w14:textId="77777777">
            <w:pPr>
              <w:rPr>
                <w:rFonts w:ascii="Verdana" w:hAnsi="Verdana"/>
                <w:sz w:val="16"/>
                <w:szCs w:val="16"/>
              </w:rPr>
            </w:pPr>
          </w:p>
        </w:tc>
      </w:tr>
      <w:tr w:rsidR="00334D7E" w:rsidTr="00CA30A2" w14:paraId="4D7CE54E" w14:textId="77777777">
        <w:tc>
          <w:tcPr>
            <w:tcW w:w="1552" w:type="dxa"/>
          </w:tcPr>
          <w:p w:rsidRPr="00DD0008" w:rsidR="00334D7E" w:rsidP="00334D7E" w:rsidRDefault="00334D7E" w14:paraId="67620F8C" w14:textId="31CABD84">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37FB4E4B" w14:textId="77777777">
            <w:pPr>
              <w:rPr>
                <w:rFonts w:ascii="Verdana" w:hAnsi="Verdana"/>
                <w:sz w:val="16"/>
                <w:szCs w:val="16"/>
              </w:rPr>
            </w:pPr>
            <w:r w:rsidRPr="002C5EC5">
              <w:rPr>
                <w:rFonts w:ascii="Verdana" w:hAnsi="Verdana"/>
                <w:sz w:val="16"/>
                <w:szCs w:val="16"/>
              </w:rPr>
              <w:t>48 quindecies, zesde lid</w:t>
            </w:r>
          </w:p>
        </w:tc>
        <w:tc>
          <w:tcPr>
            <w:tcW w:w="1625" w:type="dxa"/>
          </w:tcPr>
          <w:p w:rsidRPr="002C5EC5" w:rsidR="00334D7E" w:rsidP="00334D7E" w:rsidRDefault="00334D7E" w14:paraId="3EF76452" w14:textId="77777777">
            <w:pPr>
              <w:spacing w:line="240" w:lineRule="atLeast"/>
              <w:rPr>
                <w:rFonts w:ascii="Verdana" w:hAnsi="Verdana"/>
                <w:sz w:val="16"/>
                <w:szCs w:val="16"/>
              </w:rPr>
            </w:pPr>
            <w:r w:rsidRPr="002C5EC5">
              <w:rPr>
                <w:rFonts w:ascii="Verdana" w:hAnsi="Verdana"/>
                <w:sz w:val="16"/>
                <w:szCs w:val="16"/>
              </w:rPr>
              <w:t>Behoeft naar zijn aard geen implementatie</w:t>
            </w:r>
            <w:r>
              <w:rPr>
                <w:rFonts w:ascii="Verdana" w:hAnsi="Verdana"/>
                <w:sz w:val="16"/>
                <w:szCs w:val="16"/>
              </w:rPr>
              <w:t>: b</w:t>
            </w:r>
            <w:r w:rsidRPr="002C5EC5">
              <w:rPr>
                <w:rFonts w:ascii="Verdana" w:hAnsi="Verdana"/>
                <w:sz w:val="16"/>
                <w:szCs w:val="16"/>
              </w:rPr>
              <w:t>epaling gericht tot EBA</w:t>
            </w:r>
          </w:p>
        </w:tc>
        <w:tc>
          <w:tcPr>
            <w:tcW w:w="1274" w:type="dxa"/>
          </w:tcPr>
          <w:p w:rsidRPr="002C5EC5" w:rsidR="00334D7E" w:rsidP="00334D7E" w:rsidRDefault="00334D7E" w14:paraId="33D065CC"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5CDE0BF0" w14:textId="77777777">
            <w:pPr>
              <w:rPr>
                <w:rFonts w:ascii="Verdana" w:hAnsi="Verdana"/>
                <w:sz w:val="16"/>
                <w:szCs w:val="16"/>
              </w:rPr>
            </w:pPr>
          </w:p>
        </w:tc>
      </w:tr>
      <w:tr w:rsidR="00334D7E" w:rsidTr="00CA30A2" w14:paraId="5A690102" w14:textId="77777777">
        <w:tc>
          <w:tcPr>
            <w:tcW w:w="1552" w:type="dxa"/>
          </w:tcPr>
          <w:p w:rsidRPr="00DD0008" w:rsidR="00334D7E" w:rsidP="00334D7E" w:rsidRDefault="00334D7E" w14:paraId="4B75C97C" w14:textId="1647238F">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00BF8653" w14:textId="77777777">
            <w:pPr>
              <w:rPr>
                <w:rFonts w:ascii="Verdana" w:hAnsi="Verdana"/>
                <w:sz w:val="16"/>
                <w:szCs w:val="16"/>
              </w:rPr>
            </w:pPr>
            <w:r w:rsidRPr="002C5EC5">
              <w:rPr>
                <w:rFonts w:ascii="Verdana" w:hAnsi="Verdana"/>
                <w:sz w:val="16"/>
                <w:szCs w:val="16"/>
              </w:rPr>
              <w:t>48 sexdecies, eerste lid</w:t>
            </w:r>
          </w:p>
        </w:tc>
        <w:tc>
          <w:tcPr>
            <w:tcW w:w="1625" w:type="dxa"/>
          </w:tcPr>
          <w:p w:rsidRPr="002C5EC5" w:rsidR="00334D7E" w:rsidP="00334D7E" w:rsidRDefault="00334D7E" w14:paraId="4E90BD52" w14:textId="77777777">
            <w:pPr>
              <w:spacing w:line="240" w:lineRule="atLeast"/>
              <w:rPr>
                <w:rFonts w:ascii="Verdana" w:hAnsi="Verdana"/>
                <w:sz w:val="16"/>
                <w:szCs w:val="16"/>
              </w:rPr>
            </w:pPr>
            <w:r>
              <w:rPr>
                <w:rFonts w:ascii="Verdana" w:hAnsi="Verdana"/>
                <w:sz w:val="16"/>
                <w:szCs w:val="16"/>
              </w:rPr>
              <w:t>Artikel I, onderdeel QQQ (</w:t>
            </w:r>
            <w:r w:rsidRPr="002C5EC5">
              <w:rPr>
                <w:rFonts w:ascii="Verdana" w:hAnsi="Verdana"/>
                <w:sz w:val="16"/>
                <w:szCs w:val="16"/>
              </w:rPr>
              <w:t>3:111a.1, eerste lid, Wft</w:t>
            </w:r>
            <w:r>
              <w:rPr>
                <w:rFonts w:ascii="Verdana" w:hAnsi="Verdana"/>
                <w:sz w:val="16"/>
                <w:szCs w:val="16"/>
              </w:rPr>
              <w:t>)</w:t>
            </w:r>
          </w:p>
        </w:tc>
        <w:tc>
          <w:tcPr>
            <w:tcW w:w="1274" w:type="dxa"/>
          </w:tcPr>
          <w:p w:rsidRPr="002C5EC5" w:rsidR="00334D7E" w:rsidP="00334D7E" w:rsidRDefault="00334D7E" w14:paraId="21BBE236"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3FE1F461" w14:textId="77777777">
            <w:pPr>
              <w:rPr>
                <w:rFonts w:ascii="Verdana" w:hAnsi="Verdana"/>
                <w:sz w:val="16"/>
                <w:szCs w:val="16"/>
              </w:rPr>
            </w:pPr>
          </w:p>
        </w:tc>
      </w:tr>
      <w:tr w:rsidR="00334D7E" w:rsidTr="00CA30A2" w14:paraId="01A82CB1" w14:textId="77777777">
        <w:tc>
          <w:tcPr>
            <w:tcW w:w="1552" w:type="dxa"/>
          </w:tcPr>
          <w:p w:rsidRPr="00DD0008" w:rsidR="00334D7E" w:rsidP="00334D7E" w:rsidRDefault="00334D7E" w14:paraId="0958866B" w14:textId="298D4314">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24295E6F" w14:textId="77777777">
            <w:pPr>
              <w:rPr>
                <w:rFonts w:ascii="Verdana" w:hAnsi="Verdana"/>
                <w:sz w:val="16"/>
                <w:szCs w:val="16"/>
              </w:rPr>
            </w:pPr>
            <w:r w:rsidRPr="002C5EC5">
              <w:rPr>
                <w:rFonts w:ascii="Verdana" w:hAnsi="Verdana"/>
                <w:sz w:val="16"/>
                <w:szCs w:val="16"/>
              </w:rPr>
              <w:t>48 sexdecies, tweede lid</w:t>
            </w:r>
          </w:p>
        </w:tc>
        <w:tc>
          <w:tcPr>
            <w:tcW w:w="1625" w:type="dxa"/>
          </w:tcPr>
          <w:p w:rsidR="00334D7E" w:rsidP="00334D7E" w:rsidRDefault="00334D7E" w14:paraId="62189E91" w14:textId="77777777">
            <w:pPr>
              <w:spacing w:line="240" w:lineRule="atLeast"/>
              <w:rPr>
                <w:rFonts w:ascii="Verdana" w:hAnsi="Verdana"/>
                <w:sz w:val="16"/>
                <w:szCs w:val="16"/>
              </w:rPr>
            </w:pPr>
            <w:r>
              <w:rPr>
                <w:rFonts w:ascii="Verdana" w:hAnsi="Verdana"/>
                <w:sz w:val="16"/>
                <w:szCs w:val="16"/>
              </w:rPr>
              <w:t>Artikel I, onderdeel QQQ (</w:t>
            </w:r>
            <w:r w:rsidRPr="002C5EC5">
              <w:rPr>
                <w:rFonts w:ascii="Verdana" w:hAnsi="Verdana"/>
                <w:sz w:val="16"/>
                <w:szCs w:val="16"/>
              </w:rPr>
              <w:t>3:111a.1, tweede lid, Wft</w:t>
            </w:r>
            <w:r>
              <w:rPr>
                <w:rFonts w:ascii="Verdana" w:hAnsi="Verdana"/>
                <w:sz w:val="16"/>
                <w:szCs w:val="16"/>
              </w:rPr>
              <w:t>)</w:t>
            </w:r>
          </w:p>
        </w:tc>
        <w:tc>
          <w:tcPr>
            <w:tcW w:w="1274" w:type="dxa"/>
          </w:tcPr>
          <w:p w:rsidRPr="002C5EC5" w:rsidR="00334D7E" w:rsidP="00334D7E" w:rsidRDefault="00334D7E" w14:paraId="6587FD23"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2D07071A" w14:textId="77777777">
            <w:pPr>
              <w:rPr>
                <w:rFonts w:ascii="Verdana" w:hAnsi="Verdana"/>
                <w:sz w:val="16"/>
                <w:szCs w:val="16"/>
              </w:rPr>
            </w:pPr>
          </w:p>
        </w:tc>
      </w:tr>
      <w:tr w:rsidR="00334D7E" w:rsidTr="00CA30A2" w14:paraId="26C6C38E" w14:textId="77777777">
        <w:tc>
          <w:tcPr>
            <w:tcW w:w="1552" w:type="dxa"/>
          </w:tcPr>
          <w:p w:rsidRPr="00DD0008" w:rsidR="00334D7E" w:rsidP="00334D7E" w:rsidRDefault="00334D7E" w14:paraId="2BC73747" w14:textId="2EF0E9EF">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14A06262" w14:textId="77777777">
            <w:pPr>
              <w:rPr>
                <w:rFonts w:ascii="Verdana" w:hAnsi="Verdana"/>
                <w:sz w:val="16"/>
                <w:szCs w:val="16"/>
              </w:rPr>
            </w:pPr>
            <w:r w:rsidRPr="002C5EC5">
              <w:rPr>
                <w:rFonts w:ascii="Verdana" w:hAnsi="Verdana"/>
                <w:sz w:val="16"/>
                <w:szCs w:val="16"/>
              </w:rPr>
              <w:t>48 septdecies, eerste lid</w:t>
            </w:r>
          </w:p>
        </w:tc>
        <w:tc>
          <w:tcPr>
            <w:tcW w:w="1625" w:type="dxa"/>
          </w:tcPr>
          <w:p w:rsidR="00334D7E" w:rsidP="00334D7E" w:rsidRDefault="00334D7E" w14:paraId="67EB026F"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b</w:t>
            </w:r>
            <w:r w:rsidRPr="002C5EC5">
              <w:rPr>
                <w:rFonts w:ascii="Verdana" w:hAnsi="Verdana"/>
                <w:sz w:val="16"/>
                <w:szCs w:val="16"/>
              </w:rPr>
              <w:t>estaand recht in artikel 1:51 Wft</w:t>
            </w:r>
          </w:p>
        </w:tc>
        <w:tc>
          <w:tcPr>
            <w:tcW w:w="1274" w:type="dxa"/>
          </w:tcPr>
          <w:p w:rsidRPr="002C5EC5" w:rsidR="00334D7E" w:rsidP="00334D7E" w:rsidRDefault="00334D7E" w14:paraId="3DC940B1"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6CC398B8" w14:textId="77777777">
            <w:pPr>
              <w:rPr>
                <w:rFonts w:ascii="Verdana" w:hAnsi="Verdana"/>
                <w:sz w:val="16"/>
                <w:szCs w:val="16"/>
              </w:rPr>
            </w:pPr>
          </w:p>
        </w:tc>
      </w:tr>
      <w:tr w:rsidR="00334D7E" w:rsidTr="00CA30A2" w14:paraId="3BBDCFE1" w14:textId="77777777">
        <w:tc>
          <w:tcPr>
            <w:tcW w:w="1552" w:type="dxa"/>
          </w:tcPr>
          <w:p w:rsidRPr="00DD0008" w:rsidR="00334D7E" w:rsidP="00334D7E" w:rsidRDefault="00334D7E" w14:paraId="3248EA0A" w14:textId="410E5785">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3247581A" w14:textId="77777777">
            <w:pPr>
              <w:rPr>
                <w:rFonts w:ascii="Verdana" w:hAnsi="Verdana"/>
                <w:sz w:val="16"/>
                <w:szCs w:val="16"/>
              </w:rPr>
            </w:pPr>
            <w:r w:rsidRPr="002C5EC5">
              <w:rPr>
                <w:rFonts w:ascii="Verdana" w:hAnsi="Verdana"/>
                <w:sz w:val="16"/>
                <w:szCs w:val="16"/>
              </w:rPr>
              <w:t>48 septdecies, tweede lid</w:t>
            </w:r>
          </w:p>
        </w:tc>
        <w:tc>
          <w:tcPr>
            <w:tcW w:w="1625" w:type="dxa"/>
          </w:tcPr>
          <w:p w:rsidRPr="002C5EC5" w:rsidR="00334D7E" w:rsidP="00334D7E" w:rsidRDefault="00334D7E" w14:paraId="760BA872" w14:textId="77777777">
            <w:pPr>
              <w:spacing w:line="240" w:lineRule="atLeast"/>
              <w:rPr>
                <w:rFonts w:ascii="Verdana" w:hAnsi="Verdana"/>
                <w:sz w:val="16"/>
                <w:szCs w:val="16"/>
              </w:rPr>
            </w:pPr>
            <w:r>
              <w:rPr>
                <w:rFonts w:ascii="Verdana" w:hAnsi="Verdana"/>
                <w:sz w:val="16"/>
                <w:szCs w:val="16"/>
              </w:rPr>
              <w:t>Artikel I, onderdeel E (</w:t>
            </w:r>
            <w:r w:rsidRPr="002C5EC5">
              <w:rPr>
                <w:rFonts w:ascii="Verdana" w:hAnsi="Verdana"/>
                <w:sz w:val="16"/>
                <w:szCs w:val="16"/>
              </w:rPr>
              <w:t>1:54d Wft</w:t>
            </w:r>
            <w:r>
              <w:rPr>
                <w:rFonts w:ascii="Verdana" w:hAnsi="Verdana"/>
                <w:sz w:val="16"/>
                <w:szCs w:val="16"/>
              </w:rPr>
              <w:t>)</w:t>
            </w:r>
          </w:p>
        </w:tc>
        <w:tc>
          <w:tcPr>
            <w:tcW w:w="1274" w:type="dxa"/>
          </w:tcPr>
          <w:p w:rsidRPr="002C5EC5" w:rsidR="00334D7E" w:rsidP="00334D7E" w:rsidRDefault="00334D7E" w14:paraId="384A16CC"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0D5973D8" w14:textId="77777777">
            <w:pPr>
              <w:rPr>
                <w:rFonts w:ascii="Verdana" w:hAnsi="Verdana"/>
                <w:sz w:val="16"/>
                <w:szCs w:val="16"/>
              </w:rPr>
            </w:pPr>
          </w:p>
        </w:tc>
      </w:tr>
      <w:tr w:rsidR="00334D7E" w:rsidTr="00CA30A2" w14:paraId="228D0544" w14:textId="77777777">
        <w:tc>
          <w:tcPr>
            <w:tcW w:w="1552" w:type="dxa"/>
          </w:tcPr>
          <w:p w:rsidRPr="00DD0008" w:rsidR="00334D7E" w:rsidP="00334D7E" w:rsidRDefault="00334D7E" w14:paraId="7BDCBD3B" w14:textId="662BD295">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5E54801C" w14:textId="77777777">
            <w:pPr>
              <w:rPr>
                <w:rFonts w:ascii="Verdana" w:hAnsi="Verdana"/>
                <w:sz w:val="16"/>
                <w:szCs w:val="16"/>
              </w:rPr>
            </w:pPr>
            <w:r w:rsidRPr="002C5EC5">
              <w:rPr>
                <w:rFonts w:ascii="Verdana" w:hAnsi="Verdana"/>
                <w:sz w:val="16"/>
                <w:szCs w:val="16"/>
              </w:rPr>
              <w:t>48 septdecies, derde lid</w:t>
            </w:r>
          </w:p>
        </w:tc>
        <w:tc>
          <w:tcPr>
            <w:tcW w:w="1625" w:type="dxa"/>
          </w:tcPr>
          <w:p w:rsidR="00334D7E" w:rsidP="00334D7E" w:rsidRDefault="00334D7E" w14:paraId="6AC39FCA" w14:textId="77777777">
            <w:pPr>
              <w:spacing w:line="240" w:lineRule="atLeast"/>
              <w:rPr>
                <w:rFonts w:ascii="Verdana" w:hAnsi="Verdana"/>
                <w:sz w:val="16"/>
                <w:szCs w:val="16"/>
              </w:rPr>
            </w:pPr>
            <w:r>
              <w:rPr>
                <w:rFonts w:ascii="Verdana" w:hAnsi="Verdana"/>
                <w:sz w:val="16"/>
                <w:szCs w:val="16"/>
              </w:rPr>
              <w:t>Artikel I, onderdeel E (</w:t>
            </w:r>
            <w:r w:rsidRPr="002C5EC5">
              <w:rPr>
                <w:rFonts w:ascii="Verdana" w:hAnsi="Verdana"/>
                <w:sz w:val="16"/>
                <w:szCs w:val="16"/>
              </w:rPr>
              <w:t>1:54d, eerste lid, Wft</w:t>
            </w:r>
            <w:r>
              <w:rPr>
                <w:rFonts w:ascii="Verdana" w:hAnsi="Verdana"/>
                <w:sz w:val="16"/>
                <w:szCs w:val="16"/>
              </w:rPr>
              <w:t>)</w:t>
            </w:r>
          </w:p>
        </w:tc>
        <w:tc>
          <w:tcPr>
            <w:tcW w:w="1274" w:type="dxa"/>
          </w:tcPr>
          <w:p w:rsidRPr="002C5EC5" w:rsidR="00334D7E" w:rsidP="00334D7E" w:rsidRDefault="00334D7E" w14:paraId="6DD5FE9E"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4595E55D" w14:textId="77777777">
            <w:pPr>
              <w:rPr>
                <w:rFonts w:ascii="Verdana" w:hAnsi="Verdana"/>
                <w:sz w:val="16"/>
                <w:szCs w:val="16"/>
              </w:rPr>
            </w:pPr>
          </w:p>
        </w:tc>
      </w:tr>
      <w:tr w:rsidR="00334D7E" w:rsidTr="00CA30A2" w14:paraId="11DC17CE" w14:textId="77777777">
        <w:tc>
          <w:tcPr>
            <w:tcW w:w="1552" w:type="dxa"/>
          </w:tcPr>
          <w:p w:rsidRPr="00DD0008" w:rsidR="00334D7E" w:rsidP="00334D7E" w:rsidRDefault="00334D7E" w14:paraId="170FCB6F" w14:textId="72A2D989">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53FC30F9" w14:textId="77777777">
            <w:pPr>
              <w:rPr>
                <w:rFonts w:ascii="Verdana" w:hAnsi="Verdana"/>
                <w:sz w:val="16"/>
                <w:szCs w:val="16"/>
              </w:rPr>
            </w:pPr>
            <w:r w:rsidRPr="002C5EC5">
              <w:rPr>
                <w:rFonts w:ascii="Verdana" w:hAnsi="Verdana"/>
                <w:sz w:val="16"/>
                <w:szCs w:val="16"/>
              </w:rPr>
              <w:t>48 septdecies, vierde lid</w:t>
            </w:r>
          </w:p>
        </w:tc>
        <w:tc>
          <w:tcPr>
            <w:tcW w:w="1625" w:type="dxa"/>
          </w:tcPr>
          <w:p w:rsidR="00334D7E" w:rsidP="00334D7E" w:rsidRDefault="00334D7E" w14:paraId="0CEF9D85" w14:textId="77777777">
            <w:pPr>
              <w:spacing w:line="240" w:lineRule="atLeast"/>
              <w:rPr>
                <w:rFonts w:ascii="Verdana" w:hAnsi="Verdana"/>
                <w:sz w:val="16"/>
                <w:szCs w:val="16"/>
              </w:rPr>
            </w:pPr>
            <w:r>
              <w:rPr>
                <w:rFonts w:ascii="Verdana" w:hAnsi="Verdana"/>
                <w:sz w:val="16"/>
                <w:szCs w:val="16"/>
              </w:rPr>
              <w:t>Artikel I, onderdeel E (</w:t>
            </w:r>
            <w:r w:rsidRPr="002C5EC5">
              <w:rPr>
                <w:rFonts w:ascii="Verdana" w:hAnsi="Verdana"/>
                <w:sz w:val="16"/>
                <w:szCs w:val="16"/>
              </w:rPr>
              <w:t>1:54d, eerste lid, Wft</w:t>
            </w:r>
            <w:r>
              <w:rPr>
                <w:rFonts w:ascii="Verdana" w:hAnsi="Verdana"/>
                <w:sz w:val="16"/>
                <w:szCs w:val="16"/>
              </w:rPr>
              <w:t>)</w:t>
            </w:r>
          </w:p>
        </w:tc>
        <w:tc>
          <w:tcPr>
            <w:tcW w:w="1274" w:type="dxa"/>
          </w:tcPr>
          <w:p w:rsidRPr="002C5EC5" w:rsidR="00334D7E" w:rsidP="00334D7E" w:rsidRDefault="00334D7E" w14:paraId="5F7AC1B8"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036697D9" w14:textId="77777777">
            <w:pPr>
              <w:rPr>
                <w:rFonts w:ascii="Verdana" w:hAnsi="Verdana"/>
                <w:sz w:val="16"/>
                <w:szCs w:val="16"/>
              </w:rPr>
            </w:pPr>
          </w:p>
        </w:tc>
      </w:tr>
      <w:tr w:rsidR="00334D7E" w:rsidTr="00CA30A2" w14:paraId="0EE93B3C" w14:textId="77777777">
        <w:tc>
          <w:tcPr>
            <w:tcW w:w="1552" w:type="dxa"/>
          </w:tcPr>
          <w:p w:rsidRPr="00DD0008" w:rsidR="00334D7E" w:rsidP="00334D7E" w:rsidRDefault="00334D7E" w14:paraId="438A079D" w14:textId="11D22159">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2152DA58" w14:textId="77777777">
            <w:pPr>
              <w:rPr>
                <w:rFonts w:ascii="Verdana" w:hAnsi="Verdana"/>
                <w:sz w:val="16"/>
                <w:szCs w:val="16"/>
              </w:rPr>
            </w:pPr>
            <w:r w:rsidRPr="002C5EC5">
              <w:rPr>
                <w:rFonts w:ascii="Verdana" w:hAnsi="Verdana"/>
                <w:sz w:val="16"/>
                <w:szCs w:val="16"/>
              </w:rPr>
              <w:t>48 septdecies, vijfde lid</w:t>
            </w:r>
          </w:p>
        </w:tc>
        <w:tc>
          <w:tcPr>
            <w:tcW w:w="1625" w:type="dxa"/>
          </w:tcPr>
          <w:p w:rsidR="00334D7E" w:rsidP="00334D7E" w:rsidRDefault="00334D7E" w14:paraId="028F2050" w14:textId="77777777">
            <w:pPr>
              <w:spacing w:line="240" w:lineRule="atLeast"/>
              <w:rPr>
                <w:rFonts w:ascii="Verdana" w:hAnsi="Verdana"/>
                <w:sz w:val="16"/>
                <w:szCs w:val="16"/>
              </w:rPr>
            </w:pPr>
            <w:r>
              <w:rPr>
                <w:rFonts w:ascii="Verdana" w:hAnsi="Verdana"/>
                <w:sz w:val="16"/>
                <w:szCs w:val="16"/>
              </w:rPr>
              <w:t>Volgt bij implementatieregeling</w:t>
            </w:r>
            <w:r w:rsidRPr="002C5EC5">
              <w:rPr>
                <w:rFonts w:ascii="Verdana" w:hAnsi="Verdana"/>
                <w:sz w:val="16"/>
                <w:szCs w:val="16"/>
              </w:rPr>
              <w:t xml:space="preserve"> </w:t>
            </w:r>
            <w:r>
              <w:rPr>
                <w:rFonts w:ascii="Verdana" w:hAnsi="Verdana"/>
                <w:sz w:val="16"/>
                <w:szCs w:val="16"/>
              </w:rPr>
              <w:t>(Bijlage 6 Rtt)</w:t>
            </w:r>
          </w:p>
        </w:tc>
        <w:tc>
          <w:tcPr>
            <w:tcW w:w="1274" w:type="dxa"/>
          </w:tcPr>
          <w:p w:rsidRPr="002C5EC5" w:rsidR="00334D7E" w:rsidP="00334D7E" w:rsidRDefault="00334D7E" w14:paraId="47D75555"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2AF18788" w14:textId="77777777">
            <w:pPr>
              <w:rPr>
                <w:rFonts w:ascii="Verdana" w:hAnsi="Verdana"/>
                <w:sz w:val="16"/>
                <w:szCs w:val="16"/>
              </w:rPr>
            </w:pPr>
          </w:p>
        </w:tc>
      </w:tr>
      <w:tr w:rsidR="00334D7E" w:rsidTr="00CA30A2" w14:paraId="2F7EBDB2" w14:textId="77777777">
        <w:tc>
          <w:tcPr>
            <w:tcW w:w="1552" w:type="dxa"/>
          </w:tcPr>
          <w:p w:rsidRPr="00DD0008" w:rsidR="00334D7E" w:rsidP="00334D7E" w:rsidRDefault="00334D7E" w14:paraId="24922392" w14:textId="10B78038">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156B696A" w14:textId="77777777">
            <w:pPr>
              <w:rPr>
                <w:rFonts w:ascii="Verdana" w:hAnsi="Verdana"/>
                <w:sz w:val="16"/>
                <w:szCs w:val="16"/>
              </w:rPr>
            </w:pPr>
            <w:r w:rsidRPr="002C5EC5">
              <w:rPr>
                <w:rFonts w:ascii="Verdana" w:hAnsi="Verdana"/>
                <w:sz w:val="16"/>
                <w:szCs w:val="16"/>
              </w:rPr>
              <w:t>48 septdecies, zesde lid</w:t>
            </w:r>
          </w:p>
        </w:tc>
        <w:tc>
          <w:tcPr>
            <w:tcW w:w="1625" w:type="dxa"/>
          </w:tcPr>
          <w:p w:rsidR="00334D7E" w:rsidP="00334D7E" w:rsidRDefault="00334D7E" w14:paraId="54B7C506" w14:textId="77777777">
            <w:pPr>
              <w:spacing w:line="240" w:lineRule="atLeast"/>
              <w:rPr>
                <w:rFonts w:ascii="Verdana" w:hAnsi="Verdana"/>
                <w:sz w:val="16"/>
                <w:szCs w:val="16"/>
              </w:rPr>
            </w:pPr>
            <w:r w:rsidRPr="002C5EC5">
              <w:rPr>
                <w:rFonts w:ascii="Verdana" w:hAnsi="Verdana"/>
                <w:sz w:val="16"/>
                <w:szCs w:val="16"/>
              </w:rPr>
              <w:t>Behoeft naar zijn aard geen implementatie. Bepaling gericht tot EBA</w:t>
            </w:r>
          </w:p>
        </w:tc>
        <w:tc>
          <w:tcPr>
            <w:tcW w:w="1274" w:type="dxa"/>
          </w:tcPr>
          <w:p w:rsidRPr="002C5EC5" w:rsidR="00334D7E" w:rsidP="00334D7E" w:rsidRDefault="00334D7E" w14:paraId="290E55E4"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2601D615" w14:textId="77777777">
            <w:pPr>
              <w:rPr>
                <w:rFonts w:ascii="Verdana" w:hAnsi="Verdana"/>
                <w:sz w:val="16"/>
                <w:szCs w:val="16"/>
              </w:rPr>
            </w:pPr>
          </w:p>
        </w:tc>
      </w:tr>
      <w:tr w:rsidR="00334D7E" w:rsidTr="00CA30A2" w14:paraId="49BB496D" w14:textId="77777777">
        <w:tc>
          <w:tcPr>
            <w:tcW w:w="1552" w:type="dxa"/>
          </w:tcPr>
          <w:p w:rsidRPr="00DD0008" w:rsidR="00334D7E" w:rsidP="00334D7E" w:rsidRDefault="00334D7E" w14:paraId="2C4015E1" w14:textId="2D855CF2">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319425C4" w14:textId="77777777">
            <w:pPr>
              <w:rPr>
                <w:rFonts w:ascii="Verdana" w:hAnsi="Verdana"/>
                <w:sz w:val="16"/>
                <w:szCs w:val="16"/>
              </w:rPr>
            </w:pPr>
            <w:r w:rsidRPr="002C5EC5">
              <w:rPr>
                <w:rFonts w:ascii="Verdana" w:hAnsi="Verdana"/>
                <w:sz w:val="16"/>
                <w:szCs w:val="16"/>
              </w:rPr>
              <w:t>48 septdecies, zevende lid</w:t>
            </w:r>
          </w:p>
        </w:tc>
        <w:tc>
          <w:tcPr>
            <w:tcW w:w="1625" w:type="dxa"/>
          </w:tcPr>
          <w:p w:rsidRPr="002C5EC5" w:rsidR="00334D7E" w:rsidP="00334D7E" w:rsidRDefault="00334D7E" w14:paraId="1B799F8E" w14:textId="77777777">
            <w:pPr>
              <w:spacing w:line="240" w:lineRule="atLeast"/>
              <w:rPr>
                <w:rFonts w:ascii="Verdana" w:hAnsi="Verdana"/>
                <w:sz w:val="16"/>
                <w:szCs w:val="16"/>
              </w:rPr>
            </w:pPr>
            <w:r w:rsidRPr="002C5EC5">
              <w:rPr>
                <w:rFonts w:ascii="Verdana" w:hAnsi="Verdana"/>
                <w:sz w:val="16"/>
                <w:szCs w:val="16"/>
              </w:rPr>
              <w:t>Behoeft naar zijn aard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b</w:t>
            </w:r>
            <w:r w:rsidRPr="002C5EC5">
              <w:rPr>
                <w:rFonts w:ascii="Verdana" w:hAnsi="Verdana"/>
                <w:sz w:val="16"/>
                <w:szCs w:val="16"/>
              </w:rPr>
              <w:t>epaling gericht tot EBA</w:t>
            </w:r>
          </w:p>
        </w:tc>
        <w:tc>
          <w:tcPr>
            <w:tcW w:w="1274" w:type="dxa"/>
          </w:tcPr>
          <w:p w:rsidRPr="002C5EC5" w:rsidR="00334D7E" w:rsidP="00334D7E" w:rsidRDefault="00334D7E" w14:paraId="23EACBC7"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019845D2" w14:textId="77777777">
            <w:pPr>
              <w:rPr>
                <w:rFonts w:ascii="Verdana" w:hAnsi="Verdana"/>
                <w:sz w:val="16"/>
                <w:szCs w:val="16"/>
              </w:rPr>
            </w:pPr>
          </w:p>
        </w:tc>
      </w:tr>
      <w:tr w:rsidR="00334D7E" w:rsidTr="00CA30A2" w14:paraId="55AFB3BB" w14:textId="77777777">
        <w:tc>
          <w:tcPr>
            <w:tcW w:w="1552" w:type="dxa"/>
          </w:tcPr>
          <w:p w:rsidRPr="00DD0008" w:rsidR="00334D7E" w:rsidP="00334D7E" w:rsidRDefault="00334D7E" w14:paraId="30FCC705" w14:textId="1913AF47">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6C6BE9C0" w14:textId="77777777">
            <w:pPr>
              <w:rPr>
                <w:rFonts w:ascii="Verdana" w:hAnsi="Verdana"/>
                <w:sz w:val="16"/>
                <w:szCs w:val="16"/>
              </w:rPr>
            </w:pPr>
            <w:r w:rsidRPr="002C5EC5">
              <w:rPr>
                <w:rFonts w:ascii="Verdana" w:hAnsi="Verdana"/>
                <w:sz w:val="16"/>
                <w:szCs w:val="16"/>
              </w:rPr>
              <w:t>48 octodecies, eerste alinea</w:t>
            </w:r>
          </w:p>
        </w:tc>
        <w:tc>
          <w:tcPr>
            <w:tcW w:w="1625" w:type="dxa"/>
          </w:tcPr>
          <w:p w:rsidRPr="002C5EC5" w:rsidR="00334D7E" w:rsidP="00334D7E" w:rsidRDefault="00334D7E" w14:paraId="02F349EA" w14:textId="77777777">
            <w:pPr>
              <w:spacing w:line="240" w:lineRule="atLeast"/>
              <w:rPr>
                <w:rFonts w:ascii="Verdana" w:hAnsi="Verdana"/>
                <w:sz w:val="16"/>
                <w:szCs w:val="16"/>
              </w:rPr>
            </w:pPr>
            <w:r>
              <w:rPr>
                <w:rFonts w:ascii="Verdana" w:hAnsi="Verdana"/>
                <w:sz w:val="16"/>
                <w:szCs w:val="16"/>
              </w:rPr>
              <w:t>Volgt bij implementatieregeling</w:t>
            </w:r>
            <w:r w:rsidRPr="002C5EC5">
              <w:rPr>
                <w:rFonts w:ascii="Verdana" w:hAnsi="Verdana"/>
                <w:sz w:val="16"/>
                <w:szCs w:val="16"/>
              </w:rPr>
              <w:t xml:space="preserve"> </w:t>
            </w:r>
            <w:r>
              <w:rPr>
                <w:rFonts w:ascii="Verdana" w:hAnsi="Verdana"/>
                <w:sz w:val="16"/>
                <w:szCs w:val="16"/>
              </w:rPr>
              <w:t>(Bijlage 6 Rtt)</w:t>
            </w:r>
          </w:p>
        </w:tc>
        <w:tc>
          <w:tcPr>
            <w:tcW w:w="1274" w:type="dxa"/>
          </w:tcPr>
          <w:p w:rsidRPr="002C5EC5" w:rsidR="00334D7E" w:rsidP="00334D7E" w:rsidRDefault="00334D7E" w14:paraId="4A673D7F"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75AF0069" w14:textId="77777777">
            <w:pPr>
              <w:rPr>
                <w:rFonts w:ascii="Verdana" w:hAnsi="Verdana"/>
                <w:sz w:val="16"/>
                <w:szCs w:val="16"/>
              </w:rPr>
            </w:pPr>
          </w:p>
        </w:tc>
      </w:tr>
      <w:tr w:rsidR="00334D7E" w:rsidTr="00CA30A2" w14:paraId="4EEF6B2C" w14:textId="77777777">
        <w:tc>
          <w:tcPr>
            <w:tcW w:w="1552" w:type="dxa"/>
          </w:tcPr>
          <w:p w:rsidRPr="00DD0008" w:rsidR="00334D7E" w:rsidP="00334D7E" w:rsidRDefault="00334D7E" w14:paraId="508EE2E0" w14:textId="32D2AE5C">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14A29254" w14:textId="77777777">
            <w:pPr>
              <w:rPr>
                <w:rFonts w:ascii="Verdana" w:hAnsi="Verdana"/>
                <w:sz w:val="16"/>
                <w:szCs w:val="16"/>
              </w:rPr>
            </w:pPr>
            <w:r w:rsidRPr="002C5EC5">
              <w:rPr>
                <w:rFonts w:ascii="Verdana" w:hAnsi="Verdana"/>
                <w:sz w:val="16"/>
                <w:szCs w:val="16"/>
              </w:rPr>
              <w:t>48 octodecies, tweede alinea</w:t>
            </w:r>
          </w:p>
        </w:tc>
        <w:tc>
          <w:tcPr>
            <w:tcW w:w="1625" w:type="dxa"/>
          </w:tcPr>
          <w:p w:rsidR="00334D7E" w:rsidP="00334D7E" w:rsidRDefault="00334D7E" w14:paraId="3BD46A05" w14:textId="77777777">
            <w:pPr>
              <w:spacing w:line="240" w:lineRule="atLeast"/>
              <w:rPr>
                <w:rFonts w:ascii="Verdana" w:hAnsi="Verdana"/>
                <w:sz w:val="16"/>
                <w:szCs w:val="16"/>
              </w:rPr>
            </w:pPr>
            <w:r w:rsidRPr="002C5EC5">
              <w:rPr>
                <w:rFonts w:ascii="Verdana" w:hAnsi="Verdana"/>
                <w:sz w:val="16"/>
                <w:szCs w:val="16"/>
              </w:rPr>
              <w:t>Behoeft naar zijn aard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b</w:t>
            </w:r>
            <w:r w:rsidRPr="002C5EC5">
              <w:rPr>
                <w:rFonts w:ascii="Verdana" w:hAnsi="Verdana"/>
                <w:sz w:val="16"/>
                <w:szCs w:val="16"/>
              </w:rPr>
              <w:t>epaling gericht tot EBA</w:t>
            </w:r>
          </w:p>
        </w:tc>
        <w:tc>
          <w:tcPr>
            <w:tcW w:w="1274" w:type="dxa"/>
          </w:tcPr>
          <w:p w:rsidRPr="002C5EC5" w:rsidR="00334D7E" w:rsidP="00334D7E" w:rsidRDefault="00334D7E" w14:paraId="5EF422EC"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56ECA128" w14:textId="77777777">
            <w:pPr>
              <w:rPr>
                <w:rFonts w:ascii="Verdana" w:hAnsi="Verdana"/>
                <w:sz w:val="16"/>
                <w:szCs w:val="16"/>
              </w:rPr>
            </w:pPr>
          </w:p>
        </w:tc>
      </w:tr>
      <w:tr w:rsidR="00334D7E" w:rsidTr="00CA30A2" w14:paraId="4D86BB36" w14:textId="77777777">
        <w:tc>
          <w:tcPr>
            <w:tcW w:w="1552" w:type="dxa"/>
          </w:tcPr>
          <w:p w:rsidRPr="00DD0008" w:rsidR="00334D7E" w:rsidP="00334D7E" w:rsidRDefault="00334D7E" w14:paraId="51EF698D" w14:textId="2BD0F146">
            <w:pPr>
              <w:rPr>
                <w:rFonts w:ascii="Verdana" w:hAnsi="Verdana"/>
                <w:sz w:val="16"/>
                <w:szCs w:val="16"/>
              </w:rPr>
            </w:pPr>
            <w:r w:rsidRPr="002E2549">
              <w:rPr>
                <w:rFonts w:ascii="Verdana" w:hAnsi="Verdana"/>
                <w:sz w:val="16"/>
                <w:szCs w:val="16"/>
              </w:rPr>
              <w:t>1, lid 13</w:t>
            </w:r>
          </w:p>
        </w:tc>
        <w:tc>
          <w:tcPr>
            <w:tcW w:w="1514" w:type="dxa"/>
          </w:tcPr>
          <w:p w:rsidRPr="002C5EC5" w:rsidR="00334D7E" w:rsidP="00334D7E" w:rsidRDefault="00334D7E" w14:paraId="68B115A5" w14:textId="77777777">
            <w:pPr>
              <w:rPr>
                <w:rFonts w:ascii="Verdana" w:hAnsi="Verdana"/>
                <w:sz w:val="16"/>
                <w:szCs w:val="16"/>
              </w:rPr>
            </w:pPr>
            <w:r w:rsidRPr="002C5EC5">
              <w:rPr>
                <w:rFonts w:ascii="Verdana" w:hAnsi="Verdana"/>
                <w:sz w:val="16"/>
                <w:szCs w:val="16"/>
              </w:rPr>
              <w:t>48 novodecies</w:t>
            </w:r>
          </w:p>
        </w:tc>
        <w:tc>
          <w:tcPr>
            <w:tcW w:w="1625" w:type="dxa"/>
          </w:tcPr>
          <w:p w:rsidRPr="002C5EC5" w:rsidR="00334D7E" w:rsidP="00334D7E" w:rsidRDefault="00334D7E" w14:paraId="6C984975" w14:textId="77777777">
            <w:pPr>
              <w:spacing w:line="240" w:lineRule="atLeast"/>
              <w:rPr>
                <w:rFonts w:ascii="Verdana" w:hAnsi="Verdana"/>
                <w:sz w:val="16"/>
                <w:szCs w:val="16"/>
              </w:rPr>
            </w:pPr>
            <w:r w:rsidRPr="002C5EC5">
              <w:rPr>
                <w:rFonts w:ascii="Verdana" w:hAnsi="Verdana"/>
                <w:sz w:val="16"/>
                <w:szCs w:val="16"/>
              </w:rPr>
              <w:t>Behoeft naar zijn aard geen implementatie</w:t>
            </w:r>
            <w:r>
              <w:rPr>
                <w:rFonts w:ascii="Verdana" w:hAnsi="Verdana"/>
                <w:sz w:val="16"/>
                <w:szCs w:val="16"/>
              </w:rPr>
              <w:t>:</w:t>
            </w:r>
            <w:r w:rsidRPr="002C5EC5">
              <w:rPr>
                <w:rFonts w:ascii="Verdana" w:hAnsi="Verdana"/>
                <w:sz w:val="16"/>
                <w:szCs w:val="16"/>
              </w:rPr>
              <w:t xml:space="preserve"> Bepaling gericht tot de Europese instellingen en toezichthouders</w:t>
            </w:r>
          </w:p>
        </w:tc>
        <w:tc>
          <w:tcPr>
            <w:tcW w:w="1274" w:type="dxa"/>
          </w:tcPr>
          <w:p w:rsidRPr="002C5EC5" w:rsidR="00334D7E" w:rsidP="00334D7E" w:rsidRDefault="00334D7E" w14:paraId="29470AA3"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256FCFE1" w14:textId="77777777">
            <w:pPr>
              <w:rPr>
                <w:rFonts w:ascii="Verdana" w:hAnsi="Verdana"/>
                <w:sz w:val="16"/>
                <w:szCs w:val="16"/>
              </w:rPr>
            </w:pPr>
          </w:p>
        </w:tc>
      </w:tr>
      <w:tr w:rsidR="00CA30A2" w:rsidTr="00CA30A2" w14:paraId="357C6722" w14:textId="77777777">
        <w:tc>
          <w:tcPr>
            <w:tcW w:w="1552" w:type="dxa"/>
          </w:tcPr>
          <w:p w:rsidRPr="00DD0008" w:rsidR="00CA30A2" w:rsidP="008549EB" w:rsidRDefault="00334D7E" w14:paraId="44C8E39A" w14:textId="58A88889">
            <w:pPr>
              <w:rPr>
                <w:rFonts w:ascii="Verdana" w:hAnsi="Verdana"/>
                <w:sz w:val="16"/>
                <w:szCs w:val="16"/>
              </w:rPr>
            </w:pPr>
            <w:r>
              <w:rPr>
                <w:rFonts w:ascii="Verdana" w:hAnsi="Verdana"/>
                <w:sz w:val="16"/>
                <w:szCs w:val="16"/>
              </w:rPr>
              <w:t xml:space="preserve">1, lid </w:t>
            </w:r>
            <w:r w:rsidR="00CA30A2">
              <w:rPr>
                <w:rFonts w:ascii="Verdana" w:hAnsi="Verdana"/>
                <w:sz w:val="16"/>
                <w:szCs w:val="16"/>
              </w:rPr>
              <w:t>14</w:t>
            </w:r>
          </w:p>
        </w:tc>
        <w:tc>
          <w:tcPr>
            <w:tcW w:w="1514" w:type="dxa"/>
          </w:tcPr>
          <w:p w:rsidRPr="002C5EC5" w:rsidR="00CA30A2" w:rsidP="008549EB" w:rsidRDefault="00CA30A2" w14:paraId="69D074BE" w14:textId="77777777">
            <w:pPr>
              <w:rPr>
                <w:rFonts w:ascii="Verdana" w:hAnsi="Verdana"/>
                <w:sz w:val="16"/>
                <w:szCs w:val="16"/>
              </w:rPr>
            </w:pPr>
            <w:r w:rsidRPr="002C5EC5">
              <w:rPr>
                <w:rFonts w:ascii="Verdana" w:hAnsi="Verdana"/>
                <w:sz w:val="16"/>
                <w:szCs w:val="16"/>
              </w:rPr>
              <w:t>53, eerste lid, tweede alinea</w:t>
            </w:r>
          </w:p>
        </w:tc>
        <w:tc>
          <w:tcPr>
            <w:tcW w:w="1625" w:type="dxa"/>
          </w:tcPr>
          <w:p w:rsidRPr="002C5EC5" w:rsidR="00CA30A2" w:rsidP="008549EB" w:rsidRDefault="00CA30A2" w14:paraId="7D1B8924"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b</w:t>
            </w:r>
            <w:r w:rsidRPr="002C5EC5">
              <w:rPr>
                <w:rFonts w:ascii="Verdana" w:hAnsi="Verdana"/>
                <w:sz w:val="16"/>
                <w:szCs w:val="16"/>
              </w:rPr>
              <w:t>estaand recht in artikel 2:5, eerste lid, Awb</w:t>
            </w:r>
          </w:p>
        </w:tc>
        <w:tc>
          <w:tcPr>
            <w:tcW w:w="1274" w:type="dxa"/>
          </w:tcPr>
          <w:p w:rsidRPr="002C5EC5" w:rsidR="00CA30A2" w:rsidP="008549EB" w:rsidRDefault="00CA30A2" w14:paraId="24692E67"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7225F6DD" w14:textId="77777777">
            <w:pPr>
              <w:rPr>
                <w:rFonts w:ascii="Verdana" w:hAnsi="Verdana"/>
                <w:sz w:val="16"/>
                <w:szCs w:val="16"/>
              </w:rPr>
            </w:pPr>
          </w:p>
        </w:tc>
      </w:tr>
      <w:tr w:rsidR="00CA30A2" w:rsidTr="00CA30A2" w14:paraId="45D9A384" w14:textId="77777777">
        <w:tc>
          <w:tcPr>
            <w:tcW w:w="1552" w:type="dxa"/>
          </w:tcPr>
          <w:p w:rsidRPr="00DD0008" w:rsidR="00CA30A2" w:rsidP="008549EB" w:rsidRDefault="00334D7E" w14:paraId="008D5E18" w14:textId="3EDAC934">
            <w:pPr>
              <w:rPr>
                <w:rFonts w:ascii="Verdana" w:hAnsi="Verdana"/>
                <w:sz w:val="16"/>
                <w:szCs w:val="16"/>
              </w:rPr>
            </w:pPr>
            <w:r>
              <w:rPr>
                <w:rFonts w:ascii="Verdana" w:hAnsi="Verdana"/>
                <w:sz w:val="16"/>
                <w:szCs w:val="16"/>
              </w:rPr>
              <w:t xml:space="preserve">1, lid </w:t>
            </w:r>
            <w:r w:rsidR="00CA30A2">
              <w:rPr>
                <w:rFonts w:ascii="Verdana" w:hAnsi="Verdana"/>
                <w:sz w:val="16"/>
                <w:szCs w:val="16"/>
              </w:rPr>
              <w:t>15</w:t>
            </w:r>
          </w:p>
        </w:tc>
        <w:tc>
          <w:tcPr>
            <w:tcW w:w="1514" w:type="dxa"/>
          </w:tcPr>
          <w:p w:rsidRPr="002C5EC5" w:rsidR="00CA30A2" w:rsidP="008549EB" w:rsidRDefault="00CA30A2" w14:paraId="4A5F70EC" w14:textId="77777777">
            <w:pPr>
              <w:rPr>
                <w:rFonts w:ascii="Verdana" w:hAnsi="Verdana"/>
                <w:sz w:val="16"/>
                <w:szCs w:val="16"/>
              </w:rPr>
            </w:pPr>
            <w:r w:rsidRPr="002C5EC5">
              <w:rPr>
                <w:rFonts w:ascii="Verdana" w:hAnsi="Verdana"/>
                <w:sz w:val="16"/>
                <w:szCs w:val="16"/>
              </w:rPr>
              <w:t xml:space="preserve">56, vijfde alinea </w:t>
            </w:r>
          </w:p>
        </w:tc>
        <w:tc>
          <w:tcPr>
            <w:tcW w:w="1625" w:type="dxa"/>
          </w:tcPr>
          <w:p w:rsidRPr="002C5EC5" w:rsidR="00CA30A2" w:rsidP="008549EB" w:rsidRDefault="00CA30A2" w14:paraId="4A7BDC09"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b</w:t>
            </w:r>
            <w:r w:rsidRPr="002C5EC5">
              <w:rPr>
                <w:rFonts w:ascii="Verdana" w:hAnsi="Verdana"/>
                <w:sz w:val="16"/>
                <w:szCs w:val="16"/>
              </w:rPr>
              <w:t>estaand recht in artikel 1:93, eerste lid, onderdeel f, en derde lid Wft</w:t>
            </w:r>
          </w:p>
        </w:tc>
        <w:tc>
          <w:tcPr>
            <w:tcW w:w="1274" w:type="dxa"/>
          </w:tcPr>
          <w:p w:rsidRPr="002C5EC5" w:rsidR="00CA30A2" w:rsidP="008549EB" w:rsidRDefault="00CA30A2" w14:paraId="0CB52375"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1C1DFF58" w14:textId="77777777">
            <w:pPr>
              <w:rPr>
                <w:rFonts w:ascii="Verdana" w:hAnsi="Verdana"/>
                <w:sz w:val="16"/>
                <w:szCs w:val="16"/>
              </w:rPr>
            </w:pPr>
          </w:p>
        </w:tc>
      </w:tr>
      <w:tr w:rsidR="00CA30A2" w:rsidTr="00CA30A2" w14:paraId="77FB0574" w14:textId="77777777">
        <w:tc>
          <w:tcPr>
            <w:tcW w:w="1552" w:type="dxa"/>
          </w:tcPr>
          <w:p w:rsidRPr="00DD0008" w:rsidR="00CA30A2" w:rsidP="008549EB" w:rsidRDefault="00334D7E" w14:paraId="4962E2E8" w14:textId="2A11B5AA">
            <w:pPr>
              <w:rPr>
                <w:rFonts w:ascii="Verdana" w:hAnsi="Verdana"/>
                <w:sz w:val="16"/>
                <w:szCs w:val="16"/>
              </w:rPr>
            </w:pPr>
            <w:r>
              <w:rPr>
                <w:rFonts w:ascii="Verdana" w:hAnsi="Verdana"/>
                <w:sz w:val="16"/>
                <w:szCs w:val="16"/>
              </w:rPr>
              <w:t xml:space="preserve">1, lid </w:t>
            </w:r>
            <w:r w:rsidR="00CA30A2">
              <w:rPr>
                <w:rFonts w:ascii="Verdana" w:hAnsi="Verdana"/>
                <w:sz w:val="16"/>
                <w:szCs w:val="16"/>
              </w:rPr>
              <w:t>16</w:t>
            </w:r>
          </w:p>
        </w:tc>
        <w:tc>
          <w:tcPr>
            <w:tcW w:w="1514" w:type="dxa"/>
          </w:tcPr>
          <w:p w:rsidRPr="002C5EC5" w:rsidR="00CA30A2" w:rsidP="008549EB" w:rsidRDefault="00CA30A2" w14:paraId="71A7C3F5" w14:textId="77777777">
            <w:pPr>
              <w:rPr>
                <w:rFonts w:ascii="Verdana" w:hAnsi="Verdana"/>
                <w:sz w:val="16"/>
                <w:szCs w:val="16"/>
              </w:rPr>
            </w:pPr>
            <w:r w:rsidRPr="002C5EC5">
              <w:rPr>
                <w:rFonts w:ascii="Verdana" w:hAnsi="Verdana"/>
                <w:sz w:val="16"/>
                <w:szCs w:val="16"/>
              </w:rPr>
              <w:t>65, eerste lid</w:t>
            </w:r>
          </w:p>
        </w:tc>
        <w:tc>
          <w:tcPr>
            <w:tcW w:w="1625" w:type="dxa"/>
          </w:tcPr>
          <w:p w:rsidRPr="002C5EC5" w:rsidR="00CA30A2" w:rsidP="008549EB" w:rsidRDefault="00CA30A2" w14:paraId="4C157A80"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b</w:t>
            </w:r>
            <w:r w:rsidRPr="002C5EC5">
              <w:rPr>
                <w:rFonts w:ascii="Verdana" w:hAnsi="Verdana"/>
                <w:sz w:val="16"/>
                <w:szCs w:val="16"/>
              </w:rPr>
              <w:t>estaand recht in artikel 1:75, eerste lid, 1:79, 1:81, tweede en derde lid, Wft en 5:2, eerste lid, onderdeel b, Awb en titel 5.3. Awb</w:t>
            </w:r>
          </w:p>
        </w:tc>
        <w:tc>
          <w:tcPr>
            <w:tcW w:w="1274" w:type="dxa"/>
          </w:tcPr>
          <w:p w:rsidRPr="002C5EC5" w:rsidR="00CA30A2" w:rsidP="008549EB" w:rsidRDefault="00CA30A2" w14:paraId="6F095AF0"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54F28C3E" w14:textId="77777777">
            <w:pPr>
              <w:rPr>
                <w:rFonts w:ascii="Verdana" w:hAnsi="Verdana"/>
                <w:sz w:val="16"/>
                <w:szCs w:val="16"/>
              </w:rPr>
            </w:pPr>
          </w:p>
        </w:tc>
      </w:tr>
      <w:tr w:rsidR="00CA30A2" w:rsidTr="00CA30A2" w14:paraId="6203AAC5" w14:textId="77777777">
        <w:tc>
          <w:tcPr>
            <w:tcW w:w="1552" w:type="dxa"/>
          </w:tcPr>
          <w:p w:rsidRPr="00DD0008" w:rsidR="00CA30A2" w:rsidP="008549EB" w:rsidRDefault="00334D7E" w14:paraId="740D38A9" w14:textId="3238D466">
            <w:pPr>
              <w:rPr>
                <w:rFonts w:ascii="Verdana" w:hAnsi="Verdana"/>
                <w:sz w:val="16"/>
                <w:szCs w:val="16"/>
              </w:rPr>
            </w:pPr>
            <w:r>
              <w:rPr>
                <w:rFonts w:ascii="Verdana" w:hAnsi="Verdana"/>
                <w:sz w:val="16"/>
                <w:szCs w:val="16"/>
              </w:rPr>
              <w:t xml:space="preserve">1, lid </w:t>
            </w:r>
            <w:r w:rsidR="00CA30A2">
              <w:rPr>
                <w:rFonts w:ascii="Verdana" w:hAnsi="Verdana"/>
                <w:sz w:val="16"/>
                <w:szCs w:val="16"/>
              </w:rPr>
              <w:t>16</w:t>
            </w:r>
          </w:p>
        </w:tc>
        <w:tc>
          <w:tcPr>
            <w:tcW w:w="1514" w:type="dxa"/>
          </w:tcPr>
          <w:p w:rsidRPr="002C5EC5" w:rsidR="00CA30A2" w:rsidP="008549EB" w:rsidRDefault="00CA30A2" w14:paraId="3A439F9C" w14:textId="77777777">
            <w:pPr>
              <w:rPr>
                <w:rFonts w:ascii="Verdana" w:hAnsi="Verdana"/>
                <w:sz w:val="16"/>
                <w:szCs w:val="16"/>
              </w:rPr>
            </w:pPr>
            <w:r w:rsidRPr="002C5EC5">
              <w:rPr>
                <w:rFonts w:ascii="Verdana" w:hAnsi="Verdana"/>
                <w:sz w:val="16"/>
                <w:szCs w:val="16"/>
              </w:rPr>
              <w:t>65, tweede lid</w:t>
            </w:r>
          </w:p>
        </w:tc>
        <w:tc>
          <w:tcPr>
            <w:tcW w:w="1625" w:type="dxa"/>
          </w:tcPr>
          <w:p w:rsidRPr="002C5EC5" w:rsidR="00CA30A2" w:rsidP="008549EB" w:rsidRDefault="00CA30A2" w14:paraId="4F4EF305"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b</w:t>
            </w:r>
            <w:r w:rsidRPr="002C5EC5">
              <w:rPr>
                <w:rFonts w:ascii="Verdana" w:hAnsi="Verdana"/>
                <w:sz w:val="16"/>
                <w:szCs w:val="16"/>
              </w:rPr>
              <w:t>estaand recht in artikel 5:1, tweede en derde lid, Awb en 51, tweede en derde lid, Sr</w:t>
            </w:r>
          </w:p>
        </w:tc>
        <w:tc>
          <w:tcPr>
            <w:tcW w:w="1274" w:type="dxa"/>
          </w:tcPr>
          <w:p w:rsidRPr="002C5EC5" w:rsidR="00CA30A2" w:rsidP="008549EB" w:rsidRDefault="00CA30A2" w14:paraId="22CDEE5F"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513E6709" w14:textId="77777777">
            <w:pPr>
              <w:rPr>
                <w:rFonts w:ascii="Verdana" w:hAnsi="Verdana"/>
                <w:sz w:val="16"/>
                <w:szCs w:val="16"/>
              </w:rPr>
            </w:pPr>
          </w:p>
        </w:tc>
      </w:tr>
      <w:tr w:rsidR="00CA30A2" w:rsidTr="00CA30A2" w14:paraId="63E31328" w14:textId="77777777">
        <w:tc>
          <w:tcPr>
            <w:tcW w:w="1552" w:type="dxa"/>
          </w:tcPr>
          <w:p w:rsidRPr="00DD0008" w:rsidR="00CA30A2" w:rsidP="008549EB" w:rsidRDefault="00334D7E" w14:paraId="41BB33FD" w14:textId="40C2CAB2">
            <w:pPr>
              <w:rPr>
                <w:rFonts w:ascii="Verdana" w:hAnsi="Verdana"/>
                <w:sz w:val="16"/>
                <w:szCs w:val="16"/>
              </w:rPr>
            </w:pPr>
            <w:r>
              <w:rPr>
                <w:rFonts w:ascii="Verdana" w:hAnsi="Verdana"/>
                <w:sz w:val="16"/>
                <w:szCs w:val="16"/>
              </w:rPr>
              <w:t xml:space="preserve">1, lid </w:t>
            </w:r>
            <w:r w:rsidR="00CA30A2">
              <w:rPr>
                <w:rFonts w:ascii="Verdana" w:hAnsi="Verdana"/>
                <w:sz w:val="16"/>
                <w:szCs w:val="16"/>
              </w:rPr>
              <w:t>16</w:t>
            </w:r>
          </w:p>
        </w:tc>
        <w:tc>
          <w:tcPr>
            <w:tcW w:w="1514" w:type="dxa"/>
          </w:tcPr>
          <w:p w:rsidRPr="002C5EC5" w:rsidR="00CA30A2" w:rsidP="008549EB" w:rsidRDefault="00CA30A2" w14:paraId="45C64461" w14:textId="77777777">
            <w:pPr>
              <w:rPr>
                <w:rFonts w:ascii="Verdana" w:hAnsi="Verdana"/>
                <w:sz w:val="16"/>
                <w:szCs w:val="16"/>
              </w:rPr>
            </w:pPr>
            <w:r w:rsidRPr="002C5EC5">
              <w:rPr>
                <w:rFonts w:ascii="Verdana" w:hAnsi="Verdana"/>
                <w:sz w:val="16"/>
                <w:szCs w:val="16"/>
              </w:rPr>
              <w:t>65, derde lid</w:t>
            </w:r>
          </w:p>
        </w:tc>
        <w:tc>
          <w:tcPr>
            <w:tcW w:w="1625" w:type="dxa"/>
          </w:tcPr>
          <w:p w:rsidRPr="002C5EC5" w:rsidR="00CA30A2" w:rsidP="008549EB" w:rsidRDefault="00CA30A2" w14:paraId="623A246A"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b</w:t>
            </w:r>
            <w:r w:rsidRPr="002C5EC5">
              <w:rPr>
                <w:rFonts w:ascii="Verdana" w:hAnsi="Verdana"/>
                <w:sz w:val="16"/>
                <w:szCs w:val="16"/>
              </w:rPr>
              <w:t xml:space="preserve">estaand recht in </w:t>
            </w:r>
            <w:r>
              <w:rPr>
                <w:rFonts w:ascii="Verdana" w:hAnsi="Verdana"/>
                <w:sz w:val="16"/>
                <w:szCs w:val="16"/>
              </w:rPr>
              <w:t xml:space="preserve">artikel </w:t>
            </w:r>
            <w:r w:rsidRPr="002C5EC5">
              <w:rPr>
                <w:rFonts w:ascii="Verdana" w:hAnsi="Verdana"/>
                <w:sz w:val="16"/>
                <w:szCs w:val="16"/>
              </w:rPr>
              <w:t xml:space="preserve">5:2, eerste en tweede lid, Awb. </w:t>
            </w:r>
          </w:p>
        </w:tc>
        <w:tc>
          <w:tcPr>
            <w:tcW w:w="1274" w:type="dxa"/>
          </w:tcPr>
          <w:p w:rsidRPr="002C5EC5" w:rsidR="00CA30A2" w:rsidP="008549EB" w:rsidRDefault="00CA30A2" w14:paraId="6B93D4EA"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215C101E" w14:textId="77777777">
            <w:pPr>
              <w:rPr>
                <w:rFonts w:ascii="Verdana" w:hAnsi="Verdana"/>
                <w:sz w:val="16"/>
                <w:szCs w:val="16"/>
              </w:rPr>
            </w:pPr>
          </w:p>
        </w:tc>
      </w:tr>
      <w:tr w:rsidR="00CA30A2" w:rsidTr="00CA30A2" w14:paraId="4CF74617" w14:textId="77777777">
        <w:tc>
          <w:tcPr>
            <w:tcW w:w="1552" w:type="dxa"/>
          </w:tcPr>
          <w:p w:rsidRPr="00DD0008" w:rsidR="00CA30A2" w:rsidP="008549EB" w:rsidRDefault="00334D7E" w14:paraId="1962D195" w14:textId="38583413">
            <w:pPr>
              <w:rPr>
                <w:rFonts w:ascii="Verdana" w:hAnsi="Verdana"/>
                <w:sz w:val="16"/>
                <w:szCs w:val="16"/>
              </w:rPr>
            </w:pPr>
            <w:r>
              <w:rPr>
                <w:rFonts w:ascii="Verdana" w:hAnsi="Verdana"/>
                <w:sz w:val="16"/>
                <w:szCs w:val="16"/>
              </w:rPr>
              <w:t xml:space="preserve">1, lid </w:t>
            </w:r>
            <w:r w:rsidR="00CA30A2">
              <w:rPr>
                <w:rFonts w:ascii="Verdana" w:hAnsi="Verdana"/>
                <w:sz w:val="16"/>
                <w:szCs w:val="16"/>
              </w:rPr>
              <w:t>16</w:t>
            </w:r>
          </w:p>
        </w:tc>
        <w:tc>
          <w:tcPr>
            <w:tcW w:w="1514" w:type="dxa"/>
          </w:tcPr>
          <w:p w:rsidRPr="002C5EC5" w:rsidR="00CA30A2" w:rsidP="008549EB" w:rsidRDefault="00CA30A2" w14:paraId="7F0EF1C1" w14:textId="77777777">
            <w:pPr>
              <w:rPr>
                <w:rFonts w:ascii="Verdana" w:hAnsi="Verdana"/>
                <w:sz w:val="16"/>
                <w:szCs w:val="16"/>
              </w:rPr>
            </w:pPr>
            <w:r w:rsidRPr="002C5EC5">
              <w:rPr>
                <w:rFonts w:ascii="Verdana" w:hAnsi="Verdana"/>
                <w:sz w:val="16"/>
                <w:szCs w:val="16"/>
              </w:rPr>
              <w:t>65, vierde lid</w:t>
            </w:r>
          </w:p>
        </w:tc>
        <w:tc>
          <w:tcPr>
            <w:tcW w:w="1625" w:type="dxa"/>
          </w:tcPr>
          <w:p w:rsidRPr="002C5EC5" w:rsidR="00CA30A2" w:rsidP="008549EB" w:rsidRDefault="00CA30A2" w14:paraId="7B5D74E4"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b</w:t>
            </w:r>
            <w:r w:rsidRPr="002C5EC5">
              <w:rPr>
                <w:rFonts w:ascii="Verdana" w:hAnsi="Verdana"/>
                <w:sz w:val="16"/>
                <w:szCs w:val="16"/>
              </w:rPr>
              <w:t>estaand recht in artikel 1:56 en 1:74 Wft en 5:15, 5:16, 5:17 en 5:20 Awb</w:t>
            </w:r>
          </w:p>
        </w:tc>
        <w:tc>
          <w:tcPr>
            <w:tcW w:w="1274" w:type="dxa"/>
          </w:tcPr>
          <w:p w:rsidRPr="002C5EC5" w:rsidR="00CA30A2" w:rsidP="008549EB" w:rsidRDefault="00CA30A2" w14:paraId="4B5A51BA"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62FE32FF" w14:textId="77777777">
            <w:pPr>
              <w:rPr>
                <w:rFonts w:ascii="Verdana" w:hAnsi="Verdana"/>
                <w:sz w:val="16"/>
                <w:szCs w:val="16"/>
              </w:rPr>
            </w:pPr>
          </w:p>
        </w:tc>
      </w:tr>
      <w:tr w:rsidR="00CA30A2" w:rsidTr="00CA30A2" w14:paraId="2E6D362D" w14:textId="77777777">
        <w:tc>
          <w:tcPr>
            <w:tcW w:w="1552" w:type="dxa"/>
          </w:tcPr>
          <w:p w:rsidRPr="00DD0008" w:rsidR="00CA30A2" w:rsidP="008549EB" w:rsidRDefault="00334D7E" w14:paraId="4548B7F2" w14:textId="43FBC084">
            <w:pPr>
              <w:rPr>
                <w:rFonts w:ascii="Verdana" w:hAnsi="Verdana"/>
                <w:sz w:val="16"/>
                <w:szCs w:val="16"/>
              </w:rPr>
            </w:pPr>
            <w:r>
              <w:rPr>
                <w:rFonts w:ascii="Verdana" w:hAnsi="Verdana"/>
                <w:sz w:val="16"/>
                <w:szCs w:val="16"/>
              </w:rPr>
              <w:t xml:space="preserve">1, lid </w:t>
            </w:r>
            <w:r w:rsidR="00CA30A2">
              <w:rPr>
                <w:rFonts w:ascii="Verdana" w:hAnsi="Verdana"/>
                <w:sz w:val="16"/>
                <w:szCs w:val="16"/>
              </w:rPr>
              <w:t>16</w:t>
            </w:r>
          </w:p>
        </w:tc>
        <w:tc>
          <w:tcPr>
            <w:tcW w:w="1514" w:type="dxa"/>
          </w:tcPr>
          <w:p w:rsidRPr="002C5EC5" w:rsidR="00CA30A2" w:rsidP="008549EB" w:rsidRDefault="00CA30A2" w14:paraId="11C5A5B8" w14:textId="77777777">
            <w:pPr>
              <w:rPr>
                <w:rFonts w:ascii="Verdana" w:hAnsi="Verdana"/>
                <w:sz w:val="16"/>
                <w:szCs w:val="16"/>
              </w:rPr>
            </w:pPr>
            <w:r w:rsidRPr="002C5EC5">
              <w:rPr>
                <w:rFonts w:ascii="Verdana" w:hAnsi="Verdana"/>
                <w:sz w:val="16"/>
                <w:szCs w:val="16"/>
              </w:rPr>
              <w:t>65, vijfde lid</w:t>
            </w:r>
          </w:p>
        </w:tc>
        <w:tc>
          <w:tcPr>
            <w:tcW w:w="1625" w:type="dxa"/>
          </w:tcPr>
          <w:p w:rsidRPr="002C5EC5" w:rsidR="00CA30A2" w:rsidP="008549EB" w:rsidRDefault="00CA30A2" w14:paraId="66733F69"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Niet van toepassing in Nederland.</w:t>
            </w:r>
          </w:p>
        </w:tc>
        <w:tc>
          <w:tcPr>
            <w:tcW w:w="1274" w:type="dxa"/>
          </w:tcPr>
          <w:p w:rsidRPr="002C5EC5" w:rsidR="00CA30A2" w:rsidP="008549EB" w:rsidRDefault="00CA30A2" w14:paraId="6E54887E"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3C053273" w14:textId="77777777">
            <w:pPr>
              <w:rPr>
                <w:rFonts w:ascii="Verdana" w:hAnsi="Verdana"/>
                <w:sz w:val="16"/>
                <w:szCs w:val="16"/>
              </w:rPr>
            </w:pPr>
          </w:p>
        </w:tc>
      </w:tr>
      <w:tr w:rsidR="00CA30A2" w:rsidTr="00CA30A2" w14:paraId="10A1FC45" w14:textId="77777777">
        <w:tc>
          <w:tcPr>
            <w:tcW w:w="1552" w:type="dxa"/>
          </w:tcPr>
          <w:p w:rsidRPr="00DD0008" w:rsidR="00CA30A2" w:rsidP="008549EB" w:rsidRDefault="00334D7E" w14:paraId="2EC4325E" w14:textId="4711C3FD">
            <w:pPr>
              <w:rPr>
                <w:rFonts w:ascii="Verdana" w:hAnsi="Verdana"/>
                <w:sz w:val="16"/>
                <w:szCs w:val="16"/>
              </w:rPr>
            </w:pPr>
            <w:r>
              <w:rPr>
                <w:rFonts w:ascii="Verdana" w:hAnsi="Verdana"/>
                <w:sz w:val="16"/>
                <w:szCs w:val="16"/>
              </w:rPr>
              <w:t xml:space="preserve">1, lid </w:t>
            </w:r>
            <w:r w:rsidR="00CA30A2">
              <w:rPr>
                <w:rFonts w:ascii="Verdana" w:hAnsi="Verdana"/>
                <w:sz w:val="16"/>
                <w:szCs w:val="16"/>
              </w:rPr>
              <w:t>16</w:t>
            </w:r>
          </w:p>
        </w:tc>
        <w:tc>
          <w:tcPr>
            <w:tcW w:w="1514" w:type="dxa"/>
          </w:tcPr>
          <w:p w:rsidRPr="002C5EC5" w:rsidR="00CA30A2" w:rsidP="008549EB" w:rsidRDefault="00CA30A2" w14:paraId="37CD07B5" w14:textId="77777777">
            <w:pPr>
              <w:rPr>
                <w:rFonts w:ascii="Verdana" w:hAnsi="Verdana"/>
                <w:sz w:val="16"/>
                <w:szCs w:val="16"/>
              </w:rPr>
            </w:pPr>
            <w:r w:rsidRPr="002C5EC5">
              <w:rPr>
                <w:rFonts w:ascii="Verdana" w:hAnsi="Verdana"/>
                <w:sz w:val="16"/>
                <w:szCs w:val="16"/>
              </w:rPr>
              <w:t>66, eerste lid</w:t>
            </w:r>
          </w:p>
        </w:tc>
        <w:tc>
          <w:tcPr>
            <w:tcW w:w="1625" w:type="dxa"/>
          </w:tcPr>
          <w:p w:rsidR="00CA30A2" w:rsidP="008549EB" w:rsidRDefault="00CA30A2" w14:paraId="4FAD7023" w14:textId="77777777">
            <w:pPr>
              <w:spacing w:line="240" w:lineRule="atLeast"/>
              <w:rPr>
                <w:rFonts w:ascii="Verdana" w:hAnsi="Verdana"/>
                <w:sz w:val="16"/>
                <w:szCs w:val="16"/>
              </w:rPr>
            </w:pPr>
            <w:r>
              <w:rPr>
                <w:rFonts w:ascii="Verdana" w:hAnsi="Verdana"/>
                <w:sz w:val="16"/>
                <w:szCs w:val="16"/>
              </w:rPr>
              <w:t>Artikel I, onderdeel LLLL en Artikel III (</w:t>
            </w:r>
            <w:r w:rsidRPr="002C5EC5">
              <w:rPr>
                <w:rFonts w:ascii="Verdana" w:hAnsi="Verdana"/>
                <w:sz w:val="16"/>
                <w:szCs w:val="16"/>
              </w:rPr>
              <w:t>Bijlagen behorende bij de artikelen 1:79 en 1:90 Wft</w:t>
            </w:r>
            <w:r>
              <w:rPr>
                <w:rFonts w:ascii="Verdana" w:hAnsi="Verdana"/>
                <w:sz w:val="16"/>
                <w:szCs w:val="16"/>
              </w:rPr>
              <w:t>; Wed)</w:t>
            </w:r>
          </w:p>
          <w:p w:rsidR="00CA30A2" w:rsidP="008549EB" w:rsidRDefault="00CA30A2" w14:paraId="4BB3D032" w14:textId="77777777">
            <w:pPr>
              <w:spacing w:line="240" w:lineRule="atLeast"/>
              <w:rPr>
                <w:rFonts w:ascii="Verdana" w:hAnsi="Verdana"/>
                <w:sz w:val="16"/>
                <w:szCs w:val="16"/>
              </w:rPr>
            </w:pPr>
          </w:p>
          <w:p w:rsidRPr="002C5EC5" w:rsidR="00CA30A2" w:rsidP="008549EB" w:rsidRDefault="00CA30A2" w14:paraId="4C46F411" w14:textId="77777777">
            <w:pPr>
              <w:spacing w:line="240" w:lineRule="atLeast"/>
              <w:rPr>
                <w:rFonts w:ascii="Verdana" w:hAnsi="Verdana"/>
                <w:sz w:val="16"/>
                <w:szCs w:val="16"/>
              </w:rPr>
            </w:pPr>
            <w:r>
              <w:rPr>
                <w:rFonts w:ascii="Verdana" w:hAnsi="Verdana"/>
                <w:sz w:val="16"/>
                <w:szCs w:val="16"/>
              </w:rPr>
              <w:t>Volgt bij implementatiebesluit (10 Bbbfs)</w:t>
            </w:r>
          </w:p>
        </w:tc>
        <w:tc>
          <w:tcPr>
            <w:tcW w:w="1274" w:type="dxa"/>
          </w:tcPr>
          <w:p w:rsidRPr="002C5EC5" w:rsidR="00CA30A2" w:rsidP="008549EB" w:rsidRDefault="00CA30A2" w14:paraId="590E0B36"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0AD10B0F" w14:textId="77777777">
            <w:pPr>
              <w:rPr>
                <w:rFonts w:ascii="Verdana" w:hAnsi="Verdana"/>
                <w:sz w:val="16"/>
                <w:szCs w:val="16"/>
              </w:rPr>
            </w:pPr>
          </w:p>
        </w:tc>
      </w:tr>
      <w:tr w:rsidR="00CA30A2" w:rsidTr="00CA30A2" w14:paraId="6D4A4053" w14:textId="77777777">
        <w:tc>
          <w:tcPr>
            <w:tcW w:w="1552" w:type="dxa"/>
          </w:tcPr>
          <w:p w:rsidRPr="00DD0008" w:rsidR="00CA30A2" w:rsidP="008549EB" w:rsidRDefault="00334D7E" w14:paraId="315790EC" w14:textId="0C1A9B4D">
            <w:pPr>
              <w:rPr>
                <w:rFonts w:ascii="Verdana" w:hAnsi="Verdana"/>
                <w:sz w:val="16"/>
                <w:szCs w:val="16"/>
              </w:rPr>
            </w:pPr>
            <w:r>
              <w:rPr>
                <w:rFonts w:ascii="Verdana" w:hAnsi="Verdana"/>
                <w:sz w:val="16"/>
                <w:szCs w:val="16"/>
              </w:rPr>
              <w:t xml:space="preserve">1, lid </w:t>
            </w:r>
            <w:r w:rsidR="00CA30A2">
              <w:rPr>
                <w:rFonts w:ascii="Verdana" w:hAnsi="Verdana"/>
                <w:sz w:val="16"/>
                <w:szCs w:val="16"/>
              </w:rPr>
              <w:t>16</w:t>
            </w:r>
          </w:p>
        </w:tc>
        <w:tc>
          <w:tcPr>
            <w:tcW w:w="1514" w:type="dxa"/>
          </w:tcPr>
          <w:p w:rsidRPr="002C5EC5" w:rsidR="00CA30A2" w:rsidP="008549EB" w:rsidRDefault="00CA30A2" w14:paraId="075F8DDF" w14:textId="77777777">
            <w:pPr>
              <w:rPr>
                <w:rFonts w:ascii="Verdana" w:hAnsi="Verdana"/>
                <w:sz w:val="16"/>
                <w:szCs w:val="16"/>
              </w:rPr>
            </w:pPr>
            <w:r w:rsidRPr="002C5EC5">
              <w:rPr>
                <w:rFonts w:ascii="Verdana" w:hAnsi="Verdana"/>
                <w:sz w:val="16"/>
                <w:szCs w:val="16"/>
              </w:rPr>
              <w:t>66, tweede lid, eerste alinea</w:t>
            </w:r>
          </w:p>
        </w:tc>
        <w:tc>
          <w:tcPr>
            <w:tcW w:w="1625" w:type="dxa"/>
          </w:tcPr>
          <w:p w:rsidRPr="002C5EC5" w:rsidR="00CA30A2" w:rsidP="008549EB" w:rsidRDefault="00CA30A2" w14:paraId="77D25935" w14:textId="77777777">
            <w:pPr>
              <w:spacing w:line="240" w:lineRule="atLeast"/>
              <w:rPr>
                <w:rFonts w:ascii="Verdana" w:hAnsi="Verdana"/>
                <w:sz w:val="16"/>
                <w:szCs w:val="16"/>
              </w:rPr>
            </w:pPr>
            <w:r w:rsidRPr="002C5EC5">
              <w:rPr>
                <w:rFonts w:ascii="Verdana" w:hAnsi="Verdana"/>
                <w:sz w:val="16"/>
                <w:szCs w:val="16"/>
              </w:rPr>
              <w:t xml:space="preserve">Behoeft geen implementatie. 66(2)(a+b): </w:t>
            </w:r>
            <w:r>
              <w:rPr>
                <w:rFonts w:ascii="Verdana" w:hAnsi="Verdana"/>
                <w:sz w:val="16"/>
                <w:szCs w:val="16"/>
              </w:rPr>
              <w:t>b</w:t>
            </w:r>
            <w:r w:rsidRPr="002C5EC5">
              <w:rPr>
                <w:rFonts w:ascii="Verdana" w:hAnsi="Verdana"/>
                <w:sz w:val="16"/>
                <w:szCs w:val="16"/>
              </w:rPr>
              <w:t>estaand recht in artikel 1:75, eerste lid, 1:79, 1:81, tweede en derde lid, Wft en 5:2, eerste lid, onderdeel b, Awb en titel 5.3. Awb,</w:t>
            </w:r>
          </w:p>
          <w:p w:rsidRPr="002C5EC5" w:rsidR="00CA30A2" w:rsidP="008549EB" w:rsidRDefault="00CA30A2" w14:paraId="5BB5451B" w14:textId="77777777">
            <w:pPr>
              <w:spacing w:line="240" w:lineRule="atLeast"/>
              <w:rPr>
                <w:rFonts w:ascii="Verdana" w:hAnsi="Verdana"/>
                <w:sz w:val="16"/>
                <w:szCs w:val="16"/>
              </w:rPr>
            </w:pPr>
          </w:p>
          <w:p w:rsidRPr="002C5EC5" w:rsidR="00CA30A2" w:rsidP="008549EB" w:rsidRDefault="00CA30A2" w14:paraId="54290A94" w14:textId="77777777">
            <w:pPr>
              <w:spacing w:line="240" w:lineRule="atLeast"/>
              <w:rPr>
                <w:rFonts w:ascii="Verdana" w:hAnsi="Verdana"/>
                <w:sz w:val="16"/>
                <w:szCs w:val="16"/>
              </w:rPr>
            </w:pPr>
            <w:r w:rsidRPr="002C5EC5">
              <w:rPr>
                <w:rFonts w:ascii="Verdana" w:hAnsi="Verdana"/>
                <w:sz w:val="16"/>
                <w:szCs w:val="16"/>
              </w:rPr>
              <w:t>66(2)(c)(i) 1:94 Wft</w:t>
            </w:r>
          </w:p>
          <w:p w:rsidRPr="002C5EC5" w:rsidR="00CA30A2" w:rsidP="008549EB" w:rsidRDefault="00CA30A2" w14:paraId="4587AD93" w14:textId="77777777">
            <w:pPr>
              <w:spacing w:line="240" w:lineRule="atLeast"/>
              <w:rPr>
                <w:rFonts w:ascii="Verdana" w:hAnsi="Verdana"/>
                <w:sz w:val="16"/>
                <w:szCs w:val="16"/>
              </w:rPr>
            </w:pPr>
            <w:r w:rsidRPr="002C5EC5">
              <w:rPr>
                <w:rFonts w:ascii="Verdana" w:hAnsi="Verdana"/>
                <w:sz w:val="16"/>
                <w:szCs w:val="16"/>
              </w:rPr>
              <w:t>66(2)(c)(ii) 1:75 Wft</w:t>
            </w:r>
          </w:p>
          <w:p w:rsidRPr="002C5EC5" w:rsidR="00CA30A2" w:rsidP="008549EB" w:rsidRDefault="00CA30A2" w14:paraId="011ACA21" w14:textId="77777777">
            <w:pPr>
              <w:spacing w:line="240" w:lineRule="atLeast"/>
              <w:rPr>
                <w:rFonts w:ascii="Verdana" w:hAnsi="Verdana"/>
                <w:sz w:val="16"/>
                <w:szCs w:val="16"/>
              </w:rPr>
            </w:pPr>
            <w:r w:rsidRPr="002C5EC5">
              <w:rPr>
                <w:rFonts w:ascii="Verdana" w:hAnsi="Verdana"/>
                <w:sz w:val="16"/>
                <w:szCs w:val="16"/>
              </w:rPr>
              <w:t>66(2)(c)(iii) 1:86 Wft</w:t>
            </w:r>
          </w:p>
          <w:p w:rsidR="00CA30A2" w:rsidP="008549EB" w:rsidRDefault="00CA30A2" w14:paraId="7BC912C6" w14:textId="77777777">
            <w:pPr>
              <w:spacing w:line="240" w:lineRule="atLeast"/>
              <w:rPr>
                <w:rFonts w:ascii="Verdana" w:hAnsi="Verdana"/>
                <w:sz w:val="16"/>
                <w:szCs w:val="16"/>
              </w:rPr>
            </w:pPr>
            <w:r w:rsidRPr="002C5EC5">
              <w:rPr>
                <w:rFonts w:ascii="Verdana" w:hAnsi="Verdana"/>
                <w:sz w:val="16"/>
                <w:szCs w:val="16"/>
              </w:rPr>
              <w:t>66(2)(c)(iv) 1:87 Wft</w:t>
            </w:r>
          </w:p>
          <w:p w:rsidR="00CA30A2" w:rsidP="008549EB" w:rsidRDefault="00CA30A2" w14:paraId="6BE23E5F" w14:textId="77777777">
            <w:pPr>
              <w:spacing w:line="240" w:lineRule="atLeast"/>
              <w:rPr>
                <w:rFonts w:ascii="Verdana" w:hAnsi="Verdana"/>
                <w:sz w:val="16"/>
                <w:szCs w:val="16"/>
              </w:rPr>
            </w:pPr>
          </w:p>
          <w:p w:rsidRPr="002C5EC5" w:rsidR="00CA30A2" w:rsidP="008549EB" w:rsidRDefault="00CA30A2" w14:paraId="617FC569" w14:textId="77777777">
            <w:pPr>
              <w:spacing w:line="240" w:lineRule="atLeast"/>
              <w:rPr>
                <w:rFonts w:ascii="Verdana" w:hAnsi="Verdana"/>
                <w:sz w:val="16"/>
                <w:szCs w:val="16"/>
              </w:rPr>
            </w:pPr>
            <w:r>
              <w:rPr>
                <w:rFonts w:ascii="Verdana" w:hAnsi="Verdana"/>
                <w:sz w:val="16"/>
                <w:szCs w:val="16"/>
              </w:rPr>
              <w:t xml:space="preserve">Volgt bij implementatiebesluit </w:t>
            </w:r>
          </w:p>
          <w:p w:rsidR="00CA30A2" w:rsidP="008549EB" w:rsidRDefault="00CA30A2" w14:paraId="7DC53391" w14:textId="77777777">
            <w:pPr>
              <w:spacing w:line="240" w:lineRule="atLeast"/>
              <w:rPr>
                <w:rFonts w:ascii="Verdana" w:hAnsi="Verdana"/>
                <w:sz w:val="16"/>
                <w:szCs w:val="16"/>
              </w:rPr>
            </w:pPr>
          </w:p>
        </w:tc>
        <w:tc>
          <w:tcPr>
            <w:tcW w:w="1274" w:type="dxa"/>
          </w:tcPr>
          <w:p w:rsidRPr="002C5EC5" w:rsidR="00CA30A2" w:rsidP="008549EB" w:rsidRDefault="00CA30A2" w14:paraId="11584D7F"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03A1B285" w14:textId="77777777">
            <w:pPr>
              <w:rPr>
                <w:rFonts w:ascii="Verdana" w:hAnsi="Verdana"/>
                <w:sz w:val="16"/>
                <w:szCs w:val="16"/>
              </w:rPr>
            </w:pPr>
          </w:p>
        </w:tc>
      </w:tr>
      <w:tr w:rsidR="00CA30A2" w:rsidTr="00CA30A2" w14:paraId="515A5ECE" w14:textId="77777777">
        <w:tc>
          <w:tcPr>
            <w:tcW w:w="1552" w:type="dxa"/>
          </w:tcPr>
          <w:p w:rsidRPr="00DD0008" w:rsidR="00CA30A2" w:rsidP="008549EB" w:rsidRDefault="00334D7E" w14:paraId="5492B034" w14:textId="100265F6">
            <w:pPr>
              <w:rPr>
                <w:rFonts w:ascii="Verdana" w:hAnsi="Verdana"/>
                <w:sz w:val="16"/>
                <w:szCs w:val="16"/>
              </w:rPr>
            </w:pPr>
            <w:r>
              <w:rPr>
                <w:rFonts w:ascii="Verdana" w:hAnsi="Verdana"/>
                <w:sz w:val="16"/>
                <w:szCs w:val="16"/>
              </w:rPr>
              <w:t xml:space="preserve">1, lid </w:t>
            </w:r>
            <w:r w:rsidR="00CA30A2">
              <w:rPr>
                <w:rFonts w:ascii="Verdana" w:hAnsi="Verdana"/>
                <w:sz w:val="16"/>
                <w:szCs w:val="16"/>
              </w:rPr>
              <w:t>16</w:t>
            </w:r>
          </w:p>
        </w:tc>
        <w:tc>
          <w:tcPr>
            <w:tcW w:w="1514" w:type="dxa"/>
          </w:tcPr>
          <w:p w:rsidRPr="002C5EC5" w:rsidR="00CA30A2" w:rsidP="008549EB" w:rsidRDefault="00CA30A2" w14:paraId="1A7EA511" w14:textId="77777777">
            <w:pPr>
              <w:rPr>
                <w:rFonts w:ascii="Verdana" w:hAnsi="Verdana"/>
                <w:sz w:val="16"/>
                <w:szCs w:val="16"/>
              </w:rPr>
            </w:pPr>
            <w:r w:rsidRPr="002C5EC5">
              <w:rPr>
                <w:rFonts w:ascii="Verdana" w:hAnsi="Verdana"/>
                <w:sz w:val="16"/>
                <w:szCs w:val="16"/>
              </w:rPr>
              <w:t>66, tweede lid, tweede alinea</w:t>
            </w:r>
          </w:p>
        </w:tc>
        <w:tc>
          <w:tcPr>
            <w:tcW w:w="1625" w:type="dxa"/>
          </w:tcPr>
          <w:p w:rsidRPr="002C5EC5" w:rsidR="00CA30A2" w:rsidP="008549EB" w:rsidRDefault="00CA30A2" w14:paraId="078F3F6B"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Lidstaatoptie die niet gebruikt wordt.</w:t>
            </w:r>
          </w:p>
        </w:tc>
        <w:tc>
          <w:tcPr>
            <w:tcW w:w="1274" w:type="dxa"/>
          </w:tcPr>
          <w:p w:rsidRPr="002C5EC5" w:rsidR="00CA30A2" w:rsidP="008549EB" w:rsidRDefault="00CA30A2" w14:paraId="1D808EDD" w14:textId="77777777">
            <w:pPr>
              <w:rPr>
                <w:rFonts w:ascii="Verdana" w:hAnsi="Verdana"/>
                <w:sz w:val="16"/>
                <w:szCs w:val="16"/>
              </w:rPr>
            </w:pPr>
            <w:r>
              <w:rPr>
                <w:rFonts w:ascii="Verdana" w:hAnsi="Verdana"/>
                <w:sz w:val="16"/>
                <w:szCs w:val="16"/>
              </w:rPr>
              <w:t>Lidstaatoptie waar geen gebruik van wordt gemaakt.</w:t>
            </w:r>
          </w:p>
        </w:tc>
        <w:tc>
          <w:tcPr>
            <w:tcW w:w="1422" w:type="dxa"/>
          </w:tcPr>
          <w:p w:rsidRPr="002C5EC5" w:rsidR="00CA30A2" w:rsidP="008549EB" w:rsidRDefault="00CA30A2" w14:paraId="67F58774" w14:textId="77777777">
            <w:pPr>
              <w:rPr>
                <w:rFonts w:ascii="Verdana" w:hAnsi="Verdana"/>
                <w:sz w:val="16"/>
                <w:szCs w:val="16"/>
              </w:rPr>
            </w:pPr>
            <w:r w:rsidRPr="002C5EC5">
              <w:rPr>
                <w:rFonts w:ascii="Verdana" w:hAnsi="Verdana"/>
                <w:sz w:val="16"/>
                <w:szCs w:val="16"/>
              </w:rPr>
              <w:t>De lidstaatoptie laat de mogelijkheid open om voor de dwangsommen een hoger maximumbedrag voorstellen dan voorgeschreven in artikel 66(2)(b) CRD. Hiervan wordt geen gebruik gemaakt.</w:t>
            </w:r>
            <w:r>
              <w:rPr>
                <w:rFonts w:ascii="Verdana" w:hAnsi="Verdana"/>
                <w:sz w:val="16"/>
                <w:szCs w:val="16"/>
              </w:rPr>
              <w:t xml:space="preserve"> </w:t>
            </w:r>
          </w:p>
        </w:tc>
      </w:tr>
      <w:tr w:rsidR="00CA30A2" w:rsidTr="00CA30A2" w14:paraId="195DA3FE" w14:textId="77777777">
        <w:tc>
          <w:tcPr>
            <w:tcW w:w="1552" w:type="dxa"/>
          </w:tcPr>
          <w:p w:rsidRPr="00DD0008" w:rsidR="00CA30A2" w:rsidP="008549EB" w:rsidRDefault="00334D7E" w14:paraId="12F3F3BC" w14:textId="4EE6E85A">
            <w:pPr>
              <w:rPr>
                <w:rFonts w:ascii="Verdana" w:hAnsi="Verdana"/>
                <w:sz w:val="16"/>
                <w:szCs w:val="16"/>
              </w:rPr>
            </w:pPr>
            <w:r>
              <w:rPr>
                <w:rFonts w:ascii="Verdana" w:hAnsi="Verdana"/>
                <w:sz w:val="16"/>
                <w:szCs w:val="16"/>
              </w:rPr>
              <w:t xml:space="preserve">1, lid </w:t>
            </w:r>
            <w:r w:rsidR="00CA30A2">
              <w:rPr>
                <w:rFonts w:ascii="Verdana" w:hAnsi="Verdana"/>
                <w:sz w:val="16"/>
                <w:szCs w:val="16"/>
              </w:rPr>
              <w:t>16</w:t>
            </w:r>
          </w:p>
        </w:tc>
        <w:tc>
          <w:tcPr>
            <w:tcW w:w="1514" w:type="dxa"/>
          </w:tcPr>
          <w:p w:rsidRPr="002C5EC5" w:rsidR="00CA30A2" w:rsidP="008549EB" w:rsidRDefault="00CA30A2" w14:paraId="33DA202E" w14:textId="77777777">
            <w:pPr>
              <w:rPr>
                <w:rFonts w:ascii="Verdana" w:hAnsi="Verdana"/>
                <w:sz w:val="16"/>
                <w:szCs w:val="16"/>
              </w:rPr>
            </w:pPr>
            <w:r w:rsidRPr="002C5EC5">
              <w:rPr>
                <w:rFonts w:ascii="Verdana" w:hAnsi="Verdana"/>
                <w:sz w:val="16"/>
                <w:szCs w:val="16"/>
              </w:rPr>
              <w:t>66, tweede lid, derde alinea</w:t>
            </w:r>
          </w:p>
        </w:tc>
        <w:tc>
          <w:tcPr>
            <w:tcW w:w="1625" w:type="dxa"/>
          </w:tcPr>
          <w:p w:rsidRPr="002C5EC5" w:rsidR="00CA30A2" w:rsidP="008549EB" w:rsidRDefault="00CA30A2" w14:paraId="521156FB" w14:textId="77777777">
            <w:pPr>
              <w:spacing w:line="240" w:lineRule="atLeast"/>
              <w:rPr>
                <w:rFonts w:ascii="Verdana" w:hAnsi="Verdana"/>
                <w:sz w:val="16"/>
                <w:szCs w:val="16"/>
              </w:rPr>
            </w:pPr>
            <w:r w:rsidRPr="002C5EC5">
              <w:rPr>
                <w:rFonts w:ascii="Verdana" w:hAnsi="Verdana"/>
                <w:sz w:val="16"/>
                <w:szCs w:val="16"/>
              </w:rPr>
              <w:t>Lidstaatoptie om bestaand recht in artikel 5:32b, eerste lid, Awb te gebruiken.</w:t>
            </w:r>
          </w:p>
          <w:p w:rsidRPr="002C5EC5" w:rsidR="00CA30A2" w:rsidP="008549EB" w:rsidRDefault="00CA30A2" w14:paraId="7E42C5F4" w14:textId="77777777">
            <w:pPr>
              <w:spacing w:line="240" w:lineRule="atLeast"/>
              <w:rPr>
                <w:rFonts w:ascii="Verdana" w:hAnsi="Verdana"/>
                <w:sz w:val="16"/>
                <w:szCs w:val="16"/>
              </w:rPr>
            </w:pPr>
          </w:p>
          <w:p w:rsidRPr="002C5EC5" w:rsidR="00CA30A2" w:rsidP="008549EB" w:rsidRDefault="00CA30A2" w14:paraId="62B11B9F" w14:textId="77777777">
            <w:pPr>
              <w:spacing w:line="240" w:lineRule="atLeast"/>
              <w:rPr>
                <w:rFonts w:ascii="Verdana" w:hAnsi="Verdana"/>
                <w:sz w:val="16"/>
                <w:szCs w:val="16"/>
              </w:rPr>
            </w:pPr>
          </w:p>
        </w:tc>
        <w:tc>
          <w:tcPr>
            <w:tcW w:w="1274" w:type="dxa"/>
          </w:tcPr>
          <w:p w:rsidR="00CA30A2" w:rsidP="008549EB" w:rsidRDefault="00CA30A2" w14:paraId="3F7D97E0" w14:textId="77777777">
            <w:pPr>
              <w:rPr>
                <w:rFonts w:ascii="Verdana" w:hAnsi="Verdana"/>
                <w:sz w:val="16"/>
                <w:szCs w:val="16"/>
              </w:rPr>
            </w:pPr>
            <w:r>
              <w:rPr>
                <w:rFonts w:ascii="Verdana" w:hAnsi="Verdana"/>
                <w:sz w:val="16"/>
                <w:szCs w:val="16"/>
              </w:rPr>
              <w:t>Lidstaatoptie waar gebruik van gemaakt wordt om bestaand recht in de Awb te gebruiken</w:t>
            </w:r>
          </w:p>
        </w:tc>
        <w:tc>
          <w:tcPr>
            <w:tcW w:w="1422" w:type="dxa"/>
          </w:tcPr>
          <w:p w:rsidRPr="002C5EC5" w:rsidR="00CA30A2" w:rsidP="008549EB" w:rsidRDefault="00CA30A2" w14:paraId="5038428B" w14:textId="77777777">
            <w:pPr>
              <w:rPr>
                <w:rFonts w:ascii="Verdana" w:hAnsi="Verdana"/>
                <w:sz w:val="16"/>
                <w:szCs w:val="16"/>
              </w:rPr>
            </w:pPr>
            <w:r w:rsidRPr="002C5EC5">
              <w:rPr>
                <w:rFonts w:ascii="Verdana" w:hAnsi="Verdana"/>
                <w:sz w:val="16"/>
                <w:szCs w:val="16"/>
              </w:rPr>
              <w:t>Artikel 66(2)(b) schrijft voor dat dwangsommen per dag worden verbeurd. De Awb schrijft voor dat een dwangsom wordt vastgesteld door het bestuursorgaan “hetzij op een bedrag ineens, hetzij op een bedrag per tijdseenheid waarin de last niet is uitgevoerd, dan wel per overtreding van de last.”. Hiermee komt DNB als toezichthouder enige mate van discretie toe om de beste tijdsperiode van de last onder dwangsom op te leggen. De lidstaatoptie wordt gebruikt om het bestaande recht in artikel 5:32b, eerste lid, Awb te behouden. Dit wordt opgenomen in artikel 1a Rtgs.</w:t>
            </w:r>
          </w:p>
        </w:tc>
      </w:tr>
      <w:tr w:rsidR="00CA30A2" w:rsidTr="00CA30A2" w14:paraId="58B8CFAF" w14:textId="77777777">
        <w:tc>
          <w:tcPr>
            <w:tcW w:w="1552" w:type="dxa"/>
          </w:tcPr>
          <w:p w:rsidRPr="00DD0008" w:rsidR="00CA30A2" w:rsidP="008549EB" w:rsidRDefault="00334D7E" w14:paraId="3869046A" w14:textId="440143AD">
            <w:pPr>
              <w:rPr>
                <w:rFonts w:ascii="Verdana" w:hAnsi="Verdana"/>
                <w:sz w:val="16"/>
                <w:szCs w:val="16"/>
              </w:rPr>
            </w:pPr>
            <w:r>
              <w:rPr>
                <w:rFonts w:ascii="Verdana" w:hAnsi="Verdana"/>
                <w:sz w:val="16"/>
                <w:szCs w:val="16"/>
              </w:rPr>
              <w:t xml:space="preserve">1, lid </w:t>
            </w:r>
            <w:r w:rsidR="00CA30A2">
              <w:rPr>
                <w:rFonts w:ascii="Verdana" w:hAnsi="Verdana"/>
                <w:sz w:val="16"/>
                <w:szCs w:val="16"/>
              </w:rPr>
              <w:t>16</w:t>
            </w:r>
          </w:p>
        </w:tc>
        <w:tc>
          <w:tcPr>
            <w:tcW w:w="1514" w:type="dxa"/>
          </w:tcPr>
          <w:p w:rsidRPr="002C5EC5" w:rsidR="00CA30A2" w:rsidP="008549EB" w:rsidRDefault="00CA30A2" w14:paraId="2FDB38BD" w14:textId="77777777">
            <w:pPr>
              <w:rPr>
                <w:rFonts w:ascii="Verdana" w:hAnsi="Verdana"/>
                <w:sz w:val="16"/>
                <w:szCs w:val="16"/>
              </w:rPr>
            </w:pPr>
            <w:r w:rsidRPr="002C5EC5">
              <w:rPr>
                <w:rFonts w:ascii="Verdana" w:hAnsi="Verdana"/>
                <w:sz w:val="16"/>
                <w:szCs w:val="16"/>
              </w:rPr>
              <w:t>66, tweede lid, vierde alinea</w:t>
            </w:r>
          </w:p>
        </w:tc>
        <w:tc>
          <w:tcPr>
            <w:tcW w:w="1625" w:type="dxa"/>
          </w:tcPr>
          <w:p w:rsidRPr="002C5EC5" w:rsidR="00CA30A2" w:rsidP="008549EB" w:rsidRDefault="00CA30A2" w14:paraId="081C8986"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b</w:t>
            </w:r>
            <w:r w:rsidRPr="002C5EC5">
              <w:rPr>
                <w:rFonts w:ascii="Verdana" w:hAnsi="Verdana"/>
                <w:sz w:val="16"/>
                <w:szCs w:val="16"/>
              </w:rPr>
              <w:t>estaand recht in 5:32b, eerste lid, Awb</w:t>
            </w:r>
          </w:p>
        </w:tc>
        <w:tc>
          <w:tcPr>
            <w:tcW w:w="1274" w:type="dxa"/>
          </w:tcPr>
          <w:p w:rsidR="00CA30A2" w:rsidP="008549EB" w:rsidRDefault="00CA30A2" w14:paraId="49D48B82"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79F8CC0C" w14:textId="77777777">
            <w:pPr>
              <w:rPr>
                <w:rFonts w:ascii="Verdana" w:hAnsi="Verdana"/>
                <w:sz w:val="16"/>
                <w:szCs w:val="16"/>
              </w:rPr>
            </w:pPr>
          </w:p>
        </w:tc>
      </w:tr>
      <w:tr w:rsidR="00CA30A2" w:rsidTr="00CA30A2" w14:paraId="4F23CDEF" w14:textId="77777777">
        <w:tc>
          <w:tcPr>
            <w:tcW w:w="1552" w:type="dxa"/>
          </w:tcPr>
          <w:p w:rsidRPr="00DD0008" w:rsidR="00CA30A2" w:rsidP="008549EB" w:rsidRDefault="00334D7E" w14:paraId="450458FF" w14:textId="75DCB5CC">
            <w:pPr>
              <w:rPr>
                <w:rFonts w:ascii="Verdana" w:hAnsi="Verdana"/>
                <w:sz w:val="16"/>
                <w:szCs w:val="16"/>
              </w:rPr>
            </w:pPr>
            <w:r>
              <w:rPr>
                <w:rFonts w:ascii="Verdana" w:hAnsi="Verdana"/>
                <w:sz w:val="16"/>
                <w:szCs w:val="16"/>
              </w:rPr>
              <w:t xml:space="preserve">1, lid </w:t>
            </w:r>
            <w:r w:rsidR="00CA30A2">
              <w:rPr>
                <w:rFonts w:ascii="Verdana" w:hAnsi="Verdana"/>
                <w:sz w:val="16"/>
                <w:szCs w:val="16"/>
              </w:rPr>
              <w:t>16</w:t>
            </w:r>
          </w:p>
        </w:tc>
        <w:tc>
          <w:tcPr>
            <w:tcW w:w="1514" w:type="dxa"/>
          </w:tcPr>
          <w:p w:rsidRPr="002C5EC5" w:rsidR="00CA30A2" w:rsidP="008549EB" w:rsidRDefault="00CA30A2" w14:paraId="52D7021B" w14:textId="77777777">
            <w:pPr>
              <w:rPr>
                <w:rFonts w:ascii="Verdana" w:hAnsi="Verdana"/>
                <w:sz w:val="16"/>
                <w:szCs w:val="16"/>
              </w:rPr>
            </w:pPr>
            <w:r w:rsidRPr="002C5EC5">
              <w:rPr>
                <w:rFonts w:ascii="Verdana" w:hAnsi="Verdana"/>
                <w:sz w:val="16"/>
                <w:szCs w:val="16"/>
              </w:rPr>
              <w:t>66, derde lid</w:t>
            </w:r>
          </w:p>
        </w:tc>
        <w:tc>
          <w:tcPr>
            <w:tcW w:w="1625" w:type="dxa"/>
          </w:tcPr>
          <w:p w:rsidRPr="002C5EC5" w:rsidR="00CA30A2" w:rsidP="008549EB" w:rsidRDefault="00CA30A2" w14:paraId="1D78ACFD" w14:textId="77777777">
            <w:pPr>
              <w:spacing w:line="240" w:lineRule="atLeast"/>
              <w:rPr>
                <w:rFonts w:ascii="Verdana" w:hAnsi="Verdana"/>
                <w:sz w:val="16"/>
                <w:szCs w:val="16"/>
              </w:rPr>
            </w:pPr>
            <w:r w:rsidRPr="00C71A88">
              <w:rPr>
                <w:rFonts w:ascii="Verdana" w:hAnsi="Verdana"/>
                <w:sz w:val="16"/>
                <w:szCs w:val="16"/>
              </w:rPr>
              <w:t>Volgt bij implementatieregeling (Bijlage 6 Rtt)</w:t>
            </w:r>
          </w:p>
        </w:tc>
        <w:tc>
          <w:tcPr>
            <w:tcW w:w="1274" w:type="dxa"/>
          </w:tcPr>
          <w:p w:rsidRPr="002C5EC5" w:rsidR="00CA30A2" w:rsidP="008549EB" w:rsidRDefault="00CA30A2" w14:paraId="39911DF5"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0F3714C0" w14:textId="77777777">
            <w:pPr>
              <w:rPr>
                <w:rFonts w:ascii="Verdana" w:hAnsi="Verdana"/>
                <w:sz w:val="16"/>
                <w:szCs w:val="16"/>
              </w:rPr>
            </w:pPr>
          </w:p>
        </w:tc>
      </w:tr>
      <w:tr w:rsidR="00CA30A2" w:rsidTr="00CA30A2" w14:paraId="2E45055B" w14:textId="77777777">
        <w:tc>
          <w:tcPr>
            <w:tcW w:w="1552" w:type="dxa"/>
          </w:tcPr>
          <w:p w:rsidRPr="00DD0008" w:rsidR="00CA30A2" w:rsidP="008549EB" w:rsidRDefault="00334D7E" w14:paraId="2BA02EE7" w14:textId="3FDFFB4D">
            <w:pPr>
              <w:rPr>
                <w:rFonts w:ascii="Verdana" w:hAnsi="Verdana"/>
                <w:sz w:val="16"/>
                <w:szCs w:val="16"/>
              </w:rPr>
            </w:pPr>
            <w:r>
              <w:rPr>
                <w:rFonts w:ascii="Verdana" w:hAnsi="Verdana"/>
                <w:sz w:val="16"/>
                <w:szCs w:val="16"/>
              </w:rPr>
              <w:t xml:space="preserve">1, lid </w:t>
            </w:r>
            <w:r w:rsidR="00CA30A2">
              <w:rPr>
                <w:rFonts w:ascii="Verdana" w:hAnsi="Verdana"/>
                <w:sz w:val="16"/>
                <w:szCs w:val="16"/>
              </w:rPr>
              <w:t>16</w:t>
            </w:r>
          </w:p>
        </w:tc>
        <w:tc>
          <w:tcPr>
            <w:tcW w:w="1514" w:type="dxa"/>
          </w:tcPr>
          <w:p w:rsidRPr="002C5EC5" w:rsidR="00CA30A2" w:rsidP="008549EB" w:rsidRDefault="00CA30A2" w14:paraId="3B342F08" w14:textId="77777777">
            <w:pPr>
              <w:rPr>
                <w:rFonts w:ascii="Verdana" w:hAnsi="Verdana"/>
                <w:sz w:val="16"/>
                <w:szCs w:val="16"/>
              </w:rPr>
            </w:pPr>
            <w:r w:rsidRPr="002C5EC5">
              <w:rPr>
                <w:rFonts w:ascii="Verdana" w:hAnsi="Verdana"/>
                <w:sz w:val="16"/>
                <w:szCs w:val="16"/>
              </w:rPr>
              <w:t>66, vierde lid</w:t>
            </w:r>
          </w:p>
        </w:tc>
        <w:tc>
          <w:tcPr>
            <w:tcW w:w="1625" w:type="dxa"/>
          </w:tcPr>
          <w:p w:rsidRPr="00C71A88" w:rsidR="00CA30A2" w:rsidP="008549EB" w:rsidRDefault="00CA30A2" w14:paraId="5BFD1AF3" w14:textId="77777777">
            <w:pPr>
              <w:spacing w:line="240" w:lineRule="atLeast"/>
              <w:rPr>
                <w:rFonts w:ascii="Verdana" w:hAnsi="Verdana"/>
                <w:sz w:val="16"/>
                <w:szCs w:val="16"/>
              </w:rPr>
            </w:pPr>
            <w:r w:rsidRPr="00C71A88">
              <w:rPr>
                <w:rFonts w:ascii="Verdana" w:hAnsi="Verdana"/>
                <w:sz w:val="16"/>
                <w:szCs w:val="16"/>
              </w:rPr>
              <w:t>Volgt bij implementatieregeling (Bijlage 6 Rtt)</w:t>
            </w:r>
          </w:p>
        </w:tc>
        <w:tc>
          <w:tcPr>
            <w:tcW w:w="1274" w:type="dxa"/>
          </w:tcPr>
          <w:p w:rsidRPr="002C5EC5" w:rsidR="00CA30A2" w:rsidP="008549EB" w:rsidRDefault="00CA30A2" w14:paraId="17FFBC57"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48E903D6" w14:textId="77777777">
            <w:pPr>
              <w:rPr>
                <w:rFonts w:ascii="Verdana" w:hAnsi="Verdana"/>
                <w:sz w:val="16"/>
                <w:szCs w:val="16"/>
              </w:rPr>
            </w:pPr>
          </w:p>
        </w:tc>
      </w:tr>
      <w:tr w:rsidR="00CA30A2" w:rsidTr="00CA30A2" w14:paraId="20121E83" w14:textId="77777777">
        <w:tc>
          <w:tcPr>
            <w:tcW w:w="1552" w:type="dxa"/>
          </w:tcPr>
          <w:p w:rsidRPr="00DD0008" w:rsidR="00CA30A2" w:rsidP="008549EB" w:rsidRDefault="00334D7E" w14:paraId="28EB3B04" w14:textId="0A167D19">
            <w:pPr>
              <w:rPr>
                <w:rFonts w:ascii="Verdana" w:hAnsi="Verdana"/>
                <w:sz w:val="16"/>
                <w:szCs w:val="16"/>
              </w:rPr>
            </w:pPr>
            <w:r>
              <w:rPr>
                <w:rFonts w:ascii="Verdana" w:hAnsi="Verdana"/>
                <w:sz w:val="16"/>
                <w:szCs w:val="16"/>
              </w:rPr>
              <w:t xml:space="preserve">1, lid </w:t>
            </w:r>
            <w:r w:rsidR="00CA30A2">
              <w:rPr>
                <w:rFonts w:ascii="Verdana" w:hAnsi="Verdana"/>
                <w:sz w:val="16"/>
                <w:szCs w:val="16"/>
              </w:rPr>
              <w:t>16</w:t>
            </w:r>
          </w:p>
        </w:tc>
        <w:tc>
          <w:tcPr>
            <w:tcW w:w="1514" w:type="dxa"/>
          </w:tcPr>
          <w:p w:rsidRPr="002C5EC5" w:rsidR="00CA30A2" w:rsidP="008549EB" w:rsidRDefault="00CA30A2" w14:paraId="6343E2D1" w14:textId="77777777">
            <w:pPr>
              <w:rPr>
                <w:rFonts w:ascii="Verdana" w:hAnsi="Verdana"/>
                <w:sz w:val="16"/>
                <w:szCs w:val="16"/>
              </w:rPr>
            </w:pPr>
            <w:r w:rsidRPr="002C5EC5">
              <w:rPr>
                <w:rFonts w:ascii="Verdana" w:hAnsi="Verdana"/>
                <w:sz w:val="16"/>
                <w:szCs w:val="16"/>
              </w:rPr>
              <w:t xml:space="preserve">67, eerste lid </w:t>
            </w:r>
          </w:p>
        </w:tc>
        <w:tc>
          <w:tcPr>
            <w:tcW w:w="1625" w:type="dxa"/>
          </w:tcPr>
          <w:p w:rsidRPr="00C71A88" w:rsidR="00CA30A2" w:rsidP="008549EB" w:rsidRDefault="00CA30A2" w14:paraId="3E614803"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b</w:t>
            </w:r>
            <w:r w:rsidRPr="002C5EC5">
              <w:rPr>
                <w:rFonts w:ascii="Verdana" w:hAnsi="Verdana"/>
                <w:sz w:val="16"/>
                <w:szCs w:val="16"/>
              </w:rPr>
              <w:t>estaand recht in artikel 1:117</w:t>
            </w:r>
            <w:r>
              <w:rPr>
                <w:rFonts w:ascii="Verdana" w:hAnsi="Verdana"/>
                <w:sz w:val="16"/>
                <w:szCs w:val="16"/>
              </w:rPr>
              <w:t xml:space="preserve"> Wft</w:t>
            </w:r>
            <w:r w:rsidRPr="002C5EC5">
              <w:rPr>
                <w:rFonts w:ascii="Verdana" w:hAnsi="Verdana"/>
                <w:sz w:val="16"/>
                <w:szCs w:val="16"/>
              </w:rPr>
              <w:t>, de bijlagen bij artikel 1:79 en 1:80 Wft, en Besluit EU-verordeningen Wft bijlage 8</w:t>
            </w:r>
          </w:p>
        </w:tc>
        <w:tc>
          <w:tcPr>
            <w:tcW w:w="1274" w:type="dxa"/>
          </w:tcPr>
          <w:p w:rsidRPr="002C5EC5" w:rsidR="00CA30A2" w:rsidP="008549EB" w:rsidRDefault="00CA30A2" w14:paraId="35147DFF"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6E32707B" w14:textId="77777777">
            <w:pPr>
              <w:rPr>
                <w:rFonts w:ascii="Verdana" w:hAnsi="Verdana"/>
                <w:sz w:val="16"/>
                <w:szCs w:val="16"/>
              </w:rPr>
            </w:pPr>
          </w:p>
        </w:tc>
      </w:tr>
      <w:tr w:rsidR="00CA30A2" w:rsidTr="00CA30A2" w14:paraId="18785CA6" w14:textId="77777777">
        <w:tc>
          <w:tcPr>
            <w:tcW w:w="1552" w:type="dxa"/>
          </w:tcPr>
          <w:p w:rsidRPr="00DD0008" w:rsidR="00CA30A2" w:rsidP="008549EB" w:rsidRDefault="00334D7E" w14:paraId="72295CEE" w14:textId="596DCD71">
            <w:pPr>
              <w:rPr>
                <w:rFonts w:ascii="Verdana" w:hAnsi="Verdana"/>
                <w:sz w:val="16"/>
                <w:szCs w:val="16"/>
              </w:rPr>
            </w:pPr>
            <w:r>
              <w:rPr>
                <w:rFonts w:ascii="Verdana" w:hAnsi="Verdana"/>
                <w:sz w:val="16"/>
                <w:szCs w:val="16"/>
              </w:rPr>
              <w:t xml:space="preserve">1, lid </w:t>
            </w:r>
            <w:r w:rsidR="00CA30A2">
              <w:rPr>
                <w:rFonts w:ascii="Verdana" w:hAnsi="Verdana"/>
                <w:sz w:val="16"/>
                <w:szCs w:val="16"/>
              </w:rPr>
              <w:t>17</w:t>
            </w:r>
          </w:p>
        </w:tc>
        <w:tc>
          <w:tcPr>
            <w:tcW w:w="1514" w:type="dxa"/>
          </w:tcPr>
          <w:p w:rsidRPr="002C5EC5" w:rsidR="00CA30A2" w:rsidP="008549EB" w:rsidRDefault="00CA30A2" w14:paraId="37DF1265" w14:textId="77777777">
            <w:pPr>
              <w:rPr>
                <w:rFonts w:ascii="Verdana" w:hAnsi="Verdana"/>
                <w:sz w:val="16"/>
                <w:szCs w:val="16"/>
              </w:rPr>
            </w:pPr>
            <w:r w:rsidRPr="002C5EC5">
              <w:rPr>
                <w:rFonts w:ascii="Verdana" w:hAnsi="Verdana"/>
                <w:sz w:val="16"/>
                <w:szCs w:val="16"/>
              </w:rPr>
              <w:t>67, tweede tot en met vijfde lid</w:t>
            </w:r>
          </w:p>
        </w:tc>
        <w:tc>
          <w:tcPr>
            <w:tcW w:w="1625" w:type="dxa"/>
          </w:tcPr>
          <w:p w:rsidRPr="002C5EC5" w:rsidR="00CA30A2" w:rsidP="008549EB" w:rsidRDefault="00CA30A2" w14:paraId="03D170F5"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67(2)(a+b): Bestaand recht in artikel 1:75, eerste lid, 1:79, 1:81, tweede en derde lid, Wft en 5:2, eerste lid, onderdeel b, Awb en titel 5.3. Awb,</w:t>
            </w:r>
          </w:p>
          <w:p w:rsidRPr="002C5EC5" w:rsidR="00CA30A2" w:rsidP="008549EB" w:rsidRDefault="00CA30A2" w14:paraId="14E70654" w14:textId="77777777">
            <w:pPr>
              <w:spacing w:line="240" w:lineRule="atLeast"/>
              <w:rPr>
                <w:rFonts w:ascii="Verdana" w:hAnsi="Verdana"/>
                <w:sz w:val="16"/>
                <w:szCs w:val="16"/>
              </w:rPr>
            </w:pPr>
          </w:p>
          <w:p w:rsidRPr="002C5EC5" w:rsidR="00CA30A2" w:rsidP="008549EB" w:rsidRDefault="00CA30A2" w14:paraId="7DEA7524" w14:textId="77777777">
            <w:pPr>
              <w:spacing w:line="240" w:lineRule="atLeast"/>
              <w:rPr>
                <w:rFonts w:ascii="Verdana" w:hAnsi="Verdana"/>
                <w:sz w:val="16"/>
                <w:szCs w:val="16"/>
              </w:rPr>
            </w:pPr>
            <w:r w:rsidRPr="002C5EC5">
              <w:rPr>
                <w:rFonts w:ascii="Verdana" w:hAnsi="Verdana"/>
                <w:sz w:val="16"/>
                <w:szCs w:val="16"/>
              </w:rPr>
              <w:t>67(2)(c)(i) 1:94 Wft</w:t>
            </w:r>
          </w:p>
          <w:p w:rsidRPr="002C5EC5" w:rsidR="00CA30A2" w:rsidP="008549EB" w:rsidRDefault="00CA30A2" w14:paraId="269CE1DD" w14:textId="77777777">
            <w:pPr>
              <w:spacing w:line="240" w:lineRule="atLeast"/>
              <w:rPr>
                <w:rFonts w:ascii="Verdana" w:hAnsi="Verdana"/>
                <w:sz w:val="16"/>
                <w:szCs w:val="16"/>
              </w:rPr>
            </w:pPr>
            <w:r w:rsidRPr="002C5EC5">
              <w:rPr>
                <w:rFonts w:ascii="Verdana" w:hAnsi="Verdana"/>
                <w:sz w:val="16"/>
                <w:szCs w:val="16"/>
              </w:rPr>
              <w:t>67(2)(c)(ii) 1:75 Wft</w:t>
            </w:r>
          </w:p>
          <w:p w:rsidRPr="002C5EC5" w:rsidR="00CA30A2" w:rsidP="008549EB" w:rsidRDefault="00CA30A2" w14:paraId="6B919175" w14:textId="77777777">
            <w:pPr>
              <w:spacing w:line="240" w:lineRule="atLeast"/>
              <w:rPr>
                <w:rFonts w:ascii="Verdana" w:hAnsi="Verdana"/>
                <w:sz w:val="16"/>
                <w:szCs w:val="16"/>
              </w:rPr>
            </w:pPr>
            <w:r w:rsidRPr="002C5EC5">
              <w:rPr>
                <w:rFonts w:ascii="Verdana" w:hAnsi="Verdana"/>
                <w:sz w:val="16"/>
                <w:szCs w:val="16"/>
              </w:rPr>
              <w:t>67(2)(c)(iii) 1:104 Wft</w:t>
            </w:r>
          </w:p>
          <w:p w:rsidRPr="002C5EC5" w:rsidR="00CA30A2" w:rsidP="008549EB" w:rsidRDefault="00CA30A2" w14:paraId="4A861BDB" w14:textId="77777777">
            <w:pPr>
              <w:spacing w:line="240" w:lineRule="atLeast"/>
              <w:rPr>
                <w:rFonts w:ascii="Verdana" w:hAnsi="Verdana"/>
                <w:sz w:val="16"/>
                <w:szCs w:val="16"/>
              </w:rPr>
            </w:pPr>
            <w:r w:rsidRPr="002C5EC5">
              <w:rPr>
                <w:rFonts w:ascii="Verdana" w:hAnsi="Verdana"/>
                <w:sz w:val="16"/>
                <w:szCs w:val="16"/>
              </w:rPr>
              <w:t>67(2)(c)(iv) 1:87 Wft</w:t>
            </w:r>
          </w:p>
          <w:p w:rsidRPr="002C5EC5" w:rsidR="00CA30A2" w:rsidP="008549EB" w:rsidRDefault="00CA30A2" w14:paraId="15E77F32" w14:textId="77777777">
            <w:pPr>
              <w:spacing w:line="240" w:lineRule="atLeast"/>
              <w:rPr>
                <w:rFonts w:ascii="Verdana" w:hAnsi="Verdana"/>
                <w:sz w:val="16"/>
                <w:szCs w:val="16"/>
              </w:rPr>
            </w:pPr>
          </w:p>
        </w:tc>
        <w:tc>
          <w:tcPr>
            <w:tcW w:w="1274" w:type="dxa"/>
          </w:tcPr>
          <w:p w:rsidRPr="002C5EC5" w:rsidR="00CA30A2" w:rsidP="008549EB" w:rsidRDefault="00CA30A2" w14:paraId="6D076472"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4FA56DF6" w14:textId="77777777">
            <w:pPr>
              <w:rPr>
                <w:rFonts w:ascii="Verdana" w:hAnsi="Verdana"/>
                <w:sz w:val="16"/>
                <w:szCs w:val="16"/>
              </w:rPr>
            </w:pPr>
          </w:p>
        </w:tc>
      </w:tr>
      <w:tr w:rsidR="00CA30A2" w:rsidTr="00CA30A2" w14:paraId="07BB8711" w14:textId="77777777">
        <w:tc>
          <w:tcPr>
            <w:tcW w:w="1552" w:type="dxa"/>
          </w:tcPr>
          <w:p w:rsidRPr="00DD0008" w:rsidR="00CA30A2" w:rsidP="008549EB" w:rsidRDefault="00334D7E" w14:paraId="5C86FD75" w14:textId="493D4AE0">
            <w:pPr>
              <w:rPr>
                <w:rFonts w:ascii="Verdana" w:hAnsi="Verdana"/>
                <w:sz w:val="16"/>
                <w:szCs w:val="16"/>
              </w:rPr>
            </w:pPr>
            <w:r>
              <w:rPr>
                <w:rFonts w:ascii="Verdana" w:hAnsi="Verdana"/>
                <w:sz w:val="16"/>
                <w:szCs w:val="16"/>
              </w:rPr>
              <w:t xml:space="preserve">1, lid </w:t>
            </w:r>
            <w:r w:rsidR="00CA30A2">
              <w:rPr>
                <w:rFonts w:ascii="Verdana" w:hAnsi="Verdana"/>
                <w:sz w:val="16"/>
                <w:szCs w:val="16"/>
              </w:rPr>
              <w:t>17</w:t>
            </w:r>
          </w:p>
        </w:tc>
        <w:tc>
          <w:tcPr>
            <w:tcW w:w="1514" w:type="dxa"/>
          </w:tcPr>
          <w:p w:rsidRPr="002C5EC5" w:rsidR="00CA30A2" w:rsidP="008549EB" w:rsidRDefault="00CA30A2" w14:paraId="41B65156" w14:textId="77777777">
            <w:pPr>
              <w:rPr>
                <w:rFonts w:ascii="Verdana" w:hAnsi="Verdana"/>
                <w:sz w:val="16"/>
                <w:szCs w:val="16"/>
              </w:rPr>
            </w:pPr>
            <w:r w:rsidRPr="002C5EC5">
              <w:rPr>
                <w:rFonts w:ascii="Verdana" w:hAnsi="Verdana"/>
                <w:sz w:val="16"/>
                <w:szCs w:val="16"/>
              </w:rPr>
              <w:t>6</w:t>
            </w:r>
            <w:r>
              <w:rPr>
                <w:rFonts w:ascii="Verdana" w:hAnsi="Verdana"/>
                <w:sz w:val="16"/>
                <w:szCs w:val="16"/>
              </w:rPr>
              <w:t>7</w:t>
            </w:r>
            <w:r w:rsidRPr="002C5EC5">
              <w:rPr>
                <w:rFonts w:ascii="Verdana" w:hAnsi="Verdana"/>
                <w:sz w:val="16"/>
                <w:szCs w:val="16"/>
              </w:rPr>
              <w:t>, tweede lid, tweede alinea</w:t>
            </w:r>
          </w:p>
        </w:tc>
        <w:tc>
          <w:tcPr>
            <w:tcW w:w="1625" w:type="dxa"/>
          </w:tcPr>
          <w:p w:rsidRPr="002C5EC5" w:rsidR="00CA30A2" w:rsidP="008549EB" w:rsidRDefault="00CA30A2" w14:paraId="0A5B364C"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Lidstaatoptie die niet gebruikt wordt.</w:t>
            </w:r>
          </w:p>
        </w:tc>
        <w:tc>
          <w:tcPr>
            <w:tcW w:w="1274" w:type="dxa"/>
          </w:tcPr>
          <w:p w:rsidRPr="002C5EC5" w:rsidR="00CA30A2" w:rsidP="008549EB" w:rsidRDefault="00CA30A2" w14:paraId="683EC438" w14:textId="77777777">
            <w:pPr>
              <w:rPr>
                <w:rFonts w:ascii="Verdana" w:hAnsi="Verdana"/>
                <w:sz w:val="16"/>
                <w:szCs w:val="16"/>
              </w:rPr>
            </w:pPr>
            <w:r>
              <w:rPr>
                <w:rFonts w:ascii="Verdana" w:hAnsi="Verdana"/>
                <w:sz w:val="16"/>
                <w:szCs w:val="16"/>
              </w:rPr>
              <w:t>Lidstaatoptie waar geen gebruik van wordt gemaakt.</w:t>
            </w:r>
          </w:p>
        </w:tc>
        <w:tc>
          <w:tcPr>
            <w:tcW w:w="1422" w:type="dxa"/>
          </w:tcPr>
          <w:p w:rsidRPr="002C5EC5" w:rsidR="00CA30A2" w:rsidP="008549EB" w:rsidRDefault="00CA30A2" w14:paraId="4AFA848A" w14:textId="77777777">
            <w:pPr>
              <w:rPr>
                <w:rFonts w:ascii="Verdana" w:hAnsi="Verdana"/>
                <w:sz w:val="16"/>
                <w:szCs w:val="16"/>
              </w:rPr>
            </w:pPr>
            <w:r w:rsidRPr="002C5EC5">
              <w:rPr>
                <w:rFonts w:ascii="Verdana" w:hAnsi="Verdana"/>
                <w:sz w:val="16"/>
                <w:szCs w:val="16"/>
              </w:rPr>
              <w:t>De lidstaatoptie laat de mogelijkheid open om voor de dwangsommen een hoger maximumbedrag voorstellen dan voorgeschreven in artikel 66(2)(b) CRD. Hiervan wordt geen gebruik gemaakt.</w:t>
            </w:r>
            <w:r>
              <w:rPr>
                <w:rFonts w:ascii="Verdana" w:hAnsi="Verdana"/>
                <w:sz w:val="16"/>
                <w:szCs w:val="16"/>
              </w:rPr>
              <w:t xml:space="preserve"> </w:t>
            </w:r>
          </w:p>
        </w:tc>
      </w:tr>
      <w:tr w:rsidR="00CA30A2" w:rsidTr="00CA30A2" w14:paraId="51D3AE1A" w14:textId="77777777">
        <w:tc>
          <w:tcPr>
            <w:tcW w:w="1552" w:type="dxa"/>
          </w:tcPr>
          <w:p w:rsidRPr="00DD0008" w:rsidR="00CA30A2" w:rsidP="008549EB" w:rsidRDefault="00334D7E" w14:paraId="40393DFD" w14:textId="129150BF">
            <w:pPr>
              <w:rPr>
                <w:rFonts w:ascii="Verdana" w:hAnsi="Verdana"/>
                <w:sz w:val="16"/>
                <w:szCs w:val="16"/>
              </w:rPr>
            </w:pPr>
            <w:r>
              <w:rPr>
                <w:rFonts w:ascii="Verdana" w:hAnsi="Verdana"/>
                <w:sz w:val="16"/>
                <w:szCs w:val="16"/>
              </w:rPr>
              <w:t xml:space="preserve">1, lid </w:t>
            </w:r>
            <w:r w:rsidR="00CA30A2">
              <w:rPr>
                <w:rFonts w:ascii="Verdana" w:hAnsi="Verdana"/>
                <w:sz w:val="16"/>
                <w:szCs w:val="16"/>
              </w:rPr>
              <w:t>17</w:t>
            </w:r>
          </w:p>
        </w:tc>
        <w:tc>
          <w:tcPr>
            <w:tcW w:w="1514" w:type="dxa"/>
          </w:tcPr>
          <w:p w:rsidRPr="002C5EC5" w:rsidR="00CA30A2" w:rsidP="008549EB" w:rsidRDefault="00CA30A2" w14:paraId="6F0BF031" w14:textId="77777777">
            <w:pPr>
              <w:rPr>
                <w:rFonts w:ascii="Verdana" w:hAnsi="Verdana"/>
                <w:sz w:val="16"/>
                <w:szCs w:val="16"/>
              </w:rPr>
            </w:pPr>
            <w:r w:rsidRPr="002C5EC5">
              <w:rPr>
                <w:rFonts w:ascii="Verdana" w:hAnsi="Verdana"/>
                <w:sz w:val="16"/>
                <w:szCs w:val="16"/>
              </w:rPr>
              <w:t>66, tweede lid, derde alinea</w:t>
            </w:r>
          </w:p>
        </w:tc>
        <w:tc>
          <w:tcPr>
            <w:tcW w:w="1625" w:type="dxa"/>
          </w:tcPr>
          <w:p w:rsidRPr="002C5EC5" w:rsidR="00CA30A2" w:rsidP="008549EB" w:rsidRDefault="00CA30A2" w14:paraId="380A8D79" w14:textId="77777777">
            <w:pPr>
              <w:spacing w:line="240" w:lineRule="atLeast"/>
              <w:rPr>
                <w:rFonts w:ascii="Verdana" w:hAnsi="Verdana"/>
                <w:sz w:val="16"/>
                <w:szCs w:val="16"/>
              </w:rPr>
            </w:pPr>
            <w:r w:rsidRPr="002C5EC5">
              <w:rPr>
                <w:rFonts w:ascii="Verdana" w:hAnsi="Verdana"/>
                <w:sz w:val="16"/>
                <w:szCs w:val="16"/>
              </w:rPr>
              <w:t>Lidstaatoptie om bestaand recht in artikel 5:32b, eerste lid, Awb te gebruiken.</w:t>
            </w:r>
          </w:p>
          <w:p w:rsidRPr="002C5EC5" w:rsidR="00CA30A2" w:rsidP="008549EB" w:rsidRDefault="00CA30A2" w14:paraId="07E23699" w14:textId="77777777">
            <w:pPr>
              <w:spacing w:line="240" w:lineRule="atLeast"/>
              <w:rPr>
                <w:rFonts w:ascii="Verdana" w:hAnsi="Verdana"/>
                <w:sz w:val="16"/>
                <w:szCs w:val="16"/>
              </w:rPr>
            </w:pPr>
          </w:p>
          <w:p w:rsidRPr="002C5EC5" w:rsidR="00CA30A2" w:rsidP="008549EB" w:rsidRDefault="00CA30A2" w14:paraId="0C5544AE" w14:textId="77777777">
            <w:pPr>
              <w:spacing w:line="240" w:lineRule="atLeast"/>
              <w:rPr>
                <w:rFonts w:ascii="Verdana" w:hAnsi="Verdana"/>
                <w:sz w:val="16"/>
                <w:szCs w:val="16"/>
              </w:rPr>
            </w:pPr>
          </w:p>
        </w:tc>
        <w:tc>
          <w:tcPr>
            <w:tcW w:w="1274" w:type="dxa"/>
          </w:tcPr>
          <w:p w:rsidR="00CA30A2" w:rsidP="008549EB" w:rsidRDefault="00CA30A2" w14:paraId="3E388A6C" w14:textId="77777777">
            <w:pPr>
              <w:rPr>
                <w:rFonts w:ascii="Verdana" w:hAnsi="Verdana"/>
                <w:sz w:val="16"/>
                <w:szCs w:val="16"/>
              </w:rPr>
            </w:pPr>
            <w:r>
              <w:rPr>
                <w:rFonts w:ascii="Verdana" w:hAnsi="Verdana"/>
                <w:sz w:val="16"/>
                <w:szCs w:val="16"/>
              </w:rPr>
              <w:t>Lidstaatoptie waar gebruik van gemaakt wordt om bestaand recht in de Awb te gebruiken</w:t>
            </w:r>
          </w:p>
        </w:tc>
        <w:tc>
          <w:tcPr>
            <w:tcW w:w="1422" w:type="dxa"/>
          </w:tcPr>
          <w:p w:rsidRPr="002C5EC5" w:rsidR="00CA30A2" w:rsidP="008549EB" w:rsidRDefault="00CA30A2" w14:paraId="1A232874" w14:textId="77777777">
            <w:pPr>
              <w:rPr>
                <w:rFonts w:ascii="Verdana" w:hAnsi="Verdana"/>
                <w:sz w:val="16"/>
                <w:szCs w:val="16"/>
              </w:rPr>
            </w:pPr>
            <w:r w:rsidRPr="002C5EC5">
              <w:rPr>
                <w:rFonts w:ascii="Verdana" w:hAnsi="Verdana"/>
                <w:sz w:val="16"/>
                <w:szCs w:val="16"/>
              </w:rPr>
              <w:t>Artikel 66(2)(b) schrijft voor dat dwangsommen per dag worden verbeurd. De Awb schrijft voor dat een dwangsom wordt vastgesteld door het bestuursorgaan “hetzij op een bedrag ineens, hetzij op een bedrag per tijdseenheid waarin de last niet is uitgevoerd, dan wel per overtreding van de last.”. Hiermee komt DNB als toezichthouder enige mate van discretie toe om de beste tijdsperiode van de last onder dwangsom op te leggen. De lidstaatoptie wordt gebruikt om het bestaande recht in artikel 5:32b, eerste lid, Awb te behouden. Dit wordt opgenomen in artikel 1a Rtgs.</w:t>
            </w:r>
          </w:p>
        </w:tc>
      </w:tr>
      <w:tr w:rsidR="00CA30A2" w:rsidTr="00CA30A2" w14:paraId="2A78EEA8" w14:textId="77777777">
        <w:tc>
          <w:tcPr>
            <w:tcW w:w="1552" w:type="dxa"/>
          </w:tcPr>
          <w:p w:rsidRPr="00DD0008" w:rsidR="00CA30A2" w:rsidP="008549EB" w:rsidRDefault="00334D7E" w14:paraId="40CAEB9E" w14:textId="731BC8D1">
            <w:pPr>
              <w:rPr>
                <w:rFonts w:ascii="Verdana" w:hAnsi="Verdana"/>
                <w:sz w:val="16"/>
                <w:szCs w:val="16"/>
              </w:rPr>
            </w:pPr>
            <w:r>
              <w:rPr>
                <w:rFonts w:ascii="Verdana" w:hAnsi="Verdana"/>
                <w:sz w:val="16"/>
                <w:szCs w:val="16"/>
              </w:rPr>
              <w:t xml:space="preserve">1, lid </w:t>
            </w:r>
            <w:r w:rsidR="00CA30A2">
              <w:rPr>
                <w:rFonts w:ascii="Verdana" w:hAnsi="Verdana"/>
                <w:sz w:val="16"/>
                <w:szCs w:val="16"/>
              </w:rPr>
              <w:t>17</w:t>
            </w:r>
          </w:p>
        </w:tc>
        <w:tc>
          <w:tcPr>
            <w:tcW w:w="1514" w:type="dxa"/>
          </w:tcPr>
          <w:p w:rsidRPr="002C5EC5" w:rsidR="00CA30A2" w:rsidP="008549EB" w:rsidRDefault="00CA30A2" w14:paraId="43BDF3E0" w14:textId="77777777">
            <w:pPr>
              <w:rPr>
                <w:rFonts w:ascii="Verdana" w:hAnsi="Verdana"/>
                <w:sz w:val="16"/>
                <w:szCs w:val="16"/>
              </w:rPr>
            </w:pPr>
            <w:r w:rsidRPr="002C5EC5">
              <w:rPr>
                <w:rFonts w:ascii="Verdana" w:hAnsi="Verdana"/>
                <w:sz w:val="16"/>
                <w:szCs w:val="16"/>
              </w:rPr>
              <w:t>6</w:t>
            </w:r>
            <w:r>
              <w:rPr>
                <w:rFonts w:ascii="Verdana" w:hAnsi="Verdana"/>
                <w:sz w:val="16"/>
                <w:szCs w:val="16"/>
              </w:rPr>
              <w:t>7</w:t>
            </w:r>
            <w:r w:rsidRPr="002C5EC5">
              <w:rPr>
                <w:rFonts w:ascii="Verdana" w:hAnsi="Verdana"/>
                <w:sz w:val="16"/>
                <w:szCs w:val="16"/>
              </w:rPr>
              <w:t>, tweede lid, vierde alinea</w:t>
            </w:r>
          </w:p>
        </w:tc>
        <w:tc>
          <w:tcPr>
            <w:tcW w:w="1625" w:type="dxa"/>
          </w:tcPr>
          <w:p w:rsidRPr="002C5EC5" w:rsidR="00CA30A2" w:rsidP="008549EB" w:rsidRDefault="00CA30A2" w14:paraId="6941AC4B"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b</w:t>
            </w:r>
            <w:r w:rsidRPr="002C5EC5">
              <w:rPr>
                <w:rFonts w:ascii="Verdana" w:hAnsi="Verdana"/>
                <w:sz w:val="16"/>
                <w:szCs w:val="16"/>
              </w:rPr>
              <w:t>estaand recht in 5:32b, eerste lid, Awb</w:t>
            </w:r>
          </w:p>
        </w:tc>
        <w:tc>
          <w:tcPr>
            <w:tcW w:w="1274" w:type="dxa"/>
          </w:tcPr>
          <w:p w:rsidR="00CA30A2" w:rsidP="008549EB" w:rsidRDefault="00CA30A2" w14:paraId="177BA3DF"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7D4A67B1" w14:textId="77777777">
            <w:pPr>
              <w:rPr>
                <w:rFonts w:ascii="Verdana" w:hAnsi="Verdana"/>
                <w:sz w:val="16"/>
                <w:szCs w:val="16"/>
              </w:rPr>
            </w:pPr>
          </w:p>
        </w:tc>
      </w:tr>
      <w:tr w:rsidR="00CA30A2" w:rsidTr="00CA30A2" w14:paraId="5D322AE1" w14:textId="77777777">
        <w:tc>
          <w:tcPr>
            <w:tcW w:w="1552" w:type="dxa"/>
          </w:tcPr>
          <w:p w:rsidRPr="00DD0008" w:rsidR="00CA30A2" w:rsidP="008549EB" w:rsidRDefault="00334D7E" w14:paraId="7C687885" w14:textId="66C79248">
            <w:pPr>
              <w:rPr>
                <w:rFonts w:ascii="Verdana" w:hAnsi="Verdana"/>
                <w:sz w:val="16"/>
                <w:szCs w:val="16"/>
              </w:rPr>
            </w:pPr>
            <w:r>
              <w:rPr>
                <w:rFonts w:ascii="Verdana" w:hAnsi="Verdana"/>
                <w:sz w:val="16"/>
                <w:szCs w:val="16"/>
              </w:rPr>
              <w:t xml:space="preserve">1, lid </w:t>
            </w:r>
            <w:r w:rsidR="00CA30A2">
              <w:rPr>
                <w:rFonts w:ascii="Verdana" w:hAnsi="Verdana"/>
                <w:sz w:val="16"/>
                <w:szCs w:val="16"/>
              </w:rPr>
              <w:t>17</w:t>
            </w:r>
          </w:p>
        </w:tc>
        <w:tc>
          <w:tcPr>
            <w:tcW w:w="1514" w:type="dxa"/>
          </w:tcPr>
          <w:p w:rsidRPr="002C5EC5" w:rsidR="00CA30A2" w:rsidP="008549EB" w:rsidRDefault="00CA30A2" w14:paraId="4EE4902F" w14:textId="77777777">
            <w:pPr>
              <w:rPr>
                <w:rFonts w:ascii="Verdana" w:hAnsi="Verdana"/>
                <w:sz w:val="16"/>
                <w:szCs w:val="16"/>
              </w:rPr>
            </w:pPr>
            <w:r w:rsidRPr="002C5EC5">
              <w:rPr>
                <w:rFonts w:ascii="Verdana" w:hAnsi="Verdana"/>
                <w:sz w:val="16"/>
                <w:szCs w:val="16"/>
              </w:rPr>
              <w:t>6</w:t>
            </w:r>
            <w:r>
              <w:rPr>
                <w:rFonts w:ascii="Verdana" w:hAnsi="Verdana"/>
                <w:sz w:val="16"/>
                <w:szCs w:val="16"/>
              </w:rPr>
              <w:t>7</w:t>
            </w:r>
            <w:r w:rsidRPr="002C5EC5">
              <w:rPr>
                <w:rFonts w:ascii="Verdana" w:hAnsi="Verdana"/>
                <w:sz w:val="16"/>
                <w:szCs w:val="16"/>
              </w:rPr>
              <w:t>, derde lid</w:t>
            </w:r>
          </w:p>
        </w:tc>
        <w:tc>
          <w:tcPr>
            <w:tcW w:w="1625" w:type="dxa"/>
          </w:tcPr>
          <w:p w:rsidRPr="002C5EC5" w:rsidR="00CA30A2" w:rsidP="008549EB" w:rsidRDefault="00CA30A2" w14:paraId="317C3D4E" w14:textId="77777777">
            <w:pPr>
              <w:spacing w:line="240" w:lineRule="atLeast"/>
              <w:rPr>
                <w:rFonts w:ascii="Verdana" w:hAnsi="Verdana"/>
                <w:sz w:val="16"/>
                <w:szCs w:val="16"/>
              </w:rPr>
            </w:pPr>
            <w:r w:rsidRPr="00E8066B">
              <w:rPr>
                <w:rFonts w:ascii="Verdana" w:hAnsi="Verdana"/>
                <w:sz w:val="16"/>
                <w:szCs w:val="16"/>
              </w:rPr>
              <w:t>Volgt bij implementatieregeling (Bijlage 6 Rtt)</w:t>
            </w:r>
          </w:p>
        </w:tc>
        <w:tc>
          <w:tcPr>
            <w:tcW w:w="1274" w:type="dxa"/>
          </w:tcPr>
          <w:p w:rsidRPr="002C5EC5" w:rsidR="00CA30A2" w:rsidP="008549EB" w:rsidRDefault="00CA30A2" w14:paraId="0648B833"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2ECF2E5B" w14:textId="77777777">
            <w:pPr>
              <w:rPr>
                <w:rFonts w:ascii="Verdana" w:hAnsi="Verdana"/>
                <w:sz w:val="16"/>
                <w:szCs w:val="16"/>
              </w:rPr>
            </w:pPr>
          </w:p>
        </w:tc>
      </w:tr>
      <w:tr w:rsidR="00CA30A2" w:rsidTr="00CA30A2" w14:paraId="452CFA13" w14:textId="77777777">
        <w:tc>
          <w:tcPr>
            <w:tcW w:w="1552" w:type="dxa"/>
          </w:tcPr>
          <w:p w:rsidRPr="00DD0008" w:rsidR="00CA30A2" w:rsidP="008549EB" w:rsidRDefault="00334D7E" w14:paraId="68A3E110" w14:textId="0FA3ABA5">
            <w:pPr>
              <w:rPr>
                <w:rFonts w:ascii="Verdana" w:hAnsi="Verdana"/>
                <w:sz w:val="16"/>
                <w:szCs w:val="16"/>
              </w:rPr>
            </w:pPr>
            <w:r>
              <w:rPr>
                <w:rFonts w:ascii="Verdana" w:hAnsi="Verdana"/>
                <w:sz w:val="16"/>
                <w:szCs w:val="16"/>
              </w:rPr>
              <w:t xml:space="preserve">1, lid </w:t>
            </w:r>
            <w:r w:rsidR="00CA30A2">
              <w:rPr>
                <w:rFonts w:ascii="Verdana" w:hAnsi="Verdana"/>
                <w:sz w:val="16"/>
                <w:szCs w:val="16"/>
              </w:rPr>
              <w:t>17</w:t>
            </w:r>
          </w:p>
        </w:tc>
        <w:tc>
          <w:tcPr>
            <w:tcW w:w="1514" w:type="dxa"/>
          </w:tcPr>
          <w:p w:rsidRPr="002C5EC5" w:rsidR="00CA30A2" w:rsidP="008549EB" w:rsidRDefault="00CA30A2" w14:paraId="71FE0F28" w14:textId="77777777">
            <w:pPr>
              <w:rPr>
                <w:rFonts w:ascii="Verdana" w:hAnsi="Verdana"/>
                <w:sz w:val="16"/>
                <w:szCs w:val="16"/>
              </w:rPr>
            </w:pPr>
            <w:r w:rsidRPr="002C5EC5">
              <w:rPr>
                <w:rFonts w:ascii="Verdana" w:hAnsi="Verdana"/>
                <w:sz w:val="16"/>
                <w:szCs w:val="16"/>
              </w:rPr>
              <w:t>6</w:t>
            </w:r>
            <w:r>
              <w:rPr>
                <w:rFonts w:ascii="Verdana" w:hAnsi="Verdana"/>
                <w:sz w:val="16"/>
                <w:szCs w:val="16"/>
              </w:rPr>
              <w:t>7</w:t>
            </w:r>
            <w:r w:rsidRPr="002C5EC5">
              <w:rPr>
                <w:rFonts w:ascii="Verdana" w:hAnsi="Verdana"/>
                <w:sz w:val="16"/>
                <w:szCs w:val="16"/>
              </w:rPr>
              <w:t>, vierde lid</w:t>
            </w:r>
          </w:p>
        </w:tc>
        <w:tc>
          <w:tcPr>
            <w:tcW w:w="1625" w:type="dxa"/>
          </w:tcPr>
          <w:p w:rsidRPr="00E8066B" w:rsidR="00CA30A2" w:rsidP="008549EB" w:rsidRDefault="00CA30A2" w14:paraId="3A986466" w14:textId="77777777">
            <w:pPr>
              <w:spacing w:line="240" w:lineRule="atLeast"/>
              <w:rPr>
                <w:rFonts w:ascii="Verdana" w:hAnsi="Verdana"/>
                <w:sz w:val="16"/>
                <w:szCs w:val="16"/>
              </w:rPr>
            </w:pPr>
            <w:r w:rsidRPr="00E8066B">
              <w:rPr>
                <w:rFonts w:ascii="Verdana" w:hAnsi="Verdana"/>
                <w:sz w:val="16"/>
                <w:szCs w:val="16"/>
              </w:rPr>
              <w:t>Volgt bij implementatieregeling (Bijlage 6 Rtt)</w:t>
            </w:r>
          </w:p>
        </w:tc>
        <w:tc>
          <w:tcPr>
            <w:tcW w:w="1274" w:type="dxa"/>
          </w:tcPr>
          <w:p w:rsidRPr="002C5EC5" w:rsidR="00CA30A2" w:rsidP="008549EB" w:rsidRDefault="00CA30A2" w14:paraId="03506211"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3DCEE4D1" w14:textId="77777777">
            <w:pPr>
              <w:rPr>
                <w:rFonts w:ascii="Verdana" w:hAnsi="Verdana"/>
                <w:sz w:val="16"/>
                <w:szCs w:val="16"/>
              </w:rPr>
            </w:pPr>
          </w:p>
        </w:tc>
      </w:tr>
      <w:tr w:rsidR="00CA30A2" w:rsidTr="00CA30A2" w14:paraId="56547300" w14:textId="77777777">
        <w:tc>
          <w:tcPr>
            <w:tcW w:w="1552" w:type="dxa"/>
          </w:tcPr>
          <w:p w:rsidRPr="00DD0008" w:rsidR="00CA30A2" w:rsidP="008549EB" w:rsidRDefault="00334D7E" w14:paraId="698274B4" w14:textId="187D60AB">
            <w:pPr>
              <w:rPr>
                <w:rFonts w:ascii="Verdana" w:hAnsi="Verdana"/>
                <w:sz w:val="16"/>
                <w:szCs w:val="16"/>
              </w:rPr>
            </w:pPr>
            <w:r>
              <w:rPr>
                <w:rFonts w:ascii="Verdana" w:hAnsi="Verdana"/>
                <w:sz w:val="16"/>
                <w:szCs w:val="16"/>
              </w:rPr>
              <w:t xml:space="preserve">1, lid </w:t>
            </w:r>
            <w:r w:rsidR="00CA30A2">
              <w:rPr>
                <w:rFonts w:ascii="Verdana" w:hAnsi="Verdana"/>
                <w:sz w:val="16"/>
                <w:szCs w:val="16"/>
              </w:rPr>
              <w:t>18</w:t>
            </w:r>
          </w:p>
        </w:tc>
        <w:tc>
          <w:tcPr>
            <w:tcW w:w="1514" w:type="dxa"/>
          </w:tcPr>
          <w:p w:rsidRPr="002C5EC5" w:rsidR="00CA30A2" w:rsidP="008549EB" w:rsidRDefault="00CA30A2" w14:paraId="4CC41A5F" w14:textId="77777777">
            <w:pPr>
              <w:rPr>
                <w:rFonts w:ascii="Verdana" w:hAnsi="Verdana"/>
                <w:sz w:val="16"/>
                <w:szCs w:val="16"/>
              </w:rPr>
            </w:pPr>
            <w:r w:rsidRPr="002C5EC5">
              <w:rPr>
                <w:rFonts w:ascii="Verdana" w:hAnsi="Verdana"/>
                <w:sz w:val="16"/>
                <w:szCs w:val="16"/>
              </w:rPr>
              <w:t xml:space="preserve">70, eerste lid </w:t>
            </w:r>
          </w:p>
        </w:tc>
        <w:tc>
          <w:tcPr>
            <w:tcW w:w="1625" w:type="dxa"/>
          </w:tcPr>
          <w:p w:rsidRPr="00E8066B" w:rsidR="00CA30A2" w:rsidP="008549EB" w:rsidRDefault="00CA30A2" w14:paraId="1A348774" w14:textId="77777777">
            <w:pPr>
              <w:spacing w:line="240" w:lineRule="atLeast"/>
              <w:rPr>
                <w:rFonts w:ascii="Verdana" w:hAnsi="Verdana"/>
                <w:sz w:val="16"/>
                <w:szCs w:val="16"/>
              </w:rPr>
            </w:pPr>
            <w:r>
              <w:rPr>
                <w:rFonts w:ascii="Verdana" w:hAnsi="Verdana"/>
                <w:sz w:val="16"/>
                <w:szCs w:val="16"/>
              </w:rPr>
              <w:t>Volgt bij implementatiebesluit (</w:t>
            </w:r>
            <w:r w:rsidRPr="002C5EC5">
              <w:rPr>
                <w:rFonts w:ascii="Verdana" w:hAnsi="Verdana"/>
                <w:sz w:val="16"/>
                <w:szCs w:val="16"/>
              </w:rPr>
              <w:t>1b, eerste lid, Bbbfs</w:t>
            </w:r>
            <w:r>
              <w:rPr>
                <w:rFonts w:ascii="Verdana" w:hAnsi="Verdana"/>
                <w:sz w:val="16"/>
                <w:szCs w:val="16"/>
              </w:rPr>
              <w:t>)</w:t>
            </w:r>
          </w:p>
        </w:tc>
        <w:tc>
          <w:tcPr>
            <w:tcW w:w="1274" w:type="dxa"/>
          </w:tcPr>
          <w:p w:rsidRPr="002C5EC5" w:rsidR="00CA30A2" w:rsidP="008549EB" w:rsidRDefault="00CA30A2" w14:paraId="6C3D37EB"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039716DB" w14:textId="77777777">
            <w:pPr>
              <w:rPr>
                <w:rFonts w:ascii="Verdana" w:hAnsi="Verdana"/>
                <w:sz w:val="16"/>
                <w:szCs w:val="16"/>
              </w:rPr>
            </w:pPr>
          </w:p>
        </w:tc>
      </w:tr>
      <w:tr w:rsidR="00CA30A2" w:rsidTr="00CA30A2" w14:paraId="08F4CC59" w14:textId="77777777">
        <w:tc>
          <w:tcPr>
            <w:tcW w:w="1552" w:type="dxa"/>
          </w:tcPr>
          <w:p w:rsidRPr="00DD0008" w:rsidR="00CA30A2" w:rsidP="008549EB" w:rsidRDefault="00334D7E" w14:paraId="00CC9D9F" w14:textId="7276F948">
            <w:pPr>
              <w:rPr>
                <w:rFonts w:ascii="Verdana" w:hAnsi="Verdana"/>
                <w:sz w:val="16"/>
                <w:szCs w:val="16"/>
              </w:rPr>
            </w:pPr>
            <w:r>
              <w:rPr>
                <w:rFonts w:ascii="Verdana" w:hAnsi="Verdana"/>
                <w:sz w:val="16"/>
                <w:szCs w:val="16"/>
              </w:rPr>
              <w:t xml:space="preserve">1, lid </w:t>
            </w:r>
            <w:r w:rsidR="00CA30A2">
              <w:rPr>
                <w:rFonts w:ascii="Verdana" w:hAnsi="Verdana"/>
                <w:sz w:val="16"/>
                <w:szCs w:val="16"/>
              </w:rPr>
              <w:t>18</w:t>
            </w:r>
          </w:p>
        </w:tc>
        <w:tc>
          <w:tcPr>
            <w:tcW w:w="1514" w:type="dxa"/>
          </w:tcPr>
          <w:p w:rsidRPr="002C5EC5" w:rsidR="00CA30A2" w:rsidP="008549EB" w:rsidRDefault="00CA30A2" w14:paraId="44C78F57" w14:textId="77777777">
            <w:pPr>
              <w:rPr>
                <w:rFonts w:ascii="Verdana" w:hAnsi="Verdana"/>
                <w:sz w:val="16"/>
                <w:szCs w:val="16"/>
              </w:rPr>
            </w:pPr>
            <w:r w:rsidRPr="002C5EC5">
              <w:rPr>
                <w:rFonts w:ascii="Verdana" w:hAnsi="Verdana"/>
                <w:sz w:val="16"/>
                <w:szCs w:val="16"/>
              </w:rPr>
              <w:t xml:space="preserve">70, tweede lid </w:t>
            </w:r>
          </w:p>
        </w:tc>
        <w:tc>
          <w:tcPr>
            <w:tcW w:w="1625" w:type="dxa"/>
          </w:tcPr>
          <w:p w:rsidR="00CA30A2" w:rsidP="008549EB" w:rsidRDefault="00CA30A2" w14:paraId="36D2C763"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b</w:t>
            </w:r>
            <w:r w:rsidRPr="002C5EC5">
              <w:rPr>
                <w:rFonts w:ascii="Verdana" w:hAnsi="Verdana"/>
                <w:sz w:val="16"/>
                <w:szCs w:val="16"/>
              </w:rPr>
              <w:t>estaand recht in 2 Rtgs</w:t>
            </w:r>
          </w:p>
        </w:tc>
        <w:tc>
          <w:tcPr>
            <w:tcW w:w="1274" w:type="dxa"/>
          </w:tcPr>
          <w:p w:rsidRPr="002C5EC5" w:rsidR="00CA30A2" w:rsidP="008549EB" w:rsidRDefault="00CA30A2" w14:paraId="4F37EA8B"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2F2DBE93" w14:textId="77777777">
            <w:pPr>
              <w:rPr>
                <w:rFonts w:ascii="Verdana" w:hAnsi="Verdana"/>
                <w:sz w:val="16"/>
                <w:szCs w:val="16"/>
              </w:rPr>
            </w:pPr>
          </w:p>
        </w:tc>
      </w:tr>
      <w:tr w:rsidR="00334D7E" w:rsidTr="00CA30A2" w14:paraId="78BC85D9" w14:textId="77777777">
        <w:tc>
          <w:tcPr>
            <w:tcW w:w="1552" w:type="dxa"/>
          </w:tcPr>
          <w:p w:rsidRPr="00DD0008" w:rsidR="00334D7E" w:rsidP="00334D7E" w:rsidRDefault="00334D7E" w14:paraId="325015A0" w14:textId="0D7CF123">
            <w:pPr>
              <w:rPr>
                <w:rFonts w:ascii="Verdana" w:hAnsi="Verdana"/>
                <w:sz w:val="16"/>
                <w:szCs w:val="16"/>
              </w:rPr>
            </w:pPr>
            <w:r w:rsidRPr="00AE4368">
              <w:rPr>
                <w:rFonts w:ascii="Verdana" w:hAnsi="Verdana"/>
                <w:sz w:val="16"/>
                <w:szCs w:val="16"/>
              </w:rPr>
              <w:t>1, lid 18</w:t>
            </w:r>
          </w:p>
        </w:tc>
        <w:tc>
          <w:tcPr>
            <w:tcW w:w="1514" w:type="dxa"/>
          </w:tcPr>
          <w:p w:rsidRPr="002C5EC5" w:rsidR="00334D7E" w:rsidP="00334D7E" w:rsidRDefault="00334D7E" w14:paraId="455A63CE" w14:textId="77777777">
            <w:pPr>
              <w:rPr>
                <w:rFonts w:ascii="Verdana" w:hAnsi="Verdana"/>
                <w:sz w:val="16"/>
                <w:szCs w:val="16"/>
              </w:rPr>
            </w:pPr>
            <w:r w:rsidRPr="002C5EC5">
              <w:rPr>
                <w:rFonts w:ascii="Verdana" w:hAnsi="Verdana"/>
                <w:sz w:val="16"/>
                <w:szCs w:val="16"/>
              </w:rPr>
              <w:t xml:space="preserve">70, derde lid </w:t>
            </w:r>
          </w:p>
        </w:tc>
        <w:tc>
          <w:tcPr>
            <w:tcW w:w="1625" w:type="dxa"/>
          </w:tcPr>
          <w:p w:rsidRPr="002C5EC5" w:rsidR="00334D7E" w:rsidP="00334D7E" w:rsidRDefault="00334D7E" w14:paraId="37B3B705"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b</w:t>
            </w:r>
            <w:r w:rsidRPr="002C5EC5">
              <w:rPr>
                <w:rFonts w:ascii="Verdana" w:hAnsi="Verdana"/>
                <w:sz w:val="16"/>
                <w:szCs w:val="16"/>
              </w:rPr>
              <w:t>estaand recht in 3:4, 5:2 en 5:43 Awb</w:t>
            </w:r>
          </w:p>
        </w:tc>
        <w:tc>
          <w:tcPr>
            <w:tcW w:w="1274" w:type="dxa"/>
          </w:tcPr>
          <w:p w:rsidRPr="002C5EC5" w:rsidR="00334D7E" w:rsidP="00334D7E" w:rsidRDefault="00334D7E" w14:paraId="048104D9"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64A3BDFD" w14:textId="77777777">
            <w:pPr>
              <w:rPr>
                <w:rFonts w:ascii="Verdana" w:hAnsi="Verdana"/>
                <w:sz w:val="16"/>
                <w:szCs w:val="16"/>
              </w:rPr>
            </w:pPr>
          </w:p>
        </w:tc>
      </w:tr>
      <w:tr w:rsidR="00334D7E" w:rsidTr="00CA30A2" w14:paraId="16B0AC34" w14:textId="77777777">
        <w:tc>
          <w:tcPr>
            <w:tcW w:w="1552" w:type="dxa"/>
          </w:tcPr>
          <w:p w:rsidRPr="00DD0008" w:rsidR="00334D7E" w:rsidP="00334D7E" w:rsidRDefault="00334D7E" w14:paraId="7367C818" w14:textId="3F0CA6A7">
            <w:pPr>
              <w:rPr>
                <w:rFonts w:ascii="Verdana" w:hAnsi="Verdana"/>
                <w:sz w:val="16"/>
                <w:szCs w:val="16"/>
              </w:rPr>
            </w:pPr>
            <w:r w:rsidRPr="00AE4368">
              <w:rPr>
                <w:rFonts w:ascii="Verdana" w:hAnsi="Verdana"/>
                <w:sz w:val="16"/>
                <w:szCs w:val="16"/>
              </w:rPr>
              <w:t>1, lid 18</w:t>
            </w:r>
          </w:p>
        </w:tc>
        <w:tc>
          <w:tcPr>
            <w:tcW w:w="1514" w:type="dxa"/>
          </w:tcPr>
          <w:p w:rsidRPr="002C5EC5" w:rsidR="00334D7E" w:rsidP="00334D7E" w:rsidRDefault="00334D7E" w14:paraId="6F744111" w14:textId="77777777">
            <w:pPr>
              <w:rPr>
                <w:rFonts w:ascii="Verdana" w:hAnsi="Verdana"/>
                <w:sz w:val="16"/>
                <w:szCs w:val="16"/>
              </w:rPr>
            </w:pPr>
            <w:r w:rsidRPr="002C5EC5">
              <w:rPr>
                <w:rFonts w:ascii="Verdana" w:hAnsi="Verdana"/>
                <w:sz w:val="16"/>
                <w:szCs w:val="16"/>
              </w:rPr>
              <w:t>70, vierde lid</w:t>
            </w:r>
          </w:p>
        </w:tc>
        <w:tc>
          <w:tcPr>
            <w:tcW w:w="1625" w:type="dxa"/>
          </w:tcPr>
          <w:p w:rsidRPr="002C5EC5" w:rsidR="00334D7E" w:rsidP="00334D7E" w:rsidRDefault="00334D7E" w14:paraId="59F12F39"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b</w:t>
            </w:r>
            <w:r w:rsidRPr="002C5EC5">
              <w:rPr>
                <w:rFonts w:ascii="Verdana" w:hAnsi="Verdana"/>
                <w:sz w:val="16"/>
                <w:szCs w:val="16"/>
              </w:rPr>
              <w:t>estaand recht in 5:44 Awb en 243 lid 2 Sv (1:95 en 1:98 Wft)</w:t>
            </w:r>
          </w:p>
        </w:tc>
        <w:tc>
          <w:tcPr>
            <w:tcW w:w="1274" w:type="dxa"/>
          </w:tcPr>
          <w:p w:rsidRPr="002C5EC5" w:rsidR="00334D7E" w:rsidP="00334D7E" w:rsidRDefault="00334D7E" w14:paraId="14AD75E7"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5D90CA60" w14:textId="77777777">
            <w:pPr>
              <w:rPr>
                <w:rFonts w:ascii="Verdana" w:hAnsi="Verdana"/>
                <w:sz w:val="16"/>
                <w:szCs w:val="16"/>
              </w:rPr>
            </w:pPr>
          </w:p>
        </w:tc>
      </w:tr>
      <w:tr w:rsidR="00334D7E" w:rsidTr="00CA30A2" w14:paraId="37B433CA" w14:textId="77777777">
        <w:tc>
          <w:tcPr>
            <w:tcW w:w="1552" w:type="dxa"/>
          </w:tcPr>
          <w:p w:rsidRPr="00DD0008" w:rsidR="00334D7E" w:rsidP="00334D7E" w:rsidRDefault="00334D7E" w14:paraId="12CB0CE0" w14:textId="498218AE">
            <w:pPr>
              <w:rPr>
                <w:rFonts w:ascii="Verdana" w:hAnsi="Verdana"/>
                <w:sz w:val="16"/>
                <w:szCs w:val="16"/>
              </w:rPr>
            </w:pPr>
            <w:r w:rsidRPr="00AE4368">
              <w:rPr>
                <w:rFonts w:ascii="Verdana" w:hAnsi="Verdana"/>
                <w:sz w:val="16"/>
                <w:szCs w:val="16"/>
              </w:rPr>
              <w:t>1, lid 18</w:t>
            </w:r>
          </w:p>
        </w:tc>
        <w:tc>
          <w:tcPr>
            <w:tcW w:w="1514" w:type="dxa"/>
          </w:tcPr>
          <w:p w:rsidRPr="002C5EC5" w:rsidR="00334D7E" w:rsidP="00334D7E" w:rsidRDefault="00334D7E" w14:paraId="12B9B9E1" w14:textId="77777777">
            <w:pPr>
              <w:rPr>
                <w:rFonts w:ascii="Verdana" w:hAnsi="Verdana"/>
                <w:sz w:val="16"/>
                <w:szCs w:val="16"/>
              </w:rPr>
            </w:pPr>
            <w:r w:rsidRPr="002C5EC5">
              <w:rPr>
                <w:rFonts w:ascii="Verdana" w:hAnsi="Verdana"/>
                <w:sz w:val="16"/>
                <w:szCs w:val="16"/>
              </w:rPr>
              <w:t>70, vijfde lid</w:t>
            </w:r>
          </w:p>
        </w:tc>
        <w:tc>
          <w:tcPr>
            <w:tcW w:w="1625" w:type="dxa"/>
          </w:tcPr>
          <w:p w:rsidRPr="002C5EC5" w:rsidR="00334D7E" w:rsidP="00334D7E" w:rsidRDefault="00334D7E" w14:paraId="7A1CB1AB" w14:textId="77777777">
            <w:pPr>
              <w:spacing w:line="240" w:lineRule="atLeast"/>
              <w:rPr>
                <w:rFonts w:ascii="Verdana" w:hAnsi="Verdana"/>
                <w:sz w:val="16"/>
                <w:szCs w:val="16"/>
              </w:rPr>
            </w:pPr>
            <w:r w:rsidRPr="002C5EC5">
              <w:rPr>
                <w:rFonts w:ascii="Verdana" w:hAnsi="Verdana"/>
                <w:sz w:val="16"/>
                <w:szCs w:val="16"/>
              </w:rPr>
              <w:t xml:space="preserve">Behoeft </w:t>
            </w:r>
            <w:r>
              <w:rPr>
                <w:rFonts w:ascii="Verdana" w:hAnsi="Verdana"/>
                <w:sz w:val="16"/>
                <w:szCs w:val="16"/>
              </w:rPr>
              <w:t xml:space="preserve">naar zijn aard </w:t>
            </w:r>
            <w:r w:rsidRPr="002C5EC5">
              <w:rPr>
                <w:rFonts w:ascii="Verdana" w:hAnsi="Verdana"/>
                <w:sz w:val="16"/>
                <w:szCs w:val="16"/>
              </w:rPr>
              <w:t>geen implementatie</w:t>
            </w:r>
            <w:r>
              <w:rPr>
                <w:rFonts w:ascii="Verdana" w:hAnsi="Verdana"/>
                <w:sz w:val="16"/>
                <w:szCs w:val="16"/>
              </w:rPr>
              <w:t>:</w:t>
            </w:r>
            <w:r w:rsidRPr="002C5EC5">
              <w:rPr>
                <w:rFonts w:ascii="Verdana" w:hAnsi="Verdana"/>
                <w:sz w:val="16"/>
                <w:szCs w:val="16"/>
              </w:rPr>
              <w:t xml:space="preserve"> Bepaling gericht tot EBA. </w:t>
            </w:r>
          </w:p>
        </w:tc>
        <w:tc>
          <w:tcPr>
            <w:tcW w:w="1274" w:type="dxa"/>
          </w:tcPr>
          <w:p w:rsidRPr="002C5EC5" w:rsidR="00334D7E" w:rsidP="00334D7E" w:rsidRDefault="00334D7E" w14:paraId="39D8F185"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52B653A8" w14:textId="77777777">
            <w:pPr>
              <w:rPr>
                <w:rFonts w:ascii="Verdana" w:hAnsi="Verdana"/>
                <w:sz w:val="16"/>
                <w:szCs w:val="16"/>
              </w:rPr>
            </w:pPr>
          </w:p>
        </w:tc>
      </w:tr>
      <w:tr w:rsidR="00CA30A2" w:rsidTr="00CA30A2" w14:paraId="05F8BEF8" w14:textId="77777777">
        <w:tc>
          <w:tcPr>
            <w:tcW w:w="1552" w:type="dxa"/>
          </w:tcPr>
          <w:p w:rsidRPr="00DD0008" w:rsidR="00CA30A2" w:rsidP="008549EB" w:rsidRDefault="00334D7E" w14:paraId="1733AB78" w14:textId="2A94D555">
            <w:pPr>
              <w:rPr>
                <w:rFonts w:ascii="Verdana" w:hAnsi="Verdana"/>
                <w:sz w:val="16"/>
                <w:szCs w:val="16"/>
              </w:rPr>
            </w:pPr>
            <w:r>
              <w:rPr>
                <w:rFonts w:ascii="Verdana" w:hAnsi="Verdana"/>
                <w:sz w:val="16"/>
                <w:szCs w:val="16"/>
              </w:rPr>
              <w:t xml:space="preserve">1, lid </w:t>
            </w:r>
            <w:r w:rsidR="00CA30A2">
              <w:rPr>
                <w:rFonts w:ascii="Verdana" w:hAnsi="Verdana"/>
                <w:sz w:val="16"/>
                <w:szCs w:val="16"/>
              </w:rPr>
              <w:t>19</w:t>
            </w:r>
          </w:p>
        </w:tc>
        <w:tc>
          <w:tcPr>
            <w:tcW w:w="1514" w:type="dxa"/>
          </w:tcPr>
          <w:p w:rsidRPr="002C5EC5" w:rsidR="00CA30A2" w:rsidP="008549EB" w:rsidRDefault="00CA30A2" w14:paraId="3445E154" w14:textId="77777777">
            <w:pPr>
              <w:rPr>
                <w:rFonts w:ascii="Verdana" w:hAnsi="Verdana"/>
                <w:sz w:val="16"/>
                <w:szCs w:val="16"/>
              </w:rPr>
            </w:pPr>
            <w:r w:rsidRPr="002C5EC5">
              <w:rPr>
                <w:rFonts w:ascii="Verdana" w:hAnsi="Verdana"/>
                <w:sz w:val="16"/>
                <w:szCs w:val="16"/>
              </w:rPr>
              <w:t>73, eerste alinea</w:t>
            </w:r>
          </w:p>
        </w:tc>
        <w:tc>
          <w:tcPr>
            <w:tcW w:w="1625" w:type="dxa"/>
          </w:tcPr>
          <w:p w:rsidRPr="002C5EC5" w:rsidR="00CA30A2" w:rsidP="008549EB" w:rsidRDefault="00CA30A2" w14:paraId="77E218F9" w14:textId="77777777">
            <w:pPr>
              <w:spacing w:line="240" w:lineRule="atLeast"/>
              <w:rPr>
                <w:rFonts w:ascii="Verdana" w:hAnsi="Verdana"/>
                <w:sz w:val="16"/>
                <w:szCs w:val="16"/>
              </w:rPr>
            </w:pPr>
            <w:r>
              <w:rPr>
                <w:rFonts w:ascii="Verdana" w:hAnsi="Verdana"/>
                <w:sz w:val="16"/>
                <w:szCs w:val="16"/>
              </w:rPr>
              <w:t>Volgt bij implementatiebesluit (</w:t>
            </w:r>
            <w:r w:rsidRPr="002C5EC5">
              <w:rPr>
                <w:rFonts w:ascii="Verdana" w:hAnsi="Verdana"/>
                <w:sz w:val="16"/>
                <w:szCs w:val="16"/>
              </w:rPr>
              <w:t>24a, eerste lid, Bpr</w:t>
            </w:r>
            <w:r>
              <w:rPr>
                <w:rFonts w:ascii="Verdana" w:hAnsi="Verdana"/>
                <w:sz w:val="16"/>
                <w:szCs w:val="16"/>
              </w:rPr>
              <w:t>)</w:t>
            </w:r>
          </w:p>
        </w:tc>
        <w:tc>
          <w:tcPr>
            <w:tcW w:w="1274" w:type="dxa"/>
          </w:tcPr>
          <w:p w:rsidRPr="002C5EC5" w:rsidR="00CA30A2" w:rsidP="008549EB" w:rsidRDefault="00CA30A2" w14:paraId="37E4F0E8"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64FAD636" w14:textId="77777777">
            <w:pPr>
              <w:rPr>
                <w:rFonts w:ascii="Verdana" w:hAnsi="Verdana"/>
                <w:sz w:val="16"/>
                <w:szCs w:val="16"/>
              </w:rPr>
            </w:pPr>
          </w:p>
        </w:tc>
      </w:tr>
      <w:tr w:rsidR="00CA30A2" w:rsidTr="00CA30A2" w14:paraId="2782100A" w14:textId="77777777">
        <w:tc>
          <w:tcPr>
            <w:tcW w:w="1552" w:type="dxa"/>
          </w:tcPr>
          <w:p w:rsidRPr="00DD0008" w:rsidR="00CA30A2" w:rsidP="008549EB" w:rsidRDefault="00334D7E" w14:paraId="32C2F268" w14:textId="5C2011B2">
            <w:pPr>
              <w:rPr>
                <w:rFonts w:ascii="Verdana" w:hAnsi="Verdana"/>
                <w:sz w:val="16"/>
                <w:szCs w:val="16"/>
              </w:rPr>
            </w:pPr>
            <w:r>
              <w:rPr>
                <w:rFonts w:ascii="Verdana" w:hAnsi="Verdana"/>
                <w:sz w:val="16"/>
                <w:szCs w:val="16"/>
              </w:rPr>
              <w:t xml:space="preserve">1, lid </w:t>
            </w:r>
            <w:r w:rsidR="00CA30A2">
              <w:rPr>
                <w:rFonts w:ascii="Verdana" w:hAnsi="Verdana"/>
                <w:sz w:val="16"/>
                <w:szCs w:val="16"/>
              </w:rPr>
              <w:t>20</w:t>
            </w:r>
          </w:p>
        </w:tc>
        <w:tc>
          <w:tcPr>
            <w:tcW w:w="1514" w:type="dxa"/>
          </w:tcPr>
          <w:p w:rsidRPr="002C5EC5" w:rsidR="00CA30A2" w:rsidP="008549EB" w:rsidRDefault="00CA30A2" w14:paraId="7BDA501A" w14:textId="77777777">
            <w:pPr>
              <w:rPr>
                <w:rFonts w:ascii="Verdana" w:hAnsi="Verdana"/>
                <w:sz w:val="16"/>
                <w:szCs w:val="16"/>
              </w:rPr>
            </w:pPr>
            <w:r w:rsidRPr="002C5EC5">
              <w:rPr>
                <w:rFonts w:ascii="Verdana" w:hAnsi="Verdana"/>
                <w:sz w:val="16"/>
                <w:szCs w:val="16"/>
              </w:rPr>
              <w:t>74, eerste lid,</w:t>
            </w:r>
          </w:p>
        </w:tc>
        <w:tc>
          <w:tcPr>
            <w:tcW w:w="1625" w:type="dxa"/>
          </w:tcPr>
          <w:p w:rsidR="00CA30A2" w:rsidP="008549EB" w:rsidRDefault="00CA30A2" w14:paraId="013FEADD" w14:textId="77777777">
            <w:pPr>
              <w:spacing w:line="240" w:lineRule="atLeast"/>
              <w:rPr>
                <w:rFonts w:ascii="Verdana" w:hAnsi="Verdana"/>
                <w:sz w:val="16"/>
                <w:szCs w:val="16"/>
              </w:rPr>
            </w:pPr>
            <w:r w:rsidRPr="002C5EC5">
              <w:rPr>
                <w:rFonts w:ascii="Verdana" w:hAnsi="Verdana"/>
                <w:sz w:val="16"/>
                <w:szCs w:val="16"/>
              </w:rPr>
              <w:t>Bestaand recht in artikel 1:117 en 3:17 Wft jo. art. 17/19/20</w:t>
            </w:r>
            <w:r>
              <w:rPr>
                <w:rFonts w:ascii="Verdana" w:hAnsi="Verdana"/>
                <w:sz w:val="16"/>
                <w:szCs w:val="16"/>
              </w:rPr>
              <w:t>/23</w:t>
            </w:r>
            <w:r w:rsidRPr="002C5EC5">
              <w:rPr>
                <w:rFonts w:ascii="Verdana" w:hAnsi="Verdana"/>
                <w:sz w:val="16"/>
                <w:szCs w:val="16"/>
              </w:rPr>
              <w:t xml:space="preserve"> Bpr</w:t>
            </w:r>
          </w:p>
        </w:tc>
        <w:tc>
          <w:tcPr>
            <w:tcW w:w="1274" w:type="dxa"/>
          </w:tcPr>
          <w:p w:rsidRPr="002C5EC5" w:rsidR="00CA30A2" w:rsidP="008549EB" w:rsidRDefault="00CA30A2" w14:paraId="0C21C5AE"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06A949D4" w14:textId="77777777">
            <w:pPr>
              <w:rPr>
                <w:rFonts w:ascii="Verdana" w:hAnsi="Verdana"/>
                <w:sz w:val="16"/>
                <w:szCs w:val="16"/>
              </w:rPr>
            </w:pPr>
          </w:p>
        </w:tc>
      </w:tr>
      <w:tr w:rsidR="00CA30A2" w:rsidTr="00CA30A2" w14:paraId="0029F7C1" w14:textId="77777777">
        <w:tc>
          <w:tcPr>
            <w:tcW w:w="1552" w:type="dxa"/>
          </w:tcPr>
          <w:p w:rsidRPr="00DD0008" w:rsidR="00CA30A2" w:rsidP="008549EB" w:rsidRDefault="00334D7E" w14:paraId="43AE0C70" w14:textId="7756978C">
            <w:pPr>
              <w:rPr>
                <w:rFonts w:ascii="Verdana" w:hAnsi="Verdana"/>
                <w:sz w:val="16"/>
                <w:szCs w:val="16"/>
              </w:rPr>
            </w:pPr>
            <w:r>
              <w:rPr>
                <w:rFonts w:ascii="Verdana" w:hAnsi="Verdana"/>
                <w:sz w:val="16"/>
                <w:szCs w:val="16"/>
              </w:rPr>
              <w:t xml:space="preserve">1, lid </w:t>
            </w:r>
            <w:r w:rsidR="00CA30A2">
              <w:rPr>
                <w:rFonts w:ascii="Verdana" w:hAnsi="Verdana"/>
                <w:sz w:val="16"/>
                <w:szCs w:val="16"/>
              </w:rPr>
              <w:t>21, onderdelen a, b en c</w:t>
            </w:r>
          </w:p>
        </w:tc>
        <w:tc>
          <w:tcPr>
            <w:tcW w:w="1514" w:type="dxa"/>
          </w:tcPr>
          <w:p w:rsidRPr="002C5EC5" w:rsidR="00CA30A2" w:rsidP="008549EB" w:rsidRDefault="00CA30A2" w14:paraId="071FFABF" w14:textId="77777777">
            <w:pPr>
              <w:rPr>
                <w:rFonts w:ascii="Verdana" w:hAnsi="Verdana"/>
                <w:sz w:val="16"/>
                <w:szCs w:val="16"/>
              </w:rPr>
            </w:pPr>
            <w:r w:rsidRPr="002C5EC5">
              <w:rPr>
                <w:rFonts w:ascii="Verdana" w:hAnsi="Verdana"/>
                <w:sz w:val="16"/>
                <w:szCs w:val="16"/>
              </w:rPr>
              <w:t>76, eerste, tweede en vierde lid</w:t>
            </w:r>
          </w:p>
        </w:tc>
        <w:tc>
          <w:tcPr>
            <w:tcW w:w="1625" w:type="dxa"/>
          </w:tcPr>
          <w:p w:rsidRPr="002C5EC5" w:rsidR="00CA30A2" w:rsidP="008549EB" w:rsidRDefault="00CA30A2" w14:paraId="70E32948"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b</w:t>
            </w:r>
            <w:r w:rsidRPr="002C5EC5">
              <w:rPr>
                <w:rFonts w:ascii="Verdana" w:hAnsi="Verdana"/>
                <w:sz w:val="16"/>
                <w:szCs w:val="16"/>
              </w:rPr>
              <w:t>estaand recht in 23b, eerste lid, onderdeel a, Bpr</w:t>
            </w:r>
          </w:p>
        </w:tc>
        <w:tc>
          <w:tcPr>
            <w:tcW w:w="1274" w:type="dxa"/>
          </w:tcPr>
          <w:p w:rsidRPr="002C5EC5" w:rsidR="00CA30A2" w:rsidP="008549EB" w:rsidRDefault="00CA30A2" w14:paraId="55B39C53"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66810F04" w14:textId="77777777">
            <w:pPr>
              <w:rPr>
                <w:rFonts w:ascii="Verdana" w:hAnsi="Verdana"/>
                <w:sz w:val="16"/>
                <w:szCs w:val="16"/>
              </w:rPr>
            </w:pPr>
          </w:p>
        </w:tc>
      </w:tr>
      <w:tr w:rsidR="00CA30A2" w:rsidTr="00CA30A2" w14:paraId="231D807E" w14:textId="77777777">
        <w:tc>
          <w:tcPr>
            <w:tcW w:w="1552" w:type="dxa"/>
          </w:tcPr>
          <w:p w:rsidRPr="00DD0008" w:rsidR="00CA30A2" w:rsidP="008549EB" w:rsidRDefault="00334D7E" w14:paraId="65125EC8" w14:textId="6ED973AD">
            <w:pPr>
              <w:rPr>
                <w:rFonts w:ascii="Verdana" w:hAnsi="Verdana"/>
                <w:sz w:val="16"/>
                <w:szCs w:val="16"/>
              </w:rPr>
            </w:pPr>
            <w:r>
              <w:rPr>
                <w:rFonts w:ascii="Verdana" w:hAnsi="Verdana"/>
                <w:sz w:val="16"/>
                <w:szCs w:val="16"/>
              </w:rPr>
              <w:t xml:space="preserve">1, lid </w:t>
            </w:r>
            <w:r w:rsidR="00CA30A2">
              <w:rPr>
                <w:rFonts w:ascii="Verdana" w:hAnsi="Verdana"/>
                <w:sz w:val="16"/>
                <w:szCs w:val="16"/>
              </w:rPr>
              <w:t>21, onderdeel d</w:t>
            </w:r>
          </w:p>
        </w:tc>
        <w:tc>
          <w:tcPr>
            <w:tcW w:w="1514" w:type="dxa"/>
          </w:tcPr>
          <w:p w:rsidRPr="002C5EC5" w:rsidR="00CA30A2" w:rsidP="008549EB" w:rsidRDefault="00CA30A2" w14:paraId="0CCB1D4A" w14:textId="77777777">
            <w:pPr>
              <w:rPr>
                <w:rFonts w:ascii="Verdana" w:hAnsi="Verdana"/>
                <w:sz w:val="16"/>
                <w:szCs w:val="16"/>
              </w:rPr>
            </w:pPr>
            <w:r w:rsidRPr="002C5EC5">
              <w:rPr>
                <w:rFonts w:ascii="Verdana" w:hAnsi="Verdana"/>
                <w:sz w:val="16"/>
                <w:szCs w:val="16"/>
              </w:rPr>
              <w:t>76, vijfde lid</w:t>
            </w:r>
          </w:p>
        </w:tc>
        <w:tc>
          <w:tcPr>
            <w:tcW w:w="1625" w:type="dxa"/>
          </w:tcPr>
          <w:p w:rsidRPr="002C5EC5" w:rsidR="00CA30A2" w:rsidP="008549EB" w:rsidRDefault="00CA30A2" w14:paraId="672F60B2"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b</w:t>
            </w:r>
            <w:r w:rsidRPr="002C5EC5">
              <w:rPr>
                <w:rFonts w:ascii="Verdana" w:hAnsi="Verdana"/>
                <w:sz w:val="16"/>
                <w:szCs w:val="16"/>
              </w:rPr>
              <w:t>estaand recht in 23b, tweede lid</w:t>
            </w:r>
          </w:p>
        </w:tc>
        <w:tc>
          <w:tcPr>
            <w:tcW w:w="1274" w:type="dxa"/>
          </w:tcPr>
          <w:p w:rsidRPr="002C5EC5" w:rsidR="00CA30A2" w:rsidP="008549EB" w:rsidRDefault="00CA30A2" w14:paraId="1F9D6B13"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75218CA5" w14:textId="77777777">
            <w:pPr>
              <w:rPr>
                <w:rFonts w:ascii="Verdana" w:hAnsi="Verdana"/>
                <w:sz w:val="16"/>
                <w:szCs w:val="16"/>
              </w:rPr>
            </w:pPr>
          </w:p>
        </w:tc>
      </w:tr>
      <w:tr w:rsidR="00CA30A2" w:rsidTr="00CA30A2" w14:paraId="4105273F" w14:textId="77777777">
        <w:tc>
          <w:tcPr>
            <w:tcW w:w="1552" w:type="dxa"/>
          </w:tcPr>
          <w:p w:rsidRPr="00DD0008" w:rsidR="00CA30A2" w:rsidP="008549EB" w:rsidRDefault="00334D7E" w14:paraId="3DD720A4" w14:textId="7F0D2A0C">
            <w:pPr>
              <w:rPr>
                <w:rFonts w:ascii="Verdana" w:hAnsi="Verdana"/>
                <w:sz w:val="16"/>
                <w:szCs w:val="16"/>
              </w:rPr>
            </w:pPr>
            <w:r>
              <w:rPr>
                <w:rFonts w:ascii="Verdana" w:hAnsi="Verdana"/>
                <w:sz w:val="16"/>
                <w:szCs w:val="16"/>
              </w:rPr>
              <w:t xml:space="preserve">1, lid </w:t>
            </w:r>
            <w:r w:rsidR="00CA30A2">
              <w:rPr>
                <w:rFonts w:ascii="Verdana" w:hAnsi="Verdana"/>
                <w:sz w:val="16"/>
                <w:szCs w:val="16"/>
              </w:rPr>
              <w:t>21, onderdeel e</w:t>
            </w:r>
          </w:p>
        </w:tc>
        <w:tc>
          <w:tcPr>
            <w:tcW w:w="1514" w:type="dxa"/>
          </w:tcPr>
          <w:p w:rsidRPr="002C5EC5" w:rsidR="00CA30A2" w:rsidP="008549EB" w:rsidRDefault="00CA30A2" w14:paraId="010BF645" w14:textId="77777777">
            <w:pPr>
              <w:rPr>
                <w:rFonts w:ascii="Verdana" w:hAnsi="Verdana"/>
                <w:sz w:val="16"/>
                <w:szCs w:val="16"/>
              </w:rPr>
            </w:pPr>
            <w:r w:rsidRPr="002C5EC5">
              <w:rPr>
                <w:rFonts w:ascii="Verdana" w:hAnsi="Verdana"/>
                <w:sz w:val="16"/>
                <w:szCs w:val="16"/>
              </w:rPr>
              <w:t>76, zesde lid</w:t>
            </w:r>
          </w:p>
        </w:tc>
        <w:tc>
          <w:tcPr>
            <w:tcW w:w="1625" w:type="dxa"/>
          </w:tcPr>
          <w:p w:rsidRPr="002C5EC5" w:rsidR="00CA30A2" w:rsidP="008549EB" w:rsidRDefault="00CA30A2" w14:paraId="42F35B81" w14:textId="77777777">
            <w:pPr>
              <w:spacing w:line="240" w:lineRule="atLeast"/>
              <w:rPr>
                <w:rFonts w:ascii="Verdana" w:hAnsi="Verdana"/>
                <w:sz w:val="16"/>
                <w:szCs w:val="16"/>
              </w:rPr>
            </w:pPr>
            <w:r>
              <w:rPr>
                <w:rFonts w:ascii="Verdana" w:hAnsi="Verdana"/>
                <w:sz w:val="16"/>
                <w:szCs w:val="16"/>
              </w:rPr>
              <w:t>Volgt bij implementatiebesluit (</w:t>
            </w:r>
            <w:r w:rsidRPr="002C5EC5">
              <w:rPr>
                <w:rFonts w:ascii="Verdana" w:hAnsi="Verdana"/>
                <w:sz w:val="16"/>
                <w:szCs w:val="16"/>
              </w:rPr>
              <w:t>23b, tweede lid, Bpr</w:t>
            </w:r>
            <w:r>
              <w:rPr>
                <w:rFonts w:ascii="Verdana" w:hAnsi="Verdana"/>
                <w:sz w:val="16"/>
                <w:szCs w:val="16"/>
              </w:rPr>
              <w:t>)</w:t>
            </w:r>
          </w:p>
        </w:tc>
        <w:tc>
          <w:tcPr>
            <w:tcW w:w="1274" w:type="dxa"/>
          </w:tcPr>
          <w:p w:rsidRPr="002C5EC5" w:rsidR="00CA30A2" w:rsidP="008549EB" w:rsidRDefault="00CA30A2" w14:paraId="0D0A44AD"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5DF9537F" w14:textId="77777777">
            <w:pPr>
              <w:rPr>
                <w:rFonts w:ascii="Verdana" w:hAnsi="Verdana"/>
                <w:sz w:val="16"/>
                <w:szCs w:val="16"/>
              </w:rPr>
            </w:pPr>
          </w:p>
        </w:tc>
      </w:tr>
      <w:tr w:rsidR="00CA30A2" w:rsidTr="00CA30A2" w14:paraId="3E899743" w14:textId="77777777">
        <w:tc>
          <w:tcPr>
            <w:tcW w:w="1552" w:type="dxa"/>
          </w:tcPr>
          <w:p w:rsidR="00CA30A2" w:rsidP="008549EB" w:rsidRDefault="00334D7E" w14:paraId="7DBF7C3E" w14:textId="39129DF6">
            <w:pPr>
              <w:rPr>
                <w:rFonts w:ascii="Verdana" w:hAnsi="Verdana"/>
                <w:sz w:val="16"/>
                <w:szCs w:val="16"/>
              </w:rPr>
            </w:pPr>
            <w:r>
              <w:rPr>
                <w:rFonts w:ascii="Verdana" w:hAnsi="Verdana"/>
                <w:sz w:val="16"/>
                <w:szCs w:val="16"/>
              </w:rPr>
              <w:t xml:space="preserve">1, lid </w:t>
            </w:r>
            <w:r w:rsidR="00CA30A2">
              <w:rPr>
                <w:rFonts w:ascii="Verdana" w:hAnsi="Verdana"/>
                <w:sz w:val="16"/>
                <w:szCs w:val="16"/>
              </w:rPr>
              <w:t>22, onderdeel a</w:t>
            </w:r>
          </w:p>
        </w:tc>
        <w:tc>
          <w:tcPr>
            <w:tcW w:w="1514" w:type="dxa"/>
          </w:tcPr>
          <w:p w:rsidRPr="002C5EC5" w:rsidR="00CA30A2" w:rsidP="008549EB" w:rsidRDefault="00CA30A2" w14:paraId="360E46FE" w14:textId="77777777">
            <w:pPr>
              <w:rPr>
                <w:rFonts w:ascii="Verdana" w:hAnsi="Verdana"/>
                <w:sz w:val="16"/>
                <w:szCs w:val="16"/>
              </w:rPr>
            </w:pPr>
            <w:r>
              <w:rPr>
                <w:rFonts w:ascii="Verdana" w:hAnsi="Verdana"/>
                <w:sz w:val="16"/>
                <w:szCs w:val="16"/>
              </w:rPr>
              <w:t>77, derde lid</w:t>
            </w:r>
          </w:p>
        </w:tc>
        <w:tc>
          <w:tcPr>
            <w:tcW w:w="1625" w:type="dxa"/>
          </w:tcPr>
          <w:p w:rsidR="00CA30A2" w:rsidP="008549EB" w:rsidRDefault="00CA30A2" w14:paraId="5CC64A79" w14:textId="77777777">
            <w:pPr>
              <w:spacing w:line="240" w:lineRule="atLeast"/>
              <w:rPr>
                <w:rFonts w:ascii="Verdana" w:hAnsi="Verdana"/>
                <w:sz w:val="16"/>
                <w:szCs w:val="16"/>
              </w:rPr>
            </w:pPr>
            <w:r>
              <w:rPr>
                <w:rFonts w:ascii="Verdana" w:hAnsi="Verdana"/>
                <w:sz w:val="16"/>
                <w:szCs w:val="16"/>
              </w:rPr>
              <w:t>Behoeft geen implementatie: bestaand recht in bijlage 6 Rtt</w:t>
            </w:r>
          </w:p>
        </w:tc>
        <w:tc>
          <w:tcPr>
            <w:tcW w:w="1274" w:type="dxa"/>
          </w:tcPr>
          <w:p w:rsidRPr="002C5EC5" w:rsidR="00CA30A2" w:rsidP="008549EB" w:rsidRDefault="00CA30A2" w14:paraId="3E23F9BF"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0530DC8C" w14:textId="77777777">
            <w:pPr>
              <w:rPr>
                <w:rFonts w:ascii="Verdana" w:hAnsi="Verdana"/>
                <w:sz w:val="16"/>
                <w:szCs w:val="16"/>
              </w:rPr>
            </w:pPr>
          </w:p>
        </w:tc>
      </w:tr>
      <w:tr w:rsidR="00CA30A2" w:rsidTr="00CA30A2" w14:paraId="15043451" w14:textId="77777777">
        <w:tc>
          <w:tcPr>
            <w:tcW w:w="1552" w:type="dxa"/>
          </w:tcPr>
          <w:p w:rsidR="00CA30A2" w:rsidP="008549EB" w:rsidRDefault="00334D7E" w14:paraId="3F7CCC37" w14:textId="37539346">
            <w:pPr>
              <w:rPr>
                <w:rFonts w:ascii="Verdana" w:hAnsi="Verdana"/>
                <w:sz w:val="16"/>
                <w:szCs w:val="16"/>
              </w:rPr>
            </w:pPr>
            <w:r>
              <w:rPr>
                <w:rFonts w:ascii="Verdana" w:hAnsi="Verdana"/>
                <w:sz w:val="16"/>
                <w:szCs w:val="16"/>
              </w:rPr>
              <w:t xml:space="preserve">1, lid </w:t>
            </w:r>
            <w:r w:rsidR="00CA30A2">
              <w:rPr>
                <w:rFonts w:ascii="Verdana" w:hAnsi="Verdana"/>
                <w:sz w:val="16"/>
                <w:szCs w:val="16"/>
              </w:rPr>
              <w:t>22, onderdeel b</w:t>
            </w:r>
          </w:p>
        </w:tc>
        <w:tc>
          <w:tcPr>
            <w:tcW w:w="1514" w:type="dxa"/>
          </w:tcPr>
          <w:p w:rsidRPr="002C5EC5" w:rsidR="00CA30A2" w:rsidP="008549EB" w:rsidRDefault="00CA30A2" w14:paraId="31B342E2" w14:textId="77777777">
            <w:pPr>
              <w:rPr>
                <w:rFonts w:ascii="Verdana" w:hAnsi="Verdana"/>
                <w:sz w:val="16"/>
                <w:szCs w:val="16"/>
              </w:rPr>
            </w:pPr>
            <w:r>
              <w:rPr>
                <w:rFonts w:ascii="Verdana" w:hAnsi="Verdana"/>
                <w:sz w:val="16"/>
                <w:szCs w:val="16"/>
              </w:rPr>
              <w:t>77, vierde lid</w:t>
            </w:r>
          </w:p>
        </w:tc>
        <w:tc>
          <w:tcPr>
            <w:tcW w:w="1625" w:type="dxa"/>
          </w:tcPr>
          <w:p w:rsidR="00CA30A2" w:rsidP="008549EB" w:rsidRDefault="00CA30A2" w14:paraId="451996F7"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b</w:t>
            </w:r>
            <w:r w:rsidRPr="002C5EC5">
              <w:rPr>
                <w:rFonts w:ascii="Verdana" w:hAnsi="Verdana"/>
                <w:sz w:val="16"/>
                <w:szCs w:val="16"/>
              </w:rPr>
              <w:t>epaling gericht tot EBA.</w:t>
            </w:r>
          </w:p>
        </w:tc>
        <w:tc>
          <w:tcPr>
            <w:tcW w:w="1274" w:type="dxa"/>
          </w:tcPr>
          <w:p w:rsidRPr="002C5EC5" w:rsidR="00CA30A2" w:rsidP="008549EB" w:rsidRDefault="00CA30A2" w14:paraId="01C16AC9"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742A4774" w14:textId="77777777">
            <w:pPr>
              <w:rPr>
                <w:rFonts w:ascii="Verdana" w:hAnsi="Verdana"/>
                <w:sz w:val="16"/>
                <w:szCs w:val="16"/>
              </w:rPr>
            </w:pPr>
          </w:p>
        </w:tc>
      </w:tr>
      <w:tr w:rsidR="00CA30A2" w:rsidTr="00CA30A2" w14:paraId="1E5D4377" w14:textId="77777777">
        <w:tc>
          <w:tcPr>
            <w:tcW w:w="1552" w:type="dxa"/>
          </w:tcPr>
          <w:p w:rsidR="00CA30A2" w:rsidP="008549EB" w:rsidRDefault="00334D7E" w14:paraId="5D57C5B1" w14:textId="5BC7FF27">
            <w:pPr>
              <w:rPr>
                <w:rFonts w:ascii="Verdana" w:hAnsi="Verdana"/>
                <w:sz w:val="16"/>
                <w:szCs w:val="16"/>
              </w:rPr>
            </w:pPr>
            <w:r>
              <w:rPr>
                <w:rFonts w:ascii="Verdana" w:hAnsi="Verdana"/>
                <w:sz w:val="16"/>
                <w:szCs w:val="16"/>
              </w:rPr>
              <w:t xml:space="preserve">1, lid </w:t>
            </w:r>
            <w:r w:rsidR="00CA30A2">
              <w:rPr>
                <w:rFonts w:ascii="Verdana" w:hAnsi="Verdana"/>
                <w:sz w:val="16"/>
                <w:szCs w:val="16"/>
              </w:rPr>
              <w:t>23, onderdeel a</w:t>
            </w:r>
          </w:p>
        </w:tc>
        <w:tc>
          <w:tcPr>
            <w:tcW w:w="1514" w:type="dxa"/>
          </w:tcPr>
          <w:p w:rsidR="00CA30A2" w:rsidP="008549EB" w:rsidRDefault="00CA30A2" w14:paraId="0B47EEF8" w14:textId="77777777">
            <w:pPr>
              <w:rPr>
                <w:rFonts w:ascii="Verdana" w:hAnsi="Verdana"/>
                <w:sz w:val="16"/>
                <w:szCs w:val="16"/>
              </w:rPr>
            </w:pPr>
            <w:r>
              <w:rPr>
                <w:rFonts w:ascii="Verdana" w:hAnsi="Verdana"/>
                <w:sz w:val="16"/>
                <w:szCs w:val="16"/>
              </w:rPr>
              <w:t>Titel artikel 78</w:t>
            </w:r>
          </w:p>
        </w:tc>
        <w:tc>
          <w:tcPr>
            <w:tcW w:w="1625" w:type="dxa"/>
          </w:tcPr>
          <w:p w:rsidRPr="002C5EC5" w:rsidR="00CA30A2" w:rsidP="008549EB" w:rsidRDefault="00CA30A2" w14:paraId="61A76780" w14:textId="77777777">
            <w:pPr>
              <w:spacing w:line="240" w:lineRule="atLeast"/>
              <w:rPr>
                <w:rFonts w:ascii="Verdana" w:hAnsi="Verdana"/>
                <w:sz w:val="16"/>
                <w:szCs w:val="16"/>
              </w:rPr>
            </w:pPr>
            <w:r>
              <w:rPr>
                <w:rFonts w:ascii="Verdana" w:hAnsi="Verdana"/>
                <w:sz w:val="16"/>
                <w:szCs w:val="16"/>
              </w:rPr>
              <w:t>Behoeft naar zijn aard geen implementatie</w:t>
            </w:r>
          </w:p>
        </w:tc>
        <w:tc>
          <w:tcPr>
            <w:tcW w:w="1274" w:type="dxa"/>
          </w:tcPr>
          <w:p w:rsidRPr="002C5EC5" w:rsidR="00CA30A2" w:rsidP="008549EB" w:rsidRDefault="00CA30A2" w14:paraId="6E3A774F"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53FFFB6C" w14:textId="77777777">
            <w:pPr>
              <w:rPr>
                <w:rFonts w:ascii="Verdana" w:hAnsi="Verdana"/>
                <w:sz w:val="16"/>
                <w:szCs w:val="16"/>
              </w:rPr>
            </w:pPr>
          </w:p>
        </w:tc>
      </w:tr>
      <w:tr w:rsidR="00CA30A2" w:rsidTr="00CA30A2" w14:paraId="3DFA59C8" w14:textId="77777777">
        <w:tc>
          <w:tcPr>
            <w:tcW w:w="1552" w:type="dxa"/>
          </w:tcPr>
          <w:p w:rsidRPr="00DD0008" w:rsidR="00CA30A2" w:rsidP="008549EB" w:rsidRDefault="00334D7E" w14:paraId="7AF1EEEA" w14:textId="1C1CADA8">
            <w:pPr>
              <w:rPr>
                <w:rFonts w:ascii="Verdana" w:hAnsi="Verdana"/>
                <w:sz w:val="16"/>
                <w:szCs w:val="16"/>
              </w:rPr>
            </w:pPr>
            <w:r>
              <w:rPr>
                <w:rFonts w:ascii="Verdana" w:hAnsi="Verdana"/>
                <w:sz w:val="16"/>
                <w:szCs w:val="16"/>
              </w:rPr>
              <w:t xml:space="preserve">1, lid </w:t>
            </w:r>
            <w:r w:rsidR="00CA30A2">
              <w:rPr>
                <w:rFonts w:ascii="Verdana" w:hAnsi="Verdana"/>
                <w:sz w:val="16"/>
                <w:szCs w:val="16"/>
              </w:rPr>
              <w:t>23, onderdeel b</w:t>
            </w:r>
          </w:p>
        </w:tc>
        <w:tc>
          <w:tcPr>
            <w:tcW w:w="1514" w:type="dxa"/>
          </w:tcPr>
          <w:p w:rsidRPr="002C5EC5" w:rsidR="00CA30A2" w:rsidP="008549EB" w:rsidRDefault="00CA30A2" w14:paraId="2E677A2D" w14:textId="77777777">
            <w:pPr>
              <w:rPr>
                <w:rFonts w:ascii="Verdana" w:hAnsi="Verdana"/>
                <w:sz w:val="16"/>
                <w:szCs w:val="16"/>
              </w:rPr>
            </w:pPr>
            <w:r w:rsidRPr="002C5EC5">
              <w:rPr>
                <w:rFonts w:ascii="Verdana" w:hAnsi="Verdana"/>
                <w:sz w:val="16"/>
                <w:szCs w:val="16"/>
              </w:rPr>
              <w:t>78, eerste lid</w:t>
            </w:r>
          </w:p>
        </w:tc>
        <w:tc>
          <w:tcPr>
            <w:tcW w:w="1625" w:type="dxa"/>
          </w:tcPr>
          <w:p w:rsidR="00CA30A2" w:rsidP="008549EB" w:rsidRDefault="00CA30A2" w14:paraId="52C6CADE"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Volgt uit artikel 430, eerste lid, onderdeel f, CRR.</w:t>
            </w:r>
          </w:p>
        </w:tc>
        <w:tc>
          <w:tcPr>
            <w:tcW w:w="1274" w:type="dxa"/>
          </w:tcPr>
          <w:p w:rsidRPr="002C5EC5" w:rsidR="00CA30A2" w:rsidP="008549EB" w:rsidRDefault="00CA30A2" w14:paraId="2F617B2B"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49BEF644" w14:textId="77777777">
            <w:pPr>
              <w:rPr>
                <w:rFonts w:ascii="Verdana" w:hAnsi="Verdana"/>
                <w:sz w:val="16"/>
                <w:szCs w:val="16"/>
              </w:rPr>
            </w:pPr>
          </w:p>
        </w:tc>
      </w:tr>
      <w:tr w:rsidR="00CA30A2" w:rsidTr="00CA30A2" w14:paraId="0B774F65" w14:textId="77777777">
        <w:tc>
          <w:tcPr>
            <w:tcW w:w="1552" w:type="dxa"/>
          </w:tcPr>
          <w:p w:rsidRPr="00DD0008" w:rsidR="00CA30A2" w:rsidP="008549EB" w:rsidRDefault="00334D7E" w14:paraId="485327A5" w14:textId="61D56B7E">
            <w:pPr>
              <w:rPr>
                <w:rFonts w:ascii="Verdana" w:hAnsi="Verdana"/>
                <w:sz w:val="16"/>
                <w:szCs w:val="16"/>
              </w:rPr>
            </w:pPr>
            <w:r>
              <w:rPr>
                <w:rFonts w:ascii="Verdana" w:hAnsi="Verdana"/>
                <w:sz w:val="16"/>
                <w:szCs w:val="16"/>
              </w:rPr>
              <w:t xml:space="preserve">1, lid </w:t>
            </w:r>
            <w:r w:rsidR="00CA30A2">
              <w:rPr>
                <w:rFonts w:ascii="Verdana" w:hAnsi="Verdana"/>
                <w:sz w:val="16"/>
                <w:szCs w:val="16"/>
              </w:rPr>
              <w:t>23, onderdeel c</w:t>
            </w:r>
          </w:p>
        </w:tc>
        <w:tc>
          <w:tcPr>
            <w:tcW w:w="1514" w:type="dxa"/>
          </w:tcPr>
          <w:p w:rsidRPr="002C5EC5" w:rsidR="00CA30A2" w:rsidP="008549EB" w:rsidRDefault="00CA30A2" w14:paraId="3924C48D" w14:textId="77777777">
            <w:pPr>
              <w:rPr>
                <w:rFonts w:ascii="Verdana" w:hAnsi="Verdana"/>
                <w:sz w:val="16"/>
                <w:szCs w:val="16"/>
              </w:rPr>
            </w:pPr>
            <w:r w:rsidRPr="002C5EC5">
              <w:rPr>
                <w:rFonts w:ascii="Verdana" w:hAnsi="Verdana"/>
                <w:sz w:val="16"/>
                <w:szCs w:val="16"/>
              </w:rPr>
              <w:t>78, derde lid</w:t>
            </w:r>
          </w:p>
        </w:tc>
        <w:tc>
          <w:tcPr>
            <w:tcW w:w="1625" w:type="dxa"/>
          </w:tcPr>
          <w:p w:rsidRPr="002C5EC5" w:rsidR="00CA30A2" w:rsidP="008549EB" w:rsidRDefault="00CA30A2" w14:paraId="5295265F" w14:textId="77777777">
            <w:pPr>
              <w:spacing w:line="240" w:lineRule="atLeast"/>
              <w:rPr>
                <w:rFonts w:ascii="Verdana" w:hAnsi="Verdana"/>
                <w:sz w:val="16"/>
                <w:szCs w:val="16"/>
              </w:rPr>
            </w:pPr>
            <w:r>
              <w:rPr>
                <w:rFonts w:ascii="Verdana" w:hAnsi="Verdana"/>
                <w:sz w:val="16"/>
                <w:szCs w:val="16"/>
              </w:rPr>
              <w:t>Volgt bij implementatieregeling</w:t>
            </w:r>
            <w:r w:rsidRPr="002C5EC5">
              <w:rPr>
                <w:rFonts w:ascii="Verdana" w:hAnsi="Verdana"/>
                <w:sz w:val="16"/>
                <w:szCs w:val="16"/>
              </w:rPr>
              <w:t xml:space="preserve"> </w:t>
            </w:r>
            <w:r>
              <w:rPr>
                <w:rFonts w:ascii="Verdana" w:hAnsi="Verdana"/>
                <w:sz w:val="16"/>
                <w:szCs w:val="16"/>
              </w:rPr>
              <w:t>(Bijlage 6 Rtt)</w:t>
            </w:r>
          </w:p>
        </w:tc>
        <w:tc>
          <w:tcPr>
            <w:tcW w:w="1274" w:type="dxa"/>
          </w:tcPr>
          <w:p w:rsidRPr="002C5EC5" w:rsidR="00CA30A2" w:rsidP="008549EB" w:rsidRDefault="00CA30A2" w14:paraId="3EEDD97D" w14:textId="77777777">
            <w:pPr>
              <w:rPr>
                <w:rFonts w:ascii="Verdana" w:hAnsi="Verdana"/>
                <w:sz w:val="16"/>
                <w:szCs w:val="16"/>
              </w:rPr>
            </w:pPr>
            <w:r>
              <w:rPr>
                <w:rFonts w:ascii="Verdana" w:hAnsi="Verdana"/>
                <w:sz w:val="16"/>
                <w:szCs w:val="16"/>
              </w:rPr>
              <w:t>Geen</w:t>
            </w:r>
          </w:p>
        </w:tc>
        <w:tc>
          <w:tcPr>
            <w:tcW w:w="1422" w:type="dxa"/>
          </w:tcPr>
          <w:p w:rsidRPr="002C5EC5" w:rsidR="00CA30A2" w:rsidP="008549EB" w:rsidRDefault="00CA30A2" w14:paraId="45BD551F" w14:textId="77777777">
            <w:pPr>
              <w:rPr>
                <w:rFonts w:ascii="Verdana" w:hAnsi="Verdana"/>
                <w:sz w:val="16"/>
                <w:szCs w:val="16"/>
              </w:rPr>
            </w:pPr>
          </w:p>
        </w:tc>
      </w:tr>
      <w:tr w:rsidR="00CA30A2" w:rsidTr="00CA30A2" w14:paraId="3D97C8BF" w14:textId="77777777">
        <w:tc>
          <w:tcPr>
            <w:tcW w:w="1552" w:type="dxa"/>
          </w:tcPr>
          <w:p w:rsidRPr="00DD0008" w:rsidR="00CA30A2" w:rsidP="008549EB" w:rsidRDefault="00334D7E" w14:paraId="7B2D93F4" w14:textId="02E20881">
            <w:pPr>
              <w:rPr>
                <w:rFonts w:ascii="Verdana" w:hAnsi="Verdana"/>
                <w:sz w:val="16"/>
                <w:szCs w:val="16"/>
              </w:rPr>
            </w:pPr>
            <w:r>
              <w:rPr>
                <w:rFonts w:ascii="Verdana" w:hAnsi="Verdana"/>
                <w:sz w:val="16"/>
                <w:szCs w:val="16"/>
              </w:rPr>
              <w:t xml:space="preserve">1, lid </w:t>
            </w:r>
            <w:r w:rsidR="00CA30A2">
              <w:rPr>
                <w:rFonts w:ascii="Verdana" w:hAnsi="Verdana"/>
                <w:sz w:val="16"/>
                <w:szCs w:val="16"/>
              </w:rPr>
              <w:t>23, onderdeel d</w:t>
            </w:r>
          </w:p>
        </w:tc>
        <w:tc>
          <w:tcPr>
            <w:tcW w:w="1514" w:type="dxa"/>
          </w:tcPr>
          <w:p w:rsidRPr="002C5EC5" w:rsidR="00CA30A2" w:rsidP="008549EB" w:rsidRDefault="00CA30A2" w14:paraId="1E91F5AC" w14:textId="77777777">
            <w:pPr>
              <w:rPr>
                <w:rFonts w:ascii="Verdana" w:hAnsi="Verdana"/>
                <w:sz w:val="16"/>
                <w:szCs w:val="16"/>
              </w:rPr>
            </w:pPr>
            <w:r w:rsidRPr="002C5EC5">
              <w:rPr>
                <w:rFonts w:ascii="Verdana" w:hAnsi="Verdana"/>
                <w:sz w:val="16"/>
                <w:szCs w:val="16"/>
              </w:rPr>
              <w:t>78, vijfde lid</w:t>
            </w:r>
          </w:p>
        </w:tc>
        <w:tc>
          <w:tcPr>
            <w:tcW w:w="1625" w:type="dxa"/>
          </w:tcPr>
          <w:p w:rsidR="00CA30A2" w:rsidP="008549EB" w:rsidRDefault="00CA30A2" w14:paraId="608A8F0A" w14:textId="77777777">
            <w:pPr>
              <w:spacing w:line="240" w:lineRule="atLeast"/>
              <w:rPr>
                <w:rFonts w:ascii="Verdana" w:hAnsi="Verdana"/>
                <w:sz w:val="16"/>
                <w:szCs w:val="16"/>
              </w:rPr>
            </w:pPr>
            <w:r w:rsidRPr="002C5EC5">
              <w:rPr>
                <w:rFonts w:ascii="Verdana" w:hAnsi="Verdana"/>
                <w:sz w:val="16"/>
                <w:szCs w:val="16"/>
              </w:rPr>
              <w:t>Behoeft geen implementati</w:t>
            </w:r>
            <w:r>
              <w:rPr>
                <w:rFonts w:ascii="Verdana" w:hAnsi="Verdana"/>
                <w:sz w:val="16"/>
                <w:szCs w:val="16"/>
              </w:rPr>
              <w:t xml:space="preserve">e: </w:t>
            </w:r>
            <w:r w:rsidRPr="002C5EC5">
              <w:rPr>
                <w:rFonts w:ascii="Verdana" w:hAnsi="Verdana"/>
                <w:sz w:val="16"/>
                <w:szCs w:val="16"/>
              </w:rPr>
              <w:t>Louter tekstuele aanpassing</w:t>
            </w:r>
          </w:p>
        </w:tc>
        <w:tc>
          <w:tcPr>
            <w:tcW w:w="1274" w:type="dxa"/>
          </w:tcPr>
          <w:p w:rsidR="00CA30A2" w:rsidP="008549EB" w:rsidRDefault="00CA30A2" w14:paraId="3E9E5E61" w14:textId="77777777">
            <w:pPr>
              <w:rPr>
                <w:rFonts w:ascii="Verdana" w:hAnsi="Verdana"/>
                <w:sz w:val="16"/>
                <w:szCs w:val="16"/>
              </w:rPr>
            </w:pPr>
            <w:r>
              <w:rPr>
                <w:rFonts w:ascii="Verdana" w:hAnsi="Verdana"/>
                <w:sz w:val="16"/>
                <w:szCs w:val="16"/>
              </w:rPr>
              <w:t>Geen</w:t>
            </w:r>
          </w:p>
        </w:tc>
        <w:tc>
          <w:tcPr>
            <w:tcW w:w="1422" w:type="dxa"/>
          </w:tcPr>
          <w:p w:rsidRPr="002C5EC5" w:rsidR="00CA30A2" w:rsidP="008549EB" w:rsidRDefault="00CA30A2" w14:paraId="5C9790B8" w14:textId="77777777">
            <w:pPr>
              <w:rPr>
                <w:rFonts w:ascii="Verdana" w:hAnsi="Verdana"/>
                <w:sz w:val="16"/>
                <w:szCs w:val="16"/>
              </w:rPr>
            </w:pPr>
          </w:p>
        </w:tc>
      </w:tr>
      <w:tr w:rsidR="00CA30A2" w:rsidTr="00CA30A2" w14:paraId="1A5B7ACA" w14:textId="77777777">
        <w:tc>
          <w:tcPr>
            <w:tcW w:w="1552" w:type="dxa"/>
          </w:tcPr>
          <w:p w:rsidRPr="00DD0008" w:rsidR="00CA30A2" w:rsidP="008549EB" w:rsidRDefault="00334D7E" w14:paraId="02FD226E" w14:textId="5FD004FE">
            <w:pPr>
              <w:rPr>
                <w:rFonts w:ascii="Verdana" w:hAnsi="Verdana"/>
                <w:sz w:val="16"/>
                <w:szCs w:val="16"/>
              </w:rPr>
            </w:pPr>
            <w:r>
              <w:rPr>
                <w:rFonts w:ascii="Verdana" w:hAnsi="Verdana"/>
                <w:sz w:val="16"/>
                <w:szCs w:val="16"/>
              </w:rPr>
              <w:t xml:space="preserve">1, lid </w:t>
            </w:r>
            <w:r w:rsidR="00CA30A2">
              <w:rPr>
                <w:rFonts w:ascii="Verdana" w:hAnsi="Verdana"/>
                <w:sz w:val="16"/>
                <w:szCs w:val="16"/>
              </w:rPr>
              <w:t>23, onderdelen e en f</w:t>
            </w:r>
          </w:p>
        </w:tc>
        <w:tc>
          <w:tcPr>
            <w:tcW w:w="1514" w:type="dxa"/>
          </w:tcPr>
          <w:p w:rsidRPr="002C5EC5" w:rsidR="00CA30A2" w:rsidP="008549EB" w:rsidRDefault="00CA30A2" w14:paraId="441E7DAC" w14:textId="77777777">
            <w:pPr>
              <w:rPr>
                <w:rFonts w:ascii="Verdana" w:hAnsi="Verdana"/>
                <w:sz w:val="16"/>
                <w:szCs w:val="16"/>
              </w:rPr>
            </w:pPr>
            <w:r w:rsidRPr="002C5EC5">
              <w:rPr>
                <w:rFonts w:ascii="Verdana" w:hAnsi="Verdana"/>
                <w:sz w:val="16"/>
                <w:szCs w:val="16"/>
              </w:rPr>
              <w:t>78, zesde en achtste lid</w:t>
            </w:r>
          </w:p>
        </w:tc>
        <w:tc>
          <w:tcPr>
            <w:tcW w:w="1625" w:type="dxa"/>
          </w:tcPr>
          <w:p w:rsidRPr="002C5EC5" w:rsidR="00CA30A2" w:rsidP="008549EB" w:rsidRDefault="00CA30A2" w14:paraId="60C813AA"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b</w:t>
            </w:r>
            <w:r w:rsidRPr="002C5EC5">
              <w:rPr>
                <w:rFonts w:ascii="Verdana" w:hAnsi="Verdana"/>
                <w:sz w:val="16"/>
                <w:szCs w:val="16"/>
              </w:rPr>
              <w:t>epaling gericht tot EBA.</w:t>
            </w:r>
          </w:p>
        </w:tc>
        <w:tc>
          <w:tcPr>
            <w:tcW w:w="1274" w:type="dxa"/>
          </w:tcPr>
          <w:p w:rsidR="00CA30A2" w:rsidP="008549EB" w:rsidRDefault="00CA30A2" w14:paraId="76A74BFA"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0B1AB341" w14:textId="77777777">
            <w:pPr>
              <w:rPr>
                <w:rFonts w:ascii="Verdana" w:hAnsi="Verdana"/>
                <w:sz w:val="16"/>
                <w:szCs w:val="16"/>
              </w:rPr>
            </w:pPr>
          </w:p>
        </w:tc>
      </w:tr>
      <w:tr w:rsidR="00CA30A2" w:rsidTr="00CA30A2" w14:paraId="1732780E" w14:textId="77777777">
        <w:tc>
          <w:tcPr>
            <w:tcW w:w="1552" w:type="dxa"/>
          </w:tcPr>
          <w:p w:rsidRPr="00DD0008" w:rsidR="00CA30A2" w:rsidP="008549EB" w:rsidRDefault="00334D7E" w14:paraId="4282575F" w14:textId="76251037">
            <w:pPr>
              <w:rPr>
                <w:rFonts w:ascii="Verdana" w:hAnsi="Verdana"/>
                <w:sz w:val="16"/>
                <w:szCs w:val="16"/>
              </w:rPr>
            </w:pPr>
            <w:r>
              <w:rPr>
                <w:rFonts w:ascii="Verdana" w:hAnsi="Verdana"/>
                <w:sz w:val="16"/>
                <w:szCs w:val="16"/>
              </w:rPr>
              <w:t xml:space="preserve">1, lid </w:t>
            </w:r>
            <w:r w:rsidR="00CA30A2">
              <w:rPr>
                <w:rFonts w:ascii="Verdana" w:hAnsi="Verdana"/>
                <w:sz w:val="16"/>
                <w:szCs w:val="16"/>
              </w:rPr>
              <w:t>24</w:t>
            </w:r>
          </w:p>
        </w:tc>
        <w:tc>
          <w:tcPr>
            <w:tcW w:w="1514" w:type="dxa"/>
          </w:tcPr>
          <w:p w:rsidRPr="002C5EC5" w:rsidR="00CA30A2" w:rsidP="008549EB" w:rsidRDefault="00CA30A2" w14:paraId="1D5EB600" w14:textId="77777777">
            <w:pPr>
              <w:rPr>
                <w:rFonts w:ascii="Verdana" w:hAnsi="Verdana"/>
                <w:sz w:val="16"/>
                <w:szCs w:val="16"/>
              </w:rPr>
            </w:pPr>
            <w:r w:rsidRPr="002C5EC5">
              <w:rPr>
                <w:rFonts w:ascii="Verdana" w:hAnsi="Verdana"/>
                <w:sz w:val="16"/>
                <w:szCs w:val="16"/>
              </w:rPr>
              <w:t>79, eerste lid</w:t>
            </w:r>
          </w:p>
        </w:tc>
        <w:tc>
          <w:tcPr>
            <w:tcW w:w="1625" w:type="dxa"/>
          </w:tcPr>
          <w:p w:rsidRPr="002C5EC5" w:rsidR="00CA30A2" w:rsidP="008549EB" w:rsidRDefault="00CA30A2" w14:paraId="5578D359"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d</w:t>
            </w:r>
            <w:r w:rsidRPr="002C5EC5">
              <w:rPr>
                <w:rFonts w:ascii="Verdana" w:hAnsi="Verdana"/>
                <w:sz w:val="16"/>
                <w:szCs w:val="16"/>
              </w:rPr>
              <w:t xml:space="preserve">ynamische verwijzing </w:t>
            </w:r>
            <w:r>
              <w:rPr>
                <w:rFonts w:ascii="Verdana" w:hAnsi="Verdana"/>
                <w:sz w:val="16"/>
                <w:szCs w:val="16"/>
              </w:rPr>
              <w:t>naar artikel 79 CRD in</w:t>
            </w:r>
            <w:r w:rsidRPr="002C5EC5">
              <w:rPr>
                <w:rFonts w:ascii="Verdana" w:hAnsi="Verdana"/>
                <w:sz w:val="16"/>
                <w:szCs w:val="16"/>
              </w:rPr>
              <w:t xml:space="preserve"> 23a Bpr</w:t>
            </w:r>
          </w:p>
        </w:tc>
        <w:tc>
          <w:tcPr>
            <w:tcW w:w="1274" w:type="dxa"/>
          </w:tcPr>
          <w:p w:rsidRPr="002C5EC5" w:rsidR="00CA30A2" w:rsidP="008549EB" w:rsidRDefault="00CA30A2" w14:paraId="1750E3C3"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153E6EEF" w14:textId="77777777">
            <w:pPr>
              <w:rPr>
                <w:rFonts w:ascii="Verdana" w:hAnsi="Verdana"/>
                <w:sz w:val="16"/>
                <w:szCs w:val="16"/>
              </w:rPr>
            </w:pPr>
          </w:p>
        </w:tc>
      </w:tr>
      <w:tr w:rsidR="00CA30A2" w:rsidTr="00CA30A2" w14:paraId="6CB20521" w14:textId="77777777">
        <w:tc>
          <w:tcPr>
            <w:tcW w:w="1552" w:type="dxa"/>
          </w:tcPr>
          <w:p w:rsidRPr="00DD0008" w:rsidR="00CA30A2" w:rsidP="008549EB" w:rsidRDefault="00334D7E" w14:paraId="06347187" w14:textId="77122F60">
            <w:pPr>
              <w:rPr>
                <w:rFonts w:ascii="Verdana" w:hAnsi="Verdana"/>
                <w:sz w:val="16"/>
                <w:szCs w:val="16"/>
              </w:rPr>
            </w:pPr>
            <w:r>
              <w:rPr>
                <w:rFonts w:ascii="Verdana" w:hAnsi="Verdana"/>
                <w:sz w:val="16"/>
                <w:szCs w:val="16"/>
              </w:rPr>
              <w:t xml:space="preserve">1, lid </w:t>
            </w:r>
            <w:r w:rsidR="00CA30A2">
              <w:rPr>
                <w:rFonts w:ascii="Verdana" w:hAnsi="Verdana"/>
                <w:sz w:val="16"/>
                <w:szCs w:val="16"/>
              </w:rPr>
              <w:t>25</w:t>
            </w:r>
          </w:p>
        </w:tc>
        <w:tc>
          <w:tcPr>
            <w:tcW w:w="1514" w:type="dxa"/>
          </w:tcPr>
          <w:p w:rsidRPr="002C5EC5" w:rsidR="00CA30A2" w:rsidP="008549EB" w:rsidRDefault="00CA30A2" w14:paraId="24F4039D" w14:textId="77777777">
            <w:pPr>
              <w:rPr>
                <w:rFonts w:ascii="Verdana" w:hAnsi="Verdana"/>
                <w:sz w:val="16"/>
                <w:szCs w:val="16"/>
              </w:rPr>
            </w:pPr>
            <w:r w:rsidRPr="002C5EC5">
              <w:rPr>
                <w:rFonts w:ascii="Verdana" w:hAnsi="Verdana"/>
                <w:sz w:val="16"/>
                <w:szCs w:val="16"/>
              </w:rPr>
              <w:t>81</w:t>
            </w:r>
          </w:p>
        </w:tc>
        <w:tc>
          <w:tcPr>
            <w:tcW w:w="1625" w:type="dxa"/>
          </w:tcPr>
          <w:p w:rsidRPr="002C5EC5" w:rsidR="00CA30A2" w:rsidP="008549EB" w:rsidRDefault="00CA30A2" w14:paraId="403B6105"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d</w:t>
            </w:r>
            <w:r w:rsidRPr="002C5EC5">
              <w:rPr>
                <w:rFonts w:ascii="Verdana" w:hAnsi="Verdana"/>
                <w:sz w:val="16"/>
                <w:szCs w:val="16"/>
              </w:rPr>
              <w:t xml:space="preserve">ynamische verwijzing </w:t>
            </w:r>
            <w:r>
              <w:rPr>
                <w:rFonts w:ascii="Verdana" w:hAnsi="Verdana"/>
                <w:sz w:val="16"/>
                <w:szCs w:val="16"/>
              </w:rPr>
              <w:t xml:space="preserve">naar artikel 81 CRD in </w:t>
            </w:r>
            <w:r w:rsidRPr="002C5EC5">
              <w:rPr>
                <w:rFonts w:ascii="Verdana" w:hAnsi="Verdana"/>
                <w:sz w:val="16"/>
                <w:szCs w:val="16"/>
              </w:rPr>
              <w:t xml:space="preserve">23a Bpr </w:t>
            </w:r>
          </w:p>
        </w:tc>
        <w:tc>
          <w:tcPr>
            <w:tcW w:w="1274" w:type="dxa"/>
          </w:tcPr>
          <w:p w:rsidRPr="002C5EC5" w:rsidR="00CA30A2" w:rsidP="008549EB" w:rsidRDefault="00CA30A2" w14:paraId="4105E57E"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1A41E319" w14:textId="77777777">
            <w:pPr>
              <w:rPr>
                <w:rFonts w:ascii="Verdana" w:hAnsi="Verdana"/>
                <w:sz w:val="16"/>
                <w:szCs w:val="16"/>
              </w:rPr>
            </w:pPr>
          </w:p>
        </w:tc>
      </w:tr>
      <w:tr w:rsidR="00CA30A2" w:rsidTr="00CA30A2" w14:paraId="1D57EECB" w14:textId="77777777">
        <w:tc>
          <w:tcPr>
            <w:tcW w:w="1552" w:type="dxa"/>
          </w:tcPr>
          <w:p w:rsidRPr="00DD0008" w:rsidR="00CA30A2" w:rsidP="008549EB" w:rsidRDefault="00334D7E" w14:paraId="047BB508" w14:textId="2A9379D8">
            <w:pPr>
              <w:rPr>
                <w:rFonts w:ascii="Verdana" w:hAnsi="Verdana"/>
                <w:sz w:val="16"/>
                <w:szCs w:val="16"/>
              </w:rPr>
            </w:pPr>
            <w:r>
              <w:rPr>
                <w:rFonts w:ascii="Verdana" w:hAnsi="Verdana"/>
                <w:sz w:val="16"/>
                <w:szCs w:val="16"/>
              </w:rPr>
              <w:t xml:space="preserve">1, lid </w:t>
            </w:r>
            <w:r w:rsidR="00CA30A2">
              <w:rPr>
                <w:rFonts w:ascii="Verdana" w:hAnsi="Verdana"/>
                <w:sz w:val="16"/>
                <w:szCs w:val="16"/>
              </w:rPr>
              <w:t>26</w:t>
            </w:r>
          </w:p>
        </w:tc>
        <w:tc>
          <w:tcPr>
            <w:tcW w:w="1514" w:type="dxa"/>
          </w:tcPr>
          <w:p w:rsidRPr="002C5EC5" w:rsidR="00CA30A2" w:rsidP="008549EB" w:rsidRDefault="00CA30A2" w14:paraId="18DCB911" w14:textId="77777777">
            <w:pPr>
              <w:rPr>
                <w:rFonts w:ascii="Verdana" w:hAnsi="Verdana"/>
                <w:sz w:val="16"/>
                <w:szCs w:val="16"/>
              </w:rPr>
            </w:pPr>
            <w:r w:rsidRPr="002C5EC5">
              <w:rPr>
                <w:rFonts w:ascii="Verdana" w:hAnsi="Verdana"/>
                <w:sz w:val="16"/>
                <w:szCs w:val="16"/>
              </w:rPr>
              <w:t>83, vierde lid</w:t>
            </w:r>
          </w:p>
        </w:tc>
        <w:tc>
          <w:tcPr>
            <w:tcW w:w="1625" w:type="dxa"/>
          </w:tcPr>
          <w:p w:rsidRPr="002C5EC5" w:rsidR="00CA30A2" w:rsidP="008549EB" w:rsidRDefault="00CA30A2" w14:paraId="66B48DC0"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d</w:t>
            </w:r>
            <w:r w:rsidRPr="002C5EC5">
              <w:rPr>
                <w:rFonts w:ascii="Verdana" w:hAnsi="Verdana"/>
                <w:sz w:val="16"/>
                <w:szCs w:val="16"/>
              </w:rPr>
              <w:t>ynamische verwijzing</w:t>
            </w:r>
            <w:r>
              <w:rPr>
                <w:rFonts w:ascii="Verdana" w:hAnsi="Verdana"/>
                <w:sz w:val="16"/>
                <w:szCs w:val="16"/>
              </w:rPr>
              <w:t xml:space="preserve"> naar artikel 83 CRD</w:t>
            </w:r>
            <w:r w:rsidRPr="002C5EC5">
              <w:rPr>
                <w:rFonts w:ascii="Verdana" w:hAnsi="Verdana"/>
                <w:sz w:val="16"/>
                <w:szCs w:val="16"/>
              </w:rPr>
              <w:t xml:space="preserve"> in 23a Bpr</w:t>
            </w:r>
          </w:p>
        </w:tc>
        <w:tc>
          <w:tcPr>
            <w:tcW w:w="1274" w:type="dxa"/>
          </w:tcPr>
          <w:p w:rsidRPr="002C5EC5" w:rsidR="00CA30A2" w:rsidP="008549EB" w:rsidRDefault="00CA30A2" w14:paraId="37AEF104"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4D61005E" w14:textId="77777777">
            <w:pPr>
              <w:rPr>
                <w:rFonts w:ascii="Verdana" w:hAnsi="Verdana"/>
                <w:sz w:val="16"/>
                <w:szCs w:val="16"/>
              </w:rPr>
            </w:pPr>
          </w:p>
        </w:tc>
      </w:tr>
      <w:tr w:rsidR="00CA30A2" w:rsidTr="00CA30A2" w14:paraId="158C057C" w14:textId="77777777">
        <w:tc>
          <w:tcPr>
            <w:tcW w:w="1552" w:type="dxa"/>
          </w:tcPr>
          <w:p w:rsidRPr="00DD0008" w:rsidR="00CA30A2" w:rsidP="008549EB" w:rsidRDefault="00334D7E" w14:paraId="517090A7" w14:textId="375C2B02">
            <w:pPr>
              <w:rPr>
                <w:rFonts w:ascii="Verdana" w:hAnsi="Verdana"/>
                <w:sz w:val="16"/>
                <w:szCs w:val="16"/>
              </w:rPr>
            </w:pPr>
            <w:r>
              <w:rPr>
                <w:rFonts w:ascii="Verdana" w:hAnsi="Verdana"/>
                <w:sz w:val="16"/>
                <w:szCs w:val="16"/>
              </w:rPr>
              <w:t xml:space="preserve">1, lid </w:t>
            </w:r>
            <w:r w:rsidR="00CA30A2">
              <w:rPr>
                <w:rFonts w:ascii="Verdana" w:hAnsi="Verdana"/>
                <w:sz w:val="16"/>
                <w:szCs w:val="16"/>
              </w:rPr>
              <w:t>27</w:t>
            </w:r>
          </w:p>
        </w:tc>
        <w:tc>
          <w:tcPr>
            <w:tcW w:w="1514" w:type="dxa"/>
          </w:tcPr>
          <w:p w:rsidRPr="002C5EC5" w:rsidR="00CA30A2" w:rsidP="008549EB" w:rsidRDefault="00CA30A2" w14:paraId="666A2544" w14:textId="77777777">
            <w:pPr>
              <w:rPr>
                <w:rFonts w:ascii="Verdana" w:hAnsi="Verdana"/>
                <w:sz w:val="16"/>
                <w:szCs w:val="16"/>
              </w:rPr>
            </w:pPr>
            <w:r w:rsidRPr="002C5EC5">
              <w:rPr>
                <w:rFonts w:ascii="Verdana" w:hAnsi="Verdana"/>
                <w:sz w:val="16"/>
                <w:szCs w:val="16"/>
              </w:rPr>
              <w:t>85</w:t>
            </w:r>
          </w:p>
        </w:tc>
        <w:tc>
          <w:tcPr>
            <w:tcW w:w="1625" w:type="dxa"/>
          </w:tcPr>
          <w:p w:rsidRPr="002C5EC5" w:rsidR="00CA30A2" w:rsidP="008549EB" w:rsidRDefault="00CA30A2" w14:paraId="1124904D"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d</w:t>
            </w:r>
            <w:r w:rsidRPr="002C5EC5">
              <w:rPr>
                <w:rFonts w:ascii="Verdana" w:hAnsi="Verdana"/>
                <w:sz w:val="16"/>
                <w:szCs w:val="16"/>
              </w:rPr>
              <w:t>ynamische verwijzing</w:t>
            </w:r>
            <w:r>
              <w:rPr>
                <w:rFonts w:ascii="Verdana" w:hAnsi="Verdana"/>
                <w:sz w:val="16"/>
                <w:szCs w:val="16"/>
              </w:rPr>
              <w:t xml:space="preserve"> naar artikel 85 CRD</w:t>
            </w:r>
            <w:r w:rsidRPr="002C5EC5">
              <w:rPr>
                <w:rFonts w:ascii="Verdana" w:hAnsi="Verdana"/>
                <w:sz w:val="16"/>
                <w:szCs w:val="16"/>
              </w:rPr>
              <w:t xml:space="preserve"> in 23a Bpr</w:t>
            </w:r>
          </w:p>
        </w:tc>
        <w:tc>
          <w:tcPr>
            <w:tcW w:w="1274" w:type="dxa"/>
          </w:tcPr>
          <w:p w:rsidRPr="002C5EC5" w:rsidR="00CA30A2" w:rsidP="008549EB" w:rsidRDefault="00CA30A2" w14:paraId="42C09158"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7094BFB9" w14:textId="77777777">
            <w:pPr>
              <w:rPr>
                <w:rFonts w:ascii="Verdana" w:hAnsi="Verdana"/>
                <w:sz w:val="16"/>
                <w:szCs w:val="16"/>
              </w:rPr>
            </w:pPr>
          </w:p>
        </w:tc>
      </w:tr>
      <w:tr w:rsidR="00CA30A2" w:rsidTr="00CA30A2" w14:paraId="35BCB225" w14:textId="77777777">
        <w:tc>
          <w:tcPr>
            <w:tcW w:w="1552" w:type="dxa"/>
          </w:tcPr>
          <w:p w:rsidRPr="00DD0008" w:rsidR="00CA30A2" w:rsidP="008549EB" w:rsidRDefault="00334D7E" w14:paraId="37BB2177" w14:textId="05C13751">
            <w:pPr>
              <w:rPr>
                <w:rFonts w:ascii="Verdana" w:hAnsi="Verdana"/>
                <w:sz w:val="16"/>
                <w:szCs w:val="16"/>
              </w:rPr>
            </w:pPr>
            <w:r>
              <w:rPr>
                <w:rFonts w:ascii="Verdana" w:hAnsi="Verdana"/>
                <w:sz w:val="16"/>
                <w:szCs w:val="16"/>
              </w:rPr>
              <w:t xml:space="preserve">1, lid </w:t>
            </w:r>
            <w:r w:rsidR="00CA30A2">
              <w:rPr>
                <w:rFonts w:ascii="Verdana" w:hAnsi="Verdana"/>
                <w:sz w:val="16"/>
                <w:szCs w:val="16"/>
              </w:rPr>
              <w:t>28</w:t>
            </w:r>
          </w:p>
        </w:tc>
        <w:tc>
          <w:tcPr>
            <w:tcW w:w="1514" w:type="dxa"/>
          </w:tcPr>
          <w:p w:rsidRPr="002C5EC5" w:rsidR="00CA30A2" w:rsidP="008549EB" w:rsidRDefault="00CA30A2" w14:paraId="20FFADA5" w14:textId="77777777">
            <w:pPr>
              <w:rPr>
                <w:rFonts w:ascii="Verdana" w:hAnsi="Verdana"/>
                <w:sz w:val="16"/>
                <w:szCs w:val="16"/>
              </w:rPr>
            </w:pPr>
            <w:r w:rsidRPr="002C5EC5">
              <w:rPr>
                <w:rFonts w:ascii="Verdana" w:hAnsi="Verdana"/>
                <w:sz w:val="16"/>
                <w:szCs w:val="16"/>
              </w:rPr>
              <w:t xml:space="preserve">87 bis, eerste tot en met derde lid </w:t>
            </w:r>
          </w:p>
        </w:tc>
        <w:tc>
          <w:tcPr>
            <w:tcW w:w="1625" w:type="dxa"/>
          </w:tcPr>
          <w:p w:rsidRPr="002C5EC5" w:rsidR="00CA30A2" w:rsidP="008549EB" w:rsidRDefault="00CA30A2" w14:paraId="0BB55D80" w14:textId="77777777">
            <w:pPr>
              <w:spacing w:line="240" w:lineRule="atLeast"/>
              <w:rPr>
                <w:rFonts w:ascii="Verdana" w:hAnsi="Verdana"/>
                <w:sz w:val="16"/>
                <w:szCs w:val="16"/>
              </w:rPr>
            </w:pPr>
            <w:r>
              <w:rPr>
                <w:rFonts w:ascii="Verdana" w:hAnsi="Verdana"/>
                <w:sz w:val="16"/>
                <w:szCs w:val="16"/>
              </w:rPr>
              <w:t>Volgt bij implementatiebesluit (</w:t>
            </w:r>
            <w:r w:rsidRPr="002C5EC5">
              <w:rPr>
                <w:rFonts w:ascii="Verdana" w:hAnsi="Verdana"/>
                <w:sz w:val="16"/>
                <w:szCs w:val="16"/>
              </w:rPr>
              <w:t>23a, onderdeel a, Bpr</w:t>
            </w:r>
            <w:r>
              <w:rPr>
                <w:rFonts w:ascii="Verdana" w:hAnsi="Verdana"/>
                <w:sz w:val="16"/>
                <w:szCs w:val="16"/>
              </w:rPr>
              <w:t>)</w:t>
            </w:r>
          </w:p>
        </w:tc>
        <w:tc>
          <w:tcPr>
            <w:tcW w:w="1274" w:type="dxa"/>
          </w:tcPr>
          <w:p w:rsidRPr="002C5EC5" w:rsidR="00CA30A2" w:rsidP="008549EB" w:rsidRDefault="00CA30A2" w14:paraId="47D0A0B6"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29B23C36" w14:textId="77777777">
            <w:pPr>
              <w:rPr>
                <w:rFonts w:ascii="Verdana" w:hAnsi="Verdana"/>
                <w:sz w:val="16"/>
                <w:szCs w:val="16"/>
              </w:rPr>
            </w:pPr>
          </w:p>
        </w:tc>
      </w:tr>
      <w:tr w:rsidR="00CA30A2" w:rsidTr="00CA30A2" w14:paraId="4402AB3D" w14:textId="77777777">
        <w:tc>
          <w:tcPr>
            <w:tcW w:w="1552" w:type="dxa"/>
          </w:tcPr>
          <w:p w:rsidRPr="00DD0008" w:rsidR="00CA30A2" w:rsidP="008549EB" w:rsidRDefault="00334D7E" w14:paraId="230AF6B5" w14:textId="6CFF199F">
            <w:pPr>
              <w:rPr>
                <w:rFonts w:ascii="Verdana" w:hAnsi="Verdana"/>
                <w:sz w:val="16"/>
                <w:szCs w:val="16"/>
              </w:rPr>
            </w:pPr>
            <w:r>
              <w:rPr>
                <w:rFonts w:ascii="Verdana" w:hAnsi="Verdana"/>
                <w:sz w:val="16"/>
                <w:szCs w:val="16"/>
              </w:rPr>
              <w:t xml:space="preserve">1, lid </w:t>
            </w:r>
            <w:r w:rsidR="00CA30A2">
              <w:rPr>
                <w:rFonts w:ascii="Verdana" w:hAnsi="Verdana"/>
                <w:sz w:val="16"/>
                <w:szCs w:val="16"/>
              </w:rPr>
              <w:t>28</w:t>
            </w:r>
          </w:p>
        </w:tc>
        <w:tc>
          <w:tcPr>
            <w:tcW w:w="1514" w:type="dxa"/>
          </w:tcPr>
          <w:p w:rsidRPr="002C5EC5" w:rsidR="00CA30A2" w:rsidP="008549EB" w:rsidRDefault="00CA30A2" w14:paraId="76A7393E" w14:textId="77777777">
            <w:pPr>
              <w:rPr>
                <w:rFonts w:ascii="Verdana" w:hAnsi="Verdana"/>
                <w:sz w:val="16"/>
                <w:szCs w:val="16"/>
              </w:rPr>
            </w:pPr>
            <w:r w:rsidRPr="002C5EC5">
              <w:rPr>
                <w:rFonts w:ascii="Verdana" w:hAnsi="Verdana"/>
                <w:sz w:val="16"/>
                <w:szCs w:val="16"/>
              </w:rPr>
              <w:t>87 bis, vierde lid</w:t>
            </w:r>
          </w:p>
        </w:tc>
        <w:tc>
          <w:tcPr>
            <w:tcW w:w="1625" w:type="dxa"/>
          </w:tcPr>
          <w:p w:rsidR="00CA30A2" w:rsidP="008549EB" w:rsidRDefault="00CA30A2" w14:paraId="084C0845" w14:textId="77777777">
            <w:pPr>
              <w:spacing w:line="240" w:lineRule="atLeast"/>
              <w:rPr>
                <w:rFonts w:ascii="Verdana" w:hAnsi="Verdana"/>
                <w:sz w:val="16"/>
                <w:szCs w:val="16"/>
              </w:rPr>
            </w:pPr>
            <w:r>
              <w:rPr>
                <w:rFonts w:ascii="Verdana" w:hAnsi="Verdana"/>
                <w:sz w:val="16"/>
                <w:szCs w:val="16"/>
              </w:rPr>
              <w:t>Volgt bij implementatieregeling</w:t>
            </w:r>
            <w:r w:rsidRPr="002C5EC5">
              <w:rPr>
                <w:rFonts w:ascii="Verdana" w:hAnsi="Verdana"/>
                <w:sz w:val="16"/>
                <w:szCs w:val="16"/>
              </w:rPr>
              <w:t xml:space="preserve"> </w:t>
            </w:r>
            <w:r>
              <w:rPr>
                <w:rFonts w:ascii="Verdana" w:hAnsi="Verdana"/>
                <w:sz w:val="16"/>
                <w:szCs w:val="16"/>
              </w:rPr>
              <w:t>(Bijlage 6 Rtt)</w:t>
            </w:r>
          </w:p>
        </w:tc>
        <w:tc>
          <w:tcPr>
            <w:tcW w:w="1274" w:type="dxa"/>
          </w:tcPr>
          <w:p w:rsidRPr="002C5EC5" w:rsidR="00CA30A2" w:rsidP="008549EB" w:rsidRDefault="00CA30A2" w14:paraId="67E60592"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7E70AF51" w14:textId="77777777">
            <w:pPr>
              <w:rPr>
                <w:rFonts w:ascii="Verdana" w:hAnsi="Verdana"/>
                <w:sz w:val="16"/>
                <w:szCs w:val="16"/>
              </w:rPr>
            </w:pPr>
          </w:p>
        </w:tc>
      </w:tr>
      <w:tr w:rsidR="00CA30A2" w:rsidTr="00CA30A2" w14:paraId="6632D965" w14:textId="77777777">
        <w:tc>
          <w:tcPr>
            <w:tcW w:w="1552" w:type="dxa"/>
          </w:tcPr>
          <w:p w:rsidRPr="00DD0008" w:rsidR="00CA30A2" w:rsidP="008549EB" w:rsidRDefault="00334D7E" w14:paraId="357023E5" w14:textId="67214FA2">
            <w:pPr>
              <w:rPr>
                <w:rFonts w:ascii="Verdana" w:hAnsi="Verdana"/>
                <w:sz w:val="16"/>
                <w:szCs w:val="16"/>
              </w:rPr>
            </w:pPr>
            <w:r>
              <w:rPr>
                <w:rFonts w:ascii="Verdana" w:hAnsi="Verdana"/>
                <w:sz w:val="16"/>
                <w:szCs w:val="16"/>
              </w:rPr>
              <w:t xml:space="preserve">1, lid </w:t>
            </w:r>
            <w:r w:rsidR="00CA30A2">
              <w:rPr>
                <w:rFonts w:ascii="Verdana" w:hAnsi="Verdana"/>
                <w:sz w:val="16"/>
                <w:szCs w:val="16"/>
              </w:rPr>
              <w:t>28</w:t>
            </w:r>
          </w:p>
        </w:tc>
        <w:tc>
          <w:tcPr>
            <w:tcW w:w="1514" w:type="dxa"/>
          </w:tcPr>
          <w:p w:rsidRPr="002C5EC5" w:rsidR="00CA30A2" w:rsidP="008549EB" w:rsidRDefault="00CA30A2" w14:paraId="2A1DCEC7" w14:textId="77777777">
            <w:pPr>
              <w:rPr>
                <w:rFonts w:ascii="Verdana" w:hAnsi="Verdana"/>
                <w:sz w:val="16"/>
                <w:szCs w:val="16"/>
              </w:rPr>
            </w:pPr>
            <w:r w:rsidRPr="002C5EC5">
              <w:rPr>
                <w:rFonts w:ascii="Verdana" w:hAnsi="Verdana"/>
                <w:sz w:val="16"/>
                <w:szCs w:val="16"/>
              </w:rPr>
              <w:t>87 bis, vijfde lid</w:t>
            </w:r>
          </w:p>
        </w:tc>
        <w:tc>
          <w:tcPr>
            <w:tcW w:w="1625" w:type="dxa"/>
          </w:tcPr>
          <w:p w:rsidR="00CA30A2" w:rsidP="008549EB" w:rsidRDefault="00CA30A2" w14:paraId="54925FD0" w14:textId="77777777">
            <w:pPr>
              <w:spacing w:line="240" w:lineRule="atLeast"/>
              <w:rPr>
                <w:rFonts w:ascii="Verdana" w:hAnsi="Verdana"/>
                <w:sz w:val="16"/>
                <w:szCs w:val="16"/>
              </w:rPr>
            </w:pPr>
            <w:r w:rsidRPr="002C5EC5">
              <w:rPr>
                <w:rFonts w:ascii="Verdana" w:hAnsi="Verdana"/>
                <w:sz w:val="16"/>
                <w:szCs w:val="16"/>
              </w:rPr>
              <w:t xml:space="preserve">Behoeft </w:t>
            </w:r>
            <w:r>
              <w:rPr>
                <w:rFonts w:ascii="Verdana" w:hAnsi="Verdana"/>
                <w:sz w:val="16"/>
                <w:szCs w:val="16"/>
              </w:rPr>
              <w:t xml:space="preserve">naar zijn aard </w:t>
            </w:r>
            <w:r w:rsidRPr="002C5EC5">
              <w:rPr>
                <w:rFonts w:ascii="Verdana" w:hAnsi="Verdana"/>
                <w:sz w:val="16"/>
                <w:szCs w:val="16"/>
              </w:rPr>
              <w:t>geen implementatie</w:t>
            </w:r>
            <w:r>
              <w:rPr>
                <w:rFonts w:ascii="Verdana" w:hAnsi="Verdana"/>
                <w:sz w:val="16"/>
                <w:szCs w:val="16"/>
              </w:rPr>
              <w:t>:</w:t>
            </w:r>
            <w:r w:rsidRPr="002C5EC5">
              <w:rPr>
                <w:rFonts w:ascii="Verdana" w:hAnsi="Verdana"/>
                <w:sz w:val="16"/>
                <w:szCs w:val="16"/>
              </w:rPr>
              <w:t xml:space="preserve"> bepaling gericht tot EBA</w:t>
            </w:r>
          </w:p>
        </w:tc>
        <w:tc>
          <w:tcPr>
            <w:tcW w:w="1274" w:type="dxa"/>
          </w:tcPr>
          <w:p w:rsidRPr="002C5EC5" w:rsidR="00CA30A2" w:rsidP="008549EB" w:rsidRDefault="00CA30A2" w14:paraId="0E729F42"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5E5461A5" w14:textId="77777777">
            <w:pPr>
              <w:rPr>
                <w:rFonts w:ascii="Verdana" w:hAnsi="Verdana"/>
                <w:sz w:val="16"/>
                <w:szCs w:val="16"/>
              </w:rPr>
            </w:pPr>
          </w:p>
        </w:tc>
      </w:tr>
      <w:tr w:rsidR="00CA30A2" w:rsidTr="00CA30A2" w14:paraId="12ABFD49" w14:textId="77777777">
        <w:tc>
          <w:tcPr>
            <w:tcW w:w="1552" w:type="dxa"/>
          </w:tcPr>
          <w:p w:rsidRPr="00DD0008" w:rsidR="00CA30A2" w:rsidP="008549EB" w:rsidRDefault="00334D7E" w14:paraId="47CAEB75" w14:textId="50494166">
            <w:pPr>
              <w:rPr>
                <w:rFonts w:ascii="Verdana" w:hAnsi="Verdana"/>
                <w:sz w:val="16"/>
                <w:szCs w:val="16"/>
              </w:rPr>
            </w:pPr>
            <w:r>
              <w:rPr>
                <w:rFonts w:ascii="Verdana" w:hAnsi="Verdana"/>
                <w:sz w:val="16"/>
                <w:szCs w:val="16"/>
              </w:rPr>
              <w:t xml:space="preserve">1, lid </w:t>
            </w:r>
            <w:r w:rsidR="00CA30A2">
              <w:rPr>
                <w:rFonts w:ascii="Verdana" w:hAnsi="Verdana"/>
                <w:sz w:val="16"/>
                <w:szCs w:val="16"/>
              </w:rPr>
              <w:t>29, onderdeel a</w:t>
            </w:r>
          </w:p>
        </w:tc>
        <w:tc>
          <w:tcPr>
            <w:tcW w:w="1514" w:type="dxa"/>
          </w:tcPr>
          <w:p w:rsidRPr="002C5EC5" w:rsidR="00CA30A2" w:rsidP="008549EB" w:rsidRDefault="00CA30A2" w14:paraId="4EB7B355" w14:textId="77777777">
            <w:pPr>
              <w:rPr>
                <w:rFonts w:ascii="Verdana" w:hAnsi="Verdana"/>
                <w:sz w:val="16"/>
                <w:szCs w:val="16"/>
              </w:rPr>
            </w:pPr>
            <w:r w:rsidRPr="002C5EC5">
              <w:rPr>
                <w:rFonts w:ascii="Verdana" w:hAnsi="Verdana"/>
                <w:sz w:val="16"/>
                <w:szCs w:val="16"/>
              </w:rPr>
              <w:t>88, eerste lid, tweede alinea, onderdeel e</w:t>
            </w:r>
          </w:p>
        </w:tc>
        <w:tc>
          <w:tcPr>
            <w:tcW w:w="1625" w:type="dxa"/>
          </w:tcPr>
          <w:p w:rsidRPr="002C5EC5" w:rsidR="00CA30A2" w:rsidP="008549EB" w:rsidRDefault="00CA30A2" w14:paraId="786796D2"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b</w:t>
            </w:r>
            <w:r w:rsidRPr="002C5EC5">
              <w:rPr>
                <w:rFonts w:ascii="Verdana" w:hAnsi="Verdana"/>
                <w:sz w:val="16"/>
                <w:szCs w:val="16"/>
              </w:rPr>
              <w:t>estaand recht in 17c, eerste lid, Bpr</w:t>
            </w:r>
          </w:p>
        </w:tc>
        <w:tc>
          <w:tcPr>
            <w:tcW w:w="1274" w:type="dxa"/>
          </w:tcPr>
          <w:p w:rsidRPr="002C5EC5" w:rsidR="00CA30A2" w:rsidP="008549EB" w:rsidRDefault="00CA30A2" w14:paraId="3911F96A"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019A2C8E" w14:textId="77777777">
            <w:pPr>
              <w:rPr>
                <w:rFonts w:ascii="Verdana" w:hAnsi="Verdana"/>
                <w:sz w:val="16"/>
                <w:szCs w:val="16"/>
              </w:rPr>
            </w:pPr>
          </w:p>
        </w:tc>
      </w:tr>
      <w:tr w:rsidR="00CA30A2" w:rsidTr="00CA30A2" w14:paraId="757CD7DF" w14:textId="77777777">
        <w:tc>
          <w:tcPr>
            <w:tcW w:w="1552" w:type="dxa"/>
          </w:tcPr>
          <w:p w:rsidRPr="00DD0008" w:rsidR="00CA30A2" w:rsidP="008549EB" w:rsidRDefault="00334D7E" w14:paraId="6B2087C0" w14:textId="72DC436D">
            <w:pPr>
              <w:rPr>
                <w:rFonts w:ascii="Verdana" w:hAnsi="Verdana"/>
                <w:sz w:val="16"/>
                <w:szCs w:val="16"/>
              </w:rPr>
            </w:pPr>
            <w:r>
              <w:rPr>
                <w:rFonts w:ascii="Verdana" w:hAnsi="Verdana"/>
                <w:sz w:val="16"/>
                <w:szCs w:val="16"/>
              </w:rPr>
              <w:t xml:space="preserve">1, lid </w:t>
            </w:r>
            <w:r w:rsidR="00CA30A2">
              <w:rPr>
                <w:rFonts w:ascii="Verdana" w:hAnsi="Verdana"/>
                <w:sz w:val="16"/>
                <w:szCs w:val="16"/>
              </w:rPr>
              <w:t>29, onderdeel b</w:t>
            </w:r>
          </w:p>
        </w:tc>
        <w:tc>
          <w:tcPr>
            <w:tcW w:w="1514" w:type="dxa"/>
          </w:tcPr>
          <w:p w:rsidRPr="002C5EC5" w:rsidR="00CA30A2" w:rsidP="008549EB" w:rsidRDefault="00CA30A2" w14:paraId="5A04B8DD" w14:textId="77777777">
            <w:pPr>
              <w:rPr>
                <w:rFonts w:ascii="Verdana" w:hAnsi="Verdana"/>
                <w:sz w:val="16"/>
                <w:szCs w:val="16"/>
              </w:rPr>
            </w:pPr>
            <w:r w:rsidRPr="002C5EC5">
              <w:rPr>
                <w:rFonts w:ascii="Verdana" w:hAnsi="Verdana"/>
                <w:sz w:val="16"/>
                <w:szCs w:val="16"/>
              </w:rPr>
              <w:t>88, derde lid</w:t>
            </w:r>
          </w:p>
        </w:tc>
        <w:tc>
          <w:tcPr>
            <w:tcW w:w="1625" w:type="dxa"/>
          </w:tcPr>
          <w:p w:rsidRPr="002C5EC5" w:rsidR="00CA30A2" w:rsidP="008549EB" w:rsidRDefault="00CA30A2" w14:paraId="0234CBEF" w14:textId="77777777">
            <w:pPr>
              <w:spacing w:line="240" w:lineRule="atLeast"/>
              <w:rPr>
                <w:rFonts w:ascii="Verdana" w:hAnsi="Verdana"/>
                <w:sz w:val="16"/>
                <w:szCs w:val="16"/>
              </w:rPr>
            </w:pPr>
            <w:bookmarkStart w:name="_Hlk165898364" w:id="14"/>
            <w:r>
              <w:rPr>
                <w:rFonts w:ascii="Verdana" w:hAnsi="Verdana"/>
                <w:sz w:val="16"/>
                <w:szCs w:val="16"/>
              </w:rPr>
              <w:t>Volgt bij implementatiebesluit (</w:t>
            </w:r>
            <w:r w:rsidRPr="002C5EC5">
              <w:rPr>
                <w:rFonts w:ascii="Verdana" w:hAnsi="Verdana"/>
                <w:sz w:val="16"/>
                <w:szCs w:val="16"/>
              </w:rPr>
              <w:t>17c, eerste lid, Bpr</w:t>
            </w:r>
            <w:bookmarkEnd w:id="14"/>
            <w:r>
              <w:rPr>
                <w:rFonts w:ascii="Verdana" w:hAnsi="Verdana"/>
                <w:sz w:val="16"/>
                <w:szCs w:val="16"/>
              </w:rPr>
              <w:t>)</w:t>
            </w:r>
          </w:p>
        </w:tc>
        <w:tc>
          <w:tcPr>
            <w:tcW w:w="1274" w:type="dxa"/>
          </w:tcPr>
          <w:p w:rsidRPr="002C5EC5" w:rsidR="00CA30A2" w:rsidP="008549EB" w:rsidRDefault="00CA30A2" w14:paraId="3E80348A"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576C6C1F" w14:textId="77777777">
            <w:pPr>
              <w:rPr>
                <w:rFonts w:ascii="Verdana" w:hAnsi="Verdana"/>
                <w:sz w:val="16"/>
                <w:szCs w:val="16"/>
              </w:rPr>
            </w:pPr>
          </w:p>
        </w:tc>
      </w:tr>
      <w:tr w:rsidR="00CA30A2" w:rsidTr="00CA30A2" w14:paraId="15ED37B5" w14:textId="77777777">
        <w:tc>
          <w:tcPr>
            <w:tcW w:w="1552" w:type="dxa"/>
          </w:tcPr>
          <w:p w:rsidRPr="00DD0008" w:rsidR="00CA30A2" w:rsidP="008549EB" w:rsidRDefault="00334D7E" w14:paraId="51727475" w14:textId="0710EC61">
            <w:pPr>
              <w:rPr>
                <w:rFonts w:ascii="Verdana" w:hAnsi="Verdana"/>
                <w:sz w:val="16"/>
                <w:szCs w:val="16"/>
              </w:rPr>
            </w:pPr>
            <w:r>
              <w:rPr>
                <w:rFonts w:ascii="Verdana" w:hAnsi="Verdana"/>
                <w:sz w:val="16"/>
                <w:szCs w:val="16"/>
              </w:rPr>
              <w:t xml:space="preserve">1, lid </w:t>
            </w:r>
            <w:r w:rsidR="00CA30A2">
              <w:rPr>
                <w:rFonts w:ascii="Verdana" w:hAnsi="Verdana"/>
                <w:sz w:val="16"/>
                <w:szCs w:val="16"/>
              </w:rPr>
              <w:t>30</w:t>
            </w:r>
          </w:p>
        </w:tc>
        <w:tc>
          <w:tcPr>
            <w:tcW w:w="1514" w:type="dxa"/>
          </w:tcPr>
          <w:p w:rsidRPr="002C5EC5" w:rsidR="00CA30A2" w:rsidP="008549EB" w:rsidRDefault="00CA30A2" w14:paraId="2EEA7C74" w14:textId="77777777">
            <w:pPr>
              <w:rPr>
                <w:rFonts w:ascii="Verdana" w:hAnsi="Verdana"/>
                <w:sz w:val="16"/>
                <w:szCs w:val="16"/>
              </w:rPr>
            </w:pPr>
            <w:r w:rsidRPr="002C5EC5">
              <w:rPr>
                <w:rFonts w:ascii="Verdana" w:hAnsi="Verdana"/>
                <w:sz w:val="16"/>
                <w:szCs w:val="16"/>
              </w:rPr>
              <w:t>91, eerste lid</w:t>
            </w:r>
          </w:p>
        </w:tc>
        <w:tc>
          <w:tcPr>
            <w:tcW w:w="1625" w:type="dxa"/>
          </w:tcPr>
          <w:p w:rsidR="00CA30A2" w:rsidP="008549EB" w:rsidRDefault="00CA30A2" w14:paraId="74B540B5" w14:textId="77777777">
            <w:pPr>
              <w:spacing w:line="240" w:lineRule="atLeast"/>
              <w:rPr>
                <w:rFonts w:ascii="Verdana" w:hAnsi="Verdana"/>
                <w:sz w:val="16"/>
                <w:szCs w:val="16"/>
              </w:rPr>
            </w:pPr>
            <w:r w:rsidRPr="002C5EC5">
              <w:rPr>
                <w:rFonts w:ascii="Verdana" w:hAnsi="Verdana"/>
                <w:sz w:val="16"/>
                <w:szCs w:val="16"/>
              </w:rPr>
              <w:t xml:space="preserve">Behoeft geen implementatie: </w:t>
            </w:r>
            <w:r>
              <w:rPr>
                <w:rFonts w:ascii="Verdana" w:hAnsi="Verdana"/>
                <w:sz w:val="16"/>
                <w:szCs w:val="16"/>
              </w:rPr>
              <w:t>d</w:t>
            </w:r>
            <w:r w:rsidRPr="002C5EC5">
              <w:rPr>
                <w:rFonts w:ascii="Verdana" w:hAnsi="Verdana"/>
                <w:sz w:val="16"/>
                <w:szCs w:val="16"/>
              </w:rPr>
              <w:t>ynamische verwijzing naar artikel 91 CRD in artikel 3:8, derde lid, Wft</w:t>
            </w:r>
          </w:p>
        </w:tc>
        <w:tc>
          <w:tcPr>
            <w:tcW w:w="1274" w:type="dxa"/>
          </w:tcPr>
          <w:p w:rsidRPr="002C5EC5" w:rsidR="00CA30A2" w:rsidP="008549EB" w:rsidRDefault="00CA30A2" w14:paraId="68806666"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20E540A2" w14:textId="77777777">
            <w:pPr>
              <w:rPr>
                <w:rFonts w:ascii="Verdana" w:hAnsi="Verdana"/>
                <w:sz w:val="16"/>
                <w:szCs w:val="16"/>
              </w:rPr>
            </w:pPr>
          </w:p>
        </w:tc>
      </w:tr>
      <w:tr w:rsidR="00CA30A2" w:rsidTr="00CA30A2" w14:paraId="792FB50A" w14:textId="77777777">
        <w:tc>
          <w:tcPr>
            <w:tcW w:w="1552" w:type="dxa"/>
          </w:tcPr>
          <w:p w:rsidRPr="00DD0008" w:rsidR="00CA30A2" w:rsidP="008549EB" w:rsidRDefault="00334D7E" w14:paraId="487EDEB7" w14:textId="040B6B38">
            <w:pPr>
              <w:rPr>
                <w:rFonts w:ascii="Verdana" w:hAnsi="Verdana"/>
                <w:sz w:val="16"/>
                <w:szCs w:val="16"/>
              </w:rPr>
            </w:pPr>
            <w:r>
              <w:rPr>
                <w:rFonts w:ascii="Verdana" w:hAnsi="Verdana"/>
                <w:sz w:val="16"/>
                <w:szCs w:val="16"/>
              </w:rPr>
              <w:t xml:space="preserve">1, lid </w:t>
            </w:r>
            <w:r w:rsidRPr="00AB7150" w:rsidR="00CA30A2">
              <w:rPr>
                <w:rFonts w:ascii="Verdana" w:hAnsi="Verdana"/>
                <w:sz w:val="16"/>
                <w:szCs w:val="16"/>
              </w:rPr>
              <w:t>30</w:t>
            </w:r>
          </w:p>
        </w:tc>
        <w:tc>
          <w:tcPr>
            <w:tcW w:w="1514" w:type="dxa"/>
          </w:tcPr>
          <w:p w:rsidRPr="002C5EC5" w:rsidR="00CA30A2" w:rsidP="008549EB" w:rsidRDefault="00CA30A2" w14:paraId="4632E2A7" w14:textId="77777777">
            <w:pPr>
              <w:rPr>
                <w:rFonts w:ascii="Verdana" w:hAnsi="Verdana"/>
                <w:sz w:val="16"/>
                <w:szCs w:val="16"/>
              </w:rPr>
            </w:pPr>
            <w:r w:rsidRPr="002C5EC5">
              <w:rPr>
                <w:rFonts w:ascii="Verdana" w:hAnsi="Verdana"/>
                <w:sz w:val="16"/>
                <w:szCs w:val="16"/>
              </w:rPr>
              <w:t>91, eerste lid bis, eerste alinea</w:t>
            </w:r>
          </w:p>
        </w:tc>
        <w:tc>
          <w:tcPr>
            <w:tcW w:w="1625" w:type="dxa"/>
          </w:tcPr>
          <w:p w:rsidRPr="002C5EC5" w:rsidR="00CA30A2" w:rsidP="008549EB" w:rsidRDefault="00CA30A2" w14:paraId="292E0825" w14:textId="77777777">
            <w:pPr>
              <w:spacing w:line="240" w:lineRule="atLeast"/>
              <w:rPr>
                <w:rFonts w:ascii="Verdana" w:hAnsi="Verdana"/>
                <w:sz w:val="16"/>
                <w:szCs w:val="16"/>
              </w:rPr>
            </w:pPr>
            <w:r w:rsidRPr="002C5EC5">
              <w:rPr>
                <w:rFonts w:ascii="Verdana" w:hAnsi="Verdana"/>
                <w:sz w:val="16"/>
                <w:szCs w:val="16"/>
              </w:rPr>
              <w:t xml:space="preserve">Behoeft geen implementatie: </w:t>
            </w:r>
            <w:r>
              <w:rPr>
                <w:rFonts w:ascii="Verdana" w:hAnsi="Verdana"/>
                <w:sz w:val="16"/>
                <w:szCs w:val="16"/>
              </w:rPr>
              <w:t>d</w:t>
            </w:r>
            <w:r w:rsidRPr="002C5EC5">
              <w:rPr>
                <w:rFonts w:ascii="Verdana" w:hAnsi="Verdana"/>
                <w:sz w:val="16"/>
                <w:szCs w:val="16"/>
              </w:rPr>
              <w:t>ynamische verwijzing naar artikel 91 CRD in artikel 3:8, derde lid, Wft</w:t>
            </w:r>
          </w:p>
        </w:tc>
        <w:tc>
          <w:tcPr>
            <w:tcW w:w="1274" w:type="dxa"/>
          </w:tcPr>
          <w:p w:rsidRPr="002C5EC5" w:rsidR="00CA30A2" w:rsidP="008549EB" w:rsidRDefault="00CA30A2" w14:paraId="65FB475C"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73ED7F0B" w14:textId="77777777">
            <w:pPr>
              <w:rPr>
                <w:rFonts w:ascii="Verdana" w:hAnsi="Verdana"/>
                <w:sz w:val="16"/>
                <w:szCs w:val="16"/>
              </w:rPr>
            </w:pPr>
          </w:p>
        </w:tc>
      </w:tr>
      <w:tr w:rsidR="00CA30A2" w:rsidTr="00CA30A2" w14:paraId="1FA265A4" w14:textId="77777777">
        <w:tc>
          <w:tcPr>
            <w:tcW w:w="1552" w:type="dxa"/>
          </w:tcPr>
          <w:p w:rsidRPr="00DD0008" w:rsidR="00CA30A2" w:rsidP="008549EB" w:rsidRDefault="00334D7E" w14:paraId="36413E23" w14:textId="55C8A582">
            <w:pPr>
              <w:rPr>
                <w:rFonts w:ascii="Verdana" w:hAnsi="Verdana"/>
                <w:sz w:val="16"/>
                <w:szCs w:val="16"/>
              </w:rPr>
            </w:pPr>
            <w:r>
              <w:rPr>
                <w:rFonts w:ascii="Verdana" w:hAnsi="Verdana"/>
                <w:sz w:val="16"/>
                <w:szCs w:val="16"/>
              </w:rPr>
              <w:t xml:space="preserve">1, lid </w:t>
            </w:r>
            <w:r w:rsidRPr="00AB7150" w:rsidR="00CA30A2">
              <w:rPr>
                <w:rFonts w:ascii="Verdana" w:hAnsi="Verdana"/>
                <w:sz w:val="16"/>
                <w:szCs w:val="16"/>
              </w:rPr>
              <w:t>30</w:t>
            </w:r>
          </w:p>
        </w:tc>
        <w:tc>
          <w:tcPr>
            <w:tcW w:w="1514" w:type="dxa"/>
          </w:tcPr>
          <w:p w:rsidRPr="002C5EC5" w:rsidR="00CA30A2" w:rsidP="008549EB" w:rsidRDefault="00CA30A2" w14:paraId="7FF9A824" w14:textId="77777777">
            <w:pPr>
              <w:rPr>
                <w:rFonts w:ascii="Verdana" w:hAnsi="Verdana"/>
                <w:sz w:val="16"/>
                <w:szCs w:val="16"/>
              </w:rPr>
            </w:pPr>
            <w:r w:rsidRPr="002C5EC5">
              <w:rPr>
                <w:rFonts w:ascii="Verdana" w:hAnsi="Verdana"/>
                <w:sz w:val="16"/>
                <w:szCs w:val="16"/>
              </w:rPr>
              <w:t>91, eerste lid bis, tweede alinea</w:t>
            </w:r>
          </w:p>
        </w:tc>
        <w:tc>
          <w:tcPr>
            <w:tcW w:w="1625" w:type="dxa"/>
          </w:tcPr>
          <w:p w:rsidRPr="002C5EC5" w:rsidR="00CA30A2" w:rsidP="008549EB" w:rsidRDefault="00CA30A2" w14:paraId="27B46EB5" w14:textId="77777777">
            <w:pPr>
              <w:spacing w:line="240" w:lineRule="atLeast"/>
              <w:rPr>
                <w:rFonts w:ascii="Verdana" w:hAnsi="Verdana"/>
                <w:sz w:val="16"/>
                <w:szCs w:val="16"/>
              </w:rPr>
            </w:pPr>
            <w:r w:rsidRPr="002C5EC5">
              <w:rPr>
                <w:rFonts w:ascii="Verdana" w:hAnsi="Verdana"/>
                <w:sz w:val="16"/>
                <w:szCs w:val="16"/>
              </w:rPr>
              <w:t>Behoeft geen implementatie: niet relevant voor Nederland</w:t>
            </w:r>
          </w:p>
        </w:tc>
        <w:tc>
          <w:tcPr>
            <w:tcW w:w="1274" w:type="dxa"/>
          </w:tcPr>
          <w:p w:rsidRPr="002C5EC5" w:rsidR="00CA30A2" w:rsidP="008549EB" w:rsidRDefault="00CA30A2" w14:paraId="5007D285" w14:textId="77777777">
            <w:pPr>
              <w:rPr>
                <w:rFonts w:ascii="Verdana" w:hAnsi="Verdana"/>
                <w:sz w:val="16"/>
                <w:szCs w:val="16"/>
              </w:rPr>
            </w:pPr>
            <w:r>
              <w:rPr>
                <w:rFonts w:ascii="Verdana" w:hAnsi="Verdana"/>
                <w:sz w:val="16"/>
                <w:szCs w:val="16"/>
              </w:rPr>
              <w:t>Lidstaatoptie waar geen gebruik van wordt gemaakt</w:t>
            </w:r>
          </w:p>
        </w:tc>
        <w:tc>
          <w:tcPr>
            <w:tcW w:w="1422" w:type="dxa"/>
          </w:tcPr>
          <w:p w:rsidRPr="002C5EC5" w:rsidR="00CA30A2" w:rsidP="008549EB" w:rsidRDefault="00CA30A2" w14:paraId="57241E11" w14:textId="77777777">
            <w:pPr>
              <w:rPr>
                <w:rFonts w:ascii="Verdana" w:hAnsi="Verdana"/>
                <w:sz w:val="16"/>
                <w:szCs w:val="16"/>
              </w:rPr>
            </w:pPr>
            <w:r w:rsidRPr="002C5EC5">
              <w:rPr>
                <w:rFonts w:ascii="Verdana" w:hAnsi="Verdana"/>
                <w:sz w:val="16"/>
                <w:szCs w:val="16"/>
              </w:rPr>
              <w:t>Betreft een lidstaatoptie. Niet relevant voor Nederland, want toetsingen vinden al ex ante plaats.</w:t>
            </w:r>
          </w:p>
        </w:tc>
      </w:tr>
      <w:tr w:rsidR="00CA30A2" w:rsidTr="00CA30A2" w14:paraId="3C3F4968" w14:textId="77777777">
        <w:tc>
          <w:tcPr>
            <w:tcW w:w="1552" w:type="dxa"/>
          </w:tcPr>
          <w:p w:rsidRPr="00DD0008" w:rsidR="00CA30A2" w:rsidP="008549EB" w:rsidRDefault="00334D7E" w14:paraId="34221AE6" w14:textId="650327DD">
            <w:pPr>
              <w:rPr>
                <w:rFonts w:ascii="Verdana" w:hAnsi="Verdana"/>
                <w:sz w:val="16"/>
                <w:szCs w:val="16"/>
              </w:rPr>
            </w:pPr>
            <w:r>
              <w:rPr>
                <w:rFonts w:ascii="Verdana" w:hAnsi="Verdana"/>
                <w:sz w:val="16"/>
                <w:szCs w:val="16"/>
              </w:rPr>
              <w:t xml:space="preserve">1, lid </w:t>
            </w:r>
            <w:r w:rsidRPr="00AB7150" w:rsidR="00CA30A2">
              <w:rPr>
                <w:rFonts w:ascii="Verdana" w:hAnsi="Verdana"/>
                <w:sz w:val="16"/>
                <w:szCs w:val="16"/>
              </w:rPr>
              <w:t>30</w:t>
            </w:r>
          </w:p>
        </w:tc>
        <w:tc>
          <w:tcPr>
            <w:tcW w:w="1514" w:type="dxa"/>
          </w:tcPr>
          <w:p w:rsidRPr="002C5EC5" w:rsidR="00CA30A2" w:rsidP="008549EB" w:rsidRDefault="00CA30A2" w14:paraId="1B6EA6A0" w14:textId="77777777">
            <w:pPr>
              <w:rPr>
                <w:rFonts w:ascii="Verdana" w:hAnsi="Verdana"/>
                <w:sz w:val="16"/>
                <w:szCs w:val="16"/>
              </w:rPr>
            </w:pPr>
            <w:r w:rsidRPr="002C5EC5">
              <w:rPr>
                <w:rFonts w:ascii="Verdana" w:hAnsi="Verdana"/>
                <w:sz w:val="16"/>
                <w:szCs w:val="16"/>
              </w:rPr>
              <w:t>91, eerste lid ter</w:t>
            </w:r>
          </w:p>
        </w:tc>
        <w:tc>
          <w:tcPr>
            <w:tcW w:w="1625" w:type="dxa"/>
          </w:tcPr>
          <w:p w:rsidRPr="002C5EC5" w:rsidR="00CA30A2" w:rsidP="008549EB" w:rsidRDefault="00CA30A2" w14:paraId="7EFAFD05" w14:textId="77777777">
            <w:pPr>
              <w:spacing w:line="240" w:lineRule="atLeast"/>
              <w:rPr>
                <w:rFonts w:ascii="Verdana" w:hAnsi="Verdana"/>
                <w:sz w:val="16"/>
                <w:szCs w:val="16"/>
              </w:rPr>
            </w:pPr>
            <w:r>
              <w:rPr>
                <w:rFonts w:ascii="Verdana" w:hAnsi="Verdana"/>
                <w:sz w:val="16"/>
                <w:szCs w:val="16"/>
              </w:rPr>
              <w:t>Artikel I, onderdelen Z en HHHH (</w:t>
            </w:r>
            <w:r w:rsidRPr="002C5EC5">
              <w:rPr>
                <w:rFonts w:ascii="Verdana" w:hAnsi="Verdana"/>
                <w:sz w:val="16"/>
                <w:szCs w:val="16"/>
              </w:rPr>
              <w:t>3:8, derde lid, en 4:9.0a Wft; Bpr/BGfo</w:t>
            </w:r>
            <w:r>
              <w:rPr>
                <w:rFonts w:ascii="Verdana" w:hAnsi="Verdana"/>
                <w:sz w:val="16"/>
                <w:szCs w:val="16"/>
              </w:rPr>
              <w:t>)</w:t>
            </w:r>
          </w:p>
        </w:tc>
        <w:tc>
          <w:tcPr>
            <w:tcW w:w="1274" w:type="dxa"/>
          </w:tcPr>
          <w:p w:rsidR="00CA30A2" w:rsidP="008549EB" w:rsidRDefault="00CA30A2" w14:paraId="7DC9B228"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3DC4A6C9" w14:textId="77777777">
            <w:pPr>
              <w:rPr>
                <w:rFonts w:ascii="Verdana" w:hAnsi="Verdana"/>
                <w:sz w:val="16"/>
                <w:szCs w:val="16"/>
              </w:rPr>
            </w:pPr>
          </w:p>
        </w:tc>
      </w:tr>
      <w:tr w:rsidR="00CA30A2" w:rsidTr="00CA30A2" w14:paraId="70A138FB" w14:textId="77777777">
        <w:tc>
          <w:tcPr>
            <w:tcW w:w="1552" w:type="dxa"/>
          </w:tcPr>
          <w:p w:rsidRPr="00DD0008" w:rsidR="00CA30A2" w:rsidP="008549EB" w:rsidRDefault="00334D7E" w14:paraId="62EFF332" w14:textId="4890A8E4">
            <w:pPr>
              <w:rPr>
                <w:rFonts w:ascii="Verdana" w:hAnsi="Verdana"/>
                <w:sz w:val="16"/>
                <w:szCs w:val="16"/>
              </w:rPr>
            </w:pPr>
            <w:r>
              <w:rPr>
                <w:rFonts w:ascii="Verdana" w:hAnsi="Verdana"/>
                <w:sz w:val="16"/>
                <w:szCs w:val="16"/>
              </w:rPr>
              <w:t xml:space="preserve">1, lid </w:t>
            </w:r>
            <w:r w:rsidRPr="00AB7150" w:rsidR="00CA30A2">
              <w:rPr>
                <w:rFonts w:ascii="Verdana" w:hAnsi="Verdana"/>
                <w:sz w:val="16"/>
                <w:szCs w:val="16"/>
              </w:rPr>
              <w:t>30</w:t>
            </w:r>
          </w:p>
        </w:tc>
        <w:tc>
          <w:tcPr>
            <w:tcW w:w="1514" w:type="dxa"/>
          </w:tcPr>
          <w:p w:rsidRPr="002C5EC5" w:rsidR="00CA30A2" w:rsidP="008549EB" w:rsidRDefault="00CA30A2" w14:paraId="2A51ABE4" w14:textId="77777777">
            <w:pPr>
              <w:rPr>
                <w:rFonts w:ascii="Verdana" w:hAnsi="Verdana"/>
                <w:sz w:val="16"/>
                <w:szCs w:val="16"/>
              </w:rPr>
            </w:pPr>
            <w:r w:rsidRPr="002C5EC5">
              <w:rPr>
                <w:rFonts w:ascii="Verdana" w:hAnsi="Verdana"/>
                <w:sz w:val="16"/>
                <w:szCs w:val="16"/>
              </w:rPr>
              <w:t>91, eerste lid quater</w:t>
            </w:r>
          </w:p>
        </w:tc>
        <w:tc>
          <w:tcPr>
            <w:tcW w:w="1625" w:type="dxa"/>
          </w:tcPr>
          <w:p w:rsidR="00CA30A2" w:rsidP="008549EB" w:rsidRDefault="00CA30A2" w14:paraId="1A3C24CB" w14:textId="77777777">
            <w:pPr>
              <w:spacing w:line="240" w:lineRule="atLeast"/>
              <w:rPr>
                <w:rFonts w:ascii="Verdana" w:hAnsi="Verdana"/>
                <w:sz w:val="16"/>
                <w:szCs w:val="16"/>
              </w:rPr>
            </w:pPr>
            <w:r>
              <w:rPr>
                <w:rFonts w:ascii="Verdana" w:hAnsi="Verdana"/>
                <w:sz w:val="16"/>
                <w:szCs w:val="16"/>
              </w:rPr>
              <w:t>Artikel I, onderdelen Z en HHHH (</w:t>
            </w:r>
            <w:r w:rsidRPr="002C5EC5">
              <w:rPr>
                <w:rFonts w:ascii="Verdana" w:hAnsi="Verdana"/>
                <w:sz w:val="16"/>
                <w:szCs w:val="16"/>
              </w:rPr>
              <w:t>3:8, derde lid, en 4:9.0a Wft; Bpr/BGfo</w:t>
            </w:r>
            <w:r>
              <w:rPr>
                <w:rFonts w:ascii="Verdana" w:hAnsi="Verdana"/>
                <w:sz w:val="16"/>
                <w:szCs w:val="16"/>
              </w:rPr>
              <w:t>)</w:t>
            </w:r>
          </w:p>
        </w:tc>
        <w:tc>
          <w:tcPr>
            <w:tcW w:w="1274" w:type="dxa"/>
          </w:tcPr>
          <w:p w:rsidRPr="002C5EC5" w:rsidR="00CA30A2" w:rsidP="008549EB" w:rsidRDefault="00CA30A2" w14:paraId="105C46DB"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3F17017F" w14:textId="77777777">
            <w:pPr>
              <w:rPr>
                <w:rFonts w:ascii="Verdana" w:hAnsi="Verdana"/>
                <w:sz w:val="16"/>
                <w:szCs w:val="16"/>
              </w:rPr>
            </w:pPr>
          </w:p>
        </w:tc>
      </w:tr>
      <w:tr w:rsidR="00CA30A2" w:rsidTr="00CA30A2" w14:paraId="38B1413F" w14:textId="77777777">
        <w:tc>
          <w:tcPr>
            <w:tcW w:w="1552" w:type="dxa"/>
          </w:tcPr>
          <w:p w:rsidRPr="00DD0008" w:rsidR="00CA30A2" w:rsidP="008549EB" w:rsidRDefault="00334D7E" w14:paraId="7413D8D6" w14:textId="3037CAB8">
            <w:pPr>
              <w:rPr>
                <w:rFonts w:ascii="Verdana" w:hAnsi="Verdana"/>
                <w:sz w:val="16"/>
                <w:szCs w:val="16"/>
              </w:rPr>
            </w:pPr>
            <w:r>
              <w:rPr>
                <w:rFonts w:ascii="Verdana" w:hAnsi="Verdana"/>
                <w:sz w:val="16"/>
                <w:szCs w:val="16"/>
              </w:rPr>
              <w:t xml:space="preserve">1, lid </w:t>
            </w:r>
            <w:r w:rsidRPr="00AB7150" w:rsidR="00CA30A2">
              <w:rPr>
                <w:rFonts w:ascii="Verdana" w:hAnsi="Verdana"/>
                <w:sz w:val="16"/>
                <w:szCs w:val="16"/>
              </w:rPr>
              <w:t>30</w:t>
            </w:r>
          </w:p>
        </w:tc>
        <w:tc>
          <w:tcPr>
            <w:tcW w:w="1514" w:type="dxa"/>
          </w:tcPr>
          <w:p w:rsidRPr="002C5EC5" w:rsidR="00CA30A2" w:rsidP="008549EB" w:rsidRDefault="00CA30A2" w14:paraId="38727A0F" w14:textId="77777777">
            <w:pPr>
              <w:rPr>
                <w:rFonts w:ascii="Verdana" w:hAnsi="Verdana"/>
                <w:sz w:val="16"/>
                <w:szCs w:val="16"/>
              </w:rPr>
            </w:pPr>
            <w:r w:rsidRPr="002C5EC5">
              <w:rPr>
                <w:rFonts w:ascii="Verdana" w:hAnsi="Verdana"/>
                <w:sz w:val="16"/>
                <w:szCs w:val="16"/>
              </w:rPr>
              <w:t>91, eerste lid quinquies</w:t>
            </w:r>
          </w:p>
        </w:tc>
        <w:tc>
          <w:tcPr>
            <w:tcW w:w="1625" w:type="dxa"/>
          </w:tcPr>
          <w:p w:rsidR="00CA30A2" w:rsidP="008549EB" w:rsidRDefault="00CA30A2" w14:paraId="1AC17615" w14:textId="77777777">
            <w:pPr>
              <w:spacing w:line="240" w:lineRule="atLeast"/>
              <w:rPr>
                <w:rFonts w:ascii="Verdana" w:hAnsi="Verdana"/>
                <w:sz w:val="16"/>
                <w:szCs w:val="16"/>
              </w:rPr>
            </w:pPr>
            <w:r w:rsidRPr="002C5EC5">
              <w:rPr>
                <w:rFonts w:ascii="Verdana" w:hAnsi="Verdana"/>
                <w:sz w:val="16"/>
                <w:szCs w:val="16"/>
              </w:rPr>
              <w:t>Behoeft geen implementatie: niet relevant voor Nederland</w:t>
            </w:r>
          </w:p>
        </w:tc>
        <w:tc>
          <w:tcPr>
            <w:tcW w:w="1274" w:type="dxa"/>
          </w:tcPr>
          <w:p w:rsidRPr="002C5EC5" w:rsidR="00CA30A2" w:rsidP="008549EB" w:rsidRDefault="00CA30A2" w14:paraId="0ADBB4EF"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29B8FC3C" w14:textId="77777777">
            <w:pPr>
              <w:rPr>
                <w:rFonts w:ascii="Verdana" w:hAnsi="Verdana"/>
                <w:sz w:val="16"/>
                <w:szCs w:val="16"/>
              </w:rPr>
            </w:pPr>
            <w:r w:rsidRPr="002C5EC5">
              <w:rPr>
                <w:rFonts w:ascii="Verdana" w:hAnsi="Verdana"/>
                <w:sz w:val="16"/>
                <w:szCs w:val="16"/>
              </w:rPr>
              <w:t>Artikel alleen relevant voor lidstaten met een ex-post toetsingssysteem wat Nederland niet heeft.</w:t>
            </w:r>
          </w:p>
        </w:tc>
      </w:tr>
      <w:tr w:rsidR="00CA30A2" w:rsidTr="00CA30A2" w14:paraId="0E05A8DB" w14:textId="77777777">
        <w:tc>
          <w:tcPr>
            <w:tcW w:w="1552" w:type="dxa"/>
          </w:tcPr>
          <w:p w:rsidRPr="00DD0008" w:rsidR="00CA30A2" w:rsidP="008549EB" w:rsidRDefault="00334D7E" w14:paraId="0320D140" w14:textId="010DD34D">
            <w:pPr>
              <w:rPr>
                <w:rFonts w:ascii="Verdana" w:hAnsi="Verdana"/>
                <w:sz w:val="16"/>
                <w:szCs w:val="16"/>
              </w:rPr>
            </w:pPr>
            <w:r>
              <w:rPr>
                <w:rFonts w:ascii="Verdana" w:hAnsi="Verdana"/>
                <w:sz w:val="16"/>
                <w:szCs w:val="16"/>
              </w:rPr>
              <w:t xml:space="preserve">1, lid </w:t>
            </w:r>
            <w:r w:rsidRPr="00AB7150" w:rsidR="00CA30A2">
              <w:rPr>
                <w:rFonts w:ascii="Verdana" w:hAnsi="Verdana"/>
                <w:sz w:val="16"/>
                <w:szCs w:val="16"/>
              </w:rPr>
              <w:t>30</w:t>
            </w:r>
          </w:p>
        </w:tc>
        <w:tc>
          <w:tcPr>
            <w:tcW w:w="1514" w:type="dxa"/>
          </w:tcPr>
          <w:p w:rsidRPr="002C5EC5" w:rsidR="00CA30A2" w:rsidP="008549EB" w:rsidRDefault="00CA30A2" w14:paraId="1D08430B" w14:textId="77777777">
            <w:pPr>
              <w:rPr>
                <w:rFonts w:ascii="Verdana" w:hAnsi="Verdana"/>
                <w:sz w:val="16"/>
                <w:szCs w:val="16"/>
              </w:rPr>
            </w:pPr>
            <w:r w:rsidRPr="002C5EC5">
              <w:rPr>
                <w:rFonts w:ascii="Verdana" w:hAnsi="Verdana"/>
                <w:sz w:val="16"/>
                <w:szCs w:val="16"/>
              </w:rPr>
              <w:t>91, eerste lid sexies</w:t>
            </w:r>
          </w:p>
        </w:tc>
        <w:tc>
          <w:tcPr>
            <w:tcW w:w="1625" w:type="dxa"/>
          </w:tcPr>
          <w:p w:rsidRPr="002C5EC5" w:rsidR="00CA30A2" w:rsidP="008549EB" w:rsidRDefault="00CA30A2" w14:paraId="6100B8B7" w14:textId="77777777">
            <w:pPr>
              <w:spacing w:line="240" w:lineRule="atLeast"/>
              <w:rPr>
                <w:rFonts w:ascii="Verdana" w:hAnsi="Verdana"/>
                <w:sz w:val="16"/>
                <w:szCs w:val="16"/>
              </w:rPr>
            </w:pPr>
            <w:r w:rsidRPr="002C5EC5">
              <w:rPr>
                <w:rFonts w:ascii="Verdana" w:hAnsi="Verdana"/>
                <w:sz w:val="16"/>
                <w:szCs w:val="16"/>
              </w:rPr>
              <w:t>Behoeft geen implementatie: niet relevant voor Nederland</w:t>
            </w:r>
          </w:p>
        </w:tc>
        <w:tc>
          <w:tcPr>
            <w:tcW w:w="1274" w:type="dxa"/>
          </w:tcPr>
          <w:p w:rsidRPr="002C5EC5" w:rsidR="00CA30A2" w:rsidP="008549EB" w:rsidRDefault="00CA30A2" w14:paraId="73BB2C67"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6EA36925" w14:textId="77777777">
            <w:pPr>
              <w:rPr>
                <w:rFonts w:ascii="Verdana" w:hAnsi="Verdana"/>
                <w:sz w:val="16"/>
                <w:szCs w:val="16"/>
              </w:rPr>
            </w:pPr>
            <w:r w:rsidRPr="002C5EC5">
              <w:rPr>
                <w:rFonts w:ascii="Verdana" w:hAnsi="Verdana"/>
                <w:sz w:val="16"/>
                <w:szCs w:val="16"/>
              </w:rPr>
              <w:t>Artikel alleen relevant voor lidstaten met een ex-post toetsingssysteem wat Nederland niet heeft.</w:t>
            </w:r>
          </w:p>
        </w:tc>
      </w:tr>
      <w:tr w:rsidR="00CA30A2" w:rsidTr="00CA30A2" w14:paraId="33988B34" w14:textId="77777777">
        <w:tc>
          <w:tcPr>
            <w:tcW w:w="1552" w:type="dxa"/>
          </w:tcPr>
          <w:p w:rsidRPr="00DD0008" w:rsidR="00CA30A2" w:rsidP="008549EB" w:rsidRDefault="00334D7E" w14:paraId="0A2B8924" w14:textId="01BE605C">
            <w:pPr>
              <w:rPr>
                <w:rFonts w:ascii="Verdana" w:hAnsi="Verdana"/>
                <w:sz w:val="16"/>
                <w:szCs w:val="16"/>
              </w:rPr>
            </w:pPr>
            <w:r>
              <w:rPr>
                <w:rFonts w:ascii="Verdana" w:hAnsi="Verdana"/>
                <w:sz w:val="16"/>
                <w:szCs w:val="16"/>
              </w:rPr>
              <w:t xml:space="preserve">1, lid </w:t>
            </w:r>
            <w:r w:rsidRPr="00AB7150" w:rsidR="00CA30A2">
              <w:rPr>
                <w:rFonts w:ascii="Verdana" w:hAnsi="Verdana"/>
                <w:sz w:val="16"/>
                <w:szCs w:val="16"/>
              </w:rPr>
              <w:t>30</w:t>
            </w:r>
          </w:p>
        </w:tc>
        <w:tc>
          <w:tcPr>
            <w:tcW w:w="1514" w:type="dxa"/>
          </w:tcPr>
          <w:p w:rsidRPr="002C5EC5" w:rsidR="00CA30A2" w:rsidP="008549EB" w:rsidRDefault="00CA30A2" w14:paraId="4338EAAB" w14:textId="77777777">
            <w:pPr>
              <w:rPr>
                <w:rFonts w:ascii="Verdana" w:hAnsi="Verdana"/>
                <w:sz w:val="16"/>
                <w:szCs w:val="16"/>
              </w:rPr>
            </w:pPr>
            <w:r w:rsidRPr="002C5EC5">
              <w:rPr>
                <w:rFonts w:ascii="Verdana" w:hAnsi="Verdana"/>
                <w:sz w:val="16"/>
                <w:szCs w:val="16"/>
              </w:rPr>
              <w:t>91, eerste lid septies</w:t>
            </w:r>
          </w:p>
        </w:tc>
        <w:tc>
          <w:tcPr>
            <w:tcW w:w="1625" w:type="dxa"/>
          </w:tcPr>
          <w:p w:rsidRPr="002C5EC5" w:rsidR="00CA30A2" w:rsidP="008549EB" w:rsidRDefault="00CA30A2" w14:paraId="798F6B9F" w14:textId="77777777">
            <w:pPr>
              <w:spacing w:line="240" w:lineRule="atLeast"/>
              <w:rPr>
                <w:rFonts w:ascii="Verdana" w:hAnsi="Verdana"/>
                <w:sz w:val="16"/>
                <w:szCs w:val="16"/>
              </w:rPr>
            </w:pPr>
            <w:r w:rsidRPr="002C5EC5">
              <w:rPr>
                <w:rFonts w:ascii="Verdana" w:hAnsi="Verdana"/>
                <w:sz w:val="16"/>
                <w:szCs w:val="16"/>
              </w:rPr>
              <w:t>Behoeft geen implementatie: Bestaand recht in artikel 33, tweede lid, Bpr</w:t>
            </w:r>
          </w:p>
        </w:tc>
        <w:tc>
          <w:tcPr>
            <w:tcW w:w="1274" w:type="dxa"/>
          </w:tcPr>
          <w:p w:rsidRPr="002C5EC5" w:rsidR="00CA30A2" w:rsidP="008549EB" w:rsidRDefault="00CA30A2" w14:paraId="0E20BA3C"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189552DC" w14:textId="77777777">
            <w:pPr>
              <w:rPr>
                <w:rFonts w:ascii="Verdana" w:hAnsi="Verdana"/>
                <w:sz w:val="16"/>
                <w:szCs w:val="16"/>
              </w:rPr>
            </w:pPr>
          </w:p>
        </w:tc>
      </w:tr>
      <w:tr w:rsidR="00334D7E" w:rsidTr="00CA30A2" w14:paraId="43ADCC27" w14:textId="77777777">
        <w:tc>
          <w:tcPr>
            <w:tcW w:w="1552" w:type="dxa"/>
          </w:tcPr>
          <w:p w:rsidRPr="00DD0008" w:rsidR="00334D7E" w:rsidP="00334D7E" w:rsidRDefault="00334D7E" w14:paraId="7E211617" w14:textId="54A36BB1">
            <w:pPr>
              <w:rPr>
                <w:rFonts w:ascii="Verdana" w:hAnsi="Verdana"/>
                <w:sz w:val="16"/>
                <w:szCs w:val="16"/>
              </w:rPr>
            </w:pPr>
            <w:r w:rsidRPr="00C764C3">
              <w:rPr>
                <w:rFonts w:ascii="Verdana" w:hAnsi="Verdana"/>
                <w:sz w:val="16"/>
                <w:szCs w:val="16"/>
              </w:rPr>
              <w:t>1, lid 30</w:t>
            </w:r>
          </w:p>
        </w:tc>
        <w:tc>
          <w:tcPr>
            <w:tcW w:w="1514" w:type="dxa"/>
          </w:tcPr>
          <w:p w:rsidRPr="002C5EC5" w:rsidR="00334D7E" w:rsidP="00334D7E" w:rsidRDefault="00334D7E" w14:paraId="56596624" w14:textId="77777777">
            <w:pPr>
              <w:rPr>
                <w:rFonts w:ascii="Verdana" w:hAnsi="Verdana"/>
                <w:sz w:val="16"/>
                <w:szCs w:val="16"/>
              </w:rPr>
            </w:pPr>
            <w:r w:rsidRPr="002C5EC5">
              <w:rPr>
                <w:rFonts w:ascii="Verdana" w:hAnsi="Verdana"/>
                <w:sz w:val="16"/>
                <w:szCs w:val="16"/>
              </w:rPr>
              <w:t>91, eerste lid octies</w:t>
            </w:r>
          </w:p>
        </w:tc>
        <w:tc>
          <w:tcPr>
            <w:tcW w:w="1625" w:type="dxa"/>
          </w:tcPr>
          <w:p w:rsidRPr="002C5EC5" w:rsidR="00334D7E" w:rsidP="00334D7E" w:rsidRDefault="00334D7E" w14:paraId="3EB06199" w14:textId="77777777">
            <w:pPr>
              <w:spacing w:line="240" w:lineRule="atLeast"/>
              <w:rPr>
                <w:rFonts w:ascii="Verdana" w:hAnsi="Verdana"/>
                <w:sz w:val="16"/>
                <w:szCs w:val="16"/>
              </w:rPr>
            </w:pPr>
            <w:r>
              <w:rPr>
                <w:rFonts w:ascii="Verdana" w:hAnsi="Verdana"/>
                <w:sz w:val="16"/>
                <w:szCs w:val="16"/>
              </w:rPr>
              <w:t>Volgt bij implementatieregeling</w:t>
            </w:r>
            <w:r w:rsidRPr="002C5EC5">
              <w:rPr>
                <w:rFonts w:ascii="Verdana" w:hAnsi="Verdana"/>
                <w:sz w:val="16"/>
                <w:szCs w:val="16"/>
              </w:rPr>
              <w:t xml:space="preserve"> </w:t>
            </w:r>
            <w:r>
              <w:rPr>
                <w:rFonts w:ascii="Verdana" w:hAnsi="Verdana"/>
                <w:sz w:val="16"/>
                <w:szCs w:val="16"/>
              </w:rPr>
              <w:t>(Bijlage 6 Rtt)</w:t>
            </w:r>
          </w:p>
        </w:tc>
        <w:tc>
          <w:tcPr>
            <w:tcW w:w="1274" w:type="dxa"/>
          </w:tcPr>
          <w:p w:rsidRPr="002C5EC5" w:rsidR="00334D7E" w:rsidP="00334D7E" w:rsidRDefault="00334D7E" w14:paraId="0F9D015A"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15499A36" w14:textId="77777777">
            <w:pPr>
              <w:rPr>
                <w:rFonts w:ascii="Verdana" w:hAnsi="Verdana"/>
                <w:sz w:val="16"/>
                <w:szCs w:val="16"/>
              </w:rPr>
            </w:pPr>
          </w:p>
        </w:tc>
      </w:tr>
      <w:tr w:rsidR="00334D7E" w:rsidTr="00CA30A2" w14:paraId="78CF3EDB" w14:textId="77777777">
        <w:tc>
          <w:tcPr>
            <w:tcW w:w="1552" w:type="dxa"/>
          </w:tcPr>
          <w:p w:rsidRPr="00DD0008" w:rsidR="00334D7E" w:rsidP="00334D7E" w:rsidRDefault="00334D7E" w14:paraId="7D7DD965" w14:textId="414CC9F9">
            <w:pPr>
              <w:rPr>
                <w:rFonts w:ascii="Verdana" w:hAnsi="Verdana"/>
                <w:sz w:val="16"/>
                <w:szCs w:val="16"/>
              </w:rPr>
            </w:pPr>
            <w:r w:rsidRPr="00C764C3">
              <w:rPr>
                <w:rFonts w:ascii="Verdana" w:hAnsi="Verdana"/>
                <w:sz w:val="16"/>
                <w:szCs w:val="16"/>
              </w:rPr>
              <w:t>1, lid 30</w:t>
            </w:r>
          </w:p>
        </w:tc>
        <w:tc>
          <w:tcPr>
            <w:tcW w:w="1514" w:type="dxa"/>
          </w:tcPr>
          <w:p w:rsidRPr="002C5EC5" w:rsidR="00334D7E" w:rsidP="00334D7E" w:rsidRDefault="00334D7E" w14:paraId="6009E0BD" w14:textId="77777777">
            <w:pPr>
              <w:rPr>
                <w:rFonts w:ascii="Verdana" w:hAnsi="Verdana"/>
                <w:sz w:val="16"/>
                <w:szCs w:val="16"/>
              </w:rPr>
            </w:pPr>
            <w:r w:rsidRPr="002C5EC5">
              <w:rPr>
                <w:rFonts w:ascii="Verdana" w:hAnsi="Verdana"/>
                <w:sz w:val="16"/>
                <w:szCs w:val="16"/>
              </w:rPr>
              <w:t>91, eerste lid nonies</w:t>
            </w:r>
          </w:p>
        </w:tc>
        <w:tc>
          <w:tcPr>
            <w:tcW w:w="1625" w:type="dxa"/>
          </w:tcPr>
          <w:p w:rsidR="00334D7E" w:rsidP="00334D7E" w:rsidRDefault="00334D7E" w14:paraId="75FFA5F9" w14:textId="77777777">
            <w:pPr>
              <w:spacing w:line="240" w:lineRule="atLeast"/>
              <w:rPr>
                <w:rFonts w:ascii="Verdana" w:hAnsi="Verdana"/>
                <w:sz w:val="16"/>
                <w:szCs w:val="16"/>
              </w:rPr>
            </w:pPr>
            <w:r>
              <w:rPr>
                <w:rFonts w:ascii="Verdana" w:hAnsi="Verdana"/>
                <w:sz w:val="16"/>
                <w:szCs w:val="16"/>
              </w:rPr>
              <w:t>Volgt bij implementatiebesluit</w:t>
            </w:r>
            <w:r w:rsidRPr="002C5EC5">
              <w:rPr>
                <w:rFonts w:ascii="Verdana" w:hAnsi="Verdana"/>
                <w:sz w:val="16"/>
                <w:szCs w:val="16"/>
              </w:rPr>
              <w:t xml:space="preserve"> </w:t>
            </w:r>
          </w:p>
        </w:tc>
        <w:tc>
          <w:tcPr>
            <w:tcW w:w="1274" w:type="dxa"/>
          </w:tcPr>
          <w:p w:rsidRPr="002C5EC5" w:rsidR="00334D7E" w:rsidP="00334D7E" w:rsidRDefault="00334D7E" w14:paraId="6B8F3033"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6F390059" w14:textId="77777777">
            <w:pPr>
              <w:rPr>
                <w:rFonts w:ascii="Verdana" w:hAnsi="Verdana"/>
                <w:sz w:val="16"/>
                <w:szCs w:val="16"/>
              </w:rPr>
            </w:pPr>
          </w:p>
        </w:tc>
      </w:tr>
      <w:tr w:rsidR="00334D7E" w:rsidTr="00CA30A2" w14:paraId="70F8B517" w14:textId="77777777">
        <w:tc>
          <w:tcPr>
            <w:tcW w:w="1552" w:type="dxa"/>
          </w:tcPr>
          <w:p w:rsidRPr="00DD0008" w:rsidR="00334D7E" w:rsidP="00334D7E" w:rsidRDefault="00334D7E" w14:paraId="41AB4062" w14:textId="5A8FD00A">
            <w:pPr>
              <w:rPr>
                <w:rFonts w:ascii="Verdana" w:hAnsi="Verdana"/>
                <w:sz w:val="16"/>
                <w:szCs w:val="16"/>
              </w:rPr>
            </w:pPr>
            <w:r w:rsidRPr="00C764C3">
              <w:rPr>
                <w:rFonts w:ascii="Verdana" w:hAnsi="Verdana"/>
                <w:sz w:val="16"/>
                <w:szCs w:val="16"/>
              </w:rPr>
              <w:t>1, lid 30</w:t>
            </w:r>
          </w:p>
        </w:tc>
        <w:tc>
          <w:tcPr>
            <w:tcW w:w="1514" w:type="dxa"/>
          </w:tcPr>
          <w:p w:rsidRPr="002C5EC5" w:rsidR="00334D7E" w:rsidP="00334D7E" w:rsidRDefault="00334D7E" w14:paraId="61D1CDEF" w14:textId="77777777">
            <w:pPr>
              <w:rPr>
                <w:rFonts w:ascii="Verdana" w:hAnsi="Verdana"/>
                <w:sz w:val="16"/>
                <w:szCs w:val="16"/>
              </w:rPr>
            </w:pPr>
            <w:r w:rsidRPr="002C5EC5">
              <w:rPr>
                <w:rFonts w:ascii="Verdana" w:hAnsi="Verdana"/>
                <w:sz w:val="16"/>
                <w:szCs w:val="16"/>
              </w:rPr>
              <w:t>91, eerste lid decies</w:t>
            </w:r>
          </w:p>
        </w:tc>
        <w:tc>
          <w:tcPr>
            <w:tcW w:w="1625" w:type="dxa"/>
          </w:tcPr>
          <w:p w:rsidR="00334D7E" w:rsidP="00334D7E" w:rsidRDefault="00334D7E" w14:paraId="48D63DF6" w14:textId="77777777">
            <w:pPr>
              <w:spacing w:line="240" w:lineRule="atLeast"/>
              <w:rPr>
                <w:rFonts w:ascii="Verdana" w:hAnsi="Verdana"/>
                <w:sz w:val="16"/>
                <w:szCs w:val="16"/>
              </w:rPr>
            </w:pPr>
            <w:r>
              <w:rPr>
                <w:rFonts w:ascii="Verdana" w:hAnsi="Verdana"/>
                <w:sz w:val="16"/>
                <w:szCs w:val="16"/>
              </w:rPr>
              <w:t>Volgt bij implementatiebesluit</w:t>
            </w:r>
          </w:p>
        </w:tc>
        <w:tc>
          <w:tcPr>
            <w:tcW w:w="1274" w:type="dxa"/>
          </w:tcPr>
          <w:p w:rsidRPr="002C5EC5" w:rsidR="00334D7E" w:rsidP="00334D7E" w:rsidRDefault="00334D7E" w14:paraId="5E13F509"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3EAC3EF9" w14:textId="77777777">
            <w:pPr>
              <w:rPr>
                <w:rFonts w:ascii="Verdana" w:hAnsi="Verdana"/>
                <w:sz w:val="16"/>
                <w:szCs w:val="16"/>
              </w:rPr>
            </w:pPr>
          </w:p>
        </w:tc>
      </w:tr>
      <w:tr w:rsidR="00334D7E" w:rsidTr="00CA30A2" w14:paraId="3D47B84B" w14:textId="77777777">
        <w:tc>
          <w:tcPr>
            <w:tcW w:w="1552" w:type="dxa"/>
          </w:tcPr>
          <w:p w:rsidRPr="00DD0008" w:rsidR="00334D7E" w:rsidP="00334D7E" w:rsidRDefault="00334D7E" w14:paraId="10481D02" w14:textId="0A83BBEC">
            <w:pPr>
              <w:rPr>
                <w:rFonts w:ascii="Verdana" w:hAnsi="Verdana"/>
                <w:sz w:val="16"/>
                <w:szCs w:val="16"/>
              </w:rPr>
            </w:pPr>
            <w:r w:rsidRPr="00C764C3">
              <w:rPr>
                <w:rFonts w:ascii="Verdana" w:hAnsi="Verdana"/>
                <w:sz w:val="16"/>
                <w:szCs w:val="16"/>
              </w:rPr>
              <w:t>1, lid 30</w:t>
            </w:r>
          </w:p>
        </w:tc>
        <w:tc>
          <w:tcPr>
            <w:tcW w:w="1514" w:type="dxa"/>
          </w:tcPr>
          <w:p w:rsidRPr="002C5EC5" w:rsidR="00334D7E" w:rsidP="00334D7E" w:rsidRDefault="00334D7E" w14:paraId="398D8DB3" w14:textId="77777777">
            <w:pPr>
              <w:rPr>
                <w:rFonts w:ascii="Verdana" w:hAnsi="Verdana"/>
                <w:sz w:val="16"/>
                <w:szCs w:val="16"/>
              </w:rPr>
            </w:pPr>
            <w:r w:rsidRPr="002C5EC5">
              <w:rPr>
                <w:rFonts w:ascii="Verdana" w:hAnsi="Verdana"/>
                <w:sz w:val="16"/>
                <w:szCs w:val="16"/>
              </w:rPr>
              <w:t>91, eerste lid undecies</w:t>
            </w:r>
          </w:p>
        </w:tc>
        <w:tc>
          <w:tcPr>
            <w:tcW w:w="1625" w:type="dxa"/>
          </w:tcPr>
          <w:p w:rsidR="00334D7E" w:rsidP="00334D7E" w:rsidRDefault="00334D7E" w14:paraId="0681D9CF" w14:textId="77777777">
            <w:pPr>
              <w:spacing w:line="240" w:lineRule="atLeast"/>
              <w:rPr>
                <w:rFonts w:ascii="Verdana" w:hAnsi="Verdana"/>
                <w:sz w:val="16"/>
                <w:szCs w:val="16"/>
              </w:rPr>
            </w:pPr>
            <w:r w:rsidRPr="002C5EC5">
              <w:rPr>
                <w:rFonts w:ascii="Verdana" w:hAnsi="Verdana"/>
                <w:sz w:val="16"/>
                <w:szCs w:val="16"/>
              </w:rPr>
              <w:t>Behoeft geen implementatie: bestaand recht in artikel 33, tweede lid, sub a en b, Bpr.</w:t>
            </w:r>
          </w:p>
        </w:tc>
        <w:tc>
          <w:tcPr>
            <w:tcW w:w="1274" w:type="dxa"/>
          </w:tcPr>
          <w:p w:rsidRPr="002C5EC5" w:rsidR="00334D7E" w:rsidP="00334D7E" w:rsidRDefault="00334D7E" w14:paraId="3E8D7C24"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54E055C8" w14:textId="77777777">
            <w:pPr>
              <w:rPr>
                <w:rFonts w:ascii="Verdana" w:hAnsi="Verdana"/>
                <w:sz w:val="16"/>
                <w:szCs w:val="16"/>
              </w:rPr>
            </w:pPr>
          </w:p>
        </w:tc>
      </w:tr>
      <w:tr w:rsidR="00334D7E" w:rsidTr="00CA30A2" w14:paraId="23D5C989" w14:textId="77777777">
        <w:tc>
          <w:tcPr>
            <w:tcW w:w="1552" w:type="dxa"/>
          </w:tcPr>
          <w:p w:rsidRPr="00DD0008" w:rsidR="00334D7E" w:rsidP="00334D7E" w:rsidRDefault="00334D7E" w14:paraId="0375D889" w14:textId="265CDFFB">
            <w:pPr>
              <w:rPr>
                <w:rFonts w:ascii="Verdana" w:hAnsi="Verdana"/>
                <w:sz w:val="16"/>
                <w:szCs w:val="16"/>
              </w:rPr>
            </w:pPr>
            <w:r w:rsidRPr="00C764C3">
              <w:rPr>
                <w:rFonts w:ascii="Verdana" w:hAnsi="Verdana"/>
                <w:sz w:val="16"/>
                <w:szCs w:val="16"/>
              </w:rPr>
              <w:t>1, lid 30</w:t>
            </w:r>
          </w:p>
        </w:tc>
        <w:tc>
          <w:tcPr>
            <w:tcW w:w="1514" w:type="dxa"/>
          </w:tcPr>
          <w:p w:rsidRPr="002C5EC5" w:rsidR="00334D7E" w:rsidP="00334D7E" w:rsidRDefault="00334D7E" w14:paraId="5B00B797" w14:textId="77777777">
            <w:pPr>
              <w:rPr>
                <w:rFonts w:ascii="Verdana" w:hAnsi="Verdana"/>
                <w:sz w:val="16"/>
                <w:szCs w:val="16"/>
              </w:rPr>
            </w:pPr>
            <w:r w:rsidRPr="002C5EC5">
              <w:rPr>
                <w:rFonts w:ascii="Verdana" w:hAnsi="Verdana"/>
                <w:sz w:val="16"/>
                <w:szCs w:val="16"/>
              </w:rPr>
              <w:t>91, tweede lid</w:t>
            </w:r>
            <w:r>
              <w:rPr>
                <w:rFonts w:ascii="Verdana" w:hAnsi="Verdana"/>
                <w:sz w:val="16"/>
                <w:szCs w:val="16"/>
              </w:rPr>
              <w:t>, tweede lid bis, tweede lid ter</w:t>
            </w:r>
          </w:p>
        </w:tc>
        <w:tc>
          <w:tcPr>
            <w:tcW w:w="1625" w:type="dxa"/>
          </w:tcPr>
          <w:p w:rsidRPr="002C5EC5" w:rsidR="00334D7E" w:rsidP="00334D7E" w:rsidRDefault="00334D7E" w14:paraId="4590020F" w14:textId="77777777">
            <w:pPr>
              <w:spacing w:line="240" w:lineRule="atLeast"/>
              <w:rPr>
                <w:rFonts w:ascii="Verdana" w:hAnsi="Verdana"/>
                <w:sz w:val="16"/>
                <w:szCs w:val="16"/>
              </w:rPr>
            </w:pPr>
            <w:r w:rsidRPr="002C5EC5">
              <w:rPr>
                <w:rFonts w:ascii="Verdana" w:hAnsi="Verdana"/>
                <w:sz w:val="16"/>
                <w:szCs w:val="16"/>
              </w:rPr>
              <w:t>Behoeft geen implementatie: Dynamische verwijzing naar artikel 91, tweede lid,</w:t>
            </w:r>
            <w:r>
              <w:rPr>
                <w:rFonts w:ascii="Verdana" w:hAnsi="Verdana"/>
                <w:sz w:val="16"/>
                <w:szCs w:val="16"/>
              </w:rPr>
              <w:t xml:space="preserve"> CRD</w:t>
            </w:r>
            <w:r w:rsidRPr="002C5EC5">
              <w:rPr>
                <w:rFonts w:ascii="Verdana" w:hAnsi="Verdana"/>
                <w:sz w:val="16"/>
                <w:szCs w:val="16"/>
              </w:rPr>
              <w:t xml:space="preserve"> in artikel 3:8 en 4:9.0a Wft</w:t>
            </w:r>
          </w:p>
        </w:tc>
        <w:tc>
          <w:tcPr>
            <w:tcW w:w="1274" w:type="dxa"/>
          </w:tcPr>
          <w:p w:rsidRPr="002C5EC5" w:rsidR="00334D7E" w:rsidP="00334D7E" w:rsidRDefault="00334D7E" w14:paraId="40ABC9FF"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19711F98" w14:textId="77777777">
            <w:pPr>
              <w:rPr>
                <w:rFonts w:ascii="Verdana" w:hAnsi="Verdana"/>
                <w:sz w:val="16"/>
                <w:szCs w:val="16"/>
              </w:rPr>
            </w:pPr>
          </w:p>
        </w:tc>
      </w:tr>
      <w:tr w:rsidR="00334D7E" w:rsidTr="00CA30A2" w14:paraId="321BC709" w14:textId="77777777">
        <w:tc>
          <w:tcPr>
            <w:tcW w:w="1552" w:type="dxa"/>
          </w:tcPr>
          <w:p w:rsidRPr="00DD0008" w:rsidR="00334D7E" w:rsidP="00334D7E" w:rsidRDefault="00334D7E" w14:paraId="5BA152E7" w14:textId="0656BB00">
            <w:pPr>
              <w:rPr>
                <w:rFonts w:ascii="Verdana" w:hAnsi="Verdana"/>
                <w:sz w:val="16"/>
                <w:szCs w:val="16"/>
              </w:rPr>
            </w:pPr>
            <w:r w:rsidRPr="00C764C3">
              <w:rPr>
                <w:rFonts w:ascii="Verdana" w:hAnsi="Verdana"/>
                <w:sz w:val="16"/>
                <w:szCs w:val="16"/>
              </w:rPr>
              <w:t>1, lid 30</w:t>
            </w:r>
          </w:p>
        </w:tc>
        <w:tc>
          <w:tcPr>
            <w:tcW w:w="1514" w:type="dxa"/>
          </w:tcPr>
          <w:p w:rsidRPr="002C5EC5" w:rsidR="00334D7E" w:rsidP="00334D7E" w:rsidRDefault="00334D7E" w14:paraId="56F6425B" w14:textId="77777777">
            <w:pPr>
              <w:rPr>
                <w:rFonts w:ascii="Verdana" w:hAnsi="Verdana"/>
                <w:sz w:val="16"/>
                <w:szCs w:val="16"/>
              </w:rPr>
            </w:pPr>
            <w:r w:rsidRPr="002C5EC5">
              <w:rPr>
                <w:rFonts w:ascii="Verdana" w:hAnsi="Verdana"/>
                <w:sz w:val="16"/>
                <w:szCs w:val="16"/>
              </w:rPr>
              <w:t>91, derde tot en met vijfde lid</w:t>
            </w:r>
          </w:p>
        </w:tc>
        <w:tc>
          <w:tcPr>
            <w:tcW w:w="1625" w:type="dxa"/>
          </w:tcPr>
          <w:p w:rsidRPr="002C5EC5" w:rsidR="00334D7E" w:rsidP="00334D7E" w:rsidRDefault="00334D7E" w14:paraId="405C801D" w14:textId="77777777">
            <w:pPr>
              <w:spacing w:line="240" w:lineRule="atLeast"/>
              <w:rPr>
                <w:rFonts w:ascii="Verdana" w:hAnsi="Verdana"/>
                <w:sz w:val="16"/>
                <w:szCs w:val="16"/>
              </w:rPr>
            </w:pPr>
            <w:r w:rsidRPr="002C5EC5">
              <w:rPr>
                <w:rFonts w:ascii="Verdana" w:hAnsi="Verdana"/>
                <w:sz w:val="16"/>
                <w:szCs w:val="16"/>
              </w:rPr>
              <w:t>Behoeft geen implementatie: bestaand recht in artikel 3:8, derde lid, en 4:9.0a, tweede lid, Wft</w:t>
            </w:r>
          </w:p>
        </w:tc>
        <w:tc>
          <w:tcPr>
            <w:tcW w:w="1274" w:type="dxa"/>
          </w:tcPr>
          <w:p w:rsidRPr="002C5EC5" w:rsidR="00334D7E" w:rsidP="00334D7E" w:rsidRDefault="00334D7E" w14:paraId="37ABB752"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51A49603" w14:textId="77777777">
            <w:pPr>
              <w:rPr>
                <w:rFonts w:ascii="Verdana" w:hAnsi="Verdana"/>
                <w:sz w:val="16"/>
                <w:szCs w:val="16"/>
              </w:rPr>
            </w:pPr>
          </w:p>
        </w:tc>
      </w:tr>
      <w:tr w:rsidR="00334D7E" w:rsidTr="00CA30A2" w14:paraId="3E2681A9" w14:textId="77777777">
        <w:tc>
          <w:tcPr>
            <w:tcW w:w="1552" w:type="dxa"/>
          </w:tcPr>
          <w:p w:rsidRPr="00DD0008" w:rsidR="00334D7E" w:rsidP="00334D7E" w:rsidRDefault="00334D7E" w14:paraId="6EAF64DB" w14:textId="575C40AA">
            <w:pPr>
              <w:rPr>
                <w:rFonts w:ascii="Verdana" w:hAnsi="Verdana"/>
                <w:sz w:val="16"/>
                <w:szCs w:val="16"/>
              </w:rPr>
            </w:pPr>
            <w:r w:rsidRPr="00C764C3">
              <w:rPr>
                <w:rFonts w:ascii="Verdana" w:hAnsi="Verdana"/>
                <w:sz w:val="16"/>
                <w:szCs w:val="16"/>
              </w:rPr>
              <w:t>1, lid 30</w:t>
            </w:r>
          </w:p>
        </w:tc>
        <w:tc>
          <w:tcPr>
            <w:tcW w:w="1514" w:type="dxa"/>
          </w:tcPr>
          <w:p w:rsidRPr="002C5EC5" w:rsidR="00334D7E" w:rsidP="00334D7E" w:rsidRDefault="00334D7E" w14:paraId="59BD156D" w14:textId="77777777">
            <w:pPr>
              <w:rPr>
                <w:rFonts w:ascii="Verdana" w:hAnsi="Verdana"/>
                <w:sz w:val="16"/>
                <w:szCs w:val="16"/>
              </w:rPr>
            </w:pPr>
            <w:r w:rsidRPr="002C5EC5">
              <w:rPr>
                <w:rFonts w:ascii="Verdana" w:hAnsi="Verdana"/>
                <w:sz w:val="16"/>
                <w:szCs w:val="16"/>
              </w:rPr>
              <w:t>91, zesde lid</w:t>
            </w:r>
          </w:p>
        </w:tc>
        <w:tc>
          <w:tcPr>
            <w:tcW w:w="1625" w:type="dxa"/>
          </w:tcPr>
          <w:p w:rsidRPr="002C5EC5" w:rsidR="00334D7E" w:rsidP="00334D7E" w:rsidRDefault="00334D7E" w14:paraId="45EBD7C8" w14:textId="77777777">
            <w:pPr>
              <w:spacing w:line="240" w:lineRule="atLeast"/>
              <w:rPr>
                <w:rFonts w:ascii="Verdana" w:hAnsi="Verdana"/>
                <w:sz w:val="16"/>
                <w:szCs w:val="16"/>
              </w:rPr>
            </w:pPr>
            <w:r w:rsidRPr="002C5EC5">
              <w:rPr>
                <w:rFonts w:ascii="Verdana" w:hAnsi="Verdana"/>
                <w:sz w:val="16"/>
                <w:szCs w:val="16"/>
              </w:rPr>
              <w:t>Behoeft geen implementatie: bestaand recht in artikel 3:8, derde lid, en 4:9.0a, tweede lid, Wft</w:t>
            </w:r>
          </w:p>
        </w:tc>
        <w:tc>
          <w:tcPr>
            <w:tcW w:w="1274" w:type="dxa"/>
          </w:tcPr>
          <w:p w:rsidRPr="002C5EC5" w:rsidR="00334D7E" w:rsidP="00334D7E" w:rsidRDefault="00334D7E" w14:paraId="03C1DDB0"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3F626E19" w14:textId="77777777">
            <w:pPr>
              <w:rPr>
                <w:rFonts w:ascii="Verdana" w:hAnsi="Verdana"/>
                <w:sz w:val="16"/>
                <w:szCs w:val="16"/>
              </w:rPr>
            </w:pPr>
          </w:p>
        </w:tc>
      </w:tr>
      <w:tr w:rsidR="00334D7E" w:rsidTr="00CA30A2" w14:paraId="48F9E1F4" w14:textId="77777777">
        <w:tc>
          <w:tcPr>
            <w:tcW w:w="1552" w:type="dxa"/>
          </w:tcPr>
          <w:p w:rsidRPr="00DD0008" w:rsidR="00334D7E" w:rsidP="00334D7E" w:rsidRDefault="00334D7E" w14:paraId="6648FC4B" w14:textId="1E07041D">
            <w:pPr>
              <w:rPr>
                <w:rFonts w:ascii="Verdana" w:hAnsi="Verdana"/>
                <w:sz w:val="16"/>
                <w:szCs w:val="16"/>
              </w:rPr>
            </w:pPr>
            <w:r w:rsidRPr="00C764C3">
              <w:rPr>
                <w:rFonts w:ascii="Verdana" w:hAnsi="Verdana"/>
                <w:sz w:val="16"/>
                <w:szCs w:val="16"/>
              </w:rPr>
              <w:t>1, lid 30</w:t>
            </w:r>
          </w:p>
        </w:tc>
        <w:tc>
          <w:tcPr>
            <w:tcW w:w="1514" w:type="dxa"/>
          </w:tcPr>
          <w:p w:rsidRPr="002C5EC5" w:rsidR="00334D7E" w:rsidP="00334D7E" w:rsidRDefault="00334D7E" w14:paraId="1903C987" w14:textId="77777777">
            <w:pPr>
              <w:rPr>
                <w:rFonts w:ascii="Verdana" w:hAnsi="Verdana"/>
                <w:sz w:val="16"/>
                <w:szCs w:val="16"/>
              </w:rPr>
            </w:pPr>
            <w:r w:rsidRPr="002C5EC5">
              <w:rPr>
                <w:rFonts w:ascii="Verdana" w:hAnsi="Verdana"/>
                <w:sz w:val="16"/>
                <w:szCs w:val="16"/>
              </w:rPr>
              <w:t>91, zevende lid</w:t>
            </w:r>
          </w:p>
        </w:tc>
        <w:tc>
          <w:tcPr>
            <w:tcW w:w="1625" w:type="dxa"/>
          </w:tcPr>
          <w:p w:rsidRPr="002C5EC5" w:rsidR="00334D7E" w:rsidP="00334D7E" w:rsidRDefault="00334D7E" w14:paraId="4156F252" w14:textId="77777777">
            <w:pPr>
              <w:spacing w:line="240" w:lineRule="atLeast"/>
              <w:rPr>
                <w:rFonts w:ascii="Verdana" w:hAnsi="Verdana"/>
                <w:sz w:val="16"/>
                <w:szCs w:val="16"/>
              </w:rPr>
            </w:pPr>
            <w:r w:rsidRPr="002C5EC5">
              <w:rPr>
                <w:rFonts w:ascii="Verdana" w:hAnsi="Verdana"/>
                <w:sz w:val="16"/>
                <w:szCs w:val="16"/>
              </w:rPr>
              <w:t xml:space="preserve">Behoeft geen implementatie: Dynamische verwijzing naar artikel 91, zevende lid, </w:t>
            </w:r>
            <w:r>
              <w:rPr>
                <w:rFonts w:ascii="Verdana" w:hAnsi="Verdana"/>
                <w:sz w:val="16"/>
                <w:szCs w:val="16"/>
              </w:rPr>
              <w:t xml:space="preserve">CRD </w:t>
            </w:r>
            <w:r w:rsidRPr="002C5EC5">
              <w:rPr>
                <w:rFonts w:ascii="Verdana" w:hAnsi="Verdana"/>
                <w:sz w:val="16"/>
                <w:szCs w:val="16"/>
              </w:rPr>
              <w:t>in artikel 3:8 en 4:9.0a Wft</w:t>
            </w:r>
          </w:p>
        </w:tc>
        <w:tc>
          <w:tcPr>
            <w:tcW w:w="1274" w:type="dxa"/>
          </w:tcPr>
          <w:p w:rsidRPr="002C5EC5" w:rsidR="00334D7E" w:rsidP="00334D7E" w:rsidRDefault="00334D7E" w14:paraId="3F9B090F"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39B7530D" w14:textId="77777777">
            <w:pPr>
              <w:rPr>
                <w:rFonts w:ascii="Verdana" w:hAnsi="Verdana"/>
                <w:sz w:val="16"/>
                <w:szCs w:val="16"/>
              </w:rPr>
            </w:pPr>
          </w:p>
        </w:tc>
      </w:tr>
      <w:tr w:rsidR="00334D7E" w:rsidTr="00CA30A2" w14:paraId="1E2AEDE8" w14:textId="77777777">
        <w:tc>
          <w:tcPr>
            <w:tcW w:w="1552" w:type="dxa"/>
          </w:tcPr>
          <w:p w:rsidRPr="00DD0008" w:rsidR="00334D7E" w:rsidP="00334D7E" w:rsidRDefault="00334D7E" w14:paraId="355E2B60" w14:textId="391A5B1F">
            <w:pPr>
              <w:rPr>
                <w:rFonts w:ascii="Verdana" w:hAnsi="Verdana"/>
                <w:sz w:val="16"/>
                <w:szCs w:val="16"/>
              </w:rPr>
            </w:pPr>
            <w:r w:rsidRPr="00C764C3">
              <w:rPr>
                <w:rFonts w:ascii="Verdana" w:hAnsi="Verdana"/>
                <w:sz w:val="16"/>
                <w:szCs w:val="16"/>
              </w:rPr>
              <w:t>1, lid 30</w:t>
            </w:r>
          </w:p>
        </w:tc>
        <w:tc>
          <w:tcPr>
            <w:tcW w:w="1514" w:type="dxa"/>
          </w:tcPr>
          <w:p w:rsidRPr="002C5EC5" w:rsidR="00334D7E" w:rsidP="00334D7E" w:rsidRDefault="00334D7E" w14:paraId="78B2E4A1" w14:textId="77777777">
            <w:pPr>
              <w:rPr>
                <w:rFonts w:ascii="Verdana" w:hAnsi="Verdana"/>
                <w:sz w:val="16"/>
                <w:szCs w:val="16"/>
              </w:rPr>
            </w:pPr>
            <w:r w:rsidRPr="002C5EC5">
              <w:rPr>
                <w:rFonts w:ascii="Verdana" w:hAnsi="Verdana"/>
                <w:sz w:val="16"/>
                <w:szCs w:val="16"/>
              </w:rPr>
              <w:t>91, achtste lid</w:t>
            </w:r>
          </w:p>
        </w:tc>
        <w:tc>
          <w:tcPr>
            <w:tcW w:w="1625" w:type="dxa"/>
          </w:tcPr>
          <w:p w:rsidRPr="002C5EC5" w:rsidR="00334D7E" w:rsidP="00334D7E" w:rsidRDefault="00334D7E" w14:paraId="01F9DDC4" w14:textId="77777777">
            <w:pPr>
              <w:spacing w:line="240" w:lineRule="atLeast"/>
              <w:rPr>
                <w:rFonts w:ascii="Verdana" w:hAnsi="Verdana"/>
                <w:sz w:val="16"/>
                <w:szCs w:val="16"/>
              </w:rPr>
            </w:pPr>
            <w:r w:rsidRPr="002C5EC5">
              <w:rPr>
                <w:rFonts w:ascii="Verdana" w:hAnsi="Verdana"/>
                <w:sz w:val="16"/>
                <w:szCs w:val="16"/>
              </w:rPr>
              <w:t>Behoeft geen implementatie: dynamische verwijzing naar artikel 91, tiende lid, CRD in artikel 3:8, derde lid, Wft.</w:t>
            </w:r>
          </w:p>
        </w:tc>
        <w:tc>
          <w:tcPr>
            <w:tcW w:w="1274" w:type="dxa"/>
          </w:tcPr>
          <w:p w:rsidRPr="002C5EC5" w:rsidR="00334D7E" w:rsidP="00334D7E" w:rsidRDefault="00334D7E" w14:paraId="69BD639E"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21A3A62E" w14:textId="77777777">
            <w:pPr>
              <w:rPr>
                <w:rFonts w:ascii="Verdana" w:hAnsi="Verdana"/>
                <w:sz w:val="16"/>
                <w:szCs w:val="16"/>
              </w:rPr>
            </w:pPr>
          </w:p>
        </w:tc>
      </w:tr>
      <w:tr w:rsidR="00334D7E" w:rsidTr="00CA30A2" w14:paraId="5553D2D7" w14:textId="77777777">
        <w:tc>
          <w:tcPr>
            <w:tcW w:w="1552" w:type="dxa"/>
          </w:tcPr>
          <w:p w:rsidRPr="00DD0008" w:rsidR="00334D7E" w:rsidP="00334D7E" w:rsidRDefault="00334D7E" w14:paraId="6FF5A3C9" w14:textId="35B0F4F3">
            <w:pPr>
              <w:rPr>
                <w:rFonts w:ascii="Verdana" w:hAnsi="Verdana"/>
                <w:sz w:val="16"/>
                <w:szCs w:val="16"/>
              </w:rPr>
            </w:pPr>
            <w:r w:rsidRPr="00C764C3">
              <w:rPr>
                <w:rFonts w:ascii="Verdana" w:hAnsi="Verdana"/>
                <w:sz w:val="16"/>
                <w:szCs w:val="16"/>
              </w:rPr>
              <w:t>1, lid 30</w:t>
            </w:r>
          </w:p>
        </w:tc>
        <w:tc>
          <w:tcPr>
            <w:tcW w:w="1514" w:type="dxa"/>
          </w:tcPr>
          <w:p w:rsidRPr="002C5EC5" w:rsidR="00334D7E" w:rsidP="00334D7E" w:rsidRDefault="00334D7E" w14:paraId="3D99534D" w14:textId="77777777">
            <w:pPr>
              <w:rPr>
                <w:rFonts w:ascii="Verdana" w:hAnsi="Verdana"/>
                <w:sz w:val="16"/>
                <w:szCs w:val="16"/>
              </w:rPr>
            </w:pPr>
            <w:r w:rsidRPr="002C5EC5">
              <w:rPr>
                <w:rFonts w:ascii="Verdana" w:hAnsi="Verdana"/>
                <w:sz w:val="16"/>
                <w:szCs w:val="16"/>
              </w:rPr>
              <w:t>91, negende lid</w:t>
            </w:r>
          </w:p>
        </w:tc>
        <w:tc>
          <w:tcPr>
            <w:tcW w:w="1625" w:type="dxa"/>
          </w:tcPr>
          <w:p w:rsidRPr="002C5EC5" w:rsidR="00334D7E" w:rsidP="00334D7E" w:rsidRDefault="00334D7E" w14:paraId="3E1D7F6C" w14:textId="77777777">
            <w:pPr>
              <w:spacing w:line="240" w:lineRule="atLeast"/>
              <w:rPr>
                <w:rFonts w:ascii="Verdana" w:hAnsi="Verdana"/>
                <w:sz w:val="16"/>
                <w:szCs w:val="16"/>
              </w:rPr>
            </w:pPr>
            <w:r>
              <w:rPr>
                <w:rFonts w:ascii="Verdana" w:hAnsi="Verdana"/>
                <w:sz w:val="16"/>
                <w:szCs w:val="16"/>
              </w:rPr>
              <w:t>Volgt bij implementatieregeling</w:t>
            </w:r>
            <w:r w:rsidRPr="002C5EC5">
              <w:rPr>
                <w:rFonts w:ascii="Verdana" w:hAnsi="Verdana"/>
                <w:sz w:val="16"/>
                <w:szCs w:val="16"/>
              </w:rPr>
              <w:t xml:space="preserve"> </w:t>
            </w:r>
            <w:r>
              <w:rPr>
                <w:rFonts w:ascii="Verdana" w:hAnsi="Verdana"/>
                <w:sz w:val="16"/>
                <w:szCs w:val="16"/>
              </w:rPr>
              <w:t>(Bijlage 6 Rtt)</w:t>
            </w:r>
          </w:p>
        </w:tc>
        <w:tc>
          <w:tcPr>
            <w:tcW w:w="1274" w:type="dxa"/>
          </w:tcPr>
          <w:p w:rsidRPr="002C5EC5" w:rsidR="00334D7E" w:rsidP="00334D7E" w:rsidRDefault="00334D7E" w14:paraId="0CAE32E5"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11E33ACF" w14:textId="77777777">
            <w:pPr>
              <w:rPr>
                <w:rFonts w:ascii="Verdana" w:hAnsi="Verdana"/>
                <w:sz w:val="16"/>
                <w:szCs w:val="16"/>
              </w:rPr>
            </w:pPr>
          </w:p>
        </w:tc>
      </w:tr>
      <w:tr w:rsidR="00334D7E" w:rsidTr="00CA30A2" w14:paraId="256533FA" w14:textId="77777777">
        <w:tc>
          <w:tcPr>
            <w:tcW w:w="1552" w:type="dxa"/>
          </w:tcPr>
          <w:p w:rsidRPr="00DD0008" w:rsidR="00334D7E" w:rsidP="00334D7E" w:rsidRDefault="00334D7E" w14:paraId="0BCC726D" w14:textId="248FD3A8">
            <w:pPr>
              <w:rPr>
                <w:rFonts w:ascii="Verdana" w:hAnsi="Verdana"/>
                <w:sz w:val="16"/>
                <w:szCs w:val="16"/>
              </w:rPr>
            </w:pPr>
            <w:r w:rsidRPr="00C764C3">
              <w:rPr>
                <w:rFonts w:ascii="Verdana" w:hAnsi="Verdana"/>
                <w:sz w:val="16"/>
                <w:szCs w:val="16"/>
              </w:rPr>
              <w:t>1, lid 30</w:t>
            </w:r>
          </w:p>
        </w:tc>
        <w:tc>
          <w:tcPr>
            <w:tcW w:w="1514" w:type="dxa"/>
          </w:tcPr>
          <w:p w:rsidRPr="002C5EC5" w:rsidR="00334D7E" w:rsidP="00334D7E" w:rsidRDefault="00334D7E" w14:paraId="3D4E7DCA" w14:textId="77777777">
            <w:pPr>
              <w:rPr>
                <w:rFonts w:ascii="Verdana" w:hAnsi="Verdana"/>
                <w:sz w:val="16"/>
                <w:szCs w:val="16"/>
              </w:rPr>
            </w:pPr>
            <w:r w:rsidRPr="002C5EC5">
              <w:rPr>
                <w:rFonts w:ascii="Verdana" w:hAnsi="Verdana"/>
                <w:sz w:val="16"/>
                <w:szCs w:val="16"/>
              </w:rPr>
              <w:t>91, tiende lid, eerste, derde en vierde alinea</w:t>
            </w:r>
          </w:p>
        </w:tc>
        <w:tc>
          <w:tcPr>
            <w:tcW w:w="1625" w:type="dxa"/>
          </w:tcPr>
          <w:p w:rsidR="00334D7E" w:rsidP="00334D7E" w:rsidRDefault="00334D7E" w14:paraId="073C7F16" w14:textId="77777777">
            <w:pPr>
              <w:spacing w:line="240" w:lineRule="atLeast"/>
              <w:rPr>
                <w:rFonts w:ascii="Verdana" w:hAnsi="Verdana"/>
                <w:sz w:val="16"/>
                <w:szCs w:val="16"/>
              </w:rPr>
            </w:pPr>
            <w:r w:rsidRPr="002C5EC5">
              <w:rPr>
                <w:rFonts w:ascii="Verdana" w:hAnsi="Verdana"/>
                <w:sz w:val="16"/>
                <w:szCs w:val="16"/>
              </w:rPr>
              <w:t>Behoeft</w:t>
            </w:r>
            <w:r>
              <w:rPr>
                <w:rFonts w:ascii="Verdana" w:hAnsi="Verdana"/>
                <w:sz w:val="16"/>
                <w:szCs w:val="16"/>
              </w:rPr>
              <w:t xml:space="preserve"> naar zijn aard</w:t>
            </w:r>
            <w:r w:rsidRPr="002C5EC5">
              <w:rPr>
                <w:rFonts w:ascii="Verdana" w:hAnsi="Verdana"/>
                <w:sz w:val="16"/>
                <w:szCs w:val="16"/>
              </w:rPr>
              <w:t xml:space="preserve"> geen implementatie: bepaling gericht tot EBA</w:t>
            </w:r>
          </w:p>
        </w:tc>
        <w:tc>
          <w:tcPr>
            <w:tcW w:w="1274" w:type="dxa"/>
          </w:tcPr>
          <w:p w:rsidRPr="002C5EC5" w:rsidR="00334D7E" w:rsidP="00334D7E" w:rsidRDefault="00334D7E" w14:paraId="36E41428"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66E61FF7" w14:textId="77777777">
            <w:pPr>
              <w:rPr>
                <w:rFonts w:ascii="Verdana" w:hAnsi="Verdana"/>
                <w:sz w:val="16"/>
                <w:szCs w:val="16"/>
              </w:rPr>
            </w:pPr>
          </w:p>
        </w:tc>
      </w:tr>
      <w:tr w:rsidR="00334D7E" w:rsidTr="00CA30A2" w14:paraId="47023E82" w14:textId="77777777">
        <w:tc>
          <w:tcPr>
            <w:tcW w:w="1552" w:type="dxa"/>
          </w:tcPr>
          <w:p w:rsidRPr="00DD0008" w:rsidR="00334D7E" w:rsidP="00334D7E" w:rsidRDefault="00334D7E" w14:paraId="3687D137" w14:textId="6D0C1BE4">
            <w:pPr>
              <w:rPr>
                <w:rFonts w:ascii="Verdana" w:hAnsi="Verdana"/>
                <w:sz w:val="16"/>
                <w:szCs w:val="16"/>
              </w:rPr>
            </w:pPr>
            <w:r w:rsidRPr="00C764C3">
              <w:rPr>
                <w:rFonts w:ascii="Verdana" w:hAnsi="Verdana"/>
                <w:sz w:val="16"/>
                <w:szCs w:val="16"/>
              </w:rPr>
              <w:t>1, lid 30</w:t>
            </w:r>
          </w:p>
        </w:tc>
        <w:tc>
          <w:tcPr>
            <w:tcW w:w="1514" w:type="dxa"/>
          </w:tcPr>
          <w:p w:rsidRPr="002C5EC5" w:rsidR="00334D7E" w:rsidP="00334D7E" w:rsidRDefault="00334D7E" w14:paraId="13720B31" w14:textId="77777777">
            <w:pPr>
              <w:rPr>
                <w:rFonts w:ascii="Verdana" w:hAnsi="Verdana"/>
                <w:sz w:val="16"/>
                <w:szCs w:val="16"/>
              </w:rPr>
            </w:pPr>
            <w:r w:rsidRPr="002C5EC5">
              <w:rPr>
                <w:rFonts w:ascii="Verdana" w:hAnsi="Verdana"/>
                <w:sz w:val="16"/>
                <w:szCs w:val="16"/>
              </w:rPr>
              <w:t>91, tiende lid, tweede alinea</w:t>
            </w:r>
          </w:p>
        </w:tc>
        <w:tc>
          <w:tcPr>
            <w:tcW w:w="1625" w:type="dxa"/>
          </w:tcPr>
          <w:p w:rsidRPr="002C5EC5" w:rsidR="00334D7E" w:rsidP="00334D7E" w:rsidRDefault="00334D7E" w14:paraId="192412F9" w14:textId="77777777">
            <w:pPr>
              <w:spacing w:line="240" w:lineRule="atLeast"/>
              <w:rPr>
                <w:rFonts w:ascii="Verdana" w:hAnsi="Verdana"/>
                <w:sz w:val="16"/>
                <w:szCs w:val="16"/>
              </w:rPr>
            </w:pPr>
            <w:r w:rsidRPr="002C5EC5">
              <w:rPr>
                <w:rFonts w:ascii="Verdana" w:hAnsi="Verdana"/>
                <w:sz w:val="16"/>
                <w:szCs w:val="16"/>
              </w:rPr>
              <w:t>Behoeft geen implementatie: bestaand recht in artikel 3:8, eerste lid, en 3:9, eerste lid, Wft</w:t>
            </w:r>
          </w:p>
        </w:tc>
        <w:tc>
          <w:tcPr>
            <w:tcW w:w="1274" w:type="dxa"/>
          </w:tcPr>
          <w:p w:rsidRPr="002C5EC5" w:rsidR="00334D7E" w:rsidP="00334D7E" w:rsidRDefault="00334D7E" w14:paraId="17F88877"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349804F0" w14:textId="77777777">
            <w:pPr>
              <w:rPr>
                <w:rFonts w:ascii="Verdana" w:hAnsi="Verdana"/>
                <w:sz w:val="16"/>
                <w:szCs w:val="16"/>
              </w:rPr>
            </w:pPr>
          </w:p>
        </w:tc>
      </w:tr>
      <w:tr w:rsidR="00334D7E" w:rsidTr="00CA30A2" w14:paraId="7DFD9261" w14:textId="77777777">
        <w:tc>
          <w:tcPr>
            <w:tcW w:w="1552" w:type="dxa"/>
          </w:tcPr>
          <w:p w:rsidRPr="00DD0008" w:rsidR="00334D7E" w:rsidP="00334D7E" w:rsidRDefault="00334D7E" w14:paraId="3C24DA77" w14:textId="2A17CF4D">
            <w:pPr>
              <w:rPr>
                <w:rFonts w:ascii="Verdana" w:hAnsi="Verdana"/>
                <w:sz w:val="16"/>
                <w:szCs w:val="16"/>
              </w:rPr>
            </w:pPr>
            <w:r w:rsidRPr="00C764C3">
              <w:rPr>
                <w:rFonts w:ascii="Verdana" w:hAnsi="Verdana"/>
                <w:sz w:val="16"/>
                <w:szCs w:val="16"/>
              </w:rPr>
              <w:t>1, lid 30</w:t>
            </w:r>
          </w:p>
        </w:tc>
        <w:tc>
          <w:tcPr>
            <w:tcW w:w="1514" w:type="dxa"/>
          </w:tcPr>
          <w:p w:rsidRPr="002C5EC5" w:rsidR="00334D7E" w:rsidP="00334D7E" w:rsidRDefault="00334D7E" w14:paraId="6CDDEDE1" w14:textId="77777777">
            <w:pPr>
              <w:rPr>
                <w:rFonts w:ascii="Verdana" w:hAnsi="Verdana"/>
                <w:sz w:val="16"/>
                <w:szCs w:val="16"/>
              </w:rPr>
            </w:pPr>
            <w:r w:rsidRPr="002C5EC5">
              <w:rPr>
                <w:rFonts w:ascii="Verdana" w:hAnsi="Verdana"/>
                <w:sz w:val="16"/>
                <w:szCs w:val="16"/>
              </w:rPr>
              <w:t>91, elfde lid</w:t>
            </w:r>
          </w:p>
        </w:tc>
        <w:tc>
          <w:tcPr>
            <w:tcW w:w="1625" w:type="dxa"/>
          </w:tcPr>
          <w:p w:rsidRPr="002C5EC5" w:rsidR="00334D7E" w:rsidP="00334D7E" w:rsidRDefault="00334D7E" w14:paraId="18FBCB19" w14:textId="77777777">
            <w:pPr>
              <w:spacing w:line="240" w:lineRule="atLeast"/>
              <w:rPr>
                <w:rFonts w:ascii="Verdana" w:hAnsi="Verdana"/>
                <w:sz w:val="16"/>
                <w:szCs w:val="16"/>
              </w:rPr>
            </w:pPr>
            <w:r w:rsidRPr="000B1931">
              <w:rPr>
                <w:rFonts w:ascii="Verdana" w:hAnsi="Verdana"/>
                <w:sz w:val="16"/>
                <w:szCs w:val="16"/>
              </w:rPr>
              <w:t>Behoeft naar zijn aard geen implementatie: bepaling gericht tot EBA</w:t>
            </w:r>
          </w:p>
        </w:tc>
        <w:tc>
          <w:tcPr>
            <w:tcW w:w="1274" w:type="dxa"/>
          </w:tcPr>
          <w:p w:rsidRPr="002C5EC5" w:rsidR="00334D7E" w:rsidP="00334D7E" w:rsidRDefault="00334D7E" w14:paraId="0EAB4963"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5C2B237E" w14:textId="77777777">
            <w:pPr>
              <w:rPr>
                <w:rFonts w:ascii="Verdana" w:hAnsi="Verdana"/>
                <w:sz w:val="16"/>
                <w:szCs w:val="16"/>
              </w:rPr>
            </w:pPr>
          </w:p>
        </w:tc>
      </w:tr>
      <w:tr w:rsidR="00334D7E" w:rsidTr="00CA30A2" w14:paraId="75E3B9CD" w14:textId="77777777">
        <w:tc>
          <w:tcPr>
            <w:tcW w:w="1552" w:type="dxa"/>
          </w:tcPr>
          <w:p w:rsidRPr="00DD0008" w:rsidR="00334D7E" w:rsidP="00334D7E" w:rsidRDefault="00334D7E" w14:paraId="03E58BE0" w14:textId="1EC38ED6">
            <w:pPr>
              <w:rPr>
                <w:rFonts w:ascii="Verdana" w:hAnsi="Verdana"/>
                <w:sz w:val="16"/>
                <w:szCs w:val="16"/>
              </w:rPr>
            </w:pPr>
            <w:r w:rsidRPr="00C764C3">
              <w:rPr>
                <w:rFonts w:ascii="Verdana" w:hAnsi="Verdana"/>
                <w:sz w:val="16"/>
                <w:szCs w:val="16"/>
              </w:rPr>
              <w:t>1, lid 30</w:t>
            </w:r>
          </w:p>
        </w:tc>
        <w:tc>
          <w:tcPr>
            <w:tcW w:w="1514" w:type="dxa"/>
          </w:tcPr>
          <w:p w:rsidRPr="002C5EC5" w:rsidR="00334D7E" w:rsidP="00334D7E" w:rsidRDefault="00334D7E" w14:paraId="1833D4F0" w14:textId="77777777">
            <w:pPr>
              <w:rPr>
                <w:rFonts w:ascii="Verdana" w:hAnsi="Verdana"/>
                <w:sz w:val="16"/>
                <w:szCs w:val="16"/>
              </w:rPr>
            </w:pPr>
            <w:r w:rsidRPr="002C5EC5">
              <w:rPr>
                <w:rFonts w:ascii="Verdana" w:hAnsi="Verdana"/>
                <w:sz w:val="16"/>
                <w:szCs w:val="16"/>
              </w:rPr>
              <w:t>91, twaalfde lid</w:t>
            </w:r>
          </w:p>
        </w:tc>
        <w:tc>
          <w:tcPr>
            <w:tcW w:w="1625" w:type="dxa"/>
          </w:tcPr>
          <w:p w:rsidRPr="000B1931" w:rsidR="00334D7E" w:rsidP="00334D7E" w:rsidRDefault="00334D7E" w14:paraId="177CB662" w14:textId="77777777">
            <w:pPr>
              <w:spacing w:line="240" w:lineRule="atLeast"/>
              <w:rPr>
                <w:rFonts w:ascii="Verdana" w:hAnsi="Verdana"/>
                <w:sz w:val="16"/>
                <w:szCs w:val="16"/>
              </w:rPr>
            </w:pPr>
            <w:r w:rsidRPr="000B1931">
              <w:rPr>
                <w:rFonts w:ascii="Verdana" w:hAnsi="Verdana"/>
                <w:sz w:val="16"/>
                <w:szCs w:val="16"/>
              </w:rPr>
              <w:t>Behoeft naar zijn aard geen implementatie: bepaling gericht tot EBA</w:t>
            </w:r>
          </w:p>
        </w:tc>
        <w:tc>
          <w:tcPr>
            <w:tcW w:w="1274" w:type="dxa"/>
          </w:tcPr>
          <w:p w:rsidRPr="002C5EC5" w:rsidR="00334D7E" w:rsidP="00334D7E" w:rsidRDefault="00334D7E" w14:paraId="266D941C"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54D7CD16" w14:textId="77777777">
            <w:pPr>
              <w:rPr>
                <w:rFonts w:ascii="Verdana" w:hAnsi="Verdana"/>
                <w:sz w:val="16"/>
                <w:szCs w:val="16"/>
              </w:rPr>
            </w:pPr>
          </w:p>
        </w:tc>
      </w:tr>
      <w:tr w:rsidR="00334D7E" w:rsidTr="00CA30A2" w14:paraId="03338CDB" w14:textId="77777777">
        <w:tc>
          <w:tcPr>
            <w:tcW w:w="1552" w:type="dxa"/>
          </w:tcPr>
          <w:p w:rsidRPr="00DD0008" w:rsidR="00334D7E" w:rsidP="00334D7E" w:rsidRDefault="00334D7E" w14:paraId="3C5BF47E" w14:textId="1DDC8CA2">
            <w:pPr>
              <w:rPr>
                <w:rFonts w:ascii="Verdana" w:hAnsi="Verdana"/>
                <w:sz w:val="16"/>
                <w:szCs w:val="16"/>
              </w:rPr>
            </w:pPr>
            <w:r w:rsidRPr="00C764C3">
              <w:rPr>
                <w:rFonts w:ascii="Verdana" w:hAnsi="Verdana"/>
                <w:sz w:val="16"/>
                <w:szCs w:val="16"/>
              </w:rPr>
              <w:t>1, lid 30</w:t>
            </w:r>
          </w:p>
        </w:tc>
        <w:tc>
          <w:tcPr>
            <w:tcW w:w="1514" w:type="dxa"/>
          </w:tcPr>
          <w:p w:rsidRPr="002C5EC5" w:rsidR="00334D7E" w:rsidP="00334D7E" w:rsidRDefault="00334D7E" w14:paraId="2EBF6BE7" w14:textId="77777777">
            <w:pPr>
              <w:rPr>
                <w:rFonts w:ascii="Verdana" w:hAnsi="Verdana"/>
                <w:sz w:val="16"/>
                <w:szCs w:val="16"/>
              </w:rPr>
            </w:pPr>
            <w:r w:rsidRPr="002C5EC5">
              <w:rPr>
                <w:rFonts w:ascii="Verdana" w:hAnsi="Verdana"/>
                <w:sz w:val="16"/>
                <w:szCs w:val="16"/>
              </w:rPr>
              <w:t>91, dertiende lid</w:t>
            </w:r>
          </w:p>
        </w:tc>
        <w:tc>
          <w:tcPr>
            <w:tcW w:w="1625" w:type="dxa"/>
          </w:tcPr>
          <w:p w:rsidRPr="000B1931" w:rsidR="00334D7E" w:rsidP="00334D7E" w:rsidRDefault="00334D7E" w14:paraId="009B4680"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Niet relevant voor Nederland.</w:t>
            </w:r>
          </w:p>
        </w:tc>
        <w:tc>
          <w:tcPr>
            <w:tcW w:w="1274" w:type="dxa"/>
          </w:tcPr>
          <w:p w:rsidRPr="002C5EC5" w:rsidR="00334D7E" w:rsidP="00334D7E" w:rsidRDefault="00334D7E" w14:paraId="5FEC5E36"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09E722ED" w14:textId="77777777">
            <w:pPr>
              <w:rPr>
                <w:rFonts w:ascii="Verdana" w:hAnsi="Verdana"/>
                <w:sz w:val="16"/>
                <w:szCs w:val="16"/>
              </w:rPr>
            </w:pPr>
          </w:p>
        </w:tc>
      </w:tr>
      <w:tr w:rsidR="00334D7E" w:rsidTr="00CA30A2" w14:paraId="5537E452" w14:textId="77777777">
        <w:tc>
          <w:tcPr>
            <w:tcW w:w="1552" w:type="dxa"/>
          </w:tcPr>
          <w:p w:rsidRPr="00DD0008" w:rsidR="00334D7E" w:rsidP="00334D7E" w:rsidRDefault="00334D7E" w14:paraId="6BAF6E38" w14:textId="2F0A5C1A">
            <w:pPr>
              <w:rPr>
                <w:rFonts w:ascii="Verdana" w:hAnsi="Verdana"/>
                <w:sz w:val="16"/>
                <w:szCs w:val="16"/>
              </w:rPr>
            </w:pPr>
            <w:r w:rsidRPr="00C764C3">
              <w:rPr>
                <w:rFonts w:ascii="Verdana" w:hAnsi="Verdana"/>
                <w:sz w:val="16"/>
                <w:szCs w:val="16"/>
              </w:rPr>
              <w:t>1, lid 30</w:t>
            </w:r>
          </w:p>
        </w:tc>
        <w:tc>
          <w:tcPr>
            <w:tcW w:w="1514" w:type="dxa"/>
          </w:tcPr>
          <w:p w:rsidRPr="002C5EC5" w:rsidR="00334D7E" w:rsidP="00334D7E" w:rsidRDefault="00334D7E" w14:paraId="4424512F" w14:textId="77777777">
            <w:pPr>
              <w:rPr>
                <w:rFonts w:ascii="Verdana" w:hAnsi="Verdana"/>
                <w:sz w:val="16"/>
                <w:szCs w:val="16"/>
              </w:rPr>
            </w:pPr>
            <w:r w:rsidRPr="002C5EC5">
              <w:rPr>
                <w:rFonts w:ascii="Verdana" w:hAnsi="Verdana"/>
                <w:sz w:val="16"/>
                <w:szCs w:val="16"/>
              </w:rPr>
              <w:t>91, veertiende lid</w:t>
            </w:r>
          </w:p>
        </w:tc>
        <w:tc>
          <w:tcPr>
            <w:tcW w:w="1625" w:type="dxa"/>
          </w:tcPr>
          <w:p w:rsidRPr="002C5EC5" w:rsidR="00334D7E" w:rsidP="00334D7E" w:rsidRDefault="00334D7E" w14:paraId="404B45C6"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Niet relevant voor Nederland.</w:t>
            </w:r>
          </w:p>
        </w:tc>
        <w:tc>
          <w:tcPr>
            <w:tcW w:w="1274" w:type="dxa"/>
          </w:tcPr>
          <w:p w:rsidRPr="002C5EC5" w:rsidR="00334D7E" w:rsidP="00334D7E" w:rsidRDefault="00334D7E" w14:paraId="22C0A4A2" w14:textId="77777777">
            <w:pPr>
              <w:rPr>
                <w:rFonts w:ascii="Verdana" w:hAnsi="Verdana"/>
                <w:sz w:val="16"/>
                <w:szCs w:val="16"/>
              </w:rPr>
            </w:pPr>
            <w:r w:rsidRPr="002C5EC5">
              <w:rPr>
                <w:rFonts w:ascii="Verdana" w:hAnsi="Verdana"/>
                <w:sz w:val="16"/>
                <w:szCs w:val="16"/>
              </w:rPr>
              <w:t>Geen</w:t>
            </w:r>
          </w:p>
        </w:tc>
        <w:tc>
          <w:tcPr>
            <w:tcW w:w="1422" w:type="dxa"/>
          </w:tcPr>
          <w:p w:rsidRPr="002C5EC5" w:rsidR="00334D7E" w:rsidP="00334D7E" w:rsidRDefault="00334D7E" w14:paraId="53789D50" w14:textId="77777777">
            <w:pPr>
              <w:rPr>
                <w:rFonts w:ascii="Verdana" w:hAnsi="Verdana"/>
                <w:sz w:val="16"/>
                <w:szCs w:val="16"/>
              </w:rPr>
            </w:pPr>
          </w:p>
        </w:tc>
      </w:tr>
      <w:tr w:rsidR="00CA30A2" w:rsidTr="00CA30A2" w14:paraId="174548D0" w14:textId="77777777">
        <w:tc>
          <w:tcPr>
            <w:tcW w:w="1552" w:type="dxa"/>
          </w:tcPr>
          <w:p w:rsidRPr="00DD0008" w:rsidR="00CA30A2" w:rsidP="008549EB" w:rsidRDefault="00334D7E" w14:paraId="5C3F0AF5" w14:textId="7D53EFB9">
            <w:pPr>
              <w:rPr>
                <w:rFonts w:ascii="Verdana" w:hAnsi="Verdana"/>
                <w:sz w:val="16"/>
                <w:szCs w:val="16"/>
              </w:rPr>
            </w:pPr>
            <w:r>
              <w:rPr>
                <w:rFonts w:ascii="Verdana" w:hAnsi="Verdana"/>
                <w:sz w:val="16"/>
                <w:szCs w:val="16"/>
              </w:rPr>
              <w:t xml:space="preserve">1, lid </w:t>
            </w:r>
            <w:r w:rsidR="00CA30A2">
              <w:rPr>
                <w:rFonts w:ascii="Verdana" w:hAnsi="Verdana"/>
                <w:sz w:val="16"/>
                <w:szCs w:val="16"/>
              </w:rPr>
              <w:t>31</w:t>
            </w:r>
          </w:p>
        </w:tc>
        <w:tc>
          <w:tcPr>
            <w:tcW w:w="1514" w:type="dxa"/>
          </w:tcPr>
          <w:p w:rsidRPr="002C5EC5" w:rsidR="00CA30A2" w:rsidP="008549EB" w:rsidRDefault="00CA30A2" w14:paraId="79944BCA" w14:textId="77777777">
            <w:pPr>
              <w:rPr>
                <w:rFonts w:ascii="Verdana" w:hAnsi="Verdana"/>
                <w:sz w:val="16"/>
                <w:szCs w:val="16"/>
              </w:rPr>
            </w:pPr>
            <w:r w:rsidRPr="002C5EC5">
              <w:rPr>
                <w:rFonts w:ascii="Verdana" w:hAnsi="Verdana"/>
                <w:sz w:val="16"/>
                <w:szCs w:val="16"/>
              </w:rPr>
              <w:t>91 bis, eerste lid</w:t>
            </w:r>
          </w:p>
        </w:tc>
        <w:tc>
          <w:tcPr>
            <w:tcW w:w="1625" w:type="dxa"/>
          </w:tcPr>
          <w:p w:rsidRPr="002C5EC5" w:rsidR="00CA30A2" w:rsidP="008549EB" w:rsidRDefault="00CA30A2" w14:paraId="492C8F13" w14:textId="77777777">
            <w:pPr>
              <w:spacing w:line="240" w:lineRule="atLeast"/>
              <w:rPr>
                <w:rFonts w:ascii="Verdana" w:hAnsi="Verdana"/>
                <w:sz w:val="16"/>
                <w:szCs w:val="16"/>
              </w:rPr>
            </w:pPr>
            <w:r>
              <w:rPr>
                <w:rFonts w:ascii="Verdana" w:hAnsi="Verdana"/>
                <w:sz w:val="16"/>
                <w:szCs w:val="16"/>
              </w:rPr>
              <w:t>Artikel I, onderdelen BB en IIII (</w:t>
            </w:r>
            <w:r w:rsidRPr="002C5EC5">
              <w:rPr>
                <w:rFonts w:ascii="Verdana" w:hAnsi="Verdana"/>
                <w:sz w:val="16"/>
                <w:szCs w:val="16"/>
              </w:rPr>
              <w:t>3:9b, 4:10a Wft</w:t>
            </w:r>
            <w:r>
              <w:rPr>
                <w:rFonts w:ascii="Verdana" w:hAnsi="Verdana"/>
                <w:sz w:val="16"/>
                <w:szCs w:val="16"/>
              </w:rPr>
              <w:t>)</w:t>
            </w:r>
          </w:p>
        </w:tc>
        <w:tc>
          <w:tcPr>
            <w:tcW w:w="1274" w:type="dxa"/>
          </w:tcPr>
          <w:p w:rsidRPr="002C5EC5" w:rsidR="00CA30A2" w:rsidP="008549EB" w:rsidRDefault="00CA30A2" w14:paraId="4D79AE22"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501A2D36" w14:textId="77777777">
            <w:pPr>
              <w:rPr>
                <w:rFonts w:ascii="Verdana" w:hAnsi="Verdana"/>
                <w:sz w:val="16"/>
                <w:szCs w:val="16"/>
              </w:rPr>
            </w:pPr>
          </w:p>
        </w:tc>
      </w:tr>
      <w:tr w:rsidR="00CA30A2" w:rsidTr="00CA30A2" w14:paraId="6EB54A8C" w14:textId="77777777">
        <w:tc>
          <w:tcPr>
            <w:tcW w:w="1552" w:type="dxa"/>
          </w:tcPr>
          <w:p w:rsidRPr="00DD0008" w:rsidR="00CA30A2" w:rsidP="008549EB" w:rsidRDefault="00334D7E" w14:paraId="5806FF05" w14:textId="4EEB1CB3">
            <w:pPr>
              <w:rPr>
                <w:rFonts w:ascii="Verdana" w:hAnsi="Verdana"/>
                <w:sz w:val="16"/>
                <w:szCs w:val="16"/>
              </w:rPr>
            </w:pPr>
            <w:r>
              <w:rPr>
                <w:rFonts w:ascii="Verdana" w:hAnsi="Verdana"/>
                <w:sz w:val="16"/>
                <w:szCs w:val="16"/>
              </w:rPr>
              <w:t xml:space="preserve">1, lid </w:t>
            </w:r>
            <w:r w:rsidRPr="00537A52" w:rsidR="00CA30A2">
              <w:rPr>
                <w:rFonts w:ascii="Verdana" w:hAnsi="Verdana"/>
                <w:sz w:val="16"/>
                <w:szCs w:val="16"/>
              </w:rPr>
              <w:t>31</w:t>
            </w:r>
          </w:p>
        </w:tc>
        <w:tc>
          <w:tcPr>
            <w:tcW w:w="1514" w:type="dxa"/>
          </w:tcPr>
          <w:p w:rsidRPr="002C5EC5" w:rsidR="00CA30A2" w:rsidP="008549EB" w:rsidRDefault="00CA30A2" w14:paraId="1F724A25" w14:textId="77777777">
            <w:pPr>
              <w:rPr>
                <w:rFonts w:ascii="Verdana" w:hAnsi="Verdana"/>
                <w:sz w:val="16"/>
                <w:szCs w:val="16"/>
              </w:rPr>
            </w:pPr>
            <w:r w:rsidRPr="002C5EC5">
              <w:rPr>
                <w:rFonts w:ascii="Verdana" w:hAnsi="Verdana"/>
                <w:sz w:val="16"/>
                <w:szCs w:val="16"/>
              </w:rPr>
              <w:t>91 bis, tweede tot en met zevende lid</w:t>
            </w:r>
          </w:p>
        </w:tc>
        <w:tc>
          <w:tcPr>
            <w:tcW w:w="1625" w:type="dxa"/>
          </w:tcPr>
          <w:p w:rsidR="00CA30A2" w:rsidP="008549EB" w:rsidRDefault="00CA30A2" w14:paraId="7E93336C" w14:textId="77777777">
            <w:pPr>
              <w:spacing w:line="240" w:lineRule="atLeast"/>
              <w:rPr>
                <w:rFonts w:ascii="Verdana" w:hAnsi="Verdana"/>
                <w:sz w:val="16"/>
                <w:szCs w:val="16"/>
              </w:rPr>
            </w:pPr>
            <w:r>
              <w:rPr>
                <w:rFonts w:ascii="Verdana" w:hAnsi="Verdana"/>
                <w:sz w:val="16"/>
                <w:szCs w:val="16"/>
              </w:rPr>
              <w:t>Artikel I, onderdelen BB en IIII (</w:t>
            </w:r>
            <w:r w:rsidRPr="002C5EC5">
              <w:rPr>
                <w:rFonts w:ascii="Verdana" w:hAnsi="Verdana"/>
                <w:sz w:val="16"/>
                <w:szCs w:val="16"/>
              </w:rPr>
              <w:t>3:9b, 4:10a Wft</w:t>
            </w:r>
            <w:r>
              <w:rPr>
                <w:rFonts w:ascii="Verdana" w:hAnsi="Verdana"/>
                <w:sz w:val="16"/>
                <w:szCs w:val="16"/>
              </w:rPr>
              <w:t>)</w:t>
            </w:r>
          </w:p>
          <w:p w:rsidR="00CA30A2" w:rsidP="008549EB" w:rsidRDefault="00CA30A2" w14:paraId="7028A919" w14:textId="77777777">
            <w:pPr>
              <w:spacing w:line="240" w:lineRule="atLeast"/>
              <w:rPr>
                <w:rFonts w:ascii="Verdana" w:hAnsi="Verdana"/>
                <w:sz w:val="16"/>
                <w:szCs w:val="16"/>
              </w:rPr>
            </w:pPr>
          </w:p>
          <w:p w:rsidR="00CA30A2" w:rsidP="008549EB" w:rsidRDefault="00CA30A2" w14:paraId="62EC0F74" w14:textId="77777777">
            <w:pPr>
              <w:spacing w:line="240" w:lineRule="atLeast"/>
              <w:rPr>
                <w:rFonts w:ascii="Verdana" w:hAnsi="Verdana"/>
                <w:sz w:val="16"/>
                <w:szCs w:val="16"/>
              </w:rPr>
            </w:pPr>
            <w:r>
              <w:rPr>
                <w:rFonts w:ascii="Verdana" w:hAnsi="Verdana"/>
                <w:sz w:val="16"/>
                <w:szCs w:val="16"/>
              </w:rPr>
              <w:t>Volgt bij implementatiebesluit</w:t>
            </w:r>
          </w:p>
        </w:tc>
        <w:tc>
          <w:tcPr>
            <w:tcW w:w="1274" w:type="dxa"/>
          </w:tcPr>
          <w:p w:rsidRPr="002C5EC5" w:rsidR="00CA30A2" w:rsidP="008549EB" w:rsidRDefault="00CA30A2" w14:paraId="1519BA39"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1709D176" w14:textId="77777777">
            <w:pPr>
              <w:rPr>
                <w:rFonts w:ascii="Verdana" w:hAnsi="Verdana"/>
                <w:sz w:val="16"/>
                <w:szCs w:val="16"/>
              </w:rPr>
            </w:pPr>
          </w:p>
        </w:tc>
      </w:tr>
      <w:tr w:rsidR="00CA30A2" w:rsidTr="00CA30A2" w14:paraId="4955C079" w14:textId="77777777">
        <w:tc>
          <w:tcPr>
            <w:tcW w:w="1552" w:type="dxa"/>
          </w:tcPr>
          <w:p w:rsidRPr="00DD0008" w:rsidR="00CA30A2" w:rsidP="008549EB" w:rsidRDefault="00334D7E" w14:paraId="3BF9BCEB" w14:textId="56813BB8">
            <w:pPr>
              <w:rPr>
                <w:rFonts w:ascii="Verdana" w:hAnsi="Verdana"/>
                <w:sz w:val="16"/>
                <w:szCs w:val="16"/>
              </w:rPr>
            </w:pPr>
            <w:r>
              <w:rPr>
                <w:rFonts w:ascii="Verdana" w:hAnsi="Verdana"/>
                <w:sz w:val="16"/>
                <w:szCs w:val="16"/>
              </w:rPr>
              <w:t xml:space="preserve">1, lid </w:t>
            </w:r>
            <w:r w:rsidRPr="00537A52" w:rsidR="00CA30A2">
              <w:rPr>
                <w:rFonts w:ascii="Verdana" w:hAnsi="Verdana"/>
                <w:sz w:val="16"/>
                <w:szCs w:val="16"/>
              </w:rPr>
              <w:t>31</w:t>
            </w:r>
          </w:p>
        </w:tc>
        <w:tc>
          <w:tcPr>
            <w:tcW w:w="1514" w:type="dxa"/>
          </w:tcPr>
          <w:p w:rsidRPr="002C5EC5" w:rsidR="00CA30A2" w:rsidP="008549EB" w:rsidRDefault="00CA30A2" w14:paraId="76D1581D" w14:textId="77777777">
            <w:pPr>
              <w:rPr>
                <w:rFonts w:ascii="Verdana" w:hAnsi="Verdana"/>
                <w:sz w:val="16"/>
                <w:szCs w:val="16"/>
              </w:rPr>
            </w:pPr>
            <w:r w:rsidRPr="002C5EC5">
              <w:rPr>
                <w:rFonts w:ascii="Verdana" w:hAnsi="Verdana"/>
                <w:sz w:val="16"/>
                <w:szCs w:val="16"/>
              </w:rPr>
              <w:t>91 bis, achtste lid</w:t>
            </w:r>
          </w:p>
        </w:tc>
        <w:tc>
          <w:tcPr>
            <w:tcW w:w="1625" w:type="dxa"/>
          </w:tcPr>
          <w:p w:rsidR="00CA30A2" w:rsidP="008549EB" w:rsidRDefault="00CA30A2" w14:paraId="582E3B15" w14:textId="77777777">
            <w:pPr>
              <w:spacing w:line="240" w:lineRule="atLeast"/>
              <w:rPr>
                <w:rFonts w:ascii="Verdana" w:hAnsi="Verdana"/>
                <w:sz w:val="16"/>
                <w:szCs w:val="16"/>
              </w:rPr>
            </w:pPr>
            <w:r w:rsidRPr="000B1931">
              <w:rPr>
                <w:rFonts w:ascii="Verdana" w:hAnsi="Verdana"/>
                <w:sz w:val="16"/>
                <w:szCs w:val="16"/>
              </w:rPr>
              <w:t>Behoeft naar zijn aard geen implementatie: bepaling gericht tot EBA</w:t>
            </w:r>
          </w:p>
        </w:tc>
        <w:tc>
          <w:tcPr>
            <w:tcW w:w="1274" w:type="dxa"/>
          </w:tcPr>
          <w:p w:rsidRPr="002C5EC5" w:rsidR="00CA30A2" w:rsidP="008549EB" w:rsidRDefault="00CA30A2" w14:paraId="009D79DC"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3458AF9C" w14:textId="77777777">
            <w:pPr>
              <w:rPr>
                <w:rFonts w:ascii="Verdana" w:hAnsi="Verdana"/>
                <w:sz w:val="16"/>
                <w:szCs w:val="16"/>
              </w:rPr>
            </w:pPr>
          </w:p>
        </w:tc>
      </w:tr>
      <w:tr w:rsidR="00CA30A2" w:rsidTr="00CA30A2" w14:paraId="79BC4205" w14:textId="77777777">
        <w:tc>
          <w:tcPr>
            <w:tcW w:w="1552" w:type="dxa"/>
          </w:tcPr>
          <w:p w:rsidRPr="00DD0008" w:rsidR="00CA30A2" w:rsidP="008549EB" w:rsidRDefault="00334D7E" w14:paraId="79C5CE43" w14:textId="05507C2A">
            <w:pPr>
              <w:rPr>
                <w:rFonts w:ascii="Verdana" w:hAnsi="Verdana"/>
                <w:sz w:val="16"/>
                <w:szCs w:val="16"/>
              </w:rPr>
            </w:pPr>
            <w:r>
              <w:rPr>
                <w:rFonts w:ascii="Verdana" w:hAnsi="Verdana"/>
                <w:sz w:val="16"/>
                <w:szCs w:val="16"/>
              </w:rPr>
              <w:t xml:space="preserve">1, lid </w:t>
            </w:r>
            <w:r w:rsidR="00CA30A2">
              <w:rPr>
                <w:rFonts w:ascii="Verdana" w:hAnsi="Verdana"/>
                <w:sz w:val="16"/>
                <w:szCs w:val="16"/>
              </w:rPr>
              <w:t>32</w:t>
            </w:r>
          </w:p>
        </w:tc>
        <w:tc>
          <w:tcPr>
            <w:tcW w:w="1514" w:type="dxa"/>
          </w:tcPr>
          <w:p w:rsidRPr="002C5EC5" w:rsidR="00CA30A2" w:rsidP="008549EB" w:rsidRDefault="00CA30A2" w14:paraId="3486E2DE" w14:textId="77777777">
            <w:pPr>
              <w:rPr>
                <w:rFonts w:ascii="Verdana" w:hAnsi="Verdana"/>
                <w:sz w:val="16"/>
                <w:szCs w:val="16"/>
              </w:rPr>
            </w:pPr>
            <w:r w:rsidRPr="002C5EC5">
              <w:rPr>
                <w:rFonts w:ascii="Verdana" w:hAnsi="Verdana"/>
                <w:sz w:val="16"/>
                <w:szCs w:val="16"/>
              </w:rPr>
              <w:t>92</w:t>
            </w:r>
          </w:p>
        </w:tc>
        <w:tc>
          <w:tcPr>
            <w:tcW w:w="1625" w:type="dxa"/>
          </w:tcPr>
          <w:p w:rsidRPr="000B1931" w:rsidR="00CA30A2" w:rsidP="008549EB" w:rsidRDefault="00CA30A2" w14:paraId="35BA224F" w14:textId="77777777">
            <w:pPr>
              <w:spacing w:line="240" w:lineRule="atLeast"/>
              <w:rPr>
                <w:rFonts w:ascii="Verdana" w:hAnsi="Verdana"/>
                <w:sz w:val="16"/>
                <w:szCs w:val="16"/>
              </w:rPr>
            </w:pPr>
            <w:r w:rsidRPr="002C5EC5">
              <w:rPr>
                <w:rFonts w:ascii="Verdana" w:hAnsi="Verdana"/>
                <w:sz w:val="16"/>
                <w:szCs w:val="16"/>
              </w:rPr>
              <w:t>Aanpassen van toezichthouderregeling op grond van artikel 1:117, vierde lid, Wft en toezichthouderregeling.</w:t>
            </w:r>
          </w:p>
        </w:tc>
        <w:tc>
          <w:tcPr>
            <w:tcW w:w="1274" w:type="dxa"/>
          </w:tcPr>
          <w:p w:rsidRPr="002C5EC5" w:rsidR="00CA30A2" w:rsidP="008549EB" w:rsidRDefault="00CA30A2" w14:paraId="40C30B5D"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1597C063" w14:textId="77777777">
            <w:pPr>
              <w:rPr>
                <w:rFonts w:ascii="Verdana" w:hAnsi="Verdana"/>
                <w:sz w:val="16"/>
                <w:szCs w:val="16"/>
              </w:rPr>
            </w:pPr>
          </w:p>
        </w:tc>
      </w:tr>
      <w:tr w:rsidR="00CA30A2" w:rsidTr="00CA30A2" w14:paraId="2C318C5C" w14:textId="77777777">
        <w:tc>
          <w:tcPr>
            <w:tcW w:w="1552" w:type="dxa"/>
          </w:tcPr>
          <w:p w:rsidRPr="00DD0008" w:rsidR="00CA30A2" w:rsidP="008549EB" w:rsidRDefault="00334D7E" w14:paraId="463DB287" w14:textId="15B91BCA">
            <w:pPr>
              <w:rPr>
                <w:rFonts w:ascii="Verdana" w:hAnsi="Verdana"/>
                <w:sz w:val="16"/>
                <w:szCs w:val="16"/>
              </w:rPr>
            </w:pPr>
            <w:r>
              <w:rPr>
                <w:rFonts w:ascii="Verdana" w:hAnsi="Verdana"/>
                <w:sz w:val="16"/>
                <w:szCs w:val="16"/>
              </w:rPr>
              <w:t xml:space="preserve">1, lid </w:t>
            </w:r>
            <w:r w:rsidR="00CA30A2">
              <w:rPr>
                <w:rFonts w:ascii="Verdana" w:hAnsi="Verdana"/>
                <w:sz w:val="16"/>
                <w:szCs w:val="16"/>
              </w:rPr>
              <w:t>33, onderdeel a</w:t>
            </w:r>
          </w:p>
        </w:tc>
        <w:tc>
          <w:tcPr>
            <w:tcW w:w="1514" w:type="dxa"/>
          </w:tcPr>
          <w:p w:rsidRPr="002C5EC5" w:rsidR="00CA30A2" w:rsidP="008549EB" w:rsidRDefault="00CA30A2" w14:paraId="47F6B07F" w14:textId="77777777">
            <w:pPr>
              <w:rPr>
                <w:rFonts w:ascii="Verdana" w:hAnsi="Verdana"/>
                <w:sz w:val="16"/>
                <w:szCs w:val="16"/>
              </w:rPr>
            </w:pPr>
            <w:r w:rsidRPr="002C5EC5">
              <w:rPr>
                <w:rFonts w:ascii="Verdana" w:hAnsi="Verdana"/>
                <w:sz w:val="16"/>
                <w:szCs w:val="16"/>
              </w:rPr>
              <w:t>94, eerste lid</w:t>
            </w:r>
          </w:p>
        </w:tc>
        <w:tc>
          <w:tcPr>
            <w:tcW w:w="1625" w:type="dxa"/>
          </w:tcPr>
          <w:p w:rsidRPr="002C5EC5" w:rsidR="00CA30A2" w:rsidP="008549EB" w:rsidRDefault="00CA30A2" w14:paraId="5DDDCE9A" w14:textId="77777777">
            <w:pPr>
              <w:spacing w:line="240" w:lineRule="atLeast"/>
              <w:rPr>
                <w:rFonts w:ascii="Verdana" w:hAnsi="Verdana"/>
                <w:sz w:val="16"/>
                <w:szCs w:val="16"/>
              </w:rPr>
            </w:pPr>
            <w:r w:rsidRPr="002C5EC5">
              <w:rPr>
                <w:rFonts w:ascii="Verdana" w:hAnsi="Verdana"/>
                <w:sz w:val="16"/>
                <w:szCs w:val="16"/>
              </w:rPr>
              <w:t>Aanpassen van toezichthouderregeling op grond van artikel 1:117, vierde lid, Wft en toezichthouderregeling.</w:t>
            </w:r>
          </w:p>
        </w:tc>
        <w:tc>
          <w:tcPr>
            <w:tcW w:w="1274" w:type="dxa"/>
          </w:tcPr>
          <w:p w:rsidRPr="002C5EC5" w:rsidR="00CA30A2" w:rsidP="008549EB" w:rsidRDefault="00CA30A2" w14:paraId="214BDB50"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76295F14" w14:textId="77777777">
            <w:pPr>
              <w:rPr>
                <w:rFonts w:ascii="Verdana" w:hAnsi="Verdana"/>
                <w:sz w:val="16"/>
                <w:szCs w:val="16"/>
              </w:rPr>
            </w:pPr>
          </w:p>
        </w:tc>
      </w:tr>
      <w:tr w:rsidR="00CA30A2" w:rsidTr="00CA30A2" w14:paraId="5E1B9D42" w14:textId="77777777">
        <w:tc>
          <w:tcPr>
            <w:tcW w:w="1552" w:type="dxa"/>
          </w:tcPr>
          <w:p w:rsidRPr="00DD0008" w:rsidR="00CA30A2" w:rsidP="008549EB" w:rsidRDefault="00334D7E" w14:paraId="03E27646" w14:textId="4BB8A1ED">
            <w:pPr>
              <w:rPr>
                <w:rFonts w:ascii="Verdana" w:hAnsi="Verdana"/>
                <w:sz w:val="16"/>
                <w:szCs w:val="16"/>
              </w:rPr>
            </w:pPr>
            <w:r>
              <w:rPr>
                <w:rFonts w:ascii="Verdana" w:hAnsi="Verdana"/>
                <w:sz w:val="16"/>
                <w:szCs w:val="16"/>
              </w:rPr>
              <w:t xml:space="preserve">1, lid </w:t>
            </w:r>
            <w:r w:rsidR="00CA30A2">
              <w:rPr>
                <w:rFonts w:ascii="Verdana" w:hAnsi="Verdana"/>
                <w:sz w:val="16"/>
                <w:szCs w:val="16"/>
              </w:rPr>
              <w:t>33, onderdeel b</w:t>
            </w:r>
          </w:p>
        </w:tc>
        <w:tc>
          <w:tcPr>
            <w:tcW w:w="1514" w:type="dxa"/>
          </w:tcPr>
          <w:p w:rsidRPr="002C5EC5" w:rsidR="00CA30A2" w:rsidP="008549EB" w:rsidRDefault="00CA30A2" w14:paraId="21E00E88" w14:textId="77777777">
            <w:pPr>
              <w:rPr>
                <w:rFonts w:ascii="Verdana" w:hAnsi="Verdana"/>
                <w:sz w:val="16"/>
                <w:szCs w:val="16"/>
              </w:rPr>
            </w:pPr>
            <w:r w:rsidRPr="002C5EC5">
              <w:rPr>
                <w:rFonts w:ascii="Verdana" w:hAnsi="Verdana"/>
                <w:sz w:val="16"/>
                <w:szCs w:val="16"/>
              </w:rPr>
              <w:t>94, tweede lid</w:t>
            </w:r>
          </w:p>
        </w:tc>
        <w:tc>
          <w:tcPr>
            <w:tcW w:w="1625" w:type="dxa"/>
          </w:tcPr>
          <w:p w:rsidRPr="002C5EC5" w:rsidR="00CA30A2" w:rsidP="008549EB" w:rsidRDefault="00CA30A2" w14:paraId="2B9A4C9A" w14:textId="77777777">
            <w:pPr>
              <w:spacing w:line="240" w:lineRule="atLeast"/>
              <w:rPr>
                <w:rFonts w:ascii="Verdana" w:hAnsi="Verdana"/>
                <w:sz w:val="16"/>
                <w:szCs w:val="16"/>
              </w:rPr>
            </w:pPr>
            <w:r w:rsidRPr="000B1931">
              <w:rPr>
                <w:rFonts w:ascii="Verdana" w:hAnsi="Verdana"/>
                <w:sz w:val="16"/>
                <w:szCs w:val="16"/>
              </w:rPr>
              <w:t>Behoeft naar zijn aard geen implementatie: bepaling gericht tot EBA</w:t>
            </w:r>
          </w:p>
        </w:tc>
        <w:tc>
          <w:tcPr>
            <w:tcW w:w="1274" w:type="dxa"/>
          </w:tcPr>
          <w:p w:rsidRPr="002C5EC5" w:rsidR="00CA30A2" w:rsidP="008549EB" w:rsidRDefault="00CA30A2" w14:paraId="59797793"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23ED351F" w14:textId="77777777">
            <w:pPr>
              <w:rPr>
                <w:rFonts w:ascii="Verdana" w:hAnsi="Verdana"/>
                <w:sz w:val="16"/>
                <w:szCs w:val="16"/>
              </w:rPr>
            </w:pPr>
          </w:p>
        </w:tc>
      </w:tr>
      <w:tr w:rsidR="00CA30A2" w:rsidTr="00CA30A2" w14:paraId="5D6EE2F6" w14:textId="77777777">
        <w:tc>
          <w:tcPr>
            <w:tcW w:w="1552" w:type="dxa"/>
          </w:tcPr>
          <w:p w:rsidRPr="00DD0008" w:rsidR="00CA30A2" w:rsidP="008549EB" w:rsidRDefault="00334D7E" w14:paraId="646CD340" w14:textId="553E290C">
            <w:pPr>
              <w:rPr>
                <w:rFonts w:ascii="Verdana" w:hAnsi="Verdana"/>
                <w:sz w:val="16"/>
                <w:szCs w:val="16"/>
              </w:rPr>
            </w:pPr>
            <w:r>
              <w:rPr>
                <w:rFonts w:ascii="Verdana" w:hAnsi="Verdana"/>
                <w:sz w:val="16"/>
                <w:szCs w:val="16"/>
              </w:rPr>
              <w:t xml:space="preserve">1, lid </w:t>
            </w:r>
            <w:r w:rsidR="00CA30A2">
              <w:rPr>
                <w:rFonts w:ascii="Verdana" w:hAnsi="Verdana"/>
                <w:sz w:val="16"/>
                <w:szCs w:val="16"/>
              </w:rPr>
              <w:t>33, onderdeel c</w:t>
            </w:r>
          </w:p>
        </w:tc>
        <w:tc>
          <w:tcPr>
            <w:tcW w:w="1514" w:type="dxa"/>
          </w:tcPr>
          <w:p w:rsidRPr="002C5EC5" w:rsidR="00CA30A2" w:rsidP="008549EB" w:rsidRDefault="00CA30A2" w14:paraId="3DF13C21" w14:textId="77777777">
            <w:pPr>
              <w:rPr>
                <w:rFonts w:ascii="Verdana" w:hAnsi="Verdana"/>
                <w:sz w:val="16"/>
                <w:szCs w:val="16"/>
              </w:rPr>
            </w:pPr>
            <w:r w:rsidRPr="002C5EC5">
              <w:rPr>
                <w:rFonts w:ascii="Verdana" w:hAnsi="Verdana"/>
                <w:sz w:val="16"/>
                <w:szCs w:val="16"/>
              </w:rPr>
              <w:t>94, derde lid</w:t>
            </w:r>
          </w:p>
        </w:tc>
        <w:tc>
          <w:tcPr>
            <w:tcW w:w="1625" w:type="dxa"/>
          </w:tcPr>
          <w:p w:rsidRPr="000B1931" w:rsidR="00CA30A2" w:rsidP="008549EB" w:rsidRDefault="00CA30A2" w14:paraId="6A9C9DD2"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d</w:t>
            </w:r>
            <w:r w:rsidRPr="002C5EC5">
              <w:rPr>
                <w:rFonts w:ascii="Verdana" w:hAnsi="Verdana"/>
                <w:sz w:val="16"/>
                <w:szCs w:val="16"/>
              </w:rPr>
              <w:t xml:space="preserve">ynamische verwijzing naar 94, derde lid, </w:t>
            </w:r>
            <w:r>
              <w:rPr>
                <w:rFonts w:ascii="Verdana" w:hAnsi="Verdana"/>
                <w:sz w:val="16"/>
                <w:szCs w:val="16"/>
              </w:rPr>
              <w:t xml:space="preserve">CRD </w:t>
            </w:r>
            <w:r w:rsidRPr="002C5EC5">
              <w:rPr>
                <w:rFonts w:ascii="Verdana" w:hAnsi="Verdana"/>
                <w:sz w:val="16"/>
                <w:szCs w:val="16"/>
              </w:rPr>
              <w:t>op grond van artikel 1:117, vierde lid, Wft en toezichthouderregeling.</w:t>
            </w:r>
          </w:p>
        </w:tc>
        <w:tc>
          <w:tcPr>
            <w:tcW w:w="1274" w:type="dxa"/>
          </w:tcPr>
          <w:p w:rsidRPr="002C5EC5" w:rsidR="00CA30A2" w:rsidP="008549EB" w:rsidRDefault="00CA30A2" w14:paraId="155F6758"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080C5D95" w14:textId="77777777">
            <w:pPr>
              <w:rPr>
                <w:rFonts w:ascii="Verdana" w:hAnsi="Verdana"/>
                <w:sz w:val="16"/>
                <w:szCs w:val="16"/>
              </w:rPr>
            </w:pPr>
          </w:p>
        </w:tc>
      </w:tr>
      <w:tr w:rsidR="00CA30A2" w:rsidTr="00CA30A2" w14:paraId="42F739A8" w14:textId="77777777">
        <w:tc>
          <w:tcPr>
            <w:tcW w:w="1552" w:type="dxa"/>
          </w:tcPr>
          <w:p w:rsidRPr="00DD0008" w:rsidR="00CA30A2" w:rsidP="008549EB" w:rsidRDefault="00334D7E" w14:paraId="0205DC4D" w14:textId="14F30CF0">
            <w:pPr>
              <w:rPr>
                <w:rFonts w:ascii="Verdana" w:hAnsi="Verdana"/>
                <w:sz w:val="16"/>
                <w:szCs w:val="16"/>
              </w:rPr>
            </w:pPr>
            <w:r>
              <w:rPr>
                <w:rFonts w:ascii="Verdana" w:hAnsi="Verdana"/>
                <w:sz w:val="16"/>
                <w:szCs w:val="16"/>
              </w:rPr>
              <w:t xml:space="preserve">1, lid </w:t>
            </w:r>
            <w:r w:rsidR="00CA30A2">
              <w:rPr>
                <w:rFonts w:ascii="Verdana" w:hAnsi="Verdana"/>
                <w:sz w:val="16"/>
                <w:szCs w:val="16"/>
              </w:rPr>
              <w:t>34</w:t>
            </w:r>
          </w:p>
        </w:tc>
        <w:tc>
          <w:tcPr>
            <w:tcW w:w="1514" w:type="dxa"/>
          </w:tcPr>
          <w:p w:rsidRPr="002C5EC5" w:rsidR="00CA30A2" w:rsidP="008549EB" w:rsidRDefault="00CA30A2" w14:paraId="35E11CC9" w14:textId="77777777">
            <w:pPr>
              <w:rPr>
                <w:rFonts w:ascii="Verdana" w:hAnsi="Verdana"/>
                <w:sz w:val="16"/>
                <w:szCs w:val="16"/>
              </w:rPr>
            </w:pPr>
            <w:r w:rsidRPr="002C5EC5">
              <w:rPr>
                <w:rFonts w:ascii="Verdana" w:hAnsi="Verdana"/>
                <w:sz w:val="16"/>
                <w:szCs w:val="16"/>
              </w:rPr>
              <w:t>97, vierde lid, tweede alinea</w:t>
            </w:r>
          </w:p>
        </w:tc>
        <w:tc>
          <w:tcPr>
            <w:tcW w:w="1625" w:type="dxa"/>
          </w:tcPr>
          <w:p w:rsidRPr="002C5EC5" w:rsidR="00CA30A2" w:rsidP="008549EB" w:rsidRDefault="00CA30A2" w14:paraId="181A284F"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b</w:t>
            </w:r>
            <w:r w:rsidRPr="002C5EC5">
              <w:rPr>
                <w:rFonts w:ascii="Verdana" w:hAnsi="Verdana"/>
                <w:sz w:val="16"/>
                <w:szCs w:val="16"/>
              </w:rPr>
              <w:t>estaand recht in 1a Rtgs</w:t>
            </w:r>
          </w:p>
        </w:tc>
        <w:tc>
          <w:tcPr>
            <w:tcW w:w="1274" w:type="dxa"/>
          </w:tcPr>
          <w:p w:rsidRPr="002C5EC5" w:rsidR="00CA30A2" w:rsidP="008549EB" w:rsidRDefault="00CA30A2" w14:paraId="3E892EA6"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2FCF68E1" w14:textId="77777777">
            <w:pPr>
              <w:rPr>
                <w:rFonts w:ascii="Verdana" w:hAnsi="Verdana"/>
                <w:sz w:val="16"/>
                <w:szCs w:val="16"/>
              </w:rPr>
            </w:pPr>
          </w:p>
        </w:tc>
      </w:tr>
      <w:tr w:rsidR="00CA30A2" w:rsidTr="00CA30A2" w14:paraId="581F45E6" w14:textId="77777777">
        <w:tc>
          <w:tcPr>
            <w:tcW w:w="1552" w:type="dxa"/>
          </w:tcPr>
          <w:p w:rsidRPr="00DD0008" w:rsidR="00CA30A2" w:rsidP="008549EB" w:rsidRDefault="00334D7E" w14:paraId="216BCB88" w14:textId="16E35E51">
            <w:pPr>
              <w:rPr>
                <w:rFonts w:ascii="Verdana" w:hAnsi="Verdana"/>
                <w:sz w:val="16"/>
                <w:szCs w:val="16"/>
              </w:rPr>
            </w:pPr>
            <w:r>
              <w:rPr>
                <w:rFonts w:ascii="Verdana" w:hAnsi="Verdana"/>
                <w:sz w:val="16"/>
                <w:szCs w:val="16"/>
              </w:rPr>
              <w:t xml:space="preserve">1, lid </w:t>
            </w:r>
            <w:r w:rsidR="00CA30A2">
              <w:rPr>
                <w:rFonts w:ascii="Verdana" w:hAnsi="Verdana"/>
                <w:sz w:val="16"/>
                <w:szCs w:val="16"/>
              </w:rPr>
              <w:t>35</w:t>
            </w:r>
          </w:p>
        </w:tc>
        <w:tc>
          <w:tcPr>
            <w:tcW w:w="1514" w:type="dxa"/>
          </w:tcPr>
          <w:p w:rsidRPr="002C5EC5" w:rsidR="00CA30A2" w:rsidP="008549EB" w:rsidRDefault="00CA30A2" w14:paraId="3F6BF0A8" w14:textId="77777777">
            <w:pPr>
              <w:rPr>
                <w:rFonts w:ascii="Verdana" w:hAnsi="Verdana"/>
                <w:sz w:val="16"/>
                <w:szCs w:val="16"/>
              </w:rPr>
            </w:pPr>
            <w:r w:rsidRPr="002C5EC5">
              <w:rPr>
                <w:rFonts w:ascii="Verdana" w:hAnsi="Verdana"/>
                <w:sz w:val="16"/>
                <w:szCs w:val="16"/>
              </w:rPr>
              <w:t>98, eerste, negende en tiende lid</w:t>
            </w:r>
          </w:p>
        </w:tc>
        <w:tc>
          <w:tcPr>
            <w:tcW w:w="1625" w:type="dxa"/>
          </w:tcPr>
          <w:p w:rsidRPr="002C5EC5" w:rsidR="00CA30A2" w:rsidP="008549EB" w:rsidRDefault="00CA30A2" w14:paraId="2AFC251D"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d</w:t>
            </w:r>
            <w:r w:rsidRPr="002C5EC5">
              <w:rPr>
                <w:rFonts w:ascii="Verdana" w:hAnsi="Verdana"/>
                <w:sz w:val="16"/>
                <w:szCs w:val="16"/>
              </w:rPr>
              <w:t>ynamische verwijzing naar artikel 98 CRD in 3:18a Wft</w:t>
            </w:r>
          </w:p>
        </w:tc>
        <w:tc>
          <w:tcPr>
            <w:tcW w:w="1274" w:type="dxa"/>
          </w:tcPr>
          <w:p w:rsidRPr="002C5EC5" w:rsidR="00CA30A2" w:rsidP="008549EB" w:rsidRDefault="00CA30A2" w14:paraId="26289956"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7E8F3CDF" w14:textId="77777777">
            <w:pPr>
              <w:rPr>
                <w:rFonts w:ascii="Verdana" w:hAnsi="Verdana"/>
                <w:sz w:val="16"/>
                <w:szCs w:val="16"/>
              </w:rPr>
            </w:pPr>
          </w:p>
        </w:tc>
      </w:tr>
      <w:tr w:rsidR="00CA30A2" w:rsidTr="00CA30A2" w14:paraId="2B987DCC" w14:textId="77777777">
        <w:tc>
          <w:tcPr>
            <w:tcW w:w="1552" w:type="dxa"/>
          </w:tcPr>
          <w:p w:rsidRPr="00DD0008" w:rsidR="00CA30A2" w:rsidP="008549EB" w:rsidRDefault="00334D7E" w14:paraId="42C97161" w14:textId="44AA4C28">
            <w:pPr>
              <w:rPr>
                <w:rFonts w:ascii="Verdana" w:hAnsi="Verdana"/>
                <w:sz w:val="16"/>
                <w:szCs w:val="16"/>
              </w:rPr>
            </w:pPr>
            <w:r>
              <w:rPr>
                <w:rFonts w:ascii="Verdana" w:hAnsi="Verdana"/>
                <w:sz w:val="16"/>
                <w:szCs w:val="16"/>
              </w:rPr>
              <w:t xml:space="preserve">1, lid </w:t>
            </w:r>
            <w:r w:rsidR="00CA30A2">
              <w:rPr>
                <w:rFonts w:ascii="Verdana" w:hAnsi="Verdana"/>
                <w:sz w:val="16"/>
                <w:szCs w:val="16"/>
              </w:rPr>
              <w:t>36</w:t>
            </w:r>
          </w:p>
        </w:tc>
        <w:tc>
          <w:tcPr>
            <w:tcW w:w="1514" w:type="dxa"/>
          </w:tcPr>
          <w:p w:rsidRPr="002C5EC5" w:rsidR="00CA30A2" w:rsidP="008549EB" w:rsidRDefault="00CA30A2" w14:paraId="450F7480" w14:textId="77777777">
            <w:pPr>
              <w:rPr>
                <w:rFonts w:ascii="Verdana" w:hAnsi="Verdana"/>
                <w:sz w:val="16"/>
                <w:szCs w:val="16"/>
              </w:rPr>
            </w:pPr>
            <w:r w:rsidRPr="002C5EC5">
              <w:rPr>
                <w:rFonts w:ascii="Verdana" w:hAnsi="Verdana"/>
                <w:sz w:val="16"/>
                <w:szCs w:val="16"/>
              </w:rPr>
              <w:t>100, derde lid</w:t>
            </w:r>
          </w:p>
        </w:tc>
        <w:tc>
          <w:tcPr>
            <w:tcW w:w="1625" w:type="dxa"/>
          </w:tcPr>
          <w:p w:rsidRPr="002C5EC5" w:rsidR="00CA30A2" w:rsidP="008549EB" w:rsidRDefault="00CA30A2" w14:paraId="7CF5194E" w14:textId="77777777">
            <w:pPr>
              <w:spacing w:line="240" w:lineRule="atLeast"/>
              <w:rPr>
                <w:rFonts w:ascii="Verdana" w:hAnsi="Verdana"/>
                <w:sz w:val="16"/>
                <w:szCs w:val="16"/>
              </w:rPr>
            </w:pPr>
            <w:r>
              <w:rPr>
                <w:rFonts w:ascii="Verdana" w:hAnsi="Verdana"/>
                <w:sz w:val="16"/>
                <w:szCs w:val="16"/>
              </w:rPr>
              <w:t>Artikel I, onderdeel DD (</w:t>
            </w:r>
            <w:r w:rsidRPr="002C5EC5">
              <w:rPr>
                <w:rFonts w:ascii="Verdana" w:hAnsi="Verdana"/>
                <w:sz w:val="16"/>
                <w:szCs w:val="16"/>
              </w:rPr>
              <w:t>3:18a.1 Wft</w:t>
            </w:r>
            <w:r>
              <w:rPr>
                <w:rFonts w:ascii="Verdana" w:hAnsi="Verdana"/>
                <w:sz w:val="16"/>
                <w:szCs w:val="16"/>
              </w:rPr>
              <w:t>)</w:t>
            </w:r>
          </w:p>
        </w:tc>
        <w:tc>
          <w:tcPr>
            <w:tcW w:w="1274" w:type="dxa"/>
          </w:tcPr>
          <w:p w:rsidRPr="002C5EC5" w:rsidR="00CA30A2" w:rsidP="008549EB" w:rsidRDefault="00CA30A2" w14:paraId="61D8B820"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521C87F4" w14:textId="77777777">
            <w:pPr>
              <w:rPr>
                <w:rFonts w:ascii="Verdana" w:hAnsi="Verdana"/>
                <w:sz w:val="16"/>
                <w:szCs w:val="16"/>
              </w:rPr>
            </w:pPr>
          </w:p>
        </w:tc>
      </w:tr>
      <w:tr w:rsidR="00CA30A2" w:rsidTr="00CA30A2" w14:paraId="26572C4B" w14:textId="77777777">
        <w:tc>
          <w:tcPr>
            <w:tcW w:w="1552" w:type="dxa"/>
          </w:tcPr>
          <w:p w:rsidRPr="00DD0008" w:rsidR="00CA30A2" w:rsidP="008549EB" w:rsidRDefault="00334D7E" w14:paraId="141ED301" w14:textId="7B93E6FE">
            <w:pPr>
              <w:rPr>
                <w:rFonts w:ascii="Verdana" w:hAnsi="Verdana"/>
                <w:sz w:val="16"/>
                <w:szCs w:val="16"/>
              </w:rPr>
            </w:pPr>
            <w:r>
              <w:rPr>
                <w:rFonts w:ascii="Verdana" w:hAnsi="Verdana"/>
                <w:sz w:val="16"/>
                <w:szCs w:val="16"/>
              </w:rPr>
              <w:t xml:space="preserve">1, lid </w:t>
            </w:r>
            <w:r w:rsidR="00CA30A2">
              <w:rPr>
                <w:rFonts w:ascii="Verdana" w:hAnsi="Verdana"/>
                <w:sz w:val="16"/>
                <w:szCs w:val="16"/>
              </w:rPr>
              <w:t>36</w:t>
            </w:r>
          </w:p>
        </w:tc>
        <w:tc>
          <w:tcPr>
            <w:tcW w:w="1514" w:type="dxa"/>
          </w:tcPr>
          <w:p w:rsidRPr="002C5EC5" w:rsidR="00CA30A2" w:rsidP="008549EB" w:rsidRDefault="00CA30A2" w14:paraId="7D91834F" w14:textId="77777777">
            <w:pPr>
              <w:rPr>
                <w:rFonts w:ascii="Verdana" w:hAnsi="Verdana"/>
                <w:sz w:val="16"/>
                <w:szCs w:val="16"/>
              </w:rPr>
            </w:pPr>
            <w:r w:rsidRPr="002C5EC5">
              <w:rPr>
                <w:rFonts w:ascii="Verdana" w:hAnsi="Verdana"/>
                <w:sz w:val="16"/>
                <w:szCs w:val="16"/>
              </w:rPr>
              <w:t>100, vierde lid</w:t>
            </w:r>
          </w:p>
        </w:tc>
        <w:tc>
          <w:tcPr>
            <w:tcW w:w="1625" w:type="dxa"/>
          </w:tcPr>
          <w:p w:rsidR="00CA30A2" w:rsidP="008549EB" w:rsidRDefault="00CA30A2" w14:paraId="52676582" w14:textId="77777777">
            <w:pPr>
              <w:spacing w:line="240" w:lineRule="atLeast"/>
              <w:rPr>
                <w:rFonts w:ascii="Verdana" w:hAnsi="Verdana"/>
                <w:sz w:val="16"/>
                <w:szCs w:val="16"/>
              </w:rPr>
            </w:pPr>
            <w:r w:rsidRPr="000B1931">
              <w:rPr>
                <w:rFonts w:ascii="Verdana" w:hAnsi="Verdana"/>
                <w:sz w:val="16"/>
                <w:szCs w:val="16"/>
              </w:rPr>
              <w:t>Behoeft naar zijn aard geen implementatie: bepaling gericht tot E</w:t>
            </w:r>
            <w:r>
              <w:rPr>
                <w:rFonts w:ascii="Verdana" w:hAnsi="Verdana"/>
                <w:sz w:val="16"/>
                <w:szCs w:val="16"/>
              </w:rPr>
              <w:t>SA’s</w:t>
            </w:r>
          </w:p>
        </w:tc>
        <w:tc>
          <w:tcPr>
            <w:tcW w:w="1274" w:type="dxa"/>
          </w:tcPr>
          <w:p w:rsidRPr="002C5EC5" w:rsidR="00CA30A2" w:rsidP="008549EB" w:rsidRDefault="00CA30A2" w14:paraId="63AE1726"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28BAEE5D" w14:textId="77777777">
            <w:pPr>
              <w:rPr>
                <w:rFonts w:ascii="Verdana" w:hAnsi="Verdana"/>
                <w:sz w:val="16"/>
                <w:szCs w:val="16"/>
              </w:rPr>
            </w:pPr>
          </w:p>
        </w:tc>
      </w:tr>
      <w:tr w:rsidR="00CA30A2" w:rsidTr="00CA30A2" w14:paraId="548CE739" w14:textId="77777777">
        <w:tc>
          <w:tcPr>
            <w:tcW w:w="1552" w:type="dxa"/>
          </w:tcPr>
          <w:p w:rsidRPr="00DD0008" w:rsidR="00CA30A2" w:rsidP="008549EB" w:rsidRDefault="00334D7E" w14:paraId="794B1029" w14:textId="40D461F9">
            <w:pPr>
              <w:rPr>
                <w:rFonts w:ascii="Verdana" w:hAnsi="Verdana"/>
                <w:sz w:val="16"/>
                <w:szCs w:val="16"/>
              </w:rPr>
            </w:pPr>
            <w:r>
              <w:rPr>
                <w:rFonts w:ascii="Verdana" w:hAnsi="Verdana"/>
                <w:sz w:val="16"/>
                <w:szCs w:val="16"/>
              </w:rPr>
              <w:t xml:space="preserve">1, lid </w:t>
            </w:r>
            <w:r w:rsidR="00CA30A2">
              <w:rPr>
                <w:rFonts w:ascii="Verdana" w:hAnsi="Verdana"/>
                <w:sz w:val="16"/>
                <w:szCs w:val="16"/>
              </w:rPr>
              <w:t>37</w:t>
            </w:r>
          </w:p>
        </w:tc>
        <w:tc>
          <w:tcPr>
            <w:tcW w:w="1514" w:type="dxa"/>
          </w:tcPr>
          <w:p w:rsidRPr="002C5EC5" w:rsidR="00CA30A2" w:rsidP="008549EB" w:rsidRDefault="00CA30A2" w14:paraId="4FB7E9B5" w14:textId="77777777">
            <w:pPr>
              <w:rPr>
                <w:rFonts w:ascii="Verdana" w:hAnsi="Verdana"/>
                <w:sz w:val="16"/>
                <w:szCs w:val="16"/>
              </w:rPr>
            </w:pPr>
            <w:r w:rsidRPr="002C5EC5">
              <w:rPr>
                <w:rFonts w:ascii="Verdana" w:hAnsi="Verdana"/>
                <w:sz w:val="16"/>
                <w:szCs w:val="16"/>
              </w:rPr>
              <w:t>101, derde lid</w:t>
            </w:r>
          </w:p>
        </w:tc>
        <w:tc>
          <w:tcPr>
            <w:tcW w:w="1625" w:type="dxa"/>
          </w:tcPr>
          <w:p w:rsidRPr="000B1931" w:rsidR="00CA30A2" w:rsidP="008549EB" w:rsidRDefault="00CA30A2" w14:paraId="5D8DA57C" w14:textId="77777777">
            <w:pPr>
              <w:spacing w:line="240" w:lineRule="atLeast"/>
              <w:rPr>
                <w:rFonts w:ascii="Verdana" w:hAnsi="Verdana"/>
                <w:sz w:val="16"/>
                <w:szCs w:val="16"/>
              </w:rPr>
            </w:pPr>
            <w:r>
              <w:rPr>
                <w:rFonts w:ascii="Verdana" w:hAnsi="Verdana"/>
                <w:sz w:val="16"/>
                <w:szCs w:val="16"/>
              </w:rPr>
              <w:t>Volgt bij implementatiebesluit (</w:t>
            </w:r>
            <w:r w:rsidRPr="002C5EC5">
              <w:rPr>
                <w:rFonts w:ascii="Verdana" w:hAnsi="Verdana"/>
                <w:sz w:val="16"/>
                <w:szCs w:val="16"/>
              </w:rPr>
              <w:t>69, derde lid, Bpr</w:t>
            </w:r>
            <w:r>
              <w:rPr>
                <w:rFonts w:ascii="Verdana" w:hAnsi="Verdana"/>
                <w:sz w:val="16"/>
                <w:szCs w:val="16"/>
              </w:rPr>
              <w:t>)</w:t>
            </w:r>
          </w:p>
        </w:tc>
        <w:tc>
          <w:tcPr>
            <w:tcW w:w="1274" w:type="dxa"/>
          </w:tcPr>
          <w:p w:rsidRPr="002C5EC5" w:rsidR="00CA30A2" w:rsidP="008549EB" w:rsidRDefault="00CA30A2" w14:paraId="1E1272FF"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44D25829" w14:textId="77777777">
            <w:pPr>
              <w:rPr>
                <w:rFonts w:ascii="Verdana" w:hAnsi="Verdana"/>
                <w:sz w:val="16"/>
                <w:szCs w:val="16"/>
              </w:rPr>
            </w:pPr>
          </w:p>
        </w:tc>
      </w:tr>
      <w:tr w:rsidR="00CA30A2" w:rsidTr="00CA30A2" w14:paraId="6FF480A1" w14:textId="77777777">
        <w:tc>
          <w:tcPr>
            <w:tcW w:w="1552" w:type="dxa"/>
          </w:tcPr>
          <w:p w:rsidRPr="00DD0008" w:rsidR="00CA30A2" w:rsidP="008549EB" w:rsidRDefault="00334D7E" w14:paraId="3C8F56BD" w14:textId="782D8F3F">
            <w:pPr>
              <w:rPr>
                <w:rFonts w:ascii="Verdana" w:hAnsi="Verdana"/>
                <w:sz w:val="16"/>
                <w:szCs w:val="16"/>
              </w:rPr>
            </w:pPr>
            <w:r>
              <w:rPr>
                <w:rFonts w:ascii="Verdana" w:hAnsi="Verdana"/>
                <w:sz w:val="16"/>
                <w:szCs w:val="16"/>
              </w:rPr>
              <w:t xml:space="preserve">1, lid </w:t>
            </w:r>
            <w:r w:rsidR="00CA30A2">
              <w:rPr>
                <w:rFonts w:ascii="Verdana" w:hAnsi="Verdana"/>
                <w:sz w:val="16"/>
                <w:szCs w:val="16"/>
              </w:rPr>
              <w:t>38, onderdeel a</w:t>
            </w:r>
          </w:p>
        </w:tc>
        <w:tc>
          <w:tcPr>
            <w:tcW w:w="1514" w:type="dxa"/>
          </w:tcPr>
          <w:p w:rsidRPr="002C5EC5" w:rsidR="00CA30A2" w:rsidP="008549EB" w:rsidRDefault="00CA30A2" w14:paraId="61FF731D" w14:textId="77777777">
            <w:pPr>
              <w:rPr>
                <w:rFonts w:ascii="Verdana" w:hAnsi="Verdana"/>
                <w:sz w:val="16"/>
                <w:szCs w:val="16"/>
              </w:rPr>
            </w:pPr>
            <w:r w:rsidRPr="002C5EC5">
              <w:rPr>
                <w:rFonts w:ascii="Verdana" w:hAnsi="Verdana"/>
                <w:sz w:val="16"/>
                <w:szCs w:val="16"/>
              </w:rPr>
              <w:t xml:space="preserve">104, eerste lid, aanhef </w:t>
            </w:r>
          </w:p>
        </w:tc>
        <w:tc>
          <w:tcPr>
            <w:tcW w:w="1625" w:type="dxa"/>
          </w:tcPr>
          <w:p w:rsidR="00CA30A2" w:rsidP="008549EB" w:rsidRDefault="00CA30A2" w14:paraId="1FF0134D" w14:textId="77777777">
            <w:pPr>
              <w:spacing w:line="240" w:lineRule="atLeast"/>
              <w:rPr>
                <w:rFonts w:ascii="Verdana" w:hAnsi="Verdana"/>
                <w:sz w:val="16"/>
                <w:szCs w:val="16"/>
              </w:rPr>
            </w:pPr>
            <w:r w:rsidRPr="002C5EC5">
              <w:rPr>
                <w:rFonts w:ascii="Verdana" w:hAnsi="Verdana"/>
                <w:sz w:val="16"/>
                <w:szCs w:val="16"/>
              </w:rPr>
              <w:t>Behoeft geen implementatie. Bestaand recht in 3:111a, eerste lid, Wft</w:t>
            </w:r>
          </w:p>
        </w:tc>
        <w:tc>
          <w:tcPr>
            <w:tcW w:w="1274" w:type="dxa"/>
          </w:tcPr>
          <w:p w:rsidRPr="002C5EC5" w:rsidR="00CA30A2" w:rsidP="008549EB" w:rsidRDefault="00CA30A2" w14:paraId="58213CCD"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0E26576C" w14:textId="77777777">
            <w:pPr>
              <w:rPr>
                <w:rFonts w:ascii="Verdana" w:hAnsi="Verdana"/>
                <w:sz w:val="16"/>
                <w:szCs w:val="16"/>
              </w:rPr>
            </w:pPr>
          </w:p>
        </w:tc>
      </w:tr>
      <w:tr w:rsidR="00CA30A2" w:rsidTr="00CA30A2" w14:paraId="5F2F4C8F" w14:textId="77777777">
        <w:tc>
          <w:tcPr>
            <w:tcW w:w="1552" w:type="dxa"/>
          </w:tcPr>
          <w:p w:rsidRPr="00DD0008" w:rsidR="00CA30A2" w:rsidP="008549EB" w:rsidRDefault="00334D7E" w14:paraId="11F79BC0" w14:textId="351C21C0">
            <w:pPr>
              <w:rPr>
                <w:rFonts w:ascii="Verdana" w:hAnsi="Verdana"/>
                <w:sz w:val="16"/>
                <w:szCs w:val="16"/>
              </w:rPr>
            </w:pPr>
            <w:r>
              <w:rPr>
                <w:rFonts w:ascii="Verdana" w:hAnsi="Verdana"/>
                <w:sz w:val="16"/>
                <w:szCs w:val="16"/>
              </w:rPr>
              <w:t xml:space="preserve">1, lid </w:t>
            </w:r>
            <w:r w:rsidR="00CA30A2">
              <w:rPr>
                <w:rFonts w:ascii="Verdana" w:hAnsi="Verdana"/>
                <w:sz w:val="16"/>
                <w:szCs w:val="16"/>
              </w:rPr>
              <w:t>38, onderdeel a</w:t>
            </w:r>
          </w:p>
        </w:tc>
        <w:tc>
          <w:tcPr>
            <w:tcW w:w="1514" w:type="dxa"/>
          </w:tcPr>
          <w:p w:rsidRPr="002C5EC5" w:rsidR="00CA30A2" w:rsidP="008549EB" w:rsidRDefault="00CA30A2" w14:paraId="631EC095" w14:textId="77777777">
            <w:pPr>
              <w:rPr>
                <w:rFonts w:ascii="Verdana" w:hAnsi="Verdana"/>
                <w:sz w:val="16"/>
                <w:szCs w:val="16"/>
              </w:rPr>
            </w:pPr>
            <w:r w:rsidRPr="002C5EC5">
              <w:rPr>
                <w:rFonts w:ascii="Verdana" w:hAnsi="Verdana"/>
                <w:sz w:val="16"/>
                <w:szCs w:val="16"/>
              </w:rPr>
              <w:t>104, eerste lid, onderdeel e</w:t>
            </w:r>
          </w:p>
        </w:tc>
        <w:tc>
          <w:tcPr>
            <w:tcW w:w="1625" w:type="dxa"/>
          </w:tcPr>
          <w:p w:rsidRPr="002C5EC5" w:rsidR="00CA30A2" w:rsidP="008549EB" w:rsidRDefault="00CA30A2" w14:paraId="2DCEF7EF" w14:textId="77777777">
            <w:pPr>
              <w:spacing w:line="240" w:lineRule="atLeast"/>
              <w:rPr>
                <w:rFonts w:ascii="Verdana" w:hAnsi="Verdana"/>
                <w:sz w:val="16"/>
                <w:szCs w:val="16"/>
              </w:rPr>
            </w:pPr>
            <w:r>
              <w:rPr>
                <w:rFonts w:ascii="Verdana" w:hAnsi="Verdana"/>
                <w:sz w:val="16"/>
                <w:szCs w:val="16"/>
              </w:rPr>
              <w:t>Artikel I, onderdeel OOO (</w:t>
            </w:r>
            <w:r w:rsidRPr="002C5EC5">
              <w:rPr>
                <w:rFonts w:ascii="Verdana" w:hAnsi="Verdana"/>
                <w:sz w:val="16"/>
                <w:szCs w:val="16"/>
              </w:rPr>
              <w:t>3:111a, tweede lid, onderdeel f, Wft</w:t>
            </w:r>
            <w:r>
              <w:rPr>
                <w:rFonts w:ascii="Verdana" w:hAnsi="Verdana"/>
                <w:sz w:val="16"/>
                <w:szCs w:val="16"/>
              </w:rPr>
              <w:t>)</w:t>
            </w:r>
            <w:r w:rsidRPr="002C5EC5">
              <w:rPr>
                <w:rFonts w:ascii="Verdana" w:hAnsi="Verdana"/>
                <w:sz w:val="16"/>
                <w:szCs w:val="16"/>
              </w:rPr>
              <w:t xml:space="preserve"> </w:t>
            </w:r>
          </w:p>
        </w:tc>
        <w:tc>
          <w:tcPr>
            <w:tcW w:w="1274" w:type="dxa"/>
          </w:tcPr>
          <w:p w:rsidRPr="002C5EC5" w:rsidR="00CA30A2" w:rsidP="008549EB" w:rsidRDefault="00CA30A2" w14:paraId="780A6390"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419A800D" w14:textId="77777777">
            <w:pPr>
              <w:rPr>
                <w:rFonts w:ascii="Verdana" w:hAnsi="Verdana"/>
                <w:sz w:val="16"/>
                <w:szCs w:val="16"/>
              </w:rPr>
            </w:pPr>
          </w:p>
        </w:tc>
      </w:tr>
      <w:tr w:rsidR="00CA30A2" w:rsidTr="00CA30A2" w14:paraId="6C768DC5" w14:textId="77777777">
        <w:tc>
          <w:tcPr>
            <w:tcW w:w="1552" w:type="dxa"/>
          </w:tcPr>
          <w:p w:rsidRPr="00DD0008" w:rsidR="00CA30A2" w:rsidP="008549EB" w:rsidRDefault="00CA30A2" w14:paraId="349901FC" w14:textId="77777777">
            <w:pPr>
              <w:rPr>
                <w:rFonts w:ascii="Verdana" w:hAnsi="Verdana"/>
                <w:sz w:val="16"/>
                <w:szCs w:val="16"/>
              </w:rPr>
            </w:pPr>
            <w:r>
              <w:rPr>
                <w:rFonts w:ascii="Verdana" w:hAnsi="Verdana"/>
                <w:sz w:val="16"/>
                <w:szCs w:val="16"/>
              </w:rPr>
              <w:t>38, onderdeel a</w:t>
            </w:r>
          </w:p>
        </w:tc>
        <w:tc>
          <w:tcPr>
            <w:tcW w:w="1514" w:type="dxa"/>
          </w:tcPr>
          <w:p w:rsidRPr="002C5EC5" w:rsidR="00CA30A2" w:rsidP="008549EB" w:rsidRDefault="00CA30A2" w14:paraId="6CEDF9EF" w14:textId="77777777">
            <w:pPr>
              <w:rPr>
                <w:rFonts w:ascii="Verdana" w:hAnsi="Verdana"/>
                <w:sz w:val="16"/>
                <w:szCs w:val="16"/>
              </w:rPr>
            </w:pPr>
            <w:r w:rsidRPr="002C5EC5">
              <w:rPr>
                <w:rFonts w:ascii="Verdana" w:hAnsi="Verdana"/>
                <w:sz w:val="16"/>
                <w:szCs w:val="16"/>
              </w:rPr>
              <w:t>104, eerste lid, onderdeel m</w:t>
            </w:r>
          </w:p>
        </w:tc>
        <w:tc>
          <w:tcPr>
            <w:tcW w:w="1625" w:type="dxa"/>
          </w:tcPr>
          <w:p w:rsidR="00CA30A2" w:rsidP="008549EB" w:rsidRDefault="00CA30A2" w14:paraId="009A3A6B" w14:textId="77777777">
            <w:pPr>
              <w:spacing w:line="240" w:lineRule="atLeast"/>
              <w:rPr>
                <w:rFonts w:ascii="Verdana" w:hAnsi="Verdana"/>
                <w:sz w:val="16"/>
                <w:szCs w:val="16"/>
              </w:rPr>
            </w:pPr>
            <w:r>
              <w:rPr>
                <w:rFonts w:ascii="Verdana" w:hAnsi="Verdana"/>
                <w:sz w:val="16"/>
                <w:szCs w:val="16"/>
              </w:rPr>
              <w:t>Artikel I, onderdeel OOO (</w:t>
            </w:r>
            <w:r w:rsidRPr="002C5EC5">
              <w:rPr>
                <w:rFonts w:ascii="Verdana" w:hAnsi="Verdana"/>
                <w:sz w:val="16"/>
                <w:szCs w:val="16"/>
              </w:rPr>
              <w:t>3:111a, tweede lid, onderdeel n, Wft</w:t>
            </w:r>
            <w:r>
              <w:rPr>
                <w:rFonts w:ascii="Verdana" w:hAnsi="Verdana"/>
                <w:sz w:val="16"/>
                <w:szCs w:val="16"/>
              </w:rPr>
              <w:t>)</w:t>
            </w:r>
          </w:p>
        </w:tc>
        <w:tc>
          <w:tcPr>
            <w:tcW w:w="1274" w:type="dxa"/>
          </w:tcPr>
          <w:p w:rsidRPr="002C5EC5" w:rsidR="00CA30A2" w:rsidP="008549EB" w:rsidRDefault="00CA30A2" w14:paraId="37BFC043"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523F9651" w14:textId="77777777">
            <w:pPr>
              <w:rPr>
                <w:rFonts w:ascii="Verdana" w:hAnsi="Verdana"/>
                <w:sz w:val="16"/>
                <w:szCs w:val="16"/>
              </w:rPr>
            </w:pPr>
          </w:p>
        </w:tc>
      </w:tr>
      <w:tr w:rsidR="00CA30A2" w:rsidTr="00CA30A2" w14:paraId="09896F48" w14:textId="77777777">
        <w:tc>
          <w:tcPr>
            <w:tcW w:w="1552" w:type="dxa"/>
          </w:tcPr>
          <w:p w:rsidRPr="00DD0008" w:rsidR="00CA30A2" w:rsidP="008549EB" w:rsidRDefault="00334D7E" w14:paraId="1B29B16F" w14:textId="6FB496AE">
            <w:pPr>
              <w:rPr>
                <w:rFonts w:ascii="Verdana" w:hAnsi="Verdana"/>
                <w:sz w:val="16"/>
                <w:szCs w:val="16"/>
              </w:rPr>
            </w:pPr>
            <w:r>
              <w:rPr>
                <w:rFonts w:ascii="Verdana" w:hAnsi="Verdana"/>
                <w:sz w:val="16"/>
                <w:szCs w:val="16"/>
              </w:rPr>
              <w:t xml:space="preserve">1, lid </w:t>
            </w:r>
            <w:r w:rsidR="00CA30A2">
              <w:rPr>
                <w:rFonts w:ascii="Verdana" w:hAnsi="Verdana"/>
                <w:sz w:val="16"/>
                <w:szCs w:val="16"/>
              </w:rPr>
              <w:t>38, onderdeel b</w:t>
            </w:r>
          </w:p>
        </w:tc>
        <w:tc>
          <w:tcPr>
            <w:tcW w:w="1514" w:type="dxa"/>
          </w:tcPr>
          <w:p w:rsidRPr="002C5EC5" w:rsidR="00CA30A2" w:rsidP="008549EB" w:rsidRDefault="00CA30A2" w14:paraId="2988B456" w14:textId="77777777">
            <w:pPr>
              <w:rPr>
                <w:rFonts w:ascii="Verdana" w:hAnsi="Verdana"/>
                <w:sz w:val="16"/>
                <w:szCs w:val="16"/>
              </w:rPr>
            </w:pPr>
            <w:r w:rsidRPr="002C5EC5">
              <w:rPr>
                <w:rFonts w:ascii="Verdana" w:hAnsi="Verdana"/>
                <w:sz w:val="16"/>
                <w:szCs w:val="16"/>
              </w:rPr>
              <w:t>104, vierde lid</w:t>
            </w:r>
          </w:p>
        </w:tc>
        <w:tc>
          <w:tcPr>
            <w:tcW w:w="1625" w:type="dxa"/>
          </w:tcPr>
          <w:p w:rsidR="00CA30A2" w:rsidP="008549EB" w:rsidRDefault="00CA30A2" w14:paraId="7C7B05E1" w14:textId="77777777">
            <w:pPr>
              <w:spacing w:line="240" w:lineRule="atLeast"/>
              <w:rPr>
                <w:rFonts w:ascii="Verdana" w:hAnsi="Verdana"/>
                <w:sz w:val="16"/>
                <w:szCs w:val="16"/>
              </w:rPr>
            </w:pPr>
            <w:r w:rsidRPr="002C5EC5">
              <w:rPr>
                <w:rFonts w:ascii="Verdana" w:hAnsi="Verdana"/>
                <w:sz w:val="16"/>
                <w:szCs w:val="16"/>
              </w:rPr>
              <w:t xml:space="preserve">Behoeft </w:t>
            </w:r>
            <w:r>
              <w:rPr>
                <w:rFonts w:ascii="Verdana" w:hAnsi="Verdana"/>
                <w:sz w:val="16"/>
                <w:szCs w:val="16"/>
              </w:rPr>
              <w:t xml:space="preserve">naar zijn aard </w:t>
            </w:r>
            <w:r w:rsidRPr="002C5EC5">
              <w:rPr>
                <w:rFonts w:ascii="Verdana" w:hAnsi="Verdana"/>
                <w:sz w:val="16"/>
                <w:szCs w:val="16"/>
              </w:rPr>
              <w:t>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b</w:t>
            </w:r>
            <w:r w:rsidRPr="002C5EC5">
              <w:rPr>
                <w:rFonts w:ascii="Verdana" w:hAnsi="Verdana"/>
                <w:sz w:val="16"/>
                <w:szCs w:val="16"/>
              </w:rPr>
              <w:t>epaling gericht tot EBA</w:t>
            </w:r>
          </w:p>
        </w:tc>
        <w:tc>
          <w:tcPr>
            <w:tcW w:w="1274" w:type="dxa"/>
          </w:tcPr>
          <w:p w:rsidRPr="002C5EC5" w:rsidR="00CA30A2" w:rsidP="008549EB" w:rsidRDefault="00CA30A2" w14:paraId="169D8340"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33C0E121" w14:textId="77777777">
            <w:pPr>
              <w:rPr>
                <w:rFonts w:ascii="Verdana" w:hAnsi="Verdana"/>
                <w:sz w:val="16"/>
                <w:szCs w:val="16"/>
              </w:rPr>
            </w:pPr>
          </w:p>
        </w:tc>
      </w:tr>
      <w:tr w:rsidR="00CA30A2" w:rsidTr="00CA30A2" w14:paraId="6CEDB047" w14:textId="77777777">
        <w:tc>
          <w:tcPr>
            <w:tcW w:w="1552" w:type="dxa"/>
          </w:tcPr>
          <w:p w:rsidRPr="00DD0008" w:rsidR="00CA30A2" w:rsidP="008549EB" w:rsidRDefault="00334D7E" w14:paraId="787ECAC9" w14:textId="2ECFDEDA">
            <w:pPr>
              <w:rPr>
                <w:rFonts w:ascii="Verdana" w:hAnsi="Verdana"/>
                <w:sz w:val="16"/>
                <w:szCs w:val="16"/>
              </w:rPr>
            </w:pPr>
            <w:r>
              <w:rPr>
                <w:rFonts w:ascii="Verdana" w:hAnsi="Verdana"/>
                <w:sz w:val="16"/>
                <w:szCs w:val="16"/>
              </w:rPr>
              <w:t xml:space="preserve">1, lid </w:t>
            </w:r>
            <w:r w:rsidR="00CA30A2">
              <w:rPr>
                <w:rFonts w:ascii="Verdana" w:hAnsi="Verdana"/>
                <w:sz w:val="16"/>
                <w:szCs w:val="16"/>
              </w:rPr>
              <w:t>39, onderdeel a</w:t>
            </w:r>
          </w:p>
        </w:tc>
        <w:tc>
          <w:tcPr>
            <w:tcW w:w="1514" w:type="dxa"/>
          </w:tcPr>
          <w:p w:rsidRPr="002C5EC5" w:rsidR="00CA30A2" w:rsidP="008549EB" w:rsidRDefault="00CA30A2" w14:paraId="3336729D" w14:textId="77777777">
            <w:pPr>
              <w:rPr>
                <w:rFonts w:ascii="Verdana" w:hAnsi="Verdana"/>
                <w:sz w:val="16"/>
                <w:szCs w:val="16"/>
              </w:rPr>
            </w:pPr>
            <w:r w:rsidRPr="002C5EC5">
              <w:rPr>
                <w:rFonts w:ascii="Verdana" w:hAnsi="Verdana"/>
                <w:sz w:val="16"/>
                <w:szCs w:val="16"/>
              </w:rPr>
              <w:t xml:space="preserve">104 bis, derde lid, tweede alinea </w:t>
            </w:r>
          </w:p>
        </w:tc>
        <w:tc>
          <w:tcPr>
            <w:tcW w:w="1625" w:type="dxa"/>
          </w:tcPr>
          <w:p w:rsidRPr="002C5EC5" w:rsidR="00CA30A2" w:rsidP="008549EB" w:rsidRDefault="00CA30A2" w14:paraId="4AD7B299"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d</w:t>
            </w:r>
            <w:r w:rsidRPr="002C5EC5">
              <w:rPr>
                <w:rFonts w:ascii="Verdana" w:hAnsi="Verdana"/>
                <w:sz w:val="16"/>
                <w:szCs w:val="16"/>
              </w:rPr>
              <w:t>ynamische verwijzing naar 104 bis CRD in 3:111a, tweede lid, onderdeel a, Wft</w:t>
            </w:r>
          </w:p>
        </w:tc>
        <w:tc>
          <w:tcPr>
            <w:tcW w:w="1274" w:type="dxa"/>
          </w:tcPr>
          <w:p w:rsidRPr="002C5EC5" w:rsidR="00CA30A2" w:rsidP="008549EB" w:rsidRDefault="00CA30A2" w14:paraId="4FEB6EF3"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160C322D" w14:textId="77777777">
            <w:pPr>
              <w:rPr>
                <w:rFonts w:ascii="Verdana" w:hAnsi="Verdana"/>
                <w:sz w:val="16"/>
                <w:szCs w:val="16"/>
              </w:rPr>
            </w:pPr>
          </w:p>
        </w:tc>
      </w:tr>
      <w:tr w:rsidR="00CA30A2" w:rsidTr="00CA30A2" w14:paraId="41558155" w14:textId="77777777">
        <w:tc>
          <w:tcPr>
            <w:tcW w:w="1552" w:type="dxa"/>
          </w:tcPr>
          <w:p w:rsidRPr="00DD0008" w:rsidR="00CA30A2" w:rsidP="008549EB" w:rsidRDefault="00334D7E" w14:paraId="75907C04" w14:textId="685A5675">
            <w:pPr>
              <w:rPr>
                <w:rFonts w:ascii="Verdana" w:hAnsi="Verdana"/>
                <w:sz w:val="16"/>
                <w:szCs w:val="16"/>
              </w:rPr>
            </w:pPr>
            <w:r>
              <w:rPr>
                <w:rFonts w:ascii="Verdana" w:hAnsi="Verdana"/>
                <w:sz w:val="16"/>
                <w:szCs w:val="16"/>
              </w:rPr>
              <w:t xml:space="preserve">1, lid </w:t>
            </w:r>
            <w:r w:rsidR="00CA30A2">
              <w:rPr>
                <w:rFonts w:ascii="Verdana" w:hAnsi="Verdana"/>
                <w:sz w:val="16"/>
                <w:szCs w:val="16"/>
              </w:rPr>
              <w:t>39, onderdeel b</w:t>
            </w:r>
          </w:p>
        </w:tc>
        <w:tc>
          <w:tcPr>
            <w:tcW w:w="1514" w:type="dxa"/>
          </w:tcPr>
          <w:p w:rsidRPr="002C5EC5" w:rsidR="00CA30A2" w:rsidP="008549EB" w:rsidRDefault="00CA30A2" w14:paraId="42F298C5" w14:textId="77777777">
            <w:pPr>
              <w:rPr>
                <w:rFonts w:ascii="Verdana" w:hAnsi="Verdana"/>
                <w:sz w:val="16"/>
                <w:szCs w:val="16"/>
              </w:rPr>
            </w:pPr>
            <w:r w:rsidRPr="002C5EC5">
              <w:rPr>
                <w:rFonts w:ascii="Verdana" w:hAnsi="Verdana"/>
                <w:sz w:val="16"/>
                <w:szCs w:val="16"/>
              </w:rPr>
              <w:t>104 bis, zesde lid</w:t>
            </w:r>
          </w:p>
        </w:tc>
        <w:tc>
          <w:tcPr>
            <w:tcW w:w="1625" w:type="dxa"/>
          </w:tcPr>
          <w:p w:rsidRPr="002C5EC5" w:rsidR="00CA30A2" w:rsidP="008549EB" w:rsidRDefault="00CA30A2" w14:paraId="6FDB8605"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d</w:t>
            </w:r>
            <w:r w:rsidRPr="002C5EC5">
              <w:rPr>
                <w:rFonts w:ascii="Verdana" w:hAnsi="Verdana"/>
                <w:sz w:val="16"/>
                <w:szCs w:val="16"/>
              </w:rPr>
              <w:t>ynamische verwijzing naar 104 bis CRD in 3:111a, tweede lid, onderdeel a, Wft</w:t>
            </w:r>
          </w:p>
        </w:tc>
        <w:tc>
          <w:tcPr>
            <w:tcW w:w="1274" w:type="dxa"/>
          </w:tcPr>
          <w:p w:rsidRPr="002C5EC5" w:rsidR="00CA30A2" w:rsidP="008549EB" w:rsidRDefault="00CA30A2" w14:paraId="53B16075"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56CE3F0C" w14:textId="77777777">
            <w:pPr>
              <w:rPr>
                <w:rFonts w:ascii="Verdana" w:hAnsi="Verdana"/>
                <w:sz w:val="16"/>
                <w:szCs w:val="16"/>
              </w:rPr>
            </w:pPr>
          </w:p>
        </w:tc>
      </w:tr>
      <w:tr w:rsidR="00CA30A2" w:rsidTr="00CA30A2" w14:paraId="7CA30E01" w14:textId="77777777">
        <w:tc>
          <w:tcPr>
            <w:tcW w:w="1552" w:type="dxa"/>
          </w:tcPr>
          <w:p w:rsidRPr="00DD0008" w:rsidR="00CA30A2" w:rsidP="008549EB" w:rsidRDefault="00334D7E" w14:paraId="084F68C8" w14:textId="32CD54A9">
            <w:pPr>
              <w:rPr>
                <w:rFonts w:ascii="Verdana" w:hAnsi="Verdana"/>
                <w:sz w:val="16"/>
                <w:szCs w:val="16"/>
              </w:rPr>
            </w:pPr>
            <w:r>
              <w:rPr>
                <w:rFonts w:ascii="Verdana" w:hAnsi="Verdana"/>
                <w:sz w:val="16"/>
                <w:szCs w:val="16"/>
              </w:rPr>
              <w:t xml:space="preserve">1, lid </w:t>
            </w:r>
            <w:r w:rsidR="00CA30A2">
              <w:rPr>
                <w:rFonts w:ascii="Verdana" w:hAnsi="Verdana"/>
                <w:sz w:val="16"/>
                <w:szCs w:val="16"/>
              </w:rPr>
              <w:t>39, onderdeel b</w:t>
            </w:r>
          </w:p>
        </w:tc>
        <w:tc>
          <w:tcPr>
            <w:tcW w:w="1514" w:type="dxa"/>
          </w:tcPr>
          <w:p w:rsidRPr="002C5EC5" w:rsidR="00CA30A2" w:rsidP="008549EB" w:rsidRDefault="00CA30A2" w14:paraId="69737E65" w14:textId="77777777">
            <w:pPr>
              <w:rPr>
                <w:rFonts w:ascii="Verdana" w:hAnsi="Verdana"/>
                <w:sz w:val="16"/>
                <w:szCs w:val="16"/>
              </w:rPr>
            </w:pPr>
            <w:r w:rsidRPr="002C5EC5">
              <w:rPr>
                <w:rFonts w:ascii="Verdana" w:hAnsi="Verdana"/>
                <w:sz w:val="16"/>
                <w:szCs w:val="16"/>
              </w:rPr>
              <w:t>104 bis, zevende lid</w:t>
            </w:r>
          </w:p>
        </w:tc>
        <w:tc>
          <w:tcPr>
            <w:tcW w:w="1625" w:type="dxa"/>
          </w:tcPr>
          <w:p w:rsidRPr="002C5EC5" w:rsidR="00CA30A2" w:rsidP="008549EB" w:rsidRDefault="00CA30A2" w14:paraId="0EC4DC4F" w14:textId="77777777">
            <w:pPr>
              <w:spacing w:line="240" w:lineRule="atLeast"/>
              <w:rPr>
                <w:rFonts w:ascii="Verdana" w:hAnsi="Verdana"/>
                <w:sz w:val="16"/>
                <w:szCs w:val="16"/>
              </w:rPr>
            </w:pPr>
            <w:r w:rsidRPr="002C5EC5">
              <w:rPr>
                <w:rFonts w:ascii="Verdana" w:hAnsi="Verdana"/>
                <w:sz w:val="16"/>
                <w:szCs w:val="16"/>
              </w:rPr>
              <w:t xml:space="preserve">Behoeft </w:t>
            </w:r>
            <w:r>
              <w:rPr>
                <w:rFonts w:ascii="Verdana" w:hAnsi="Verdana"/>
                <w:sz w:val="16"/>
                <w:szCs w:val="16"/>
              </w:rPr>
              <w:t xml:space="preserve">naar zijn aard </w:t>
            </w:r>
            <w:r w:rsidRPr="002C5EC5">
              <w:rPr>
                <w:rFonts w:ascii="Verdana" w:hAnsi="Verdana"/>
                <w:sz w:val="16"/>
                <w:szCs w:val="16"/>
              </w:rPr>
              <w:t>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b</w:t>
            </w:r>
            <w:r w:rsidRPr="002C5EC5">
              <w:rPr>
                <w:rFonts w:ascii="Verdana" w:hAnsi="Verdana"/>
                <w:sz w:val="16"/>
                <w:szCs w:val="16"/>
              </w:rPr>
              <w:t>epaling gericht tot EBA</w:t>
            </w:r>
          </w:p>
        </w:tc>
        <w:tc>
          <w:tcPr>
            <w:tcW w:w="1274" w:type="dxa"/>
          </w:tcPr>
          <w:p w:rsidRPr="002C5EC5" w:rsidR="00CA30A2" w:rsidP="008549EB" w:rsidRDefault="00CA30A2" w14:paraId="31448097"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2C05FC0B" w14:textId="77777777">
            <w:pPr>
              <w:rPr>
                <w:rFonts w:ascii="Verdana" w:hAnsi="Verdana"/>
                <w:sz w:val="16"/>
                <w:szCs w:val="16"/>
              </w:rPr>
            </w:pPr>
          </w:p>
        </w:tc>
      </w:tr>
      <w:tr w:rsidR="00CA30A2" w:rsidTr="00CA30A2" w14:paraId="7785ABFD" w14:textId="77777777">
        <w:tc>
          <w:tcPr>
            <w:tcW w:w="1552" w:type="dxa"/>
          </w:tcPr>
          <w:p w:rsidRPr="00DD0008" w:rsidR="00CA30A2" w:rsidP="008549EB" w:rsidRDefault="00334D7E" w14:paraId="165D3EAB" w14:textId="4D9B5B57">
            <w:pPr>
              <w:rPr>
                <w:rFonts w:ascii="Verdana" w:hAnsi="Verdana"/>
                <w:sz w:val="16"/>
                <w:szCs w:val="16"/>
              </w:rPr>
            </w:pPr>
            <w:r>
              <w:rPr>
                <w:rFonts w:ascii="Verdana" w:hAnsi="Verdana"/>
                <w:sz w:val="16"/>
                <w:szCs w:val="16"/>
              </w:rPr>
              <w:t xml:space="preserve">1, lid </w:t>
            </w:r>
            <w:r w:rsidR="00CA30A2">
              <w:rPr>
                <w:rFonts w:ascii="Verdana" w:hAnsi="Verdana"/>
                <w:sz w:val="16"/>
                <w:szCs w:val="16"/>
              </w:rPr>
              <w:t>39, onderdeel b</w:t>
            </w:r>
          </w:p>
        </w:tc>
        <w:tc>
          <w:tcPr>
            <w:tcW w:w="1514" w:type="dxa"/>
          </w:tcPr>
          <w:p w:rsidRPr="002C5EC5" w:rsidR="00CA30A2" w:rsidP="008549EB" w:rsidRDefault="00CA30A2" w14:paraId="1239D4CE" w14:textId="77777777">
            <w:pPr>
              <w:rPr>
                <w:rFonts w:ascii="Verdana" w:hAnsi="Verdana"/>
                <w:sz w:val="16"/>
                <w:szCs w:val="16"/>
              </w:rPr>
            </w:pPr>
            <w:r w:rsidRPr="002C5EC5">
              <w:rPr>
                <w:rFonts w:ascii="Verdana" w:hAnsi="Verdana"/>
                <w:sz w:val="16"/>
                <w:szCs w:val="16"/>
              </w:rPr>
              <w:t>104 bis, achtste lid</w:t>
            </w:r>
          </w:p>
        </w:tc>
        <w:tc>
          <w:tcPr>
            <w:tcW w:w="1625" w:type="dxa"/>
          </w:tcPr>
          <w:p w:rsidRPr="002C5EC5" w:rsidR="00CA30A2" w:rsidP="008549EB" w:rsidRDefault="00CA30A2" w14:paraId="4FA59C88"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d</w:t>
            </w:r>
            <w:r w:rsidRPr="002C5EC5">
              <w:rPr>
                <w:rFonts w:ascii="Verdana" w:hAnsi="Verdana"/>
                <w:sz w:val="16"/>
                <w:szCs w:val="16"/>
              </w:rPr>
              <w:t>ynamische verwijzing naar 104 bis CRD in 3:111a, tweede lid, onderdeel a, Wft</w:t>
            </w:r>
          </w:p>
        </w:tc>
        <w:tc>
          <w:tcPr>
            <w:tcW w:w="1274" w:type="dxa"/>
          </w:tcPr>
          <w:p w:rsidRPr="002C5EC5" w:rsidR="00CA30A2" w:rsidP="008549EB" w:rsidRDefault="00CA30A2" w14:paraId="1F72E201"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1554F69D" w14:textId="77777777">
            <w:pPr>
              <w:rPr>
                <w:rFonts w:ascii="Verdana" w:hAnsi="Verdana"/>
                <w:sz w:val="16"/>
                <w:szCs w:val="16"/>
              </w:rPr>
            </w:pPr>
          </w:p>
        </w:tc>
      </w:tr>
      <w:tr w:rsidR="00CA30A2" w:rsidTr="00CA30A2" w14:paraId="122D33F0" w14:textId="77777777">
        <w:tc>
          <w:tcPr>
            <w:tcW w:w="1552" w:type="dxa"/>
          </w:tcPr>
          <w:p w:rsidRPr="00DD0008" w:rsidR="00CA30A2" w:rsidP="008549EB" w:rsidRDefault="00334D7E" w14:paraId="5E2409A3" w14:textId="0AF8EFCD">
            <w:pPr>
              <w:rPr>
                <w:rFonts w:ascii="Verdana" w:hAnsi="Verdana"/>
                <w:sz w:val="16"/>
                <w:szCs w:val="16"/>
              </w:rPr>
            </w:pPr>
            <w:r>
              <w:rPr>
                <w:rFonts w:ascii="Verdana" w:hAnsi="Verdana"/>
                <w:sz w:val="16"/>
                <w:szCs w:val="16"/>
              </w:rPr>
              <w:t xml:space="preserve">1, lid </w:t>
            </w:r>
            <w:r w:rsidR="00CA30A2">
              <w:rPr>
                <w:rFonts w:ascii="Verdana" w:hAnsi="Verdana"/>
                <w:sz w:val="16"/>
                <w:szCs w:val="16"/>
              </w:rPr>
              <w:t>40</w:t>
            </w:r>
          </w:p>
        </w:tc>
        <w:tc>
          <w:tcPr>
            <w:tcW w:w="1514" w:type="dxa"/>
          </w:tcPr>
          <w:p w:rsidRPr="002C5EC5" w:rsidR="00CA30A2" w:rsidP="008549EB" w:rsidRDefault="00CA30A2" w14:paraId="27928E74" w14:textId="77777777">
            <w:pPr>
              <w:rPr>
                <w:rFonts w:ascii="Verdana" w:hAnsi="Verdana"/>
                <w:sz w:val="16"/>
                <w:szCs w:val="16"/>
              </w:rPr>
            </w:pPr>
            <w:r w:rsidRPr="002C5EC5">
              <w:rPr>
                <w:rFonts w:ascii="Verdana" w:hAnsi="Verdana"/>
                <w:sz w:val="16"/>
                <w:szCs w:val="16"/>
              </w:rPr>
              <w:t>104 ter, vierde lid bis</w:t>
            </w:r>
          </w:p>
        </w:tc>
        <w:tc>
          <w:tcPr>
            <w:tcW w:w="1625" w:type="dxa"/>
          </w:tcPr>
          <w:p w:rsidRPr="002C5EC5" w:rsidR="00CA30A2" w:rsidP="008549EB" w:rsidRDefault="00CA30A2" w14:paraId="3C6FC29F" w14:textId="77777777">
            <w:pPr>
              <w:spacing w:line="240" w:lineRule="atLeast"/>
              <w:rPr>
                <w:rFonts w:ascii="Verdana" w:hAnsi="Verdana"/>
                <w:sz w:val="16"/>
                <w:szCs w:val="16"/>
              </w:rPr>
            </w:pPr>
            <w:r>
              <w:rPr>
                <w:rFonts w:ascii="Verdana" w:hAnsi="Verdana"/>
                <w:sz w:val="16"/>
                <w:szCs w:val="16"/>
              </w:rPr>
              <w:t>Artikel I, onderdeel RRR (</w:t>
            </w:r>
            <w:r w:rsidRPr="002C5EC5">
              <w:rPr>
                <w:rFonts w:ascii="Verdana" w:hAnsi="Verdana"/>
                <w:sz w:val="16"/>
                <w:szCs w:val="16"/>
              </w:rPr>
              <w:t>3:111aa, eerste lid, Wft</w:t>
            </w:r>
            <w:r>
              <w:rPr>
                <w:rFonts w:ascii="Verdana" w:hAnsi="Verdana"/>
                <w:sz w:val="16"/>
                <w:szCs w:val="16"/>
              </w:rPr>
              <w:t>)</w:t>
            </w:r>
          </w:p>
        </w:tc>
        <w:tc>
          <w:tcPr>
            <w:tcW w:w="1274" w:type="dxa"/>
          </w:tcPr>
          <w:p w:rsidRPr="002C5EC5" w:rsidR="00CA30A2" w:rsidP="008549EB" w:rsidRDefault="00CA30A2" w14:paraId="268A165E"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1A88EE5D" w14:textId="77777777">
            <w:pPr>
              <w:rPr>
                <w:rFonts w:ascii="Verdana" w:hAnsi="Verdana"/>
                <w:sz w:val="16"/>
                <w:szCs w:val="16"/>
              </w:rPr>
            </w:pPr>
          </w:p>
        </w:tc>
      </w:tr>
      <w:tr w:rsidR="00CA30A2" w:rsidTr="00CA30A2" w14:paraId="46B776FA" w14:textId="77777777">
        <w:tc>
          <w:tcPr>
            <w:tcW w:w="1552" w:type="dxa"/>
          </w:tcPr>
          <w:p w:rsidRPr="00DD0008" w:rsidR="00CA30A2" w:rsidP="008549EB" w:rsidRDefault="00334D7E" w14:paraId="6B2E42F8" w14:textId="5CF0975E">
            <w:pPr>
              <w:rPr>
                <w:rFonts w:ascii="Verdana" w:hAnsi="Verdana"/>
                <w:sz w:val="16"/>
                <w:szCs w:val="16"/>
              </w:rPr>
            </w:pPr>
            <w:r>
              <w:rPr>
                <w:rFonts w:ascii="Verdana" w:hAnsi="Verdana"/>
                <w:sz w:val="16"/>
                <w:szCs w:val="16"/>
              </w:rPr>
              <w:t xml:space="preserve">1, lid </w:t>
            </w:r>
            <w:r w:rsidR="00CA30A2">
              <w:rPr>
                <w:rFonts w:ascii="Verdana" w:hAnsi="Verdana"/>
                <w:sz w:val="16"/>
                <w:szCs w:val="16"/>
              </w:rPr>
              <w:t>41</w:t>
            </w:r>
          </w:p>
        </w:tc>
        <w:tc>
          <w:tcPr>
            <w:tcW w:w="1514" w:type="dxa"/>
          </w:tcPr>
          <w:p w:rsidRPr="002C5EC5" w:rsidR="00CA30A2" w:rsidP="008549EB" w:rsidRDefault="00CA30A2" w14:paraId="68CC1A8E" w14:textId="77777777">
            <w:pPr>
              <w:rPr>
                <w:rFonts w:ascii="Verdana" w:hAnsi="Verdana"/>
                <w:sz w:val="16"/>
                <w:szCs w:val="16"/>
              </w:rPr>
            </w:pPr>
            <w:r w:rsidRPr="002C5EC5">
              <w:rPr>
                <w:rFonts w:ascii="Verdana" w:hAnsi="Verdana"/>
                <w:sz w:val="16"/>
                <w:szCs w:val="16"/>
              </w:rPr>
              <w:t>106, eerste lid</w:t>
            </w:r>
          </w:p>
        </w:tc>
        <w:tc>
          <w:tcPr>
            <w:tcW w:w="1625" w:type="dxa"/>
          </w:tcPr>
          <w:p w:rsidR="00CA30A2" w:rsidP="008549EB" w:rsidRDefault="00CA30A2" w14:paraId="79239A2A" w14:textId="77777777">
            <w:pPr>
              <w:spacing w:line="240" w:lineRule="atLeast"/>
              <w:rPr>
                <w:rFonts w:ascii="Verdana" w:hAnsi="Verdana"/>
                <w:sz w:val="16"/>
                <w:szCs w:val="16"/>
              </w:rPr>
            </w:pPr>
            <w:r>
              <w:rPr>
                <w:rFonts w:ascii="Verdana" w:hAnsi="Verdana"/>
                <w:sz w:val="16"/>
                <w:szCs w:val="16"/>
              </w:rPr>
              <w:t>Artikel I, onderdeel VV (</w:t>
            </w:r>
            <w:r w:rsidRPr="002C5EC5">
              <w:rPr>
                <w:rFonts w:ascii="Verdana" w:hAnsi="Verdana"/>
                <w:sz w:val="16"/>
                <w:szCs w:val="16"/>
              </w:rPr>
              <w:t>3:74a, eerste lid, Wft</w:t>
            </w:r>
            <w:r>
              <w:rPr>
                <w:rFonts w:ascii="Verdana" w:hAnsi="Verdana"/>
                <w:sz w:val="16"/>
                <w:szCs w:val="16"/>
              </w:rPr>
              <w:t>)</w:t>
            </w:r>
          </w:p>
        </w:tc>
        <w:tc>
          <w:tcPr>
            <w:tcW w:w="1274" w:type="dxa"/>
          </w:tcPr>
          <w:p w:rsidRPr="002C5EC5" w:rsidR="00CA30A2" w:rsidP="008549EB" w:rsidRDefault="00CA30A2" w14:paraId="65DE42A1"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1AAF009E" w14:textId="77777777">
            <w:pPr>
              <w:rPr>
                <w:rFonts w:ascii="Verdana" w:hAnsi="Verdana"/>
                <w:sz w:val="16"/>
                <w:szCs w:val="16"/>
              </w:rPr>
            </w:pPr>
          </w:p>
        </w:tc>
      </w:tr>
      <w:tr w:rsidR="00CA30A2" w:rsidTr="00CA30A2" w14:paraId="2A015594" w14:textId="77777777">
        <w:tc>
          <w:tcPr>
            <w:tcW w:w="1552" w:type="dxa"/>
          </w:tcPr>
          <w:p w:rsidRPr="00DD0008" w:rsidR="00CA30A2" w:rsidP="008549EB" w:rsidRDefault="00334D7E" w14:paraId="075C3CE6" w14:textId="284C4121">
            <w:pPr>
              <w:rPr>
                <w:rFonts w:ascii="Verdana" w:hAnsi="Verdana"/>
                <w:sz w:val="16"/>
                <w:szCs w:val="16"/>
              </w:rPr>
            </w:pPr>
            <w:r>
              <w:rPr>
                <w:rFonts w:ascii="Verdana" w:hAnsi="Verdana"/>
                <w:sz w:val="16"/>
                <w:szCs w:val="16"/>
              </w:rPr>
              <w:t xml:space="preserve">1, lid </w:t>
            </w:r>
            <w:r w:rsidR="00CA30A2">
              <w:rPr>
                <w:rFonts w:ascii="Verdana" w:hAnsi="Verdana"/>
                <w:sz w:val="16"/>
                <w:szCs w:val="16"/>
              </w:rPr>
              <w:t>42</w:t>
            </w:r>
          </w:p>
        </w:tc>
        <w:tc>
          <w:tcPr>
            <w:tcW w:w="1514" w:type="dxa"/>
          </w:tcPr>
          <w:p w:rsidRPr="002C5EC5" w:rsidR="00CA30A2" w:rsidP="008549EB" w:rsidRDefault="00CA30A2" w14:paraId="7899027E" w14:textId="77777777">
            <w:pPr>
              <w:rPr>
                <w:rFonts w:ascii="Verdana" w:hAnsi="Verdana"/>
                <w:sz w:val="16"/>
                <w:szCs w:val="16"/>
              </w:rPr>
            </w:pPr>
            <w:r w:rsidRPr="002C5EC5">
              <w:rPr>
                <w:rFonts w:ascii="Verdana" w:hAnsi="Verdana"/>
                <w:sz w:val="16"/>
                <w:szCs w:val="16"/>
              </w:rPr>
              <w:t>110 bis</w:t>
            </w:r>
          </w:p>
        </w:tc>
        <w:tc>
          <w:tcPr>
            <w:tcW w:w="1625" w:type="dxa"/>
          </w:tcPr>
          <w:p w:rsidR="00CA30A2" w:rsidP="008549EB" w:rsidRDefault="00CA30A2" w14:paraId="21018BCB" w14:textId="77777777">
            <w:pPr>
              <w:spacing w:line="240" w:lineRule="atLeast"/>
              <w:rPr>
                <w:rFonts w:ascii="Verdana" w:hAnsi="Verdana"/>
                <w:sz w:val="16"/>
                <w:szCs w:val="16"/>
              </w:rPr>
            </w:pPr>
            <w:r>
              <w:rPr>
                <w:rFonts w:ascii="Verdana" w:hAnsi="Verdana"/>
                <w:sz w:val="16"/>
                <w:szCs w:val="16"/>
              </w:rPr>
              <w:t>Artikel I, onderdeel YYY (</w:t>
            </w:r>
            <w:r w:rsidRPr="002C5EC5">
              <w:rPr>
                <w:rFonts w:ascii="Verdana" w:hAnsi="Verdana"/>
                <w:sz w:val="16"/>
                <w:szCs w:val="16"/>
              </w:rPr>
              <w:t>3:275 Wft</w:t>
            </w:r>
            <w:r>
              <w:rPr>
                <w:rFonts w:ascii="Verdana" w:hAnsi="Verdana"/>
                <w:sz w:val="16"/>
                <w:szCs w:val="16"/>
              </w:rPr>
              <w:t>)</w:t>
            </w:r>
          </w:p>
        </w:tc>
        <w:tc>
          <w:tcPr>
            <w:tcW w:w="1274" w:type="dxa"/>
          </w:tcPr>
          <w:p w:rsidRPr="002C5EC5" w:rsidR="00CA30A2" w:rsidP="008549EB" w:rsidRDefault="00CA30A2" w14:paraId="535CB380"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265F1DA7" w14:textId="77777777">
            <w:pPr>
              <w:rPr>
                <w:rFonts w:ascii="Verdana" w:hAnsi="Verdana"/>
                <w:sz w:val="16"/>
                <w:szCs w:val="16"/>
              </w:rPr>
            </w:pPr>
          </w:p>
        </w:tc>
      </w:tr>
      <w:tr w:rsidR="00CA30A2" w:rsidTr="00CA30A2" w14:paraId="70AA4CDA" w14:textId="77777777">
        <w:tc>
          <w:tcPr>
            <w:tcW w:w="1552" w:type="dxa"/>
          </w:tcPr>
          <w:p w:rsidRPr="00DD0008" w:rsidR="00CA30A2" w:rsidP="008549EB" w:rsidRDefault="00334D7E" w14:paraId="103CD44D" w14:textId="35B21A8F">
            <w:pPr>
              <w:rPr>
                <w:rFonts w:ascii="Verdana" w:hAnsi="Verdana"/>
                <w:sz w:val="16"/>
                <w:szCs w:val="16"/>
              </w:rPr>
            </w:pPr>
            <w:r>
              <w:rPr>
                <w:rFonts w:ascii="Verdana" w:hAnsi="Verdana"/>
                <w:sz w:val="16"/>
                <w:szCs w:val="16"/>
              </w:rPr>
              <w:t xml:space="preserve">1, lid </w:t>
            </w:r>
            <w:r w:rsidR="00CA30A2">
              <w:rPr>
                <w:rFonts w:ascii="Verdana" w:hAnsi="Verdana"/>
                <w:sz w:val="16"/>
                <w:szCs w:val="16"/>
              </w:rPr>
              <w:t>43</w:t>
            </w:r>
          </w:p>
        </w:tc>
        <w:tc>
          <w:tcPr>
            <w:tcW w:w="1514" w:type="dxa"/>
          </w:tcPr>
          <w:p w:rsidRPr="002C5EC5" w:rsidR="00CA30A2" w:rsidP="008549EB" w:rsidRDefault="00CA30A2" w14:paraId="08A95708" w14:textId="77777777">
            <w:pPr>
              <w:rPr>
                <w:rFonts w:ascii="Verdana" w:hAnsi="Verdana"/>
                <w:sz w:val="16"/>
                <w:szCs w:val="16"/>
              </w:rPr>
            </w:pPr>
            <w:r w:rsidRPr="002C5EC5">
              <w:rPr>
                <w:rFonts w:ascii="Verdana" w:hAnsi="Verdana"/>
                <w:sz w:val="16"/>
                <w:szCs w:val="16"/>
              </w:rPr>
              <w:t>121</w:t>
            </w:r>
          </w:p>
        </w:tc>
        <w:tc>
          <w:tcPr>
            <w:tcW w:w="1625" w:type="dxa"/>
          </w:tcPr>
          <w:p w:rsidR="00CA30A2" w:rsidP="008549EB" w:rsidRDefault="00CA30A2" w14:paraId="637C8534" w14:textId="77777777">
            <w:pPr>
              <w:spacing w:line="240" w:lineRule="atLeast"/>
              <w:rPr>
                <w:rFonts w:ascii="Verdana" w:hAnsi="Verdana"/>
                <w:sz w:val="16"/>
                <w:szCs w:val="16"/>
              </w:rPr>
            </w:pPr>
            <w:r>
              <w:rPr>
                <w:rFonts w:ascii="Verdana" w:hAnsi="Verdana"/>
                <w:sz w:val="16"/>
                <w:szCs w:val="16"/>
              </w:rPr>
              <w:t>Artikel I, onderdeel DDDD (</w:t>
            </w:r>
            <w:r w:rsidRPr="002C5EC5">
              <w:rPr>
                <w:rFonts w:ascii="Verdana" w:hAnsi="Verdana"/>
                <w:sz w:val="16"/>
                <w:szCs w:val="16"/>
              </w:rPr>
              <w:t>3:280c. eerste lid, Wft</w:t>
            </w:r>
            <w:r>
              <w:rPr>
                <w:rFonts w:ascii="Verdana" w:hAnsi="Verdana"/>
                <w:sz w:val="16"/>
                <w:szCs w:val="16"/>
              </w:rPr>
              <w:t>)</w:t>
            </w:r>
          </w:p>
        </w:tc>
        <w:tc>
          <w:tcPr>
            <w:tcW w:w="1274" w:type="dxa"/>
          </w:tcPr>
          <w:p w:rsidRPr="002C5EC5" w:rsidR="00CA30A2" w:rsidP="008549EB" w:rsidRDefault="00CA30A2" w14:paraId="3B0EF7AE"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4840953E" w14:textId="77777777">
            <w:pPr>
              <w:rPr>
                <w:rFonts w:ascii="Verdana" w:hAnsi="Verdana"/>
                <w:sz w:val="16"/>
                <w:szCs w:val="16"/>
              </w:rPr>
            </w:pPr>
          </w:p>
        </w:tc>
      </w:tr>
      <w:tr w:rsidR="00CA30A2" w:rsidTr="00CA30A2" w14:paraId="4B7D1C83" w14:textId="77777777">
        <w:tc>
          <w:tcPr>
            <w:tcW w:w="1552" w:type="dxa"/>
          </w:tcPr>
          <w:p w:rsidRPr="00DD0008" w:rsidR="00CA30A2" w:rsidP="008549EB" w:rsidRDefault="00334D7E" w14:paraId="50534586" w14:textId="2A6B03A0">
            <w:pPr>
              <w:rPr>
                <w:rFonts w:ascii="Verdana" w:hAnsi="Verdana"/>
                <w:sz w:val="16"/>
                <w:szCs w:val="16"/>
              </w:rPr>
            </w:pPr>
            <w:r>
              <w:rPr>
                <w:rFonts w:ascii="Verdana" w:hAnsi="Verdana"/>
                <w:sz w:val="16"/>
                <w:szCs w:val="16"/>
              </w:rPr>
              <w:t xml:space="preserve">1, lid </w:t>
            </w:r>
            <w:r w:rsidR="00CA30A2">
              <w:rPr>
                <w:rFonts w:ascii="Verdana" w:hAnsi="Verdana"/>
                <w:sz w:val="16"/>
                <w:szCs w:val="16"/>
              </w:rPr>
              <w:t>44, onderdeel a</w:t>
            </w:r>
          </w:p>
        </w:tc>
        <w:tc>
          <w:tcPr>
            <w:tcW w:w="1514" w:type="dxa"/>
          </w:tcPr>
          <w:p w:rsidRPr="002C5EC5" w:rsidR="00CA30A2" w:rsidP="008549EB" w:rsidRDefault="00CA30A2" w14:paraId="259F091D" w14:textId="77777777">
            <w:pPr>
              <w:rPr>
                <w:rFonts w:ascii="Verdana" w:hAnsi="Verdana"/>
                <w:sz w:val="16"/>
                <w:szCs w:val="16"/>
              </w:rPr>
            </w:pPr>
            <w:r w:rsidRPr="002C5EC5">
              <w:rPr>
                <w:rFonts w:ascii="Verdana" w:hAnsi="Verdana"/>
                <w:sz w:val="16"/>
                <w:szCs w:val="16"/>
              </w:rPr>
              <w:t>131, vijfde lid bis</w:t>
            </w:r>
          </w:p>
        </w:tc>
        <w:tc>
          <w:tcPr>
            <w:tcW w:w="1625" w:type="dxa"/>
          </w:tcPr>
          <w:p w:rsidR="00CA30A2" w:rsidP="008549EB" w:rsidRDefault="00CA30A2" w14:paraId="612D526F" w14:textId="77777777">
            <w:pPr>
              <w:spacing w:line="240" w:lineRule="atLeast"/>
              <w:rPr>
                <w:rFonts w:ascii="Verdana" w:hAnsi="Verdana"/>
                <w:sz w:val="16"/>
                <w:szCs w:val="16"/>
              </w:rPr>
            </w:pPr>
            <w:r w:rsidRPr="002C5EC5">
              <w:rPr>
                <w:rFonts w:ascii="Verdana" w:hAnsi="Verdana"/>
                <w:sz w:val="16"/>
                <w:szCs w:val="16"/>
              </w:rPr>
              <w:t xml:space="preserve">Behoeft </w:t>
            </w:r>
            <w:r>
              <w:rPr>
                <w:rFonts w:ascii="Verdana" w:hAnsi="Verdana"/>
                <w:sz w:val="16"/>
                <w:szCs w:val="16"/>
              </w:rPr>
              <w:t xml:space="preserve">naar zijn aard </w:t>
            </w:r>
            <w:r w:rsidRPr="002C5EC5">
              <w:rPr>
                <w:rFonts w:ascii="Verdana" w:hAnsi="Verdana"/>
                <w:sz w:val="16"/>
                <w:szCs w:val="16"/>
              </w:rPr>
              <w:t>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b</w:t>
            </w:r>
            <w:r w:rsidRPr="002C5EC5">
              <w:rPr>
                <w:rFonts w:ascii="Verdana" w:hAnsi="Verdana"/>
                <w:sz w:val="16"/>
                <w:szCs w:val="16"/>
              </w:rPr>
              <w:t xml:space="preserve">epaling gericht tot </w:t>
            </w:r>
            <w:r>
              <w:rPr>
                <w:rFonts w:ascii="Verdana" w:hAnsi="Verdana"/>
                <w:sz w:val="16"/>
                <w:szCs w:val="16"/>
              </w:rPr>
              <w:t>de ESA’s</w:t>
            </w:r>
          </w:p>
        </w:tc>
        <w:tc>
          <w:tcPr>
            <w:tcW w:w="1274" w:type="dxa"/>
          </w:tcPr>
          <w:p w:rsidRPr="002C5EC5" w:rsidR="00CA30A2" w:rsidP="008549EB" w:rsidRDefault="00CA30A2" w14:paraId="22C04F4E"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46AF3B27" w14:textId="77777777">
            <w:pPr>
              <w:rPr>
                <w:rFonts w:ascii="Verdana" w:hAnsi="Verdana"/>
                <w:sz w:val="16"/>
                <w:szCs w:val="16"/>
              </w:rPr>
            </w:pPr>
          </w:p>
        </w:tc>
      </w:tr>
      <w:tr w:rsidR="00CA30A2" w:rsidTr="00CA30A2" w14:paraId="1B09D82D" w14:textId="77777777">
        <w:tc>
          <w:tcPr>
            <w:tcW w:w="1552" w:type="dxa"/>
          </w:tcPr>
          <w:p w:rsidRPr="00DD0008" w:rsidR="00CA30A2" w:rsidP="008549EB" w:rsidRDefault="00334D7E" w14:paraId="19BBA329" w14:textId="0C9E2E86">
            <w:pPr>
              <w:rPr>
                <w:rFonts w:ascii="Verdana" w:hAnsi="Verdana"/>
                <w:sz w:val="16"/>
                <w:szCs w:val="16"/>
              </w:rPr>
            </w:pPr>
            <w:r>
              <w:rPr>
                <w:rFonts w:ascii="Verdana" w:hAnsi="Verdana"/>
                <w:sz w:val="16"/>
                <w:szCs w:val="16"/>
              </w:rPr>
              <w:t xml:space="preserve">1, lid </w:t>
            </w:r>
            <w:r w:rsidR="00CA30A2">
              <w:rPr>
                <w:rFonts w:ascii="Verdana" w:hAnsi="Verdana"/>
                <w:sz w:val="16"/>
                <w:szCs w:val="16"/>
              </w:rPr>
              <w:t>44, onderdeel b</w:t>
            </w:r>
          </w:p>
        </w:tc>
        <w:tc>
          <w:tcPr>
            <w:tcW w:w="1514" w:type="dxa"/>
          </w:tcPr>
          <w:p w:rsidRPr="002C5EC5" w:rsidR="00CA30A2" w:rsidP="008549EB" w:rsidRDefault="00CA30A2" w14:paraId="4E6F2001" w14:textId="77777777">
            <w:pPr>
              <w:rPr>
                <w:rFonts w:ascii="Verdana" w:hAnsi="Verdana"/>
                <w:sz w:val="16"/>
                <w:szCs w:val="16"/>
              </w:rPr>
            </w:pPr>
            <w:r w:rsidRPr="002C5EC5">
              <w:rPr>
                <w:rFonts w:ascii="Verdana" w:hAnsi="Verdana"/>
                <w:sz w:val="16"/>
                <w:szCs w:val="16"/>
              </w:rPr>
              <w:t>131, zesde lid</w:t>
            </w:r>
          </w:p>
        </w:tc>
        <w:tc>
          <w:tcPr>
            <w:tcW w:w="1625" w:type="dxa"/>
          </w:tcPr>
          <w:p w:rsidRPr="002C5EC5" w:rsidR="00CA30A2" w:rsidP="008549EB" w:rsidRDefault="00CA30A2" w14:paraId="182BA47A"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d</w:t>
            </w:r>
            <w:r w:rsidRPr="002C5EC5">
              <w:rPr>
                <w:rFonts w:ascii="Verdana" w:hAnsi="Verdana"/>
                <w:sz w:val="16"/>
                <w:szCs w:val="16"/>
              </w:rPr>
              <w:t>ynamische verwijzing naar artikel 131 CRD in 105c, eerste en derde lid, Bpr</w:t>
            </w:r>
          </w:p>
        </w:tc>
        <w:tc>
          <w:tcPr>
            <w:tcW w:w="1274" w:type="dxa"/>
          </w:tcPr>
          <w:p w:rsidRPr="002C5EC5" w:rsidR="00CA30A2" w:rsidP="008549EB" w:rsidRDefault="00CA30A2" w14:paraId="5D519530"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1DD54D79" w14:textId="77777777">
            <w:pPr>
              <w:rPr>
                <w:rFonts w:ascii="Verdana" w:hAnsi="Verdana"/>
                <w:sz w:val="16"/>
                <w:szCs w:val="16"/>
              </w:rPr>
            </w:pPr>
          </w:p>
        </w:tc>
      </w:tr>
      <w:tr w:rsidR="00CA30A2" w:rsidTr="00CA30A2" w14:paraId="5843C918" w14:textId="77777777">
        <w:tc>
          <w:tcPr>
            <w:tcW w:w="1552" w:type="dxa"/>
          </w:tcPr>
          <w:p w:rsidRPr="00DD0008" w:rsidR="00CA30A2" w:rsidP="008549EB" w:rsidRDefault="00334D7E" w14:paraId="63B6F92F" w14:textId="1C4D340C">
            <w:pPr>
              <w:rPr>
                <w:rFonts w:ascii="Verdana" w:hAnsi="Verdana"/>
                <w:sz w:val="16"/>
                <w:szCs w:val="16"/>
              </w:rPr>
            </w:pPr>
            <w:r>
              <w:rPr>
                <w:rFonts w:ascii="Verdana" w:hAnsi="Verdana"/>
                <w:sz w:val="16"/>
                <w:szCs w:val="16"/>
              </w:rPr>
              <w:t xml:space="preserve">1, lid </w:t>
            </w:r>
            <w:r w:rsidR="00CA30A2">
              <w:rPr>
                <w:rFonts w:ascii="Verdana" w:hAnsi="Verdana"/>
                <w:sz w:val="16"/>
                <w:szCs w:val="16"/>
              </w:rPr>
              <w:t>44, onderdeel c</w:t>
            </w:r>
          </w:p>
        </w:tc>
        <w:tc>
          <w:tcPr>
            <w:tcW w:w="1514" w:type="dxa"/>
          </w:tcPr>
          <w:p w:rsidRPr="002C5EC5" w:rsidR="00CA30A2" w:rsidP="008549EB" w:rsidRDefault="00CA30A2" w14:paraId="7D825ACF" w14:textId="77777777">
            <w:pPr>
              <w:rPr>
                <w:rFonts w:ascii="Verdana" w:hAnsi="Verdana"/>
                <w:sz w:val="16"/>
                <w:szCs w:val="16"/>
              </w:rPr>
            </w:pPr>
            <w:r w:rsidRPr="002C5EC5">
              <w:rPr>
                <w:rFonts w:ascii="Verdana" w:hAnsi="Verdana"/>
                <w:sz w:val="16"/>
                <w:szCs w:val="16"/>
              </w:rPr>
              <w:t>131, vijftiende lid</w:t>
            </w:r>
          </w:p>
        </w:tc>
        <w:tc>
          <w:tcPr>
            <w:tcW w:w="1625" w:type="dxa"/>
          </w:tcPr>
          <w:p w:rsidRPr="002C5EC5" w:rsidR="00CA30A2" w:rsidP="008549EB" w:rsidRDefault="00CA30A2" w14:paraId="0CE2B622"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d</w:t>
            </w:r>
            <w:r w:rsidRPr="002C5EC5">
              <w:rPr>
                <w:rFonts w:ascii="Verdana" w:hAnsi="Verdana"/>
                <w:sz w:val="16"/>
                <w:szCs w:val="16"/>
              </w:rPr>
              <w:t>ynamische verwijzing naar artikel 131 CRD in 105c, eerste en derde lid, Bpr</w:t>
            </w:r>
          </w:p>
        </w:tc>
        <w:tc>
          <w:tcPr>
            <w:tcW w:w="1274" w:type="dxa"/>
          </w:tcPr>
          <w:p w:rsidRPr="002C5EC5" w:rsidR="00CA30A2" w:rsidP="008549EB" w:rsidRDefault="00CA30A2" w14:paraId="7071DE70"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5B6F4F58" w14:textId="77777777">
            <w:pPr>
              <w:rPr>
                <w:rFonts w:ascii="Verdana" w:hAnsi="Verdana"/>
                <w:sz w:val="16"/>
                <w:szCs w:val="16"/>
              </w:rPr>
            </w:pPr>
          </w:p>
        </w:tc>
      </w:tr>
      <w:tr w:rsidR="00CA30A2" w:rsidTr="00CA30A2" w14:paraId="38AEC1CB" w14:textId="77777777">
        <w:tc>
          <w:tcPr>
            <w:tcW w:w="1552" w:type="dxa"/>
          </w:tcPr>
          <w:p w:rsidRPr="00DD0008" w:rsidR="00CA30A2" w:rsidP="008549EB" w:rsidRDefault="00334D7E" w14:paraId="3B868DAA" w14:textId="0BC67A3F">
            <w:pPr>
              <w:rPr>
                <w:rFonts w:ascii="Verdana" w:hAnsi="Verdana"/>
                <w:sz w:val="16"/>
                <w:szCs w:val="16"/>
              </w:rPr>
            </w:pPr>
            <w:r>
              <w:rPr>
                <w:rFonts w:ascii="Verdana" w:hAnsi="Verdana"/>
                <w:sz w:val="16"/>
                <w:szCs w:val="16"/>
              </w:rPr>
              <w:t xml:space="preserve">1, lid </w:t>
            </w:r>
            <w:r w:rsidR="00CA30A2">
              <w:rPr>
                <w:rFonts w:ascii="Verdana" w:hAnsi="Verdana"/>
                <w:sz w:val="16"/>
                <w:szCs w:val="16"/>
              </w:rPr>
              <w:t>45</w:t>
            </w:r>
          </w:p>
        </w:tc>
        <w:tc>
          <w:tcPr>
            <w:tcW w:w="1514" w:type="dxa"/>
          </w:tcPr>
          <w:p w:rsidRPr="002C5EC5" w:rsidR="00CA30A2" w:rsidP="008549EB" w:rsidRDefault="00CA30A2" w14:paraId="33F57479" w14:textId="77777777">
            <w:pPr>
              <w:rPr>
                <w:rFonts w:ascii="Verdana" w:hAnsi="Verdana"/>
                <w:sz w:val="16"/>
                <w:szCs w:val="16"/>
              </w:rPr>
            </w:pPr>
            <w:r w:rsidRPr="002C5EC5">
              <w:rPr>
                <w:rFonts w:ascii="Verdana" w:hAnsi="Verdana"/>
                <w:sz w:val="16"/>
                <w:szCs w:val="16"/>
              </w:rPr>
              <w:t>133</w:t>
            </w:r>
          </w:p>
        </w:tc>
        <w:tc>
          <w:tcPr>
            <w:tcW w:w="1625" w:type="dxa"/>
          </w:tcPr>
          <w:p w:rsidRPr="002C5EC5" w:rsidR="00CA30A2" w:rsidP="008549EB" w:rsidRDefault="00CA30A2" w14:paraId="6A8204E5"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d</w:t>
            </w:r>
            <w:r w:rsidRPr="002C5EC5">
              <w:rPr>
                <w:rFonts w:ascii="Verdana" w:hAnsi="Verdana"/>
                <w:sz w:val="16"/>
                <w:szCs w:val="16"/>
              </w:rPr>
              <w:t>ynamische verwijzing naar artikel 133 CRD in 105e Bpr.</w:t>
            </w:r>
          </w:p>
        </w:tc>
        <w:tc>
          <w:tcPr>
            <w:tcW w:w="1274" w:type="dxa"/>
          </w:tcPr>
          <w:p w:rsidRPr="002C5EC5" w:rsidR="00CA30A2" w:rsidP="008549EB" w:rsidRDefault="00CA30A2" w14:paraId="1902B536"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17EEA14D" w14:textId="77777777">
            <w:pPr>
              <w:rPr>
                <w:rFonts w:ascii="Verdana" w:hAnsi="Verdana"/>
                <w:sz w:val="16"/>
                <w:szCs w:val="16"/>
              </w:rPr>
            </w:pPr>
          </w:p>
        </w:tc>
      </w:tr>
      <w:tr w:rsidR="00CA30A2" w:rsidTr="00CA30A2" w14:paraId="4C113C9D" w14:textId="77777777">
        <w:tc>
          <w:tcPr>
            <w:tcW w:w="1552" w:type="dxa"/>
          </w:tcPr>
          <w:p w:rsidRPr="00DD0008" w:rsidR="00CA30A2" w:rsidP="008549EB" w:rsidRDefault="00334D7E" w14:paraId="234D52C7" w14:textId="1FEA61FA">
            <w:pPr>
              <w:rPr>
                <w:rFonts w:ascii="Verdana" w:hAnsi="Verdana"/>
                <w:sz w:val="16"/>
                <w:szCs w:val="16"/>
              </w:rPr>
            </w:pPr>
            <w:r>
              <w:rPr>
                <w:rFonts w:ascii="Verdana" w:hAnsi="Verdana"/>
                <w:sz w:val="16"/>
                <w:szCs w:val="16"/>
              </w:rPr>
              <w:t xml:space="preserve">1, lid </w:t>
            </w:r>
            <w:r w:rsidR="00CA30A2">
              <w:rPr>
                <w:rFonts w:ascii="Verdana" w:hAnsi="Verdana"/>
                <w:sz w:val="16"/>
                <w:szCs w:val="16"/>
              </w:rPr>
              <w:t>46, onderdeel a</w:t>
            </w:r>
          </w:p>
        </w:tc>
        <w:tc>
          <w:tcPr>
            <w:tcW w:w="1514" w:type="dxa"/>
          </w:tcPr>
          <w:p w:rsidRPr="002C5EC5" w:rsidR="00CA30A2" w:rsidP="008549EB" w:rsidRDefault="00CA30A2" w14:paraId="686D6173" w14:textId="77777777">
            <w:pPr>
              <w:rPr>
                <w:rFonts w:ascii="Verdana" w:hAnsi="Verdana"/>
                <w:sz w:val="16"/>
                <w:szCs w:val="16"/>
              </w:rPr>
            </w:pPr>
            <w:r w:rsidRPr="002C5EC5">
              <w:rPr>
                <w:rFonts w:ascii="Verdana" w:hAnsi="Verdana"/>
                <w:sz w:val="16"/>
                <w:szCs w:val="16"/>
              </w:rPr>
              <w:t>142, tweede lid, onderdeel c</w:t>
            </w:r>
          </w:p>
        </w:tc>
        <w:tc>
          <w:tcPr>
            <w:tcW w:w="1625" w:type="dxa"/>
          </w:tcPr>
          <w:p w:rsidRPr="002C5EC5" w:rsidR="00CA30A2" w:rsidP="008549EB" w:rsidRDefault="00CA30A2" w14:paraId="47406BB8"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 b</w:t>
            </w:r>
            <w:r w:rsidRPr="002C5EC5">
              <w:rPr>
                <w:rFonts w:ascii="Verdana" w:hAnsi="Verdana"/>
                <w:sz w:val="16"/>
                <w:szCs w:val="16"/>
              </w:rPr>
              <w:t>estaand recht in 3:62ba, vijfde lid, Wft en 105i, eerste lid onderdeel c, Bpr.</w:t>
            </w:r>
          </w:p>
        </w:tc>
        <w:tc>
          <w:tcPr>
            <w:tcW w:w="1274" w:type="dxa"/>
          </w:tcPr>
          <w:p w:rsidRPr="002C5EC5" w:rsidR="00CA30A2" w:rsidP="008549EB" w:rsidRDefault="00CA30A2" w14:paraId="0D713DC0"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4C5AA24D" w14:textId="77777777">
            <w:pPr>
              <w:rPr>
                <w:rFonts w:ascii="Verdana" w:hAnsi="Verdana"/>
                <w:sz w:val="16"/>
                <w:szCs w:val="16"/>
              </w:rPr>
            </w:pPr>
          </w:p>
        </w:tc>
      </w:tr>
      <w:tr w:rsidR="00CA30A2" w:rsidTr="00CA30A2" w14:paraId="477F0F16" w14:textId="77777777">
        <w:tc>
          <w:tcPr>
            <w:tcW w:w="1552" w:type="dxa"/>
          </w:tcPr>
          <w:p w:rsidRPr="00DD0008" w:rsidR="00CA30A2" w:rsidP="008549EB" w:rsidRDefault="00334D7E" w14:paraId="4C4F284E" w14:textId="571F2008">
            <w:pPr>
              <w:rPr>
                <w:rFonts w:ascii="Verdana" w:hAnsi="Verdana"/>
                <w:sz w:val="16"/>
                <w:szCs w:val="16"/>
              </w:rPr>
            </w:pPr>
            <w:r>
              <w:rPr>
                <w:rFonts w:ascii="Verdana" w:hAnsi="Verdana"/>
                <w:sz w:val="16"/>
                <w:szCs w:val="16"/>
              </w:rPr>
              <w:t xml:space="preserve">1, lid </w:t>
            </w:r>
            <w:r w:rsidR="00CA30A2">
              <w:rPr>
                <w:rFonts w:ascii="Verdana" w:hAnsi="Verdana"/>
                <w:sz w:val="16"/>
                <w:szCs w:val="16"/>
              </w:rPr>
              <w:t>46, onderdeel b</w:t>
            </w:r>
          </w:p>
        </w:tc>
        <w:tc>
          <w:tcPr>
            <w:tcW w:w="1514" w:type="dxa"/>
          </w:tcPr>
          <w:p w:rsidRPr="002C5EC5" w:rsidR="00CA30A2" w:rsidP="008549EB" w:rsidRDefault="00CA30A2" w14:paraId="13CA06F0" w14:textId="77777777">
            <w:pPr>
              <w:rPr>
                <w:rFonts w:ascii="Verdana" w:hAnsi="Verdana"/>
                <w:sz w:val="16"/>
                <w:szCs w:val="16"/>
              </w:rPr>
            </w:pPr>
            <w:r w:rsidRPr="002C5EC5">
              <w:rPr>
                <w:rFonts w:ascii="Verdana" w:hAnsi="Verdana"/>
                <w:sz w:val="16"/>
                <w:szCs w:val="16"/>
              </w:rPr>
              <w:t>142, derde lid</w:t>
            </w:r>
          </w:p>
        </w:tc>
        <w:tc>
          <w:tcPr>
            <w:tcW w:w="1625" w:type="dxa"/>
          </w:tcPr>
          <w:p w:rsidRPr="002C5EC5" w:rsidR="00CA30A2" w:rsidP="008549EB" w:rsidRDefault="00CA30A2" w14:paraId="4878ED6B"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b</w:t>
            </w:r>
            <w:r w:rsidRPr="002C5EC5">
              <w:rPr>
                <w:rFonts w:ascii="Verdana" w:hAnsi="Verdana"/>
                <w:sz w:val="16"/>
                <w:szCs w:val="16"/>
              </w:rPr>
              <w:t>estaand recht in 3:62ba, derde en zevende lid, Wft.</w:t>
            </w:r>
          </w:p>
        </w:tc>
        <w:tc>
          <w:tcPr>
            <w:tcW w:w="1274" w:type="dxa"/>
          </w:tcPr>
          <w:p w:rsidRPr="002C5EC5" w:rsidR="00CA30A2" w:rsidP="008549EB" w:rsidRDefault="00CA30A2" w14:paraId="6238FF9B"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3FB2C010" w14:textId="77777777">
            <w:pPr>
              <w:rPr>
                <w:rFonts w:ascii="Verdana" w:hAnsi="Verdana"/>
                <w:sz w:val="16"/>
                <w:szCs w:val="16"/>
              </w:rPr>
            </w:pPr>
          </w:p>
        </w:tc>
      </w:tr>
      <w:tr w:rsidR="00CA30A2" w:rsidTr="00CA30A2" w14:paraId="38FA0977" w14:textId="77777777">
        <w:tc>
          <w:tcPr>
            <w:tcW w:w="1552" w:type="dxa"/>
          </w:tcPr>
          <w:p w:rsidRPr="00DD0008" w:rsidR="00CA30A2" w:rsidP="008549EB" w:rsidRDefault="00334D7E" w14:paraId="7072A0B2" w14:textId="3AED183C">
            <w:pPr>
              <w:rPr>
                <w:rFonts w:ascii="Verdana" w:hAnsi="Verdana"/>
                <w:sz w:val="16"/>
                <w:szCs w:val="16"/>
              </w:rPr>
            </w:pPr>
            <w:r>
              <w:rPr>
                <w:rFonts w:ascii="Verdana" w:hAnsi="Verdana"/>
                <w:sz w:val="16"/>
                <w:szCs w:val="16"/>
              </w:rPr>
              <w:t xml:space="preserve">1, lid </w:t>
            </w:r>
            <w:r w:rsidR="00CA30A2">
              <w:rPr>
                <w:rFonts w:ascii="Verdana" w:hAnsi="Verdana"/>
                <w:sz w:val="16"/>
                <w:szCs w:val="16"/>
              </w:rPr>
              <w:t>46, onderdeel c</w:t>
            </w:r>
          </w:p>
        </w:tc>
        <w:tc>
          <w:tcPr>
            <w:tcW w:w="1514" w:type="dxa"/>
          </w:tcPr>
          <w:p w:rsidRPr="002C5EC5" w:rsidR="00CA30A2" w:rsidP="008549EB" w:rsidRDefault="00CA30A2" w14:paraId="788BC778" w14:textId="77777777">
            <w:pPr>
              <w:rPr>
                <w:rFonts w:ascii="Verdana" w:hAnsi="Verdana"/>
                <w:sz w:val="16"/>
                <w:szCs w:val="16"/>
              </w:rPr>
            </w:pPr>
            <w:r w:rsidRPr="002C5EC5">
              <w:rPr>
                <w:rFonts w:ascii="Verdana" w:hAnsi="Verdana"/>
                <w:sz w:val="16"/>
                <w:szCs w:val="16"/>
              </w:rPr>
              <w:t>142, vierde lid, onderdeel b</w:t>
            </w:r>
          </w:p>
        </w:tc>
        <w:tc>
          <w:tcPr>
            <w:tcW w:w="1625" w:type="dxa"/>
          </w:tcPr>
          <w:p w:rsidRPr="002C5EC5" w:rsidR="00CA30A2" w:rsidP="008549EB" w:rsidRDefault="00CA30A2" w14:paraId="25703BB5" w14:textId="77777777">
            <w:pPr>
              <w:spacing w:line="240" w:lineRule="atLeast"/>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b</w:t>
            </w:r>
            <w:r w:rsidRPr="002C5EC5">
              <w:rPr>
                <w:rFonts w:ascii="Verdana" w:hAnsi="Verdana"/>
                <w:sz w:val="16"/>
                <w:szCs w:val="16"/>
              </w:rPr>
              <w:t>estaand recht in 3:62ba, zevende lid, onderdeel b, Wft.</w:t>
            </w:r>
          </w:p>
        </w:tc>
        <w:tc>
          <w:tcPr>
            <w:tcW w:w="1274" w:type="dxa"/>
          </w:tcPr>
          <w:p w:rsidRPr="002C5EC5" w:rsidR="00CA30A2" w:rsidP="008549EB" w:rsidRDefault="00CA30A2" w14:paraId="5DAF64FF" w14:textId="77777777">
            <w:pPr>
              <w:rPr>
                <w:rFonts w:ascii="Verdana" w:hAnsi="Verdana"/>
                <w:sz w:val="16"/>
                <w:szCs w:val="16"/>
              </w:rPr>
            </w:pPr>
            <w:r w:rsidRPr="002C5EC5">
              <w:rPr>
                <w:rFonts w:ascii="Verdana" w:hAnsi="Verdana"/>
                <w:sz w:val="16"/>
                <w:szCs w:val="16"/>
              </w:rPr>
              <w:t>Geen</w:t>
            </w:r>
          </w:p>
        </w:tc>
        <w:tc>
          <w:tcPr>
            <w:tcW w:w="1422" w:type="dxa"/>
          </w:tcPr>
          <w:p w:rsidRPr="002C5EC5" w:rsidR="00CA30A2" w:rsidP="008549EB" w:rsidRDefault="00CA30A2" w14:paraId="2CC2671A" w14:textId="77777777">
            <w:pPr>
              <w:rPr>
                <w:rFonts w:ascii="Verdana" w:hAnsi="Verdana"/>
                <w:sz w:val="16"/>
                <w:szCs w:val="16"/>
              </w:rPr>
            </w:pPr>
          </w:p>
        </w:tc>
      </w:tr>
      <w:tr w:rsidR="00334D7E" w:rsidTr="00CA30A2" w14:paraId="697AE0D1" w14:textId="77777777">
        <w:tc>
          <w:tcPr>
            <w:tcW w:w="1552" w:type="dxa"/>
          </w:tcPr>
          <w:p w:rsidR="00334D7E" w:rsidP="00334D7E" w:rsidRDefault="00334D7E" w14:paraId="4BF2B2C5" w14:textId="059A7C7B">
            <w:r>
              <w:t>2</w:t>
            </w:r>
          </w:p>
        </w:tc>
        <w:tc>
          <w:tcPr>
            <w:tcW w:w="1514" w:type="dxa"/>
          </w:tcPr>
          <w:p w:rsidRPr="002C5EC5" w:rsidR="00334D7E" w:rsidP="00334D7E" w:rsidRDefault="00334D7E" w14:paraId="38C109DB" w14:textId="77777777"/>
        </w:tc>
        <w:tc>
          <w:tcPr>
            <w:tcW w:w="1625" w:type="dxa"/>
          </w:tcPr>
          <w:p w:rsidRPr="002C5EC5" w:rsidR="00334D7E" w:rsidP="00334D7E" w:rsidRDefault="00334D7E" w14:paraId="60A3EBAD" w14:textId="58EE07C4">
            <w:pPr>
              <w:spacing w:line="240" w:lineRule="atLeast"/>
            </w:pPr>
            <w:r w:rsidRPr="002C5EC5">
              <w:rPr>
                <w:rFonts w:ascii="Verdana" w:hAnsi="Verdana"/>
                <w:bCs/>
                <w:sz w:val="16"/>
                <w:szCs w:val="16"/>
              </w:rPr>
              <w:t xml:space="preserve">Artikel </w:t>
            </w:r>
            <w:r>
              <w:rPr>
                <w:rFonts w:ascii="Verdana" w:hAnsi="Verdana"/>
                <w:bCs/>
                <w:sz w:val="16"/>
                <w:szCs w:val="16"/>
              </w:rPr>
              <w:t>V</w:t>
            </w:r>
          </w:p>
        </w:tc>
        <w:tc>
          <w:tcPr>
            <w:tcW w:w="1274" w:type="dxa"/>
          </w:tcPr>
          <w:p w:rsidRPr="002C5EC5" w:rsidR="00334D7E" w:rsidP="00334D7E" w:rsidRDefault="00334D7E" w14:paraId="0B9532E1" w14:textId="3EACDBA5">
            <w:r w:rsidRPr="002C5EC5">
              <w:rPr>
                <w:rFonts w:ascii="Verdana" w:hAnsi="Verdana"/>
                <w:bCs/>
                <w:sz w:val="16"/>
                <w:szCs w:val="16"/>
              </w:rPr>
              <w:t>Geen</w:t>
            </w:r>
          </w:p>
        </w:tc>
        <w:tc>
          <w:tcPr>
            <w:tcW w:w="1422" w:type="dxa"/>
          </w:tcPr>
          <w:p w:rsidRPr="002C5EC5" w:rsidR="00334D7E" w:rsidP="00334D7E" w:rsidRDefault="00334D7E" w14:paraId="75CD8BD8" w14:textId="087322EF">
            <w:r w:rsidRPr="002C5EC5">
              <w:rPr>
                <w:rFonts w:ascii="Verdana" w:hAnsi="Verdana"/>
                <w:bCs/>
                <w:sz w:val="16"/>
                <w:szCs w:val="16"/>
              </w:rPr>
              <w:t>Omzettingstermijn</w:t>
            </w:r>
          </w:p>
        </w:tc>
      </w:tr>
      <w:tr w:rsidR="00334D7E" w:rsidTr="00CA30A2" w14:paraId="2669FF36" w14:textId="77777777">
        <w:tc>
          <w:tcPr>
            <w:tcW w:w="1552" w:type="dxa"/>
          </w:tcPr>
          <w:p w:rsidR="00334D7E" w:rsidP="00334D7E" w:rsidRDefault="00334D7E" w14:paraId="07781499" w14:textId="784CD74E">
            <w:r>
              <w:t>3</w:t>
            </w:r>
          </w:p>
        </w:tc>
        <w:tc>
          <w:tcPr>
            <w:tcW w:w="1514" w:type="dxa"/>
          </w:tcPr>
          <w:p w:rsidRPr="002C5EC5" w:rsidR="00334D7E" w:rsidP="00334D7E" w:rsidRDefault="00334D7E" w14:paraId="24BADE9E" w14:textId="77777777"/>
        </w:tc>
        <w:tc>
          <w:tcPr>
            <w:tcW w:w="1625" w:type="dxa"/>
          </w:tcPr>
          <w:p w:rsidRPr="002C5EC5" w:rsidR="00334D7E" w:rsidP="00334D7E" w:rsidRDefault="00334D7E" w14:paraId="2FFB0D3F" w14:textId="30AD57B0">
            <w:pPr>
              <w:spacing w:line="240" w:lineRule="atLeast"/>
            </w:pPr>
            <w:r w:rsidRPr="002C5EC5">
              <w:rPr>
                <w:rFonts w:ascii="Verdana" w:hAnsi="Verdana"/>
                <w:bCs/>
                <w:sz w:val="16"/>
                <w:szCs w:val="16"/>
              </w:rPr>
              <w:t>Behoeft naar zijn aard geen implementatie</w:t>
            </w:r>
          </w:p>
        </w:tc>
        <w:tc>
          <w:tcPr>
            <w:tcW w:w="1274" w:type="dxa"/>
          </w:tcPr>
          <w:p w:rsidRPr="002C5EC5" w:rsidR="00334D7E" w:rsidP="00334D7E" w:rsidRDefault="00334D7E" w14:paraId="4D37E60E" w14:textId="0509C9EA">
            <w:r w:rsidRPr="002C5EC5">
              <w:rPr>
                <w:rFonts w:ascii="Verdana" w:hAnsi="Verdana"/>
                <w:bCs/>
                <w:sz w:val="16"/>
                <w:szCs w:val="16"/>
              </w:rPr>
              <w:t>Geen</w:t>
            </w:r>
          </w:p>
        </w:tc>
        <w:tc>
          <w:tcPr>
            <w:tcW w:w="1422" w:type="dxa"/>
          </w:tcPr>
          <w:p w:rsidRPr="002C5EC5" w:rsidR="00334D7E" w:rsidP="00334D7E" w:rsidRDefault="00334D7E" w14:paraId="74817B74" w14:textId="6393DAB7">
            <w:r w:rsidRPr="002C5EC5">
              <w:rPr>
                <w:rFonts w:ascii="Verdana" w:hAnsi="Verdana"/>
                <w:bCs/>
                <w:sz w:val="16"/>
                <w:szCs w:val="16"/>
              </w:rPr>
              <w:t>Inwerkingtredingsbepaling</w:t>
            </w:r>
          </w:p>
        </w:tc>
      </w:tr>
      <w:tr w:rsidR="00334D7E" w:rsidTr="00CA30A2" w14:paraId="179096D3" w14:textId="77777777">
        <w:tc>
          <w:tcPr>
            <w:tcW w:w="1552" w:type="dxa"/>
          </w:tcPr>
          <w:p w:rsidR="00334D7E" w:rsidP="00334D7E" w:rsidRDefault="00334D7E" w14:paraId="6821DC1E" w14:textId="1A1BC32A">
            <w:r>
              <w:t>4</w:t>
            </w:r>
          </w:p>
        </w:tc>
        <w:tc>
          <w:tcPr>
            <w:tcW w:w="1514" w:type="dxa"/>
          </w:tcPr>
          <w:p w:rsidRPr="002C5EC5" w:rsidR="00334D7E" w:rsidP="00334D7E" w:rsidRDefault="00334D7E" w14:paraId="760661CF" w14:textId="77777777"/>
        </w:tc>
        <w:tc>
          <w:tcPr>
            <w:tcW w:w="1625" w:type="dxa"/>
          </w:tcPr>
          <w:p w:rsidRPr="002C5EC5" w:rsidR="00334D7E" w:rsidP="00334D7E" w:rsidRDefault="00334D7E" w14:paraId="6DE32627" w14:textId="73656E15">
            <w:pPr>
              <w:spacing w:line="240" w:lineRule="atLeast"/>
            </w:pPr>
            <w:r w:rsidRPr="002C5EC5">
              <w:rPr>
                <w:rFonts w:ascii="Verdana" w:hAnsi="Verdana"/>
                <w:bCs/>
                <w:sz w:val="16"/>
                <w:szCs w:val="16"/>
              </w:rPr>
              <w:t>Behoeft naar zijn aard geen implementatie</w:t>
            </w:r>
          </w:p>
        </w:tc>
        <w:tc>
          <w:tcPr>
            <w:tcW w:w="1274" w:type="dxa"/>
          </w:tcPr>
          <w:p w:rsidRPr="002C5EC5" w:rsidR="00334D7E" w:rsidP="00334D7E" w:rsidRDefault="00334D7E" w14:paraId="3E3B8BFF" w14:textId="153D19A9">
            <w:r w:rsidRPr="002C5EC5">
              <w:rPr>
                <w:rFonts w:ascii="Verdana" w:hAnsi="Verdana"/>
                <w:bCs/>
                <w:sz w:val="16"/>
                <w:szCs w:val="16"/>
              </w:rPr>
              <w:t>Geen</w:t>
            </w:r>
          </w:p>
        </w:tc>
        <w:tc>
          <w:tcPr>
            <w:tcW w:w="1422" w:type="dxa"/>
          </w:tcPr>
          <w:p w:rsidRPr="002C5EC5" w:rsidR="00334D7E" w:rsidP="00334D7E" w:rsidRDefault="00334D7E" w14:paraId="0D7689C9" w14:textId="640E2FF3">
            <w:r w:rsidRPr="002C5EC5">
              <w:rPr>
                <w:rFonts w:ascii="Verdana" w:hAnsi="Verdana"/>
                <w:bCs/>
                <w:sz w:val="16"/>
                <w:szCs w:val="16"/>
              </w:rPr>
              <w:t>Adresseringsbepaling</w:t>
            </w:r>
          </w:p>
        </w:tc>
      </w:tr>
    </w:tbl>
    <w:p w:rsidR="0003280C" w:rsidRDefault="0003280C" w14:paraId="57109746" w14:textId="77777777">
      <w:pPr>
        <w:widowControl w:val="0"/>
        <w:tabs>
          <w:tab w:val="num" w:pos="720"/>
        </w:tabs>
        <w:spacing w:line="240" w:lineRule="atLeast"/>
        <w:rPr>
          <w:rFonts w:cs="Arial"/>
          <w:sz w:val="18"/>
          <w:szCs w:val="18"/>
        </w:rPr>
      </w:pPr>
    </w:p>
    <w:p w:rsidR="00034345" w:rsidP="00034345" w:rsidRDefault="00034345" w14:paraId="00CC0FC3" w14:textId="77777777">
      <w:pPr>
        <w:rPr>
          <w:rFonts w:cs="Arial"/>
          <w:sz w:val="18"/>
          <w:szCs w:val="18"/>
        </w:rPr>
      </w:pPr>
    </w:p>
    <w:p w:rsidRPr="00AC2E4A" w:rsidR="002C5EC5" w:rsidP="00034345" w:rsidRDefault="002C5EC5" w14:paraId="5B59B238" w14:textId="235EA426">
      <w:pPr>
        <w:rPr>
          <w:b/>
          <w:bCs/>
        </w:rPr>
      </w:pPr>
      <w:r w:rsidRPr="00AC2E4A">
        <w:rPr>
          <w:b/>
          <w:bCs/>
        </w:rPr>
        <w:t xml:space="preserve">Transponeringstabel behorende bij Richtlijn (EU) 2024/2994 ter wijziging van Richtlijn 2009/65/EG, Richtlijn 2013/36/EU en Richtlijn (EU) 2019/2034. </w:t>
      </w:r>
    </w:p>
    <w:p w:rsidR="002C5EC5" w:rsidRDefault="002C5EC5" w14:paraId="06858321" w14:textId="77777777">
      <w:pPr>
        <w:widowControl w:val="0"/>
        <w:tabs>
          <w:tab w:val="num" w:pos="720"/>
        </w:tabs>
        <w:spacing w:line="240" w:lineRule="atLeast"/>
        <w:rPr>
          <w:rFonts w:cs="Arial"/>
          <w:sz w:val="18"/>
          <w:szCs w:val="18"/>
        </w:rPr>
      </w:pPr>
    </w:p>
    <w:tbl>
      <w:tblPr>
        <w:tblStyle w:val="Tabelraster"/>
        <w:tblW w:w="0" w:type="auto"/>
        <w:tblInd w:w="-14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57" w:type="dxa"/>
          <w:bottom w:w="57" w:type="dxa"/>
        </w:tblCellMar>
        <w:tblLook w:val="04A0" w:firstRow="1" w:lastRow="0" w:firstColumn="1" w:lastColumn="0" w:noHBand="0" w:noVBand="1"/>
      </w:tblPr>
      <w:tblGrid>
        <w:gridCol w:w="1564"/>
        <w:gridCol w:w="1525"/>
        <w:gridCol w:w="1540"/>
        <w:gridCol w:w="1308"/>
        <w:gridCol w:w="1450"/>
      </w:tblGrid>
      <w:tr w:rsidR="008068C4" w:rsidTr="008068C4" w14:paraId="4953A79F" w14:textId="77777777">
        <w:tc>
          <w:tcPr>
            <w:tcW w:w="1564" w:type="dxa"/>
            <w:shd w:val="clear" w:color="auto" w:fill="EEECE1" w:themeFill="background2"/>
          </w:tcPr>
          <w:p w:rsidRPr="00DD0008" w:rsidR="008068C4" w:rsidP="008549EB" w:rsidRDefault="008068C4" w14:paraId="3D91A18A" w14:textId="77777777">
            <w:pPr>
              <w:rPr>
                <w:rFonts w:ascii="Verdana" w:hAnsi="Verdana"/>
                <w:b/>
                <w:sz w:val="16"/>
                <w:szCs w:val="16"/>
              </w:rPr>
            </w:pPr>
            <w:r>
              <w:rPr>
                <w:rFonts w:ascii="Verdana" w:hAnsi="Verdana"/>
                <w:b/>
                <w:sz w:val="16"/>
                <w:szCs w:val="16"/>
              </w:rPr>
              <w:t>Bepaling in Richtlijn (EU) 2024/2994</w:t>
            </w:r>
          </w:p>
        </w:tc>
        <w:tc>
          <w:tcPr>
            <w:tcW w:w="1525" w:type="dxa"/>
            <w:shd w:val="clear" w:color="auto" w:fill="EEECE1" w:themeFill="background2"/>
          </w:tcPr>
          <w:p w:rsidRPr="00DD0008" w:rsidR="008068C4" w:rsidP="008549EB" w:rsidRDefault="008068C4" w14:paraId="16EF0653" w14:textId="77777777">
            <w:pPr>
              <w:rPr>
                <w:rFonts w:ascii="Verdana" w:hAnsi="Verdana" w:cs="Times New Roman"/>
                <w:b/>
                <w:sz w:val="16"/>
                <w:szCs w:val="16"/>
                <w:lang w:eastAsia="nl-NL"/>
              </w:rPr>
            </w:pPr>
            <w:r w:rsidRPr="00DD0008">
              <w:rPr>
                <w:rFonts w:ascii="Verdana" w:hAnsi="Verdana" w:cs="Times New Roman"/>
                <w:b/>
                <w:sz w:val="16"/>
                <w:szCs w:val="16"/>
                <w:lang w:eastAsia="nl-NL"/>
              </w:rPr>
              <w:t xml:space="preserve">Bepaling </w:t>
            </w:r>
            <w:r>
              <w:rPr>
                <w:rFonts w:ascii="Verdana" w:hAnsi="Verdana" w:cs="Times New Roman"/>
                <w:b/>
                <w:sz w:val="16"/>
                <w:szCs w:val="16"/>
                <w:lang w:eastAsia="nl-NL"/>
              </w:rPr>
              <w:t>in Richtlijn 2009/65/EG</w:t>
            </w:r>
          </w:p>
        </w:tc>
        <w:tc>
          <w:tcPr>
            <w:tcW w:w="1540" w:type="dxa"/>
            <w:shd w:val="clear" w:color="auto" w:fill="EEECE1" w:themeFill="background2"/>
          </w:tcPr>
          <w:p w:rsidR="008068C4" w:rsidP="008549EB" w:rsidRDefault="008068C4" w14:paraId="6AD253CC" w14:textId="77777777">
            <w:pPr>
              <w:rPr>
                <w:rFonts w:ascii="Verdana" w:hAnsi="Verdana" w:cs="Times New Roman"/>
                <w:b/>
                <w:sz w:val="16"/>
                <w:szCs w:val="16"/>
                <w:lang w:eastAsia="nl-NL"/>
              </w:rPr>
            </w:pPr>
            <w:r w:rsidRPr="00DD0008">
              <w:rPr>
                <w:rFonts w:ascii="Verdana" w:hAnsi="Verdana" w:cs="Times New Roman"/>
                <w:b/>
                <w:sz w:val="16"/>
                <w:szCs w:val="16"/>
                <w:lang w:eastAsia="nl-NL"/>
              </w:rPr>
              <w:t>Bepaling in implementatie</w:t>
            </w:r>
            <w:r>
              <w:rPr>
                <w:rFonts w:ascii="Verdana" w:hAnsi="Verdana" w:cs="Times New Roman"/>
                <w:b/>
                <w:sz w:val="16"/>
                <w:szCs w:val="16"/>
                <w:lang w:eastAsia="nl-NL"/>
              </w:rPr>
              <w:t>regeling of bestaande regeling</w:t>
            </w:r>
          </w:p>
          <w:p w:rsidRPr="00DD0008" w:rsidR="008068C4" w:rsidP="008549EB" w:rsidRDefault="008068C4" w14:paraId="21E5BB69" w14:textId="77777777">
            <w:pPr>
              <w:spacing w:line="100" w:lineRule="exact"/>
              <w:rPr>
                <w:rFonts w:ascii="Verdana" w:hAnsi="Verdana" w:cs="Times New Roman"/>
                <w:b/>
                <w:sz w:val="16"/>
                <w:szCs w:val="16"/>
                <w:lang w:eastAsia="nl-NL"/>
              </w:rPr>
            </w:pPr>
          </w:p>
          <w:p w:rsidRPr="00DD0008" w:rsidR="008068C4" w:rsidP="008549EB" w:rsidRDefault="008068C4" w14:paraId="05538031" w14:textId="77777777">
            <w:pPr>
              <w:rPr>
                <w:rFonts w:ascii="Verdana" w:hAnsi="Verdana" w:cs="Times New Roman"/>
                <w:i/>
                <w:sz w:val="16"/>
                <w:szCs w:val="16"/>
                <w:lang w:eastAsia="nl-NL"/>
              </w:rPr>
            </w:pPr>
          </w:p>
        </w:tc>
        <w:tc>
          <w:tcPr>
            <w:tcW w:w="1308" w:type="dxa"/>
            <w:shd w:val="clear" w:color="auto" w:fill="EEECE1" w:themeFill="background2"/>
          </w:tcPr>
          <w:p w:rsidRPr="00DD0008" w:rsidR="008068C4" w:rsidP="008549EB" w:rsidRDefault="008068C4" w14:paraId="6F69917E" w14:textId="77777777">
            <w:pPr>
              <w:rPr>
                <w:rFonts w:ascii="Verdana" w:hAnsi="Verdana" w:cs="Times New Roman"/>
                <w:b/>
                <w:sz w:val="16"/>
                <w:szCs w:val="16"/>
                <w:lang w:eastAsia="nl-NL"/>
              </w:rPr>
            </w:pPr>
            <w:r w:rsidRPr="00DD0008">
              <w:rPr>
                <w:rFonts w:ascii="Verdana" w:hAnsi="Verdana" w:cs="Times New Roman"/>
                <w:b/>
                <w:sz w:val="16"/>
                <w:szCs w:val="16"/>
                <w:lang w:eastAsia="nl-NL"/>
              </w:rPr>
              <w:t>Omschrijving beleidsruimte</w:t>
            </w:r>
          </w:p>
        </w:tc>
        <w:tc>
          <w:tcPr>
            <w:tcW w:w="1450" w:type="dxa"/>
            <w:shd w:val="clear" w:color="auto" w:fill="EEECE1" w:themeFill="background2"/>
          </w:tcPr>
          <w:p w:rsidRPr="00DD0008" w:rsidR="008068C4" w:rsidP="008549EB" w:rsidRDefault="008068C4" w14:paraId="3FFF89BB" w14:textId="77777777">
            <w:pPr>
              <w:rPr>
                <w:rFonts w:ascii="Verdana" w:hAnsi="Verdana" w:cs="Times New Roman"/>
                <w:b/>
                <w:sz w:val="16"/>
                <w:szCs w:val="16"/>
                <w:lang w:eastAsia="nl-NL"/>
              </w:rPr>
            </w:pPr>
            <w:r w:rsidRPr="00DD0008">
              <w:rPr>
                <w:rFonts w:ascii="Verdana" w:hAnsi="Verdana" w:cs="Times New Roman"/>
                <w:b/>
                <w:sz w:val="16"/>
                <w:szCs w:val="16"/>
                <w:lang w:eastAsia="nl-NL"/>
              </w:rPr>
              <w:t>Toelichting op de keuze(n) bij de invulling van de beleidsruimte</w:t>
            </w:r>
          </w:p>
        </w:tc>
      </w:tr>
      <w:tr w:rsidR="008068C4" w:rsidTr="008068C4" w14:paraId="72D18573" w14:textId="77777777">
        <w:tc>
          <w:tcPr>
            <w:tcW w:w="1564" w:type="dxa"/>
          </w:tcPr>
          <w:p w:rsidRPr="00DD0008" w:rsidR="008068C4" w:rsidP="008549EB" w:rsidRDefault="008068C4" w14:paraId="29524CB0" w14:textId="77777777">
            <w:pPr>
              <w:rPr>
                <w:rFonts w:ascii="Verdana" w:hAnsi="Verdana"/>
                <w:sz w:val="16"/>
                <w:szCs w:val="16"/>
              </w:rPr>
            </w:pPr>
            <w:r>
              <w:rPr>
                <w:rFonts w:ascii="Verdana" w:hAnsi="Verdana"/>
                <w:sz w:val="16"/>
                <w:szCs w:val="16"/>
              </w:rPr>
              <w:t>1, eerste lid</w:t>
            </w:r>
          </w:p>
        </w:tc>
        <w:tc>
          <w:tcPr>
            <w:tcW w:w="1525" w:type="dxa"/>
          </w:tcPr>
          <w:p w:rsidRPr="00DD0008" w:rsidR="008068C4" w:rsidP="008549EB" w:rsidRDefault="008068C4" w14:paraId="5554D22E" w14:textId="77777777">
            <w:pPr>
              <w:rPr>
                <w:rFonts w:ascii="Verdana" w:hAnsi="Verdana" w:cs="Times New Roman"/>
                <w:sz w:val="16"/>
                <w:szCs w:val="16"/>
                <w:lang w:eastAsia="nl-NL"/>
              </w:rPr>
            </w:pPr>
            <w:r w:rsidRPr="002C5EC5">
              <w:rPr>
                <w:rFonts w:ascii="Verdana" w:hAnsi="Verdana" w:eastAsia="Times New Roman"/>
                <w:sz w:val="16"/>
                <w:szCs w:val="16"/>
              </w:rPr>
              <w:t>2, eerste lid</w:t>
            </w:r>
          </w:p>
        </w:tc>
        <w:tc>
          <w:tcPr>
            <w:tcW w:w="1540" w:type="dxa"/>
          </w:tcPr>
          <w:p w:rsidRPr="00DD0008" w:rsidR="008068C4" w:rsidP="008549EB" w:rsidRDefault="008068C4" w14:paraId="32100B2C" w14:textId="77777777">
            <w:pPr>
              <w:rPr>
                <w:rFonts w:ascii="Verdana" w:hAnsi="Verdana" w:cs="Times New Roman"/>
                <w:sz w:val="16"/>
                <w:szCs w:val="16"/>
                <w:lang w:eastAsia="nl-NL"/>
              </w:rPr>
            </w:pPr>
            <w:r w:rsidRPr="002C5EC5">
              <w:rPr>
                <w:rFonts w:ascii="Verdana" w:hAnsi="Verdana" w:eastAsia="Times New Roman"/>
                <w:sz w:val="16"/>
                <w:szCs w:val="16"/>
              </w:rPr>
              <w:t>Behoeft geen implementatie</w:t>
            </w:r>
            <w:r>
              <w:rPr>
                <w:rFonts w:ascii="Verdana" w:hAnsi="Verdana" w:eastAsia="Times New Roman"/>
                <w:sz w:val="16"/>
                <w:szCs w:val="16"/>
              </w:rPr>
              <w:t>:</w:t>
            </w:r>
            <w:r w:rsidRPr="002C5EC5">
              <w:rPr>
                <w:rFonts w:ascii="Verdana" w:hAnsi="Verdana" w:eastAsia="Times New Roman"/>
                <w:sz w:val="16"/>
                <w:szCs w:val="16"/>
              </w:rPr>
              <w:t xml:space="preserve"> Bestaand recht in 1:1 Wft</w:t>
            </w:r>
          </w:p>
        </w:tc>
        <w:tc>
          <w:tcPr>
            <w:tcW w:w="1308" w:type="dxa"/>
          </w:tcPr>
          <w:p w:rsidRPr="00DD0008" w:rsidR="008068C4" w:rsidP="008549EB" w:rsidRDefault="008068C4" w14:paraId="2C89765F" w14:textId="77777777">
            <w:pPr>
              <w:rPr>
                <w:rFonts w:ascii="Verdana" w:hAnsi="Verdana" w:cs="Times New Roman"/>
                <w:sz w:val="16"/>
                <w:szCs w:val="16"/>
                <w:lang w:eastAsia="nl-NL"/>
              </w:rPr>
            </w:pPr>
            <w:r w:rsidRPr="002C5EC5">
              <w:rPr>
                <w:rFonts w:ascii="Verdana" w:hAnsi="Verdana" w:eastAsia="Times New Roman"/>
                <w:sz w:val="16"/>
                <w:szCs w:val="16"/>
              </w:rPr>
              <w:t>Geen</w:t>
            </w:r>
          </w:p>
        </w:tc>
        <w:tc>
          <w:tcPr>
            <w:tcW w:w="1450" w:type="dxa"/>
          </w:tcPr>
          <w:p w:rsidRPr="00DD0008" w:rsidR="008068C4" w:rsidP="008549EB" w:rsidRDefault="008068C4" w14:paraId="308ED6C1" w14:textId="77777777">
            <w:pPr>
              <w:rPr>
                <w:rFonts w:ascii="Verdana" w:hAnsi="Verdana" w:cs="Times New Roman"/>
                <w:sz w:val="16"/>
                <w:szCs w:val="16"/>
                <w:lang w:eastAsia="nl-NL"/>
              </w:rPr>
            </w:pPr>
            <w:r w:rsidRPr="002C5EC5">
              <w:rPr>
                <w:rFonts w:ascii="Verdana" w:hAnsi="Verdana" w:eastAsia="Times New Roman"/>
                <w:sz w:val="16"/>
                <w:szCs w:val="16"/>
              </w:rPr>
              <w:t>Definitie van ‘centrale tegenpartij’ is opgenomen in 1:1 Wft wat ook geldt voor het BGfo.</w:t>
            </w:r>
          </w:p>
        </w:tc>
      </w:tr>
      <w:tr w:rsidR="008068C4" w:rsidTr="008068C4" w14:paraId="37B696FF" w14:textId="77777777">
        <w:tc>
          <w:tcPr>
            <w:tcW w:w="1564" w:type="dxa"/>
          </w:tcPr>
          <w:p w:rsidRPr="00DD0008" w:rsidR="008068C4" w:rsidP="008549EB" w:rsidRDefault="008068C4" w14:paraId="6AF976B9" w14:textId="77777777">
            <w:pPr>
              <w:rPr>
                <w:rFonts w:ascii="Verdana" w:hAnsi="Verdana"/>
                <w:sz w:val="16"/>
                <w:szCs w:val="16"/>
              </w:rPr>
            </w:pPr>
            <w:r>
              <w:rPr>
                <w:rFonts w:ascii="Verdana" w:hAnsi="Verdana"/>
                <w:sz w:val="16"/>
                <w:szCs w:val="16"/>
              </w:rPr>
              <w:t>1, tweede lid, onderdeel a</w:t>
            </w:r>
          </w:p>
        </w:tc>
        <w:tc>
          <w:tcPr>
            <w:tcW w:w="1525" w:type="dxa"/>
          </w:tcPr>
          <w:p w:rsidRPr="00DD0008" w:rsidR="008068C4" w:rsidP="008549EB" w:rsidRDefault="008068C4" w14:paraId="7F4C9169" w14:textId="77777777">
            <w:pPr>
              <w:rPr>
                <w:rFonts w:ascii="Verdana" w:hAnsi="Verdana" w:cs="Times New Roman"/>
                <w:sz w:val="16"/>
                <w:szCs w:val="16"/>
                <w:lang w:eastAsia="nl-NL"/>
              </w:rPr>
            </w:pPr>
            <w:r w:rsidRPr="002C5EC5">
              <w:rPr>
                <w:rFonts w:ascii="Verdana" w:hAnsi="Verdana"/>
                <w:sz w:val="16"/>
                <w:szCs w:val="16"/>
              </w:rPr>
              <w:t>52, eerste lid</w:t>
            </w:r>
          </w:p>
        </w:tc>
        <w:tc>
          <w:tcPr>
            <w:tcW w:w="1540" w:type="dxa"/>
          </w:tcPr>
          <w:p w:rsidRPr="00DD0008" w:rsidR="008068C4" w:rsidP="008549EB" w:rsidRDefault="008068C4" w14:paraId="3773733D" w14:textId="77777777">
            <w:pPr>
              <w:rPr>
                <w:rFonts w:ascii="Verdana" w:hAnsi="Verdana" w:cs="Times New Roman"/>
                <w:sz w:val="16"/>
                <w:szCs w:val="16"/>
                <w:lang w:eastAsia="nl-NL"/>
              </w:rPr>
            </w:pPr>
            <w:r w:rsidRPr="002C5EC5">
              <w:rPr>
                <w:rFonts w:ascii="Verdana" w:hAnsi="Verdana"/>
                <w:sz w:val="16"/>
                <w:szCs w:val="16"/>
              </w:rPr>
              <w:t>138 BGfo</w:t>
            </w:r>
          </w:p>
        </w:tc>
        <w:tc>
          <w:tcPr>
            <w:tcW w:w="1308" w:type="dxa"/>
          </w:tcPr>
          <w:p w:rsidRPr="00DD0008" w:rsidR="008068C4" w:rsidP="008549EB" w:rsidRDefault="008068C4" w14:paraId="6318BC02" w14:textId="77777777">
            <w:pPr>
              <w:rPr>
                <w:rFonts w:ascii="Verdana" w:hAnsi="Verdana" w:cs="Times New Roman"/>
                <w:sz w:val="16"/>
                <w:szCs w:val="16"/>
                <w:lang w:eastAsia="nl-NL"/>
              </w:rPr>
            </w:pPr>
            <w:r w:rsidRPr="002C5EC5">
              <w:rPr>
                <w:rFonts w:ascii="Verdana" w:hAnsi="Verdana"/>
                <w:bCs/>
                <w:sz w:val="16"/>
                <w:szCs w:val="16"/>
              </w:rPr>
              <w:t>Geen</w:t>
            </w:r>
          </w:p>
        </w:tc>
        <w:tc>
          <w:tcPr>
            <w:tcW w:w="1450" w:type="dxa"/>
          </w:tcPr>
          <w:p w:rsidRPr="00DD0008" w:rsidR="008068C4" w:rsidP="008549EB" w:rsidRDefault="008068C4" w14:paraId="46F17231" w14:textId="77777777">
            <w:pPr>
              <w:rPr>
                <w:rFonts w:ascii="Verdana" w:hAnsi="Verdana" w:cs="Times New Roman"/>
                <w:sz w:val="16"/>
                <w:szCs w:val="16"/>
                <w:lang w:eastAsia="nl-NL"/>
              </w:rPr>
            </w:pPr>
            <w:r w:rsidRPr="002C5EC5">
              <w:rPr>
                <w:rFonts w:ascii="Verdana" w:hAnsi="Verdana"/>
                <w:sz w:val="16"/>
                <w:szCs w:val="16"/>
              </w:rPr>
              <w:t>Geïmplementeerd middels het Uitvoeringsbesluit EMIR 3-verordening en EMIR 3-richtlijn</w:t>
            </w:r>
          </w:p>
        </w:tc>
      </w:tr>
      <w:tr w:rsidR="008068C4" w:rsidTr="008068C4" w14:paraId="3B9741E3" w14:textId="77777777">
        <w:tc>
          <w:tcPr>
            <w:tcW w:w="1564" w:type="dxa"/>
          </w:tcPr>
          <w:p w:rsidRPr="00DD0008" w:rsidR="008068C4" w:rsidP="008549EB" w:rsidRDefault="008068C4" w14:paraId="72CB7C44" w14:textId="77777777">
            <w:pPr>
              <w:rPr>
                <w:rFonts w:ascii="Verdana" w:hAnsi="Verdana"/>
                <w:sz w:val="16"/>
                <w:szCs w:val="16"/>
              </w:rPr>
            </w:pPr>
            <w:r>
              <w:rPr>
                <w:rFonts w:ascii="Verdana" w:hAnsi="Verdana"/>
                <w:sz w:val="16"/>
                <w:szCs w:val="16"/>
              </w:rPr>
              <w:t>1, tweede lid, onderdeel b</w:t>
            </w:r>
          </w:p>
        </w:tc>
        <w:tc>
          <w:tcPr>
            <w:tcW w:w="1525" w:type="dxa"/>
          </w:tcPr>
          <w:p w:rsidRPr="00DD0008" w:rsidR="008068C4" w:rsidP="008549EB" w:rsidRDefault="008068C4" w14:paraId="036B2F6C" w14:textId="77777777">
            <w:pPr>
              <w:rPr>
                <w:rFonts w:ascii="Verdana" w:hAnsi="Verdana" w:cs="Times New Roman"/>
                <w:sz w:val="16"/>
                <w:szCs w:val="16"/>
                <w:lang w:eastAsia="nl-NL"/>
              </w:rPr>
            </w:pPr>
            <w:r w:rsidRPr="002C5EC5">
              <w:rPr>
                <w:rFonts w:ascii="Verdana" w:hAnsi="Verdana"/>
                <w:sz w:val="16"/>
                <w:szCs w:val="16"/>
              </w:rPr>
              <w:t>52, tweede lid, eerste alinea</w:t>
            </w:r>
          </w:p>
        </w:tc>
        <w:tc>
          <w:tcPr>
            <w:tcW w:w="1540" w:type="dxa"/>
          </w:tcPr>
          <w:p w:rsidRPr="00DD0008" w:rsidR="008068C4" w:rsidP="008549EB" w:rsidRDefault="008068C4" w14:paraId="4206F94F" w14:textId="77777777">
            <w:pPr>
              <w:rPr>
                <w:rFonts w:ascii="Verdana" w:hAnsi="Verdana" w:cs="Times New Roman"/>
                <w:sz w:val="16"/>
                <w:szCs w:val="16"/>
                <w:lang w:eastAsia="nl-NL"/>
              </w:rPr>
            </w:pPr>
            <w:r w:rsidRPr="002C5EC5">
              <w:rPr>
                <w:rFonts w:ascii="Verdana" w:hAnsi="Verdana"/>
                <w:sz w:val="16"/>
                <w:szCs w:val="16"/>
              </w:rPr>
              <w:t>138 BGfo</w:t>
            </w:r>
          </w:p>
        </w:tc>
        <w:tc>
          <w:tcPr>
            <w:tcW w:w="1308" w:type="dxa"/>
          </w:tcPr>
          <w:p w:rsidRPr="00DD0008" w:rsidR="008068C4" w:rsidP="008549EB" w:rsidRDefault="008068C4" w14:paraId="20971295" w14:textId="77777777">
            <w:pPr>
              <w:rPr>
                <w:rFonts w:ascii="Verdana" w:hAnsi="Verdana" w:cs="Times New Roman"/>
                <w:sz w:val="16"/>
                <w:szCs w:val="16"/>
                <w:lang w:eastAsia="nl-NL"/>
              </w:rPr>
            </w:pPr>
            <w:r w:rsidRPr="002C5EC5">
              <w:rPr>
                <w:rFonts w:ascii="Verdana" w:hAnsi="Verdana"/>
                <w:bCs/>
                <w:sz w:val="16"/>
                <w:szCs w:val="16"/>
              </w:rPr>
              <w:t>Geen</w:t>
            </w:r>
          </w:p>
        </w:tc>
        <w:tc>
          <w:tcPr>
            <w:tcW w:w="1450" w:type="dxa"/>
          </w:tcPr>
          <w:p w:rsidRPr="00DD0008" w:rsidR="008068C4" w:rsidP="008549EB" w:rsidRDefault="008068C4" w14:paraId="5EB0B186" w14:textId="77777777">
            <w:pPr>
              <w:rPr>
                <w:rFonts w:ascii="Verdana" w:hAnsi="Verdana" w:cs="Times New Roman"/>
                <w:sz w:val="16"/>
                <w:szCs w:val="16"/>
                <w:lang w:eastAsia="nl-NL"/>
              </w:rPr>
            </w:pPr>
            <w:r w:rsidRPr="002C5EC5">
              <w:rPr>
                <w:rFonts w:ascii="Verdana" w:hAnsi="Verdana"/>
                <w:sz w:val="16"/>
                <w:szCs w:val="16"/>
              </w:rPr>
              <w:t>Geïmplementeerd middels het Uitvoeringsbesluit EMIR 3-verordening en EMIR 3-richtlijn</w:t>
            </w:r>
          </w:p>
        </w:tc>
      </w:tr>
      <w:tr w:rsidR="008068C4" w:rsidTr="008068C4" w14:paraId="23F0B571" w14:textId="77777777">
        <w:tc>
          <w:tcPr>
            <w:tcW w:w="1564" w:type="dxa"/>
          </w:tcPr>
          <w:p w:rsidRPr="00DD0008" w:rsidR="008068C4" w:rsidP="008549EB" w:rsidRDefault="008068C4" w14:paraId="34C783FF" w14:textId="77777777">
            <w:pPr>
              <w:rPr>
                <w:rFonts w:ascii="Verdana" w:hAnsi="Verdana"/>
                <w:sz w:val="16"/>
                <w:szCs w:val="16"/>
              </w:rPr>
            </w:pPr>
            <w:r>
              <w:rPr>
                <w:rFonts w:ascii="Verdana" w:hAnsi="Verdana"/>
                <w:sz w:val="16"/>
                <w:szCs w:val="16"/>
              </w:rPr>
              <w:t>1, tweede lid, onderdeel c</w:t>
            </w:r>
          </w:p>
        </w:tc>
        <w:tc>
          <w:tcPr>
            <w:tcW w:w="1525" w:type="dxa"/>
          </w:tcPr>
          <w:p w:rsidRPr="00DD0008" w:rsidR="008068C4" w:rsidP="008549EB" w:rsidRDefault="008068C4" w14:paraId="651FA201" w14:textId="77777777">
            <w:pPr>
              <w:rPr>
                <w:rFonts w:ascii="Verdana" w:hAnsi="Verdana" w:cs="Times New Roman"/>
                <w:sz w:val="16"/>
                <w:szCs w:val="16"/>
                <w:lang w:eastAsia="nl-NL"/>
              </w:rPr>
            </w:pPr>
            <w:r w:rsidRPr="002C5EC5">
              <w:rPr>
                <w:rFonts w:ascii="Verdana" w:hAnsi="Verdana"/>
                <w:sz w:val="16"/>
                <w:szCs w:val="16"/>
              </w:rPr>
              <w:t>52, tweede lid, tweede alinea</w:t>
            </w:r>
          </w:p>
        </w:tc>
        <w:tc>
          <w:tcPr>
            <w:tcW w:w="1540" w:type="dxa"/>
          </w:tcPr>
          <w:p w:rsidRPr="00DD0008" w:rsidR="008068C4" w:rsidP="008549EB" w:rsidRDefault="008068C4" w14:paraId="0996EE70" w14:textId="77777777">
            <w:pPr>
              <w:rPr>
                <w:rFonts w:ascii="Verdana" w:hAnsi="Verdana" w:cs="Times New Roman"/>
                <w:sz w:val="16"/>
                <w:szCs w:val="16"/>
                <w:lang w:eastAsia="nl-NL"/>
              </w:rPr>
            </w:pPr>
            <w:r w:rsidRPr="002C5EC5">
              <w:rPr>
                <w:rFonts w:ascii="Verdana" w:hAnsi="Verdana"/>
                <w:sz w:val="16"/>
                <w:szCs w:val="16"/>
              </w:rPr>
              <w:t>138 BGfo</w:t>
            </w:r>
          </w:p>
        </w:tc>
        <w:tc>
          <w:tcPr>
            <w:tcW w:w="1308" w:type="dxa"/>
          </w:tcPr>
          <w:p w:rsidRPr="00DD0008" w:rsidR="008068C4" w:rsidP="008549EB" w:rsidRDefault="008068C4" w14:paraId="7E45EBA4" w14:textId="77777777">
            <w:pPr>
              <w:rPr>
                <w:rFonts w:ascii="Verdana" w:hAnsi="Verdana" w:cs="Times New Roman"/>
                <w:sz w:val="16"/>
                <w:szCs w:val="16"/>
                <w:lang w:eastAsia="nl-NL"/>
              </w:rPr>
            </w:pPr>
            <w:r w:rsidRPr="002C5EC5">
              <w:rPr>
                <w:rFonts w:ascii="Verdana" w:hAnsi="Verdana"/>
                <w:bCs/>
                <w:sz w:val="16"/>
                <w:szCs w:val="16"/>
              </w:rPr>
              <w:t>Geen</w:t>
            </w:r>
          </w:p>
        </w:tc>
        <w:tc>
          <w:tcPr>
            <w:tcW w:w="1450" w:type="dxa"/>
          </w:tcPr>
          <w:p w:rsidRPr="00DD0008" w:rsidR="008068C4" w:rsidP="008549EB" w:rsidRDefault="008068C4" w14:paraId="5B6DF22E" w14:textId="77777777">
            <w:pPr>
              <w:rPr>
                <w:rFonts w:ascii="Verdana" w:hAnsi="Verdana" w:cs="Times New Roman"/>
                <w:sz w:val="16"/>
                <w:szCs w:val="16"/>
                <w:lang w:eastAsia="nl-NL"/>
              </w:rPr>
            </w:pPr>
            <w:r w:rsidRPr="002C5EC5">
              <w:rPr>
                <w:rFonts w:ascii="Verdana" w:hAnsi="Verdana"/>
                <w:sz w:val="16"/>
                <w:szCs w:val="16"/>
              </w:rPr>
              <w:t>Geïmplementeerd middels het Uitvoeringsbesluit EMIR 3-verordening en EMIR 3-richtlijn</w:t>
            </w:r>
          </w:p>
        </w:tc>
      </w:tr>
      <w:tr w:rsidR="008068C4" w:rsidTr="008068C4" w14:paraId="56782895" w14:textId="77777777">
        <w:tc>
          <w:tcPr>
            <w:tcW w:w="1564" w:type="dxa"/>
          </w:tcPr>
          <w:p w:rsidRPr="00DD0008" w:rsidR="008068C4" w:rsidP="008549EB" w:rsidRDefault="008068C4" w14:paraId="646D64A6" w14:textId="77777777">
            <w:pPr>
              <w:rPr>
                <w:rFonts w:ascii="Verdana" w:hAnsi="Verdana"/>
                <w:sz w:val="16"/>
                <w:szCs w:val="16"/>
              </w:rPr>
            </w:pPr>
          </w:p>
        </w:tc>
        <w:tc>
          <w:tcPr>
            <w:tcW w:w="1525" w:type="dxa"/>
          </w:tcPr>
          <w:p w:rsidRPr="00DD0008" w:rsidR="008068C4" w:rsidP="008549EB" w:rsidRDefault="008068C4" w14:paraId="53BB21C6" w14:textId="77777777">
            <w:pPr>
              <w:rPr>
                <w:rFonts w:ascii="Verdana" w:hAnsi="Verdana" w:cs="Times New Roman"/>
                <w:sz w:val="16"/>
                <w:szCs w:val="16"/>
                <w:lang w:eastAsia="nl-NL"/>
              </w:rPr>
            </w:pPr>
          </w:p>
        </w:tc>
        <w:tc>
          <w:tcPr>
            <w:tcW w:w="1540" w:type="dxa"/>
          </w:tcPr>
          <w:p w:rsidRPr="00DD0008" w:rsidR="008068C4" w:rsidP="008549EB" w:rsidRDefault="008068C4" w14:paraId="4D0B913B" w14:textId="77777777">
            <w:pPr>
              <w:rPr>
                <w:rFonts w:ascii="Verdana" w:hAnsi="Verdana" w:cs="Times New Roman"/>
                <w:sz w:val="16"/>
                <w:szCs w:val="16"/>
                <w:lang w:eastAsia="nl-NL"/>
              </w:rPr>
            </w:pPr>
          </w:p>
        </w:tc>
        <w:tc>
          <w:tcPr>
            <w:tcW w:w="1308" w:type="dxa"/>
          </w:tcPr>
          <w:p w:rsidRPr="00DD0008" w:rsidR="008068C4" w:rsidP="008549EB" w:rsidRDefault="008068C4" w14:paraId="4FCF5847" w14:textId="77777777">
            <w:pPr>
              <w:rPr>
                <w:rFonts w:ascii="Verdana" w:hAnsi="Verdana" w:cs="Times New Roman"/>
                <w:sz w:val="16"/>
                <w:szCs w:val="16"/>
                <w:lang w:eastAsia="nl-NL"/>
              </w:rPr>
            </w:pPr>
          </w:p>
        </w:tc>
        <w:tc>
          <w:tcPr>
            <w:tcW w:w="1450" w:type="dxa"/>
          </w:tcPr>
          <w:p w:rsidRPr="00DD0008" w:rsidR="008068C4" w:rsidP="008549EB" w:rsidRDefault="008068C4" w14:paraId="607A7F72" w14:textId="77777777">
            <w:pPr>
              <w:rPr>
                <w:rFonts w:ascii="Verdana" w:hAnsi="Verdana" w:cs="Times New Roman"/>
                <w:sz w:val="16"/>
                <w:szCs w:val="16"/>
                <w:lang w:eastAsia="nl-NL"/>
              </w:rPr>
            </w:pPr>
          </w:p>
        </w:tc>
      </w:tr>
      <w:tr w:rsidR="008068C4" w:rsidTr="008068C4" w14:paraId="32B1970F" w14:textId="77777777">
        <w:tc>
          <w:tcPr>
            <w:tcW w:w="1564" w:type="dxa"/>
            <w:shd w:val="clear" w:color="auto" w:fill="EEECE1" w:themeFill="background2"/>
          </w:tcPr>
          <w:p w:rsidRPr="00DD0008" w:rsidR="008068C4" w:rsidP="008549EB" w:rsidRDefault="008068C4" w14:paraId="5AB9B2BF" w14:textId="77777777">
            <w:pPr>
              <w:rPr>
                <w:rFonts w:ascii="Verdana" w:hAnsi="Verdana"/>
                <w:sz w:val="16"/>
                <w:szCs w:val="16"/>
              </w:rPr>
            </w:pPr>
            <w:r>
              <w:rPr>
                <w:rFonts w:ascii="Verdana" w:hAnsi="Verdana"/>
                <w:b/>
                <w:sz w:val="16"/>
                <w:szCs w:val="16"/>
              </w:rPr>
              <w:t>Bepaling in Richtlijn (EU) 2024/2994</w:t>
            </w:r>
          </w:p>
        </w:tc>
        <w:tc>
          <w:tcPr>
            <w:tcW w:w="1525" w:type="dxa"/>
            <w:shd w:val="clear" w:color="auto" w:fill="EEECE1" w:themeFill="background2"/>
          </w:tcPr>
          <w:p w:rsidRPr="00DD0008" w:rsidR="008068C4" w:rsidP="008549EB" w:rsidRDefault="008068C4" w14:paraId="210B2254" w14:textId="77777777">
            <w:pPr>
              <w:rPr>
                <w:rFonts w:ascii="Verdana" w:hAnsi="Verdana" w:cs="Times New Roman"/>
                <w:sz w:val="16"/>
                <w:szCs w:val="16"/>
                <w:lang w:eastAsia="nl-NL"/>
              </w:rPr>
            </w:pPr>
            <w:r w:rsidRPr="00DD0008">
              <w:rPr>
                <w:rFonts w:ascii="Verdana" w:hAnsi="Verdana" w:cs="Times New Roman"/>
                <w:b/>
                <w:sz w:val="16"/>
                <w:szCs w:val="16"/>
                <w:lang w:eastAsia="nl-NL"/>
              </w:rPr>
              <w:t xml:space="preserve">Bepaling </w:t>
            </w:r>
            <w:r>
              <w:rPr>
                <w:rFonts w:ascii="Verdana" w:hAnsi="Verdana" w:cs="Times New Roman"/>
                <w:b/>
                <w:sz w:val="16"/>
                <w:szCs w:val="16"/>
                <w:lang w:eastAsia="nl-NL"/>
              </w:rPr>
              <w:t>in Richtlijn 2013/36/EU</w:t>
            </w:r>
          </w:p>
        </w:tc>
        <w:tc>
          <w:tcPr>
            <w:tcW w:w="1540" w:type="dxa"/>
            <w:shd w:val="clear" w:color="auto" w:fill="EEECE1" w:themeFill="background2"/>
          </w:tcPr>
          <w:p w:rsidR="008068C4" w:rsidP="008549EB" w:rsidRDefault="008068C4" w14:paraId="4330BB4B" w14:textId="77777777">
            <w:pPr>
              <w:rPr>
                <w:rFonts w:ascii="Verdana" w:hAnsi="Verdana" w:cs="Times New Roman"/>
                <w:b/>
                <w:sz w:val="16"/>
                <w:szCs w:val="16"/>
                <w:lang w:eastAsia="nl-NL"/>
              </w:rPr>
            </w:pPr>
            <w:r w:rsidRPr="00DD0008">
              <w:rPr>
                <w:rFonts w:ascii="Verdana" w:hAnsi="Verdana" w:cs="Times New Roman"/>
                <w:b/>
                <w:sz w:val="16"/>
                <w:szCs w:val="16"/>
                <w:lang w:eastAsia="nl-NL"/>
              </w:rPr>
              <w:t>Bepaling in implementatie</w:t>
            </w:r>
            <w:r>
              <w:rPr>
                <w:rFonts w:ascii="Verdana" w:hAnsi="Verdana" w:cs="Times New Roman"/>
                <w:b/>
                <w:sz w:val="16"/>
                <w:szCs w:val="16"/>
                <w:lang w:eastAsia="nl-NL"/>
              </w:rPr>
              <w:t>regeling of bestaande regeling</w:t>
            </w:r>
          </w:p>
          <w:p w:rsidRPr="00DD0008" w:rsidR="008068C4" w:rsidP="008549EB" w:rsidRDefault="008068C4" w14:paraId="3F8E10BA" w14:textId="77777777">
            <w:pPr>
              <w:spacing w:line="100" w:lineRule="exact"/>
              <w:rPr>
                <w:rFonts w:ascii="Verdana" w:hAnsi="Verdana" w:cs="Times New Roman"/>
                <w:b/>
                <w:sz w:val="16"/>
                <w:szCs w:val="16"/>
                <w:lang w:eastAsia="nl-NL"/>
              </w:rPr>
            </w:pPr>
          </w:p>
          <w:p w:rsidRPr="00DD0008" w:rsidR="008068C4" w:rsidP="008549EB" w:rsidRDefault="008068C4" w14:paraId="4824794D" w14:textId="77777777">
            <w:pPr>
              <w:rPr>
                <w:rFonts w:ascii="Verdana" w:hAnsi="Verdana" w:cs="Times New Roman"/>
                <w:sz w:val="16"/>
                <w:szCs w:val="16"/>
                <w:lang w:eastAsia="nl-NL"/>
              </w:rPr>
            </w:pPr>
          </w:p>
        </w:tc>
        <w:tc>
          <w:tcPr>
            <w:tcW w:w="1308" w:type="dxa"/>
            <w:shd w:val="clear" w:color="auto" w:fill="EEECE1" w:themeFill="background2"/>
          </w:tcPr>
          <w:p w:rsidRPr="00DD0008" w:rsidR="008068C4" w:rsidP="008549EB" w:rsidRDefault="008068C4" w14:paraId="3A4E4E9F" w14:textId="77777777">
            <w:pPr>
              <w:rPr>
                <w:rFonts w:ascii="Verdana" w:hAnsi="Verdana" w:cs="Times New Roman"/>
                <w:sz w:val="16"/>
                <w:szCs w:val="16"/>
                <w:lang w:eastAsia="nl-NL"/>
              </w:rPr>
            </w:pPr>
            <w:r w:rsidRPr="00DD0008">
              <w:rPr>
                <w:rFonts w:ascii="Verdana" w:hAnsi="Verdana" w:cs="Times New Roman"/>
                <w:b/>
                <w:sz w:val="16"/>
                <w:szCs w:val="16"/>
                <w:lang w:eastAsia="nl-NL"/>
              </w:rPr>
              <w:t>Omschrijving beleidsruimte</w:t>
            </w:r>
          </w:p>
        </w:tc>
        <w:tc>
          <w:tcPr>
            <w:tcW w:w="1450" w:type="dxa"/>
            <w:shd w:val="clear" w:color="auto" w:fill="EEECE1" w:themeFill="background2"/>
          </w:tcPr>
          <w:p w:rsidRPr="00DD0008" w:rsidR="008068C4" w:rsidP="008549EB" w:rsidRDefault="008068C4" w14:paraId="692B06D2" w14:textId="77777777">
            <w:pPr>
              <w:rPr>
                <w:rFonts w:ascii="Verdana" w:hAnsi="Verdana" w:cs="Times New Roman"/>
                <w:sz w:val="16"/>
                <w:szCs w:val="16"/>
                <w:lang w:eastAsia="nl-NL"/>
              </w:rPr>
            </w:pPr>
            <w:r w:rsidRPr="00DD0008">
              <w:rPr>
                <w:rFonts w:ascii="Verdana" w:hAnsi="Verdana" w:cs="Times New Roman"/>
                <w:b/>
                <w:sz w:val="16"/>
                <w:szCs w:val="16"/>
                <w:lang w:eastAsia="nl-NL"/>
              </w:rPr>
              <w:t>Toelichting op de keuze(n) bij de invulling van de beleidsruimte</w:t>
            </w:r>
          </w:p>
        </w:tc>
      </w:tr>
      <w:tr w:rsidR="008068C4" w:rsidTr="008068C4" w14:paraId="53360ABB" w14:textId="77777777">
        <w:tc>
          <w:tcPr>
            <w:tcW w:w="1564" w:type="dxa"/>
          </w:tcPr>
          <w:p w:rsidRPr="00DD0008" w:rsidR="008068C4" w:rsidP="008549EB" w:rsidRDefault="008068C4" w14:paraId="61FCDC16" w14:textId="77777777">
            <w:pPr>
              <w:rPr>
                <w:rFonts w:ascii="Verdana" w:hAnsi="Verdana"/>
                <w:sz w:val="16"/>
                <w:szCs w:val="16"/>
              </w:rPr>
            </w:pPr>
            <w:r>
              <w:rPr>
                <w:rFonts w:ascii="Verdana" w:hAnsi="Verdana"/>
                <w:sz w:val="16"/>
                <w:szCs w:val="16"/>
              </w:rPr>
              <w:t>2, eerste lid</w:t>
            </w:r>
          </w:p>
        </w:tc>
        <w:tc>
          <w:tcPr>
            <w:tcW w:w="1525" w:type="dxa"/>
          </w:tcPr>
          <w:p w:rsidRPr="00DD0008" w:rsidR="008068C4" w:rsidP="008549EB" w:rsidRDefault="008068C4" w14:paraId="3C941654" w14:textId="77777777">
            <w:pPr>
              <w:rPr>
                <w:rFonts w:ascii="Verdana" w:hAnsi="Verdana" w:cs="Times New Roman"/>
                <w:sz w:val="16"/>
                <w:szCs w:val="16"/>
                <w:lang w:eastAsia="nl-NL"/>
              </w:rPr>
            </w:pPr>
            <w:r w:rsidRPr="002C5EC5">
              <w:rPr>
                <w:rFonts w:ascii="Verdana" w:hAnsi="Verdana"/>
                <w:sz w:val="16"/>
                <w:szCs w:val="16"/>
              </w:rPr>
              <w:t>74, eerste lid</w:t>
            </w:r>
          </w:p>
        </w:tc>
        <w:tc>
          <w:tcPr>
            <w:tcW w:w="1540" w:type="dxa"/>
          </w:tcPr>
          <w:p w:rsidRPr="00DD0008" w:rsidR="008068C4" w:rsidP="008549EB" w:rsidRDefault="008068C4" w14:paraId="1829624B" w14:textId="77777777">
            <w:pPr>
              <w:rPr>
                <w:rFonts w:ascii="Verdana" w:hAnsi="Verdana" w:cs="Times New Roman"/>
                <w:sz w:val="16"/>
                <w:szCs w:val="16"/>
                <w:lang w:eastAsia="nl-NL"/>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b</w:t>
            </w:r>
            <w:r w:rsidRPr="002C5EC5">
              <w:rPr>
                <w:rFonts w:ascii="Verdana" w:hAnsi="Verdana"/>
                <w:sz w:val="16"/>
                <w:szCs w:val="16"/>
              </w:rPr>
              <w:t>estaand recht in artikel 3:17, tweede lid, aanhef en onderdeel c, Wft en artikel 17 Bpr</w:t>
            </w:r>
          </w:p>
        </w:tc>
        <w:tc>
          <w:tcPr>
            <w:tcW w:w="1308" w:type="dxa"/>
          </w:tcPr>
          <w:p w:rsidRPr="00DD0008" w:rsidR="008068C4" w:rsidP="008549EB" w:rsidRDefault="008068C4" w14:paraId="06AC9F8E" w14:textId="77777777">
            <w:pPr>
              <w:rPr>
                <w:rFonts w:ascii="Verdana" w:hAnsi="Verdana" w:cs="Times New Roman"/>
                <w:sz w:val="16"/>
                <w:szCs w:val="16"/>
                <w:lang w:eastAsia="nl-NL"/>
              </w:rPr>
            </w:pPr>
            <w:r w:rsidRPr="002C5EC5">
              <w:rPr>
                <w:rFonts w:ascii="Verdana" w:hAnsi="Verdana"/>
                <w:bCs/>
                <w:sz w:val="16"/>
                <w:szCs w:val="16"/>
              </w:rPr>
              <w:t>Geen</w:t>
            </w:r>
          </w:p>
        </w:tc>
        <w:tc>
          <w:tcPr>
            <w:tcW w:w="1450" w:type="dxa"/>
          </w:tcPr>
          <w:p w:rsidRPr="00DD0008" w:rsidR="008068C4" w:rsidP="008549EB" w:rsidRDefault="008068C4" w14:paraId="2771C8EE" w14:textId="77777777">
            <w:pPr>
              <w:rPr>
                <w:rFonts w:ascii="Verdana" w:hAnsi="Verdana" w:cs="Times New Roman"/>
                <w:sz w:val="16"/>
                <w:szCs w:val="16"/>
                <w:lang w:eastAsia="nl-NL"/>
              </w:rPr>
            </w:pPr>
          </w:p>
        </w:tc>
      </w:tr>
      <w:tr w:rsidR="008068C4" w:rsidTr="008068C4" w14:paraId="4BCCA691" w14:textId="77777777">
        <w:tc>
          <w:tcPr>
            <w:tcW w:w="1564" w:type="dxa"/>
          </w:tcPr>
          <w:p w:rsidRPr="00DD0008" w:rsidR="008068C4" w:rsidP="008549EB" w:rsidRDefault="008068C4" w14:paraId="5B469195" w14:textId="77777777">
            <w:pPr>
              <w:rPr>
                <w:rFonts w:ascii="Verdana" w:hAnsi="Verdana"/>
                <w:sz w:val="16"/>
                <w:szCs w:val="16"/>
              </w:rPr>
            </w:pPr>
            <w:r>
              <w:rPr>
                <w:rFonts w:ascii="Verdana" w:hAnsi="Verdana"/>
                <w:sz w:val="16"/>
                <w:szCs w:val="16"/>
              </w:rPr>
              <w:t>2, tweede lid</w:t>
            </w:r>
          </w:p>
        </w:tc>
        <w:tc>
          <w:tcPr>
            <w:tcW w:w="1525" w:type="dxa"/>
          </w:tcPr>
          <w:p w:rsidRPr="00DD0008" w:rsidR="008068C4" w:rsidP="008549EB" w:rsidRDefault="008068C4" w14:paraId="3D4BDF50" w14:textId="77777777">
            <w:pPr>
              <w:rPr>
                <w:rFonts w:ascii="Verdana" w:hAnsi="Verdana" w:cs="Times New Roman"/>
                <w:sz w:val="16"/>
                <w:szCs w:val="16"/>
                <w:lang w:eastAsia="nl-NL"/>
              </w:rPr>
            </w:pPr>
            <w:r w:rsidRPr="002C5EC5">
              <w:rPr>
                <w:rFonts w:ascii="Verdana" w:hAnsi="Verdana"/>
                <w:sz w:val="16"/>
                <w:szCs w:val="16"/>
              </w:rPr>
              <w:t>76, tweede lid</w:t>
            </w:r>
          </w:p>
        </w:tc>
        <w:tc>
          <w:tcPr>
            <w:tcW w:w="1540" w:type="dxa"/>
          </w:tcPr>
          <w:p w:rsidRPr="00DD0008" w:rsidR="008068C4" w:rsidP="008549EB" w:rsidRDefault="008068C4" w14:paraId="22C2E644" w14:textId="77777777">
            <w:pPr>
              <w:rPr>
                <w:rFonts w:ascii="Verdana" w:hAnsi="Verdana" w:cs="Times New Roman"/>
                <w:sz w:val="16"/>
                <w:szCs w:val="16"/>
                <w:lang w:eastAsia="nl-NL"/>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d</w:t>
            </w:r>
            <w:r w:rsidRPr="002C5EC5">
              <w:rPr>
                <w:rFonts w:ascii="Verdana" w:hAnsi="Verdana"/>
                <w:sz w:val="16"/>
                <w:szCs w:val="16"/>
              </w:rPr>
              <w:t xml:space="preserve">ynamische verwijzing naar artikel 76 CRD in </w:t>
            </w:r>
            <w:r>
              <w:rPr>
                <w:rFonts w:ascii="Verdana" w:hAnsi="Verdana"/>
                <w:sz w:val="16"/>
                <w:szCs w:val="16"/>
              </w:rPr>
              <w:t xml:space="preserve">artikel </w:t>
            </w:r>
            <w:r w:rsidRPr="002C5EC5">
              <w:rPr>
                <w:rFonts w:ascii="Verdana" w:hAnsi="Verdana"/>
                <w:sz w:val="16"/>
                <w:szCs w:val="16"/>
              </w:rPr>
              <w:t>23b Bpr</w:t>
            </w:r>
          </w:p>
        </w:tc>
        <w:tc>
          <w:tcPr>
            <w:tcW w:w="1308" w:type="dxa"/>
          </w:tcPr>
          <w:p w:rsidRPr="00DD0008" w:rsidR="008068C4" w:rsidP="008549EB" w:rsidRDefault="008068C4" w14:paraId="2A088F41" w14:textId="77777777">
            <w:pPr>
              <w:rPr>
                <w:rFonts w:ascii="Verdana" w:hAnsi="Verdana" w:cs="Times New Roman"/>
                <w:sz w:val="16"/>
                <w:szCs w:val="16"/>
                <w:lang w:eastAsia="nl-NL"/>
              </w:rPr>
            </w:pPr>
            <w:r w:rsidRPr="002C5EC5">
              <w:rPr>
                <w:rFonts w:ascii="Verdana" w:hAnsi="Verdana"/>
                <w:bCs/>
                <w:sz w:val="16"/>
                <w:szCs w:val="16"/>
              </w:rPr>
              <w:t>Geen</w:t>
            </w:r>
          </w:p>
        </w:tc>
        <w:tc>
          <w:tcPr>
            <w:tcW w:w="1450" w:type="dxa"/>
          </w:tcPr>
          <w:p w:rsidRPr="00DD0008" w:rsidR="008068C4" w:rsidP="008549EB" w:rsidRDefault="008068C4" w14:paraId="256C6E35" w14:textId="77777777">
            <w:pPr>
              <w:rPr>
                <w:rFonts w:ascii="Verdana" w:hAnsi="Verdana" w:cs="Times New Roman"/>
                <w:sz w:val="16"/>
                <w:szCs w:val="16"/>
                <w:lang w:eastAsia="nl-NL"/>
              </w:rPr>
            </w:pPr>
          </w:p>
        </w:tc>
      </w:tr>
      <w:tr w:rsidR="008068C4" w:rsidTr="008068C4" w14:paraId="2E7E8CC9" w14:textId="77777777">
        <w:tc>
          <w:tcPr>
            <w:tcW w:w="1564" w:type="dxa"/>
          </w:tcPr>
          <w:p w:rsidRPr="00DD0008" w:rsidR="008068C4" w:rsidP="008549EB" w:rsidRDefault="008068C4" w14:paraId="051EF52D" w14:textId="77777777">
            <w:pPr>
              <w:rPr>
                <w:rFonts w:ascii="Verdana" w:hAnsi="Verdana"/>
                <w:sz w:val="16"/>
                <w:szCs w:val="16"/>
              </w:rPr>
            </w:pPr>
            <w:r>
              <w:rPr>
                <w:rFonts w:ascii="Verdana" w:hAnsi="Verdana"/>
                <w:sz w:val="16"/>
                <w:szCs w:val="16"/>
              </w:rPr>
              <w:t>2, derde lid</w:t>
            </w:r>
          </w:p>
        </w:tc>
        <w:tc>
          <w:tcPr>
            <w:tcW w:w="1525" w:type="dxa"/>
          </w:tcPr>
          <w:p w:rsidRPr="002C5EC5" w:rsidR="008068C4" w:rsidP="008549EB" w:rsidRDefault="008068C4" w14:paraId="0FB0736D" w14:textId="77777777">
            <w:pPr>
              <w:rPr>
                <w:rFonts w:ascii="Verdana" w:hAnsi="Verdana"/>
                <w:sz w:val="16"/>
                <w:szCs w:val="16"/>
              </w:rPr>
            </w:pPr>
            <w:r w:rsidRPr="002C5EC5">
              <w:rPr>
                <w:rFonts w:ascii="Verdana" w:hAnsi="Verdana"/>
                <w:sz w:val="16"/>
                <w:szCs w:val="16"/>
              </w:rPr>
              <w:t>81</w:t>
            </w:r>
          </w:p>
        </w:tc>
        <w:tc>
          <w:tcPr>
            <w:tcW w:w="1540" w:type="dxa"/>
          </w:tcPr>
          <w:p w:rsidR="008068C4" w:rsidP="008549EB" w:rsidRDefault="008068C4" w14:paraId="7F48D949" w14:textId="77777777">
            <w:pPr>
              <w:rPr>
                <w:rFonts w:ascii="Verdana" w:hAnsi="Verdana"/>
                <w:sz w:val="16"/>
                <w:szCs w:val="16"/>
              </w:rPr>
            </w:pPr>
            <w:r>
              <w:rPr>
                <w:rFonts w:ascii="Verdana" w:hAnsi="Verdana"/>
                <w:sz w:val="16"/>
                <w:szCs w:val="16"/>
              </w:rPr>
              <w:t>Volgt bij implementatieregeling</w:t>
            </w:r>
            <w:r w:rsidRPr="002C5EC5">
              <w:rPr>
                <w:rFonts w:ascii="Verdana" w:hAnsi="Verdana"/>
                <w:sz w:val="16"/>
                <w:szCs w:val="16"/>
              </w:rPr>
              <w:t xml:space="preserve"> </w:t>
            </w:r>
            <w:r>
              <w:rPr>
                <w:rFonts w:ascii="Verdana" w:hAnsi="Verdana"/>
                <w:sz w:val="16"/>
                <w:szCs w:val="16"/>
              </w:rPr>
              <w:t>(Bijlage 6 Rtt)</w:t>
            </w:r>
          </w:p>
        </w:tc>
        <w:tc>
          <w:tcPr>
            <w:tcW w:w="1308" w:type="dxa"/>
          </w:tcPr>
          <w:p w:rsidRPr="002C5EC5" w:rsidR="008068C4" w:rsidP="008549EB" w:rsidRDefault="008068C4" w14:paraId="28C4CAAB" w14:textId="77777777">
            <w:pPr>
              <w:rPr>
                <w:rFonts w:ascii="Verdana" w:hAnsi="Verdana"/>
                <w:sz w:val="16"/>
                <w:szCs w:val="16"/>
              </w:rPr>
            </w:pPr>
            <w:r w:rsidRPr="002C5EC5">
              <w:rPr>
                <w:rFonts w:ascii="Verdana" w:hAnsi="Verdana"/>
                <w:bCs/>
                <w:sz w:val="16"/>
                <w:szCs w:val="16"/>
              </w:rPr>
              <w:t>Geen</w:t>
            </w:r>
          </w:p>
        </w:tc>
        <w:tc>
          <w:tcPr>
            <w:tcW w:w="1450" w:type="dxa"/>
          </w:tcPr>
          <w:p w:rsidRPr="00DD0008" w:rsidR="008068C4" w:rsidP="008549EB" w:rsidRDefault="008068C4" w14:paraId="209FD36C" w14:textId="77777777">
            <w:pPr>
              <w:rPr>
                <w:rFonts w:ascii="Verdana" w:hAnsi="Verdana"/>
                <w:sz w:val="16"/>
                <w:szCs w:val="16"/>
              </w:rPr>
            </w:pPr>
            <w:r w:rsidRPr="002C5EC5">
              <w:rPr>
                <w:rFonts w:ascii="Verdana" w:hAnsi="Verdana"/>
                <w:sz w:val="16"/>
                <w:szCs w:val="16"/>
              </w:rPr>
              <w:t>Wordt geïmplementeerd middels de Implementatieregeling kapitaalvereisten 2026</w:t>
            </w:r>
          </w:p>
        </w:tc>
      </w:tr>
      <w:tr w:rsidR="008068C4" w:rsidTr="008068C4" w14:paraId="4FF3215A" w14:textId="77777777">
        <w:tc>
          <w:tcPr>
            <w:tcW w:w="1564" w:type="dxa"/>
          </w:tcPr>
          <w:p w:rsidRPr="00DD0008" w:rsidR="008068C4" w:rsidP="008549EB" w:rsidRDefault="008068C4" w14:paraId="47EBB77D" w14:textId="77777777">
            <w:pPr>
              <w:rPr>
                <w:rFonts w:ascii="Verdana" w:hAnsi="Verdana"/>
                <w:sz w:val="16"/>
                <w:szCs w:val="16"/>
              </w:rPr>
            </w:pPr>
            <w:r>
              <w:rPr>
                <w:rFonts w:ascii="Verdana" w:hAnsi="Verdana"/>
                <w:sz w:val="16"/>
                <w:szCs w:val="16"/>
              </w:rPr>
              <w:t>2, vierde lid</w:t>
            </w:r>
          </w:p>
        </w:tc>
        <w:tc>
          <w:tcPr>
            <w:tcW w:w="1525" w:type="dxa"/>
          </w:tcPr>
          <w:p w:rsidRPr="002C5EC5" w:rsidR="008068C4" w:rsidP="008549EB" w:rsidRDefault="008068C4" w14:paraId="38EB004A" w14:textId="77777777">
            <w:pPr>
              <w:rPr>
                <w:rFonts w:ascii="Verdana" w:hAnsi="Verdana"/>
                <w:sz w:val="16"/>
                <w:szCs w:val="16"/>
              </w:rPr>
            </w:pPr>
            <w:r w:rsidRPr="002C5EC5">
              <w:rPr>
                <w:rFonts w:ascii="Verdana" w:hAnsi="Verdana"/>
                <w:sz w:val="16"/>
                <w:szCs w:val="16"/>
              </w:rPr>
              <w:t>100, vijfde lid</w:t>
            </w:r>
          </w:p>
        </w:tc>
        <w:tc>
          <w:tcPr>
            <w:tcW w:w="1540" w:type="dxa"/>
          </w:tcPr>
          <w:p w:rsidR="008068C4" w:rsidP="008549EB" w:rsidRDefault="008068C4" w14:paraId="2A76F478" w14:textId="77777777">
            <w:pPr>
              <w:rPr>
                <w:rFonts w:ascii="Verdana" w:hAnsi="Verdana"/>
                <w:sz w:val="16"/>
                <w:szCs w:val="16"/>
              </w:rPr>
            </w:pPr>
            <w:r w:rsidRPr="002C5EC5">
              <w:rPr>
                <w:rFonts w:ascii="Verdana" w:hAnsi="Verdana"/>
                <w:sz w:val="16"/>
                <w:szCs w:val="16"/>
              </w:rPr>
              <w:t>Behoeft naar zijn aard geen implementatie</w:t>
            </w:r>
            <w:r>
              <w:rPr>
                <w:rFonts w:ascii="Verdana" w:hAnsi="Verdana"/>
                <w:sz w:val="16"/>
                <w:szCs w:val="16"/>
              </w:rPr>
              <w:t>:</w:t>
            </w:r>
            <w:r w:rsidRPr="002C5EC5">
              <w:rPr>
                <w:rFonts w:ascii="Verdana" w:hAnsi="Verdana"/>
                <w:sz w:val="16"/>
                <w:szCs w:val="16"/>
              </w:rPr>
              <w:t xml:space="preserve"> Bepaling gericht tot EBA.</w:t>
            </w:r>
          </w:p>
        </w:tc>
        <w:tc>
          <w:tcPr>
            <w:tcW w:w="1308" w:type="dxa"/>
          </w:tcPr>
          <w:p w:rsidRPr="002C5EC5" w:rsidR="008068C4" w:rsidP="008549EB" w:rsidRDefault="008068C4" w14:paraId="308D746A" w14:textId="77777777">
            <w:pPr>
              <w:rPr>
                <w:rFonts w:ascii="Verdana" w:hAnsi="Verdana"/>
                <w:sz w:val="16"/>
                <w:szCs w:val="16"/>
              </w:rPr>
            </w:pPr>
            <w:r w:rsidRPr="002C5EC5">
              <w:rPr>
                <w:rFonts w:ascii="Verdana" w:hAnsi="Verdana"/>
                <w:bCs/>
                <w:sz w:val="16"/>
                <w:szCs w:val="16"/>
              </w:rPr>
              <w:t>Geen</w:t>
            </w:r>
          </w:p>
        </w:tc>
        <w:tc>
          <w:tcPr>
            <w:tcW w:w="1450" w:type="dxa"/>
          </w:tcPr>
          <w:p w:rsidRPr="00DD0008" w:rsidR="008068C4" w:rsidP="008549EB" w:rsidRDefault="008068C4" w14:paraId="3DB7D1A9" w14:textId="77777777">
            <w:pPr>
              <w:rPr>
                <w:rFonts w:ascii="Verdana" w:hAnsi="Verdana"/>
                <w:sz w:val="16"/>
                <w:szCs w:val="16"/>
              </w:rPr>
            </w:pPr>
          </w:p>
        </w:tc>
      </w:tr>
      <w:tr w:rsidR="008068C4" w:rsidTr="008068C4" w14:paraId="1DC66686" w14:textId="77777777">
        <w:tc>
          <w:tcPr>
            <w:tcW w:w="1564" w:type="dxa"/>
          </w:tcPr>
          <w:p w:rsidRPr="00DD0008" w:rsidR="008068C4" w:rsidP="008549EB" w:rsidRDefault="008068C4" w14:paraId="3D53552F" w14:textId="77777777">
            <w:pPr>
              <w:rPr>
                <w:rFonts w:ascii="Verdana" w:hAnsi="Verdana"/>
                <w:sz w:val="16"/>
                <w:szCs w:val="16"/>
              </w:rPr>
            </w:pPr>
            <w:r>
              <w:rPr>
                <w:rFonts w:ascii="Verdana" w:hAnsi="Verdana"/>
                <w:sz w:val="16"/>
                <w:szCs w:val="16"/>
              </w:rPr>
              <w:t>2, vijfde lid</w:t>
            </w:r>
          </w:p>
        </w:tc>
        <w:tc>
          <w:tcPr>
            <w:tcW w:w="1525" w:type="dxa"/>
          </w:tcPr>
          <w:p w:rsidRPr="002C5EC5" w:rsidR="008068C4" w:rsidP="008549EB" w:rsidRDefault="008068C4" w14:paraId="40F7BD99" w14:textId="77777777">
            <w:pPr>
              <w:rPr>
                <w:rFonts w:ascii="Verdana" w:hAnsi="Verdana"/>
                <w:sz w:val="16"/>
                <w:szCs w:val="16"/>
              </w:rPr>
            </w:pPr>
            <w:r w:rsidRPr="002C5EC5">
              <w:rPr>
                <w:rFonts w:ascii="Verdana" w:hAnsi="Verdana"/>
                <w:sz w:val="16"/>
                <w:szCs w:val="16"/>
              </w:rPr>
              <w:t>104, eerste lid, onderdeel o</w:t>
            </w:r>
          </w:p>
        </w:tc>
        <w:tc>
          <w:tcPr>
            <w:tcW w:w="1540" w:type="dxa"/>
          </w:tcPr>
          <w:p w:rsidRPr="002C5EC5" w:rsidR="008068C4" w:rsidP="008549EB" w:rsidRDefault="008068C4" w14:paraId="7B316208" w14:textId="77777777">
            <w:pPr>
              <w:rPr>
                <w:rFonts w:ascii="Verdana" w:hAnsi="Verdana"/>
                <w:sz w:val="16"/>
                <w:szCs w:val="16"/>
              </w:rPr>
            </w:pPr>
            <w:r>
              <w:rPr>
                <w:rFonts w:ascii="Verdana" w:hAnsi="Verdana"/>
                <w:sz w:val="16"/>
                <w:szCs w:val="16"/>
              </w:rPr>
              <w:t>Artikel I, onderdeel OOO (</w:t>
            </w:r>
            <w:r w:rsidRPr="002C5EC5">
              <w:rPr>
                <w:rFonts w:ascii="Verdana" w:hAnsi="Verdana"/>
                <w:sz w:val="16"/>
                <w:szCs w:val="16"/>
              </w:rPr>
              <w:t>3:111a Wft</w:t>
            </w:r>
            <w:r>
              <w:rPr>
                <w:rFonts w:ascii="Verdana" w:hAnsi="Verdana"/>
                <w:sz w:val="16"/>
                <w:szCs w:val="16"/>
              </w:rPr>
              <w:t>)</w:t>
            </w:r>
          </w:p>
        </w:tc>
        <w:tc>
          <w:tcPr>
            <w:tcW w:w="1308" w:type="dxa"/>
          </w:tcPr>
          <w:p w:rsidRPr="002C5EC5" w:rsidR="008068C4" w:rsidP="008549EB" w:rsidRDefault="008068C4" w14:paraId="308AC9BD" w14:textId="77777777">
            <w:pPr>
              <w:rPr>
                <w:rFonts w:ascii="Verdana" w:hAnsi="Verdana"/>
                <w:sz w:val="16"/>
                <w:szCs w:val="16"/>
              </w:rPr>
            </w:pPr>
            <w:r w:rsidRPr="002C5EC5">
              <w:rPr>
                <w:rFonts w:ascii="Verdana" w:hAnsi="Verdana"/>
                <w:bCs/>
                <w:sz w:val="16"/>
                <w:szCs w:val="16"/>
              </w:rPr>
              <w:t>Geen</w:t>
            </w:r>
          </w:p>
        </w:tc>
        <w:tc>
          <w:tcPr>
            <w:tcW w:w="1450" w:type="dxa"/>
          </w:tcPr>
          <w:p w:rsidRPr="00DD0008" w:rsidR="008068C4" w:rsidP="008549EB" w:rsidRDefault="008068C4" w14:paraId="576A22D0" w14:textId="77777777">
            <w:pPr>
              <w:rPr>
                <w:rFonts w:ascii="Verdana" w:hAnsi="Verdana"/>
                <w:sz w:val="16"/>
                <w:szCs w:val="16"/>
              </w:rPr>
            </w:pPr>
          </w:p>
        </w:tc>
      </w:tr>
      <w:tr w:rsidR="008068C4" w:rsidTr="008068C4" w14:paraId="12EC580E" w14:textId="77777777">
        <w:tc>
          <w:tcPr>
            <w:tcW w:w="1564" w:type="dxa"/>
          </w:tcPr>
          <w:p w:rsidRPr="00DD0008" w:rsidR="008068C4" w:rsidP="008549EB" w:rsidRDefault="008068C4" w14:paraId="5F57D7CD" w14:textId="77777777">
            <w:pPr>
              <w:rPr>
                <w:rFonts w:ascii="Verdana" w:hAnsi="Verdana"/>
                <w:sz w:val="16"/>
                <w:szCs w:val="16"/>
              </w:rPr>
            </w:pPr>
          </w:p>
        </w:tc>
        <w:tc>
          <w:tcPr>
            <w:tcW w:w="1525" w:type="dxa"/>
          </w:tcPr>
          <w:p w:rsidRPr="002C5EC5" w:rsidR="008068C4" w:rsidP="008549EB" w:rsidRDefault="008068C4" w14:paraId="47FECB5C" w14:textId="77777777">
            <w:pPr>
              <w:rPr>
                <w:rFonts w:ascii="Verdana" w:hAnsi="Verdana"/>
                <w:sz w:val="16"/>
                <w:szCs w:val="16"/>
              </w:rPr>
            </w:pPr>
          </w:p>
        </w:tc>
        <w:tc>
          <w:tcPr>
            <w:tcW w:w="1540" w:type="dxa"/>
          </w:tcPr>
          <w:p w:rsidRPr="002C5EC5" w:rsidR="008068C4" w:rsidP="008549EB" w:rsidRDefault="008068C4" w14:paraId="14CC53E1" w14:textId="77777777">
            <w:pPr>
              <w:rPr>
                <w:rFonts w:ascii="Verdana" w:hAnsi="Verdana"/>
                <w:sz w:val="16"/>
                <w:szCs w:val="16"/>
              </w:rPr>
            </w:pPr>
          </w:p>
        </w:tc>
        <w:tc>
          <w:tcPr>
            <w:tcW w:w="1308" w:type="dxa"/>
          </w:tcPr>
          <w:p w:rsidRPr="002C5EC5" w:rsidR="008068C4" w:rsidP="008549EB" w:rsidRDefault="008068C4" w14:paraId="7DBA8ED7" w14:textId="77777777">
            <w:pPr>
              <w:rPr>
                <w:rFonts w:ascii="Verdana" w:hAnsi="Verdana"/>
                <w:sz w:val="16"/>
                <w:szCs w:val="16"/>
              </w:rPr>
            </w:pPr>
          </w:p>
        </w:tc>
        <w:tc>
          <w:tcPr>
            <w:tcW w:w="1450" w:type="dxa"/>
          </w:tcPr>
          <w:p w:rsidR="008068C4" w:rsidP="008549EB" w:rsidRDefault="008068C4" w14:paraId="7906BF78" w14:textId="77777777">
            <w:pPr>
              <w:rPr>
                <w:rFonts w:ascii="Verdana" w:hAnsi="Verdana"/>
                <w:sz w:val="16"/>
                <w:szCs w:val="16"/>
              </w:rPr>
            </w:pPr>
          </w:p>
        </w:tc>
      </w:tr>
      <w:tr w:rsidR="008068C4" w:rsidTr="008068C4" w14:paraId="280165D7" w14:textId="77777777">
        <w:tc>
          <w:tcPr>
            <w:tcW w:w="1564" w:type="dxa"/>
            <w:shd w:val="clear" w:color="auto" w:fill="EEECE1" w:themeFill="background2"/>
          </w:tcPr>
          <w:p w:rsidRPr="00DD0008" w:rsidR="008068C4" w:rsidP="008549EB" w:rsidRDefault="008068C4" w14:paraId="0FFAD580" w14:textId="77777777">
            <w:pPr>
              <w:rPr>
                <w:rFonts w:ascii="Verdana" w:hAnsi="Verdana"/>
                <w:sz w:val="16"/>
                <w:szCs w:val="16"/>
              </w:rPr>
            </w:pPr>
            <w:r>
              <w:rPr>
                <w:rFonts w:ascii="Verdana" w:hAnsi="Verdana"/>
                <w:b/>
                <w:sz w:val="16"/>
                <w:szCs w:val="16"/>
              </w:rPr>
              <w:t>Bepaling in Richtlijn (EU) 2024/2994</w:t>
            </w:r>
          </w:p>
        </w:tc>
        <w:tc>
          <w:tcPr>
            <w:tcW w:w="1525" w:type="dxa"/>
            <w:shd w:val="clear" w:color="auto" w:fill="EEECE1" w:themeFill="background2"/>
          </w:tcPr>
          <w:p w:rsidRPr="002C5EC5" w:rsidR="008068C4" w:rsidP="008549EB" w:rsidRDefault="008068C4" w14:paraId="24DD3CC2" w14:textId="77777777">
            <w:pPr>
              <w:rPr>
                <w:rFonts w:ascii="Verdana" w:hAnsi="Verdana"/>
                <w:sz w:val="16"/>
                <w:szCs w:val="16"/>
              </w:rPr>
            </w:pPr>
            <w:r w:rsidRPr="00DD0008">
              <w:rPr>
                <w:rFonts w:ascii="Verdana" w:hAnsi="Verdana" w:cs="Times New Roman"/>
                <w:b/>
                <w:sz w:val="16"/>
                <w:szCs w:val="16"/>
                <w:lang w:eastAsia="nl-NL"/>
              </w:rPr>
              <w:t xml:space="preserve">Bepaling </w:t>
            </w:r>
            <w:r>
              <w:rPr>
                <w:rFonts w:ascii="Verdana" w:hAnsi="Verdana" w:cs="Times New Roman"/>
                <w:b/>
                <w:sz w:val="16"/>
                <w:szCs w:val="16"/>
                <w:lang w:eastAsia="nl-NL"/>
              </w:rPr>
              <w:t>in Richtlijn (EU) 2019/2034</w:t>
            </w:r>
          </w:p>
        </w:tc>
        <w:tc>
          <w:tcPr>
            <w:tcW w:w="1540" w:type="dxa"/>
            <w:shd w:val="clear" w:color="auto" w:fill="EEECE1" w:themeFill="background2"/>
          </w:tcPr>
          <w:p w:rsidR="008068C4" w:rsidP="008549EB" w:rsidRDefault="008068C4" w14:paraId="5670AD3A" w14:textId="77777777">
            <w:pPr>
              <w:rPr>
                <w:rFonts w:ascii="Verdana" w:hAnsi="Verdana" w:cs="Times New Roman"/>
                <w:b/>
                <w:sz w:val="16"/>
                <w:szCs w:val="16"/>
                <w:lang w:eastAsia="nl-NL"/>
              </w:rPr>
            </w:pPr>
            <w:r w:rsidRPr="00DD0008">
              <w:rPr>
                <w:rFonts w:ascii="Verdana" w:hAnsi="Verdana" w:cs="Times New Roman"/>
                <w:b/>
                <w:sz w:val="16"/>
                <w:szCs w:val="16"/>
                <w:lang w:eastAsia="nl-NL"/>
              </w:rPr>
              <w:t>Bepaling in implementatie</w:t>
            </w:r>
            <w:r>
              <w:rPr>
                <w:rFonts w:ascii="Verdana" w:hAnsi="Verdana" w:cs="Times New Roman"/>
                <w:b/>
                <w:sz w:val="16"/>
                <w:szCs w:val="16"/>
                <w:lang w:eastAsia="nl-NL"/>
              </w:rPr>
              <w:t>regeling of bestaande regeling</w:t>
            </w:r>
          </w:p>
          <w:p w:rsidRPr="00DD0008" w:rsidR="008068C4" w:rsidP="008549EB" w:rsidRDefault="008068C4" w14:paraId="3BB2603D" w14:textId="77777777">
            <w:pPr>
              <w:spacing w:line="100" w:lineRule="exact"/>
              <w:rPr>
                <w:rFonts w:ascii="Verdana" w:hAnsi="Verdana" w:cs="Times New Roman"/>
                <w:b/>
                <w:sz w:val="16"/>
                <w:szCs w:val="16"/>
                <w:lang w:eastAsia="nl-NL"/>
              </w:rPr>
            </w:pPr>
          </w:p>
          <w:p w:rsidR="008068C4" w:rsidP="008549EB" w:rsidRDefault="008068C4" w14:paraId="4522D9A7" w14:textId="77777777">
            <w:pPr>
              <w:rPr>
                <w:rFonts w:ascii="Verdana" w:hAnsi="Verdana"/>
                <w:sz w:val="16"/>
                <w:szCs w:val="16"/>
              </w:rPr>
            </w:pPr>
          </w:p>
        </w:tc>
        <w:tc>
          <w:tcPr>
            <w:tcW w:w="1308" w:type="dxa"/>
            <w:shd w:val="clear" w:color="auto" w:fill="EEECE1" w:themeFill="background2"/>
          </w:tcPr>
          <w:p w:rsidRPr="002C5EC5" w:rsidR="008068C4" w:rsidP="008549EB" w:rsidRDefault="008068C4" w14:paraId="6504BF2C" w14:textId="77777777">
            <w:pPr>
              <w:rPr>
                <w:rFonts w:ascii="Verdana" w:hAnsi="Verdana"/>
                <w:sz w:val="16"/>
                <w:szCs w:val="16"/>
              </w:rPr>
            </w:pPr>
            <w:r w:rsidRPr="00DD0008">
              <w:rPr>
                <w:rFonts w:ascii="Verdana" w:hAnsi="Verdana" w:cs="Times New Roman"/>
                <w:b/>
                <w:sz w:val="16"/>
                <w:szCs w:val="16"/>
                <w:lang w:eastAsia="nl-NL"/>
              </w:rPr>
              <w:t>Omschrijving beleidsruimte</w:t>
            </w:r>
          </w:p>
        </w:tc>
        <w:tc>
          <w:tcPr>
            <w:tcW w:w="1450" w:type="dxa"/>
            <w:shd w:val="clear" w:color="auto" w:fill="EEECE1" w:themeFill="background2"/>
          </w:tcPr>
          <w:p w:rsidR="008068C4" w:rsidP="008549EB" w:rsidRDefault="008068C4" w14:paraId="0226DD38" w14:textId="77777777">
            <w:pPr>
              <w:rPr>
                <w:rFonts w:ascii="Verdana" w:hAnsi="Verdana"/>
                <w:sz w:val="16"/>
                <w:szCs w:val="16"/>
              </w:rPr>
            </w:pPr>
            <w:r w:rsidRPr="00DD0008">
              <w:rPr>
                <w:rFonts w:ascii="Verdana" w:hAnsi="Verdana" w:cs="Times New Roman"/>
                <w:b/>
                <w:sz w:val="16"/>
                <w:szCs w:val="16"/>
                <w:lang w:eastAsia="nl-NL"/>
              </w:rPr>
              <w:t>Toelichting op de keuze(n) bij de invulling van de beleidsruimte</w:t>
            </w:r>
          </w:p>
        </w:tc>
      </w:tr>
      <w:tr w:rsidR="008068C4" w:rsidTr="008068C4" w14:paraId="5D97812A" w14:textId="77777777">
        <w:tc>
          <w:tcPr>
            <w:tcW w:w="1564" w:type="dxa"/>
          </w:tcPr>
          <w:p w:rsidRPr="00DD0008" w:rsidR="008068C4" w:rsidP="008549EB" w:rsidRDefault="008068C4" w14:paraId="58ACC14C" w14:textId="77777777">
            <w:pPr>
              <w:rPr>
                <w:rFonts w:ascii="Verdana" w:hAnsi="Verdana"/>
                <w:sz w:val="16"/>
                <w:szCs w:val="16"/>
              </w:rPr>
            </w:pPr>
            <w:r>
              <w:rPr>
                <w:rFonts w:ascii="Verdana" w:hAnsi="Verdana"/>
                <w:sz w:val="16"/>
                <w:szCs w:val="16"/>
              </w:rPr>
              <w:t>3, eerste lid</w:t>
            </w:r>
          </w:p>
        </w:tc>
        <w:tc>
          <w:tcPr>
            <w:tcW w:w="1525" w:type="dxa"/>
          </w:tcPr>
          <w:p w:rsidRPr="002C5EC5" w:rsidR="008068C4" w:rsidP="008549EB" w:rsidRDefault="008068C4" w14:paraId="7680696E" w14:textId="77777777">
            <w:pPr>
              <w:rPr>
                <w:rFonts w:ascii="Verdana" w:hAnsi="Verdana"/>
                <w:sz w:val="16"/>
                <w:szCs w:val="16"/>
              </w:rPr>
            </w:pPr>
            <w:r w:rsidRPr="002C5EC5">
              <w:rPr>
                <w:rFonts w:ascii="Verdana" w:hAnsi="Verdana"/>
                <w:bCs/>
                <w:sz w:val="16"/>
                <w:szCs w:val="16"/>
              </w:rPr>
              <w:t>3, eerste lid</w:t>
            </w:r>
          </w:p>
        </w:tc>
        <w:tc>
          <w:tcPr>
            <w:tcW w:w="1540" w:type="dxa"/>
          </w:tcPr>
          <w:p w:rsidR="008068C4" w:rsidP="008549EB" w:rsidRDefault="008068C4" w14:paraId="3759A596" w14:textId="77777777">
            <w:pPr>
              <w:rPr>
                <w:rFonts w:ascii="Verdana" w:hAnsi="Verdana"/>
                <w:sz w:val="16"/>
                <w:szCs w:val="16"/>
              </w:rPr>
            </w:pPr>
            <w:r w:rsidRPr="002C5EC5">
              <w:rPr>
                <w:rFonts w:ascii="Verdana" w:hAnsi="Verdana" w:eastAsia="Times New Roman"/>
                <w:sz w:val="16"/>
                <w:szCs w:val="16"/>
              </w:rPr>
              <w:t>Behoeft geen implementatie</w:t>
            </w:r>
            <w:r>
              <w:rPr>
                <w:rFonts w:ascii="Verdana" w:hAnsi="Verdana" w:eastAsia="Times New Roman"/>
                <w:sz w:val="16"/>
                <w:szCs w:val="16"/>
              </w:rPr>
              <w:t>:</w:t>
            </w:r>
            <w:r w:rsidRPr="002C5EC5">
              <w:rPr>
                <w:rFonts w:ascii="Verdana" w:hAnsi="Verdana" w:eastAsia="Times New Roman"/>
                <w:sz w:val="16"/>
                <w:szCs w:val="16"/>
              </w:rPr>
              <w:t xml:space="preserve"> Bestaand recht in 1:1 Wft</w:t>
            </w:r>
          </w:p>
        </w:tc>
        <w:tc>
          <w:tcPr>
            <w:tcW w:w="1308" w:type="dxa"/>
          </w:tcPr>
          <w:p w:rsidRPr="002C5EC5" w:rsidR="008068C4" w:rsidP="008549EB" w:rsidRDefault="008068C4" w14:paraId="05323274" w14:textId="77777777">
            <w:pPr>
              <w:rPr>
                <w:rFonts w:ascii="Verdana" w:hAnsi="Verdana"/>
                <w:sz w:val="16"/>
                <w:szCs w:val="16"/>
              </w:rPr>
            </w:pPr>
            <w:r w:rsidRPr="002C5EC5">
              <w:rPr>
                <w:rFonts w:ascii="Verdana" w:hAnsi="Verdana" w:eastAsia="Times New Roman"/>
                <w:sz w:val="16"/>
                <w:szCs w:val="16"/>
              </w:rPr>
              <w:t>Geen</w:t>
            </w:r>
          </w:p>
        </w:tc>
        <w:tc>
          <w:tcPr>
            <w:tcW w:w="1450" w:type="dxa"/>
          </w:tcPr>
          <w:p w:rsidR="008068C4" w:rsidP="008549EB" w:rsidRDefault="008068C4" w14:paraId="71C64023" w14:textId="77777777">
            <w:pPr>
              <w:rPr>
                <w:rFonts w:ascii="Verdana" w:hAnsi="Verdana"/>
                <w:sz w:val="16"/>
                <w:szCs w:val="16"/>
              </w:rPr>
            </w:pPr>
            <w:r w:rsidRPr="002C5EC5">
              <w:rPr>
                <w:rFonts w:ascii="Verdana" w:hAnsi="Verdana" w:eastAsia="Times New Roman"/>
                <w:sz w:val="16"/>
                <w:szCs w:val="16"/>
              </w:rPr>
              <w:t xml:space="preserve">De definitie van centrale tegenpartij is opgenomen in 1:1 Wft. De definitie van gekwalificeerde CTP wordt niet gebruikt. </w:t>
            </w:r>
          </w:p>
        </w:tc>
      </w:tr>
      <w:tr w:rsidR="008068C4" w:rsidTr="008068C4" w14:paraId="4FAEE47A" w14:textId="77777777">
        <w:tc>
          <w:tcPr>
            <w:tcW w:w="1564" w:type="dxa"/>
          </w:tcPr>
          <w:p w:rsidRPr="00DD0008" w:rsidR="008068C4" w:rsidP="008549EB" w:rsidRDefault="008068C4" w14:paraId="18430B3E" w14:textId="77777777">
            <w:pPr>
              <w:rPr>
                <w:rFonts w:ascii="Verdana" w:hAnsi="Verdana"/>
                <w:sz w:val="16"/>
                <w:szCs w:val="16"/>
              </w:rPr>
            </w:pPr>
            <w:r>
              <w:rPr>
                <w:rFonts w:ascii="Verdana" w:hAnsi="Verdana"/>
                <w:sz w:val="16"/>
                <w:szCs w:val="16"/>
              </w:rPr>
              <w:t>3, tweede lid</w:t>
            </w:r>
          </w:p>
        </w:tc>
        <w:tc>
          <w:tcPr>
            <w:tcW w:w="1525" w:type="dxa"/>
          </w:tcPr>
          <w:p w:rsidRPr="002C5EC5" w:rsidR="008068C4" w:rsidP="008549EB" w:rsidRDefault="008068C4" w14:paraId="5F12FAF9" w14:textId="77777777">
            <w:pPr>
              <w:rPr>
                <w:rFonts w:ascii="Verdana" w:hAnsi="Verdana"/>
                <w:sz w:val="16"/>
                <w:szCs w:val="16"/>
              </w:rPr>
            </w:pPr>
            <w:r w:rsidRPr="002C5EC5">
              <w:rPr>
                <w:rFonts w:ascii="Verdana" w:hAnsi="Verdana"/>
                <w:bCs/>
                <w:sz w:val="16"/>
                <w:szCs w:val="16"/>
              </w:rPr>
              <w:t>26, eerste lid</w:t>
            </w:r>
          </w:p>
        </w:tc>
        <w:tc>
          <w:tcPr>
            <w:tcW w:w="1540" w:type="dxa"/>
          </w:tcPr>
          <w:p w:rsidRPr="00D4351E" w:rsidR="008068C4" w:rsidP="008549EB" w:rsidRDefault="008068C4" w14:paraId="76331E29" w14:textId="77777777">
            <w:pPr>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d</w:t>
            </w:r>
            <w:r w:rsidRPr="002C5EC5">
              <w:rPr>
                <w:rFonts w:ascii="Verdana" w:hAnsi="Verdana"/>
                <w:sz w:val="16"/>
                <w:szCs w:val="16"/>
              </w:rPr>
              <w:t>ynamische verwijzing naar artikel 26 IFD in artikel 23a, onderdeel a, Bpr</w:t>
            </w:r>
          </w:p>
        </w:tc>
        <w:tc>
          <w:tcPr>
            <w:tcW w:w="1308" w:type="dxa"/>
          </w:tcPr>
          <w:p w:rsidR="008068C4" w:rsidP="008549EB" w:rsidRDefault="008068C4" w14:paraId="221906D4" w14:textId="77777777">
            <w:pPr>
              <w:rPr>
                <w:rFonts w:ascii="Verdana" w:hAnsi="Verdana"/>
                <w:sz w:val="16"/>
                <w:szCs w:val="16"/>
              </w:rPr>
            </w:pPr>
            <w:r w:rsidRPr="002C5EC5">
              <w:rPr>
                <w:rFonts w:ascii="Verdana" w:hAnsi="Verdana"/>
                <w:bCs/>
                <w:sz w:val="16"/>
                <w:szCs w:val="16"/>
              </w:rPr>
              <w:t>Geen</w:t>
            </w:r>
          </w:p>
        </w:tc>
        <w:tc>
          <w:tcPr>
            <w:tcW w:w="1450" w:type="dxa"/>
          </w:tcPr>
          <w:p w:rsidRPr="002C5EC5" w:rsidR="008068C4" w:rsidP="008549EB" w:rsidRDefault="008068C4" w14:paraId="3527B747" w14:textId="77777777">
            <w:pPr>
              <w:rPr>
                <w:rFonts w:ascii="Verdana" w:hAnsi="Verdana"/>
                <w:sz w:val="16"/>
                <w:szCs w:val="16"/>
              </w:rPr>
            </w:pPr>
          </w:p>
        </w:tc>
      </w:tr>
      <w:tr w:rsidR="008068C4" w:rsidTr="008068C4" w14:paraId="0D490685" w14:textId="77777777">
        <w:tc>
          <w:tcPr>
            <w:tcW w:w="1564" w:type="dxa"/>
          </w:tcPr>
          <w:p w:rsidRPr="00DD0008" w:rsidR="008068C4" w:rsidP="008549EB" w:rsidRDefault="008068C4" w14:paraId="037FF351" w14:textId="77777777">
            <w:pPr>
              <w:rPr>
                <w:rFonts w:ascii="Verdana" w:hAnsi="Verdana"/>
                <w:sz w:val="16"/>
                <w:szCs w:val="16"/>
              </w:rPr>
            </w:pPr>
            <w:r>
              <w:rPr>
                <w:rFonts w:ascii="Verdana" w:hAnsi="Verdana"/>
                <w:sz w:val="16"/>
                <w:szCs w:val="16"/>
              </w:rPr>
              <w:t>3, derde lid, onderdeel a</w:t>
            </w:r>
          </w:p>
        </w:tc>
        <w:tc>
          <w:tcPr>
            <w:tcW w:w="1525" w:type="dxa"/>
          </w:tcPr>
          <w:p w:rsidRPr="002C5EC5" w:rsidR="008068C4" w:rsidP="008549EB" w:rsidRDefault="008068C4" w14:paraId="5EA6197B" w14:textId="77777777">
            <w:pPr>
              <w:rPr>
                <w:rFonts w:ascii="Verdana" w:hAnsi="Verdana"/>
                <w:sz w:val="16"/>
                <w:szCs w:val="16"/>
              </w:rPr>
            </w:pPr>
            <w:r w:rsidRPr="002C5EC5">
              <w:rPr>
                <w:rFonts w:ascii="Verdana" w:hAnsi="Verdana"/>
                <w:bCs/>
                <w:sz w:val="16"/>
                <w:szCs w:val="16"/>
              </w:rPr>
              <w:t>29, eerste lid, onderdeel e</w:t>
            </w:r>
          </w:p>
        </w:tc>
        <w:tc>
          <w:tcPr>
            <w:tcW w:w="1540" w:type="dxa"/>
          </w:tcPr>
          <w:p w:rsidRPr="00D4351E" w:rsidR="008068C4" w:rsidP="008549EB" w:rsidRDefault="008068C4" w14:paraId="252C6039" w14:textId="77777777">
            <w:pPr>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d</w:t>
            </w:r>
            <w:r w:rsidRPr="002C5EC5">
              <w:rPr>
                <w:rFonts w:ascii="Verdana" w:hAnsi="Verdana"/>
                <w:sz w:val="16"/>
                <w:szCs w:val="16"/>
              </w:rPr>
              <w:t>ynamische verwijzing naar artikel 26 IFD in artikel 23a, onderdeel a, Bpr</w:t>
            </w:r>
          </w:p>
        </w:tc>
        <w:tc>
          <w:tcPr>
            <w:tcW w:w="1308" w:type="dxa"/>
          </w:tcPr>
          <w:p w:rsidRPr="002C5EC5" w:rsidR="008068C4" w:rsidP="008549EB" w:rsidRDefault="008068C4" w14:paraId="32742AB2" w14:textId="77777777">
            <w:pPr>
              <w:rPr>
                <w:rFonts w:ascii="Verdana" w:hAnsi="Verdana"/>
                <w:sz w:val="16"/>
                <w:szCs w:val="16"/>
              </w:rPr>
            </w:pPr>
            <w:r w:rsidRPr="002C5EC5">
              <w:rPr>
                <w:rFonts w:ascii="Verdana" w:hAnsi="Verdana"/>
                <w:bCs/>
                <w:sz w:val="16"/>
                <w:szCs w:val="16"/>
              </w:rPr>
              <w:t>Geen</w:t>
            </w:r>
          </w:p>
        </w:tc>
        <w:tc>
          <w:tcPr>
            <w:tcW w:w="1450" w:type="dxa"/>
          </w:tcPr>
          <w:p w:rsidRPr="002C5EC5" w:rsidR="008068C4" w:rsidP="008549EB" w:rsidRDefault="008068C4" w14:paraId="2D96CD26" w14:textId="77777777">
            <w:pPr>
              <w:rPr>
                <w:rFonts w:ascii="Verdana" w:hAnsi="Verdana"/>
                <w:sz w:val="16"/>
                <w:szCs w:val="16"/>
              </w:rPr>
            </w:pPr>
          </w:p>
        </w:tc>
      </w:tr>
      <w:tr w:rsidR="008068C4" w:rsidTr="008068C4" w14:paraId="367A5039" w14:textId="77777777">
        <w:tc>
          <w:tcPr>
            <w:tcW w:w="1564" w:type="dxa"/>
          </w:tcPr>
          <w:p w:rsidRPr="00DD0008" w:rsidR="008068C4" w:rsidP="008549EB" w:rsidRDefault="008068C4" w14:paraId="458BDC61" w14:textId="77777777">
            <w:pPr>
              <w:rPr>
                <w:rFonts w:ascii="Verdana" w:hAnsi="Verdana"/>
                <w:sz w:val="16"/>
                <w:szCs w:val="16"/>
              </w:rPr>
            </w:pPr>
            <w:r>
              <w:rPr>
                <w:rFonts w:ascii="Verdana" w:hAnsi="Verdana"/>
                <w:sz w:val="16"/>
                <w:szCs w:val="16"/>
              </w:rPr>
              <w:t>3, derde lid, onderdeel b</w:t>
            </w:r>
          </w:p>
        </w:tc>
        <w:tc>
          <w:tcPr>
            <w:tcW w:w="1525" w:type="dxa"/>
          </w:tcPr>
          <w:p w:rsidRPr="002C5EC5" w:rsidR="008068C4" w:rsidP="008549EB" w:rsidRDefault="008068C4" w14:paraId="21925AB2" w14:textId="77777777">
            <w:pPr>
              <w:rPr>
                <w:rFonts w:ascii="Verdana" w:hAnsi="Verdana"/>
                <w:sz w:val="16"/>
                <w:szCs w:val="16"/>
              </w:rPr>
            </w:pPr>
            <w:r w:rsidRPr="002C5EC5">
              <w:rPr>
                <w:rFonts w:ascii="Verdana" w:hAnsi="Verdana"/>
                <w:bCs/>
                <w:sz w:val="16"/>
                <w:szCs w:val="16"/>
              </w:rPr>
              <w:t>29, eerste lid, tweede alinea</w:t>
            </w:r>
          </w:p>
        </w:tc>
        <w:tc>
          <w:tcPr>
            <w:tcW w:w="1540" w:type="dxa"/>
          </w:tcPr>
          <w:p w:rsidRPr="00CF690D" w:rsidR="008068C4" w:rsidP="008549EB" w:rsidRDefault="008068C4" w14:paraId="06AE0FE5" w14:textId="77777777">
            <w:pPr>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d</w:t>
            </w:r>
            <w:r w:rsidRPr="002C5EC5">
              <w:rPr>
                <w:rFonts w:ascii="Verdana" w:hAnsi="Verdana"/>
                <w:sz w:val="16"/>
                <w:szCs w:val="16"/>
              </w:rPr>
              <w:t>ynamische verwijzing naar artikel 26 IFD in artikel 23a, onderdeel a, Bpr</w:t>
            </w:r>
          </w:p>
        </w:tc>
        <w:tc>
          <w:tcPr>
            <w:tcW w:w="1308" w:type="dxa"/>
          </w:tcPr>
          <w:p w:rsidRPr="002C5EC5" w:rsidR="008068C4" w:rsidP="008549EB" w:rsidRDefault="008068C4" w14:paraId="5EA484A1" w14:textId="77777777">
            <w:pPr>
              <w:rPr>
                <w:rFonts w:ascii="Verdana" w:hAnsi="Verdana"/>
                <w:sz w:val="16"/>
                <w:szCs w:val="16"/>
              </w:rPr>
            </w:pPr>
            <w:r w:rsidRPr="002C5EC5">
              <w:rPr>
                <w:rFonts w:ascii="Verdana" w:hAnsi="Verdana"/>
                <w:bCs/>
                <w:sz w:val="16"/>
                <w:szCs w:val="16"/>
              </w:rPr>
              <w:t>Geen</w:t>
            </w:r>
          </w:p>
        </w:tc>
        <w:tc>
          <w:tcPr>
            <w:tcW w:w="1450" w:type="dxa"/>
          </w:tcPr>
          <w:p w:rsidRPr="002C5EC5" w:rsidR="008068C4" w:rsidP="008549EB" w:rsidRDefault="008068C4" w14:paraId="6880F66B" w14:textId="77777777">
            <w:pPr>
              <w:rPr>
                <w:rFonts w:ascii="Verdana" w:hAnsi="Verdana"/>
                <w:sz w:val="16"/>
                <w:szCs w:val="16"/>
              </w:rPr>
            </w:pPr>
          </w:p>
        </w:tc>
      </w:tr>
      <w:tr w:rsidR="008068C4" w:rsidTr="008068C4" w14:paraId="7EB259BB" w14:textId="77777777">
        <w:tc>
          <w:tcPr>
            <w:tcW w:w="1564" w:type="dxa"/>
          </w:tcPr>
          <w:p w:rsidRPr="00DD0008" w:rsidR="008068C4" w:rsidP="008549EB" w:rsidRDefault="008068C4" w14:paraId="0D645D06" w14:textId="77777777">
            <w:pPr>
              <w:rPr>
                <w:rFonts w:ascii="Verdana" w:hAnsi="Verdana"/>
                <w:sz w:val="16"/>
                <w:szCs w:val="16"/>
              </w:rPr>
            </w:pPr>
            <w:r>
              <w:rPr>
                <w:rFonts w:ascii="Verdana" w:hAnsi="Verdana"/>
                <w:sz w:val="16"/>
                <w:szCs w:val="16"/>
              </w:rPr>
              <w:t>3, vierde lid</w:t>
            </w:r>
          </w:p>
        </w:tc>
        <w:tc>
          <w:tcPr>
            <w:tcW w:w="1525" w:type="dxa"/>
          </w:tcPr>
          <w:p w:rsidRPr="002C5EC5" w:rsidR="008068C4" w:rsidP="008549EB" w:rsidRDefault="008068C4" w14:paraId="5E515923" w14:textId="77777777">
            <w:pPr>
              <w:rPr>
                <w:rFonts w:ascii="Verdana" w:hAnsi="Verdana"/>
                <w:sz w:val="16"/>
                <w:szCs w:val="16"/>
              </w:rPr>
            </w:pPr>
            <w:r w:rsidRPr="002C5EC5">
              <w:rPr>
                <w:rFonts w:ascii="Verdana" w:hAnsi="Verdana"/>
                <w:bCs/>
                <w:sz w:val="16"/>
                <w:szCs w:val="16"/>
              </w:rPr>
              <w:t>36, eerste lid</w:t>
            </w:r>
          </w:p>
        </w:tc>
        <w:tc>
          <w:tcPr>
            <w:tcW w:w="1540" w:type="dxa"/>
          </w:tcPr>
          <w:p w:rsidRPr="00CF690D" w:rsidR="008068C4" w:rsidP="008549EB" w:rsidRDefault="008068C4" w14:paraId="71D58920" w14:textId="77777777">
            <w:pPr>
              <w:rPr>
                <w:rFonts w:ascii="Verdana" w:hAnsi="Verdana"/>
                <w:sz w:val="16"/>
                <w:szCs w:val="16"/>
              </w:rPr>
            </w:pPr>
            <w:r>
              <w:rPr>
                <w:rFonts w:ascii="Verdana" w:hAnsi="Verdana"/>
                <w:sz w:val="16"/>
                <w:szCs w:val="16"/>
              </w:rPr>
              <w:t>Volgt bij implementatieregeling</w:t>
            </w:r>
            <w:r w:rsidRPr="002C5EC5">
              <w:rPr>
                <w:rFonts w:ascii="Verdana" w:hAnsi="Verdana"/>
                <w:sz w:val="16"/>
                <w:szCs w:val="16"/>
              </w:rPr>
              <w:t xml:space="preserve"> </w:t>
            </w:r>
            <w:r>
              <w:rPr>
                <w:rFonts w:ascii="Verdana" w:hAnsi="Verdana"/>
                <w:sz w:val="16"/>
                <w:szCs w:val="16"/>
              </w:rPr>
              <w:t>(Bijlage 15 Rtt)</w:t>
            </w:r>
          </w:p>
        </w:tc>
        <w:tc>
          <w:tcPr>
            <w:tcW w:w="1308" w:type="dxa"/>
          </w:tcPr>
          <w:p w:rsidRPr="002C5EC5" w:rsidR="008068C4" w:rsidP="008549EB" w:rsidRDefault="008068C4" w14:paraId="27FA82AB" w14:textId="77777777">
            <w:pPr>
              <w:rPr>
                <w:rFonts w:ascii="Verdana" w:hAnsi="Verdana"/>
                <w:sz w:val="16"/>
                <w:szCs w:val="16"/>
              </w:rPr>
            </w:pPr>
            <w:r w:rsidRPr="002C5EC5">
              <w:rPr>
                <w:rFonts w:ascii="Verdana" w:hAnsi="Verdana"/>
                <w:bCs/>
                <w:sz w:val="16"/>
                <w:szCs w:val="16"/>
              </w:rPr>
              <w:t>Geen</w:t>
            </w:r>
          </w:p>
        </w:tc>
        <w:tc>
          <w:tcPr>
            <w:tcW w:w="1450" w:type="dxa"/>
          </w:tcPr>
          <w:p w:rsidRPr="002C5EC5" w:rsidR="008068C4" w:rsidP="008549EB" w:rsidRDefault="008068C4" w14:paraId="50739F47" w14:textId="77777777">
            <w:pPr>
              <w:rPr>
                <w:rFonts w:ascii="Verdana" w:hAnsi="Verdana"/>
                <w:sz w:val="16"/>
                <w:szCs w:val="16"/>
              </w:rPr>
            </w:pPr>
            <w:r w:rsidRPr="002C5EC5">
              <w:rPr>
                <w:rFonts w:ascii="Verdana" w:hAnsi="Verdana"/>
                <w:sz w:val="16"/>
                <w:szCs w:val="16"/>
              </w:rPr>
              <w:t>Wordt geïmplementeerd middels de Implementatieregeling kapitaalvereisten 2026</w:t>
            </w:r>
          </w:p>
        </w:tc>
      </w:tr>
      <w:tr w:rsidR="008068C4" w:rsidTr="008068C4" w14:paraId="22B14354" w14:textId="77777777">
        <w:tc>
          <w:tcPr>
            <w:tcW w:w="1564" w:type="dxa"/>
          </w:tcPr>
          <w:p w:rsidRPr="00DD0008" w:rsidR="008068C4" w:rsidP="008549EB" w:rsidRDefault="008068C4" w14:paraId="1B294D34" w14:textId="77777777">
            <w:pPr>
              <w:rPr>
                <w:rFonts w:ascii="Verdana" w:hAnsi="Verdana"/>
                <w:sz w:val="16"/>
                <w:szCs w:val="16"/>
              </w:rPr>
            </w:pPr>
            <w:r>
              <w:rPr>
                <w:rFonts w:ascii="Verdana" w:hAnsi="Verdana"/>
                <w:sz w:val="16"/>
                <w:szCs w:val="16"/>
              </w:rPr>
              <w:t>3, vijfde lid, onderdeel a</w:t>
            </w:r>
          </w:p>
        </w:tc>
        <w:tc>
          <w:tcPr>
            <w:tcW w:w="1525" w:type="dxa"/>
          </w:tcPr>
          <w:p w:rsidRPr="002C5EC5" w:rsidR="008068C4" w:rsidP="008549EB" w:rsidRDefault="008068C4" w14:paraId="1A837785" w14:textId="77777777">
            <w:pPr>
              <w:rPr>
                <w:rFonts w:ascii="Verdana" w:hAnsi="Verdana"/>
                <w:sz w:val="16"/>
                <w:szCs w:val="16"/>
              </w:rPr>
            </w:pPr>
            <w:r w:rsidRPr="002C5EC5">
              <w:rPr>
                <w:rFonts w:ascii="Verdana" w:hAnsi="Verdana"/>
                <w:bCs/>
                <w:sz w:val="16"/>
                <w:szCs w:val="16"/>
              </w:rPr>
              <w:t>39, tweede lid, aanhef</w:t>
            </w:r>
          </w:p>
        </w:tc>
        <w:tc>
          <w:tcPr>
            <w:tcW w:w="1540" w:type="dxa"/>
          </w:tcPr>
          <w:p w:rsidRPr="00CF690D" w:rsidR="008068C4" w:rsidP="008549EB" w:rsidRDefault="008068C4" w14:paraId="408CE290" w14:textId="77777777">
            <w:pPr>
              <w:rPr>
                <w:rFonts w:ascii="Verdana" w:hAnsi="Verdana"/>
                <w:sz w:val="16"/>
                <w:szCs w:val="16"/>
              </w:rPr>
            </w:pPr>
            <w:r w:rsidRPr="002C5EC5">
              <w:rPr>
                <w:rFonts w:ascii="Verdana" w:hAnsi="Verdana"/>
                <w:sz w:val="16"/>
                <w:szCs w:val="16"/>
              </w:rPr>
              <w:t>Behoeft geen implementatie</w:t>
            </w:r>
            <w:r>
              <w:rPr>
                <w:rFonts w:ascii="Verdana" w:hAnsi="Verdana"/>
                <w:sz w:val="16"/>
                <w:szCs w:val="16"/>
              </w:rPr>
              <w:t>:</w:t>
            </w:r>
            <w:r w:rsidRPr="002C5EC5">
              <w:rPr>
                <w:rFonts w:ascii="Verdana" w:hAnsi="Verdana"/>
                <w:sz w:val="16"/>
                <w:szCs w:val="16"/>
              </w:rPr>
              <w:t xml:space="preserve"> </w:t>
            </w:r>
            <w:r>
              <w:rPr>
                <w:rFonts w:ascii="Verdana" w:hAnsi="Verdana"/>
                <w:sz w:val="16"/>
                <w:szCs w:val="16"/>
              </w:rPr>
              <w:t>b</w:t>
            </w:r>
            <w:r w:rsidRPr="002C5EC5">
              <w:rPr>
                <w:rFonts w:ascii="Verdana" w:hAnsi="Verdana"/>
                <w:sz w:val="16"/>
                <w:szCs w:val="16"/>
              </w:rPr>
              <w:t>estaand recht in a</w:t>
            </w:r>
            <w:r w:rsidRPr="002C5EC5">
              <w:rPr>
                <w:rFonts w:ascii="Verdana" w:hAnsi="Verdana"/>
                <w:bCs/>
                <w:sz w:val="16"/>
                <w:szCs w:val="16"/>
              </w:rPr>
              <w:t>rtikel 3:111a.0, eerste lid, jo. 3:17 Wft</w:t>
            </w:r>
          </w:p>
        </w:tc>
        <w:tc>
          <w:tcPr>
            <w:tcW w:w="1308" w:type="dxa"/>
          </w:tcPr>
          <w:p w:rsidRPr="002C5EC5" w:rsidR="008068C4" w:rsidP="008549EB" w:rsidRDefault="008068C4" w14:paraId="77DC7F75" w14:textId="77777777">
            <w:pPr>
              <w:rPr>
                <w:rFonts w:ascii="Verdana" w:hAnsi="Verdana"/>
                <w:sz w:val="16"/>
                <w:szCs w:val="16"/>
              </w:rPr>
            </w:pPr>
            <w:r w:rsidRPr="002C5EC5">
              <w:rPr>
                <w:rFonts w:ascii="Verdana" w:hAnsi="Verdana"/>
                <w:bCs/>
                <w:sz w:val="16"/>
                <w:szCs w:val="16"/>
              </w:rPr>
              <w:t>Geen</w:t>
            </w:r>
          </w:p>
        </w:tc>
        <w:tc>
          <w:tcPr>
            <w:tcW w:w="1450" w:type="dxa"/>
          </w:tcPr>
          <w:p w:rsidRPr="002C5EC5" w:rsidR="008068C4" w:rsidP="008549EB" w:rsidRDefault="008068C4" w14:paraId="6112A0D7" w14:textId="77777777">
            <w:pPr>
              <w:rPr>
                <w:rFonts w:ascii="Verdana" w:hAnsi="Verdana"/>
                <w:sz w:val="16"/>
                <w:szCs w:val="16"/>
              </w:rPr>
            </w:pPr>
          </w:p>
        </w:tc>
      </w:tr>
      <w:tr w:rsidR="008068C4" w:rsidTr="008068C4" w14:paraId="5D408C95" w14:textId="77777777">
        <w:tc>
          <w:tcPr>
            <w:tcW w:w="1564" w:type="dxa"/>
          </w:tcPr>
          <w:p w:rsidRPr="00DD0008" w:rsidR="008068C4" w:rsidP="008549EB" w:rsidRDefault="008068C4" w14:paraId="0570C496" w14:textId="77777777">
            <w:pPr>
              <w:rPr>
                <w:rFonts w:ascii="Verdana" w:hAnsi="Verdana"/>
                <w:sz w:val="16"/>
                <w:szCs w:val="16"/>
              </w:rPr>
            </w:pPr>
            <w:r>
              <w:rPr>
                <w:rFonts w:ascii="Verdana" w:hAnsi="Verdana"/>
                <w:sz w:val="16"/>
                <w:szCs w:val="16"/>
              </w:rPr>
              <w:t>3, vijfde lid, onderdeel b</w:t>
            </w:r>
          </w:p>
        </w:tc>
        <w:tc>
          <w:tcPr>
            <w:tcW w:w="1525" w:type="dxa"/>
          </w:tcPr>
          <w:p w:rsidRPr="002C5EC5" w:rsidR="008068C4" w:rsidP="008549EB" w:rsidRDefault="008068C4" w14:paraId="52326484" w14:textId="77777777">
            <w:pPr>
              <w:rPr>
                <w:rFonts w:ascii="Verdana" w:hAnsi="Verdana"/>
                <w:sz w:val="16"/>
                <w:szCs w:val="16"/>
              </w:rPr>
            </w:pPr>
            <w:r w:rsidRPr="002C5EC5">
              <w:rPr>
                <w:rFonts w:ascii="Verdana" w:hAnsi="Verdana"/>
                <w:bCs/>
                <w:sz w:val="16"/>
                <w:szCs w:val="16"/>
              </w:rPr>
              <w:t>39, tweede lid, onderdeel n</w:t>
            </w:r>
          </w:p>
        </w:tc>
        <w:tc>
          <w:tcPr>
            <w:tcW w:w="1540" w:type="dxa"/>
          </w:tcPr>
          <w:p w:rsidRPr="002C5EC5" w:rsidR="008068C4" w:rsidP="008549EB" w:rsidRDefault="008068C4" w14:paraId="7246F45E" w14:textId="77777777">
            <w:pPr>
              <w:rPr>
                <w:rFonts w:ascii="Verdana" w:hAnsi="Verdana"/>
                <w:sz w:val="16"/>
                <w:szCs w:val="16"/>
              </w:rPr>
            </w:pPr>
            <w:r>
              <w:rPr>
                <w:rFonts w:ascii="Verdana" w:hAnsi="Verdana"/>
                <w:sz w:val="16"/>
                <w:szCs w:val="16"/>
              </w:rPr>
              <w:t>Artikel I, onderdeel PPP (</w:t>
            </w:r>
            <w:r w:rsidRPr="002C5EC5">
              <w:rPr>
                <w:rFonts w:ascii="Verdana" w:hAnsi="Verdana"/>
                <w:sz w:val="16"/>
                <w:szCs w:val="16"/>
              </w:rPr>
              <w:t>3:111a.0 Wft</w:t>
            </w:r>
            <w:r>
              <w:rPr>
                <w:rFonts w:ascii="Verdana" w:hAnsi="Verdana"/>
                <w:sz w:val="16"/>
                <w:szCs w:val="16"/>
              </w:rPr>
              <w:t>)</w:t>
            </w:r>
          </w:p>
        </w:tc>
        <w:tc>
          <w:tcPr>
            <w:tcW w:w="1308" w:type="dxa"/>
          </w:tcPr>
          <w:p w:rsidRPr="002C5EC5" w:rsidR="008068C4" w:rsidP="008549EB" w:rsidRDefault="008068C4" w14:paraId="2719A0E1" w14:textId="77777777">
            <w:pPr>
              <w:rPr>
                <w:rFonts w:ascii="Verdana" w:hAnsi="Verdana"/>
                <w:sz w:val="16"/>
                <w:szCs w:val="16"/>
              </w:rPr>
            </w:pPr>
            <w:r w:rsidRPr="002C5EC5">
              <w:rPr>
                <w:rFonts w:ascii="Verdana" w:hAnsi="Verdana"/>
                <w:bCs/>
                <w:sz w:val="16"/>
                <w:szCs w:val="16"/>
              </w:rPr>
              <w:t>Geen</w:t>
            </w:r>
          </w:p>
        </w:tc>
        <w:tc>
          <w:tcPr>
            <w:tcW w:w="1450" w:type="dxa"/>
          </w:tcPr>
          <w:p w:rsidRPr="002C5EC5" w:rsidR="008068C4" w:rsidP="008549EB" w:rsidRDefault="008068C4" w14:paraId="1D3D8C6A" w14:textId="77777777">
            <w:pPr>
              <w:rPr>
                <w:rFonts w:ascii="Verdana" w:hAnsi="Verdana"/>
                <w:sz w:val="16"/>
                <w:szCs w:val="16"/>
              </w:rPr>
            </w:pPr>
          </w:p>
        </w:tc>
      </w:tr>
      <w:tr w:rsidR="008068C4" w:rsidTr="008068C4" w14:paraId="596D60B0" w14:textId="77777777">
        <w:tc>
          <w:tcPr>
            <w:tcW w:w="1564" w:type="dxa"/>
          </w:tcPr>
          <w:p w:rsidRPr="00DD0008" w:rsidR="008068C4" w:rsidP="008549EB" w:rsidRDefault="008068C4" w14:paraId="105E1450" w14:textId="77777777">
            <w:pPr>
              <w:rPr>
                <w:rFonts w:ascii="Verdana" w:hAnsi="Verdana"/>
                <w:sz w:val="16"/>
                <w:szCs w:val="16"/>
              </w:rPr>
            </w:pPr>
          </w:p>
        </w:tc>
        <w:tc>
          <w:tcPr>
            <w:tcW w:w="1525" w:type="dxa"/>
          </w:tcPr>
          <w:p w:rsidRPr="002C5EC5" w:rsidR="008068C4" w:rsidP="008549EB" w:rsidRDefault="008068C4" w14:paraId="043DEEEC" w14:textId="77777777">
            <w:pPr>
              <w:rPr>
                <w:rFonts w:ascii="Verdana" w:hAnsi="Verdana"/>
                <w:sz w:val="16"/>
                <w:szCs w:val="16"/>
              </w:rPr>
            </w:pPr>
          </w:p>
        </w:tc>
        <w:tc>
          <w:tcPr>
            <w:tcW w:w="1540" w:type="dxa"/>
          </w:tcPr>
          <w:p w:rsidRPr="002C5EC5" w:rsidR="008068C4" w:rsidP="008549EB" w:rsidRDefault="008068C4" w14:paraId="57038D81" w14:textId="77777777">
            <w:pPr>
              <w:rPr>
                <w:rFonts w:ascii="Verdana" w:hAnsi="Verdana"/>
                <w:sz w:val="16"/>
                <w:szCs w:val="16"/>
              </w:rPr>
            </w:pPr>
          </w:p>
        </w:tc>
        <w:tc>
          <w:tcPr>
            <w:tcW w:w="1308" w:type="dxa"/>
          </w:tcPr>
          <w:p w:rsidRPr="002C5EC5" w:rsidR="008068C4" w:rsidP="008549EB" w:rsidRDefault="008068C4" w14:paraId="3E58696D" w14:textId="77777777">
            <w:pPr>
              <w:rPr>
                <w:rFonts w:ascii="Verdana" w:hAnsi="Verdana"/>
                <w:sz w:val="16"/>
                <w:szCs w:val="16"/>
              </w:rPr>
            </w:pPr>
          </w:p>
        </w:tc>
        <w:tc>
          <w:tcPr>
            <w:tcW w:w="1450" w:type="dxa"/>
          </w:tcPr>
          <w:p w:rsidRPr="002C5EC5" w:rsidR="008068C4" w:rsidP="008549EB" w:rsidRDefault="008068C4" w14:paraId="60D15316" w14:textId="77777777">
            <w:pPr>
              <w:rPr>
                <w:rFonts w:ascii="Verdana" w:hAnsi="Verdana"/>
                <w:sz w:val="16"/>
                <w:szCs w:val="16"/>
              </w:rPr>
            </w:pPr>
          </w:p>
        </w:tc>
      </w:tr>
      <w:tr w:rsidR="008068C4" w:rsidTr="008068C4" w14:paraId="0C1918B3" w14:textId="77777777">
        <w:tc>
          <w:tcPr>
            <w:tcW w:w="1564" w:type="dxa"/>
            <w:shd w:val="clear" w:color="auto" w:fill="EEECE1" w:themeFill="background2"/>
          </w:tcPr>
          <w:p w:rsidRPr="00DD0008" w:rsidR="008068C4" w:rsidP="008549EB" w:rsidRDefault="008068C4" w14:paraId="542316C7" w14:textId="77777777">
            <w:pPr>
              <w:rPr>
                <w:rFonts w:ascii="Verdana" w:hAnsi="Verdana"/>
                <w:sz w:val="16"/>
                <w:szCs w:val="16"/>
              </w:rPr>
            </w:pPr>
            <w:r>
              <w:rPr>
                <w:rFonts w:ascii="Verdana" w:hAnsi="Verdana"/>
                <w:b/>
                <w:sz w:val="16"/>
                <w:szCs w:val="16"/>
              </w:rPr>
              <w:t>Bepaling in Richtlijn (EU) 2024/2994</w:t>
            </w:r>
          </w:p>
        </w:tc>
        <w:tc>
          <w:tcPr>
            <w:tcW w:w="1525" w:type="dxa"/>
            <w:shd w:val="clear" w:color="auto" w:fill="EEECE1" w:themeFill="background2"/>
          </w:tcPr>
          <w:p w:rsidRPr="002C5EC5" w:rsidR="008068C4" w:rsidP="008549EB" w:rsidRDefault="008068C4" w14:paraId="612DBE23" w14:textId="77777777">
            <w:pPr>
              <w:rPr>
                <w:rFonts w:ascii="Verdana" w:hAnsi="Verdana"/>
                <w:sz w:val="16"/>
                <w:szCs w:val="16"/>
              </w:rPr>
            </w:pPr>
          </w:p>
        </w:tc>
        <w:tc>
          <w:tcPr>
            <w:tcW w:w="1540" w:type="dxa"/>
            <w:shd w:val="clear" w:color="auto" w:fill="EEECE1" w:themeFill="background2"/>
          </w:tcPr>
          <w:p w:rsidR="008068C4" w:rsidP="008549EB" w:rsidRDefault="008068C4" w14:paraId="32E4297F" w14:textId="77777777">
            <w:pPr>
              <w:rPr>
                <w:rFonts w:ascii="Verdana" w:hAnsi="Verdana" w:cs="Times New Roman"/>
                <w:b/>
                <w:sz w:val="16"/>
                <w:szCs w:val="16"/>
                <w:lang w:eastAsia="nl-NL"/>
              </w:rPr>
            </w:pPr>
            <w:r w:rsidRPr="00DD0008">
              <w:rPr>
                <w:rFonts w:ascii="Verdana" w:hAnsi="Verdana" w:cs="Times New Roman"/>
                <w:b/>
                <w:sz w:val="16"/>
                <w:szCs w:val="16"/>
                <w:lang w:eastAsia="nl-NL"/>
              </w:rPr>
              <w:t>Bepaling in implementatie</w:t>
            </w:r>
            <w:r>
              <w:rPr>
                <w:rFonts w:ascii="Verdana" w:hAnsi="Verdana" w:cs="Times New Roman"/>
                <w:b/>
                <w:sz w:val="16"/>
                <w:szCs w:val="16"/>
                <w:lang w:eastAsia="nl-NL"/>
              </w:rPr>
              <w:t>regeling of bestaande regeling</w:t>
            </w:r>
          </w:p>
          <w:p w:rsidRPr="00DD0008" w:rsidR="008068C4" w:rsidP="008549EB" w:rsidRDefault="008068C4" w14:paraId="7618AC60" w14:textId="77777777">
            <w:pPr>
              <w:spacing w:line="100" w:lineRule="exact"/>
              <w:rPr>
                <w:rFonts w:ascii="Verdana" w:hAnsi="Verdana" w:cs="Times New Roman"/>
                <w:b/>
                <w:sz w:val="16"/>
                <w:szCs w:val="16"/>
                <w:lang w:eastAsia="nl-NL"/>
              </w:rPr>
            </w:pPr>
          </w:p>
          <w:p w:rsidR="008068C4" w:rsidP="008549EB" w:rsidRDefault="008068C4" w14:paraId="2B99C468" w14:textId="77777777">
            <w:pPr>
              <w:rPr>
                <w:rFonts w:ascii="Verdana" w:hAnsi="Verdana"/>
                <w:sz w:val="16"/>
                <w:szCs w:val="16"/>
              </w:rPr>
            </w:pPr>
          </w:p>
        </w:tc>
        <w:tc>
          <w:tcPr>
            <w:tcW w:w="1308" w:type="dxa"/>
            <w:shd w:val="clear" w:color="auto" w:fill="EEECE1" w:themeFill="background2"/>
          </w:tcPr>
          <w:p w:rsidRPr="002C5EC5" w:rsidR="008068C4" w:rsidP="008549EB" w:rsidRDefault="008068C4" w14:paraId="4510820D" w14:textId="77777777">
            <w:pPr>
              <w:rPr>
                <w:rFonts w:ascii="Verdana" w:hAnsi="Verdana"/>
                <w:sz w:val="16"/>
                <w:szCs w:val="16"/>
              </w:rPr>
            </w:pPr>
            <w:r w:rsidRPr="00DD0008">
              <w:rPr>
                <w:rFonts w:ascii="Verdana" w:hAnsi="Verdana" w:cs="Times New Roman"/>
                <w:b/>
                <w:sz w:val="16"/>
                <w:szCs w:val="16"/>
                <w:lang w:eastAsia="nl-NL"/>
              </w:rPr>
              <w:t>Omschrijving beleidsruimte</w:t>
            </w:r>
          </w:p>
        </w:tc>
        <w:tc>
          <w:tcPr>
            <w:tcW w:w="1450" w:type="dxa"/>
            <w:shd w:val="clear" w:color="auto" w:fill="EEECE1" w:themeFill="background2"/>
          </w:tcPr>
          <w:p w:rsidRPr="002C5EC5" w:rsidR="008068C4" w:rsidP="008549EB" w:rsidRDefault="008068C4" w14:paraId="255A1660" w14:textId="77777777">
            <w:pPr>
              <w:rPr>
                <w:rFonts w:ascii="Verdana" w:hAnsi="Verdana"/>
                <w:sz w:val="16"/>
                <w:szCs w:val="16"/>
              </w:rPr>
            </w:pPr>
            <w:r w:rsidRPr="00DD0008">
              <w:rPr>
                <w:rFonts w:ascii="Verdana" w:hAnsi="Verdana" w:cs="Times New Roman"/>
                <w:b/>
                <w:sz w:val="16"/>
                <w:szCs w:val="16"/>
                <w:lang w:eastAsia="nl-NL"/>
              </w:rPr>
              <w:t>Toelichting op de keuze(n) bij de invulling van de beleidsruimte</w:t>
            </w:r>
          </w:p>
        </w:tc>
      </w:tr>
      <w:tr w:rsidR="008068C4" w:rsidTr="008068C4" w14:paraId="6844ADFE" w14:textId="77777777">
        <w:tc>
          <w:tcPr>
            <w:tcW w:w="1564" w:type="dxa"/>
          </w:tcPr>
          <w:p w:rsidRPr="00DD0008" w:rsidR="008068C4" w:rsidP="008549EB" w:rsidRDefault="008068C4" w14:paraId="39D54ADE" w14:textId="77777777">
            <w:pPr>
              <w:rPr>
                <w:rFonts w:ascii="Verdana" w:hAnsi="Verdana"/>
                <w:sz w:val="16"/>
                <w:szCs w:val="16"/>
              </w:rPr>
            </w:pPr>
            <w:r>
              <w:rPr>
                <w:rFonts w:ascii="Verdana" w:hAnsi="Verdana"/>
                <w:sz w:val="16"/>
                <w:szCs w:val="16"/>
              </w:rPr>
              <w:t>4</w:t>
            </w:r>
          </w:p>
        </w:tc>
        <w:tc>
          <w:tcPr>
            <w:tcW w:w="1525" w:type="dxa"/>
          </w:tcPr>
          <w:p w:rsidRPr="002C5EC5" w:rsidR="008068C4" w:rsidP="008549EB" w:rsidRDefault="008068C4" w14:paraId="46A5F732" w14:textId="77777777">
            <w:pPr>
              <w:rPr>
                <w:rFonts w:ascii="Verdana" w:hAnsi="Verdana"/>
                <w:sz w:val="16"/>
                <w:szCs w:val="16"/>
              </w:rPr>
            </w:pPr>
          </w:p>
        </w:tc>
        <w:tc>
          <w:tcPr>
            <w:tcW w:w="1540" w:type="dxa"/>
          </w:tcPr>
          <w:p w:rsidR="008068C4" w:rsidP="008549EB" w:rsidRDefault="008068C4" w14:paraId="68091D1E" w14:textId="77777777">
            <w:pPr>
              <w:rPr>
                <w:rFonts w:ascii="Verdana" w:hAnsi="Verdana"/>
                <w:sz w:val="16"/>
                <w:szCs w:val="16"/>
              </w:rPr>
            </w:pPr>
            <w:r w:rsidRPr="002C5EC5">
              <w:rPr>
                <w:rFonts w:ascii="Verdana" w:hAnsi="Verdana"/>
                <w:bCs/>
                <w:sz w:val="16"/>
                <w:szCs w:val="16"/>
              </w:rPr>
              <w:t xml:space="preserve">Artikel </w:t>
            </w:r>
            <w:r>
              <w:rPr>
                <w:rFonts w:ascii="Verdana" w:hAnsi="Verdana"/>
                <w:bCs/>
                <w:sz w:val="16"/>
                <w:szCs w:val="16"/>
              </w:rPr>
              <w:t>V</w:t>
            </w:r>
          </w:p>
        </w:tc>
        <w:tc>
          <w:tcPr>
            <w:tcW w:w="1308" w:type="dxa"/>
          </w:tcPr>
          <w:p w:rsidRPr="002C5EC5" w:rsidR="008068C4" w:rsidP="008549EB" w:rsidRDefault="008068C4" w14:paraId="40AEED94" w14:textId="77777777">
            <w:pPr>
              <w:rPr>
                <w:rFonts w:ascii="Verdana" w:hAnsi="Verdana"/>
                <w:sz w:val="16"/>
                <w:szCs w:val="16"/>
              </w:rPr>
            </w:pPr>
            <w:r w:rsidRPr="002C5EC5">
              <w:rPr>
                <w:rFonts w:ascii="Verdana" w:hAnsi="Verdana"/>
                <w:bCs/>
                <w:sz w:val="16"/>
                <w:szCs w:val="16"/>
              </w:rPr>
              <w:t>Geen</w:t>
            </w:r>
          </w:p>
        </w:tc>
        <w:tc>
          <w:tcPr>
            <w:tcW w:w="1450" w:type="dxa"/>
          </w:tcPr>
          <w:p w:rsidRPr="002C5EC5" w:rsidR="008068C4" w:rsidP="008549EB" w:rsidRDefault="008068C4" w14:paraId="11DD0CE7" w14:textId="77777777">
            <w:pPr>
              <w:rPr>
                <w:rFonts w:ascii="Verdana" w:hAnsi="Verdana"/>
                <w:sz w:val="16"/>
                <w:szCs w:val="16"/>
              </w:rPr>
            </w:pPr>
            <w:r w:rsidRPr="002C5EC5">
              <w:rPr>
                <w:rFonts w:ascii="Verdana" w:hAnsi="Verdana"/>
                <w:bCs/>
                <w:sz w:val="16"/>
                <w:szCs w:val="16"/>
              </w:rPr>
              <w:t>Omzettingstermijn</w:t>
            </w:r>
          </w:p>
        </w:tc>
      </w:tr>
      <w:tr w:rsidR="008068C4" w:rsidTr="008068C4" w14:paraId="1189087F" w14:textId="77777777">
        <w:tc>
          <w:tcPr>
            <w:tcW w:w="1564" w:type="dxa"/>
          </w:tcPr>
          <w:p w:rsidRPr="00DD0008" w:rsidR="008068C4" w:rsidP="008549EB" w:rsidRDefault="008068C4" w14:paraId="2DD3CC54" w14:textId="77777777">
            <w:pPr>
              <w:rPr>
                <w:rFonts w:ascii="Verdana" w:hAnsi="Verdana"/>
                <w:sz w:val="16"/>
                <w:szCs w:val="16"/>
              </w:rPr>
            </w:pPr>
            <w:r>
              <w:rPr>
                <w:rFonts w:ascii="Verdana" w:hAnsi="Verdana"/>
                <w:sz w:val="16"/>
                <w:szCs w:val="16"/>
              </w:rPr>
              <w:t>5</w:t>
            </w:r>
          </w:p>
        </w:tc>
        <w:tc>
          <w:tcPr>
            <w:tcW w:w="1525" w:type="dxa"/>
          </w:tcPr>
          <w:p w:rsidRPr="002C5EC5" w:rsidR="008068C4" w:rsidP="008549EB" w:rsidRDefault="008068C4" w14:paraId="3152914D" w14:textId="77777777">
            <w:pPr>
              <w:rPr>
                <w:rFonts w:ascii="Verdana" w:hAnsi="Verdana"/>
                <w:sz w:val="16"/>
                <w:szCs w:val="16"/>
              </w:rPr>
            </w:pPr>
          </w:p>
        </w:tc>
        <w:tc>
          <w:tcPr>
            <w:tcW w:w="1540" w:type="dxa"/>
          </w:tcPr>
          <w:p w:rsidRPr="002C5EC5" w:rsidR="008068C4" w:rsidP="008549EB" w:rsidRDefault="008068C4" w14:paraId="479D0832" w14:textId="77777777">
            <w:pPr>
              <w:rPr>
                <w:rFonts w:ascii="Verdana" w:hAnsi="Verdana"/>
                <w:sz w:val="16"/>
                <w:szCs w:val="16"/>
              </w:rPr>
            </w:pPr>
            <w:r w:rsidRPr="002C5EC5">
              <w:rPr>
                <w:rFonts w:ascii="Verdana" w:hAnsi="Verdana"/>
                <w:bCs/>
                <w:sz w:val="16"/>
                <w:szCs w:val="16"/>
              </w:rPr>
              <w:t>Behoeft naar zijn aard geen implementatie</w:t>
            </w:r>
          </w:p>
        </w:tc>
        <w:tc>
          <w:tcPr>
            <w:tcW w:w="1308" w:type="dxa"/>
          </w:tcPr>
          <w:p w:rsidRPr="002C5EC5" w:rsidR="008068C4" w:rsidP="008549EB" w:rsidRDefault="008068C4" w14:paraId="6E503C1B" w14:textId="77777777">
            <w:pPr>
              <w:rPr>
                <w:rFonts w:ascii="Verdana" w:hAnsi="Verdana"/>
                <w:sz w:val="16"/>
                <w:szCs w:val="16"/>
              </w:rPr>
            </w:pPr>
            <w:r w:rsidRPr="002C5EC5">
              <w:rPr>
                <w:rFonts w:ascii="Verdana" w:hAnsi="Verdana"/>
                <w:bCs/>
                <w:sz w:val="16"/>
                <w:szCs w:val="16"/>
              </w:rPr>
              <w:t>Geen</w:t>
            </w:r>
          </w:p>
        </w:tc>
        <w:tc>
          <w:tcPr>
            <w:tcW w:w="1450" w:type="dxa"/>
          </w:tcPr>
          <w:p w:rsidRPr="002C5EC5" w:rsidR="008068C4" w:rsidP="008549EB" w:rsidRDefault="008068C4" w14:paraId="171EBEC3" w14:textId="77777777">
            <w:pPr>
              <w:rPr>
                <w:rFonts w:ascii="Verdana" w:hAnsi="Verdana"/>
                <w:sz w:val="16"/>
                <w:szCs w:val="16"/>
              </w:rPr>
            </w:pPr>
            <w:r w:rsidRPr="002C5EC5">
              <w:rPr>
                <w:rFonts w:ascii="Verdana" w:hAnsi="Verdana"/>
                <w:bCs/>
                <w:sz w:val="16"/>
                <w:szCs w:val="16"/>
              </w:rPr>
              <w:t>Inwerkingtredingsbepaling</w:t>
            </w:r>
          </w:p>
        </w:tc>
      </w:tr>
      <w:tr w:rsidR="008068C4" w:rsidTr="008068C4" w14:paraId="6727BE42" w14:textId="77777777">
        <w:tc>
          <w:tcPr>
            <w:tcW w:w="1564" w:type="dxa"/>
          </w:tcPr>
          <w:p w:rsidRPr="00DD0008" w:rsidR="008068C4" w:rsidP="008549EB" w:rsidRDefault="008068C4" w14:paraId="5117B8D1" w14:textId="77777777">
            <w:pPr>
              <w:rPr>
                <w:rFonts w:ascii="Verdana" w:hAnsi="Verdana"/>
                <w:sz w:val="16"/>
                <w:szCs w:val="16"/>
              </w:rPr>
            </w:pPr>
            <w:r>
              <w:rPr>
                <w:rFonts w:ascii="Verdana" w:hAnsi="Verdana"/>
                <w:sz w:val="16"/>
                <w:szCs w:val="16"/>
              </w:rPr>
              <w:t>6</w:t>
            </w:r>
          </w:p>
        </w:tc>
        <w:tc>
          <w:tcPr>
            <w:tcW w:w="1525" w:type="dxa"/>
          </w:tcPr>
          <w:p w:rsidRPr="002C5EC5" w:rsidR="008068C4" w:rsidP="008549EB" w:rsidRDefault="008068C4" w14:paraId="161A0B1C" w14:textId="77777777">
            <w:pPr>
              <w:rPr>
                <w:rFonts w:ascii="Verdana" w:hAnsi="Verdana"/>
                <w:sz w:val="16"/>
                <w:szCs w:val="16"/>
              </w:rPr>
            </w:pPr>
          </w:p>
        </w:tc>
        <w:tc>
          <w:tcPr>
            <w:tcW w:w="1540" w:type="dxa"/>
          </w:tcPr>
          <w:p w:rsidRPr="002C5EC5" w:rsidR="008068C4" w:rsidP="008549EB" w:rsidRDefault="008068C4" w14:paraId="0028FB35" w14:textId="77777777">
            <w:pPr>
              <w:rPr>
                <w:rFonts w:ascii="Verdana" w:hAnsi="Verdana"/>
                <w:sz w:val="16"/>
                <w:szCs w:val="16"/>
              </w:rPr>
            </w:pPr>
            <w:r w:rsidRPr="002C5EC5">
              <w:rPr>
                <w:rFonts w:ascii="Verdana" w:hAnsi="Verdana"/>
                <w:bCs/>
                <w:sz w:val="16"/>
                <w:szCs w:val="16"/>
              </w:rPr>
              <w:t>Behoeft naar zijn aard geen implementatie</w:t>
            </w:r>
          </w:p>
        </w:tc>
        <w:tc>
          <w:tcPr>
            <w:tcW w:w="1308" w:type="dxa"/>
          </w:tcPr>
          <w:p w:rsidRPr="002C5EC5" w:rsidR="008068C4" w:rsidP="008549EB" w:rsidRDefault="008068C4" w14:paraId="3F39BF0D" w14:textId="77777777">
            <w:pPr>
              <w:rPr>
                <w:rFonts w:ascii="Verdana" w:hAnsi="Verdana"/>
                <w:sz w:val="16"/>
                <w:szCs w:val="16"/>
              </w:rPr>
            </w:pPr>
            <w:r w:rsidRPr="002C5EC5">
              <w:rPr>
                <w:rFonts w:ascii="Verdana" w:hAnsi="Verdana"/>
                <w:bCs/>
                <w:sz w:val="16"/>
                <w:szCs w:val="16"/>
              </w:rPr>
              <w:t>Geen</w:t>
            </w:r>
          </w:p>
        </w:tc>
        <w:tc>
          <w:tcPr>
            <w:tcW w:w="1450" w:type="dxa"/>
          </w:tcPr>
          <w:p w:rsidRPr="002C5EC5" w:rsidR="008068C4" w:rsidP="008549EB" w:rsidRDefault="008068C4" w14:paraId="2563224E" w14:textId="77777777">
            <w:pPr>
              <w:rPr>
                <w:rFonts w:ascii="Verdana" w:hAnsi="Verdana"/>
                <w:sz w:val="16"/>
                <w:szCs w:val="16"/>
              </w:rPr>
            </w:pPr>
            <w:r w:rsidRPr="002C5EC5">
              <w:rPr>
                <w:rFonts w:ascii="Verdana" w:hAnsi="Verdana"/>
                <w:bCs/>
                <w:sz w:val="16"/>
                <w:szCs w:val="16"/>
              </w:rPr>
              <w:t>Adresseringsbepaling</w:t>
            </w:r>
          </w:p>
        </w:tc>
      </w:tr>
    </w:tbl>
    <w:p w:rsidRPr="007021E8" w:rsidR="002C5EC5" w:rsidRDefault="002C5EC5" w14:paraId="7B7C7F50" w14:textId="77777777">
      <w:pPr>
        <w:widowControl w:val="0"/>
        <w:tabs>
          <w:tab w:val="num" w:pos="720"/>
        </w:tabs>
        <w:spacing w:line="240" w:lineRule="atLeast"/>
        <w:rPr>
          <w:rFonts w:cs="Arial"/>
          <w:sz w:val="18"/>
          <w:szCs w:val="18"/>
        </w:rPr>
      </w:pPr>
    </w:p>
    <w:sectPr w:rsidRPr="007021E8" w:rsidR="002C5EC5" w:rsidSect="00DD0008">
      <w:footerReference w:type="default" r:id="rId8"/>
      <w:type w:val="continuous"/>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19304" w14:textId="77777777" w:rsidR="007E01CE" w:rsidRDefault="007E01CE" w:rsidP="00CA7D6D">
      <w:r>
        <w:separator/>
      </w:r>
    </w:p>
  </w:endnote>
  <w:endnote w:type="continuationSeparator" w:id="0">
    <w:p w14:paraId="275CB329" w14:textId="77777777" w:rsidR="007E01CE" w:rsidRDefault="007E01CE" w:rsidP="00CA7D6D">
      <w:r>
        <w:continuationSeparator/>
      </w:r>
    </w:p>
  </w:endnote>
  <w:endnote w:type="continuationNotice" w:id="1">
    <w:p w14:paraId="233222D5" w14:textId="77777777" w:rsidR="007E01CE" w:rsidRDefault="007E0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7B38" w14:textId="77777777" w:rsidR="00EA444F" w:rsidRPr="00DB6230" w:rsidRDefault="00D60350">
    <w:pPr>
      <w:pStyle w:val="Voettekst"/>
      <w:jc w:val="center"/>
      <w:rPr>
        <w:sz w:val="18"/>
      </w:rPr>
    </w:pPr>
    <w:r w:rsidRPr="00DB6230">
      <w:rPr>
        <w:sz w:val="18"/>
      </w:rPr>
      <w:fldChar w:fldCharType="begin"/>
    </w:r>
    <w:r w:rsidR="00EA444F" w:rsidRPr="00DB6230">
      <w:rPr>
        <w:sz w:val="18"/>
      </w:rPr>
      <w:instrText xml:space="preserve"> PAGE   \* MERGEFORMAT </w:instrText>
    </w:r>
    <w:r w:rsidRPr="00DB6230">
      <w:rPr>
        <w:sz w:val="18"/>
      </w:rPr>
      <w:fldChar w:fldCharType="separate"/>
    </w:r>
    <w:r w:rsidR="00A66C29">
      <w:rPr>
        <w:noProof/>
        <w:sz w:val="18"/>
      </w:rPr>
      <w:t>1</w:t>
    </w:r>
    <w:r w:rsidRPr="00DB6230">
      <w:rPr>
        <w:sz w:val="18"/>
      </w:rPr>
      <w:fldChar w:fldCharType="end"/>
    </w:r>
  </w:p>
  <w:p w14:paraId="7168CFF5" w14:textId="77777777" w:rsidR="00EA444F" w:rsidRDefault="00EA44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FCE5E" w14:textId="77777777" w:rsidR="007E01CE" w:rsidRDefault="007E01CE" w:rsidP="00CA7D6D">
      <w:r>
        <w:separator/>
      </w:r>
    </w:p>
  </w:footnote>
  <w:footnote w:type="continuationSeparator" w:id="0">
    <w:p w14:paraId="7F36A3EB" w14:textId="77777777" w:rsidR="007E01CE" w:rsidRDefault="007E01CE" w:rsidP="00CA7D6D">
      <w:r>
        <w:continuationSeparator/>
      </w:r>
    </w:p>
  </w:footnote>
  <w:footnote w:type="continuationNotice" w:id="1">
    <w:p w14:paraId="7852F7A1" w14:textId="77777777" w:rsidR="007E01CE" w:rsidRDefault="007E01CE"/>
  </w:footnote>
  <w:footnote w:id="2">
    <w:p w14:paraId="5597360E" w14:textId="77777777" w:rsidR="008D3F85" w:rsidRPr="00EE3828" w:rsidRDefault="008D3F85" w:rsidP="008D3F85">
      <w:pPr>
        <w:pStyle w:val="Voetnoottekst"/>
        <w:rPr>
          <w:szCs w:val="16"/>
        </w:rPr>
      </w:pPr>
      <w:r w:rsidRPr="00EE3828">
        <w:rPr>
          <w:rStyle w:val="Voetnootmarkering"/>
          <w:szCs w:val="16"/>
        </w:rPr>
        <w:footnoteRef/>
      </w:r>
      <w:r w:rsidRPr="00EE3828">
        <w:rPr>
          <w:szCs w:val="16"/>
        </w:rPr>
        <w:t xml:space="preserve"> Richtlijn 2013/36/EU van het Europees Parlement en de Raad van 26 juni 2013 betreffende toegang tot het bedrijf van kredietinstellingen en het prudentieel toezicht op kredietinstellingen en beleggingsondernemingen, tot wijziging van Richtlijn 2002/87/EG en tot intrekking van de Richtlijnen 2006/48/EG en 2006/49/EG.</w:t>
      </w:r>
    </w:p>
  </w:footnote>
  <w:footnote w:id="3">
    <w:p w14:paraId="6D6FFF56" w14:textId="3BFAEE99" w:rsidR="008D3F85" w:rsidRPr="00EE3828" w:rsidRDefault="008D3F85">
      <w:pPr>
        <w:pStyle w:val="Voetnoottekst"/>
        <w:rPr>
          <w:szCs w:val="16"/>
        </w:rPr>
      </w:pPr>
      <w:r w:rsidRPr="00EE3828">
        <w:rPr>
          <w:rStyle w:val="Voetnootmarkering"/>
          <w:szCs w:val="16"/>
        </w:rPr>
        <w:footnoteRef/>
      </w:r>
      <w:r w:rsidRPr="00EE3828">
        <w:rPr>
          <w:szCs w:val="16"/>
        </w:rPr>
        <w:t xml:space="preserve"> Naar de Engelse benaming Capital Requirements Directive.</w:t>
      </w:r>
      <w:r w:rsidR="00955D69">
        <w:rPr>
          <w:szCs w:val="16"/>
        </w:rPr>
        <w:t xml:space="preserve"> Als de term CRD gebruikt wordt in de tekst, dan wordt daarmee gedoeld op de geconsolideerde versie van de CRD, inclusief de wijzigingen uit de richtlijn.</w:t>
      </w:r>
    </w:p>
  </w:footnote>
  <w:footnote w:id="4">
    <w:p w14:paraId="4723928D" w14:textId="77777777" w:rsidR="008D3F85" w:rsidRPr="00EE3828" w:rsidRDefault="008D3F85" w:rsidP="008D3F85">
      <w:pPr>
        <w:pStyle w:val="Voetnoottekst"/>
        <w:rPr>
          <w:szCs w:val="16"/>
        </w:rPr>
      </w:pPr>
      <w:r w:rsidRPr="00EE3828">
        <w:rPr>
          <w:rStyle w:val="Voetnootmarkering"/>
          <w:szCs w:val="16"/>
        </w:rPr>
        <w:footnoteRef/>
      </w:r>
      <w:r w:rsidRPr="00EE3828">
        <w:rPr>
          <w:szCs w:val="16"/>
        </w:rPr>
        <w:t xml:space="preserve"> Verordening (EU) nr. 575/2013 van het Europees Parlement en de Raad van 26 juni 2013 betreffende prudentiële vereisten voor kredietinstellingen en tot wijziging van Verordening (EU) nr. 648/2012.</w:t>
      </w:r>
    </w:p>
  </w:footnote>
  <w:footnote w:id="5">
    <w:p w14:paraId="2CB3C2D2" w14:textId="613A41E5" w:rsidR="001E56AB" w:rsidRPr="00955D69" w:rsidRDefault="001E56AB" w:rsidP="001E56AB">
      <w:pPr>
        <w:pStyle w:val="Voetnoottekst"/>
        <w:rPr>
          <w:szCs w:val="16"/>
        </w:rPr>
      </w:pPr>
      <w:r w:rsidRPr="00EE3828">
        <w:rPr>
          <w:rStyle w:val="Voetnootmarkering"/>
          <w:szCs w:val="16"/>
        </w:rPr>
        <w:footnoteRef/>
      </w:r>
      <w:r w:rsidRPr="00EE3828">
        <w:rPr>
          <w:szCs w:val="16"/>
          <w:lang w:val="en-GB"/>
        </w:rPr>
        <w:t xml:space="preserve"> Naar de Engelse benaming Capital Requirements Regulation.</w:t>
      </w:r>
      <w:r w:rsidR="00955D69" w:rsidRPr="00955D69">
        <w:rPr>
          <w:szCs w:val="16"/>
          <w:lang w:val="en-GB"/>
        </w:rPr>
        <w:t xml:space="preserve"> </w:t>
      </w:r>
      <w:r w:rsidR="00955D69">
        <w:rPr>
          <w:szCs w:val="16"/>
        </w:rPr>
        <w:t>Als de term CRR gebruikt wordt in de tekst, dan wordt daarmee gedoeld op de geconsolideerde versie van de CRR, inclusief de wijzigingen uit de verordening.</w:t>
      </w:r>
    </w:p>
  </w:footnote>
  <w:footnote w:id="6">
    <w:p w14:paraId="75DBF5FB" w14:textId="29D0653B" w:rsidR="005B3D43" w:rsidRPr="00EE3828" w:rsidRDefault="005B3D43">
      <w:pPr>
        <w:pStyle w:val="Voetnoottekst"/>
        <w:rPr>
          <w:szCs w:val="16"/>
        </w:rPr>
      </w:pPr>
      <w:r w:rsidRPr="00EE3828">
        <w:rPr>
          <w:rStyle w:val="Voetnootmarkering"/>
          <w:szCs w:val="16"/>
        </w:rPr>
        <w:footnoteRef/>
      </w:r>
      <w:r w:rsidRPr="00EE3828">
        <w:rPr>
          <w:szCs w:val="16"/>
        </w:rPr>
        <w:t xml:space="preserve"> </w:t>
      </w:r>
      <w:r w:rsidR="00E24D85">
        <w:rPr>
          <w:szCs w:val="16"/>
        </w:rPr>
        <w:t>Dit zijn beleggingsondernemingen onder de verordening kapitaalvereisten zoals gedefinieerd in artikel 1:1 Wft. Zie voetnoot 8 voor meer toelichting.</w:t>
      </w:r>
    </w:p>
  </w:footnote>
  <w:footnote w:id="7">
    <w:p w14:paraId="5F50AACF" w14:textId="77777777" w:rsidR="001E09D2" w:rsidRPr="00EE3828" w:rsidRDefault="001E09D2" w:rsidP="001E09D2">
      <w:pPr>
        <w:pStyle w:val="Voetnoottekst"/>
        <w:rPr>
          <w:szCs w:val="16"/>
        </w:rPr>
      </w:pPr>
      <w:r w:rsidRPr="00EE3828">
        <w:rPr>
          <w:rStyle w:val="Voetnootmarkering"/>
          <w:szCs w:val="16"/>
        </w:rPr>
        <w:footnoteRef/>
      </w:r>
      <w:r w:rsidRPr="00EE3828">
        <w:rPr>
          <w:szCs w:val="16"/>
        </w:rPr>
        <w:t xml:space="preserve"> Verordening (EU) 2019/2033 van het Europees Parlement en de Raad van 27 november 2019 betreffende prudentiële vereisten voor beleggingsondernemingen en tot wijziging van Verordeningen (EU) nr. 1093/2010, (EU) nr. 575/2013, (EU) nr. 600/2014 en (EU) nr. 806/2014.</w:t>
      </w:r>
    </w:p>
  </w:footnote>
  <w:footnote w:id="8">
    <w:p w14:paraId="697F978B" w14:textId="0F053587" w:rsidR="001E09D2" w:rsidRPr="00EE3828" w:rsidRDefault="001E09D2">
      <w:pPr>
        <w:pStyle w:val="Voetnoottekst"/>
        <w:rPr>
          <w:szCs w:val="16"/>
        </w:rPr>
      </w:pPr>
      <w:r w:rsidRPr="00EE3828">
        <w:rPr>
          <w:rStyle w:val="Voetnootmarkering"/>
          <w:szCs w:val="16"/>
        </w:rPr>
        <w:footnoteRef/>
      </w:r>
      <w:r w:rsidRPr="00EE3828">
        <w:rPr>
          <w:szCs w:val="16"/>
        </w:rPr>
        <w:t xml:space="preserve"> Richtlijn (EU) 2019/2034 van het Europees Parlement en de Raad van 27 november 2019 betreffende het prudentiële toezicht op beleggingsondernemingen en tot wijziging van Richtlijnen 2002/87/EG, 2009/65/EG, 2011/61/EU, 2013/36/EU, 2014/59/EU en 2014/65/EU.</w:t>
      </w:r>
    </w:p>
  </w:footnote>
  <w:footnote w:id="9">
    <w:p w14:paraId="0745AF0F" w14:textId="057B3AFC" w:rsidR="001E56AB" w:rsidRPr="00EE3828" w:rsidRDefault="001E56AB" w:rsidP="001E56AB">
      <w:pPr>
        <w:pStyle w:val="Voetnoottekst"/>
        <w:rPr>
          <w:szCs w:val="16"/>
        </w:rPr>
      </w:pPr>
      <w:r w:rsidRPr="00EE3828">
        <w:rPr>
          <w:rStyle w:val="Voetnootmarkering"/>
          <w:szCs w:val="16"/>
        </w:rPr>
        <w:footnoteRef/>
      </w:r>
      <w:r w:rsidRPr="00EE3828">
        <w:rPr>
          <w:szCs w:val="16"/>
        </w:rPr>
        <w:t xml:space="preserve"> </w:t>
      </w:r>
      <w:r w:rsidR="001E09D2" w:rsidRPr="00EE3828">
        <w:rPr>
          <w:szCs w:val="16"/>
        </w:rPr>
        <w:t>De afkortingen zien op de Engelse benaming voor de verordening</w:t>
      </w:r>
      <w:r w:rsidRPr="00EE3828">
        <w:rPr>
          <w:szCs w:val="16"/>
        </w:rPr>
        <w:t xml:space="preserve"> (Investment Firm Regulation) en </w:t>
      </w:r>
      <w:r w:rsidR="001E09D2" w:rsidRPr="00EE3828">
        <w:rPr>
          <w:szCs w:val="16"/>
        </w:rPr>
        <w:t>de r</w:t>
      </w:r>
      <w:r w:rsidRPr="00EE3828">
        <w:rPr>
          <w:szCs w:val="16"/>
        </w:rPr>
        <w:t>ichtlijn (Investment Firm Directive). Zie voor meer toelichting over dit kader Kamerstukken II, 2020/21, 35783, nr. 3.</w:t>
      </w:r>
      <w:r w:rsidR="00160730" w:rsidRPr="00EE3828">
        <w:rPr>
          <w:szCs w:val="16"/>
        </w:rPr>
        <w:t xml:space="preserve"> </w:t>
      </w:r>
      <w:r w:rsidR="003D50F6" w:rsidRPr="00EE3828">
        <w:rPr>
          <w:szCs w:val="16"/>
        </w:rPr>
        <w:t>De beleggingsondernemingen die op grond van artikel 1, tweede of vijfde lid, IFR onder het regime van de CRR/CRD vallen, zijn beleggingsondernemingen die de diensten 3 (financiële leasing) of 6 (verlenen van garanties en stellen van borgtochten) uit Bijlage I van de CRD verlenen, en een omvang van € 15 m</w:t>
      </w:r>
      <w:r w:rsidR="002F2727" w:rsidRPr="00EE3828">
        <w:rPr>
          <w:szCs w:val="16"/>
        </w:rPr>
        <w:t>ilja</w:t>
      </w:r>
      <w:r w:rsidR="003D50F6" w:rsidRPr="00EE3828">
        <w:rPr>
          <w:szCs w:val="16"/>
        </w:rPr>
        <w:t>rd geconsolideerde activa of meer hebben, of zich in een groep bevinden die die omvang heeft bereikt. Ook is het mogelijk dat de toezichthouder op grond van artikel 5 IFD (geïmplementeerd in artikel 3:4a Wft</w:t>
      </w:r>
      <w:r w:rsidR="00E25820" w:rsidRPr="00EE3828">
        <w:rPr>
          <w:szCs w:val="16"/>
        </w:rPr>
        <w:t>)</w:t>
      </w:r>
      <w:r w:rsidR="003D50F6" w:rsidRPr="00EE3828">
        <w:rPr>
          <w:szCs w:val="16"/>
        </w:rPr>
        <w:t xml:space="preserve"> besluit dat het CRR/CRD regime van toepassing is op de beleggingsonderneming.</w:t>
      </w:r>
      <w:r w:rsidR="00E24D85">
        <w:rPr>
          <w:szCs w:val="16"/>
        </w:rPr>
        <w:t xml:space="preserve"> Dit worden de ‘beleggingsondernemingen onder de verordening kapitaalvereisten’ genoemd.</w:t>
      </w:r>
      <w:r w:rsidR="003D50F6" w:rsidRPr="00EE3828">
        <w:rPr>
          <w:szCs w:val="16"/>
        </w:rPr>
        <w:t xml:space="preserve"> Hierna wordt omwille van de eenvoud </w:t>
      </w:r>
      <w:r w:rsidR="00E24D85">
        <w:rPr>
          <w:szCs w:val="16"/>
        </w:rPr>
        <w:t xml:space="preserve">en het feit dat er op dit moment geen beleggingsondernemingen zijn die onder die definitie vallen </w:t>
      </w:r>
      <w:r w:rsidR="003D50F6" w:rsidRPr="00EE3828">
        <w:rPr>
          <w:szCs w:val="16"/>
        </w:rPr>
        <w:t xml:space="preserve">alleen gesproken </w:t>
      </w:r>
      <w:r w:rsidR="00E24D85">
        <w:rPr>
          <w:szCs w:val="16"/>
        </w:rPr>
        <w:t xml:space="preserve">in het algemene deel van de memorie van toelichting </w:t>
      </w:r>
      <w:r w:rsidR="003D50F6" w:rsidRPr="00EE3828">
        <w:rPr>
          <w:szCs w:val="16"/>
        </w:rPr>
        <w:t>over banken voor wie nieuwe regels gelden</w:t>
      </w:r>
      <w:r w:rsidR="005B3D43" w:rsidRPr="00EE3828">
        <w:rPr>
          <w:szCs w:val="16"/>
        </w:rPr>
        <w:t xml:space="preserve"> tenzij expliciet vermeld</w:t>
      </w:r>
      <w:r w:rsidR="003D50F6" w:rsidRPr="00EE3828">
        <w:rPr>
          <w:szCs w:val="16"/>
        </w:rPr>
        <w:t>.</w:t>
      </w:r>
    </w:p>
  </w:footnote>
  <w:footnote w:id="10">
    <w:p w14:paraId="3E1EEFA5" w14:textId="69CA72A8" w:rsidR="00EE3828" w:rsidRPr="00EE3828" w:rsidRDefault="00EE3828">
      <w:pPr>
        <w:pStyle w:val="Voetnoottekst"/>
        <w:rPr>
          <w:szCs w:val="16"/>
        </w:rPr>
      </w:pPr>
      <w:r w:rsidRPr="00EE3828">
        <w:rPr>
          <w:rStyle w:val="Voetnootmarkering"/>
          <w:szCs w:val="16"/>
        </w:rPr>
        <w:footnoteRef/>
      </w:r>
      <w:r w:rsidRPr="00EE3828">
        <w:rPr>
          <w:szCs w:val="16"/>
        </w:rPr>
        <w:t xml:space="preserve"> Zie hiervoor tevens artikel 1:1a Wft en de toelichting daarbij. Verwijzingen naar de artikelen 131 en 133 CRD zijn te vinden in de artikelen 105c en 105e van het Besluit prudentiële regels (Bpr).</w:t>
      </w:r>
    </w:p>
  </w:footnote>
  <w:footnote w:id="11">
    <w:p w14:paraId="175991D7" w14:textId="6430E0CC" w:rsidR="001E56AB" w:rsidRPr="00EE3828" w:rsidRDefault="001E56AB" w:rsidP="001E56AB">
      <w:pPr>
        <w:pStyle w:val="Voetnoottekst"/>
        <w:rPr>
          <w:szCs w:val="16"/>
        </w:rPr>
      </w:pPr>
      <w:r w:rsidRPr="00EE3828">
        <w:rPr>
          <w:rStyle w:val="Voetnootmarkering"/>
          <w:szCs w:val="16"/>
        </w:rPr>
        <w:footnoteRef/>
      </w:r>
      <w:r w:rsidRPr="00EE3828">
        <w:rPr>
          <w:szCs w:val="16"/>
        </w:rPr>
        <w:t xml:space="preserve"> </w:t>
      </w:r>
      <w:r w:rsidR="00910B20" w:rsidRPr="00EE3828">
        <w:rPr>
          <w:szCs w:val="16"/>
        </w:rPr>
        <w:t xml:space="preserve">Zie </w:t>
      </w:r>
      <w:r w:rsidR="002E5D38" w:rsidRPr="002E5D38">
        <w:rPr>
          <w:szCs w:val="16"/>
        </w:rPr>
        <w:t>https://finance.ec.europa.eu/news/commission-proposes-postpone-one-additional-year-market-risk-prudential-requirements-under-basel-iii-2025-06-12_en</w:t>
      </w:r>
      <w:r w:rsidR="00910B20" w:rsidRPr="00EE3828">
        <w:rPr>
          <w:szCs w:val="16"/>
        </w:rPr>
        <w:t>.</w:t>
      </w:r>
    </w:p>
  </w:footnote>
  <w:footnote w:id="12">
    <w:p w14:paraId="5595C07A" w14:textId="371E7B39" w:rsidR="00661413" w:rsidRPr="00EE3828" w:rsidRDefault="00661413" w:rsidP="000F68DF">
      <w:pPr>
        <w:pStyle w:val="Voetnoottekst"/>
        <w:rPr>
          <w:szCs w:val="16"/>
        </w:rPr>
      </w:pPr>
      <w:r w:rsidRPr="00EE3828">
        <w:rPr>
          <w:rStyle w:val="Voetnootmarkering"/>
          <w:szCs w:val="16"/>
        </w:rPr>
        <w:footnoteRef/>
      </w:r>
      <w:r w:rsidRPr="00EE3828">
        <w:rPr>
          <w:szCs w:val="16"/>
        </w:rPr>
        <w:t xml:space="preserve"> </w:t>
      </w:r>
      <w:r w:rsidR="000F68DF" w:rsidRPr="00EE3828">
        <w:rPr>
          <w:szCs w:val="16"/>
        </w:rPr>
        <w:t>Richtlijn (EU) 2024/2994 van het Europees Parlement en de Raad van 27 november 2024 tot wijziging van de Richtlijnen 2009/65/EG, 2013/36/EU en (EU) 2019/2034 wat betreft de behandeling van het concentratierisico dat voortvloeit uit blootstellingen aan centrale tegenpartijen en het risico van tegenpartijen bij centraal geclearde derivatentransacties.</w:t>
      </w:r>
    </w:p>
  </w:footnote>
  <w:footnote w:id="13">
    <w:p w14:paraId="133EDFE3" w14:textId="77777777" w:rsidR="000F68DF" w:rsidRPr="00EE3828" w:rsidRDefault="000F68DF" w:rsidP="000F68DF">
      <w:pPr>
        <w:pStyle w:val="Voetnoottekst"/>
        <w:rPr>
          <w:szCs w:val="16"/>
        </w:rPr>
      </w:pPr>
      <w:r w:rsidRPr="00EE3828">
        <w:rPr>
          <w:rStyle w:val="Voetnootmarkering"/>
          <w:szCs w:val="16"/>
        </w:rPr>
        <w:footnoteRef/>
      </w:r>
      <w:r w:rsidRPr="00EE3828">
        <w:rPr>
          <w:szCs w:val="16"/>
        </w:rPr>
        <w:t xml:space="preserve"> Verordening (EU) 2024/2987 van het Europees Parlement en de Raad van 27 november 2024 tot wijziging van de Verordeningen (EU) nr. 648/2012, (EU) nr. 575/2013 en (EU) 2017/1131 voor wat betreft maatregelen ter beperking van buitensporige blootstellingen aan centrale tegenpartijen uit derde landen en ter verbetering van de efficiëntie van de clearingmarkten in de Unie.</w:t>
      </w:r>
    </w:p>
  </w:footnote>
  <w:footnote w:id="14">
    <w:p w14:paraId="7BC65132" w14:textId="4ABFCEBA" w:rsidR="006E289B" w:rsidRPr="003D4DE8" w:rsidRDefault="006E289B" w:rsidP="006E289B">
      <w:pPr>
        <w:pStyle w:val="Voetnoottekst"/>
        <w:rPr>
          <w:szCs w:val="16"/>
        </w:rPr>
      </w:pPr>
      <w:r w:rsidRPr="00EE3828">
        <w:rPr>
          <w:rStyle w:val="Voetnootmarkering"/>
          <w:szCs w:val="16"/>
        </w:rPr>
        <w:footnoteRef/>
      </w:r>
      <w:r w:rsidRPr="003D4DE8">
        <w:rPr>
          <w:szCs w:val="16"/>
        </w:rPr>
        <w:t xml:space="preserve"> </w:t>
      </w:r>
      <w:hyperlink r:id="rId1" w:history="1">
        <w:r w:rsidR="003D4DE8" w:rsidRPr="003D4DE8">
          <w:rPr>
            <w:rStyle w:val="Hyperlink"/>
            <w:color w:val="auto"/>
            <w:szCs w:val="16"/>
            <w:u w:val="none"/>
          </w:rPr>
          <w:t>https://www.bis.org/bcbs/history.htm</w:t>
        </w:r>
      </w:hyperlink>
      <w:r w:rsidR="003D4DE8">
        <w:rPr>
          <w:rStyle w:val="Hyperlink"/>
          <w:color w:val="auto"/>
          <w:szCs w:val="16"/>
          <w:u w:val="none"/>
        </w:rPr>
        <w:t>.</w:t>
      </w:r>
    </w:p>
  </w:footnote>
  <w:footnote w:id="15">
    <w:p w14:paraId="53FC20C5" w14:textId="30A8B48B" w:rsidR="008D3F85" w:rsidRPr="00EE3828" w:rsidRDefault="008D3F85">
      <w:pPr>
        <w:pStyle w:val="Voetnoottekst"/>
        <w:rPr>
          <w:szCs w:val="16"/>
        </w:rPr>
      </w:pPr>
      <w:r w:rsidRPr="00EE3828">
        <w:rPr>
          <w:rStyle w:val="Voetnootmarkering"/>
          <w:szCs w:val="16"/>
        </w:rPr>
        <w:footnoteRef/>
      </w:r>
      <w:r w:rsidRPr="00EE3828">
        <w:rPr>
          <w:szCs w:val="16"/>
        </w:rPr>
        <w:t xml:space="preserve"> Pakket genoemd omdat hierin de 3</w:t>
      </w:r>
      <w:r w:rsidRPr="00EE3828">
        <w:rPr>
          <w:szCs w:val="16"/>
          <w:vertAlign w:val="superscript"/>
        </w:rPr>
        <w:t>e</w:t>
      </w:r>
      <w:r w:rsidRPr="00EE3828">
        <w:rPr>
          <w:szCs w:val="16"/>
        </w:rPr>
        <w:t xml:space="preserve"> wijziging van de </w:t>
      </w:r>
      <w:r w:rsidR="009A3FBB" w:rsidRPr="00EE3828">
        <w:rPr>
          <w:szCs w:val="16"/>
        </w:rPr>
        <w:t>CRD</w:t>
      </w:r>
      <w:r w:rsidRPr="00EE3828">
        <w:rPr>
          <w:szCs w:val="16"/>
        </w:rPr>
        <w:t xml:space="preserve"> (Richtlijn 2013/36/EU) en de (basisversie van de) </w:t>
      </w:r>
      <w:r w:rsidR="009A3FBB" w:rsidRPr="00EE3828">
        <w:rPr>
          <w:szCs w:val="16"/>
        </w:rPr>
        <w:t>CRR</w:t>
      </w:r>
      <w:r w:rsidRPr="00EE3828">
        <w:rPr>
          <w:szCs w:val="16"/>
        </w:rPr>
        <w:t xml:space="preserve"> (Verordening (EU) nr. 575/2013) als 1 pakket gepresenteerd werden.</w:t>
      </w:r>
    </w:p>
  </w:footnote>
  <w:footnote w:id="16">
    <w:p w14:paraId="382EECE0" w14:textId="25127328" w:rsidR="008D3F85" w:rsidRPr="00EE3828" w:rsidRDefault="008D3F85">
      <w:pPr>
        <w:pStyle w:val="Voetnoottekst"/>
        <w:rPr>
          <w:szCs w:val="16"/>
        </w:rPr>
      </w:pPr>
      <w:r w:rsidRPr="00EE3828">
        <w:rPr>
          <w:rStyle w:val="Voetnootmarkering"/>
          <w:szCs w:val="16"/>
        </w:rPr>
        <w:footnoteRef/>
      </w:r>
      <w:r w:rsidRPr="00EE3828">
        <w:rPr>
          <w:szCs w:val="16"/>
        </w:rPr>
        <w:t xml:space="preserve"> Verordening (EU) nr. 1024/2013 van de Raad van 15 oktober 2013 waarbij aan de Europese Centrale Bank specifieke taken worden opgedragen betreffende het beleid inzake het prudentieel toezicht op kredietinstellingen.</w:t>
      </w:r>
    </w:p>
  </w:footnote>
  <w:footnote w:id="17">
    <w:p w14:paraId="0236B36F" w14:textId="10051480" w:rsidR="00C23632" w:rsidRPr="00EE3828" w:rsidRDefault="00C23632">
      <w:pPr>
        <w:pStyle w:val="Voetnoottekst"/>
        <w:rPr>
          <w:szCs w:val="16"/>
        </w:rPr>
      </w:pPr>
      <w:r w:rsidRPr="00EE3828">
        <w:rPr>
          <w:rStyle w:val="Voetnootmarkering"/>
          <w:szCs w:val="16"/>
        </w:rPr>
        <w:footnoteRef/>
      </w:r>
      <w:r w:rsidRPr="00EE3828">
        <w:rPr>
          <w:szCs w:val="16"/>
        </w:rPr>
        <w:t xml:space="preserve"> Zie voor meer toelichting over het GTM de memorie van toelichting bij de uitvoeringswet verordening bankentoezicht. Kamerstukken II 2014/15, 34049, nr. 3</w:t>
      </w:r>
    </w:p>
  </w:footnote>
  <w:footnote w:id="18">
    <w:p w14:paraId="752CBAEC" w14:textId="5AFB273F" w:rsidR="00C02026" w:rsidRPr="00EE3828" w:rsidRDefault="00C02026">
      <w:pPr>
        <w:pStyle w:val="Voetnoottekst"/>
        <w:rPr>
          <w:szCs w:val="16"/>
        </w:rPr>
      </w:pPr>
      <w:r w:rsidRPr="00EE3828">
        <w:rPr>
          <w:rStyle w:val="Voetnootmarkering"/>
          <w:szCs w:val="16"/>
        </w:rPr>
        <w:footnoteRef/>
      </w:r>
      <w:r w:rsidRPr="00EE3828">
        <w:rPr>
          <w:szCs w:val="16"/>
        </w:rPr>
        <w:t xml:space="preserve"> </w:t>
      </w:r>
      <w:r w:rsidR="00460958" w:rsidRPr="00EE3828">
        <w:rPr>
          <w:szCs w:val="16"/>
        </w:rPr>
        <w:t>Kamerstukken II 2013/14, 33849, nr. 3.</w:t>
      </w:r>
    </w:p>
  </w:footnote>
  <w:footnote w:id="19">
    <w:p w14:paraId="24E4C2C6" w14:textId="09C82563" w:rsidR="008D3F85" w:rsidRPr="00EE3828" w:rsidRDefault="008D3F85">
      <w:pPr>
        <w:pStyle w:val="Voetnoottekst"/>
        <w:rPr>
          <w:szCs w:val="16"/>
        </w:rPr>
      </w:pPr>
      <w:r w:rsidRPr="00EE3828">
        <w:rPr>
          <w:rStyle w:val="Voetnootmarkering"/>
          <w:szCs w:val="16"/>
        </w:rPr>
        <w:footnoteRef/>
      </w:r>
      <w:r w:rsidRPr="00EE3828">
        <w:rPr>
          <w:szCs w:val="16"/>
        </w:rPr>
        <w:t xml:space="preserve"> Dit pakket bevatte naast de 4</w:t>
      </w:r>
      <w:r w:rsidRPr="00EE3828">
        <w:rPr>
          <w:szCs w:val="16"/>
          <w:vertAlign w:val="superscript"/>
        </w:rPr>
        <w:t>e</w:t>
      </w:r>
      <w:r w:rsidRPr="00EE3828">
        <w:rPr>
          <w:szCs w:val="16"/>
        </w:rPr>
        <w:t xml:space="preserve"> wijziging van de </w:t>
      </w:r>
      <w:r w:rsidR="009A3FBB" w:rsidRPr="00EE3828">
        <w:rPr>
          <w:szCs w:val="16"/>
        </w:rPr>
        <w:t>CRD</w:t>
      </w:r>
      <w:r w:rsidRPr="00EE3828">
        <w:rPr>
          <w:szCs w:val="16"/>
        </w:rPr>
        <w:t xml:space="preserve"> (Richtlijn (EU) 2019/878) en de 1</w:t>
      </w:r>
      <w:r w:rsidRPr="00EE3828">
        <w:rPr>
          <w:szCs w:val="16"/>
          <w:vertAlign w:val="superscript"/>
        </w:rPr>
        <w:t>e</w:t>
      </w:r>
      <w:r w:rsidRPr="00EE3828">
        <w:rPr>
          <w:szCs w:val="16"/>
        </w:rPr>
        <w:t xml:space="preserve"> wijziging van de verordening kapitaalvereisten (Verordening (EU) 2019/876) tevens wijzigingen aan het herstel- en afwikkelingsraamwerk voor banken en beleggingsondernemingen.</w:t>
      </w:r>
    </w:p>
  </w:footnote>
  <w:footnote w:id="20">
    <w:p w14:paraId="3100B2C4" w14:textId="3532E29F" w:rsidR="005C1428" w:rsidRPr="00EE3828" w:rsidRDefault="005C1428" w:rsidP="005C1428">
      <w:pPr>
        <w:pStyle w:val="Voetnoottekst"/>
        <w:rPr>
          <w:szCs w:val="16"/>
        </w:rPr>
      </w:pPr>
      <w:r w:rsidRPr="00EE3828">
        <w:rPr>
          <w:rStyle w:val="Voetnootmarkering"/>
          <w:szCs w:val="16"/>
        </w:rPr>
        <w:footnoteRef/>
      </w:r>
      <w:r w:rsidRPr="00EE3828">
        <w:rPr>
          <w:szCs w:val="16"/>
        </w:rPr>
        <w:t xml:space="preserve"> Kamerstukken II 2019/20, 35559, nr. 3.</w:t>
      </w:r>
    </w:p>
  </w:footnote>
  <w:footnote w:id="21">
    <w:p w14:paraId="203CB3F9" w14:textId="2EFB58A8" w:rsidR="00594CF3" w:rsidRPr="00EE3828" w:rsidRDefault="00594CF3">
      <w:pPr>
        <w:pStyle w:val="Voetnoottekst"/>
        <w:rPr>
          <w:szCs w:val="16"/>
        </w:rPr>
      </w:pPr>
      <w:r w:rsidRPr="00EE3828">
        <w:rPr>
          <w:rStyle w:val="Voetnootmarkering"/>
          <w:szCs w:val="16"/>
        </w:rPr>
        <w:footnoteRef/>
      </w:r>
      <w:r w:rsidRPr="00EE3828">
        <w:rPr>
          <w:szCs w:val="16"/>
        </w:rPr>
        <w:t xml:space="preserve"> R</w:t>
      </w:r>
      <w:r w:rsidR="00BE59D4" w:rsidRPr="00EE3828">
        <w:rPr>
          <w:szCs w:val="16"/>
        </w:rPr>
        <w:t>i</w:t>
      </w:r>
      <w:r w:rsidRPr="00EE3828">
        <w:rPr>
          <w:szCs w:val="16"/>
        </w:rPr>
        <w:t xml:space="preserve">sicogewogen activa (RWA) drukken uit hoe riskant de activa van een bank zijn. Activa van een bank zijn onder meer verstrekte kredieten zoals hypotheken, bepaalde beleggingen en investeringen, en geld dat bezit van de bank is. </w:t>
      </w:r>
    </w:p>
  </w:footnote>
  <w:footnote w:id="22">
    <w:p w14:paraId="4D8D7192" w14:textId="16C33772" w:rsidR="001E56AB" w:rsidRPr="00EE3828" w:rsidRDefault="001E56AB" w:rsidP="001E56AB">
      <w:pPr>
        <w:pStyle w:val="Voetnoottekst"/>
        <w:rPr>
          <w:szCs w:val="16"/>
          <w:lang w:val="en-US"/>
        </w:rPr>
      </w:pPr>
      <w:r w:rsidRPr="00EE3828">
        <w:rPr>
          <w:rStyle w:val="Voetnootmarkering"/>
          <w:szCs w:val="16"/>
        </w:rPr>
        <w:footnoteRef/>
      </w:r>
      <w:r w:rsidRPr="00EE3828">
        <w:rPr>
          <w:szCs w:val="16"/>
          <w:lang w:val="en-US"/>
        </w:rPr>
        <w:t xml:space="preserve"> Zie bijvoorbeeld: Bazels Comité - Reducing variation in credit risk-weighted assets - constraints on the use of internal model approaches, </w:t>
      </w:r>
      <w:r w:rsidRPr="00405CA2">
        <w:rPr>
          <w:szCs w:val="16"/>
          <w:lang w:val="en-US"/>
        </w:rPr>
        <w:t>https://www.bis.org/bcbs/publ/d352.pdf</w:t>
      </w:r>
      <w:r w:rsidRPr="00EE3828">
        <w:rPr>
          <w:szCs w:val="16"/>
          <w:lang w:val="en-US"/>
        </w:rPr>
        <w:t xml:space="preserve">, maart 2016; </w:t>
      </w:r>
    </w:p>
    <w:p w14:paraId="464AD178" w14:textId="7BE0ED1E" w:rsidR="001E56AB" w:rsidRPr="00EE3828" w:rsidRDefault="001E56AB" w:rsidP="001E56AB">
      <w:pPr>
        <w:pStyle w:val="Voetnoottekst"/>
        <w:rPr>
          <w:szCs w:val="16"/>
          <w:lang w:val="en-US"/>
        </w:rPr>
      </w:pPr>
      <w:r w:rsidRPr="00EE3828">
        <w:rPr>
          <w:szCs w:val="16"/>
          <w:lang w:val="en-US"/>
        </w:rPr>
        <w:t>Europese Bankenautoriteit - Progress report on IRB roadmap,</w:t>
      </w:r>
      <w:r w:rsidRPr="00EE3828">
        <w:rPr>
          <w:szCs w:val="16"/>
          <w:lang w:val="en-US" w:eastAsia="nl-NL"/>
        </w:rPr>
        <w:t xml:space="preserve"> </w:t>
      </w:r>
      <w:r w:rsidRPr="00405CA2">
        <w:rPr>
          <w:szCs w:val="16"/>
          <w:lang w:val="en-US"/>
        </w:rPr>
        <w:t>https://www.eba.europa.eu/sites/default/files/documents/10180/2551996/c1eb68d4-a084-486a-9434-70cd9ae43723/Progress%20report%20on%20IRB%20roadmap.pdf</w:t>
      </w:r>
      <w:r w:rsidRPr="00EE3828">
        <w:rPr>
          <w:szCs w:val="16"/>
          <w:lang w:val="en-US"/>
        </w:rPr>
        <w:t xml:space="preserve">, juli 2019; </w:t>
      </w:r>
    </w:p>
    <w:p w14:paraId="3F52C3DB" w14:textId="6E8B799A" w:rsidR="001E56AB" w:rsidRPr="00EE3828" w:rsidRDefault="001E56AB" w:rsidP="001E56AB">
      <w:pPr>
        <w:pStyle w:val="Voetnoottekst"/>
        <w:rPr>
          <w:szCs w:val="16"/>
          <w:lang w:val="en-US"/>
        </w:rPr>
      </w:pPr>
      <w:r w:rsidRPr="00EE3828">
        <w:rPr>
          <w:szCs w:val="16"/>
          <w:lang w:val="en-US"/>
        </w:rPr>
        <w:t xml:space="preserve">Europese Centrale Bank - Targeted Review of Internal Models, </w:t>
      </w:r>
      <w:r w:rsidRPr="00405CA2">
        <w:rPr>
          <w:szCs w:val="16"/>
          <w:lang w:val="en-US"/>
        </w:rPr>
        <w:t>https://www.bankingsupervision.europa.eu/ecb/pub/pdf/ssm.trim_project_report%7Eaa49bb624c.en.pdf</w:t>
      </w:r>
      <w:r w:rsidRPr="00EE3828">
        <w:rPr>
          <w:szCs w:val="16"/>
          <w:lang w:val="en-US"/>
        </w:rPr>
        <w:t>, april 2021.</w:t>
      </w:r>
    </w:p>
  </w:footnote>
  <w:footnote w:id="23">
    <w:p w14:paraId="62D3D393" w14:textId="72B43892" w:rsidR="00AA15C8" w:rsidRPr="00EE3828" w:rsidRDefault="00AA15C8">
      <w:pPr>
        <w:pStyle w:val="Voetnoottekst"/>
        <w:rPr>
          <w:szCs w:val="16"/>
          <w:lang w:val="en-US"/>
        </w:rPr>
      </w:pPr>
      <w:r w:rsidRPr="00EE3828">
        <w:rPr>
          <w:rStyle w:val="Voetnootmarkering"/>
          <w:szCs w:val="16"/>
        </w:rPr>
        <w:footnoteRef/>
      </w:r>
      <w:r w:rsidRPr="00EE3828">
        <w:rPr>
          <w:szCs w:val="16"/>
          <w:lang w:val="en-US"/>
        </w:rPr>
        <w:t xml:space="preserve"> Europese Centrale Bank – Guidance on climate-related and environmental risks. https://www.bankingsupervision.europa.eu/ecb/pub/pdf/ssm.202011finalguideonclimate-relatedandenvironmentalrisks~58213f6564.en.pdf</w:t>
      </w:r>
    </w:p>
  </w:footnote>
  <w:footnote w:id="24">
    <w:p w14:paraId="6C4E9498" w14:textId="4C1E316B" w:rsidR="007443A1" w:rsidRPr="00EE3828" w:rsidRDefault="007443A1" w:rsidP="007443A1">
      <w:pPr>
        <w:pStyle w:val="Voetnoottekst"/>
        <w:rPr>
          <w:szCs w:val="16"/>
        </w:rPr>
      </w:pPr>
      <w:r w:rsidRPr="00EE3828">
        <w:rPr>
          <w:rStyle w:val="Voetnootmarkering"/>
          <w:szCs w:val="16"/>
        </w:rPr>
        <w:footnoteRef/>
      </w:r>
      <w:r w:rsidRPr="00EE3828">
        <w:rPr>
          <w:szCs w:val="16"/>
        </w:rPr>
        <w:t xml:space="preserve"> Zie het verslag van de Europese Commissie aan het Europees Parlement en de Raad over het Gemeenschappelijk Toezichtsmechanisme (GTM): </w:t>
      </w:r>
      <w:r w:rsidR="00405CA2">
        <w:rPr>
          <w:szCs w:val="16"/>
        </w:rPr>
        <w:t>https://</w:t>
      </w:r>
      <w:r w:rsidRPr="00405CA2">
        <w:rPr>
          <w:szCs w:val="16"/>
        </w:rPr>
        <w:t>eur-lex.europa.eu/legal-content/NL/TXT/PDF/?uri=CELEX:52023DC0212</w:t>
      </w:r>
    </w:p>
  </w:footnote>
  <w:footnote w:id="25">
    <w:p w14:paraId="4CE8207B" w14:textId="326D9358" w:rsidR="0031691A" w:rsidRDefault="0031691A">
      <w:pPr>
        <w:pStyle w:val="Voetnoottekst"/>
      </w:pPr>
      <w:r>
        <w:rPr>
          <w:rStyle w:val="Voetnootmarkering"/>
        </w:rPr>
        <w:footnoteRef/>
      </w:r>
      <w:r>
        <w:t xml:space="preserve"> Hiermee wordt gedoeld op het uittreden van het Verenigd Koninkrijk uit de EU. Specifiek voor de bancaire wereld betekende dit dat er voorheen Britse banken actief waren in lidstaten op grond van een EU-paspoort, maar na de Brexit </w:t>
      </w:r>
      <w:r w:rsidR="00182207">
        <w:t>dit derde land dochterbanken en derde land bijkantoren zijn geworden.</w:t>
      </w:r>
      <w:r>
        <w:t xml:space="preserve"> </w:t>
      </w:r>
    </w:p>
  </w:footnote>
  <w:footnote w:id="26">
    <w:p w14:paraId="47832F6A" w14:textId="515A3BC0" w:rsidR="004044D5" w:rsidRDefault="004044D5">
      <w:pPr>
        <w:pStyle w:val="Voetnoottekst"/>
      </w:pPr>
      <w:r>
        <w:rPr>
          <w:rStyle w:val="Voetnootmarkering"/>
        </w:rPr>
        <w:footnoteRef/>
      </w:r>
      <w:r>
        <w:t xml:space="preserve"> De termen ‘</w:t>
      </w:r>
      <w:r w:rsidR="001C0C28">
        <w:t>derde land</w:t>
      </w:r>
      <w:r>
        <w:t>’ en ‘staat die geen lidstaat is’ betekenen hetzelfde: het betreft een land dat geen lidstaat van de EU is. Voor het gebruiksgemak wordt naar de bijkantoren van ondernemingen uit een staat die geen lidstaat is altijd verwezen als een ‘</w:t>
      </w:r>
      <w:r w:rsidR="001C0C28">
        <w:t>derde land</w:t>
      </w:r>
      <w:r>
        <w:t xml:space="preserve"> bijkantoor’ om daarmee de herkomst van het bijkantoor te duiden. De moederonderneming wordt altijd aangeduid als ‘(moeder)onderneming in een staat die geen lidstaat is’.</w:t>
      </w:r>
    </w:p>
  </w:footnote>
  <w:footnote w:id="27">
    <w:p w14:paraId="20B7BCDB" w14:textId="56666ED4" w:rsidR="005F47B4" w:rsidRPr="005F47B4" w:rsidRDefault="005F47B4">
      <w:pPr>
        <w:pStyle w:val="Voetnoottekst"/>
      </w:pPr>
      <w:r>
        <w:rPr>
          <w:rStyle w:val="Voetnootmarkering"/>
        </w:rPr>
        <w:footnoteRef/>
      </w:r>
      <w:r w:rsidRPr="005F47B4">
        <w:t xml:space="preserve"> Zie onder meer </w:t>
      </w:r>
      <w:r w:rsidRPr="00CC0F11">
        <w:t xml:space="preserve">het </w:t>
      </w:r>
      <w:r>
        <w:t xml:space="preserve">ESMA peer review rapport over het toezicht op Wirecard. </w:t>
      </w:r>
      <w:r w:rsidRPr="005F47B4">
        <w:t>https://www.esma.europa.eu/sites/default/files/2024-07/ESMA42-2004696504-7690_Follow-up_Report_to_Wirecard_Peer_Review.pdf</w:t>
      </w:r>
      <w:r>
        <w:t>.</w:t>
      </w:r>
    </w:p>
  </w:footnote>
  <w:footnote w:id="28">
    <w:p w14:paraId="0E1805E4" w14:textId="77EA0EC7" w:rsidR="00897BEE" w:rsidRPr="00EE3828" w:rsidRDefault="00897BEE">
      <w:pPr>
        <w:pStyle w:val="Voetnoottekst"/>
        <w:rPr>
          <w:szCs w:val="16"/>
        </w:rPr>
      </w:pPr>
      <w:r w:rsidRPr="00EE3828">
        <w:rPr>
          <w:rStyle w:val="Voetnootmarkering"/>
          <w:szCs w:val="16"/>
        </w:rPr>
        <w:footnoteRef/>
      </w:r>
      <w:r w:rsidRPr="00EE3828">
        <w:rPr>
          <w:szCs w:val="16"/>
        </w:rPr>
        <w:t xml:space="preserve"> Het onderhandelingsresultaat van het CRD-VI/CRR-III-pakket zijn in verslagen besproken: </w:t>
      </w:r>
      <w:r w:rsidRPr="00EE3828">
        <w:rPr>
          <w:rFonts w:cs="Arial"/>
          <w:szCs w:val="16"/>
        </w:rPr>
        <w:t xml:space="preserve">Kamerstukken II 2022/23, 21501-07, nr. 1957 en Kamerstukken II </w:t>
      </w:r>
      <w:r w:rsidR="002979AF" w:rsidRPr="00EE3828">
        <w:rPr>
          <w:rFonts w:cs="Arial"/>
          <w:szCs w:val="16"/>
        </w:rPr>
        <w:t>2023/24, 21501-07, nr. 1991.</w:t>
      </w:r>
      <w:r w:rsidRPr="00EE3828">
        <w:rPr>
          <w:rFonts w:cs="Arial"/>
          <w:szCs w:val="16"/>
        </w:rPr>
        <w:t xml:space="preserve"> </w:t>
      </w:r>
    </w:p>
  </w:footnote>
  <w:footnote w:id="29">
    <w:p w14:paraId="6CE020B3" w14:textId="65FB2A97" w:rsidR="006F204B" w:rsidRPr="00EE1A43" w:rsidRDefault="006F204B">
      <w:pPr>
        <w:pStyle w:val="Voetnoottekst"/>
        <w:rPr>
          <w:szCs w:val="16"/>
        </w:rPr>
      </w:pPr>
      <w:r w:rsidRPr="00EE1A43">
        <w:rPr>
          <w:rStyle w:val="Voetnootmarkering"/>
          <w:szCs w:val="16"/>
        </w:rPr>
        <w:footnoteRef/>
      </w:r>
      <w:r w:rsidRPr="00EE1A43">
        <w:rPr>
          <w:szCs w:val="16"/>
        </w:rPr>
        <w:t xml:space="preserve"> Zoals eerder al geschreven staat ESG voor </w:t>
      </w:r>
      <w:r w:rsidR="00EE1A43" w:rsidRPr="00EE1A43">
        <w:rPr>
          <w:szCs w:val="16"/>
        </w:rPr>
        <w:t>ecologische</w:t>
      </w:r>
      <w:r w:rsidRPr="003417BA">
        <w:rPr>
          <w:szCs w:val="16"/>
        </w:rPr>
        <w:t xml:space="preserve">, sociale en governance-risico’s. </w:t>
      </w:r>
      <w:r w:rsidR="00EE1A43" w:rsidRPr="003417BA">
        <w:rPr>
          <w:szCs w:val="16"/>
        </w:rPr>
        <w:t>Dit betreft bijvoorbeeld voor ecologische risico de verschillende transitierisico’s en fysieke risico’s die zich kunnen voordoen.</w:t>
      </w:r>
    </w:p>
  </w:footnote>
  <w:footnote w:id="30">
    <w:p w14:paraId="6105418A" w14:textId="77777777" w:rsidR="00FB64E0" w:rsidRPr="00EE3828" w:rsidRDefault="00FB64E0" w:rsidP="00FB64E0">
      <w:pPr>
        <w:pStyle w:val="Voetnoottekst"/>
        <w:rPr>
          <w:szCs w:val="16"/>
        </w:rPr>
      </w:pPr>
      <w:r w:rsidRPr="00EE3828">
        <w:rPr>
          <w:rStyle w:val="Voetnootmarkering"/>
          <w:szCs w:val="16"/>
        </w:rPr>
        <w:footnoteRef/>
      </w:r>
      <w:r w:rsidRPr="00EE3828">
        <w:rPr>
          <w:szCs w:val="16"/>
        </w:rPr>
        <w:t xml:space="preserve"> De interne kapitaalbehoefte van banken verwijst naar het vermogen dat banken aanhouden bovenop de minimale wettelijke vereisten, wat is gebaseerd op interne analyses van risico’s en stresstesten.</w:t>
      </w:r>
    </w:p>
  </w:footnote>
  <w:footnote w:id="31">
    <w:p w14:paraId="3611DFDB" w14:textId="76B9F22A" w:rsidR="002E5D38" w:rsidRDefault="002E5D38">
      <w:pPr>
        <w:pStyle w:val="Voetnoottekst"/>
      </w:pPr>
      <w:r>
        <w:rPr>
          <w:rStyle w:val="Voetnootmarkering"/>
        </w:rPr>
        <w:footnoteRef/>
      </w:r>
      <w:r>
        <w:t xml:space="preserve"> </w:t>
      </w:r>
      <w:r w:rsidRPr="002E5D38">
        <w:t>Verordening (EU) 2021/1119 van het Europees Parlement en de Raad van 30 juni 2021 tot vaststelling van een kader voor de verwezenlijking van klimaatneutraliteit, en tot wijziging van Verordening (EG) nr. 401/2009 en Verordening (EU) 2018/1999 (“Europese klimaatwet”)</w:t>
      </w:r>
      <w:r>
        <w:t>.</w:t>
      </w:r>
    </w:p>
  </w:footnote>
  <w:footnote w:id="32">
    <w:p w14:paraId="5A4EC22E" w14:textId="128C11E1" w:rsidR="00902954" w:rsidRPr="00EE3828" w:rsidRDefault="00902954">
      <w:pPr>
        <w:pStyle w:val="Voetnoottekst"/>
        <w:rPr>
          <w:szCs w:val="16"/>
        </w:rPr>
      </w:pPr>
      <w:r w:rsidRPr="00EE3828">
        <w:rPr>
          <w:rStyle w:val="Voetnootmarkering"/>
          <w:szCs w:val="16"/>
        </w:rPr>
        <w:footnoteRef/>
      </w:r>
      <w:r w:rsidRPr="00EE3828">
        <w:rPr>
          <w:szCs w:val="16"/>
        </w:rPr>
        <w:t xml:space="preserve"> PbEU 2016, L 282.</w:t>
      </w:r>
    </w:p>
  </w:footnote>
  <w:footnote w:id="33">
    <w:p w14:paraId="4BD72148" w14:textId="2C98B198" w:rsidR="00902954" w:rsidRPr="00EE3828" w:rsidRDefault="00902954">
      <w:pPr>
        <w:pStyle w:val="Voetnoottekst"/>
        <w:rPr>
          <w:szCs w:val="16"/>
        </w:rPr>
      </w:pPr>
      <w:r w:rsidRPr="00EE3828">
        <w:rPr>
          <w:rStyle w:val="Voetnootmarkering"/>
          <w:szCs w:val="16"/>
        </w:rPr>
        <w:footnoteRef/>
      </w:r>
      <w:r w:rsidRPr="00EE3828">
        <w:rPr>
          <w:szCs w:val="16"/>
        </w:rPr>
        <w:t xml:space="preserve"> https://www.consilium.europa.eu/nl/policies/fit-for-55/.</w:t>
      </w:r>
    </w:p>
  </w:footnote>
  <w:footnote w:id="34">
    <w:p w14:paraId="0AB0B294" w14:textId="3B673042" w:rsidR="00902954" w:rsidRPr="00EE3828" w:rsidRDefault="00902954">
      <w:pPr>
        <w:pStyle w:val="Voetnoottekst"/>
        <w:rPr>
          <w:szCs w:val="16"/>
        </w:rPr>
      </w:pPr>
      <w:r w:rsidRPr="00EE3828">
        <w:rPr>
          <w:rStyle w:val="Voetnootmarkering"/>
          <w:szCs w:val="16"/>
        </w:rPr>
        <w:footnoteRef/>
      </w:r>
      <w:r w:rsidRPr="00EE3828">
        <w:rPr>
          <w:szCs w:val="16"/>
        </w:rPr>
        <w:t xml:space="preserve"> https://www.cbd.int/gbf</w:t>
      </w:r>
    </w:p>
  </w:footnote>
  <w:footnote w:id="35">
    <w:p w14:paraId="3A3C654F" w14:textId="1EE882FA" w:rsidR="005F47B4" w:rsidRDefault="005F47B4">
      <w:pPr>
        <w:pStyle w:val="Voetnoottekst"/>
      </w:pPr>
      <w:r>
        <w:rPr>
          <w:rStyle w:val="Voetnootmarkering"/>
        </w:rPr>
        <w:footnoteRef/>
      </w:r>
      <w:r>
        <w:t xml:space="preserve"> Artikel 5:32b, eerste lid, Awb luidt: </w:t>
      </w:r>
      <w:r w:rsidRPr="005F47B4">
        <w:t>Het bestuursorgaan stelt de dwangsom vast hetzij op een bedrag ineens, hetzij op een bedrag per tijdseenheid waarin de last niet is uitgevoerd, dan wel per overtreding van de last.</w:t>
      </w:r>
    </w:p>
  </w:footnote>
  <w:footnote w:id="36">
    <w:p w14:paraId="79CC7123" w14:textId="6F91E6CD" w:rsidR="001E56AB" w:rsidRPr="00EE3828" w:rsidRDefault="001E56AB" w:rsidP="001E56AB">
      <w:pPr>
        <w:pStyle w:val="Voetnoottekst"/>
        <w:rPr>
          <w:szCs w:val="16"/>
        </w:rPr>
      </w:pPr>
      <w:r w:rsidRPr="00EE3828">
        <w:rPr>
          <w:rStyle w:val="Voetnootmarkering"/>
          <w:szCs w:val="16"/>
        </w:rPr>
        <w:footnoteRef/>
      </w:r>
      <w:r w:rsidRPr="00EE3828">
        <w:rPr>
          <w:szCs w:val="16"/>
        </w:rPr>
        <w:t xml:space="preserve"> Dit wordt </w:t>
      </w:r>
      <w:r w:rsidRPr="00EE3828">
        <w:rPr>
          <w:i/>
          <w:iCs/>
          <w:szCs w:val="16"/>
        </w:rPr>
        <w:t>reverse solicitation</w:t>
      </w:r>
      <w:r w:rsidRPr="00EE3828">
        <w:rPr>
          <w:szCs w:val="16"/>
        </w:rPr>
        <w:t xml:space="preserve"> genoemd.</w:t>
      </w:r>
    </w:p>
  </w:footnote>
  <w:footnote w:id="37">
    <w:p w14:paraId="553AC36F" w14:textId="30C6D90F" w:rsidR="002E5D38" w:rsidRDefault="002E5D38">
      <w:pPr>
        <w:pStyle w:val="Voetnoottekst"/>
      </w:pPr>
      <w:r>
        <w:rPr>
          <w:rStyle w:val="Voetnootmarkering"/>
        </w:rPr>
        <w:footnoteRef/>
      </w:r>
      <w:r>
        <w:t xml:space="preserve"> </w:t>
      </w:r>
      <w:r w:rsidRPr="00EE3828">
        <w:rPr>
          <w:szCs w:val="16"/>
        </w:rPr>
        <w:t>Richtlijn 2014/65/EU van het Europees Parlement en de Raad van 15 mei 2014 betreffende markten voor financiële instrumenten en tot wijziging van Richtlijn 2002/92/EG en Richtlijn 2011/61/EU.</w:t>
      </w:r>
    </w:p>
  </w:footnote>
  <w:footnote w:id="38">
    <w:p w14:paraId="79890147" w14:textId="3F140629" w:rsidR="00D05E23" w:rsidRDefault="00D05E23">
      <w:pPr>
        <w:pStyle w:val="Voetnoottekst"/>
      </w:pPr>
      <w:r>
        <w:rPr>
          <w:rStyle w:val="Voetnootmarkering"/>
        </w:rPr>
        <w:footnoteRef/>
      </w:r>
      <w:r>
        <w:t xml:space="preserve"> Zie</w:t>
      </w:r>
      <w:r w:rsidR="000A122F">
        <w:t xml:space="preserve"> artikel 17 van de ECB Code of Conduct for high-level ECB Officials en</w:t>
      </w:r>
      <w:r>
        <w:t xml:space="preserve"> </w:t>
      </w:r>
      <w:r w:rsidR="000A122F">
        <w:t>artikel 2 en 8 van de</w:t>
      </w:r>
      <w:r>
        <w:t xml:space="preserve"> Regeling onverenigbare functies en werkzaamheden directieleden en commissarissen</w:t>
      </w:r>
      <w:r w:rsidR="007A3F59">
        <w:t xml:space="preserve"> DNB.</w:t>
      </w:r>
    </w:p>
  </w:footnote>
  <w:footnote w:id="39">
    <w:p w14:paraId="4C0B7821" w14:textId="1EDE2A1D" w:rsidR="000A122F" w:rsidRDefault="000A122F">
      <w:pPr>
        <w:pStyle w:val="Voetnoottekst"/>
      </w:pPr>
      <w:r>
        <w:rPr>
          <w:rStyle w:val="Voetnootmarkering"/>
        </w:rPr>
        <w:footnoteRef/>
      </w:r>
      <w:r>
        <w:t xml:space="preserve"> Zie artikel 3.2, onder a, van de Regeling privébeleggingstransacties DNB (2023).</w:t>
      </w:r>
    </w:p>
  </w:footnote>
  <w:footnote w:id="40">
    <w:p w14:paraId="18F1405F" w14:textId="0C4DC0E5" w:rsidR="00EC5161" w:rsidRDefault="00EC5161">
      <w:pPr>
        <w:pStyle w:val="Voetnoottekst"/>
      </w:pPr>
      <w:r>
        <w:rPr>
          <w:rStyle w:val="Voetnootmarkering"/>
        </w:rPr>
        <w:footnoteRef/>
      </w:r>
      <w:r>
        <w:t xml:space="preserve"> Zie artikel 4.1 van de Regeling privébeleggingstransacties DNB (2023).</w:t>
      </w:r>
    </w:p>
  </w:footnote>
  <w:footnote w:id="41">
    <w:p w14:paraId="1B2A3CDE" w14:textId="757FCD69" w:rsidR="005F47B4" w:rsidRDefault="005F47B4">
      <w:pPr>
        <w:pStyle w:val="Voetnoottekst"/>
      </w:pPr>
      <w:r>
        <w:rPr>
          <w:rStyle w:val="Voetnootmarkering"/>
        </w:rPr>
        <w:footnoteRef/>
      </w:r>
      <w:r>
        <w:t xml:space="preserve"> Zie voor de uitleg hiervan p. 4.</w:t>
      </w:r>
    </w:p>
  </w:footnote>
  <w:footnote w:id="42">
    <w:p w14:paraId="2F413FB4" w14:textId="763318C3" w:rsidR="001E56AB" w:rsidRPr="00EE3828" w:rsidRDefault="001E56AB" w:rsidP="001E56AB">
      <w:pPr>
        <w:pStyle w:val="Voetnoottekst"/>
        <w:rPr>
          <w:szCs w:val="16"/>
        </w:rPr>
      </w:pPr>
      <w:r w:rsidRPr="00EE3828">
        <w:rPr>
          <w:rStyle w:val="Voetnootmarkering"/>
          <w:szCs w:val="16"/>
        </w:rPr>
        <w:footnoteRef/>
      </w:r>
      <w:r w:rsidRPr="00EE3828">
        <w:rPr>
          <w:szCs w:val="16"/>
        </w:rPr>
        <w:t xml:space="preserve"> Total Risk Exposure Amount (TREA) betreft het totale risicobedrag waar een bank aan is blootgesteld en omvat</w:t>
      </w:r>
      <w:r w:rsidR="0048607D" w:rsidRPr="00EE3828">
        <w:rPr>
          <w:szCs w:val="16"/>
        </w:rPr>
        <w:t xml:space="preserve"> het</w:t>
      </w:r>
      <w:r w:rsidRPr="00EE3828">
        <w:rPr>
          <w:szCs w:val="16"/>
        </w:rPr>
        <w:t xml:space="preserve"> kredietrisico, marktrisico en operationeel risico.</w:t>
      </w:r>
    </w:p>
  </w:footnote>
  <w:footnote w:id="43">
    <w:p w14:paraId="5041942A" w14:textId="2B7779C4" w:rsidR="00F23898" w:rsidRPr="00EE3828" w:rsidRDefault="00F23898">
      <w:pPr>
        <w:pStyle w:val="Voetnoottekst"/>
        <w:rPr>
          <w:szCs w:val="16"/>
        </w:rPr>
      </w:pPr>
      <w:r w:rsidRPr="00EE3828">
        <w:rPr>
          <w:rStyle w:val="Voetnootmarkering"/>
          <w:szCs w:val="16"/>
        </w:rPr>
        <w:footnoteRef/>
      </w:r>
      <w:r w:rsidRPr="00EE3828">
        <w:rPr>
          <w:szCs w:val="16"/>
        </w:rPr>
        <w:t xml:space="preserve"> Een centrale tegenpartij is een onderneming die zichzelf plaatst tussen de tegenpartijen bij contracten die op een of meer financiële markten worden verhandeld en daarbij de koper wordt voor elke verkoper en de verkoper voor elke koper. Centrale tegenpartijen zijn onderdeel van de financiële marktinfrastructuur en voeren het proces van clearing uit nadat een transactie op de beurs is gesloten.</w:t>
      </w:r>
    </w:p>
  </w:footnote>
  <w:footnote w:id="44">
    <w:p w14:paraId="781F4354" w14:textId="140BFB13" w:rsidR="00786784" w:rsidRDefault="00786784" w:rsidP="00786784">
      <w:pPr>
        <w:pStyle w:val="Voetnoottekst"/>
      </w:pPr>
      <w:r>
        <w:rPr>
          <w:rStyle w:val="Voetnootmarkering"/>
        </w:rPr>
        <w:footnoteRef/>
      </w:r>
      <w:r>
        <w:t xml:space="preserve"> Zie hiervoor de Regeling onafhankelijkheid medewerkers DNB 2024, </w:t>
      </w:r>
      <w:hyperlink r:id="rId2" w:history="1">
        <w:r w:rsidR="00173DF6" w:rsidRPr="002B3353">
          <w:rPr>
            <w:rStyle w:val="Hyperlink"/>
          </w:rPr>
          <w:t>https://www.dnb.nl/media/uvclss1k/regeling-onafhankelijkheid-medewerkers-dnb-2024.pdf</w:t>
        </w:r>
      </w:hyperlink>
      <w:r>
        <w:t>.</w:t>
      </w:r>
      <w:r w:rsidR="00173DF6">
        <w:t xml:space="preserve"> </w:t>
      </w:r>
    </w:p>
  </w:footnote>
  <w:footnote w:id="45">
    <w:p w14:paraId="1A450AF3" w14:textId="7A4BBD1B" w:rsidR="00731C83" w:rsidRPr="00EE3828" w:rsidRDefault="00731C83">
      <w:pPr>
        <w:pStyle w:val="Voetnoottekst"/>
        <w:rPr>
          <w:szCs w:val="16"/>
        </w:rPr>
      </w:pPr>
      <w:r w:rsidRPr="00EE3828">
        <w:rPr>
          <w:rStyle w:val="Voetnootmarkering"/>
          <w:szCs w:val="16"/>
        </w:rPr>
        <w:footnoteRef/>
      </w:r>
      <w:r w:rsidRPr="00EE3828">
        <w:rPr>
          <w:szCs w:val="16"/>
        </w:rPr>
        <w:t xml:space="preserve"> Artikel 4 bis, vierde lid, tweede alinea, CRD.</w:t>
      </w:r>
    </w:p>
  </w:footnote>
  <w:footnote w:id="46">
    <w:p w14:paraId="6CB360E0" w14:textId="78DC8D77" w:rsidR="00731C83" w:rsidRPr="00EE3828" w:rsidRDefault="00731C83">
      <w:pPr>
        <w:pStyle w:val="Voetnoottekst"/>
        <w:rPr>
          <w:szCs w:val="16"/>
        </w:rPr>
      </w:pPr>
      <w:r w:rsidRPr="00EE3828">
        <w:rPr>
          <w:rStyle w:val="Voetnootmarkering"/>
          <w:szCs w:val="16"/>
        </w:rPr>
        <w:footnoteRef/>
      </w:r>
      <w:r w:rsidRPr="00EE3828">
        <w:rPr>
          <w:szCs w:val="16"/>
        </w:rPr>
        <w:t xml:space="preserve"> Artikel 4 bis, vijfde lid, CRD.</w:t>
      </w:r>
    </w:p>
  </w:footnote>
  <w:footnote w:id="47">
    <w:p w14:paraId="3BD6497A" w14:textId="58D00862" w:rsidR="00731C83" w:rsidRPr="00EE3828" w:rsidRDefault="00731C83">
      <w:pPr>
        <w:pStyle w:val="Voetnoottekst"/>
        <w:rPr>
          <w:szCs w:val="16"/>
        </w:rPr>
      </w:pPr>
      <w:r w:rsidRPr="00EE3828">
        <w:rPr>
          <w:rStyle w:val="Voetnootmarkering"/>
          <w:szCs w:val="16"/>
        </w:rPr>
        <w:footnoteRef/>
      </w:r>
      <w:r w:rsidRPr="00EE3828">
        <w:rPr>
          <w:szCs w:val="16"/>
        </w:rPr>
        <w:t xml:space="preserve"> Artikel 48 bis, vierde lid, CRD</w:t>
      </w:r>
    </w:p>
  </w:footnote>
  <w:footnote w:id="48">
    <w:p w14:paraId="68B9AC28" w14:textId="0752FE18" w:rsidR="001F305A" w:rsidRPr="00EE3828" w:rsidRDefault="001F305A">
      <w:pPr>
        <w:pStyle w:val="Voetnoottekst"/>
        <w:rPr>
          <w:szCs w:val="16"/>
        </w:rPr>
      </w:pPr>
      <w:r w:rsidRPr="00EE3828">
        <w:rPr>
          <w:rStyle w:val="Voetnootmarkering"/>
          <w:szCs w:val="16"/>
        </w:rPr>
        <w:footnoteRef/>
      </w:r>
      <w:r w:rsidRPr="00EE3828">
        <w:rPr>
          <w:szCs w:val="16"/>
        </w:rPr>
        <w:t xml:space="preserve"> Artikel 66, tweede lid, vijfde alinea en artikel 67, tweede lid, vijfde alinea, CRD.</w:t>
      </w:r>
    </w:p>
  </w:footnote>
  <w:footnote w:id="49">
    <w:p w14:paraId="37A803AB" w14:textId="7A8D385C" w:rsidR="00ED72E9" w:rsidRDefault="00ED72E9">
      <w:pPr>
        <w:pStyle w:val="Voetnoottekst"/>
      </w:pPr>
      <w:r>
        <w:rPr>
          <w:rStyle w:val="Voetnootmarkering"/>
        </w:rPr>
        <w:footnoteRef/>
      </w:r>
      <w:r>
        <w:t xml:space="preserve"> Artikel 5:32b Awb.</w:t>
      </w:r>
    </w:p>
  </w:footnote>
  <w:footnote w:id="50">
    <w:p w14:paraId="78A225D2" w14:textId="2D2B8C6A" w:rsidR="001F305A" w:rsidRPr="00EE3828" w:rsidRDefault="001F305A">
      <w:pPr>
        <w:pStyle w:val="Voetnoottekst"/>
        <w:rPr>
          <w:szCs w:val="16"/>
        </w:rPr>
      </w:pPr>
      <w:r w:rsidRPr="00EE3828">
        <w:rPr>
          <w:rStyle w:val="Voetnootmarkering"/>
          <w:szCs w:val="16"/>
        </w:rPr>
        <w:footnoteRef/>
      </w:r>
      <w:r w:rsidRPr="00EE3828">
        <w:rPr>
          <w:szCs w:val="16"/>
        </w:rPr>
        <w:t xml:space="preserve"> Artikel 66, tweede lid, vierde alinea en artikel 67, tweede lid, vierde alinea, CRD.</w:t>
      </w:r>
    </w:p>
  </w:footnote>
  <w:footnote w:id="51">
    <w:p w14:paraId="1AE3E74B" w14:textId="56C90E9A" w:rsidR="00297F32" w:rsidRDefault="00297F32">
      <w:pPr>
        <w:pStyle w:val="Voetnoottekst"/>
      </w:pPr>
      <w:r>
        <w:rPr>
          <w:rStyle w:val="Voetnootmarkering"/>
        </w:rPr>
        <w:footnoteRef/>
      </w:r>
      <w:r>
        <w:t xml:space="preserve"> Artikel 76, eerste lid, eerste alinea, CRD.</w:t>
      </w:r>
    </w:p>
  </w:footnote>
  <w:footnote w:id="52">
    <w:p w14:paraId="7CB91834" w14:textId="01276114" w:rsidR="00297F32" w:rsidRDefault="00297F32">
      <w:pPr>
        <w:pStyle w:val="Voetnoottekst"/>
      </w:pPr>
      <w:r>
        <w:rPr>
          <w:rStyle w:val="Voetnootmarkering"/>
        </w:rPr>
        <w:footnoteRef/>
      </w:r>
      <w:r>
        <w:t xml:space="preserve"> Artikel 76, eerste lid, tweede alinea, CRD.</w:t>
      </w:r>
    </w:p>
  </w:footnote>
  <w:footnote w:id="53">
    <w:p w14:paraId="30031D35" w14:textId="38CDD5CF" w:rsidR="00297F32" w:rsidRDefault="00297F32">
      <w:pPr>
        <w:pStyle w:val="Voetnoottekst"/>
      </w:pPr>
      <w:r>
        <w:rPr>
          <w:rStyle w:val="Voetnootmarkering"/>
        </w:rPr>
        <w:footnoteRef/>
      </w:r>
      <w:r>
        <w:t xml:space="preserve"> Artikel 91, eerste lid bis, tweede alinea, CRD.</w:t>
      </w:r>
    </w:p>
  </w:footnote>
  <w:footnote w:id="54">
    <w:p w14:paraId="6E00751E" w14:textId="77777777" w:rsidR="005F08F3" w:rsidRDefault="005F08F3" w:rsidP="005F08F3">
      <w:pPr>
        <w:pStyle w:val="Voetnoottekst"/>
      </w:pPr>
      <w:r>
        <w:rPr>
          <w:rStyle w:val="Voetnootmarkering"/>
        </w:rPr>
        <w:footnoteRef/>
      </w:r>
      <w:r>
        <w:t xml:space="preserve"> Kamerstukken II 2013/14, 33957, nr. 3.</w:t>
      </w:r>
    </w:p>
  </w:footnote>
  <w:footnote w:id="55">
    <w:p w14:paraId="11F89BD7" w14:textId="7731E599" w:rsidR="0048607D" w:rsidRPr="00EE3828" w:rsidRDefault="0048607D" w:rsidP="0048607D">
      <w:pPr>
        <w:pStyle w:val="Voetnoottekst"/>
        <w:rPr>
          <w:szCs w:val="16"/>
        </w:rPr>
      </w:pPr>
      <w:r w:rsidRPr="00EE3828">
        <w:rPr>
          <w:rStyle w:val="Voetnootmarkering"/>
          <w:szCs w:val="16"/>
        </w:rPr>
        <w:footnoteRef/>
      </w:r>
      <w:r w:rsidRPr="00EE3828">
        <w:rPr>
          <w:szCs w:val="16"/>
        </w:rPr>
        <w:t xml:space="preserve"> </w:t>
      </w:r>
      <w:r w:rsidR="001661D3" w:rsidRPr="00EE3828">
        <w:rPr>
          <w:szCs w:val="16"/>
        </w:rPr>
        <w:t>https://www.kcbr.nl/sites/default/files/2023-12/Handboek%20Meting%20Regeldrukkosten%202023%20-%20DEF%20-%204-12-2023%20toegankelijk.pdf.</w:t>
      </w:r>
    </w:p>
  </w:footnote>
  <w:footnote w:id="56">
    <w:p w14:paraId="71B7CF22" w14:textId="2BD0F6F6" w:rsidR="0048607D" w:rsidRPr="00EE3828" w:rsidRDefault="0048607D" w:rsidP="0048607D">
      <w:pPr>
        <w:pStyle w:val="Voetnoottekst"/>
        <w:rPr>
          <w:szCs w:val="16"/>
        </w:rPr>
      </w:pPr>
      <w:r w:rsidRPr="00EE3828">
        <w:rPr>
          <w:rStyle w:val="Voetnootmarkering"/>
          <w:szCs w:val="16"/>
        </w:rPr>
        <w:footnoteRef/>
      </w:r>
      <w:r w:rsidRPr="00EE3828">
        <w:rPr>
          <w:szCs w:val="16"/>
        </w:rPr>
        <w:t xml:space="preserve"> Te raadplegen via https://eur-lex.europa.eu/legal-content/NL/TXT/?uri=CELEX:52021SC0320.</w:t>
      </w:r>
    </w:p>
  </w:footnote>
  <w:footnote w:id="57">
    <w:p w14:paraId="15406911" w14:textId="5E3E4651" w:rsidR="009E33D3" w:rsidRPr="00EE3828" w:rsidRDefault="009E33D3">
      <w:pPr>
        <w:pStyle w:val="Voetnoottekst"/>
        <w:rPr>
          <w:szCs w:val="16"/>
        </w:rPr>
      </w:pPr>
      <w:r w:rsidRPr="00EE3828">
        <w:rPr>
          <w:rStyle w:val="Voetnootmarkering"/>
          <w:szCs w:val="16"/>
        </w:rPr>
        <w:footnoteRef/>
      </w:r>
      <w:r w:rsidRPr="00EE3828">
        <w:rPr>
          <w:szCs w:val="16"/>
        </w:rPr>
        <w:t xml:space="preserve"> </w:t>
      </w:r>
      <w:r w:rsidRPr="00405CA2">
        <w:rPr>
          <w:szCs w:val="16"/>
        </w:rPr>
        <w:t>https://www.dnb.nl/openbaar-register/</w:t>
      </w:r>
      <w:r w:rsidRPr="00EE3828">
        <w:rPr>
          <w:szCs w:val="16"/>
        </w:rPr>
        <w:t>, bij ‘register’ wordt gekozen voor ‘banken’ en bij ‘financiële dienst’ voor ‘2:12’ en ‘2:13’. De 2:13-banken zijn banken die ook beleggingsdiensten mogen verlenen of beleggingsactiviteiten mogen verrichten.</w:t>
      </w:r>
    </w:p>
  </w:footnote>
  <w:footnote w:id="58">
    <w:p w14:paraId="25569B2E" w14:textId="5F4B3355" w:rsidR="009E33D3" w:rsidRPr="00EE3828" w:rsidRDefault="009E33D3">
      <w:pPr>
        <w:pStyle w:val="Voetnoottekst"/>
        <w:rPr>
          <w:szCs w:val="16"/>
        </w:rPr>
      </w:pPr>
      <w:r w:rsidRPr="00EE3828">
        <w:rPr>
          <w:rStyle w:val="Voetnootmarkering"/>
          <w:szCs w:val="16"/>
        </w:rPr>
        <w:footnoteRef/>
      </w:r>
      <w:r w:rsidRPr="00EE3828">
        <w:rPr>
          <w:szCs w:val="16"/>
        </w:rPr>
        <w:t xml:space="preserve"> </w:t>
      </w:r>
      <w:r w:rsidRPr="00405CA2">
        <w:rPr>
          <w:szCs w:val="16"/>
        </w:rPr>
        <w:t>https://www.dnb.nl/openbaar-register/</w:t>
      </w:r>
      <w:r w:rsidRPr="00EE3828">
        <w:rPr>
          <w:szCs w:val="16"/>
        </w:rPr>
        <w:t>, bij ‘register’ wordt gekozen voor ‘banken’ en bij ‘financiële dienst’ voor ‘2:20’.</w:t>
      </w:r>
    </w:p>
  </w:footnote>
  <w:footnote w:id="59">
    <w:p w14:paraId="753B052C" w14:textId="14C81DE8" w:rsidR="006D2E62" w:rsidRPr="00EE3828" w:rsidRDefault="006D2E62" w:rsidP="006D2E62">
      <w:pPr>
        <w:pStyle w:val="Voetnoottekst"/>
        <w:rPr>
          <w:szCs w:val="16"/>
        </w:rPr>
      </w:pPr>
      <w:r w:rsidRPr="00EE3828">
        <w:rPr>
          <w:rStyle w:val="Voetnootmarkering"/>
          <w:szCs w:val="16"/>
        </w:rPr>
        <w:footnoteRef/>
      </w:r>
      <w:r w:rsidRPr="00EE3828">
        <w:rPr>
          <w:szCs w:val="16"/>
        </w:rPr>
        <w:t xml:space="preserve"> Zie voor de standaard uurtarieven Deel 4.D van het Handboek. </w:t>
      </w:r>
      <w:r>
        <w:rPr>
          <w:szCs w:val="16"/>
        </w:rPr>
        <w:t>In de navolgende berekening wordt er vanuit gegaan dat alle uren gemaakt worden door hoogopgeleid personeel. Dit zal de berekening van regeldrukkosten hoger stuwen dan wellicht in de praktijk het geval zal zijn.</w:t>
      </w:r>
    </w:p>
  </w:footnote>
  <w:footnote w:id="60">
    <w:p w14:paraId="2683158F" w14:textId="6E6BE221" w:rsidR="007965B2" w:rsidRPr="007965B2" w:rsidRDefault="007965B2">
      <w:pPr>
        <w:pStyle w:val="Voetnoottekst"/>
      </w:pPr>
      <w:r>
        <w:rPr>
          <w:rStyle w:val="Voetnootmarkering"/>
        </w:rPr>
        <w:footnoteRef/>
      </w:r>
      <w:r w:rsidRPr="007965B2">
        <w:t xml:space="preserve"> Verordening (EU) 2019/876 van het Europees Parlement en de Raad van 20 mei 2019 tot wijziging van Verordening (EU) nr. 575/2013 wat betreft de hefboomratio, de nettostabielefinancieringsratio, vereisten inzake eigen vermogen en in aanmerking komende passiva, tegenpartijkredietrisico, marktrisico, blootstellingen aan centrale tegenpartijen, blootstellingen aan instellingen voor collectieve belegging, grote blootstellingen, rapportage- en openbaarmakingsvereisten, en van Verordening (EU) nr. 648/2012</w:t>
      </w:r>
      <w:r>
        <w:t>, artikel 449 bis.</w:t>
      </w:r>
    </w:p>
  </w:footnote>
  <w:footnote w:id="61">
    <w:p w14:paraId="1B3BD408" w14:textId="41205040" w:rsidR="00B56239" w:rsidRPr="00CC0F11" w:rsidRDefault="00B56239">
      <w:pPr>
        <w:pStyle w:val="Voetnoottekst"/>
        <w:rPr>
          <w:lang w:val="en-GB"/>
        </w:rPr>
      </w:pPr>
      <w:r>
        <w:rPr>
          <w:rStyle w:val="Voetnootmarkering"/>
        </w:rPr>
        <w:footnoteRef/>
      </w:r>
      <w:r w:rsidRPr="00CC0F11">
        <w:rPr>
          <w:lang w:val="en-GB"/>
        </w:rPr>
        <w:t xml:space="preserve"> </w:t>
      </w:r>
      <w:r w:rsidRPr="00EE3828">
        <w:rPr>
          <w:szCs w:val="16"/>
          <w:lang w:val="en-GB"/>
        </w:rPr>
        <w:t>EBA report – On management and supervision of ESG risks for credit institutions and investment firms (EBA/REP/2021/18) https://www.eba.europa.eu/sites/default/files/document_library/Publications/Reports/2021/1015656/EBA%20Report%20on%20ESG%20risks%20management%20and%20supervision.pdf.</w:t>
      </w:r>
    </w:p>
  </w:footnote>
  <w:footnote w:id="62">
    <w:p w14:paraId="0D505C96" w14:textId="77777777" w:rsidR="00B3177C" w:rsidRPr="00F36E44" w:rsidRDefault="00B3177C" w:rsidP="00B3177C">
      <w:pPr>
        <w:pStyle w:val="Voetnoottekst"/>
        <w:rPr>
          <w:szCs w:val="16"/>
          <w:lang w:val="en-GB"/>
        </w:rPr>
      </w:pPr>
      <w:r w:rsidRPr="00EE3828">
        <w:rPr>
          <w:rStyle w:val="Voetnootmarkering"/>
          <w:szCs w:val="16"/>
        </w:rPr>
        <w:footnoteRef/>
      </w:r>
      <w:r w:rsidRPr="00F36E44">
        <w:rPr>
          <w:szCs w:val="16"/>
          <w:lang w:val="en-GB"/>
        </w:rPr>
        <w:t xml:space="preserve"> https://www.bankingsupervision.europa.eu/ecb/pub/pdf/ssm.202011finalguideonclimate-relatedandenvironmentalrisks~58213f6564.en.pdf?1f98c498cb869019ab89194a118b9db4.</w:t>
      </w:r>
    </w:p>
  </w:footnote>
  <w:footnote w:id="63">
    <w:p w14:paraId="1BB43061" w14:textId="77777777" w:rsidR="00B3177C" w:rsidRPr="00EE3828" w:rsidRDefault="00B3177C" w:rsidP="00B3177C">
      <w:pPr>
        <w:pStyle w:val="Voetnoottekst"/>
        <w:rPr>
          <w:szCs w:val="16"/>
        </w:rPr>
      </w:pPr>
      <w:r w:rsidRPr="00EE3828">
        <w:rPr>
          <w:rStyle w:val="Voetnootmarkering"/>
          <w:szCs w:val="16"/>
        </w:rPr>
        <w:footnoteRef/>
      </w:r>
      <w:r w:rsidRPr="00EE3828">
        <w:rPr>
          <w:szCs w:val="16"/>
        </w:rPr>
        <w:t xml:space="preserve"> Zie bijv. https://www.bankingsupervision.europa.eu/ecb/pub/pdf/ssm.ecbreportinstitutionsclimaterelatedenvironmentalriskdisclosures202011~e8e2ad20f6.en.pdf, https://www.bankingsupervision.europa.eu/ecb/pub/pdf/ssm.bankingsectoralignmentreport202401~49c6513e71.en.pdf?1a0623f5b18267735aa125d6f956eb61 en https://www.bankingsupervision.europa.eu/ecb/pub/pdf/ssm.theimportanceofbeingtransparent042023~1f0f816b85.en.pdf?675b2c7472849d2398cc9d1a84549a47</w:t>
      </w:r>
    </w:p>
  </w:footnote>
  <w:footnote w:id="64">
    <w:p w14:paraId="434DE75A" w14:textId="54A55320" w:rsidR="00227A0D" w:rsidRPr="00227A0D" w:rsidRDefault="00227A0D">
      <w:pPr>
        <w:pStyle w:val="Voetnoottekst"/>
        <w:rPr>
          <w:szCs w:val="16"/>
        </w:rPr>
      </w:pPr>
      <w:r w:rsidRPr="00227A0D">
        <w:rPr>
          <w:rStyle w:val="Voetnootmarkering"/>
          <w:szCs w:val="16"/>
        </w:rPr>
        <w:footnoteRef/>
      </w:r>
      <w:r w:rsidRPr="00227A0D">
        <w:rPr>
          <w:szCs w:val="16"/>
        </w:rPr>
        <w:t xml:space="preserve"> </w:t>
      </w:r>
      <w:r w:rsidRPr="00CC0F11">
        <w:rPr>
          <w:rFonts w:cs="Arial"/>
          <w:iCs/>
          <w:szCs w:val="16"/>
        </w:rPr>
        <w:t xml:space="preserve">2000 uur = 50 fte x 40 uur waarbij de 50 fte ¼ is van de 200 fte die de NVB schatte voor de grootbanken. Daarbij is de schatting dus dat er gerekend is met 4 grootbanken (ING, Rabo, ABN, Volksbank). </w:t>
      </w:r>
    </w:p>
  </w:footnote>
  <w:footnote w:id="65">
    <w:p w14:paraId="6AB0C643" w14:textId="77777777" w:rsidR="00B3177C" w:rsidRDefault="00B3177C" w:rsidP="00B3177C">
      <w:pPr>
        <w:pStyle w:val="Voetnoottekst"/>
      </w:pPr>
      <w:r>
        <w:rPr>
          <w:rStyle w:val="Voetnootmarkering"/>
        </w:rPr>
        <w:footnoteRef/>
      </w:r>
      <w:r>
        <w:t xml:space="preserve"> </w:t>
      </w:r>
      <w:r w:rsidRPr="00C46E12">
        <w:t>https://www.dnb.nl/statistieken/data-zoeken/#/details/financi-le-gegevens-van-individuele-banken-half-jaar/dataset/7f3c11f9-647d-4014-91bc-07cfe44a1d61/resource/2bfc023d-bdf6-4133-a105-9f228dfc25aa</w:t>
      </w:r>
    </w:p>
  </w:footnote>
  <w:footnote w:id="66">
    <w:p w14:paraId="030FFA31" w14:textId="52CFC39A" w:rsidR="00ED72E9" w:rsidRDefault="00ED72E9">
      <w:pPr>
        <w:pStyle w:val="Voetnoottekst"/>
      </w:pPr>
      <w:r>
        <w:rPr>
          <w:rStyle w:val="Voetnootmarkering"/>
        </w:rPr>
        <w:footnoteRef/>
      </w:r>
      <w:r>
        <w:t xml:space="preserve"> Zie </w:t>
      </w:r>
      <w:hyperlink r:id="rId3" w:history="1">
        <w:r w:rsidRPr="002B3353">
          <w:rPr>
            <w:rStyle w:val="Hyperlink"/>
          </w:rPr>
          <w:t>https://www.dnb.nl/openbaar-register/</w:t>
        </w:r>
      </w:hyperlink>
      <w:r>
        <w:t>, en selecteer onder Register ‘banken’, en onder Financiële dienst “art. 2:20”.</w:t>
      </w:r>
    </w:p>
  </w:footnote>
  <w:footnote w:id="67">
    <w:p w14:paraId="585D0BEC" w14:textId="77777777" w:rsidR="00B3177C" w:rsidRPr="00EE3828" w:rsidRDefault="00B3177C" w:rsidP="00B3177C">
      <w:pPr>
        <w:pStyle w:val="Voetnoottekst"/>
        <w:rPr>
          <w:szCs w:val="16"/>
        </w:rPr>
      </w:pPr>
      <w:r w:rsidRPr="00EE3828">
        <w:rPr>
          <w:rStyle w:val="Voetnootmarkering"/>
          <w:szCs w:val="16"/>
        </w:rPr>
        <w:footnoteRef/>
      </w:r>
      <w:r w:rsidRPr="00EE3828">
        <w:rPr>
          <w:szCs w:val="16"/>
        </w:rPr>
        <w:t xml:space="preserve"> Dit verschil betreft € 15,- per uur tussen hoogopgeleid personeel en administratief personeel. Zie Handboek, Deel 4.D.</w:t>
      </w:r>
    </w:p>
  </w:footnote>
  <w:footnote w:id="68">
    <w:p w14:paraId="1E9715F2" w14:textId="6EB3A9BB" w:rsidR="00E53899" w:rsidRDefault="00E53899" w:rsidP="00E53899">
      <w:pPr>
        <w:pStyle w:val="Voetnoottekst"/>
      </w:pPr>
      <w:r>
        <w:rPr>
          <w:rStyle w:val="Voetnootmarkering"/>
        </w:rPr>
        <w:footnoteRef/>
      </w:r>
      <w:r>
        <w:t xml:space="preserve"> Artikel 1, vijfde lid, onderdeel g, van Verordening (EU) nr. 1093/2010 van het Europees Parlement en de Raad van 24 november 2010 tot oprichting van een Europese toezichthoudende autoriteit (Europese Bankautoriteit), tot wijziging van Besluit nr. 716/2009/EG en tot intrekking van Besluit 2009/78/EG van de Commissie (EBA-verordening.</w:t>
      </w:r>
    </w:p>
  </w:footnote>
  <w:footnote w:id="69">
    <w:p w14:paraId="5C999856" w14:textId="74DE6048" w:rsidR="00E53899" w:rsidRDefault="00E53899">
      <w:pPr>
        <w:pStyle w:val="Voetnoottekst"/>
      </w:pPr>
      <w:r>
        <w:rPr>
          <w:rStyle w:val="Voetnootmarkering"/>
        </w:rPr>
        <w:footnoteRef/>
      </w:r>
      <w:r>
        <w:t xml:space="preserve"> Zie overweging 31 van de verordening bankentoezicht.</w:t>
      </w:r>
    </w:p>
  </w:footnote>
  <w:footnote w:id="70">
    <w:p w14:paraId="631D1149" w14:textId="0990C607" w:rsidR="005E339F" w:rsidRDefault="005E339F">
      <w:pPr>
        <w:pStyle w:val="Voetnoottekst"/>
      </w:pPr>
      <w:r>
        <w:rPr>
          <w:rStyle w:val="Voetnootmarkering"/>
        </w:rPr>
        <w:footnoteRef/>
      </w:r>
      <w:r>
        <w:t xml:space="preserve"> </w:t>
      </w:r>
      <w:r w:rsidR="00C36F57">
        <w:t>Zie ook</w:t>
      </w:r>
      <w:r>
        <w:t xml:space="preserve"> het rapport van EBA over het verlenen van diensten uit </w:t>
      </w:r>
      <w:r w:rsidR="00E53899">
        <w:t>staten die geen lidstaat zijn</w:t>
      </w:r>
      <w:r>
        <w:t xml:space="preserve">: </w:t>
      </w:r>
      <w:r w:rsidRPr="005E339F">
        <w:t>https://www.eba.europa.eu/sites/default/files/2025-07/761117e3-bdb6-473b-b0d5-964bccd5f410/Report%20provision%20of%20services%20from%203rd%20countries.pdf</w:t>
      </w:r>
      <w:r>
        <w:t>.</w:t>
      </w:r>
    </w:p>
  </w:footnote>
  <w:footnote w:id="71">
    <w:p w14:paraId="5286BA76" w14:textId="3179A516" w:rsidR="00771E3E" w:rsidRDefault="00771E3E">
      <w:pPr>
        <w:pStyle w:val="Voetnoottekst"/>
      </w:pPr>
      <w:r>
        <w:rPr>
          <w:rStyle w:val="Voetnootmarkering"/>
        </w:rPr>
        <w:footnoteRef/>
      </w:r>
      <w:r>
        <w:t xml:space="preserve"> </w:t>
      </w:r>
      <w:r w:rsidRPr="00771E3E">
        <w:t>Verordening (EU) 2017/1129 van het Europees Parlement en de Raad van 14 juni 2017 betreffende het prospectus dat moet worden gepubliceerd wanneer effecten aan het publiek worden aangeboden of tot de handel op een gereglementeerde markt worden toegelaten en tot intrekking van Richtlijn 2003/71/EG</w:t>
      </w:r>
      <w:r>
        <w:t>.</w:t>
      </w:r>
    </w:p>
  </w:footnote>
  <w:footnote w:id="72">
    <w:p w14:paraId="7ED478EC" w14:textId="77777777" w:rsidR="0024398D" w:rsidRDefault="0024398D" w:rsidP="0024398D">
      <w:pPr>
        <w:pStyle w:val="Voetnoottekst"/>
      </w:pPr>
      <w:r>
        <w:rPr>
          <w:rStyle w:val="Voetnootmarkering"/>
        </w:rPr>
        <w:footnoteRef/>
      </w:r>
      <w:r>
        <w:t xml:space="preserve"> Richtlijn (EU) 2025/2 van het Europees Parlement en de Raad van 27 november 2024 tot wijziging van Richtlijn 2009/138/EG wat betreft evenredigheid, kwaliteit van het toezicht, rapportage, langetermijngarantiemaatregelen, macroprudentiële instrumenten, duurzaamheidsrisico’s, groepstoezicht en grensoverschrijdend toezicht, en tot wijziging van de Richtlijnen 2002/87/EG en 2013/34/EU.</w:t>
      </w:r>
    </w:p>
  </w:footnote>
  <w:footnote w:id="73">
    <w:p w14:paraId="53BB4906" w14:textId="4142E0A2" w:rsidR="00BB2435" w:rsidRDefault="00BB2435">
      <w:pPr>
        <w:pStyle w:val="Voetnoottekst"/>
      </w:pPr>
      <w:r>
        <w:rPr>
          <w:rStyle w:val="Voetnootmarkering"/>
        </w:rPr>
        <w:footnoteRef/>
      </w:r>
      <w:r>
        <w:t xml:space="preserve"> </w:t>
      </w:r>
      <w:r w:rsidRPr="003F267D">
        <w:t>Verordening (EU) nr. 1093/2010 van het Europees Parlement en de Raad van 24 november 2010 tot oprichting van een Europese toezichthoudende autoriteit (Europese Bankautoriteit), tot wijziging van Besluit nr. 716/2009/EG en tot intrekking van Besluit 2009/78/EG van de Commissie</w:t>
      </w:r>
      <w:r>
        <w:t>.</w:t>
      </w:r>
    </w:p>
  </w:footnote>
  <w:footnote w:id="74">
    <w:p w14:paraId="33E16A4A" w14:textId="50F58DEC" w:rsidR="002E72F8" w:rsidRDefault="002E72F8">
      <w:pPr>
        <w:pStyle w:val="Voetnoottekst"/>
      </w:pPr>
      <w:r>
        <w:rPr>
          <w:rStyle w:val="Voetnootmarkering"/>
        </w:rPr>
        <w:footnoteRef/>
      </w:r>
      <w:r>
        <w:t xml:space="preserve"> </w:t>
      </w:r>
      <w:r w:rsidR="00183570" w:rsidRPr="00183570">
        <w:t>Verordening (EU) 2016/679 betreffende de bescherming van natuurlijke personen in verband met de verwerking van persoonsgegevens en betreffende het vrije verkeer van die gegevens</w:t>
      </w:r>
      <w:r w:rsidR="00183570">
        <w:t>.</w:t>
      </w:r>
    </w:p>
  </w:footnote>
  <w:footnote w:id="75">
    <w:p w14:paraId="695771AA" w14:textId="27B3FC1D" w:rsidR="001D0DD5" w:rsidRPr="00EE3828" w:rsidRDefault="001D0DD5" w:rsidP="001D0DD5">
      <w:pPr>
        <w:pStyle w:val="Voetnoottekst"/>
        <w:rPr>
          <w:szCs w:val="16"/>
        </w:rPr>
      </w:pPr>
      <w:r w:rsidRPr="00EE3828">
        <w:rPr>
          <w:rStyle w:val="Voetnootmarkering"/>
          <w:szCs w:val="16"/>
        </w:rPr>
        <w:footnoteRef/>
      </w:r>
      <w:r w:rsidRPr="00EE3828">
        <w:rPr>
          <w:szCs w:val="16"/>
        </w:rPr>
        <w:t xml:space="preserve"> Functieprofielen directieleden DNB, hoofdstuk 2, zie </w:t>
      </w:r>
      <w:r w:rsidRPr="00405CA2">
        <w:rPr>
          <w:szCs w:val="16"/>
        </w:rPr>
        <w:t>https://www.dnb.nl/media/kd2dqzho/functieprofielen-directieleden-dnb_tcm46-252408.pdf</w:t>
      </w:r>
      <w:r w:rsidRPr="00EE3828">
        <w:rPr>
          <w:szCs w:val="16"/>
        </w:rPr>
        <w:t xml:space="preserve">. </w:t>
      </w:r>
      <w:r w:rsidRPr="00DE039A">
        <w:rPr>
          <w:szCs w:val="16"/>
        </w:rPr>
        <w:t>Kamerstukken II</w:t>
      </w:r>
      <w:r w:rsidRPr="00EE3828">
        <w:rPr>
          <w:szCs w:val="16"/>
        </w:rPr>
        <w:t xml:space="preserve"> 2012/11, 32782, nr. 3, p. 4.</w:t>
      </w:r>
    </w:p>
  </w:footnote>
  <w:footnote w:id="76">
    <w:p w14:paraId="4B591C9E" w14:textId="1B99346E" w:rsidR="00DC72BA" w:rsidRDefault="00DC72BA" w:rsidP="00DC72BA">
      <w:pPr>
        <w:pStyle w:val="Voetnoottekst"/>
      </w:pPr>
      <w:bookmarkStart w:id="7" w:name="_Hlk196224463"/>
      <w:r>
        <w:rPr>
          <w:rStyle w:val="Voetnootmarkering"/>
        </w:rPr>
        <w:footnoteRef/>
      </w:r>
      <w:r>
        <w:t xml:space="preserve"> </w:t>
      </w:r>
      <w:r w:rsidRPr="00B14A85">
        <w:t>Verordening 2024/3005 van het Europees Parlement en de Raad van 27 november 2024 betreffende de transparantie en integriteit van op ecologische, sociale en governancefactoren (ESG) gebaseerde ratingsactiviteiten, en tot wijziging van Verordeningen (EU) 2019/2088 en (EU) 2023/2859</w:t>
      </w:r>
      <w:r>
        <w:t>. Verdere uitvoering wordt gegeven aan deze verordening middels een in voorbereiding zijnde aanvulling van het Besluit EU-verordeningen Wft.</w:t>
      </w:r>
    </w:p>
    <w:bookmarkEnd w:id="7"/>
  </w:footnote>
  <w:footnote w:id="77">
    <w:p w14:paraId="46110213" w14:textId="6CDFAC02" w:rsidR="00C41C8C" w:rsidRDefault="00C41C8C">
      <w:pPr>
        <w:pStyle w:val="Voetnoottekst"/>
      </w:pPr>
      <w:r>
        <w:rPr>
          <w:rStyle w:val="Voetnootmarkering"/>
        </w:rPr>
        <w:footnoteRef/>
      </w:r>
      <w:r>
        <w:t xml:space="preserve"> </w:t>
      </w:r>
      <w:r w:rsidRPr="00C41C8C">
        <w:t>Richtlijn 2009/138/EG van het Europees Parlement en de Raad van 25 november 2009 betreffende de toegang tot en uitoefening van het verzekerings- en het herverzekeringsbedrijf (Solvabiliteit II)</w:t>
      </w:r>
      <w:r>
        <w:t>.</w:t>
      </w:r>
    </w:p>
  </w:footnote>
  <w:footnote w:id="78">
    <w:p w14:paraId="213CE30A" w14:textId="4E6A1B2B" w:rsidR="00430C86" w:rsidRPr="00430C86" w:rsidRDefault="00430C86">
      <w:pPr>
        <w:pStyle w:val="Voetnoottekst"/>
      </w:pPr>
      <w:r>
        <w:rPr>
          <w:rStyle w:val="Voetnootmarkering"/>
        </w:rPr>
        <w:footnoteRef/>
      </w:r>
      <w:r w:rsidRPr="00430C86">
        <w:t xml:space="preserve"> De </w:t>
      </w:r>
      <w:r w:rsidRPr="00430C86">
        <w:rPr>
          <w:i/>
          <w:iCs/>
        </w:rPr>
        <w:t>lex silencio positivo</w:t>
      </w:r>
      <w:r w:rsidRPr="00430C86">
        <w:t xml:space="preserve"> i</w:t>
      </w:r>
      <w:r w:rsidRPr="00CD16FC">
        <w:t>s de positieve fictieve beschikkin</w:t>
      </w:r>
      <w:r>
        <w:t>g uit artikel 4:20b Awb: Indien niet tijdig op de aanvraag tot het geven van een beschikking is beslist, is de gevraagde beschikking van rechtswege gegeven.</w:t>
      </w:r>
    </w:p>
  </w:footnote>
  <w:footnote w:id="79">
    <w:p w14:paraId="6A068203" w14:textId="572B6E9C" w:rsidR="00EF4BAD" w:rsidRPr="00EE3828" w:rsidRDefault="00EF4BAD">
      <w:pPr>
        <w:pStyle w:val="Voetnoottekst"/>
        <w:rPr>
          <w:szCs w:val="16"/>
        </w:rPr>
      </w:pPr>
      <w:r w:rsidRPr="00EE3828">
        <w:rPr>
          <w:rStyle w:val="Voetnootmarkering"/>
          <w:szCs w:val="16"/>
        </w:rPr>
        <w:footnoteRef/>
      </w:r>
      <w:r w:rsidRPr="00EE3828">
        <w:rPr>
          <w:szCs w:val="16"/>
        </w:rPr>
        <w:t xml:space="preserve"> Zie </w:t>
      </w:r>
      <w:r w:rsidR="008A671E" w:rsidRPr="00405CA2">
        <w:rPr>
          <w:szCs w:val="16"/>
        </w:rPr>
        <w:t>www.dnb.nl/openbaar-register</w:t>
      </w:r>
      <w:r w:rsidR="008A671E" w:rsidRPr="00EE3828">
        <w:rPr>
          <w:szCs w:val="16"/>
        </w:rPr>
        <w:t xml:space="preserve"> en </w:t>
      </w:r>
      <w:r w:rsidR="008A671E" w:rsidRPr="00405CA2">
        <w:rPr>
          <w:szCs w:val="16"/>
        </w:rPr>
        <w:t>www.afm.nl/nl-nl/sector/registers</w:t>
      </w:r>
      <w:r w:rsidR="008A671E" w:rsidRPr="00EE3828">
        <w:rPr>
          <w:szCs w:val="16"/>
        </w:rPr>
        <w:t>.</w:t>
      </w:r>
    </w:p>
  </w:footnote>
  <w:footnote w:id="80">
    <w:p w14:paraId="339BBEFA" w14:textId="60B84477" w:rsidR="00477C15" w:rsidRPr="00964656" w:rsidRDefault="00477C15">
      <w:pPr>
        <w:pStyle w:val="Voetnoottekst"/>
        <w:rPr>
          <w:i/>
          <w:iCs/>
        </w:rPr>
      </w:pPr>
      <w:r>
        <w:rPr>
          <w:rStyle w:val="Voetnootmarkering"/>
        </w:rPr>
        <w:footnoteRef/>
      </w:r>
      <w:r>
        <w:t xml:space="preserve"> Zie ook overweging 5 bij de richtlijn: </w:t>
      </w:r>
      <w:r w:rsidRPr="00964656">
        <w:rPr>
          <w:i/>
          <w:iCs/>
        </w:rPr>
        <w:t>De verlening van de in bijlage I, punten 1, 2 en 6, bij Richtlijn 2013/36/EU vermelde kernbankdiensten moet afhankelijk worden gesteld van een uitdrukkelijke en geharmoniseerde vergunningsplicht in het Unierecht, waarin wordt gespecificeerd dat in een derde land gevestigde ondernemingen die dergelijke kernbankdiensten in de Unie willen verrichten, ten minste een bijkantoor in een lidstaat moeten vestigen en dat aan een dergelijk bijkantoor een vergunning moet worden verleend overeenkomstig het Unierecht, tenzij de onderneming via een dochteronderneming bankdiensten in de Unie wil verrichten.</w:t>
      </w:r>
    </w:p>
  </w:footnote>
  <w:footnote w:id="81">
    <w:p w14:paraId="456208C2" w14:textId="610279CB" w:rsidR="002C7DA0" w:rsidRPr="00EE3828" w:rsidRDefault="002C7DA0" w:rsidP="002C7DA0">
      <w:pPr>
        <w:pStyle w:val="Voetnoottekst"/>
        <w:rPr>
          <w:szCs w:val="16"/>
        </w:rPr>
      </w:pPr>
      <w:r w:rsidRPr="00EE3828">
        <w:rPr>
          <w:rStyle w:val="Voetnootmarkering"/>
          <w:szCs w:val="16"/>
        </w:rPr>
        <w:footnoteRef/>
      </w:r>
      <w:r w:rsidRPr="00EE3828">
        <w:rPr>
          <w:szCs w:val="16"/>
        </w:rPr>
        <w:t xml:space="preserve"> Verordening (EU) 2023/1114 van het Europees Parlement en de Raad van 31 mei 2023 </w:t>
      </w:r>
    </w:p>
    <w:p w14:paraId="637196D8" w14:textId="5B6455CF" w:rsidR="002C7DA0" w:rsidRPr="00EE3828" w:rsidRDefault="002C7DA0" w:rsidP="002C7DA0">
      <w:pPr>
        <w:pStyle w:val="Voetnoottekst"/>
        <w:rPr>
          <w:szCs w:val="16"/>
        </w:rPr>
      </w:pPr>
      <w:r w:rsidRPr="00EE3828">
        <w:rPr>
          <w:szCs w:val="16"/>
        </w:rPr>
        <w:t>betreffende cryptoactivamarkten en tot wijziging van verordeningen (</w:t>
      </w:r>
      <w:r w:rsidR="001D6A30" w:rsidRPr="00EE3828">
        <w:rPr>
          <w:szCs w:val="16"/>
        </w:rPr>
        <w:t>EU</w:t>
      </w:r>
      <w:r w:rsidRPr="00EE3828">
        <w:rPr>
          <w:szCs w:val="16"/>
        </w:rPr>
        <w:t>) nr. 1093/2010 en (</w:t>
      </w:r>
      <w:r w:rsidR="001D6A30" w:rsidRPr="00EE3828">
        <w:rPr>
          <w:szCs w:val="16"/>
        </w:rPr>
        <w:t>EU</w:t>
      </w:r>
      <w:r w:rsidRPr="00EE3828">
        <w:rPr>
          <w:szCs w:val="16"/>
        </w:rPr>
        <w:t>) nr. 1095/2010 en richtlijnen 2013/36/</w:t>
      </w:r>
      <w:r w:rsidR="001D6A30" w:rsidRPr="00EE3828">
        <w:rPr>
          <w:szCs w:val="16"/>
        </w:rPr>
        <w:t>EU</w:t>
      </w:r>
      <w:r w:rsidRPr="00EE3828">
        <w:rPr>
          <w:szCs w:val="16"/>
        </w:rPr>
        <w:t xml:space="preserve"> en (</w:t>
      </w:r>
      <w:r w:rsidR="001D6A30" w:rsidRPr="00EE3828">
        <w:rPr>
          <w:szCs w:val="16"/>
        </w:rPr>
        <w:t>EU</w:t>
      </w:r>
      <w:r w:rsidRPr="00EE3828">
        <w:rPr>
          <w:szCs w:val="16"/>
        </w:rPr>
        <w:t xml:space="preserve">) 2019/1937. </w:t>
      </w:r>
    </w:p>
  </w:footnote>
  <w:footnote w:id="82">
    <w:p w14:paraId="2B9411C8" w14:textId="262ED92F" w:rsidR="008171D0" w:rsidRPr="00EE3828" w:rsidRDefault="008171D0">
      <w:pPr>
        <w:pStyle w:val="Voetnoottekst"/>
        <w:rPr>
          <w:szCs w:val="16"/>
        </w:rPr>
      </w:pPr>
      <w:r w:rsidRPr="00EE3828">
        <w:rPr>
          <w:rStyle w:val="Voetnootmarkering"/>
          <w:szCs w:val="16"/>
        </w:rPr>
        <w:footnoteRef/>
      </w:r>
      <w:r w:rsidRPr="00EE3828">
        <w:rPr>
          <w:szCs w:val="16"/>
        </w:rPr>
        <w:t xml:space="preserve"> </w:t>
      </w:r>
      <w:r w:rsidR="001D6A30" w:rsidRPr="00EE3828">
        <w:rPr>
          <w:szCs w:val="16"/>
        </w:rPr>
        <w:t>https://www.esma.europa.eu/sites/default/files/library/esma35-43-2509_statement_on_reverse_solicitation.pdf.</w:t>
      </w:r>
    </w:p>
  </w:footnote>
  <w:footnote w:id="83">
    <w:p w14:paraId="61290C37" w14:textId="6D94B5FB" w:rsidR="00200292" w:rsidRPr="00EE3828" w:rsidRDefault="00200292" w:rsidP="00200292">
      <w:pPr>
        <w:pStyle w:val="Voetnoottekst"/>
        <w:rPr>
          <w:szCs w:val="16"/>
        </w:rPr>
      </w:pPr>
      <w:r w:rsidRPr="00EE3828">
        <w:rPr>
          <w:rStyle w:val="Voetnootmarkering"/>
          <w:szCs w:val="16"/>
        </w:rPr>
        <w:footnoteRef/>
      </w:r>
      <w:r w:rsidRPr="00EE3828">
        <w:rPr>
          <w:szCs w:val="16"/>
        </w:rPr>
        <w:t xml:space="preserve"> Richtlijn 2014/59/EU van het Europees Parlement en de Raad van 15 mei 2014 betreffende de totstandbrenging van een kader voor het herstel en de afwikkeling van kredietinstellingen en beleggingsondernemingen en tot wijziging van Richtlijn 82/891/EEG van de Raad en de Richtlijnen 2001/24/EG, 2002/47/EG, 2004/25/EG, 2005/56/EG, 2007/36/EG, 2011/35/EU, 2012/30/EU en 2013/36/EU en de Verordeningen (EU) nr. 1093/2010 en (EU) nr. 648/2012, van het Europees Parlement en de Raad. Zie tevens de EBA richtsnoeren voor het beoordelen van de geschiktheid van leden van het leidinggevend orgaan en medewerkers met een sleutelfunctie (EBA/GL/2021/06), specifiek onderdelen 203-207.</w:t>
      </w:r>
    </w:p>
  </w:footnote>
  <w:footnote w:id="84">
    <w:p w14:paraId="28A8BDA8" w14:textId="2CBD2734" w:rsidR="00F14D6D" w:rsidRDefault="00F14D6D">
      <w:pPr>
        <w:pStyle w:val="Voetnoottekst"/>
      </w:pPr>
      <w:r>
        <w:rPr>
          <w:rStyle w:val="Voetnootmarkering"/>
        </w:rPr>
        <w:footnoteRef/>
      </w:r>
      <w:r>
        <w:t xml:space="preserve"> Zie artikel 1.5 Beleidsregel geschiktheid 2012.</w:t>
      </w:r>
    </w:p>
  </w:footnote>
  <w:footnote w:id="85">
    <w:p w14:paraId="6AE374D1" w14:textId="3604947E" w:rsidR="00D5018E" w:rsidRPr="00EE3828" w:rsidRDefault="00D5018E">
      <w:pPr>
        <w:pStyle w:val="Voetnoottekst"/>
        <w:rPr>
          <w:szCs w:val="16"/>
        </w:rPr>
      </w:pPr>
      <w:r w:rsidRPr="00EE3828">
        <w:rPr>
          <w:rStyle w:val="Voetnootmarkering"/>
          <w:szCs w:val="16"/>
        </w:rPr>
        <w:footnoteRef/>
      </w:r>
      <w:r w:rsidRPr="00EE3828">
        <w:rPr>
          <w:szCs w:val="16"/>
        </w:rPr>
        <w:t xml:space="preserve"> NCA staat voor ‘national competent authority’</w:t>
      </w:r>
      <w:r w:rsidR="00736EA4">
        <w:rPr>
          <w:szCs w:val="16"/>
        </w:rPr>
        <w:t xml:space="preserve"> en hiermee wordt</w:t>
      </w:r>
      <w:r w:rsidRPr="00EE3828">
        <w:rPr>
          <w:szCs w:val="16"/>
        </w:rPr>
        <w:t xml:space="preserve"> de toezichthouder in een andere lidstaat</w:t>
      </w:r>
      <w:r w:rsidR="00736EA4">
        <w:rPr>
          <w:szCs w:val="16"/>
        </w:rPr>
        <w:t xml:space="preserve"> bedoeld</w:t>
      </w:r>
      <w:r w:rsidRPr="00EE3828">
        <w:rPr>
          <w:szCs w:val="16"/>
        </w:rPr>
        <w:t>.</w:t>
      </w:r>
    </w:p>
  </w:footnote>
  <w:footnote w:id="86">
    <w:p w14:paraId="2CD18A7E" w14:textId="2DF3F873" w:rsidR="00495E17" w:rsidRPr="00EE3828" w:rsidRDefault="00495E17">
      <w:pPr>
        <w:pStyle w:val="Voetnoottekst"/>
        <w:rPr>
          <w:szCs w:val="16"/>
        </w:rPr>
      </w:pPr>
      <w:r w:rsidRPr="00EE3828">
        <w:rPr>
          <w:rStyle w:val="Voetnootmarkering"/>
          <w:szCs w:val="16"/>
        </w:rPr>
        <w:footnoteRef/>
      </w:r>
      <w:r w:rsidRPr="00EE3828">
        <w:rPr>
          <w:szCs w:val="16"/>
        </w:rPr>
        <w:t xml:space="preserve"> Richtlijn (EU) 2017/1132 van het Europees Parlement en de Raad van 14 juni 2017 aangaande bepaalde aspecten van het vennootschapsrecht.</w:t>
      </w:r>
    </w:p>
  </w:footnote>
  <w:footnote w:id="87">
    <w:p w14:paraId="7596761C" w14:textId="77777777" w:rsidR="004521D3" w:rsidRPr="00EE3828" w:rsidRDefault="004521D3" w:rsidP="004521D3">
      <w:pPr>
        <w:pStyle w:val="Voetnoottekst"/>
        <w:rPr>
          <w:szCs w:val="16"/>
        </w:rPr>
      </w:pPr>
      <w:r w:rsidRPr="00EE3828">
        <w:rPr>
          <w:rStyle w:val="Voetnootmarkering"/>
          <w:szCs w:val="16"/>
        </w:rPr>
        <w:footnoteRef/>
      </w:r>
      <w:r w:rsidRPr="00EE3828">
        <w:rPr>
          <w:szCs w:val="16"/>
        </w:rPr>
        <w:t xml:space="preserve"> Zie ook artikel 15, eerste lid, van de verordening bankentoezicht.</w:t>
      </w:r>
    </w:p>
  </w:footnote>
  <w:footnote w:id="88">
    <w:p w14:paraId="6BA80BBC" w14:textId="34D0ACD8" w:rsidR="00004A1C" w:rsidRDefault="00004A1C">
      <w:pPr>
        <w:pStyle w:val="Voetnoottekst"/>
      </w:pPr>
      <w:r>
        <w:rPr>
          <w:rStyle w:val="Voetnootmarkering"/>
        </w:rPr>
        <w:footnoteRef/>
      </w:r>
      <w:r>
        <w:t xml:space="preserve"> </w:t>
      </w:r>
      <w:r w:rsidR="00F77A43" w:rsidRPr="00F77A43">
        <w:t xml:space="preserve">Verordening (EU) nr. 468/2014 </w:t>
      </w:r>
      <w:r w:rsidR="00F77A43">
        <w:t xml:space="preserve">van het Europees Parlement en de Raad van 16 april 2014 </w:t>
      </w:r>
      <w:r w:rsidR="00F77A43" w:rsidRPr="00F77A43">
        <w:t>tot vaststelling van een kader voor samenwerking tussen de Europese Centrale Bank en nationale bevoegde autoriteiten binnen het gemeenschappelijk toezichtsmechanisme (GTM-kaderverordening)</w:t>
      </w:r>
      <w:r w:rsidR="00F77A43">
        <w:t>.</w:t>
      </w:r>
    </w:p>
  </w:footnote>
  <w:footnote w:id="89">
    <w:p w14:paraId="4B69589C" w14:textId="5451A895" w:rsidR="00004A1C" w:rsidRDefault="00004A1C">
      <w:pPr>
        <w:pStyle w:val="Voetnoottekst"/>
      </w:pPr>
      <w:r>
        <w:rPr>
          <w:rStyle w:val="Voetnootmarkering"/>
        </w:rPr>
        <w:footnoteRef/>
      </w:r>
      <w:r>
        <w:t xml:space="preserve"> </w:t>
      </w:r>
      <w:r w:rsidR="00F77A43">
        <w:t>V</w:t>
      </w:r>
      <w:r w:rsidR="00F77A43" w:rsidRPr="00F77A43">
        <w:t>erordening (EU) nr. 806/2014 van het Europees Parlement en de Raad van 15 juli 2014 tot vaststelling van eenvormige regels en een eenvormige procedure voor de afwikkeling van kredietinstellingen en bepaalde beleggingsondernemingen in het kader van een gemeenschappelijk afwikkelingsmechanisme en een gemeenschappelijk afwikkelingsfonds en tot wijziging van Verordening (EU) nr. 1093/2010</w:t>
      </w:r>
    </w:p>
  </w:footnote>
  <w:footnote w:id="90">
    <w:p w14:paraId="58B86643" w14:textId="27C46A78" w:rsidR="00385727" w:rsidRDefault="00385727">
      <w:pPr>
        <w:pStyle w:val="Voetnoottekst"/>
      </w:pPr>
      <w:r>
        <w:rPr>
          <w:rStyle w:val="Voetnootmarkering"/>
        </w:rPr>
        <w:footnoteRef/>
      </w:r>
      <w:r>
        <w:t xml:space="preserve"> Het ethische kader van de ECB</w:t>
      </w:r>
      <w:r w:rsidR="004636D4">
        <w:t>, 20 juni 2015, PbEU C 204/3.</w:t>
      </w:r>
    </w:p>
  </w:footnote>
  <w:footnote w:id="91">
    <w:p w14:paraId="35980393" w14:textId="6A7F8078" w:rsidR="00F77A43" w:rsidRDefault="00F77A43">
      <w:pPr>
        <w:pStyle w:val="Voetnoottekst"/>
      </w:pPr>
      <w:r>
        <w:rPr>
          <w:rStyle w:val="Voetnootmarkering"/>
        </w:rPr>
        <w:footnoteRef/>
      </w:r>
      <w:r>
        <w:t xml:space="preserve"> Europese Centrale Bank, Gedragscode voor hoge ambtenaren van de Europese Centrale Bank, 8 maart 2019, PbEU C 89/2.</w:t>
      </w:r>
    </w:p>
  </w:footnote>
  <w:footnote w:id="92">
    <w:p w14:paraId="76BFE069" w14:textId="6A436E1F" w:rsidR="00F72F62" w:rsidRDefault="00F72F62">
      <w:pPr>
        <w:pStyle w:val="Voetnoottekst"/>
      </w:pPr>
      <w:r>
        <w:rPr>
          <w:rStyle w:val="Voetnootmarkering"/>
        </w:rPr>
        <w:footnoteRef/>
      </w:r>
      <w:r>
        <w:t xml:space="preserve"> Regeling Privébeleggingstransacties DNB (2023). </w:t>
      </w:r>
      <w:r w:rsidRPr="00405CA2">
        <w:t>https://www.dnb.nl/media/fk2gps3i/regeling-priv%C3%A9beleggingstransacties-dnb-2023.pdf</w:t>
      </w:r>
      <w:r>
        <w:t xml:space="preserve">. </w:t>
      </w:r>
    </w:p>
  </w:footnote>
  <w:footnote w:id="93">
    <w:p w14:paraId="10C32D3F" w14:textId="3631CDD1" w:rsidR="006E358E" w:rsidRDefault="006E358E">
      <w:pPr>
        <w:pStyle w:val="Voetnoottekst"/>
      </w:pPr>
      <w:r>
        <w:rPr>
          <w:rStyle w:val="Voetnootmarkering"/>
        </w:rPr>
        <w:footnoteRef/>
      </w:r>
      <w:r>
        <w:t xml:space="preserve"> </w:t>
      </w:r>
      <w:r w:rsidRPr="006E358E">
        <w:t>Richtlijn 2001/24/EG van het Europees Parlement en de Raad van 4 april 2001 betreffende de sanering en de liquidatie van kredietinstellingen.</w:t>
      </w:r>
    </w:p>
  </w:footnote>
  <w:footnote w:id="94">
    <w:p w14:paraId="6B49FCD5" w14:textId="77777777" w:rsidR="00334D7E" w:rsidRDefault="00334D7E" w:rsidP="00334D7E">
      <w:pPr>
        <w:pStyle w:val="Voetnoottekst"/>
      </w:pPr>
      <w:r>
        <w:rPr>
          <w:rStyle w:val="Voetnootmarkering"/>
        </w:rPr>
        <w:footnoteRef/>
      </w:r>
      <w:r>
        <w:t xml:space="preserve"> Kamerstukken II 2010/11, 32782, nr. 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9261F66"/>
    <w:multiLevelType w:val="hybridMultilevel"/>
    <w:tmpl w:val="4FDAC256"/>
    <w:lvl w:ilvl="0" w:tplc="04130011">
      <w:start w:val="1"/>
      <w:numFmt w:val="decimal"/>
      <w:lvlText w:val="%1)"/>
      <w:lvlJc w:val="left"/>
      <w:pPr>
        <w:ind w:left="360" w:hanging="360"/>
      </w:pPr>
      <w:rPr>
        <w:rFonts w:hint="default"/>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DA0592E"/>
    <w:multiLevelType w:val="hybridMultilevel"/>
    <w:tmpl w:val="E23A71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1A81B8E"/>
    <w:multiLevelType w:val="hybridMultilevel"/>
    <w:tmpl w:val="EDA8053E"/>
    <w:lvl w:ilvl="0" w:tplc="C3425046">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780481"/>
    <w:multiLevelType w:val="hybridMultilevel"/>
    <w:tmpl w:val="DCBE0AA6"/>
    <w:lvl w:ilvl="0" w:tplc="04130001">
      <w:start w:val="1"/>
      <w:numFmt w:val="bullet"/>
      <w:lvlText w:val=""/>
      <w:lvlJc w:val="left"/>
      <w:pPr>
        <w:ind w:left="720" w:hanging="72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4920FD"/>
    <w:multiLevelType w:val="hybridMultilevel"/>
    <w:tmpl w:val="C9BCCC26"/>
    <w:lvl w:ilvl="0" w:tplc="A7D067F6">
      <w:start w:val="1"/>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7A2BD3"/>
    <w:multiLevelType w:val="hybridMultilevel"/>
    <w:tmpl w:val="FE7EC196"/>
    <w:lvl w:ilvl="0" w:tplc="5B7E8EDC">
      <w:start w:val="8"/>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AC23ADD"/>
    <w:multiLevelType w:val="hybridMultilevel"/>
    <w:tmpl w:val="D612ED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F855AC9"/>
    <w:multiLevelType w:val="hybridMultilevel"/>
    <w:tmpl w:val="605627C2"/>
    <w:lvl w:ilvl="0" w:tplc="DDA499B6">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500E5C"/>
    <w:multiLevelType w:val="hybridMultilevel"/>
    <w:tmpl w:val="17B4DBEE"/>
    <w:lvl w:ilvl="0" w:tplc="B8A4106E">
      <w:start w:val="1"/>
      <w:numFmt w:val="bullet"/>
      <w:lvlText w:val=""/>
      <w:lvlJc w:val="left"/>
      <w:pPr>
        <w:ind w:left="720" w:hanging="360"/>
      </w:pPr>
      <w:rPr>
        <w:rFonts w:ascii="Symbol" w:hAnsi="Symbol"/>
      </w:rPr>
    </w:lvl>
    <w:lvl w:ilvl="1" w:tplc="D18EC038">
      <w:start w:val="1"/>
      <w:numFmt w:val="bullet"/>
      <w:lvlText w:val=""/>
      <w:lvlJc w:val="left"/>
      <w:pPr>
        <w:ind w:left="720" w:hanging="360"/>
      </w:pPr>
      <w:rPr>
        <w:rFonts w:ascii="Symbol" w:hAnsi="Symbol"/>
      </w:rPr>
    </w:lvl>
    <w:lvl w:ilvl="2" w:tplc="BF0CAABC">
      <w:start w:val="1"/>
      <w:numFmt w:val="bullet"/>
      <w:lvlText w:val=""/>
      <w:lvlJc w:val="left"/>
      <w:pPr>
        <w:ind w:left="720" w:hanging="360"/>
      </w:pPr>
      <w:rPr>
        <w:rFonts w:ascii="Symbol" w:hAnsi="Symbol"/>
      </w:rPr>
    </w:lvl>
    <w:lvl w:ilvl="3" w:tplc="60D442E8">
      <w:start w:val="1"/>
      <w:numFmt w:val="bullet"/>
      <w:lvlText w:val=""/>
      <w:lvlJc w:val="left"/>
      <w:pPr>
        <w:ind w:left="720" w:hanging="360"/>
      </w:pPr>
      <w:rPr>
        <w:rFonts w:ascii="Symbol" w:hAnsi="Symbol"/>
      </w:rPr>
    </w:lvl>
    <w:lvl w:ilvl="4" w:tplc="340046E6">
      <w:start w:val="1"/>
      <w:numFmt w:val="bullet"/>
      <w:lvlText w:val=""/>
      <w:lvlJc w:val="left"/>
      <w:pPr>
        <w:ind w:left="720" w:hanging="360"/>
      </w:pPr>
      <w:rPr>
        <w:rFonts w:ascii="Symbol" w:hAnsi="Symbol"/>
      </w:rPr>
    </w:lvl>
    <w:lvl w:ilvl="5" w:tplc="51602FF6">
      <w:start w:val="1"/>
      <w:numFmt w:val="bullet"/>
      <w:lvlText w:val=""/>
      <w:lvlJc w:val="left"/>
      <w:pPr>
        <w:ind w:left="720" w:hanging="360"/>
      </w:pPr>
      <w:rPr>
        <w:rFonts w:ascii="Symbol" w:hAnsi="Symbol"/>
      </w:rPr>
    </w:lvl>
    <w:lvl w:ilvl="6" w:tplc="414AFDFA">
      <w:start w:val="1"/>
      <w:numFmt w:val="bullet"/>
      <w:lvlText w:val=""/>
      <w:lvlJc w:val="left"/>
      <w:pPr>
        <w:ind w:left="720" w:hanging="360"/>
      </w:pPr>
      <w:rPr>
        <w:rFonts w:ascii="Symbol" w:hAnsi="Symbol"/>
      </w:rPr>
    </w:lvl>
    <w:lvl w:ilvl="7" w:tplc="F1AE346A">
      <w:start w:val="1"/>
      <w:numFmt w:val="bullet"/>
      <w:lvlText w:val=""/>
      <w:lvlJc w:val="left"/>
      <w:pPr>
        <w:ind w:left="720" w:hanging="360"/>
      </w:pPr>
      <w:rPr>
        <w:rFonts w:ascii="Symbol" w:hAnsi="Symbol"/>
      </w:rPr>
    </w:lvl>
    <w:lvl w:ilvl="8" w:tplc="3A7C0BC4">
      <w:start w:val="1"/>
      <w:numFmt w:val="bullet"/>
      <w:lvlText w:val=""/>
      <w:lvlJc w:val="left"/>
      <w:pPr>
        <w:ind w:left="720" w:hanging="360"/>
      </w:pPr>
      <w:rPr>
        <w:rFonts w:ascii="Symbol" w:hAnsi="Symbol"/>
      </w:rPr>
    </w:lvl>
  </w:abstractNum>
  <w:abstractNum w:abstractNumId="12" w15:restartNumberingAfterBreak="0">
    <w:nsid w:val="2B04040E"/>
    <w:multiLevelType w:val="hybridMultilevel"/>
    <w:tmpl w:val="2F3A1AD6"/>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DC1136D"/>
    <w:multiLevelType w:val="hybridMultilevel"/>
    <w:tmpl w:val="D88C0E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8F71C92"/>
    <w:multiLevelType w:val="hybridMultilevel"/>
    <w:tmpl w:val="4BC8B542"/>
    <w:lvl w:ilvl="0" w:tplc="B07026A6">
      <w:numFmt w:val="bullet"/>
      <w:lvlText w:val="•"/>
      <w:lvlJc w:val="left"/>
      <w:pPr>
        <w:ind w:left="720" w:hanging="72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105196F"/>
    <w:multiLevelType w:val="hybridMultilevel"/>
    <w:tmpl w:val="DF14B108"/>
    <w:lvl w:ilvl="0" w:tplc="02247414">
      <w:start w:val="1"/>
      <w:numFmt w:val="lowerLetter"/>
      <w:lvlText w:val="%1)"/>
      <w:lvlJc w:val="left"/>
      <w:pPr>
        <w:ind w:left="1440" w:hanging="360"/>
      </w:pPr>
    </w:lvl>
    <w:lvl w:ilvl="1" w:tplc="AD3EA95E">
      <w:start w:val="1"/>
      <w:numFmt w:val="lowerLetter"/>
      <w:lvlText w:val="%2)"/>
      <w:lvlJc w:val="left"/>
      <w:pPr>
        <w:ind w:left="1440" w:hanging="360"/>
      </w:pPr>
    </w:lvl>
    <w:lvl w:ilvl="2" w:tplc="1722C348">
      <w:start w:val="1"/>
      <w:numFmt w:val="lowerLetter"/>
      <w:lvlText w:val="%3)"/>
      <w:lvlJc w:val="left"/>
      <w:pPr>
        <w:ind w:left="1440" w:hanging="360"/>
      </w:pPr>
    </w:lvl>
    <w:lvl w:ilvl="3" w:tplc="33768A82">
      <w:start w:val="1"/>
      <w:numFmt w:val="lowerLetter"/>
      <w:lvlText w:val="%4)"/>
      <w:lvlJc w:val="left"/>
      <w:pPr>
        <w:ind w:left="1440" w:hanging="360"/>
      </w:pPr>
    </w:lvl>
    <w:lvl w:ilvl="4" w:tplc="3B34C52C">
      <w:start w:val="1"/>
      <w:numFmt w:val="lowerLetter"/>
      <w:lvlText w:val="%5)"/>
      <w:lvlJc w:val="left"/>
      <w:pPr>
        <w:ind w:left="1440" w:hanging="360"/>
      </w:pPr>
    </w:lvl>
    <w:lvl w:ilvl="5" w:tplc="BE0C77AC">
      <w:start w:val="1"/>
      <w:numFmt w:val="lowerLetter"/>
      <w:lvlText w:val="%6)"/>
      <w:lvlJc w:val="left"/>
      <w:pPr>
        <w:ind w:left="1440" w:hanging="360"/>
      </w:pPr>
    </w:lvl>
    <w:lvl w:ilvl="6" w:tplc="721E6BEE">
      <w:start w:val="1"/>
      <w:numFmt w:val="lowerLetter"/>
      <w:lvlText w:val="%7)"/>
      <w:lvlJc w:val="left"/>
      <w:pPr>
        <w:ind w:left="1440" w:hanging="360"/>
      </w:pPr>
    </w:lvl>
    <w:lvl w:ilvl="7" w:tplc="ED9C3246">
      <w:start w:val="1"/>
      <w:numFmt w:val="lowerLetter"/>
      <w:lvlText w:val="%8)"/>
      <w:lvlJc w:val="left"/>
      <w:pPr>
        <w:ind w:left="1440" w:hanging="360"/>
      </w:pPr>
    </w:lvl>
    <w:lvl w:ilvl="8" w:tplc="F3722002">
      <w:start w:val="1"/>
      <w:numFmt w:val="lowerLetter"/>
      <w:lvlText w:val="%9)"/>
      <w:lvlJc w:val="left"/>
      <w:pPr>
        <w:ind w:left="1440" w:hanging="360"/>
      </w:pPr>
    </w:lvl>
  </w:abstractNum>
  <w:abstractNum w:abstractNumId="20"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B0F392B"/>
    <w:multiLevelType w:val="hybridMultilevel"/>
    <w:tmpl w:val="BBD8D42C"/>
    <w:lvl w:ilvl="0" w:tplc="BDBC4F7C">
      <w:numFmt w:val="bullet"/>
      <w:lvlText w:val=""/>
      <w:lvlJc w:val="left"/>
      <w:pPr>
        <w:ind w:left="420" w:hanging="360"/>
      </w:pPr>
      <w:rPr>
        <w:rFonts w:ascii="Symbol" w:eastAsia="Calibri" w:hAnsi="Symbol" w:cs="Aria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2"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8B1491A"/>
    <w:multiLevelType w:val="hybridMultilevel"/>
    <w:tmpl w:val="93580A96"/>
    <w:lvl w:ilvl="0" w:tplc="2DCC37E4">
      <w:start w:val="3"/>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9A4372D"/>
    <w:multiLevelType w:val="hybridMultilevel"/>
    <w:tmpl w:val="441AF2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A9F52F0"/>
    <w:multiLevelType w:val="hybridMultilevel"/>
    <w:tmpl w:val="1CDCA4EC"/>
    <w:lvl w:ilvl="0" w:tplc="B07026A6">
      <w:numFmt w:val="bullet"/>
      <w:lvlText w:val="•"/>
      <w:lvlJc w:val="left"/>
      <w:pPr>
        <w:ind w:left="720" w:hanging="720"/>
      </w:pPr>
      <w:rPr>
        <w:rFonts w:ascii="Verdana" w:eastAsia="Calibri"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C9D4FF4"/>
    <w:multiLevelType w:val="hybridMultilevel"/>
    <w:tmpl w:val="F82EBA82"/>
    <w:lvl w:ilvl="0" w:tplc="0D20F588">
      <w:start w:val="1"/>
      <w:numFmt w:val="lowerLetter"/>
      <w:lvlText w:val="%1)"/>
      <w:lvlJc w:val="left"/>
      <w:pPr>
        <w:ind w:left="720" w:hanging="360"/>
      </w:pPr>
      <w:rPr>
        <w:rFonts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8"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4F723D8"/>
    <w:multiLevelType w:val="hybridMultilevel"/>
    <w:tmpl w:val="2E025E5C"/>
    <w:lvl w:ilvl="0" w:tplc="0D20F588">
      <w:start w:val="1"/>
      <w:numFmt w:val="lowerLetter"/>
      <w:lvlText w:val="%1)"/>
      <w:lvlJc w:val="left"/>
      <w:pPr>
        <w:ind w:left="360" w:hanging="360"/>
      </w:pPr>
      <w:rPr>
        <w:rFonts w:hint="default"/>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1" w15:restartNumberingAfterBreak="0">
    <w:nsid w:val="69DF66B1"/>
    <w:multiLevelType w:val="hybridMultilevel"/>
    <w:tmpl w:val="84367144"/>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500" w:hanging="360"/>
      </w:p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33"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550504757">
    <w:abstractNumId w:val="0"/>
  </w:num>
  <w:num w:numId="2" w16cid:durableId="12580956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4741914">
    <w:abstractNumId w:val="28"/>
  </w:num>
  <w:num w:numId="4" w16cid:durableId="368264326">
    <w:abstractNumId w:val="27"/>
  </w:num>
  <w:num w:numId="5" w16cid:durableId="506211007">
    <w:abstractNumId w:val="33"/>
  </w:num>
  <w:num w:numId="6" w16cid:durableId="620110447">
    <w:abstractNumId w:val="18"/>
  </w:num>
  <w:num w:numId="7" w16cid:durableId="480537263">
    <w:abstractNumId w:val="16"/>
  </w:num>
  <w:num w:numId="8" w16cid:durableId="374281901">
    <w:abstractNumId w:val="2"/>
  </w:num>
  <w:num w:numId="9" w16cid:durableId="849225214">
    <w:abstractNumId w:val="22"/>
  </w:num>
  <w:num w:numId="10" w16cid:durableId="703213305">
    <w:abstractNumId w:val="30"/>
  </w:num>
  <w:num w:numId="11" w16cid:durableId="1116483347">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2130737288">
    <w:abstractNumId w:val="22"/>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1844784903">
    <w:abstractNumId w:val="20"/>
  </w:num>
  <w:num w:numId="14" w16cid:durableId="1162626904">
    <w:abstractNumId w:val="14"/>
  </w:num>
  <w:num w:numId="15" w16cid:durableId="26954182">
    <w:abstractNumId w:val="1"/>
  </w:num>
  <w:num w:numId="16" w16cid:durableId="1622305112">
    <w:abstractNumId w:val="15"/>
  </w:num>
  <w:num w:numId="17" w16cid:durableId="1008218516">
    <w:abstractNumId w:val="11"/>
  </w:num>
  <w:num w:numId="18" w16cid:durableId="860513248">
    <w:abstractNumId w:val="7"/>
  </w:num>
  <w:num w:numId="19" w16cid:durableId="2019574617">
    <w:abstractNumId w:val="10"/>
  </w:num>
  <w:num w:numId="20" w16cid:durableId="1321889759">
    <w:abstractNumId w:val="23"/>
  </w:num>
  <w:num w:numId="21" w16cid:durableId="1281961138">
    <w:abstractNumId w:val="5"/>
  </w:num>
  <w:num w:numId="22" w16cid:durableId="2021002437">
    <w:abstractNumId w:val="8"/>
  </w:num>
  <w:num w:numId="23" w16cid:durableId="1079012764">
    <w:abstractNumId w:val="19"/>
  </w:num>
  <w:num w:numId="24" w16cid:durableId="513762726">
    <w:abstractNumId w:val="31"/>
  </w:num>
  <w:num w:numId="25" w16cid:durableId="1809517289">
    <w:abstractNumId w:val="13"/>
  </w:num>
  <w:num w:numId="26" w16cid:durableId="269900741">
    <w:abstractNumId w:val="25"/>
  </w:num>
  <w:num w:numId="27" w16cid:durableId="76370096">
    <w:abstractNumId w:val="17"/>
  </w:num>
  <w:num w:numId="28" w16cid:durableId="779955323">
    <w:abstractNumId w:val="6"/>
  </w:num>
  <w:num w:numId="29" w16cid:durableId="363943388">
    <w:abstractNumId w:val="12"/>
  </w:num>
  <w:num w:numId="30" w16cid:durableId="1116607085">
    <w:abstractNumId w:val="9"/>
  </w:num>
  <w:num w:numId="31" w16cid:durableId="641424759">
    <w:abstractNumId w:val="21"/>
  </w:num>
  <w:num w:numId="32" w16cid:durableId="1694501147">
    <w:abstractNumId w:val="4"/>
  </w:num>
  <w:num w:numId="33" w16cid:durableId="1890679081">
    <w:abstractNumId w:val="24"/>
  </w:num>
  <w:num w:numId="34" w16cid:durableId="395126042">
    <w:abstractNumId w:val="26"/>
  </w:num>
  <w:num w:numId="35" w16cid:durableId="1024986746">
    <w:abstractNumId w:val="29"/>
  </w:num>
  <w:num w:numId="36" w16cid:durableId="102551719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1C57"/>
    <w:rsid w:val="0000216D"/>
    <w:rsid w:val="00003712"/>
    <w:rsid w:val="00004A1C"/>
    <w:rsid w:val="00006297"/>
    <w:rsid w:val="00007179"/>
    <w:rsid w:val="00010325"/>
    <w:rsid w:val="00010FBC"/>
    <w:rsid w:val="00011C86"/>
    <w:rsid w:val="00012112"/>
    <w:rsid w:val="00012E15"/>
    <w:rsid w:val="00012F05"/>
    <w:rsid w:val="000130FD"/>
    <w:rsid w:val="00013526"/>
    <w:rsid w:val="0001437F"/>
    <w:rsid w:val="00014925"/>
    <w:rsid w:val="00016F54"/>
    <w:rsid w:val="000202AB"/>
    <w:rsid w:val="0002172C"/>
    <w:rsid w:val="00024443"/>
    <w:rsid w:val="00024E1A"/>
    <w:rsid w:val="00025142"/>
    <w:rsid w:val="0002524E"/>
    <w:rsid w:val="00025D9B"/>
    <w:rsid w:val="00026C8F"/>
    <w:rsid w:val="00027E4F"/>
    <w:rsid w:val="00030DAD"/>
    <w:rsid w:val="00031024"/>
    <w:rsid w:val="0003280C"/>
    <w:rsid w:val="000330DA"/>
    <w:rsid w:val="00033BD8"/>
    <w:rsid w:val="00034345"/>
    <w:rsid w:val="00034351"/>
    <w:rsid w:val="00034FC9"/>
    <w:rsid w:val="0003523F"/>
    <w:rsid w:val="00035CA7"/>
    <w:rsid w:val="000367AC"/>
    <w:rsid w:val="00037CDB"/>
    <w:rsid w:val="00040488"/>
    <w:rsid w:val="00040BB7"/>
    <w:rsid w:val="000432C7"/>
    <w:rsid w:val="00043FF7"/>
    <w:rsid w:val="0004520D"/>
    <w:rsid w:val="00046595"/>
    <w:rsid w:val="00046C5A"/>
    <w:rsid w:val="00047733"/>
    <w:rsid w:val="000503AB"/>
    <w:rsid w:val="000519E2"/>
    <w:rsid w:val="00051F70"/>
    <w:rsid w:val="00052EA7"/>
    <w:rsid w:val="00054E3C"/>
    <w:rsid w:val="00057936"/>
    <w:rsid w:val="00057A79"/>
    <w:rsid w:val="00057CBD"/>
    <w:rsid w:val="00060FE4"/>
    <w:rsid w:val="000610C1"/>
    <w:rsid w:val="00061B86"/>
    <w:rsid w:val="000625EC"/>
    <w:rsid w:val="0006448C"/>
    <w:rsid w:val="0006476A"/>
    <w:rsid w:val="00064DE3"/>
    <w:rsid w:val="00064EDD"/>
    <w:rsid w:val="0006558B"/>
    <w:rsid w:val="00065A2A"/>
    <w:rsid w:val="00065C16"/>
    <w:rsid w:val="00067015"/>
    <w:rsid w:val="00067024"/>
    <w:rsid w:val="00070306"/>
    <w:rsid w:val="00070D4F"/>
    <w:rsid w:val="0007130F"/>
    <w:rsid w:val="0007159B"/>
    <w:rsid w:val="000715F4"/>
    <w:rsid w:val="00073295"/>
    <w:rsid w:val="00073441"/>
    <w:rsid w:val="00076564"/>
    <w:rsid w:val="000765D1"/>
    <w:rsid w:val="000773B9"/>
    <w:rsid w:val="000779F8"/>
    <w:rsid w:val="00077B41"/>
    <w:rsid w:val="0008008A"/>
    <w:rsid w:val="000802C1"/>
    <w:rsid w:val="0008040D"/>
    <w:rsid w:val="000809BC"/>
    <w:rsid w:val="00080A6C"/>
    <w:rsid w:val="00081526"/>
    <w:rsid w:val="00082026"/>
    <w:rsid w:val="00082F60"/>
    <w:rsid w:val="000841EF"/>
    <w:rsid w:val="00085EBD"/>
    <w:rsid w:val="000862E1"/>
    <w:rsid w:val="0008781D"/>
    <w:rsid w:val="00087D5A"/>
    <w:rsid w:val="0009052B"/>
    <w:rsid w:val="0009055C"/>
    <w:rsid w:val="0009097E"/>
    <w:rsid w:val="000912CD"/>
    <w:rsid w:val="000916C5"/>
    <w:rsid w:val="0009315E"/>
    <w:rsid w:val="0009394A"/>
    <w:rsid w:val="00094527"/>
    <w:rsid w:val="00094A14"/>
    <w:rsid w:val="00095944"/>
    <w:rsid w:val="00095966"/>
    <w:rsid w:val="000A0550"/>
    <w:rsid w:val="000A122F"/>
    <w:rsid w:val="000A1C98"/>
    <w:rsid w:val="000A2674"/>
    <w:rsid w:val="000A3342"/>
    <w:rsid w:val="000A3D6D"/>
    <w:rsid w:val="000A3D8E"/>
    <w:rsid w:val="000A46A5"/>
    <w:rsid w:val="000A46E2"/>
    <w:rsid w:val="000A5A8F"/>
    <w:rsid w:val="000A7721"/>
    <w:rsid w:val="000A7B3E"/>
    <w:rsid w:val="000B209E"/>
    <w:rsid w:val="000B2AF0"/>
    <w:rsid w:val="000B35D2"/>
    <w:rsid w:val="000B36D2"/>
    <w:rsid w:val="000B3ABD"/>
    <w:rsid w:val="000B426E"/>
    <w:rsid w:val="000B4824"/>
    <w:rsid w:val="000B49F9"/>
    <w:rsid w:val="000B4B5E"/>
    <w:rsid w:val="000B6B27"/>
    <w:rsid w:val="000C098E"/>
    <w:rsid w:val="000C0E4F"/>
    <w:rsid w:val="000C23F8"/>
    <w:rsid w:val="000C427A"/>
    <w:rsid w:val="000C48DA"/>
    <w:rsid w:val="000C520B"/>
    <w:rsid w:val="000C57FC"/>
    <w:rsid w:val="000C5CE9"/>
    <w:rsid w:val="000C624C"/>
    <w:rsid w:val="000C6404"/>
    <w:rsid w:val="000C6E45"/>
    <w:rsid w:val="000C75E7"/>
    <w:rsid w:val="000D01AD"/>
    <w:rsid w:val="000D0BB0"/>
    <w:rsid w:val="000D1395"/>
    <w:rsid w:val="000D2494"/>
    <w:rsid w:val="000D25D2"/>
    <w:rsid w:val="000D2785"/>
    <w:rsid w:val="000D2C35"/>
    <w:rsid w:val="000D2DEE"/>
    <w:rsid w:val="000D34CF"/>
    <w:rsid w:val="000D5528"/>
    <w:rsid w:val="000D76F5"/>
    <w:rsid w:val="000E0443"/>
    <w:rsid w:val="000E13DC"/>
    <w:rsid w:val="000E17D5"/>
    <w:rsid w:val="000E1938"/>
    <w:rsid w:val="000E36C5"/>
    <w:rsid w:val="000E4550"/>
    <w:rsid w:val="000E74D2"/>
    <w:rsid w:val="000F0557"/>
    <w:rsid w:val="000F1550"/>
    <w:rsid w:val="000F1B1C"/>
    <w:rsid w:val="000F1B3E"/>
    <w:rsid w:val="000F1B7B"/>
    <w:rsid w:val="000F31AF"/>
    <w:rsid w:val="000F350F"/>
    <w:rsid w:val="000F45F9"/>
    <w:rsid w:val="000F4FD8"/>
    <w:rsid w:val="000F55DA"/>
    <w:rsid w:val="000F66F3"/>
    <w:rsid w:val="000F671C"/>
    <w:rsid w:val="000F68DF"/>
    <w:rsid w:val="000F79D3"/>
    <w:rsid w:val="000F7FCD"/>
    <w:rsid w:val="00100C45"/>
    <w:rsid w:val="0010167D"/>
    <w:rsid w:val="00101B33"/>
    <w:rsid w:val="00102BFB"/>
    <w:rsid w:val="00103137"/>
    <w:rsid w:val="00103625"/>
    <w:rsid w:val="00104A00"/>
    <w:rsid w:val="0010519F"/>
    <w:rsid w:val="001052B3"/>
    <w:rsid w:val="001052BA"/>
    <w:rsid w:val="00105DD9"/>
    <w:rsid w:val="001063F8"/>
    <w:rsid w:val="001069CA"/>
    <w:rsid w:val="001109EC"/>
    <w:rsid w:val="00110ED7"/>
    <w:rsid w:val="00114334"/>
    <w:rsid w:val="00114A49"/>
    <w:rsid w:val="001156CC"/>
    <w:rsid w:val="00115A48"/>
    <w:rsid w:val="00116312"/>
    <w:rsid w:val="00117CB2"/>
    <w:rsid w:val="00117E7D"/>
    <w:rsid w:val="001212D3"/>
    <w:rsid w:val="00121C1B"/>
    <w:rsid w:val="00121D64"/>
    <w:rsid w:val="00122A53"/>
    <w:rsid w:val="00122C19"/>
    <w:rsid w:val="0012322C"/>
    <w:rsid w:val="00123CC0"/>
    <w:rsid w:val="001243C0"/>
    <w:rsid w:val="001249BE"/>
    <w:rsid w:val="00124FA1"/>
    <w:rsid w:val="00126328"/>
    <w:rsid w:val="00126E5A"/>
    <w:rsid w:val="001308CF"/>
    <w:rsid w:val="001317A1"/>
    <w:rsid w:val="001323BA"/>
    <w:rsid w:val="00132BAC"/>
    <w:rsid w:val="0013346B"/>
    <w:rsid w:val="001352A5"/>
    <w:rsid w:val="001356AE"/>
    <w:rsid w:val="0013656D"/>
    <w:rsid w:val="001366DE"/>
    <w:rsid w:val="00136A39"/>
    <w:rsid w:val="00137C96"/>
    <w:rsid w:val="00140FE5"/>
    <w:rsid w:val="001410EF"/>
    <w:rsid w:val="0014199E"/>
    <w:rsid w:val="001443FE"/>
    <w:rsid w:val="00144893"/>
    <w:rsid w:val="001450D0"/>
    <w:rsid w:val="001461F3"/>
    <w:rsid w:val="00146454"/>
    <w:rsid w:val="00146574"/>
    <w:rsid w:val="001506F4"/>
    <w:rsid w:val="00150BBE"/>
    <w:rsid w:val="001528AC"/>
    <w:rsid w:val="00153250"/>
    <w:rsid w:val="0015417B"/>
    <w:rsid w:val="001550A2"/>
    <w:rsid w:val="00156256"/>
    <w:rsid w:val="00160730"/>
    <w:rsid w:val="00160D7C"/>
    <w:rsid w:val="00160E2A"/>
    <w:rsid w:val="00161130"/>
    <w:rsid w:val="00161EE8"/>
    <w:rsid w:val="00163A06"/>
    <w:rsid w:val="00164578"/>
    <w:rsid w:val="00165ED2"/>
    <w:rsid w:val="001661D3"/>
    <w:rsid w:val="00166CBF"/>
    <w:rsid w:val="0017062D"/>
    <w:rsid w:val="00170F4D"/>
    <w:rsid w:val="00171038"/>
    <w:rsid w:val="00171041"/>
    <w:rsid w:val="00172495"/>
    <w:rsid w:val="0017262F"/>
    <w:rsid w:val="0017270E"/>
    <w:rsid w:val="00173442"/>
    <w:rsid w:val="001737AA"/>
    <w:rsid w:val="00173DF6"/>
    <w:rsid w:val="00174363"/>
    <w:rsid w:val="00174A3F"/>
    <w:rsid w:val="00174C5F"/>
    <w:rsid w:val="00175098"/>
    <w:rsid w:val="00176F4D"/>
    <w:rsid w:val="00177056"/>
    <w:rsid w:val="00177E16"/>
    <w:rsid w:val="0018055B"/>
    <w:rsid w:val="00180850"/>
    <w:rsid w:val="00182207"/>
    <w:rsid w:val="00183570"/>
    <w:rsid w:val="001842E3"/>
    <w:rsid w:val="00184489"/>
    <w:rsid w:val="00184790"/>
    <w:rsid w:val="001850C5"/>
    <w:rsid w:val="001877FD"/>
    <w:rsid w:val="00192973"/>
    <w:rsid w:val="00193435"/>
    <w:rsid w:val="00193A5A"/>
    <w:rsid w:val="00193F14"/>
    <w:rsid w:val="00194296"/>
    <w:rsid w:val="00195428"/>
    <w:rsid w:val="00195472"/>
    <w:rsid w:val="00195570"/>
    <w:rsid w:val="001A45C8"/>
    <w:rsid w:val="001A732C"/>
    <w:rsid w:val="001A7738"/>
    <w:rsid w:val="001B0C54"/>
    <w:rsid w:val="001B31EB"/>
    <w:rsid w:val="001B3D79"/>
    <w:rsid w:val="001B5C73"/>
    <w:rsid w:val="001B5FE4"/>
    <w:rsid w:val="001B6003"/>
    <w:rsid w:val="001B75E8"/>
    <w:rsid w:val="001C06C8"/>
    <w:rsid w:val="001C0C28"/>
    <w:rsid w:val="001C1802"/>
    <w:rsid w:val="001C1C8A"/>
    <w:rsid w:val="001C2AEA"/>
    <w:rsid w:val="001C37BE"/>
    <w:rsid w:val="001C3D07"/>
    <w:rsid w:val="001C52B4"/>
    <w:rsid w:val="001C6A5D"/>
    <w:rsid w:val="001C73AF"/>
    <w:rsid w:val="001C7454"/>
    <w:rsid w:val="001C74F1"/>
    <w:rsid w:val="001D0773"/>
    <w:rsid w:val="001D0DD5"/>
    <w:rsid w:val="001D28DD"/>
    <w:rsid w:val="001D28F7"/>
    <w:rsid w:val="001D2A0D"/>
    <w:rsid w:val="001D48FA"/>
    <w:rsid w:val="001D589E"/>
    <w:rsid w:val="001D645A"/>
    <w:rsid w:val="001D6766"/>
    <w:rsid w:val="001D6A30"/>
    <w:rsid w:val="001D6BF2"/>
    <w:rsid w:val="001D7651"/>
    <w:rsid w:val="001D7734"/>
    <w:rsid w:val="001D7F91"/>
    <w:rsid w:val="001E0153"/>
    <w:rsid w:val="001E09D2"/>
    <w:rsid w:val="001E1330"/>
    <w:rsid w:val="001E1405"/>
    <w:rsid w:val="001E2FBF"/>
    <w:rsid w:val="001E4804"/>
    <w:rsid w:val="001E56AB"/>
    <w:rsid w:val="001E57AF"/>
    <w:rsid w:val="001E63F1"/>
    <w:rsid w:val="001E6C7B"/>
    <w:rsid w:val="001E79CC"/>
    <w:rsid w:val="001E79CD"/>
    <w:rsid w:val="001F04B0"/>
    <w:rsid w:val="001F0CE4"/>
    <w:rsid w:val="001F0E50"/>
    <w:rsid w:val="001F11ED"/>
    <w:rsid w:val="001F1B42"/>
    <w:rsid w:val="001F1E9E"/>
    <w:rsid w:val="001F217E"/>
    <w:rsid w:val="001F305A"/>
    <w:rsid w:val="001F3B5F"/>
    <w:rsid w:val="001F4097"/>
    <w:rsid w:val="001F4FAA"/>
    <w:rsid w:val="001F5B06"/>
    <w:rsid w:val="001F623A"/>
    <w:rsid w:val="001F6514"/>
    <w:rsid w:val="001F6A5B"/>
    <w:rsid w:val="002000B2"/>
    <w:rsid w:val="00200292"/>
    <w:rsid w:val="002006CF"/>
    <w:rsid w:val="00202052"/>
    <w:rsid w:val="00202946"/>
    <w:rsid w:val="00202A2A"/>
    <w:rsid w:val="00203AAD"/>
    <w:rsid w:val="002051C9"/>
    <w:rsid w:val="00205280"/>
    <w:rsid w:val="002066DB"/>
    <w:rsid w:val="00206DEB"/>
    <w:rsid w:val="002072A8"/>
    <w:rsid w:val="00207BA9"/>
    <w:rsid w:val="0021016D"/>
    <w:rsid w:val="00210669"/>
    <w:rsid w:val="00212336"/>
    <w:rsid w:val="00213A24"/>
    <w:rsid w:val="002147F5"/>
    <w:rsid w:val="00215D76"/>
    <w:rsid w:val="0021668C"/>
    <w:rsid w:val="00216D6B"/>
    <w:rsid w:val="0021725A"/>
    <w:rsid w:val="002206FC"/>
    <w:rsid w:val="00221FCA"/>
    <w:rsid w:val="00221FDB"/>
    <w:rsid w:val="0022361C"/>
    <w:rsid w:val="00223E06"/>
    <w:rsid w:val="00223FB2"/>
    <w:rsid w:val="0022402B"/>
    <w:rsid w:val="00224D12"/>
    <w:rsid w:val="00224D21"/>
    <w:rsid w:val="002258E1"/>
    <w:rsid w:val="002262B5"/>
    <w:rsid w:val="00226870"/>
    <w:rsid w:val="00226993"/>
    <w:rsid w:val="00227A0D"/>
    <w:rsid w:val="00230000"/>
    <w:rsid w:val="002302E9"/>
    <w:rsid w:val="00230DB4"/>
    <w:rsid w:val="002317E9"/>
    <w:rsid w:val="00231C8D"/>
    <w:rsid w:val="002329BA"/>
    <w:rsid w:val="00232F2D"/>
    <w:rsid w:val="00233AA2"/>
    <w:rsid w:val="00235880"/>
    <w:rsid w:val="00235BA5"/>
    <w:rsid w:val="002360B9"/>
    <w:rsid w:val="00236157"/>
    <w:rsid w:val="002368BF"/>
    <w:rsid w:val="00240647"/>
    <w:rsid w:val="00240825"/>
    <w:rsid w:val="002424AB"/>
    <w:rsid w:val="00242AC1"/>
    <w:rsid w:val="00242BDA"/>
    <w:rsid w:val="00243251"/>
    <w:rsid w:val="002436D5"/>
    <w:rsid w:val="0024398D"/>
    <w:rsid w:val="002441D6"/>
    <w:rsid w:val="002441F7"/>
    <w:rsid w:val="00245428"/>
    <w:rsid w:val="0024559D"/>
    <w:rsid w:val="00245E61"/>
    <w:rsid w:val="00246084"/>
    <w:rsid w:val="002466A7"/>
    <w:rsid w:val="002471F8"/>
    <w:rsid w:val="00250CAC"/>
    <w:rsid w:val="00251887"/>
    <w:rsid w:val="00253ED8"/>
    <w:rsid w:val="00254565"/>
    <w:rsid w:val="00254676"/>
    <w:rsid w:val="00254A1D"/>
    <w:rsid w:val="00254B02"/>
    <w:rsid w:val="00257A4F"/>
    <w:rsid w:val="00261762"/>
    <w:rsid w:val="00263EAD"/>
    <w:rsid w:val="0026438F"/>
    <w:rsid w:val="00265D67"/>
    <w:rsid w:val="00266142"/>
    <w:rsid w:val="002670DE"/>
    <w:rsid w:val="002674AE"/>
    <w:rsid w:val="00267581"/>
    <w:rsid w:val="002676D4"/>
    <w:rsid w:val="002678BC"/>
    <w:rsid w:val="00267C6D"/>
    <w:rsid w:val="00270524"/>
    <w:rsid w:val="00270B49"/>
    <w:rsid w:val="00270D8D"/>
    <w:rsid w:val="00271978"/>
    <w:rsid w:val="00271E9A"/>
    <w:rsid w:val="0027287F"/>
    <w:rsid w:val="00272896"/>
    <w:rsid w:val="002729FD"/>
    <w:rsid w:val="00272DD6"/>
    <w:rsid w:val="00273496"/>
    <w:rsid w:val="00273526"/>
    <w:rsid w:val="00273836"/>
    <w:rsid w:val="002740A8"/>
    <w:rsid w:val="002754FF"/>
    <w:rsid w:val="002761E1"/>
    <w:rsid w:val="00276ABE"/>
    <w:rsid w:val="00277CE0"/>
    <w:rsid w:val="002802A5"/>
    <w:rsid w:val="0028097B"/>
    <w:rsid w:val="00281CFD"/>
    <w:rsid w:val="00282F36"/>
    <w:rsid w:val="00283585"/>
    <w:rsid w:val="002835A6"/>
    <w:rsid w:val="00283C15"/>
    <w:rsid w:val="0028421B"/>
    <w:rsid w:val="00285232"/>
    <w:rsid w:val="002855C1"/>
    <w:rsid w:val="00285FA5"/>
    <w:rsid w:val="002867AB"/>
    <w:rsid w:val="002868DF"/>
    <w:rsid w:val="00286A8D"/>
    <w:rsid w:val="00287D4D"/>
    <w:rsid w:val="002910E8"/>
    <w:rsid w:val="0029135B"/>
    <w:rsid w:val="002917A7"/>
    <w:rsid w:val="002921FB"/>
    <w:rsid w:val="00293975"/>
    <w:rsid w:val="00294945"/>
    <w:rsid w:val="0029515C"/>
    <w:rsid w:val="00295281"/>
    <w:rsid w:val="002958DD"/>
    <w:rsid w:val="00295A08"/>
    <w:rsid w:val="002963EE"/>
    <w:rsid w:val="0029762A"/>
    <w:rsid w:val="002979AF"/>
    <w:rsid w:val="00297F32"/>
    <w:rsid w:val="00297FDA"/>
    <w:rsid w:val="002A20EF"/>
    <w:rsid w:val="002A2364"/>
    <w:rsid w:val="002A2C85"/>
    <w:rsid w:val="002A4DC8"/>
    <w:rsid w:val="002A52A4"/>
    <w:rsid w:val="002A61FE"/>
    <w:rsid w:val="002A6CC3"/>
    <w:rsid w:val="002A78E6"/>
    <w:rsid w:val="002B14C0"/>
    <w:rsid w:val="002B1630"/>
    <w:rsid w:val="002B30E5"/>
    <w:rsid w:val="002B4B5B"/>
    <w:rsid w:val="002B55D3"/>
    <w:rsid w:val="002B6602"/>
    <w:rsid w:val="002B744B"/>
    <w:rsid w:val="002C1211"/>
    <w:rsid w:val="002C1690"/>
    <w:rsid w:val="002C1E01"/>
    <w:rsid w:val="002C246B"/>
    <w:rsid w:val="002C27D4"/>
    <w:rsid w:val="002C35CD"/>
    <w:rsid w:val="002C3DEA"/>
    <w:rsid w:val="002C4DAD"/>
    <w:rsid w:val="002C530D"/>
    <w:rsid w:val="002C5EC5"/>
    <w:rsid w:val="002C67A5"/>
    <w:rsid w:val="002C6E61"/>
    <w:rsid w:val="002C7D43"/>
    <w:rsid w:val="002C7DA0"/>
    <w:rsid w:val="002D0BE0"/>
    <w:rsid w:val="002D0C8F"/>
    <w:rsid w:val="002D0E4B"/>
    <w:rsid w:val="002D252F"/>
    <w:rsid w:val="002D2B55"/>
    <w:rsid w:val="002D479C"/>
    <w:rsid w:val="002D5624"/>
    <w:rsid w:val="002D5647"/>
    <w:rsid w:val="002D5ACB"/>
    <w:rsid w:val="002D675D"/>
    <w:rsid w:val="002D75C9"/>
    <w:rsid w:val="002E01C6"/>
    <w:rsid w:val="002E07ED"/>
    <w:rsid w:val="002E1437"/>
    <w:rsid w:val="002E1571"/>
    <w:rsid w:val="002E1735"/>
    <w:rsid w:val="002E27AA"/>
    <w:rsid w:val="002E2AEB"/>
    <w:rsid w:val="002E5D38"/>
    <w:rsid w:val="002E627F"/>
    <w:rsid w:val="002E72F8"/>
    <w:rsid w:val="002F1571"/>
    <w:rsid w:val="002F1A52"/>
    <w:rsid w:val="002F1F4D"/>
    <w:rsid w:val="002F25AE"/>
    <w:rsid w:val="002F2727"/>
    <w:rsid w:val="002F3649"/>
    <w:rsid w:val="002F4FB3"/>
    <w:rsid w:val="002F5603"/>
    <w:rsid w:val="002F669D"/>
    <w:rsid w:val="002F7689"/>
    <w:rsid w:val="00300C98"/>
    <w:rsid w:val="003012BD"/>
    <w:rsid w:val="00302232"/>
    <w:rsid w:val="0030240D"/>
    <w:rsid w:val="0030435A"/>
    <w:rsid w:val="00304497"/>
    <w:rsid w:val="00305754"/>
    <w:rsid w:val="0030577F"/>
    <w:rsid w:val="00307294"/>
    <w:rsid w:val="003073DE"/>
    <w:rsid w:val="00307E30"/>
    <w:rsid w:val="00307E63"/>
    <w:rsid w:val="00311C8A"/>
    <w:rsid w:val="00311E96"/>
    <w:rsid w:val="00312F6B"/>
    <w:rsid w:val="00313594"/>
    <w:rsid w:val="00313E85"/>
    <w:rsid w:val="00315CCD"/>
    <w:rsid w:val="00316755"/>
    <w:rsid w:val="0031691A"/>
    <w:rsid w:val="00320147"/>
    <w:rsid w:val="00320FB0"/>
    <w:rsid w:val="003219F6"/>
    <w:rsid w:val="00322785"/>
    <w:rsid w:val="003227EA"/>
    <w:rsid w:val="0032391F"/>
    <w:rsid w:val="00323C6A"/>
    <w:rsid w:val="00324E3D"/>
    <w:rsid w:val="00326290"/>
    <w:rsid w:val="0032640D"/>
    <w:rsid w:val="00327925"/>
    <w:rsid w:val="003306BB"/>
    <w:rsid w:val="00331660"/>
    <w:rsid w:val="003325B0"/>
    <w:rsid w:val="003348DE"/>
    <w:rsid w:val="00334D7E"/>
    <w:rsid w:val="0033726A"/>
    <w:rsid w:val="003400BA"/>
    <w:rsid w:val="00340BA3"/>
    <w:rsid w:val="0034108F"/>
    <w:rsid w:val="003417BA"/>
    <w:rsid w:val="00341B5A"/>
    <w:rsid w:val="00342292"/>
    <w:rsid w:val="0034258F"/>
    <w:rsid w:val="00343436"/>
    <w:rsid w:val="00344C84"/>
    <w:rsid w:val="00344E05"/>
    <w:rsid w:val="00345427"/>
    <w:rsid w:val="003468A8"/>
    <w:rsid w:val="00347202"/>
    <w:rsid w:val="00347D32"/>
    <w:rsid w:val="00347D5A"/>
    <w:rsid w:val="003511F5"/>
    <w:rsid w:val="003528FA"/>
    <w:rsid w:val="00353FF0"/>
    <w:rsid w:val="00355DBF"/>
    <w:rsid w:val="00356228"/>
    <w:rsid w:val="003570BA"/>
    <w:rsid w:val="0035744E"/>
    <w:rsid w:val="00357715"/>
    <w:rsid w:val="003578C7"/>
    <w:rsid w:val="00357C3C"/>
    <w:rsid w:val="00360868"/>
    <w:rsid w:val="0036159E"/>
    <w:rsid w:val="00361A6A"/>
    <w:rsid w:val="00363838"/>
    <w:rsid w:val="00363B06"/>
    <w:rsid w:val="003644B7"/>
    <w:rsid w:val="0036470A"/>
    <w:rsid w:val="00365040"/>
    <w:rsid w:val="00365476"/>
    <w:rsid w:val="003666F0"/>
    <w:rsid w:val="003670EF"/>
    <w:rsid w:val="00367DD8"/>
    <w:rsid w:val="00370842"/>
    <w:rsid w:val="003708B2"/>
    <w:rsid w:val="00371164"/>
    <w:rsid w:val="00371A42"/>
    <w:rsid w:val="00371EE1"/>
    <w:rsid w:val="00371EE4"/>
    <w:rsid w:val="00373748"/>
    <w:rsid w:val="00373B75"/>
    <w:rsid w:val="003742B2"/>
    <w:rsid w:val="00374A0F"/>
    <w:rsid w:val="003760AF"/>
    <w:rsid w:val="0037623F"/>
    <w:rsid w:val="003762ED"/>
    <w:rsid w:val="003763C3"/>
    <w:rsid w:val="0037682A"/>
    <w:rsid w:val="00377E5B"/>
    <w:rsid w:val="00380522"/>
    <w:rsid w:val="00381128"/>
    <w:rsid w:val="003843F6"/>
    <w:rsid w:val="00384692"/>
    <w:rsid w:val="0038506C"/>
    <w:rsid w:val="00385727"/>
    <w:rsid w:val="00386060"/>
    <w:rsid w:val="0038610E"/>
    <w:rsid w:val="00386288"/>
    <w:rsid w:val="00386364"/>
    <w:rsid w:val="0039382D"/>
    <w:rsid w:val="00395835"/>
    <w:rsid w:val="00395DD3"/>
    <w:rsid w:val="00395E73"/>
    <w:rsid w:val="00395FD6"/>
    <w:rsid w:val="00396365"/>
    <w:rsid w:val="003970C2"/>
    <w:rsid w:val="003971D5"/>
    <w:rsid w:val="0039765D"/>
    <w:rsid w:val="00397BF0"/>
    <w:rsid w:val="003A1A82"/>
    <w:rsid w:val="003A2702"/>
    <w:rsid w:val="003A2FD2"/>
    <w:rsid w:val="003A58D9"/>
    <w:rsid w:val="003A6542"/>
    <w:rsid w:val="003B0C55"/>
    <w:rsid w:val="003B0EC6"/>
    <w:rsid w:val="003B1BC0"/>
    <w:rsid w:val="003B1FE3"/>
    <w:rsid w:val="003B221B"/>
    <w:rsid w:val="003B22CE"/>
    <w:rsid w:val="003B3C8A"/>
    <w:rsid w:val="003B475C"/>
    <w:rsid w:val="003B5107"/>
    <w:rsid w:val="003B5557"/>
    <w:rsid w:val="003B5C4A"/>
    <w:rsid w:val="003B7D7F"/>
    <w:rsid w:val="003C1B65"/>
    <w:rsid w:val="003C379E"/>
    <w:rsid w:val="003C3DFD"/>
    <w:rsid w:val="003C3E28"/>
    <w:rsid w:val="003C4182"/>
    <w:rsid w:val="003C41E5"/>
    <w:rsid w:val="003C4A87"/>
    <w:rsid w:val="003C515F"/>
    <w:rsid w:val="003C5755"/>
    <w:rsid w:val="003C6BC9"/>
    <w:rsid w:val="003C76AF"/>
    <w:rsid w:val="003D0413"/>
    <w:rsid w:val="003D3837"/>
    <w:rsid w:val="003D3919"/>
    <w:rsid w:val="003D47DB"/>
    <w:rsid w:val="003D4DE8"/>
    <w:rsid w:val="003D508F"/>
    <w:rsid w:val="003D50F6"/>
    <w:rsid w:val="003D5BD1"/>
    <w:rsid w:val="003D5EA9"/>
    <w:rsid w:val="003D71D4"/>
    <w:rsid w:val="003D792A"/>
    <w:rsid w:val="003E0B0A"/>
    <w:rsid w:val="003E0D43"/>
    <w:rsid w:val="003E35E8"/>
    <w:rsid w:val="003E38D6"/>
    <w:rsid w:val="003E4511"/>
    <w:rsid w:val="003E561F"/>
    <w:rsid w:val="003E5E6C"/>
    <w:rsid w:val="003F004D"/>
    <w:rsid w:val="003F0704"/>
    <w:rsid w:val="003F267D"/>
    <w:rsid w:val="003F5F26"/>
    <w:rsid w:val="003F62E4"/>
    <w:rsid w:val="003F7619"/>
    <w:rsid w:val="003F7E0F"/>
    <w:rsid w:val="004005D1"/>
    <w:rsid w:val="0040136C"/>
    <w:rsid w:val="0040198B"/>
    <w:rsid w:val="0040357F"/>
    <w:rsid w:val="004044D5"/>
    <w:rsid w:val="00405CA2"/>
    <w:rsid w:val="00405DAD"/>
    <w:rsid w:val="00411222"/>
    <w:rsid w:val="00411A88"/>
    <w:rsid w:val="00411C72"/>
    <w:rsid w:val="004128D8"/>
    <w:rsid w:val="004131CA"/>
    <w:rsid w:val="00413A61"/>
    <w:rsid w:val="004141C5"/>
    <w:rsid w:val="004151F6"/>
    <w:rsid w:val="004162BF"/>
    <w:rsid w:val="00416798"/>
    <w:rsid w:val="0041708D"/>
    <w:rsid w:val="00420841"/>
    <w:rsid w:val="00421018"/>
    <w:rsid w:val="00421C69"/>
    <w:rsid w:val="00422106"/>
    <w:rsid w:val="00422666"/>
    <w:rsid w:val="00423A4D"/>
    <w:rsid w:val="00425309"/>
    <w:rsid w:val="004253EA"/>
    <w:rsid w:val="00425B47"/>
    <w:rsid w:val="00425F1C"/>
    <w:rsid w:val="004264A6"/>
    <w:rsid w:val="00426557"/>
    <w:rsid w:val="004270A0"/>
    <w:rsid w:val="00430C86"/>
    <w:rsid w:val="00430CBA"/>
    <w:rsid w:val="00432DEF"/>
    <w:rsid w:val="0043317A"/>
    <w:rsid w:val="00433782"/>
    <w:rsid w:val="00433C66"/>
    <w:rsid w:val="004345B2"/>
    <w:rsid w:val="0043564D"/>
    <w:rsid w:val="00435E3A"/>
    <w:rsid w:val="0043797A"/>
    <w:rsid w:val="00441382"/>
    <w:rsid w:val="00441FA3"/>
    <w:rsid w:val="00444523"/>
    <w:rsid w:val="0044583D"/>
    <w:rsid w:val="00445E51"/>
    <w:rsid w:val="00446C7A"/>
    <w:rsid w:val="004500B1"/>
    <w:rsid w:val="00450726"/>
    <w:rsid w:val="00451FC0"/>
    <w:rsid w:val="004521D3"/>
    <w:rsid w:val="00452580"/>
    <w:rsid w:val="00453902"/>
    <w:rsid w:val="00453FB0"/>
    <w:rsid w:val="00454B2D"/>
    <w:rsid w:val="00456233"/>
    <w:rsid w:val="004567D2"/>
    <w:rsid w:val="00457A8E"/>
    <w:rsid w:val="00460703"/>
    <w:rsid w:val="00460958"/>
    <w:rsid w:val="00461E4E"/>
    <w:rsid w:val="004636D4"/>
    <w:rsid w:val="00463D47"/>
    <w:rsid w:val="00470ED7"/>
    <w:rsid w:val="0047197B"/>
    <w:rsid w:val="00471DF9"/>
    <w:rsid w:val="004723FB"/>
    <w:rsid w:val="00472521"/>
    <w:rsid w:val="004728AC"/>
    <w:rsid w:val="00473BB1"/>
    <w:rsid w:val="0047693B"/>
    <w:rsid w:val="00477C15"/>
    <w:rsid w:val="00477D7B"/>
    <w:rsid w:val="00480993"/>
    <w:rsid w:val="00482716"/>
    <w:rsid w:val="00482BB0"/>
    <w:rsid w:val="00483651"/>
    <w:rsid w:val="004836F7"/>
    <w:rsid w:val="00483944"/>
    <w:rsid w:val="00483C05"/>
    <w:rsid w:val="00483C50"/>
    <w:rsid w:val="00484074"/>
    <w:rsid w:val="004840F8"/>
    <w:rsid w:val="004849B2"/>
    <w:rsid w:val="00484ECF"/>
    <w:rsid w:val="0048607D"/>
    <w:rsid w:val="00486807"/>
    <w:rsid w:val="00487C4D"/>
    <w:rsid w:val="00487F0C"/>
    <w:rsid w:val="0049143A"/>
    <w:rsid w:val="00492A68"/>
    <w:rsid w:val="004938DF"/>
    <w:rsid w:val="00495E17"/>
    <w:rsid w:val="00496406"/>
    <w:rsid w:val="00496843"/>
    <w:rsid w:val="00496BF1"/>
    <w:rsid w:val="004970E8"/>
    <w:rsid w:val="00497EB2"/>
    <w:rsid w:val="004A03A6"/>
    <w:rsid w:val="004A073F"/>
    <w:rsid w:val="004A079D"/>
    <w:rsid w:val="004A0F83"/>
    <w:rsid w:val="004A40A4"/>
    <w:rsid w:val="004A46EC"/>
    <w:rsid w:val="004A5BFE"/>
    <w:rsid w:val="004A5F03"/>
    <w:rsid w:val="004A797F"/>
    <w:rsid w:val="004B18B6"/>
    <w:rsid w:val="004B2A83"/>
    <w:rsid w:val="004B4688"/>
    <w:rsid w:val="004B58EB"/>
    <w:rsid w:val="004B6875"/>
    <w:rsid w:val="004C04B0"/>
    <w:rsid w:val="004C0D40"/>
    <w:rsid w:val="004C2EEF"/>
    <w:rsid w:val="004C2FAD"/>
    <w:rsid w:val="004C33CB"/>
    <w:rsid w:val="004C453B"/>
    <w:rsid w:val="004C46A6"/>
    <w:rsid w:val="004C6858"/>
    <w:rsid w:val="004C6E52"/>
    <w:rsid w:val="004D0A15"/>
    <w:rsid w:val="004D1232"/>
    <w:rsid w:val="004D1A59"/>
    <w:rsid w:val="004D2A07"/>
    <w:rsid w:val="004D31E9"/>
    <w:rsid w:val="004D5372"/>
    <w:rsid w:val="004D5DA1"/>
    <w:rsid w:val="004D6F9A"/>
    <w:rsid w:val="004D71AD"/>
    <w:rsid w:val="004E0AB8"/>
    <w:rsid w:val="004E0D02"/>
    <w:rsid w:val="004E1D4D"/>
    <w:rsid w:val="004E1EDA"/>
    <w:rsid w:val="004E2248"/>
    <w:rsid w:val="004E3F36"/>
    <w:rsid w:val="004E4BA3"/>
    <w:rsid w:val="004E7626"/>
    <w:rsid w:val="004F036E"/>
    <w:rsid w:val="004F1B3A"/>
    <w:rsid w:val="004F2629"/>
    <w:rsid w:val="004F266A"/>
    <w:rsid w:val="004F3705"/>
    <w:rsid w:val="004F6155"/>
    <w:rsid w:val="004F6997"/>
    <w:rsid w:val="004F6DC1"/>
    <w:rsid w:val="004F7158"/>
    <w:rsid w:val="00500D2F"/>
    <w:rsid w:val="005011F4"/>
    <w:rsid w:val="00503579"/>
    <w:rsid w:val="00505C7E"/>
    <w:rsid w:val="0050611A"/>
    <w:rsid w:val="00506730"/>
    <w:rsid w:val="00507C8B"/>
    <w:rsid w:val="00507F99"/>
    <w:rsid w:val="00510075"/>
    <w:rsid w:val="005115E4"/>
    <w:rsid w:val="00511BA9"/>
    <w:rsid w:val="00511D76"/>
    <w:rsid w:val="00513FD6"/>
    <w:rsid w:val="00514393"/>
    <w:rsid w:val="0051475D"/>
    <w:rsid w:val="00515369"/>
    <w:rsid w:val="00515BEC"/>
    <w:rsid w:val="00516725"/>
    <w:rsid w:val="00517A14"/>
    <w:rsid w:val="00520D61"/>
    <w:rsid w:val="0052160F"/>
    <w:rsid w:val="00522761"/>
    <w:rsid w:val="005242E3"/>
    <w:rsid w:val="005251E4"/>
    <w:rsid w:val="005257A0"/>
    <w:rsid w:val="00525BD0"/>
    <w:rsid w:val="0052638F"/>
    <w:rsid w:val="0052691A"/>
    <w:rsid w:val="005269F8"/>
    <w:rsid w:val="00527249"/>
    <w:rsid w:val="00527F7B"/>
    <w:rsid w:val="0053066B"/>
    <w:rsid w:val="00530784"/>
    <w:rsid w:val="005319F2"/>
    <w:rsid w:val="005323C3"/>
    <w:rsid w:val="005325BF"/>
    <w:rsid w:val="00532CA8"/>
    <w:rsid w:val="00533791"/>
    <w:rsid w:val="00533CCA"/>
    <w:rsid w:val="0053505B"/>
    <w:rsid w:val="0053580D"/>
    <w:rsid w:val="00536D48"/>
    <w:rsid w:val="00536F7A"/>
    <w:rsid w:val="005428B6"/>
    <w:rsid w:val="00542EA1"/>
    <w:rsid w:val="00542FF3"/>
    <w:rsid w:val="0054332F"/>
    <w:rsid w:val="00543707"/>
    <w:rsid w:val="005455DB"/>
    <w:rsid w:val="00545950"/>
    <w:rsid w:val="00545CC5"/>
    <w:rsid w:val="00546359"/>
    <w:rsid w:val="0054698E"/>
    <w:rsid w:val="00546F67"/>
    <w:rsid w:val="0055199C"/>
    <w:rsid w:val="00555237"/>
    <w:rsid w:val="00555895"/>
    <w:rsid w:val="00556047"/>
    <w:rsid w:val="005561D8"/>
    <w:rsid w:val="00556CE9"/>
    <w:rsid w:val="00561D42"/>
    <w:rsid w:val="00563502"/>
    <w:rsid w:val="00563ED1"/>
    <w:rsid w:val="0056506B"/>
    <w:rsid w:val="00565855"/>
    <w:rsid w:val="005675FF"/>
    <w:rsid w:val="005702EE"/>
    <w:rsid w:val="00572727"/>
    <w:rsid w:val="00576571"/>
    <w:rsid w:val="005765F6"/>
    <w:rsid w:val="00576AC2"/>
    <w:rsid w:val="00580AC4"/>
    <w:rsid w:val="00582544"/>
    <w:rsid w:val="00583533"/>
    <w:rsid w:val="005836D0"/>
    <w:rsid w:val="00583774"/>
    <w:rsid w:val="00584E42"/>
    <w:rsid w:val="00585B20"/>
    <w:rsid w:val="00586453"/>
    <w:rsid w:val="00586722"/>
    <w:rsid w:val="00586827"/>
    <w:rsid w:val="005872BE"/>
    <w:rsid w:val="00591921"/>
    <w:rsid w:val="0059225D"/>
    <w:rsid w:val="00592CE2"/>
    <w:rsid w:val="00594CF3"/>
    <w:rsid w:val="00595041"/>
    <w:rsid w:val="00596AA9"/>
    <w:rsid w:val="00596CB0"/>
    <w:rsid w:val="00597CD4"/>
    <w:rsid w:val="00597F4E"/>
    <w:rsid w:val="005A0281"/>
    <w:rsid w:val="005A0FA2"/>
    <w:rsid w:val="005A1284"/>
    <w:rsid w:val="005A2C57"/>
    <w:rsid w:val="005A4D61"/>
    <w:rsid w:val="005A6377"/>
    <w:rsid w:val="005B1447"/>
    <w:rsid w:val="005B2405"/>
    <w:rsid w:val="005B2720"/>
    <w:rsid w:val="005B2732"/>
    <w:rsid w:val="005B38F7"/>
    <w:rsid w:val="005B3D43"/>
    <w:rsid w:val="005B3E6E"/>
    <w:rsid w:val="005B5094"/>
    <w:rsid w:val="005B52FA"/>
    <w:rsid w:val="005B5417"/>
    <w:rsid w:val="005B5568"/>
    <w:rsid w:val="005B594D"/>
    <w:rsid w:val="005B6063"/>
    <w:rsid w:val="005B62D0"/>
    <w:rsid w:val="005B6334"/>
    <w:rsid w:val="005B6644"/>
    <w:rsid w:val="005B747F"/>
    <w:rsid w:val="005C05B1"/>
    <w:rsid w:val="005C1329"/>
    <w:rsid w:val="005C1428"/>
    <w:rsid w:val="005C16B8"/>
    <w:rsid w:val="005C22C5"/>
    <w:rsid w:val="005C4ABF"/>
    <w:rsid w:val="005C6348"/>
    <w:rsid w:val="005C6A43"/>
    <w:rsid w:val="005C715A"/>
    <w:rsid w:val="005D041E"/>
    <w:rsid w:val="005D189E"/>
    <w:rsid w:val="005D1B4D"/>
    <w:rsid w:val="005D3DCA"/>
    <w:rsid w:val="005D3DE8"/>
    <w:rsid w:val="005D3E97"/>
    <w:rsid w:val="005D4E37"/>
    <w:rsid w:val="005D55BE"/>
    <w:rsid w:val="005D5AE2"/>
    <w:rsid w:val="005D5B34"/>
    <w:rsid w:val="005D5EB7"/>
    <w:rsid w:val="005D69EA"/>
    <w:rsid w:val="005E339F"/>
    <w:rsid w:val="005E429D"/>
    <w:rsid w:val="005E494F"/>
    <w:rsid w:val="005E4E55"/>
    <w:rsid w:val="005E57B0"/>
    <w:rsid w:val="005E67E8"/>
    <w:rsid w:val="005E7670"/>
    <w:rsid w:val="005F0163"/>
    <w:rsid w:val="005F08F3"/>
    <w:rsid w:val="005F1BC1"/>
    <w:rsid w:val="005F3BF9"/>
    <w:rsid w:val="005F41FF"/>
    <w:rsid w:val="005F47B4"/>
    <w:rsid w:val="005F4A42"/>
    <w:rsid w:val="005F571F"/>
    <w:rsid w:val="005F6110"/>
    <w:rsid w:val="005F658D"/>
    <w:rsid w:val="005F7A68"/>
    <w:rsid w:val="005F7B86"/>
    <w:rsid w:val="00600207"/>
    <w:rsid w:val="00600E47"/>
    <w:rsid w:val="0060142A"/>
    <w:rsid w:val="006017D0"/>
    <w:rsid w:val="0060273A"/>
    <w:rsid w:val="00603C81"/>
    <w:rsid w:val="006046B3"/>
    <w:rsid w:val="00606C79"/>
    <w:rsid w:val="00606CE1"/>
    <w:rsid w:val="00607019"/>
    <w:rsid w:val="0060703B"/>
    <w:rsid w:val="00607C81"/>
    <w:rsid w:val="00610170"/>
    <w:rsid w:val="00611BF4"/>
    <w:rsid w:val="00612DF4"/>
    <w:rsid w:val="006131B7"/>
    <w:rsid w:val="00613AAF"/>
    <w:rsid w:val="00613B95"/>
    <w:rsid w:val="00614A5F"/>
    <w:rsid w:val="0061790C"/>
    <w:rsid w:val="006218E7"/>
    <w:rsid w:val="006221C8"/>
    <w:rsid w:val="00622CDA"/>
    <w:rsid w:val="00623426"/>
    <w:rsid w:val="0062478E"/>
    <w:rsid w:val="006277D3"/>
    <w:rsid w:val="0062797A"/>
    <w:rsid w:val="00627A4F"/>
    <w:rsid w:val="00630CEC"/>
    <w:rsid w:val="00630E9A"/>
    <w:rsid w:val="00630F4F"/>
    <w:rsid w:val="00632F0D"/>
    <w:rsid w:val="0063393A"/>
    <w:rsid w:val="0063456C"/>
    <w:rsid w:val="00635D11"/>
    <w:rsid w:val="006365AD"/>
    <w:rsid w:val="006400C0"/>
    <w:rsid w:val="006411C8"/>
    <w:rsid w:val="006420E2"/>
    <w:rsid w:val="006421E1"/>
    <w:rsid w:val="006438AD"/>
    <w:rsid w:val="00643CD3"/>
    <w:rsid w:val="00644975"/>
    <w:rsid w:val="00644AED"/>
    <w:rsid w:val="00644BE3"/>
    <w:rsid w:val="0064644F"/>
    <w:rsid w:val="00647A9B"/>
    <w:rsid w:val="00651153"/>
    <w:rsid w:val="00651310"/>
    <w:rsid w:val="00652250"/>
    <w:rsid w:val="006532DC"/>
    <w:rsid w:val="0065341E"/>
    <w:rsid w:val="00653D0D"/>
    <w:rsid w:val="00653E72"/>
    <w:rsid w:val="0065451F"/>
    <w:rsid w:val="00654790"/>
    <w:rsid w:val="00655331"/>
    <w:rsid w:val="00657177"/>
    <w:rsid w:val="006579BF"/>
    <w:rsid w:val="0066055D"/>
    <w:rsid w:val="006608CC"/>
    <w:rsid w:val="00661413"/>
    <w:rsid w:val="00661F05"/>
    <w:rsid w:val="00662115"/>
    <w:rsid w:val="00663479"/>
    <w:rsid w:val="00664D41"/>
    <w:rsid w:val="0066627A"/>
    <w:rsid w:val="00666B7F"/>
    <w:rsid w:val="00667747"/>
    <w:rsid w:val="00667B06"/>
    <w:rsid w:val="006707E9"/>
    <w:rsid w:val="00670F57"/>
    <w:rsid w:val="0067128C"/>
    <w:rsid w:val="006718F7"/>
    <w:rsid w:val="006721E7"/>
    <w:rsid w:val="0067236E"/>
    <w:rsid w:val="00672E45"/>
    <w:rsid w:val="00674D57"/>
    <w:rsid w:val="00677583"/>
    <w:rsid w:val="0068139B"/>
    <w:rsid w:val="00681503"/>
    <w:rsid w:val="00682118"/>
    <w:rsid w:val="0068214B"/>
    <w:rsid w:val="00682469"/>
    <w:rsid w:val="00685966"/>
    <w:rsid w:val="006906D2"/>
    <w:rsid w:val="006910DF"/>
    <w:rsid w:val="0069160F"/>
    <w:rsid w:val="00691ABF"/>
    <w:rsid w:val="00693B58"/>
    <w:rsid w:val="00693BA4"/>
    <w:rsid w:val="006941EF"/>
    <w:rsid w:val="006946E3"/>
    <w:rsid w:val="00695237"/>
    <w:rsid w:val="006953A5"/>
    <w:rsid w:val="00695A02"/>
    <w:rsid w:val="00695DEA"/>
    <w:rsid w:val="00696478"/>
    <w:rsid w:val="00696CF2"/>
    <w:rsid w:val="006971EE"/>
    <w:rsid w:val="0069723F"/>
    <w:rsid w:val="006A0887"/>
    <w:rsid w:val="006A09BB"/>
    <w:rsid w:val="006A1AFD"/>
    <w:rsid w:val="006A29DB"/>
    <w:rsid w:val="006A2FBE"/>
    <w:rsid w:val="006A3FA7"/>
    <w:rsid w:val="006A7593"/>
    <w:rsid w:val="006B1E2B"/>
    <w:rsid w:val="006B362A"/>
    <w:rsid w:val="006B4CB2"/>
    <w:rsid w:val="006B58FE"/>
    <w:rsid w:val="006B5C8D"/>
    <w:rsid w:val="006B62DD"/>
    <w:rsid w:val="006B7BD9"/>
    <w:rsid w:val="006B7FF7"/>
    <w:rsid w:val="006C06E1"/>
    <w:rsid w:val="006C2652"/>
    <w:rsid w:val="006C3F19"/>
    <w:rsid w:val="006C431A"/>
    <w:rsid w:val="006C50DA"/>
    <w:rsid w:val="006C592C"/>
    <w:rsid w:val="006C665D"/>
    <w:rsid w:val="006C66BB"/>
    <w:rsid w:val="006C70E5"/>
    <w:rsid w:val="006C7C6A"/>
    <w:rsid w:val="006D2229"/>
    <w:rsid w:val="006D226A"/>
    <w:rsid w:val="006D2E62"/>
    <w:rsid w:val="006D306B"/>
    <w:rsid w:val="006D3217"/>
    <w:rsid w:val="006D36ED"/>
    <w:rsid w:val="006D38AE"/>
    <w:rsid w:val="006D4222"/>
    <w:rsid w:val="006D4387"/>
    <w:rsid w:val="006D4587"/>
    <w:rsid w:val="006D7917"/>
    <w:rsid w:val="006E0F7C"/>
    <w:rsid w:val="006E1670"/>
    <w:rsid w:val="006E289B"/>
    <w:rsid w:val="006E2DF8"/>
    <w:rsid w:val="006E358E"/>
    <w:rsid w:val="006E4F4D"/>
    <w:rsid w:val="006E4FAB"/>
    <w:rsid w:val="006E5004"/>
    <w:rsid w:val="006E5095"/>
    <w:rsid w:val="006E5449"/>
    <w:rsid w:val="006E6361"/>
    <w:rsid w:val="006E65BD"/>
    <w:rsid w:val="006E732F"/>
    <w:rsid w:val="006E7540"/>
    <w:rsid w:val="006E7783"/>
    <w:rsid w:val="006F02C4"/>
    <w:rsid w:val="006F0EAF"/>
    <w:rsid w:val="006F1467"/>
    <w:rsid w:val="006F1D66"/>
    <w:rsid w:val="006F204B"/>
    <w:rsid w:val="006F2489"/>
    <w:rsid w:val="006F29E9"/>
    <w:rsid w:val="006F3C10"/>
    <w:rsid w:val="006F3E78"/>
    <w:rsid w:val="006F4E67"/>
    <w:rsid w:val="006F5434"/>
    <w:rsid w:val="00700C58"/>
    <w:rsid w:val="00700EDD"/>
    <w:rsid w:val="00701753"/>
    <w:rsid w:val="007018F3"/>
    <w:rsid w:val="00701DB5"/>
    <w:rsid w:val="007021E8"/>
    <w:rsid w:val="007023E0"/>
    <w:rsid w:val="00703350"/>
    <w:rsid w:val="00703DCF"/>
    <w:rsid w:val="0070450E"/>
    <w:rsid w:val="00704C46"/>
    <w:rsid w:val="00705774"/>
    <w:rsid w:val="007070D1"/>
    <w:rsid w:val="00707388"/>
    <w:rsid w:val="007079A9"/>
    <w:rsid w:val="00710770"/>
    <w:rsid w:val="0071103C"/>
    <w:rsid w:val="00712C5F"/>
    <w:rsid w:val="0071474C"/>
    <w:rsid w:val="00714BF1"/>
    <w:rsid w:val="00714CE5"/>
    <w:rsid w:val="00715B95"/>
    <w:rsid w:val="007160F6"/>
    <w:rsid w:val="00716337"/>
    <w:rsid w:val="007166C6"/>
    <w:rsid w:val="007168E8"/>
    <w:rsid w:val="00716CCC"/>
    <w:rsid w:val="00717217"/>
    <w:rsid w:val="0072098B"/>
    <w:rsid w:val="00721321"/>
    <w:rsid w:val="00722843"/>
    <w:rsid w:val="00722D72"/>
    <w:rsid w:val="00723E87"/>
    <w:rsid w:val="007244A9"/>
    <w:rsid w:val="007248A2"/>
    <w:rsid w:val="007306EE"/>
    <w:rsid w:val="007306FC"/>
    <w:rsid w:val="00730FC1"/>
    <w:rsid w:val="00731C83"/>
    <w:rsid w:val="007324D6"/>
    <w:rsid w:val="00732CE3"/>
    <w:rsid w:val="00732CE7"/>
    <w:rsid w:val="00733CB4"/>
    <w:rsid w:val="007341DD"/>
    <w:rsid w:val="007342D6"/>
    <w:rsid w:val="00734B73"/>
    <w:rsid w:val="0073616F"/>
    <w:rsid w:val="00736EA4"/>
    <w:rsid w:val="00740BC4"/>
    <w:rsid w:val="00741600"/>
    <w:rsid w:val="00742376"/>
    <w:rsid w:val="007425A0"/>
    <w:rsid w:val="0074288F"/>
    <w:rsid w:val="00742E90"/>
    <w:rsid w:val="0074383D"/>
    <w:rsid w:val="007443A1"/>
    <w:rsid w:val="007443D1"/>
    <w:rsid w:val="007449F1"/>
    <w:rsid w:val="00744AB2"/>
    <w:rsid w:val="00744EE7"/>
    <w:rsid w:val="007472E1"/>
    <w:rsid w:val="00747DEE"/>
    <w:rsid w:val="007508F1"/>
    <w:rsid w:val="00751A9F"/>
    <w:rsid w:val="00751F5D"/>
    <w:rsid w:val="00753016"/>
    <w:rsid w:val="00753D55"/>
    <w:rsid w:val="007547C6"/>
    <w:rsid w:val="00754CC7"/>
    <w:rsid w:val="00755020"/>
    <w:rsid w:val="007557AE"/>
    <w:rsid w:val="00755F4D"/>
    <w:rsid w:val="007577A8"/>
    <w:rsid w:val="00761058"/>
    <w:rsid w:val="00761584"/>
    <w:rsid w:val="00761ECE"/>
    <w:rsid w:val="00763F83"/>
    <w:rsid w:val="00764811"/>
    <w:rsid w:val="00764935"/>
    <w:rsid w:val="0076515A"/>
    <w:rsid w:val="007651D4"/>
    <w:rsid w:val="00765B77"/>
    <w:rsid w:val="00765BEC"/>
    <w:rsid w:val="007663F9"/>
    <w:rsid w:val="00766C00"/>
    <w:rsid w:val="00766E75"/>
    <w:rsid w:val="00767BB9"/>
    <w:rsid w:val="00767C71"/>
    <w:rsid w:val="00771E3E"/>
    <w:rsid w:val="007721F8"/>
    <w:rsid w:val="00773176"/>
    <w:rsid w:val="00773477"/>
    <w:rsid w:val="007739C9"/>
    <w:rsid w:val="00774488"/>
    <w:rsid w:val="007765A8"/>
    <w:rsid w:val="0077679C"/>
    <w:rsid w:val="00780F76"/>
    <w:rsid w:val="00781F69"/>
    <w:rsid w:val="007820C6"/>
    <w:rsid w:val="0078257F"/>
    <w:rsid w:val="00782BEC"/>
    <w:rsid w:val="00782D26"/>
    <w:rsid w:val="00785159"/>
    <w:rsid w:val="00785966"/>
    <w:rsid w:val="00786784"/>
    <w:rsid w:val="00787208"/>
    <w:rsid w:val="007874FB"/>
    <w:rsid w:val="00787CC1"/>
    <w:rsid w:val="00787D72"/>
    <w:rsid w:val="007907D8"/>
    <w:rsid w:val="00791773"/>
    <w:rsid w:val="00791D63"/>
    <w:rsid w:val="0079271B"/>
    <w:rsid w:val="00793980"/>
    <w:rsid w:val="00794EE7"/>
    <w:rsid w:val="00794F8D"/>
    <w:rsid w:val="007954F5"/>
    <w:rsid w:val="00795520"/>
    <w:rsid w:val="007965B2"/>
    <w:rsid w:val="0079731A"/>
    <w:rsid w:val="007A1B87"/>
    <w:rsid w:val="007A228F"/>
    <w:rsid w:val="007A2479"/>
    <w:rsid w:val="007A2B13"/>
    <w:rsid w:val="007A2DDB"/>
    <w:rsid w:val="007A3F59"/>
    <w:rsid w:val="007A44BE"/>
    <w:rsid w:val="007A516F"/>
    <w:rsid w:val="007A6F7E"/>
    <w:rsid w:val="007A7863"/>
    <w:rsid w:val="007B28DB"/>
    <w:rsid w:val="007B31F6"/>
    <w:rsid w:val="007B4AA9"/>
    <w:rsid w:val="007B4D8C"/>
    <w:rsid w:val="007B569D"/>
    <w:rsid w:val="007B598D"/>
    <w:rsid w:val="007B5DC1"/>
    <w:rsid w:val="007B7052"/>
    <w:rsid w:val="007C0A31"/>
    <w:rsid w:val="007C1006"/>
    <w:rsid w:val="007C26AF"/>
    <w:rsid w:val="007C276F"/>
    <w:rsid w:val="007C4538"/>
    <w:rsid w:val="007C4A2D"/>
    <w:rsid w:val="007C6536"/>
    <w:rsid w:val="007C70D4"/>
    <w:rsid w:val="007D0CEB"/>
    <w:rsid w:val="007D161E"/>
    <w:rsid w:val="007D2915"/>
    <w:rsid w:val="007D573F"/>
    <w:rsid w:val="007D5BDF"/>
    <w:rsid w:val="007D5D75"/>
    <w:rsid w:val="007D5DEC"/>
    <w:rsid w:val="007D69A5"/>
    <w:rsid w:val="007D6B56"/>
    <w:rsid w:val="007D6E6D"/>
    <w:rsid w:val="007E01CE"/>
    <w:rsid w:val="007E2271"/>
    <w:rsid w:val="007E22F9"/>
    <w:rsid w:val="007E307D"/>
    <w:rsid w:val="007E3619"/>
    <w:rsid w:val="007E391D"/>
    <w:rsid w:val="007E3EF2"/>
    <w:rsid w:val="007E593F"/>
    <w:rsid w:val="007E594C"/>
    <w:rsid w:val="007E6E76"/>
    <w:rsid w:val="007E7A08"/>
    <w:rsid w:val="007F010F"/>
    <w:rsid w:val="007F1BD6"/>
    <w:rsid w:val="007F1DC4"/>
    <w:rsid w:val="007F4B8E"/>
    <w:rsid w:val="007F4C5D"/>
    <w:rsid w:val="007F501B"/>
    <w:rsid w:val="007F51C3"/>
    <w:rsid w:val="007F526F"/>
    <w:rsid w:val="007F6140"/>
    <w:rsid w:val="007F676D"/>
    <w:rsid w:val="007F7FEB"/>
    <w:rsid w:val="00800699"/>
    <w:rsid w:val="00800C3D"/>
    <w:rsid w:val="00801428"/>
    <w:rsid w:val="00801DD5"/>
    <w:rsid w:val="008024D9"/>
    <w:rsid w:val="00802D75"/>
    <w:rsid w:val="008051B3"/>
    <w:rsid w:val="008055F1"/>
    <w:rsid w:val="008068C4"/>
    <w:rsid w:val="00806A26"/>
    <w:rsid w:val="00806BE8"/>
    <w:rsid w:val="0081153B"/>
    <w:rsid w:val="00812BD0"/>
    <w:rsid w:val="008136A5"/>
    <w:rsid w:val="008138FA"/>
    <w:rsid w:val="00814FD2"/>
    <w:rsid w:val="00815420"/>
    <w:rsid w:val="008164CF"/>
    <w:rsid w:val="008171D0"/>
    <w:rsid w:val="00817497"/>
    <w:rsid w:val="008177A9"/>
    <w:rsid w:val="00820F48"/>
    <w:rsid w:val="00822171"/>
    <w:rsid w:val="0082308D"/>
    <w:rsid w:val="008231F5"/>
    <w:rsid w:val="00823AB3"/>
    <w:rsid w:val="0082457B"/>
    <w:rsid w:val="00825986"/>
    <w:rsid w:val="008259E3"/>
    <w:rsid w:val="00825B26"/>
    <w:rsid w:val="00825D8C"/>
    <w:rsid w:val="00827B39"/>
    <w:rsid w:val="00831FE2"/>
    <w:rsid w:val="00832099"/>
    <w:rsid w:val="00832410"/>
    <w:rsid w:val="0083343E"/>
    <w:rsid w:val="00833491"/>
    <w:rsid w:val="00835653"/>
    <w:rsid w:val="00835748"/>
    <w:rsid w:val="008359DE"/>
    <w:rsid w:val="008369FB"/>
    <w:rsid w:val="00837845"/>
    <w:rsid w:val="008405ED"/>
    <w:rsid w:val="0084075C"/>
    <w:rsid w:val="008418C9"/>
    <w:rsid w:val="008418EA"/>
    <w:rsid w:val="00841BFC"/>
    <w:rsid w:val="00841F5B"/>
    <w:rsid w:val="00842C2E"/>
    <w:rsid w:val="00843144"/>
    <w:rsid w:val="008454FB"/>
    <w:rsid w:val="00845BCB"/>
    <w:rsid w:val="00845EB2"/>
    <w:rsid w:val="0085083B"/>
    <w:rsid w:val="0085099D"/>
    <w:rsid w:val="00850A01"/>
    <w:rsid w:val="00850D34"/>
    <w:rsid w:val="0085108E"/>
    <w:rsid w:val="00851C7D"/>
    <w:rsid w:val="00851EAE"/>
    <w:rsid w:val="008534AC"/>
    <w:rsid w:val="00853AF2"/>
    <w:rsid w:val="0085538E"/>
    <w:rsid w:val="00855DD1"/>
    <w:rsid w:val="008561D5"/>
    <w:rsid w:val="00856624"/>
    <w:rsid w:val="00856A8D"/>
    <w:rsid w:val="00856E88"/>
    <w:rsid w:val="00856F48"/>
    <w:rsid w:val="008574D0"/>
    <w:rsid w:val="008622F8"/>
    <w:rsid w:val="0086291C"/>
    <w:rsid w:val="0086551D"/>
    <w:rsid w:val="008656F2"/>
    <w:rsid w:val="00865A01"/>
    <w:rsid w:val="00865FC0"/>
    <w:rsid w:val="00866820"/>
    <w:rsid w:val="00867207"/>
    <w:rsid w:val="008706D4"/>
    <w:rsid w:val="00871BB0"/>
    <w:rsid w:val="00871C84"/>
    <w:rsid w:val="00873A34"/>
    <w:rsid w:val="00873BA4"/>
    <w:rsid w:val="008743CF"/>
    <w:rsid w:val="008752CA"/>
    <w:rsid w:val="0087557C"/>
    <w:rsid w:val="0087585F"/>
    <w:rsid w:val="008761AE"/>
    <w:rsid w:val="00881DAC"/>
    <w:rsid w:val="00883304"/>
    <w:rsid w:val="008839C3"/>
    <w:rsid w:val="00883F85"/>
    <w:rsid w:val="00885D3B"/>
    <w:rsid w:val="008902DA"/>
    <w:rsid w:val="0089068F"/>
    <w:rsid w:val="008907C8"/>
    <w:rsid w:val="00890919"/>
    <w:rsid w:val="0089185D"/>
    <w:rsid w:val="00891F7F"/>
    <w:rsid w:val="008920FB"/>
    <w:rsid w:val="00892CB8"/>
    <w:rsid w:val="008939AA"/>
    <w:rsid w:val="00893B5A"/>
    <w:rsid w:val="008957D8"/>
    <w:rsid w:val="00895890"/>
    <w:rsid w:val="00896267"/>
    <w:rsid w:val="00896381"/>
    <w:rsid w:val="0089691C"/>
    <w:rsid w:val="00896B92"/>
    <w:rsid w:val="00896E2E"/>
    <w:rsid w:val="008971AE"/>
    <w:rsid w:val="0089724F"/>
    <w:rsid w:val="00897BEE"/>
    <w:rsid w:val="008A29C3"/>
    <w:rsid w:val="008A424F"/>
    <w:rsid w:val="008A553C"/>
    <w:rsid w:val="008A5BD8"/>
    <w:rsid w:val="008A6498"/>
    <w:rsid w:val="008A671E"/>
    <w:rsid w:val="008A6E56"/>
    <w:rsid w:val="008B00CA"/>
    <w:rsid w:val="008B0B30"/>
    <w:rsid w:val="008B0DD2"/>
    <w:rsid w:val="008B18BE"/>
    <w:rsid w:val="008B2CA4"/>
    <w:rsid w:val="008B2CBC"/>
    <w:rsid w:val="008B4572"/>
    <w:rsid w:val="008B4DE3"/>
    <w:rsid w:val="008B60E8"/>
    <w:rsid w:val="008B664C"/>
    <w:rsid w:val="008B7374"/>
    <w:rsid w:val="008B7B94"/>
    <w:rsid w:val="008C0D81"/>
    <w:rsid w:val="008C1C43"/>
    <w:rsid w:val="008C20FA"/>
    <w:rsid w:val="008C2B74"/>
    <w:rsid w:val="008C407C"/>
    <w:rsid w:val="008C46D6"/>
    <w:rsid w:val="008C6900"/>
    <w:rsid w:val="008C743B"/>
    <w:rsid w:val="008C7866"/>
    <w:rsid w:val="008C7F24"/>
    <w:rsid w:val="008D0381"/>
    <w:rsid w:val="008D16B3"/>
    <w:rsid w:val="008D1BCC"/>
    <w:rsid w:val="008D1CF6"/>
    <w:rsid w:val="008D29BA"/>
    <w:rsid w:val="008D2A64"/>
    <w:rsid w:val="008D3157"/>
    <w:rsid w:val="008D3592"/>
    <w:rsid w:val="008D3F85"/>
    <w:rsid w:val="008D5C1A"/>
    <w:rsid w:val="008D5E5D"/>
    <w:rsid w:val="008E034F"/>
    <w:rsid w:val="008E0540"/>
    <w:rsid w:val="008E09E8"/>
    <w:rsid w:val="008E0A4C"/>
    <w:rsid w:val="008E1B92"/>
    <w:rsid w:val="008E23D3"/>
    <w:rsid w:val="008E282C"/>
    <w:rsid w:val="008E2B7D"/>
    <w:rsid w:val="008E4BA8"/>
    <w:rsid w:val="008E502B"/>
    <w:rsid w:val="008E6716"/>
    <w:rsid w:val="008E7175"/>
    <w:rsid w:val="008F005E"/>
    <w:rsid w:val="008F020F"/>
    <w:rsid w:val="008F089D"/>
    <w:rsid w:val="008F0C2B"/>
    <w:rsid w:val="008F117B"/>
    <w:rsid w:val="008F134D"/>
    <w:rsid w:val="008F16D5"/>
    <w:rsid w:val="008F1FFB"/>
    <w:rsid w:val="008F205E"/>
    <w:rsid w:val="008F2CB0"/>
    <w:rsid w:val="008F2D06"/>
    <w:rsid w:val="008F329A"/>
    <w:rsid w:val="008F42FD"/>
    <w:rsid w:val="008F5F8C"/>
    <w:rsid w:val="008F6457"/>
    <w:rsid w:val="008F68B7"/>
    <w:rsid w:val="008F6B7E"/>
    <w:rsid w:val="008F6C1A"/>
    <w:rsid w:val="008F7911"/>
    <w:rsid w:val="008F7AB4"/>
    <w:rsid w:val="00900A7C"/>
    <w:rsid w:val="00900C04"/>
    <w:rsid w:val="00901041"/>
    <w:rsid w:val="00901656"/>
    <w:rsid w:val="00902954"/>
    <w:rsid w:val="009033A7"/>
    <w:rsid w:val="00904431"/>
    <w:rsid w:val="0090494C"/>
    <w:rsid w:val="009061DB"/>
    <w:rsid w:val="009066CF"/>
    <w:rsid w:val="009071B7"/>
    <w:rsid w:val="009072FD"/>
    <w:rsid w:val="009104EC"/>
    <w:rsid w:val="00910B20"/>
    <w:rsid w:val="00911271"/>
    <w:rsid w:val="0091304C"/>
    <w:rsid w:val="009138D2"/>
    <w:rsid w:val="00913F5F"/>
    <w:rsid w:val="00916A02"/>
    <w:rsid w:val="00920E97"/>
    <w:rsid w:val="00921321"/>
    <w:rsid w:val="00921DA4"/>
    <w:rsid w:val="00923A06"/>
    <w:rsid w:val="00924B13"/>
    <w:rsid w:val="00925F8D"/>
    <w:rsid w:val="00926245"/>
    <w:rsid w:val="00932D99"/>
    <w:rsid w:val="00933131"/>
    <w:rsid w:val="0093339A"/>
    <w:rsid w:val="009342D9"/>
    <w:rsid w:val="00936B93"/>
    <w:rsid w:val="009404E4"/>
    <w:rsid w:val="00940541"/>
    <w:rsid w:val="0094128E"/>
    <w:rsid w:val="00941A2F"/>
    <w:rsid w:val="0094221C"/>
    <w:rsid w:val="0094248C"/>
    <w:rsid w:val="00944214"/>
    <w:rsid w:val="009462E4"/>
    <w:rsid w:val="00946373"/>
    <w:rsid w:val="009469B5"/>
    <w:rsid w:val="00946A1B"/>
    <w:rsid w:val="0094740F"/>
    <w:rsid w:val="00950C39"/>
    <w:rsid w:val="00951F45"/>
    <w:rsid w:val="00954224"/>
    <w:rsid w:val="009558E2"/>
    <w:rsid w:val="00955D69"/>
    <w:rsid w:val="00957086"/>
    <w:rsid w:val="0095715B"/>
    <w:rsid w:val="00957591"/>
    <w:rsid w:val="00957621"/>
    <w:rsid w:val="009609AE"/>
    <w:rsid w:val="009630CB"/>
    <w:rsid w:val="00964656"/>
    <w:rsid w:val="00964F68"/>
    <w:rsid w:val="009650F4"/>
    <w:rsid w:val="00966AF0"/>
    <w:rsid w:val="0097053E"/>
    <w:rsid w:val="00971E2E"/>
    <w:rsid w:val="00971FBC"/>
    <w:rsid w:val="00971FDE"/>
    <w:rsid w:val="00972292"/>
    <w:rsid w:val="00972EDD"/>
    <w:rsid w:val="009749A3"/>
    <w:rsid w:val="009753FC"/>
    <w:rsid w:val="00977535"/>
    <w:rsid w:val="00977595"/>
    <w:rsid w:val="009803B3"/>
    <w:rsid w:val="0098047C"/>
    <w:rsid w:val="0098052C"/>
    <w:rsid w:val="00980780"/>
    <w:rsid w:val="009807C7"/>
    <w:rsid w:val="009826BC"/>
    <w:rsid w:val="0098295A"/>
    <w:rsid w:val="00983F90"/>
    <w:rsid w:val="009846B6"/>
    <w:rsid w:val="00986AB5"/>
    <w:rsid w:val="0098703A"/>
    <w:rsid w:val="009902BE"/>
    <w:rsid w:val="0099210F"/>
    <w:rsid w:val="009921E4"/>
    <w:rsid w:val="00992744"/>
    <w:rsid w:val="0099290B"/>
    <w:rsid w:val="0099304A"/>
    <w:rsid w:val="0099348A"/>
    <w:rsid w:val="00993AE6"/>
    <w:rsid w:val="00994AF5"/>
    <w:rsid w:val="00995F35"/>
    <w:rsid w:val="0099755E"/>
    <w:rsid w:val="00997CC9"/>
    <w:rsid w:val="009A3429"/>
    <w:rsid w:val="009A3E5D"/>
    <w:rsid w:val="009A3FBB"/>
    <w:rsid w:val="009A432D"/>
    <w:rsid w:val="009A4421"/>
    <w:rsid w:val="009A7018"/>
    <w:rsid w:val="009A7E0A"/>
    <w:rsid w:val="009B0571"/>
    <w:rsid w:val="009B062D"/>
    <w:rsid w:val="009B1259"/>
    <w:rsid w:val="009B55E7"/>
    <w:rsid w:val="009B7432"/>
    <w:rsid w:val="009C0F7F"/>
    <w:rsid w:val="009C1CD3"/>
    <w:rsid w:val="009C3347"/>
    <w:rsid w:val="009C5131"/>
    <w:rsid w:val="009C5BAC"/>
    <w:rsid w:val="009C5FB5"/>
    <w:rsid w:val="009C6310"/>
    <w:rsid w:val="009C7917"/>
    <w:rsid w:val="009C7DCE"/>
    <w:rsid w:val="009D0E84"/>
    <w:rsid w:val="009D1652"/>
    <w:rsid w:val="009D236E"/>
    <w:rsid w:val="009D2DF7"/>
    <w:rsid w:val="009D39FF"/>
    <w:rsid w:val="009D3AF1"/>
    <w:rsid w:val="009D4FAD"/>
    <w:rsid w:val="009D59B4"/>
    <w:rsid w:val="009D5AEE"/>
    <w:rsid w:val="009D61B9"/>
    <w:rsid w:val="009E2A99"/>
    <w:rsid w:val="009E33D3"/>
    <w:rsid w:val="009E3FAE"/>
    <w:rsid w:val="009E42A7"/>
    <w:rsid w:val="009E43A1"/>
    <w:rsid w:val="009E49B6"/>
    <w:rsid w:val="009E5B68"/>
    <w:rsid w:val="009E606A"/>
    <w:rsid w:val="009E6D5A"/>
    <w:rsid w:val="009F025C"/>
    <w:rsid w:val="009F15CF"/>
    <w:rsid w:val="009F21F8"/>
    <w:rsid w:val="009F268F"/>
    <w:rsid w:val="009F327C"/>
    <w:rsid w:val="009F33CC"/>
    <w:rsid w:val="009F59D9"/>
    <w:rsid w:val="009F67EA"/>
    <w:rsid w:val="00A02C95"/>
    <w:rsid w:val="00A03333"/>
    <w:rsid w:val="00A03A20"/>
    <w:rsid w:val="00A042B1"/>
    <w:rsid w:val="00A0437D"/>
    <w:rsid w:val="00A051DD"/>
    <w:rsid w:val="00A05E37"/>
    <w:rsid w:val="00A05EB4"/>
    <w:rsid w:val="00A06135"/>
    <w:rsid w:val="00A062F0"/>
    <w:rsid w:val="00A0674D"/>
    <w:rsid w:val="00A07083"/>
    <w:rsid w:val="00A074D2"/>
    <w:rsid w:val="00A07CB5"/>
    <w:rsid w:val="00A11198"/>
    <w:rsid w:val="00A1138E"/>
    <w:rsid w:val="00A12224"/>
    <w:rsid w:val="00A12696"/>
    <w:rsid w:val="00A128E3"/>
    <w:rsid w:val="00A12A63"/>
    <w:rsid w:val="00A145BA"/>
    <w:rsid w:val="00A14CCC"/>
    <w:rsid w:val="00A14EB8"/>
    <w:rsid w:val="00A15E48"/>
    <w:rsid w:val="00A16240"/>
    <w:rsid w:val="00A16B46"/>
    <w:rsid w:val="00A17D61"/>
    <w:rsid w:val="00A20F9C"/>
    <w:rsid w:val="00A21EE4"/>
    <w:rsid w:val="00A22AC7"/>
    <w:rsid w:val="00A2326D"/>
    <w:rsid w:val="00A23585"/>
    <w:rsid w:val="00A23AAC"/>
    <w:rsid w:val="00A23D6F"/>
    <w:rsid w:val="00A24389"/>
    <w:rsid w:val="00A259F5"/>
    <w:rsid w:val="00A25E85"/>
    <w:rsid w:val="00A25F4D"/>
    <w:rsid w:val="00A26783"/>
    <w:rsid w:val="00A26BBD"/>
    <w:rsid w:val="00A30F6E"/>
    <w:rsid w:val="00A311F9"/>
    <w:rsid w:val="00A31CD8"/>
    <w:rsid w:val="00A33BD3"/>
    <w:rsid w:val="00A3587B"/>
    <w:rsid w:val="00A36DB7"/>
    <w:rsid w:val="00A37475"/>
    <w:rsid w:val="00A41D2C"/>
    <w:rsid w:val="00A43853"/>
    <w:rsid w:val="00A4412B"/>
    <w:rsid w:val="00A4465F"/>
    <w:rsid w:val="00A44AFF"/>
    <w:rsid w:val="00A453B7"/>
    <w:rsid w:val="00A475EA"/>
    <w:rsid w:val="00A47D4A"/>
    <w:rsid w:val="00A500C3"/>
    <w:rsid w:val="00A50361"/>
    <w:rsid w:val="00A50D80"/>
    <w:rsid w:val="00A50E84"/>
    <w:rsid w:val="00A511C5"/>
    <w:rsid w:val="00A52384"/>
    <w:rsid w:val="00A52429"/>
    <w:rsid w:val="00A52A41"/>
    <w:rsid w:val="00A53A69"/>
    <w:rsid w:val="00A54375"/>
    <w:rsid w:val="00A55272"/>
    <w:rsid w:val="00A552B3"/>
    <w:rsid w:val="00A558BB"/>
    <w:rsid w:val="00A56784"/>
    <w:rsid w:val="00A57CA9"/>
    <w:rsid w:val="00A602EA"/>
    <w:rsid w:val="00A60692"/>
    <w:rsid w:val="00A60DAE"/>
    <w:rsid w:val="00A615A3"/>
    <w:rsid w:val="00A626E1"/>
    <w:rsid w:val="00A6284F"/>
    <w:rsid w:val="00A66114"/>
    <w:rsid w:val="00A6646F"/>
    <w:rsid w:val="00A66C29"/>
    <w:rsid w:val="00A66D85"/>
    <w:rsid w:val="00A67B05"/>
    <w:rsid w:val="00A67D22"/>
    <w:rsid w:val="00A70021"/>
    <w:rsid w:val="00A713E5"/>
    <w:rsid w:val="00A715FD"/>
    <w:rsid w:val="00A72BAD"/>
    <w:rsid w:val="00A7304C"/>
    <w:rsid w:val="00A73298"/>
    <w:rsid w:val="00A74313"/>
    <w:rsid w:val="00A74363"/>
    <w:rsid w:val="00A7606F"/>
    <w:rsid w:val="00A769E8"/>
    <w:rsid w:val="00A76A40"/>
    <w:rsid w:val="00A7748E"/>
    <w:rsid w:val="00A81148"/>
    <w:rsid w:val="00A81272"/>
    <w:rsid w:val="00A813A6"/>
    <w:rsid w:val="00A81DC7"/>
    <w:rsid w:val="00A81DE5"/>
    <w:rsid w:val="00A81F51"/>
    <w:rsid w:val="00A821AE"/>
    <w:rsid w:val="00A82954"/>
    <w:rsid w:val="00A82A29"/>
    <w:rsid w:val="00A82CF3"/>
    <w:rsid w:val="00A83F47"/>
    <w:rsid w:val="00A850C0"/>
    <w:rsid w:val="00A86034"/>
    <w:rsid w:val="00A86B6F"/>
    <w:rsid w:val="00A86BD4"/>
    <w:rsid w:val="00A875B2"/>
    <w:rsid w:val="00A875CB"/>
    <w:rsid w:val="00A8774C"/>
    <w:rsid w:val="00A87D08"/>
    <w:rsid w:val="00A91761"/>
    <w:rsid w:val="00A94322"/>
    <w:rsid w:val="00A94B08"/>
    <w:rsid w:val="00A9564D"/>
    <w:rsid w:val="00A96557"/>
    <w:rsid w:val="00AA0002"/>
    <w:rsid w:val="00AA00B0"/>
    <w:rsid w:val="00AA15C8"/>
    <w:rsid w:val="00AA311E"/>
    <w:rsid w:val="00AA33DB"/>
    <w:rsid w:val="00AA385E"/>
    <w:rsid w:val="00AA396E"/>
    <w:rsid w:val="00AA5631"/>
    <w:rsid w:val="00AA578F"/>
    <w:rsid w:val="00AA5A9F"/>
    <w:rsid w:val="00AA6C44"/>
    <w:rsid w:val="00AA6FBE"/>
    <w:rsid w:val="00AA70DB"/>
    <w:rsid w:val="00AA79DC"/>
    <w:rsid w:val="00AB28D4"/>
    <w:rsid w:val="00AB4F02"/>
    <w:rsid w:val="00AB5CEC"/>
    <w:rsid w:val="00AB6220"/>
    <w:rsid w:val="00AB64D1"/>
    <w:rsid w:val="00AB65ED"/>
    <w:rsid w:val="00AB6F14"/>
    <w:rsid w:val="00AB7804"/>
    <w:rsid w:val="00AC0E53"/>
    <w:rsid w:val="00AC37E3"/>
    <w:rsid w:val="00AC3B45"/>
    <w:rsid w:val="00AC4682"/>
    <w:rsid w:val="00AC4FEC"/>
    <w:rsid w:val="00AC6BB8"/>
    <w:rsid w:val="00AC796B"/>
    <w:rsid w:val="00AC7CDA"/>
    <w:rsid w:val="00AD0B8F"/>
    <w:rsid w:val="00AD113C"/>
    <w:rsid w:val="00AD1429"/>
    <w:rsid w:val="00AD357F"/>
    <w:rsid w:val="00AD4126"/>
    <w:rsid w:val="00AD603E"/>
    <w:rsid w:val="00AD69BC"/>
    <w:rsid w:val="00AD72B4"/>
    <w:rsid w:val="00AD736C"/>
    <w:rsid w:val="00AE24B9"/>
    <w:rsid w:val="00AE3996"/>
    <w:rsid w:val="00AE3A78"/>
    <w:rsid w:val="00AE3B5B"/>
    <w:rsid w:val="00AE4D9A"/>
    <w:rsid w:val="00AE5C29"/>
    <w:rsid w:val="00AE5F47"/>
    <w:rsid w:val="00AE767E"/>
    <w:rsid w:val="00AF028B"/>
    <w:rsid w:val="00AF399F"/>
    <w:rsid w:val="00AF3D3B"/>
    <w:rsid w:val="00AF3FBC"/>
    <w:rsid w:val="00AF4813"/>
    <w:rsid w:val="00AF4A52"/>
    <w:rsid w:val="00B00602"/>
    <w:rsid w:val="00B0093E"/>
    <w:rsid w:val="00B02A09"/>
    <w:rsid w:val="00B02AC6"/>
    <w:rsid w:val="00B02E45"/>
    <w:rsid w:val="00B05378"/>
    <w:rsid w:val="00B06DEF"/>
    <w:rsid w:val="00B075BD"/>
    <w:rsid w:val="00B114F5"/>
    <w:rsid w:val="00B12995"/>
    <w:rsid w:val="00B12BA9"/>
    <w:rsid w:val="00B1324F"/>
    <w:rsid w:val="00B13B16"/>
    <w:rsid w:val="00B143B0"/>
    <w:rsid w:val="00B14A85"/>
    <w:rsid w:val="00B158B9"/>
    <w:rsid w:val="00B1762D"/>
    <w:rsid w:val="00B20975"/>
    <w:rsid w:val="00B20B02"/>
    <w:rsid w:val="00B22D38"/>
    <w:rsid w:val="00B2373D"/>
    <w:rsid w:val="00B23964"/>
    <w:rsid w:val="00B24951"/>
    <w:rsid w:val="00B2536A"/>
    <w:rsid w:val="00B25446"/>
    <w:rsid w:val="00B25F3A"/>
    <w:rsid w:val="00B261FA"/>
    <w:rsid w:val="00B27565"/>
    <w:rsid w:val="00B27F74"/>
    <w:rsid w:val="00B3052C"/>
    <w:rsid w:val="00B30AC5"/>
    <w:rsid w:val="00B31347"/>
    <w:rsid w:val="00B3177C"/>
    <w:rsid w:val="00B331DB"/>
    <w:rsid w:val="00B36F5D"/>
    <w:rsid w:val="00B4109A"/>
    <w:rsid w:val="00B4180E"/>
    <w:rsid w:val="00B4274D"/>
    <w:rsid w:val="00B42DAD"/>
    <w:rsid w:val="00B43956"/>
    <w:rsid w:val="00B44103"/>
    <w:rsid w:val="00B453B1"/>
    <w:rsid w:val="00B4558E"/>
    <w:rsid w:val="00B4575A"/>
    <w:rsid w:val="00B45B2E"/>
    <w:rsid w:val="00B500BB"/>
    <w:rsid w:val="00B51D82"/>
    <w:rsid w:val="00B522BD"/>
    <w:rsid w:val="00B527F1"/>
    <w:rsid w:val="00B52C7B"/>
    <w:rsid w:val="00B535B2"/>
    <w:rsid w:val="00B54318"/>
    <w:rsid w:val="00B54A99"/>
    <w:rsid w:val="00B56239"/>
    <w:rsid w:val="00B563A8"/>
    <w:rsid w:val="00B5654A"/>
    <w:rsid w:val="00B579FA"/>
    <w:rsid w:val="00B6130C"/>
    <w:rsid w:val="00B61A2F"/>
    <w:rsid w:val="00B61D72"/>
    <w:rsid w:val="00B627BD"/>
    <w:rsid w:val="00B62A86"/>
    <w:rsid w:val="00B63707"/>
    <w:rsid w:val="00B64DDF"/>
    <w:rsid w:val="00B651C0"/>
    <w:rsid w:val="00B658A2"/>
    <w:rsid w:val="00B66463"/>
    <w:rsid w:val="00B669F7"/>
    <w:rsid w:val="00B70D48"/>
    <w:rsid w:val="00B70F3F"/>
    <w:rsid w:val="00B71A08"/>
    <w:rsid w:val="00B71BBE"/>
    <w:rsid w:val="00B71E0D"/>
    <w:rsid w:val="00B72DD2"/>
    <w:rsid w:val="00B73059"/>
    <w:rsid w:val="00B73183"/>
    <w:rsid w:val="00B73FA0"/>
    <w:rsid w:val="00B76558"/>
    <w:rsid w:val="00B77174"/>
    <w:rsid w:val="00B77732"/>
    <w:rsid w:val="00B8011B"/>
    <w:rsid w:val="00B81695"/>
    <w:rsid w:val="00B8351E"/>
    <w:rsid w:val="00B83955"/>
    <w:rsid w:val="00B83B5A"/>
    <w:rsid w:val="00B83DA0"/>
    <w:rsid w:val="00B8503B"/>
    <w:rsid w:val="00B86D3F"/>
    <w:rsid w:val="00B87FAD"/>
    <w:rsid w:val="00B90496"/>
    <w:rsid w:val="00B90895"/>
    <w:rsid w:val="00B90E45"/>
    <w:rsid w:val="00B90F77"/>
    <w:rsid w:val="00B920E3"/>
    <w:rsid w:val="00B92731"/>
    <w:rsid w:val="00B92AF5"/>
    <w:rsid w:val="00B92C61"/>
    <w:rsid w:val="00B931A3"/>
    <w:rsid w:val="00B93B57"/>
    <w:rsid w:val="00B944B1"/>
    <w:rsid w:val="00B95105"/>
    <w:rsid w:val="00B9557E"/>
    <w:rsid w:val="00B963C8"/>
    <w:rsid w:val="00BA1250"/>
    <w:rsid w:val="00BA2714"/>
    <w:rsid w:val="00BA56C9"/>
    <w:rsid w:val="00BA7E52"/>
    <w:rsid w:val="00BB02E1"/>
    <w:rsid w:val="00BB2435"/>
    <w:rsid w:val="00BB328F"/>
    <w:rsid w:val="00BB3B26"/>
    <w:rsid w:val="00BB46FC"/>
    <w:rsid w:val="00BB5F1B"/>
    <w:rsid w:val="00BB6764"/>
    <w:rsid w:val="00BB7430"/>
    <w:rsid w:val="00BB7E80"/>
    <w:rsid w:val="00BC07AA"/>
    <w:rsid w:val="00BC0C0B"/>
    <w:rsid w:val="00BC17E5"/>
    <w:rsid w:val="00BC2007"/>
    <w:rsid w:val="00BC25AD"/>
    <w:rsid w:val="00BC269A"/>
    <w:rsid w:val="00BC2C1B"/>
    <w:rsid w:val="00BC47D0"/>
    <w:rsid w:val="00BC7C8E"/>
    <w:rsid w:val="00BC7D68"/>
    <w:rsid w:val="00BD0BCC"/>
    <w:rsid w:val="00BD0E06"/>
    <w:rsid w:val="00BD0EDF"/>
    <w:rsid w:val="00BD0F1E"/>
    <w:rsid w:val="00BD222A"/>
    <w:rsid w:val="00BD2543"/>
    <w:rsid w:val="00BD2C2F"/>
    <w:rsid w:val="00BD2EF6"/>
    <w:rsid w:val="00BD3653"/>
    <w:rsid w:val="00BD47C4"/>
    <w:rsid w:val="00BD4F4D"/>
    <w:rsid w:val="00BD5D85"/>
    <w:rsid w:val="00BD7553"/>
    <w:rsid w:val="00BD7B51"/>
    <w:rsid w:val="00BE1B4E"/>
    <w:rsid w:val="00BE442E"/>
    <w:rsid w:val="00BE5627"/>
    <w:rsid w:val="00BE59D4"/>
    <w:rsid w:val="00BE6BA6"/>
    <w:rsid w:val="00BE7995"/>
    <w:rsid w:val="00BF1D31"/>
    <w:rsid w:val="00BF3141"/>
    <w:rsid w:val="00BF4263"/>
    <w:rsid w:val="00BF4AEB"/>
    <w:rsid w:val="00BF4B76"/>
    <w:rsid w:val="00BF55BF"/>
    <w:rsid w:val="00BF59DB"/>
    <w:rsid w:val="00BF621F"/>
    <w:rsid w:val="00BF6272"/>
    <w:rsid w:val="00BF6713"/>
    <w:rsid w:val="00BF7365"/>
    <w:rsid w:val="00BF7F25"/>
    <w:rsid w:val="00C02026"/>
    <w:rsid w:val="00C03449"/>
    <w:rsid w:val="00C03CEB"/>
    <w:rsid w:val="00C04B78"/>
    <w:rsid w:val="00C10107"/>
    <w:rsid w:val="00C10C8A"/>
    <w:rsid w:val="00C1106F"/>
    <w:rsid w:val="00C11A8E"/>
    <w:rsid w:val="00C12BD4"/>
    <w:rsid w:val="00C14822"/>
    <w:rsid w:val="00C14C32"/>
    <w:rsid w:val="00C14D7D"/>
    <w:rsid w:val="00C1506F"/>
    <w:rsid w:val="00C15DFC"/>
    <w:rsid w:val="00C16EFB"/>
    <w:rsid w:val="00C16F64"/>
    <w:rsid w:val="00C175C4"/>
    <w:rsid w:val="00C20303"/>
    <w:rsid w:val="00C2163E"/>
    <w:rsid w:val="00C21B08"/>
    <w:rsid w:val="00C229AE"/>
    <w:rsid w:val="00C22FF8"/>
    <w:rsid w:val="00C232D8"/>
    <w:rsid w:val="00C23632"/>
    <w:rsid w:val="00C238DB"/>
    <w:rsid w:val="00C243F9"/>
    <w:rsid w:val="00C24D47"/>
    <w:rsid w:val="00C260D2"/>
    <w:rsid w:val="00C26132"/>
    <w:rsid w:val="00C27382"/>
    <w:rsid w:val="00C27AB7"/>
    <w:rsid w:val="00C30640"/>
    <w:rsid w:val="00C30EC9"/>
    <w:rsid w:val="00C3218E"/>
    <w:rsid w:val="00C32194"/>
    <w:rsid w:val="00C323DC"/>
    <w:rsid w:val="00C3252E"/>
    <w:rsid w:val="00C339B3"/>
    <w:rsid w:val="00C33CC9"/>
    <w:rsid w:val="00C34536"/>
    <w:rsid w:val="00C34C80"/>
    <w:rsid w:val="00C34CAB"/>
    <w:rsid w:val="00C352CD"/>
    <w:rsid w:val="00C35BBC"/>
    <w:rsid w:val="00C36F57"/>
    <w:rsid w:val="00C404F2"/>
    <w:rsid w:val="00C41B77"/>
    <w:rsid w:val="00C41C8C"/>
    <w:rsid w:val="00C42AE0"/>
    <w:rsid w:val="00C42C3F"/>
    <w:rsid w:val="00C44462"/>
    <w:rsid w:val="00C46E12"/>
    <w:rsid w:val="00C502D9"/>
    <w:rsid w:val="00C50552"/>
    <w:rsid w:val="00C50C63"/>
    <w:rsid w:val="00C51851"/>
    <w:rsid w:val="00C5489C"/>
    <w:rsid w:val="00C54FBA"/>
    <w:rsid w:val="00C560AD"/>
    <w:rsid w:val="00C56CE7"/>
    <w:rsid w:val="00C57FC5"/>
    <w:rsid w:val="00C60BB1"/>
    <w:rsid w:val="00C61EAD"/>
    <w:rsid w:val="00C62671"/>
    <w:rsid w:val="00C62907"/>
    <w:rsid w:val="00C63503"/>
    <w:rsid w:val="00C644D1"/>
    <w:rsid w:val="00C648FF"/>
    <w:rsid w:val="00C64A1D"/>
    <w:rsid w:val="00C6587A"/>
    <w:rsid w:val="00C65BCF"/>
    <w:rsid w:val="00C6666C"/>
    <w:rsid w:val="00C7155B"/>
    <w:rsid w:val="00C71816"/>
    <w:rsid w:val="00C71900"/>
    <w:rsid w:val="00C72F45"/>
    <w:rsid w:val="00C74536"/>
    <w:rsid w:val="00C75509"/>
    <w:rsid w:val="00C75D11"/>
    <w:rsid w:val="00C76706"/>
    <w:rsid w:val="00C76D37"/>
    <w:rsid w:val="00C76D8F"/>
    <w:rsid w:val="00C83EF7"/>
    <w:rsid w:val="00C8417F"/>
    <w:rsid w:val="00C848D5"/>
    <w:rsid w:val="00C85CD5"/>
    <w:rsid w:val="00C861FC"/>
    <w:rsid w:val="00C8633F"/>
    <w:rsid w:val="00C87023"/>
    <w:rsid w:val="00C87D61"/>
    <w:rsid w:val="00C91277"/>
    <w:rsid w:val="00C91383"/>
    <w:rsid w:val="00C91995"/>
    <w:rsid w:val="00C92D3D"/>
    <w:rsid w:val="00C92DAD"/>
    <w:rsid w:val="00C94995"/>
    <w:rsid w:val="00C94A40"/>
    <w:rsid w:val="00C9641D"/>
    <w:rsid w:val="00C96B0A"/>
    <w:rsid w:val="00C96B33"/>
    <w:rsid w:val="00C9706C"/>
    <w:rsid w:val="00C97E69"/>
    <w:rsid w:val="00CA2F45"/>
    <w:rsid w:val="00CA30A2"/>
    <w:rsid w:val="00CA370C"/>
    <w:rsid w:val="00CA56B4"/>
    <w:rsid w:val="00CA6093"/>
    <w:rsid w:val="00CA62A9"/>
    <w:rsid w:val="00CA6953"/>
    <w:rsid w:val="00CA7D6D"/>
    <w:rsid w:val="00CB056C"/>
    <w:rsid w:val="00CB099A"/>
    <w:rsid w:val="00CB09B2"/>
    <w:rsid w:val="00CB1622"/>
    <w:rsid w:val="00CB19DD"/>
    <w:rsid w:val="00CB1FAF"/>
    <w:rsid w:val="00CB381F"/>
    <w:rsid w:val="00CB487A"/>
    <w:rsid w:val="00CB49E0"/>
    <w:rsid w:val="00CB4A3B"/>
    <w:rsid w:val="00CB636B"/>
    <w:rsid w:val="00CC0F11"/>
    <w:rsid w:val="00CC3074"/>
    <w:rsid w:val="00CC5B93"/>
    <w:rsid w:val="00CC5F1D"/>
    <w:rsid w:val="00CC6A52"/>
    <w:rsid w:val="00CC7354"/>
    <w:rsid w:val="00CC79B6"/>
    <w:rsid w:val="00CD16FC"/>
    <w:rsid w:val="00CD17B2"/>
    <w:rsid w:val="00CD23B0"/>
    <w:rsid w:val="00CD2699"/>
    <w:rsid w:val="00CD3314"/>
    <w:rsid w:val="00CD3CEA"/>
    <w:rsid w:val="00CD3F8E"/>
    <w:rsid w:val="00CD4FB1"/>
    <w:rsid w:val="00CD5E6C"/>
    <w:rsid w:val="00CD7BEF"/>
    <w:rsid w:val="00CE1B41"/>
    <w:rsid w:val="00CE1C78"/>
    <w:rsid w:val="00CE1DAD"/>
    <w:rsid w:val="00CE23BB"/>
    <w:rsid w:val="00CE3C47"/>
    <w:rsid w:val="00CE467E"/>
    <w:rsid w:val="00CE4B27"/>
    <w:rsid w:val="00CE55F9"/>
    <w:rsid w:val="00CE6E98"/>
    <w:rsid w:val="00CE7D69"/>
    <w:rsid w:val="00CF0B87"/>
    <w:rsid w:val="00CF279B"/>
    <w:rsid w:val="00CF35EC"/>
    <w:rsid w:val="00CF3845"/>
    <w:rsid w:val="00CF39E3"/>
    <w:rsid w:val="00CF4E13"/>
    <w:rsid w:val="00CF632F"/>
    <w:rsid w:val="00CF67BE"/>
    <w:rsid w:val="00CF6DEC"/>
    <w:rsid w:val="00CF6F20"/>
    <w:rsid w:val="00D02E52"/>
    <w:rsid w:val="00D03189"/>
    <w:rsid w:val="00D03249"/>
    <w:rsid w:val="00D05352"/>
    <w:rsid w:val="00D05E23"/>
    <w:rsid w:val="00D061AD"/>
    <w:rsid w:val="00D100B0"/>
    <w:rsid w:val="00D10C90"/>
    <w:rsid w:val="00D11A20"/>
    <w:rsid w:val="00D14511"/>
    <w:rsid w:val="00D14991"/>
    <w:rsid w:val="00D159AD"/>
    <w:rsid w:val="00D1600D"/>
    <w:rsid w:val="00D16C0D"/>
    <w:rsid w:val="00D17130"/>
    <w:rsid w:val="00D17968"/>
    <w:rsid w:val="00D203B5"/>
    <w:rsid w:val="00D20534"/>
    <w:rsid w:val="00D21427"/>
    <w:rsid w:val="00D2240B"/>
    <w:rsid w:val="00D225CA"/>
    <w:rsid w:val="00D22B25"/>
    <w:rsid w:val="00D23E84"/>
    <w:rsid w:val="00D24464"/>
    <w:rsid w:val="00D24B6E"/>
    <w:rsid w:val="00D24CB9"/>
    <w:rsid w:val="00D24F21"/>
    <w:rsid w:val="00D25640"/>
    <w:rsid w:val="00D265B6"/>
    <w:rsid w:val="00D270FC"/>
    <w:rsid w:val="00D27451"/>
    <w:rsid w:val="00D27619"/>
    <w:rsid w:val="00D276C8"/>
    <w:rsid w:val="00D27E1E"/>
    <w:rsid w:val="00D30E3B"/>
    <w:rsid w:val="00D30F46"/>
    <w:rsid w:val="00D31C4C"/>
    <w:rsid w:val="00D31F9D"/>
    <w:rsid w:val="00D335CB"/>
    <w:rsid w:val="00D3384B"/>
    <w:rsid w:val="00D34C21"/>
    <w:rsid w:val="00D35905"/>
    <w:rsid w:val="00D35C63"/>
    <w:rsid w:val="00D37045"/>
    <w:rsid w:val="00D371FD"/>
    <w:rsid w:val="00D37F46"/>
    <w:rsid w:val="00D40CA9"/>
    <w:rsid w:val="00D41349"/>
    <w:rsid w:val="00D416A6"/>
    <w:rsid w:val="00D41AEE"/>
    <w:rsid w:val="00D41C10"/>
    <w:rsid w:val="00D41C88"/>
    <w:rsid w:val="00D45021"/>
    <w:rsid w:val="00D4592C"/>
    <w:rsid w:val="00D470F5"/>
    <w:rsid w:val="00D47566"/>
    <w:rsid w:val="00D47955"/>
    <w:rsid w:val="00D5018E"/>
    <w:rsid w:val="00D50285"/>
    <w:rsid w:val="00D502AB"/>
    <w:rsid w:val="00D512C0"/>
    <w:rsid w:val="00D51313"/>
    <w:rsid w:val="00D521A8"/>
    <w:rsid w:val="00D521BF"/>
    <w:rsid w:val="00D52246"/>
    <w:rsid w:val="00D535E2"/>
    <w:rsid w:val="00D54251"/>
    <w:rsid w:val="00D55B7F"/>
    <w:rsid w:val="00D56528"/>
    <w:rsid w:val="00D57A46"/>
    <w:rsid w:val="00D60350"/>
    <w:rsid w:val="00D60F5E"/>
    <w:rsid w:val="00D61318"/>
    <w:rsid w:val="00D624EC"/>
    <w:rsid w:val="00D643F3"/>
    <w:rsid w:val="00D65D1F"/>
    <w:rsid w:val="00D65DA8"/>
    <w:rsid w:val="00D65EA1"/>
    <w:rsid w:val="00D66B00"/>
    <w:rsid w:val="00D66C2E"/>
    <w:rsid w:val="00D67800"/>
    <w:rsid w:val="00D67911"/>
    <w:rsid w:val="00D67DCA"/>
    <w:rsid w:val="00D67EE3"/>
    <w:rsid w:val="00D71193"/>
    <w:rsid w:val="00D72FC1"/>
    <w:rsid w:val="00D7348C"/>
    <w:rsid w:val="00D73F8C"/>
    <w:rsid w:val="00D742F0"/>
    <w:rsid w:val="00D74507"/>
    <w:rsid w:val="00D7488F"/>
    <w:rsid w:val="00D750A0"/>
    <w:rsid w:val="00D75EAC"/>
    <w:rsid w:val="00D7788C"/>
    <w:rsid w:val="00D81A2A"/>
    <w:rsid w:val="00D85044"/>
    <w:rsid w:val="00D859A1"/>
    <w:rsid w:val="00D86BE7"/>
    <w:rsid w:val="00D9104B"/>
    <w:rsid w:val="00D913E7"/>
    <w:rsid w:val="00D91EC1"/>
    <w:rsid w:val="00D930D3"/>
    <w:rsid w:val="00D9344F"/>
    <w:rsid w:val="00D93ED5"/>
    <w:rsid w:val="00D95766"/>
    <w:rsid w:val="00D95A7B"/>
    <w:rsid w:val="00D962C1"/>
    <w:rsid w:val="00D97029"/>
    <w:rsid w:val="00DA024E"/>
    <w:rsid w:val="00DA3872"/>
    <w:rsid w:val="00DA438F"/>
    <w:rsid w:val="00DA444E"/>
    <w:rsid w:val="00DA6028"/>
    <w:rsid w:val="00DA773F"/>
    <w:rsid w:val="00DA7F45"/>
    <w:rsid w:val="00DB08CD"/>
    <w:rsid w:val="00DB11A3"/>
    <w:rsid w:val="00DB21CA"/>
    <w:rsid w:val="00DB2C03"/>
    <w:rsid w:val="00DB37DB"/>
    <w:rsid w:val="00DB6230"/>
    <w:rsid w:val="00DB6472"/>
    <w:rsid w:val="00DB780E"/>
    <w:rsid w:val="00DC01DE"/>
    <w:rsid w:val="00DC066F"/>
    <w:rsid w:val="00DC0EAF"/>
    <w:rsid w:val="00DC5C70"/>
    <w:rsid w:val="00DC5FEF"/>
    <w:rsid w:val="00DC681E"/>
    <w:rsid w:val="00DC72BA"/>
    <w:rsid w:val="00DC7F75"/>
    <w:rsid w:val="00DD0008"/>
    <w:rsid w:val="00DD06A0"/>
    <w:rsid w:val="00DD0F98"/>
    <w:rsid w:val="00DD1951"/>
    <w:rsid w:val="00DD1C67"/>
    <w:rsid w:val="00DD2EE1"/>
    <w:rsid w:val="00DD30AE"/>
    <w:rsid w:val="00DD329C"/>
    <w:rsid w:val="00DD3651"/>
    <w:rsid w:val="00DE039A"/>
    <w:rsid w:val="00DE03F0"/>
    <w:rsid w:val="00DE11B4"/>
    <w:rsid w:val="00DE1C23"/>
    <w:rsid w:val="00DE27D9"/>
    <w:rsid w:val="00DE2910"/>
    <w:rsid w:val="00DE2E24"/>
    <w:rsid w:val="00DE436E"/>
    <w:rsid w:val="00DE5A8F"/>
    <w:rsid w:val="00DF0559"/>
    <w:rsid w:val="00DF1295"/>
    <w:rsid w:val="00DF12AD"/>
    <w:rsid w:val="00DF1914"/>
    <w:rsid w:val="00DF19A4"/>
    <w:rsid w:val="00DF202A"/>
    <w:rsid w:val="00DF2238"/>
    <w:rsid w:val="00DF2B88"/>
    <w:rsid w:val="00DF32D5"/>
    <w:rsid w:val="00DF3739"/>
    <w:rsid w:val="00DF413B"/>
    <w:rsid w:val="00DF4382"/>
    <w:rsid w:val="00DF5B63"/>
    <w:rsid w:val="00DF682E"/>
    <w:rsid w:val="00DF6B56"/>
    <w:rsid w:val="00E013EC"/>
    <w:rsid w:val="00E01796"/>
    <w:rsid w:val="00E018A5"/>
    <w:rsid w:val="00E028E0"/>
    <w:rsid w:val="00E02C19"/>
    <w:rsid w:val="00E04F0E"/>
    <w:rsid w:val="00E057D3"/>
    <w:rsid w:val="00E062A1"/>
    <w:rsid w:val="00E07066"/>
    <w:rsid w:val="00E07FEA"/>
    <w:rsid w:val="00E10A20"/>
    <w:rsid w:val="00E110A1"/>
    <w:rsid w:val="00E11342"/>
    <w:rsid w:val="00E12D00"/>
    <w:rsid w:val="00E13A56"/>
    <w:rsid w:val="00E14150"/>
    <w:rsid w:val="00E14CAC"/>
    <w:rsid w:val="00E162D9"/>
    <w:rsid w:val="00E16459"/>
    <w:rsid w:val="00E165B0"/>
    <w:rsid w:val="00E176D8"/>
    <w:rsid w:val="00E20327"/>
    <w:rsid w:val="00E2132F"/>
    <w:rsid w:val="00E22864"/>
    <w:rsid w:val="00E22B9E"/>
    <w:rsid w:val="00E23212"/>
    <w:rsid w:val="00E24D85"/>
    <w:rsid w:val="00E2560B"/>
    <w:rsid w:val="00E25820"/>
    <w:rsid w:val="00E26562"/>
    <w:rsid w:val="00E265EC"/>
    <w:rsid w:val="00E305A7"/>
    <w:rsid w:val="00E32B82"/>
    <w:rsid w:val="00E32F5C"/>
    <w:rsid w:val="00E330E8"/>
    <w:rsid w:val="00E34959"/>
    <w:rsid w:val="00E35461"/>
    <w:rsid w:val="00E36108"/>
    <w:rsid w:val="00E364F8"/>
    <w:rsid w:val="00E4221A"/>
    <w:rsid w:val="00E422CE"/>
    <w:rsid w:val="00E42BE8"/>
    <w:rsid w:val="00E4322A"/>
    <w:rsid w:val="00E44C52"/>
    <w:rsid w:val="00E4734E"/>
    <w:rsid w:val="00E50FD4"/>
    <w:rsid w:val="00E51987"/>
    <w:rsid w:val="00E53899"/>
    <w:rsid w:val="00E53EC3"/>
    <w:rsid w:val="00E54385"/>
    <w:rsid w:val="00E54E67"/>
    <w:rsid w:val="00E558E8"/>
    <w:rsid w:val="00E5661E"/>
    <w:rsid w:val="00E5783A"/>
    <w:rsid w:val="00E57BD8"/>
    <w:rsid w:val="00E608EA"/>
    <w:rsid w:val="00E61448"/>
    <w:rsid w:val="00E61D89"/>
    <w:rsid w:val="00E61DB8"/>
    <w:rsid w:val="00E6389B"/>
    <w:rsid w:val="00E63CFA"/>
    <w:rsid w:val="00E64140"/>
    <w:rsid w:val="00E65357"/>
    <w:rsid w:val="00E66C22"/>
    <w:rsid w:val="00E671C2"/>
    <w:rsid w:val="00E703E4"/>
    <w:rsid w:val="00E70B69"/>
    <w:rsid w:val="00E70B85"/>
    <w:rsid w:val="00E70E91"/>
    <w:rsid w:val="00E74652"/>
    <w:rsid w:val="00E757B0"/>
    <w:rsid w:val="00E75B15"/>
    <w:rsid w:val="00E764B3"/>
    <w:rsid w:val="00E76D0E"/>
    <w:rsid w:val="00E8005B"/>
    <w:rsid w:val="00E81365"/>
    <w:rsid w:val="00E83C3A"/>
    <w:rsid w:val="00E83C93"/>
    <w:rsid w:val="00E84599"/>
    <w:rsid w:val="00E86456"/>
    <w:rsid w:val="00E86867"/>
    <w:rsid w:val="00E87938"/>
    <w:rsid w:val="00E87F02"/>
    <w:rsid w:val="00E906F9"/>
    <w:rsid w:val="00E926BD"/>
    <w:rsid w:val="00E94FF7"/>
    <w:rsid w:val="00E956C0"/>
    <w:rsid w:val="00E963F9"/>
    <w:rsid w:val="00E9669E"/>
    <w:rsid w:val="00E978A5"/>
    <w:rsid w:val="00EA0257"/>
    <w:rsid w:val="00EA0F42"/>
    <w:rsid w:val="00EA1097"/>
    <w:rsid w:val="00EA1385"/>
    <w:rsid w:val="00EA1E30"/>
    <w:rsid w:val="00EA2BB3"/>
    <w:rsid w:val="00EA2F26"/>
    <w:rsid w:val="00EA343B"/>
    <w:rsid w:val="00EA444F"/>
    <w:rsid w:val="00EA4F35"/>
    <w:rsid w:val="00EA5DD7"/>
    <w:rsid w:val="00EA5DDA"/>
    <w:rsid w:val="00EA6808"/>
    <w:rsid w:val="00EA6912"/>
    <w:rsid w:val="00EB0BDA"/>
    <w:rsid w:val="00EB15CC"/>
    <w:rsid w:val="00EB1C4E"/>
    <w:rsid w:val="00EB1D47"/>
    <w:rsid w:val="00EB1E80"/>
    <w:rsid w:val="00EB3076"/>
    <w:rsid w:val="00EB31CB"/>
    <w:rsid w:val="00EB38CE"/>
    <w:rsid w:val="00EB3D0D"/>
    <w:rsid w:val="00EB4694"/>
    <w:rsid w:val="00EB6044"/>
    <w:rsid w:val="00EB69AD"/>
    <w:rsid w:val="00EB6B47"/>
    <w:rsid w:val="00EC11DA"/>
    <w:rsid w:val="00EC233D"/>
    <w:rsid w:val="00EC3656"/>
    <w:rsid w:val="00EC4097"/>
    <w:rsid w:val="00EC42BF"/>
    <w:rsid w:val="00EC4754"/>
    <w:rsid w:val="00EC4E3C"/>
    <w:rsid w:val="00EC5161"/>
    <w:rsid w:val="00EC704F"/>
    <w:rsid w:val="00EC7305"/>
    <w:rsid w:val="00EC795B"/>
    <w:rsid w:val="00EC7E51"/>
    <w:rsid w:val="00ED03DE"/>
    <w:rsid w:val="00ED0722"/>
    <w:rsid w:val="00ED0E76"/>
    <w:rsid w:val="00ED22C0"/>
    <w:rsid w:val="00ED49FA"/>
    <w:rsid w:val="00ED656C"/>
    <w:rsid w:val="00ED66F7"/>
    <w:rsid w:val="00ED72E9"/>
    <w:rsid w:val="00ED7EB5"/>
    <w:rsid w:val="00EE0056"/>
    <w:rsid w:val="00EE18F1"/>
    <w:rsid w:val="00EE1A43"/>
    <w:rsid w:val="00EE2D06"/>
    <w:rsid w:val="00EE343F"/>
    <w:rsid w:val="00EE3828"/>
    <w:rsid w:val="00EE39EE"/>
    <w:rsid w:val="00EE3E5F"/>
    <w:rsid w:val="00EE5802"/>
    <w:rsid w:val="00EE5D19"/>
    <w:rsid w:val="00EE6D22"/>
    <w:rsid w:val="00EE7BBC"/>
    <w:rsid w:val="00EF40F5"/>
    <w:rsid w:val="00EF468C"/>
    <w:rsid w:val="00EF4A1F"/>
    <w:rsid w:val="00EF4BAD"/>
    <w:rsid w:val="00EF4DE7"/>
    <w:rsid w:val="00EF613C"/>
    <w:rsid w:val="00EF62E3"/>
    <w:rsid w:val="00EF7E1D"/>
    <w:rsid w:val="00F01EDE"/>
    <w:rsid w:val="00F034BC"/>
    <w:rsid w:val="00F040AE"/>
    <w:rsid w:val="00F0425B"/>
    <w:rsid w:val="00F052D6"/>
    <w:rsid w:val="00F061FA"/>
    <w:rsid w:val="00F06EB4"/>
    <w:rsid w:val="00F11CC7"/>
    <w:rsid w:val="00F12BB7"/>
    <w:rsid w:val="00F12D54"/>
    <w:rsid w:val="00F13288"/>
    <w:rsid w:val="00F13944"/>
    <w:rsid w:val="00F145AA"/>
    <w:rsid w:val="00F14D6D"/>
    <w:rsid w:val="00F1694E"/>
    <w:rsid w:val="00F20743"/>
    <w:rsid w:val="00F217E9"/>
    <w:rsid w:val="00F21925"/>
    <w:rsid w:val="00F222ED"/>
    <w:rsid w:val="00F2258F"/>
    <w:rsid w:val="00F22E7F"/>
    <w:rsid w:val="00F23898"/>
    <w:rsid w:val="00F2441B"/>
    <w:rsid w:val="00F24CCB"/>
    <w:rsid w:val="00F24DF3"/>
    <w:rsid w:val="00F27223"/>
    <w:rsid w:val="00F304FF"/>
    <w:rsid w:val="00F30C09"/>
    <w:rsid w:val="00F3165F"/>
    <w:rsid w:val="00F32AA7"/>
    <w:rsid w:val="00F32BBF"/>
    <w:rsid w:val="00F33C07"/>
    <w:rsid w:val="00F350B8"/>
    <w:rsid w:val="00F354E0"/>
    <w:rsid w:val="00F36142"/>
    <w:rsid w:val="00F36E44"/>
    <w:rsid w:val="00F40D65"/>
    <w:rsid w:val="00F42117"/>
    <w:rsid w:val="00F4454A"/>
    <w:rsid w:val="00F45211"/>
    <w:rsid w:val="00F5098E"/>
    <w:rsid w:val="00F50BFA"/>
    <w:rsid w:val="00F519AA"/>
    <w:rsid w:val="00F51A6E"/>
    <w:rsid w:val="00F53327"/>
    <w:rsid w:val="00F53727"/>
    <w:rsid w:val="00F53B32"/>
    <w:rsid w:val="00F54C1B"/>
    <w:rsid w:val="00F55DE6"/>
    <w:rsid w:val="00F55E67"/>
    <w:rsid w:val="00F56B86"/>
    <w:rsid w:val="00F6221A"/>
    <w:rsid w:val="00F62F97"/>
    <w:rsid w:val="00F63F35"/>
    <w:rsid w:val="00F63F89"/>
    <w:rsid w:val="00F648B8"/>
    <w:rsid w:val="00F65F5F"/>
    <w:rsid w:val="00F65FD0"/>
    <w:rsid w:val="00F662FD"/>
    <w:rsid w:val="00F66A18"/>
    <w:rsid w:val="00F66E2E"/>
    <w:rsid w:val="00F676C6"/>
    <w:rsid w:val="00F70080"/>
    <w:rsid w:val="00F7080E"/>
    <w:rsid w:val="00F709EB"/>
    <w:rsid w:val="00F7143B"/>
    <w:rsid w:val="00F714B1"/>
    <w:rsid w:val="00F72A4B"/>
    <w:rsid w:val="00F72F62"/>
    <w:rsid w:val="00F737E5"/>
    <w:rsid w:val="00F73C72"/>
    <w:rsid w:val="00F74B42"/>
    <w:rsid w:val="00F74EB0"/>
    <w:rsid w:val="00F7591E"/>
    <w:rsid w:val="00F77389"/>
    <w:rsid w:val="00F77A43"/>
    <w:rsid w:val="00F77EF0"/>
    <w:rsid w:val="00F80CDD"/>
    <w:rsid w:val="00F8268C"/>
    <w:rsid w:val="00F84236"/>
    <w:rsid w:val="00F853B8"/>
    <w:rsid w:val="00F90E24"/>
    <w:rsid w:val="00F913DE"/>
    <w:rsid w:val="00F91F4A"/>
    <w:rsid w:val="00F931FB"/>
    <w:rsid w:val="00F93AD8"/>
    <w:rsid w:val="00FA0A27"/>
    <w:rsid w:val="00FA14D3"/>
    <w:rsid w:val="00FA22DF"/>
    <w:rsid w:val="00FA232F"/>
    <w:rsid w:val="00FA2D3C"/>
    <w:rsid w:val="00FA3AED"/>
    <w:rsid w:val="00FA4310"/>
    <w:rsid w:val="00FA495A"/>
    <w:rsid w:val="00FA4BF0"/>
    <w:rsid w:val="00FA4E48"/>
    <w:rsid w:val="00FA7A69"/>
    <w:rsid w:val="00FA7CE5"/>
    <w:rsid w:val="00FB058E"/>
    <w:rsid w:val="00FB0D25"/>
    <w:rsid w:val="00FB0DFF"/>
    <w:rsid w:val="00FB1008"/>
    <w:rsid w:val="00FB1D0D"/>
    <w:rsid w:val="00FB1D8C"/>
    <w:rsid w:val="00FB2540"/>
    <w:rsid w:val="00FB25BB"/>
    <w:rsid w:val="00FB3D1C"/>
    <w:rsid w:val="00FB64E0"/>
    <w:rsid w:val="00FB6A5D"/>
    <w:rsid w:val="00FB6E1B"/>
    <w:rsid w:val="00FB70F9"/>
    <w:rsid w:val="00FB7E97"/>
    <w:rsid w:val="00FC1A39"/>
    <w:rsid w:val="00FC1A63"/>
    <w:rsid w:val="00FC2297"/>
    <w:rsid w:val="00FC27C9"/>
    <w:rsid w:val="00FC27EF"/>
    <w:rsid w:val="00FC2832"/>
    <w:rsid w:val="00FC4060"/>
    <w:rsid w:val="00FC4064"/>
    <w:rsid w:val="00FC4FF1"/>
    <w:rsid w:val="00FC586C"/>
    <w:rsid w:val="00FC7259"/>
    <w:rsid w:val="00FC7AB1"/>
    <w:rsid w:val="00FC7EA9"/>
    <w:rsid w:val="00FD0387"/>
    <w:rsid w:val="00FD0858"/>
    <w:rsid w:val="00FD09C7"/>
    <w:rsid w:val="00FD0E64"/>
    <w:rsid w:val="00FD19EE"/>
    <w:rsid w:val="00FD1A15"/>
    <w:rsid w:val="00FD1F84"/>
    <w:rsid w:val="00FD1F8F"/>
    <w:rsid w:val="00FD48DB"/>
    <w:rsid w:val="00FD611B"/>
    <w:rsid w:val="00FD653F"/>
    <w:rsid w:val="00FD69CC"/>
    <w:rsid w:val="00FD6FE0"/>
    <w:rsid w:val="00FE0DA0"/>
    <w:rsid w:val="00FE0DB6"/>
    <w:rsid w:val="00FE1284"/>
    <w:rsid w:val="00FE2491"/>
    <w:rsid w:val="00FE33B2"/>
    <w:rsid w:val="00FE46D7"/>
    <w:rsid w:val="00FE4CD0"/>
    <w:rsid w:val="00FE56B3"/>
    <w:rsid w:val="00FE66CB"/>
    <w:rsid w:val="00FF037D"/>
    <w:rsid w:val="00FF0BAD"/>
    <w:rsid w:val="00FF0FD3"/>
    <w:rsid w:val="00FF1456"/>
    <w:rsid w:val="00FF17F9"/>
    <w:rsid w:val="00FF1CE6"/>
    <w:rsid w:val="00FF2CC2"/>
    <w:rsid w:val="00FF31B7"/>
    <w:rsid w:val="00FF38F9"/>
    <w:rsid w:val="00FF3E8D"/>
    <w:rsid w:val="00FF5195"/>
    <w:rsid w:val="00FF649C"/>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3C128"/>
  <w15:docId w15:val="{E9B841D0-BC88-4346-8578-D560AC02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sz w:val="16"/>
        <w:szCs w:val="16"/>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1E9E"/>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76515A"/>
    <w:rPr>
      <w:szCs w:val="22"/>
      <w:lang w:eastAsia="en-US"/>
    </w:rPr>
  </w:style>
  <w:style w:type="paragraph" w:styleId="Voetnoottekst">
    <w:name w:val="footnote text"/>
    <w:basedOn w:val="Standaard"/>
    <w:link w:val="VoetnoottekstChar"/>
    <w:uiPriority w:val="99"/>
    <w:rsid w:val="0076515A"/>
    <w:rPr>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rsid w:val="00CA7D6D"/>
    <w:rPr>
      <w:rFonts w:ascii="Times New Roman" w:eastAsia="Times New Roman" w:hAnsi="Times New Roman"/>
    </w:rPr>
  </w:style>
  <w:style w:type="paragraph" w:styleId="Tekstopmerking">
    <w:name w:val="annotation text"/>
    <w:basedOn w:val="Standaard"/>
    <w:link w:val="TekstopmerkingChar"/>
    <w:uiPriority w:val="99"/>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rPr>
  </w:style>
  <w:style w:type="paragraph" w:styleId="Lijstalinea">
    <w:name w:val="List Paragraph"/>
    <w:basedOn w:val="Standaard"/>
    <w:uiPriority w:val="34"/>
    <w:qFormat/>
    <w:rsid w:val="00CA7D6D"/>
    <w:pPr>
      <w:spacing w:after="200" w:line="276" w:lineRule="auto"/>
      <w:ind w:left="720"/>
      <w:contextualSpacing/>
    </w:pPr>
    <w:rPr>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eastAsia="SimSun"/>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hAnsi="EUAlbertina"/>
    </w:rPr>
  </w:style>
  <w:style w:type="table" w:styleId="Tabelraster">
    <w:name w:val="Table Grid"/>
    <w:basedOn w:val="Standaardtabel"/>
    <w:uiPriority w:val="59"/>
    <w:rsid w:val="00DD00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8A671E"/>
    <w:rPr>
      <w:color w:val="605E5C"/>
      <w:shd w:val="clear" w:color="auto" w:fill="E1DFDD"/>
    </w:rPr>
  </w:style>
  <w:style w:type="paragraph" w:customStyle="1" w:styleId="pf0">
    <w:name w:val="pf0"/>
    <w:basedOn w:val="Standaard"/>
    <w:rsid w:val="008C407C"/>
    <w:pPr>
      <w:spacing w:before="100" w:beforeAutospacing="1" w:after="100" w:afterAutospacing="1"/>
    </w:pPr>
    <w:rPr>
      <w:rFonts w:ascii="Times New Roman" w:eastAsia="Times New Roman" w:hAnsi="Times New Roman"/>
      <w:sz w:val="24"/>
      <w:szCs w:val="24"/>
    </w:rPr>
  </w:style>
  <w:style w:type="character" w:customStyle="1" w:styleId="cf01">
    <w:name w:val="cf01"/>
    <w:basedOn w:val="Standaardalinea-lettertype"/>
    <w:rsid w:val="008C407C"/>
    <w:rPr>
      <w:rFonts w:ascii="Segoe UI" w:hAnsi="Segoe UI" w:cs="Segoe UI" w:hint="default"/>
      <w:sz w:val="18"/>
      <w:szCs w:val="18"/>
      <w:shd w:val="clear" w:color="auto" w:fill="FFFF00"/>
    </w:rPr>
  </w:style>
  <w:style w:type="character" w:customStyle="1" w:styleId="cf21">
    <w:name w:val="cf21"/>
    <w:basedOn w:val="Standaardalinea-lettertype"/>
    <w:rsid w:val="008C407C"/>
    <w:rPr>
      <w:rFonts w:ascii="Segoe UI" w:hAnsi="Segoe UI" w:cs="Segoe UI" w:hint="default"/>
      <w:i/>
      <w:iCs/>
      <w:sz w:val="18"/>
      <w:szCs w:val="18"/>
      <w:shd w:val="clear" w:color="auto" w:fill="FFFF00"/>
    </w:rPr>
  </w:style>
  <w:style w:type="character" w:customStyle="1" w:styleId="BallontekstChar1">
    <w:name w:val="Ballontekst Char1"/>
    <w:basedOn w:val="Standaardalinea-lettertype"/>
    <w:uiPriority w:val="99"/>
    <w:semiHidden/>
    <w:rsid w:val="002C5EC5"/>
    <w:rPr>
      <w:rFonts w:ascii="Segoe UI" w:eastAsia="Calibr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986">
      <w:bodyDiv w:val="1"/>
      <w:marLeft w:val="0"/>
      <w:marRight w:val="0"/>
      <w:marTop w:val="0"/>
      <w:marBottom w:val="0"/>
      <w:divBdr>
        <w:top w:val="none" w:sz="0" w:space="0" w:color="auto"/>
        <w:left w:val="none" w:sz="0" w:space="0" w:color="auto"/>
        <w:bottom w:val="none" w:sz="0" w:space="0" w:color="auto"/>
        <w:right w:val="none" w:sz="0" w:space="0" w:color="auto"/>
      </w:divBdr>
    </w:div>
    <w:div w:id="19666135">
      <w:bodyDiv w:val="1"/>
      <w:marLeft w:val="0"/>
      <w:marRight w:val="0"/>
      <w:marTop w:val="0"/>
      <w:marBottom w:val="0"/>
      <w:divBdr>
        <w:top w:val="none" w:sz="0" w:space="0" w:color="auto"/>
        <w:left w:val="none" w:sz="0" w:space="0" w:color="auto"/>
        <w:bottom w:val="none" w:sz="0" w:space="0" w:color="auto"/>
        <w:right w:val="none" w:sz="0" w:space="0" w:color="auto"/>
      </w:divBdr>
    </w:div>
    <w:div w:id="43257673">
      <w:bodyDiv w:val="1"/>
      <w:marLeft w:val="0"/>
      <w:marRight w:val="0"/>
      <w:marTop w:val="0"/>
      <w:marBottom w:val="0"/>
      <w:divBdr>
        <w:top w:val="none" w:sz="0" w:space="0" w:color="auto"/>
        <w:left w:val="none" w:sz="0" w:space="0" w:color="auto"/>
        <w:bottom w:val="none" w:sz="0" w:space="0" w:color="auto"/>
        <w:right w:val="none" w:sz="0" w:space="0" w:color="auto"/>
      </w:divBdr>
    </w:div>
    <w:div w:id="137888383">
      <w:bodyDiv w:val="1"/>
      <w:marLeft w:val="0"/>
      <w:marRight w:val="0"/>
      <w:marTop w:val="0"/>
      <w:marBottom w:val="0"/>
      <w:divBdr>
        <w:top w:val="none" w:sz="0" w:space="0" w:color="auto"/>
        <w:left w:val="none" w:sz="0" w:space="0" w:color="auto"/>
        <w:bottom w:val="none" w:sz="0" w:space="0" w:color="auto"/>
        <w:right w:val="none" w:sz="0" w:space="0" w:color="auto"/>
      </w:divBdr>
    </w:div>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245499501">
      <w:bodyDiv w:val="1"/>
      <w:marLeft w:val="0"/>
      <w:marRight w:val="0"/>
      <w:marTop w:val="0"/>
      <w:marBottom w:val="0"/>
      <w:divBdr>
        <w:top w:val="none" w:sz="0" w:space="0" w:color="auto"/>
        <w:left w:val="none" w:sz="0" w:space="0" w:color="auto"/>
        <w:bottom w:val="none" w:sz="0" w:space="0" w:color="auto"/>
        <w:right w:val="none" w:sz="0" w:space="0" w:color="auto"/>
      </w:divBdr>
    </w:div>
    <w:div w:id="344937503">
      <w:bodyDiv w:val="1"/>
      <w:marLeft w:val="0"/>
      <w:marRight w:val="0"/>
      <w:marTop w:val="0"/>
      <w:marBottom w:val="0"/>
      <w:divBdr>
        <w:top w:val="none" w:sz="0" w:space="0" w:color="auto"/>
        <w:left w:val="none" w:sz="0" w:space="0" w:color="auto"/>
        <w:bottom w:val="none" w:sz="0" w:space="0" w:color="auto"/>
        <w:right w:val="none" w:sz="0" w:space="0" w:color="auto"/>
      </w:divBdr>
      <w:divsChild>
        <w:div w:id="10302561">
          <w:marLeft w:val="0"/>
          <w:marRight w:val="0"/>
          <w:marTop w:val="0"/>
          <w:marBottom w:val="0"/>
          <w:divBdr>
            <w:top w:val="none" w:sz="0" w:space="0" w:color="auto"/>
            <w:left w:val="none" w:sz="0" w:space="0" w:color="auto"/>
            <w:bottom w:val="none" w:sz="0" w:space="0" w:color="auto"/>
            <w:right w:val="none" w:sz="0" w:space="0" w:color="auto"/>
          </w:divBdr>
        </w:div>
      </w:divsChild>
    </w:div>
    <w:div w:id="361902391">
      <w:bodyDiv w:val="1"/>
      <w:marLeft w:val="0"/>
      <w:marRight w:val="0"/>
      <w:marTop w:val="0"/>
      <w:marBottom w:val="0"/>
      <w:divBdr>
        <w:top w:val="none" w:sz="0" w:space="0" w:color="auto"/>
        <w:left w:val="none" w:sz="0" w:space="0" w:color="auto"/>
        <w:bottom w:val="none" w:sz="0" w:space="0" w:color="auto"/>
        <w:right w:val="none" w:sz="0" w:space="0" w:color="auto"/>
      </w:divBdr>
    </w:div>
    <w:div w:id="427430603">
      <w:bodyDiv w:val="1"/>
      <w:marLeft w:val="0"/>
      <w:marRight w:val="0"/>
      <w:marTop w:val="0"/>
      <w:marBottom w:val="0"/>
      <w:divBdr>
        <w:top w:val="none" w:sz="0" w:space="0" w:color="auto"/>
        <w:left w:val="none" w:sz="0" w:space="0" w:color="auto"/>
        <w:bottom w:val="none" w:sz="0" w:space="0" w:color="auto"/>
        <w:right w:val="none" w:sz="0" w:space="0" w:color="auto"/>
      </w:divBdr>
    </w:div>
    <w:div w:id="439491747">
      <w:bodyDiv w:val="1"/>
      <w:marLeft w:val="0"/>
      <w:marRight w:val="0"/>
      <w:marTop w:val="0"/>
      <w:marBottom w:val="0"/>
      <w:divBdr>
        <w:top w:val="none" w:sz="0" w:space="0" w:color="auto"/>
        <w:left w:val="none" w:sz="0" w:space="0" w:color="auto"/>
        <w:bottom w:val="none" w:sz="0" w:space="0" w:color="auto"/>
        <w:right w:val="none" w:sz="0" w:space="0" w:color="auto"/>
      </w:divBdr>
    </w:div>
    <w:div w:id="463691974">
      <w:bodyDiv w:val="1"/>
      <w:marLeft w:val="0"/>
      <w:marRight w:val="0"/>
      <w:marTop w:val="0"/>
      <w:marBottom w:val="0"/>
      <w:divBdr>
        <w:top w:val="none" w:sz="0" w:space="0" w:color="auto"/>
        <w:left w:val="none" w:sz="0" w:space="0" w:color="auto"/>
        <w:bottom w:val="none" w:sz="0" w:space="0" w:color="auto"/>
        <w:right w:val="none" w:sz="0" w:space="0" w:color="auto"/>
      </w:divBdr>
    </w:div>
    <w:div w:id="500587831">
      <w:bodyDiv w:val="1"/>
      <w:marLeft w:val="0"/>
      <w:marRight w:val="0"/>
      <w:marTop w:val="0"/>
      <w:marBottom w:val="0"/>
      <w:divBdr>
        <w:top w:val="none" w:sz="0" w:space="0" w:color="auto"/>
        <w:left w:val="none" w:sz="0" w:space="0" w:color="auto"/>
        <w:bottom w:val="none" w:sz="0" w:space="0" w:color="auto"/>
        <w:right w:val="none" w:sz="0" w:space="0" w:color="auto"/>
      </w:divBdr>
      <w:divsChild>
        <w:div w:id="1034112979">
          <w:marLeft w:val="0"/>
          <w:marRight w:val="0"/>
          <w:marTop w:val="0"/>
          <w:marBottom w:val="0"/>
          <w:divBdr>
            <w:top w:val="none" w:sz="0" w:space="0" w:color="auto"/>
            <w:left w:val="none" w:sz="0" w:space="0" w:color="auto"/>
            <w:bottom w:val="none" w:sz="0" w:space="0" w:color="auto"/>
            <w:right w:val="none" w:sz="0" w:space="0" w:color="auto"/>
          </w:divBdr>
        </w:div>
      </w:divsChild>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565264562">
      <w:bodyDiv w:val="1"/>
      <w:marLeft w:val="0"/>
      <w:marRight w:val="0"/>
      <w:marTop w:val="0"/>
      <w:marBottom w:val="0"/>
      <w:divBdr>
        <w:top w:val="none" w:sz="0" w:space="0" w:color="auto"/>
        <w:left w:val="none" w:sz="0" w:space="0" w:color="auto"/>
        <w:bottom w:val="none" w:sz="0" w:space="0" w:color="auto"/>
        <w:right w:val="none" w:sz="0" w:space="0" w:color="auto"/>
      </w:divBdr>
    </w:div>
    <w:div w:id="647898667">
      <w:bodyDiv w:val="1"/>
      <w:marLeft w:val="0"/>
      <w:marRight w:val="0"/>
      <w:marTop w:val="0"/>
      <w:marBottom w:val="0"/>
      <w:divBdr>
        <w:top w:val="none" w:sz="0" w:space="0" w:color="auto"/>
        <w:left w:val="none" w:sz="0" w:space="0" w:color="auto"/>
        <w:bottom w:val="none" w:sz="0" w:space="0" w:color="auto"/>
        <w:right w:val="none" w:sz="0" w:space="0" w:color="auto"/>
      </w:divBdr>
    </w:div>
    <w:div w:id="662972255">
      <w:bodyDiv w:val="1"/>
      <w:marLeft w:val="0"/>
      <w:marRight w:val="0"/>
      <w:marTop w:val="0"/>
      <w:marBottom w:val="0"/>
      <w:divBdr>
        <w:top w:val="none" w:sz="0" w:space="0" w:color="auto"/>
        <w:left w:val="none" w:sz="0" w:space="0" w:color="auto"/>
        <w:bottom w:val="none" w:sz="0" w:space="0" w:color="auto"/>
        <w:right w:val="none" w:sz="0" w:space="0" w:color="auto"/>
      </w:divBdr>
    </w:div>
    <w:div w:id="701053590">
      <w:bodyDiv w:val="1"/>
      <w:marLeft w:val="0"/>
      <w:marRight w:val="0"/>
      <w:marTop w:val="0"/>
      <w:marBottom w:val="0"/>
      <w:divBdr>
        <w:top w:val="none" w:sz="0" w:space="0" w:color="auto"/>
        <w:left w:val="none" w:sz="0" w:space="0" w:color="auto"/>
        <w:bottom w:val="none" w:sz="0" w:space="0" w:color="auto"/>
        <w:right w:val="none" w:sz="0" w:space="0" w:color="auto"/>
      </w:divBdr>
    </w:div>
    <w:div w:id="708187058">
      <w:bodyDiv w:val="1"/>
      <w:marLeft w:val="0"/>
      <w:marRight w:val="0"/>
      <w:marTop w:val="0"/>
      <w:marBottom w:val="0"/>
      <w:divBdr>
        <w:top w:val="none" w:sz="0" w:space="0" w:color="auto"/>
        <w:left w:val="none" w:sz="0" w:space="0" w:color="auto"/>
        <w:bottom w:val="none" w:sz="0" w:space="0" w:color="auto"/>
        <w:right w:val="none" w:sz="0" w:space="0" w:color="auto"/>
      </w:divBdr>
    </w:div>
    <w:div w:id="858277279">
      <w:bodyDiv w:val="1"/>
      <w:marLeft w:val="0"/>
      <w:marRight w:val="0"/>
      <w:marTop w:val="0"/>
      <w:marBottom w:val="0"/>
      <w:divBdr>
        <w:top w:val="none" w:sz="0" w:space="0" w:color="auto"/>
        <w:left w:val="none" w:sz="0" w:space="0" w:color="auto"/>
        <w:bottom w:val="none" w:sz="0" w:space="0" w:color="auto"/>
        <w:right w:val="none" w:sz="0" w:space="0" w:color="auto"/>
      </w:divBdr>
    </w:div>
    <w:div w:id="891384026">
      <w:bodyDiv w:val="1"/>
      <w:marLeft w:val="0"/>
      <w:marRight w:val="0"/>
      <w:marTop w:val="0"/>
      <w:marBottom w:val="0"/>
      <w:divBdr>
        <w:top w:val="none" w:sz="0" w:space="0" w:color="auto"/>
        <w:left w:val="none" w:sz="0" w:space="0" w:color="auto"/>
        <w:bottom w:val="none" w:sz="0" w:space="0" w:color="auto"/>
        <w:right w:val="none" w:sz="0" w:space="0" w:color="auto"/>
      </w:divBdr>
    </w:div>
    <w:div w:id="931275625">
      <w:bodyDiv w:val="1"/>
      <w:marLeft w:val="0"/>
      <w:marRight w:val="0"/>
      <w:marTop w:val="0"/>
      <w:marBottom w:val="0"/>
      <w:divBdr>
        <w:top w:val="none" w:sz="0" w:space="0" w:color="auto"/>
        <w:left w:val="none" w:sz="0" w:space="0" w:color="auto"/>
        <w:bottom w:val="none" w:sz="0" w:space="0" w:color="auto"/>
        <w:right w:val="none" w:sz="0" w:space="0" w:color="auto"/>
      </w:divBdr>
    </w:div>
    <w:div w:id="998537530">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067805039">
      <w:bodyDiv w:val="1"/>
      <w:marLeft w:val="0"/>
      <w:marRight w:val="0"/>
      <w:marTop w:val="0"/>
      <w:marBottom w:val="0"/>
      <w:divBdr>
        <w:top w:val="none" w:sz="0" w:space="0" w:color="auto"/>
        <w:left w:val="none" w:sz="0" w:space="0" w:color="auto"/>
        <w:bottom w:val="none" w:sz="0" w:space="0" w:color="auto"/>
        <w:right w:val="none" w:sz="0" w:space="0" w:color="auto"/>
      </w:divBdr>
    </w:div>
    <w:div w:id="1391223816">
      <w:bodyDiv w:val="1"/>
      <w:marLeft w:val="0"/>
      <w:marRight w:val="0"/>
      <w:marTop w:val="0"/>
      <w:marBottom w:val="0"/>
      <w:divBdr>
        <w:top w:val="none" w:sz="0" w:space="0" w:color="auto"/>
        <w:left w:val="none" w:sz="0" w:space="0" w:color="auto"/>
        <w:bottom w:val="none" w:sz="0" w:space="0" w:color="auto"/>
        <w:right w:val="none" w:sz="0" w:space="0" w:color="auto"/>
      </w:divBdr>
    </w:div>
    <w:div w:id="1435125377">
      <w:bodyDiv w:val="1"/>
      <w:marLeft w:val="0"/>
      <w:marRight w:val="0"/>
      <w:marTop w:val="0"/>
      <w:marBottom w:val="0"/>
      <w:divBdr>
        <w:top w:val="none" w:sz="0" w:space="0" w:color="auto"/>
        <w:left w:val="none" w:sz="0" w:space="0" w:color="auto"/>
        <w:bottom w:val="none" w:sz="0" w:space="0" w:color="auto"/>
        <w:right w:val="none" w:sz="0" w:space="0" w:color="auto"/>
      </w:divBdr>
    </w:div>
    <w:div w:id="1475221012">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595478705">
      <w:bodyDiv w:val="1"/>
      <w:marLeft w:val="0"/>
      <w:marRight w:val="0"/>
      <w:marTop w:val="0"/>
      <w:marBottom w:val="0"/>
      <w:divBdr>
        <w:top w:val="none" w:sz="0" w:space="0" w:color="auto"/>
        <w:left w:val="none" w:sz="0" w:space="0" w:color="auto"/>
        <w:bottom w:val="none" w:sz="0" w:space="0" w:color="auto"/>
        <w:right w:val="none" w:sz="0" w:space="0" w:color="auto"/>
      </w:divBdr>
    </w:div>
    <w:div w:id="1763642303">
      <w:bodyDiv w:val="1"/>
      <w:marLeft w:val="0"/>
      <w:marRight w:val="0"/>
      <w:marTop w:val="0"/>
      <w:marBottom w:val="0"/>
      <w:divBdr>
        <w:top w:val="none" w:sz="0" w:space="0" w:color="auto"/>
        <w:left w:val="none" w:sz="0" w:space="0" w:color="auto"/>
        <w:bottom w:val="none" w:sz="0" w:space="0" w:color="auto"/>
        <w:right w:val="none" w:sz="0" w:space="0" w:color="auto"/>
      </w:divBdr>
    </w:div>
    <w:div w:id="1789200068">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 w:id="205037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ternetconsultati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dnb.nl/openbaar-register/" TargetMode="External"/><Relationship Id="rId2" Type="http://schemas.openxmlformats.org/officeDocument/2006/relationships/hyperlink" Target="https://www.dnb.nl/media/uvclss1k/regeling-onafhankelijkheid-medewerkers-dnb-2024.pdf" TargetMode="External"/><Relationship Id="rId1" Type="http://schemas.openxmlformats.org/officeDocument/2006/relationships/hyperlink" Target="https://www.bis.org/bcbs/history.h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82</ap:Pages>
  <ap:Words>43901</ap:Words>
  <ap:Characters>241456</ap:Characters>
  <ap:DocSecurity>0</ap:DocSecurity>
  <ap:Lines>2012</ap:Lines>
  <ap:Paragraphs>569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284788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2026-01-20T17:23:00.0000000Z</dcterms:created>
  <dcterms:modified xsi:type="dcterms:W3CDTF">2026-01-20T17:23:00.0000000Z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2024-06-27T15:26:55Z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92e07904-69a8-49ae-a4f1-2938ffb46348</vt:lpwstr>
  </property>
  <property fmtid="{D5CDD505-2E9C-101B-9397-08002B2CF9AE}" pid="8" name="MSIP_Label_6800fede-0e59-47ad-af95-4e63bbdb932d_ContentBits">
    <vt:lpwstr>0</vt:lpwstr>
  </property>
</Properties>
</file>