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2026Z00789</w:t>
        <w:br/>
      </w:r>
      <w:proofErr w:type="spellEnd"/>
    </w:p>
    <w:p>
      <w:pPr>
        <w:pStyle w:val="Normal"/>
        <w:rPr>
          <w:b w:val="1"/>
          <w:bCs w:val="1"/>
        </w:rPr>
      </w:pPr>
      <w:r w:rsidR="250AE766">
        <w:rPr>
          <w:b w:val="0"/>
          <w:bCs w:val="0"/>
        </w:rPr>
        <w:t>(ingezonden 19 januari 2026)</w:t>
        <w:br/>
      </w:r>
    </w:p>
    <w:p>
      <w:r>
        <w:t xml:space="preserve">Vragen van het lid Van den Berg (JA21) aan de minister van Klimaat en Groene Groei over de stijgende kosten en zorgen over de leveringszekerheid door het invoedingstarief.</w:t>
      </w:r>
      <w:r>
        <w:br/>
      </w:r>
    </w:p>
    <w:p>
      <w:r>
        <w:t xml:space="preserve"> </w:t>
      </w:r>
      <w:r>
        <w:br/>
      </w:r>
    </w:p>
    <w:p>
      <w:pPr>
        <w:pStyle w:val="ListParagraph"/>
        <w:numPr>
          <w:ilvl w:val="0"/>
          <w:numId w:val="100495000"/>
        </w:numPr>
        <w:ind w:left="360"/>
      </w:pPr>
      <w:r>
        <w:t xml:space="preserve">Bent u bekend met het artikel “Huishouden dupe extra kosten stroomnet” en met de door de Autoriteit Consument &amp; Markt (ACM) aangekondigde voorbereiding van een invoedingstarief voor grote elektriciteitsproducenten?[1]</w:t>
      </w:r>
      <w:r>
        <w:br/>
      </w:r>
    </w:p>
    <w:p>
      <w:pPr>
        <w:pStyle w:val="ListParagraph"/>
        <w:numPr>
          <w:ilvl w:val="0"/>
          <w:numId w:val="100495000"/>
        </w:numPr>
        <w:ind w:left="360"/>
      </w:pPr>
      <w:r>
        <w:t xml:space="preserve">Erkent u de nadelen van een invoedingstarief, die in het artikel genoemd worden?</w:t>
      </w:r>
      <w:r>
        <w:br/>
      </w:r>
      <w:r>
        <w:t xml:space="preserve"> </w:t>
      </w:r>
      <w:r>
        <w:br/>
      </w:r>
    </w:p>
    <w:p>
      <w:pPr>
        <w:pStyle w:val="ListParagraph"/>
        <w:numPr>
          <w:ilvl w:val="0"/>
          <w:numId w:val="100495000"/>
        </w:numPr>
        <w:ind w:left="360"/>
      </w:pPr>
      <w:r>
        <w:t xml:space="preserve">Klopt het een invoedingstarief de afhankelijkheid van buitenlandse productie kan vergroten?</w:t>
      </w:r>
      <w:r>
        <w:br/>
      </w:r>
      <w:r>
        <w:t xml:space="preserve"> </w:t>
      </w:r>
      <w:r>
        <w:br/>
      </w:r>
    </w:p>
    <w:p>
      <w:pPr>
        <w:pStyle w:val="ListParagraph"/>
        <w:numPr>
          <w:ilvl w:val="0"/>
          <w:numId w:val="100495000"/>
        </w:numPr>
        <w:ind w:left="360"/>
      </w:pPr>
      <w:r>
        <w:t xml:space="preserve">Klopt het dat nieuwe projecten om elektriciteit op te wekken hierdoor lastiger worden?</w:t>
      </w:r>
      <w:r>
        <w:br/>
      </w:r>
      <w:r>
        <w:t xml:space="preserve"> </w:t>
      </w:r>
      <w:r>
        <w:br/>
      </w:r>
    </w:p>
    <w:p>
      <w:pPr>
        <w:pStyle w:val="ListParagraph"/>
        <w:numPr>
          <w:ilvl w:val="0"/>
          <w:numId w:val="100495000"/>
        </w:numPr>
        <w:ind w:left="360"/>
      </w:pPr>
      <w:r>
        <w:t xml:space="preserve">Deelt u de conclusie uit de studies van Aurora Energy, SiRM en CE Delft waaruit blijkt dat de energierekening voor afnemers waarschijnlijk stijgt?</w:t>
      </w:r>
      <w:r>
        <w:br/>
      </w:r>
      <w:r>
        <w:t xml:space="preserve"> </w:t>
      </w:r>
      <w:r>
        <w:br/>
      </w:r>
    </w:p>
    <w:p>
      <w:pPr>
        <w:pStyle w:val="ListParagraph"/>
        <w:numPr>
          <w:ilvl w:val="0"/>
          <w:numId w:val="100495000"/>
        </w:numPr>
        <w:ind w:left="360"/>
      </w:pPr>
      <w:r>
        <w:t xml:space="preserve">Welke gevolgen heeft een invoedingstarief voor de leveringszekerheid van elektriciteit?</w:t>
      </w:r>
      <w:r>
        <w:br/>
      </w:r>
      <w:r>
        <w:t xml:space="preserve"> </w:t>
      </w:r>
      <w:r>
        <w:br/>
      </w:r>
    </w:p>
    <w:p>
      <w:pPr>
        <w:pStyle w:val="ListParagraph"/>
        <w:numPr>
          <w:ilvl w:val="0"/>
          <w:numId w:val="100495000"/>
        </w:numPr>
        <w:ind w:left="360"/>
      </w:pPr>
      <w:r>
        <w:t xml:space="preserve">Kunt u uiteenzetten wat de ACM onder het voorgenomen invoedingstarief verstaat? Welke definitie van “grote producenten” wordt gehanteerd en worden er uitzonderingen overwogen?</w:t>
      </w:r>
      <w:r>
        <w:br/>
      </w:r>
      <w:r>
        <w:t xml:space="preserve"> </w:t>
      </w:r>
      <w:r>
        <w:br/>
      </w:r>
    </w:p>
    <w:p>
      <w:pPr>
        <w:pStyle w:val="ListParagraph"/>
        <w:numPr>
          <w:ilvl w:val="0"/>
          <w:numId w:val="100495000"/>
        </w:numPr>
        <w:ind w:left="360"/>
      </w:pPr>
      <w:r>
        <w:t xml:space="preserve">Op basis van welke wettelijke grondslag en (tarief)codes heeft de ACM volgens u de bevoegdheid om een invoedingstarief in te voeren, en welke formele rol heeft de minister daarbij (welke interventies zijn wél/niet mogelijk)?</w:t>
      </w:r>
      <w:r>
        <w:br/>
      </w:r>
      <w:r>
        <w:t xml:space="preserve"> </w:t>
      </w:r>
      <w:r>
        <w:br/>
      </w:r>
    </w:p>
    <w:p>
      <w:pPr>
        <w:pStyle w:val="ListParagraph"/>
        <w:numPr>
          <w:ilvl w:val="0"/>
          <w:numId w:val="100495000"/>
        </w:numPr>
        <w:ind w:left="360"/>
      </w:pPr>
      <w:r>
        <w:t xml:space="preserve">Klopt het dat het kabinet in een Kamerbrief van april 2025 (Kamerstuk 29 023, nr. 567) [2] waarschuwt dat een invoedingstarief bij nieuwe projecten leidt tot een hogere onrendabele top en daarmee meer subsidie? Kunt u de onderliggende berekeningen aan de Kamer sturen?</w:t>
      </w:r>
      <w:r>
        <w:br/>
      </w:r>
    </w:p>
    <w:p>
      <w:pPr>
        <w:pStyle w:val="ListParagraph"/>
        <w:numPr>
          <w:ilvl w:val="0"/>
          <w:numId w:val="100495000"/>
        </w:numPr>
        <w:ind w:left="360"/>
      </w:pPr>
      <w:r>
        <w:t xml:space="preserve">Kunt u uitsluiten dat huishoudens, het midden- en kleinbedrijf (mkb) en de industrie per saldo meer gaan betalen door invoering van een invoedingstarief? Zo nee, welke maatregelen neemt u om dit te voorkomen? En hoe hoog is de stijging?</w:t>
      </w:r>
      <w:r>
        <w:br/>
      </w:r>
    </w:p>
    <w:p>
      <w:pPr>
        <w:pStyle w:val="ListParagraph"/>
        <w:numPr>
          <w:ilvl w:val="0"/>
          <w:numId w:val="100495000"/>
        </w:numPr>
        <w:ind w:left="360"/>
      </w:pPr>
      <w:r>
        <w:t xml:space="preserve">In de aangeleverde informatie wordt gesteld dat Nederlandse (gas)centrales efficiënter zijn maar door het invoedingstarief “na” Duitse centrales in de merit order kunnen komen; herkent u dit mechanisme en wat betekent dit voor prijsniveau en de systeemkosten?</w:t>
      </w:r>
      <w:r>
        <w:br/>
      </w:r>
      <w:r>
        <w:t xml:space="preserve"> </w:t>
      </w:r>
      <w:r>
        <w:br/>
      </w:r>
    </w:p>
    <w:p>
      <w:pPr>
        <w:pStyle w:val="ListParagraph"/>
        <w:numPr>
          <w:ilvl w:val="0"/>
          <w:numId w:val="100495000"/>
        </w:numPr>
        <w:ind w:left="360"/>
      </w:pPr>
      <w:r>
        <w:t xml:space="preserve">Is het juist dat onze grootste handelspartner Duitsland geen vergelijkbaar invoedingstarief kent? Hoe is dit geregeld in de overige landen waarmee Nederland via interconnecties op het elektriciteitsnet is aangesloten (België, het VK, Noorwegen en Denemarken)? Welke inzet pleegt u om te voorkomen dat Nederland zich uit de markt prijst of eenzijdig nadeel creëert?</w:t>
      </w:r>
      <w:r>
        <w:br/>
      </w:r>
      <w:r>
        <w:t xml:space="preserve"> </w:t>
      </w:r>
      <w:r>
        <w:br/>
      </w:r>
    </w:p>
    <w:p>
      <w:pPr>
        <w:pStyle w:val="ListParagraph"/>
        <w:numPr>
          <w:ilvl w:val="0"/>
          <w:numId w:val="100495000"/>
        </w:numPr>
        <w:ind w:left="360"/>
      </w:pPr>
      <w:r>
        <w:t xml:space="preserve">Als u erkent dat de maatschappelijke en budgettaire gevolgen groot kunnen zijn, bent u dan bereid het wettelijk kader zó aan te passen dat dit type tariefwijziging niet kan worden doorgezet?</w:t>
      </w:r>
      <w:r>
        <w:br/>
      </w:r>
    </w:p>
    <w:p>
      <w:r>
        <w:t xml:space="preserve">
          <w:br/>
        </w:t>
      </w:r>
      <w:r>
        <w:br/>
      </w:r>
    </w:p>
    <w:p>
      <w:r>
        <w:t xml:space="preserve"> </w:t>
      </w:r>
      <w:r>
        <w:br/>
      </w:r>
    </w:p>
    <w:p>
      <w:r>
        <w:t xml:space="preserve">[1] De Telegraaf, 12 januari 2026, 'Nieuwe baas Femke Brenninkmeijer van Energie-Nederland waarschuwt voor stijgende kosten consumenten: ’Donkere wolk’'. (https://www.telegraaf.nl/financieel/nieuws/nieuwe-baas-femke-brenninkmeijer-van-energie-nederland-waarschuwt-voor-stijgende-kosten-consumenten-donkere-wolk/122976146.html)</w:t>
      </w:r>
      <w:r>
        <w:br/>
      </w:r>
    </w:p>
    <w:p>
      <w:r>
        <w:t xml:space="preserve">[2] Pagina 12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