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997" w:rsidP="00F25997" w:rsidRDefault="00F25997" w14:paraId="0BE8C5FF" w14:textId="77777777">
      <w:pPr>
        <w:rPr>
          <w:szCs w:val="18"/>
        </w:rPr>
      </w:pPr>
      <w:r>
        <w:rPr>
          <w:szCs w:val="18"/>
        </w:rPr>
        <w:t>Geachte Voorzitter,</w:t>
      </w:r>
    </w:p>
    <w:p w:rsidR="00F25997" w:rsidP="00F25997" w:rsidRDefault="00F25997" w14:paraId="7C007424" w14:textId="77777777">
      <w:pPr>
        <w:rPr>
          <w:szCs w:val="18"/>
        </w:rPr>
      </w:pPr>
    </w:p>
    <w:p w:rsidRPr="00B958A7" w:rsidR="00B958A7" w:rsidP="00F25997" w:rsidRDefault="00F25997" w14:paraId="58C4AFF1" w14:textId="5B3CA069">
      <w:pPr>
        <w:rPr>
          <w:szCs w:val="18"/>
        </w:rPr>
      </w:pPr>
      <w:r w:rsidRPr="00630685">
        <w:rPr>
          <w:szCs w:val="18"/>
        </w:rPr>
        <w:t>Hierbij informeer ik uw Kamer over de voorgenomen Nederlandse</w:t>
      </w:r>
      <w:r>
        <w:rPr>
          <w:szCs w:val="18"/>
        </w:rPr>
        <w:t xml:space="preserve"> </w:t>
      </w:r>
      <w:r w:rsidRPr="00630685">
        <w:rPr>
          <w:szCs w:val="18"/>
        </w:rPr>
        <w:t>standpunten inzake de onderwerpen die ter stemming worden voorgelegd</w:t>
      </w:r>
      <w:r>
        <w:rPr>
          <w:szCs w:val="18"/>
        </w:rPr>
        <w:t xml:space="preserve"> </w:t>
      </w:r>
      <w:r w:rsidRPr="00630685">
        <w:rPr>
          <w:szCs w:val="18"/>
        </w:rPr>
        <w:t>aan het eerstvolgende Standing Committee on Plants, Animals, Food and</w:t>
      </w:r>
      <w:r>
        <w:rPr>
          <w:szCs w:val="18"/>
        </w:rPr>
        <w:t xml:space="preserve"> </w:t>
      </w:r>
      <w:r w:rsidRPr="00630685">
        <w:rPr>
          <w:szCs w:val="18"/>
        </w:rPr>
        <w:t>Feed (SCoPAFF) over regelgeving voor gewasbescherming. Het overleg</w:t>
      </w:r>
      <w:r>
        <w:rPr>
          <w:szCs w:val="18"/>
        </w:rPr>
        <w:t xml:space="preserve"> </w:t>
      </w:r>
      <w:r w:rsidRPr="00630685">
        <w:rPr>
          <w:szCs w:val="18"/>
        </w:rPr>
        <w:t xml:space="preserve">vindt plaats op </w:t>
      </w:r>
      <w:r>
        <w:rPr>
          <w:szCs w:val="18"/>
        </w:rPr>
        <w:t>20 en 21 januari 202</w:t>
      </w:r>
      <w:r w:rsidR="008F6B01">
        <w:rPr>
          <w:szCs w:val="18"/>
        </w:rPr>
        <w:t>6</w:t>
      </w:r>
      <w:r w:rsidRPr="00630685">
        <w:rPr>
          <w:szCs w:val="18"/>
        </w:rPr>
        <w:t>. De standpunten zijn ambtelijk</w:t>
      </w:r>
      <w:r>
        <w:rPr>
          <w:szCs w:val="18"/>
        </w:rPr>
        <w:t xml:space="preserve"> </w:t>
      </w:r>
      <w:r w:rsidRPr="00630685">
        <w:rPr>
          <w:szCs w:val="18"/>
        </w:rPr>
        <w:t>voorbereid met de ministeries van Infrastructuur en Waterstaat (lenW),</w:t>
      </w:r>
      <w:r>
        <w:rPr>
          <w:szCs w:val="18"/>
        </w:rPr>
        <w:t xml:space="preserve"> </w:t>
      </w:r>
      <w:r w:rsidRPr="00630685">
        <w:rPr>
          <w:szCs w:val="18"/>
        </w:rPr>
        <w:t>Sociale Zaken en Werkgelegenheid (SZW) en Volksgezondheid, Welzijn en</w:t>
      </w:r>
      <w:r>
        <w:rPr>
          <w:szCs w:val="18"/>
        </w:rPr>
        <w:t xml:space="preserve"> </w:t>
      </w:r>
      <w:r w:rsidRPr="00630685">
        <w:rPr>
          <w:szCs w:val="18"/>
        </w:rPr>
        <w:t>Sport (VWS), op basis van advisering door het</w:t>
      </w:r>
      <w:r>
        <w:rPr>
          <w:szCs w:val="18"/>
        </w:rPr>
        <w:t xml:space="preserve"> </w:t>
      </w:r>
      <w:r w:rsidRPr="00630685">
        <w:rPr>
          <w:szCs w:val="18"/>
        </w:rPr>
        <w:t>College voor de toelating</w:t>
      </w:r>
      <w:r>
        <w:rPr>
          <w:szCs w:val="18"/>
        </w:rPr>
        <w:t xml:space="preserve"> </w:t>
      </w:r>
      <w:r w:rsidRPr="00630685">
        <w:rPr>
          <w:szCs w:val="18"/>
        </w:rPr>
        <w:t>van gewasbeschermingsmiddelen en biociden (Ctgb).</w:t>
      </w:r>
      <w:r w:rsidR="00B958A7">
        <w:rPr>
          <w:szCs w:val="18"/>
        </w:rPr>
        <w:t xml:space="preserve"> </w:t>
      </w:r>
      <w:r w:rsidR="00B958A7">
        <w:t xml:space="preserve">Verder informeer ik uw Kamer over het besluit van het Ctgb om 46 gewasbeschermingsmiddelen met de metaboliet </w:t>
      </w:r>
      <w:r w:rsidRPr="00B958A7" w:rsidR="00B958A7">
        <w:t>trifluorazijnzuur (TFA)</w:t>
      </w:r>
      <w:r w:rsidR="00B958A7">
        <w:t xml:space="preserve"> te herbeoordelen. </w:t>
      </w:r>
    </w:p>
    <w:p w:rsidR="00F25997" w:rsidP="00F25997" w:rsidRDefault="00F25997" w14:paraId="692827E2" w14:textId="456F3072">
      <w:r>
        <w:br/>
        <w:t>De onderstaande punten staan op de agenda ter (mogelijke) stemming (de</w:t>
      </w:r>
    </w:p>
    <w:p w:rsidR="00F25997" w:rsidP="00F25997" w:rsidRDefault="00F25997" w14:paraId="448F082E" w14:textId="77777777">
      <w:r>
        <w:t>zogenaamde B-punten).</w:t>
      </w:r>
    </w:p>
    <w:p w:rsidR="00F25997" w:rsidP="00F25997" w:rsidRDefault="00F25997" w14:paraId="7FB67294" w14:textId="77777777"/>
    <w:p w:rsidRPr="008A2B96" w:rsidR="00F25997" w:rsidP="00F25997" w:rsidRDefault="00F25997" w14:paraId="7D4F40A5" w14:textId="77777777">
      <w:pPr>
        <w:rPr>
          <w:u w:val="single"/>
        </w:rPr>
      </w:pPr>
      <w:r w:rsidRPr="008A2B96">
        <w:rPr>
          <w:u w:val="single"/>
        </w:rPr>
        <w:t xml:space="preserve">De stof </w:t>
      </w:r>
      <w:r>
        <w:rPr>
          <w:bCs/>
          <w:u w:val="single"/>
        </w:rPr>
        <w:t>S</w:t>
      </w:r>
      <w:r w:rsidRPr="008A2B96">
        <w:rPr>
          <w:bCs/>
          <w:u w:val="single"/>
        </w:rPr>
        <w:t>pinosad</w:t>
      </w:r>
      <w:r w:rsidRPr="008A2B96">
        <w:rPr>
          <w:u w:val="single"/>
        </w:rPr>
        <w:t xml:space="preserve"> </w:t>
      </w:r>
    </w:p>
    <w:p w:rsidR="00F25997" w:rsidP="00F25997" w:rsidRDefault="00F25997" w14:paraId="71C9CF83" w14:textId="306F23B1">
      <w:r w:rsidRPr="003C620F">
        <w:t>Deze stof</w:t>
      </w:r>
      <w:r>
        <w:rPr>
          <w:i/>
          <w:iCs/>
        </w:rPr>
        <w:t xml:space="preserve"> </w:t>
      </w:r>
      <w:r>
        <w:t xml:space="preserve">wordt gebruikt als </w:t>
      </w:r>
      <w:r w:rsidRPr="009F670A">
        <w:rPr>
          <w:bCs/>
        </w:rPr>
        <w:t>insecticide. In Nederland zijn twee</w:t>
      </w:r>
      <w:r>
        <w:t xml:space="preserve"> middelen op basis van deze stof toegelaten voor gebruik in verschillende gewassen. De EC stelt voor om de goedkeuring van deze werkzame stof te hernieuwen. Het Ctgb adviseert positief op dit voorstel. </w:t>
      </w:r>
      <w:r>
        <w:rPr>
          <w:szCs w:val="18"/>
        </w:rPr>
        <w:t>De Nederlandse delegatie is voornemens om in te stemmen met het voorstel van de EC.</w:t>
      </w:r>
    </w:p>
    <w:p w:rsidR="008F6B01" w:rsidP="00F25997" w:rsidRDefault="008F6B01" w14:paraId="6BCAE500" w14:textId="77777777">
      <w:pPr>
        <w:rPr>
          <w:rFonts w:cs="Calibri"/>
        </w:rPr>
      </w:pPr>
    </w:p>
    <w:p w:rsidRPr="008F6B01" w:rsidR="008F6B01" w:rsidP="00F25997" w:rsidRDefault="008F6B01" w14:paraId="5BE15FE0" w14:textId="4F219E13">
      <w:pPr>
        <w:rPr>
          <w:rFonts w:cs="Calibri"/>
          <w:u w:val="single"/>
        </w:rPr>
      </w:pPr>
      <w:r w:rsidRPr="008F6B01">
        <w:rPr>
          <w:rFonts w:cs="Calibri"/>
          <w:u w:val="single"/>
        </w:rPr>
        <w:t>Toewijzing van twee rapporterende lidstaten</w:t>
      </w:r>
    </w:p>
    <w:p w:rsidRPr="007A3708" w:rsidR="008F6B01" w:rsidP="008F6B01" w:rsidRDefault="008F6B01" w14:paraId="6DAA91E3" w14:textId="340AEFB4">
      <w:r>
        <w:t>De EC stelt voor om Nederland als rapporterende lidstaat en België als co-rapporterende lidstaat aan te wijzen voor de stof 8-hydroxyquinoline. Daarnaast stelt de EC voor om Zweden als rapporterende lidstaat en België als co rapporterende lidstaat aan te wijzen voor de stof metconazool. Het Ctgb adviseert positief op dit voorstel. De Nederlandse delegatie is voornemens om in te stemmen met het voorstel van de EC.</w:t>
      </w:r>
    </w:p>
    <w:p w:rsidR="00F25997" w:rsidP="00F25997" w:rsidRDefault="00F25997" w14:paraId="63FA0389" w14:textId="77777777">
      <w:pPr>
        <w:rPr>
          <w:u w:val="single"/>
        </w:rPr>
      </w:pPr>
    </w:p>
    <w:p w:rsidRPr="006E10E3" w:rsidR="00F25997" w:rsidP="00F25997" w:rsidRDefault="00CD0305" w14:paraId="096677B7" w14:textId="0A8D7A91">
      <w:pPr>
        <w:rPr>
          <w:u w:val="single"/>
        </w:rPr>
      </w:pPr>
      <w:r>
        <w:rPr>
          <w:u w:val="single"/>
        </w:rPr>
        <w:t>De stof</w:t>
      </w:r>
      <w:r w:rsidRPr="006E10E3" w:rsidR="00F25997">
        <w:rPr>
          <w:u w:val="single"/>
        </w:rPr>
        <w:t xml:space="preserve"> Bixlozone</w:t>
      </w:r>
    </w:p>
    <w:p w:rsidR="00F25997" w:rsidP="00F25997" w:rsidRDefault="00F25997" w14:paraId="2467B437" w14:textId="621D5ED2">
      <w:pPr>
        <w:rPr>
          <w:szCs w:val="18"/>
        </w:rPr>
      </w:pPr>
      <w:r w:rsidRPr="003069B9">
        <w:t>D</w:t>
      </w:r>
      <w:r w:rsidR="00CD0305">
        <w:t>it betreft</w:t>
      </w:r>
      <w:r>
        <w:t xml:space="preserve"> een nieuwe werkzame stof met beoogd gebruik als herbicide, </w:t>
      </w:r>
      <w:r w:rsidR="00CD0305">
        <w:t>onder andere</w:t>
      </w:r>
      <w:r>
        <w:t xml:space="preserve"> in de teelt van granen. De </w:t>
      </w:r>
      <w:r w:rsidR="00CD0305">
        <w:t>EC</w:t>
      </w:r>
      <w:r>
        <w:t xml:space="preserve"> stelt voor deze stof goed te keuren.</w:t>
      </w:r>
      <w:r w:rsidR="00CD0305">
        <w:t xml:space="preserve"> Het </w:t>
      </w:r>
      <w:r w:rsidR="00CD0305">
        <w:lastRenderedPageBreak/>
        <w:t xml:space="preserve">Ctgb adviseert positief op dit voorstel. </w:t>
      </w:r>
      <w:r w:rsidR="00CD0305">
        <w:rPr>
          <w:szCs w:val="18"/>
        </w:rPr>
        <w:t>De Nederlandse delegatie is voornemens om in te stemmen met het voorstel van de EC.</w:t>
      </w:r>
    </w:p>
    <w:p w:rsidRPr="00CD0305" w:rsidR="00CD0305" w:rsidP="00F25997" w:rsidRDefault="00CD0305" w14:paraId="383E96CA" w14:textId="77777777"/>
    <w:p w:rsidRPr="003069B9" w:rsidR="00F25997" w:rsidP="00F25997" w:rsidRDefault="00CD0305" w14:paraId="397971A1" w14:textId="05F4AD8E">
      <w:pPr>
        <w:rPr>
          <w:u w:val="single"/>
        </w:rPr>
      </w:pPr>
      <w:r>
        <w:rPr>
          <w:u w:val="single"/>
        </w:rPr>
        <w:t>De stof</w:t>
      </w:r>
      <w:r w:rsidRPr="003069B9" w:rsidR="00F25997">
        <w:rPr>
          <w:u w:val="single"/>
        </w:rPr>
        <w:t xml:space="preserve"> Pyrimethanil</w:t>
      </w:r>
    </w:p>
    <w:p w:rsidRPr="00635178" w:rsidR="00F25997" w:rsidP="00F25997" w:rsidRDefault="00F25997" w14:paraId="0CE68DA1" w14:textId="661E9BAB">
      <w:r w:rsidRPr="00635178">
        <w:t>De</w:t>
      </w:r>
      <w:r w:rsidR="00CD0305">
        <w:t>ze</w:t>
      </w:r>
      <w:r w:rsidRPr="00635178">
        <w:t xml:space="preserve"> stof </w:t>
      </w:r>
      <w:r>
        <w:t xml:space="preserve">wordt gebruikt als fungicide. In Nederland zijn zeven middelen toegelaten, onder andere voor de teelt van appel en peer. De </w:t>
      </w:r>
      <w:r w:rsidR="00CD0305">
        <w:t>EC</w:t>
      </w:r>
      <w:r>
        <w:t xml:space="preserve"> stelt voor de goedkeuring van deze werkzame stof te hernieuwen.</w:t>
      </w:r>
      <w:r w:rsidR="00CD0305">
        <w:t xml:space="preserve"> Het Ctgb adviseert positief op dit voorstel. </w:t>
      </w:r>
      <w:r w:rsidR="00CD0305">
        <w:rPr>
          <w:szCs w:val="18"/>
        </w:rPr>
        <w:t>De Nederlandse delegatie is voornemens om in te stemmen met het voorstel van de EC.</w:t>
      </w:r>
    </w:p>
    <w:p w:rsidR="00F25997" w:rsidP="00F25997" w:rsidRDefault="00F25997" w14:paraId="2B760DE7" w14:textId="77777777"/>
    <w:p w:rsidRPr="00B958A7" w:rsidR="00F25997" w:rsidP="00F25997" w:rsidRDefault="00F25997" w14:paraId="08B7DCC6" w14:textId="23983A12">
      <w:pPr>
        <w:rPr>
          <w:b/>
          <w:bCs/>
        </w:rPr>
      </w:pPr>
      <w:r w:rsidRPr="00B269D9">
        <w:rPr>
          <w:b/>
          <w:bCs/>
        </w:rPr>
        <w:t xml:space="preserve">Herbeoordeling </w:t>
      </w:r>
      <w:r w:rsidRPr="009552E1" w:rsidR="00B269D9">
        <w:rPr>
          <w:b/>
          <w:bCs/>
        </w:rPr>
        <w:t>trifluorazijnzuur</w:t>
      </w:r>
      <w:r w:rsidRPr="00B269D9" w:rsidR="00B269D9">
        <w:rPr>
          <w:b/>
          <w:bCs/>
        </w:rPr>
        <w:t xml:space="preserve"> (</w:t>
      </w:r>
      <w:r w:rsidRPr="00B269D9">
        <w:rPr>
          <w:b/>
          <w:bCs/>
        </w:rPr>
        <w:t>TF</w:t>
      </w:r>
      <w:r w:rsidRPr="00B269D9" w:rsidR="00B269D9">
        <w:rPr>
          <w:b/>
          <w:bCs/>
        </w:rPr>
        <w:t>A)</w:t>
      </w:r>
      <w:r w:rsidR="00B958A7">
        <w:rPr>
          <w:b/>
          <w:bCs/>
        </w:rPr>
        <w:t xml:space="preserve"> </w:t>
      </w:r>
      <w:r w:rsidR="007D43F1">
        <w:rPr>
          <w:b/>
          <w:bCs/>
        </w:rPr>
        <w:t xml:space="preserve">vormende </w:t>
      </w:r>
      <w:r w:rsidRPr="00B269D9">
        <w:rPr>
          <w:b/>
          <w:bCs/>
        </w:rPr>
        <w:t xml:space="preserve">middelen </w:t>
      </w:r>
    </w:p>
    <w:p w:rsidR="005B774B" w:rsidP="005B774B" w:rsidRDefault="009552E1" w14:paraId="71846FF3" w14:textId="7949109D">
      <w:r>
        <w:t xml:space="preserve">Op 18 december heeft het Ctgb mij geïnformeerd </w:t>
      </w:r>
      <w:r w:rsidR="005B774B">
        <w:t xml:space="preserve">(zie bijlage) </w:t>
      </w:r>
      <w:r>
        <w:t xml:space="preserve">dat het, naar aanleiding van </w:t>
      </w:r>
      <w:r w:rsidRPr="009552E1">
        <w:t>nieuwe wetenschappelijke</w:t>
      </w:r>
      <w:r>
        <w:t xml:space="preserve"> </w:t>
      </w:r>
      <w:r w:rsidRPr="009552E1">
        <w:t>informatie uit Denemarken</w:t>
      </w:r>
      <w:r>
        <w:t>,</w:t>
      </w:r>
      <w:r w:rsidRPr="009552E1">
        <w:t xml:space="preserve"> </w:t>
      </w:r>
      <w:r w:rsidR="00B958A7">
        <w:t>46</w:t>
      </w:r>
      <w:r>
        <w:t xml:space="preserve"> middelen die de metaboliet </w:t>
      </w:r>
      <w:r w:rsidRPr="009552E1">
        <w:t>trifluorazijnzuur</w:t>
      </w:r>
      <w:r>
        <w:t xml:space="preserve"> (TFA) </w:t>
      </w:r>
      <w:r w:rsidR="007D43F1">
        <w:t>vormen</w:t>
      </w:r>
      <w:r>
        <w:t xml:space="preserve"> </w:t>
      </w:r>
      <w:r w:rsidR="00F9311A">
        <w:t>tussentijds</w:t>
      </w:r>
      <w:r>
        <w:t xml:space="preserve"> gaat </w:t>
      </w:r>
      <w:r w:rsidR="00F9311A">
        <w:t>her</w:t>
      </w:r>
      <w:r>
        <w:t xml:space="preserve">beoordelen. </w:t>
      </w:r>
      <w:r w:rsidR="00F9311A">
        <w:t>Specifiek gaat  het om</w:t>
      </w:r>
      <w:r w:rsidRPr="005B774B" w:rsidR="005B774B">
        <w:t xml:space="preserve"> 46 middelen op basis van de</w:t>
      </w:r>
      <w:r w:rsidR="00B269D9">
        <w:t xml:space="preserve"> </w:t>
      </w:r>
      <w:r w:rsidRPr="005B774B" w:rsidR="005B774B">
        <w:t>werkzame stoffen</w:t>
      </w:r>
      <w:r w:rsidR="005B774B">
        <w:t xml:space="preserve"> </w:t>
      </w:r>
      <w:r w:rsidRPr="009552E1" w:rsidR="005B774B">
        <w:t>fluopyram, fluazinam, diflufenican, mefentrifluconazol, taufluvalinaat en fluazifop-P-butyl</w:t>
      </w:r>
      <w:r w:rsidR="00B10098">
        <w:t xml:space="preserve"> waarbij het Ctgb zal beoordelen of de </w:t>
      </w:r>
      <w:r w:rsidRPr="00F9311A" w:rsidR="00B10098">
        <w:t xml:space="preserve">uitspoeling van de metaboliet </w:t>
      </w:r>
      <w:r w:rsidR="00B10098">
        <w:t>TFA</w:t>
      </w:r>
      <w:r w:rsidRPr="00F9311A" w:rsidR="00B10098">
        <w:t xml:space="preserve"> </w:t>
      </w:r>
      <w:r w:rsidR="00B10098">
        <w:t>met inachtneming van de nieuwe wetenschappelijke informatie voldoet aan</w:t>
      </w:r>
      <w:r w:rsidRPr="00F9311A" w:rsidR="00B10098">
        <w:t xml:space="preserve"> de wettelijke</w:t>
      </w:r>
      <w:r w:rsidR="00B10098">
        <w:t xml:space="preserve"> </w:t>
      </w:r>
      <w:r w:rsidRPr="00F9311A" w:rsidR="00B10098">
        <w:t>grondwaternorm</w:t>
      </w:r>
      <w:r w:rsidR="00B10098">
        <w:t xml:space="preserve"> (0,1 µg/l).</w:t>
      </w:r>
    </w:p>
    <w:p w:rsidR="005B774B" w:rsidP="005B774B" w:rsidRDefault="005B774B" w14:paraId="633A6DDE" w14:textId="00C7BA7D"/>
    <w:p w:rsidR="00F9311A" w:rsidP="00F9311A" w:rsidRDefault="00B10098" w14:paraId="76654039" w14:textId="505F3CD6">
      <w:r>
        <w:t>Het Ctgb ziet zich hier</w:t>
      </w:r>
      <w:r w:rsidR="00B93B16">
        <w:t>toe</w:t>
      </w:r>
      <w:r>
        <w:t>, als eigenstandige toelatingsautoriteit, genoodzaakt omdat een gewenste versnelling van stofbeoordelingen (Kamerstuk</w:t>
      </w:r>
      <w:r w:rsidR="00AB40F3">
        <w:t xml:space="preserve"> </w:t>
      </w:r>
      <w:r w:rsidRPr="00AB40F3" w:rsidR="00AB40F3">
        <w:t>21501-32</w:t>
      </w:r>
      <w:r w:rsidR="00AB40F3">
        <w:t xml:space="preserve">, nr. </w:t>
      </w:r>
      <w:r w:rsidRPr="00AB40F3" w:rsidR="00AB40F3">
        <w:t>1743</w:t>
      </w:r>
      <w:r>
        <w:t>) door de Europese Commissie niet kan worden verwacht en het Ctgb het daarom niet verantwoord acht om het Europese proces af te wachten.</w:t>
      </w:r>
      <w:r w:rsidR="00195AA3">
        <w:t xml:space="preserve"> </w:t>
      </w:r>
      <w:r w:rsidR="00232CA3">
        <w:t>Denemarken heeft op basis van nationale wetgeving omtrent persistentie de</w:t>
      </w:r>
      <w:r>
        <w:t xml:space="preserve"> </w:t>
      </w:r>
      <w:r w:rsidR="00232CA3">
        <w:t>toelating van diverse middelen reeds ingetrokken (</w:t>
      </w:r>
      <w:r w:rsidR="008A5733">
        <w:t>K</w:t>
      </w:r>
      <w:r w:rsidRPr="008A5733" w:rsidR="008A5733">
        <w:t>amerstuk 2025Z17850</w:t>
      </w:r>
      <w:r w:rsidR="00232CA3">
        <w:t xml:space="preserve">). Nederland beschikt niet </w:t>
      </w:r>
      <w:r w:rsidR="00B93B16">
        <w:t xml:space="preserve">over </w:t>
      </w:r>
      <w:r w:rsidR="00232CA3">
        <w:t xml:space="preserve">een dergelijk </w:t>
      </w:r>
      <w:r w:rsidR="009D7F23">
        <w:t xml:space="preserve">nationaal </w:t>
      </w:r>
      <w:r w:rsidR="00232CA3">
        <w:t xml:space="preserve">kader </w:t>
      </w:r>
      <w:r w:rsidR="009D7F23">
        <w:t xml:space="preserve">en </w:t>
      </w:r>
      <w:r w:rsidR="00232CA3">
        <w:t xml:space="preserve">zal, net als Zweden en Noorwegen, een herbeoordeling conform artikel </w:t>
      </w:r>
      <w:r w:rsidRPr="00F9311A" w:rsidR="00232CA3">
        <w:t xml:space="preserve">44 van Verordening (EG) </w:t>
      </w:r>
      <w:r w:rsidR="007D43F1">
        <w:t>n</w:t>
      </w:r>
      <w:r w:rsidRPr="00F9311A" w:rsidR="00232CA3">
        <w:t>r. 1107/2009</w:t>
      </w:r>
      <w:r w:rsidR="00232CA3">
        <w:t xml:space="preserve"> opstarten.</w:t>
      </w:r>
      <w:r>
        <w:t xml:space="preserve"> </w:t>
      </w:r>
      <w:r w:rsidR="005E11A8">
        <w:t>Dit</w:t>
      </w:r>
      <w:r w:rsidR="00B269D9">
        <w:t xml:space="preserve"> betekent dat alle toepassingen van de betreffende middelen worden herbeoordeeld, de toelatinghouders de gelegenheid krijgen om aanvullende informatie aan te leveren en een besluit over het al dan niet intrekken of wijzigen van de toelatingen </w:t>
      </w:r>
      <w:r w:rsidR="005B343A">
        <w:t>zal worden</w:t>
      </w:r>
      <w:r w:rsidR="00B269D9">
        <w:t xml:space="preserve"> genomen.</w:t>
      </w:r>
    </w:p>
    <w:p w:rsidR="00B269D9" w:rsidP="00F9311A" w:rsidRDefault="00B269D9" w14:paraId="4ACCC419" w14:textId="77777777"/>
    <w:p w:rsidR="00A80781" w:rsidP="005E11A8" w:rsidRDefault="005E11A8" w14:paraId="1FA82344" w14:textId="4E6D46D0">
      <w:r>
        <w:t xml:space="preserve">Een zorgvuldige herbeoordeling </w:t>
      </w:r>
      <w:r w:rsidRPr="00B269D9">
        <w:t>van 46 middelen met vele</w:t>
      </w:r>
      <w:r>
        <w:t xml:space="preserve"> </w:t>
      </w:r>
      <w:r w:rsidRPr="00B269D9">
        <w:t>toepassingen, inclusief consultatie en beoordeling van aanvullende informatie</w:t>
      </w:r>
      <w:r>
        <w:t xml:space="preserve"> </w:t>
      </w:r>
      <w:r w:rsidRPr="00B269D9" w:rsidR="00B269D9">
        <w:t xml:space="preserve">is noodzakelijk om </w:t>
      </w:r>
      <w:r>
        <w:t xml:space="preserve">de </w:t>
      </w:r>
      <w:r w:rsidRPr="00B269D9" w:rsidR="00B269D9">
        <w:t xml:space="preserve">juridische houdbaarheid </w:t>
      </w:r>
      <w:r>
        <w:t xml:space="preserve">van het traject te </w:t>
      </w:r>
      <w:r w:rsidRPr="00B269D9" w:rsidR="00B269D9">
        <w:t>waarborgen.</w:t>
      </w:r>
      <w:r>
        <w:t xml:space="preserve"> </w:t>
      </w:r>
      <w:r w:rsidRPr="005E11A8">
        <w:t>Het Ctgb is voornemens om, net als Zweden en Noorwegen, uiterlijk 30 april 2028</w:t>
      </w:r>
      <w:r>
        <w:t xml:space="preserve"> </w:t>
      </w:r>
      <w:r w:rsidRPr="005E11A8">
        <w:t>alle besluiten te nemen.</w:t>
      </w:r>
    </w:p>
    <w:p w:rsidR="00A80781" w:rsidP="00F9311A" w:rsidRDefault="00A80781" w14:paraId="658EF4B0" w14:textId="77777777"/>
    <w:p w:rsidRPr="00F9311A" w:rsidR="00AA5328" w:rsidP="00AA5328" w:rsidRDefault="00AA5328" w14:paraId="0CFDE1C3" w14:textId="7B2D32D7">
      <w:r>
        <w:t xml:space="preserve">Omdat de herbeoordeling </w:t>
      </w:r>
      <w:r w:rsidRPr="00AA5328">
        <w:t xml:space="preserve">mogelijk grote gevolgen </w:t>
      </w:r>
      <w:r>
        <w:t xml:space="preserve">kan hebben </w:t>
      </w:r>
      <w:r w:rsidRPr="00AA5328">
        <w:t>voor de beschikbaarheid van</w:t>
      </w:r>
      <w:r>
        <w:t xml:space="preserve"> </w:t>
      </w:r>
      <w:r w:rsidRPr="00AA5328">
        <w:t>gewasbeschermingsmiddelen voor de Nederlandse landbouw</w:t>
      </w:r>
      <w:r>
        <w:t xml:space="preserve"> heb ik, in lijn met wat het Ctgb mij adviseert, de WUR gevraagd om een eerste impactanalyse uit te laten voeren voor de middelen die nu worden herbeoordeeld. Op basis van de uitkomsten van deze impactanalyse, die ik in het tweede kwartaal </w:t>
      </w:r>
      <w:r w:rsidR="007D43F1">
        <w:t xml:space="preserve">van dit jaar </w:t>
      </w:r>
      <w:r>
        <w:t>verwacht, zal een bredere landbouwkundige inventarisatie worden uitgevoerd en zal samen met de sector worden gekeken naar alternatieve middelen en maatregelen.</w:t>
      </w:r>
    </w:p>
    <w:p w:rsidR="00B958A7" w:rsidP="00810C93" w:rsidRDefault="00B958A7" w14:paraId="1A1AD55C" w14:textId="77777777"/>
    <w:p w:rsidR="00584BAC" w:rsidP="00810C93" w:rsidRDefault="001D35CB" w14:paraId="2324A299" w14:textId="77777777">
      <w:r>
        <w:t>Hoogachtend,</w:t>
      </w:r>
    </w:p>
    <w:p w:rsidRPr="00EC58D9" w:rsidR="00F71F9E" w:rsidP="007255FC" w:rsidRDefault="00F71F9E" w14:paraId="4F7E7C68" w14:textId="77777777"/>
    <w:p w:rsidRPr="00EC58D9" w:rsidR="007239A1" w:rsidP="007255FC" w:rsidRDefault="007239A1" w14:paraId="42777DCB" w14:textId="77777777"/>
    <w:p w:rsidRPr="006A15A5" w:rsidR="007239A1" w:rsidP="007255FC" w:rsidRDefault="001D35CB" w14:paraId="1083FE8C" w14:textId="77777777">
      <w:pPr>
        <w:rPr>
          <w:szCs w:val="18"/>
        </w:rPr>
      </w:pPr>
      <w:r w:rsidRPr="00B11DD6">
        <w:t>Femke Marije Wiersma</w:t>
      </w:r>
    </w:p>
    <w:p w:rsidRPr="00144B73" w:rsidR="00144B73" w:rsidP="00810C93" w:rsidRDefault="001D35CB" w14:paraId="237CAFA9" w14:textId="719A2E49">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0CAE" w14:textId="77777777" w:rsidR="004A1973" w:rsidRDefault="004A1973">
      <w:r>
        <w:separator/>
      </w:r>
    </w:p>
    <w:p w14:paraId="3B8C5CD5" w14:textId="77777777" w:rsidR="004A1973" w:rsidRDefault="004A1973"/>
  </w:endnote>
  <w:endnote w:type="continuationSeparator" w:id="0">
    <w:p w14:paraId="2338B438" w14:textId="77777777" w:rsidR="004A1973" w:rsidRDefault="004A1973">
      <w:r>
        <w:continuationSeparator/>
      </w:r>
    </w:p>
    <w:p w14:paraId="51668662" w14:textId="77777777" w:rsidR="004A1973" w:rsidRDefault="004A1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077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1580" w14:paraId="02D8A5E0" w14:textId="77777777" w:rsidTr="00CA6A25">
      <w:trPr>
        <w:trHeight w:hRule="exact" w:val="240"/>
      </w:trPr>
      <w:tc>
        <w:tcPr>
          <w:tcW w:w="7601" w:type="dxa"/>
        </w:tcPr>
        <w:p w14:paraId="63B60565" w14:textId="77777777" w:rsidR="00527BD4" w:rsidRDefault="00527BD4" w:rsidP="003F1F6B">
          <w:pPr>
            <w:pStyle w:val="Huisstijl-Rubricering"/>
          </w:pPr>
        </w:p>
      </w:tc>
      <w:tc>
        <w:tcPr>
          <w:tcW w:w="2156" w:type="dxa"/>
        </w:tcPr>
        <w:p w14:paraId="58F9D120" w14:textId="79E59335" w:rsidR="00527BD4" w:rsidRPr="00645414" w:rsidRDefault="001D35C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B777A">
            <w:t>2</w:t>
          </w:r>
          <w:r w:rsidR="00144B73">
            <w:fldChar w:fldCharType="end"/>
          </w:r>
        </w:p>
      </w:tc>
    </w:tr>
  </w:tbl>
  <w:p w14:paraId="4C602F6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1580" w14:paraId="408067CF" w14:textId="77777777" w:rsidTr="00CA6A25">
      <w:trPr>
        <w:trHeight w:hRule="exact" w:val="240"/>
      </w:trPr>
      <w:tc>
        <w:tcPr>
          <w:tcW w:w="7601" w:type="dxa"/>
        </w:tcPr>
        <w:p w14:paraId="420CDFE6" w14:textId="77777777" w:rsidR="00527BD4" w:rsidRDefault="00527BD4" w:rsidP="008C356D">
          <w:pPr>
            <w:pStyle w:val="Huisstijl-Rubricering"/>
          </w:pPr>
        </w:p>
      </w:tc>
      <w:tc>
        <w:tcPr>
          <w:tcW w:w="2170" w:type="dxa"/>
        </w:tcPr>
        <w:p w14:paraId="02F65DFD" w14:textId="03179C3C" w:rsidR="00527BD4" w:rsidRPr="00ED539E" w:rsidRDefault="001D35C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B777A">
            <w:t>2</w:t>
          </w:r>
          <w:r w:rsidR="00A957CA">
            <w:fldChar w:fldCharType="end"/>
          </w:r>
        </w:p>
      </w:tc>
    </w:tr>
  </w:tbl>
  <w:p w14:paraId="191B532F" w14:textId="77777777" w:rsidR="00527BD4" w:rsidRPr="00BC3B53" w:rsidRDefault="00527BD4" w:rsidP="008C356D">
    <w:pPr>
      <w:pStyle w:val="Voettekst"/>
      <w:spacing w:line="240" w:lineRule="auto"/>
      <w:rPr>
        <w:sz w:val="2"/>
        <w:szCs w:val="2"/>
      </w:rPr>
    </w:pPr>
  </w:p>
  <w:p w14:paraId="4852FA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B37C" w14:textId="77777777" w:rsidR="004A1973" w:rsidRDefault="004A1973">
      <w:r>
        <w:separator/>
      </w:r>
    </w:p>
    <w:p w14:paraId="3B7B670D" w14:textId="77777777" w:rsidR="004A1973" w:rsidRDefault="004A1973"/>
  </w:footnote>
  <w:footnote w:type="continuationSeparator" w:id="0">
    <w:p w14:paraId="48B3CCC1" w14:textId="77777777" w:rsidR="004A1973" w:rsidRDefault="004A1973">
      <w:r>
        <w:continuationSeparator/>
      </w:r>
    </w:p>
    <w:p w14:paraId="34C2D8E3" w14:textId="77777777" w:rsidR="004A1973" w:rsidRDefault="004A1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1580" w14:paraId="7DDCB8F1" w14:textId="77777777" w:rsidTr="00A50CF6">
      <w:tc>
        <w:tcPr>
          <w:tcW w:w="2156" w:type="dxa"/>
        </w:tcPr>
        <w:p w14:paraId="33812E5F" w14:textId="77777777" w:rsidR="00527BD4" w:rsidRPr="005819CE" w:rsidRDefault="001D35CB" w:rsidP="00A50CF6">
          <w:pPr>
            <w:pStyle w:val="Huisstijl-Adres"/>
            <w:rPr>
              <w:b/>
            </w:rPr>
          </w:pPr>
          <w:r>
            <w:rPr>
              <w:b/>
            </w:rPr>
            <w:t>Directoraat-generaal Agro</w:t>
          </w:r>
          <w:r w:rsidRPr="005819CE">
            <w:rPr>
              <w:b/>
            </w:rPr>
            <w:br/>
          </w:r>
        </w:p>
      </w:tc>
    </w:tr>
    <w:tr w:rsidR="00EC1580" w14:paraId="52F84FEE" w14:textId="77777777" w:rsidTr="00A50CF6">
      <w:trPr>
        <w:trHeight w:hRule="exact" w:val="200"/>
      </w:trPr>
      <w:tc>
        <w:tcPr>
          <w:tcW w:w="2156" w:type="dxa"/>
        </w:tcPr>
        <w:p w14:paraId="17AFEBDE" w14:textId="77777777" w:rsidR="00527BD4" w:rsidRPr="005819CE" w:rsidRDefault="00527BD4" w:rsidP="00A50CF6"/>
      </w:tc>
    </w:tr>
    <w:tr w:rsidR="00EC1580" w14:paraId="0BD9DBC3" w14:textId="77777777" w:rsidTr="00502512">
      <w:trPr>
        <w:trHeight w:hRule="exact" w:val="774"/>
      </w:trPr>
      <w:tc>
        <w:tcPr>
          <w:tcW w:w="2156" w:type="dxa"/>
        </w:tcPr>
        <w:p w14:paraId="1B1F44B7" w14:textId="77777777" w:rsidR="00527BD4" w:rsidRDefault="001D35CB" w:rsidP="003A5290">
          <w:pPr>
            <w:pStyle w:val="Huisstijl-Kopje"/>
          </w:pPr>
          <w:r>
            <w:t>Ons kenmerk</w:t>
          </w:r>
        </w:p>
        <w:p w14:paraId="199BDF7F" w14:textId="77777777" w:rsidR="00527BD4" w:rsidRPr="005819CE" w:rsidRDefault="001D35CB" w:rsidP="001E6117">
          <w:pPr>
            <w:pStyle w:val="Huisstijl-Kopje"/>
          </w:pPr>
          <w:r>
            <w:rPr>
              <w:b w:val="0"/>
            </w:rPr>
            <w:t>DGA</w:t>
          </w:r>
          <w:r w:rsidRPr="00502512">
            <w:rPr>
              <w:b w:val="0"/>
            </w:rPr>
            <w:t xml:space="preserve"> / </w:t>
          </w:r>
          <w:r>
            <w:rPr>
              <w:b w:val="0"/>
            </w:rPr>
            <w:t>103555120</w:t>
          </w:r>
        </w:p>
      </w:tc>
    </w:tr>
  </w:tbl>
  <w:p w14:paraId="3FD08C66" w14:textId="77777777" w:rsidR="00527BD4" w:rsidRDefault="00527BD4" w:rsidP="008C356D"/>
  <w:p w14:paraId="3EA7069D" w14:textId="77777777" w:rsidR="00527BD4" w:rsidRPr="00740712" w:rsidRDefault="00527BD4" w:rsidP="008C356D"/>
  <w:p w14:paraId="690F31A9" w14:textId="77777777" w:rsidR="00527BD4" w:rsidRPr="00740712" w:rsidRDefault="00527BD4" w:rsidP="004F44C2"/>
  <w:p w14:paraId="06F106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1580" w14:paraId="4D339E60" w14:textId="77777777" w:rsidTr="00751A6A">
      <w:trPr>
        <w:trHeight w:val="2636"/>
      </w:trPr>
      <w:tc>
        <w:tcPr>
          <w:tcW w:w="737" w:type="dxa"/>
        </w:tcPr>
        <w:p w14:paraId="391F4B72" w14:textId="77777777" w:rsidR="00527BD4" w:rsidRDefault="00527BD4" w:rsidP="00D0609E">
          <w:pPr>
            <w:framePr w:w="6340" w:h="2750" w:hRule="exact" w:hSpace="180" w:wrap="around" w:vAnchor="page" w:hAnchor="text" w:x="3873" w:y="-140"/>
            <w:spacing w:line="240" w:lineRule="auto"/>
          </w:pPr>
        </w:p>
      </w:tc>
      <w:tc>
        <w:tcPr>
          <w:tcW w:w="5156" w:type="dxa"/>
        </w:tcPr>
        <w:p w14:paraId="009E1FB9" w14:textId="77777777" w:rsidR="00527BD4" w:rsidRDefault="001D35C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DD09820" wp14:editId="7669012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04F9C1F" w14:textId="77777777" w:rsidR="00527BD4" w:rsidRDefault="00527BD4" w:rsidP="00D0609E">
    <w:pPr>
      <w:framePr w:w="6340" w:h="2750" w:hRule="exact" w:hSpace="180" w:wrap="around" w:vAnchor="page" w:hAnchor="text" w:x="3873" w:y="-140"/>
    </w:pPr>
  </w:p>
  <w:p w14:paraId="19252F0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1580" w14:paraId="2FB17D44" w14:textId="77777777" w:rsidTr="00A50CF6">
      <w:tc>
        <w:tcPr>
          <w:tcW w:w="2160" w:type="dxa"/>
        </w:tcPr>
        <w:p w14:paraId="4288CF64" w14:textId="77777777" w:rsidR="00527BD4" w:rsidRPr="005819CE" w:rsidRDefault="001D35CB" w:rsidP="00A50CF6">
          <w:pPr>
            <w:pStyle w:val="Huisstijl-Adres"/>
            <w:rPr>
              <w:b/>
            </w:rPr>
          </w:pPr>
          <w:r>
            <w:rPr>
              <w:b/>
            </w:rPr>
            <w:t>Directoraat-generaal Agro</w:t>
          </w:r>
          <w:r w:rsidRPr="005819CE">
            <w:rPr>
              <w:b/>
            </w:rPr>
            <w:br/>
          </w:r>
        </w:p>
        <w:p w14:paraId="1589189B" w14:textId="77777777" w:rsidR="00527BD4" w:rsidRPr="00BE5ED9" w:rsidRDefault="001D35CB" w:rsidP="00A50CF6">
          <w:pPr>
            <w:pStyle w:val="Huisstijl-Adres"/>
          </w:pPr>
          <w:r>
            <w:rPr>
              <w:b/>
            </w:rPr>
            <w:t>Bezoekadres</w:t>
          </w:r>
          <w:r>
            <w:rPr>
              <w:b/>
            </w:rPr>
            <w:br/>
          </w:r>
          <w:r>
            <w:t>Bezuidenhoutseweg 73</w:t>
          </w:r>
          <w:r w:rsidRPr="005819CE">
            <w:br/>
          </w:r>
          <w:r>
            <w:t>2594 AC Den Haag</w:t>
          </w:r>
        </w:p>
        <w:p w14:paraId="4781ADA7" w14:textId="77777777" w:rsidR="00EF495B" w:rsidRDefault="001D35CB" w:rsidP="0098788A">
          <w:pPr>
            <w:pStyle w:val="Huisstijl-Adres"/>
          </w:pPr>
          <w:r>
            <w:rPr>
              <w:b/>
            </w:rPr>
            <w:t>Postadres</w:t>
          </w:r>
          <w:r>
            <w:rPr>
              <w:b/>
            </w:rPr>
            <w:br/>
          </w:r>
          <w:r>
            <w:t>Postbus 20401</w:t>
          </w:r>
          <w:r w:rsidRPr="005819CE">
            <w:br/>
            <w:t>2500 E</w:t>
          </w:r>
          <w:r>
            <w:t>K</w:t>
          </w:r>
          <w:r w:rsidRPr="005819CE">
            <w:t xml:space="preserve"> Den Haag</w:t>
          </w:r>
        </w:p>
        <w:p w14:paraId="54EFB41C" w14:textId="77777777" w:rsidR="00556BEE" w:rsidRPr="005B3814" w:rsidRDefault="001D35CB" w:rsidP="0098788A">
          <w:pPr>
            <w:pStyle w:val="Huisstijl-Adres"/>
          </w:pPr>
          <w:r>
            <w:rPr>
              <w:b/>
            </w:rPr>
            <w:t>Overheidsidentificatienr</w:t>
          </w:r>
          <w:r>
            <w:rPr>
              <w:b/>
            </w:rPr>
            <w:br/>
          </w:r>
          <w:r w:rsidR="00BA129E">
            <w:rPr>
              <w:rFonts w:cs="Agrofont"/>
              <w:iCs/>
            </w:rPr>
            <w:t>00000001858272854000</w:t>
          </w:r>
        </w:p>
        <w:p w14:paraId="5878DC8A" w14:textId="62DDBDA6" w:rsidR="00527BD4" w:rsidRPr="00767CA7" w:rsidRDefault="001D35C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C1580" w14:paraId="18A9BAD3" w14:textId="77777777" w:rsidTr="00A50CF6">
      <w:trPr>
        <w:trHeight w:hRule="exact" w:val="200"/>
      </w:trPr>
      <w:tc>
        <w:tcPr>
          <w:tcW w:w="2160" w:type="dxa"/>
        </w:tcPr>
        <w:p w14:paraId="471F5918" w14:textId="77777777" w:rsidR="00527BD4" w:rsidRPr="005819CE" w:rsidRDefault="00527BD4" w:rsidP="00A50CF6"/>
      </w:tc>
    </w:tr>
    <w:tr w:rsidR="00EC1580" w14:paraId="0F68E282" w14:textId="77777777" w:rsidTr="00A50CF6">
      <w:tc>
        <w:tcPr>
          <w:tcW w:w="2160" w:type="dxa"/>
        </w:tcPr>
        <w:p w14:paraId="4270E09B" w14:textId="77777777" w:rsidR="000C0163" w:rsidRPr="005819CE" w:rsidRDefault="001D35CB" w:rsidP="000C0163">
          <w:pPr>
            <w:pStyle w:val="Huisstijl-Kopje"/>
          </w:pPr>
          <w:r>
            <w:t>Ons kenmerk</w:t>
          </w:r>
          <w:r w:rsidRPr="005819CE">
            <w:t xml:space="preserve"> </w:t>
          </w:r>
        </w:p>
        <w:p w14:paraId="31F601AC" w14:textId="77777777" w:rsidR="00527BD4" w:rsidRDefault="001D35CB" w:rsidP="00A50CF6">
          <w:pPr>
            <w:pStyle w:val="Huisstijl-Gegeven"/>
          </w:pPr>
          <w:r>
            <w:t>DGA /</w:t>
          </w:r>
          <w:r w:rsidR="00486354">
            <w:t xml:space="preserve"> </w:t>
          </w:r>
          <w:r w:rsidR="00767CA7" w:rsidRPr="00767CA7">
            <w:t>103555120</w:t>
          </w:r>
        </w:p>
        <w:p w14:paraId="074F8337" w14:textId="77777777" w:rsidR="005F410F" w:rsidRDefault="005F410F" w:rsidP="005F410F">
          <w:pPr>
            <w:pStyle w:val="Huisstijl-Kopje"/>
          </w:pPr>
          <w:r>
            <w:t>Bijlage(n)</w:t>
          </w:r>
        </w:p>
        <w:p w14:paraId="489ECE9B" w14:textId="0F95F4EC" w:rsidR="005F410F" w:rsidRPr="005F410F" w:rsidRDefault="005F410F" w:rsidP="005F410F">
          <w:pPr>
            <w:pStyle w:val="Huisstijl-Kopje"/>
            <w:rPr>
              <w:b w:val="0"/>
              <w:bCs/>
            </w:rPr>
          </w:pPr>
          <w:r w:rsidRPr="005F410F">
            <w:rPr>
              <w:b w:val="0"/>
              <w:bCs/>
            </w:rPr>
            <w:t>1</w:t>
          </w:r>
        </w:p>
      </w:tc>
    </w:tr>
  </w:tbl>
  <w:p w14:paraId="45C652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1580" w14:paraId="0F1189AA" w14:textId="77777777" w:rsidTr="00F25997">
      <w:trPr>
        <w:trHeight w:val="400"/>
      </w:trPr>
      <w:tc>
        <w:tcPr>
          <w:tcW w:w="7371" w:type="dxa"/>
          <w:gridSpan w:val="2"/>
        </w:tcPr>
        <w:p w14:paraId="645E41DC" w14:textId="77777777" w:rsidR="00527BD4" w:rsidRPr="00BC3B53" w:rsidRDefault="001D35CB" w:rsidP="00A50CF6">
          <w:pPr>
            <w:pStyle w:val="Huisstijl-Retouradres"/>
          </w:pPr>
          <w:r>
            <w:t>&gt; Retouradres Postbus 20401 2500 EK Den Haag</w:t>
          </w:r>
        </w:p>
      </w:tc>
    </w:tr>
    <w:tr w:rsidR="00EC1580" w14:paraId="2085F9BB" w14:textId="77777777" w:rsidTr="00F25997">
      <w:tc>
        <w:tcPr>
          <w:tcW w:w="7371" w:type="dxa"/>
          <w:gridSpan w:val="2"/>
        </w:tcPr>
        <w:p w14:paraId="2EDAF216" w14:textId="77777777" w:rsidR="00527BD4" w:rsidRPr="00983E8F" w:rsidRDefault="00527BD4" w:rsidP="00A50CF6">
          <w:pPr>
            <w:pStyle w:val="Huisstijl-Rubricering"/>
          </w:pPr>
        </w:p>
      </w:tc>
    </w:tr>
    <w:tr w:rsidR="00F25997" w14:paraId="3E8E365E" w14:textId="77777777" w:rsidTr="00F25997">
      <w:trPr>
        <w:trHeight w:hRule="exact" w:val="2440"/>
      </w:trPr>
      <w:tc>
        <w:tcPr>
          <w:tcW w:w="7371" w:type="dxa"/>
          <w:gridSpan w:val="2"/>
        </w:tcPr>
        <w:p w14:paraId="4959771E" w14:textId="77777777" w:rsidR="00F25997" w:rsidRPr="00721485" w:rsidRDefault="00F25997" w:rsidP="00F25997">
          <w:pPr>
            <w:pStyle w:val="Huisstijl-NAW"/>
            <w:rPr>
              <w:lang w:eastAsia="en-US"/>
            </w:rPr>
          </w:pPr>
          <w:r w:rsidRPr="00721485">
            <w:rPr>
              <w:lang w:eastAsia="en-US"/>
            </w:rPr>
            <w:t xml:space="preserve">De Voorzitter van de Tweede Kamer </w:t>
          </w:r>
        </w:p>
        <w:p w14:paraId="083B8F3F" w14:textId="77777777" w:rsidR="00F25997" w:rsidRPr="00721485" w:rsidRDefault="00F25997" w:rsidP="00F25997">
          <w:pPr>
            <w:pStyle w:val="Huisstijl-NAW"/>
            <w:rPr>
              <w:lang w:eastAsia="en-US"/>
            </w:rPr>
          </w:pPr>
          <w:r w:rsidRPr="00721485">
            <w:rPr>
              <w:lang w:eastAsia="en-US"/>
            </w:rPr>
            <w:t xml:space="preserve">der Staten-Generaal </w:t>
          </w:r>
        </w:p>
        <w:p w14:paraId="6FF31317" w14:textId="77777777" w:rsidR="00F25997" w:rsidRPr="00721485" w:rsidRDefault="00F25997" w:rsidP="00F25997">
          <w:pPr>
            <w:pStyle w:val="Huisstijl-NAW"/>
            <w:rPr>
              <w:lang w:eastAsia="en-US"/>
            </w:rPr>
          </w:pPr>
          <w:r w:rsidRPr="00721485">
            <w:rPr>
              <w:lang w:eastAsia="en-US"/>
            </w:rPr>
            <w:t xml:space="preserve">Prinses Irenestraat 6 </w:t>
          </w:r>
        </w:p>
        <w:p w14:paraId="4ECA3634" w14:textId="5B3043D4" w:rsidR="00F25997" w:rsidRDefault="00F25997" w:rsidP="00F25997">
          <w:pPr>
            <w:pStyle w:val="Huisstijl-NAW"/>
          </w:pPr>
          <w:r>
            <w:rPr>
              <w:lang w:val="en-US" w:eastAsia="en-US"/>
            </w:rPr>
            <w:t>2595 BD  DEN HAAG</w:t>
          </w:r>
        </w:p>
      </w:tc>
    </w:tr>
    <w:tr w:rsidR="00EC1580" w14:paraId="57EDC0BD" w14:textId="77777777" w:rsidTr="00F25997">
      <w:trPr>
        <w:trHeight w:hRule="exact" w:val="400"/>
      </w:trPr>
      <w:tc>
        <w:tcPr>
          <w:tcW w:w="7371" w:type="dxa"/>
          <w:gridSpan w:val="2"/>
        </w:tcPr>
        <w:p w14:paraId="70C886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1580" w14:paraId="6C41F090" w14:textId="77777777" w:rsidTr="00F25997">
      <w:trPr>
        <w:trHeight w:val="240"/>
      </w:trPr>
      <w:tc>
        <w:tcPr>
          <w:tcW w:w="882" w:type="dxa"/>
        </w:tcPr>
        <w:p w14:paraId="5707EFCC" w14:textId="77777777" w:rsidR="00527BD4" w:rsidRPr="007709EF" w:rsidRDefault="001D35CB" w:rsidP="00A50CF6">
          <w:pPr>
            <w:rPr>
              <w:szCs w:val="18"/>
            </w:rPr>
          </w:pPr>
          <w:r>
            <w:rPr>
              <w:szCs w:val="18"/>
            </w:rPr>
            <w:t>Datum</w:t>
          </w:r>
        </w:p>
      </w:tc>
      <w:tc>
        <w:tcPr>
          <w:tcW w:w="6489" w:type="dxa"/>
        </w:tcPr>
        <w:p w14:paraId="6687367B" w14:textId="0BED74F6" w:rsidR="00527BD4" w:rsidRPr="007709EF" w:rsidRDefault="006660D5" w:rsidP="00A50CF6">
          <w:r>
            <w:t>19 januari 2026</w:t>
          </w:r>
        </w:p>
      </w:tc>
    </w:tr>
    <w:tr w:rsidR="00EC1580" w14:paraId="71F36763" w14:textId="77777777" w:rsidTr="00F25997">
      <w:trPr>
        <w:trHeight w:val="240"/>
      </w:trPr>
      <w:tc>
        <w:tcPr>
          <w:tcW w:w="882" w:type="dxa"/>
        </w:tcPr>
        <w:p w14:paraId="38B6A306" w14:textId="77777777" w:rsidR="00527BD4" w:rsidRPr="007709EF" w:rsidRDefault="001D35CB" w:rsidP="00A50CF6">
          <w:pPr>
            <w:rPr>
              <w:szCs w:val="18"/>
            </w:rPr>
          </w:pPr>
          <w:r>
            <w:rPr>
              <w:szCs w:val="18"/>
            </w:rPr>
            <w:t>Betreft</w:t>
          </w:r>
        </w:p>
      </w:tc>
      <w:tc>
        <w:tcPr>
          <w:tcW w:w="6489" w:type="dxa"/>
        </w:tcPr>
        <w:p w14:paraId="5198E76F" w14:textId="77777777" w:rsidR="00527BD4" w:rsidRPr="007709EF" w:rsidRDefault="001D35CB" w:rsidP="00A50CF6">
          <w:r>
            <w:t>SCoPAFF-vergadering gewasbeschermingsmiddelen januari 2026</w:t>
          </w:r>
        </w:p>
      </w:tc>
    </w:tr>
  </w:tbl>
  <w:p w14:paraId="21D227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186533A">
      <w:start w:val="1"/>
      <w:numFmt w:val="bullet"/>
      <w:pStyle w:val="Lijstopsomteken"/>
      <w:lvlText w:val="•"/>
      <w:lvlJc w:val="left"/>
      <w:pPr>
        <w:tabs>
          <w:tab w:val="num" w:pos="227"/>
        </w:tabs>
        <w:ind w:left="227" w:hanging="227"/>
      </w:pPr>
      <w:rPr>
        <w:rFonts w:ascii="Verdana" w:hAnsi="Verdana" w:hint="default"/>
        <w:sz w:val="18"/>
        <w:szCs w:val="18"/>
      </w:rPr>
    </w:lvl>
    <w:lvl w:ilvl="1" w:tplc="377ABB2E" w:tentative="1">
      <w:start w:val="1"/>
      <w:numFmt w:val="bullet"/>
      <w:lvlText w:val="o"/>
      <w:lvlJc w:val="left"/>
      <w:pPr>
        <w:tabs>
          <w:tab w:val="num" w:pos="1440"/>
        </w:tabs>
        <w:ind w:left="1440" w:hanging="360"/>
      </w:pPr>
      <w:rPr>
        <w:rFonts w:ascii="Courier New" w:hAnsi="Courier New" w:cs="Courier New" w:hint="default"/>
      </w:rPr>
    </w:lvl>
    <w:lvl w:ilvl="2" w:tplc="6D42F04E" w:tentative="1">
      <w:start w:val="1"/>
      <w:numFmt w:val="bullet"/>
      <w:lvlText w:val=""/>
      <w:lvlJc w:val="left"/>
      <w:pPr>
        <w:tabs>
          <w:tab w:val="num" w:pos="2160"/>
        </w:tabs>
        <w:ind w:left="2160" w:hanging="360"/>
      </w:pPr>
      <w:rPr>
        <w:rFonts w:ascii="Wingdings" w:hAnsi="Wingdings" w:hint="default"/>
      </w:rPr>
    </w:lvl>
    <w:lvl w:ilvl="3" w:tplc="797CF0D0" w:tentative="1">
      <w:start w:val="1"/>
      <w:numFmt w:val="bullet"/>
      <w:lvlText w:val=""/>
      <w:lvlJc w:val="left"/>
      <w:pPr>
        <w:tabs>
          <w:tab w:val="num" w:pos="2880"/>
        </w:tabs>
        <w:ind w:left="2880" w:hanging="360"/>
      </w:pPr>
      <w:rPr>
        <w:rFonts w:ascii="Symbol" w:hAnsi="Symbol" w:hint="default"/>
      </w:rPr>
    </w:lvl>
    <w:lvl w:ilvl="4" w:tplc="F934ED92" w:tentative="1">
      <w:start w:val="1"/>
      <w:numFmt w:val="bullet"/>
      <w:lvlText w:val="o"/>
      <w:lvlJc w:val="left"/>
      <w:pPr>
        <w:tabs>
          <w:tab w:val="num" w:pos="3600"/>
        </w:tabs>
        <w:ind w:left="3600" w:hanging="360"/>
      </w:pPr>
      <w:rPr>
        <w:rFonts w:ascii="Courier New" w:hAnsi="Courier New" w:cs="Courier New" w:hint="default"/>
      </w:rPr>
    </w:lvl>
    <w:lvl w:ilvl="5" w:tplc="9E082014" w:tentative="1">
      <w:start w:val="1"/>
      <w:numFmt w:val="bullet"/>
      <w:lvlText w:val=""/>
      <w:lvlJc w:val="left"/>
      <w:pPr>
        <w:tabs>
          <w:tab w:val="num" w:pos="4320"/>
        </w:tabs>
        <w:ind w:left="4320" w:hanging="360"/>
      </w:pPr>
      <w:rPr>
        <w:rFonts w:ascii="Wingdings" w:hAnsi="Wingdings" w:hint="default"/>
      </w:rPr>
    </w:lvl>
    <w:lvl w:ilvl="6" w:tplc="F710B314" w:tentative="1">
      <w:start w:val="1"/>
      <w:numFmt w:val="bullet"/>
      <w:lvlText w:val=""/>
      <w:lvlJc w:val="left"/>
      <w:pPr>
        <w:tabs>
          <w:tab w:val="num" w:pos="5040"/>
        </w:tabs>
        <w:ind w:left="5040" w:hanging="360"/>
      </w:pPr>
      <w:rPr>
        <w:rFonts w:ascii="Symbol" w:hAnsi="Symbol" w:hint="default"/>
      </w:rPr>
    </w:lvl>
    <w:lvl w:ilvl="7" w:tplc="84FE9390" w:tentative="1">
      <w:start w:val="1"/>
      <w:numFmt w:val="bullet"/>
      <w:lvlText w:val="o"/>
      <w:lvlJc w:val="left"/>
      <w:pPr>
        <w:tabs>
          <w:tab w:val="num" w:pos="5760"/>
        </w:tabs>
        <w:ind w:left="5760" w:hanging="360"/>
      </w:pPr>
      <w:rPr>
        <w:rFonts w:ascii="Courier New" w:hAnsi="Courier New" w:cs="Courier New" w:hint="default"/>
      </w:rPr>
    </w:lvl>
    <w:lvl w:ilvl="8" w:tplc="7E7001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38C1376">
      <w:start w:val="1"/>
      <w:numFmt w:val="bullet"/>
      <w:pStyle w:val="Lijstopsomteken2"/>
      <w:lvlText w:val="–"/>
      <w:lvlJc w:val="left"/>
      <w:pPr>
        <w:tabs>
          <w:tab w:val="num" w:pos="227"/>
        </w:tabs>
        <w:ind w:left="227" w:firstLine="0"/>
      </w:pPr>
      <w:rPr>
        <w:rFonts w:ascii="Verdana" w:hAnsi="Verdana" w:hint="default"/>
      </w:rPr>
    </w:lvl>
    <w:lvl w:ilvl="1" w:tplc="F6106912" w:tentative="1">
      <w:start w:val="1"/>
      <w:numFmt w:val="bullet"/>
      <w:lvlText w:val="o"/>
      <w:lvlJc w:val="left"/>
      <w:pPr>
        <w:tabs>
          <w:tab w:val="num" w:pos="1440"/>
        </w:tabs>
        <w:ind w:left="1440" w:hanging="360"/>
      </w:pPr>
      <w:rPr>
        <w:rFonts w:ascii="Courier New" w:hAnsi="Courier New" w:cs="Courier New" w:hint="default"/>
      </w:rPr>
    </w:lvl>
    <w:lvl w:ilvl="2" w:tplc="434E7C48" w:tentative="1">
      <w:start w:val="1"/>
      <w:numFmt w:val="bullet"/>
      <w:lvlText w:val=""/>
      <w:lvlJc w:val="left"/>
      <w:pPr>
        <w:tabs>
          <w:tab w:val="num" w:pos="2160"/>
        </w:tabs>
        <w:ind w:left="2160" w:hanging="360"/>
      </w:pPr>
      <w:rPr>
        <w:rFonts w:ascii="Wingdings" w:hAnsi="Wingdings" w:hint="default"/>
      </w:rPr>
    </w:lvl>
    <w:lvl w:ilvl="3" w:tplc="72D84D1C" w:tentative="1">
      <w:start w:val="1"/>
      <w:numFmt w:val="bullet"/>
      <w:lvlText w:val=""/>
      <w:lvlJc w:val="left"/>
      <w:pPr>
        <w:tabs>
          <w:tab w:val="num" w:pos="2880"/>
        </w:tabs>
        <w:ind w:left="2880" w:hanging="360"/>
      </w:pPr>
      <w:rPr>
        <w:rFonts w:ascii="Symbol" w:hAnsi="Symbol" w:hint="default"/>
      </w:rPr>
    </w:lvl>
    <w:lvl w:ilvl="4" w:tplc="8B965E02" w:tentative="1">
      <w:start w:val="1"/>
      <w:numFmt w:val="bullet"/>
      <w:lvlText w:val="o"/>
      <w:lvlJc w:val="left"/>
      <w:pPr>
        <w:tabs>
          <w:tab w:val="num" w:pos="3600"/>
        </w:tabs>
        <w:ind w:left="3600" w:hanging="360"/>
      </w:pPr>
      <w:rPr>
        <w:rFonts w:ascii="Courier New" w:hAnsi="Courier New" w:cs="Courier New" w:hint="default"/>
      </w:rPr>
    </w:lvl>
    <w:lvl w:ilvl="5" w:tplc="FB86FF36" w:tentative="1">
      <w:start w:val="1"/>
      <w:numFmt w:val="bullet"/>
      <w:lvlText w:val=""/>
      <w:lvlJc w:val="left"/>
      <w:pPr>
        <w:tabs>
          <w:tab w:val="num" w:pos="4320"/>
        </w:tabs>
        <w:ind w:left="4320" w:hanging="360"/>
      </w:pPr>
      <w:rPr>
        <w:rFonts w:ascii="Wingdings" w:hAnsi="Wingdings" w:hint="default"/>
      </w:rPr>
    </w:lvl>
    <w:lvl w:ilvl="6" w:tplc="4CD63B6C" w:tentative="1">
      <w:start w:val="1"/>
      <w:numFmt w:val="bullet"/>
      <w:lvlText w:val=""/>
      <w:lvlJc w:val="left"/>
      <w:pPr>
        <w:tabs>
          <w:tab w:val="num" w:pos="5040"/>
        </w:tabs>
        <w:ind w:left="5040" w:hanging="360"/>
      </w:pPr>
      <w:rPr>
        <w:rFonts w:ascii="Symbol" w:hAnsi="Symbol" w:hint="default"/>
      </w:rPr>
    </w:lvl>
    <w:lvl w:ilvl="7" w:tplc="F57E627A" w:tentative="1">
      <w:start w:val="1"/>
      <w:numFmt w:val="bullet"/>
      <w:lvlText w:val="o"/>
      <w:lvlJc w:val="left"/>
      <w:pPr>
        <w:tabs>
          <w:tab w:val="num" w:pos="5760"/>
        </w:tabs>
        <w:ind w:left="5760" w:hanging="360"/>
      </w:pPr>
      <w:rPr>
        <w:rFonts w:ascii="Courier New" w:hAnsi="Courier New" w:cs="Courier New" w:hint="default"/>
      </w:rPr>
    </w:lvl>
    <w:lvl w:ilvl="8" w:tplc="61EAB2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7429A"/>
    <w:multiLevelType w:val="hybridMultilevel"/>
    <w:tmpl w:val="72CA3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57910002">
    <w:abstractNumId w:val="10"/>
  </w:num>
  <w:num w:numId="2" w16cid:durableId="689142257">
    <w:abstractNumId w:val="7"/>
  </w:num>
  <w:num w:numId="3" w16cid:durableId="51198553">
    <w:abstractNumId w:val="6"/>
  </w:num>
  <w:num w:numId="4" w16cid:durableId="2043893720">
    <w:abstractNumId w:val="5"/>
  </w:num>
  <w:num w:numId="5" w16cid:durableId="10112785">
    <w:abstractNumId w:val="4"/>
  </w:num>
  <w:num w:numId="6" w16cid:durableId="1591504521">
    <w:abstractNumId w:val="8"/>
  </w:num>
  <w:num w:numId="7" w16cid:durableId="517308350">
    <w:abstractNumId w:val="3"/>
  </w:num>
  <w:num w:numId="8" w16cid:durableId="2017612920">
    <w:abstractNumId w:val="2"/>
  </w:num>
  <w:num w:numId="9" w16cid:durableId="1289049735">
    <w:abstractNumId w:val="1"/>
  </w:num>
  <w:num w:numId="10" w16cid:durableId="1929464104">
    <w:abstractNumId w:val="0"/>
  </w:num>
  <w:num w:numId="11" w16cid:durableId="2080325361">
    <w:abstractNumId w:val="9"/>
  </w:num>
  <w:num w:numId="12" w16cid:durableId="448010113">
    <w:abstractNumId w:val="11"/>
  </w:num>
  <w:num w:numId="13" w16cid:durableId="2024473993">
    <w:abstractNumId w:val="13"/>
  </w:num>
  <w:num w:numId="14" w16cid:durableId="741875315">
    <w:abstractNumId w:val="12"/>
  </w:num>
  <w:num w:numId="15" w16cid:durableId="21159770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4496"/>
    <w:rsid w:val="00120256"/>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5AA3"/>
    <w:rsid w:val="00196B8B"/>
    <w:rsid w:val="001A2BEA"/>
    <w:rsid w:val="001A6D93"/>
    <w:rsid w:val="001B36C9"/>
    <w:rsid w:val="001B777A"/>
    <w:rsid w:val="001C32EC"/>
    <w:rsid w:val="001C38BD"/>
    <w:rsid w:val="001C4D5A"/>
    <w:rsid w:val="001D35CB"/>
    <w:rsid w:val="001E34C6"/>
    <w:rsid w:val="001E5581"/>
    <w:rsid w:val="001E6117"/>
    <w:rsid w:val="001F3C70"/>
    <w:rsid w:val="00200D88"/>
    <w:rsid w:val="00201F68"/>
    <w:rsid w:val="00210FA5"/>
    <w:rsid w:val="00212F2A"/>
    <w:rsid w:val="00214F2B"/>
    <w:rsid w:val="00217880"/>
    <w:rsid w:val="00222D66"/>
    <w:rsid w:val="00224A8A"/>
    <w:rsid w:val="00225022"/>
    <w:rsid w:val="002309A8"/>
    <w:rsid w:val="00232CA3"/>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0268"/>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333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1973"/>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2308"/>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43A"/>
    <w:rsid w:val="005B3814"/>
    <w:rsid w:val="005B463E"/>
    <w:rsid w:val="005B774B"/>
    <w:rsid w:val="005C34E1"/>
    <w:rsid w:val="005C3FE0"/>
    <w:rsid w:val="005C740C"/>
    <w:rsid w:val="005D625B"/>
    <w:rsid w:val="005E11A8"/>
    <w:rsid w:val="005F410F"/>
    <w:rsid w:val="005F62D3"/>
    <w:rsid w:val="005F6D11"/>
    <w:rsid w:val="00600CF0"/>
    <w:rsid w:val="006048F4"/>
    <w:rsid w:val="0060660A"/>
    <w:rsid w:val="00613B1D"/>
    <w:rsid w:val="00617A44"/>
    <w:rsid w:val="006202B6"/>
    <w:rsid w:val="006247BE"/>
    <w:rsid w:val="00625CD0"/>
    <w:rsid w:val="0062627D"/>
    <w:rsid w:val="00627432"/>
    <w:rsid w:val="0063318C"/>
    <w:rsid w:val="006448E4"/>
    <w:rsid w:val="00645414"/>
    <w:rsid w:val="00653606"/>
    <w:rsid w:val="006610E9"/>
    <w:rsid w:val="00661591"/>
    <w:rsid w:val="006660D5"/>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7CA7"/>
    <w:rsid w:val="007709EF"/>
    <w:rsid w:val="00783559"/>
    <w:rsid w:val="0079551B"/>
    <w:rsid w:val="00797AA5"/>
    <w:rsid w:val="007A175A"/>
    <w:rsid w:val="007A26BD"/>
    <w:rsid w:val="007A4105"/>
    <w:rsid w:val="007B4503"/>
    <w:rsid w:val="007C23B5"/>
    <w:rsid w:val="007C406E"/>
    <w:rsid w:val="007C5183"/>
    <w:rsid w:val="007C7573"/>
    <w:rsid w:val="007D43F1"/>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5733"/>
    <w:rsid w:val="008B1198"/>
    <w:rsid w:val="008B3471"/>
    <w:rsid w:val="008B3929"/>
    <w:rsid w:val="008B4125"/>
    <w:rsid w:val="008B4CB3"/>
    <w:rsid w:val="008B567B"/>
    <w:rsid w:val="008B7B24"/>
    <w:rsid w:val="008C29E3"/>
    <w:rsid w:val="008C356D"/>
    <w:rsid w:val="008E0B3F"/>
    <w:rsid w:val="008E49AD"/>
    <w:rsid w:val="008E698E"/>
    <w:rsid w:val="008F0976"/>
    <w:rsid w:val="008F2584"/>
    <w:rsid w:val="008F3246"/>
    <w:rsid w:val="008F3C1B"/>
    <w:rsid w:val="008F508C"/>
    <w:rsid w:val="008F6B01"/>
    <w:rsid w:val="0090271B"/>
    <w:rsid w:val="00910642"/>
    <w:rsid w:val="00910DDF"/>
    <w:rsid w:val="009143D7"/>
    <w:rsid w:val="00930B13"/>
    <w:rsid w:val="009311C8"/>
    <w:rsid w:val="00933376"/>
    <w:rsid w:val="00933A2F"/>
    <w:rsid w:val="009552E1"/>
    <w:rsid w:val="009716D8"/>
    <w:rsid w:val="009718F9"/>
    <w:rsid w:val="00972FB9"/>
    <w:rsid w:val="00975112"/>
    <w:rsid w:val="00981768"/>
    <w:rsid w:val="00983E8F"/>
    <w:rsid w:val="0098788A"/>
    <w:rsid w:val="00994FDA"/>
    <w:rsid w:val="009A2F1E"/>
    <w:rsid w:val="009A31BF"/>
    <w:rsid w:val="009A3B71"/>
    <w:rsid w:val="009A61BC"/>
    <w:rsid w:val="009B0138"/>
    <w:rsid w:val="009B0EC1"/>
    <w:rsid w:val="009B0FE9"/>
    <w:rsid w:val="009B173A"/>
    <w:rsid w:val="009C3F20"/>
    <w:rsid w:val="009C7CA1"/>
    <w:rsid w:val="009D043D"/>
    <w:rsid w:val="009D396D"/>
    <w:rsid w:val="009D7F23"/>
    <w:rsid w:val="009E2051"/>
    <w:rsid w:val="009F3259"/>
    <w:rsid w:val="00A056DE"/>
    <w:rsid w:val="00A128AD"/>
    <w:rsid w:val="00A21E76"/>
    <w:rsid w:val="00A23BC8"/>
    <w:rsid w:val="00A30E68"/>
    <w:rsid w:val="00A31933"/>
    <w:rsid w:val="00A329D2"/>
    <w:rsid w:val="00A34AA0"/>
    <w:rsid w:val="00A3715C"/>
    <w:rsid w:val="00A40203"/>
    <w:rsid w:val="00A41FE2"/>
    <w:rsid w:val="00A452B0"/>
    <w:rsid w:val="00A46FEF"/>
    <w:rsid w:val="00A47948"/>
    <w:rsid w:val="00A50CF6"/>
    <w:rsid w:val="00A56946"/>
    <w:rsid w:val="00A6170E"/>
    <w:rsid w:val="00A63B8C"/>
    <w:rsid w:val="00A715F8"/>
    <w:rsid w:val="00A75525"/>
    <w:rsid w:val="00A77F6F"/>
    <w:rsid w:val="00A80781"/>
    <w:rsid w:val="00A831FD"/>
    <w:rsid w:val="00A83352"/>
    <w:rsid w:val="00A850A2"/>
    <w:rsid w:val="00A91FA3"/>
    <w:rsid w:val="00A927D3"/>
    <w:rsid w:val="00A957CA"/>
    <w:rsid w:val="00AA5328"/>
    <w:rsid w:val="00AA7FC9"/>
    <w:rsid w:val="00AB237D"/>
    <w:rsid w:val="00AB40F3"/>
    <w:rsid w:val="00AB5933"/>
    <w:rsid w:val="00AE013D"/>
    <w:rsid w:val="00AE11B7"/>
    <w:rsid w:val="00AE7F68"/>
    <w:rsid w:val="00AF2321"/>
    <w:rsid w:val="00AF429F"/>
    <w:rsid w:val="00AF52F6"/>
    <w:rsid w:val="00AF52FD"/>
    <w:rsid w:val="00AF54A8"/>
    <w:rsid w:val="00AF7237"/>
    <w:rsid w:val="00B0043A"/>
    <w:rsid w:val="00B00D75"/>
    <w:rsid w:val="00B070CB"/>
    <w:rsid w:val="00B10098"/>
    <w:rsid w:val="00B11DD6"/>
    <w:rsid w:val="00B12456"/>
    <w:rsid w:val="00B145F0"/>
    <w:rsid w:val="00B259C8"/>
    <w:rsid w:val="00B269D9"/>
    <w:rsid w:val="00B26CCF"/>
    <w:rsid w:val="00B30FC2"/>
    <w:rsid w:val="00B331A2"/>
    <w:rsid w:val="00B425F0"/>
    <w:rsid w:val="00B42DFA"/>
    <w:rsid w:val="00B531DD"/>
    <w:rsid w:val="00B55014"/>
    <w:rsid w:val="00B62232"/>
    <w:rsid w:val="00B70BF3"/>
    <w:rsid w:val="00B71DC2"/>
    <w:rsid w:val="00B91CFC"/>
    <w:rsid w:val="00B9300F"/>
    <w:rsid w:val="00B93893"/>
    <w:rsid w:val="00B93B16"/>
    <w:rsid w:val="00B958A7"/>
    <w:rsid w:val="00BA11F9"/>
    <w:rsid w:val="00BA129E"/>
    <w:rsid w:val="00BA6EB2"/>
    <w:rsid w:val="00BA7E0A"/>
    <w:rsid w:val="00BC3B53"/>
    <w:rsid w:val="00BC3B96"/>
    <w:rsid w:val="00BC4AE3"/>
    <w:rsid w:val="00BC5B28"/>
    <w:rsid w:val="00BE15EB"/>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0305"/>
    <w:rsid w:val="00CD233D"/>
    <w:rsid w:val="00CD362D"/>
    <w:rsid w:val="00CE101D"/>
    <w:rsid w:val="00CE1814"/>
    <w:rsid w:val="00CE1C84"/>
    <w:rsid w:val="00CE5055"/>
    <w:rsid w:val="00CF053F"/>
    <w:rsid w:val="00CF1A17"/>
    <w:rsid w:val="00D0226C"/>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1580"/>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997"/>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11A"/>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4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B7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705</ap:Words>
  <ap:Characters>4145</ap:Characters>
  <ap:DocSecurity>0</ap:DocSecurity>
  <ap:Lines>34</ap:Lines>
  <ap:Paragraphs>9</ap:Paragraphs>
  <ap:ScaleCrop>false</ap:ScaleCrop>
  <ap:LinksUpToDate>false</ap:LinksUpToDate>
  <ap:CharactersWithSpaces>4841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2026-01-19T09:38:00.0000000Z</dcterms:created>
  <dcterms:modified xsi:type="dcterms:W3CDTF">2026-01-19T09:39:00.0000000Z</dcterms:modified>
  <dc:description>------------------------</dc:description>
  <dc:subject/>
  <keywords/>
  <version/>
  <category/>
</coreProperties>
</file>