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4E53" w:rsidP="00A94E53" w:rsidRDefault="00A94E53" w14:paraId="0B4AD8EF" w14:textId="2CE88F79">
      <w:pPr>
        <w:spacing w:line="284" w:lineRule="exact"/>
        <w:rPr>
          <w:rFonts w:ascii="Verdana" w:hAnsi="Verdana" w:eastAsia="Calibri"/>
          <w:b/>
          <w:sz w:val="18"/>
          <w:szCs w:val="22"/>
          <w:lang w:eastAsia="en-US"/>
        </w:rPr>
      </w:pPr>
      <w:r>
        <w:rPr>
          <w:rFonts w:ascii="Verdana" w:hAnsi="Verdana" w:eastAsia="Calibri"/>
          <w:b/>
          <w:sz w:val="18"/>
          <w:szCs w:val="22"/>
          <w:lang w:eastAsia="en-US"/>
        </w:rPr>
        <w:t>A</w:t>
      </w:r>
      <w:r w:rsidRPr="00A94E53">
        <w:rPr>
          <w:rFonts w:ascii="Verdana" w:hAnsi="Verdana" w:eastAsia="Calibri"/>
          <w:b/>
          <w:sz w:val="18"/>
          <w:szCs w:val="22"/>
          <w:lang w:eastAsia="en-US"/>
        </w:rPr>
        <w:t>anleiding</w:t>
      </w:r>
    </w:p>
    <w:p w:rsidRPr="00A94E53" w:rsidR="00A94E53" w:rsidP="00A94E53" w:rsidRDefault="00A94E53" w14:paraId="336F7E91" w14:textId="77777777">
      <w:pPr>
        <w:spacing w:line="284" w:lineRule="exact"/>
        <w:rPr>
          <w:rFonts w:ascii="Verdana" w:hAnsi="Verdana" w:eastAsia="Calibri"/>
          <w:color w:val="000000"/>
          <w:sz w:val="18"/>
          <w:szCs w:val="22"/>
          <w:lang w:eastAsia="en-US"/>
        </w:rPr>
      </w:pPr>
    </w:p>
    <w:p w:rsidRPr="008F45B5" w:rsidR="00092145" w:rsidP="005A7BE6" w:rsidRDefault="005A7BE6" w14:paraId="2DC6323D" w14:textId="52786474">
      <w:pPr>
        <w:numPr>
          <w:ilvl w:val="0"/>
          <w:numId w:val="1"/>
        </w:numPr>
        <w:pBdr>
          <w:top w:val="nil"/>
          <w:left w:val="nil"/>
          <w:bottom w:val="nil"/>
          <w:right w:val="nil"/>
          <w:between w:val="nil"/>
          <w:bar w:val="nil"/>
        </w:pBdr>
        <w:tabs>
          <w:tab w:val="num" w:pos="720"/>
        </w:tabs>
        <w:ind w:left="720" w:hanging="360"/>
        <w:rPr>
          <w:rFonts w:ascii="Verdana" w:hAnsi="Verdana" w:eastAsia="Verdana" w:cs="Verdana"/>
          <w:sz w:val="18"/>
          <w:szCs w:val="22"/>
          <w:lang w:eastAsia="en-US"/>
        </w:rPr>
      </w:pPr>
      <w:r>
        <w:rPr>
          <w:rFonts w:ascii="Verdana" w:hAnsi="Verdana" w:eastAsia="Arial Unicode MS" w:cs="Arial Unicode MS"/>
          <w:color w:val="000000"/>
          <w:sz w:val="18"/>
          <w:szCs w:val="22"/>
          <w:u w:color="000000"/>
          <w:lang w:eastAsia="en-US"/>
        </w:rPr>
        <w:t xml:space="preserve">Uw commissie heeft in de procedurevergadering van </w:t>
      </w:r>
      <w:r w:rsidR="00284A38">
        <w:rPr>
          <w:rFonts w:ascii="Verdana" w:hAnsi="Verdana" w:eastAsia="Arial Unicode MS" w:cs="Arial Unicode MS"/>
          <w:color w:val="000000"/>
          <w:sz w:val="18"/>
          <w:szCs w:val="22"/>
          <w:u w:color="000000"/>
          <w:lang w:eastAsia="en-US"/>
        </w:rPr>
        <w:t>9 december 2025</w:t>
      </w:r>
      <w:r>
        <w:rPr>
          <w:rFonts w:ascii="Verdana" w:hAnsi="Verdana" w:eastAsia="Arial Unicode MS" w:cs="Arial Unicode MS"/>
          <w:color w:val="000000"/>
          <w:sz w:val="18"/>
          <w:szCs w:val="22"/>
          <w:u w:color="000000"/>
          <w:lang w:eastAsia="en-US"/>
        </w:rPr>
        <w:t xml:space="preserve"> besloten een voorbereidingsgroep in te stellen, bestaande uit de leden </w:t>
      </w:r>
      <w:r w:rsidR="00284A38">
        <w:rPr>
          <w:rFonts w:ascii="Verdana" w:hAnsi="Verdana" w:eastAsia="Arial Unicode MS" w:cs="Arial Unicode MS"/>
          <w:color w:val="000000"/>
          <w:sz w:val="18"/>
          <w:szCs w:val="22"/>
          <w:u w:color="000000"/>
          <w:lang w:eastAsia="en-US"/>
        </w:rPr>
        <w:t xml:space="preserve">Schoonis </w:t>
      </w:r>
      <w:r>
        <w:rPr>
          <w:rFonts w:ascii="Verdana" w:hAnsi="Verdana" w:eastAsia="Arial Unicode MS" w:cs="Arial Unicode MS"/>
          <w:color w:val="000000"/>
          <w:sz w:val="18"/>
          <w:szCs w:val="22"/>
          <w:u w:color="000000"/>
          <w:lang w:eastAsia="en-US"/>
        </w:rPr>
        <w:t>en</w:t>
      </w:r>
      <w:r w:rsidR="00284A38">
        <w:rPr>
          <w:rFonts w:ascii="Verdana" w:hAnsi="Verdana" w:eastAsia="Arial Unicode MS" w:cs="Arial Unicode MS"/>
          <w:color w:val="000000"/>
          <w:sz w:val="18"/>
          <w:szCs w:val="22"/>
          <w:u w:color="000000"/>
          <w:lang w:eastAsia="en-US"/>
        </w:rPr>
        <w:t xml:space="preserve"> van Lanschot</w:t>
      </w:r>
      <w:r>
        <w:rPr>
          <w:rFonts w:ascii="Verdana" w:hAnsi="Verdana" w:eastAsia="Arial Unicode MS" w:cs="Arial Unicode MS"/>
          <w:color w:val="000000"/>
          <w:sz w:val="18"/>
          <w:szCs w:val="22"/>
          <w:u w:color="000000"/>
          <w:lang w:eastAsia="en-US"/>
        </w:rPr>
        <w:t xml:space="preserve">, voor het bepalen van de </w:t>
      </w:r>
      <w:hyperlink w:history="1" r:id="rId7">
        <w:r w:rsidRPr="008F45B5">
          <w:rPr>
            <w:rStyle w:val="Hyperlink"/>
            <w:rFonts w:ascii="Verdana" w:hAnsi="Verdana" w:eastAsia="Arial Unicode MS" w:cs="Arial Unicode MS"/>
            <w:sz w:val="18"/>
            <w:szCs w:val="22"/>
            <w:lang w:eastAsia="en-US"/>
          </w:rPr>
          <w:t>Europese prioriteite</w:t>
        </w:r>
        <w:r w:rsidRPr="008F45B5">
          <w:rPr>
            <w:rStyle w:val="Hyperlink"/>
            <w:rFonts w:ascii="Verdana" w:hAnsi="Verdana" w:eastAsia="Arial Unicode MS" w:cs="Arial Unicode MS"/>
            <w:sz w:val="18"/>
            <w:szCs w:val="22"/>
            <w:lang w:eastAsia="en-US"/>
          </w:rPr>
          <w:t>n</w:t>
        </w:r>
      </w:hyperlink>
      <w:r>
        <w:rPr>
          <w:rFonts w:ascii="Verdana" w:hAnsi="Verdana" w:eastAsia="Arial Unicode MS" w:cs="Arial Unicode MS"/>
          <w:color w:val="000000"/>
          <w:sz w:val="18"/>
          <w:szCs w:val="22"/>
          <w:u w:color="000000"/>
          <w:lang w:eastAsia="en-US"/>
        </w:rPr>
        <w:t xml:space="preserve"> op het terrein van de commissie Economische Zaken </w:t>
      </w:r>
      <w:r w:rsidRPr="00527AA7">
        <w:rPr>
          <w:rFonts w:ascii="Verdana" w:hAnsi="Verdana" w:eastAsia="Arial Unicode MS" w:cs="Arial Unicode MS"/>
          <w:color w:val="000000"/>
          <w:sz w:val="18"/>
          <w:szCs w:val="22"/>
          <w:u w:color="000000"/>
          <w:lang w:eastAsia="en-US"/>
        </w:rPr>
        <w:t xml:space="preserve">op basis van het werkprogramma van de Europese Commissie. </w:t>
      </w:r>
    </w:p>
    <w:p w:rsidR="00092145" w:rsidP="00F616FE" w:rsidRDefault="00F616FE" w14:paraId="18A90B2C" w14:textId="5E4A3F98">
      <w:pPr>
        <w:numPr>
          <w:ilvl w:val="0"/>
          <w:numId w:val="1"/>
        </w:numPr>
        <w:pBdr>
          <w:top w:val="nil"/>
          <w:left w:val="nil"/>
          <w:bottom w:val="nil"/>
          <w:right w:val="nil"/>
          <w:between w:val="nil"/>
          <w:bar w:val="nil"/>
        </w:pBdr>
        <w:tabs>
          <w:tab w:val="num" w:pos="720"/>
        </w:tabs>
        <w:ind w:left="720" w:hanging="360"/>
        <w:rPr>
          <w:rFonts w:ascii="Verdana" w:hAnsi="Verdana" w:eastAsia="Verdana" w:cs="Verdana"/>
          <w:sz w:val="18"/>
          <w:szCs w:val="22"/>
          <w:lang w:eastAsia="en-US"/>
        </w:rPr>
      </w:pPr>
      <w:r w:rsidRPr="00527AA7">
        <w:rPr>
          <w:rFonts w:ascii="Verdana" w:hAnsi="Verdana" w:eastAsia="Calibri"/>
          <w:sz w:val="18"/>
          <w:szCs w:val="22"/>
          <w:lang w:eastAsia="en-US"/>
        </w:rPr>
        <w:t>Deze notitie bevat een</w:t>
      </w:r>
      <w:r>
        <w:rPr>
          <w:rFonts w:ascii="Verdana" w:hAnsi="Verdana" w:eastAsia="Calibri"/>
          <w:sz w:val="18"/>
          <w:szCs w:val="22"/>
          <w:lang w:eastAsia="en-US"/>
        </w:rPr>
        <w:t xml:space="preserve"> voorstel van de leden van de voorbereidingsgroep voor de EU-prioriteiten op het terrein van Economische Zaken</w:t>
      </w:r>
    </w:p>
    <w:p w:rsidR="00F616FE" w:rsidP="00F616FE" w:rsidRDefault="0002664C" w14:paraId="1BCEB873" w14:textId="08CA6FEF">
      <w:pPr>
        <w:pBdr>
          <w:top w:val="nil"/>
          <w:left w:val="nil"/>
          <w:bottom w:val="nil"/>
          <w:right w:val="nil"/>
          <w:between w:val="nil"/>
          <w:bar w:val="nil"/>
        </w:pBdr>
        <w:rPr>
          <w:rFonts w:ascii="Verdana" w:hAnsi="Verdana" w:eastAsia="Verdana" w:cs="Verdana"/>
          <w:sz w:val="18"/>
          <w:szCs w:val="22"/>
          <w:lang w:eastAsia="en-US"/>
        </w:rPr>
      </w:pPr>
      <w:r w:rsidRPr="0002664C">
        <w:rPr>
          <w:rFonts w:ascii="Verdana" w:hAnsi="Verdana" w:eastAsia="Verdana" w:cs="Verdana"/>
          <w:noProof/>
          <w:sz w:val="18"/>
          <w:szCs w:val="22"/>
          <w:lang w:eastAsia="en-US"/>
        </w:rPr>
        <mc:AlternateContent>
          <mc:Choice Requires="wps">
            <w:drawing>
              <wp:anchor distT="45720" distB="45720" distL="114300" distR="114300" simplePos="0" relativeHeight="251659264" behindDoc="0" locked="0" layoutInCell="1" allowOverlap="1" wp14:editId="4EC5899D" wp14:anchorId="50682F0C">
                <wp:simplePos x="0" y="0"/>
                <wp:positionH relativeFrom="column">
                  <wp:posOffset>160655</wp:posOffset>
                </wp:positionH>
                <wp:positionV relativeFrom="paragraph">
                  <wp:posOffset>319405</wp:posOffset>
                </wp:positionV>
                <wp:extent cx="5346700" cy="1828800"/>
                <wp:effectExtent l="0" t="0" r="25400"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0" cy="1828800"/>
                        </a:xfrm>
                        <a:prstGeom prst="rect">
                          <a:avLst/>
                        </a:prstGeom>
                        <a:solidFill>
                          <a:srgbClr val="FFFFFF"/>
                        </a:solidFill>
                        <a:ln w="9525">
                          <a:solidFill>
                            <a:srgbClr val="000000"/>
                          </a:solidFill>
                          <a:miter lim="800000"/>
                          <a:headEnd/>
                          <a:tailEnd/>
                        </a:ln>
                      </wps:spPr>
                      <wps:txbx>
                        <w:txbxContent>
                          <w:p w:rsidR="0002664C" w:rsidP="0002664C" w:rsidRDefault="0002664C" w14:paraId="09811683" w14:textId="77777777">
                            <w:pPr>
                              <w:tabs>
                                <w:tab w:val="num" w:pos="720"/>
                              </w:tabs>
                              <w:rPr>
                                <w:rFonts w:ascii="Verdana" w:hAnsi="Verdana"/>
                                <w:sz w:val="18"/>
                                <w:szCs w:val="18"/>
                              </w:rPr>
                            </w:pPr>
                            <w:r>
                              <w:rPr>
                                <w:rFonts w:ascii="Verdana" w:hAnsi="Verdana"/>
                                <w:b/>
                                <w:sz w:val="18"/>
                                <w:szCs w:val="18"/>
                              </w:rPr>
                              <w:t>Beslispunten</w:t>
                            </w:r>
                          </w:p>
                          <w:p w:rsidR="001C0B28" w:rsidP="0002664C" w:rsidRDefault="001C0B28" w14:paraId="5BF329C0" w14:textId="77777777">
                            <w:pPr>
                              <w:tabs>
                                <w:tab w:val="num" w:pos="720"/>
                              </w:tabs>
                              <w:rPr>
                                <w:rFonts w:ascii="Verdana" w:hAnsi="Verdana"/>
                                <w:b/>
                                <w:sz w:val="18"/>
                                <w:szCs w:val="18"/>
                              </w:rPr>
                            </w:pPr>
                          </w:p>
                          <w:p w:rsidRPr="001C0B28" w:rsidR="001C0B28" w:rsidP="001C0B28" w:rsidRDefault="0002664C" w14:paraId="0421134F" w14:textId="7F850452">
                            <w:pPr>
                              <w:pStyle w:val="Lijstalinea"/>
                              <w:numPr>
                                <w:ilvl w:val="0"/>
                                <w:numId w:val="2"/>
                              </w:numPr>
                              <w:rPr>
                                <w:rFonts w:ascii="Verdana" w:hAnsi="Verdana"/>
                                <w:sz w:val="18"/>
                                <w:szCs w:val="18"/>
                              </w:rPr>
                            </w:pPr>
                            <w:r>
                              <w:rPr>
                                <w:rFonts w:ascii="Verdana" w:hAnsi="Verdana"/>
                                <w:sz w:val="18"/>
                                <w:szCs w:val="18"/>
                              </w:rPr>
                              <w:t xml:space="preserve">Kunt u instemmen met het voorstel om de volgende </w:t>
                            </w:r>
                            <w:r w:rsidR="00156508">
                              <w:rPr>
                                <w:rFonts w:ascii="Verdana" w:hAnsi="Verdana"/>
                                <w:sz w:val="18"/>
                                <w:szCs w:val="18"/>
                              </w:rPr>
                              <w:t>vijf</w:t>
                            </w:r>
                            <w:r>
                              <w:rPr>
                                <w:rFonts w:ascii="Verdana" w:hAnsi="Verdana"/>
                                <w:sz w:val="18"/>
                                <w:szCs w:val="18"/>
                              </w:rPr>
                              <w:t xml:space="preserve"> voorstellen prioritair te verklaren? </w:t>
                            </w:r>
                          </w:p>
                          <w:p w:rsidRPr="003535A2" w:rsidR="0002664C" w:rsidP="00156508" w:rsidRDefault="0002664C" w14:paraId="7D9E0FC5" w14:textId="18F6A158">
                            <w:pPr>
                              <w:pStyle w:val="Lijstalinea"/>
                              <w:pBdr>
                                <w:top w:val="nil"/>
                                <w:left w:val="nil"/>
                                <w:bottom w:val="nil"/>
                                <w:right w:val="nil"/>
                                <w:between w:val="nil"/>
                                <w:bar w:val="nil"/>
                              </w:pBdr>
                              <w:rPr>
                                <w:rFonts w:ascii="Verdana" w:hAnsi="Verdana" w:eastAsia="Arial Unicode MS" w:cs="Arial Unicode MS"/>
                                <w:b/>
                                <w:bCs/>
                                <w:color w:val="000000"/>
                                <w:sz w:val="18"/>
                                <w:szCs w:val="22"/>
                                <w:u w:color="000000"/>
                                <w:lang w:eastAsia="en-US"/>
                              </w:rPr>
                            </w:pPr>
                          </w:p>
                          <w:p w:rsidRPr="007F006C" w:rsidR="007F006C" w:rsidP="007F006C" w:rsidRDefault="007F006C" w14:paraId="086C37C8" w14:textId="77777777">
                            <w:pPr>
                              <w:pStyle w:val="Lijstalinea"/>
                              <w:numPr>
                                <w:ilvl w:val="0"/>
                                <w:numId w:val="3"/>
                              </w:numPr>
                              <w:contextualSpacing w:val="0"/>
                              <w:rPr>
                                <w:rFonts w:ascii="Verdana" w:hAnsi="Verdana"/>
                                <w:sz w:val="18"/>
                                <w:szCs w:val="18"/>
                              </w:rPr>
                            </w:pPr>
                            <w:r w:rsidRPr="007F006C">
                              <w:rPr>
                                <w:rFonts w:ascii="Verdana" w:hAnsi="Verdana"/>
                                <w:sz w:val="18"/>
                                <w:szCs w:val="18"/>
                              </w:rPr>
                              <w:t>Europese Innovatiewet (wetgevend, Q1)</w:t>
                            </w:r>
                          </w:p>
                          <w:p w:rsidRPr="007F006C" w:rsidR="007F006C" w:rsidP="007F006C" w:rsidRDefault="007F006C" w14:paraId="3AA4B871" w14:textId="77777777">
                            <w:pPr>
                              <w:pStyle w:val="Lijstalinea"/>
                              <w:numPr>
                                <w:ilvl w:val="0"/>
                                <w:numId w:val="3"/>
                              </w:numPr>
                              <w:contextualSpacing w:val="0"/>
                              <w:rPr>
                                <w:rFonts w:ascii="Verdana" w:hAnsi="Verdana"/>
                                <w:sz w:val="18"/>
                                <w:szCs w:val="18"/>
                              </w:rPr>
                            </w:pPr>
                            <w:r w:rsidRPr="007F006C">
                              <w:rPr>
                                <w:rFonts w:ascii="Verdana" w:hAnsi="Verdana"/>
                                <w:sz w:val="18"/>
                                <w:szCs w:val="18"/>
                              </w:rPr>
                              <w:t>Chipverordening (wetgevend, Q1)</w:t>
                            </w:r>
                          </w:p>
                          <w:p w:rsidRPr="007F006C" w:rsidR="007F006C" w:rsidP="007F006C" w:rsidRDefault="007F006C" w14:paraId="5C449726" w14:textId="77777777">
                            <w:pPr>
                              <w:pStyle w:val="Lijstalinea"/>
                              <w:numPr>
                                <w:ilvl w:val="0"/>
                                <w:numId w:val="3"/>
                              </w:numPr>
                              <w:contextualSpacing w:val="0"/>
                              <w:rPr>
                                <w:rFonts w:ascii="Verdana" w:hAnsi="Verdana"/>
                                <w:sz w:val="18"/>
                                <w:szCs w:val="18"/>
                              </w:rPr>
                            </w:pPr>
                            <w:r w:rsidRPr="007F006C">
                              <w:rPr>
                                <w:rFonts w:ascii="Verdana" w:hAnsi="Verdana"/>
                                <w:sz w:val="18"/>
                                <w:szCs w:val="18"/>
                              </w:rPr>
                              <w:t>Centrum voor kritieke grondstoffen (wetgevend Q2)</w:t>
                            </w:r>
                          </w:p>
                          <w:p w:rsidRPr="007F006C" w:rsidR="007F006C" w:rsidP="007F006C" w:rsidRDefault="007F006C" w14:paraId="4E676D50" w14:textId="77777777">
                            <w:pPr>
                              <w:pStyle w:val="Lijstalinea"/>
                              <w:numPr>
                                <w:ilvl w:val="0"/>
                                <w:numId w:val="3"/>
                              </w:numPr>
                              <w:contextualSpacing w:val="0"/>
                              <w:rPr>
                                <w:rFonts w:ascii="Verdana" w:hAnsi="Verdana"/>
                                <w:sz w:val="18"/>
                                <w:szCs w:val="18"/>
                              </w:rPr>
                            </w:pPr>
                            <w:r w:rsidRPr="007F006C">
                              <w:rPr>
                                <w:rFonts w:ascii="Verdana" w:hAnsi="Verdana"/>
                                <w:sz w:val="18"/>
                                <w:szCs w:val="18"/>
                              </w:rPr>
                              <w:t>Wetgevingshandeling over biotechnologie (wetgevend Q3)</w:t>
                            </w:r>
                          </w:p>
                          <w:p w:rsidRPr="007F006C" w:rsidR="007F006C" w:rsidP="007F006C" w:rsidRDefault="007F006C" w14:paraId="70D96E1A" w14:textId="6117461C">
                            <w:pPr>
                              <w:pStyle w:val="Lijstalinea"/>
                              <w:numPr>
                                <w:ilvl w:val="0"/>
                                <w:numId w:val="3"/>
                              </w:numPr>
                              <w:contextualSpacing w:val="0"/>
                              <w:rPr>
                                <w:rFonts w:ascii="Verdana" w:hAnsi="Verdana"/>
                                <w:sz w:val="18"/>
                                <w:szCs w:val="18"/>
                              </w:rPr>
                            </w:pPr>
                            <w:r w:rsidRPr="007F006C">
                              <w:rPr>
                                <w:rFonts w:ascii="Verdana" w:hAnsi="Verdana"/>
                                <w:sz w:val="18"/>
                                <w:szCs w:val="18"/>
                              </w:rPr>
                              <w:t>Wetgevingshandeling over geavanceerde materialen (</w:t>
                            </w:r>
                            <w:r w:rsidR="00694C6D">
                              <w:rPr>
                                <w:rFonts w:ascii="Verdana" w:hAnsi="Verdana"/>
                                <w:sz w:val="18"/>
                                <w:szCs w:val="18"/>
                              </w:rPr>
                              <w:t>wet</w:t>
                            </w:r>
                            <w:r w:rsidR="00A471DB">
                              <w:rPr>
                                <w:rFonts w:ascii="Verdana" w:hAnsi="Verdana"/>
                                <w:sz w:val="18"/>
                                <w:szCs w:val="18"/>
                              </w:rPr>
                              <w:t xml:space="preserve">gevend </w:t>
                            </w:r>
                            <w:r w:rsidRPr="007F006C">
                              <w:rPr>
                                <w:rFonts w:ascii="Verdana" w:hAnsi="Verdana"/>
                                <w:sz w:val="18"/>
                                <w:szCs w:val="18"/>
                              </w:rPr>
                              <w:t>Q4)</w:t>
                            </w:r>
                          </w:p>
                          <w:p w:rsidR="0002664C" w:rsidP="008610D3" w:rsidRDefault="0002664C" w14:paraId="36953C4B" w14:textId="0953D4A4">
                            <w:pPr>
                              <w:ind w:left="360"/>
                            </w:pPr>
                          </w:p>
                          <w:p w:rsidR="008610D3" w:rsidP="008610D3" w:rsidRDefault="008610D3" w14:paraId="67FAAECA" w14:textId="77777777">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0682F0C">
                <v:stroke joinstyle="miter"/>
                <v:path gradientshapeok="t" o:connecttype="rect"/>
              </v:shapetype>
              <v:shape id="Tekstvak 2" style="position:absolute;margin-left:12.65pt;margin-top:25.15pt;width:421pt;height:2in;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">
                <v:textbox>
                  <w:txbxContent>
                    <w:p w:rsidR="0002664C" w:rsidP="0002664C" w:rsidRDefault="0002664C" w14:paraId="09811683" w14:textId="77777777">
                      <w:pPr>
                        <w:tabs>
                          <w:tab w:val="num" w:pos="720"/>
                        </w:tabs>
                        <w:rPr>
                          <w:rFonts w:ascii="Verdana" w:hAnsi="Verdana"/>
                          <w:sz w:val="18"/>
                          <w:szCs w:val="18"/>
                        </w:rPr>
                      </w:pPr>
                      <w:r>
                        <w:rPr>
                          <w:rFonts w:ascii="Verdana" w:hAnsi="Verdana"/>
                          <w:b/>
                          <w:sz w:val="18"/>
                          <w:szCs w:val="18"/>
                        </w:rPr>
                        <w:t>Beslispunten</w:t>
                      </w:r>
                    </w:p>
                    <w:p w:rsidR="001C0B28" w:rsidP="0002664C" w:rsidRDefault="001C0B28" w14:paraId="5BF329C0" w14:textId="77777777">
                      <w:pPr>
                        <w:tabs>
                          <w:tab w:val="num" w:pos="720"/>
                        </w:tabs>
                        <w:rPr>
                          <w:rFonts w:ascii="Verdana" w:hAnsi="Verdana"/>
                          <w:b/>
                          <w:sz w:val="18"/>
                          <w:szCs w:val="18"/>
                        </w:rPr>
                      </w:pPr>
                    </w:p>
                    <w:p w:rsidRPr="001C0B28" w:rsidR="001C0B28" w:rsidP="001C0B28" w:rsidRDefault="0002664C" w14:paraId="0421134F" w14:textId="7F850452">
                      <w:pPr>
                        <w:pStyle w:val="Lijstalinea"/>
                        <w:numPr>
                          <w:ilvl w:val="0"/>
                          <w:numId w:val="2"/>
                        </w:numPr>
                        <w:rPr>
                          <w:rFonts w:ascii="Verdana" w:hAnsi="Verdana"/>
                          <w:sz w:val="18"/>
                          <w:szCs w:val="18"/>
                        </w:rPr>
                      </w:pPr>
                      <w:r>
                        <w:rPr>
                          <w:rFonts w:ascii="Verdana" w:hAnsi="Verdana"/>
                          <w:sz w:val="18"/>
                          <w:szCs w:val="18"/>
                        </w:rPr>
                        <w:t xml:space="preserve">Kunt u instemmen met het voorstel om de volgende </w:t>
                      </w:r>
                      <w:r w:rsidR="00156508">
                        <w:rPr>
                          <w:rFonts w:ascii="Verdana" w:hAnsi="Verdana"/>
                          <w:sz w:val="18"/>
                          <w:szCs w:val="18"/>
                        </w:rPr>
                        <w:t>vijf</w:t>
                      </w:r>
                      <w:r>
                        <w:rPr>
                          <w:rFonts w:ascii="Verdana" w:hAnsi="Verdana"/>
                          <w:sz w:val="18"/>
                          <w:szCs w:val="18"/>
                        </w:rPr>
                        <w:t xml:space="preserve"> voorstellen prioritair te verklaren? </w:t>
                      </w:r>
                    </w:p>
                    <w:p w:rsidRPr="003535A2" w:rsidR="0002664C" w:rsidP="00156508" w:rsidRDefault="0002664C" w14:paraId="7D9E0FC5" w14:textId="18F6A158">
                      <w:pPr>
                        <w:pStyle w:val="Lijstalinea"/>
                        <w:pBdr>
                          <w:top w:val="nil"/>
                          <w:left w:val="nil"/>
                          <w:bottom w:val="nil"/>
                          <w:right w:val="nil"/>
                          <w:between w:val="nil"/>
                          <w:bar w:val="nil"/>
                        </w:pBdr>
                        <w:rPr>
                          <w:rFonts w:ascii="Verdana" w:hAnsi="Verdana" w:eastAsia="Arial Unicode MS" w:cs="Arial Unicode MS"/>
                          <w:b/>
                          <w:bCs/>
                          <w:color w:val="000000"/>
                          <w:sz w:val="18"/>
                          <w:szCs w:val="22"/>
                          <w:u w:color="000000"/>
                          <w:lang w:eastAsia="en-US"/>
                        </w:rPr>
                      </w:pPr>
                    </w:p>
                    <w:p w:rsidRPr="007F006C" w:rsidR="007F006C" w:rsidP="007F006C" w:rsidRDefault="007F006C" w14:paraId="086C37C8" w14:textId="77777777">
                      <w:pPr>
                        <w:pStyle w:val="Lijstalinea"/>
                        <w:numPr>
                          <w:ilvl w:val="0"/>
                          <w:numId w:val="3"/>
                        </w:numPr>
                        <w:contextualSpacing w:val="0"/>
                        <w:rPr>
                          <w:rFonts w:ascii="Verdana" w:hAnsi="Verdana"/>
                          <w:sz w:val="18"/>
                          <w:szCs w:val="18"/>
                        </w:rPr>
                      </w:pPr>
                      <w:r w:rsidRPr="007F006C">
                        <w:rPr>
                          <w:rFonts w:ascii="Verdana" w:hAnsi="Verdana"/>
                          <w:sz w:val="18"/>
                          <w:szCs w:val="18"/>
                        </w:rPr>
                        <w:t>Europese Innovatiewet (wetgevend, Q1)</w:t>
                      </w:r>
                    </w:p>
                    <w:p w:rsidRPr="007F006C" w:rsidR="007F006C" w:rsidP="007F006C" w:rsidRDefault="007F006C" w14:paraId="3AA4B871" w14:textId="77777777">
                      <w:pPr>
                        <w:pStyle w:val="Lijstalinea"/>
                        <w:numPr>
                          <w:ilvl w:val="0"/>
                          <w:numId w:val="3"/>
                        </w:numPr>
                        <w:contextualSpacing w:val="0"/>
                        <w:rPr>
                          <w:rFonts w:ascii="Verdana" w:hAnsi="Verdana"/>
                          <w:sz w:val="18"/>
                          <w:szCs w:val="18"/>
                        </w:rPr>
                      </w:pPr>
                      <w:r w:rsidRPr="007F006C">
                        <w:rPr>
                          <w:rFonts w:ascii="Verdana" w:hAnsi="Verdana"/>
                          <w:sz w:val="18"/>
                          <w:szCs w:val="18"/>
                        </w:rPr>
                        <w:t>Chipverordening (wetgevend, Q1)</w:t>
                      </w:r>
                    </w:p>
                    <w:p w:rsidRPr="007F006C" w:rsidR="007F006C" w:rsidP="007F006C" w:rsidRDefault="007F006C" w14:paraId="5C449726" w14:textId="77777777">
                      <w:pPr>
                        <w:pStyle w:val="Lijstalinea"/>
                        <w:numPr>
                          <w:ilvl w:val="0"/>
                          <w:numId w:val="3"/>
                        </w:numPr>
                        <w:contextualSpacing w:val="0"/>
                        <w:rPr>
                          <w:rFonts w:ascii="Verdana" w:hAnsi="Verdana"/>
                          <w:sz w:val="18"/>
                          <w:szCs w:val="18"/>
                        </w:rPr>
                      </w:pPr>
                      <w:r w:rsidRPr="007F006C">
                        <w:rPr>
                          <w:rFonts w:ascii="Verdana" w:hAnsi="Verdana"/>
                          <w:sz w:val="18"/>
                          <w:szCs w:val="18"/>
                        </w:rPr>
                        <w:t>Centrum voor kritieke grondstoffen (wetgevend Q2)</w:t>
                      </w:r>
                    </w:p>
                    <w:p w:rsidRPr="007F006C" w:rsidR="007F006C" w:rsidP="007F006C" w:rsidRDefault="007F006C" w14:paraId="4E676D50" w14:textId="77777777">
                      <w:pPr>
                        <w:pStyle w:val="Lijstalinea"/>
                        <w:numPr>
                          <w:ilvl w:val="0"/>
                          <w:numId w:val="3"/>
                        </w:numPr>
                        <w:contextualSpacing w:val="0"/>
                        <w:rPr>
                          <w:rFonts w:ascii="Verdana" w:hAnsi="Verdana"/>
                          <w:sz w:val="18"/>
                          <w:szCs w:val="18"/>
                        </w:rPr>
                      </w:pPr>
                      <w:r w:rsidRPr="007F006C">
                        <w:rPr>
                          <w:rFonts w:ascii="Verdana" w:hAnsi="Verdana"/>
                          <w:sz w:val="18"/>
                          <w:szCs w:val="18"/>
                        </w:rPr>
                        <w:t>Wetgevingshandeling over biotechnologie (wetgevend Q3)</w:t>
                      </w:r>
                    </w:p>
                    <w:p w:rsidRPr="007F006C" w:rsidR="007F006C" w:rsidP="007F006C" w:rsidRDefault="007F006C" w14:paraId="70D96E1A" w14:textId="6117461C">
                      <w:pPr>
                        <w:pStyle w:val="Lijstalinea"/>
                        <w:numPr>
                          <w:ilvl w:val="0"/>
                          <w:numId w:val="3"/>
                        </w:numPr>
                        <w:contextualSpacing w:val="0"/>
                        <w:rPr>
                          <w:rFonts w:ascii="Verdana" w:hAnsi="Verdana"/>
                          <w:sz w:val="18"/>
                          <w:szCs w:val="18"/>
                        </w:rPr>
                      </w:pPr>
                      <w:r w:rsidRPr="007F006C">
                        <w:rPr>
                          <w:rFonts w:ascii="Verdana" w:hAnsi="Verdana"/>
                          <w:sz w:val="18"/>
                          <w:szCs w:val="18"/>
                        </w:rPr>
                        <w:t>Wetgevingshandeling over geavanceerde materialen (</w:t>
                      </w:r>
                      <w:r w:rsidR="00694C6D">
                        <w:rPr>
                          <w:rFonts w:ascii="Verdana" w:hAnsi="Verdana"/>
                          <w:sz w:val="18"/>
                          <w:szCs w:val="18"/>
                        </w:rPr>
                        <w:t>wet</w:t>
                      </w:r>
                      <w:r w:rsidR="00A471DB">
                        <w:rPr>
                          <w:rFonts w:ascii="Verdana" w:hAnsi="Verdana"/>
                          <w:sz w:val="18"/>
                          <w:szCs w:val="18"/>
                        </w:rPr>
                        <w:t xml:space="preserve">gevend </w:t>
                      </w:r>
                      <w:r w:rsidRPr="007F006C">
                        <w:rPr>
                          <w:rFonts w:ascii="Verdana" w:hAnsi="Verdana"/>
                          <w:sz w:val="18"/>
                          <w:szCs w:val="18"/>
                        </w:rPr>
                        <w:t>Q4)</w:t>
                      </w:r>
                    </w:p>
                    <w:p w:rsidR="0002664C" w:rsidP="008610D3" w:rsidRDefault="0002664C" w14:paraId="36953C4B" w14:textId="0953D4A4">
                      <w:pPr>
                        <w:ind w:left="360"/>
                      </w:pPr>
                    </w:p>
                    <w:p w:rsidR="008610D3" w:rsidP="008610D3" w:rsidRDefault="008610D3" w14:paraId="67FAAECA" w14:textId="77777777">
                      <w:pPr>
                        <w:ind w:left="360"/>
                      </w:pPr>
                    </w:p>
                  </w:txbxContent>
                </v:textbox>
                <w10:wrap type="square"/>
              </v:shape>
            </w:pict>
          </mc:Fallback>
        </mc:AlternateContent>
      </w:r>
    </w:p>
    <w:p w:rsidRPr="00F616FE" w:rsidR="00F616FE" w:rsidP="00F616FE" w:rsidRDefault="00F616FE" w14:paraId="243D3BC4" w14:textId="6E3BECBA">
      <w:pPr>
        <w:pBdr>
          <w:top w:val="nil"/>
          <w:left w:val="nil"/>
          <w:bottom w:val="nil"/>
          <w:right w:val="nil"/>
          <w:between w:val="nil"/>
          <w:bar w:val="nil"/>
        </w:pBdr>
        <w:rPr>
          <w:rFonts w:ascii="Verdana" w:hAnsi="Verdana" w:eastAsia="Verdana" w:cs="Verdana"/>
          <w:sz w:val="18"/>
          <w:szCs w:val="22"/>
          <w:lang w:eastAsia="en-US"/>
        </w:rPr>
      </w:pPr>
    </w:p>
    <w:p w:rsidRPr="003535A2" w:rsidR="00073867" w:rsidP="00073867" w:rsidRDefault="00073867" w14:paraId="49660C91" w14:textId="77777777">
      <w:pPr>
        <w:pBdr>
          <w:top w:val="nil"/>
          <w:left w:val="nil"/>
          <w:bottom w:val="nil"/>
          <w:right w:val="nil"/>
          <w:between w:val="nil"/>
          <w:bar w:val="nil"/>
        </w:pBdr>
        <w:rPr>
          <w:rFonts w:ascii="Verdana" w:hAnsi="Verdana" w:eastAsia="Arial Unicode MS" w:cs="Arial Unicode MS"/>
          <w:b/>
          <w:bCs/>
          <w:color w:val="000000"/>
          <w:sz w:val="18"/>
          <w:szCs w:val="22"/>
          <w:u w:color="000000"/>
          <w:lang w:eastAsia="en-US"/>
        </w:rPr>
      </w:pPr>
      <w:r>
        <w:rPr>
          <w:rFonts w:ascii="Verdana" w:hAnsi="Verdana" w:eastAsia="Arial Unicode MS" w:cs="Arial Unicode MS"/>
          <w:b/>
          <w:bCs/>
          <w:color w:val="000000"/>
          <w:sz w:val="18"/>
          <w:szCs w:val="22"/>
          <w:u w:color="000000"/>
          <w:lang w:eastAsia="en-US"/>
        </w:rPr>
        <w:t>T</w:t>
      </w:r>
      <w:r w:rsidRPr="003535A2">
        <w:rPr>
          <w:rFonts w:ascii="Verdana" w:hAnsi="Verdana" w:eastAsia="Arial Unicode MS" w:cs="Arial Unicode MS"/>
          <w:b/>
          <w:bCs/>
          <w:color w:val="000000"/>
          <w:sz w:val="18"/>
          <w:szCs w:val="22"/>
          <w:u w:color="000000"/>
          <w:lang w:eastAsia="en-US"/>
        </w:rPr>
        <w:t xml:space="preserve">oelichting op </w:t>
      </w:r>
      <w:r>
        <w:rPr>
          <w:rFonts w:ascii="Verdana" w:hAnsi="Verdana" w:eastAsia="Arial Unicode MS" w:cs="Arial Unicode MS"/>
          <w:b/>
          <w:bCs/>
          <w:color w:val="000000"/>
          <w:sz w:val="18"/>
          <w:szCs w:val="22"/>
          <w:u w:color="000000"/>
          <w:lang w:eastAsia="en-US"/>
        </w:rPr>
        <w:t xml:space="preserve">deze </w:t>
      </w:r>
      <w:r w:rsidRPr="003535A2">
        <w:rPr>
          <w:rFonts w:ascii="Verdana" w:hAnsi="Verdana" w:eastAsia="Arial Unicode MS" w:cs="Arial Unicode MS"/>
          <w:b/>
          <w:bCs/>
          <w:color w:val="000000"/>
          <w:sz w:val="18"/>
          <w:szCs w:val="22"/>
          <w:u w:color="000000"/>
          <w:lang w:eastAsia="en-US"/>
        </w:rPr>
        <w:t xml:space="preserve">voorstellen uit werkprogramma </w:t>
      </w:r>
    </w:p>
    <w:p w:rsidR="00092145" w:rsidRDefault="00092145" w14:paraId="3E9E94D1" w14:textId="18B8E8DF">
      <w:pPr>
        <w:rPr>
          <w:rFonts w:ascii="Verdana" w:hAnsi="Verdana"/>
          <w:sz w:val="18"/>
          <w:szCs w:val="18"/>
        </w:rPr>
      </w:pPr>
    </w:p>
    <w:p w:rsidR="00807C62" w:rsidP="00807C62" w:rsidRDefault="00807C62" w14:paraId="15A3E76D" w14:textId="77777777">
      <w:pPr>
        <w:numPr>
          <w:ilvl w:val="0"/>
          <w:numId w:val="5"/>
        </w:numPr>
        <w:rPr>
          <w:rFonts w:ascii="Verdana" w:hAnsi="Verdana"/>
          <w:b/>
          <w:bCs/>
          <w:sz w:val="18"/>
          <w:szCs w:val="18"/>
        </w:rPr>
      </w:pPr>
      <w:r w:rsidRPr="00807C62">
        <w:rPr>
          <w:rFonts w:ascii="Verdana" w:hAnsi="Verdana"/>
          <w:b/>
          <w:bCs/>
          <w:sz w:val="18"/>
          <w:szCs w:val="18"/>
        </w:rPr>
        <w:t>Europese Innovatiewet (Q1):</w:t>
      </w:r>
    </w:p>
    <w:p w:rsidRPr="00807C62" w:rsidR="00807C62" w:rsidP="00807C62" w:rsidRDefault="00807C62" w14:paraId="0788E2DC" w14:textId="77777777">
      <w:pPr>
        <w:ind w:left="720"/>
        <w:rPr>
          <w:rFonts w:ascii="Verdana" w:hAnsi="Verdana"/>
          <w:b/>
          <w:bCs/>
          <w:sz w:val="18"/>
          <w:szCs w:val="18"/>
        </w:rPr>
      </w:pPr>
    </w:p>
    <w:p w:rsidRPr="00807C62" w:rsidR="00807C62" w:rsidP="00807C62" w:rsidRDefault="00807C62" w14:paraId="4BF20ADA" w14:textId="77777777">
      <w:pPr>
        <w:rPr>
          <w:rFonts w:ascii="Verdana" w:hAnsi="Verdana"/>
          <w:sz w:val="18"/>
          <w:szCs w:val="18"/>
        </w:rPr>
      </w:pPr>
      <w:r w:rsidRPr="00807C62">
        <w:rPr>
          <w:rFonts w:ascii="Verdana" w:hAnsi="Verdana"/>
          <w:sz w:val="18"/>
          <w:szCs w:val="18"/>
        </w:rPr>
        <w:t xml:space="preserve">Kort: betere financiering, meer testmogelijkheden en mogelijke toegang tot infrastructuur en onderzoeksresultaten. Het initiatief krijgt de vorm van een voorstel van verordening. </w:t>
      </w:r>
    </w:p>
    <w:p w:rsidRPr="00807C62" w:rsidR="00807C62" w:rsidP="00807C62" w:rsidRDefault="00807C62" w14:paraId="1F972743" w14:textId="77777777">
      <w:pPr>
        <w:rPr>
          <w:rFonts w:ascii="Verdana" w:hAnsi="Verdana"/>
          <w:b/>
          <w:bCs/>
          <w:sz w:val="18"/>
          <w:szCs w:val="18"/>
        </w:rPr>
      </w:pPr>
      <w:r w:rsidRPr="00807C62">
        <w:rPr>
          <w:rFonts w:ascii="Verdana" w:hAnsi="Verdana"/>
          <w:sz w:val="18"/>
          <w:szCs w:val="18"/>
        </w:rPr>
        <w:t>De Europese innovatiewet heeft tot doel de commercialisering van kennis en innovatieve ideeën te versterken, onder meer via gecontroleerde omgevingen waar innovatieve bedrijven nieuwe technologieën of diensten kunnen testen voordat ze volledig op de markt worden gebracht (</w:t>
      </w:r>
      <w:proofErr w:type="spellStart"/>
      <w:r w:rsidRPr="00807C62">
        <w:rPr>
          <w:rFonts w:ascii="Verdana" w:hAnsi="Verdana"/>
          <w:sz w:val="18"/>
          <w:szCs w:val="18"/>
        </w:rPr>
        <w:t>regulatory</w:t>
      </w:r>
      <w:proofErr w:type="spellEnd"/>
      <w:r w:rsidRPr="00807C62">
        <w:rPr>
          <w:rFonts w:ascii="Verdana" w:hAnsi="Verdana"/>
          <w:sz w:val="18"/>
          <w:szCs w:val="18"/>
        </w:rPr>
        <w:t xml:space="preserve"> </w:t>
      </w:r>
      <w:proofErr w:type="spellStart"/>
      <w:r w:rsidRPr="00807C62">
        <w:rPr>
          <w:rFonts w:ascii="Verdana" w:hAnsi="Verdana"/>
          <w:sz w:val="18"/>
          <w:szCs w:val="18"/>
        </w:rPr>
        <w:t>sandboxes</w:t>
      </w:r>
      <w:proofErr w:type="spellEnd"/>
      <w:r w:rsidRPr="00807C62">
        <w:rPr>
          <w:rFonts w:ascii="Verdana" w:hAnsi="Verdana"/>
          <w:sz w:val="18"/>
          <w:szCs w:val="18"/>
        </w:rPr>
        <w:t xml:space="preserve">). De Europese innovatiewet geeft hiermee verdere invulling aan de </w:t>
      </w:r>
      <w:hyperlink w:history="1" r:id="rId8">
        <w:r w:rsidRPr="00807C62">
          <w:rPr>
            <w:rStyle w:val="Hyperlink"/>
            <w:rFonts w:ascii="Verdana" w:hAnsi="Verdana"/>
            <w:sz w:val="18"/>
            <w:szCs w:val="18"/>
          </w:rPr>
          <w:t xml:space="preserve">Startup- en </w:t>
        </w:r>
        <w:proofErr w:type="spellStart"/>
        <w:r w:rsidRPr="00807C62">
          <w:rPr>
            <w:rStyle w:val="Hyperlink"/>
            <w:rFonts w:ascii="Verdana" w:hAnsi="Verdana"/>
            <w:sz w:val="18"/>
            <w:szCs w:val="18"/>
          </w:rPr>
          <w:t>Scaleupstrategie</w:t>
        </w:r>
        <w:proofErr w:type="spellEnd"/>
      </w:hyperlink>
      <w:r w:rsidRPr="00807C62">
        <w:rPr>
          <w:rFonts w:ascii="Verdana" w:hAnsi="Verdana"/>
          <w:sz w:val="18"/>
          <w:szCs w:val="18"/>
        </w:rPr>
        <w:t xml:space="preserve"> en het </w:t>
      </w:r>
      <w:hyperlink w:history="1" r:id="rId9">
        <w:r w:rsidRPr="00807C62">
          <w:rPr>
            <w:rStyle w:val="Hyperlink"/>
            <w:rFonts w:ascii="Verdana" w:hAnsi="Verdana"/>
            <w:sz w:val="18"/>
            <w:szCs w:val="18"/>
          </w:rPr>
          <w:t>Kompas voor concurrentievermogen</w:t>
        </w:r>
      </w:hyperlink>
      <w:r w:rsidRPr="00807C62">
        <w:rPr>
          <w:rFonts w:ascii="Verdana" w:hAnsi="Verdana"/>
          <w:sz w:val="18"/>
          <w:szCs w:val="18"/>
        </w:rPr>
        <w:t xml:space="preserve">. </w:t>
      </w:r>
    </w:p>
    <w:p w:rsidR="00807C62" w:rsidP="00807C62" w:rsidRDefault="00807C62" w14:paraId="04C9F58F" w14:textId="77777777">
      <w:pPr>
        <w:rPr>
          <w:rFonts w:ascii="Verdana" w:hAnsi="Verdana"/>
          <w:sz w:val="18"/>
          <w:szCs w:val="18"/>
        </w:rPr>
      </w:pPr>
      <w:r w:rsidRPr="00807C62">
        <w:rPr>
          <w:rFonts w:ascii="Verdana" w:hAnsi="Verdana"/>
          <w:sz w:val="18"/>
          <w:szCs w:val="18"/>
        </w:rPr>
        <w:t xml:space="preserve">Aanvullend zal er een voorstel voor </w:t>
      </w:r>
      <w:hyperlink w:history="1" r:id="rId10">
        <w:r w:rsidRPr="00807C62">
          <w:rPr>
            <w:rStyle w:val="Hyperlink"/>
            <w:rFonts w:ascii="Verdana" w:hAnsi="Verdana"/>
            <w:sz w:val="18"/>
            <w:szCs w:val="18"/>
          </w:rPr>
          <w:t>het 28e regime</w:t>
        </w:r>
      </w:hyperlink>
      <w:r w:rsidRPr="00807C62">
        <w:rPr>
          <w:rFonts w:ascii="Verdana" w:hAnsi="Verdana"/>
          <w:sz w:val="18"/>
          <w:szCs w:val="18"/>
        </w:rPr>
        <w:t xml:space="preserve"> (Q1) komen. Het 28e Regime is een EU-rechtskader voor bedrijven, om grensoverschrijdend ondernemen eenvoudiger te maken. Commissie J&amp;V heeft daarbij het voortouw. </w:t>
      </w:r>
    </w:p>
    <w:p w:rsidRPr="00807C62" w:rsidR="00807C62" w:rsidP="00807C62" w:rsidRDefault="00807C62" w14:paraId="3BBA473A" w14:textId="77777777">
      <w:pPr>
        <w:rPr>
          <w:rFonts w:ascii="Verdana" w:hAnsi="Verdana"/>
          <w:sz w:val="18"/>
          <w:szCs w:val="18"/>
        </w:rPr>
      </w:pPr>
    </w:p>
    <w:p w:rsidRPr="00807C62" w:rsidR="00807C62" w:rsidP="00807C62" w:rsidRDefault="00807C62" w14:paraId="52DE159D" w14:textId="76F8901B">
      <w:pPr>
        <w:rPr>
          <w:rFonts w:ascii="Verdana" w:hAnsi="Verdana"/>
          <w:sz w:val="18"/>
          <w:szCs w:val="18"/>
        </w:rPr>
      </w:pPr>
      <w:r w:rsidRPr="00807C62">
        <w:rPr>
          <w:rFonts w:ascii="Verdana" w:hAnsi="Verdana"/>
          <w:sz w:val="18"/>
          <w:szCs w:val="18"/>
        </w:rPr>
        <w:t>Kabinetspositie</w:t>
      </w:r>
      <w:r w:rsidRPr="00807C62">
        <w:rPr>
          <w:rFonts w:ascii="Verdana" w:hAnsi="Verdana"/>
          <w:sz w:val="18"/>
          <w:szCs w:val="18"/>
        </w:rPr>
        <w:t>:</w:t>
      </w:r>
    </w:p>
    <w:p w:rsidR="00807C62" w:rsidP="00807C62" w:rsidRDefault="00807C62" w14:paraId="2CEFF763" w14:textId="77777777">
      <w:pPr>
        <w:rPr>
          <w:rFonts w:ascii="Verdana" w:hAnsi="Verdana"/>
          <w:i/>
          <w:iCs/>
          <w:sz w:val="18"/>
          <w:szCs w:val="18"/>
        </w:rPr>
      </w:pPr>
      <w:r w:rsidRPr="00807C62">
        <w:rPr>
          <w:rFonts w:ascii="Verdana" w:hAnsi="Verdana"/>
          <w:i/>
          <w:iCs/>
          <w:sz w:val="18"/>
          <w:szCs w:val="18"/>
        </w:rPr>
        <w:t xml:space="preserve">Innovatie is essentieel voor het Europese- en Nederlandse concurrentievermogen. Het kabinet kijkt daarom uit naar de IA en specifiek voorstellen om, in plaats van sectoraal, horizontale wettelijke kaders te scheppen voor experimenteerruimtes en </w:t>
      </w:r>
      <w:proofErr w:type="spellStart"/>
      <w:r w:rsidRPr="00807C62">
        <w:rPr>
          <w:rFonts w:ascii="Verdana" w:hAnsi="Verdana"/>
          <w:i/>
          <w:iCs/>
          <w:sz w:val="18"/>
          <w:szCs w:val="18"/>
        </w:rPr>
        <w:t>regulatory</w:t>
      </w:r>
      <w:proofErr w:type="spellEnd"/>
      <w:r w:rsidRPr="00807C62">
        <w:rPr>
          <w:rFonts w:ascii="Verdana" w:hAnsi="Verdana"/>
          <w:i/>
          <w:iCs/>
          <w:sz w:val="18"/>
          <w:szCs w:val="18"/>
        </w:rPr>
        <w:t xml:space="preserve"> </w:t>
      </w:r>
      <w:proofErr w:type="spellStart"/>
      <w:r w:rsidRPr="00807C62">
        <w:rPr>
          <w:rFonts w:ascii="Verdana" w:hAnsi="Verdana"/>
          <w:i/>
          <w:iCs/>
          <w:sz w:val="18"/>
          <w:szCs w:val="18"/>
        </w:rPr>
        <w:t>sandboxes</w:t>
      </w:r>
      <w:proofErr w:type="spellEnd"/>
      <w:r w:rsidRPr="00807C62">
        <w:rPr>
          <w:rFonts w:ascii="Verdana" w:hAnsi="Verdana"/>
          <w:i/>
          <w:iCs/>
          <w:sz w:val="18"/>
          <w:szCs w:val="18"/>
        </w:rPr>
        <w:t>. Belangrijk is om de ruimte voor overheden om innovatie in sectoren met wezenlijke veiligheidsbelangen te beschermen en mogelijkheden te bieden voor participatie.</w:t>
      </w:r>
      <w:r w:rsidRPr="00807C62">
        <w:rPr>
          <w:rFonts w:ascii="Verdana" w:hAnsi="Verdana"/>
          <w:sz w:val="18"/>
          <w:szCs w:val="18"/>
        </w:rPr>
        <w:br/>
      </w:r>
    </w:p>
    <w:p w:rsidRPr="00807C62" w:rsidR="00807C62" w:rsidP="00807C62" w:rsidRDefault="00807C62" w14:paraId="7A140C95" w14:textId="65D0D19C">
      <w:pPr>
        <w:pStyle w:val="Lijstalinea"/>
        <w:numPr>
          <w:ilvl w:val="0"/>
          <w:numId w:val="5"/>
        </w:numPr>
        <w:rPr>
          <w:rFonts w:ascii="Verdana" w:hAnsi="Verdana"/>
          <w:b/>
          <w:bCs/>
          <w:sz w:val="18"/>
          <w:szCs w:val="18"/>
        </w:rPr>
      </w:pPr>
      <w:proofErr w:type="spellStart"/>
      <w:r w:rsidRPr="00807C62">
        <w:rPr>
          <w:rFonts w:ascii="Verdana" w:hAnsi="Verdana"/>
          <w:b/>
          <w:bCs/>
          <w:sz w:val="18"/>
          <w:szCs w:val="18"/>
        </w:rPr>
        <w:t>Chipsverordening</w:t>
      </w:r>
      <w:proofErr w:type="spellEnd"/>
      <w:r w:rsidRPr="00807C62">
        <w:rPr>
          <w:rFonts w:ascii="Verdana" w:hAnsi="Verdana"/>
          <w:b/>
          <w:bCs/>
          <w:sz w:val="18"/>
          <w:szCs w:val="18"/>
        </w:rPr>
        <w:t xml:space="preserve"> (Q1):</w:t>
      </w:r>
    </w:p>
    <w:p w:rsidRPr="00807C62" w:rsidR="00807C62" w:rsidP="00807C62" w:rsidRDefault="00807C62" w14:paraId="6E33B68C" w14:textId="77777777">
      <w:pPr>
        <w:rPr>
          <w:rFonts w:ascii="Verdana" w:hAnsi="Verdana"/>
          <w:sz w:val="18"/>
          <w:szCs w:val="18"/>
        </w:rPr>
      </w:pPr>
      <w:r w:rsidRPr="00807C62">
        <w:rPr>
          <w:rFonts w:ascii="Verdana" w:hAnsi="Verdana"/>
          <w:sz w:val="18"/>
          <w:szCs w:val="18"/>
        </w:rPr>
        <w:t xml:space="preserve">De aangekondigde </w:t>
      </w:r>
      <w:proofErr w:type="spellStart"/>
      <w:r w:rsidRPr="00807C62">
        <w:rPr>
          <w:rFonts w:ascii="Verdana" w:hAnsi="Verdana"/>
          <w:sz w:val="18"/>
          <w:szCs w:val="18"/>
        </w:rPr>
        <w:t>Chipsverordening</w:t>
      </w:r>
      <w:proofErr w:type="spellEnd"/>
      <w:r w:rsidRPr="00807C62">
        <w:rPr>
          <w:rFonts w:ascii="Verdana" w:hAnsi="Verdana"/>
          <w:sz w:val="18"/>
          <w:szCs w:val="18"/>
        </w:rPr>
        <w:t xml:space="preserve"> zal specifiek aandacht hebben voor onderwerpen als investeringen, weerbaarheid, talent, en ondersteuning voor de gehele waardeketen</w:t>
      </w:r>
    </w:p>
    <w:p w:rsidR="00807C62" w:rsidP="00807C62" w:rsidRDefault="00807C62" w14:paraId="50EF13F7" w14:textId="77777777">
      <w:pPr>
        <w:rPr>
          <w:rFonts w:ascii="Verdana" w:hAnsi="Verdana"/>
          <w:i/>
          <w:iCs/>
          <w:sz w:val="18"/>
          <w:szCs w:val="18"/>
        </w:rPr>
      </w:pPr>
      <w:r w:rsidRPr="00807C62">
        <w:rPr>
          <w:rFonts w:ascii="Verdana" w:hAnsi="Verdana"/>
          <w:i/>
          <w:iCs/>
          <w:sz w:val="18"/>
          <w:szCs w:val="18"/>
        </w:rPr>
        <w:t>Kabinetspositie:</w:t>
      </w:r>
    </w:p>
    <w:p w:rsidRPr="00807C62" w:rsidR="00807C62" w:rsidP="00807C62" w:rsidRDefault="00807C62" w14:paraId="7EDDD55A" w14:textId="77777777">
      <w:pPr>
        <w:rPr>
          <w:rFonts w:ascii="Verdana" w:hAnsi="Verdana"/>
          <w:i/>
          <w:iCs/>
          <w:sz w:val="18"/>
          <w:szCs w:val="18"/>
        </w:rPr>
      </w:pPr>
    </w:p>
    <w:p w:rsidR="00807C62" w:rsidP="00807C62" w:rsidRDefault="00807C62" w14:paraId="1F4EC9BF" w14:textId="77777777">
      <w:pPr>
        <w:rPr>
          <w:rFonts w:ascii="Verdana" w:hAnsi="Verdana"/>
          <w:i/>
          <w:iCs/>
          <w:sz w:val="18"/>
          <w:szCs w:val="18"/>
        </w:rPr>
      </w:pPr>
      <w:r w:rsidRPr="00807C62">
        <w:rPr>
          <w:rFonts w:ascii="Verdana" w:hAnsi="Verdana"/>
          <w:i/>
          <w:iCs/>
          <w:sz w:val="18"/>
          <w:szCs w:val="18"/>
        </w:rPr>
        <w:t xml:space="preserve">Het kabinet kijkt uit naar de herziening van de </w:t>
      </w:r>
      <w:proofErr w:type="spellStart"/>
      <w:r w:rsidRPr="00807C62">
        <w:rPr>
          <w:rFonts w:ascii="Verdana" w:hAnsi="Verdana"/>
          <w:i/>
          <w:iCs/>
          <w:sz w:val="18"/>
          <w:szCs w:val="18"/>
        </w:rPr>
        <w:t>Chipsverordening</w:t>
      </w:r>
      <w:proofErr w:type="spellEnd"/>
      <w:r w:rsidRPr="00807C62">
        <w:rPr>
          <w:rFonts w:ascii="Verdana" w:hAnsi="Verdana"/>
          <w:i/>
          <w:iCs/>
          <w:sz w:val="18"/>
          <w:szCs w:val="18"/>
        </w:rPr>
        <w:t xml:space="preserve">, waar de aanbevelingen uit het </w:t>
      </w:r>
      <w:proofErr w:type="spellStart"/>
      <w:r w:rsidRPr="00807C62">
        <w:rPr>
          <w:rFonts w:ascii="Verdana" w:hAnsi="Verdana"/>
          <w:i/>
          <w:iCs/>
          <w:sz w:val="18"/>
          <w:szCs w:val="18"/>
        </w:rPr>
        <w:t>Draghi</w:t>
      </w:r>
      <w:proofErr w:type="spellEnd"/>
      <w:r w:rsidRPr="00807C62">
        <w:rPr>
          <w:rFonts w:ascii="Verdana" w:hAnsi="Verdana"/>
          <w:i/>
          <w:iCs/>
          <w:sz w:val="18"/>
          <w:szCs w:val="18"/>
        </w:rPr>
        <w:t xml:space="preserve"> rapport in kunnen worden meegenomen. Wat het kabinet betreft moet een nieuwe </w:t>
      </w:r>
      <w:proofErr w:type="spellStart"/>
      <w:r w:rsidRPr="00807C62">
        <w:rPr>
          <w:rFonts w:ascii="Verdana" w:hAnsi="Verdana"/>
          <w:i/>
          <w:iCs/>
          <w:sz w:val="18"/>
          <w:szCs w:val="18"/>
        </w:rPr>
        <w:t>Chipsverordening</w:t>
      </w:r>
      <w:proofErr w:type="spellEnd"/>
      <w:r w:rsidRPr="00807C62">
        <w:rPr>
          <w:rFonts w:ascii="Verdana" w:hAnsi="Verdana"/>
          <w:i/>
          <w:iCs/>
          <w:sz w:val="18"/>
          <w:szCs w:val="18"/>
        </w:rPr>
        <w:t xml:space="preserve"> Europa’s huidige kwetsbaarheden adresseren, effectief reageren op geopolitieke, technologische, en duurzaamheidsuitdagingen en huidige en aankomende marktkansen benutten.</w:t>
      </w:r>
    </w:p>
    <w:p w:rsidRPr="00807C62" w:rsidR="00807C62" w:rsidP="00807C62" w:rsidRDefault="00807C62" w14:paraId="0F062708" w14:textId="77777777">
      <w:pPr>
        <w:rPr>
          <w:rFonts w:ascii="Verdana" w:hAnsi="Verdana"/>
          <w:i/>
          <w:iCs/>
          <w:sz w:val="18"/>
          <w:szCs w:val="18"/>
        </w:rPr>
      </w:pPr>
    </w:p>
    <w:p w:rsidR="00807C62" w:rsidP="00807C62" w:rsidRDefault="00807C62" w14:paraId="0B53B4B2" w14:textId="77777777">
      <w:pPr>
        <w:numPr>
          <w:ilvl w:val="0"/>
          <w:numId w:val="5"/>
        </w:numPr>
        <w:rPr>
          <w:rFonts w:ascii="Verdana" w:hAnsi="Verdana"/>
          <w:b/>
          <w:bCs/>
          <w:sz w:val="18"/>
          <w:szCs w:val="18"/>
        </w:rPr>
      </w:pPr>
      <w:r w:rsidRPr="00807C62">
        <w:rPr>
          <w:rFonts w:ascii="Verdana" w:hAnsi="Verdana"/>
          <w:b/>
          <w:bCs/>
          <w:sz w:val="18"/>
          <w:szCs w:val="18"/>
        </w:rPr>
        <w:t>Centrum voor kritieke grondstoffen (Q2)</w:t>
      </w:r>
    </w:p>
    <w:p w:rsidRPr="00807C62" w:rsidR="00807C62" w:rsidP="00807C62" w:rsidRDefault="00807C62" w14:paraId="632BAE73" w14:textId="77777777">
      <w:pPr>
        <w:ind w:left="720"/>
        <w:rPr>
          <w:rFonts w:ascii="Verdana" w:hAnsi="Verdana"/>
          <w:b/>
          <w:bCs/>
          <w:sz w:val="18"/>
          <w:szCs w:val="18"/>
        </w:rPr>
      </w:pPr>
    </w:p>
    <w:p w:rsidR="00807C62" w:rsidP="00807C62" w:rsidRDefault="00807C62" w14:paraId="2547D4C7" w14:textId="77777777">
      <w:pPr>
        <w:rPr>
          <w:rFonts w:ascii="Verdana" w:hAnsi="Verdana"/>
          <w:sz w:val="18"/>
          <w:szCs w:val="18"/>
        </w:rPr>
      </w:pPr>
      <w:r w:rsidRPr="00807C62">
        <w:rPr>
          <w:rFonts w:ascii="Verdana" w:hAnsi="Verdana"/>
          <w:sz w:val="18"/>
          <w:szCs w:val="18"/>
        </w:rPr>
        <w:t xml:space="preserve">Om de leveringszekerheid van kritieke grondstoffen te versterken, doet de Commissie een voorstel voor de opzet van een centrum waarin gezamenlijke inkoop, voorraadvorming, kennisvorming &amp; financiering van grondstoffen worden gefaciliteerd. Het voorstel is onderdeel van het </w:t>
      </w:r>
      <w:hyperlink w:history="1" r:id="rId11">
        <w:proofErr w:type="spellStart"/>
        <w:r w:rsidRPr="00807C62">
          <w:rPr>
            <w:rStyle w:val="Hyperlink"/>
            <w:rFonts w:ascii="Verdana" w:hAnsi="Verdana"/>
            <w:sz w:val="18"/>
            <w:szCs w:val="18"/>
          </w:rPr>
          <w:t>ResourceEU</w:t>
        </w:r>
        <w:proofErr w:type="spellEnd"/>
      </w:hyperlink>
      <w:r w:rsidRPr="00807C62">
        <w:rPr>
          <w:rFonts w:ascii="Verdana" w:hAnsi="Verdana"/>
          <w:sz w:val="18"/>
          <w:szCs w:val="18"/>
        </w:rPr>
        <w:t xml:space="preserve"> actieplan. </w:t>
      </w:r>
    </w:p>
    <w:p w:rsidRPr="00807C62" w:rsidR="00807C62" w:rsidP="00807C62" w:rsidRDefault="00807C62" w14:paraId="37868D54" w14:textId="77777777">
      <w:pPr>
        <w:rPr>
          <w:rFonts w:ascii="Verdana" w:hAnsi="Verdana"/>
          <w:sz w:val="18"/>
          <w:szCs w:val="18"/>
        </w:rPr>
      </w:pPr>
    </w:p>
    <w:p w:rsidRPr="00807C62" w:rsidR="00807C62" w:rsidP="00807C62" w:rsidRDefault="00807C62" w14:paraId="4FBA8E0A" w14:textId="77777777">
      <w:pPr>
        <w:rPr>
          <w:rFonts w:ascii="Verdana" w:hAnsi="Verdana"/>
          <w:i/>
          <w:iCs/>
          <w:sz w:val="18"/>
          <w:szCs w:val="18"/>
        </w:rPr>
      </w:pPr>
      <w:r w:rsidRPr="00807C62">
        <w:rPr>
          <w:rFonts w:ascii="Verdana" w:hAnsi="Verdana"/>
          <w:i/>
          <w:iCs/>
          <w:sz w:val="18"/>
          <w:szCs w:val="18"/>
        </w:rPr>
        <w:t>Kabinetspositie:</w:t>
      </w:r>
    </w:p>
    <w:p w:rsidR="00807C62" w:rsidP="00807C62" w:rsidRDefault="00807C62" w14:paraId="5D280497" w14:textId="72545861">
      <w:pPr>
        <w:rPr>
          <w:rFonts w:ascii="Verdana" w:hAnsi="Verdana"/>
          <w:i/>
          <w:iCs/>
          <w:sz w:val="18"/>
          <w:szCs w:val="18"/>
        </w:rPr>
      </w:pPr>
      <w:r w:rsidRPr="00807C62">
        <w:rPr>
          <w:rFonts w:ascii="Verdana" w:hAnsi="Verdana"/>
          <w:i/>
          <w:iCs/>
          <w:sz w:val="18"/>
          <w:szCs w:val="18"/>
        </w:rPr>
        <w:t>Het kabinet acht het versterken van de leveringszekerheid van kritieke grondstoffen van belang, zoals ook blijkt uit de Nationale Grondstoffenstrategie. De inspanningen van de Commissie om de leveringszekerheid te vergroten, zijn daarbij welkom</w:t>
      </w:r>
    </w:p>
    <w:p w:rsidR="00807C62" w:rsidP="00807C62" w:rsidRDefault="00807C62" w14:paraId="2AE9D5B8" w14:textId="77777777">
      <w:pPr>
        <w:rPr>
          <w:rFonts w:ascii="Verdana" w:hAnsi="Verdana"/>
          <w:i/>
          <w:iCs/>
          <w:sz w:val="18"/>
          <w:szCs w:val="18"/>
        </w:rPr>
      </w:pPr>
    </w:p>
    <w:p w:rsidR="00807C62" w:rsidP="00807C62" w:rsidRDefault="00807C62" w14:paraId="1DC9DAD2" w14:textId="77777777">
      <w:pPr>
        <w:rPr>
          <w:rFonts w:ascii="Verdana" w:hAnsi="Verdana"/>
          <w:i/>
          <w:iCs/>
          <w:sz w:val="18"/>
          <w:szCs w:val="18"/>
        </w:rPr>
      </w:pPr>
    </w:p>
    <w:p w:rsidRPr="00807C62" w:rsidR="00807C62" w:rsidP="00807C62" w:rsidRDefault="00807C62" w14:paraId="3AA8A92E" w14:textId="77777777">
      <w:pPr>
        <w:rPr>
          <w:rFonts w:ascii="Verdana" w:hAnsi="Verdana"/>
          <w:i/>
          <w:iCs/>
          <w:sz w:val="18"/>
          <w:szCs w:val="18"/>
        </w:rPr>
      </w:pPr>
    </w:p>
    <w:p w:rsidRPr="00807C62" w:rsidR="00807C62" w:rsidP="00807C62" w:rsidRDefault="00807C62" w14:paraId="57A9BD51" w14:textId="77777777">
      <w:pPr>
        <w:numPr>
          <w:ilvl w:val="0"/>
          <w:numId w:val="5"/>
        </w:numPr>
        <w:rPr>
          <w:rFonts w:ascii="Verdana" w:hAnsi="Verdana"/>
          <w:b/>
          <w:bCs/>
          <w:sz w:val="18"/>
          <w:szCs w:val="18"/>
        </w:rPr>
      </w:pPr>
      <w:r w:rsidRPr="00807C62">
        <w:rPr>
          <w:rFonts w:ascii="Verdana" w:hAnsi="Verdana"/>
          <w:b/>
          <w:bCs/>
          <w:sz w:val="18"/>
          <w:szCs w:val="18"/>
        </w:rPr>
        <w:t>Wetgevingshandeling over biotechnologie II (Q3)</w:t>
      </w:r>
    </w:p>
    <w:p w:rsidR="00807C62" w:rsidP="00807C62" w:rsidRDefault="00807C62" w14:paraId="25D0B002" w14:textId="77777777">
      <w:pPr>
        <w:rPr>
          <w:rFonts w:ascii="Verdana" w:hAnsi="Verdana"/>
          <w:sz w:val="18"/>
          <w:szCs w:val="18"/>
        </w:rPr>
      </w:pPr>
      <w:r w:rsidRPr="00807C62">
        <w:rPr>
          <w:rFonts w:ascii="Verdana" w:hAnsi="Verdana"/>
          <w:sz w:val="18"/>
          <w:szCs w:val="18"/>
        </w:rPr>
        <w:t>De toekomstige Wetgevingshandeling over biotechnologie II zal naar waarschijnlijkheid een reeks maatregelen bevatten om een gunstig klimaat te creëren voor een versnelde transitie van biotechnologische producten van het laboratorium naar de markt. Tegelijkertijd is er oog voor het handhaven van veiligheidsnormen ter bescherming van het milieu en de bevolking.</w:t>
      </w:r>
    </w:p>
    <w:p w:rsidRPr="00807C62" w:rsidR="00807C62" w:rsidP="00807C62" w:rsidRDefault="00807C62" w14:paraId="00132D86" w14:textId="77777777">
      <w:pPr>
        <w:rPr>
          <w:rFonts w:ascii="Verdana" w:hAnsi="Verdana"/>
          <w:sz w:val="18"/>
          <w:szCs w:val="18"/>
        </w:rPr>
      </w:pPr>
    </w:p>
    <w:p w:rsidRPr="00807C62" w:rsidR="00807C62" w:rsidP="00807C62" w:rsidRDefault="00807C62" w14:paraId="51FCFF90" w14:textId="77777777">
      <w:pPr>
        <w:rPr>
          <w:rFonts w:ascii="Verdana" w:hAnsi="Verdana"/>
          <w:i/>
          <w:iCs/>
          <w:sz w:val="18"/>
          <w:szCs w:val="18"/>
        </w:rPr>
      </w:pPr>
      <w:r w:rsidRPr="00807C62">
        <w:rPr>
          <w:rFonts w:ascii="Verdana" w:hAnsi="Verdana"/>
          <w:i/>
          <w:iCs/>
          <w:sz w:val="18"/>
          <w:szCs w:val="18"/>
        </w:rPr>
        <w:t>Kabinetspositie:</w:t>
      </w:r>
    </w:p>
    <w:p w:rsidR="00807C62" w:rsidP="00807C62" w:rsidRDefault="00807C62" w14:paraId="71E5120C" w14:textId="77777777">
      <w:pPr>
        <w:rPr>
          <w:rFonts w:ascii="Verdana" w:hAnsi="Verdana"/>
          <w:i/>
          <w:iCs/>
          <w:sz w:val="18"/>
          <w:szCs w:val="18"/>
        </w:rPr>
      </w:pPr>
      <w:r w:rsidRPr="00807C62">
        <w:rPr>
          <w:rFonts w:ascii="Verdana" w:hAnsi="Verdana"/>
          <w:i/>
          <w:iCs/>
          <w:sz w:val="18"/>
          <w:szCs w:val="18"/>
        </w:rPr>
        <w:t xml:space="preserve">Het kabinet kijkt uit naar de opkomende Wetgevingshandeling over biotechnologie II. Het kabinet pleit voor een brede reikwijdte en een integrale benadering, waarbij onder meer de medische en farmaceutische, </w:t>
      </w:r>
      <w:proofErr w:type="spellStart"/>
      <w:r w:rsidRPr="00807C62">
        <w:rPr>
          <w:rFonts w:ascii="Verdana" w:hAnsi="Verdana"/>
          <w:i/>
          <w:iCs/>
          <w:sz w:val="18"/>
          <w:szCs w:val="18"/>
        </w:rPr>
        <w:t>agri</w:t>
      </w:r>
      <w:proofErr w:type="spellEnd"/>
      <w:r w:rsidRPr="00807C62">
        <w:rPr>
          <w:rFonts w:ascii="Verdana" w:hAnsi="Verdana"/>
          <w:i/>
          <w:iCs/>
          <w:sz w:val="18"/>
          <w:szCs w:val="18"/>
        </w:rPr>
        <w:t>-food, industriële toepassingen en dwarsdoorsnijdende thema’s zoals concurrentiekracht, veiligheid en kennisontwikkeling in samenhang worden bekeken en aangepakt. Daarnaast zet het kabinet in op het versterken van concurrentiekracht en een toekomstgericht en veerkrachtig regelgevend kader binnen de EU.</w:t>
      </w:r>
    </w:p>
    <w:p w:rsidR="00807C62" w:rsidP="00807C62" w:rsidRDefault="00807C62" w14:paraId="7860241C" w14:textId="77777777">
      <w:pPr>
        <w:rPr>
          <w:rFonts w:ascii="Verdana" w:hAnsi="Verdana"/>
          <w:i/>
          <w:iCs/>
          <w:sz w:val="18"/>
          <w:szCs w:val="18"/>
        </w:rPr>
      </w:pPr>
    </w:p>
    <w:p w:rsidRPr="00807C62" w:rsidR="00807C62" w:rsidP="00807C62" w:rsidRDefault="00807C62" w14:paraId="0199990B" w14:textId="6A0D487E">
      <w:pPr>
        <w:pStyle w:val="Lijstalinea"/>
        <w:numPr>
          <w:ilvl w:val="0"/>
          <w:numId w:val="5"/>
        </w:numPr>
        <w:rPr>
          <w:rFonts w:ascii="Verdana" w:hAnsi="Verdana"/>
          <w:b/>
          <w:bCs/>
          <w:sz w:val="18"/>
          <w:szCs w:val="18"/>
        </w:rPr>
      </w:pPr>
      <w:r w:rsidRPr="00807C62">
        <w:rPr>
          <w:rFonts w:ascii="Verdana" w:hAnsi="Verdana"/>
          <w:b/>
          <w:bCs/>
          <w:sz w:val="18"/>
          <w:szCs w:val="18"/>
        </w:rPr>
        <w:t>Wetgevingshandeling over geavanceerde materialen (Q4)</w:t>
      </w:r>
    </w:p>
    <w:p w:rsidR="00807C62" w:rsidP="00807C62" w:rsidRDefault="00807C62" w14:paraId="7C90E4BA" w14:textId="77777777">
      <w:pPr>
        <w:rPr>
          <w:rFonts w:ascii="Verdana" w:hAnsi="Verdana"/>
          <w:sz w:val="18"/>
          <w:szCs w:val="18"/>
        </w:rPr>
      </w:pPr>
      <w:r w:rsidRPr="00807C62">
        <w:rPr>
          <w:rFonts w:ascii="Verdana" w:hAnsi="Verdana"/>
          <w:sz w:val="18"/>
          <w:szCs w:val="18"/>
        </w:rPr>
        <w:t xml:space="preserve">De aangekondigde Wetgevingshandeling over geavanceerde materialen zal het kader vormen voor de gehele levenscyclus van geavanceerde materialen, van onderzoek en productie tot marktintroductie, met het doel om Europa minder afhankelijk te maken van buitenlandse toeleveringsketens. De Wetgevingshandeling over geavanceerde materialen is een belangrijk onderdeel van het </w:t>
      </w:r>
      <w:hyperlink w:history="1" r:id="rId12">
        <w:r w:rsidRPr="00807C62">
          <w:rPr>
            <w:rStyle w:val="Hyperlink"/>
            <w:rFonts w:ascii="Verdana" w:hAnsi="Verdana"/>
            <w:sz w:val="18"/>
            <w:szCs w:val="18"/>
          </w:rPr>
          <w:t>Kompas voor concurrentievermogen</w:t>
        </w:r>
      </w:hyperlink>
      <w:r w:rsidRPr="00807C62">
        <w:rPr>
          <w:rFonts w:ascii="Verdana" w:hAnsi="Verdana"/>
          <w:sz w:val="18"/>
          <w:szCs w:val="18"/>
        </w:rPr>
        <w:t xml:space="preserve">. </w:t>
      </w:r>
    </w:p>
    <w:p w:rsidRPr="00807C62" w:rsidR="00807C62" w:rsidP="00807C62" w:rsidRDefault="00807C62" w14:paraId="5DA3BA71" w14:textId="77777777">
      <w:pPr>
        <w:rPr>
          <w:rFonts w:ascii="Verdana" w:hAnsi="Verdana"/>
          <w:b/>
          <w:bCs/>
          <w:sz w:val="18"/>
          <w:szCs w:val="18"/>
        </w:rPr>
      </w:pPr>
    </w:p>
    <w:p w:rsidRPr="00807C62" w:rsidR="00807C62" w:rsidP="00807C62" w:rsidRDefault="00807C62" w14:paraId="6D3464A1" w14:textId="77777777">
      <w:pPr>
        <w:rPr>
          <w:rFonts w:ascii="Verdana" w:hAnsi="Verdana"/>
          <w:i/>
          <w:iCs/>
          <w:sz w:val="18"/>
          <w:szCs w:val="18"/>
        </w:rPr>
      </w:pPr>
      <w:r w:rsidRPr="00807C62">
        <w:rPr>
          <w:rFonts w:ascii="Verdana" w:hAnsi="Verdana"/>
          <w:i/>
          <w:iCs/>
          <w:sz w:val="18"/>
          <w:szCs w:val="18"/>
        </w:rPr>
        <w:t>Kabinetspositie:</w:t>
      </w:r>
    </w:p>
    <w:p w:rsidR="00807C62" w:rsidP="00807C62" w:rsidRDefault="00807C62" w14:paraId="0E055DB1" w14:textId="77777777">
      <w:pPr>
        <w:rPr>
          <w:rFonts w:ascii="Verdana" w:hAnsi="Verdana"/>
          <w:i/>
          <w:iCs/>
          <w:sz w:val="18"/>
          <w:szCs w:val="18"/>
        </w:rPr>
      </w:pPr>
      <w:r w:rsidRPr="00807C62">
        <w:rPr>
          <w:rFonts w:ascii="Verdana" w:hAnsi="Verdana"/>
          <w:i/>
          <w:iCs/>
          <w:sz w:val="18"/>
          <w:szCs w:val="18"/>
        </w:rPr>
        <w:t>Het kabinet erkent de rol die geavanceerde materialen kunnen spelen in de digitale en groene transities, en ziet de meerwaarde van een voortrekkersrol op het gebied van geavanceerde materialen voor de economische veiligheid, defensie en weerbaarheid van Europa. Het kabinet ondersteunt het bevorderen van een ecosysteem rondom geavanceerde materialen en het stimuleren van private investeringen via het bevorderen van markttoepassingen en valorisatie.</w:t>
      </w:r>
    </w:p>
    <w:p w:rsidRPr="00092145" w:rsidR="00092145" w:rsidRDefault="00092145" w14:paraId="5BC5CA85" w14:textId="77777777">
      <w:pPr>
        <w:rPr>
          <w:rFonts w:ascii="Verdana" w:hAnsi="Verdana"/>
          <w:sz w:val="18"/>
          <w:szCs w:val="18"/>
        </w:rPr>
      </w:pPr>
    </w:p>
    <w:sectPr w:rsidRPr="00092145" w:rsidR="00092145" w:rsidSect="00092145">
      <w:headerReference w:type="default" r:id="rId13"/>
      <w:headerReference w:type="first" r:id="rId14"/>
      <w:pgSz w:w="11906" w:h="16838"/>
      <w:pgMar w:top="1417" w:right="1417" w:bottom="1417" w:left="1417" w:header="2370"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E0B1F" w14:textId="77777777" w:rsidR="00092145" w:rsidRDefault="00092145" w:rsidP="00092145">
      <w:r>
        <w:separator/>
      </w:r>
    </w:p>
  </w:endnote>
  <w:endnote w:type="continuationSeparator" w:id="0">
    <w:p w14:paraId="785BCFDB" w14:textId="77777777" w:rsidR="00092145" w:rsidRDefault="00092145" w:rsidP="00092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97383" w14:textId="77777777" w:rsidR="00092145" w:rsidRDefault="00092145" w:rsidP="00092145">
      <w:r>
        <w:separator/>
      </w:r>
    </w:p>
  </w:footnote>
  <w:footnote w:type="continuationSeparator" w:id="0">
    <w:p w14:paraId="5950AB95" w14:textId="77777777" w:rsidR="00092145" w:rsidRDefault="00092145" w:rsidP="00092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0E75" w14:textId="12D6FF42" w:rsidR="00092145" w:rsidRDefault="00092145">
    <w:pPr>
      <w:pStyle w:val="Koptekst"/>
    </w:pPr>
    <w:r w:rsidRPr="00E66715">
      <w:rPr>
        <w:rFonts w:ascii="Verdana" w:eastAsia="Calibri" w:hAnsi="Verdana"/>
        <w:b/>
        <w:noProof/>
        <w:sz w:val="18"/>
        <w:szCs w:val="22"/>
      </w:rPr>
      <w:drawing>
        <wp:anchor distT="0" distB="0" distL="114300" distR="114300" simplePos="0" relativeHeight="251667456" behindDoc="1" locked="0" layoutInCell="1" allowOverlap="1" wp14:anchorId="5D0B362E" wp14:editId="535C52C4">
          <wp:simplePos x="0" y="0"/>
          <wp:positionH relativeFrom="page">
            <wp:posOffset>366395</wp:posOffset>
          </wp:positionH>
          <wp:positionV relativeFrom="page">
            <wp:posOffset>259715</wp:posOffset>
          </wp:positionV>
          <wp:extent cx="431800" cy="1238250"/>
          <wp:effectExtent l="0" t="0" r="6350" b="0"/>
          <wp:wrapNone/>
          <wp:docPr id="1446747935" name="Afbeelding 1446747935" descr="Afbeelding met schets, symbool, tekening, emblee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747935" name="Afbeelding 1446747935" descr="Afbeelding met schets, symbool, tekening, embleem&#10;&#10;Door AI gegenereerde inhoud is mogelijk onjui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1800" cy="12382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8A33" w14:textId="412CFEFB" w:rsidR="00092145" w:rsidRDefault="00092145">
    <w:pPr>
      <w:pStyle w:val="Koptekst"/>
    </w:pPr>
    <w:r w:rsidRPr="00E66715">
      <w:rPr>
        <w:rFonts w:ascii="Verdana" w:eastAsia="Calibri" w:hAnsi="Verdana"/>
        <w:b/>
        <w:noProof/>
        <w:sz w:val="18"/>
        <w:szCs w:val="22"/>
      </w:rPr>
      <mc:AlternateContent>
        <mc:Choice Requires="wps">
          <w:drawing>
            <wp:anchor distT="0" distB="269875" distL="114300" distR="114300" simplePos="0" relativeHeight="251665408" behindDoc="0" locked="0" layoutInCell="1" allowOverlap="1" wp14:anchorId="763EC377" wp14:editId="50CB8813">
              <wp:simplePos x="0" y="0"/>
              <wp:positionH relativeFrom="page">
                <wp:posOffset>225425</wp:posOffset>
              </wp:positionH>
              <wp:positionV relativeFrom="page">
                <wp:posOffset>1584325</wp:posOffset>
              </wp:positionV>
              <wp:extent cx="5353050" cy="1419225"/>
              <wp:effectExtent l="0" t="0" r="0" b="9525"/>
              <wp:wrapTopAndBottom/>
              <wp:docPr id="8" name="Tekstvak 8"/>
              <wp:cNvGraphicFramePr/>
              <a:graphic xmlns:a="http://schemas.openxmlformats.org/drawingml/2006/main">
                <a:graphicData uri="http://schemas.microsoft.com/office/word/2010/wordprocessingShape">
                  <wps:wsp>
                    <wps:cNvSpPr txBox="1"/>
                    <wps:spPr>
                      <a:xfrm>
                        <a:off x="0" y="0"/>
                        <a:ext cx="5353050" cy="1419225"/>
                      </a:xfrm>
                      <a:prstGeom prst="rect">
                        <a:avLst/>
                      </a:prstGeom>
                      <a:noFill/>
                      <a:ln w="6350">
                        <a:noFill/>
                      </a:ln>
                      <a:effectLst/>
                    </wps:spPr>
                    <wps:txbx>
                      <w:txbxContent>
                        <w:p w14:paraId="06F237F8" w14:textId="77777777" w:rsidR="00092145" w:rsidRDefault="00092145" w:rsidP="00092145">
                          <w:pPr>
                            <w:pStyle w:val="Huisstijl-Agendatitel"/>
                            <w:tabs>
                              <w:tab w:val="right" w:pos="1264"/>
                              <w:tab w:val="right" w:pos="1344"/>
                            </w:tabs>
                            <w:ind w:left="1418" w:hanging="1418"/>
                          </w:pPr>
                          <w:r>
                            <w:tab/>
                          </w:r>
                          <w:r>
                            <w:tab/>
                            <w:t xml:space="preserve">Stafnotitie </w:t>
                          </w:r>
                        </w:p>
                        <w:p w14:paraId="1559DD71" w14:textId="77777777" w:rsidR="00092145" w:rsidRDefault="00092145" w:rsidP="00092145">
                          <w:pPr>
                            <w:pStyle w:val="Huisstijl-Agendatitel"/>
                            <w:ind w:left="0" w:firstLine="0"/>
                          </w:pPr>
                        </w:p>
                        <w:p w14:paraId="3391024E" w14:textId="5996F9E3" w:rsidR="00092145" w:rsidRPr="00576711" w:rsidRDefault="00092145" w:rsidP="00092145">
                          <w:pPr>
                            <w:pStyle w:val="Huisstijl-Notitiegegevens"/>
                          </w:pPr>
                          <w:r w:rsidRPr="00576711">
                            <w:t>A</w:t>
                          </w:r>
                          <w:r w:rsidRPr="00576711">
                            <w:t>an</w:t>
                          </w:r>
                          <w:r>
                            <w:tab/>
                          </w:r>
                          <w:r>
                            <w:tab/>
                          </w:r>
                          <w:r>
                            <w:tab/>
                            <w:t>V</w:t>
                          </w:r>
                          <w:r w:rsidRPr="00125432">
                            <w:t>aste commissie</w:t>
                          </w:r>
                          <w:r>
                            <w:t xml:space="preserve"> voor Economische Zaken</w:t>
                          </w:r>
                        </w:p>
                        <w:p w14:paraId="20D6E3A2" w14:textId="77777777" w:rsidR="00092145" w:rsidRPr="00576711" w:rsidRDefault="00092145" w:rsidP="00092145">
                          <w:pPr>
                            <w:pStyle w:val="Huisstijl-Notitiegegevens"/>
                            <w:ind w:left="0" w:firstLine="0"/>
                          </w:pPr>
                        </w:p>
                        <w:p w14:paraId="6EE78AE0" w14:textId="4539E870" w:rsidR="00092145" w:rsidRDefault="00092145" w:rsidP="00092145">
                          <w:pPr>
                            <w:pStyle w:val="Huisstijl-Notitiegegevens"/>
                          </w:pPr>
                          <w:r>
                            <w:t>D</w:t>
                          </w:r>
                          <w:r>
                            <w:t>atum</w:t>
                          </w:r>
                          <w:r>
                            <w:tab/>
                          </w:r>
                          <w:r>
                            <w:tab/>
                          </w:r>
                          <w:r>
                            <w:tab/>
                            <w:t xml:space="preserve">6 januari </w:t>
                          </w:r>
                          <w:r>
                            <w:t>2025</w:t>
                          </w:r>
                        </w:p>
                        <w:p w14:paraId="6C2DB87C" w14:textId="77777777" w:rsidR="00092145" w:rsidRPr="00576711" w:rsidRDefault="00092145" w:rsidP="00092145">
                          <w:pPr>
                            <w:pStyle w:val="Huisstijl-Notitiegegevens"/>
                          </w:pPr>
                        </w:p>
                        <w:p w14:paraId="4F74FF12" w14:textId="53A3928C" w:rsidR="00092145" w:rsidRDefault="00092145" w:rsidP="00092145">
                          <w:pPr>
                            <w:pStyle w:val="Huisstijl-Notitiegegevens"/>
                          </w:pPr>
                          <w:r w:rsidRPr="00576711">
                            <w:t>onderwerp</w:t>
                          </w:r>
                          <w:r>
                            <w:tab/>
                          </w:r>
                          <w:r w:rsidRPr="00576711">
                            <w:tab/>
                          </w:r>
                          <w:r>
                            <w:tab/>
                          </w:r>
                          <w:r w:rsidRPr="00092145">
                            <w:t>Voorstel van de voorbereidingsgroep </w:t>
                          </w:r>
                          <w:r>
                            <w:t xml:space="preserve">Schoonis (D66) en van Lanschot (CDA) </w:t>
                          </w:r>
                          <w:r w:rsidRPr="00092145">
                            <w:t>betreffende de prioritering van</w:t>
                          </w:r>
                          <w:r>
                            <w:t xml:space="preserve"> </w:t>
                          </w:r>
                          <w:r w:rsidRPr="00092145">
                            <w:t>Europese voorstellen</w:t>
                          </w:r>
                          <w:r>
                            <w:t xml:space="preserve"> in 2026</w:t>
                          </w:r>
                          <w:r w:rsidRPr="00092145">
                            <w:t xml:space="preserve"> op het terrein van de commissie Economische Zaken op basis van het werkprogramma van de Europese Commissie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3EC377" id="_x0000_t202" coordsize="21600,21600" o:spt="202" path="m,l,21600r21600,l21600,xe">
              <v:stroke joinstyle="miter"/>
              <v:path gradientshapeok="t" o:connecttype="rect"/>
            </v:shapetype>
            <v:shape id="Tekstvak 8" o:spid="_x0000_s1027" type="#_x0000_t202" style="position:absolute;margin-left:17.75pt;margin-top:124.75pt;width:421.5pt;height:111.75pt;z-index:251665408;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" filled="f" stroked="f" strokeweight=".5pt">
              <v:textbox inset="0,0,0,0">
                <w:txbxContent>
                  <w:p w14:paraId="06F237F8" w14:textId="77777777" w:rsidR="00092145" w:rsidRDefault="00092145" w:rsidP="00092145">
                    <w:pPr>
                      <w:pStyle w:val="Huisstijl-Agendatitel"/>
                      <w:tabs>
                        <w:tab w:val="right" w:pos="1264"/>
                        <w:tab w:val="right" w:pos="1344"/>
                      </w:tabs>
                      <w:ind w:left="1418" w:hanging="1418"/>
                    </w:pPr>
                    <w:r>
                      <w:tab/>
                    </w:r>
                    <w:r>
                      <w:tab/>
                      <w:t xml:space="preserve">Stafnotitie </w:t>
                    </w:r>
                  </w:p>
                  <w:p w14:paraId="1559DD71" w14:textId="77777777" w:rsidR="00092145" w:rsidRDefault="00092145" w:rsidP="00092145">
                    <w:pPr>
                      <w:pStyle w:val="Huisstijl-Agendatitel"/>
                      <w:ind w:left="0" w:firstLine="0"/>
                    </w:pPr>
                  </w:p>
                  <w:p w14:paraId="3391024E" w14:textId="5996F9E3" w:rsidR="00092145" w:rsidRPr="00576711" w:rsidRDefault="00092145" w:rsidP="00092145">
                    <w:pPr>
                      <w:pStyle w:val="Huisstijl-Notitiegegevens"/>
                    </w:pPr>
                    <w:r w:rsidRPr="00576711">
                      <w:t>A</w:t>
                    </w:r>
                    <w:r w:rsidRPr="00576711">
                      <w:t>an</w:t>
                    </w:r>
                    <w:r>
                      <w:tab/>
                    </w:r>
                    <w:r>
                      <w:tab/>
                    </w:r>
                    <w:r>
                      <w:tab/>
                      <w:t>V</w:t>
                    </w:r>
                    <w:r w:rsidRPr="00125432">
                      <w:t>aste commissie</w:t>
                    </w:r>
                    <w:r>
                      <w:t xml:space="preserve"> voor Economische Zaken</w:t>
                    </w:r>
                  </w:p>
                  <w:p w14:paraId="20D6E3A2" w14:textId="77777777" w:rsidR="00092145" w:rsidRPr="00576711" w:rsidRDefault="00092145" w:rsidP="00092145">
                    <w:pPr>
                      <w:pStyle w:val="Huisstijl-Notitiegegevens"/>
                      <w:ind w:left="0" w:firstLine="0"/>
                    </w:pPr>
                  </w:p>
                  <w:p w14:paraId="6EE78AE0" w14:textId="4539E870" w:rsidR="00092145" w:rsidRDefault="00092145" w:rsidP="00092145">
                    <w:pPr>
                      <w:pStyle w:val="Huisstijl-Notitiegegevens"/>
                    </w:pPr>
                    <w:r>
                      <w:t>D</w:t>
                    </w:r>
                    <w:r>
                      <w:t>atum</w:t>
                    </w:r>
                    <w:r>
                      <w:tab/>
                    </w:r>
                    <w:r>
                      <w:tab/>
                    </w:r>
                    <w:r>
                      <w:tab/>
                      <w:t xml:space="preserve">6 januari </w:t>
                    </w:r>
                    <w:r>
                      <w:t>2025</w:t>
                    </w:r>
                  </w:p>
                  <w:p w14:paraId="6C2DB87C" w14:textId="77777777" w:rsidR="00092145" w:rsidRPr="00576711" w:rsidRDefault="00092145" w:rsidP="00092145">
                    <w:pPr>
                      <w:pStyle w:val="Huisstijl-Notitiegegevens"/>
                    </w:pPr>
                  </w:p>
                  <w:p w14:paraId="4F74FF12" w14:textId="53A3928C" w:rsidR="00092145" w:rsidRDefault="00092145" w:rsidP="00092145">
                    <w:pPr>
                      <w:pStyle w:val="Huisstijl-Notitiegegevens"/>
                    </w:pPr>
                    <w:r w:rsidRPr="00576711">
                      <w:t>onderwerp</w:t>
                    </w:r>
                    <w:r>
                      <w:tab/>
                    </w:r>
                    <w:r w:rsidRPr="00576711">
                      <w:tab/>
                    </w:r>
                    <w:r>
                      <w:tab/>
                    </w:r>
                    <w:r w:rsidRPr="00092145">
                      <w:t>Voorstel van de voorbereidingsgroep </w:t>
                    </w:r>
                    <w:r>
                      <w:t xml:space="preserve">Schoonis (D66) en van Lanschot (CDA) </w:t>
                    </w:r>
                    <w:r w:rsidRPr="00092145">
                      <w:t>betreffende de prioritering van</w:t>
                    </w:r>
                    <w:r>
                      <w:t xml:space="preserve"> </w:t>
                    </w:r>
                    <w:r w:rsidRPr="00092145">
                      <w:t>Europese voorstellen</w:t>
                    </w:r>
                    <w:r>
                      <w:t xml:space="preserve"> in 2026</w:t>
                    </w:r>
                    <w:r w:rsidRPr="00092145">
                      <w:t xml:space="preserve"> op het terrein van de commissie Economische Zaken op basis van het werkprogramma van de Europese Commissie</w:t>
                    </w:r>
                  </w:p>
                </w:txbxContent>
              </v:textbox>
              <w10:wrap type="topAndBottom" anchorx="page" anchory="page"/>
            </v:shape>
          </w:pict>
        </mc:Fallback>
      </mc:AlternateContent>
    </w:r>
    <w:r w:rsidRPr="00E66715">
      <w:rPr>
        <w:rFonts w:ascii="Verdana" w:eastAsia="Calibri" w:hAnsi="Verdana"/>
        <w:b/>
        <w:noProof/>
        <w:sz w:val="18"/>
        <w:szCs w:val="22"/>
      </w:rPr>
      <mc:AlternateContent>
        <mc:Choice Requires="wps">
          <w:drawing>
            <wp:anchor distT="0" distB="0" distL="114300" distR="114300" simplePos="0" relativeHeight="251663360" behindDoc="0" locked="0" layoutInCell="1" allowOverlap="1" wp14:anchorId="184742DF" wp14:editId="7CD34F84">
              <wp:simplePos x="0" y="0"/>
              <wp:positionH relativeFrom="page">
                <wp:posOffset>6045200</wp:posOffset>
              </wp:positionH>
              <wp:positionV relativeFrom="page">
                <wp:posOffset>762000</wp:posOffset>
              </wp:positionV>
              <wp:extent cx="1327150" cy="2448000"/>
              <wp:effectExtent l="0" t="0" r="6350" b="6350"/>
              <wp:wrapNone/>
              <wp:docPr id="9" name="Tekstvak 9"/>
              <wp:cNvGraphicFramePr/>
              <a:graphic xmlns:a="http://schemas.openxmlformats.org/drawingml/2006/main">
                <a:graphicData uri="http://schemas.microsoft.com/office/word/2010/wordprocessingShape">
                  <wps:wsp>
                    <wps:cNvSpPr txBox="1"/>
                    <wps:spPr>
                      <a:xfrm>
                        <a:off x="0" y="0"/>
                        <a:ext cx="1327150" cy="2448000"/>
                      </a:xfrm>
                      <a:prstGeom prst="rect">
                        <a:avLst/>
                      </a:prstGeom>
                      <a:noFill/>
                      <a:ln w="6350">
                        <a:noFill/>
                      </a:ln>
                      <a:effectLst/>
                    </wps:spPr>
                    <wps:txbx>
                      <w:txbxContent>
                        <w:p w14:paraId="60AE6102" w14:textId="2B3BDEA9" w:rsidR="00092145" w:rsidRPr="00092145" w:rsidRDefault="00092145" w:rsidP="00092145">
                          <w:pPr>
                            <w:pStyle w:val="Huisstijl-AfzendgegevensW1"/>
                          </w:pPr>
                          <w:r w:rsidRPr="00092145">
                            <w:t xml:space="preserve">L.S. </w:t>
                          </w:r>
                          <w:r w:rsidRPr="00092145">
                            <w:t>H</w:t>
                          </w:r>
                          <w:r w:rsidRPr="00092145">
                            <w:t>a</w:t>
                          </w:r>
                          <w:r>
                            <w:t xml:space="preserve">verkamp </w:t>
                          </w:r>
                        </w:p>
                        <w:p w14:paraId="1CCC625F" w14:textId="77777777" w:rsidR="00092145" w:rsidRPr="00092145" w:rsidRDefault="00092145" w:rsidP="00092145">
                          <w:pPr>
                            <w:pStyle w:val="Huisstijl-AfzendgegevensW1"/>
                          </w:pPr>
                          <w:r w:rsidRPr="00092145">
                            <w:t>EU-adviseur</w:t>
                          </w:r>
                        </w:p>
                        <w:p w14:paraId="67E6856A" w14:textId="4F26BCF9" w:rsidR="00092145" w:rsidRPr="00771C74" w:rsidRDefault="00092145" w:rsidP="00092145">
                          <w:pPr>
                            <w:pStyle w:val="Huisstijl-AfzendgegevensW1"/>
                            <w:rPr>
                              <w:lang w:val="en-US"/>
                            </w:rPr>
                          </w:pPr>
                          <w:r>
                            <w:rPr>
                              <w:lang w:val="en-US"/>
                            </w:rPr>
                            <w:t>+31 611957966</w:t>
                          </w:r>
                        </w:p>
                        <w:p w14:paraId="3BB27230" w14:textId="58EA80DF" w:rsidR="00092145" w:rsidRPr="00771C74" w:rsidRDefault="00092145" w:rsidP="00092145">
                          <w:pPr>
                            <w:pStyle w:val="Huisstijl-AfzendgegevensW1"/>
                            <w:rPr>
                              <w:lang w:val="en-US"/>
                            </w:rPr>
                          </w:pPr>
                          <w:hyperlink r:id="rId1" w:history="1">
                            <w:r w:rsidRPr="00131F15">
                              <w:rPr>
                                <w:rStyle w:val="Hyperlink"/>
                              </w:rPr>
                              <w:t>l.haverkamp@tweedekamer.nl</w:t>
                            </w:r>
                          </w:hyperlink>
                          <w:r>
                            <w:t xml:space="preserve"> </w:t>
                          </w:r>
                          <w:r w:rsidRPr="00771C74">
                            <w:rPr>
                              <w:lang w:val="en-US"/>
                            </w:rPr>
                            <w:t xml:space="preserve">  </w:t>
                          </w:r>
                        </w:p>
                        <w:p w14:paraId="47D3792C" w14:textId="77777777" w:rsidR="00092145" w:rsidRPr="00771C74" w:rsidRDefault="00092145" w:rsidP="00092145">
                          <w:pPr>
                            <w:pStyle w:val="Huisstijl-AfzendgegevensW1"/>
                            <w:jc w:val="left"/>
                            <w:rPr>
                              <w:lang w:val="en-US"/>
                            </w:rPr>
                          </w:pPr>
                        </w:p>
                        <w:p w14:paraId="16DC6FBE" w14:textId="77777777" w:rsidR="00092145" w:rsidRPr="00771C74" w:rsidRDefault="00092145" w:rsidP="00092145">
                          <w:pPr>
                            <w:pStyle w:val="Huisstijl-Afzendgegevens"/>
                            <w:rPr>
                              <w:szCs w:val="13"/>
                              <w:lang w:val="en-US"/>
                            </w:rPr>
                          </w:pPr>
                          <w:r w:rsidRPr="00771C74">
                            <w:rPr>
                              <w:szCs w:val="13"/>
                              <w:lang w:val="en-US"/>
                            </w:rPr>
                            <w:t xml:space="preserve">  </w:t>
                          </w:r>
                        </w:p>
                        <w:p w14:paraId="21B78EF0" w14:textId="77777777" w:rsidR="00092145" w:rsidRPr="00F1713A" w:rsidRDefault="00092145" w:rsidP="00092145">
                          <w:pPr>
                            <w:pStyle w:val="Huisstijl-AfzendgegevensW1"/>
                            <w:tabs>
                              <w:tab w:val="left" w:pos="-13750"/>
                            </w:tabs>
                            <w:rPr>
                              <w:szCs w:val="13"/>
                              <w:lang w:val="fr-F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84742DF" id="Tekstvak 9" o:spid="_x0000_s1028" type="#_x0000_t202" style="position:absolute;margin-left:476pt;margin-top:60pt;width:104.5pt;height:192.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" filled="f" stroked="f" strokeweight=".5pt">
              <v:textbox style="mso-fit-shape-to-text:t" inset="0,0,0,0">
                <w:txbxContent>
                  <w:p w14:paraId="60AE6102" w14:textId="2B3BDEA9" w:rsidR="00092145" w:rsidRPr="00092145" w:rsidRDefault="00092145" w:rsidP="00092145">
                    <w:pPr>
                      <w:pStyle w:val="Huisstijl-AfzendgegevensW1"/>
                    </w:pPr>
                    <w:r w:rsidRPr="00092145">
                      <w:t xml:space="preserve">L.S. </w:t>
                    </w:r>
                    <w:r w:rsidRPr="00092145">
                      <w:t>H</w:t>
                    </w:r>
                    <w:r w:rsidRPr="00092145">
                      <w:t>a</w:t>
                    </w:r>
                    <w:r>
                      <w:t xml:space="preserve">verkamp </w:t>
                    </w:r>
                  </w:p>
                  <w:p w14:paraId="1CCC625F" w14:textId="77777777" w:rsidR="00092145" w:rsidRPr="00092145" w:rsidRDefault="00092145" w:rsidP="00092145">
                    <w:pPr>
                      <w:pStyle w:val="Huisstijl-AfzendgegevensW1"/>
                    </w:pPr>
                    <w:r w:rsidRPr="00092145">
                      <w:t>EU-adviseur</w:t>
                    </w:r>
                  </w:p>
                  <w:p w14:paraId="67E6856A" w14:textId="4F26BCF9" w:rsidR="00092145" w:rsidRPr="00771C74" w:rsidRDefault="00092145" w:rsidP="00092145">
                    <w:pPr>
                      <w:pStyle w:val="Huisstijl-AfzendgegevensW1"/>
                      <w:rPr>
                        <w:lang w:val="en-US"/>
                      </w:rPr>
                    </w:pPr>
                    <w:r>
                      <w:rPr>
                        <w:lang w:val="en-US"/>
                      </w:rPr>
                      <w:t>+31 611957966</w:t>
                    </w:r>
                  </w:p>
                  <w:p w14:paraId="3BB27230" w14:textId="58EA80DF" w:rsidR="00092145" w:rsidRPr="00771C74" w:rsidRDefault="00092145" w:rsidP="00092145">
                    <w:pPr>
                      <w:pStyle w:val="Huisstijl-AfzendgegevensW1"/>
                      <w:rPr>
                        <w:lang w:val="en-US"/>
                      </w:rPr>
                    </w:pPr>
                    <w:hyperlink r:id="rId2" w:history="1">
                      <w:r w:rsidRPr="00131F15">
                        <w:rPr>
                          <w:rStyle w:val="Hyperlink"/>
                        </w:rPr>
                        <w:t>l.haverkamp@tweedekamer.nl</w:t>
                      </w:r>
                    </w:hyperlink>
                    <w:r>
                      <w:t xml:space="preserve"> </w:t>
                    </w:r>
                    <w:r w:rsidRPr="00771C74">
                      <w:rPr>
                        <w:lang w:val="en-US"/>
                      </w:rPr>
                      <w:t xml:space="preserve">  </w:t>
                    </w:r>
                  </w:p>
                  <w:p w14:paraId="47D3792C" w14:textId="77777777" w:rsidR="00092145" w:rsidRPr="00771C74" w:rsidRDefault="00092145" w:rsidP="00092145">
                    <w:pPr>
                      <w:pStyle w:val="Huisstijl-AfzendgegevensW1"/>
                      <w:jc w:val="left"/>
                      <w:rPr>
                        <w:lang w:val="en-US"/>
                      </w:rPr>
                    </w:pPr>
                  </w:p>
                  <w:p w14:paraId="16DC6FBE" w14:textId="77777777" w:rsidR="00092145" w:rsidRPr="00771C74" w:rsidRDefault="00092145" w:rsidP="00092145">
                    <w:pPr>
                      <w:pStyle w:val="Huisstijl-Afzendgegevens"/>
                      <w:rPr>
                        <w:szCs w:val="13"/>
                        <w:lang w:val="en-US"/>
                      </w:rPr>
                    </w:pPr>
                    <w:r w:rsidRPr="00771C74">
                      <w:rPr>
                        <w:szCs w:val="13"/>
                        <w:lang w:val="en-US"/>
                      </w:rPr>
                      <w:t xml:space="preserve">  </w:t>
                    </w:r>
                  </w:p>
                  <w:p w14:paraId="21B78EF0" w14:textId="77777777" w:rsidR="00092145" w:rsidRPr="00F1713A" w:rsidRDefault="00092145" w:rsidP="00092145">
                    <w:pPr>
                      <w:pStyle w:val="Huisstijl-AfzendgegevensW1"/>
                      <w:tabs>
                        <w:tab w:val="left" w:pos="-13750"/>
                      </w:tabs>
                      <w:rPr>
                        <w:szCs w:val="13"/>
                        <w:lang w:val="fr-FR"/>
                      </w:rPr>
                    </w:pPr>
                  </w:p>
                </w:txbxContent>
              </v:textbox>
              <w10:wrap anchorx="page" anchory="page"/>
            </v:shape>
          </w:pict>
        </mc:Fallback>
      </mc:AlternateContent>
    </w:r>
    <w:r w:rsidRPr="00E66715">
      <w:rPr>
        <w:rFonts w:ascii="Verdana" w:eastAsia="Calibri" w:hAnsi="Verdana"/>
        <w:b/>
        <w:noProof/>
        <w:sz w:val="18"/>
        <w:szCs w:val="22"/>
      </w:rPr>
      <w:drawing>
        <wp:anchor distT="0" distB="0" distL="114300" distR="114300" simplePos="0" relativeHeight="251661312" behindDoc="1" locked="0" layoutInCell="1" allowOverlap="1" wp14:anchorId="6F9EB2BF" wp14:editId="723F3AAC">
          <wp:simplePos x="0" y="0"/>
          <wp:positionH relativeFrom="page">
            <wp:posOffset>233045</wp:posOffset>
          </wp:positionH>
          <wp:positionV relativeFrom="page">
            <wp:posOffset>145415</wp:posOffset>
          </wp:positionV>
          <wp:extent cx="431800" cy="1238250"/>
          <wp:effectExtent l="0" t="0" r="635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31800" cy="1238250"/>
                  </a:xfrm>
                  <a:prstGeom prst="rect">
                    <a:avLst/>
                  </a:prstGeom>
                </pic:spPr>
              </pic:pic>
            </a:graphicData>
          </a:graphic>
          <wp14:sizeRelH relativeFrom="page">
            <wp14:pctWidth>0</wp14:pctWidth>
          </wp14:sizeRelH>
          <wp14:sizeRelV relativeFrom="page">
            <wp14:pctHeight>0</wp14:pctHeight>
          </wp14:sizeRelV>
        </wp:anchor>
      </w:drawing>
    </w:r>
    <w:r w:rsidRPr="00E66715">
      <w:rPr>
        <w:rFonts w:ascii="Verdana" w:eastAsia="Calibri" w:hAnsi="Verdana"/>
        <w:b/>
        <w:noProof/>
        <w:sz w:val="18"/>
        <w:szCs w:val="22"/>
      </w:rPr>
      <w:drawing>
        <wp:anchor distT="0" distB="0" distL="114300" distR="114300" simplePos="0" relativeHeight="251659264" behindDoc="1" locked="0" layoutInCell="1" allowOverlap="1" wp14:anchorId="11CB81D1" wp14:editId="5AB0E404">
          <wp:simplePos x="0" y="0"/>
          <wp:positionH relativeFrom="page">
            <wp:posOffset>741045</wp:posOffset>
          </wp:positionH>
          <wp:positionV relativeFrom="page">
            <wp:posOffset>183515</wp:posOffset>
          </wp:positionV>
          <wp:extent cx="3070225" cy="123825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70225" cy="12382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0E3D"/>
    <w:multiLevelType w:val="hybridMultilevel"/>
    <w:tmpl w:val="C7AA64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17E68DA"/>
    <w:multiLevelType w:val="hybridMultilevel"/>
    <w:tmpl w:val="C7AA64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1D16504"/>
    <w:multiLevelType w:val="hybridMultilevel"/>
    <w:tmpl w:val="0BAC2A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C60971"/>
    <w:multiLevelType w:val="hybridMultilevel"/>
    <w:tmpl w:val="905E02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A31DE7"/>
    <w:multiLevelType w:val="multilevel"/>
    <w:tmpl w:val="CE4CD338"/>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5" w15:restartNumberingAfterBreak="0">
    <w:nsid w:val="2F2670A0"/>
    <w:multiLevelType w:val="hybridMultilevel"/>
    <w:tmpl w:val="C7AA64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0AB4CF5"/>
    <w:multiLevelType w:val="hybridMultilevel"/>
    <w:tmpl w:val="C7AA64D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535A687E"/>
    <w:multiLevelType w:val="hybridMultilevel"/>
    <w:tmpl w:val="0B6EE9C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988510890">
    <w:abstractNumId w:val="4"/>
  </w:num>
  <w:num w:numId="2" w16cid:durableId="570163649">
    <w:abstractNumId w:val="3"/>
  </w:num>
  <w:num w:numId="3" w16cid:durableId="1081172474">
    <w:abstractNumId w:val="2"/>
  </w:num>
  <w:num w:numId="4" w16cid:durableId="5175438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82363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6215865">
    <w:abstractNumId w:val="0"/>
  </w:num>
  <w:num w:numId="7" w16cid:durableId="997612641">
    <w:abstractNumId w:val="1"/>
  </w:num>
  <w:num w:numId="8" w16cid:durableId="21036050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45"/>
    <w:rsid w:val="0002664C"/>
    <w:rsid w:val="00073867"/>
    <w:rsid w:val="00092145"/>
    <w:rsid w:val="00156508"/>
    <w:rsid w:val="001C0B28"/>
    <w:rsid w:val="00284A38"/>
    <w:rsid w:val="00561B6E"/>
    <w:rsid w:val="005925A5"/>
    <w:rsid w:val="005A7BE6"/>
    <w:rsid w:val="00694C6D"/>
    <w:rsid w:val="006C1878"/>
    <w:rsid w:val="007F006C"/>
    <w:rsid w:val="00807C62"/>
    <w:rsid w:val="008610D3"/>
    <w:rsid w:val="008F45B5"/>
    <w:rsid w:val="00A471DB"/>
    <w:rsid w:val="00A94E53"/>
    <w:rsid w:val="00DE56E9"/>
    <w:rsid w:val="00F616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74C80"/>
  <w15:chartTrackingRefBased/>
  <w15:docId w15:val="{B1BED9F4-9D0F-4153-8585-DABEA7E37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92145"/>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0921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921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921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21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921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9214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214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214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214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21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921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921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921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921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921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21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21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2145"/>
    <w:rPr>
      <w:rFonts w:eastAsiaTheme="majorEastAsia" w:cstheme="majorBidi"/>
      <w:color w:val="272727" w:themeColor="text1" w:themeTint="D8"/>
    </w:rPr>
  </w:style>
  <w:style w:type="paragraph" w:styleId="Titel">
    <w:name w:val="Title"/>
    <w:basedOn w:val="Standaard"/>
    <w:next w:val="Standaard"/>
    <w:link w:val="TitelChar"/>
    <w:uiPriority w:val="10"/>
    <w:qFormat/>
    <w:rsid w:val="0009214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21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21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21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21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2145"/>
    <w:rPr>
      <w:i/>
      <w:iCs/>
      <w:color w:val="404040" w:themeColor="text1" w:themeTint="BF"/>
    </w:rPr>
  </w:style>
  <w:style w:type="paragraph" w:styleId="Lijstalinea">
    <w:name w:val="List Paragraph"/>
    <w:basedOn w:val="Standaard"/>
    <w:uiPriority w:val="34"/>
    <w:qFormat/>
    <w:rsid w:val="00092145"/>
    <w:pPr>
      <w:ind w:left="720"/>
      <w:contextualSpacing/>
    </w:pPr>
  </w:style>
  <w:style w:type="character" w:styleId="Intensievebenadrukking">
    <w:name w:val="Intense Emphasis"/>
    <w:basedOn w:val="Standaardalinea-lettertype"/>
    <w:uiPriority w:val="21"/>
    <w:qFormat/>
    <w:rsid w:val="00092145"/>
    <w:rPr>
      <w:i/>
      <w:iCs/>
      <w:color w:val="0F4761" w:themeColor="accent1" w:themeShade="BF"/>
    </w:rPr>
  </w:style>
  <w:style w:type="paragraph" w:styleId="Duidelijkcitaat">
    <w:name w:val="Intense Quote"/>
    <w:basedOn w:val="Standaard"/>
    <w:next w:val="Standaard"/>
    <w:link w:val="DuidelijkcitaatChar"/>
    <w:uiPriority w:val="30"/>
    <w:qFormat/>
    <w:rsid w:val="000921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92145"/>
    <w:rPr>
      <w:i/>
      <w:iCs/>
      <w:color w:val="0F4761" w:themeColor="accent1" w:themeShade="BF"/>
    </w:rPr>
  </w:style>
  <w:style w:type="character" w:styleId="Intensieveverwijzing">
    <w:name w:val="Intense Reference"/>
    <w:basedOn w:val="Standaardalinea-lettertype"/>
    <w:uiPriority w:val="32"/>
    <w:qFormat/>
    <w:rsid w:val="00092145"/>
    <w:rPr>
      <w:b/>
      <w:bCs/>
      <w:smallCaps/>
      <w:color w:val="0F4761" w:themeColor="accent1" w:themeShade="BF"/>
      <w:spacing w:val="5"/>
    </w:rPr>
  </w:style>
  <w:style w:type="paragraph" w:styleId="Koptekst">
    <w:name w:val="header"/>
    <w:basedOn w:val="Standaard"/>
    <w:link w:val="KoptekstChar"/>
    <w:uiPriority w:val="99"/>
    <w:unhideWhenUsed/>
    <w:rsid w:val="00092145"/>
    <w:pPr>
      <w:tabs>
        <w:tab w:val="center" w:pos="4536"/>
        <w:tab w:val="right" w:pos="9072"/>
      </w:tabs>
    </w:pPr>
  </w:style>
  <w:style w:type="character" w:customStyle="1" w:styleId="KoptekstChar">
    <w:name w:val="Koptekst Char"/>
    <w:basedOn w:val="Standaardalinea-lettertype"/>
    <w:link w:val="Koptekst"/>
    <w:uiPriority w:val="99"/>
    <w:rsid w:val="00092145"/>
  </w:style>
  <w:style w:type="paragraph" w:styleId="Voettekst">
    <w:name w:val="footer"/>
    <w:basedOn w:val="Standaard"/>
    <w:link w:val="VoettekstChar"/>
    <w:uiPriority w:val="99"/>
    <w:unhideWhenUsed/>
    <w:rsid w:val="00092145"/>
    <w:pPr>
      <w:tabs>
        <w:tab w:val="center" w:pos="4536"/>
        <w:tab w:val="right" w:pos="9072"/>
      </w:tabs>
    </w:pPr>
  </w:style>
  <w:style w:type="character" w:customStyle="1" w:styleId="VoettekstChar">
    <w:name w:val="Voettekst Char"/>
    <w:basedOn w:val="Standaardalinea-lettertype"/>
    <w:link w:val="Voettekst"/>
    <w:uiPriority w:val="99"/>
    <w:rsid w:val="00092145"/>
  </w:style>
  <w:style w:type="paragraph" w:customStyle="1" w:styleId="Huisstijl-Afzendgegevens">
    <w:name w:val="Huisstijl - Afzendgegevens"/>
    <w:basedOn w:val="Standaard"/>
    <w:uiPriority w:val="99"/>
    <w:rsid w:val="00092145"/>
    <w:pPr>
      <w:widowControl w:val="0"/>
      <w:tabs>
        <w:tab w:val="left" w:pos="170"/>
      </w:tabs>
      <w:suppressAutoHyphens/>
      <w:autoSpaceDN w:val="0"/>
      <w:spacing w:line="200" w:lineRule="exact"/>
      <w:jc w:val="right"/>
      <w:textAlignment w:val="baseline"/>
    </w:pPr>
    <w:rPr>
      <w:rFonts w:ascii="Verdana" w:eastAsia="Calibri" w:hAnsi="Verdana" w:cs="Lohit Hindi"/>
      <w:kern w:val="3"/>
      <w:sz w:val="13"/>
      <w:lang w:eastAsia="zh-CN" w:bidi="hi-IN"/>
    </w:rPr>
  </w:style>
  <w:style w:type="paragraph" w:customStyle="1" w:styleId="Huisstijl-AfzendgegevensW1">
    <w:name w:val="Huisstijl - Afzendgegevens W1"/>
    <w:basedOn w:val="Huisstijl-Afzendgegevens"/>
    <w:uiPriority w:val="99"/>
    <w:rsid w:val="00092145"/>
    <w:pPr>
      <w:spacing w:before="90"/>
    </w:pPr>
  </w:style>
  <w:style w:type="character" w:styleId="Hyperlink">
    <w:name w:val="Hyperlink"/>
    <w:basedOn w:val="Standaardalinea-lettertype"/>
    <w:rsid w:val="00092145"/>
    <w:rPr>
      <w:color w:val="467886" w:themeColor="hyperlink"/>
      <w:u w:val="single"/>
    </w:rPr>
  </w:style>
  <w:style w:type="character" w:styleId="Onopgelostemelding">
    <w:name w:val="Unresolved Mention"/>
    <w:basedOn w:val="Standaardalinea-lettertype"/>
    <w:uiPriority w:val="99"/>
    <w:semiHidden/>
    <w:unhideWhenUsed/>
    <w:rsid w:val="00092145"/>
    <w:rPr>
      <w:color w:val="605E5C"/>
      <w:shd w:val="clear" w:color="auto" w:fill="E1DFDD"/>
    </w:rPr>
  </w:style>
  <w:style w:type="paragraph" w:customStyle="1" w:styleId="Huisstijl-Agendatitel">
    <w:name w:val="Huisstijl - Agendatitel"/>
    <w:basedOn w:val="Standaard"/>
    <w:qFormat/>
    <w:rsid w:val="00092145"/>
    <w:pPr>
      <w:framePr w:w="6538" w:hSpace="181" w:wrap="notBeside" w:vAnchor="page" w:hAnchor="page" w:x="681" w:y="3044"/>
      <w:shd w:val="solid" w:color="FFFFFF" w:fill="FFFFFF"/>
      <w:tabs>
        <w:tab w:val="left" w:pos="1418"/>
      </w:tabs>
      <w:ind w:left="1417" w:hanging="788"/>
    </w:pPr>
    <w:rPr>
      <w:rFonts w:ascii="Verdana" w:eastAsia="Calibri" w:hAnsi="Verdana"/>
      <w:b/>
      <w:sz w:val="16"/>
      <w:szCs w:val="16"/>
    </w:rPr>
  </w:style>
  <w:style w:type="paragraph" w:customStyle="1" w:styleId="Huisstijl-Notitiegegevens">
    <w:name w:val="Huisstijl - Notitiegegevens"/>
    <w:rsid w:val="00092145"/>
    <w:pPr>
      <w:tabs>
        <w:tab w:val="right" w:pos="1151"/>
        <w:tab w:val="left" w:pos="1264"/>
      </w:tabs>
      <w:spacing w:after="0" w:line="199" w:lineRule="exact"/>
      <w:ind w:left="1440" w:hanging="1440"/>
      <w:contextualSpacing/>
    </w:pPr>
    <w:rPr>
      <w:rFonts w:ascii="Verdana" w:eastAsia="Calibri" w:hAnsi="Verdana" w:cs="Times New Roman"/>
      <w:noProof/>
      <w:kern w:val="0"/>
      <w:sz w:val="13"/>
      <w:szCs w:val="13"/>
      <w14:ligatures w14:val="none"/>
    </w:rPr>
  </w:style>
  <w:style w:type="paragraph" w:customStyle="1" w:styleId="Huisstijl-AgendagegevensW1">
    <w:name w:val="Huisstijl - Agendagegevens W1"/>
    <w:basedOn w:val="Huisstijl-Notitiegegevens"/>
    <w:qFormat/>
    <w:rsid w:val="00092145"/>
    <w:pPr>
      <w:spacing w:before="90"/>
      <w:contextualSpacing w:val="0"/>
    </w:pPr>
  </w:style>
  <w:style w:type="character" w:styleId="GevolgdeHyperlink">
    <w:name w:val="FollowedHyperlink"/>
    <w:basedOn w:val="Standaardalinea-lettertype"/>
    <w:uiPriority w:val="99"/>
    <w:semiHidden/>
    <w:unhideWhenUsed/>
    <w:rsid w:val="00284A38"/>
    <w:rPr>
      <w:color w:val="96607D" w:themeColor="followedHyperlink"/>
      <w:u w:val="single"/>
    </w:rPr>
  </w:style>
  <w:style w:type="table" w:styleId="Tabelraster">
    <w:name w:val="Table Grid"/>
    <w:basedOn w:val="Standaardtabel"/>
    <w:uiPriority w:val="99"/>
    <w:rsid w:val="0002664C"/>
    <w:pPr>
      <w:spacing w:after="0" w:line="240" w:lineRule="auto"/>
    </w:pPr>
    <w:rPr>
      <w:rFonts w:ascii="Calibri" w:eastAsia="Calibri" w:hAnsi="Calibri"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and-innovation.ec.europa.eu/strategy/strategy-research-and-innovation/jobs-and-economy/eu-startup-and-scaleup-strategy_e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arlisweb.tweedekamer.nl/parlis/document.aspx?Id=f554009f-6cdd-4f19-8d2a-dfab8b018dbb" TargetMode="External"/><Relationship Id="rId12" Type="http://schemas.openxmlformats.org/officeDocument/2006/relationships/hyperlink" Target="https://commission.europa.eu/topics/competitiveness/competitiveness-compass_n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commission/presscorner/detail/en/ip_25_289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uroparl.europa.eu/committees/en/the-28th-regime-a-new-legal-framework-fo/product-details/20250603WKS06401" TargetMode="External"/><Relationship Id="rId4" Type="http://schemas.openxmlformats.org/officeDocument/2006/relationships/webSettings" Target="webSettings.xml"/><Relationship Id="rId9" Type="http://schemas.openxmlformats.org/officeDocument/2006/relationships/hyperlink" Target="https://commission.europa.eu/topics/competitiveness/competitiveness-compass_n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l.haverkamp@tweedekamer.nl" TargetMode="External"/><Relationship Id="rId1" Type="http://schemas.openxmlformats.org/officeDocument/2006/relationships/hyperlink" Target="mailto:l.haverkamp@tweedekamer.nl" TargetMode="External"/><Relationship Id="rId4"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852</ap:Words>
  <ap:Characters>4687</ap:Characters>
  <ap:DocSecurity>0</ap:DocSecurity>
  <ap:Lines>39</ap:Lines>
  <ap:Paragraphs>11</ap:Paragraphs>
  <ap:ScaleCrop>false</ap:ScaleCrop>
  <ap:LinksUpToDate>false</ap:LinksUpToDate>
  <ap:CharactersWithSpaces>5528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2026-01-06T14:36:00.0000000Z</dcterms:created>
  <dcterms:modified xsi:type="dcterms:W3CDTF">2026-01-06T15:04:00.0000000Z</dcterms:modified>
  <version/>
  <category/>
</coreProperties>
</file>