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5D7" w:rsidRDefault="00901315" w14:paraId="04281341" w14:textId="77777777">
      <w:pPr>
        <w:pStyle w:val="StandaardAanhef"/>
      </w:pPr>
      <w:r>
        <w:t>Geachte voorzitter,</w:t>
      </w:r>
    </w:p>
    <w:p w:rsidRPr="00240AF5" w:rsidR="0014610B" w:rsidP="0014610B" w:rsidRDefault="00C64383" w14:paraId="10775E9C" w14:textId="068493B0">
      <w:r>
        <w:t>Het afgelopen jaar</w:t>
      </w:r>
      <w:r w:rsidRPr="000E18B5">
        <w:t xml:space="preserve"> is in het </w:t>
      </w:r>
      <w:proofErr w:type="spellStart"/>
      <w:r w:rsidRPr="000E18B5">
        <w:t>Inclusive</w:t>
      </w:r>
      <w:proofErr w:type="spellEnd"/>
      <w:r w:rsidRPr="000E18B5">
        <w:t xml:space="preserve"> Framework (IF) van de Organisatie voor Economische Samenwerking en Ontwikkeling (OESO) onderhandeld over </w:t>
      </w:r>
      <w:r w:rsidR="00DF2E10">
        <w:t>de manier waarop</w:t>
      </w:r>
      <w:r w:rsidRPr="000E18B5">
        <w:t xml:space="preserve"> </w:t>
      </w:r>
      <w:r w:rsidR="005A4DBF">
        <w:t>een</w:t>
      </w:r>
      <w:r w:rsidRPr="000E18B5">
        <w:t xml:space="preserve"> belasting</w:t>
      </w:r>
      <w:r w:rsidR="005A4DBF">
        <w:t>stelsel</w:t>
      </w:r>
      <w:r w:rsidRPr="000E18B5">
        <w:t xml:space="preserve"> </w:t>
      </w:r>
      <w:r w:rsidR="005A4DBF">
        <w:t>kan worden gekwalificeerd als equivalent aan</w:t>
      </w:r>
      <w:r w:rsidR="00DF2E10">
        <w:t xml:space="preserve"> </w:t>
      </w:r>
      <w:r w:rsidRPr="000E18B5">
        <w:t>de wereldwijde minimumbelasting voor multinational</w:t>
      </w:r>
      <w:r>
        <w:t>e ondernemingen</w:t>
      </w:r>
      <w:r w:rsidRPr="000E18B5">
        <w:t xml:space="preserve"> (Pijler 2)</w:t>
      </w:r>
      <w:r w:rsidR="005A4DBF">
        <w:t>.</w:t>
      </w:r>
      <w:r w:rsidR="0032374D">
        <w:t xml:space="preserve"> </w:t>
      </w:r>
      <w:r>
        <w:t xml:space="preserve">Dit mede </w:t>
      </w:r>
      <w:r w:rsidRPr="000E18B5">
        <w:t xml:space="preserve">naar aanleiding van de </w:t>
      </w:r>
      <w:r>
        <w:t xml:space="preserve">verklaring van de ministers van Financiën van de </w:t>
      </w:r>
      <w:r w:rsidRPr="000E18B5">
        <w:t>G7-</w:t>
      </w:r>
      <w:r>
        <w:t>landen over ‘wereldwijde minimumbelastingen’</w:t>
      </w:r>
      <w:r w:rsidRPr="000E18B5">
        <w:t xml:space="preserve"> van 28 juni 2025</w:t>
      </w:r>
      <w:r w:rsidR="001C4939">
        <w:t>. Deze verklaring is opgesteld in samenspraak met de</w:t>
      </w:r>
      <w:r w:rsidR="002C4AE4">
        <w:t xml:space="preserve"> Verenigde Staten</w:t>
      </w:r>
      <w:r w:rsidR="001C4939">
        <w:t xml:space="preserve">, in verband met hun zorgen </w:t>
      </w:r>
      <w:r w:rsidR="002C4AE4">
        <w:t>over de samenloop van hun eigen minimumbelasting met Pijler 2.</w:t>
      </w:r>
      <w:r w:rsidRPr="000E18B5">
        <w:rPr>
          <w:rStyle w:val="Voetnootmarkering"/>
        </w:rPr>
        <w:footnoteReference w:id="1"/>
      </w:r>
      <w:r w:rsidRPr="000E18B5">
        <w:t xml:space="preserve"> Ik heb uw Kamer op verschillende momenten geïnformeerd over de status van de onderhandelingen.</w:t>
      </w:r>
      <w:r w:rsidRPr="000E18B5">
        <w:rPr>
          <w:rStyle w:val="Voetnootmarkering"/>
        </w:rPr>
        <w:footnoteReference w:id="2"/>
      </w:r>
      <w:r w:rsidRPr="000E18B5">
        <w:t xml:space="preserve"> Op </w:t>
      </w:r>
      <w:r w:rsidR="00DC056C">
        <w:t>5 januari 2026</w:t>
      </w:r>
      <w:r w:rsidRPr="000E18B5">
        <w:t xml:space="preserve"> is een akkoord bereikt </w:t>
      </w:r>
      <w:r w:rsidR="0081381A">
        <w:t xml:space="preserve">binnen het </w:t>
      </w:r>
      <w:proofErr w:type="spellStart"/>
      <w:r w:rsidR="0081381A">
        <w:t>I</w:t>
      </w:r>
      <w:r w:rsidR="00675BEA">
        <w:t>nclusive</w:t>
      </w:r>
      <w:proofErr w:type="spellEnd"/>
      <w:r w:rsidR="00675BEA">
        <w:t xml:space="preserve"> </w:t>
      </w:r>
      <w:r w:rsidR="0081381A">
        <w:t>F</w:t>
      </w:r>
      <w:r w:rsidR="00675BEA">
        <w:t>ramework</w:t>
      </w:r>
      <w:r w:rsidR="0081381A">
        <w:t xml:space="preserve"> </w:t>
      </w:r>
      <w:r w:rsidRPr="000E18B5">
        <w:t>in de vorm van een zogenoemd ‘Side-</w:t>
      </w:r>
      <w:proofErr w:type="spellStart"/>
      <w:r w:rsidRPr="000E18B5">
        <w:t>by</w:t>
      </w:r>
      <w:proofErr w:type="spellEnd"/>
      <w:r w:rsidRPr="000E18B5">
        <w:t>-Side-pakket’.</w:t>
      </w:r>
      <w:r w:rsidR="00254CEB">
        <w:rPr>
          <w:rStyle w:val="Voetnootmarkering"/>
        </w:rPr>
        <w:footnoteReference w:id="3"/>
      </w:r>
      <w:r w:rsidRPr="000E18B5">
        <w:t xml:space="preserve"> </w:t>
      </w:r>
      <w:r w:rsidR="00910E40">
        <w:t>Met</w:t>
      </w:r>
      <w:r w:rsidR="0014610B">
        <w:t xml:space="preserve"> deze brief </w:t>
      </w:r>
      <w:r w:rsidR="00C75418">
        <w:t>informeer</w:t>
      </w:r>
      <w:r w:rsidR="0014610B">
        <w:t xml:space="preserve"> ik </w:t>
      </w:r>
      <w:r w:rsidR="00C75418">
        <w:t xml:space="preserve">u over dit </w:t>
      </w:r>
      <w:r w:rsidR="0014610B">
        <w:t>akkoord</w:t>
      </w:r>
      <w:r w:rsidR="00402933">
        <w:t>, in lijn met de toezegging aan uw Kamer</w:t>
      </w:r>
      <w:r w:rsidR="0014610B">
        <w:t>.</w:t>
      </w:r>
      <w:r w:rsidR="00402933">
        <w:rPr>
          <w:rStyle w:val="Voetnootmarkering"/>
        </w:rPr>
        <w:footnoteReference w:id="4"/>
      </w:r>
      <w:r w:rsidRPr="0014610B" w:rsidR="0014610B">
        <w:t xml:space="preserve"> </w:t>
      </w:r>
    </w:p>
    <w:p w:rsidRPr="000E18B5" w:rsidR="00C64383" w:rsidP="00C64383" w:rsidRDefault="00C64383" w14:paraId="4E7550C7" w14:textId="77777777"/>
    <w:p w:rsidR="00C64383" w:rsidP="00C64383" w:rsidRDefault="00C64383" w14:paraId="05A8AE6D" w14:textId="77777777">
      <w:r>
        <w:t>Het Side-</w:t>
      </w:r>
      <w:proofErr w:type="spellStart"/>
      <w:r>
        <w:t>by</w:t>
      </w:r>
      <w:proofErr w:type="spellEnd"/>
      <w:r>
        <w:t xml:space="preserve">-Side-pakket bevat maatregelen waarmee bepaalde belastingstelsels onder voorwaarden kunnen worden </w:t>
      </w:r>
      <w:r w:rsidR="00202B06">
        <w:t xml:space="preserve">gekwalificeerd als equivalent aan </w:t>
      </w:r>
      <w:r>
        <w:t>Pijler 2. Daarnaast</w:t>
      </w:r>
      <w:r w:rsidRPr="000E18B5">
        <w:t xml:space="preserve"> </w:t>
      </w:r>
      <w:r>
        <w:t xml:space="preserve">bevat het </w:t>
      </w:r>
      <w:r w:rsidRPr="000E18B5">
        <w:t xml:space="preserve">pakket </w:t>
      </w:r>
      <w:r w:rsidR="00071028">
        <w:t>afspraken over</w:t>
      </w:r>
      <w:r w:rsidRPr="000E18B5">
        <w:t xml:space="preserve"> </w:t>
      </w:r>
      <w:r w:rsidR="001E7868">
        <w:t xml:space="preserve">een </w:t>
      </w:r>
      <w:r w:rsidRPr="000E18B5">
        <w:t xml:space="preserve">gunstigere behandeling </w:t>
      </w:r>
      <w:r w:rsidR="00E532BC">
        <w:t xml:space="preserve">onder Pijler 2 </w:t>
      </w:r>
      <w:r w:rsidRPr="000E18B5">
        <w:t xml:space="preserve">van bepaalde </w:t>
      </w:r>
      <w:r>
        <w:t xml:space="preserve">fiscale </w:t>
      </w:r>
      <w:r w:rsidR="00402933">
        <w:t>regelingen</w:t>
      </w:r>
      <w:r w:rsidRPr="000E18B5" w:rsidR="00402933">
        <w:t xml:space="preserve"> </w:t>
      </w:r>
      <w:r w:rsidR="00E532BC">
        <w:t xml:space="preserve">voor bedrijven met reële economische activiteit. </w:t>
      </w:r>
      <w:r w:rsidR="00DF2E10">
        <w:t>Ten</w:t>
      </w:r>
      <w:r w:rsidR="00C56FDE">
        <w:t xml:space="preserve"> </w:t>
      </w:r>
      <w:r w:rsidR="00DF2E10">
        <w:t xml:space="preserve">slotte bevat het akkoord </w:t>
      </w:r>
      <w:r>
        <w:t>ook</w:t>
      </w:r>
      <w:r w:rsidRPr="000E18B5">
        <w:t xml:space="preserve"> vereenvoudigingsmaatregelen. In deze brief zal ik eerst ingaan op de context van de onderhandelingen en de Nederlandse inzet (paragraaf 1). Vervolgens zal ik de verschillende aspecten van het Side-</w:t>
      </w:r>
      <w:proofErr w:type="spellStart"/>
      <w:r w:rsidRPr="000E18B5">
        <w:t>by</w:t>
      </w:r>
      <w:proofErr w:type="spellEnd"/>
      <w:r w:rsidRPr="000E18B5">
        <w:t xml:space="preserve">-Side-pakket </w:t>
      </w:r>
      <w:r w:rsidRPr="00AE4E62">
        <w:t xml:space="preserve">uitlichten </w:t>
      </w:r>
      <w:r w:rsidRPr="00F90606">
        <w:t>en appreciëren</w:t>
      </w:r>
      <w:r w:rsidRPr="000E18B5">
        <w:t xml:space="preserve"> (paragraaf 2). In paragraaf 3 beschrijf ik de Nederlandse appreciatie van het totaalpakket, inclusief budgettaire implicaties. Ik rond af met een beschrijving van het vervolgproces in paragraaf 4. </w:t>
      </w:r>
    </w:p>
    <w:p w:rsidRPr="000E18B5" w:rsidR="00C91D7D" w:rsidP="00C64383" w:rsidRDefault="00C91D7D" w14:paraId="33382DB1" w14:textId="77777777"/>
    <w:p w:rsidRPr="000E18B5" w:rsidR="00C64383" w:rsidP="00C64383" w:rsidRDefault="00C64383" w14:paraId="0D3DAB95" w14:textId="77777777">
      <w:pPr>
        <w:pStyle w:val="Lijstalinea"/>
        <w:numPr>
          <w:ilvl w:val="0"/>
          <w:numId w:val="7"/>
        </w:numPr>
        <w:spacing w:after="0"/>
        <w:rPr>
          <w:rFonts w:ascii="Verdana" w:hAnsi="Verdana"/>
          <w:b/>
          <w:bCs/>
          <w:sz w:val="18"/>
          <w:szCs w:val="18"/>
        </w:rPr>
      </w:pPr>
      <w:r w:rsidRPr="000E18B5">
        <w:rPr>
          <w:rFonts w:ascii="Verdana" w:hAnsi="Verdana"/>
          <w:b/>
          <w:bCs/>
          <w:sz w:val="18"/>
          <w:szCs w:val="18"/>
        </w:rPr>
        <w:t>Context onderhandelingen en Nederlandse inzet</w:t>
      </w:r>
    </w:p>
    <w:p w:rsidRPr="000E18B5" w:rsidR="00C64383" w:rsidP="00C64383" w:rsidRDefault="00C64383" w14:paraId="11EC2329" w14:textId="77777777">
      <w:pPr>
        <w:pStyle w:val="Lijstalinea"/>
        <w:spacing w:after="0"/>
        <w:ind w:left="705"/>
        <w:rPr>
          <w:rFonts w:ascii="Verdana" w:hAnsi="Verdana"/>
          <w:b/>
          <w:bCs/>
          <w:sz w:val="18"/>
          <w:szCs w:val="18"/>
        </w:rPr>
      </w:pPr>
    </w:p>
    <w:p w:rsidRPr="000E18B5" w:rsidR="00C64383" w:rsidP="00C64383" w:rsidRDefault="00C64383" w14:paraId="2B0D9FEE" w14:textId="77777777">
      <w:pPr>
        <w:pStyle w:val="Lijstalinea"/>
        <w:numPr>
          <w:ilvl w:val="1"/>
          <w:numId w:val="8"/>
        </w:numPr>
        <w:spacing w:after="0"/>
        <w:rPr>
          <w:rFonts w:ascii="Verdana" w:hAnsi="Verdana"/>
          <w:b/>
          <w:bCs/>
          <w:sz w:val="18"/>
          <w:szCs w:val="18"/>
        </w:rPr>
      </w:pPr>
      <w:r w:rsidRPr="000E18B5">
        <w:rPr>
          <w:rFonts w:ascii="Verdana" w:hAnsi="Verdana"/>
          <w:b/>
          <w:bCs/>
          <w:sz w:val="18"/>
          <w:szCs w:val="18"/>
        </w:rPr>
        <w:t xml:space="preserve">Context Pijler 2 </w:t>
      </w:r>
    </w:p>
    <w:p w:rsidRPr="000E18B5" w:rsidR="00C64383" w:rsidP="00C64383" w:rsidRDefault="00C64383" w14:paraId="44BD449A" w14:textId="77777777"/>
    <w:p w:rsidR="00C64383" w:rsidP="00C64383" w:rsidRDefault="00C64383" w14:paraId="2BFDAB4D" w14:textId="77777777">
      <w:r w:rsidRPr="000E18B5">
        <w:t xml:space="preserve">Pijler 2 </w:t>
      </w:r>
      <w:r w:rsidR="00DF2E10">
        <w:t>zorgt ervoor</w:t>
      </w:r>
      <w:r w:rsidRPr="000E18B5">
        <w:t xml:space="preserve"> dat multinationale groepen met een omzet van ten minste €</w:t>
      </w:r>
      <w:r w:rsidR="004D53FE">
        <w:t> </w:t>
      </w:r>
      <w:r w:rsidRPr="000E18B5">
        <w:t xml:space="preserve">750 miljoen euro altijd ten minste effectief 15% aan belasting over hun winst betalen. Pijler 2 voorziet in een </w:t>
      </w:r>
      <w:proofErr w:type="spellStart"/>
      <w:r w:rsidRPr="000E18B5">
        <w:t>bijheffing</w:t>
      </w:r>
      <w:proofErr w:type="spellEnd"/>
      <w:r w:rsidRPr="000E18B5">
        <w:t xml:space="preserve"> als in een </w:t>
      </w:r>
      <w:r w:rsidR="001E7868">
        <w:t>jurisdictie</w:t>
      </w:r>
      <w:r w:rsidRPr="000E18B5" w:rsidR="001E7868">
        <w:t xml:space="preserve"> </w:t>
      </w:r>
      <w:r w:rsidRPr="000E18B5">
        <w:t xml:space="preserve">te weinig winstbelasting is betaald. </w:t>
      </w:r>
      <w:r>
        <w:t xml:space="preserve">Het doel van Pijler 2 is tweeledig. Ten eerste beoogt Pijler 2 de prikkel voor bedrijven te verminderen om winst te verschuiven naar </w:t>
      </w:r>
      <w:proofErr w:type="spellStart"/>
      <w:r>
        <w:t>laagbelastende</w:t>
      </w:r>
      <w:proofErr w:type="spellEnd"/>
      <w:r>
        <w:t xml:space="preserve"> </w:t>
      </w:r>
      <w:r w:rsidR="001E7868">
        <w:t>jurisdicties</w:t>
      </w:r>
      <w:r>
        <w:t xml:space="preserve">. Ten tweede beoogt Pijler 2 een ondergrens te stellen aan belastingconcurrentie tussen </w:t>
      </w:r>
      <w:r w:rsidR="001E7868">
        <w:t>jurisdicties</w:t>
      </w:r>
      <w:r>
        <w:t xml:space="preserve">. Hiermee wordt een race naar de bodem in de winstbelasting voorkomen en een gelijker speelveld gecreëerd voor internationaal opererende bedrijven. </w:t>
      </w:r>
      <w:r w:rsidRPr="000E18B5">
        <w:t xml:space="preserve">Pijler 2 </w:t>
      </w:r>
      <w:r>
        <w:t xml:space="preserve">zorgt </w:t>
      </w:r>
      <w:r w:rsidRPr="000E18B5">
        <w:t>daarmee</w:t>
      </w:r>
      <w:r>
        <w:t xml:space="preserve"> voor</w:t>
      </w:r>
      <w:r w:rsidRPr="000E18B5">
        <w:t xml:space="preserve"> een wereldwijd minimumniveau van belastingheffing voor multinationale groepen.</w:t>
      </w:r>
      <w:r>
        <w:t xml:space="preserve"> De Pijler 2-maatregelen zijn opgenomen in de </w:t>
      </w:r>
      <w:r w:rsidRPr="006A0C37">
        <w:t xml:space="preserve">Wet minimumbelasting 2024 </w:t>
      </w:r>
      <w:r w:rsidR="007A7253">
        <w:t>die</w:t>
      </w:r>
      <w:r>
        <w:t xml:space="preserve"> </w:t>
      </w:r>
      <w:r w:rsidRPr="006A0C37">
        <w:t xml:space="preserve">op 31 december 2023 in werking </w:t>
      </w:r>
      <w:r w:rsidR="007A7253">
        <w:t xml:space="preserve">is </w:t>
      </w:r>
      <w:r w:rsidRPr="006A0C37">
        <w:t xml:space="preserve">getreden. Met deze wet is </w:t>
      </w:r>
      <w:r w:rsidR="00760664">
        <w:t xml:space="preserve">de </w:t>
      </w:r>
      <w:r w:rsidRPr="006A0C37">
        <w:t>EU-richtlijn minimumniveau van belastingheffing</w:t>
      </w:r>
      <w:r w:rsidR="00E65530">
        <w:rPr>
          <w:rStyle w:val="Voetnootmarkering"/>
        </w:rPr>
        <w:footnoteReference w:id="5"/>
      </w:r>
      <w:r w:rsidRPr="006A0C37">
        <w:t xml:space="preserve"> geïmplementeer</w:t>
      </w:r>
      <w:r>
        <w:t xml:space="preserve">d. </w:t>
      </w:r>
      <w:r w:rsidRPr="006A0C37">
        <w:t xml:space="preserve">Deze richtlijn is gebaseerd op de modelregels van de </w:t>
      </w:r>
      <w:r>
        <w:t>OESO</w:t>
      </w:r>
      <w:r w:rsidRPr="006A0C37">
        <w:t xml:space="preserve"> zoals aangenomen door het </w:t>
      </w:r>
      <w:proofErr w:type="spellStart"/>
      <w:r>
        <w:t>I</w:t>
      </w:r>
      <w:r w:rsidR="007D0115">
        <w:t>nclusive</w:t>
      </w:r>
      <w:proofErr w:type="spellEnd"/>
      <w:r w:rsidR="007D0115">
        <w:t xml:space="preserve"> Framework</w:t>
      </w:r>
      <w:r>
        <w:t xml:space="preserve"> </w:t>
      </w:r>
      <w:r w:rsidRPr="006A0C37">
        <w:t>op 14 december 2021 en komt daarmee in hoofdzaak overeen.</w:t>
      </w:r>
    </w:p>
    <w:p w:rsidR="00C64383" w:rsidP="00C64383" w:rsidRDefault="00C64383" w14:paraId="3DA17D44" w14:textId="77777777"/>
    <w:p w:rsidR="00C64383" w:rsidP="00C64383" w:rsidRDefault="00C64383" w14:paraId="774F80CD" w14:textId="77777777">
      <w:r>
        <w:t xml:space="preserve">De Pijler 2-maatregelen </w:t>
      </w:r>
      <w:r w:rsidR="00EC2E7B">
        <w:t>bestaan uit</w:t>
      </w:r>
      <w:r>
        <w:t xml:space="preserve"> drie </w:t>
      </w:r>
      <w:r w:rsidR="00760664">
        <w:t xml:space="preserve">manieren </w:t>
      </w:r>
      <w:r>
        <w:t xml:space="preserve">van </w:t>
      </w:r>
      <w:proofErr w:type="spellStart"/>
      <w:r>
        <w:t>bijheffing</w:t>
      </w:r>
      <w:proofErr w:type="spellEnd"/>
      <w:r>
        <w:t xml:space="preserve">, namelijk de binnenlandse </w:t>
      </w:r>
      <w:proofErr w:type="spellStart"/>
      <w:r>
        <w:t>bijheffing</w:t>
      </w:r>
      <w:r w:rsidR="00EC2E7B">
        <w:t>smaatregel</w:t>
      </w:r>
      <w:proofErr w:type="spellEnd"/>
      <w:r>
        <w:t xml:space="preserve"> (</w:t>
      </w:r>
      <w:proofErr w:type="spellStart"/>
      <w:r w:rsidRPr="00F90606">
        <w:rPr>
          <w:i/>
          <w:iCs/>
        </w:rPr>
        <w:t>Domestic</w:t>
      </w:r>
      <w:proofErr w:type="spellEnd"/>
      <w:r w:rsidRPr="00F90606">
        <w:rPr>
          <w:i/>
          <w:iCs/>
        </w:rPr>
        <w:t xml:space="preserve"> Minimum Top-up Tax</w:t>
      </w:r>
      <w:r>
        <w:t xml:space="preserve"> (DMTT)), de inkomen-inclusiemaatregel (</w:t>
      </w:r>
      <w:proofErr w:type="spellStart"/>
      <w:r w:rsidRPr="00F90606">
        <w:rPr>
          <w:i/>
          <w:iCs/>
        </w:rPr>
        <w:t>Income</w:t>
      </w:r>
      <w:proofErr w:type="spellEnd"/>
      <w:r w:rsidRPr="00F90606">
        <w:rPr>
          <w:i/>
          <w:iCs/>
        </w:rPr>
        <w:t xml:space="preserve"> </w:t>
      </w:r>
      <w:proofErr w:type="spellStart"/>
      <w:r w:rsidRPr="00F90606">
        <w:rPr>
          <w:i/>
          <w:iCs/>
        </w:rPr>
        <w:t>Inclusion</w:t>
      </w:r>
      <w:proofErr w:type="spellEnd"/>
      <w:r w:rsidRPr="00F90606">
        <w:rPr>
          <w:i/>
          <w:iCs/>
        </w:rPr>
        <w:t xml:space="preserve"> </w:t>
      </w:r>
      <w:proofErr w:type="spellStart"/>
      <w:r w:rsidRPr="00F90606">
        <w:rPr>
          <w:i/>
          <w:iCs/>
        </w:rPr>
        <w:t>Rule</w:t>
      </w:r>
      <w:proofErr w:type="spellEnd"/>
      <w:r>
        <w:t xml:space="preserve"> (IIR)) en de </w:t>
      </w:r>
      <w:proofErr w:type="spellStart"/>
      <w:r>
        <w:t>onderbelastewinstmaatregel</w:t>
      </w:r>
      <w:proofErr w:type="spellEnd"/>
      <w:r>
        <w:t xml:space="preserve"> (</w:t>
      </w:r>
      <w:proofErr w:type="spellStart"/>
      <w:r w:rsidRPr="00F90606">
        <w:rPr>
          <w:i/>
          <w:iCs/>
        </w:rPr>
        <w:t>Undertaxed</w:t>
      </w:r>
      <w:proofErr w:type="spellEnd"/>
      <w:r w:rsidRPr="00F90606">
        <w:rPr>
          <w:i/>
          <w:iCs/>
        </w:rPr>
        <w:t xml:space="preserve"> </w:t>
      </w:r>
      <w:proofErr w:type="spellStart"/>
      <w:r w:rsidRPr="00F90606">
        <w:rPr>
          <w:i/>
          <w:iCs/>
        </w:rPr>
        <w:t>Profits</w:t>
      </w:r>
      <w:proofErr w:type="spellEnd"/>
      <w:r w:rsidRPr="00F90606">
        <w:rPr>
          <w:i/>
          <w:iCs/>
        </w:rPr>
        <w:t xml:space="preserve"> </w:t>
      </w:r>
      <w:proofErr w:type="spellStart"/>
      <w:r w:rsidRPr="00F90606">
        <w:rPr>
          <w:i/>
          <w:iCs/>
        </w:rPr>
        <w:t>Rule</w:t>
      </w:r>
      <w:proofErr w:type="spellEnd"/>
      <w:r>
        <w:t xml:space="preserve"> (UTPR)). Kort gezegd mag elke </w:t>
      </w:r>
      <w:r w:rsidR="00C30718">
        <w:t xml:space="preserve">jurisdictie </w:t>
      </w:r>
      <w:r>
        <w:t xml:space="preserve">waar winst wordt gemaakt door een </w:t>
      </w:r>
      <w:r w:rsidR="008212B5">
        <w:t xml:space="preserve">entiteit van een </w:t>
      </w:r>
      <w:r>
        <w:t xml:space="preserve">multinationale groep eerst zelf tot een effectief tarief van 15% heffen door middel van een binnenlandse </w:t>
      </w:r>
      <w:proofErr w:type="spellStart"/>
      <w:r>
        <w:t>bijheffing</w:t>
      </w:r>
      <w:proofErr w:type="spellEnd"/>
      <w:r>
        <w:t>. Als dat niet gebeurt, bijvoorbeeld omdat d</w:t>
      </w:r>
      <w:r w:rsidR="00C30718">
        <w:t>i</w:t>
      </w:r>
      <w:r>
        <w:t xml:space="preserve">e </w:t>
      </w:r>
      <w:r w:rsidR="00C30718">
        <w:t xml:space="preserve">jurisdictie </w:t>
      </w:r>
      <w:r>
        <w:t>de Pijler 2-regels niet toepast, mogen andere Pijler 2-</w:t>
      </w:r>
      <w:r w:rsidR="00C30718">
        <w:t>jurisdicties waar entiteiten van</w:t>
      </w:r>
      <w:r>
        <w:t xml:space="preserve"> d</w:t>
      </w:r>
      <w:r w:rsidR="00C30718">
        <w:t>i</w:t>
      </w:r>
      <w:r>
        <w:t xml:space="preserve">e groep </w:t>
      </w:r>
      <w:r w:rsidR="00C30718">
        <w:t xml:space="preserve">zijn gevestigd </w:t>
      </w:r>
      <w:proofErr w:type="spellStart"/>
      <w:r>
        <w:t>bijheffen</w:t>
      </w:r>
      <w:proofErr w:type="spellEnd"/>
      <w:r w:rsidR="00C30718">
        <w:t>. Dit betreft</w:t>
      </w:r>
      <w:r>
        <w:t xml:space="preserve"> eerst de </w:t>
      </w:r>
      <w:r w:rsidR="00C30718">
        <w:t xml:space="preserve">jurisdictie </w:t>
      </w:r>
      <w:r>
        <w:t xml:space="preserve">waar de </w:t>
      </w:r>
      <w:proofErr w:type="spellStart"/>
      <w:r>
        <w:t>uiteindelijkemoederentiteit</w:t>
      </w:r>
      <w:proofErr w:type="spellEnd"/>
      <w:r>
        <w:t xml:space="preserve"> is gevestigd (via de inkomen-inclusiemaatregel) en </w:t>
      </w:r>
      <w:r w:rsidR="00E11A7F">
        <w:t xml:space="preserve">vervolgens </w:t>
      </w:r>
      <w:r>
        <w:t xml:space="preserve">andere </w:t>
      </w:r>
      <w:r w:rsidR="00C30718">
        <w:t xml:space="preserve">jurisdicties </w:t>
      </w:r>
      <w:r>
        <w:t xml:space="preserve">waar de multinationale </w:t>
      </w:r>
      <w:r w:rsidR="00C30718">
        <w:t xml:space="preserve">groep </w:t>
      </w:r>
      <w:r>
        <w:t xml:space="preserve">actief is (via de </w:t>
      </w:r>
      <w:proofErr w:type="spellStart"/>
      <w:r>
        <w:t>onderbelastewinstmaatregel</w:t>
      </w:r>
      <w:proofErr w:type="spellEnd"/>
      <w:r>
        <w:t xml:space="preserve">). Als gevolg hiervan hebben </w:t>
      </w:r>
      <w:r w:rsidR="00E11A7F">
        <w:t xml:space="preserve">jurisdicties </w:t>
      </w:r>
      <w:r>
        <w:t xml:space="preserve">een belang om de Pijler 2-regels in te voeren </w:t>
      </w:r>
      <w:r w:rsidR="00995DC8">
        <w:t>of</w:t>
      </w:r>
      <w:r>
        <w:t xml:space="preserve"> het effectieve tarief in de winstbelasting te verhogen naar minimaal 15%, omdat anders andere </w:t>
      </w:r>
      <w:r w:rsidR="00E11A7F">
        <w:t xml:space="preserve">jurisdicties </w:t>
      </w:r>
      <w:r>
        <w:t xml:space="preserve">kunnen </w:t>
      </w:r>
      <w:proofErr w:type="spellStart"/>
      <w:r>
        <w:t>bijheffen</w:t>
      </w:r>
      <w:proofErr w:type="spellEnd"/>
      <w:r>
        <w:t>.</w:t>
      </w:r>
    </w:p>
    <w:p w:rsidR="00C64383" w:rsidP="00C64383" w:rsidRDefault="00C64383" w14:paraId="400D3647" w14:textId="77777777"/>
    <w:p w:rsidR="00C64383" w:rsidP="00C64383" w:rsidRDefault="00C64383" w14:paraId="55E81ABB" w14:textId="77777777">
      <w:r>
        <w:t xml:space="preserve">Op dit moment hebben volgens de OESO meer dan 65 </w:t>
      </w:r>
      <w:r w:rsidR="00F72148">
        <w:t xml:space="preserve">jurisdicties </w:t>
      </w:r>
      <w:r>
        <w:t>de wereldwijde minimumbelasting ingevoerd of daartoe concrete stappen ondernomen.</w:t>
      </w:r>
      <w:r>
        <w:rPr>
          <w:rStyle w:val="Voetnootmarkering"/>
        </w:rPr>
        <w:footnoteReference w:id="6"/>
      </w:r>
      <w:r>
        <w:t xml:space="preserve"> </w:t>
      </w:r>
      <w:r w:rsidRPr="000E18B5">
        <w:t>Naast de EU gaat het om grote economieën zoals het VK, Japan, Canada, Australië en Zuid-Korea</w:t>
      </w:r>
      <w:r w:rsidR="00A4670E">
        <w:t xml:space="preserve"> en om </w:t>
      </w:r>
      <w:proofErr w:type="spellStart"/>
      <w:r w:rsidR="00A4670E">
        <w:t>laagbelastende</w:t>
      </w:r>
      <w:proofErr w:type="spellEnd"/>
      <w:r w:rsidR="00A4670E">
        <w:t xml:space="preserve"> </w:t>
      </w:r>
      <w:r w:rsidR="00F72148">
        <w:t>jurisdicties</w:t>
      </w:r>
      <w:r w:rsidR="00A4670E">
        <w:t xml:space="preserve"> zoals Guernsey, Jersey, </w:t>
      </w:r>
      <w:proofErr w:type="spellStart"/>
      <w:r w:rsidR="00A4670E">
        <w:t>Isle</w:t>
      </w:r>
      <w:proofErr w:type="spellEnd"/>
      <w:r w:rsidR="00A4670E">
        <w:t xml:space="preserve"> of Man</w:t>
      </w:r>
      <w:r w:rsidR="000F6A6E">
        <w:t xml:space="preserve"> en </w:t>
      </w:r>
      <w:r w:rsidR="00A4670E">
        <w:t>Barbados</w:t>
      </w:r>
      <w:r w:rsidRPr="000E18B5">
        <w:t>.</w:t>
      </w:r>
      <w:r>
        <w:t xml:space="preserve"> </w:t>
      </w:r>
      <w:r w:rsidRPr="000E18B5">
        <w:t xml:space="preserve">Een aantal belangrijke </w:t>
      </w:r>
      <w:r>
        <w:t>handelslanden</w:t>
      </w:r>
      <w:r w:rsidRPr="000E18B5">
        <w:t xml:space="preserve"> heeft Pijler 2 niet geïmplementeerd</w:t>
      </w:r>
      <w:r>
        <w:t xml:space="preserve">. Dat heeft voor deze </w:t>
      </w:r>
      <w:r w:rsidR="000F6A6E">
        <w:t xml:space="preserve">jurisdicties </w:t>
      </w:r>
      <w:r>
        <w:t>gevolgen vanwege de systematiek van Pijler 2</w:t>
      </w:r>
      <w:r w:rsidR="003F45E1">
        <w:t>.</w:t>
      </w:r>
      <w:r>
        <w:t xml:space="preserve"> Die systematiek leidt er immers toe dat in het geval dat – naar Pijler 2-maatstaven – onvoldoende belasting is betaald</w:t>
      </w:r>
      <w:r w:rsidR="00DF2E10">
        <w:t xml:space="preserve"> in die </w:t>
      </w:r>
      <w:r w:rsidR="00836937">
        <w:t>jurisdicties</w:t>
      </w:r>
      <w:r>
        <w:t xml:space="preserve">, er wordt </w:t>
      </w:r>
      <w:proofErr w:type="spellStart"/>
      <w:r>
        <w:t>bijgeheven</w:t>
      </w:r>
      <w:proofErr w:type="spellEnd"/>
      <w:r>
        <w:t xml:space="preserve"> door een andere </w:t>
      </w:r>
      <w:r w:rsidR="00836937">
        <w:t xml:space="preserve">jurisdictie </w:t>
      </w:r>
      <w:r>
        <w:t xml:space="preserve">die Pijler 2 wel heeft </w:t>
      </w:r>
      <w:r>
        <w:lastRenderedPageBreak/>
        <w:t>geïmplementeerd.</w:t>
      </w:r>
      <w:r w:rsidR="00D20E1E">
        <w:rPr>
          <w:rStyle w:val="Voetnootmarkering"/>
        </w:rPr>
        <w:footnoteReference w:id="7"/>
      </w:r>
      <w:r>
        <w:t xml:space="preserve"> Een dergelijke </w:t>
      </w:r>
      <w:proofErr w:type="spellStart"/>
      <w:r>
        <w:t>bijheffing</w:t>
      </w:r>
      <w:proofErr w:type="spellEnd"/>
      <w:r>
        <w:t xml:space="preserve"> kan ook plaatsvinden in het geval dat een niet-implementerende </w:t>
      </w:r>
      <w:r w:rsidR="00F62C19">
        <w:t xml:space="preserve">jurisdictie </w:t>
      </w:r>
      <w:r>
        <w:t xml:space="preserve">zelf over een robuust belastingstelsel beschikt dat een met Pijler 2 vergelijkbare minimumbelasting waarborgt. Om die reden is in het </w:t>
      </w:r>
      <w:proofErr w:type="spellStart"/>
      <w:r>
        <w:t>I</w:t>
      </w:r>
      <w:r w:rsidR="00F471BD">
        <w:t>nclusive</w:t>
      </w:r>
      <w:proofErr w:type="spellEnd"/>
      <w:r w:rsidR="00F471BD">
        <w:t xml:space="preserve"> </w:t>
      </w:r>
      <w:r>
        <w:t>F</w:t>
      </w:r>
      <w:r w:rsidR="00F471BD">
        <w:t>ramework</w:t>
      </w:r>
      <w:r>
        <w:t xml:space="preserve"> onderhandeld met als doel om bepaalde belastingstelsels onder voorwaarden te erkennen als equivalent voor de toepassing van de Pijler 2-regels.</w:t>
      </w:r>
      <w:r w:rsidRPr="000E18B5">
        <w:t xml:space="preserve"> </w:t>
      </w:r>
      <w:r>
        <w:t xml:space="preserve">In </w:t>
      </w:r>
      <w:r w:rsidR="00396C84">
        <w:t>paragraaf 2.1</w:t>
      </w:r>
      <w:r>
        <w:t xml:space="preserve"> zal ik daar nader op ingaan.</w:t>
      </w:r>
    </w:p>
    <w:p w:rsidRPr="000E18B5" w:rsidR="00C64383" w:rsidP="00C64383" w:rsidRDefault="00C64383" w14:paraId="44566913" w14:textId="77777777">
      <w:pPr>
        <w:tabs>
          <w:tab w:val="left" w:pos="1080"/>
        </w:tabs>
      </w:pPr>
    </w:p>
    <w:p w:rsidRPr="000E18B5" w:rsidR="00C64383" w:rsidP="00C64383" w:rsidRDefault="00C64383" w14:paraId="4209E262" w14:textId="77777777">
      <w:pPr>
        <w:pStyle w:val="Lijstalinea"/>
        <w:numPr>
          <w:ilvl w:val="1"/>
          <w:numId w:val="8"/>
        </w:numPr>
        <w:spacing w:after="0"/>
        <w:rPr>
          <w:rFonts w:ascii="Verdana" w:hAnsi="Verdana"/>
          <w:b/>
          <w:bCs/>
          <w:sz w:val="18"/>
          <w:szCs w:val="18"/>
        </w:rPr>
      </w:pPr>
      <w:r w:rsidRPr="000E18B5">
        <w:rPr>
          <w:rFonts w:ascii="Verdana" w:hAnsi="Verdana"/>
          <w:b/>
          <w:bCs/>
          <w:sz w:val="18"/>
          <w:szCs w:val="18"/>
        </w:rPr>
        <w:t xml:space="preserve">Nederlandse inzet </w:t>
      </w:r>
    </w:p>
    <w:p w:rsidRPr="000E18B5" w:rsidR="00C64383" w:rsidP="00C64383" w:rsidRDefault="00C64383" w14:paraId="103E9356" w14:textId="77777777"/>
    <w:p w:rsidRPr="000E18B5" w:rsidR="00C64383" w:rsidP="0F9E8E26" w:rsidRDefault="00C64383" w14:paraId="4BA6F387" w14:textId="77777777">
      <w:pPr>
        <w:rPr>
          <w:b/>
          <w:bCs/>
        </w:rPr>
      </w:pPr>
      <w:r>
        <w:t>H</w:t>
      </w:r>
      <w:r w:rsidRPr="000E18B5">
        <w:t xml:space="preserve">et uitgangspunt </w:t>
      </w:r>
      <w:r>
        <w:t>van</w:t>
      </w:r>
      <w:r w:rsidRPr="000E18B5">
        <w:t xml:space="preserve"> Nederland</w:t>
      </w:r>
      <w:r>
        <w:t xml:space="preserve"> in de onderhandelingen was</w:t>
      </w:r>
      <w:r w:rsidRPr="000E18B5">
        <w:t xml:space="preserve"> </w:t>
      </w:r>
      <w:r>
        <w:t>het waarborgen van de effectiviteit en stabiliteit van het internationale belastingstelsel, waar de internationale afspraken over de wereldwijde minimumbelasting onderdeel van zijn</w:t>
      </w:r>
      <w:r w:rsidRPr="000E18B5">
        <w:t xml:space="preserve">. </w:t>
      </w:r>
      <w:r w:rsidR="00BA23DE">
        <w:t xml:space="preserve">Daarbij achtte </w:t>
      </w:r>
      <w:r>
        <w:t>Nederland</w:t>
      </w:r>
      <w:r w:rsidRPr="000E18B5">
        <w:t xml:space="preserve"> </w:t>
      </w:r>
      <w:r>
        <w:t>het</w:t>
      </w:r>
      <w:r w:rsidRPr="000E18B5">
        <w:t xml:space="preserve"> </w:t>
      </w:r>
      <w:r w:rsidR="00BA23DE">
        <w:t xml:space="preserve">van </w:t>
      </w:r>
      <w:r w:rsidRPr="000E18B5">
        <w:t xml:space="preserve">belang </w:t>
      </w:r>
      <w:r w:rsidR="00BA23DE">
        <w:t xml:space="preserve">om </w:t>
      </w:r>
      <w:r>
        <w:t xml:space="preserve">de oorspronkelijk </w:t>
      </w:r>
      <w:r w:rsidRPr="000E18B5">
        <w:t xml:space="preserve">doelstellingen van Pijler 2 </w:t>
      </w:r>
      <w:r w:rsidR="00481540">
        <w:t>te waarborgen</w:t>
      </w:r>
      <w:r w:rsidRPr="000E18B5">
        <w:t>. Die doelstellingen zijn</w:t>
      </w:r>
      <w:r>
        <w:t>, zoals eerder genoemd,</w:t>
      </w:r>
      <w:r w:rsidRPr="000E18B5">
        <w:t xml:space="preserve"> het stellen van een ondergrens aan belastingconcurrentie tussen </w:t>
      </w:r>
      <w:r w:rsidR="00634457">
        <w:t>jurisdicties</w:t>
      </w:r>
      <w:r w:rsidRPr="000E18B5" w:rsidR="00634457">
        <w:t xml:space="preserve"> </w:t>
      </w:r>
      <w:r w:rsidRPr="000E18B5">
        <w:t xml:space="preserve">en de prikkel verminderen voor multinationals om winsten te verplaatsen naar </w:t>
      </w:r>
      <w:r w:rsidR="00634457">
        <w:t>jurisdicties</w:t>
      </w:r>
      <w:r w:rsidRPr="000E18B5" w:rsidR="00634457">
        <w:t xml:space="preserve"> </w:t>
      </w:r>
      <w:r w:rsidRPr="000E18B5">
        <w:t xml:space="preserve">die weinig belasting heffen. </w:t>
      </w:r>
      <w:r w:rsidR="00AB0147">
        <w:t>Daarbij</w:t>
      </w:r>
      <w:r w:rsidRPr="000E18B5" w:rsidR="00AB0147">
        <w:t xml:space="preserve"> </w:t>
      </w:r>
      <w:r w:rsidRPr="000E18B5">
        <w:t>heeft Nederland</w:t>
      </w:r>
      <w:r>
        <w:t>, in lijn met de motie Van Eijk c.s.</w:t>
      </w:r>
      <w:r>
        <w:rPr>
          <w:rStyle w:val="Voetnootmarkering"/>
        </w:rPr>
        <w:footnoteReference w:id="8"/>
      </w:r>
      <w:r>
        <w:t>,</w:t>
      </w:r>
      <w:r w:rsidRPr="000E18B5">
        <w:t xml:space="preserve"> ingezet op het behoud van </w:t>
      </w:r>
      <w:r>
        <w:t xml:space="preserve">een </w:t>
      </w:r>
      <w:r w:rsidRPr="000E18B5">
        <w:t xml:space="preserve">gelijk speelveld en </w:t>
      </w:r>
      <w:r>
        <w:t>het</w:t>
      </w:r>
      <w:r w:rsidRPr="000E18B5">
        <w:t xml:space="preserve"> concurrentie</w:t>
      </w:r>
      <w:r>
        <w:t>vermogen</w:t>
      </w:r>
      <w:r w:rsidRPr="000E18B5">
        <w:t xml:space="preserve"> van het Europese en Nederlandse bedrijfsleven</w:t>
      </w:r>
      <w:r>
        <w:t>,</w:t>
      </w:r>
      <w:r w:rsidRPr="000E18B5">
        <w:t xml:space="preserve"> </w:t>
      </w:r>
      <w:r>
        <w:t xml:space="preserve">onder meer </w:t>
      </w:r>
      <w:r w:rsidRPr="000E18B5">
        <w:t>door in te zetten op:</w:t>
      </w:r>
    </w:p>
    <w:p w:rsidRPr="000E18B5" w:rsidR="00C64383" w:rsidP="00C64383" w:rsidRDefault="00C64383" w14:paraId="5ED95F1A" w14:textId="77777777">
      <w:pPr>
        <w:pStyle w:val="Lijstalinea"/>
        <w:numPr>
          <w:ilvl w:val="0"/>
          <w:numId w:val="9"/>
        </w:numPr>
        <w:spacing w:after="0"/>
        <w:rPr>
          <w:rFonts w:ascii="Verdana" w:hAnsi="Verdana"/>
          <w:sz w:val="18"/>
          <w:szCs w:val="18"/>
        </w:rPr>
      </w:pPr>
      <w:r w:rsidRPr="000E18B5">
        <w:rPr>
          <w:rFonts w:ascii="Verdana" w:hAnsi="Verdana"/>
          <w:sz w:val="18"/>
          <w:szCs w:val="18"/>
        </w:rPr>
        <w:t>Robuuste criteria om te kwalificeren als een belasting</w:t>
      </w:r>
      <w:r w:rsidR="00AC6463">
        <w:rPr>
          <w:rFonts w:ascii="Verdana" w:hAnsi="Verdana"/>
          <w:sz w:val="18"/>
          <w:szCs w:val="18"/>
        </w:rPr>
        <w:t>stelsel</w:t>
      </w:r>
      <w:r w:rsidRPr="000E18B5">
        <w:rPr>
          <w:rFonts w:ascii="Verdana" w:hAnsi="Verdana"/>
          <w:sz w:val="18"/>
          <w:szCs w:val="18"/>
        </w:rPr>
        <w:t xml:space="preserve"> </w:t>
      </w:r>
      <w:r w:rsidR="00AC6463">
        <w:rPr>
          <w:rFonts w:ascii="Verdana" w:hAnsi="Verdana"/>
          <w:sz w:val="18"/>
          <w:szCs w:val="18"/>
        </w:rPr>
        <w:t>equivalent aan</w:t>
      </w:r>
      <w:r w:rsidRPr="000E18B5" w:rsidR="00AC6463">
        <w:rPr>
          <w:rFonts w:ascii="Verdana" w:hAnsi="Verdana"/>
          <w:sz w:val="18"/>
          <w:szCs w:val="18"/>
        </w:rPr>
        <w:t xml:space="preserve"> </w:t>
      </w:r>
      <w:r w:rsidRPr="000E18B5">
        <w:rPr>
          <w:rFonts w:ascii="Verdana" w:hAnsi="Verdana"/>
          <w:sz w:val="18"/>
          <w:szCs w:val="18"/>
        </w:rPr>
        <w:t xml:space="preserve">Pijler 2;  </w:t>
      </w:r>
    </w:p>
    <w:p w:rsidR="003050DC" w:rsidP="00C64383" w:rsidRDefault="003050DC" w14:paraId="54225936" w14:textId="77777777">
      <w:pPr>
        <w:pStyle w:val="Lijstalinea"/>
        <w:numPr>
          <w:ilvl w:val="0"/>
          <w:numId w:val="9"/>
        </w:numPr>
        <w:spacing w:after="0"/>
        <w:rPr>
          <w:rFonts w:ascii="Verdana" w:hAnsi="Verdana"/>
          <w:sz w:val="18"/>
          <w:szCs w:val="18"/>
        </w:rPr>
      </w:pPr>
      <w:r>
        <w:rPr>
          <w:rFonts w:ascii="Verdana" w:hAnsi="Verdana"/>
          <w:sz w:val="18"/>
          <w:szCs w:val="18"/>
        </w:rPr>
        <w:t>Een robuust evaluatiemechanisme;</w:t>
      </w:r>
    </w:p>
    <w:p w:rsidR="003050DC" w:rsidP="00C64383" w:rsidRDefault="003050DC" w14:paraId="44C5549E" w14:textId="77777777">
      <w:pPr>
        <w:pStyle w:val="Lijstalinea"/>
        <w:numPr>
          <w:ilvl w:val="0"/>
          <w:numId w:val="9"/>
        </w:numPr>
        <w:spacing w:after="0"/>
        <w:rPr>
          <w:rFonts w:ascii="Verdana" w:hAnsi="Verdana"/>
          <w:sz w:val="18"/>
          <w:szCs w:val="18"/>
        </w:rPr>
      </w:pPr>
      <w:r>
        <w:rPr>
          <w:rFonts w:ascii="Verdana" w:hAnsi="Verdana"/>
          <w:sz w:val="18"/>
          <w:szCs w:val="18"/>
        </w:rPr>
        <w:t>Vereenvoudiging van de Pijler</w:t>
      </w:r>
      <w:r w:rsidR="00285065">
        <w:rPr>
          <w:rFonts w:ascii="Verdana" w:hAnsi="Verdana"/>
          <w:sz w:val="18"/>
          <w:szCs w:val="18"/>
        </w:rPr>
        <w:t xml:space="preserve"> </w:t>
      </w:r>
      <w:r>
        <w:rPr>
          <w:rFonts w:ascii="Verdana" w:hAnsi="Verdana"/>
          <w:sz w:val="18"/>
          <w:szCs w:val="18"/>
        </w:rPr>
        <w:t>2-regels;</w:t>
      </w:r>
    </w:p>
    <w:p w:rsidRPr="000E18B5" w:rsidR="00C64383" w:rsidP="00C64383" w:rsidRDefault="00C64383" w14:paraId="614C0FBB" w14:textId="77777777">
      <w:pPr>
        <w:pStyle w:val="Lijstalinea"/>
        <w:numPr>
          <w:ilvl w:val="0"/>
          <w:numId w:val="9"/>
        </w:numPr>
        <w:spacing w:after="0"/>
        <w:rPr>
          <w:rFonts w:ascii="Verdana" w:hAnsi="Verdana"/>
          <w:sz w:val="18"/>
          <w:szCs w:val="18"/>
        </w:rPr>
      </w:pPr>
      <w:r w:rsidRPr="000E18B5">
        <w:rPr>
          <w:rFonts w:ascii="Verdana" w:hAnsi="Verdana"/>
          <w:sz w:val="18"/>
          <w:szCs w:val="18"/>
        </w:rPr>
        <w:t xml:space="preserve">Een verruiming van de gunstige behandeling van </w:t>
      </w:r>
      <w:r>
        <w:rPr>
          <w:rFonts w:ascii="Verdana" w:hAnsi="Verdana"/>
          <w:sz w:val="18"/>
          <w:szCs w:val="18"/>
        </w:rPr>
        <w:t xml:space="preserve">fiscale </w:t>
      </w:r>
      <w:r w:rsidR="00833025">
        <w:rPr>
          <w:rFonts w:ascii="Verdana" w:hAnsi="Verdana"/>
          <w:sz w:val="18"/>
          <w:szCs w:val="18"/>
        </w:rPr>
        <w:t>regelingen</w:t>
      </w:r>
      <w:r w:rsidRPr="000E18B5" w:rsidR="00833025">
        <w:rPr>
          <w:rFonts w:ascii="Verdana" w:hAnsi="Verdana"/>
          <w:sz w:val="18"/>
          <w:szCs w:val="18"/>
        </w:rPr>
        <w:t xml:space="preserve"> </w:t>
      </w:r>
      <w:r w:rsidRPr="000E18B5">
        <w:rPr>
          <w:rFonts w:ascii="Verdana" w:hAnsi="Verdana"/>
          <w:sz w:val="18"/>
          <w:szCs w:val="18"/>
        </w:rPr>
        <w:t>voor bedrijven met reële economische activiteit</w:t>
      </w:r>
      <w:r w:rsidR="00833025">
        <w:rPr>
          <w:rFonts w:ascii="Verdana" w:hAnsi="Verdana"/>
          <w:sz w:val="18"/>
          <w:szCs w:val="18"/>
        </w:rPr>
        <w:t>, in ogenschouw nemend de doelstellingen en de robuustheid van de Pijler 2-regels</w:t>
      </w:r>
      <w:r w:rsidR="003050DC">
        <w:rPr>
          <w:rFonts w:ascii="Verdana" w:hAnsi="Verdana"/>
          <w:sz w:val="18"/>
          <w:szCs w:val="18"/>
        </w:rPr>
        <w:t>.</w:t>
      </w:r>
    </w:p>
    <w:p w:rsidRPr="000E18B5" w:rsidR="00C64383" w:rsidP="00C64383" w:rsidRDefault="00C64383" w14:paraId="3E046D13" w14:textId="77777777">
      <w:pPr>
        <w:pStyle w:val="Lijstalinea"/>
        <w:spacing w:after="0"/>
        <w:ind w:left="705"/>
        <w:rPr>
          <w:rFonts w:ascii="Verdana" w:hAnsi="Verdana"/>
          <w:b/>
          <w:bCs/>
          <w:sz w:val="18"/>
          <w:szCs w:val="18"/>
        </w:rPr>
      </w:pPr>
    </w:p>
    <w:p w:rsidRPr="000E18B5" w:rsidR="00C64383" w:rsidP="00C64383" w:rsidRDefault="00C64383" w14:paraId="4AD93A35" w14:textId="77777777">
      <w:pPr>
        <w:pStyle w:val="Lijstalinea"/>
        <w:numPr>
          <w:ilvl w:val="0"/>
          <w:numId w:val="7"/>
        </w:numPr>
        <w:spacing w:after="0"/>
        <w:rPr>
          <w:rFonts w:ascii="Verdana" w:hAnsi="Verdana"/>
          <w:b/>
          <w:bCs/>
          <w:sz w:val="18"/>
          <w:szCs w:val="18"/>
        </w:rPr>
      </w:pPr>
      <w:r w:rsidRPr="000E18B5">
        <w:rPr>
          <w:rFonts w:ascii="Verdana" w:hAnsi="Verdana"/>
          <w:b/>
          <w:bCs/>
          <w:sz w:val="18"/>
          <w:szCs w:val="18"/>
        </w:rPr>
        <w:t>Side-</w:t>
      </w:r>
      <w:proofErr w:type="spellStart"/>
      <w:r w:rsidRPr="000E18B5">
        <w:rPr>
          <w:rFonts w:ascii="Verdana" w:hAnsi="Verdana"/>
          <w:b/>
          <w:bCs/>
          <w:sz w:val="18"/>
          <w:szCs w:val="18"/>
        </w:rPr>
        <w:t>by</w:t>
      </w:r>
      <w:proofErr w:type="spellEnd"/>
      <w:r w:rsidRPr="000E18B5">
        <w:rPr>
          <w:rFonts w:ascii="Verdana" w:hAnsi="Verdana"/>
          <w:b/>
          <w:bCs/>
          <w:sz w:val="18"/>
          <w:szCs w:val="18"/>
        </w:rPr>
        <w:t>-Side</w:t>
      </w:r>
      <w:r>
        <w:rPr>
          <w:rFonts w:ascii="Verdana" w:hAnsi="Verdana"/>
          <w:b/>
          <w:bCs/>
          <w:sz w:val="18"/>
          <w:szCs w:val="18"/>
        </w:rPr>
        <w:t>-</w:t>
      </w:r>
      <w:r w:rsidRPr="000E18B5">
        <w:rPr>
          <w:rFonts w:ascii="Verdana" w:hAnsi="Verdana"/>
          <w:b/>
          <w:bCs/>
          <w:sz w:val="18"/>
          <w:szCs w:val="18"/>
        </w:rPr>
        <w:t>pakket</w:t>
      </w:r>
    </w:p>
    <w:p w:rsidRPr="000E18B5" w:rsidR="00C64383" w:rsidP="00C64383" w:rsidRDefault="00C64383" w14:paraId="0A9AE7F6" w14:textId="77777777"/>
    <w:p w:rsidR="00C64383" w:rsidP="00C64383" w:rsidRDefault="00C64383" w14:paraId="73C180A3" w14:textId="77777777">
      <w:r w:rsidRPr="000E18B5">
        <w:t>In de</w:t>
      </w:r>
      <w:r>
        <w:t>ze</w:t>
      </w:r>
      <w:r w:rsidRPr="000E18B5">
        <w:t xml:space="preserve"> paragraaf beschrijf </w:t>
      </w:r>
      <w:r>
        <w:t xml:space="preserve">en apprecieer </w:t>
      </w:r>
      <w:r w:rsidRPr="000E18B5">
        <w:t xml:space="preserve">ik </w:t>
      </w:r>
      <w:r>
        <w:t xml:space="preserve">achtereenvolgens </w:t>
      </w:r>
      <w:r w:rsidRPr="000E18B5">
        <w:t>de verschillende onderdelen van het Side-</w:t>
      </w:r>
      <w:proofErr w:type="spellStart"/>
      <w:r w:rsidRPr="000E18B5">
        <w:t>by</w:t>
      </w:r>
      <w:proofErr w:type="spellEnd"/>
      <w:r w:rsidRPr="000E18B5">
        <w:t>-Side-pakket</w:t>
      </w:r>
      <w:r>
        <w:t>:</w:t>
      </w:r>
    </w:p>
    <w:p w:rsidR="00C64383" w:rsidP="00C64383" w:rsidRDefault="00C64383" w14:paraId="6170D6DD" w14:textId="77777777">
      <w:pPr>
        <w:pStyle w:val="Lijstalinea"/>
        <w:numPr>
          <w:ilvl w:val="0"/>
          <w:numId w:val="15"/>
        </w:numPr>
        <w:spacing w:after="0"/>
        <w:rPr>
          <w:rFonts w:ascii="Verdana" w:hAnsi="Verdana"/>
          <w:sz w:val="18"/>
          <w:szCs w:val="18"/>
        </w:rPr>
      </w:pPr>
      <w:r>
        <w:rPr>
          <w:rFonts w:ascii="Verdana" w:hAnsi="Verdana"/>
          <w:sz w:val="18"/>
          <w:szCs w:val="18"/>
        </w:rPr>
        <w:t>M</w:t>
      </w:r>
      <w:r w:rsidRPr="00F90606">
        <w:rPr>
          <w:rFonts w:ascii="Verdana" w:hAnsi="Verdana"/>
          <w:sz w:val="18"/>
          <w:szCs w:val="18"/>
        </w:rPr>
        <w:t xml:space="preserve">aatregelen waarmee bepaalde belastingstelsels onder voorwaarden kunnen worden </w:t>
      </w:r>
      <w:r w:rsidR="00AC6463">
        <w:rPr>
          <w:rFonts w:ascii="Verdana" w:hAnsi="Verdana"/>
          <w:sz w:val="18"/>
          <w:szCs w:val="18"/>
        </w:rPr>
        <w:t>gekwalificeerd als equivalent</w:t>
      </w:r>
      <w:r w:rsidRPr="00F90606" w:rsidR="00AC6463">
        <w:rPr>
          <w:rFonts w:ascii="Verdana" w:hAnsi="Verdana"/>
          <w:sz w:val="18"/>
          <w:szCs w:val="18"/>
        </w:rPr>
        <w:t xml:space="preserve"> </w:t>
      </w:r>
      <w:r w:rsidR="00AC6463">
        <w:rPr>
          <w:rFonts w:ascii="Verdana" w:hAnsi="Verdana"/>
          <w:sz w:val="18"/>
          <w:szCs w:val="18"/>
        </w:rPr>
        <w:t>aan</w:t>
      </w:r>
      <w:r w:rsidRPr="00F90606" w:rsidR="00AC6463">
        <w:rPr>
          <w:rFonts w:ascii="Verdana" w:hAnsi="Verdana"/>
          <w:sz w:val="18"/>
          <w:szCs w:val="18"/>
        </w:rPr>
        <w:t xml:space="preserve"> </w:t>
      </w:r>
      <w:r w:rsidRPr="00F90606">
        <w:rPr>
          <w:rFonts w:ascii="Verdana" w:hAnsi="Verdana"/>
          <w:sz w:val="18"/>
          <w:szCs w:val="18"/>
        </w:rPr>
        <w:t>Pijler 2 (het zogenoemde ‘Side-</w:t>
      </w:r>
      <w:proofErr w:type="spellStart"/>
      <w:r w:rsidRPr="00F90606">
        <w:rPr>
          <w:rFonts w:ascii="Verdana" w:hAnsi="Verdana"/>
          <w:sz w:val="18"/>
          <w:szCs w:val="18"/>
        </w:rPr>
        <w:t>by</w:t>
      </w:r>
      <w:proofErr w:type="spellEnd"/>
      <w:r w:rsidRPr="00F90606">
        <w:rPr>
          <w:rFonts w:ascii="Verdana" w:hAnsi="Verdana"/>
          <w:sz w:val="18"/>
          <w:szCs w:val="18"/>
        </w:rPr>
        <w:t>-Side-systeem’)</w:t>
      </w:r>
      <w:r>
        <w:rPr>
          <w:rFonts w:ascii="Verdana" w:hAnsi="Verdana"/>
          <w:sz w:val="18"/>
          <w:szCs w:val="18"/>
        </w:rPr>
        <w:t>;</w:t>
      </w:r>
    </w:p>
    <w:p w:rsidR="00C64383" w:rsidP="00C64383" w:rsidRDefault="00C64383" w14:paraId="40EFBA9F" w14:textId="77777777">
      <w:pPr>
        <w:pStyle w:val="Lijstalinea"/>
        <w:numPr>
          <w:ilvl w:val="0"/>
          <w:numId w:val="15"/>
        </w:numPr>
        <w:spacing w:after="0"/>
        <w:rPr>
          <w:rFonts w:ascii="Verdana" w:hAnsi="Verdana"/>
          <w:sz w:val="18"/>
          <w:szCs w:val="18"/>
        </w:rPr>
      </w:pPr>
      <w:r>
        <w:rPr>
          <w:rFonts w:ascii="Verdana" w:hAnsi="Verdana"/>
          <w:sz w:val="18"/>
          <w:szCs w:val="18"/>
        </w:rPr>
        <w:t>V</w:t>
      </w:r>
      <w:r w:rsidRPr="00F90606">
        <w:rPr>
          <w:rFonts w:ascii="Verdana" w:hAnsi="Verdana"/>
          <w:sz w:val="18"/>
          <w:szCs w:val="18"/>
        </w:rPr>
        <w:t>ereenvoudigingsmaatregelen</w:t>
      </w:r>
      <w:r>
        <w:rPr>
          <w:rFonts w:ascii="Verdana" w:hAnsi="Verdana"/>
          <w:sz w:val="18"/>
          <w:szCs w:val="18"/>
        </w:rPr>
        <w:t>;</w:t>
      </w:r>
    </w:p>
    <w:p w:rsidRPr="00F90606" w:rsidR="00C64383" w:rsidP="00C64383" w:rsidRDefault="006525B8" w14:paraId="47D7338A" w14:textId="77777777">
      <w:pPr>
        <w:pStyle w:val="Lijstalinea"/>
        <w:numPr>
          <w:ilvl w:val="0"/>
          <w:numId w:val="15"/>
        </w:numPr>
        <w:spacing w:after="0"/>
        <w:rPr>
          <w:rFonts w:ascii="Verdana" w:hAnsi="Verdana"/>
          <w:sz w:val="18"/>
          <w:szCs w:val="18"/>
        </w:rPr>
      </w:pPr>
      <w:r>
        <w:rPr>
          <w:rFonts w:ascii="Verdana" w:hAnsi="Verdana"/>
          <w:sz w:val="18"/>
          <w:szCs w:val="18"/>
        </w:rPr>
        <w:t>Afspraken over</w:t>
      </w:r>
      <w:r w:rsidRPr="00F90606" w:rsidR="00C64383">
        <w:rPr>
          <w:rFonts w:ascii="Verdana" w:hAnsi="Verdana"/>
          <w:sz w:val="18"/>
          <w:szCs w:val="18"/>
        </w:rPr>
        <w:t xml:space="preserve"> </w:t>
      </w:r>
      <w:r w:rsidR="009B1506">
        <w:rPr>
          <w:rFonts w:ascii="Verdana" w:hAnsi="Verdana"/>
          <w:sz w:val="18"/>
          <w:szCs w:val="18"/>
        </w:rPr>
        <w:t xml:space="preserve">een </w:t>
      </w:r>
      <w:r w:rsidRPr="00F90606" w:rsidR="00C64383">
        <w:rPr>
          <w:rFonts w:ascii="Verdana" w:hAnsi="Verdana"/>
          <w:sz w:val="18"/>
          <w:szCs w:val="18"/>
        </w:rPr>
        <w:t xml:space="preserve">gunstige behandeling van bepaalde </w:t>
      </w:r>
      <w:r w:rsidR="00C64383">
        <w:rPr>
          <w:rFonts w:ascii="Verdana" w:hAnsi="Verdana"/>
          <w:sz w:val="18"/>
          <w:szCs w:val="18"/>
        </w:rPr>
        <w:t xml:space="preserve">fiscale </w:t>
      </w:r>
      <w:r w:rsidR="000206F7">
        <w:rPr>
          <w:rFonts w:ascii="Verdana" w:hAnsi="Verdana"/>
          <w:sz w:val="18"/>
          <w:szCs w:val="18"/>
        </w:rPr>
        <w:t xml:space="preserve">regelingen </w:t>
      </w:r>
      <w:r w:rsidR="00C64383">
        <w:rPr>
          <w:rFonts w:ascii="Verdana" w:hAnsi="Verdana"/>
          <w:sz w:val="18"/>
          <w:szCs w:val="18"/>
        </w:rPr>
        <w:t>voor</w:t>
      </w:r>
      <w:r w:rsidRPr="00F90606" w:rsidR="00C64383">
        <w:rPr>
          <w:rFonts w:ascii="Verdana" w:hAnsi="Verdana"/>
          <w:sz w:val="18"/>
          <w:szCs w:val="18"/>
        </w:rPr>
        <w:t xml:space="preserve"> bedrijven met reële economische activiteit.</w:t>
      </w:r>
    </w:p>
    <w:p w:rsidRPr="000E18B5" w:rsidR="00C64383" w:rsidP="00C64383" w:rsidRDefault="00C64383" w14:paraId="25E0FD71" w14:textId="77777777"/>
    <w:p w:rsidRPr="004B10F0" w:rsidR="00C64383" w:rsidP="00C64383" w:rsidRDefault="00C64383" w14:paraId="43679664" w14:textId="77777777">
      <w:pPr>
        <w:pStyle w:val="Lijstalinea"/>
        <w:numPr>
          <w:ilvl w:val="1"/>
          <w:numId w:val="16"/>
        </w:numPr>
        <w:spacing w:after="0"/>
        <w:rPr>
          <w:rFonts w:ascii="Verdana" w:hAnsi="Verdana"/>
          <w:b/>
          <w:bCs/>
          <w:sz w:val="18"/>
          <w:szCs w:val="18"/>
        </w:rPr>
      </w:pPr>
      <w:r w:rsidRPr="004B10F0">
        <w:rPr>
          <w:rFonts w:ascii="Verdana" w:hAnsi="Verdana"/>
          <w:b/>
          <w:bCs/>
          <w:sz w:val="18"/>
          <w:szCs w:val="18"/>
          <w:lang w:val="en-US"/>
        </w:rPr>
        <w:t>Side-by-Side-</w:t>
      </w:r>
      <w:proofErr w:type="spellStart"/>
      <w:r w:rsidRPr="004B10F0">
        <w:rPr>
          <w:rFonts w:ascii="Verdana" w:hAnsi="Verdana"/>
          <w:b/>
          <w:bCs/>
          <w:sz w:val="18"/>
          <w:szCs w:val="18"/>
          <w:lang w:val="en-US"/>
        </w:rPr>
        <w:t>systeem</w:t>
      </w:r>
      <w:proofErr w:type="spellEnd"/>
      <w:r w:rsidRPr="004B10F0">
        <w:rPr>
          <w:rFonts w:ascii="Verdana" w:hAnsi="Verdana"/>
          <w:b/>
          <w:bCs/>
          <w:sz w:val="18"/>
          <w:szCs w:val="18"/>
          <w:lang w:val="en-US"/>
        </w:rPr>
        <w:t xml:space="preserve"> </w:t>
      </w:r>
    </w:p>
    <w:p w:rsidR="00C64383" w:rsidP="00C64383" w:rsidRDefault="00C64383" w14:paraId="780158F6" w14:textId="77777777">
      <w:pPr>
        <w:rPr>
          <w:b/>
          <w:bCs/>
          <w:lang w:val="en-US"/>
        </w:rPr>
      </w:pPr>
      <w:r w:rsidRPr="000E18B5">
        <w:rPr>
          <w:b/>
          <w:bCs/>
          <w:lang w:val="en-US"/>
        </w:rPr>
        <w:t xml:space="preserve"> </w:t>
      </w:r>
    </w:p>
    <w:p w:rsidR="00C64383" w:rsidP="00C64383" w:rsidRDefault="00C64383" w14:paraId="66BEBF04" w14:textId="77777777">
      <w:r>
        <w:t xml:space="preserve">Het </w:t>
      </w:r>
      <w:proofErr w:type="spellStart"/>
      <w:r>
        <w:t>I</w:t>
      </w:r>
      <w:r w:rsidR="00383870">
        <w:t>nclusive</w:t>
      </w:r>
      <w:proofErr w:type="spellEnd"/>
      <w:r w:rsidR="00383870">
        <w:t xml:space="preserve"> </w:t>
      </w:r>
      <w:r>
        <w:t>F</w:t>
      </w:r>
      <w:r w:rsidR="00383870">
        <w:t>ramework</w:t>
      </w:r>
      <w:r>
        <w:t xml:space="preserve"> ziet de gemeenschappelijke aanpak van Pijler 2 nog steeds als het belangrijkste systeem voor het verzekeren van een minimumniveau van belasting. Tegelijkertijd erkent het </w:t>
      </w:r>
      <w:proofErr w:type="spellStart"/>
      <w:r>
        <w:t>I</w:t>
      </w:r>
      <w:r w:rsidR="00383870">
        <w:t>nclusive</w:t>
      </w:r>
      <w:proofErr w:type="spellEnd"/>
      <w:r w:rsidR="00383870">
        <w:t xml:space="preserve"> </w:t>
      </w:r>
      <w:r>
        <w:t>F</w:t>
      </w:r>
      <w:r w:rsidR="00383870">
        <w:t>ramework</w:t>
      </w:r>
      <w:r>
        <w:t xml:space="preserve"> dat </w:t>
      </w:r>
      <w:r w:rsidR="009F7149">
        <w:t xml:space="preserve">jurisdicties </w:t>
      </w:r>
      <w:r>
        <w:t xml:space="preserve">een eigen systeem kunnen hebben dat een minimumniveau van belasting waarborgt voor binnenlandse </w:t>
      </w:r>
      <w:r w:rsidR="00DF2E10">
        <w:t>of</w:t>
      </w:r>
      <w:r>
        <w:t xml:space="preserve"> buitenlandse winsten van hun multinationale groepen. Het </w:t>
      </w:r>
      <w:proofErr w:type="spellStart"/>
      <w:r>
        <w:t>I</w:t>
      </w:r>
      <w:r w:rsidR="00845C8D">
        <w:t>nclusive</w:t>
      </w:r>
      <w:proofErr w:type="spellEnd"/>
      <w:r w:rsidR="00845C8D">
        <w:t xml:space="preserve"> </w:t>
      </w:r>
      <w:r>
        <w:t>F</w:t>
      </w:r>
      <w:r w:rsidR="00845C8D">
        <w:t>ramework</w:t>
      </w:r>
      <w:r>
        <w:t xml:space="preserve"> heeft daarom afspraken </w:t>
      </w:r>
      <w:r>
        <w:lastRenderedPageBreak/>
        <w:t xml:space="preserve">gemaakt over hoe in dit soort situaties de reguliere systematiek van </w:t>
      </w:r>
      <w:proofErr w:type="spellStart"/>
      <w:r>
        <w:t>bijheffing</w:t>
      </w:r>
      <w:proofErr w:type="spellEnd"/>
      <w:r>
        <w:t xml:space="preserve"> onder Pijler 2 (deels) buiten werking wordt gesteld. Het betreft twee nieuwe zogenoemde </w:t>
      </w:r>
      <w:proofErr w:type="spellStart"/>
      <w:r>
        <w:t>veiligehavenregels</w:t>
      </w:r>
      <w:proofErr w:type="spellEnd"/>
      <w:r>
        <w:t xml:space="preserve">: de </w:t>
      </w:r>
      <w:r w:rsidRPr="00497409">
        <w:rPr>
          <w:i/>
          <w:iCs/>
        </w:rPr>
        <w:t>Side-</w:t>
      </w:r>
      <w:proofErr w:type="spellStart"/>
      <w:r w:rsidRPr="00497409">
        <w:rPr>
          <w:i/>
          <w:iCs/>
        </w:rPr>
        <w:t>by</w:t>
      </w:r>
      <w:proofErr w:type="spellEnd"/>
      <w:r w:rsidRPr="00497409">
        <w:rPr>
          <w:i/>
          <w:iCs/>
        </w:rPr>
        <w:t xml:space="preserve">-Side Safe </w:t>
      </w:r>
      <w:proofErr w:type="spellStart"/>
      <w:r w:rsidRPr="00497409">
        <w:rPr>
          <w:i/>
          <w:iCs/>
        </w:rPr>
        <w:t>Harbour</w:t>
      </w:r>
      <w:proofErr w:type="spellEnd"/>
      <w:r>
        <w:t xml:space="preserve"> en de </w:t>
      </w:r>
      <w:r w:rsidRPr="00497409">
        <w:rPr>
          <w:i/>
          <w:iCs/>
        </w:rPr>
        <w:t xml:space="preserve">Ultimate Parent </w:t>
      </w:r>
      <w:proofErr w:type="spellStart"/>
      <w:r w:rsidRPr="00497409">
        <w:rPr>
          <w:i/>
          <w:iCs/>
        </w:rPr>
        <w:t>Entity</w:t>
      </w:r>
      <w:proofErr w:type="spellEnd"/>
      <w:r w:rsidRPr="00497409">
        <w:rPr>
          <w:i/>
          <w:iCs/>
        </w:rPr>
        <w:t xml:space="preserve"> (UPE) Safe </w:t>
      </w:r>
      <w:proofErr w:type="spellStart"/>
      <w:r w:rsidRPr="00497409">
        <w:rPr>
          <w:i/>
          <w:iCs/>
        </w:rPr>
        <w:t>Harbour</w:t>
      </w:r>
      <w:proofErr w:type="spellEnd"/>
      <w:r>
        <w:t xml:space="preserve">. </w:t>
      </w:r>
    </w:p>
    <w:p w:rsidR="00C64383" w:rsidP="00C64383" w:rsidRDefault="00C64383" w14:paraId="3EB2DACA" w14:textId="77777777"/>
    <w:p w:rsidRPr="00C64383" w:rsidR="00C64383" w:rsidP="00C64383" w:rsidRDefault="00C64383" w14:paraId="6E804528" w14:textId="77777777">
      <w:pPr>
        <w:rPr>
          <w:i/>
          <w:iCs/>
        </w:rPr>
      </w:pPr>
      <w:r w:rsidRPr="00C64383">
        <w:rPr>
          <w:i/>
          <w:iCs/>
        </w:rPr>
        <w:t>Side-</w:t>
      </w:r>
      <w:proofErr w:type="spellStart"/>
      <w:r w:rsidRPr="00C64383">
        <w:rPr>
          <w:i/>
          <w:iCs/>
        </w:rPr>
        <w:t>by</w:t>
      </w:r>
      <w:proofErr w:type="spellEnd"/>
      <w:r w:rsidRPr="00C64383">
        <w:rPr>
          <w:i/>
          <w:iCs/>
        </w:rPr>
        <w:t xml:space="preserve">-Side Safe </w:t>
      </w:r>
      <w:proofErr w:type="spellStart"/>
      <w:r w:rsidRPr="00C64383">
        <w:rPr>
          <w:i/>
          <w:iCs/>
        </w:rPr>
        <w:t>Harbour</w:t>
      </w:r>
      <w:proofErr w:type="spellEnd"/>
    </w:p>
    <w:p w:rsidR="00C64383" w:rsidP="00C64383" w:rsidRDefault="00C64383" w14:paraId="49E9FE33" w14:textId="77777777">
      <w:r w:rsidRPr="00B4172B">
        <w:t xml:space="preserve">De </w:t>
      </w:r>
      <w:r w:rsidRPr="002F7F6D">
        <w:rPr>
          <w:i/>
          <w:iCs/>
        </w:rPr>
        <w:t>Side-</w:t>
      </w:r>
      <w:proofErr w:type="spellStart"/>
      <w:r w:rsidRPr="002F7F6D">
        <w:rPr>
          <w:i/>
          <w:iCs/>
        </w:rPr>
        <w:t>by</w:t>
      </w:r>
      <w:proofErr w:type="spellEnd"/>
      <w:r w:rsidRPr="002F7F6D">
        <w:rPr>
          <w:i/>
          <w:iCs/>
        </w:rPr>
        <w:t xml:space="preserve">-Side Safe </w:t>
      </w:r>
      <w:proofErr w:type="spellStart"/>
      <w:r w:rsidRPr="002F7F6D">
        <w:rPr>
          <w:i/>
          <w:iCs/>
        </w:rPr>
        <w:t>Harbour</w:t>
      </w:r>
      <w:proofErr w:type="spellEnd"/>
      <w:r w:rsidRPr="00B4172B">
        <w:t xml:space="preserve"> is een vr</w:t>
      </w:r>
      <w:r>
        <w:t xml:space="preserve">ijstelling </w:t>
      </w:r>
      <w:r w:rsidR="009F7149">
        <w:t xml:space="preserve">van </w:t>
      </w:r>
      <w:proofErr w:type="spellStart"/>
      <w:r w:rsidR="009F7149">
        <w:t>bijheffing</w:t>
      </w:r>
      <w:proofErr w:type="spellEnd"/>
      <w:r w:rsidR="009F7149">
        <w:t xml:space="preserve"> onder </w:t>
      </w:r>
      <w:r>
        <w:t xml:space="preserve">de inkomen-inclusiemaatregel en de </w:t>
      </w:r>
      <w:proofErr w:type="spellStart"/>
      <w:r>
        <w:t>onderbelastewinstmaatregel</w:t>
      </w:r>
      <w:proofErr w:type="spellEnd"/>
      <w:r>
        <w:t xml:space="preserve"> </w:t>
      </w:r>
      <w:r w:rsidR="004B3052">
        <w:t xml:space="preserve">over </w:t>
      </w:r>
      <w:r>
        <w:t xml:space="preserve">alle binnenlandse en buitenlandse winsten van multinationale groepen waarvan </w:t>
      </w:r>
      <w:r w:rsidR="002E540A">
        <w:t>de uiteindelijke moederentiteit</w:t>
      </w:r>
      <w:r>
        <w:t xml:space="preserve"> zich in een kwalificerende jurisdictie bevindt. </w:t>
      </w:r>
      <w:r w:rsidRPr="00A81C84">
        <w:t xml:space="preserve">Deze </w:t>
      </w:r>
      <w:proofErr w:type="spellStart"/>
      <w:r w:rsidRPr="00A81C84">
        <w:t>veiligehavenregel</w:t>
      </w:r>
      <w:proofErr w:type="spellEnd"/>
      <w:r w:rsidRPr="00A81C84">
        <w:t xml:space="preserve"> heeft als doel om te voorkomen dat een multinationale groep zowel aan Pijler 2 als aan een kwalificerende equivalente minimumbelasting wordt onderworpen.</w:t>
      </w:r>
    </w:p>
    <w:p w:rsidR="00C64383" w:rsidP="00C64383" w:rsidRDefault="00C64383" w14:paraId="30C9CF4F" w14:textId="77777777"/>
    <w:p w:rsidR="00C64383" w:rsidP="00C64383" w:rsidRDefault="00C64383" w14:paraId="4922C8F0" w14:textId="77777777">
      <w:r>
        <w:t xml:space="preserve">Om te kwalificeren voor de </w:t>
      </w:r>
      <w:r w:rsidRPr="006F3CBE">
        <w:rPr>
          <w:i/>
          <w:iCs/>
        </w:rPr>
        <w:t>Side-</w:t>
      </w:r>
      <w:proofErr w:type="spellStart"/>
      <w:r w:rsidRPr="006F3CBE">
        <w:rPr>
          <w:i/>
          <w:iCs/>
        </w:rPr>
        <w:t>by</w:t>
      </w:r>
      <w:proofErr w:type="spellEnd"/>
      <w:r w:rsidRPr="006F3CBE">
        <w:rPr>
          <w:i/>
          <w:iCs/>
        </w:rPr>
        <w:t xml:space="preserve">-Side Safe </w:t>
      </w:r>
      <w:proofErr w:type="spellStart"/>
      <w:r w:rsidRPr="006F3CBE">
        <w:rPr>
          <w:i/>
          <w:iCs/>
        </w:rPr>
        <w:t>Harbour</w:t>
      </w:r>
      <w:proofErr w:type="spellEnd"/>
      <w:r>
        <w:t xml:space="preserve"> moet een jurisdictie een </w:t>
      </w:r>
      <w:r w:rsidR="00436798">
        <w:t>kwalificerend</w:t>
      </w:r>
      <w:r>
        <w:t xml:space="preserve"> belastingstelsel hebben. Een kwalificerend belasting</w:t>
      </w:r>
      <w:r w:rsidR="00436798">
        <w:t>stelsel</w:t>
      </w:r>
      <w:r>
        <w:t xml:space="preserve"> dient een minimumniveau van belasting te waarborgen over zowel binnenlandse als buitenlandse winsten van een multinationale groep. Om te beoordelen of een belastingstelsel </w:t>
      </w:r>
      <w:r w:rsidR="0038639C">
        <w:t xml:space="preserve">voldoende </w:t>
      </w:r>
      <w:r>
        <w:t xml:space="preserve">robuust is, zijn verschillende criteria afgesproken. </w:t>
      </w:r>
    </w:p>
    <w:p w:rsidR="00C64383" w:rsidP="00C64383" w:rsidRDefault="00C64383" w14:paraId="568384B7" w14:textId="77777777"/>
    <w:p w:rsidR="00C64383" w:rsidP="00C64383" w:rsidRDefault="00C64383" w14:paraId="0E873F0B" w14:textId="77777777">
      <w:r>
        <w:t>Een kwalificerend binnenlands belastingstelsel dient te voldoen aan de volgende criteria:</w:t>
      </w:r>
    </w:p>
    <w:p w:rsidR="00C64383" w:rsidP="00C64383" w:rsidRDefault="00C64383" w14:paraId="758A454F" w14:textId="77777777">
      <w:pPr>
        <w:pStyle w:val="Lijstalinea"/>
        <w:numPr>
          <w:ilvl w:val="0"/>
          <w:numId w:val="13"/>
        </w:numPr>
        <w:spacing w:after="0"/>
        <w:rPr>
          <w:rFonts w:ascii="Verdana" w:hAnsi="Verdana"/>
          <w:sz w:val="18"/>
          <w:szCs w:val="18"/>
        </w:rPr>
      </w:pPr>
      <w:r>
        <w:rPr>
          <w:rFonts w:ascii="Verdana" w:hAnsi="Verdana"/>
          <w:sz w:val="18"/>
          <w:szCs w:val="18"/>
        </w:rPr>
        <w:t>E</w:t>
      </w:r>
      <w:r w:rsidRPr="00FF7080">
        <w:rPr>
          <w:rFonts w:ascii="Verdana" w:hAnsi="Verdana"/>
          <w:sz w:val="18"/>
          <w:szCs w:val="18"/>
        </w:rPr>
        <w:t>en statutair vennootschapsbelastingtarief van tenminste 20%</w:t>
      </w:r>
      <w:r>
        <w:rPr>
          <w:rFonts w:ascii="Verdana" w:hAnsi="Verdana"/>
          <w:sz w:val="18"/>
          <w:szCs w:val="18"/>
        </w:rPr>
        <w:t>;</w:t>
      </w:r>
    </w:p>
    <w:p w:rsidR="00C64383" w:rsidP="00C64383" w:rsidRDefault="00C64383" w14:paraId="5491F05E" w14:textId="77777777">
      <w:pPr>
        <w:pStyle w:val="Lijstalinea"/>
        <w:numPr>
          <w:ilvl w:val="0"/>
          <w:numId w:val="13"/>
        </w:numPr>
        <w:spacing w:after="0"/>
        <w:rPr>
          <w:rFonts w:ascii="Verdana" w:hAnsi="Verdana"/>
          <w:sz w:val="18"/>
          <w:szCs w:val="18"/>
        </w:rPr>
      </w:pPr>
      <w:r>
        <w:rPr>
          <w:rFonts w:ascii="Verdana" w:hAnsi="Verdana"/>
          <w:sz w:val="18"/>
          <w:szCs w:val="18"/>
        </w:rPr>
        <w:t>E</w:t>
      </w:r>
      <w:r w:rsidRPr="00FF7080">
        <w:rPr>
          <w:rFonts w:ascii="Verdana" w:hAnsi="Verdana"/>
          <w:sz w:val="18"/>
          <w:szCs w:val="18"/>
        </w:rPr>
        <w:t xml:space="preserve">en binnenlandse </w:t>
      </w:r>
      <w:proofErr w:type="spellStart"/>
      <w:r w:rsidRPr="00FF7080">
        <w:rPr>
          <w:rFonts w:ascii="Verdana" w:hAnsi="Verdana"/>
          <w:sz w:val="18"/>
          <w:szCs w:val="18"/>
        </w:rPr>
        <w:t>bijheffing</w:t>
      </w:r>
      <w:proofErr w:type="spellEnd"/>
      <w:r w:rsidRPr="00FF7080">
        <w:rPr>
          <w:rFonts w:ascii="Verdana" w:hAnsi="Verdana"/>
          <w:sz w:val="18"/>
          <w:szCs w:val="18"/>
        </w:rPr>
        <w:t xml:space="preserve"> of een alternatieve binnenlandse minimumbelasting gebaseerd op commerciële jaarcijfers met een tarief van ten minste 15% die van toepassing is op een substantieel deel van de binnenlandse winsten van multinationale groepen</w:t>
      </w:r>
      <w:r>
        <w:rPr>
          <w:rFonts w:ascii="Verdana" w:hAnsi="Verdana"/>
          <w:sz w:val="18"/>
          <w:szCs w:val="18"/>
        </w:rPr>
        <w:t xml:space="preserve"> die onder Pijler 2</w:t>
      </w:r>
      <w:r w:rsidR="0038639C">
        <w:rPr>
          <w:rFonts w:ascii="Verdana" w:hAnsi="Verdana"/>
          <w:sz w:val="18"/>
          <w:szCs w:val="18"/>
        </w:rPr>
        <w:t xml:space="preserve"> zouden</w:t>
      </w:r>
      <w:r>
        <w:rPr>
          <w:rFonts w:ascii="Verdana" w:hAnsi="Verdana"/>
          <w:sz w:val="18"/>
          <w:szCs w:val="18"/>
        </w:rPr>
        <w:t xml:space="preserve"> vallen;</w:t>
      </w:r>
      <w:r w:rsidRPr="00FF7080">
        <w:rPr>
          <w:rFonts w:ascii="Verdana" w:hAnsi="Verdana"/>
          <w:sz w:val="18"/>
          <w:szCs w:val="18"/>
        </w:rPr>
        <w:t xml:space="preserve"> en </w:t>
      </w:r>
    </w:p>
    <w:p w:rsidRPr="00B26B36" w:rsidR="00C64383" w:rsidP="00C64383" w:rsidRDefault="00C64383" w14:paraId="7DBF2BF9" w14:textId="77777777">
      <w:pPr>
        <w:pStyle w:val="Lijstalinea"/>
        <w:numPr>
          <w:ilvl w:val="0"/>
          <w:numId w:val="13"/>
        </w:numPr>
        <w:spacing w:after="0"/>
      </w:pPr>
      <w:r>
        <w:rPr>
          <w:rFonts w:ascii="Verdana" w:hAnsi="Verdana"/>
          <w:sz w:val="18"/>
          <w:szCs w:val="18"/>
        </w:rPr>
        <w:t>G</w:t>
      </w:r>
      <w:r w:rsidRPr="00FF7080">
        <w:rPr>
          <w:rFonts w:ascii="Verdana" w:hAnsi="Verdana"/>
          <w:sz w:val="18"/>
          <w:szCs w:val="18"/>
        </w:rPr>
        <w:t>een materieel risico dat</w:t>
      </w:r>
      <w:r>
        <w:rPr>
          <w:rFonts w:ascii="Verdana" w:hAnsi="Verdana"/>
          <w:sz w:val="18"/>
          <w:szCs w:val="18"/>
        </w:rPr>
        <w:t xml:space="preserve"> de binnenlandse winsten van</w:t>
      </w:r>
      <w:r w:rsidRPr="00FF7080">
        <w:rPr>
          <w:rFonts w:ascii="Verdana" w:hAnsi="Verdana"/>
          <w:sz w:val="18"/>
          <w:szCs w:val="18"/>
        </w:rPr>
        <w:t xml:space="preserve"> multinationale groepen</w:t>
      </w:r>
      <w:r>
        <w:rPr>
          <w:rFonts w:ascii="Verdana" w:hAnsi="Verdana"/>
          <w:sz w:val="18"/>
          <w:szCs w:val="18"/>
        </w:rPr>
        <w:t xml:space="preserve"> die onder Pijler 2 </w:t>
      </w:r>
      <w:r w:rsidR="00867AF1">
        <w:rPr>
          <w:rFonts w:ascii="Verdana" w:hAnsi="Verdana"/>
          <w:sz w:val="18"/>
          <w:szCs w:val="18"/>
        </w:rPr>
        <w:t xml:space="preserve">zouden </w:t>
      </w:r>
      <w:r>
        <w:rPr>
          <w:rFonts w:ascii="Verdana" w:hAnsi="Verdana"/>
          <w:sz w:val="18"/>
          <w:szCs w:val="18"/>
        </w:rPr>
        <w:t xml:space="preserve">vallen en hun hoofdkantoor in de jurisdictie hebben, onderworpen zijn aan een </w:t>
      </w:r>
      <w:r w:rsidRPr="00F90606">
        <w:rPr>
          <w:rFonts w:ascii="Verdana" w:hAnsi="Verdana"/>
          <w:sz w:val="18"/>
          <w:szCs w:val="18"/>
        </w:rPr>
        <w:t>effectief tarief van minder dan 15%</w:t>
      </w:r>
      <w:r>
        <w:rPr>
          <w:rFonts w:ascii="Verdana" w:hAnsi="Verdana"/>
          <w:sz w:val="18"/>
          <w:szCs w:val="18"/>
        </w:rPr>
        <w:t>.</w:t>
      </w:r>
    </w:p>
    <w:p w:rsidR="00C64383" w:rsidP="00C64383" w:rsidRDefault="00C64383" w14:paraId="2A06E9E4" w14:textId="77777777"/>
    <w:p w:rsidRPr="00F90606" w:rsidR="00C64383" w:rsidP="00C64383" w:rsidRDefault="00C64383" w14:paraId="6647A22C" w14:textId="77777777">
      <w:r w:rsidRPr="00F90606">
        <w:t>Een kwalificerend buitenlands belastingstelsel dient te voldoen aan de volgende criteria:</w:t>
      </w:r>
    </w:p>
    <w:p w:rsidRPr="00F90606" w:rsidR="00C64383" w:rsidP="00C64383" w:rsidRDefault="00C64383" w14:paraId="652563B9" w14:textId="77777777">
      <w:pPr>
        <w:pStyle w:val="Lijstalinea"/>
        <w:numPr>
          <w:ilvl w:val="0"/>
          <w:numId w:val="14"/>
        </w:numPr>
        <w:spacing w:after="0"/>
        <w:ind w:left="777" w:hanging="357"/>
        <w:rPr>
          <w:rFonts w:ascii="Verdana" w:hAnsi="Verdana"/>
          <w:sz w:val="18"/>
          <w:szCs w:val="18"/>
        </w:rPr>
      </w:pPr>
      <w:r w:rsidRPr="00F90606">
        <w:rPr>
          <w:rFonts w:ascii="Verdana" w:hAnsi="Verdana"/>
          <w:sz w:val="18"/>
          <w:szCs w:val="18"/>
        </w:rPr>
        <w:t>Een belasting</w:t>
      </w:r>
      <w:r w:rsidR="00180993">
        <w:rPr>
          <w:rFonts w:ascii="Verdana" w:hAnsi="Verdana"/>
          <w:sz w:val="18"/>
          <w:szCs w:val="18"/>
        </w:rPr>
        <w:t>stelsel</w:t>
      </w:r>
      <w:r w:rsidRPr="00F90606">
        <w:rPr>
          <w:rFonts w:ascii="Verdana" w:hAnsi="Verdana"/>
          <w:sz w:val="18"/>
          <w:szCs w:val="18"/>
        </w:rPr>
        <w:t xml:space="preserve"> dat van toepassing is op zowel actief als passief buitenlands inkomen van</w:t>
      </w:r>
      <w:r w:rsidR="00180993">
        <w:rPr>
          <w:rFonts w:ascii="Verdana" w:hAnsi="Verdana"/>
          <w:sz w:val="18"/>
          <w:szCs w:val="18"/>
        </w:rPr>
        <w:t xml:space="preserve"> dochtermaatschappijen van</w:t>
      </w:r>
      <w:r w:rsidRPr="00F90606">
        <w:rPr>
          <w:rFonts w:ascii="Verdana" w:hAnsi="Verdana"/>
          <w:sz w:val="18"/>
          <w:szCs w:val="18"/>
        </w:rPr>
        <w:t xml:space="preserve"> vennootschappen gevestigd in de jurisdictie, met slechts beperkte uitzonderingen;</w:t>
      </w:r>
    </w:p>
    <w:p w:rsidRPr="00F90606" w:rsidR="00C64383" w:rsidP="00C64383" w:rsidRDefault="00C64383" w14:paraId="666FA611" w14:textId="77777777">
      <w:pPr>
        <w:pStyle w:val="Lijstalinea"/>
        <w:numPr>
          <w:ilvl w:val="0"/>
          <w:numId w:val="14"/>
        </w:numPr>
        <w:spacing w:after="0"/>
        <w:ind w:left="777" w:hanging="357"/>
        <w:rPr>
          <w:rFonts w:ascii="Verdana" w:hAnsi="Verdana"/>
          <w:sz w:val="18"/>
          <w:szCs w:val="18"/>
        </w:rPr>
      </w:pPr>
      <w:r w:rsidRPr="00F90606">
        <w:rPr>
          <w:rFonts w:ascii="Verdana" w:hAnsi="Verdana"/>
          <w:sz w:val="18"/>
          <w:szCs w:val="18"/>
        </w:rPr>
        <w:t xml:space="preserve">Voldoende mechanismen om risico’s ten aanzien van grondslaguitholling en winstverschuiving (BEPS) te adresseren; en </w:t>
      </w:r>
    </w:p>
    <w:p w:rsidRPr="00F90606" w:rsidR="00C64383" w:rsidP="00C64383" w:rsidRDefault="00C64383" w14:paraId="6442CFA9" w14:textId="77777777">
      <w:pPr>
        <w:pStyle w:val="Lijstalinea"/>
        <w:numPr>
          <w:ilvl w:val="0"/>
          <w:numId w:val="14"/>
        </w:numPr>
        <w:spacing w:after="0"/>
        <w:ind w:left="777" w:hanging="357"/>
        <w:rPr>
          <w:rFonts w:ascii="Verdana" w:hAnsi="Verdana"/>
          <w:sz w:val="18"/>
          <w:szCs w:val="18"/>
        </w:rPr>
      </w:pPr>
      <w:r w:rsidRPr="00F90606">
        <w:rPr>
          <w:rFonts w:ascii="Verdana" w:hAnsi="Verdana"/>
          <w:sz w:val="18"/>
          <w:szCs w:val="18"/>
        </w:rPr>
        <w:t xml:space="preserve">Geen materieel risico dat de buitenlandse winsten van multinationale groepen die onder Pijler 2 </w:t>
      </w:r>
      <w:r w:rsidR="00867AF1">
        <w:rPr>
          <w:rFonts w:ascii="Verdana" w:hAnsi="Verdana"/>
          <w:sz w:val="18"/>
          <w:szCs w:val="18"/>
        </w:rPr>
        <w:t xml:space="preserve">zouden </w:t>
      </w:r>
      <w:r w:rsidRPr="00F90606">
        <w:rPr>
          <w:rFonts w:ascii="Verdana" w:hAnsi="Verdana"/>
          <w:sz w:val="18"/>
          <w:szCs w:val="18"/>
        </w:rPr>
        <w:t xml:space="preserve">vallen en hun hoofdkantoor in de jurisdictie hebben, onderworpen zijn aan een effectief tarief van minder dan 15%. </w:t>
      </w:r>
    </w:p>
    <w:p w:rsidRPr="00F90606" w:rsidR="00C64383" w:rsidP="00C64383" w:rsidRDefault="00C64383" w14:paraId="72257F67" w14:textId="77777777"/>
    <w:p w:rsidRPr="00F90606" w:rsidR="00C64383" w:rsidP="00C64383" w:rsidRDefault="00C64383" w14:paraId="239579AC" w14:textId="77777777">
      <w:r w:rsidRPr="00F90606">
        <w:t xml:space="preserve">In aanvulling hierop is afgesproken dat de </w:t>
      </w:r>
      <w:r w:rsidRPr="00F9710D">
        <w:rPr>
          <w:i/>
          <w:iCs/>
        </w:rPr>
        <w:t>Side-</w:t>
      </w:r>
      <w:proofErr w:type="spellStart"/>
      <w:r w:rsidRPr="00F9710D">
        <w:rPr>
          <w:i/>
          <w:iCs/>
        </w:rPr>
        <w:t>by</w:t>
      </w:r>
      <w:proofErr w:type="spellEnd"/>
      <w:r w:rsidRPr="00F9710D">
        <w:rPr>
          <w:i/>
          <w:iCs/>
        </w:rPr>
        <w:t xml:space="preserve">-Side Safe </w:t>
      </w:r>
      <w:proofErr w:type="spellStart"/>
      <w:r w:rsidRPr="00F9710D">
        <w:rPr>
          <w:i/>
          <w:iCs/>
        </w:rPr>
        <w:t>Harbour</w:t>
      </w:r>
      <w:proofErr w:type="spellEnd"/>
      <w:r w:rsidRPr="00F90606">
        <w:t xml:space="preserve"> geen impact heeft op de </w:t>
      </w:r>
      <w:r w:rsidR="00206876">
        <w:t xml:space="preserve">gekwalificeerde </w:t>
      </w:r>
      <w:r w:rsidRPr="00F90606">
        <w:t xml:space="preserve">binnenlandse </w:t>
      </w:r>
      <w:proofErr w:type="spellStart"/>
      <w:r w:rsidRPr="00F90606">
        <w:t>bijheffing</w:t>
      </w:r>
      <w:proofErr w:type="spellEnd"/>
      <w:r w:rsidRPr="00F90606">
        <w:t xml:space="preserve"> die dochterbedrijven van deze multinationale groepen </w:t>
      </w:r>
      <w:r w:rsidR="00206876">
        <w:t>verschuldigd zijn</w:t>
      </w:r>
      <w:r w:rsidRPr="00F90606" w:rsidR="00206876">
        <w:t xml:space="preserve"> </w:t>
      </w:r>
      <w:r w:rsidRPr="00F90606">
        <w:t xml:space="preserve">in het buitenland. Een kwalificerende </w:t>
      </w:r>
      <w:r w:rsidR="00206876">
        <w:t>Side-</w:t>
      </w:r>
      <w:proofErr w:type="spellStart"/>
      <w:r w:rsidR="00206876">
        <w:t>by</w:t>
      </w:r>
      <w:proofErr w:type="spellEnd"/>
      <w:r w:rsidR="00206876">
        <w:t>-Side-</w:t>
      </w:r>
      <w:r w:rsidRPr="00F90606">
        <w:t xml:space="preserve">jurisdictie moet voor deze </w:t>
      </w:r>
      <w:proofErr w:type="spellStart"/>
      <w:r w:rsidRPr="00F90606">
        <w:t>bijheffing</w:t>
      </w:r>
      <w:proofErr w:type="spellEnd"/>
      <w:r w:rsidRPr="00F90606">
        <w:t xml:space="preserve"> </w:t>
      </w:r>
      <w:r w:rsidR="00206876">
        <w:t xml:space="preserve">namelijk </w:t>
      </w:r>
      <w:r w:rsidRPr="00F90606">
        <w:t xml:space="preserve">verrekening verlenen, zodat de binnenlandse </w:t>
      </w:r>
      <w:proofErr w:type="spellStart"/>
      <w:r w:rsidRPr="00F90606">
        <w:t>bijheffing</w:t>
      </w:r>
      <w:proofErr w:type="spellEnd"/>
      <w:r w:rsidRPr="00F90606">
        <w:t xml:space="preserve"> van Pijler 2 altijd voorgaat. Ook is afgesproken dat een belastingstelsel van een kwalificerende jurisdictie in principe </w:t>
      </w:r>
      <w:r>
        <w:t>van kracht moet zijn</w:t>
      </w:r>
      <w:r w:rsidRPr="00F90606">
        <w:t xml:space="preserve"> voor 1 januari 2026. Als een </w:t>
      </w:r>
      <w:r w:rsidRPr="00F90606">
        <w:lastRenderedPageBreak/>
        <w:t xml:space="preserve">kwalificerende jurisdictie later materiële wijzigingen aanbrengt in zijn belastingstelsel moet dit bij het </w:t>
      </w:r>
      <w:proofErr w:type="spellStart"/>
      <w:r w:rsidRPr="00F90606">
        <w:t>I</w:t>
      </w:r>
      <w:r w:rsidR="003048D9">
        <w:t>nclusive</w:t>
      </w:r>
      <w:proofErr w:type="spellEnd"/>
      <w:r w:rsidR="003048D9">
        <w:t xml:space="preserve"> </w:t>
      </w:r>
      <w:r w:rsidRPr="00F90606">
        <w:t>F</w:t>
      </w:r>
      <w:r w:rsidR="003048D9">
        <w:t>ramework</w:t>
      </w:r>
      <w:r w:rsidRPr="00F90606">
        <w:t xml:space="preserve"> gemeld worden, omdat dit impact kan hebben op de beoordeling door het </w:t>
      </w:r>
      <w:proofErr w:type="spellStart"/>
      <w:r w:rsidRPr="00F90606">
        <w:t>I</w:t>
      </w:r>
      <w:r w:rsidR="003048D9">
        <w:t>nclusive</w:t>
      </w:r>
      <w:proofErr w:type="spellEnd"/>
      <w:r w:rsidR="003048D9">
        <w:t xml:space="preserve"> </w:t>
      </w:r>
      <w:r w:rsidRPr="00F90606">
        <w:t>F</w:t>
      </w:r>
      <w:r w:rsidR="003048D9">
        <w:t>ramework</w:t>
      </w:r>
      <w:r w:rsidRPr="00F90606">
        <w:t xml:space="preserve"> van de betreffende jurisdictie als kwalificerend Side-</w:t>
      </w:r>
      <w:proofErr w:type="spellStart"/>
      <w:r w:rsidRPr="00F90606">
        <w:t>by</w:t>
      </w:r>
      <w:proofErr w:type="spellEnd"/>
      <w:r w:rsidRPr="00F90606">
        <w:t>-Side-regime.</w:t>
      </w:r>
    </w:p>
    <w:p w:rsidR="00C64383" w:rsidP="00C64383" w:rsidRDefault="00C64383" w14:paraId="38697AA6" w14:textId="77777777"/>
    <w:p w:rsidR="00C64383" w:rsidP="00C64383" w:rsidRDefault="00C64383" w14:paraId="419310DD" w14:textId="77777777">
      <w:r>
        <w:t xml:space="preserve">Door het </w:t>
      </w:r>
      <w:proofErr w:type="spellStart"/>
      <w:r>
        <w:t>I</w:t>
      </w:r>
      <w:r w:rsidR="003048D9">
        <w:t>nclusive</w:t>
      </w:r>
      <w:proofErr w:type="spellEnd"/>
      <w:r w:rsidR="003048D9">
        <w:t xml:space="preserve"> </w:t>
      </w:r>
      <w:r>
        <w:t>F</w:t>
      </w:r>
      <w:r w:rsidR="003048D9">
        <w:t>ramework</w:t>
      </w:r>
      <w:r>
        <w:t xml:space="preserve"> is geconcludeerd dat </w:t>
      </w:r>
      <w:r w:rsidR="00B84AAB">
        <w:t>het Amerikaanse belastingstelsel</w:t>
      </w:r>
      <w:r>
        <w:t xml:space="preserve"> aan bovenstaande voorwaarden voldoet en de status krijgt van een kwalificerend Side-</w:t>
      </w:r>
      <w:proofErr w:type="spellStart"/>
      <w:r>
        <w:t>by</w:t>
      </w:r>
      <w:proofErr w:type="spellEnd"/>
      <w:r>
        <w:t xml:space="preserve">-Side-regime. Concreet betekent dit dat Amerikaanse multinationale groepen voor hun binnenlandse en buitenlandse winsten worden vrijgesteld van Pijler 2-bijheffing </w:t>
      </w:r>
      <w:r w:rsidR="0003735D">
        <w:t xml:space="preserve">op grond van </w:t>
      </w:r>
      <w:r>
        <w:t xml:space="preserve">de inkomen-inclusiemaatregel en de </w:t>
      </w:r>
      <w:proofErr w:type="spellStart"/>
      <w:r>
        <w:t>onderbelastewinstmaatregel</w:t>
      </w:r>
      <w:proofErr w:type="spellEnd"/>
      <w:r>
        <w:t xml:space="preserve">, omdat deze winsten geacht worden equivalent te worden belast via het Amerikaanse belastingstelsel. Wel moeten Amerikaanse multinationale groepen binnenlandse </w:t>
      </w:r>
      <w:proofErr w:type="spellStart"/>
      <w:r>
        <w:t>bijheffing</w:t>
      </w:r>
      <w:proofErr w:type="spellEnd"/>
      <w:r>
        <w:t xml:space="preserve"> blijven betalen voor zover die wordt geheven in andere jurisdicties waar zij opereren en moet de VS voor die </w:t>
      </w:r>
      <w:proofErr w:type="spellStart"/>
      <w:r>
        <w:t>bijheffing</w:t>
      </w:r>
      <w:proofErr w:type="spellEnd"/>
      <w:r>
        <w:t xml:space="preserve"> verrekening </w:t>
      </w:r>
      <w:r w:rsidR="002548BA">
        <w:t>verlenen</w:t>
      </w:r>
      <w:r>
        <w:t>.</w:t>
      </w:r>
    </w:p>
    <w:p w:rsidR="00C64383" w:rsidP="00C64383" w:rsidRDefault="00C64383" w14:paraId="41FAD0F7" w14:textId="77777777"/>
    <w:p w:rsidR="00C64383" w:rsidP="00C64383" w:rsidRDefault="00C64383" w14:paraId="4E2F7609" w14:textId="77777777">
      <w:r>
        <w:t>Als een ander</w:t>
      </w:r>
      <w:r w:rsidR="00A17142">
        <w:t>e</w:t>
      </w:r>
      <w:r>
        <w:t xml:space="preserve"> IF-</w:t>
      </w:r>
      <w:r w:rsidR="00A17142">
        <w:t>jurisdictie</w:t>
      </w:r>
      <w:r>
        <w:t xml:space="preserve"> een verzoek indient om aangemerkt te worden als kwalificerende jurisdictie voor de toepassing van de </w:t>
      </w:r>
      <w:r w:rsidRPr="00972C7C">
        <w:rPr>
          <w:i/>
          <w:iCs/>
        </w:rPr>
        <w:t>Side-</w:t>
      </w:r>
      <w:proofErr w:type="spellStart"/>
      <w:r w:rsidRPr="00972C7C">
        <w:rPr>
          <w:i/>
          <w:iCs/>
        </w:rPr>
        <w:t>by</w:t>
      </w:r>
      <w:proofErr w:type="spellEnd"/>
      <w:r w:rsidRPr="00972C7C">
        <w:rPr>
          <w:i/>
          <w:iCs/>
        </w:rPr>
        <w:t xml:space="preserve">-Side Safe </w:t>
      </w:r>
      <w:proofErr w:type="spellStart"/>
      <w:r w:rsidRPr="00972C7C">
        <w:rPr>
          <w:i/>
          <w:iCs/>
        </w:rPr>
        <w:t>Harbour</w:t>
      </w:r>
      <w:proofErr w:type="spellEnd"/>
      <w:r>
        <w:t xml:space="preserve">, zal het </w:t>
      </w:r>
      <w:proofErr w:type="spellStart"/>
      <w:r>
        <w:t>I</w:t>
      </w:r>
      <w:r w:rsidR="00683CD5">
        <w:t>nclusive</w:t>
      </w:r>
      <w:proofErr w:type="spellEnd"/>
      <w:r w:rsidR="00683CD5">
        <w:t xml:space="preserve"> </w:t>
      </w:r>
      <w:r>
        <w:t>F</w:t>
      </w:r>
      <w:r w:rsidR="00683CD5">
        <w:t>ramework</w:t>
      </w:r>
      <w:r>
        <w:t xml:space="preserve"> in de eerste helft van 2026 beoordelen of het betreffende belastingstelsel aan de criteria voldoet. Daarna kunnen IF-</w:t>
      </w:r>
      <w:r w:rsidR="00A17142">
        <w:t>jurisdicties</w:t>
      </w:r>
      <w:r>
        <w:t xml:space="preserve"> alleen in 2027 of 2028 nog een verzoek indienen ter beoordeling door het </w:t>
      </w:r>
      <w:proofErr w:type="spellStart"/>
      <w:r>
        <w:t>I</w:t>
      </w:r>
      <w:r w:rsidR="004506D8">
        <w:t>nclusive</w:t>
      </w:r>
      <w:proofErr w:type="spellEnd"/>
      <w:r w:rsidR="004506D8">
        <w:t xml:space="preserve"> </w:t>
      </w:r>
      <w:r>
        <w:t>F</w:t>
      </w:r>
      <w:r w:rsidR="004506D8">
        <w:t>ramework</w:t>
      </w:r>
      <w:r>
        <w:t xml:space="preserve"> of ze aan de criteria voldoen. </w:t>
      </w:r>
      <w:r w:rsidR="009C1B68">
        <w:t>In</w:t>
      </w:r>
      <w:r>
        <w:t xml:space="preserve"> dat beoordelingsproces zal rekening worden gehouden met de doelstelling van het </w:t>
      </w:r>
      <w:proofErr w:type="spellStart"/>
      <w:r>
        <w:t>I</w:t>
      </w:r>
      <w:r w:rsidR="00683CD5">
        <w:t>nclusive</w:t>
      </w:r>
      <w:proofErr w:type="spellEnd"/>
      <w:r w:rsidR="00683CD5">
        <w:t xml:space="preserve"> </w:t>
      </w:r>
      <w:r>
        <w:t>F</w:t>
      </w:r>
      <w:r w:rsidR="00683CD5">
        <w:t>ramework</w:t>
      </w:r>
      <w:r>
        <w:t xml:space="preserve"> dat de wereldwijde minimumbelasting het primaire systeem moet zijn voor het waarborgen van een minimumniveau van belasting, met name door de implementatie van </w:t>
      </w:r>
      <w:r w:rsidR="006026EB">
        <w:t xml:space="preserve">gekwalificeerde </w:t>
      </w:r>
      <w:r>
        <w:t xml:space="preserve">binnenlandse </w:t>
      </w:r>
      <w:proofErr w:type="spellStart"/>
      <w:r>
        <w:t>bijheffingen</w:t>
      </w:r>
      <w:proofErr w:type="spellEnd"/>
      <w:r>
        <w:t>. Ook zal rekening gehouden worden met de uitkomsten van de toekomstige evaluatie van het Side-</w:t>
      </w:r>
      <w:proofErr w:type="spellStart"/>
      <w:r>
        <w:t>by</w:t>
      </w:r>
      <w:proofErr w:type="spellEnd"/>
      <w:r>
        <w:t>-Side-pakket</w:t>
      </w:r>
      <w:r w:rsidR="008924EF">
        <w:t>.</w:t>
      </w:r>
    </w:p>
    <w:p w:rsidR="00C64383" w:rsidP="00C64383" w:rsidRDefault="00C64383" w14:paraId="0DD01D1A" w14:textId="77777777"/>
    <w:p w:rsidRPr="0025656F" w:rsidR="00C64383" w:rsidP="00C64383" w:rsidRDefault="00C64383" w14:paraId="03F91C28" w14:textId="77777777">
      <w:pPr>
        <w:rPr>
          <w:i/>
          <w:iCs/>
        </w:rPr>
      </w:pPr>
      <w:r>
        <w:rPr>
          <w:i/>
          <w:iCs/>
        </w:rPr>
        <w:t xml:space="preserve">UPE Safe </w:t>
      </w:r>
      <w:proofErr w:type="spellStart"/>
      <w:r>
        <w:rPr>
          <w:i/>
          <w:iCs/>
        </w:rPr>
        <w:t>Harbour</w:t>
      </w:r>
      <w:proofErr w:type="spellEnd"/>
    </w:p>
    <w:p w:rsidR="00C64383" w:rsidP="00C64383" w:rsidRDefault="00C64383" w14:paraId="06B9D65E" w14:textId="77777777">
      <w:r>
        <w:t xml:space="preserve">In aanvulling op de </w:t>
      </w:r>
      <w:r w:rsidRPr="00E33746">
        <w:rPr>
          <w:i/>
          <w:iCs/>
        </w:rPr>
        <w:t>Side-</w:t>
      </w:r>
      <w:proofErr w:type="spellStart"/>
      <w:r w:rsidRPr="00E33746">
        <w:rPr>
          <w:i/>
          <w:iCs/>
        </w:rPr>
        <w:t>by</w:t>
      </w:r>
      <w:proofErr w:type="spellEnd"/>
      <w:r w:rsidRPr="00E33746">
        <w:rPr>
          <w:i/>
          <w:iCs/>
        </w:rPr>
        <w:t xml:space="preserve">-Side Safe </w:t>
      </w:r>
      <w:proofErr w:type="spellStart"/>
      <w:r w:rsidRPr="00E33746">
        <w:rPr>
          <w:i/>
          <w:iCs/>
        </w:rPr>
        <w:t>Harbour</w:t>
      </w:r>
      <w:proofErr w:type="spellEnd"/>
      <w:r>
        <w:t xml:space="preserve"> is in het pakket de </w:t>
      </w:r>
      <w:r w:rsidRPr="00563055" w:rsidR="00DE3923">
        <w:rPr>
          <w:i/>
          <w:iCs/>
        </w:rPr>
        <w:t xml:space="preserve">Ultimate Parent </w:t>
      </w:r>
      <w:proofErr w:type="spellStart"/>
      <w:r w:rsidRPr="00563055" w:rsidR="00DE3923">
        <w:rPr>
          <w:i/>
          <w:iCs/>
        </w:rPr>
        <w:t>Entity</w:t>
      </w:r>
      <w:proofErr w:type="spellEnd"/>
      <w:r w:rsidR="00DE3923">
        <w:t xml:space="preserve"> (</w:t>
      </w:r>
      <w:r w:rsidRPr="00E33746">
        <w:rPr>
          <w:i/>
          <w:iCs/>
        </w:rPr>
        <w:t>UPE</w:t>
      </w:r>
      <w:r w:rsidR="00DE3923">
        <w:rPr>
          <w:i/>
          <w:iCs/>
        </w:rPr>
        <w:t>)</w:t>
      </w:r>
      <w:r w:rsidRPr="00E33746">
        <w:rPr>
          <w:i/>
          <w:iCs/>
        </w:rPr>
        <w:t xml:space="preserve"> Safe </w:t>
      </w:r>
      <w:proofErr w:type="spellStart"/>
      <w:r w:rsidRPr="00E33746">
        <w:rPr>
          <w:i/>
          <w:iCs/>
        </w:rPr>
        <w:t>Harbour</w:t>
      </w:r>
      <w:proofErr w:type="spellEnd"/>
      <w:r>
        <w:t xml:space="preserve"> opgenomen. Deze </w:t>
      </w:r>
      <w:proofErr w:type="spellStart"/>
      <w:r>
        <w:t>veiligehavenregel</w:t>
      </w:r>
      <w:proofErr w:type="spellEnd"/>
      <w:r>
        <w:t xml:space="preserve"> ziet op de binnenlandse activiteiten van multinationale groepen waarvan de </w:t>
      </w:r>
      <w:proofErr w:type="spellStart"/>
      <w:r>
        <w:t>uiteindelijkemoederentiteit</w:t>
      </w:r>
      <w:proofErr w:type="spellEnd"/>
      <w:r>
        <w:t xml:space="preserve"> is gevestigd in een </w:t>
      </w:r>
      <w:r w:rsidR="00DF4E54">
        <w:t xml:space="preserve">jurisdictie </w:t>
      </w:r>
      <w:r>
        <w:t xml:space="preserve">die beschikt over een kwalificerend binnenlands belastingstelsel. De </w:t>
      </w:r>
      <w:r w:rsidRPr="00D13A6C">
        <w:rPr>
          <w:i/>
          <w:iCs/>
        </w:rPr>
        <w:t xml:space="preserve">UPE Safe </w:t>
      </w:r>
      <w:proofErr w:type="spellStart"/>
      <w:r w:rsidRPr="00D13A6C">
        <w:rPr>
          <w:i/>
          <w:iCs/>
        </w:rPr>
        <w:t>Harbour</w:t>
      </w:r>
      <w:proofErr w:type="spellEnd"/>
      <w:r>
        <w:t xml:space="preserve"> leidt ertoe dat de </w:t>
      </w:r>
      <w:proofErr w:type="spellStart"/>
      <w:r>
        <w:t>onderbelastewinstmaatregel</w:t>
      </w:r>
      <w:proofErr w:type="spellEnd"/>
      <w:r>
        <w:t xml:space="preserve"> </w:t>
      </w:r>
      <w:r w:rsidR="00DF4E54">
        <w:t xml:space="preserve">niet van toepassing is ten aanzien van de jurisdictie van de </w:t>
      </w:r>
      <w:proofErr w:type="spellStart"/>
      <w:r w:rsidR="00DF4E54">
        <w:t>uiteindelijkemoederentiteit</w:t>
      </w:r>
      <w:proofErr w:type="spellEnd"/>
      <w:r>
        <w:t xml:space="preserve">. Om te kwalificeren moet aan dezelfde criteria worden voldaan voor een robuust binnenlands belastingstelsel die gelden voor de toepassing van de </w:t>
      </w:r>
      <w:r w:rsidRPr="00D06B55">
        <w:rPr>
          <w:i/>
          <w:iCs/>
        </w:rPr>
        <w:t>Side-</w:t>
      </w:r>
      <w:proofErr w:type="spellStart"/>
      <w:r w:rsidRPr="00D06B55">
        <w:rPr>
          <w:i/>
          <w:iCs/>
        </w:rPr>
        <w:t>by</w:t>
      </w:r>
      <w:proofErr w:type="spellEnd"/>
      <w:r w:rsidRPr="00D06B55">
        <w:rPr>
          <w:i/>
          <w:iCs/>
        </w:rPr>
        <w:t xml:space="preserve">-Side Safe </w:t>
      </w:r>
      <w:proofErr w:type="spellStart"/>
      <w:r w:rsidRPr="00D06B55">
        <w:rPr>
          <w:i/>
          <w:iCs/>
        </w:rPr>
        <w:t>Harbour</w:t>
      </w:r>
      <w:proofErr w:type="spellEnd"/>
      <w:r>
        <w:t xml:space="preserve">, zoals hierboven beschreven. Ook is vereist dat het betreffende belastingstelsel voor 1 januari 2026 van kracht </w:t>
      </w:r>
      <w:r w:rsidR="00C05279">
        <w:t>is</w:t>
      </w:r>
      <w:r>
        <w:t xml:space="preserve">. </w:t>
      </w:r>
      <w:proofErr w:type="gramStart"/>
      <w:r>
        <w:t>Indien</w:t>
      </w:r>
      <w:proofErr w:type="gramEnd"/>
      <w:r>
        <w:t xml:space="preserve"> een IF-</w:t>
      </w:r>
      <w:r w:rsidR="00104779">
        <w:t>jurisdictie</w:t>
      </w:r>
      <w:r>
        <w:t xml:space="preserve"> daartoe een verzoek indient, zal het </w:t>
      </w:r>
      <w:proofErr w:type="spellStart"/>
      <w:r>
        <w:t>I</w:t>
      </w:r>
      <w:r w:rsidR="0097743E">
        <w:t>nclusive</w:t>
      </w:r>
      <w:proofErr w:type="spellEnd"/>
      <w:r w:rsidR="0097743E">
        <w:t xml:space="preserve"> </w:t>
      </w:r>
      <w:r>
        <w:t>F</w:t>
      </w:r>
      <w:r w:rsidR="0097743E">
        <w:t>ramework</w:t>
      </w:r>
      <w:r>
        <w:t xml:space="preserve"> in de eerste helft van 2026 beoordelen of het respectievelijke binnenlandse belastingstelsel aan de criteria voldoet. De </w:t>
      </w:r>
      <w:r w:rsidRPr="00F00105">
        <w:rPr>
          <w:i/>
          <w:iCs/>
        </w:rPr>
        <w:t xml:space="preserve">UPE Safe </w:t>
      </w:r>
      <w:proofErr w:type="spellStart"/>
      <w:r w:rsidRPr="00F00105">
        <w:rPr>
          <w:i/>
          <w:iCs/>
        </w:rPr>
        <w:t>Harbour</w:t>
      </w:r>
      <w:proofErr w:type="spellEnd"/>
      <w:r>
        <w:t xml:space="preserve"> komt de facto in de plaats van de tijdelijke </w:t>
      </w:r>
      <w:proofErr w:type="spellStart"/>
      <w:r>
        <w:t>veiligehavenregel</w:t>
      </w:r>
      <w:proofErr w:type="spellEnd"/>
      <w:r>
        <w:t xml:space="preserve"> voor de </w:t>
      </w:r>
      <w:proofErr w:type="spellStart"/>
      <w:r>
        <w:t>onderbelastewinstmaatregel</w:t>
      </w:r>
      <w:proofErr w:type="spellEnd"/>
      <w:r>
        <w:t xml:space="preserve"> die eind 2025 afloopt, maar wel met strengere voorwaarden.</w:t>
      </w:r>
    </w:p>
    <w:p w:rsidR="00C64383" w:rsidP="00C64383" w:rsidRDefault="00C64383" w14:paraId="22619197" w14:textId="77777777"/>
    <w:p w:rsidR="00C64383" w:rsidP="00C64383" w:rsidRDefault="00C64383" w14:paraId="141B2599" w14:textId="77777777">
      <w:pPr>
        <w:rPr>
          <w:i/>
          <w:iCs/>
        </w:rPr>
      </w:pPr>
      <w:r w:rsidRPr="007C0DFB">
        <w:rPr>
          <w:i/>
          <w:iCs/>
        </w:rPr>
        <w:t>Toekomstige evaluatie</w:t>
      </w:r>
      <w:r>
        <w:rPr>
          <w:i/>
          <w:iCs/>
        </w:rPr>
        <w:t xml:space="preserve"> (‘stocktake’)</w:t>
      </w:r>
    </w:p>
    <w:p w:rsidR="00C64383" w:rsidP="00C64383" w:rsidRDefault="00C64383" w14:paraId="707E2CF4" w14:textId="77777777">
      <w:r>
        <w:t>Als onderdeel van het akkoord is afgesproken dat eventuele substantiële risico’s met betrekking tot het gelijke speelveld of grondslaguitholling en winstverschuiving zullen worden geadresseerd, om de gemeenschappelijke beleidsdoelstellingen van de wereldwijde minimumbelasting en het Side-</w:t>
      </w:r>
      <w:proofErr w:type="spellStart"/>
      <w:r>
        <w:t>by</w:t>
      </w:r>
      <w:proofErr w:type="spellEnd"/>
      <w:r>
        <w:t xml:space="preserve">-Side-systeem te waarborgen. Daartoe zal het </w:t>
      </w:r>
      <w:proofErr w:type="spellStart"/>
      <w:r>
        <w:t>I</w:t>
      </w:r>
      <w:r w:rsidR="005C5B0B">
        <w:t>nclusive</w:t>
      </w:r>
      <w:proofErr w:type="spellEnd"/>
      <w:r w:rsidR="005C5B0B">
        <w:t xml:space="preserve"> </w:t>
      </w:r>
      <w:r>
        <w:t>F</w:t>
      </w:r>
      <w:r w:rsidR="005C5B0B">
        <w:t>ramework</w:t>
      </w:r>
      <w:r>
        <w:t xml:space="preserve"> een evaluatie (‘</w:t>
      </w:r>
      <w:r w:rsidRPr="00CB3F87">
        <w:rPr>
          <w:i/>
          <w:iCs/>
        </w:rPr>
        <w:t>stocktake</w:t>
      </w:r>
      <w:r>
        <w:t xml:space="preserve">’) doen die in 2029 moet worden afgerond, op basis </w:t>
      </w:r>
      <w:r w:rsidR="00597116">
        <w:t xml:space="preserve">van </w:t>
      </w:r>
      <w:r>
        <w:t xml:space="preserve">een objectief </w:t>
      </w:r>
      <w:r>
        <w:lastRenderedPageBreak/>
        <w:t xml:space="preserve">en data-gedreven proces. Daarbij zal bijvoorbeeld worden gekeken </w:t>
      </w:r>
      <w:r w:rsidR="0014610B">
        <w:t xml:space="preserve">in hoeverre </w:t>
      </w:r>
      <w:r w:rsidR="00040758">
        <w:t>jurisdicties</w:t>
      </w:r>
      <w:r>
        <w:t xml:space="preserve"> binnenlandse </w:t>
      </w:r>
      <w:proofErr w:type="spellStart"/>
      <w:r>
        <w:t>bijheffingen</w:t>
      </w:r>
      <w:proofErr w:type="spellEnd"/>
      <w:r w:rsidR="0014610B">
        <w:t xml:space="preserve"> behouden of invoeren</w:t>
      </w:r>
      <w:r>
        <w:t xml:space="preserve"> en </w:t>
      </w:r>
      <w:r w:rsidR="0014610B">
        <w:t xml:space="preserve">naar </w:t>
      </w:r>
      <w:r>
        <w:t xml:space="preserve">eventuele onbedoelde effecten zoals materiële concurrentieverstoringen tussen multinationale groepen en negatieve gedragseffecten, zoals een toename van winsten in </w:t>
      </w:r>
      <w:proofErr w:type="spellStart"/>
      <w:r>
        <w:t>laagbelastende</w:t>
      </w:r>
      <w:proofErr w:type="spellEnd"/>
      <w:r>
        <w:t xml:space="preserve"> jurisdicties zonder een binnenlandse </w:t>
      </w:r>
      <w:proofErr w:type="spellStart"/>
      <w:r>
        <w:t>bijheffing</w:t>
      </w:r>
      <w:proofErr w:type="spellEnd"/>
      <w:r>
        <w:t xml:space="preserve">. Het </w:t>
      </w:r>
      <w:proofErr w:type="spellStart"/>
      <w:r>
        <w:t>I</w:t>
      </w:r>
      <w:r w:rsidR="005C5B0B">
        <w:t>nclusive</w:t>
      </w:r>
      <w:proofErr w:type="spellEnd"/>
      <w:r w:rsidR="005C5B0B">
        <w:t xml:space="preserve"> </w:t>
      </w:r>
      <w:r>
        <w:t>F</w:t>
      </w:r>
      <w:r w:rsidR="005C5B0B">
        <w:t>ramework</w:t>
      </w:r>
      <w:r>
        <w:t xml:space="preserve"> verbindt zich er ook toe om gerichte oplossingen te overwegen wanneer zich geconcentreerde risico’s met betrekking tot het gelijke speelveld voordoen.</w:t>
      </w:r>
    </w:p>
    <w:p w:rsidR="00C64383" w:rsidP="00C64383" w:rsidRDefault="00C64383" w14:paraId="338F8CB2" w14:textId="77777777"/>
    <w:p w:rsidRPr="00C447F0" w:rsidR="00C64383" w:rsidP="00C64383" w:rsidRDefault="00C64383" w14:paraId="25154C7A" w14:textId="77777777">
      <w:pPr>
        <w:rPr>
          <w:i/>
          <w:iCs/>
        </w:rPr>
      </w:pPr>
      <w:r w:rsidRPr="00C447F0">
        <w:rPr>
          <w:i/>
          <w:iCs/>
        </w:rPr>
        <w:t>Appreciatie</w:t>
      </w:r>
    </w:p>
    <w:p w:rsidR="00C64383" w:rsidP="00C64383" w:rsidRDefault="00C64383" w14:paraId="3D23A68F" w14:textId="77777777">
      <w:r>
        <w:t xml:space="preserve">Het kabinet waardeert de nadruk die in het IF-akkoord wordt gelegd op het belang van </w:t>
      </w:r>
      <w:r w:rsidR="00CC3978">
        <w:t>Pijler 2</w:t>
      </w:r>
      <w:r>
        <w:t xml:space="preserve"> als het primaire systeem voor het waarborgen van een minimumniveau van belasting</w:t>
      </w:r>
      <w:r w:rsidR="00944644">
        <w:t>heffing</w:t>
      </w:r>
      <w:r>
        <w:t xml:space="preserve">. Dit gemeenschappelijke systeem is met reden zorgvuldig ontworpen, waarbij de minimumbelasting op een gecoördineerde manier wordt berekend op basis van een gemeenschappelijke belastinggrondslag. In dat opzicht </w:t>
      </w:r>
      <w:r w:rsidR="00DA120A">
        <w:t>was de Nederlandse inzet erop gericht om</w:t>
      </w:r>
      <w:r>
        <w:t xml:space="preserve"> afwijkingen van het gemeenschappelijke systeem tot een minimum </w:t>
      </w:r>
      <w:r w:rsidR="00DA120A">
        <w:t xml:space="preserve">te </w:t>
      </w:r>
      <w:r>
        <w:t xml:space="preserve">beperken. Tegelijkertijd ziet het kabinet het overkoepelende belang van het in stand houden van een netwerk van minimumbelastingen in een zo groot mogelijk internationaal verband, ook als dat betekent dat tegemoetgekomen wordt aan andere </w:t>
      </w:r>
      <w:r w:rsidR="00944644">
        <w:t xml:space="preserve">jurisdicties </w:t>
      </w:r>
      <w:r>
        <w:t>die een eigen robuust belasting</w:t>
      </w:r>
      <w:r w:rsidR="00944644">
        <w:t>stelsel</w:t>
      </w:r>
      <w:r>
        <w:t xml:space="preserve"> hebben</w:t>
      </w:r>
      <w:r w:rsidR="00944644">
        <w:t xml:space="preserve"> dat een minimumniveau van belastingheffing waarborgt</w:t>
      </w:r>
      <w:r>
        <w:t xml:space="preserve">. Daarbij is het van belang dat niet-implementerende jurisdicties zich niet voordeliger kunnen positioneren ten opzichte van jurisdicties die wel Pijler 2 implementeren. </w:t>
      </w:r>
      <w:r w:rsidR="00C005F9">
        <w:t xml:space="preserve">Daarom is het positief dat, in lijn met de Nederlandse inzet, </w:t>
      </w:r>
      <w:r>
        <w:t xml:space="preserve">robuuste en strikte criteria zijn afgesproken voor de </w:t>
      </w:r>
      <w:r w:rsidRPr="000B7A3B">
        <w:rPr>
          <w:i/>
          <w:iCs/>
        </w:rPr>
        <w:t>Side-</w:t>
      </w:r>
      <w:proofErr w:type="spellStart"/>
      <w:r w:rsidRPr="000B7A3B">
        <w:rPr>
          <w:i/>
          <w:iCs/>
        </w:rPr>
        <w:t>by</w:t>
      </w:r>
      <w:proofErr w:type="spellEnd"/>
      <w:r w:rsidRPr="000B7A3B">
        <w:rPr>
          <w:i/>
          <w:iCs/>
        </w:rPr>
        <w:t>-Side-</w:t>
      </w:r>
      <w:r>
        <w:t xml:space="preserve"> en </w:t>
      </w:r>
      <w:r w:rsidRPr="000B7A3B">
        <w:rPr>
          <w:i/>
          <w:iCs/>
        </w:rPr>
        <w:t xml:space="preserve">UPE Safe </w:t>
      </w:r>
      <w:proofErr w:type="spellStart"/>
      <w:r w:rsidRPr="000B7A3B">
        <w:rPr>
          <w:i/>
          <w:iCs/>
        </w:rPr>
        <w:t>Harbour</w:t>
      </w:r>
      <w:proofErr w:type="spellEnd"/>
      <w:r w:rsidR="00C005F9">
        <w:t>.</w:t>
      </w:r>
      <w:r w:rsidR="00516D07">
        <w:t xml:space="preserve"> Daarbij blijft het van belang</w:t>
      </w:r>
      <w:r w:rsidR="00C005F9">
        <w:t xml:space="preserve"> </w:t>
      </w:r>
      <w:r>
        <w:t xml:space="preserve">dat er een adequaat proces doorlopen zal worden in het </w:t>
      </w:r>
      <w:proofErr w:type="spellStart"/>
      <w:r>
        <w:t>I</w:t>
      </w:r>
      <w:r w:rsidR="00516D07">
        <w:t>nclusive</w:t>
      </w:r>
      <w:proofErr w:type="spellEnd"/>
      <w:r w:rsidR="00516D07">
        <w:t xml:space="preserve"> </w:t>
      </w:r>
      <w:r>
        <w:t>F</w:t>
      </w:r>
      <w:r w:rsidR="00516D07">
        <w:t>ramework</w:t>
      </w:r>
      <w:r>
        <w:t xml:space="preserve"> om te beoordelen welke </w:t>
      </w:r>
      <w:r w:rsidR="007C5E13">
        <w:t xml:space="preserve">jurisdicties </w:t>
      </w:r>
      <w:r>
        <w:t xml:space="preserve">aan de criteria voldoen. Ook hecht het kabinet aan de onveranderde werking van de binnenlandse </w:t>
      </w:r>
      <w:proofErr w:type="spellStart"/>
      <w:r>
        <w:t>bijheffing</w:t>
      </w:r>
      <w:proofErr w:type="spellEnd"/>
      <w:r>
        <w:t xml:space="preserve">. Dit is positief voor het gelijke speelveld en voor het borgen van de beleidsdoelstellingen van Pijler 2, aangezien alle multinationale groepen </w:t>
      </w:r>
      <w:r w:rsidR="00561ECD">
        <w:t>onderworpen kunnen zijn aan een</w:t>
      </w:r>
      <w:r>
        <w:t xml:space="preserve"> binnenlandse </w:t>
      </w:r>
      <w:proofErr w:type="spellStart"/>
      <w:r>
        <w:t>bijheffing</w:t>
      </w:r>
      <w:proofErr w:type="spellEnd"/>
      <w:r w:rsidR="00623109">
        <w:t xml:space="preserve"> </w:t>
      </w:r>
      <w:r>
        <w:t xml:space="preserve">– voor zover die wordt geheven in </w:t>
      </w:r>
      <w:r w:rsidR="00D1119A">
        <w:t xml:space="preserve">jurisdicties </w:t>
      </w:r>
      <w:r>
        <w:t>waar zij opereren – ongeacht de locatie van het hoofdkantoor. Daarbij is het wel van belang dat onder het Side-</w:t>
      </w:r>
      <w:proofErr w:type="spellStart"/>
      <w:r>
        <w:t>by</w:t>
      </w:r>
      <w:proofErr w:type="spellEnd"/>
      <w:r>
        <w:t xml:space="preserve">-Side-systeem een prikkel blijft bestaan voor </w:t>
      </w:r>
      <w:r w:rsidR="00D1119A">
        <w:t xml:space="preserve">jurisdicties </w:t>
      </w:r>
      <w:r>
        <w:t xml:space="preserve">om een binnenlandse </w:t>
      </w:r>
      <w:proofErr w:type="spellStart"/>
      <w:r>
        <w:t>bijheffing</w:t>
      </w:r>
      <w:proofErr w:type="spellEnd"/>
      <w:r>
        <w:t xml:space="preserve"> te behouden dan wel in te voeren. Mede daarom hecht het kabinet aan de toekomstige evaluatie om te monitoren hoe het Side-</w:t>
      </w:r>
      <w:proofErr w:type="spellStart"/>
      <w:r>
        <w:t>by</w:t>
      </w:r>
      <w:proofErr w:type="spellEnd"/>
      <w:r>
        <w:t>-Side-systeem in de praktijk uitpakt en als nodig actie te ondernemen om risico’s met betrekking tot het gelijke speelveld of grondslaguitholling en winstverschuiving te adresseren.</w:t>
      </w:r>
      <w:r w:rsidR="006525B8">
        <w:t xml:space="preserve"> In het bijzonder vindt het kabinet het belangrijk om in het oog te houden dat Nederlandse bedrijven o</w:t>
      </w:r>
      <w:r w:rsidR="00DD78D8">
        <w:t>nder</w:t>
      </w:r>
      <w:r w:rsidR="006525B8">
        <w:t xml:space="preserve"> gelijke voorwaarden kunnen concurreren met lokale bedrijven in </w:t>
      </w:r>
      <w:r w:rsidRPr="00A819C3" w:rsidR="006525B8">
        <w:rPr>
          <w:i/>
          <w:iCs/>
        </w:rPr>
        <w:t>Side-</w:t>
      </w:r>
      <w:proofErr w:type="spellStart"/>
      <w:r w:rsidRPr="00A819C3" w:rsidR="006525B8">
        <w:rPr>
          <w:i/>
          <w:iCs/>
        </w:rPr>
        <w:t>by</w:t>
      </w:r>
      <w:proofErr w:type="spellEnd"/>
      <w:r w:rsidRPr="00A819C3" w:rsidR="006525B8">
        <w:rPr>
          <w:i/>
          <w:iCs/>
        </w:rPr>
        <w:t xml:space="preserve">-Side- </w:t>
      </w:r>
      <w:r w:rsidRPr="00245CB0" w:rsidR="006525B8">
        <w:t>of</w:t>
      </w:r>
      <w:r w:rsidRPr="00A819C3" w:rsidR="006525B8">
        <w:rPr>
          <w:i/>
          <w:iCs/>
        </w:rPr>
        <w:t xml:space="preserve"> UPE Safe </w:t>
      </w:r>
      <w:proofErr w:type="spellStart"/>
      <w:r w:rsidRPr="00A819C3" w:rsidR="006525B8">
        <w:rPr>
          <w:i/>
          <w:iCs/>
        </w:rPr>
        <w:t>Harbour</w:t>
      </w:r>
      <w:proofErr w:type="spellEnd"/>
      <w:r w:rsidR="006525B8">
        <w:t>-jurisdicties.</w:t>
      </w:r>
    </w:p>
    <w:p w:rsidRPr="000E18B5" w:rsidR="00C64383" w:rsidP="00C64383" w:rsidRDefault="00C64383" w14:paraId="1BB9854E" w14:textId="77777777">
      <w:pPr>
        <w:rPr>
          <w:b/>
          <w:bCs/>
        </w:rPr>
      </w:pPr>
    </w:p>
    <w:p w:rsidRPr="004B10F0" w:rsidR="00C64383" w:rsidP="00C64383" w:rsidRDefault="00C64383" w14:paraId="373BD482" w14:textId="77777777">
      <w:pPr>
        <w:pStyle w:val="Lijstalinea"/>
        <w:numPr>
          <w:ilvl w:val="1"/>
          <w:numId w:val="16"/>
        </w:numPr>
        <w:spacing w:after="0"/>
        <w:rPr>
          <w:rFonts w:ascii="Verdana" w:hAnsi="Verdana"/>
          <w:b/>
          <w:bCs/>
          <w:sz w:val="18"/>
          <w:szCs w:val="18"/>
        </w:rPr>
      </w:pPr>
      <w:proofErr w:type="spellStart"/>
      <w:r w:rsidRPr="004B10F0">
        <w:rPr>
          <w:rFonts w:ascii="Verdana" w:hAnsi="Verdana"/>
          <w:b/>
          <w:bCs/>
          <w:sz w:val="18"/>
          <w:szCs w:val="18"/>
          <w:lang w:val="en-US"/>
        </w:rPr>
        <w:t>Vereenvoudigingsmaatregelen</w:t>
      </w:r>
      <w:proofErr w:type="spellEnd"/>
    </w:p>
    <w:p w:rsidRPr="00A0271E" w:rsidR="00C64383" w:rsidP="00C64383" w:rsidRDefault="00C64383" w14:paraId="0D544A88" w14:textId="77777777">
      <w:pPr>
        <w:pStyle w:val="Bullet"/>
        <w:numPr>
          <w:ilvl w:val="0"/>
          <w:numId w:val="0"/>
        </w:numPr>
      </w:pPr>
    </w:p>
    <w:p w:rsidR="002B2346" w:rsidP="00C64383" w:rsidRDefault="00C64383" w14:paraId="75BC0BEF" w14:textId="77777777">
      <w:r w:rsidRPr="00A0271E">
        <w:t>Als onderdeel van het Side-</w:t>
      </w:r>
      <w:proofErr w:type="spellStart"/>
      <w:r w:rsidRPr="00A0271E">
        <w:t>by</w:t>
      </w:r>
      <w:proofErr w:type="spellEnd"/>
      <w:r w:rsidRPr="00A0271E">
        <w:t>-Side</w:t>
      </w:r>
      <w:r>
        <w:t>-</w:t>
      </w:r>
      <w:r w:rsidRPr="00A0271E">
        <w:t xml:space="preserve">pakket zijn enkele vereenvoudigingen van de Pijler 2-regels </w:t>
      </w:r>
      <w:r>
        <w:t>overeengekomen</w:t>
      </w:r>
      <w:r w:rsidRPr="00A0271E">
        <w:t xml:space="preserve">. Deze maatregelen vormen </w:t>
      </w:r>
      <w:r w:rsidR="00745D84">
        <w:t>het</w:t>
      </w:r>
      <w:r w:rsidRPr="00A0271E" w:rsidR="00745D84">
        <w:t xml:space="preserve"> </w:t>
      </w:r>
      <w:r w:rsidRPr="00A0271E">
        <w:t xml:space="preserve">startpunt voor verdere vereenvoudiging. </w:t>
      </w:r>
      <w:r w:rsidR="00222AAC">
        <w:t>Er zijn</w:t>
      </w:r>
      <w:r w:rsidRPr="00A0271E">
        <w:t xml:space="preserve"> drie </w:t>
      </w:r>
      <w:r>
        <w:t>vereenvoudigings</w:t>
      </w:r>
      <w:r w:rsidRPr="00A0271E">
        <w:t>maatregelen afgesproken:</w:t>
      </w:r>
      <w:r>
        <w:t xml:space="preserve"> </w:t>
      </w:r>
      <w:r w:rsidR="00222AAC">
        <w:t>verlenging van de tijdelijke Country-</w:t>
      </w:r>
      <w:proofErr w:type="spellStart"/>
      <w:r w:rsidR="00222AAC">
        <w:t>by</w:t>
      </w:r>
      <w:proofErr w:type="spellEnd"/>
      <w:r w:rsidR="00222AAC">
        <w:t xml:space="preserve">-Country Reporting-veilige havenregel (hierna: de tijdelijke </w:t>
      </w:r>
      <w:proofErr w:type="spellStart"/>
      <w:r w:rsidR="00222AAC">
        <w:t>CbCR-veiligehavenregel</w:t>
      </w:r>
      <w:proofErr w:type="spellEnd"/>
      <w:r w:rsidR="00222AAC">
        <w:t xml:space="preserve">), een nieuwe en permanente </w:t>
      </w:r>
      <w:proofErr w:type="spellStart"/>
      <w:r w:rsidRPr="00F75D54" w:rsidR="00222AAC">
        <w:rPr>
          <w:i/>
          <w:iCs/>
        </w:rPr>
        <w:t>Simplified</w:t>
      </w:r>
      <w:proofErr w:type="spellEnd"/>
      <w:r w:rsidRPr="00F75D54" w:rsidR="00222AAC">
        <w:rPr>
          <w:i/>
          <w:iCs/>
        </w:rPr>
        <w:t xml:space="preserve"> </w:t>
      </w:r>
      <w:proofErr w:type="spellStart"/>
      <w:r w:rsidRPr="00F75D54" w:rsidR="00222AAC">
        <w:rPr>
          <w:i/>
          <w:iCs/>
        </w:rPr>
        <w:t>Effective</w:t>
      </w:r>
      <w:proofErr w:type="spellEnd"/>
      <w:r w:rsidRPr="00F75D54" w:rsidR="00222AAC">
        <w:rPr>
          <w:i/>
          <w:iCs/>
        </w:rPr>
        <w:t xml:space="preserve"> Tax </w:t>
      </w:r>
      <w:proofErr w:type="spellStart"/>
      <w:r w:rsidRPr="00F75D54" w:rsidR="00222AAC">
        <w:rPr>
          <w:i/>
          <w:iCs/>
        </w:rPr>
        <w:t>Rate</w:t>
      </w:r>
      <w:proofErr w:type="spellEnd"/>
      <w:r w:rsidRPr="00F75D54" w:rsidR="00222AAC">
        <w:rPr>
          <w:i/>
          <w:iCs/>
        </w:rPr>
        <w:t xml:space="preserve"> (ETR) Safe </w:t>
      </w:r>
      <w:proofErr w:type="spellStart"/>
      <w:r w:rsidRPr="00F75D54" w:rsidR="00222AAC">
        <w:rPr>
          <w:i/>
          <w:iCs/>
        </w:rPr>
        <w:t>Harbour</w:t>
      </w:r>
      <w:proofErr w:type="spellEnd"/>
      <w:r w:rsidR="00566E02">
        <w:t xml:space="preserve"> en een programma voor verdere vereenvoudiging.</w:t>
      </w:r>
    </w:p>
    <w:p w:rsidRPr="000E18B5" w:rsidR="00C64383" w:rsidP="00C64383" w:rsidRDefault="00C64383" w14:paraId="4A22C96F" w14:textId="77777777"/>
    <w:p w:rsidR="00B25BCF" w:rsidP="00B25BCF" w:rsidRDefault="002B2346" w14:paraId="339679AC" w14:textId="77777777">
      <w:r>
        <w:t>D</w:t>
      </w:r>
      <w:r w:rsidRPr="0095379E" w:rsidR="00C64383">
        <w:t xml:space="preserve">e tijdelijke </w:t>
      </w:r>
      <w:proofErr w:type="spellStart"/>
      <w:r w:rsidRPr="00BC4106" w:rsidR="00C64383">
        <w:t>CbCR-veiligehavenregel</w:t>
      </w:r>
      <w:proofErr w:type="spellEnd"/>
      <w:r>
        <w:t xml:space="preserve"> wordt verlengd</w:t>
      </w:r>
      <w:r w:rsidRPr="00BC4106" w:rsidR="00C64383">
        <w:t xml:space="preserve"> met een jaar. De</w:t>
      </w:r>
    </w:p>
    <w:p w:rsidR="00B25BCF" w:rsidP="00B25BCF" w:rsidRDefault="00C64383" w14:paraId="2EC686DD" w14:textId="77777777">
      <w:proofErr w:type="spellStart"/>
      <w:proofErr w:type="gramStart"/>
      <w:r w:rsidRPr="00BC4106">
        <w:lastRenderedPageBreak/>
        <w:t>veiligehavenregel</w:t>
      </w:r>
      <w:proofErr w:type="spellEnd"/>
      <w:proofErr w:type="gramEnd"/>
      <w:r w:rsidRPr="00BC4106">
        <w:t xml:space="preserve"> kan daardoor worden toegepast voor </w:t>
      </w:r>
      <w:r w:rsidR="002B2346">
        <w:t>verslag</w:t>
      </w:r>
      <w:r w:rsidRPr="00BC4106" w:rsidR="002B2346">
        <w:t xml:space="preserve">jaren </w:t>
      </w:r>
      <w:r w:rsidRPr="00BC4106">
        <w:t>die starten</w:t>
      </w:r>
    </w:p>
    <w:p w:rsidR="00C64383" w:rsidP="00B25BCF" w:rsidRDefault="00C64383" w14:paraId="11309BCA" w14:textId="77777777">
      <w:proofErr w:type="gramStart"/>
      <w:r w:rsidRPr="00BC4106">
        <w:t>op</w:t>
      </w:r>
      <w:proofErr w:type="gramEnd"/>
      <w:r w:rsidRPr="00BC4106">
        <w:t xml:space="preserve"> of voor 31 december 2027. </w:t>
      </w:r>
      <w:r w:rsidR="002B2346">
        <w:t>D</w:t>
      </w:r>
      <w:r w:rsidRPr="0095379E">
        <w:t xml:space="preserve">e tijdelijke </w:t>
      </w:r>
      <w:proofErr w:type="spellStart"/>
      <w:r w:rsidRPr="0095379E">
        <w:t>CbCR</w:t>
      </w:r>
      <w:proofErr w:type="spellEnd"/>
      <w:r w:rsidRPr="0095379E">
        <w:t xml:space="preserve">-veilige havenregel </w:t>
      </w:r>
      <w:r w:rsidR="002B2346">
        <w:t xml:space="preserve">staat multinationale groepen toe </w:t>
      </w:r>
      <w:r>
        <w:t>het effectieve belastingtarief</w:t>
      </w:r>
      <w:r w:rsidR="002B2346">
        <w:t xml:space="preserve"> te berekenen</w:t>
      </w:r>
      <w:r w:rsidRPr="0095379E">
        <w:t xml:space="preserve"> op basis van </w:t>
      </w:r>
      <w:r>
        <w:t>het</w:t>
      </w:r>
      <w:r w:rsidRPr="0095379E">
        <w:t xml:space="preserve"> landenrapport en </w:t>
      </w:r>
      <w:r>
        <w:t>f</w:t>
      </w:r>
      <w:r w:rsidRPr="0095379E">
        <w:t>inanciële verslaglegging.</w:t>
      </w:r>
      <w:r>
        <w:t xml:space="preserve"> </w:t>
      </w:r>
      <w:r w:rsidRPr="00BC4106">
        <w:t xml:space="preserve">Als volgens </w:t>
      </w:r>
      <w:r>
        <w:t>deze</w:t>
      </w:r>
      <w:r w:rsidRPr="00BC4106">
        <w:t xml:space="preserve"> berekening</w:t>
      </w:r>
      <w:r>
        <w:t xml:space="preserve"> het</w:t>
      </w:r>
      <w:r w:rsidRPr="00BC4106">
        <w:t xml:space="preserve"> effectieve belasting</w:t>
      </w:r>
      <w:r>
        <w:t>tarief</w:t>
      </w:r>
      <w:r w:rsidRPr="00BC4106">
        <w:t xml:space="preserve"> </w:t>
      </w:r>
      <w:r>
        <w:t>ten minste</w:t>
      </w:r>
      <w:r w:rsidRPr="00BC4106">
        <w:t xml:space="preserve"> </w:t>
      </w:r>
      <w:r w:rsidR="002B2346">
        <w:t>16</w:t>
      </w:r>
      <w:r w:rsidRPr="00BC4106">
        <w:t>%</w:t>
      </w:r>
      <w:r w:rsidR="002B2346">
        <w:t xml:space="preserve"> (2025) of 17% (2026 en 2027)</w:t>
      </w:r>
      <w:r>
        <w:t xml:space="preserve"> is</w:t>
      </w:r>
      <w:r w:rsidRPr="00BC4106">
        <w:t xml:space="preserve">, </w:t>
      </w:r>
      <w:r w:rsidR="002B2346">
        <w:t xml:space="preserve">hoeft </w:t>
      </w:r>
      <w:r w:rsidR="00DE375C">
        <w:t>d</w:t>
      </w:r>
      <w:r w:rsidR="002B2346">
        <w:t xml:space="preserve">e groep de uitgebreide berekening van het effectieve belastingtarief niet te maken en </w:t>
      </w:r>
      <w:r w:rsidRPr="00BC4106">
        <w:t>vindt geen Pijler 2-bijheffing plaats</w:t>
      </w:r>
      <w:r>
        <w:t>.</w:t>
      </w:r>
    </w:p>
    <w:p w:rsidRPr="00BC4106" w:rsidR="002B2346" w:rsidP="00F75D54" w:rsidRDefault="002B2346" w14:paraId="10D53D26" w14:textId="77777777">
      <w:pPr>
        <w:pStyle w:val="Bullet"/>
        <w:numPr>
          <w:ilvl w:val="0"/>
          <w:numId w:val="0"/>
        </w:numPr>
      </w:pPr>
    </w:p>
    <w:p w:rsidR="00C64383" w:rsidP="00FC26D3" w:rsidRDefault="009403AC" w14:paraId="5F978716" w14:textId="77777777">
      <w:pPr>
        <w:pStyle w:val="Bullet"/>
        <w:numPr>
          <w:ilvl w:val="0"/>
          <w:numId w:val="0"/>
        </w:numPr>
      </w:pPr>
      <w:r>
        <w:t xml:space="preserve">Daarnaast </w:t>
      </w:r>
      <w:r w:rsidRPr="00BC4106" w:rsidR="00C64383">
        <w:t xml:space="preserve">komt </w:t>
      </w:r>
      <w:r>
        <w:t xml:space="preserve">er </w:t>
      </w:r>
      <w:r w:rsidRPr="00BC4106" w:rsidR="00C64383">
        <w:t xml:space="preserve">een nieuwe en permanente </w:t>
      </w:r>
      <w:proofErr w:type="spellStart"/>
      <w:r w:rsidR="00C64383">
        <w:rPr>
          <w:i/>
          <w:iCs/>
        </w:rPr>
        <w:t>S</w:t>
      </w:r>
      <w:r w:rsidRPr="00BC4106" w:rsidR="00C64383">
        <w:rPr>
          <w:i/>
          <w:iCs/>
        </w:rPr>
        <w:t>implified</w:t>
      </w:r>
      <w:proofErr w:type="spellEnd"/>
      <w:r w:rsidRPr="00BC4106" w:rsidR="00C64383">
        <w:rPr>
          <w:i/>
          <w:iCs/>
        </w:rPr>
        <w:t xml:space="preserve"> </w:t>
      </w:r>
      <w:proofErr w:type="spellStart"/>
      <w:r w:rsidR="00C64383">
        <w:rPr>
          <w:i/>
          <w:iCs/>
        </w:rPr>
        <w:t>Effective</w:t>
      </w:r>
      <w:proofErr w:type="spellEnd"/>
      <w:r w:rsidR="00C64383">
        <w:rPr>
          <w:i/>
          <w:iCs/>
        </w:rPr>
        <w:t xml:space="preserve"> Tax </w:t>
      </w:r>
      <w:proofErr w:type="spellStart"/>
      <w:r w:rsidR="00C64383">
        <w:rPr>
          <w:i/>
          <w:iCs/>
        </w:rPr>
        <w:t>Rate</w:t>
      </w:r>
      <w:proofErr w:type="spellEnd"/>
      <w:r w:rsidR="00C64383">
        <w:rPr>
          <w:i/>
          <w:iCs/>
        </w:rPr>
        <w:t xml:space="preserve"> (</w:t>
      </w:r>
      <w:r w:rsidRPr="00BC4106" w:rsidR="00C64383">
        <w:rPr>
          <w:i/>
          <w:iCs/>
        </w:rPr>
        <w:t>ETR</w:t>
      </w:r>
      <w:r w:rsidR="00C64383">
        <w:rPr>
          <w:i/>
          <w:iCs/>
        </w:rPr>
        <w:t>)</w:t>
      </w:r>
      <w:r w:rsidRPr="00BC4106" w:rsidR="00C64383">
        <w:rPr>
          <w:i/>
          <w:iCs/>
        </w:rPr>
        <w:t xml:space="preserve"> </w:t>
      </w:r>
      <w:r w:rsidR="00C64383">
        <w:rPr>
          <w:i/>
          <w:iCs/>
        </w:rPr>
        <w:t>S</w:t>
      </w:r>
      <w:r w:rsidRPr="00BC4106" w:rsidR="00C64383">
        <w:rPr>
          <w:i/>
          <w:iCs/>
        </w:rPr>
        <w:t xml:space="preserve">afe </w:t>
      </w:r>
      <w:proofErr w:type="spellStart"/>
      <w:r w:rsidR="00C64383">
        <w:rPr>
          <w:i/>
          <w:iCs/>
        </w:rPr>
        <w:t>H</w:t>
      </w:r>
      <w:r w:rsidRPr="00BC4106" w:rsidR="00C64383">
        <w:rPr>
          <w:i/>
          <w:iCs/>
        </w:rPr>
        <w:t>arbour</w:t>
      </w:r>
      <w:proofErr w:type="spellEnd"/>
      <w:r w:rsidRPr="00BC4106" w:rsidR="00C64383">
        <w:t xml:space="preserve"> vanaf 2027</w:t>
      </w:r>
      <w:r w:rsidR="00E64217">
        <w:t xml:space="preserve">. </w:t>
      </w:r>
      <w:r>
        <w:t>Jurisdicties</w:t>
      </w:r>
      <w:r w:rsidR="00E64217">
        <w:t xml:space="preserve"> hebben de optie de </w:t>
      </w:r>
      <w:proofErr w:type="spellStart"/>
      <w:r w:rsidR="00E64217">
        <w:t>veiligehavenregel</w:t>
      </w:r>
      <w:proofErr w:type="spellEnd"/>
      <w:r w:rsidR="00E64217">
        <w:t xml:space="preserve"> onder bepaalde omstandigheden in te voeren vanaf 2026</w:t>
      </w:r>
      <w:r w:rsidRPr="00BC4106" w:rsidR="00C64383">
        <w:t xml:space="preserve">. </w:t>
      </w:r>
      <w:r w:rsidRPr="0096129A" w:rsidR="00C64383">
        <w:t>De kern van deze</w:t>
      </w:r>
      <w:r w:rsidR="00C64383">
        <w:t xml:space="preserve"> </w:t>
      </w:r>
      <w:proofErr w:type="spellStart"/>
      <w:r w:rsidR="00C64383">
        <w:t>veiligehavenregel</w:t>
      </w:r>
      <w:proofErr w:type="spellEnd"/>
      <w:r w:rsidR="00C64383">
        <w:t xml:space="preserve"> is dat</w:t>
      </w:r>
      <w:r w:rsidRPr="0096129A" w:rsidR="00C64383">
        <w:t xml:space="preserve"> </w:t>
      </w:r>
      <w:r w:rsidR="00FC26D3">
        <w:t xml:space="preserve">het effectieve belastingtarief wordt berekend op basis van </w:t>
      </w:r>
      <w:r w:rsidRPr="0096129A" w:rsidR="00C64383">
        <w:t>de financiële jaarverslaggeving van de groep</w:t>
      </w:r>
      <w:r w:rsidR="00C64383">
        <w:t>, met een beperkt aantal correcties</w:t>
      </w:r>
      <w:r w:rsidRPr="0096129A" w:rsidR="00C64383">
        <w:t xml:space="preserve">. </w:t>
      </w:r>
      <w:r w:rsidRPr="00BC4106" w:rsidR="00C64383">
        <w:t xml:space="preserve">Als volgens </w:t>
      </w:r>
      <w:r w:rsidR="00FC26D3">
        <w:t>de vereenvoudigde</w:t>
      </w:r>
      <w:r w:rsidRPr="00BC4106" w:rsidR="00C64383">
        <w:t xml:space="preserve"> berekening</w:t>
      </w:r>
      <w:r w:rsidR="00C64383">
        <w:t xml:space="preserve"> het</w:t>
      </w:r>
      <w:r w:rsidRPr="00BC4106" w:rsidR="00C64383">
        <w:t xml:space="preserve"> effectieve belasting</w:t>
      </w:r>
      <w:r w:rsidR="00C64383">
        <w:t>tarief</w:t>
      </w:r>
      <w:r w:rsidRPr="00BC4106" w:rsidR="00C64383">
        <w:t xml:space="preserve"> </w:t>
      </w:r>
      <w:r w:rsidR="00C64383">
        <w:t>ten minste</w:t>
      </w:r>
      <w:r w:rsidRPr="00BC4106" w:rsidR="00C64383">
        <w:t xml:space="preserve"> 15%</w:t>
      </w:r>
      <w:r w:rsidR="00C64383">
        <w:t xml:space="preserve"> is</w:t>
      </w:r>
      <w:r w:rsidRPr="00BC4106" w:rsidR="00C64383">
        <w:t xml:space="preserve">, </w:t>
      </w:r>
      <w:r w:rsidR="00FC26D3">
        <w:t xml:space="preserve">hoeft de groep de uitgebreide berekening van het effectieve belastingtarief niet te maken en </w:t>
      </w:r>
      <w:r w:rsidRPr="00BC4106" w:rsidR="00C64383">
        <w:t xml:space="preserve">vindt geen Pijler 2-bijheffing plaats. </w:t>
      </w:r>
    </w:p>
    <w:p w:rsidR="00FC26D3" w:rsidP="00F75D54" w:rsidRDefault="00FC26D3" w14:paraId="53263E3E" w14:textId="77777777">
      <w:pPr>
        <w:pStyle w:val="Bullet"/>
        <w:numPr>
          <w:ilvl w:val="0"/>
          <w:numId w:val="0"/>
        </w:numPr>
      </w:pPr>
    </w:p>
    <w:p w:rsidRPr="00BC4106" w:rsidR="00C64383" w:rsidP="00B25BCF" w:rsidRDefault="009403AC" w14:paraId="7D2EB5E6" w14:textId="77777777">
      <w:pPr>
        <w:pStyle w:val="Bullet"/>
        <w:numPr>
          <w:ilvl w:val="0"/>
          <w:numId w:val="0"/>
        </w:numPr>
      </w:pPr>
      <w:r>
        <w:t>Ten slotte</w:t>
      </w:r>
      <w:r w:rsidR="00C64383">
        <w:t xml:space="preserve"> is een programma voor verdere vereenvoudiging overeengekomen, waaronder</w:t>
      </w:r>
      <w:r w:rsidR="00831421">
        <w:t>:</w:t>
      </w:r>
      <w:r w:rsidR="00C64383">
        <w:t xml:space="preserve"> (i) het afronden van het lopende traject met betrekking tot de </w:t>
      </w:r>
      <w:r w:rsidRPr="00B25BCF" w:rsidR="00C64383">
        <w:t xml:space="preserve">routine </w:t>
      </w:r>
      <w:proofErr w:type="spellStart"/>
      <w:r w:rsidRPr="00B25BCF" w:rsidR="00C64383">
        <w:t>profits</w:t>
      </w:r>
      <w:proofErr w:type="spellEnd"/>
      <w:r w:rsidRPr="00B25BCF" w:rsidR="00C64383">
        <w:t xml:space="preserve"> test</w:t>
      </w:r>
      <w:r w:rsidR="00C64383">
        <w:t xml:space="preserve"> en </w:t>
      </w:r>
      <w:r w:rsidR="002E5A87">
        <w:t xml:space="preserve">de </w:t>
      </w:r>
      <w:proofErr w:type="spellStart"/>
      <w:r w:rsidRPr="00B25BCF" w:rsidR="00C64383">
        <w:t>de</w:t>
      </w:r>
      <w:proofErr w:type="spellEnd"/>
      <w:r w:rsidRPr="00B25BCF" w:rsidR="00C64383">
        <w:t xml:space="preserve"> </w:t>
      </w:r>
      <w:proofErr w:type="spellStart"/>
      <w:r w:rsidRPr="00B25BCF" w:rsidR="00C64383">
        <w:t>minimis</w:t>
      </w:r>
      <w:proofErr w:type="spellEnd"/>
      <w:r w:rsidRPr="00B25BCF" w:rsidR="00C64383">
        <w:t xml:space="preserve"> test</w:t>
      </w:r>
      <w:r w:rsidR="00C64383">
        <w:t xml:space="preserve">, (ii) verdere vereenvoudiging van de Pijler 2-regels, waarbij ook gekeken zal worden naar vermindering van de administratieve lasten voor multinationale groepen met activiteiten in </w:t>
      </w:r>
      <w:r>
        <w:t xml:space="preserve">jurisdicties </w:t>
      </w:r>
      <w:r w:rsidR="00C64383">
        <w:t xml:space="preserve">die een binnenlandse </w:t>
      </w:r>
      <w:proofErr w:type="spellStart"/>
      <w:r w:rsidR="00C64383">
        <w:t>bijheffing</w:t>
      </w:r>
      <w:proofErr w:type="spellEnd"/>
      <w:r w:rsidR="00C64383">
        <w:t xml:space="preserve"> hebben ingevoerd, (iii) verdere administratieve richtsnoeren met betrekking tot technische punten in de Pijler 2-regels en (iv)</w:t>
      </w:r>
      <w:r w:rsidR="004D53FE">
        <w:t> </w:t>
      </w:r>
      <w:r w:rsidR="00985A49">
        <w:t xml:space="preserve">het </w:t>
      </w:r>
      <w:r w:rsidR="00C64383">
        <w:t>onderzoeken van de integratie van de ver</w:t>
      </w:r>
      <w:r>
        <w:t>eenvoudigde</w:t>
      </w:r>
      <w:r w:rsidR="00C64383">
        <w:t xml:space="preserve"> berekeningen van </w:t>
      </w:r>
      <w:r w:rsidR="002E5A87">
        <w:t xml:space="preserve">de </w:t>
      </w:r>
      <w:proofErr w:type="spellStart"/>
      <w:r w:rsidRPr="00563055" w:rsidR="00C64383">
        <w:rPr>
          <w:i/>
          <w:iCs/>
        </w:rPr>
        <w:t>Simplified</w:t>
      </w:r>
      <w:proofErr w:type="spellEnd"/>
      <w:r w:rsidRPr="00563055" w:rsidR="00C64383">
        <w:rPr>
          <w:i/>
          <w:iCs/>
        </w:rPr>
        <w:t xml:space="preserve"> ETR Safe </w:t>
      </w:r>
      <w:proofErr w:type="spellStart"/>
      <w:r w:rsidRPr="00563055" w:rsidR="00C64383">
        <w:rPr>
          <w:i/>
          <w:iCs/>
        </w:rPr>
        <w:t>Harbour</w:t>
      </w:r>
      <w:proofErr w:type="spellEnd"/>
      <w:r w:rsidR="00C64383">
        <w:t xml:space="preserve"> in de Pijler 2-regels. </w:t>
      </w:r>
    </w:p>
    <w:p w:rsidR="00C64383" w:rsidP="00C64383" w:rsidRDefault="00C64383" w14:paraId="04052F8B" w14:textId="77777777">
      <w:pPr>
        <w:pStyle w:val="Bullet"/>
        <w:numPr>
          <w:ilvl w:val="0"/>
          <w:numId w:val="0"/>
        </w:numPr>
        <w:rPr>
          <w:highlight w:val="green"/>
        </w:rPr>
      </w:pPr>
    </w:p>
    <w:p w:rsidR="00C64383" w:rsidP="00C64383" w:rsidRDefault="00C64383" w14:paraId="55FDAC0E" w14:textId="77777777">
      <w:pPr>
        <w:rPr>
          <w:i/>
          <w:iCs/>
        </w:rPr>
      </w:pPr>
      <w:r w:rsidRPr="00BF5D69">
        <w:rPr>
          <w:i/>
          <w:iCs/>
        </w:rPr>
        <w:t>Appreciatie</w:t>
      </w:r>
    </w:p>
    <w:p w:rsidR="00C64383" w:rsidP="00C64383" w:rsidRDefault="00C64383" w14:paraId="7FBE76A4" w14:textId="77777777">
      <w:r>
        <w:t>Het kabinet juicht toe dat in het Side-</w:t>
      </w:r>
      <w:proofErr w:type="spellStart"/>
      <w:r>
        <w:t>by</w:t>
      </w:r>
      <w:proofErr w:type="spellEnd"/>
      <w:r>
        <w:t>-Side-pakket fundamentele vereenvoudigingen zijn opgenomen. Tijdens de onderhandelingen heeft Nederland</w:t>
      </w:r>
      <w:r w:rsidR="00452374">
        <w:t>, in lijn met motie Van Eijk c.s.</w:t>
      </w:r>
      <w:r w:rsidR="001B60ED">
        <w:rPr>
          <w:rStyle w:val="Voetnootmarkering"/>
        </w:rPr>
        <w:footnoteReference w:id="9"/>
      </w:r>
      <w:r w:rsidR="00452374">
        <w:t>,</w:t>
      </w:r>
      <w:r>
        <w:t xml:space="preserve"> ingezet op betekenisvolle vereenvoudiging van de Pijler 2-regels ter vermindering van de administratieve lasten voor het bedrijfsleven. </w:t>
      </w:r>
      <w:r w:rsidRPr="00E42882">
        <w:t xml:space="preserve">De </w:t>
      </w:r>
      <w:r>
        <w:t xml:space="preserve">verlenging van de </w:t>
      </w:r>
      <w:r w:rsidRPr="00200487">
        <w:t xml:space="preserve">tijdelijke </w:t>
      </w:r>
      <w:proofErr w:type="spellStart"/>
      <w:r w:rsidRPr="00200487">
        <w:t>CbCR-veiligehavenregel</w:t>
      </w:r>
      <w:proofErr w:type="spellEnd"/>
      <w:r>
        <w:t xml:space="preserve"> in combinatie met de invoering van de </w:t>
      </w:r>
      <w:r w:rsidRPr="00E42882">
        <w:t xml:space="preserve">permanente </w:t>
      </w:r>
      <w:proofErr w:type="spellStart"/>
      <w:r w:rsidRPr="00B45705">
        <w:rPr>
          <w:i/>
          <w:iCs/>
        </w:rPr>
        <w:t>Simplified</w:t>
      </w:r>
      <w:proofErr w:type="spellEnd"/>
      <w:r w:rsidRPr="00B45705">
        <w:rPr>
          <w:i/>
          <w:iCs/>
        </w:rPr>
        <w:t xml:space="preserve"> ETR Safe </w:t>
      </w:r>
      <w:proofErr w:type="spellStart"/>
      <w:r w:rsidRPr="00B45705">
        <w:rPr>
          <w:i/>
          <w:iCs/>
        </w:rPr>
        <w:t>Harbour</w:t>
      </w:r>
      <w:proofErr w:type="spellEnd"/>
      <w:r>
        <w:t xml:space="preserve"> vormt een goed startpunt voor verdere vereenvoudiging. </w:t>
      </w:r>
    </w:p>
    <w:p w:rsidR="00C64383" w:rsidP="00C64383" w:rsidRDefault="00C64383" w14:paraId="48DA5E73" w14:textId="77777777"/>
    <w:p w:rsidR="00C64383" w:rsidP="00C64383" w:rsidRDefault="00C64383" w14:paraId="7C6638C4" w14:textId="77777777">
      <w:r>
        <w:t xml:space="preserve">Het kabinet steunt de verlenging van de </w:t>
      </w:r>
      <w:r w:rsidRPr="00200487">
        <w:t xml:space="preserve">tijdelijke </w:t>
      </w:r>
      <w:proofErr w:type="spellStart"/>
      <w:r w:rsidRPr="00200487">
        <w:t>CbCR-veiligehavenregel</w:t>
      </w:r>
      <w:proofErr w:type="spellEnd"/>
      <w:r>
        <w:t xml:space="preserve"> met een jaar om de transitie naar de </w:t>
      </w:r>
      <w:r w:rsidRPr="00E42882">
        <w:t xml:space="preserve">permanente </w:t>
      </w:r>
      <w:proofErr w:type="spellStart"/>
      <w:r w:rsidRPr="004E72C3">
        <w:rPr>
          <w:i/>
          <w:iCs/>
        </w:rPr>
        <w:t>Simplified</w:t>
      </w:r>
      <w:proofErr w:type="spellEnd"/>
      <w:r w:rsidRPr="004E72C3">
        <w:rPr>
          <w:i/>
          <w:iCs/>
        </w:rPr>
        <w:t xml:space="preserve"> ETR Safe </w:t>
      </w:r>
      <w:proofErr w:type="spellStart"/>
      <w:r w:rsidRPr="004E72C3">
        <w:rPr>
          <w:i/>
          <w:iCs/>
        </w:rPr>
        <w:t>Harbour</w:t>
      </w:r>
      <w:proofErr w:type="spellEnd"/>
      <w:r>
        <w:t xml:space="preserve"> voor bedrijven te vereenvoudigen. Tijdens de overgangsperiode kunnen bedrijven kiezen tussen toepassing van de </w:t>
      </w:r>
      <w:r w:rsidRPr="00200487">
        <w:t xml:space="preserve">tijdelijke </w:t>
      </w:r>
      <w:proofErr w:type="spellStart"/>
      <w:r w:rsidRPr="00200487">
        <w:t>CbCR-veiligehavenregel</w:t>
      </w:r>
      <w:proofErr w:type="spellEnd"/>
      <w:r>
        <w:t xml:space="preserve"> of toepassing van de </w:t>
      </w:r>
      <w:proofErr w:type="spellStart"/>
      <w:r w:rsidRPr="004E72C3">
        <w:rPr>
          <w:i/>
          <w:iCs/>
        </w:rPr>
        <w:t>Simplified</w:t>
      </w:r>
      <w:proofErr w:type="spellEnd"/>
      <w:r w:rsidRPr="004E72C3">
        <w:rPr>
          <w:i/>
          <w:iCs/>
        </w:rPr>
        <w:t xml:space="preserve"> ETR Safe </w:t>
      </w:r>
      <w:proofErr w:type="spellStart"/>
      <w:r w:rsidRPr="004E72C3">
        <w:rPr>
          <w:i/>
          <w:iCs/>
        </w:rPr>
        <w:t>Harbour</w:t>
      </w:r>
      <w:proofErr w:type="spellEnd"/>
      <w:r>
        <w:t>.</w:t>
      </w:r>
    </w:p>
    <w:p w:rsidR="00C64383" w:rsidP="00C64383" w:rsidRDefault="00C64383" w14:paraId="789CB2FB" w14:textId="77777777">
      <w:r>
        <w:t xml:space="preserve"> </w:t>
      </w:r>
    </w:p>
    <w:p w:rsidR="00C64383" w:rsidP="00C64383" w:rsidRDefault="00C64383" w14:paraId="2E8B4A16" w14:textId="77777777">
      <w:r w:rsidRPr="00E42882">
        <w:t xml:space="preserve">De permanente </w:t>
      </w:r>
      <w:proofErr w:type="spellStart"/>
      <w:r w:rsidRPr="004E72C3">
        <w:rPr>
          <w:i/>
          <w:iCs/>
        </w:rPr>
        <w:t>Simplified</w:t>
      </w:r>
      <w:proofErr w:type="spellEnd"/>
      <w:r w:rsidRPr="004E72C3">
        <w:rPr>
          <w:i/>
          <w:iCs/>
        </w:rPr>
        <w:t xml:space="preserve"> ETR Safe </w:t>
      </w:r>
      <w:proofErr w:type="spellStart"/>
      <w:r w:rsidRPr="004E72C3">
        <w:rPr>
          <w:i/>
          <w:iCs/>
        </w:rPr>
        <w:t>Harbour</w:t>
      </w:r>
      <w:proofErr w:type="spellEnd"/>
      <w:r w:rsidRPr="00DE6221">
        <w:t xml:space="preserve"> zorg</w:t>
      </w:r>
      <w:r>
        <w:t xml:space="preserve">t voor een vereenvoudiging in de berekening van het effectieve belastingtarief. De berekening sluit aan bij de financiële verslaggeving, waarop slechts een beperkt aantal correcties zijn vereist. </w:t>
      </w:r>
      <w:r w:rsidRPr="0096129A">
        <w:t xml:space="preserve">Hierdoor </w:t>
      </w:r>
      <w:r>
        <w:t xml:space="preserve">kunnen multinationale groepen de berekening opstellen op basis van </w:t>
      </w:r>
      <w:proofErr w:type="gramStart"/>
      <w:r w:rsidRPr="0096129A">
        <w:t>reeds</w:t>
      </w:r>
      <w:proofErr w:type="gramEnd"/>
      <w:r w:rsidRPr="0096129A">
        <w:t xml:space="preserve"> beschikbare informatie, hetgeen ten goede komt aan de uitvoerbaarheid </w:t>
      </w:r>
      <w:r>
        <w:t xml:space="preserve">voor zowel het bedrijfsleven als de Belastingdienst </w:t>
      </w:r>
      <w:r w:rsidRPr="0096129A">
        <w:t xml:space="preserve">en rechtszekerheid bevordert. </w:t>
      </w:r>
      <w:r>
        <w:t xml:space="preserve">Het feit dat slechts </w:t>
      </w:r>
      <w:r w:rsidRPr="0096129A">
        <w:t xml:space="preserve">een beperkt aantal correcties </w:t>
      </w:r>
      <w:r>
        <w:t xml:space="preserve">is </w:t>
      </w:r>
      <w:r w:rsidRPr="0096129A">
        <w:t xml:space="preserve">vereist ten opzichte van de financiële jaarverslaggevingstandaard, </w:t>
      </w:r>
      <w:r>
        <w:t xml:space="preserve">zorgt voor een aanzienlijke vermindering van de complexiteit en de administratieve lasten. Naar </w:t>
      </w:r>
      <w:r>
        <w:lastRenderedPageBreak/>
        <w:t xml:space="preserve">mening van het kabinet is de berekening door de </w:t>
      </w:r>
      <w:r w:rsidR="003C2D75">
        <w:t xml:space="preserve">vereiste </w:t>
      </w:r>
      <w:r>
        <w:t>aanpassingen</w:t>
      </w:r>
      <w:r w:rsidRPr="0096129A">
        <w:t xml:space="preserve"> voldoende robuust om te beoordelen of in een jurisdictie aan het minimumbelastingniveau wordt voldaan.</w:t>
      </w:r>
      <w:r>
        <w:t xml:space="preserve"> Daarom ondersteunt het kabinet de keuze </w:t>
      </w:r>
      <w:r w:rsidR="009403AC">
        <w:t xml:space="preserve">voor een percentage van 15%, </w:t>
      </w:r>
      <w:r w:rsidR="00F22C20">
        <w:t xml:space="preserve">zonder een bufferpercentage zoals in de tijdelijke </w:t>
      </w:r>
      <w:proofErr w:type="spellStart"/>
      <w:r w:rsidR="00F22C20">
        <w:t>CbCR-veiligehavenregel</w:t>
      </w:r>
      <w:proofErr w:type="spellEnd"/>
      <w:r>
        <w:t>.</w:t>
      </w:r>
    </w:p>
    <w:p w:rsidRPr="00F90606" w:rsidR="00C64383" w:rsidP="00C64383" w:rsidRDefault="00C64383" w14:paraId="30A5EE0F" w14:textId="77777777"/>
    <w:p w:rsidR="00C64383" w:rsidP="00C64383" w:rsidRDefault="00C64383" w14:paraId="68AA7489" w14:textId="77777777">
      <w:r w:rsidRPr="00F90606">
        <w:t xml:space="preserve">Het kabinet vindt het belangrijk dat </w:t>
      </w:r>
      <w:r>
        <w:t xml:space="preserve">de </w:t>
      </w:r>
      <w:r w:rsidRPr="00E42882">
        <w:t xml:space="preserve">permanente </w:t>
      </w:r>
      <w:proofErr w:type="spellStart"/>
      <w:r w:rsidRPr="00AA4227">
        <w:rPr>
          <w:i/>
          <w:iCs/>
        </w:rPr>
        <w:t>Simplified</w:t>
      </w:r>
      <w:proofErr w:type="spellEnd"/>
      <w:r w:rsidRPr="00AA4227">
        <w:rPr>
          <w:i/>
          <w:iCs/>
        </w:rPr>
        <w:t xml:space="preserve"> ETR Safe </w:t>
      </w:r>
      <w:proofErr w:type="spellStart"/>
      <w:r w:rsidRPr="00AA4227">
        <w:rPr>
          <w:i/>
          <w:iCs/>
        </w:rPr>
        <w:t>Harbour</w:t>
      </w:r>
      <w:proofErr w:type="spellEnd"/>
      <w:r>
        <w:t xml:space="preserve"> het startpunt is van verdere vereenvoudiging en dat </w:t>
      </w:r>
      <w:r w:rsidR="00EA4CE5">
        <w:t xml:space="preserve">daarnaast </w:t>
      </w:r>
      <w:r>
        <w:t>verdere stappen worden genomen. Daarbij is het van belang dat ook bij</w:t>
      </w:r>
      <w:r w:rsidR="00FC4BC3">
        <w:t xml:space="preserve"> </w:t>
      </w:r>
      <w:r>
        <w:t>vereenvoudi</w:t>
      </w:r>
      <w:r w:rsidR="00706C18">
        <w:t>gi</w:t>
      </w:r>
      <w:r>
        <w:t xml:space="preserve">ngsmaatregelen oog wordt gehouden voor het behoud van de prikkel voor </w:t>
      </w:r>
      <w:r w:rsidR="00F22C20">
        <w:t xml:space="preserve">jurisdicties </w:t>
      </w:r>
      <w:r>
        <w:t xml:space="preserve">om een binnenlandse </w:t>
      </w:r>
      <w:proofErr w:type="spellStart"/>
      <w:r>
        <w:t>bijheffing</w:t>
      </w:r>
      <w:proofErr w:type="spellEnd"/>
      <w:r>
        <w:t xml:space="preserve"> te behouden dan wel in te voeren. Daarom is het belangrijk dat er voornamelijk wordt gekeken naar </w:t>
      </w:r>
      <w:r w:rsidRPr="00F079F5">
        <w:t xml:space="preserve">vermindering van de administratieve lasten voor multinationale groepen met activiteiten in </w:t>
      </w:r>
      <w:r w:rsidR="00F22C20">
        <w:t>jurisdicties</w:t>
      </w:r>
      <w:r w:rsidRPr="00F079F5">
        <w:t xml:space="preserve"> die een binnenlandse </w:t>
      </w:r>
      <w:proofErr w:type="spellStart"/>
      <w:r w:rsidRPr="00F079F5">
        <w:t>bijheffing</w:t>
      </w:r>
      <w:proofErr w:type="spellEnd"/>
      <w:r w:rsidRPr="00F079F5">
        <w:t xml:space="preserve"> hebben ingevoerd</w:t>
      </w:r>
      <w:r>
        <w:t>.</w:t>
      </w:r>
    </w:p>
    <w:p w:rsidRPr="000E18B5" w:rsidR="00C64383" w:rsidP="00C64383" w:rsidRDefault="00C64383" w14:paraId="6E45A9B9" w14:textId="77777777">
      <w:pPr>
        <w:rPr>
          <w:b/>
          <w:bCs/>
        </w:rPr>
      </w:pPr>
    </w:p>
    <w:p w:rsidRPr="000E18B5" w:rsidR="00C64383" w:rsidP="00C64383" w:rsidRDefault="00C64383" w14:paraId="018D0503" w14:textId="77777777">
      <w:pPr>
        <w:pStyle w:val="Lijstalinea"/>
        <w:keepNext/>
        <w:numPr>
          <w:ilvl w:val="1"/>
          <w:numId w:val="16"/>
        </w:numPr>
        <w:spacing w:after="0"/>
        <w:rPr>
          <w:rFonts w:ascii="Verdana" w:hAnsi="Verdana"/>
          <w:b/>
          <w:bCs/>
          <w:sz w:val="18"/>
          <w:szCs w:val="18"/>
        </w:rPr>
      </w:pPr>
      <w:proofErr w:type="spellStart"/>
      <w:r>
        <w:rPr>
          <w:rFonts w:ascii="Verdana" w:hAnsi="Verdana"/>
          <w:b/>
          <w:bCs/>
          <w:sz w:val="18"/>
          <w:szCs w:val="18"/>
          <w:lang w:val="en-US"/>
        </w:rPr>
        <w:t>Behandeling</w:t>
      </w:r>
      <w:proofErr w:type="spellEnd"/>
      <w:r>
        <w:rPr>
          <w:rFonts w:ascii="Verdana" w:hAnsi="Verdana"/>
          <w:b/>
          <w:bCs/>
          <w:sz w:val="18"/>
          <w:szCs w:val="18"/>
          <w:lang w:val="en-US"/>
        </w:rPr>
        <w:t xml:space="preserve"> van </w:t>
      </w:r>
      <w:proofErr w:type="spellStart"/>
      <w:r>
        <w:rPr>
          <w:rFonts w:ascii="Verdana" w:hAnsi="Verdana"/>
          <w:b/>
          <w:bCs/>
          <w:sz w:val="18"/>
          <w:szCs w:val="18"/>
          <w:lang w:val="en-US"/>
        </w:rPr>
        <w:t>fiscale</w:t>
      </w:r>
      <w:proofErr w:type="spellEnd"/>
      <w:r>
        <w:rPr>
          <w:rFonts w:ascii="Verdana" w:hAnsi="Verdana"/>
          <w:b/>
          <w:bCs/>
          <w:sz w:val="18"/>
          <w:szCs w:val="18"/>
          <w:lang w:val="en-US"/>
        </w:rPr>
        <w:t xml:space="preserve"> </w:t>
      </w:r>
      <w:proofErr w:type="spellStart"/>
      <w:r w:rsidR="00F22C20">
        <w:rPr>
          <w:rFonts w:ascii="Verdana" w:hAnsi="Verdana"/>
          <w:b/>
          <w:bCs/>
          <w:sz w:val="18"/>
          <w:szCs w:val="18"/>
          <w:lang w:val="en-US"/>
        </w:rPr>
        <w:t>regelingen</w:t>
      </w:r>
      <w:proofErr w:type="spellEnd"/>
      <w:r w:rsidR="00F22C20">
        <w:rPr>
          <w:rFonts w:ascii="Verdana" w:hAnsi="Verdana"/>
          <w:b/>
          <w:bCs/>
          <w:sz w:val="18"/>
          <w:szCs w:val="18"/>
          <w:lang w:val="en-US"/>
        </w:rPr>
        <w:t xml:space="preserve"> </w:t>
      </w:r>
    </w:p>
    <w:p w:rsidR="00C64383" w:rsidP="00C64383" w:rsidRDefault="00C64383" w14:paraId="1A05FFA9" w14:textId="77777777"/>
    <w:p w:rsidR="00C64383" w:rsidP="00C64383" w:rsidRDefault="00C64383" w14:paraId="732DB961" w14:textId="77777777">
      <w:r w:rsidRPr="000E18B5">
        <w:t>Onderdeel van het Side-</w:t>
      </w:r>
      <w:proofErr w:type="spellStart"/>
      <w:r w:rsidRPr="000E18B5">
        <w:t>by</w:t>
      </w:r>
      <w:proofErr w:type="spellEnd"/>
      <w:r w:rsidRPr="000E18B5">
        <w:t xml:space="preserve">-Side-pakket is de gunstige behandeling van bepaalde </w:t>
      </w:r>
      <w:r>
        <w:t xml:space="preserve">fiscale </w:t>
      </w:r>
      <w:r w:rsidR="00F22C20">
        <w:t>regelingen onder Pijler 2</w:t>
      </w:r>
      <w:r w:rsidRPr="000E18B5">
        <w:t xml:space="preserve"> </w:t>
      </w:r>
      <w:bookmarkStart w:name="_Hlk216363583" w:id="1"/>
      <w:r w:rsidRPr="000E18B5">
        <w:t>voor bedrijven met reële economische activiteit</w:t>
      </w:r>
      <w:bookmarkEnd w:id="1"/>
      <w:r>
        <w:t xml:space="preserve">, </w:t>
      </w:r>
      <w:r w:rsidRPr="000E18B5">
        <w:t xml:space="preserve">zogenaamde </w:t>
      </w:r>
      <w:proofErr w:type="spellStart"/>
      <w:r w:rsidRPr="00853955">
        <w:rPr>
          <w:i/>
          <w:iCs/>
        </w:rPr>
        <w:t>Substance-based</w:t>
      </w:r>
      <w:proofErr w:type="spellEnd"/>
      <w:r w:rsidRPr="00853955">
        <w:rPr>
          <w:i/>
          <w:iCs/>
        </w:rPr>
        <w:t xml:space="preserve"> Tax Incentives</w:t>
      </w:r>
      <w:r w:rsidRPr="000E18B5">
        <w:t xml:space="preserve">. </w:t>
      </w:r>
    </w:p>
    <w:p w:rsidRPr="000E18B5" w:rsidR="00C64383" w:rsidP="00C64383" w:rsidRDefault="00C64383" w14:paraId="3C2DB26A" w14:textId="77777777"/>
    <w:p w:rsidR="00C64383" w:rsidP="00C64383" w:rsidRDefault="00C64383" w14:paraId="40226B98" w14:textId="77777777">
      <w:r w:rsidRPr="000E18B5">
        <w:t xml:space="preserve">De manier waarop </w:t>
      </w:r>
      <w:r>
        <w:t xml:space="preserve">fiscale </w:t>
      </w:r>
      <w:r w:rsidR="00F22C20">
        <w:t>regelingen</w:t>
      </w:r>
      <w:r w:rsidRPr="000E18B5" w:rsidR="00F22C20">
        <w:t xml:space="preserve"> </w:t>
      </w:r>
      <w:r w:rsidRPr="000E18B5">
        <w:t>behandeld worden, is relevant voor het berekenen van de effectieve belastingdruk</w:t>
      </w:r>
      <w:r w:rsidR="00FD508C">
        <w:t xml:space="preserve"> en de mate waarin </w:t>
      </w:r>
      <w:proofErr w:type="spellStart"/>
      <w:r w:rsidR="00FD508C">
        <w:t>bijheffing</w:t>
      </w:r>
      <w:proofErr w:type="spellEnd"/>
      <w:r w:rsidR="00FD508C">
        <w:t xml:space="preserve"> plaatsvindt</w:t>
      </w:r>
      <w:r w:rsidR="00477C9F">
        <w:t xml:space="preserve"> onder Pijler 2</w:t>
      </w:r>
      <w:r w:rsidRPr="000E18B5">
        <w:t xml:space="preserve">. </w:t>
      </w:r>
      <w:proofErr w:type="spellStart"/>
      <w:r w:rsidRPr="009F7F30" w:rsidR="00F22C20">
        <w:t>Bijheffing</w:t>
      </w:r>
      <w:proofErr w:type="spellEnd"/>
      <w:r w:rsidRPr="009F7F30" w:rsidR="00F22C20">
        <w:t xml:space="preserve"> van de minimumbelasting is aan de orde </w:t>
      </w:r>
      <w:proofErr w:type="gramStart"/>
      <w:r w:rsidRPr="009F7F30" w:rsidR="00F22C20">
        <w:t>indien</w:t>
      </w:r>
      <w:proofErr w:type="gramEnd"/>
      <w:r w:rsidRPr="009F7F30" w:rsidR="00F22C20">
        <w:t xml:space="preserve"> het effectieve belastingtarief in een </w:t>
      </w:r>
      <w:r w:rsidR="00FD508C">
        <w:t>jurisdictie</w:t>
      </w:r>
      <w:r w:rsidRPr="009F7F30" w:rsidR="00F22C20">
        <w:t xml:space="preserve"> lager is dan het minimumbelastingtarief van 15%. </w:t>
      </w:r>
      <w:r w:rsidRPr="009F7F30" w:rsidR="00FD508C">
        <w:t xml:space="preserve">De berekening van het effectieve belastingtarief vindt – kort gezegd – plaats door de zogenoemde gecorrigeerde betrokken belastingen </w:t>
      </w:r>
      <w:r w:rsidR="00FD508C">
        <w:t xml:space="preserve">(teller van de breuk) </w:t>
      </w:r>
      <w:r w:rsidRPr="009F7F30" w:rsidR="00FD508C">
        <w:t>te delen door het netto kwalificerende inkomen</w:t>
      </w:r>
      <w:r w:rsidR="00FD508C">
        <w:t xml:space="preserve"> (noemer van de breuk)</w:t>
      </w:r>
      <w:r w:rsidRPr="009F7F30" w:rsidR="00FD508C">
        <w:t>.</w:t>
      </w:r>
      <w:r w:rsidR="00FD508C">
        <w:t xml:space="preserve"> </w:t>
      </w:r>
    </w:p>
    <w:p w:rsidRPr="000E18B5" w:rsidR="00C64383" w:rsidP="00C64383" w:rsidRDefault="00C64383" w14:paraId="03866CF4" w14:textId="77777777"/>
    <w:p w:rsidR="00C64383" w:rsidP="00C64383" w:rsidRDefault="00C64383" w14:paraId="570E9219" w14:textId="77777777">
      <w:r>
        <w:t>De Pijler 2-regels maken onderscheid tussen verschillende soorten belastingtegoeden.</w:t>
      </w:r>
      <w:r>
        <w:rPr>
          <w:rStyle w:val="Voetnootmarkering"/>
        </w:rPr>
        <w:footnoteReference w:id="10"/>
      </w:r>
      <w:r>
        <w:t xml:space="preserve"> </w:t>
      </w:r>
      <w:r w:rsidRPr="000E18B5">
        <w:t xml:space="preserve">De huidige Pijler 2 regels bevatten enkel een gunstige behandeling van </w:t>
      </w:r>
      <w:r>
        <w:t>kwalificerende</w:t>
      </w:r>
      <w:r w:rsidRPr="000E18B5">
        <w:t xml:space="preserve"> restitueerbare belastingtegoeden (</w:t>
      </w:r>
      <w:proofErr w:type="spellStart"/>
      <w:r w:rsidRPr="000E18B5">
        <w:rPr>
          <w:i/>
          <w:iCs/>
        </w:rPr>
        <w:t>Qualified</w:t>
      </w:r>
      <w:proofErr w:type="spellEnd"/>
      <w:r w:rsidRPr="000E18B5">
        <w:rPr>
          <w:i/>
          <w:iCs/>
        </w:rPr>
        <w:t xml:space="preserve"> </w:t>
      </w:r>
      <w:proofErr w:type="spellStart"/>
      <w:r w:rsidRPr="000E18B5">
        <w:rPr>
          <w:i/>
          <w:iCs/>
        </w:rPr>
        <w:t>Refundable</w:t>
      </w:r>
      <w:proofErr w:type="spellEnd"/>
      <w:r w:rsidRPr="000E18B5">
        <w:rPr>
          <w:i/>
          <w:iCs/>
        </w:rPr>
        <w:t xml:space="preserve"> Tax </w:t>
      </w:r>
      <w:proofErr w:type="spellStart"/>
      <w:r w:rsidRPr="000E18B5">
        <w:rPr>
          <w:i/>
          <w:iCs/>
        </w:rPr>
        <w:t>Credits</w:t>
      </w:r>
      <w:proofErr w:type="spellEnd"/>
      <w:r w:rsidRPr="000E18B5">
        <w:rPr>
          <w:i/>
          <w:iCs/>
        </w:rPr>
        <w:t xml:space="preserve">; </w:t>
      </w:r>
      <w:proofErr w:type="spellStart"/>
      <w:r w:rsidRPr="000E18B5">
        <w:rPr>
          <w:i/>
          <w:iCs/>
        </w:rPr>
        <w:t>QTRCs</w:t>
      </w:r>
      <w:proofErr w:type="spellEnd"/>
      <w:r w:rsidRPr="000E18B5">
        <w:t>)</w:t>
      </w:r>
      <w:r>
        <w:t xml:space="preserve"> </w:t>
      </w:r>
      <w:r w:rsidRPr="0014417C">
        <w:t>en kwalificerende verhandelbare belastingtegoeden</w:t>
      </w:r>
      <w:r>
        <w:t xml:space="preserve"> (</w:t>
      </w:r>
      <w:proofErr w:type="spellStart"/>
      <w:r w:rsidRPr="00F75D54" w:rsidR="00FD508C">
        <w:rPr>
          <w:i/>
          <w:iCs/>
        </w:rPr>
        <w:t>Qualified</w:t>
      </w:r>
      <w:proofErr w:type="spellEnd"/>
      <w:r w:rsidRPr="00F75D54" w:rsidR="00FD508C">
        <w:rPr>
          <w:i/>
          <w:iCs/>
        </w:rPr>
        <w:t xml:space="preserve"> </w:t>
      </w:r>
      <w:proofErr w:type="spellStart"/>
      <w:r w:rsidRPr="00F75D54" w:rsidR="00FD508C">
        <w:rPr>
          <w:i/>
          <w:iCs/>
        </w:rPr>
        <w:t>Marketable</w:t>
      </w:r>
      <w:proofErr w:type="spellEnd"/>
      <w:r w:rsidR="00FD508C">
        <w:t xml:space="preserve"> </w:t>
      </w:r>
      <w:proofErr w:type="spellStart"/>
      <w:r>
        <w:rPr>
          <w:i/>
          <w:iCs/>
        </w:rPr>
        <w:t>Transferable</w:t>
      </w:r>
      <w:proofErr w:type="spellEnd"/>
      <w:r>
        <w:rPr>
          <w:i/>
          <w:iCs/>
        </w:rPr>
        <w:t xml:space="preserve"> Tax </w:t>
      </w:r>
      <w:proofErr w:type="spellStart"/>
      <w:r>
        <w:rPr>
          <w:i/>
          <w:iCs/>
        </w:rPr>
        <w:t>Credits</w:t>
      </w:r>
      <w:proofErr w:type="spellEnd"/>
      <w:r w:rsidR="00FD508C">
        <w:rPr>
          <w:i/>
          <w:iCs/>
        </w:rPr>
        <w:t xml:space="preserve">; </w:t>
      </w:r>
      <w:proofErr w:type="spellStart"/>
      <w:r w:rsidR="00FD508C">
        <w:rPr>
          <w:i/>
          <w:iCs/>
        </w:rPr>
        <w:t>QMTTCs</w:t>
      </w:r>
      <w:proofErr w:type="spellEnd"/>
      <w:r>
        <w:t>)</w:t>
      </w:r>
      <w:r w:rsidRPr="000E18B5">
        <w:t>.</w:t>
      </w:r>
      <w:r w:rsidR="00A4473A">
        <w:t xml:space="preserve"> </w:t>
      </w:r>
      <w:r w:rsidR="00E91E51">
        <w:t>Dergelijke kwalificerende belastingtegoeden</w:t>
      </w:r>
      <w:r w:rsidRPr="000E18B5">
        <w:t xml:space="preserve"> tellen, net als subsidies, mee in het</w:t>
      </w:r>
      <w:r w:rsidR="00FD508C">
        <w:t xml:space="preserve"> kwali</w:t>
      </w:r>
      <w:r w:rsidR="00E91E51">
        <w:t>fi</w:t>
      </w:r>
      <w:r w:rsidR="00FD508C">
        <w:t>cerend</w:t>
      </w:r>
      <w:r w:rsidRPr="000E18B5">
        <w:t xml:space="preserve"> inkomen (de noemer) </w:t>
      </w:r>
      <w:r>
        <w:t>maar verlagen het bedrag aan</w:t>
      </w:r>
      <w:r w:rsidR="00FD508C">
        <w:t xml:space="preserve"> gecorrigeerde</w:t>
      </w:r>
      <w:r>
        <w:t xml:space="preserve"> betrokken</w:t>
      </w:r>
      <w:r w:rsidR="00FD508C">
        <w:t xml:space="preserve"> </w:t>
      </w:r>
      <w:r w:rsidRPr="000E18B5">
        <w:t>belasting</w:t>
      </w:r>
      <w:r>
        <w:t>en</w:t>
      </w:r>
      <w:r w:rsidRPr="000E18B5">
        <w:t xml:space="preserve"> (de teller) voor toepassing van Pijler 2</w:t>
      </w:r>
      <w:r>
        <w:t xml:space="preserve"> niet</w:t>
      </w:r>
      <w:r w:rsidRPr="000E18B5">
        <w:t>.</w:t>
      </w:r>
      <w:r w:rsidR="00E91E51">
        <w:t xml:space="preserve"> </w:t>
      </w:r>
      <w:r w:rsidRPr="002A6F4E" w:rsidR="00E91E51">
        <w:t xml:space="preserve">Dit betekent dat </w:t>
      </w:r>
      <w:r w:rsidR="00E91E51">
        <w:t>kwalificerende belastingtegoeden</w:t>
      </w:r>
      <w:r w:rsidRPr="002A6F4E" w:rsidR="00E91E51">
        <w:t xml:space="preserve"> een </w:t>
      </w:r>
      <w:r w:rsidR="00E91E51">
        <w:t>kleine</w:t>
      </w:r>
      <w:r w:rsidRPr="002A6F4E" w:rsidR="00E91E51">
        <w:t>r neerwaarts effect hebben op het effectieve belastingtarief en d</w:t>
      </w:r>
      <w:r w:rsidR="00E91E51">
        <w:t>aarom</w:t>
      </w:r>
      <w:r w:rsidRPr="002A6F4E" w:rsidR="00E91E51">
        <w:t xml:space="preserve"> minder snel leiden tot een </w:t>
      </w:r>
      <w:proofErr w:type="spellStart"/>
      <w:r w:rsidRPr="002A6F4E" w:rsidR="00E91E51">
        <w:t>bijheffing</w:t>
      </w:r>
      <w:proofErr w:type="spellEnd"/>
      <w:r w:rsidRPr="002A6F4E" w:rsidR="00E91E51">
        <w:t xml:space="preserve"> dan niet-kwalificerend belastingtegoed</w:t>
      </w:r>
      <w:r w:rsidR="007B6B6B">
        <w:t>en</w:t>
      </w:r>
      <w:r w:rsidR="00E91E51">
        <w:t>.</w:t>
      </w:r>
      <w:r>
        <w:t xml:space="preserve"> </w:t>
      </w:r>
      <w:r w:rsidRPr="0014417C">
        <w:t xml:space="preserve">In de </w:t>
      </w:r>
      <w:r w:rsidR="00E91E51">
        <w:t>brieven van mijn ambtsvoorgangers van 25 oktober 2024</w:t>
      </w:r>
      <w:r w:rsidR="00E91E51">
        <w:rPr>
          <w:rStyle w:val="Voetnootmarkering"/>
        </w:rPr>
        <w:footnoteReference w:id="11"/>
      </w:r>
      <w:r w:rsidR="00E91E51">
        <w:t xml:space="preserve"> en van 30 juni 2025</w:t>
      </w:r>
      <w:r w:rsidR="00E91E51">
        <w:rPr>
          <w:rStyle w:val="Voetnootmarkering"/>
        </w:rPr>
        <w:footnoteReference w:id="12"/>
      </w:r>
      <w:r w:rsidR="00E91E51">
        <w:t xml:space="preserve"> is hier uitgebreid op ingegaan. </w:t>
      </w:r>
    </w:p>
    <w:p w:rsidRPr="00BF5D69" w:rsidR="00C64383" w:rsidP="00C64383" w:rsidRDefault="00C64383" w14:paraId="6507B188" w14:textId="77777777">
      <w:pPr>
        <w:rPr>
          <w:i/>
          <w:iCs/>
        </w:rPr>
      </w:pPr>
    </w:p>
    <w:p w:rsidRPr="00F90606" w:rsidR="00C64383" w:rsidP="00C64383" w:rsidRDefault="00C64383" w14:paraId="7332902F" w14:textId="77777777">
      <w:pPr>
        <w:rPr>
          <w:i/>
          <w:iCs/>
          <w:lang w:val="en-US"/>
        </w:rPr>
      </w:pPr>
      <w:r w:rsidRPr="00F90606">
        <w:rPr>
          <w:i/>
          <w:iCs/>
          <w:lang w:val="en-US"/>
        </w:rPr>
        <w:t xml:space="preserve">Substance-based Tax Incentive Safe </w:t>
      </w:r>
      <w:proofErr w:type="spellStart"/>
      <w:r w:rsidRPr="00F90606">
        <w:rPr>
          <w:i/>
          <w:iCs/>
          <w:lang w:val="en-US"/>
        </w:rPr>
        <w:t>Harbour</w:t>
      </w:r>
      <w:proofErr w:type="spellEnd"/>
    </w:p>
    <w:p w:rsidR="00AB33E4" w:rsidP="00C64383" w:rsidRDefault="00C64383" w14:paraId="75D25CD9" w14:textId="77777777">
      <w:r w:rsidRPr="00F90606">
        <w:rPr>
          <w:lang w:val="en-US"/>
        </w:rPr>
        <w:t>Het Side-by-Side-</w:t>
      </w:r>
      <w:proofErr w:type="spellStart"/>
      <w:r w:rsidRPr="00F90606">
        <w:rPr>
          <w:lang w:val="en-US"/>
        </w:rPr>
        <w:t>pakket</w:t>
      </w:r>
      <w:proofErr w:type="spellEnd"/>
      <w:r w:rsidRPr="00F90606">
        <w:rPr>
          <w:lang w:val="en-US"/>
        </w:rPr>
        <w:t xml:space="preserve"> </w:t>
      </w:r>
      <w:proofErr w:type="spellStart"/>
      <w:r w:rsidRPr="00F90606">
        <w:rPr>
          <w:lang w:val="en-US"/>
        </w:rPr>
        <w:t>bevat</w:t>
      </w:r>
      <w:proofErr w:type="spellEnd"/>
      <w:r w:rsidRPr="00F90606">
        <w:rPr>
          <w:lang w:val="en-US"/>
        </w:rPr>
        <w:t xml:space="preserve"> de </w:t>
      </w:r>
      <w:r w:rsidRPr="00550088">
        <w:rPr>
          <w:i/>
          <w:iCs/>
          <w:lang w:val="en-US"/>
        </w:rPr>
        <w:t xml:space="preserve">Substance-based Tax Incentive Safe </w:t>
      </w:r>
      <w:proofErr w:type="spellStart"/>
      <w:r w:rsidRPr="00550088">
        <w:rPr>
          <w:i/>
          <w:iCs/>
          <w:lang w:val="en-US"/>
        </w:rPr>
        <w:t>Harbour</w:t>
      </w:r>
      <w:proofErr w:type="spellEnd"/>
      <w:r w:rsidRPr="00F90606">
        <w:rPr>
          <w:lang w:val="en-US"/>
        </w:rPr>
        <w:t xml:space="preserve">. </w:t>
      </w:r>
      <w:r w:rsidRPr="000E18B5">
        <w:t xml:space="preserve">Op basis van deze </w:t>
      </w:r>
      <w:proofErr w:type="spellStart"/>
      <w:r w:rsidRPr="000E18B5">
        <w:t>veiligehavenmaatregel</w:t>
      </w:r>
      <w:proofErr w:type="spellEnd"/>
      <w:r w:rsidRPr="000E18B5">
        <w:t xml:space="preserve"> </w:t>
      </w:r>
      <w:r w:rsidRPr="00924282" w:rsidR="00A05209">
        <w:t xml:space="preserve">wordt de hierboven beschreven behandeling van kwalificerende belastingtegoeden </w:t>
      </w:r>
      <w:r w:rsidRPr="00924282" w:rsidR="00924282">
        <w:t>aangevuld met een regeling</w:t>
      </w:r>
      <w:r w:rsidRPr="00924282" w:rsidR="00A05209">
        <w:t xml:space="preserve"> </w:t>
      </w:r>
      <w:r w:rsidRPr="00924282" w:rsidR="00924282">
        <w:t>voor een gunstige behandeling van</w:t>
      </w:r>
      <w:r w:rsidRPr="00924282" w:rsidR="00A05209">
        <w:t xml:space="preserve"> bepaalde fiscale regelingen</w:t>
      </w:r>
      <w:r w:rsidRPr="000E18B5">
        <w:t xml:space="preserve"> voor bedrijven </w:t>
      </w:r>
      <w:r w:rsidRPr="000E18B5">
        <w:lastRenderedPageBreak/>
        <w:t>met reële economische activiteit</w:t>
      </w:r>
      <w:r w:rsidR="00AB33E4">
        <w:t xml:space="preserve">. </w:t>
      </w:r>
      <w:r w:rsidRPr="000E18B5">
        <w:t>Het gaat om</w:t>
      </w:r>
      <w:r w:rsidR="00AB33E4">
        <w:t xml:space="preserve"> de volgende kwalificerende fiscale regelingen (</w:t>
      </w:r>
      <w:proofErr w:type="spellStart"/>
      <w:r w:rsidRPr="00550088" w:rsidR="00AB33E4">
        <w:rPr>
          <w:i/>
          <w:iCs/>
        </w:rPr>
        <w:t>Qualified</w:t>
      </w:r>
      <w:proofErr w:type="spellEnd"/>
      <w:r w:rsidRPr="00550088" w:rsidR="00AB33E4">
        <w:rPr>
          <w:i/>
          <w:iCs/>
        </w:rPr>
        <w:t xml:space="preserve"> Tax Incentives</w:t>
      </w:r>
      <w:r w:rsidR="00AB33E4">
        <w:t xml:space="preserve">; </w:t>
      </w:r>
      <w:proofErr w:type="spellStart"/>
      <w:r w:rsidR="00AB33E4">
        <w:t>QTIs</w:t>
      </w:r>
      <w:proofErr w:type="spellEnd"/>
      <w:r w:rsidR="00AB33E4">
        <w:t xml:space="preserve">): </w:t>
      </w:r>
      <w:r w:rsidRPr="000E18B5">
        <w:t xml:space="preserve">(i) </w:t>
      </w:r>
      <w:r>
        <w:t xml:space="preserve">fiscale </w:t>
      </w:r>
      <w:r w:rsidR="00AB33E4">
        <w:t>regelingen</w:t>
      </w:r>
      <w:r w:rsidRPr="000E18B5" w:rsidR="00AB33E4">
        <w:t xml:space="preserve"> </w:t>
      </w:r>
      <w:r w:rsidRPr="000E18B5">
        <w:t xml:space="preserve">berekend aan de hand van de uitgaven in </w:t>
      </w:r>
      <w:r w:rsidR="0086328C">
        <w:t>de</w:t>
      </w:r>
      <w:r w:rsidRPr="000E18B5">
        <w:t xml:space="preserve"> betreffende </w:t>
      </w:r>
      <w:r w:rsidR="0086328C">
        <w:t>jurisdictie</w:t>
      </w:r>
      <w:r w:rsidRPr="000E18B5">
        <w:t xml:space="preserve"> (zogenoemde </w:t>
      </w:r>
      <w:proofErr w:type="spellStart"/>
      <w:r w:rsidRPr="000E18B5">
        <w:rPr>
          <w:i/>
          <w:iCs/>
        </w:rPr>
        <w:t>expenditure-based</w:t>
      </w:r>
      <w:proofErr w:type="spellEnd"/>
      <w:r w:rsidRPr="000E18B5">
        <w:rPr>
          <w:i/>
          <w:iCs/>
        </w:rPr>
        <w:t xml:space="preserve"> </w:t>
      </w:r>
      <w:proofErr w:type="spellStart"/>
      <w:r w:rsidRPr="000E18B5">
        <w:rPr>
          <w:i/>
          <w:iCs/>
        </w:rPr>
        <w:t>tax</w:t>
      </w:r>
      <w:proofErr w:type="spellEnd"/>
      <w:r w:rsidRPr="000E18B5">
        <w:rPr>
          <w:i/>
          <w:iCs/>
        </w:rPr>
        <w:t xml:space="preserve"> incentives</w:t>
      </w:r>
      <w:r w:rsidRPr="000E18B5">
        <w:t xml:space="preserve">), en (ii) </w:t>
      </w:r>
      <w:r>
        <w:t xml:space="preserve">fiscale </w:t>
      </w:r>
      <w:r w:rsidR="00AB33E4">
        <w:t>regelingen</w:t>
      </w:r>
      <w:r w:rsidRPr="000E18B5" w:rsidR="00AB33E4">
        <w:t xml:space="preserve"> </w:t>
      </w:r>
      <w:r w:rsidRPr="000E18B5">
        <w:t xml:space="preserve">berekend aan de hand van </w:t>
      </w:r>
      <w:r w:rsidR="00CB2D50">
        <w:t>de hoeveelheid geproduceerde goederen</w:t>
      </w:r>
      <w:r w:rsidRPr="000E18B5">
        <w:t xml:space="preserve"> in </w:t>
      </w:r>
      <w:r w:rsidR="0086328C">
        <w:t>de</w:t>
      </w:r>
      <w:r w:rsidRPr="000E18B5">
        <w:t xml:space="preserve"> </w:t>
      </w:r>
      <w:r w:rsidR="0086328C">
        <w:t>jurisdictie</w:t>
      </w:r>
      <w:r w:rsidRPr="000E18B5">
        <w:t xml:space="preserve"> (zogenoemde </w:t>
      </w:r>
      <w:proofErr w:type="spellStart"/>
      <w:r w:rsidRPr="000E18B5">
        <w:rPr>
          <w:i/>
          <w:iCs/>
        </w:rPr>
        <w:t>production-based</w:t>
      </w:r>
      <w:proofErr w:type="spellEnd"/>
      <w:r w:rsidRPr="000E18B5">
        <w:rPr>
          <w:i/>
          <w:iCs/>
        </w:rPr>
        <w:t xml:space="preserve"> </w:t>
      </w:r>
      <w:proofErr w:type="spellStart"/>
      <w:r w:rsidRPr="000E18B5">
        <w:rPr>
          <w:i/>
          <w:iCs/>
        </w:rPr>
        <w:t>tax</w:t>
      </w:r>
      <w:proofErr w:type="spellEnd"/>
      <w:r w:rsidRPr="000E18B5">
        <w:rPr>
          <w:i/>
          <w:iCs/>
        </w:rPr>
        <w:t xml:space="preserve"> incentives</w:t>
      </w:r>
      <w:r w:rsidRPr="000E18B5">
        <w:t xml:space="preserve">). De </w:t>
      </w:r>
      <w:proofErr w:type="spellStart"/>
      <w:r w:rsidRPr="000E18B5">
        <w:t>veiligehavenmaatregel</w:t>
      </w:r>
      <w:proofErr w:type="spellEnd"/>
      <w:r w:rsidRPr="000E18B5">
        <w:t xml:space="preserve"> is niet van toepassing op </w:t>
      </w:r>
      <w:r>
        <w:t xml:space="preserve">fiscale </w:t>
      </w:r>
      <w:r w:rsidR="00AB33E4">
        <w:t>regelingen</w:t>
      </w:r>
      <w:r w:rsidRPr="000E18B5" w:rsidR="00AB33E4">
        <w:t xml:space="preserve"> </w:t>
      </w:r>
      <w:r w:rsidRPr="000E18B5">
        <w:t>berekend aan de hand van het inkomen (</w:t>
      </w:r>
      <w:r w:rsidRPr="000E18B5">
        <w:rPr>
          <w:i/>
          <w:iCs/>
        </w:rPr>
        <w:t xml:space="preserve">zogenoemde </w:t>
      </w:r>
      <w:proofErr w:type="spellStart"/>
      <w:r w:rsidRPr="000E18B5">
        <w:rPr>
          <w:i/>
          <w:iCs/>
        </w:rPr>
        <w:t>income-based</w:t>
      </w:r>
      <w:proofErr w:type="spellEnd"/>
      <w:r w:rsidRPr="000E18B5">
        <w:rPr>
          <w:i/>
          <w:iCs/>
        </w:rPr>
        <w:t xml:space="preserve"> </w:t>
      </w:r>
      <w:proofErr w:type="spellStart"/>
      <w:r w:rsidRPr="000E18B5">
        <w:rPr>
          <w:i/>
          <w:iCs/>
        </w:rPr>
        <w:t>tax</w:t>
      </w:r>
      <w:proofErr w:type="spellEnd"/>
      <w:r w:rsidRPr="000E18B5">
        <w:rPr>
          <w:i/>
          <w:iCs/>
        </w:rPr>
        <w:t xml:space="preserve"> incentives</w:t>
      </w:r>
      <w:r w:rsidR="00AB33E4">
        <w:t>)</w:t>
      </w:r>
      <w:r w:rsidRPr="000E18B5">
        <w:t xml:space="preserve">. </w:t>
      </w:r>
    </w:p>
    <w:p w:rsidR="003A5A67" w:rsidP="00C64383" w:rsidRDefault="003A5A67" w14:paraId="2240E1C0" w14:textId="77777777"/>
    <w:p w:rsidRPr="000E18B5" w:rsidR="00C64383" w:rsidP="00C64383" w:rsidRDefault="003A5A67" w14:paraId="2E215266" w14:textId="77777777">
      <w:r>
        <w:t xml:space="preserve">Het belastingbedrag dat is toe te rekenen aan deze </w:t>
      </w:r>
      <w:proofErr w:type="spellStart"/>
      <w:r>
        <w:t>QTIs</w:t>
      </w:r>
      <w:proofErr w:type="spellEnd"/>
      <w:r>
        <w:t xml:space="preserve"> verhoogt het bedrag aan betrokken belastingen (teller), voor zover de som onder het afgesproken maximum blijft</w:t>
      </w:r>
      <w:r w:rsidR="008773FC">
        <w:t xml:space="preserve"> (zie hieronder)</w:t>
      </w:r>
      <w:r>
        <w:t>. Het kwalificerend inkomen</w:t>
      </w:r>
      <w:r w:rsidRPr="002100C5">
        <w:t xml:space="preserve"> (noemer)</w:t>
      </w:r>
      <w:r>
        <w:t xml:space="preserve"> blijft ongewijzigd</w:t>
      </w:r>
      <w:r w:rsidR="008773FC">
        <w:t xml:space="preserve">, in tegenstelling tot bij de behandeling van </w:t>
      </w:r>
      <w:proofErr w:type="spellStart"/>
      <w:r w:rsidR="008773FC">
        <w:t>QRTCs</w:t>
      </w:r>
      <w:proofErr w:type="spellEnd"/>
      <w:r w:rsidR="008773FC">
        <w:t xml:space="preserve"> en </w:t>
      </w:r>
      <w:proofErr w:type="spellStart"/>
      <w:r w:rsidR="008773FC">
        <w:t>QMTTCs</w:t>
      </w:r>
      <w:proofErr w:type="spellEnd"/>
      <w:r w:rsidR="008773FC">
        <w:t xml:space="preserve"> die het kwalificerend inkomen verhogen</w:t>
      </w:r>
      <w:r>
        <w:t>.</w:t>
      </w:r>
      <w:r w:rsidR="008773FC">
        <w:t xml:space="preserve"> </w:t>
      </w:r>
      <w:r w:rsidRPr="000E18B5" w:rsidR="00C64383">
        <w:t xml:space="preserve">Ook </w:t>
      </w:r>
      <w:proofErr w:type="spellStart"/>
      <w:r w:rsidRPr="000E18B5" w:rsidR="00C64383">
        <w:t>QRTCs</w:t>
      </w:r>
      <w:proofErr w:type="spellEnd"/>
      <w:r w:rsidR="008773FC">
        <w:t xml:space="preserve"> en </w:t>
      </w:r>
      <w:proofErr w:type="spellStart"/>
      <w:r w:rsidR="008773FC">
        <w:t>QMTTCs</w:t>
      </w:r>
      <w:proofErr w:type="spellEnd"/>
      <w:r w:rsidRPr="000E18B5" w:rsidR="00C64383">
        <w:t xml:space="preserve"> kunnen</w:t>
      </w:r>
      <w:r w:rsidR="008773FC">
        <w:t xml:space="preserve"> echter</w:t>
      </w:r>
      <w:r w:rsidRPr="000E18B5" w:rsidR="00C64383">
        <w:t>, tot aan</w:t>
      </w:r>
      <w:r w:rsidR="00C64383">
        <w:t xml:space="preserve"> het maximum</w:t>
      </w:r>
      <w:r w:rsidRPr="000E18B5" w:rsidR="00C64383">
        <w:t xml:space="preserve">, voor behandeling </w:t>
      </w:r>
      <w:r w:rsidR="008773FC">
        <w:t xml:space="preserve">als QTI </w:t>
      </w:r>
      <w:r w:rsidRPr="000E18B5" w:rsidR="00C64383">
        <w:t>in aanmerking komen</w:t>
      </w:r>
      <w:r w:rsidR="008773FC">
        <w:t>, voor zover deze belastingtegoeden ook aan de voorwaarden van een QTI voldoen</w:t>
      </w:r>
      <w:r w:rsidR="00C64383">
        <w:t>.</w:t>
      </w:r>
    </w:p>
    <w:p w:rsidR="00C64383" w:rsidP="00C64383" w:rsidRDefault="00C64383" w14:paraId="4F62F01D" w14:textId="77777777"/>
    <w:p w:rsidRPr="000E18B5" w:rsidR="00C64383" w:rsidP="00C64383" w:rsidRDefault="00171ACE" w14:paraId="21A2794E" w14:textId="77777777">
      <w:r>
        <w:t xml:space="preserve">Om te waarborgen dat de gunstige behandeling van </w:t>
      </w:r>
      <w:proofErr w:type="spellStart"/>
      <w:r>
        <w:t>QTIs</w:t>
      </w:r>
      <w:proofErr w:type="spellEnd"/>
      <w:r w:rsidRPr="000E18B5">
        <w:t xml:space="preserve"> </w:t>
      </w:r>
      <w:r>
        <w:t>alleen geldt voor</w:t>
      </w:r>
      <w:r w:rsidRPr="000E18B5">
        <w:t xml:space="preserve"> bedrijven met reële economische activiteit</w:t>
      </w:r>
      <w:r>
        <w:t xml:space="preserve"> in een jurisdictie, is een maximum afgesproken.</w:t>
      </w:r>
      <w:r w:rsidRPr="000E18B5" w:rsidR="00C64383">
        <w:t xml:space="preserve"> </w:t>
      </w:r>
      <w:r w:rsidR="00C64383">
        <w:t xml:space="preserve">Hierbij </w:t>
      </w:r>
      <w:r w:rsidRPr="000E18B5" w:rsidR="00C64383">
        <w:t xml:space="preserve">kunnen multinationale groepen per </w:t>
      </w:r>
      <w:r>
        <w:t>jurisdictie</w:t>
      </w:r>
      <w:r w:rsidRPr="000E18B5" w:rsidR="00C64383">
        <w:t xml:space="preserve"> kiezen voor één van twee onderstaande opties</w:t>
      </w:r>
      <w:r>
        <w:t>:</w:t>
      </w:r>
      <w:r w:rsidRPr="000E18B5" w:rsidR="00C64383">
        <w:t xml:space="preserve">  </w:t>
      </w:r>
    </w:p>
    <w:p w:rsidRPr="000E18B5" w:rsidR="00C64383" w:rsidP="00C64383" w:rsidRDefault="00C64383" w14:paraId="711466F8" w14:textId="77777777">
      <w:pPr>
        <w:pStyle w:val="Lijstalinea"/>
        <w:numPr>
          <w:ilvl w:val="0"/>
          <w:numId w:val="11"/>
        </w:numPr>
        <w:spacing w:after="0"/>
        <w:rPr>
          <w:rFonts w:ascii="Verdana" w:hAnsi="Verdana"/>
          <w:sz w:val="18"/>
          <w:szCs w:val="18"/>
        </w:rPr>
      </w:pPr>
      <w:r>
        <w:rPr>
          <w:rFonts w:ascii="Verdana" w:hAnsi="Verdana"/>
          <w:sz w:val="18"/>
          <w:szCs w:val="18"/>
        </w:rPr>
        <w:t>E</w:t>
      </w:r>
      <w:r w:rsidRPr="000E18B5">
        <w:rPr>
          <w:rFonts w:ascii="Verdana" w:hAnsi="Verdana"/>
          <w:sz w:val="18"/>
          <w:szCs w:val="18"/>
        </w:rPr>
        <w:t xml:space="preserve">en </w:t>
      </w:r>
      <w:r>
        <w:rPr>
          <w:rFonts w:ascii="Verdana" w:hAnsi="Verdana"/>
          <w:sz w:val="18"/>
          <w:szCs w:val="18"/>
        </w:rPr>
        <w:t>maximum</w:t>
      </w:r>
      <w:r w:rsidRPr="000E18B5">
        <w:rPr>
          <w:rFonts w:ascii="Verdana" w:hAnsi="Verdana"/>
          <w:sz w:val="18"/>
          <w:szCs w:val="18"/>
        </w:rPr>
        <w:t xml:space="preserve"> </w:t>
      </w:r>
      <w:r w:rsidRPr="00F619E3">
        <w:rPr>
          <w:rFonts w:ascii="Verdana" w:hAnsi="Verdana"/>
          <w:sz w:val="18"/>
          <w:szCs w:val="18"/>
        </w:rPr>
        <w:t>gelijk aan 5,5% van</w:t>
      </w:r>
      <w:r w:rsidRPr="000E18B5">
        <w:rPr>
          <w:rFonts w:ascii="Verdana" w:hAnsi="Verdana"/>
          <w:sz w:val="18"/>
          <w:szCs w:val="18"/>
        </w:rPr>
        <w:t xml:space="preserve"> het hoogste van</w:t>
      </w:r>
      <w:r w:rsidR="00171ACE">
        <w:rPr>
          <w:rFonts w:ascii="Verdana" w:hAnsi="Verdana"/>
          <w:sz w:val="18"/>
          <w:szCs w:val="18"/>
        </w:rPr>
        <w:t xml:space="preserve"> de</w:t>
      </w:r>
      <w:r w:rsidRPr="000E18B5">
        <w:rPr>
          <w:rFonts w:ascii="Verdana" w:hAnsi="Verdana"/>
          <w:sz w:val="18"/>
          <w:szCs w:val="18"/>
        </w:rPr>
        <w:t xml:space="preserve"> loonkosten</w:t>
      </w:r>
      <w:r w:rsidR="00171ACE">
        <w:rPr>
          <w:rFonts w:ascii="Verdana" w:hAnsi="Verdana"/>
          <w:sz w:val="18"/>
          <w:szCs w:val="18"/>
        </w:rPr>
        <w:t xml:space="preserve"> in een jurisdictie</w:t>
      </w:r>
      <w:r w:rsidRPr="000E18B5">
        <w:rPr>
          <w:rFonts w:ascii="Verdana" w:hAnsi="Verdana"/>
          <w:sz w:val="18"/>
          <w:szCs w:val="18"/>
        </w:rPr>
        <w:t xml:space="preserve"> </w:t>
      </w:r>
      <w:r w:rsidR="00171ACE">
        <w:rPr>
          <w:rFonts w:ascii="Verdana" w:hAnsi="Verdana"/>
          <w:sz w:val="18"/>
          <w:szCs w:val="18"/>
        </w:rPr>
        <w:t>of</w:t>
      </w:r>
      <w:r w:rsidRPr="000E18B5">
        <w:rPr>
          <w:rFonts w:ascii="Verdana" w:hAnsi="Verdana"/>
          <w:sz w:val="18"/>
          <w:szCs w:val="18"/>
        </w:rPr>
        <w:t xml:space="preserve"> afschrijvingen op </w:t>
      </w:r>
      <w:r w:rsidR="00171ACE">
        <w:rPr>
          <w:rFonts w:ascii="Verdana" w:hAnsi="Verdana"/>
          <w:sz w:val="18"/>
          <w:szCs w:val="18"/>
        </w:rPr>
        <w:t xml:space="preserve">de </w:t>
      </w:r>
      <w:r w:rsidRPr="000E18B5">
        <w:rPr>
          <w:rFonts w:ascii="Verdana" w:hAnsi="Verdana"/>
          <w:sz w:val="18"/>
          <w:szCs w:val="18"/>
        </w:rPr>
        <w:t>materiële vaste activa</w:t>
      </w:r>
      <w:r w:rsidR="00171ACE">
        <w:rPr>
          <w:rFonts w:ascii="Verdana" w:hAnsi="Verdana"/>
          <w:sz w:val="18"/>
          <w:szCs w:val="18"/>
        </w:rPr>
        <w:t xml:space="preserve"> in een jurisdictie; of</w:t>
      </w:r>
    </w:p>
    <w:p w:rsidRPr="000E18B5" w:rsidR="00C64383" w:rsidP="00C64383" w:rsidRDefault="00C64383" w14:paraId="36BF3CCB" w14:textId="77777777">
      <w:pPr>
        <w:pStyle w:val="Lijstalinea"/>
        <w:numPr>
          <w:ilvl w:val="0"/>
          <w:numId w:val="11"/>
        </w:numPr>
        <w:spacing w:after="0"/>
        <w:rPr>
          <w:rFonts w:ascii="Verdana" w:hAnsi="Verdana"/>
          <w:sz w:val="18"/>
          <w:szCs w:val="18"/>
        </w:rPr>
      </w:pPr>
      <w:r>
        <w:rPr>
          <w:rFonts w:ascii="Verdana" w:hAnsi="Verdana"/>
          <w:sz w:val="18"/>
          <w:szCs w:val="18"/>
        </w:rPr>
        <w:t>E</w:t>
      </w:r>
      <w:r w:rsidRPr="000E18B5">
        <w:rPr>
          <w:rFonts w:ascii="Verdana" w:hAnsi="Verdana"/>
          <w:sz w:val="18"/>
          <w:szCs w:val="18"/>
        </w:rPr>
        <w:t xml:space="preserve">en </w:t>
      </w:r>
      <w:r>
        <w:rPr>
          <w:rFonts w:ascii="Verdana" w:hAnsi="Verdana"/>
          <w:sz w:val="18"/>
          <w:szCs w:val="18"/>
        </w:rPr>
        <w:t>maximum</w:t>
      </w:r>
      <w:r w:rsidRPr="000E18B5">
        <w:rPr>
          <w:rFonts w:ascii="Verdana" w:hAnsi="Verdana"/>
          <w:sz w:val="18"/>
          <w:szCs w:val="18"/>
        </w:rPr>
        <w:t xml:space="preserve"> gelijk aan 1% van </w:t>
      </w:r>
      <w:r w:rsidRPr="00286D49">
        <w:rPr>
          <w:rFonts w:ascii="Verdana" w:hAnsi="Verdana"/>
          <w:sz w:val="18"/>
          <w:szCs w:val="18"/>
        </w:rPr>
        <w:t xml:space="preserve">de </w:t>
      </w:r>
      <w:r w:rsidRPr="00F75D54" w:rsidR="00286D49">
        <w:rPr>
          <w:rFonts w:ascii="Verdana" w:hAnsi="Verdana"/>
          <w:sz w:val="18"/>
          <w:szCs w:val="18"/>
        </w:rPr>
        <w:t>boek</w:t>
      </w:r>
      <w:r w:rsidRPr="00286D49">
        <w:rPr>
          <w:rFonts w:ascii="Verdana" w:hAnsi="Verdana"/>
          <w:sz w:val="18"/>
          <w:szCs w:val="18"/>
        </w:rPr>
        <w:t>waarde (‘</w:t>
      </w:r>
      <w:proofErr w:type="spellStart"/>
      <w:r w:rsidRPr="000E18B5">
        <w:rPr>
          <w:rFonts w:ascii="Verdana" w:hAnsi="Verdana"/>
          <w:sz w:val="18"/>
          <w:szCs w:val="18"/>
        </w:rPr>
        <w:t>carrying</w:t>
      </w:r>
      <w:proofErr w:type="spellEnd"/>
      <w:r w:rsidRPr="000E18B5">
        <w:rPr>
          <w:rFonts w:ascii="Verdana" w:hAnsi="Verdana"/>
          <w:sz w:val="18"/>
          <w:szCs w:val="18"/>
        </w:rPr>
        <w:t xml:space="preserve"> </w:t>
      </w:r>
      <w:proofErr w:type="spellStart"/>
      <w:r w:rsidRPr="000E18B5">
        <w:rPr>
          <w:rFonts w:ascii="Verdana" w:hAnsi="Verdana"/>
          <w:sz w:val="18"/>
          <w:szCs w:val="18"/>
        </w:rPr>
        <w:t>value</w:t>
      </w:r>
      <w:proofErr w:type="spellEnd"/>
      <w:r w:rsidRPr="000E18B5">
        <w:rPr>
          <w:rFonts w:ascii="Verdana" w:hAnsi="Verdana"/>
          <w:sz w:val="18"/>
          <w:szCs w:val="18"/>
        </w:rPr>
        <w:t>’) van de materiële vaste activa</w:t>
      </w:r>
      <w:r w:rsidR="00171ACE">
        <w:rPr>
          <w:rFonts w:ascii="Verdana" w:hAnsi="Verdana"/>
          <w:sz w:val="18"/>
          <w:szCs w:val="18"/>
        </w:rPr>
        <w:t xml:space="preserve"> in een jurisdictie</w:t>
      </w:r>
      <w:r w:rsidRPr="000E18B5">
        <w:rPr>
          <w:rFonts w:ascii="Verdana" w:hAnsi="Verdana"/>
          <w:sz w:val="18"/>
          <w:szCs w:val="18"/>
        </w:rPr>
        <w:t xml:space="preserve">. </w:t>
      </w:r>
    </w:p>
    <w:p w:rsidR="00C64383" w:rsidP="00C64383" w:rsidRDefault="00C64383" w14:paraId="618C0598" w14:textId="77777777"/>
    <w:p w:rsidRPr="000E18B5" w:rsidR="00C64383" w:rsidP="00C64383" w:rsidRDefault="00C64383" w14:paraId="53BF8DDB" w14:textId="77777777">
      <w:r w:rsidRPr="000E18B5">
        <w:t>Als een multinationale groep voor optie 2 kiest</w:t>
      </w:r>
      <w:r w:rsidR="0073741D">
        <w:t>,</w:t>
      </w:r>
      <w:r w:rsidRPr="000E18B5">
        <w:t xml:space="preserve"> </w:t>
      </w:r>
      <w:r w:rsidR="00B01B00">
        <w:t>staat dat voor vijf jaar vast. Als de groep</w:t>
      </w:r>
      <w:r w:rsidRPr="000E18B5">
        <w:t xml:space="preserve"> deze keuze later intrekt, dan mogen de afschrijvingen op activa die in het verleden meetelden voor berekening van </w:t>
      </w:r>
      <w:r>
        <w:t>maximum</w:t>
      </w:r>
      <w:r w:rsidRPr="000E18B5">
        <w:t xml:space="preserve"> volgens optie 2 niet langer worden meegerekend voor de berekening van </w:t>
      </w:r>
      <w:r>
        <w:t>het maximum</w:t>
      </w:r>
      <w:r w:rsidRPr="000E18B5">
        <w:t xml:space="preserve"> in optie 1.</w:t>
      </w:r>
    </w:p>
    <w:p w:rsidR="00C64383" w:rsidP="00C64383" w:rsidRDefault="00C64383" w14:paraId="76B1EB23" w14:textId="77777777">
      <w:pPr>
        <w:rPr>
          <w:u w:val="single"/>
        </w:rPr>
      </w:pPr>
    </w:p>
    <w:p w:rsidRPr="00BF5D69" w:rsidR="00C64383" w:rsidP="00C64383" w:rsidRDefault="00C64383" w14:paraId="2296A317" w14:textId="77777777">
      <w:pPr>
        <w:rPr>
          <w:i/>
          <w:iCs/>
        </w:rPr>
      </w:pPr>
      <w:r w:rsidRPr="00BF5D69">
        <w:rPr>
          <w:i/>
          <w:iCs/>
        </w:rPr>
        <w:t>Appreciatie</w:t>
      </w:r>
    </w:p>
    <w:p w:rsidR="00C64383" w:rsidP="00C64383" w:rsidRDefault="00C64383" w14:paraId="07FB6920" w14:textId="77777777">
      <w:r w:rsidRPr="000E18B5">
        <w:t>Tijdens de onderhandelingen heeft Nederland</w:t>
      </w:r>
      <w:r w:rsidR="00B01B00">
        <w:t>, in lijn met de motie Van Eijk c.s.</w:t>
      </w:r>
      <w:r w:rsidR="009053AA">
        <w:rPr>
          <w:rStyle w:val="Voetnootmarkering"/>
        </w:rPr>
        <w:footnoteReference w:id="13"/>
      </w:r>
      <w:r w:rsidR="00B01B00">
        <w:t>,</w:t>
      </w:r>
      <w:r w:rsidRPr="000E18B5">
        <w:t xml:space="preserve"> ingezet op een verruiming van de gunstige behandeling van </w:t>
      </w:r>
      <w:r>
        <w:t xml:space="preserve">fiscale </w:t>
      </w:r>
      <w:r w:rsidR="00B01B00">
        <w:t>regelingen</w:t>
      </w:r>
      <w:r w:rsidRPr="000E18B5">
        <w:t xml:space="preserve"> voor bedrijven met reële economische activiteit. </w:t>
      </w:r>
      <w:r>
        <w:t>Het kabinet</w:t>
      </w:r>
      <w:r w:rsidRPr="000E18B5">
        <w:t xml:space="preserve"> vindt het onderhandelingsresultaat met betrekking tot de </w:t>
      </w:r>
      <w:proofErr w:type="spellStart"/>
      <w:r w:rsidRPr="00D93FC7">
        <w:rPr>
          <w:i/>
          <w:iCs/>
        </w:rPr>
        <w:t>Substance-based</w:t>
      </w:r>
      <w:proofErr w:type="spellEnd"/>
      <w:r w:rsidRPr="00D93FC7">
        <w:rPr>
          <w:i/>
          <w:iCs/>
        </w:rPr>
        <w:t xml:space="preserve"> Tax Incentive Safe </w:t>
      </w:r>
      <w:proofErr w:type="spellStart"/>
      <w:r w:rsidRPr="00D93FC7">
        <w:rPr>
          <w:i/>
          <w:iCs/>
        </w:rPr>
        <w:t>Harbour</w:t>
      </w:r>
      <w:proofErr w:type="spellEnd"/>
      <w:r w:rsidRPr="000E18B5">
        <w:t xml:space="preserve"> positief. </w:t>
      </w:r>
      <w:r w:rsidRPr="00195CBD" w:rsidR="00B01B00">
        <w:t xml:space="preserve">De </w:t>
      </w:r>
      <w:proofErr w:type="spellStart"/>
      <w:r w:rsidRPr="00195CBD" w:rsidR="00B01B00">
        <w:t>QTI</w:t>
      </w:r>
      <w:r w:rsidR="00B01B00">
        <w:t>s</w:t>
      </w:r>
      <w:proofErr w:type="spellEnd"/>
      <w:r w:rsidR="00B01B00">
        <w:t xml:space="preserve"> zorgen voor een gelijkere behandeling met </w:t>
      </w:r>
      <w:proofErr w:type="spellStart"/>
      <w:r w:rsidRPr="000E18B5" w:rsidR="00B01B00">
        <w:t>QRTCs</w:t>
      </w:r>
      <w:proofErr w:type="spellEnd"/>
      <w:r w:rsidRPr="000E18B5" w:rsidR="00B01B00">
        <w:t xml:space="preserve"> </w:t>
      </w:r>
      <w:r w:rsidR="00B01B00">
        <w:t xml:space="preserve">en </w:t>
      </w:r>
      <w:proofErr w:type="spellStart"/>
      <w:r w:rsidRPr="002100C5" w:rsidR="00B01B00">
        <w:t>QMTTCs</w:t>
      </w:r>
      <w:proofErr w:type="spellEnd"/>
      <w:r w:rsidR="00B01B00">
        <w:t>.</w:t>
      </w:r>
      <w:r w:rsidRPr="00195CBD" w:rsidR="00B01B00">
        <w:t xml:space="preserve"> </w:t>
      </w:r>
      <w:r w:rsidRPr="00195CBD">
        <w:t>D</w:t>
      </w:r>
      <w:r w:rsidR="00B01B00">
        <w:t>aarnaast zijn</w:t>
      </w:r>
      <w:r w:rsidRPr="00195CBD">
        <w:t xml:space="preserve"> </w:t>
      </w:r>
      <w:proofErr w:type="spellStart"/>
      <w:r w:rsidRPr="00195CBD">
        <w:t>QTI</w:t>
      </w:r>
      <w:r>
        <w:t>s</w:t>
      </w:r>
      <w:proofErr w:type="spellEnd"/>
      <w:r w:rsidRPr="00195CBD">
        <w:t xml:space="preserve"> een erkenning binnen Pijler 2 dat fiscale prikkels een legitiem instrument blijven van nationaal economisch beleid</w:t>
      </w:r>
      <w:r>
        <w:t xml:space="preserve">. </w:t>
      </w:r>
      <w:r w:rsidR="00B01B00">
        <w:t xml:space="preserve">Het kabinet </w:t>
      </w:r>
      <w:r w:rsidR="00582D88">
        <w:t>vindt het belangrijk dat er</w:t>
      </w:r>
      <w:r w:rsidR="00B01B00">
        <w:t xml:space="preserve"> ruimte</w:t>
      </w:r>
      <w:r w:rsidR="00582D88">
        <w:t xml:space="preserve"> is</w:t>
      </w:r>
      <w:r w:rsidRPr="00195CBD">
        <w:t xml:space="preserve"> voor</w:t>
      </w:r>
      <w:r w:rsidR="00582D88">
        <w:t xml:space="preserve"> beleid ter ondersteuning van innovatie en bepaalde (</w:t>
      </w:r>
      <w:proofErr w:type="spellStart"/>
      <w:r w:rsidR="00582D88">
        <w:t>duurzaamheids</w:t>
      </w:r>
      <w:proofErr w:type="spellEnd"/>
      <w:r w:rsidR="00582D88">
        <w:t>)investeringen</w:t>
      </w:r>
      <w:r w:rsidRPr="00195CBD">
        <w:t xml:space="preserve"> binnen </w:t>
      </w:r>
      <w:r>
        <w:t>de afspraken</w:t>
      </w:r>
      <w:r w:rsidRPr="00195CBD">
        <w:t>.</w:t>
      </w:r>
      <w:r>
        <w:t xml:space="preserve"> </w:t>
      </w:r>
      <w:r w:rsidRPr="000E18B5">
        <w:t xml:space="preserve">De gunstigere behandeling van </w:t>
      </w:r>
      <w:r>
        <w:t xml:space="preserve">fiscale </w:t>
      </w:r>
      <w:r w:rsidR="005851AB">
        <w:t>regelingen</w:t>
      </w:r>
      <w:r w:rsidRPr="000E18B5">
        <w:t xml:space="preserve"> is</w:t>
      </w:r>
      <w:r w:rsidR="00582D88">
        <w:t xml:space="preserve"> bovendien</w:t>
      </w:r>
      <w:r w:rsidRPr="000E18B5">
        <w:t xml:space="preserve"> positief voor de concurrentiekracht van het Europese en Nederlandse bedrijfsleven</w:t>
      </w:r>
      <w:r>
        <w:t>.</w:t>
      </w:r>
      <w:r w:rsidR="00833989">
        <w:t xml:space="preserve"> </w:t>
      </w:r>
      <w:r w:rsidRPr="001E5B31" w:rsidR="00833989">
        <w:t xml:space="preserve">De manier waarop fiscale regelingen behandeld worden, is immers relevant voor het berekenen van de effectieve belastingdruk en de mate waarin </w:t>
      </w:r>
      <w:proofErr w:type="spellStart"/>
      <w:r w:rsidRPr="001E5B31" w:rsidR="00833989">
        <w:t>bijheffing</w:t>
      </w:r>
      <w:proofErr w:type="spellEnd"/>
      <w:r w:rsidRPr="001E5B31" w:rsidR="00833989">
        <w:t xml:space="preserve"> plaatsvindt onder Pijler 2. </w:t>
      </w:r>
      <w:r w:rsidRPr="00F75D54" w:rsidR="00833989">
        <w:t xml:space="preserve">Dit maakt de gunstige behandeling van </w:t>
      </w:r>
      <w:proofErr w:type="spellStart"/>
      <w:r w:rsidRPr="00F75D54" w:rsidR="00833989">
        <w:t>QTIs</w:t>
      </w:r>
      <w:proofErr w:type="spellEnd"/>
      <w:r w:rsidRPr="00F75D54" w:rsidR="00833989">
        <w:t xml:space="preserve"> ook relevant voor het gelijke speelveld ten opzichte van bedrijven in een </w:t>
      </w:r>
      <w:r w:rsidRPr="00245CB0" w:rsidR="00833989">
        <w:rPr>
          <w:i/>
          <w:iCs/>
        </w:rPr>
        <w:t>Side-</w:t>
      </w:r>
      <w:proofErr w:type="spellStart"/>
      <w:r w:rsidRPr="00245CB0" w:rsidR="00833989">
        <w:rPr>
          <w:i/>
          <w:iCs/>
        </w:rPr>
        <w:t>by</w:t>
      </w:r>
      <w:proofErr w:type="spellEnd"/>
      <w:r w:rsidRPr="00245CB0" w:rsidR="00833989">
        <w:rPr>
          <w:i/>
          <w:iCs/>
        </w:rPr>
        <w:t>-Side-</w:t>
      </w:r>
      <w:r w:rsidR="00277FB2">
        <w:t xml:space="preserve"> of </w:t>
      </w:r>
      <w:r w:rsidRPr="00245CB0" w:rsidR="00277FB2">
        <w:rPr>
          <w:i/>
          <w:iCs/>
        </w:rPr>
        <w:t xml:space="preserve">UPE Safe </w:t>
      </w:r>
      <w:proofErr w:type="spellStart"/>
      <w:r w:rsidRPr="00245CB0" w:rsidR="00277FB2">
        <w:rPr>
          <w:i/>
          <w:iCs/>
        </w:rPr>
        <w:t>Harbour</w:t>
      </w:r>
      <w:proofErr w:type="spellEnd"/>
      <w:r w:rsidR="00277FB2">
        <w:t>-</w:t>
      </w:r>
      <w:r w:rsidRPr="00F75D54" w:rsidR="00833989">
        <w:t>jurisdictie.</w:t>
      </w:r>
    </w:p>
    <w:p w:rsidR="00C64383" w:rsidP="00C64383" w:rsidRDefault="00C64383" w14:paraId="52FC93D7" w14:textId="77777777"/>
    <w:p w:rsidR="00C64383" w:rsidP="00C64383" w:rsidRDefault="00C64383" w14:paraId="3EC0872E" w14:textId="77777777">
      <w:r w:rsidRPr="000E18B5">
        <w:lastRenderedPageBreak/>
        <w:t xml:space="preserve">Tegelijkertijd </w:t>
      </w:r>
      <w:r>
        <w:t xml:space="preserve">wil </w:t>
      </w:r>
      <w:r w:rsidRPr="000E18B5">
        <w:t>het kabinet</w:t>
      </w:r>
      <w:r>
        <w:t xml:space="preserve"> voorkomen </w:t>
      </w:r>
      <w:r w:rsidRPr="000E18B5">
        <w:t xml:space="preserve">dat Pijler 2-bijheffing via de achterdeur kan worden teruggegeven via </w:t>
      </w:r>
      <w:r>
        <w:t xml:space="preserve">fiscale </w:t>
      </w:r>
      <w:r w:rsidR="005851AB">
        <w:t>regelingen</w:t>
      </w:r>
      <w:r w:rsidRPr="000E18B5">
        <w:t>, wat een forse uitholling van de beleidsdoelstellingen van Pijler 2 zou betekenen.</w:t>
      </w:r>
      <w:r>
        <w:t xml:space="preserve"> </w:t>
      </w:r>
      <w:r w:rsidR="008318E9">
        <w:t xml:space="preserve">Daarom is </w:t>
      </w:r>
      <w:r w:rsidR="005851AB">
        <w:t xml:space="preserve">het belangrijk dat </w:t>
      </w:r>
      <w:r w:rsidR="008318E9">
        <w:t xml:space="preserve">een maximum </w:t>
      </w:r>
      <w:r w:rsidR="005851AB">
        <w:t xml:space="preserve">is </w:t>
      </w:r>
      <w:r w:rsidR="008318E9">
        <w:t xml:space="preserve">afgesproken. </w:t>
      </w:r>
      <w:r w:rsidR="009B5215">
        <w:t xml:space="preserve">De verschillende opties voor het berekenen van het maximum zorgen voor extra complexiteit. Nederland heeft tijdens de onderhandelingen ingezet op een eenvoudigere berekening, maar kan zich vinden in het onderhandelingsresultaat. </w:t>
      </w:r>
      <w:r w:rsidR="005851AB">
        <w:t>D</w:t>
      </w:r>
      <w:r w:rsidRPr="000E18B5">
        <w:t xml:space="preserve">oor de vormgeving van </w:t>
      </w:r>
      <w:r>
        <w:t>het maximum</w:t>
      </w:r>
      <w:r w:rsidR="005851AB">
        <w:t xml:space="preserve"> is</w:t>
      </w:r>
      <w:r w:rsidRPr="000E18B5">
        <w:t xml:space="preserve"> </w:t>
      </w:r>
      <w:r w:rsidR="009B5215">
        <w:t xml:space="preserve">namelijk wel </w:t>
      </w:r>
      <w:r w:rsidRPr="000E18B5">
        <w:t xml:space="preserve">geborgd dat de </w:t>
      </w:r>
      <w:r w:rsidR="005851AB">
        <w:t>gunstige</w:t>
      </w:r>
      <w:r w:rsidRPr="000E18B5">
        <w:t xml:space="preserve"> behandeling van </w:t>
      </w:r>
      <w:proofErr w:type="spellStart"/>
      <w:r w:rsidR="005851AB">
        <w:t>QTIs</w:t>
      </w:r>
      <w:proofErr w:type="spellEnd"/>
      <w:r w:rsidR="00F97F5B">
        <w:t xml:space="preserve"> </w:t>
      </w:r>
      <w:r w:rsidRPr="000E18B5">
        <w:t xml:space="preserve">alleen is toegestaan voor zover dit gepaard gaat met reële economische activiteit en investeringen in </w:t>
      </w:r>
      <w:r w:rsidR="005851AB">
        <w:t>de jurisdictie</w:t>
      </w:r>
      <w:r w:rsidRPr="000E18B5">
        <w:t xml:space="preserve"> zelf. Dat betekent dat traditionele belastingparadijzen met weinig reële economische activiteit nauwelijks van deze versoepeling gebruik kunnen maken. </w:t>
      </w:r>
    </w:p>
    <w:p w:rsidRPr="00955254" w:rsidR="00C64383" w:rsidP="00C64383" w:rsidRDefault="00C64383" w14:paraId="7B0ED503" w14:textId="77777777">
      <w:pPr>
        <w:rPr>
          <w:b/>
          <w:bCs/>
        </w:rPr>
      </w:pPr>
    </w:p>
    <w:p w:rsidRPr="00D066EE" w:rsidR="00C64383" w:rsidP="00C64383" w:rsidRDefault="00C64383" w14:paraId="030EC41D" w14:textId="77777777">
      <w:pPr>
        <w:pStyle w:val="Lijstalinea"/>
        <w:numPr>
          <w:ilvl w:val="0"/>
          <w:numId w:val="7"/>
        </w:numPr>
        <w:spacing w:after="0"/>
        <w:rPr>
          <w:rFonts w:ascii="Verdana" w:hAnsi="Verdana"/>
          <w:b/>
          <w:bCs/>
          <w:sz w:val="18"/>
          <w:szCs w:val="18"/>
          <w:lang w:val="en-US"/>
        </w:rPr>
      </w:pPr>
      <w:proofErr w:type="spellStart"/>
      <w:r w:rsidRPr="00D066EE">
        <w:rPr>
          <w:rFonts w:ascii="Verdana" w:hAnsi="Verdana"/>
          <w:b/>
          <w:bCs/>
          <w:sz w:val="18"/>
          <w:szCs w:val="18"/>
          <w:lang w:val="en-US"/>
        </w:rPr>
        <w:t>Appreciatie</w:t>
      </w:r>
      <w:proofErr w:type="spellEnd"/>
      <w:r w:rsidRPr="00D066EE">
        <w:rPr>
          <w:rFonts w:ascii="Verdana" w:hAnsi="Verdana"/>
          <w:b/>
          <w:bCs/>
          <w:sz w:val="18"/>
          <w:szCs w:val="18"/>
          <w:lang w:val="en-US"/>
        </w:rPr>
        <w:t xml:space="preserve"> </w:t>
      </w:r>
      <w:proofErr w:type="spellStart"/>
      <w:r w:rsidRPr="00D066EE">
        <w:rPr>
          <w:rFonts w:ascii="Verdana" w:hAnsi="Verdana"/>
          <w:b/>
          <w:bCs/>
          <w:sz w:val="18"/>
          <w:szCs w:val="18"/>
          <w:lang w:val="en-US"/>
        </w:rPr>
        <w:t>totaalpakket</w:t>
      </w:r>
      <w:proofErr w:type="spellEnd"/>
    </w:p>
    <w:p w:rsidRPr="00D066EE" w:rsidR="00C64383" w:rsidP="00C64383" w:rsidRDefault="00C64383" w14:paraId="68862EED" w14:textId="77777777">
      <w:pPr>
        <w:rPr>
          <w:b/>
          <w:bCs/>
        </w:rPr>
      </w:pPr>
    </w:p>
    <w:p w:rsidR="00C64383" w:rsidP="00C64383" w:rsidRDefault="00D066EE" w14:paraId="7EC3223F" w14:textId="77777777">
      <w:r w:rsidRPr="00563055">
        <w:t xml:space="preserve">Het kabinet vindt het belangrijk dat er een akkoord is bereikt waarmee </w:t>
      </w:r>
      <w:r w:rsidRPr="00D066EE" w:rsidR="00C64383">
        <w:t xml:space="preserve">de Pijler 2-doelstellingen </w:t>
      </w:r>
      <w:r w:rsidRPr="00D066EE">
        <w:t>grotendeels zijn gewaarborgd</w:t>
      </w:r>
      <w:r w:rsidR="00C64383">
        <w:t xml:space="preserve"> en een netwerk van minimumbelastingen overeind kan worden gehouden in een zo groot mogelijk internationaal verband. Een minimumbelasting in een zo groot mogelijk internationaal verband is immers het meest doeltreffend om een ondergrens te stellen aan belastingconcurrentie, waardoor ook het voordeel van kunstmatige winstverschuiving sterk wordt verkleind. Een ondergrens onder belastingconcurrentie blijft relevant om een nieuwe race naar de bodem te voorkomen en belastinginkomsten zeker te stellen, juist ook in een context van budgettaire </w:t>
      </w:r>
      <w:proofErr w:type="spellStart"/>
      <w:r w:rsidR="00C64383">
        <w:t>langetermijnuitdagingen</w:t>
      </w:r>
      <w:proofErr w:type="spellEnd"/>
      <w:r w:rsidR="00C64383">
        <w:t xml:space="preserve">. </w:t>
      </w:r>
      <w:r w:rsidRPr="00E240FF" w:rsidR="00C64383">
        <w:t xml:space="preserve">Aangezien verschillende </w:t>
      </w:r>
      <w:r w:rsidR="0086328C">
        <w:t>jurisdicties</w:t>
      </w:r>
      <w:r w:rsidRPr="00E240FF" w:rsidR="00C64383">
        <w:t xml:space="preserve"> op dit moment Pijler 2 nog niet hebben geïmplementeerd, acht het kabinet een akkoord over het Side-</w:t>
      </w:r>
      <w:proofErr w:type="spellStart"/>
      <w:r w:rsidRPr="00E240FF" w:rsidR="00C64383">
        <w:t>by</w:t>
      </w:r>
      <w:proofErr w:type="spellEnd"/>
      <w:r w:rsidRPr="00E240FF" w:rsidR="00C64383">
        <w:t xml:space="preserve">-Side-pakket ook een manier om deze </w:t>
      </w:r>
      <w:r w:rsidR="0086328C">
        <w:t>jurisdicties</w:t>
      </w:r>
      <w:r w:rsidRPr="00E240FF" w:rsidR="00C64383">
        <w:t xml:space="preserve"> al dan niet in de toekomst te committeren aan een vorm van een minimumbelasting.</w:t>
      </w:r>
      <w:r w:rsidR="00C64383">
        <w:t xml:space="preserve"> Het akkoord is van belang om zekerheid en stabiliteit te </w:t>
      </w:r>
      <w:r w:rsidR="000C742B">
        <w:t xml:space="preserve">waarborgen </w:t>
      </w:r>
      <w:r w:rsidR="00C64383">
        <w:t>in het internationale belastingsysteem</w:t>
      </w:r>
      <w:r w:rsidR="00902C36">
        <w:t>, ook voor Nederlandse bedrijven</w:t>
      </w:r>
      <w:r w:rsidR="00E943C1">
        <w:t>.</w:t>
      </w:r>
      <w:r w:rsidR="00C64383">
        <w:t xml:space="preserve"> Daarbij hecht het kabinet aan de waarborgen die zijn opgenomen voor (het monitoren van) een gelijk speelveld, zoals robuuste en strikte criteria om te kwalificeren voor de </w:t>
      </w:r>
      <w:r w:rsidRPr="00C46679" w:rsidR="00C64383">
        <w:rPr>
          <w:i/>
          <w:iCs/>
        </w:rPr>
        <w:t>Side-</w:t>
      </w:r>
      <w:proofErr w:type="spellStart"/>
      <w:r w:rsidRPr="00C46679" w:rsidR="00C64383">
        <w:rPr>
          <w:i/>
          <w:iCs/>
        </w:rPr>
        <w:t>by</w:t>
      </w:r>
      <w:proofErr w:type="spellEnd"/>
      <w:r w:rsidRPr="00C46679" w:rsidR="00C64383">
        <w:rPr>
          <w:i/>
          <w:iCs/>
        </w:rPr>
        <w:t>-Side-</w:t>
      </w:r>
      <w:r w:rsidR="00C64383">
        <w:t xml:space="preserve"> en </w:t>
      </w:r>
      <w:r w:rsidRPr="00C46679" w:rsidR="00C64383">
        <w:rPr>
          <w:i/>
          <w:iCs/>
        </w:rPr>
        <w:t xml:space="preserve">UPE Safe </w:t>
      </w:r>
      <w:proofErr w:type="spellStart"/>
      <w:r w:rsidRPr="00C46679" w:rsidR="00C64383">
        <w:rPr>
          <w:i/>
          <w:iCs/>
        </w:rPr>
        <w:t>Harbour</w:t>
      </w:r>
      <w:proofErr w:type="spellEnd"/>
      <w:r w:rsidR="00C64383">
        <w:t xml:space="preserve">, de onveranderde werking van de binnenlandse </w:t>
      </w:r>
      <w:proofErr w:type="spellStart"/>
      <w:r w:rsidR="00C64383">
        <w:t>bijheffing</w:t>
      </w:r>
      <w:proofErr w:type="spellEnd"/>
      <w:r w:rsidR="00C64383">
        <w:t xml:space="preserve">, de toekomstige evaluatie en de verruiming van de gunstige behandeling van </w:t>
      </w:r>
      <w:r w:rsidR="000C742B">
        <w:t xml:space="preserve">fiscale regelingen </w:t>
      </w:r>
      <w:r w:rsidR="00C64383">
        <w:t>onder Pijler 2. Ook hecht het kabinet aan de vereenvoudigingsmaatregelen in het pakket, waarbij verdere vereenvoudiging in de toekomst van groot belang blijft voor het EU-concurrentievermogen.</w:t>
      </w:r>
    </w:p>
    <w:p w:rsidRPr="00470676" w:rsidR="00C64383" w:rsidP="00C64383" w:rsidRDefault="00C64383" w14:paraId="1F05CE2A" w14:textId="77777777">
      <w:pPr>
        <w:rPr>
          <w:b/>
          <w:bCs/>
        </w:rPr>
      </w:pPr>
    </w:p>
    <w:p w:rsidR="00C64383" w:rsidP="00C64383" w:rsidRDefault="00C64383" w14:paraId="3CC2DDBA" w14:textId="77777777">
      <w:pPr>
        <w:spacing w:line="240" w:lineRule="exact"/>
        <w:rPr>
          <w:bCs/>
          <w:i/>
          <w:iCs/>
        </w:rPr>
      </w:pPr>
      <w:r w:rsidRPr="00706A01">
        <w:rPr>
          <w:bCs/>
          <w:i/>
          <w:iCs/>
        </w:rPr>
        <w:t>Budgettaire gevolgen</w:t>
      </w:r>
    </w:p>
    <w:p w:rsidRPr="00C65122" w:rsidR="00C64383" w:rsidP="00C64383" w:rsidRDefault="00C64383" w14:paraId="1AC0F274" w14:textId="77777777">
      <w:pPr>
        <w:spacing w:line="240" w:lineRule="exact"/>
        <w:rPr>
          <w:bCs/>
        </w:rPr>
      </w:pPr>
      <w:r w:rsidRPr="00C65122">
        <w:rPr>
          <w:bCs/>
        </w:rPr>
        <w:t xml:space="preserve">Bij invoering is geraamd dat Pijler 2 voor een opbrengst van € 466 miljoen voor Nederland zou zorgen. De geraamde opbrengst kwam met name voort uit de inschatting dat bedrijven activiteiten en winsten uit </w:t>
      </w:r>
      <w:proofErr w:type="spellStart"/>
      <w:r w:rsidRPr="00C65122">
        <w:rPr>
          <w:bCs/>
        </w:rPr>
        <w:t>laagbelastende</w:t>
      </w:r>
      <w:proofErr w:type="spellEnd"/>
      <w:r w:rsidRPr="00C65122">
        <w:rPr>
          <w:bCs/>
        </w:rPr>
        <w:t xml:space="preserve"> jurisdicties naar Nederland zouden gaan verplaatsen. Het belastingvoordeel voor bedrijven van het gebruik van deze </w:t>
      </w:r>
      <w:proofErr w:type="spellStart"/>
      <w:r w:rsidRPr="00C65122">
        <w:rPr>
          <w:bCs/>
        </w:rPr>
        <w:t>laagbelastende</w:t>
      </w:r>
      <w:proofErr w:type="spellEnd"/>
      <w:r w:rsidRPr="00C65122">
        <w:rPr>
          <w:bCs/>
        </w:rPr>
        <w:t xml:space="preserve"> jurisdicties zou namelijk aanzienlijk dalen wanneer ook in die </w:t>
      </w:r>
      <w:r w:rsidR="00E240FF">
        <w:rPr>
          <w:bCs/>
        </w:rPr>
        <w:t>jurisdicties</w:t>
      </w:r>
      <w:r w:rsidRPr="00C65122" w:rsidR="00E240FF">
        <w:rPr>
          <w:bCs/>
        </w:rPr>
        <w:t xml:space="preserve"> </w:t>
      </w:r>
      <w:r w:rsidRPr="00C65122">
        <w:rPr>
          <w:bCs/>
        </w:rPr>
        <w:t xml:space="preserve">ten minste 15% winstbelasting wordt geheven. </w:t>
      </w:r>
    </w:p>
    <w:p w:rsidRPr="00C65122" w:rsidR="00C64383" w:rsidP="00C64383" w:rsidRDefault="00C64383" w14:paraId="7722035C" w14:textId="77777777">
      <w:pPr>
        <w:spacing w:line="240" w:lineRule="exact"/>
        <w:rPr>
          <w:bCs/>
        </w:rPr>
      </w:pPr>
    </w:p>
    <w:p w:rsidRPr="00C65122" w:rsidR="00C64383" w:rsidP="00C64383" w:rsidRDefault="00C64383" w14:paraId="6EE7DB9A" w14:textId="77777777">
      <w:pPr>
        <w:spacing w:line="240" w:lineRule="exact"/>
        <w:rPr>
          <w:bCs/>
        </w:rPr>
      </w:pPr>
      <w:r w:rsidRPr="00C65122">
        <w:rPr>
          <w:bCs/>
        </w:rPr>
        <w:t xml:space="preserve">De afgesproken aanpassingen aan Pijler 2 betreffen met name versoepelingen van de regels, waaronder het niet toepassen van de inkomens-inclusiemaatregel </w:t>
      </w:r>
      <w:r>
        <w:rPr>
          <w:bCs/>
        </w:rPr>
        <w:t xml:space="preserve">en </w:t>
      </w:r>
      <w:r w:rsidRPr="00C65122">
        <w:rPr>
          <w:bCs/>
        </w:rPr>
        <w:t xml:space="preserve">de </w:t>
      </w:r>
      <w:proofErr w:type="spellStart"/>
      <w:r w:rsidRPr="00C65122">
        <w:rPr>
          <w:bCs/>
        </w:rPr>
        <w:t>onderbelastewinstmaatregel</w:t>
      </w:r>
      <w:proofErr w:type="spellEnd"/>
      <w:r w:rsidRPr="00C65122">
        <w:rPr>
          <w:bCs/>
        </w:rPr>
        <w:t xml:space="preserve"> in relatie tot bepaalde jurisdicties en de verruiming van de gunstige behandeling van </w:t>
      </w:r>
      <w:r w:rsidR="00EC3716">
        <w:rPr>
          <w:bCs/>
        </w:rPr>
        <w:t xml:space="preserve">fiscale regelingen </w:t>
      </w:r>
      <w:r w:rsidRPr="00C65122">
        <w:rPr>
          <w:bCs/>
        </w:rPr>
        <w:t xml:space="preserve">onder Pijler 2. Omdat Pijler 2 voor een geraamde opbrengst zorgde, brengen deze versoepelingen logischerwijs een budgettaire derving met zich mee. Deze derving </w:t>
      </w:r>
      <w:r w:rsidRPr="00C65122">
        <w:rPr>
          <w:bCs/>
        </w:rPr>
        <w:lastRenderedPageBreak/>
        <w:t xml:space="preserve">is voorlopig geraamd op </w:t>
      </w:r>
      <w:proofErr w:type="gramStart"/>
      <w:r w:rsidRPr="00C65122">
        <w:rPr>
          <w:bCs/>
        </w:rPr>
        <w:t>circa</w:t>
      </w:r>
      <w:proofErr w:type="gramEnd"/>
      <w:r w:rsidRPr="00C65122">
        <w:rPr>
          <w:bCs/>
        </w:rPr>
        <w:t xml:space="preserve"> € 120 miljoen per jaar. Deze geraamde derving zal in het voorjaar van 2026 </w:t>
      </w:r>
      <w:r w:rsidR="009D495C">
        <w:rPr>
          <w:bCs/>
        </w:rPr>
        <w:t>onderdeel zijn van de inkomstenbesluitvorming over het lastenkader.</w:t>
      </w:r>
      <w:r w:rsidRPr="00C65122">
        <w:rPr>
          <w:bCs/>
        </w:rPr>
        <w:t xml:space="preserve"> </w:t>
      </w:r>
    </w:p>
    <w:p w:rsidRPr="00C65122" w:rsidR="00C64383" w:rsidP="00C64383" w:rsidRDefault="00C64383" w14:paraId="4FE09476" w14:textId="77777777">
      <w:pPr>
        <w:spacing w:line="240" w:lineRule="exact"/>
        <w:rPr>
          <w:bCs/>
        </w:rPr>
      </w:pPr>
    </w:p>
    <w:p w:rsidRPr="00C65122" w:rsidR="00C64383" w:rsidP="00C64383" w:rsidRDefault="00C64383" w14:paraId="75AC53E5" w14:textId="77777777">
      <w:pPr>
        <w:spacing w:line="240" w:lineRule="exact"/>
        <w:rPr>
          <w:bCs/>
        </w:rPr>
      </w:pPr>
      <w:r w:rsidRPr="00C65122">
        <w:rPr>
          <w:bCs/>
        </w:rPr>
        <w:t xml:space="preserve">Ondanks deze budgettaire derving ten opzichte van het </w:t>
      </w:r>
      <w:proofErr w:type="spellStart"/>
      <w:r w:rsidRPr="00C65122">
        <w:rPr>
          <w:bCs/>
        </w:rPr>
        <w:t>basispad</w:t>
      </w:r>
      <w:proofErr w:type="spellEnd"/>
      <w:r w:rsidRPr="00C65122">
        <w:rPr>
          <w:bCs/>
        </w:rPr>
        <w:t xml:space="preserve">, blijft de geraamde opbrengst van Pijler 2 voor Nederland ruimschoots positief. De verwachting blijft dat Nederland dankzij Pijler 2 uiteindelijk beter af is doordat fiscaal gedreven investeringen en fiscaal gedreven winstverschuiving zullen afnemen. Zonder dit akkoord zou de toekomst van Pijler 2 onzeker zijn, waarbij ook deze Pijler 2-opbrengst op de tocht zou staan. </w:t>
      </w:r>
      <w:r w:rsidR="00A4670E">
        <w:rPr>
          <w:bCs/>
        </w:rPr>
        <w:t>Een recent rapport van de OESO laat zien dat het wereldwijde gemiddelde vennootschapsbelastingtarief sinds de afspraken over Pijler 2 nu drie jaren op rij licht is gestegen, na tientallen jaren van daling.</w:t>
      </w:r>
      <w:r w:rsidR="00A4670E">
        <w:rPr>
          <w:rStyle w:val="Voetnootmarkering"/>
          <w:bCs/>
        </w:rPr>
        <w:footnoteReference w:id="14"/>
      </w:r>
      <w:r w:rsidR="00A4670E">
        <w:rPr>
          <w:bCs/>
        </w:rPr>
        <w:t xml:space="preserve"> In </w:t>
      </w:r>
      <w:r w:rsidRPr="00C65122">
        <w:rPr>
          <w:bCs/>
        </w:rPr>
        <w:t xml:space="preserve">een scenario zonder Pijler 2 </w:t>
      </w:r>
      <w:r w:rsidR="00A4670E">
        <w:rPr>
          <w:bCs/>
        </w:rPr>
        <w:t xml:space="preserve">zou </w:t>
      </w:r>
      <w:r w:rsidRPr="00C65122">
        <w:rPr>
          <w:bCs/>
        </w:rPr>
        <w:t xml:space="preserve">een nieuwe race naar de bodem kunnen ontstaan, met grote druk om de tarieven in de Nederlandse vennootschapsbelasting te verlagen. Gegeven de huidige opbrengsten uit de vennootschapsbelasting van bijna € 50 miljard per jaar, zou een dergelijk scenario aanzienlijke consequenties voor de schatkist hebben. </w:t>
      </w:r>
    </w:p>
    <w:p w:rsidRPr="00BF278E" w:rsidR="00C64383" w:rsidP="00C64383" w:rsidRDefault="00C64383" w14:paraId="6F1B8102" w14:textId="77777777">
      <w:pPr>
        <w:spacing w:line="240" w:lineRule="exact"/>
        <w:rPr>
          <w:bCs/>
          <w:i/>
          <w:iCs/>
        </w:rPr>
      </w:pPr>
      <w:r w:rsidRPr="00C65122">
        <w:rPr>
          <w:bCs/>
          <w:i/>
          <w:iCs/>
        </w:rPr>
        <w:t xml:space="preserve"> </w:t>
      </w:r>
    </w:p>
    <w:p w:rsidRPr="00F75D54" w:rsidR="00C64383" w:rsidP="00C64383" w:rsidRDefault="00C64383" w14:paraId="0D311DA5" w14:textId="77777777">
      <w:pPr>
        <w:pStyle w:val="Lijstalinea"/>
        <w:numPr>
          <w:ilvl w:val="0"/>
          <w:numId w:val="7"/>
        </w:numPr>
        <w:spacing w:after="0"/>
        <w:rPr>
          <w:rFonts w:ascii="Verdana" w:hAnsi="Verdana"/>
          <w:b/>
          <w:bCs/>
          <w:sz w:val="18"/>
          <w:szCs w:val="18"/>
        </w:rPr>
      </w:pPr>
      <w:r w:rsidRPr="00F75D54">
        <w:rPr>
          <w:rFonts w:ascii="Verdana" w:hAnsi="Verdana"/>
          <w:b/>
          <w:bCs/>
          <w:sz w:val="18"/>
          <w:szCs w:val="18"/>
        </w:rPr>
        <w:t xml:space="preserve">Vervolgproces </w:t>
      </w:r>
      <w:r w:rsidR="00EF6921">
        <w:rPr>
          <w:rFonts w:ascii="Verdana" w:hAnsi="Verdana"/>
          <w:b/>
          <w:bCs/>
          <w:sz w:val="18"/>
          <w:szCs w:val="18"/>
        </w:rPr>
        <w:t xml:space="preserve"> </w:t>
      </w:r>
    </w:p>
    <w:p w:rsidRPr="00F75D54" w:rsidR="00C64383" w:rsidP="00C64383" w:rsidRDefault="00C64383" w14:paraId="304AF66B" w14:textId="77777777">
      <w:pPr>
        <w:rPr>
          <w:b/>
          <w:bCs/>
        </w:rPr>
      </w:pPr>
    </w:p>
    <w:p w:rsidR="00C64383" w:rsidP="00C64383" w:rsidRDefault="00C64383" w14:paraId="46DC388B" w14:textId="77777777">
      <w:r w:rsidRPr="00240AF5">
        <w:t>Het kabinet is voornemens om het Side-</w:t>
      </w:r>
      <w:proofErr w:type="spellStart"/>
      <w:r w:rsidRPr="00240AF5">
        <w:t>by</w:t>
      </w:r>
      <w:proofErr w:type="spellEnd"/>
      <w:r w:rsidRPr="00240AF5">
        <w:t>-</w:t>
      </w:r>
      <w:r>
        <w:t>S</w:t>
      </w:r>
      <w:r w:rsidRPr="00240AF5">
        <w:t>ide pakket in een separaat wetsvoorstel uit te werken</w:t>
      </w:r>
      <w:r w:rsidR="00436EB8">
        <w:t xml:space="preserve">. </w:t>
      </w:r>
      <w:r w:rsidRPr="00240AF5">
        <w:t xml:space="preserve">Dit wetsvoorstel zal </w:t>
      </w:r>
      <w:r w:rsidR="00D91DDB">
        <w:t xml:space="preserve">naar verwachting </w:t>
      </w:r>
      <w:r w:rsidRPr="00240AF5">
        <w:t xml:space="preserve">vóór de zomer van 2026 worden ingediend bij uw Kamer. Gelet op </w:t>
      </w:r>
      <w:r w:rsidR="00D91DDB">
        <w:t xml:space="preserve">de omvang en </w:t>
      </w:r>
      <w:r w:rsidRPr="00240AF5">
        <w:t xml:space="preserve">het complexe karakter van de maatregelen zal </w:t>
      </w:r>
      <w:r w:rsidR="00D91DDB">
        <w:t xml:space="preserve">in het voorjaar van 2026 een bijeenkomst </w:t>
      </w:r>
      <w:r w:rsidRPr="007B585A" w:rsidR="00D91DDB">
        <w:t xml:space="preserve">worden georganiseerd waar belangstellenden </w:t>
      </w:r>
      <w:r w:rsidRPr="007B585A" w:rsidR="00223794">
        <w:t>kunnen</w:t>
      </w:r>
      <w:r w:rsidRPr="007B585A" w:rsidR="00D91DDB">
        <w:t xml:space="preserve"> reflecteren op </w:t>
      </w:r>
      <w:r w:rsidRPr="007B585A">
        <w:t>het Side-</w:t>
      </w:r>
      <w:proofErr w:type="spellStart"/>
      <w:r w:rsidRPr="007B585A">
        <w:t>by</w:t>
      </w:r>
      <w:proofErr w:type="spellEnd"/>
      <w:r w:rsidRPr="007B585A">
        <w:t>-Side</w:t>
      </w:r>
      <w:r w:rsidRPr="007B585A" w:rsidR="00047EB3">
        <w:t>-</w:t>
      </w:r>
      <w:r w:rsidRPr="007B585A">
        <w:t>pakket</w:t>
      </w:r>
      <w:r w:rsidRPr="007B585A" w:rsidR="00703ECE">
        <w:t>, zodat dit kan worden meegewogen</w:t>
      </w:r>
      <w:r w:rsidRPr="007B585A" w:rsidR="00223794">
        <w:t xml:space="preserve"> </w:t>
      </w:r>
      <w:r w:rsidRPr="007B585A">
        <w:t xml:space="preserve">in de </w:t>
      </w:r>
      <w:r w:rsidRPr="007B585A" w:rsidR="00D37748">
        <w:t xml:space="preserve">technische </w:t>
      </w:r>
      <w:r w:rsidRPr="007B585A">
        <w:t>uitwerking van het wetsvoorstel.</w:t>
      </w:r>
      <w:r w:rsidRPr="007B585A" w:rsidR="00976324">
        <w:t xml:space="preserve"> </w:t>
      </w:r>
      <w:r w:rsidRPr="007B585A">
        <w:t xml:space="preserve">Na </w:t>
      </w:r>
      <w:r w:rsidRPr="007B585A" w:rsidR="00D37748">
        <w:t>weging van de</w:t>
      </w:r>
      <w:r w:rsidRPr="007B585A" w:rsidR="002650BB">
        <w:t xml:space="preserve"> inbreng van belangstellenden</w:t>
      </w:r>
      <w:r w:rsidRPr="007B585A" w:rsidR="00D37748">
        <w:t xml:space="preserve"> </w:t>
      </w:r>
      <w:r w:rsidRPr="007B585A">
        <w:t xml:space="preserve">en afronding van de </w:t>
      </w:r>
      <w:r w:rsidR="00FF54DD">
        <w:t>u</w:t>
      </w:r>
      <w:r w:rsidRPr="007B585A">
        <w:t>itvoeringstoets</w:t>
      </w:r>
      <w:r w:rsidRPr="00240AF5">
        <w:t xml:space="preserve"> door de Belastingdienst</w:t>
      </w:r>
      <w:r w:rsidR="00FF54DD">
        <w:t xml:space="preserve"> </w:t>
      </w:r>
      <w:r w:rsidRPr="005C505C" w:rsidR="00FF54DD">
        <w:t>–</w:t>
      </w:r>
      <w:r w:rsidRPr="007A718A" w:rsidR="00FF54DD">
        <w:rPr>
          <w:b/>
          <w:bCs/>
        </w:rPr>
        <w:t xml:space="preserve"> </w:t>
      </w:r>
      <w:r w:rsidRPr="00A819C3" w:rsidR="00FF54DD">
        <w:t>waarbij rekening zal worden gehouden met de terugwerkende kracht van het pakket</w:t>
      </w:r>
      <w:r w:rsidRPr="007A718A" w:rsidR="00FF54DD">
        <w:rPr>
          <w:b/>
          <w:bCs/>
        </w:rPr>
        <w:t xml:space="preserve"> </w:t>
      </w:r>
      <w:r w:rsidRPr="005C505C" w:rsidR="00FF54DD">
        <w:t>–</w:t>
      </w:r>
      <w:r w:rsidRPr="007A718A" w:rsidR="00FF54DD">
        <w:t xml:space="preserve"> </w:t>
      </w:r>
      <w:r w:rsidRPr="00240AF5">
        <w:t>wordt het wetsvoorstel ter advisering voorgelegd aan de Afdeling advi</w:t>
      </w:r>
      <w:r w:rsidR="002650BB">
        <w:t>sering</w:t>
      </w:r>
      <w:r w:rsidRPr="00240AF5">
        <w:t xml:space="preserve"> van de Raad van State.</w:t>
      </w:r>
      <w:r>
        <w:t xml:space="preserve"> B</w:t>
      </w:r>
      <w:r w:rsidRPr="00240AF5">
        <w:t xml:space="preserve">ij de indiening van het wetsvoorstel zal een herijking plaatsvinden van de budgettaire raming. De raming bij indiening van het wetsvoorstel zal, zoals gebruikelijk, worden gecertificeerd door het Centraal Planbureau. </w:t>
      </w:r>
    </w:p>
    <w:p w:rsidR="00AC35D7" w:rsidRDefault="00122473" w14:paraId="097205E4" w14:textId="77777777">
      <w:pPr>
        <w:pStyle w:val="StandaardSlotzin"/>
      </w:pPr>
      <w:r>
        <w:br/>
      </w:r>
      <w:r w:rsidR="00901315">
        <w:t>Hoogachtend,</w:t>
      </w:r>
    </w:p>
    <w:p w:rsidR="00AC35D7" w:rsidRDefault="00AC35D7" w14:paraId="7658A3B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C35D7" w14:paraId="14F5E892" w14:textId="77777777">
        <w:tc>
          <w:tcPr>
            <w:tcW w:w="3592" w:type="dxa"/>
          </w:tcPr>
          <w:p w:rsidR="00AC35D7" w:rsidRDefault="00901315" w14:paraId="418C890E" w14:textId="77777777">
            <w:proofErr w:type="gramStart"/>
            <w:r>
              <w:t>de</w:t>
            </w:r>
            <w:proofErr w:type="gramEnd"/>
            <w:r>
              <w:t xml:space="preserve"> staatssecretaris van Financiën -  Fiscaliteit, Belastingdienst en Douane,</w:t>
            </w:r>
            <w:r>
              <w:br/>
            </w:r>
            <w:r>
              <w:br/>
            </w:r>
            <w:r>
              <w:br/>
            </w:r>
            <w:r>
              <w:br/>
            </w:r>
            <w:r>
              <w:br/>
            </w:r>
            <w:r>
              <w:br/>
            </w:r>
            <w:r>
              <w:br/>
              <w:t>Eugène Heijnen</w:t>
            </w:r>
          </w:p>
        </w:tc>
        <w:tc>
          <w:tcPr>
            <w:tcW w:w="3892" w:type="dxa"/>
          </w:tcPr>
          <w:p w:rsidR="00AC35D7" w:rsidRDefault="00AC35D7" w14:paraId="4772AA23" w14:textId="77777777"/>
        </w:tc>
      </w:tr>
    </w:tbl>
    <w:p w:rsidR="00AC35D7" w:rsidRDefault="00AC35D7" w14:paraId="38E7D313" w14:textId="77777777">
      <w:pPr>
        <w:pStyle w:val="Verdana7"/>
      </w:pPr>
    </w:p>
    <w:sectPr w:rsidR="00AC35D7">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FE8E3" w14:textId="77777777" w:rsidR="006E16AB" w:rsidRDefault="006E16AB">
      <w:pPr>
        <w:spacing w:line="240" w:lineRule="auto"/>
      </w:pPr>
      <w:r>
        <w:separator/>
      </w:r>
    </w:p>
  </w:endnote>
  <w:endnote w:type="continuationSeparator" w:id="0">
    <w:p w14:paraId="27043711" w14:textId="77777777" w:rsidR="006E16AB" w:rsidRDefault="006E16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2E3AC" w14:textId="77777777" w:rsidR="006E16AB" w:rsidRDefault="006E16AB">
      <w:pPr>
        <w:spacing w:line="240" w:lineRule="auto"/>
      </w:pPr>
      <w:r>
        <w:separator/>
      </w:r>
    </w:p>
  </w:footnote>
  <w:footnote w:type="continuationSeparator" w:id="0">
    <w:p w14:paraId="2D950686" w14:textId="77777777" w:rsidR="006E16AB" w:rsidRDefault="006E16AB">
      <w:pPr>
        <w:spacing w:line="240" w:lineRule="auto"/>
      </w:pPr>
      <w:r>
        <w:continuationSeparator/>
      </w:r>
    </w:p>
  </w:footnote>
  <w:footnote w:id="1">
    <w:p w14:paraId="48FEF5ED" w14:textId="77777777" w:rsidR="00C64383" w:rsidRPr="00B810D2" w:rsidRDefault="00C64383" w:rsidP="00C64383">
      <w:pPr>
        <w:pStyle w:val="Voetnoottekst"/>
        <w:rPr>
          <w:rFonts w:ascii="Verdana" w:hAnsi="Verdana"/>
          <w:sz w:val="16"/>
          <w:szCs w:val="16"/>
        </w:rPr>
      </w:pPr>
      <w:r w:rsidRPr="00B810D2">
        <w:rPr>
          <w:rStyle w:val="Voetnootmarkering"/>
          <w:rFonts w:ascii="Verdana" w:hAnsi="Verdana"/>
          <w:sz w:val="16"/>
          <w:szCs w:val="16"/>
        </w:rPr>
        <w:footnoteRef/>
      </w:r>
      <w:r w:rsidRPr="00B810D2">
        <w:rPr>
          <w:rFonts w:ascii="Verdana" w:hAnsi="Verdana"/>
          <w:sz w:val="16"/>
          <w:szCs w:val="16"/>
        </w:rPr>
        <w:t xml:space="preserve"> Zie https://www.canada.ca/en/department-finance/news/2025/06/g7-statement-on-global-minimum-taxes.html. De G7 bestaat uit</w:t>
      </w:r>
      <w:r>
        <w:rPr>
          <w:rFonts w:ascii="Verdana" w:hAnsi="Verdana"/>
          <w:sz w:val="16"/>
          <w:szCs w:val="16"/>
        </w:rPr>
        <w:t xml:space="preserve"> Canada</w:t>
      </w:r>
      <w:r w:rsidRPr="00B810D2">
        <w:rPr>
          <w:rFonts w:ascii="Verdana" w:hAnsi="Verdana"/>
          <w:sz w:val="16"/>
          <w:szCs w:val="16"/>
        </w:rPr>
        <w:t>, de VS, het VK, Duitsland, Frankrijk, Italië en Japan.</w:t>
      </w:r>
    </w:p>
  </w:footnote>
  <w:footnote w:id="2">
    <w:p w14:paraId="782D593D" w14:textId="77777777" w:rsidR="00C64383" w:rsidRPr="009B5215" w:rsidRDefault="00C64383" w:rsidP="00C64383">
      <w:pPr>
        <w:pStyle w:val="Voetnoottekst"/>
        <w:rPr>
          <w:rFonts w:ascii="Verdana" w:hAnsi="Verdana"/>
          <w:sz w:val="16"/>
          <w:szCs w:val="16"/>
        </w:rPr>
      </w:pPr>
      <w:r w:rsidRPr="006A4E9B">
        <w:rPr>
          <w:rStyle w:val="Voetnootmarkering"/>
          <w:rFonts w:ascii="Verdana" w:hAnsi="Verdana"/>
          <w:sz w:val="16"/>
          <w:szCs w:val="16"/>
        </w:rPr>
        <w:footnoteRef/>
      </w:r>
      <w:r w:rsidRPr="006A4E9B">
        <w:rPr>
          <w:rFonts w:ascii="Verdana" w:hAnsi="Verdana"/>
          <w:sz w:val="16"/>
          <w:szCs w:val="16"/>
        </w:rPr>
        <w:t xml:space="preserve"> Zie onder andere Kamerstukken II 2025/26, 36</w:t>
      </w:r>
      <w:r w:rsidR="00682DCE">
        <w:rPr>
          <w:rFonts w:ascii="Verdana" w:hAnsi="Verdana"/>
          <w:sz w:val="16"/>
          <w:szCs w:val="16"/>
        </w:rPr>
        <w:t xml:space="preserve"> </w:t>
      </w:r>
      <w:r w:rsidRPr="006A4E9B">
        <w:rPr>
          <w:rFonts w:ascii="Verdana" w:hAnsi="Verdana"/>
          <w:sz w:val="16"/>
          <w:szCs w:val="16"/>
        </w:rPr>
        <w:t xml:space="preserve">817, nr. 6; </w:t>
      </w:r>
      <w:r w:rsidR="00907251" w:rsidRPr="006A4E9B">
        <w:rPr>
          <w:rFonts w:ascii="Verdana" w:hAnsi="Verdana"/>
          <w:sz w:val="16"/>
          <w:szCs w:val="16"/>
        </w:rPr>
        <w:t>Kamerstukken II 2025/26</w:t>
      </w:r>
      <w:r w:rsidR="00907251">
        <w:rPr>
          <w:rFonts w:ascii="Verdana" w:hAnsi="Verdana"/>
          <w:sz w:val="16"/>
          <w:szCs w:val="16"/>
        </w:rPr>
        <w:t xml:space="preserve">, </w:t>
      </w:r>
      <w:r w:rsidR="00907251" w:rsidRPr="00907251">
        <w:rPr>
          <w:rFonts w:ascii="Verdana" w:hAnsi="Verdana"/>
          <w:sz w:val="16"/>
          <w:szCs w:val="16"/>
        </w:rPr>
        <w:t>21 501-07, nr. 2140</w:t>
      </w:r>
      <w:r w:rsidR="009212FF">
        <w:rPr>
          <w:rFonts w:ascii="Verdana" w:hAnsi="Verdana"/>
          <w:sz w:val="16"/>
          <w:szCs w:val="16"/>
        </w:rPr>
        <w:t>;</w:t>
      </w:r>
      <w:r w:rsidR="00682DCE">
        <w:rPr>
          <w:rFonts w:ascii="Verdana" w:hAnsi="Verdana"/>
          <w:sz w:val="16"/>
          <w:szCs w:val="16"/>
        </w:rPr>
        <w:t xml:space="preserve"> Kamerstukken II 2025/26, 36 812, nr. 34.</w:t>
      </w:r>
      <w:r w:rsidR="00907251">
        <w:rPr>
          <w:rFonts w:ascii="Verdana" w:hAnsi="Verdana"/>
          <w:sz w:val="16"/>
          <w:szCs w:val="16"/>
        </w:rPr>
        <w:t xml:space="preserve"> </w:t>
      </w:r>
      <w:r w:rsidR="00405DAE">
        <w:rPr>
          <w:rFonts w:ascii="Verdana" w:hAnsi="Verdana"/>
          <w:sz w:val="16"/>
          <w:szCs w:val="16"/>
        </w:rPr>
        <w:t xml:space="preserve"> </w:t>
      </w:r>
    </w:p>
  </w:footnote>
  <w:footnote w:id="3">
    <w:p w14:paraId="768EB611" w14:textId="48431C3A" w:rsidR="00DC056C" w:rsidRPr="00DC056C" w:rsidRDefault="00254CEB" w:rsidP="00DC056C">
      <w:pPr>
        <w:pStyle w:val="Voetnoottekst"/>
        <w:rPr>
          <w:rFonts w:ascii="Verdana" w:hAnsi="Verdana"/>
          <w:sz w:val="16"/>
          <w:szCs w:val="16"/>
          <w:lang w:val="en-US"/>
        </w:rPr>
      </w:pPr>
      <w:r w:rsidRPr="00563055">
        <w:rPr>
          <w:rStyle w:val="Voetnootmarkering"/>
          <w:rFonts w:ascii="Verdana" w:hAnsi="Verdana"/>
          <w:sz w:val="16"/>
          <w:szCs w:val="16"/>
        </w:rPr>
        <w:footnoteRef/>
      </w:r>
      <w:r w:rsidRPr="00DC056C">
        <w:rPr>
          <w:rFonts w:ascii="Verdana" w:hAnsi="Verdana"/>
          <w:sz w:val="16"/>
          <w:szCs w:val="16"/>
          <w:lang w:val="en-US"/>
        </w:rPr>
        <w:t xml:space="preserve"> </w:t>
      </w:r>
      <w:bookmarkStart w:id="0" w:name="_Hlk218521068"/>
      <w:r w:rsidR="00DC056C" w:rsidRPr="00DC056C">
        <w:rPr>
          <w:rFonts w:ascii="Verdana" w:hAnsi="Verdana"/>
          <w:sz w:val="16"/>
          <w:szCs w:val="16"/>
          <w:lang w:val="en-US"/>
        </w:rPr>
        <w:t>OESO (2026), Tax Challenges Arising from the</w:t>
      </w:r>
      <w:r w:rsidR="00DC056C">
        <w:rPr>
          <w:rFonts w:ascii="Verdana" w:hAnsi="Verdana"/>
          <w:sz w:val="16"/>
          <w:szCs w:val="16"/>
          <w:lang w:val="en-US"/>
        </w:rPr>
        <w:t xml:space="preserve"> </w:t>
      </w:r>
      <w:proofErr w:type="spellStart"/>
      <w:r w:rsidR="00DC056C" w:rsidRPr="00DC056C">
        <w:rPr>
          <w:rFonts w:ascii="Verdana" w:hAnsi="Verdana"/>
          <w:sz w:val="16"/>
          <w:szCs w:val="16"/>
          <w:lang w:val="en-US"/>
        </w:rPr>
        <w:t>Digitalisation</w:t>
      </w:r>
      <w:proofErr w:type="spellEnd"/>
      <w:r w:rsidR="00DC056C" w:rsidRPr="00DC056C">
        <w:rPr>
          <w:rFonts w:ascii="Verdana" w:hAnsi="Verdana"/>
          <w:sz w:val="16"/>
          <w:szCs w:val="16"/>
          <w:lang w:val="en-US"/>
        </w:rPr>
        <w:t xml:space="preserve"> of the Economy – Global</w:t>
      </w:r>
    </w:p>
    <w:p w14:paraId="7EC578AF" w14:textId="052450A4" w:rsidR="00254CEB" w:rsidRPr="0014329A" w:rsidRDefault="00DC056C" w:rsidP="00DC056C">
      <w:pPr>
        <w:pStyle w:val="Voetnoottekst"/>
        <w:rPr>
          <w:rFonts w:ascii="Verdana" w:hAnsi="Verdana"/>
          <w:sz w:val="16"/>
          <w:szCs w:val="16"/>
        </w:rPr>
      </w:pPr>
      <w:r w:rsidRPr="00DC056C">
        <w:rPr>
          <w:rFonts w:ascii="Verdana" w:hAnsi="Verdana"/>
          <w:sz w:val="16"/>
          <w:szCs w:val="16"/>
          <w:lang w:val="en-US"/>
        </w:rPr>
        <w:t>Anti-Base Erosion Model Rules (Pillar Two),</w:t>
      </w:r>
      <w:r>
        <w:rPr>
          <w:rFonts w:ascii="Verdana" w:hAnsi="Verdana"/>
          <w:sz w:val="16"/>
          <w:szCs w:val="16"/>
          <w:lang w:val="en-US"/>
        </w:rPr>
        <w:t xml:space="preserve"> </w:t>
      </w:r>
      <w:r w:rsidRPr="00DC056C">
        <w:rPr>
          <w:rFonts w:ascii="Verdana" w:hAnsi="Verdana"/>
          <w:sz w:val="16"/>
          <w:szCs w:val="16"/>
          <w:lang w:val="en-US"/>
        </w:rPr>
        <w:t>Side-by-Side</w:t>
      </w:r>
      <w:r>
        <w:rPr>
          <w:rFonts w:ascii="Verdana" w:hAnsi="Verdana"/>
          <w:sz w:val="16"/>
          <w:szCs w:val="16"/>
          <w:lang w:val="en-US"/>
        </w:rPr>
        <w:t xml:space="preserve"> </w:t>
      </w:r>
      <w:r w:rsidRPr="00DC056C">
        <w:rPr>
          <w:rFonts w:ascii="Verdana" w:hAnsi="Verdana"/>
          <w:sz w:val="16"/>
          <w:szCs w:val="16"/>
          <w:lang w:val="en-US"/>
        </w:rPr>
        <w:t>Package</w:t>
      </w:r>
      <w:r>
        <w:rPr>
          <w:rFonts w:ascii="Verdana" w:hAnsi="Verdana"/>
          <w:sz w:val="16"/>
          <w:szCs w:val="16"/>
          <w:lang w:val="en-US"/>
        </w:rPr>
        <w:t xml:space="preserve">.  </w:t>
      </w:r>
      <w:hyperlink r:id="rId1" w:history="1">
        <w:r w:rsidRPr="0014329A">
          <w:rPr>
            <w:rStyle w:val="Hyperlink"/>
            <w:rFonts w:ascii="Verdana" w:hAnsi="Verdana"/>
            <w:sz w:val="16"/>
            <w:szCs w:val="16"/>
          </w:rPr>
          <w:t>https://www.oecd.org/content/dam/oecd/en/topics/policy-sub-issues/global-minimum-tax/side-by-side-package.pdf</w:t>
        </w:r>
      </w:hyperlink>
      <w:bookmarkEnd w:id="0"/>
      <w:r w:rsidRPr="0014329A">
        <w:rPr>
          <w:rFonts w:ascii="Verdana" w:hAnsi="Verdana"/>
          <w:sz w:val="16"/>
          <w:szCs w:val="16"/>
        </w:rPr>
        <w:t xml:space="preserve"> </w:t>
      </w:r>
    </w:p>
  </w:footnote>
  <w:footnote w:id="4">
    <w:p w14:paraId="78B3D7C5" w14:textId="77777777" w:rsidR="00402933" w:rsidRPr="00F75D54" w:rsidRDefault="00402933">
      <w:pPr>
        <w:pStyle w:val="Voetnoottekst"/>
        <w:rPr>
          <w:rFonts w:ascii="Verdana" w:hAnsi="Verdana"/>
          <w:sz w:val="16"/>
          <w:szCs w:val="16"/>
        </w:rPr>
      </w:pPr>
      <w:r w:rsidRPr="00F75D54">
        <w:rPr>
          <w:rStyle w:val="Voetnootmarkering"/>
          <w:rFonts w:ascii="Verdana" w:hAnsi="Verdana"/>
          <w:sz w:val="16"/>
          <w:szCs w:val="16"/>
        </w:rPr>
        <w:footnoteRef/>
      </w:r>
      <w:r w:rsidRPr="00F75D54">
        <w:rPr>
          <w:rFonts w:ascii="Verdana" w:hAnsi="Verdana"/>
          <w:sz w:val="16"/>
          <w:szCs w:val="16"/>
        </w:rPr>
        <w:t xml:space="preserve"> Het betreft </w:t>
      </w:r>
      <w:r w:rsidR="001B4E3B">
        <w:rPr>
          <w:rFonts w:ascii="Verdana" w:hAnsi="Verdana"/>
          <w:sz w:val="16"/>
          <w:szCs w:val="16"/>
        </w:rPr>
        <w:t xml:space="preserve">de </w:t>
      </w:r>
      <w:r w:rsidRPr="00F75D54">
        <w:rPr>
          <w:rFonts w:ascii="Verdana" w:hAnsi="Verdana"/>
          <w:sz w:val="16"/>
          <w:szCs w:val="16"/>
        </w:rPr>
        <w:t>toezegging</w:t>
      </w:r>
      <w:r w:rsidR="00566CBE">
        <w:rPr>
          <w:rFonts w:ascii="Verdana" w:hAnsi="Verdana"/>
          <w:sz w:val="16"/>
          <w:szCs w:val="16"/>
        </w:rPr>
        <w:t xml:space="preserve"> </w:t>
      </w:r>
      <w:r w:rsidR="00336A5C">
        <w:rPr>
          <w:rFonts w:ascii="Verdana" w:hAnsi="Verdana"/>
          <w:sz w:val="16"/>
          <w:szCs w:val="16"/>
        </w:rPr>
        <w:t>in het Commissiedebat Internationale fiscaliteit van 3 juli 2025</w:t>
      </w:r>
      <w:r w:rsidR="00566CBE">
        <w:rPr>
          <w:rFonts w:ascii="Verdana" w:hAnsi="Verdana"/>
          <w:sz w:val="16"/>
          <w:szCs w:val="16"/>
        </w:rPr>
        <w:t xml:space="preserve"> </w:t>
      </w:r>
      <w:r w:rsidRPr="009B5215">
        <w:rPr>
          <w:rFonts w:ascii="Verdana" w:hAnsi="Verdana"/>
          <w:sz w:val="16"/>
          <w:szCs w:val="16"/>
        </w:rPr>
        <w:t>om uw Kamer te informeren als er duidelijkheid is over de Side-</w:t>
      </w:r>
      <w:proofErr w:type="spellStart"/>
      <w:r w:rsidRPr="009B5215">
        <w:rPr>
          <w:rFonts w:ascii="Verdana" w:hAnsi="Verdana"/>
          <w:sz w:val="16"/>
          <w:szCs w:val="16"/>
        </w:rPr>
        <w:t>by</w:t>
      </w:r>
      <w:proofErr w:type="spellEnd"/>
      <w:r w:rsidRPr="009B5215">
        <w:rPr>
          <w:rFonts w:ascii="Verdana" w:hAnsi="Verdana"/>
          <w:sz w:val="16"/>
          <w:szCs w:val="16"/>
        </w:rPr>
        <w:t>-Side-oplossing met de VS over Pijler 2.</w:t>
      </w:r>
    </w:p>
  </w:footnote>
  <w:footnote w:id="5">
    <w:p w14:paraId="266986B2" w14:textId="77777777" w:rsidR="00E65530" w:rsidRPr="00F75D54" w:rsidRDefault="00E65530">
      <w:pPr>
        <w:pStyle w:val="Voetnoottekst"/>
        <w:rPr>
          <w:rFonts w:ascii="Verdana" w:hAnsi="Verdana"/>
          <w:sz w:val="16"/>
          <w:szCs w:val="16"/>
        </w:rPr>
      </w:pPr>
      <w:r w:rsidRPr="00F75D54">
        <w:rPr>
          <w:rStyle w:val="Voetnootmarkering"/>
          <w:rFonts w:ascii="Verdana" w:hAnsi="Verdana"/>
          <w:sz w:val="16"/>
          <w:szCs w:val="16"/>
        </w:rPr>
        <w:footnoteRef/>
      </w:r>
      <w:r w:rsidRPr="00F75D54">
        <w:rPr>
          <w:rFonts w:ascii="Verdana" w:hAnsi="Verdana"/>
          <w:sz w:val="16"/>
          <w:szCs w:val="16"/>
        </w:rPr>
        <w:t xml:space="preserve"> Richtlijn (EU) 2022/2523 van de Raad van 14 december 2022 tot waarborging van een mondiaal minimumniveau van belastingheffing voor groepen van multinationale ondernemingen en omvangrijke binnenlandse groepen in de Unie, </w:t>
      </w:r>
      <w:proofErr w:type="spellStart"/>
      <w:r w:rsidRPr="00F75D54">
        <w:rPr>
          <w:rFonts w:ascii="Verdana" w:hAnsi="Verdana"/>
          <w:sz w:val="16"/>
          <w:szCs w:val="16"/>
        </w:rPr>
        <w:t>PbEU</w:t>
      </w:r>
      <w:proofErr w:type="spellEnd"/>
      <w:r w:rsidRPr="00F75D54">
        <w:rPr>
          <w:rFonts w:ascii="Verdana" w:hAnsi="Verdana"/>
          <w:sz w:val="16"/>
          <w:szCs w:val="16"/>
        </w:rPr>
        <w:t xml:space="preserve"> 2022, L 328/1.</w:t>
      </w:r>
    </w:p>
  </w:footnote>
  <w:footnote w:id="6">
    <w:p w14:paraId="39612452" w14:textId="77777777" w:rsidR="00C64383" w:rsidRPr="00F90606" w:rsidRDefault="00C64383" w:rsidP="00C64383">
      <w:pPr>
        <w:pStyle w:val="Voetnoottekst"/>
        <w:rPr>
          <w:rFonts w:ascii="Verdana" w:hAnsi="Verdana"/>
          <w:sz w:val="16"/>
          <w:szCs w:val="16"/>
          <w:lang w:val="en-US"/>
        </w:rPr>
      </w:pPr>
      <w:r w:rsidRPr="00F90606">
        <w:rPr>
          <w:rStyle w:val="Voetnootmarkering"/>
          <w:rFonts w:ascii="Verdana" w:hAnsi="Verdana"/>
          <w:sz w:val="16"/>
          <w:szCs w:val="16"/>
        </w:rPr>
        <w:footnoteRef/>
      </w:r>
      <w:r w:rsidRPr="00F90606">
        <w:rPr>
          <w:rFonts w:ascii="Verdana" w:hAnsi="Verdana"/>
          <w:sz w:val="16"/>
          <w:szCs w:val="16"/>
          <w:lang w:val="en-US"/>
        </w:rPr>
        <w:t xml:space="preserve"> OECD (2025), OECD Secretary-General Tax Report to G20 Leaders (G20 South Africa, November 2025), OECD Publishing.</w:t>
      </w:r>
    </w:p>
  </w:footnote>
  <w:footnote w:id="7">
    <w:p w14:paraId="5EBB2678" w14:textId="77777777" w:rsidR="00D20E1E" w:rsidRPr="00F75D54" w:rsidRDefault="00D20E1E">
      <w:pPr>
        <w:pStyle w:val="Voetnoottekst"/>
        <w:rPr>
          <w:rFonts w:ascii="Verdana" w:hAnsi="Verdana"/>
          <w:sz w:val="16"/>
          <w:szCs w:val="16"/>
        </w:rPr>
      </w:pPr>
      <w:r w:rsidRPr="00F75D54">
        <w:rPr>
          <w:rStyle w:val="Voetnootmarkering"/>
          <w:rFonts w:ascii="Verdana" w:hAnsi="Verdana"/>
          <w:sz w:val="16"/>
          <w:szCs w:val="16"/>
        </w:rPr>
        <w:footnoteRef/>
      </w:r>
      <w:r w:rsidRPr="00F75D54">
        <w:rPr>
          <w:rFonts w:ascii="Verdana" w:hAnsi="Verdana"/>
          <w:sz w:val="16"/>
          <w:szCs w:val="16"/>
        </w:rPr>
        <w:t xml:space="preserve"> </w:t>
      </w:r>
      <w:r w:rsidRPr="00D20E1E">
        <w:rPr>
          <w:rFonts w:ascii="Verdana" w:hAnsi="Verdana"/>
          <w:sz w:val="16"/>
          <w:szCs w:val="16"/>
        </w:rPr>
        <w:t xml:space="preserve">Op dit moment geldt nog een tijdelijke </w:t>
      </w:r>
      <w:proofErr w:type="spellStart"/>
      <w:r w:rsidRPr="00D20E1E">
        <w:rPr>
          <w:rFonts w:ascii="Verdana" w:hAnsi="Verdana"/>
          <w:sz w:val="16"/>
          <w:szCs w:val="16"/>
        </w:rPr>
        <w:t>veiligehavenregel</w:t>
      </w:r>
      <w:proofErr w:type="spellEnd"/>
      <w:r w:rsidRPr="00D20E1E">
        <w:rPr>
          <w:rFonts w:ascii="Verdana" w:hAnsi="Verdana"/>
          <w:sz w:val="16"/>
          <w:szCs w:val="16"/>
        </w:rPr>
        <w:t xml:space="preserve"> (‘</w:t>
      </w:r>
      <w:proofErr w:type="spellStart"/>
      <w:r w:rsidRPr="00D20E1E">
        <w:rPr>
          <w:rFonts w:ascii="Verdana" w:hAnsi="Verdana"/>
          <w:i/>
          <w:iCs/>
          <w:sz w:val="16"/>
          <w:szCs w:val="16"/>
        </w:rPr>
        <w:t>Transitional</w:t>
      </w:r>
      <w:proofErr w:type="spellEnd"/>
      <w:r w:rsidRPr="00D20E1E">
        <w:rPr>
          <w:rFonts w:ascii="Verdana" w:hAnsi="Verdana"/>
          <w:sz w:val="16"/>
          <w:szCs w:val="16"/>
        </w:rPr>
        <w:t xml:space="preserve"> </w:t>
      </w:r>
      <w:r w:rsidRPr="00D20E1E">
        <w:rPr>
          <w:rFonts w:ascii="Verdana" w:hAnsi="Verdana"/>
          <w:i/>
          <w:iCs/>
          <w:sz w:val="16"/>
          <w:szCs w:val="16"/>
        </w:rPr>
        <w:t xml:space="preserve">UTPR Safe </w:t>
      </w:r>
      <w:proofErr w:type="spellStart"/>
      <w:r w:rsidRPr="00D20E1E">
        <w:rPr>
          <w:rFonts w:ascii="Verdana" w:hAnsi="Verdana"/>
          <w:i/>
          <w:iCs/>
          <w:sz w:val="16"/>
          <w:szCs w:val="16"/>
        </w:rPr>
        <w:t>Harbour</w:t>
      </w:r>
      <w:proofErr w:type="spellEnd"/>
      <w:r w:rsidRPr="00D20E1E">
        <w:rPr>
          <w:rFonts w:ascii="Verdana" w:hAnsi="Verdana"/>
          <w:i/>
          <w:iCs/>
          <w:sz w:val="16"/>
          <w:szCs w:val="16"/>
        </w:rPr>
        <w:t>’</w:t>
      </w:r>
      <w:r w:rsidRPr="00D20E1E">
        <w:rPr>
          <w:rFonts w:ascii="Verdana" w:hAnsi="Verdana"/>
          <w:sz w:val="16"/>
          <w:szCs w:val="16"/>
        </w:rPr>
        <w:t xml:space="preserve">) op basis waarvan niet wordt </w:t>
      </w:r>
      <w:proofErr w:type="spellStart"/>
      <w:r w:rsidRPr="00D20E1E">
        <w:rPr>
          <w:rFonts w:ascii="Verdana" w:hAnsi="Verdana"/>
          <w:sz w:val="16"/>
          <w:szCs w:val="16"/>
        </w:rPr>
        <w:t>bijgeheven</w:t>
      </w:r>
      <w:proofErr w:type="spellEnd"/>
      <w:r w:rsidRPr="00D20E1E">
        <w:rPr>
          <w:rFonts w:ascii="Verdana" w:hAnsi="Verdana"/>
          <w:sz w:val="16"/>
          <w:szCs w:val="16"/>
        </w:rPr>
        <w:t xml:space="preserve"> </w:t>
      </w:r>
      <w:r w:rsidR="00BE54EA">
        <w:rPr>
          <w:rFonts w:ascii="Verdana" w:hAnsi="Verdana"/>
          <w:sz w:val="16"/>
          <w:szCs w:val="16"/>
        </w:rPr>
        <w:t>onder</w:t>
      </w:r>
      <w:r w:rsidRPr="00D20E1E">
        <w:rPr>
          <w:rFonts w:ascii="Verdana" w:hAnsi="Verdana"/>
          <w:sz w:val="16"/>
          <w:szCs w:val="16"/>
        </w:rPr>
        <w:t xml:space="preserve"> de </w:t>
      </w:r>
      <w:proofErr w:type="spellStart"/>
      <w:r w:rsidRPr="00D20E1E">
        <w:rPr>
          <w:rFonts w:ascii="Verdana" w:hAnsi="Verdana"/>
          <w:sz w:val="16"/>
          <w:szCs w:val="16"/>
        </w:rPr>
        <w:t>onderbelastewinstmaatregel</w:t>
      </w:r>
      <w:proofErr w:type="spellEnd"/>
      <w:r w:rsidRPr="00D20E1E">
        <w:rPr>
          <w:rFonts w:ascii="Verdana" w:hAnsi="Verdana"/>
          <w:sz w:val="16"/>
          <w:szCs w:val="16"/>
        </w:rPr>
        <w:t xml:space="preserve"> </w:t>
      </w:r>
      <w:r w:rsidR="00BE54EA">
        <w:rPr>
          <w:rFonts w:ascii="Verdana" w:hAnsi="Verdana"/>
          <w:sz w:val="16"/>
          <w:szCs w:val="16"/>
        </w:rPr>
        <w:t>als</w:t>
      </w:r>
      <w:r w:rsidRPr="00D20E1E">
        <w:rPr>
          <w:rFonts w:ascii="Verdana" w:hAnsi="Verdana"/>
          <w:sz w:val="16"/>
          <w:szCs w:val="16"/>
        </w:rPr>
        <w:t xml:space="preserve"> een jurisdictie een nominaal vennootschapsbelastingtarief van tenminste 20 procent heeft. Deze </w:t>
      </w:r>
      <w:proofErr w:type="spellStart"/>
      <w:r w:rsidRPr="00D20E1E">
        <w:rPr>
          <w:rFonts w:ascii="Verdana" w:hAnsi="Verdana"/>
          <w:sz w:val="16"/>
          <w:szCs w:val="16"/>
        </w:rPr>
        <w:t>veiligehavenregel</w:t>
      </w:r>
      <w:proofErr w:type="spellEnd"/>
      <w:r w:rsidRPr="00D20E1E">
        <w:rPr>
          <w:rFonts w:ascii="Verdana" w:hAnsi="Verdana"/>
          <w:sz w:val="16"/>
          <w:szCs w:val="16"/>
        </w:rPr>
        <w:t xml:space="preserve"> loopt eind 2025 af.</w:t>
      </w:r>
    </w:p>
  </w:footnote>
  <w:footnote w:id="8">
    <w:p w14:paraId="4CBFAAC6" w14:textId="77777777" w:rsidR="00C64383" w:rsidRPr="00F90606" w:rsidRDefault="00C64383" w:rsidP="00C64383">
      <w:pPr>
        <w:pStyle w:val="Voetnoottekst"/>
        <w:rPr>
          <w:rFonts w:ascii="Verdana" w:hAnsi="Verdana"/>
          <w:sz w:val="16"/>
          <w:szCs w:val="16"/>
        </w:rPr>
      </w:pPr>
      <w:r w:rsidRPr="00F90606">
        <w:rPr>
          <w:rStyle w:val="Voetnootmarkering"/>
          <w:rFonts w:ascii="Verdana" w:hAnsi="Verdana"/>
          <w:sz w:val="16"/>
          <w:szCs w:val="16"/>
        </w:rPr>
        <w:footnoteRef/>
      </w:r>
      <w:r w:rsidRPr="00F90606">
        <w:rPr>
          <w:rFonts w:ascii="Verdana" w:hAnsi="Verdana"/>
          <w:sz w:val="16"/>
          <w:szCs w:val="16"/>
        </w:rPr>
        <w:t xml:space="preserve"> </w:t>
      </w:r>
      <w:r w:rsidR="00CF4D00" w:rsidRPr="006A4E9B">
        <w:rPr>
          <w:rFonts w:ascii="Verdana" w:hAnsi="Verdana"/>
          <w:sz w:val="16"/>
          <w:szCs w:val="16"/>
        </w:rPr>
        <w:t>Kamerstukken II 2025/26</w:t>
      </w:r>
      <w:r w:rsidR="00CF4D00">
        <w:rPr>
          <w:rFonts w:ascii="Verdana" w:hAnsi="Verdana"/>
          <w:sz w:val="16"/>
          <w:szCs w:val="16"/>
        </w:rPr>
        <w:t>, 36 812, nr. 79.</w:t>
      </w:r>
    </w:p>
  </w:footnote>
  <w:footnote w:id="9">
    <w:p w14:paraId="70075E52" w14:textId="77777777" w:rsidR="001B60ED" w:rsidRPr="00563055" w:rsidRDefault="001B60ED">
      <w:pPr>
        <w:pStyle w:val="Voetnoottekst"/>
        <w:rPr>
          <w:rFonts w:ascii="Verdana" w:hAnsi="Verdana"/>
          <w:sz w:val="16"/>
          <w:szCs w:val="16"/>
        </w:rPr>
      </w:pPr>
      <w:r w:rsidRPr="00563055">
        <w:rPr>
          <w:rStyle w:val="Voetnootmarkering"/>
          <w:rFonts w:ascii="Verdana" w:hAnsi="Verdana"/>
          <w:sz w:val="16"/>
          <w:szCs w:val="16"/>
        </w:rPr>
        <w:footnoteRef/>
      </w:r>
      <w:r w:rsidRPr="00563055">
        <w:rPr>
          <w:rFonts w:ascii="Verdana" w:hAnsi="Verdana"/>
          <w:sz w:val="16"/>
          <w:szCs w:val="16"/>
        </w:rPr>
        <w:t xml:space="preserve"> </w:t>
      </w:r>
      <w:r w:rsidRPr="001B60ED">
        <w:rPr>
          <w:rFonts w:ascii="Verdana" w:hAnsi="Verdana"/>
          <w:sz w:val="16"/>
          <w:szCs w:val="16"/>
        </w:rPr>
        <w:t>Kamerstukken II 2025/26, 36 812, nr. 79.</w:t>
      </w:r>
    </w:p>
  </w:footnote>
  <w:footnote w:id="10">
    <w:p w14:paraId="65BA5B4F" w14:textId="77777777" w:rsidR="00C64383" w:rsidRPr="00F619E3" w:rsidRDefault="00C64383" w:rsidP="00C64383">
      <w:pPr>
        <w:pStyle w:val="Voetnoottekst"/>
        <w:rPr>
          <w:rFonts w:ascii="Verdana" w:hAnsi="Verdana"/>
          <w:sz w:val="16"/>
          <w:szCs w:val="16"/>
        </w:rPr>
      </w:pPr>
      <w:r w:rsidRPr="00F619E3">
        <w:rPr>
          <w:rStyle w:val="Voetnootmarkering"/>
          <w:rFonts w:ascii="Verdana" w:hAnsi="Verdana"/>
          <w:sz w:val="16"/>
          <w:szCs w:val="16"/>
        </w:rPr>
        <w:footnoteRef/>
      </w:r>
      <w:r w:rsidRPr="00F619E3">
        <w:rPr>
          <w:rFonts w:ascii="Verdana" w:hAnsi="Verdana"/>
          <w:sz w:val="16"/>
          <w:szCs w:val="16"/>
        </w:rPr>
        <w:t xml:space="preserve"> Het gaat om kwalificerende restitueerbare belastingtegoeden, kwalificerende verhandelbare belastingtegoeden, niet-kwalificerende restitueerbare belastingtegoeden, niet-kwalificerende verhandelbare belastingtegoeden en overige belastingtegoeden. </w:t>
      </w:r>
    </w:p>
  </w:footnote>
  <w:footnote w:id="11">
    <w:p w14:paraId="394DD8B7" w14:textId="77777777" w:rsidR="00E91E51" w:rsidRPr="00F75D54" w:rsidRDefault="00E91E51" w:rsidP="00E91E51">
      <w:pPr>
        <w:pStyle w:val="Voetnoottekst"/>
        <w:rPr>
          <w:rFonts w:ascii="Verdana" w:hAnsi="Verdana"/>
          <w:sz w:val="16"/>
          <w:szCs w:val="16"/>
        </w:rPr>
      </w:pPr>
      <w:r>
        <w:rPr>
          <w:rStyle w:val="Voetnootmarkering"/>
        </w:rPr>
        <w:footnoteRef/>
      </w:r>
      <w:r>
        <w:t xml:space="preserve"> </w:t>
      </w:r>
      <w:r w:rsidRPr="00F75D54">
        <w:rPr>
          <w:rFonts w:ascii="Verdana" w:hAnsi="Verdana"/>
          <w:sz w:val="16"/>
          <w:szCs w:val="16"/>
        </w:rPr>
        <w:t>Kamerstukken II 2024/25, 32 140, nr. 214.</w:t>
      </w:r>
    </w:p>
  </w:footnote>
  <w:footnote w:id="12">
    <w:p w14:paraId="7A7FB759" w14:textId="77777777" w:rsidR="00E91E51" w:rsidRDefault="00E91E51" w:rsidP="00E91E51">
      <w:pPr>
        <w:pStyle w:val="Voetnoottekst"/>
      </w:pPr>
      <w:r w:rsidRPr="00F75D54">
        <w:rPr>
          <w:rStyle w:val="Voetnootmarkering"/>
          <w:rFonts w:ascii="Verdana" w:hAnsi="Verdana"/>
          <w:sz w:val="16"/>
          <w:szCs w:val="16"/>
        </w:rPr>
        <w:footnoteRef/>
      </w:r>
      <w:r w:rsidRPr="00F75D54">
        <w:rPr>
          <w:rFonts w:ascii="Verdana" w:hAnsi="Verdana"/>
          <w:sz w:val="16"/>
          <w:szCs w:val="16"/>
        </w:rPr>
        <w:t xml:space="preserve"> Kamerstukken II 2024/25, 32 140, nr. 262</w:t>
      </w:r>
      <w:r>
        <w:rPr>
          <w:rFonts w:ascii="Verdana" w:hAnsi="Verdana"/>
          <w:sz w:val="18"/>
          <w:szCs w:val="18"/>
        </w:rPr>
        <w:t>.</w:t>
      </w:r>
    </w:p>
  </w:footnote>
  <w:footnote w:id="13">
    <w:p w14:paraId="10A9CD7E" w14:textId="77777777" w:rsidR="009053AA" w:rsidRPr="005D0D00" w:rsidRDefault="009053AA">
      <w:pPr>
        <w:pStyle w:val="Voetnoottekst"/>
        <w:rPr>
          <w:rFonts w:ascii="Verdana" w:hAnsi="Verdana"/>
          <w:sz w:val="16"/>
          <w:szCs w:val="16"/>
        </w:rPr>
      </w:pPr>
      <w:r w:rsidRPr="00563055">
        <w:rPr>
          <w:rStyle w:val="Voetnootmarkering"/>
          <w:rFonts w:ascii="Verdana" w:hAnsi="Verdana"/>
          <w:sz w:val="16"/>
          <w:szCs w:val="16"/>
        </w:rPr>
        <w:footnoteRef/>
      </w:r>
      <w:r w:rsidRPr="005D0D00">
        <w:rPr>
          <w:rFonts w:ascii="Verdana" w:hAnsi="Verdana"/>
          <w:sz w:val="16"/>
          <w:szCs w:val="16"/>
        </w:rPr>
        <w:t xml:space="preserve"> </w:t>
      </w:r>
      <w:r w:rsidRPr="009053AA">
        <w:rPr>
          <w:rFonts w:ascii="Verdana" w:hAnsi="Verdana"/>
          <w:sz w:val="16"/>
          <w:szCs w:val="16"/>
        </w:rPr>
        <w:t>Kamerstukken II 2025/26, 36 812, nr. 79.</w:t>
      </w:r>
    </w:p>
  </w:footnote>
  <w:footnote w:id="14">
    <w:p w14:paraId="5D3D0D80" w14:textId="77777777" w:rsidR="00A4670E" w:rsidRPr="005D0D00" w:rsidRDefault="00A4670E" w:rsidP="00A4670E">
      <w:pPr>
        <w:pStyle w:val="Voetnoottekst"/>
        <w:rPr>
          <w:rFonts w:ascii="Verdana" w:hAnsi="Verdana"/>
          <w:sz w:val="16"/>
          <w:szCs w:val="16"/>
        </w:rPr>
      </w:pPr>
      <w:r w:rsidRPr="00F75D54">
        <w:rPr>
          <w:rStyle w:val="Voetnootmarkering"/>
          <w:rFonts w:ascii="Verdana" w:hAnsi="Verdana"/>
          <w:sz w:val="16"/>
          <w:szCs w:val="16"/>
        </w:rPr>
        <w:footnoteRef/>
      </w:r>
      <w:r w:rsidRPr="005D0D00">
        <w:rPr>
          <w:rFonts w:ascii="Verdana" w:hAnsi="Verdana"/>
          <w:sz w:val="16"/>
          <w:szCs w:val="16"/>
        </w:rPr>
        <w:t xml:space="preserve"> Zie </w:t>
      </w:r>
      <w:r w:rsidRPr="005D0D00">
        <w:rPr>
          <w:rFonts w:ascii="Verdana" w:hAnsi="Verdana"/>
          <w:i/>
          <w:iCs/>
          <w:sz w:val="16"/>
          <w:szCs w:val="16"/>
        </w:rPr>
        <w:t xml:space="preserve">Corporate Tax </w:t>
      </w:r>
      <w:proofErr w:type="spellStart"/>
      <w:r w:rsidRPr="005D0D00">
        <w:rPr>
          <w:rFonts w:ascii="Verdana" w:hAnsi="Verdana"/>
          <w:i/>
          <w:iCs/>
          <w:sz w:val="16"/>
          <w:szCs w:val="16"/>
        </w:rPr>
        <w:t>Statistics</w:t>
      </w:r>
      <w:proofErr w:type="spellEnd"/>
      <w:r w:rsidRPr="005D0D00">
        <w:rPr>
          <w:rFonts w:ascii="Verdana" w:hAnsi="Verdana"/>
          <w:i/>
          <w:iCs/>
          <w:sz w:val="16"/>
          <w:szCs w:val="16"/>
        </w:rPr>
        <w:t xml:space="preserve"> 2025, </w:t>
      </w:r>
      <w:r w:rsidRPr="005D0D00">
        <w:rPr>
          <w:rFonts w:ascii="Verdana" w:hAnsi="Verdana"/>
          <w:sz w:val="16"/>
          <w:szCs w:val="16"/>
        </w:rPr>
        <w:t>OECD,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8AED" w14:textId="77777777" w:rsidR="00AC35D7" w:rsidRDefault="00901315">
    <w:r>
      <w:rPr>
        <w:noProof/>
      </w:rPr>
      <mc:AlternateContent>
        <mc:Choice Requires="wps">
          <w:drawing>
            <wp:anchor distT="0" distB="0" distL="0" distR="0" simplePos="0" relativeHeight="251652096" behindDoc="0" locked="1" layoutInCell="1" allowOverlap="1" wp14:anchorId="1939B04B" wp14:editId="552CF13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149DA38" w14:textId="77777777" w:rsidR="00AC35D7" w:rsidRDefault="00901315">
                          <w:pPr>
                            <w:pStyle w:val="StandaardReferentiegegevensKop"/>
                          </w:pPr>
                          <w:r>
                            <w:t>Ons kenmerk</w:t>
                          </w:r>
                        </w:p>
                        <w:p w14:paraId="794560D2" w14:textId="431BEE67" w:rsidR="00BC6F9D" w:rsidRDefault="00BC6F9D">
                          <w:pPr>
                            <w:pStyle w:val="StandaardReferentiegegevens"/>
                          </w:pPr>
                          <w:fldSimple w:instr=" DOCPROPERTY  &quot;Kenmerk&quot;  \* MERGEFORMAT ">
                            <w:r w:rsidR="0014329A">
                              <w:t>2025-0000620332</w:t>
                            </w:r>
                          </w:fldSimple>
                        </w:p>
                      </w:txbxContent>
                    </wps:txbx>
                    <wps:bodyPr vert="horz" wrap="square" lIns="0" tIns="0" rIns="0" bIns="0" anchor="t" anchorCtr="0"/>
                  </wps:wsp>
                </a:graphicData>
              </a:graphic>
            </wp:anchor>
          </w:drawing>
        </mc:Choice>
        <mc:Fallback>
          <w:pict>
            <v:shapetype w14:anchorId="1939B04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149DA38" w14:textId="77777777" w:rsidR="00AC35D7" w:rsidRDefault="00901315">
                    <w:pPr>
                      <w:pStyle w:val="StandaardReferentiegegevensKop"/>
                    </w:pPr>
                    <w:r>
                      <w:t>Ons kenmerk</w:t>
                    </w:r>
                  </w:p>
                  <w:p w14:paraId="794560D2" w14:textId="431BEE67" w:rsidR="00BC6F9D" w:rsidRDefault="00BC6F9D">
                    <w:pPr>
                      <w:pStyle w:val="StandaardReferentiegegevens"/>
                    </w:pPr>
                    <w:fldSimple w:instr=" DOCPROPERTY  &quot;Kenmerk&quot;  \* MERGEFORMAT ">
                      <w:r w:rsidR="0014329A">
                        <w:t>2025-0000620332</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82E4E6E" wp14:editId="63839312">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DA8944" w14:textId="77777777" w:rsidR="00BC6F9D" w:rsidRDefault="0014329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82E4E6E"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0DA8944" w14:textId="77777777" w:rsidR="00BC6F9D" w:rsidRDefault="0014329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9AE13D2" wp14:editId="363B49E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704A130" w14:textId="2195CBC6" w:rsidR="00BC6F9D" w:rsidRDefault="00BC6F9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9AE13D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704A130" w14:textId="2195CBC6" w:rsidR="00BC6F9D" w:rsidRDefault="00BC6F9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7386" w14:textId="77777777" w:rsidR="00AC35D7" w:rsidRDefault="00901315">
    <w:pPr>
      <w:spacing w:after="7029" w:line="14" w:lineRule="exact"/>
    </w:pPr>
    <w:r>
      <w:rPr>
        <w:noProof/>
      </w:rPr>
      <mc:AlternateContent>
        <mc:Choice Requires="wps">
          <w:drawing>
            <wp:anchor distT="0" distB="0" distL="0" distR="0" simplePos="0" relativeHeight="251655168" behindDoc="0" locked="1" layoutInCell="1" allowOverlap="1" wp14:anchorId="1B8F5BB2" wp14:editId="65BD6C4A">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57B74BF" w14:textId="77777777" w:rsidR="00AC35D7" w:rsidRDefault="00901315">
                          <w:pPr>
                            <w:spacing w:line="240" w:lineRule="auto"/>
                          </w:pPr>
                          <w:r>
                            <w:rPr>
                              <w:noProof/>
                            </w:rPr>
                            <w:drawing>
                              <wp:inline distT="0" distB="0" distL="0" distR="0" wp14:anchorId="42FF0ADD" wp14:editId="4D50A69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8F5BB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57B74BF" w14:textId="77777777" w:rsidR="00AC35D7" w:rsidRDefault="00901315">
                    <w:pPr>
                      <w:spacing w:line="240" w:lineRule="auto"/>
                    </w:pPr>
                    <w:r>
                      <w:rPr>
                        <w:noProof/>
                      </w:rPr>
                      <w:drawing>
                        <wp:inline distT="0" distB="0" distL="0" distR="0" wp14:anchorId="42FF0ADD" wp14:editId="4D50A69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2EF04EAA" wp14:editId="5406AC4B">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BCBF87D" w14:textId="77777777" w:rsidR="00901315" w:rsidRDefault="00901315"/>
                      </w:txbxContent>
                    </wps:txbx>
                    <wps:bodyPr vert="horz" wrap="square" lIns="0" tIns="0" rIns="0" bIns="0" anchor="t" anchorCtr="0"/>
                  </wps:wsp>
                </a:graphicData>
              </a:graphic>
            </wp:anchor>
          </w:drawing>
        </mc:Choice>
        <mc:Fallback>
          <w:pict>
            <v:shape w14:anchorId="2EF04EA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BCBF87D" w14:textId="77777777" w:rsidR="00901315" w:rsidRDefault="00901315"/>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F0C9F9A" wp14:editId="42538F11">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7D13794" w14:textId="77777777" w:rsidR="00AC35D7" w:rsidRDefault="00663064">
                          <w:pPr>
                            <w:pStyle w:val="StandaardReferentiegegevens"/>
                          </w:pPr>
                          <w:r w:rsidRPr="00663064">
                            <w:rPr>
                              <w:b/>
                              <w:bCs/>
                            </w:rPr>
                            <w:t>Directie Algemene Fiscale Politiek</w:t>
                          </w:r>
                          <w:r>
                            <w:br/>
                          </w:r>
                          <w:r w:rsidR="00901315">
                            <w:t>Korte Voorhout 7</w:t>
                          </w:r>
                        </w:p>
                        <w:p w14:paraId="704DEB60" w14:textId="77777777" w:rsidR="00AC35D7" w:rsidRDefault="00901315">
                          <w:pPr>
                            <w:pStyle w:val="StandaardReferentiegegevens"/>
                          </w:pPr>
                          <w:r>
                            <w:t>2511 CW  'S-GRAVENHAGE</w:t>
                          </w:r>
                        </w:p>
                        <w:p w14:paraId="784BAE11" w14:textId="77777777" w:rsidR="00AC35D7" w:rsidRDefault="00901315">
                          <w:pPr>
                            <w:pStyle w:val="StandaardReferentiegegevens"/>
                          </w:pPr>
                          <w:r>
                            <w:t>POSTBUS 20201</w:t>
                          </w:r>
                        </w:p>
                        <w:p w14:paraId="0A61CD79" w14:textId="77777777" w:rsidR="00AC35D7" w:rsidRPr="00A4670E" w:rsidRDefault="00901315">
                          <w:pPr>
                            <w:pStyle w:val="StandaardReferentiegegevens"/>
                          </w:pPr>
                          <w:r w:rsidRPr="00A4670E">
                            <w:t>2500 EE  'S-GRAVENHAGE</w:t>
                          </w:r>
                        </w:p>
                        <w:p w14:paraId="651441D8" w14:textId="77777777" w:rsidR="00AC35D7" w:rsidRPr="00A4670E" w:rsidRDefault="00901315">
                          <w:pPr>
                            <w:pStyle w:val="StandaardReferentiegegevens"/>
                          </w:pPr>
                          <w:proofErr w:type="gramStart"/>
                          <w:r w:rsidRPr="00A4670E">
                            <w:t>www.rijksoverheid.nl/fin</w:t>
                          </w:r>
                          <w:proofErr w:type="gramEnd"/>
                        </w:p>
                        <w:p w14:paraId="552EDFB9" w14:textId="77777777" w:rsidR="00AC35D7" w:rsidRPr="00A4670E" w:rsidRDefault="00AC35D7">
                          <w:pPr>
                            <w:pStyle w:val="WitregelW2"/>
                          </w:pPr>
                        </w:p>
                        <w:p w14:paraId="02499766" w14:textId="77777777" w:rsidR="00AC35D7" w:rsidRDefault="00901315">
                          <w:pPr>
                            <w:pStyle w:val="StandaardReferentiegegevensKop"/>
                          </w:pPr>
                          <w:r>
                            <w:t>Ons kenmerk</w:t>
                          </w:r>
                        </w:p>
                        <w:p w14:paraId="5C41D9B4" w14:textId="2EC88570" w:rsidR="00BC6F9D" w:rsidRDefault="00BC6F9D">
                          <w:pPr>
                            <w:pStyle w:val="StandaardReferentiegegevens"/>
                          </w:pPr>
                          <w:fldSimple w:instr=" DOCPROPERTY  &quot;Kenmerk&quot;  \* MERGEFORMAT ">
                            <w:r w:rsidR="0014329A">
                              <w:t>2025-0000620332</w:t>
                            </w:r>
                          </w:fldSimple>
                        </w:p>
                        <w:p w14:paraId="6549AA54" w14:textId="77777777" w:rsidR="00AC35D7" w:rsidRDefault="00AC35D7">
                          <w:pPr>
                            <w:pStyle w:val="WitregelW1"/>
                          </w:pPr>
                        </w:p>
                        <w:p w14:paraId="5618447C" w14:textId="77777777" w:rsidR="00AC35D7" w:rsidRDefault="00901315">
                          <w:pPr>
                            <w:pStyle w:val="StandaardReferentiegegevensKop"/>
                          </w:pPr>
                          <w:r>
                            <w:t>Uw brief (kenmerk)</w:t>
                          </w:r>
                        </w:p>
                        <w:p w14:paraId="7C083F6E" w14:textId="5DB3D9C0" w:rsidR="00BC6F9D" w:rsidRDefault="00BC6F9D">
                          <w:pPr>
                            <w:pStyle w:val="StandaardReferentiegegevens"/>
                          </w:pPr>
                          <w:r>
                            <w:fldChar w:fldCharType="begin"/>
                          </w:r>
                          <w:r>
                            <w:instrText xml:space="preserve"> DOCPROPERTY  "UwKenmerk"  \* MERGEFORMAT </w:instrText>
                          </w:r>
                          <w:r>
                            <w:fldChar w:fldCharType="end"/>
                          </w:r>
                        </w:p>
                        <w:p w14:paraId="63765EDD" w14:textId="77777777" w:rsidR="00AC35D7" w:rsidRDefault="00AC35D7">
                          <w:pPr>
                            <w:pStyle w:val="WitregelW1"/>
                          </w:pPr>
                        </w:p>
                        <w:p w14:paraId="4F222085" w14:textId="77777777" w:rsidR="00AC35D7" w:rsidRDefault="00901315">
                          <w:pPr>
                            <w:pStyle w:val="StandaardReferentiegegevensKop"/>
                          </w:pPr>
                          <w:r>
                            <w:t>Bijlagen</w:t>
                          </w:r>
                        </w:p>
                        <w:p w14:paraId="6B467F28" w14:textId="77777777" w:rsidR="00AC35D7" w:rsidRDefault="00901315">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1F0C9F9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7D13794" w14:textId="77777777" w:rsidR="00AC35D7" w:rsidRDefault="00663064">
                    <w:pPr>
                      <w:pStyle w:val="StandaardReferentiegegevens"/>
                    </w:pPr>
                    <w:r w:rsidRPr="00663064">
                      <w:rPr>
                        <w:b/>
                        <w:bCs/>
                      </w:rPr>
                      <w:t>Directie Algemene Fiscale Politiek</w:t>
                    </w:r>
                    <w:r>
                      <w:br/>
                    </w:r>
                    <w:r w:rsidR="00901315">
                      <w:t>Korte Voorhout 7</w:t>
                    </w:r>
                  </w:p>
                  <w:p w14:paraId="704DEB60" w14:textId="77777777" w:rsidR="00AC35D7" w:rsidRDefault="00901315">
                    <w:pPr>
                      <w:pStyle w:val="StandaardReferentiegegevens"/>
                    </w:pPr>
                    <w:r>
                      <w:t>2511 CW  'S-GRAVENHAGE</w:t>
                    </w:r>
                  </w:p>
                  <w:p w14:paraId="784BAE11" w14:textId="77777777" w:rsidR="00AC35D7" w:rsidRDefault="00901315">
                    <w:pPr>
                      <w:pStyle w:val="StandaardReferentiegegevens"/>
                    </w:pPr>
                    <w:r>
                      <w:t>POSTBUS 20201</w:t>
                    </w:r>
                  </w:p>
                  <w:p w14:paraId="0A61CD79" w14:textId="77777777" w:rsidR="00AC35D7" w:rsidRPr="00A4670E" w:rsidRDefault="00901315">
                    <w:pPr>
                      <w:pStyle w:val="StandaardReferentiegegevens"/>
                    </w:pPr>
                    <w:r w:rsidRPr="00A4670E">
                      <w:t>2500 EE  'S-GRAVENHAGE</w:t>
                    </w:r>
                  </w:p>
                  <w:p w14:paraId="651441D8" w14:textId="77777777" w:rsidR="00AC35D7" w:rsidRPr="00A4670E" w:rsidRDefault="00901315">
                    <w:pPr>
                      <w:pStyle w:val="StandaardReferentiegegevens"/>
                    </w:pPr>
                    <w:proofErr w:type="gramStart"/>
                    <w:r w:rsidRPr="00A4670E">
                      <w:t>www.rijksoverheid.nl/fin</w:t>
                    </w:r>
                    <w:proofErr w:type="gramEnd"/>
                  </w:p>
                  <w:p w14:paraId="552EDFB9" w14:textId="77777777" w:rsidR="00AC35D7" w:rsidRPr="00A4670E" w:rsidRDefault="00AC35D7">
                    <w:pPr>
                      <w:pStyle w:val="WitregelW2"/>
                    </w:pPr>
                  </w:p>
                  <w:p w14:paraId="02499766" w14:textId="77777777" w:rsidR="00AC35D7" w:rsidRDefault="00901315">
                    <w:pPr>
                      <w:pStyle w:val="StandaardReferentiegegevensKop"/>
                    </w:pPr>
                    <w:r>
                      <w:t>Ons kenmerk</w:t>
                    </w:r>
                  </w:p>
                  <w:p w14:paraId="5C41D9B4" w14:textId="2EC88570" w:rsidR="00BC6F9D" w:rsidRDefault="00BC6F9D">
                    <w:pPr>
                      <w:pStyle w:val="StandaardReferentiegegevens"/>
                    </w:pPr>
                    <w:fldSimple w:instr=" DOCPROPERTY  &quot;Kenmerk&quot;  \* MERGEFORMAT ">
                      <w:r w:rsidR="0014329A">
                        <w:t>2025-0000620332</w:t>
                      </w:r>
                    </w:fldSimple>
                  </w:p>
                  <w:p w14:paraId="6549AA54" w14:textId="77777777" w:rsidR="00AC35D7" w:rsidRDefault="00AC35D7">
                    <w:pPr>
                      <w:pStyle w:val="WitregelW1"/>
                    </w:pPr>
                  </w:p>
                  <w:p w14:paraId="5618447C" w14:textId="77777777" w:rsidR="00AC35D7" w:rsidRDefault="00901315">
                    <w:pPr>
                      <w:pStyle w:val="StandaardReferentiegegevensKop"/>
                    </w:pPr>
                    <w:r>
                      <w:t>Uw brief (kenmerk)</w:t>
                    </w:r>
                  </w:p>
                  <w:p w14:paraId="7C083F6E" w14:textId="5DB3D9C0" w:rsidR="00BC6F9D" w:rsidRDefault="00BC6F9D">
                    <w:pPr>
                      <w:pStyle w:val="StandaardReferentiegegevens"/>
                    </w:pPr>
                    <w:r>
                      <w:fldChar w:fldCharType="begin"/>
                    </w:r>
                    <w:r>
                      <w:instrText xml:space="preserve"> DOCPROPERTY  "UwKenmerk"  \* MERGEFORMAT </w:instrText>
                    </w:r>
                    <w:r>
                      <w:fldChar w:fldCharType="end"/>
                    </w:r>
                  </w:p>
                  <w:p w14:paraId="63765EDD" w14:textId="77777777" w:rsidR="00AC35D7" w:rsidRDefault="00AC35D7">
                    <w:pPr>
                      <w:pStyle w:val="WitregelW1"/>
                    </w:pPr>
                  </w:p>
                  <w:p w14:paraId="4F222085" w14:textId="77777777" w:rsidR="00AC35D7" w:rsidRDefault="00901315">
                    <w:pPr>
                      <w:pStyle w:val="StandaardReferentiegegevensKop"/>
                    </w:pPr>
                    <w:r>
                      <w:t>Bijlagen</w:t>
                    </w:r>
                  </w:p>
                  <w:p w14:paraId="6B467F28" w14:textId="77777777" w:rsidR="00AC35D7" w:rsidRDefault="00901315">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AA45AE4" wp14:editId="2E3F9CE5">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74AD8CA" w14:textId="77777777" w:rsidR="00AC35D7" w:rsidRDefault="0090131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AA45AE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74AD8CA" w14:textId="77777777" w:rsidR="00AC35D7" w:rsidRDefault="00901315">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972BC48" wp14:editId="21ADEDC0">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2E01F87" w14:textId="57B58034" w:rsidR="00BC6F9D" w:rsidRDefault="00BC6F9D">
                          <w:pPr>
                            <w:pStyle w:val="Rubricering"/>
                          </w:pPr>
                          <w:r>
                            <w:fldChar w:fldCharType="begin"/>
                          </w:r>
                          <w:r>
                            <w:instrText xml:space="preserve"> DOCPROPERTY  "Rubricering"  \* MERGEFORMAT </w:instrText>
                          </w:r>
                          <w:r>
                            <w:fldChar w:fldCharType="end"/>
                          </w:r>
                        </w:p>
                        <w:p w14:paraId="5EABAF7C" w14:textId="77777777" w:rsidR="0014329A" w:rsidRDefault="00901315">
                          <w:r>
                            <w:fldChar w:fldCharType="begin"/>
                          </w:r>
                          <w:r>
                            <w:instrText xml:space="preserve"> DOCPROPERTY  "Aan"  \* MERGEFORMAT </w:instrText>
                          </w:r>
                          <w:r>
                            <w:fldChar w:fldCharType="separate"/>
                          </w:r>
                          <w:r w:rsidR="0014329A">
                            <w:t>Voorzitter van de Tweede Kamer der Staten-Generaal</w:t>
                          </w:r>
                        </w:p>
                        <w:p w14:paraId="4723A52B" w14:textId="77777777" w:rsidR="0014329A" w:rsidRDefault="0014329A">
                          <w:r>
                            <w:t>Postbus 20018</w:t>
                          </w:r>
                        </w:p>
                        <w:p w14:paraId="174F32AD" w14:textId="77777777" w:rsidR="0014329A" w:rsidRDefault="0014329A">
                          <w:r>
                            <w:t>2500 EA  DEN HAAG</w:t>
                          </w:r>
                        </w:p>
                        <w:p w14:paraId="49DF4275" w14:textId="77777777" w:rsidR="0014329A" w:rsidRDefault="0014329A"/>
                        <w:p w14:paraId="28B4D315" w14:textId="77777777" w:rsidR="00AC35D7" w:rsidRDefault="00901315">
                          <w:r>
                            <w:fldChar w:fldCharType="end"/>
                          </w:r>
                        </w:p>
                      </w:txbxContent>
                    </wps:txbx>
                    <wps:bodyPr vert="horz" wrap="square" lIns="0" tIns="0" rIns="0" bIns="0" anchor="t" anchorCtr="0"/>
                  </wps:wsp>
                </a:graphicData>
              </a:graphic>
            </wp:anchor>
          </w:drawing>
        </mc:Choice>
        <mc:Fallback>
          <w:pict>
            <v:shape w14:anchorId="5972BC4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2E01F87" w14:textId="57B58034" w:rsidR="00BC6F9D" w:rsidRDefault="00BC6F9D">
                    <w:pPr>
                      <w:pStyle w:val="Rubricering"/>
                    </w:pPr>
                    <w:r>
                      <w:fldChar w:fldCharType="begin"/>
                    </w:r>
                    <w:r>
                      <w:instrText xml:space="preserve"> DOCPROPERTY  "Rubricering"  \* MERGEFORMAT </w:instrText>
                    </w:r>
                    <w:r>
                      <w:fldChar w:fldCharType="end"/>
                    </w:r>
                  </w:p>
                  <w:p w14:paraId="5EABAF7C" w14:textId="77777777" w:rsidR="0014329A" w:rsidRDefault="00901315">
                    <w:r>
                      <w:fldChar w:fldCharType="begin"/>
                    </w:r>
                    <w:r>
                      <w:instrText xml:space="preserve"> DOCPROPERTY  "Aan"  \* MERGEFORMAT </w:instrText>
                    </w:r>
                    <w:r>
                      <w:fldChar w:fldCharType="separate"/>
                    </w:r>
                    <w:r w:rsidR="0014329A">
                      <w:t>Voorzitter van de Tweede Kamer der Staten-Generaal</w:t>
                    </w:r>
                  </w:p>
                  <w:p w14:paraId="4723A52B" w14:textId="77777777" w:rsidR="0014329A" w:rsidRDefault="0014329A">
                    <w:r>
                      <w:t>Postbus 20018</w:t>
                    </w:r>
                  </w:p>
                  <w:p w14:paraId="174F32AD" w14:textId="77777777" w:rsidR="0014329A" w:rsidRDefault="0014329A">
                    <w:r>
                      <w:t>2500 EA  DEN HAAG</w:t>
                    </w:r>
                  </w:p>
                  <w:p w14:paraId="49DF4275" w14:textId="77777777" w:rsidR="0014329A" w:rsidRDefault="0014329A"/>
                  <w:p w14:paraId="28B4D315" w14:textId="77777777" w:rsidR="00AC35D7" w:rsidRDefault="00901315">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8869F31" wp14:editId="4F95D65E">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1416A03" w14:textId="77777777" w:rsidR="00BC6F9D" w:rsidRDefault="0014329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8869F3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1416A03" w14:textId="77777777" w:rsidR="00BC6F9D" w:rsidRDefault="0014329A">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424DBD7F" wp14:editId="3B6B99D0">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C35D7" w14:paraId="0CE666D8" w14:textId="77777777">
                            <w:trPr>
                              <w:trHeight w:val="200"/>
                            </w:trPr>
                            <w:tc>
                              <w:tcPr>
                                <w:tcW w:w="1140" w:type="dxa"/>
                              </w:tcPr>
                              <w:p w14:paraId="718484D3" w14:textId="77777777" w:rsidR="00AC35D7" w:rsidRDefault="00AC35D7"/>
                            </w:tc>
                            <w:tc>
                              <w:tcPr>
                                <w:tcW w:w="5400" w:type="dxa"/>
                              </w:tcPr>
                              <w:p w14:paraId="03E8969B" w14:textId="77777777" w:rsidR="00AC35D7" w:rsidRDefault="00AC35D7"/>
                            </w:tc>
                          </w:tr>
                          <w:tr w:rsidR="00AC35D7" w14:paraId="03E0B139" w14:textId="77777777">
                            <w:trPr>
                              <w:trHeight w:val="240"/>
                            </w:trPr>
                            <w:tc>
                              <w:tcPr>
                                <w:tcW w:w="1140" w:type="dxa"/>
                              </w:tcPr>
                              <w:p w14:paraId="7E041839" w14:textId="77777777" w:rsidR="00AC35D7" w:rsidRDefault="00901315">
                                <w:r>
                                  <w:t>Datum</w:t>
                                </w:r>
                              </w:p>
                            </w:tc>
                            <w:tc>
                              <w:tcPr>
                                <w:tcW w:w="5400" w:type="dxa"/>
                              </w:tcPr>
                              <w:p w14:paraId="7E2245E7" w14:textId="3ED3B1C4" w:rsidR="00AC35D7" w:rsidRDefault="0014329A">
                                <w:r>
                                  <w:t>5 januari 2026</w:t>
                                </w:r>
                              </w:p>
                            </w:tc>
                          </w:tr>
                          <w:tr w:rsidR="00AC35D7" w14:paraId="078D0EC7" w14:textId="77777777">
                            <w:trPr>
                              <w:trHeight w:val="240"/>
                            </w:trPr>
                            <w:tc>
                              <w:tcPr>
                                <w:tcW w:w="1140" w:type="dxa"/>
                              </w:tcPr>
                              <w:p w14:paraId="5DFB8663" w14:textId="77777777" w:rsidR="00AC35D7" w:rsidRDefault="00901315">
                                <w:r>
                                  <w:t>Betreft</w:t>
                                </w:r>
                              </w:p>
                            </w:tc>
                            <w:tc>
                              <w:tcPr>
                                <w:tcW w:w="5400" w:type="dxa"/>
                              </w:tcPr>
                              <w:p w14:paraId="155F6407" w14:textId="0B46DB8A" w:rsidR="00BC6F9D" w:rsidRDefault="0014329A">
                                <w:r>
                                  <w:fldChar w:fldCharType="begin"/>
                                </w:r>
                                <w:r>
                                  <w:instrText xml:space="preserve"> DOCPROPERTY  "Onderwerp"  \* MERGEFORMAT </w:instrText>
                                </w:r>
                                <w:r>
                                  <w:fldChar w:fldCharType="separate"/>
                                </w:r>
                                <w:r>
                                  <w:t>Side-</w:t>
                                </w:r>
                                <w:proofErr w:type="spellStart"/>
                                <w:r>
                                  <w:t>by</w:t>
                                </w:r>
                                <w:proofErr w:type="spellEnd"/>
                                <w:r>
                                  <w:t>-Side-pakket wereldwijde minimumbelasting (Pijler 2)</w:t>
                                </w:r>
                                <w:r>
                                  <w:fldChar w:fldCharType="end"/>
                                </w:r>
                              </w:p>
                            </w:tc>
                          </w:tr>
                          <w:tr w:rsidR="00AC35D7" w14:paraId="08D39982" w14:textId="77777777">
                            <w:trPr>
                              <w:trHeight w:val="200"/>
                            </w:trPr>
                            <w:tc>
                              <w:tcPr>
                                <w:tcW w:w="1140" w:type="dxa"/>
                              </w:tcPr>
                              <w:p w14:paraId="497C9E8A" w14:textId="77777777" w:rsidR="00AC35D7" w:rsidRDefault="00AC35D7"/>
                            </w:tc>
                            <w:tc>
                              <w:tcPr>
                                <w:tcW w:w="4738" w:type="dxa"/>
                              </w:tcPr>
                              <w:p w14:paraId="4CDB0174" w14:textId="77777777" w:rsidR="00AC35D7" w:rsidRDefault="00AC35D7"/>
                            </w:tc>
                          </w:tr>
                        </w:tbl>
                        <w:p w14:paraId="38B4C5F3" w14:textId="77777777" w:rsidR="00901315" w:rsidRDefault="00901315"/>
                      </w:txbxContent>
                    </wps:txbx>
                    <wps:bodyPr vert="horz" wrap="square" lIns="0" tIns="0" rIns="0" bIns="0" anchor="t" anchorCtr="0"/>
                  </wps:wsp>
                </a:graphicData>
              </a:graphic>
            </wp:anchor>
          </w:drawing>
        </mc:Choice>
        <mc:Fallback>
          <w:pict>
            <v:shape w14:anchorId="424DBD7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C35D7" w14:paraId="0CE666D8" w14:textId="77777777">
                      <w:trPr>
                        <w:trHeight w:val="200"/>
                      </w:trPr>
                      <w:tc>
                        <w:tcPr>
                          <w:tcW w:w="1140" w:type="dxa"/>
                        </w:tcPr>
                        <w:p w14:paraId="718484D3" w14:textId="77777777" w:rsidR="00AC35D7" w:rsidRDefault="00AC35D7"/>
                      </w:tc>
                      <w:tc>
                        <w:tcPr>
                          <w:tcW w:w="5400" w:type="dxa"/>
                        </w:tcPr>
                        <w:p w14:paraId="03E8969B" w14:textId="77777777" w:rsidR="00AC35D7" w:rsidRDefault="00AC35D7"/>
                      </w:tc>
                    </w:tr>
                    <w:tr w:rsidR="00AC35D7" w14:paraId="03E0B139" w14:textId="77777777">
                      <w:trPr>
                        <w:trHeight w:val="240"/>
                      </w:trPr>
                      <w:tc>
                        <w:tcPr>
                          <w:tcW w:w="1140" w:type="dxa"/>
                        </w:tcPr>
                        <w:p w14:paraId="7E041839" w14:textId="77777777" w:rsidR="00AC35D7" w:rsidRDefault="00901315">
                          <w:r>
                            <w:t>Datum</w:t>
                          </w:r>
                        </w:p>
                      </w:tc>
                      <w:tc>
                        <w:tcPr>
                          <w:tcW w:w="5400" w:type="dxa"/>
                        </w:tcPr>
                        <w:p w14:paraId="7E2245E7" w14:textId="3ED3B1C4" w:rsidR="00AC35D7" w:rsidRDefault="0014329A">
                          <w:r>
                            <w:t>5 januari 2026</w:t>
                          </w:r>
                        </w:p>
                      </w:tc>
                    </w:tr>
                    <w:tr w:rsidR="00AC35D7" w14:paraId="078D0EC7" w14:textId="77777777">
                      <w:trPr>
                        <w:trHeight w:val="240"/>
                      </w:trPr>
                      <w:tc>
                        <w:tcPr>
                          <w:tcW w:w="1140" w:type="dxa"/>
                        </w:tcPr>
                        <w:p w14:paraId="5DFB8663" w14:textId="77777777" w:rsidR="00AC35D7" w:rsidRDefault="00901315">
                          <w:r>
                            <w:t>Betreft</w:t>
                          </w:r>
                        </w:p>
                      </w:tc>
                      <w:tc>
                        <w:tcPr>
                          <w:tcW w:w="5400" w:type="dxa"/>
                        </w:tcPr>
                        <w:p w14:paraId="155F6407" w14:textId="0B46DB8A" w:rsidR="00BC6F9D" w:rsidRDefault="0014329A">
                          <w:r>
                            <w:fldChar w:fldCharType="begin"/>
                          </w:r>
                          <w:r>
                            <w:instrText xml:space="preserve"> DOCPROPERTY  "Onderwerp"  \* MERGEFORMAT </w:instrText>
                          </w:r>
                          <w:r>
                            <w:fldChar w:fldCharType="separate"/>
                          </w:r>
                          <w:r>
                            <w:t>Side-</w:t>
                          </w:r>
                          <w:proofErr w:type="spellStart"/>
                          <w:r>
                            <w:t>by</w:t>
                          </w:r>
                          <w:proofErr w:type="spellEnd"/>
                          <w:r>
                            <w:t>-Side-pakket wereldwijde minimumbelasting (Pijler 2)</w:t>
                          </w:r>
                          <w:r>
                            <w:fldChar w:fldCharType="end"/>
                          </w:r>
                        </w:p>
                      </w:tc>
                    </w:tr>
                    <w:tr w:rsidR="00AC35D7" w14:paraId="08D39982" w14:textId="77777777">
                      <w:trPr>
                        <w:trHeight w:val="200"/>
                      </w:trPr>
                      <w:tc>
                        <w:tcPr>
                          <w:tcW w:w="1140" w:type="dxa"/>
                        </w:tcPr>
                        <w:p w14:paraId="497C9E8A" w14:textId="77777777" w:rsidR="00AC35D7" w:rsidRDefault="00AC35D7"/>
                      </w:tc>
                      <w:tc>
                        <w:tcPr>
                          <w:tcW w:w="4738" w:type="dxa"/>
                        </w:tcPr>
                        <w:p w14:paraId="4CDB0174" w14:textId="77777777" w:rsidR="00AC35D7" w:rsidRDefault="00AC35D7"/>
                      </w:tc>
                    </w:tr>
                  </w:tbl>
                  <w:p w14:paraId="38B4C5F3" w14:textId="77777777" w:rsidR="00901315" w:rsidRDefault="0090131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9F890E3" wp14:editId="3FDB238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3CA81EC" w14:textId="3860EEA9" w:rsidR="00BC6F9D" w:rsidRDefault="00BC6F9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9F890E3"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3CA81EC" w14:textId="3860EEA9" w:rsidR="00BC6F9D" w:rsidRDefault="00BC6F9D">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4EE4AA1" wp14:editId="54B1EDDC">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DFEBDB9" w14:textId="77777777" w:rsidR="00901315" w:rsidRDefault="00901315"/>
                      </w:txbxContent>
                    </wps:txbx>
                    <wps:bodyPr vert="horz" wrap="square" lIns="0" tIns="0" rIns="0" bIns="0" anchor="t" anchorCtr="0"/>
                  </wps:wsp>
                </a:graphicData>
              </a:graphic>
            </wp:anchor>
          </w:drawing>
        </mc:Choice>
        <mc:Fallback>
          <w:pict>
            <v:shape w14:anchorId="54EE4AA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DFEBDB9" w14:textId="77777777" w:rsidR="00901315" w:rsidRDefault="0090131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FB37C0"/>
    <w:multiLevelType w:val="multilevel"/>
    <w:tmpl w:val="2B1887D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680D16"/>
    <w:multiLevelType w:val="multilevel"/>
    <w:tmpl w:val="72CCA4D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225EEAD"/>
    <w:multiLevelType w:val="multilevel"/>
    <w:tmpl w:val="B7BD10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15A4C81"/>
    <w:multiLevelType w:val="hybridMultilevel"/>
    <w:tmpl w:val="6332EBC0"/>
    <w:lvl w:ilvl="0" w:tplc="2AFEBD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264CB9"/>
    <w:multiLevelType w:val="hybridMultilevel"/>
    <w:tmpl w:val="699047F6"/>
    <w:lvl w:ilvl="0" w:tplc="2228C134">
      <w:start w:val="1"/>
      <w:numFmt w:val="decimal"/>
      <w:lvlText w:val="%1."/>
      <w:lvlJc w:val="left"/>
      <w:pPr>
        <w:ind w:left="1140" w:hanging="720"/>
      </w:pPr>
      <w:rPr>
        <w:rFonts w:ascii="Verdana" w:eastAsiaTheme="minorHAnsi" w:hAnsi="Verdana" w:cstheme="minorBidi"/>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5" w15:restartNumberingAfterBreak="0">
    <w:nsid w:val="2B05154B"/>
    <w:multiLevelType w:val="multilevel"/>
    <w:tmpl w:val="35927FE2"/>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D264EE7"/>
    <w:multiLevelType w:val="hybridMultilevel"/>
    <w:tmpl w:val="BFF22214"/>
    <w:lvl w:ilvl="0" w:tplc="33ACA438">
      <w:start w:val="1"/>
      <w:numFmt w:val="bullet"/>
      <w:pStyle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FA506D2"/>
    <w:multiLevelType w:val="hybridMultilevel"/>
    <w:tmpl w:val="ACB8875E"/>
    <w:lvl w:ilvl="0" w:tplc="2DAED8B2">
      <w:start w:val="1"/>
      <w:numFmt w:val="decimal"/>
      <w:lvlText w:val="%1."/>
      <w:lvlJc w:val="left"/>
      <w:pPr>
        <w:ind w:left="705" w:hanging="705"/>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9D61021"/>
    <w:multiLevelType w:val="hybridMultilevel"/>
    <w:tmpl w:val="004E0E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566C20"/>
    <w:multiLevelType w:val="multilevel"/>
    <w:tmpl w:val="6BAEBB0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B13926"/>
    <w:multiLevelType w:val="hybridMultilevel"/>
    <w:tmpl w:val="63E26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AC9C275"/>
    <w:multiLevelType w:val="multilevel"/>
    <w:tmpl w:val="5D126A0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D52FF1"/>
    <w:multiLevelType w:val="hybridMultilevel"/>
    <w:tmpl w:val="D9124714"/>
    <w:lvl w:ilvl="0" w:tplc="51CC7DD0">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F7812DB"/>
    <w:multiLevelType w:val="multilevel"/>
    <w:tmpl w:val="07162C3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9435087"/>
    <w:multiLevelType w:val="hybridMultilevel"/>
    <w:tmpl w:val="5E2C41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FB40E81"/>
    <w:multiLevelType w:val="multilevel"/>
    <w:tmpl w:val="21E248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698047697">
    <w:abstractNumId w:val="9"/>
  </w:num>
  <w:num w:numId="2" w16cid:durableId="1929774932">
    <w:abstractNumId w:val="11"/>
  </w:num>
  <w:num w:numId="3" w16cid:durableId="558981942">
    <w:abstractNumId w:val="15"/>
  </w:num>
  <w:num w:numId="4" w16cid:durableId="745030991">
    <w:abstractNumId w:val="2"/>
  </w:num>
  <w:num w:numId="5" w16cid:durableId="450243080">
    <w:abstractNumId w:val="1"/>
  </w:num>
  <w:num w:numId="6" w16cid:durableId="1770420884">
    <w:abstractNumId w:val="0"/>
  </w:num>
  <w:num w:numId="7" w16cid:durableId="506091549">
    <w:abstractNumId w:val="7"/>
  </w:num>
  <w:num w:numId="8" w16cid:durableId="814834920">
    <w:abstractNumId w:val="13"/>
  </w:num>
  <w:num w:numId="9" w16cid:durableId="486243004">
    <w:abstractNumId w:val="10"/>
  </w:num>
  <w:num w:numId="10" w16cid:durableId="561059702">
    <w:abstractNumId w:val="6"/>
  </w:num>
  <w:num w:numId="11" w16cid:durableId="968970479">
    <w:abstractNumId w:val="8"/>
  </w:num>
  <w:num w:numId="12" w16cid:durableId="1211923554">
    <w:abstractNumId w:val="3"/>
  </w:num>
  <w:num w:numId="13" w16cid:durableId="1528954898">
    <w:abstractNumId w:val="12"/>
  </w:num>
  <w:num w:numId="14" w16cid:durableId="1197892342">
    <w:abstractNumId w:val="4"/>
  </w:num>
  <w:num w:numId="15" w16cid:durableId="1895850391">
    <w:abstractNumId w:val="14"/>
  </w:num>
  <w:num w:numId="16" w16cid:durableId="791902132">
    <w:abstractNumId w:val="5"/>
  </w:num>
  <w:num w:numId="17" w16cid:durableId="263879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64"/>
    <w:rsid w:val="000206F7"/>
    <w:rsid w:val="0003735D"/>
    <w:rsid w:val="00040758"/>
    <w:rsid w:val="00047EB3"/>
    <w:rsid w:val="0005016E"/>
    <w:rsid w:val="00071028"/>
    <w:rsid w:val="00072642"/>
    <w:rsid w:val="000775C9"/>
    <w:rsid w:val="000A14F7"/>
    <w:rsid w:val="000C742B"/>
    <w:rsid w:val="000D3E61"/>
    <w:rsid w:val="000F3662"/>
    <w:rsid w:val="000F6A6E"/>
    <w:rsid w:val="00104779"/>
    <w:rsid w:val="00110EB4"/>
    <w:rsid w:val="00122473"/>
    <w:rsid w:val="0014329A"/>
    <w:rsid w:val="0014610B"/>
    <w:rsid w:val="00146D0D"/>
    <w:rsid w:val="00160846"/>
    <w:rsid w:val="00171ACE"/>
    <w:rsid w:val="00180993"/>
    <w:rsid w:val="001838EA"/>
    <w:rsid w:val="001A16AC"/>
    <w:rsid w:val="001B3BA0"/>
    <w:rsid w:val="001B4E3B"/>
    <w:rsid w:val="001B60ED"/>
    <w:rsid w:val="001C4939"/>
    <w:rsid w:val="001E5B31"/>
    <w:rsid w:val="001E61C3"/>
    <w:rsid w:val="001E7868"/>
    <w:rsid w:val="00202B06"/>
    <w:rsid w:val="00206876"/>
    <w:rsid w:val="002116FC"/>
    <w:rsid w:val="00222AAC"/>
    <w:rsid w:val="00223794"/>
    <w:rsid w:val="0023737E"/>
    <w:rsid w:val="00245CB0"/>
    <w:rsid w:val="002548BA"/>
    <w:rsid w:val="00254CEB"/>
    <w:rsid w:val="0025706D"/>
    <w:rsid w:val="002650BB"/>
    <w:rsid w:val="00277FB2"/>
    <w:rsid w:val="00281431"/>
    <w:rsid w:val="00285065"/>
    <w:rsid w:val="00286D49"/>
    <w:rsid w:val="002A0395"/>
    <w:rsid w:val="002B2346"/>
    <w:rsid w:val="002C47AF"/>
    <w:rsid w:val="002C4AE4"/>
    <w:rsid w:val="002D37B5"/>
    <w:rsid w:val="002E540A"/>
    <w:rsid w:val="002E5A87"/>
    <w:rsid w:val="002E6442"/>
    <w:rsid w:val="00304746"/>
    <w:rsid w:val="003048D9"/>
    <w:rsid w:val="003050DC"/>
    <w:rsid w:val="0032374D"/>
    <w:rsid w:val="0032728D"/>
    <w:rsid w:val="00333462"/>
    <w:rsid w:val="0033680F"/>
    <w:rsid w:val="00336A5C"/>
    <w:rsid w:val="00367D5A"/>
    <w:rsid w:val="00383870"/>
    <w:rsid w:val="0038639C"/>
    <w:rsid w:val="00390CAD"/>
    <w:rsid w:val="003966D9"/>
    <w:rsid w:val="00396C84"/>
    <w:rsid w:val="003A5A67"/>
    <w:rsid w:val="003B39CB"/>
    <w:rsid w:val="003B5C2E"/>
    <w:rsid w:val="003C2D75"/>
    <w:rsid w:val="003D1A89"/>
    <w:rsid w:val="003D3D1F"/>
    <w:rsid w:val="003F45E1"/>
    <w:rsid w:val="00402933"/>
    <w:rsid w:val="00403614"/>
    <w:rsid w:val="00405DAE"/>
    <w:rsid w:val="0043676C"/>
    <w:rsid w:val="00436798"/>
    <w:rsid w:val="004369D5"/>
    <w:rsid w:val="00436EB8"/>
    <w:rsid w:val="004506D8"/>
    <w:rsid w:val="00452374"/>
    <w:rsid w:val="00477C9F"/>
    <w:rsid w:val="00481540"/>
    <w:rsid w:val="004B3052"/>
    <w:rsid w:val="004D53FE"/>
    <w:rsid w:val="004D5F48"/>
    <w:rsid w:val="004E3A5F"/>
    <w:rsid w:val="004F2E7B"/>
    <w:rsid w:val="00503ACE"/>
    <w:rsid w:val="00514C33"/>
    <w:rsid w:val="00516D07"/>
    <w:rsid w:val="00525987"/>
    <w:rsid w:val="00534C35"/>
    <w:rsid w:val="005411C5"/>
    <w:rsid w:val="005454F1"/>
    <w:rsid w:val="0055197A"/>
    <w:rsid w:val="00554C2E"/>
    <w:rsid w:val="00561ECD"/>
    <w:rsid w:val="00563055"/>
    <w:rsid w:val="00566CBE"/>
    <w:rsid w:val="00566E02"/>
    <w:rsid w:val="00572C0E"/>
    <w:rsid w:val="00582D88"/>
    <w:rsid w:val="005851AB"/>
    <w:rsid w:val="00597116"/>
    <w:rsid w:val="00597F47"/>
    <w:rsid w:val="005A4DBF"/>
    <w:rsid w:val="005C235E"/>
    <w:rsid w:val="005C505C"/>
    <w:rsid w:val="005C5B0B"/>
    <w:rsid w:val="005D0D00"/>
    <w:rsid w:val="005E1276"/>
    <w:rsid w:val="005F60D3"/>
    <w:rsid w:val="006026EB"/>
    <w:rsid w:val="00623109"/>
    <w:rsid w:val="00634457"/>
    <w:rsid w:val="00641DB9"/>
    <w:rsid w:val="006525B8"/>
    <w:rsid w:val="00663064"/>
    <w:rsid w:val="0067195B"/>
    <w:rsid w:val="00675BEA"/>
    <w:rsid w:val="00682DCE"/>
    <w:rsid w:val="00683CD5"/>
    <w:rsid w:val="0068404F"/>
    <w:rsid w:val="00686610"/>
    <w:rsid w:val="00694527"/>
    <w:rsid w:val="006A4E9B"/>
    <w:rsid w:val="006A60F4"/>
    <w:rsid w:val="006A6282"/>
    <w:rsid w:val="006C6E23"/>
    <w:rsid w:val="006C740B"/>
    <w:rsid w:val="006E16AB"/>
    <w:rsid w:val="006F4156"/>
    <w:rsid w:val="00700D89"/>
    <w:rsid w:val="00703ECE"/>
    <w:rsid w:val="00706A66"/>
    <w:rsid w:val="00706C18"/>
    <w:rsid w:val="00711ADE"/>
    <w:rsid w:val="0071699F"/>
    <w:rsid w:val="00723461"/>
    <w:rsid w:val="00731884"/>
    <w:rsid w:val="00735AB4"/>
    <w:rsid w:val="0073741D"/>
    <w:rsid w:val="00745D84"/>
    <w:rsid w:val="00760664"/>
    <w:rsid w:val="00793455"/>
    <w:rsid w:val="007A586E"/>
    <w:rsid w:val="007A5CEA"/>
    <w:rsid w:val="007A7253"/>
    <w:rsid w:val="007B3D8B"/>
    <w:rsid w:val="007B585A"/>
    <w:rsid w:val="007B6B6B"/>
    <w:rsid w:val="007C0B7C"/>
    <w:rsid w:val="007C0F4F"/>
    <w:rsid w:val="007C5E13"/>
    <w:rsid w:val="007D0115"/>
    <w:rsid w:val="007F4A37"/>
    <w:rsid w:val="00803A9C"/>
    <w:rsid w:val="00805DA5"/>
    <w:rsid w:val="0081381A"/>
    <w:rsid w:val="008212B5"/>
    <w:rsid w:val="00822D9D"/>
    <w:rsid w:val="008241A4"/>
    <w:rsid w:val="00831421"/>
    <w:rsid w:val="008318E9"/>
    <w:rsid w:val="00833025"/>
    <w:rsid w:val="00833989"/>
    <w:rsid w:val="00836937"/>
    <w:rsid w:val="00845C8D"/>
    <w:rsid w:val="0086328C"/>
    <w:rsid w:val="00867AF1"/>
    <w:rsid w:val="00867F01"/>
    <w:rsid w:val="00873ABA"/>
    <w:rsid w:val="008773FC"/>
    <w:rsid w:val="00890C94"/>
    <w:rsid w:val="008924EF"/>
    <w:rsid w:val="008952AF"/>
    <w:rsid w:val="008C18F3"/>
    <w:rsid w:val="008F5981"/>
    <w:rsid w:val="00901315"/>
    <w:rsid w:val="00902C36"/>
    <w:rsid w:val="009053AA"/>
    <w:rsid w:val="00907251"/>
    <w:rsid w:val="00910D14"/>
    <w:rsid w:val="00910E40"/>
    <w:rsid w:val="00915439"/>
    <w:rsid w:val="009208F1"/>
    <w:rsid w:val="009212FF"/>
    <w:rsid w:val="00924282"/>
    <w:rsid w:val="00931F5F"/>
    <w:rsid w:val="00937948"/>
    <w:rsid w:val="009403AC"/>
    <w:rsid w:val="00944644"/>
    <w:rsid w:val="00952C3D"/>
    <w:rsid w:val="00976324"/>
    <w:rsid w:val="0097743E"/>
    <w:rsid w:val="00985A49"/>
    <w:rsid w:val="00995DC8"/>
    <w:rsid w:val="009A1FE1"/>
    <w:rsid w:val="009B1506"/>
    <w:rsid w:val="009B5215"/>
    <w:rsid w:val="009C1B68"/>
    <w:rsid w:val="009D239A"/>
    <w:rsid w:val="009D495C"/>
    <w:rsid w:val="009E4FE1"/>
    <w:rsid w:val="009F659F"/>
    <w:rsid w:val="009F7149"/>
    <w:rsid w:val="00A05209"/>
    <w:rsid w:val="00A058CB"/>
    <w:rsid w:val="00A10477"/>
    <w:rsid w:val="00A17142"/>
    <w:rsid w:val="00A218D8"/>
    <w:rsid w:val="00A34A1D"/>
    <w:rsid w:val="00A4473A"/>
    <w:rsid w:val="00A45446"/>
    <w:rsid w:val="00A4670E"/>
    <w:rsid w:val="00A47A61"/>
    <w:rsid w:val="00A54985"/>
    <w:rsid w:val="00A82A38"/>
    <w:rsid w:val="00A97C16"/>
    <w:rsid w:val="00AA7DC5"/>
    <w:rsid w:val="00AB0147"/>
    <w:rsid w:val="00AB2DCC"/>
    <w:rsid w:val="00AB33E4"/>
    <w:rsid w:val="00AC35D7"/>
    <w:rsid w:val="00AC6463"/>
    <w:rsid w:val="00AC68EE"/>
    <w:rsid w:val="00AD2A5E"/>
    <w:rsid w:val="00AE5A7A"/>
    <w:rsid w:val="00AF11A1"/>
    <w:rsid w:val="00AF16B9"/>
    <w:rsid w:val="00B01B00"/>
    <w:rsid w:val="00B03F81"/>
    <w:rsid w:val="00B21AE9"/>
    <w:rsid w:val="00B25BCF"/>
    <w:rsid w:val="00B605CF"/>
    <w:rsid w:val="00B84AAB"/>
    <w:rsid w:val="00BA23DE"/>
    <w:rsid w:val="00BA3BD0"/>
    <w:rsid w:val="00BB0774"/>
    <w:rsid w:val="00BB42C7"/>
    <w:rsid w:val="00BC6F9D"/>
    <w:rsid w:val="00BE450B"/>
    <w:rsid w:val="00BE54EA"/>
    <w:rsid w:val="00C005F9"/>
    <w:rsid w:val="00C019CA"/>
    <w:rsid w:val="00C02AC8"/>
    <w:rsid w:val="00C04A4C"/>
    <w:rsid w:val="00C05279"/>
    <w:rsid w:val="00C1063D"/>
    <w:rsid w:val="00C10751"/>
    <w:rsid w:val="00C12D0A"/>
    <w:rsid w:val="00C21709"/>
    <w:rsid w:val="00C21FA3"/>
    <w:rsid w:val="00C242D7"/>
    <w:rsid w:val="00C30718"/>
    <w:rsid w:val="00C3728D"/>
    <w:rsid w:val="00C56FDE"/>
    <w:rsid w:val="00C64383"/>
    <w:rsid w:val="00C70617"/>
    <w:rsid w:val="00C72F87"/>
    <w:rsid w:val="00C75418"/>
    <w:rsid w:val="00C82ACB"/>
    <w:rsid w:val="00C91D7D"/>
    <w:rsid w:val="00C931C3"/>
    <w:rsid w:val="00CB2D50"/>
    <w:rsid w:val="00CC3978"/>
    <w:rsid w:val="00CE63FE"/>
    <w:rsid w:val="00CF4D00"/>
    <w:rsid w:val="00D066EE"/>
    <w:rsid w:val="00D07475"/>
    <w:rsid w:val="00D1119A"/>
    <w:rsid w:val="00D15E6F"/>
    <w:rsid w:val="00D20E1E"/>
    <w:rsid w:val="00D3026F"/>
    <w:rsid w:val="00D37748"/>
    <w:rsid w:val="00D661C4"/>
    <w:rsid w:val="00D72040"/>
    <w:rsid w:val="00D7289A"/>
    <w:rsid w:val="00D770B8"/>
    <w:rsid w:val="00D83F6F"/>
    <w:rsid w:val="00D91DDB"/>
    <w:rsid w:val="00DA120A"/>
    <w:rsid w:val="00DA1945"/>
    <w:rsid w:val="00DB784A"/>
    <w:rsid w:val="00DC056C"/>
    <w:rsid w:val="00DD0495"/>
    <w:rsid w:val="00DD1E2C"/>
    <w:rsid w:val="00DD78D8"/>
    <w:rsid w:val="00DE375C"/>
    <w:rsid w:val="00DE3923"/>
    <w:rsid w:val="00DF2E10"/>
    <w:rsid w:val="00DF2EEA"/>
    <w:rsid w:val="00DF4E54"/>
    <w:rsid w:val="00E11A7F"/>
    <w:rsid w:val="00E14B84"/>
    <w:rsid w:val="00E1787A"/>
    <w:rsid w:val="00E17D53"/>
    <w:rsid w:val="00E225CC"/>
    <w:rsid w:val="00E240FF"/>
    <w:rsid w:val="00E46D95"/>
    <w:rsid w:val="00E5040E"/>
    <w:rsid w:val="00E532BC"/>
    <w:rsid w:val="00E64217"/>
    <w:rsid w:val="00E65530"/>
    <w:rsid w:val="00E67AB3"/>
    <w:rsid w:val="00E733B8"/>
    <w:rsid w:val="00E91E51"/>
    <w:rsid w:val="00E943C1"/>
    <w:rsid w:val="00E9448A"/>
    <w:rsid w:val="00EA4CE5"/>
    <w:rsid w:val="00EC2C8C"/>
    <w:rsid w:val="00EC2E7B"/>
    <w:rsid w:val="00EC3716"/>
    <w:rsid w:val="00ED1A07"/>
    <w:rsid w:val="00EF6921"/>
    <w:rsid w:val="00F179C3"/>
    <w:rsid w:val="00F22C20"/>
    <w:rsid w:val="00F379BD"/>
    <w:rsid w:val="00F448EE"/>
    <w:rsid w:val="00F457CA"/>
    <w:rsid w:val="00F471BD"/>
    <w:rsid w:val="00F5615D"/>
    <w:rsid w:val="00F56F6F"/>
    <w:rsid w:val="00F62C19"/>
    <w:rsid w:val="00F72148"/>
    <w:rsid w:val="00F75D54"/>
    <w:rsid w:val="00F866B0"/>
    <w:rsid w:val="00F90E7A"/>
    <w:rsid w:val="00F97F5B"/>
    <w:rsid w:val="00FA50EB"/>
    <w:rsid w:val="00FA6C8B"/>
    <w:rsid w:val="00FC26D3"/>
    <w:rsid w:val="00FC349D"/>
    <w:rsid w:val="00FC4BC3"/>
    <w:rsid w:val="00FD508C"/>
    <w:rsid w:val="00FF54DD"/>
    <w:rsid w:val="0F9E8E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FD9DA"/>
  <w15:docId w15:val="{95DD00B5-BE96-4B5C-ADD3-2EFDE165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66306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63064"/>
    <w:rPr>
      <w:rFonts w:ascii="Verdana" w:hAnsi="Verdana"/>
      <w:color w:val="000000"/>
      <w:sz w:val="18"/>
      <w:szCs w:val="18"/>
    </w:rPr>
  </w:style>
  <w:style w:type="paragraph" w:styleId="Voettekst">
    <w:name w:val="footer"/>
    <w:basedOn w:val="Standaard"/>
    <w:link w:val="VoettekstChar"/>
    <w:uiPriority w:val="99"/>
    <w:unhideWhenUsed/>
    <w:rsid w:val="0066306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63064"/>
    <w:rPr>
      <w:rFonts w:ascii="Verdana" w:hAnsi="Verdana"/>
      <w:color w:val="000000"/>
      <w:sz w:val="18"/>
      <w:szCs w:val="18"/>
    </w:rPr>
  </w:style>
  <w:style w:type="paragraph" w:styleId="Lijstalinea">
    <w:name w:val="List Paragraph"/>
    <w:basedOn w:val="Standaard"/>
    <w:uiPriority w:val="34"/>
    <w:qFormat/>
    <w:rsid w:val="00C64383"/>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Voetnoottekst">
    <w:name w:val="footnote text"/>
    <w:basedOn w:val="Standaard"/>
    <w:link w:val="VoetnoottekstChar"/>
    <w:uiPriority w:val="99"/>
    <w:semiHidden/>
    <w:unhideWhenUsed/>
    <w:rsid w:val="00C6438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C6438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C64383"/>
    <w:rPr>
      <w:vertAlign w:val="superscript"/>
    </w:rPr>
  </w:style>
  <w:style w:type="paragraph" w:customStyle="1" w:styleId="Bullet">
    <w:name w:val="Bullet"/>
    <w:basedOn w:val="Lijstalinea"/>
    <w:qFormat/>
    <w:rsid w:val="00C64383"/>
    <w:pPr>
      <w:numPr>
        <w:numId w:val="10"/>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Revisie">
    <w:name w:val="Revision"/>
    <w:hidden/>
    <w:uiPriority w:val="99"/>
    <w:semiHidden/>
    <w:rsid w:val="00A4670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F2E10"/>
    <w:rPr>
      <w:sz w:val="16"/>
      <w:szCs w:val="16"/>
    </w:rPr>
  </w:style>
  <w:style w:type="paragraph" w:styleId="Tekstopmerking">
    <w:name w:val="annotation text"/>
    <w:basedOn w:val="Standaard"/>
    <w:link w:val="TekstopmerkingChar"/>
    <w:uiPriority w:val="99"/>
    <w:unhideWhenUsed/>
    <w:rsid w:val="00DF2E10"/>
    <w:pPr>
      <w:spacing w:line="240" w:lineRule="auto"/>
    </w:pPr>
    <w:rPr>
      <w:sz w:val="20"/>
      <w:szCs w:val="20"/>
    </w:rPr>
  </w:style>
  <w:style w:type="character" w:customStyle="1" w:styleId="TekstopmerkingChar">
    <w:name w:val="Tekst opmerking Char"/>
    <w:basedOn w:val="Standaardalinea-lettertype"/>
    <w:link w:val="Tekstopmerking"/>
    <w:uiPriority w:val="99"/>
    <w:rsid w:val="00DF2E1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F2E10"/>
    <w:rPr>
      <w:b/>
      <w:bCs/>
    </w:rPr>
  </w:style>
  <w:style w:type="character" w:customStyle="1" w:styleId="OnderwerpvanopmerkingChar">
    <w:name w:val="Onderwerp van opmerking Char"/>
    <w:basedOn w:val="TekstopmerkingChar"/>
    <w:link w:val="Onderwerpvanopmerking"/>
    <w:uiPriority w:val="99"/>
    <w:semiHidden/>
    <w:rsid w:val="00DF2E10"/>
    <w:rPr>
      <w:rFonts w:ascii="Verdana" w:hAnsi="Verdana"/>
      <w:b/>
      <w:bCs/>
      <w:color w:val="000000"/>
    </w:rPr>
  </w:style>
  <w:style w:type="character" w:styleId="Onopgelostemelding">
    <w:name w:val="Unresolved Mention"/>
    <w:basedOn w:val="Standaardalinea-lettertype"/>
    <w:uiPriority w:val="99"/>
    <w:semiHidden/>
    <w:unhideWhenUsed/>
    <w:rsid w:val="00405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214019">
      <w:bodyDiv w:val="1"/>
      <w:marLeft w:val="0"/>
      <w:marRight w:val="0"/>
      <w:marTop w:val="0"/>
      <w:marBottom w:val="0"/>
      <w:divBdr>
        <w:top w:val="none" w:sz="0" w:space="0" w:color="auto"/>
        <w:left w:val="none" w:sz="0" w:space="0" w:color="auto"/>
        <w:bottom w:val="none" w:sz="0" w:space="0" w:color="auto"/>
        <w:right w:val="none" w:sz="0" w:space="0" w:color="auto"/>
      </w:divBdr>
    </w:div>
    <w:div w:id="2030065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content/dam/oecd/en/topics/policy-sub-issues/global-minimum-tax/side-by-side-packag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5004</ap:Words>
  <ap:Characters>27524</ap:Characters>
  <ap:DocSecurity>0</ap:DocSecurity>
  <ap:Lines>229</ap:Lines>
  <ap:Paragraphs>64</ap:Paragraphs>
  <ap:ScaleCrop>false</ap:ScaleCrop>
  <ap:HeadingPairs>
    <vt:vector baseType="variant" size="2">
      <vt:variant>
        <vt:lpstr>Titel</vt:lpstr>
      </vt:variant>
      <vt:variant>
        <vt:i4>1</vt:i4>
      </vt:variant>
    </vt:vector>
  </ap:HeadingPairs>
  <ap:TitlesOfParts>
    <vt:vector baseType="lpstr" size="1">
      <vt:lpstr>Brief aan Eerste of Tweede Kamer - Side-by-Side-pakket wereldwijde minimumbelasting (Pijler 2)</vt:lpstr>
    </vt:vector>
  </ap:TitlesOfParts>
  <ap:LinksUpToDate>false</ap:LinksUpToDate>
  <ap:CharactersWithSpaces>32464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2026-01-05T15:30:00.0000000Z</dcterms:created>
  <dcterms:modified xsi:type="dcterms:W3CDTF">2026-01-05T15:30:00.0000000Z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Side-by-Side-pakket wereldwijde minimumbelasting (Pijler 2)</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15 december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2025-0000620332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Side-by-Side-pakket wereldwijde minimumbelasting (Pijler 2)</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2025-12-15T12:27:22Z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4a0ec318-6bb8-434e-bb97-6ebfc5a910be</vt:lpwstr>
  </property>
  <property fmtid="{D5CDD505-2E9C-101B-9397-08002B2CF9AE}" pid="37" name="MSIP_Label_b2aa6e22-2c82-48c6-bf24-1790f4b9c128_ContentBits">
    <vt:lpwstr>0</vt:lpwstr>
  </property>
  <property fmtid="{D5CDD505-2E9C-101B-9397-08002B2CF9AE}" pid="38" name="MSIP_Label_b2aa6e22-2c82-48c6-bf24-1790f4b9c128_Tag">
    <vt:lpwstr>10, 3, 0, 1</vt:lpwstr>
  </property>
</Properties>
</file>