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13B8" w:rsidR="009C13B8" w:rsidP="000865B0" w:rsidRDefault="009C13B8" w14:paraId="33404B7D" w14:textId="77777777"/>
    <w:p w:rsidRPr="009C13B8" w:rsidR="009C13B8" w:rsidP="000865B0" w:rsidRDefault="009C13B8" w14:paraId="449CC770" w14:textId="77777777">
      <w:r w:rsidRPr="009C13B8">
        <w:t>Geachte Voorzitter,</w:t>
      </w:r>
    </w:p>
    <w:p w:rsidRPr="009C13B8" w:rsidR="009C13B8" w:rsidP="000865B0" w:rsidRDefault="009C13B8" w14:paraId="4D9BE309" w14:textId="77777777"/>
    <w:p w:rsidRPr="009C13B8" w:rsidR="009C13B8" w:rsidP="000865B0" w:rsidRDefault="009C13B8" w14:paraId="7061B7D1" w14:textId="18B96D33">
      <w:r w:rsidRPr="009C13B8">
        <w:t xml:space="preserve">De Subsidieregeling coöperatieve energieopwekking (hierna: SCE) is in 2025 opengesteld van 3 maart tot en met 1 oktober. Deze regeling is speciaal voor coöperaties en VvE’s die door middel van lokale zon-, wind- of waterkrachtprojecten willen bijdragen aan de energietransitie. Deze brief gaat </w:t>
      </w:r>
      <w:r>
        <w:t>eerst</w:t>
      </w:r>
      <w:r w:rsidRPr="009C13B8">
        <w:t xml:space="preserve"> in op de resultaten van de openstelling in 2025</w:t>
      </w:r>
      <w:r w:rsidR="004E38DC">
        <w:t xml:space="preserve">, dan </w:t>
      </w:r>
      <w:r>
        <w:t>op de</w:t>
      </w:r>
      <w:r w:rsidRPr="009C13B8">
        <w:t xml:space="preserve"> </w:t>
      </w:r>
      <w:r w:rsidR="00062F81">
        <w:t xml:space="preserve">aanstaande </w:t>
      </w:r>
      <w:r w:rsidRPr="009C13B8">
        <w:t>openstellingsronde van 2026</w:t>
      </w:r>
      <w:r w:rsidR="004E38DC">
        <w:t xml:space="preserve"> en vervolgens op overige ontwikkelingen</w:t>
      </w:r>
      <w:r w:rsidRPr="009C13B8">
        <w:t xml:space="preserve">. </w:t>
      </w:r>
      <w:r>
        <w:t xml:space="preserve">In de bijlage worden de wijzigingen voor de openstellingsronde van 2026 in meer detail toegelicht. </w:t>
      </w:r>
    </w:p>
    <w:p w:rsidRPr="009C13B8" w:rsidR="009C13B8" w:rsidP="000865B0" w:rsidRDefault="009C13B8" w14:paraId="6FD5CE2D" w14:textId="77777777"/>
    <w:p w:rsidRPr="009C13B8" w:rsidR="009C13B8" w:rsidP="000865B0" w:rsidRDefault="009C13B8" w14:paraId="78537AEC" w14:textId="77777777">
      <w:pPr>
        <w:rPr>
          <w:b/>
          <w:bCs/>
        </w:rPr>
      </w:pPr>
      <w:r w:rsidRPr="009C13B8">
        <w:rPr>
          <w:b/>
          <w:bCs/>
        </w:rPr>
        <w:t>Resultaten openstellingsronde 2025</w:t>
      </w:r>
    </w:p>
    <w:p w:rsidR="009C13B8" w:rsidP="000865B0" w:rsidRDefault="009C13B8" w14:paraId="54367BBC" w14:textId="60EC73FC">
      <w:r w:rsidRPr="009C13B8">
        <w:t>In 2025 was er 100 miljoen euro beschikbaar binnen de SCE. Er is in totaal voor 28,8 miljoen euro aan subsidie gevraagd, waarvan bijna 24,3 miljoen euro aan subsidiebeschikkingen is afgegeven. De Rijksdienst voor Ondernemend Nederland (hierna: RVO) heeft de beoordeling van aanvragen begin december afgerond. Het resultaat van de openstellingsronde is te zien in Tabel 1</w:t>
      </w:r>
      <w:r>
        <w:t>.</w:t>
      </w:r>
    </w:p>
    <w:p w:rsidRPr="009C13B8" w:rsidR="009C13B8" w:rsidP="000865B0" w:rsidRDefault="009C13B8" w14:paraId="0B3B57F5" w14:textId="77777777"/>
    <w:p w:rsidRPr="009C13B8" w:rsidR="009C13B8" w:rsidP="000865B0" w:rsidRDefault="009C13B8" w14:paraId="0E6A6EC6" w14:textId="59238086">
      <w:r w:rsidRPr="009C13B8">
        <w:t xml:space="preserve">Hoewel de budgetclaim in 2025 hoger is dan in de openstellingsronde van 2024, is een aanzienlijk deel van het budget onbenut gebleven. Er zijn verschillende factoren die dit verklaren. Zo zijn er steeds meer momenten met negatieve elektriciteitsprijzen, waardoor de business case van met name zon-PV verslechtert. Het aantal vollasturen en de basisbedragen voor 2025 zijn hierop aangepast zodat de impact van negatieve prijzen wordt beperkt. Ook is een jaar </w:t>
      </w:r>
      <w:r w:rsidR="00197538">
        <w:t>‘</w:t>
      </w:r>
      <w:r w:rsidRPr="009C13B8">
        <w:t>banking</w:t>
      </w:r>
      <w:r w:rsidR="00197538">
        <w:t>’</w:t>
      </w:r>
      <w:r w:rsidRPr="009C13B8">
        <w:t xml:space="preserve"> toegevoegd, een extra jaar waarin ongebruikte productie-uren uit eerdere jaren nog kunnen worden gedraaid en gesubsidieerd. Deze aanpassingen kunnen echter niet voorkomen dat in elk geval in de nabije jaren, waarin het aantal negatieve prijsuren naar verwachting nog hoog blijft, negatieve elektriciteitsprijzen een grote impact hebben op nieuwe en bestaande projecten. Ook netcongestie speelt een rol bij het lagere aantal aanvragen omdat de netcapaciteit beperkt is. </w:t>
      </w:r>
    </w:p>
    <w:p w:rsidRPr="009C13B8" w:rsidR="009C13B8" w:rsidP="000865B0" w:rsidRDefault="009C13B8" w14:paraId="242852B6" w14:textId="77777777">
      <w:r w:rsidRPr="009C13B8">
        <w:t xml:space="preserve"> </w:t>
      </w:r>
    </w:p>
    <w:p w:rsidRPr="009C13B8" w:rsidR="009C13B8" w:rsidP="000865B0" w:rsidRDefault="009C13B8" w14:paraId="39F9CD1C" w14:textId="77777777"/>
    <w:p w:rsidRPr="009C13B8" w:rsidR="009C13B8" w:rsidP="000865B0" w:rsidRDefault="009C13B8" w14:paraId="3F3E7F77" w14:textId="77777777">
      <w:pPr>
        <w:rPr>
          <w:i/>
          <w:iCs/>
        </w:rPr>
      </w:pPr>
      <w:r w:rsidRPr="009C13B8">
        <w:br w:type="page"/>
      </w:r>
    </w:p>
    <w:p w:rsidRPr="009C13B8" w:rsidR="009C13B8" w:rsidP="000865B0" w:rsidRDefault="009C13B8" w14:paraId="5BACDF55" w14:textId="77777777">
      <w:pPr>
        <w:rPr>
          <w:i/>
          <w:iCs/>
        </w:rPr>
      </w:pPr>
      <w:r w:rsidRPr="009C13B8">
        <w:rPr>
          <w:i/>
          <w:iCs/>
        </w:rPr>
        <w:t xml:space="preserve">Tabel </w:t>
      </w:r>
      <w:r w:rsidRPr="009C13B8">
        <w:rPr>
          <w:i/>
          <w:iCs/>
        </w:rPr>
        <w:fldChar w:fldCharType="begin"/>
      </w:r>
      <w:r w:rsidRPr="009C13B8">
        <w:rPr>
          <w:i/>
          <w:iCs/>
        </w:rPr>
        <w:instrText xml:space="preserve"> SEQ Tabel \* ARABIC </w:instrText>
      </w:r>
      <w:r w:rsidRPr="009C13B8">
        <w:rPr>
          <w:i/>
          <w:iCs/>
        </w:rPr>
        <w:fldChar w:fldCharType="separate"/>
      </w:r>
      <w:r w:rsidRPr="009C13B8">
        <w:rPr>
          <w:i/>
          <w:iCs/>
        </w:rPr>
        <w:t>1</w:t>
      </w:r>
      <w:r w:rsidRPr="009C13B8">
        <w:fldChar w:fldCharType="end"/>
      </w:r>
      <w:r w:rsidRPr="009C13B8">
        <w:rPr>
          <w:i/>
          <w:iCs/>
        </w:rPr>
        <w:t>: Aanvragen en beschikkingen SCE 2025</w:t>
      </w:r>
    </w:p>
    <w:tbl>
      <w:tblPr>
        <w:tblStyle w:val="Lijsttabel3-Accent1"/>
        <w:tblW w:w="7578" w:type="dxa"/>
        <w:tblLook w:val="04A0" w:firstRow="1" w:lastRow="0" w:firstColumn="1" w:lastColumn="0" w:noHBand="0" w:noVBand="1"/>
      </w:tblPr>
      <w:tblGrid>
        <w:gridCol w:w="1841"/>
        <w:gridCol w:w="1184"/>
        <w:gridCol w:w="1518"/>
        <w:gridCol w:w="1319"/>
        <w:gridCol w:w="1272"/>
        <w:gridCol w:w="222"/>
        <w:gridCol w:w="222"/>
      </w:tblGrid>
      <w:tr w:rsidRPr="009C13B8" w:rsidR="000865B0" w:rsidTr="000865B0" w14:paraId="7576F3F5" w14:textId="77777777">
        <w:trPr>
          <w:cnfStyle w:val="100000000000" w:firstRow="1" w:lastRow="0" w:firstColumn="0" w:lastColumn="0" w:oddVBand="0" w:evenVBand="0" w:oddHBand="0" w:evenHBand="0" w:firstRowFirstColumn="0" w:firstRowLastColumn="0" w:lastRowFirstColumn="0" w:lastRowLastColumn="0"/>
          <w:trHeight w:val="730"/>
        </w:trPr>
        <w:tc>
          <w:tcPr>
            <w:cnfStyle w:val="001000000100" w:firstRow="0" w:lastRow="0" w:firstColumn="1" w:lastColumn="0" w:oddVBand="0" w:evenVBand="0" w:oddHBand="0" w:evenHBand="0" w:firstRowFirstColumn="1" w:firstRowLastColumn="0" w:lastRowFirstColumn="0" w:lastRowLastColumn="0"/>
            <w:tcW w:w="0" w:type="auto"/>
            <w:tcBorders>
              <w:top w:val="single" w:color="4F81BD" w:themeColor="accent1" w:sz="4" w:space="0"/>
            </w:tcBorders>
          </w:tcPr>
          <w:p w:rsidRPr="009C13B8" w:rsidR="009C13B8" w:rsidP="000865B0" w:rsidRDefault="009C13B8" w14:paraId="12009753" w14:textId="77777777">
            <w:pPr>
              <w:rPr>
                <w:sz w:val="16"/>
                <w:szCs w:val="16"/>
              </w:rPr>
            </w:pPr>
            <w:r w:rsidRPr="009C13B8">
              <w:rPr>
                <w:sz w:val="16"/>
                <w:szCs w:val="16"/>
              </w:rPr>
              <w:t>Categorieën</w:t>
            </w:r>
          </w:p>
        </w:tc>
        <w:tc>
          <w:tcPr>
            <w:tcW w:w="0" w:type="auto"/>
            <w:tcBorders>
              <w:top w:val="single" w:color="4F81BD" w:themeColor="accent1" w:sz="4" w:space="0"/>
            </w:tcBorders>
          </w:tcPr>
          <w:p w:rsidRPr="009C13B8" w:rsidR="009C13B8" w:rsidP="000865B0" w:rsidRDefault="009C13B8" w14:paraId="3BB9FDA8"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9C13B8">
              <w:rPr>
                <w:sz w:val="16"/>
                <w:szCs w:val="16"/>
              </w:rPr>
              <w:t>Aanvragen</w:t>
            </w:r>
          </w:p>
        </w:tc>
        <w:tc>
          <w:tcPr>
            <w:tcW w:w="0" w:type="auto"/>
            <w:tcBorders>
              <w:top w:val="single" w:color="4F81BD" w:themeColor="accent1" w:sz="4" w:space="0"/>
            </w:tcBorders>
          </w:tcPr>
          <w:p w:rsidRPr="009C13B8" w:rsidR="009C13B8" w:rsidP="000865B0" w:rsidRDefault="009C13B8" w14:paraId="6944D9D7"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9C13B8">
              <w:rPr>
                <w:sz w:val="16"/>
                <w:szCs w:val="16"/>
              </w:rPr>
              <w:t>Beschikkingen</w:t>
            </w:r>
          </w:p>
        </w:tc>
        <w:tc>
          <w:tcPr>
            <w:tcW w:w="0" w:type="auto"/>
            <w:tcBorders>
              <w:top w:val="single" w:color="4F81BD" w:themeColor="accent1" w:sz="4" w:space="0"/>
            </w:tcBorders>
          </w:tcPr>
          <w:p w:rsidRPr="009C13B8" w:rsidR="009C13B8" w:rsidP="000865B0" w:rsidRDefault="009C13B8" w14:paraId="1165F5B5"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9C13B8">
              <w:rPr>
                <w:sz w:val="16"/>
                <w:szCs w:val="16"/>
              </w:rPr>
              <w:t>Beschikt vermogen (MW)</w:t>
            </w:r>
          </w:p>
        </w:tc>
        <w:tc>
          <w:tcPr>
            <w:tcW w:w="0" w:type="auto"/>
            <w:tcBorders>
              <w:top w:val="single" w:color="4F81BD" w:themeColor="accent1" w:sz="4" w:space="0"/>
            </w:tcBorders>
          </w:tcPr>
          <w:p w:rsidRPr="009C13B8" w:rsidR="009C13B8" w:rsidP="000865B0" w:rsidRDefault="009C13B8" w14:paraId="0F8FEA1D"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9C13B8">
              <w:rPr>
                <w:sz w:val="16"/>
                <w:szCs w:val="16"/>
              </w:rPr>
              <w:t xml:space="preserve">Beschikt budget (€) </w:t>
            </w:r>
          </w:p>
        </w:tc>
        <w:tc>
          <w:tcPr>
            <w:tcW w:w="0" w:type="auto"/>
            <w:tcBorders>
              <w:top w:val="single" w:color="4F81BD" w:themeColor="accent1" w:sz="4" w:space="0"/>
            </w:tcBorders>
          </w:tcPr>
          <w:p w:rsidRPr="009C13B8" w:rsidR="009C13B8" w:rsidP="000865B0" w:rsidRDefault="009C13B8" w14:paraId="1F150758" w14:textId="77777777">
            <w:pPr>
              <w:cnfStyle w:val="100000000000" w:firstRow="1" w:lastRow="0" w:firstColumn="0" w:lastColumn="0" w:oddVBand="0" w:evenVBand="0" w:oddHBand="0" w:evenHBand="0" w:firstRowFirstColumn="0" w:firstRowLastColumn="0" w:lastRowFirstColumn="0" w:lastRowLastColumn="0"/>
              <w:rPr>
                <w:sz w:val="16"/>
                <w:szCs w:val="16"/>
              </w:rPr>
            </w:pPr>
          </w:p>
        </w:tc>
        <w:tc>
          <w:tcPr>
            <w:tcW w:w="0" w:type="auto"/>
            <w:tcBorders>
              <w:top w:val="single" w:color="4F81BD" w:themeColor="accent1" w:sz="4" w:space="0"/>
            </w:tcBorders>
          </w:tcPr>
          <w:p w:rsidRPr="009C13B8" w:rsidR="009C13B8" w:rsidP="000865B0" w:rsidRDefault="009C13B8" w14:paraId="04C78647" w14:textId="77777777">
            <w:pPr>
              <w:cnfStyle w:val="100000000000" w:firstRow="1" w:lastRow="0" w:firstColumn="0" w:lastColumn="0" w:oddVBand="0" w:evenVBand="0" w:oddHBand="0" w:evenHBand="0" w:firstRowFirstColumn="0" w:firstRowLastColumn="0" w:lastRowFirstColumn="0" w:lastRowLastColumn="0"/>
            </w:pPr>
          </w:p>
        </w:tc>
      </w:tr>
      <w:tr w:rsidRPr="009C13B8" w:rsidR="000865B0" w:rsidTr="000865B0" w14:paraId="31FBF495" w14:textId="77777777">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0" w:type="auto"/>
          </w:tcPr>
          <w:p w:rsidRPr="009C13B8" w:rsidR="009C13B8" w:rsidP="000865B0" w:rsidRDefault="009C13B8" w14:paraId="6F79F79C" w14:textId="64E823D6">
            <w:pPr>
              <w:rPr>
                <w:sz w:val="16"/>
                <w:szCs w:val="16"/>
              </w:rPr>
            </w:pPr>
            <w:r w:rsidRPr="009C13B8">
              <w:rPr>
                <w:sz w:val="16"/>
                <w:szCs w:val="16"/>
              </w:rPr>
              <w:t xml:space="preserve">Zon-PV op dak </w:t>
            </w:r>
            <w:proofErr w:type="spellStart"/>
            <w:r w:rsidRPr="009C13B8">
              <w:rPr>
                <w:sz w:val="16"/>
                <w:szCs w:val="16"/>
              </w:rPr>
              <w:t>kva</w:t>
            </w:r>
            <w:proofErr w:type="spellEnd"/>
            <w:r w:rsidRPr="009C13B8">
              <w:rPr>
                <w:sz w:val="16"/>
                <w:szCs w:val="16"/>
              </w:rPr>
              <w:t xml:space="preserve"> &gt;= 15 kW en &lt;= 100 kW</w:t>
            </w:r>
          </w:p>
        </w:tc>
        <w:tc>
          <w:tcPr>
            <w:tcW w:w="0" w:type="auto"/>
          </w:tcPr>
          <w:p w:rsidRPr="009C13B8" w:rsidR="009C13B8" w:rsidP="000865B0" w:rsidRDefault="009C13B8" w14:paraId="351D146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138</w:t>
            </w:r>
          </w:p>
        </w:tc>
        <w:tc>
          <w:tcPr>
            <w:tcW w:w="0" w:type="auto"/>
          </w:tcPr>
          <w:p w:rsidRPr="009C13B8" w:rsidR="009C13B8" w:rsidP="000865B0" w:rsidRDefault="009C13B8" w14:paraId="37A3BF0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123</w:t>
            </w:r>
          </w:p>
        </w:tc>
        <w:tc>
          <w:tcPr>
            <w:tcW w:w="0" w:type="auto"/>
          </w:tcPr>
          <w:p w:rsidRPr="009C13B8" w:rsidR="009C13B8" w:rsidP="000865B0" w:rsidRDefault="009C13B8" w14:paraId="1FE5528E" w14:textId="3E6A6ACD">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1</w:t>
            </w:r>
            <w:r w:rsidR="00932349">
              <w:rPr>
                <w:sz w:val="16"/>
                <w:szCs w:val="16"/>
              </w:rPr>
              <w:t>0</w:t>
            </w:r>
            <w:r w:rsidRPr="009C13B8">
              <w:rPr>
                <w:sz w:val="16"/>
                <w:szCs w:val="16"/>
              </w:rPr>
              <w:t>,80</w:t>
            </w:r>
          </w:p>
        </w:tc>
        <w:tc>
          <w:tcPr>
            <w:tcW w:w="0" w:type="auto"/>
          </w:tcPr>
          <w:p w:rsidRPr="009C13B8" w:rsidR="009C13B8" w:rsidP="000865B0" w:rsidRDefault="009C13B8" w14:paraId="3B9CDC97"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13.416.740</w:t>
            </w:r>
          </w:p>
        </w:tc>
        <w:tc>
          <w:tcPr>
            <w:tcW w:w="0" w:type="auto"/>
          </w:tcPr>
          <w:p w:rsidRPr="009C13B8" w:rsidR="009C13B8" w:rsidP="000865B0" w:rsidRDefault="009C13B8" w14:paraId="0BC75FE1" w14:textId="77777777">
            <w:pPr>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Pr="009C13B8" w:rsidR="009C13B8" w:rsidP="000865B0" w:rsidRDefault="009C13B8" w14:paraId="7AB5F81A" w14:textId="77777777">
            <w:pPr>
              <w:cnfStyle w:val="000000100000" w:firstRow="0" w:lastRow="0" w:firstColumn="0" w:lastColumn="0" w:oddVBand="0" w:evenVBand="0" w:oddHBand="1" w:evenHBand="0" w:firstRowFirstColumn="0" w:firstRowLastColumn="0" w:lastRowFirstColumn="0" w:lastRowLastColumn="0"/>
            </w:pPr>
          </w:p>
        </w:tc>
      </w:tr>
      <w:tr w:rsidRPr="009C13B8" w:rsidR="000865B0" w:rsidTr="000865B0" w14:paraId="5D16ED80" w14:textId="77777777">
        <w:trPr>
          <w:trHeight w:val="714"/>
        </w:trPr>
        <w:tc>
          <w:tcPr>
            <w:cnfStyle w:val="001000000000" w:firstRow="0" w:lastRow="0" w:firstColumn="1" w:lastColumn="0" w:oddVBand="0" w:evenVBand="0" w:oddHBand="0" w:evenHBand="0" w:firstRowFirstColumn="0" w:firstRowLastColumn="0" w:lastRowFirstColumn="0" w:lastRowLastColumn="0"/>
            <w:tcW w:w="0" w:type="auto"/>
          </w:tcPr>
          <w:p w:rsidRPr="009C13B8" w:rsidR="009C13B8" w:rsidP="000865B0" w:rsidRDefault="009C13B8" w14:paraId="29E2CAC7" w14:textId="77777777">
            <w:pPr>
              <w:rPr>
                <w:sz w:val="16"/>
                <w:szCs w:val="16"/>
              </w:rPr>
            </w:pPr>
            <w:r w:rsidRPr="009C13B8">
              <w:rPr>
                <w:sz w:val="16"/>
                <w:szCs w:val="16"/>
              </w:rPr>
              <w:t xml:space="preserve">Zon-PV op dak </w:t>
            </w:r>
            <w:proofErr w:type="spellStart"/>
            <w:r w:rsidRPr="009C13B8">
              <w:rPr>
                <w:sz w:val="16"/>
                <w:szCs w:val="16"/>
              </w:rPr>
              <w:t>gva</w:t>
            </w:r>
            <w:proofErr w:type="spellEnd"/>
            <w:r w:rsidRPr="009C13B8">
              <w:rPr>
                <w:sz w:val="16"/>
                <w:szCs w:val="16"/>
              </w:rPr>
              <w:t xml:space="preserve"> &gt;= 15 kW en &lt; 500 kW</w:t>
            </w:r>
          </w:p>
        </w:tc>
        <w:tc>
          <w:tcPr>
            <w:tcW w:w="0" w:type="auto"/>
          </w:tcPr>
          <w:p w:rsidRPr="009C13B8" w:rsidR="009C13B8" w:rsidP="000865B0" w:rsidRDefault="009C13B8" w14:paraId="7C89F52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12</w:t>
            </w:r>
          </w:p>
        </w:tc>
        <w:tc>
          <w:tcPr>
            <w:tcW w:w="0" w:type="auto"/>
          </w:tcPr>
          <w:p w:rsidRPr="009C13B8" w:rsidR="009C13B8" w:rsidP="000865B0" w:rsidRDefault="009C13B8" w14:paraId="538FCB1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7</w:t>
            </w:r>
          </w:p>
        </w:tc>
        <w:tc>
          <w:tcPr>
            <w:tcW w:w="0" w:type="auto"/>
          </w:tcPr>
          <w:p w:rsidRPr="009C13B8" w:rsidR="009C13B8" w:rsidP="000865B0" w:rsidRDefault="009C13B8" w14:paraId="4E6F020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1,22</w:t>
            </w:r>
          </w:p>
        </w:tc>
        <w:tc>
          <w:tcPr>
            <w:tcW w:w="0" w:type="auto"/>
          </w:tcPr>
          <w:p w:rsidRPr="009C13B8" w:rsidR="009C13B8" w:rsidP="000865B0" w:rsidRDefault="009C13B8" w14:paraId="13AE9E9E"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1.339.264</w:t>
            </w:r>
          </w:p>
        </w:tc>
        <w:tc>
          <w:tcPr>
            <w:tcW w:w="0" w:type="auto"/>
          </w:tcPr>
          <w:p w:rsidRPr="009C13B8" w:rsidR="009C13B8" w:rsidP="000865B0" w:rsidRDefault="009C13B8" w14:paraId="2D07CA79"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rsidRPr="009C13B8" w:rsidR="009C13B8" w:rsidP="000865B0" w:rsidRDefault="009C13B8" w14:paraId="1EEF4AD7" w14:textId="77777777">
            <w:pPr>
              <w:cnfStyle w:val="000000000000" w:firstRow="0" w:lastRow="0" w:firstColumn="0" w:lastColumn="0" w:oddVBand="0" w:evenVBand="0" w:oddHBand="0" w:evenHBand="0" w:firstRowFirstColumn="0" w:firstRowLastColumn="0" w:lastRowFirstColumn="0" w:lastRowLastColumn="0"/>
            </w:pPr>
          </w:p>
        </w:tc>
      </w:tr>
      <w:tr w:rsidRPr="009C13B8" w:rsidR="000865B0" w:rsidTr="000865B0" w14:paraId="453B2D02" w14:textId="77777777">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0" w:type="auto"/>
          </w:tcPr>
          <w:p w:rsidRPr="009C13B8" w:rsidR="009C13B8" w:rsidP="000865B0" w:rsidRDefault="009C13B8" w14:paraId="53A227B5" w14:textId="77777777">
            <w:pPr>
              <w:rPr>
                <w:sz w:val="16"/>
                <w:szCs w:val="16"/>
              </w:rPr>
            </w:pPr>
            <w:r w:rsidRPr="009C13B8">
              <w:rPr>
                <w:sz w:val="16"/>
                <w:szCs w:val="16"/>
              </w:rPr>
              <w:t xml:space="preserve">Zon-PV op veld </w:t>
            </w:r>
            <w:proofErr w:type="spellStart"/>
            <w:r w:rsidRPr="009C13B8">
              <w:rPr>
                <w:sz w:val="16"/>
                <w:szCs w:val="16"/>
              </w:rPr>
              <w:t>gva</w:t>
            </w:r>
            <w:proofErr w:type="spellEnd"/>
            <w:r w:rsidRPr="009C13B8">
              <w:rPr>
                <w:sz w:val="16"/>
                <w:szCs w:val="16"/>
              </w:rPr>
              <w:t xml:space="preserve"> &gt;= 15 kW en &lt; 500 kW</w:t>
            </w:r>
          </w:p>
        </w:tc>
        <w:tc>
          <w:tcPr>
            <w:tcW w:w="0" w:type="auto"/>
          </w:tcPr>
          <w:p w:rsidRPr="009C13B8" w:rsidR="009C13B8" w:rsidP="000865B0" w:rsidRDefault="009C13B8" w14:paraId="0EDA2D4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5</w:t>
            </w:r>
          </w:p>
        </w:tc>
        <w:tc>
          <w:tcPr>
            <w:tcW w:w="0" w:type="auto"/>
          </w:tcPr>
          <w:p w:rsidRPr="009C13B8" w:rsidR="009C13B8" w:rsidP="000865B0" w:rsidRDefault="009C13B8" w14:paraId="63081DE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4</w:t>
            </w:r>
          </w:p>
        </w:tc>
        <w:tc>
          <w:tcPr>
            <w:tcW w:w="0" w:type="auto"/>
          </w:tcPr>
          <w:p w:rsidRPr="009C13B8" w:rsidR="009C13B8" w:rsidP="000865B0" w:rsidRDefault="009C13B8" w14:paraId="496F7B8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2,00</w:t>
            </w:r>
          </w:p>
        </w:tc>
        <w:tc>
          <w:tcPr>
            <w:tcW w:w="0" w:type="auto"/>
          </w:tcPr>
          <w:p w:rsidRPr="009C13B8" w:rsidR="009C13B8" w:rsidP="000865B0" w:rsidRDefault="009C13B8" w14:paraId="54E30A17"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2.186.058</w:t>
            </w:r>
          </w:p>
        </w:tc>
        <w:tc>
          <w:tcPr>
            <w:tcW w:w="0" w:type="auto"/>
          </w:tcPr>
          <w:p w:rsidRPr="009C13B8" w:rsidR="009C13B8" w:rsidP="000865B0" w:rsidRDefault="009C13B8" w14:paraId="2506ED99" w14:textId="77777777">
            <w:pPr>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Pr="009C13B8" w:rsidR="009C13B8" w:rsidP="000865B0" w:rsidRDefault="009C13B8" w14:paraId="15D5C6E0" w14:textId="77777777">
            <w:pPr>
              <w:cnfStyle w:val="000000100000" w:firstRow="0" w:lastRow="0" w:firstColumn="0" w:lastColumn="0" w:oddVBand="0" w:evenVBand="0" w:oddHBand="1" w:evenHBand="0" w:firstRowFirstColumn="0" w:firstRowLastColumn="0" w:lastRowFirstColumn="0" w:lastRowLastColumn="0"/>
            </w:pPr>
          </w:p>
        </w:tc>
      </w:tr>
      <w:tr w:rsidRPr="009C13B8" w:rsidR="000865B0" w:rsidTr="000865B0" w14:paraId="1FEB5A09" w14:textId="77777777">
        <w:trPr>
          <w:trHeight w:val="730"/>
        </w:trPr>
        <w:tc>
          <w:tcPr>
            <w:cnfStyle w:val="001000000000" w:firstRow="0" w:lastRow="0" w:firstColumn="1" w:lastColumn="0" w:oddVBand="0" w:evenVBand="0" w:oddHBand="0" w:evenHBand="0" w:firstRowFirstColumn="0" w:firstRowLastColumn="0" w:lastRowFirstColumn="0" w:lastRowLastColumn="0"/>
            <w:tcW w:w="0" w:type="auto"/>
          </w:tcPr>
          <w:p w:rsidRPr="009C13B8" w:rsidR="009C13B8" w:rsidP="000865B0" w:rsidRDefault="009C13B8" w14:paraId="0A3A70F5" w14:textId="77777777">
            <w:pPr>
              <w:rPr>
                <w:sz w:val="16"/>
                <w:szCs w:val="16"/>
              </w:rPr>
            </w:pPr>
            <w:r w:rsidRPr="009C13B8">
              <w:rPr>
                <w:sz w:val="16"/>
                <w:szCs w:val="16"/>
              </w:rPr>
              <w:t>Zon-PV groot veld &gt;= 500 kW en &lt;= 6000 kW</w:t>
            </w:r>
          </w:p>
        </w:tc>
        <w:tc>
          <w:tcPr>
            <w:tcW w:w="0" w:type="auto"/>
          </w:tcPr>
          <w:p w:rsidRPr="009C13B8" w:rsidR="009C13B8" w:rsidP="000865B0" w:rsidRDefault="009C13B8" w14:paraId="7F0C289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2</w:t>
            </w:r>
          </w:p>
        </w:tc>
        <w:tc>
          <w:tcPr>
            <w:tcW w:w="0" w:type="auto"/>
          </w:tcPr>
          <w:p w:rsidRPr="009C13B8" w:rsidR="009C13B8" w:rsidP="000865B0" w:rsidRDefault="009C13B8" w14:paraId="107D1A0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2</w:t>
            </w:r>
          </w:p>
        </w:tc>
        <w:tc>
          <w:tcPr>
            <w:tcW w:w="0" w:type="auto"/>
          </w:tcPr>
          <w:p w:rsidRPr="009C13B8" w:rsidR="009C13B8" w:rsidP="000865B0" w:rsidRDefault="009C13B8" w14:paraId="2A5CEA0B"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7,74</w:t>
            </w:r>
          </w:p>
        </w:tc>
        <w:tc>
          <w:tcPr>
            <w:tcW w:w="0" w:type="auto"/>
          </w:tcPr>
          <w:p w:rsidRPr="009C13B8" w:rsidR="009C13B8" w:rsidP="000865B0" w:rsidRDefault="009C13B8" w14:paraId="498B7DD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3.867.629</w:t>
            </w:r>
          </w:p>
        </w:tc>
        <w:tc>
          <w:tcPr>
            <w:tcW w:w="0" w:type="auto"/>
          </w:tcPr>
          <w:p w:rsidRPr="009C13B8" w:rsidR="009C13B8" w:rsidP="000865B0" w:rsidRDefault="009C13B8" w14:paraId="07686746"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rsidRPr="009C13B8" w:rsidR="009C13B8" w:rsidP="000865B0" w:rsidRDefault="009C13B8" w14:paraId="4B4E8FB1" w14:textId="77777777">
            <w:pPr>
              <w:cnfStyle w:val="000000000000" w:firstRow="0" w:lastRow="0" w:firstColumn="0" w:lastColumn="0" w:oddVBand="0" w:evenVBand="0" w:oddHBand="0" w:evenHBand="0" w:firstRowFirstColumn="0" w:firstRowLastColumn="0" w:lastRowFirstColumn="0" w:lastRowLastColumn="0"/>
            </w:pPr>
          </w:p>
        </w:tc>
      </w:tr>
      <w:tr w:rsidRPr="009C13B8" w:rsidR="000865B0" w:rsidTr="000865B0" w14:paraId="14170378"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tcPr>
          <w:p w:rsidRPr="009C13B8" w:rsidR="009C13B8" w:rsidP="000865B0" w:rsidRDefault="009C13B8" w14:paraId="22E9D1DB" w14:textId="77777777">
            <w:pPr>
              <w:rPr>
                <w:sz w:val="16"/>
                <w:szCs w:val="16"/>
              </w:rPr>
            </w:pPr>
            <w:r w:rsidRPr="009C13B8">
              <w:rPr>
                <w:sz w:val="16"/>
                <w:szCs w:val="16"/>
              </w:rPr>
              <w:t>Zon-PV groot veld natuur &gt;= 500 kW en &lt;= 6000 kW</w:t>
            </w:r>
          </w:p>
        </w:tc>
        <w:tc>
          <w:tcPr>
            <w:tcW w:w="0" w:type="auto"/>
          </w:tcPr>
          <w:p w:rsidRPr="009C13B8" w:rsidR="009C13B8" w:rsidP="000865B0" w:rsidRDefault="009C13B8" w14:paraId="7F24761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2</w:t>
            </w:r>
          </w:p>
        </w:tc>
        <w:tc>
          <w:tcPr>
            <w:tcW w:w="0" w:type="auto"/>
          </w:tcPr>
          <w:p w:rsidRPr="009C13B8" w:rsidR="009C13B8" w:rsidP="000865B0" w:rsidRDefault="009C13B8" w14:paraId="34D2CDF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1</w:t>
            </w:r>
          </w:p>
        </w:tc>
        <w:tc>
          <w:tcPr>
            <w:tcW w:w="0" w:type="auto"/>
          </w:tcPr>
          <w:p w:rsidRPr="009C13B8" w:rsidR="009C13B8" w:rsidP="000865B0" w:rsidRDefault="009C13B8" w14:paraId="1634110A"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6,00</w:t>
            </w:r>
          </w:p>
        </w:tc>
        <w:tc>
          <w:tcPr>
            <w:tcW w:w="0" w:type="auto"/>
          </w:tcPr>
          <w:p w:rsidRPr="009C13B8" w:rsidR="009C13B8" w:rsidP="000865B0" w:rsidRDefault="009C13B8" w14:paraId="667E68B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9C13B8">
              <w:rPr>
                <w:sz w:val="16"/>
                <w:szCs w:val="16"/>
              </w:rPr>
              <w:t>3.463.200</w:t>
            </w:r>
          </w:p>
        </w:tc>
        <w:tc>
          <w:tcPr>
            <w:tcW w:w="0" w:type="auto"/>
          </w:tcPr>
          <w:p w:rsidRPr="009C13B8" w:rsidR="009C13B8" w:rsidP="000865B0" w:rsidRDefault="009C13B8" w14:paraId="1A8474F9" w14:textId="77777777">
            <w:pPr>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Pr="009C13B8" w:rsidR="009C13B8" w:rsidP="000865B0" w:rsidRDefault="009C13B8" w14:paraId="66884048" w14:textId="77777777">
            <w:pPr>
              <w:cnfStyle w:val="000000100000" w:firstRow="0" w:lastRow="0" w:firstColumn="0" w:lastColumn="0" w:oddVBand="0" w:evenVBand="0" w:oddHBand="1" w:evenHBand="0" w:firstRowFirstColumn="0" w:firstRowLastColumn="0" w:lastRowFirstColumn="0" w:lastRowLastColumn="0"/>
            </w:pPr>
          </w:p>
        </w:tc>
      </w:tr>
      <w:tr w:rsidRPr="009C13B8" w:rsidR="000865B0" w:rsidTr="000865B0" w14:paraId="7DDF52E1" w14:textId="77777777">
        <w:trPr>
          <w:trHeight w:val="204"/>
        </w:trPr>
        <w:tc>
          <w:tcPr>
            <w:cnfStyle w:val="001000000000" w:firstRow="0" w:lastRow="0" w:firstColumn="1" w:lastColumn="0" w:oddVBand="0" w:evenVBand="0" w:oddHBand="0" w:evenHBand="0" w:firstRowFirstColumn="0" w:firstRowLastColumn="0" w:lastRowFirstColumn="0" w:lastRowLastColumn="0"/>
            <w:tcW w:w="0" w:type="auto"/>
          </w:tcPr>
          <w:p w:rsidRPr="009C13B8" w:rsidR="009C13B8" w:rsidP="000865B0" w:rsidRDefault="009C13B8" w14:paraId="51ECC8FE" w14:textId="77777777">
            <w:pPr>
              <w:rPr>
                <w:sz w:val="16"/>
                <w:szCs w:val="16"/>
              </w:rPr>
            </w:pPr>
            <w:r w:rsidRPr="009C13B8">
              <w:rPr>
                <w:sz w:val="16"/>
                <w:szCs w:val="16"/>
              </w:rPr>
              <w:t>Totaal</w:t>
            </w:r>
          </w:p>
        </w:tc>
        <w:tc>
          <w:tcPr>
            <w:tcW w:w="0" w:type="auto"/>
          </w:tcPr>
          <w:p w:rsidRPr="009C13B8" w:rsidR="009C13B8" w:rsidP="000865B0" w:rsidRDefault="009C13B8" w14:paraId="03E78D2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159</w:t>
            </w:r>
          </w:p>
        </w:tc>
        <w:tc>
          <w:tcPr>
            <w:tcW w:w="0" w:type="auto"/>
          </w:tcPr>
          <w:p w:rsidRPr="009C13B8" w:rsidR="009C13B8" w:rsidP="000865B0" w:rsidRDefault="009C13B8" w14:paraId="651F7CBE" w14:textId="5EB1378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13</w:t>
            </w:r>
            <w:r w:rsidR="00932349">
              <w:rPr>
                <w:sz w:val="16"/>
                <w:szCs w:val="16"/>
              </w:rPr>
              <w:t>7</w:t>
            </w:r>
          </w:p>
        </w:tc>
        <w:tc>
          <w:tcPr>
            <w:tcW w:w="0" w:type="auto"/>
          </w:tcPr>
          <w:p w:rsidRPr="009C13B8" w:rsidR="009C13B8" w:rsidP="000865B0" w:rsidRDefault="009C13B8" w14:paraId="040161D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27,76</w:t>
            </w:r>
          </w:p>
        </w:tc>
        <w:tc>
          <w:tcPr>
            <w:tcW w:w="0" w:type="auto"/>
          </w:tcPr>
          <w:p w:rsidRPr="009C13B8" w:rsidR="009C13B8" w:rsidP="000865B0" w:rsidRDefault="009C13B8" w14:paraId="441410C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9C13B8">
              <w:rPr>
                <w:sz w:val="16"/>
                <w:szCs w:val="16"/>
              </w:rPr>
              <w:t>24.272.891</w:t>
            </w:r>
          </w:p>
        </w:tc>
        <w:tc>
          <w:tcPr>
            <w:tcW w:w="0" w:type="auto"/>
          </w:tcPr>
          <w:p w:rsidRPr="009C13B8" w:rsidR="009C13B8" w:rsidP="000865B0" w:rsidRDefault="009C13B8" w14:paraId="50D4BD0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rsidRPr="009C13B8" w:rsidR="009C13B8" w:rsidP="000865B0" w:rsidRDefault="009C13B8" w14:paraId="0C644608" w14:textId="77777777">
            <w:pPr>
              <w:cnfStyle w:val="000000000000" w:firstRow="0" w:lastRow="0" w:firstColumn="0" w:lastColumn="0" w:oddVBand="0" w:evenVBand="0" w:oddHBand="0" w:evenHBand="0" w:firstRowFirstColumn="0" w:firstRowLastColumn="0" w:lastRowFirstColumn="0" w:lastRowLastColumn="0"/>
            </w:pPr>
          </w:p>
        </w:tc>
      </w:tr>
      <w:tr w:rsidRPr="009C13B8" w:rsidR="000865B0" w:rsidTr="000865B0" w14:paraId="12115552"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tcPr>
          <w:p w:rsidRPr="009C13B8" w:rsidR="009C13B8" w:rsidP="000865B0" w:rsidRDefault="009C13B8" w14:paraId="7B7B87DB" w14:textId="77777777">
            <w:pPr>
              <w:rPr>
                <w:sz w:val="16"/>
                <w:szCs w:val="22"/>
              </w:rPr>
            </w:pPr>
          </w:p>
        </w:tc>
        <w:tc>
          <w:tcPr>
            <w:tcW w:w="0" w:type="auto"/>
          </w:tcPr>
          <w:p w:rsidRPr="009C13B8" w:rsidR="009C13B8" w:rsidP="000865B0" w:rsidRDefault="009C13B8" w14:paraId="4D17E228" w14:textId="77777777">
            <w:pPr>
              <w:cnfStyle w:val="000000100000" w:firstRow="0" w:lastRow="0" w:firstColumn="0" w:lastColumn="0" w:oddVBand="0" w:evenVBand="0" w:oddHBand="1" w:evenHBand="0" w:firstRowFirstColumn="0" w:firstRowLastColumn="0" w:lastRowFirstColumn="0" w:lastRowLastColumn="0"/>
              <w:rPr>
                <w:sz w:val="16"/>
                <w:szCs w:val="22"/>
              </w:rPr>
            </w:pPr>
          </w:p>
        </w:tc>
        <w:tc>
          <w:tcPr>
            <w:tcW w:w="0" w:type="auto"/>
          </w:tcPr>
          <w:p w:rsidRPr="009C13B8" w:rsidR="009C13B8" w:rsidP="000865B0" w:rsidRDefault="009C13B8" w14:paraId="284BED47" w14:textId="77777777">
            <w:pPr>
              <w:cnfStyle w:val="000000100000" w:firstRow="0" w:lastRow="0" w:firstColumn="0" w:lastColumn="0" w:oddVBand="0" w:evenVBand="0" w:oddHBand="1" w:evenHBand="0" w:firstRowFirstColumn="0" w:firstRowLastColumn="0" w:lastRowFirstColumn="0" w:lastRowLastColumn="0"/>
              <w:rPr>
                <w:sz w:val="16"/>
                <w:szCs w:val="22"/>
              </w:rPr>
            </w:pPr>
          </w:p>
        </w:tc>
        <w:tc>
          <w:tcPr>
            <w:tcW w:w="0" w:type="auto"/>
          </w:tcPr>
          <w:p w:rsidRPr="009C13B8" w:rsidR="009C13B8" w:rsidP="000865B0" w:rsidRDefault="009C13B8" w14:paraId="03DA80FB" w14:textId="77777777">
            <w:pPr>
              <w:cnfStyle w:val="000000100000" w:firstRow="0" w:lastRow="0" w:firstColumn="0" w:lastColumn="0" w:oddVBand="0" w:evenVBand="0" w:oddHBand="1" w:evenHBand="0" w:firstRowFirstColumn="0" w:firstRowLastColumn="0" w:lastRowFirstColumn="0" w:lastRowLastColumn="0"/>
            </w:pPr>
          </w:p>
        </w:tc>
        <w:tc>
          <w:tcPr>
            <w:tcW w:w="0" w:type="auto"/>
          </w:tcPr>
          <w:p w:rsidRPr="009C13B8" w:rsidR="009C13B8" w:rsidP="000865B0" w:rsidRDefault="009C13B8" w14:paraId="7092DBE5" w14:textId="77777777">
            <w:pPr>
              <w:cnfStyle w:val="000000100000" w:firstRow="0" w:lastRow="0" w:firstColumn="0" w:lastColumn="0" w:oddVBand="0" w:evenVBand="0" w:oddHBand="1" w:evenHBand="0" w:firstRowFirstColumn="0" w:firstRowLastColumn="0" w:lastRowFirstColumn="0" w:lastRowLastColumn="0"/>
            </w:pPr>
          </w:p>
        </w:tc>
        <w:tc>
          <w:tcPr>
            <w:tcW w:w="0" w:type="auto"/>
          </w:tcPr>
          <w:p w:rsidRPr="009C13B8" w:rsidR="009C13B8" w:rsidP="000865B0" w:rsidRDefault="009C13B8" w14:paraId="4D0AE1AB" w14:textId="77777777">
            <w:pPr>
              <w:cnfStyle w:val="000000100000" w:firstRow="0" w:lastRow="0" w:firstColumn="0" w:lastColumn="0" w:oddVBand="0" w:evenVBand="0" w:oddHBand="1" w:evenHBand="0" w:firstRowFirstColumn="0" w:firstRowLastColumn="0" w:lastRowFirstColumn="0" w:lastRowLastColumn="0"/>
            </w:pPr>
          </w:p>
        </w:tc>
        <w:tc>
          <w:tcPr>
            <w:tcW w:w="0" w:type="auto"/>
          </w:tcPr>
          <w:p w:rsidRPr="009C13B8" w:rsidR="009C13B8" w:rsidP="000865B0" w:rsidRDefault="009C13B8" w14:paraId="3580322A" w14:textId="77777777">
            <w:pPr>
              <w:cnfStyle w:val="000000100000" w:firstRow="0" w:lastRow="0" w:firstColumn="0" w:lastColumn="0" w:oddVBand="0" w:evenVBand="0" w:oddHBand="1" w:evenHBand="0" w:firstRowFirstColumn="0" w:firstRowLastColumn="0" w:lastRowFirstColumn="0" w:lastRowLastColumn="0"/>
            </w:pPr>
          </w:p>
        </w:tc>
      </w:tr>
      <w:tr w:rsidRPr="009C13B8" w:rsidR="000865B0" w:rsidTr="000865B0" w14:paraId="629E3C62" w14:textId="77777777">
        <w:trPr>
          <w:trHeight w:val="204"/>
        </w:trPr>
        <w:tc>
          <w:tcPr>
            <w:cnfStyle w:val="001000000000" w:firstRow="0" w:lastRow="0" w:firstColumn="1" w:lastColumn="0" w:oddVBand="0" w:evenVBand="0" w:oddHBand="0" w:evenHBand="0" w:firstRowFirstColumn="0" w:firstRowLastColumn="0" w:lastRowFirstColumn="0" w:lastRowLastColumn="0"/>
            <w:tcW w:w="0" w:type="auto"/>
            <w:gridSpan w:val="2"/>
          </w:tcPr>
          <w:p w:rsidRPr="009C13B8" w:rsidR="009C13B8" w:rsidP="000865B0" w:rsidRDefault="009C13B8" w14:paraId="3E02D905" w14:textId="77777777">
            <w:pPr>
              <w:rPr>
                <w:sz w:val="16"/>
                <w:szCs w:val="22"/>
              </w:rPr>
            </w:pPr>
            <w:r w:rsidRPr="009C13B8">
              <w:rPr>
                <w:sz w:val="16"/>
                <w:szCs w:val="22"/>
              </w:rPr>
              <w:t>Aanvragen door coöperaties</w:t>
            </w:r>
          </w:p>
        </w:tc>
        <w:tc>
          <w:tcPr>
            <w:tcW w:w="0" w:type="auto"/>
            <w:gridSpan w:val="3"/>
          </w:tcPr>
          <w:p w:rsidRPr="009C13B8" w:rsidR="009C13B8" w:rsidP="000865B0" w:rsidRDefault="009C13B8" w14:paraId="0E4C716E" w14:textId="77777777">
            <w:pPr>
              <w:cnfStyle w:val="000000000000" w:firstRow="0" w:lastRow="0" w:firstColumn="0" w:lastColumn="0" w:oddVBand="0" w:evenVBand="0" w:oddHBand="0" w:evenHBand="0" w:firstRowFirstColumn="0" w:firstRowLastColumn="0" w:lastRowFirstColumn="0" w:lastRowLastColumn="0"/>
              <w:rPr>
                <w:sz w:val="16"/>
                <w:szCs w:val="22"/>
              </w:rPr>
            </w:pPr>
            <w:r w:rsidRPr="009C13B8">
              <w:rPr>
                <w:sz w:val="16"/>
                <w:szCs w:val="22"/>
              </w:rPr>
              <w:t>155 (waarvan 135 beschikt)</w:t>
            </w:r>
          </w:p>
        </w:tc>
        <w:tc>
          <w:tcPr>
            <w:tcW w:w="0" w:type="auto"/>
          </w:tcPr>
          <w:p w:rsidRPr="009C13B8" w:rsidR="009C13B8" w:rsidP="000865B0" w:rsidRDefault="009C13B8" w14:paraId="25A84FEC" w14:textId="77777777">
            <w:pPr>
              <w:cnfStyle w:val="000000000000" w:firstRow="0" w:lastRow="0" w:firstColumn="0" w:lastColumn="0" w:oddVBand="0" w:evenVBand="0" w:oddHBand="0" w:evenHBand="0" w:firstRowFirstColumn="0" w:firstRowLastColumn="0" w:lastRowFirstColumn="0" w:lastRowLastColumn="0"/>
            </w:pPr>
          </w:p>
        </w:tc>
        <w:tc>
          <w:tcPr>
            <w:tcW w:w="0" w:type="auto"/>
          </w:tcPr>
          <w:p w:rsidRPr="009C13B8" w:rsidR="009C13B8" w:rsidP="000865B0" w:rsidRDefault="009C13B8" w14:paraId="450EC4BC" w14:textId="77777777">
            <w:pPr>
              <w:cnfStyle w:val="000000000000" w:firstRow="0" w:lastRow="0" w:firstColumn="0" w:lastColumn="0" w:oddVBand="0" w:evenVBand="0" w:oddHBand="0" w:evenHBand="0" w:firstRowFirstColumn="0" w:firstRowLastColumn="0" w:lastRowFirstColumn="0" w:lastRowLastColumn="0"/>
            </w:pPr>
          </w:p>
        </w:tc>
      </w:tr>
      <w:tr w:rsidRPr="009C13B8" w:rsidR="000865B0" w:rsidTr="000865B0" w14:paraId="2D95BC7E"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gridSpan w:val="2"/>
          </w:tcPr>
          <w:p w:rsidRPr="009C13B8" w:rsidR="009C13B8" w:rsidP="000865B0" w:rsidRDefault="009C13B8" w14:paraId="6B7F5E81" w14:textId="77777777">
            <w:pPr>
              <w:rPr>
                <w:sz w:val="16"/>
                <w:szCs w:val="22"/>
              </w:rPr>
            </w:pPr>
            <w:r w:rsidRPr="009C13B8">
              <w:rPr>
                <w:sz w:val="16"/>
                <w:szCs w:val="22"/>
              </w:rPr>
              <w:t>Aanvragen door VvE’s</w:t>
            </w:r>
          </w:p>
        </w:tc>
        <w:tc>
          <w:tcPr>
            <w:tcW w:w="0" w:type="auto"/>
            <w:gridSpan w:val="3"/>
          </w:tcPr>
          <w:p w:rsidRPr="009C13B8" w:rsidR="009C13B8" w:rsidP="000865B0" w:rsidRDefault="009C13B8" w14:paraId="10597214" w14:textId="77777777">
            <w:pPr>
              <w:cnfStyle w:val="000000100000" w:firstRow="0" w:lastRow="0" w:firstColumn="0" w:lastColumn="0" w:oddVBand="0" w:evenVBand="0" w:oddHBand="1" w:evenHBand="0" w:firstRowFirstColumn="0" w:firstRowLastColumn="0" w:lastRowFirstColumn="0" w:lastRowLastColumn="0"/>
              <w:rPr>
                <w:sz w:val="16"/>
                <w:szCs w:val="22"/>
              </w:rPr>
            </w:pPr>
            <w:r w:rsidRPr="009C13B8">
              <w:rPr>
                <w:sz w:val="16"/>
                <w:szCs w:val="22"/>
              </w:rPr>
              <w:t>4 (waarvan 2 beschikt)</w:t>
            </w:r>
          </w:p>
        </w:tc>
        <w:tc>
          <w:tcPr>
            <w:tcW w:w="0" w:type="auto"/>
          </w:tcPr>
          <w:p w:rsidRPr="009C13B8" w:rsidR="009C13B8" w:rsidP="000865B0" w:rsidRDefault="009C13B8" w14:paraId="527A1C71" w14:textId="77777777">
            <w:pPr>
              <w:cnfStyle w:val="000000100000" w:firstRow="0" w:lastRow="0" w:firstColumn="0" w:lastColumn="0" w:oddVBand="0" w:evenVBand="0" w:oddHBand="1" w:evenHBand="0" w:firstRowFirstColumn="0" w:firstRowLastColumn="0" w:lastRowFirstColumn="0" w:lastRowLastColumn="0"/>
            </w:pPr>
          </w:p>
        </w:tc>
        <w:tc>
          <w:tcPr>
            <w:tcW w:w="0" w:type="auto"/>
          </w:tcPr>
          <w:p w:rsidRPr="009C13B8" w:rsidR="009C13B8" w:rsidP="000865B0" w:rsidRDefault="009C13B8" w14:paraId="31A1F737" w14:textId="77777777">
            <w:pPr>
              <w:cnfStyle w:val="000000100000" w:firstRow="0" w:lastRow="0" w:firstColumn="0" w:lastColumn="0" w:oddVBand="0" w:evenVBand="0" w:oddHBand="1" w:evenHBand="0" w:firstRowFirstColumn="0" w:firstRowLastColumn="0" w:lastRowFirstColumn="0" w:lastRowLastColumn="0"/>
            </w:pPr>
          </w:p>
        </w:tc>
      </w:tr>
    </w:tbl>
    <w:p w:rsidRPr="009C13B8" w:rsidR="009C13B8" w:rsidP="000865B0" w:rsidRDefault="009C13B8" w14:paraId="646CFA80" w14:textId="77777777">
      <w:pPr>
        <w:rPr>
          <w:sz w:val="16"/>
          <w:szCs w:val="22"/>
        </w:rPr>
      </w:pPr>
      <w:r w:rsidRPr="009C13B8">
        <w:rPr>
          <w:sz w:val="16"/>
          <w:szCs w:val="22"/>
        </w:rPr>
        <w:t>(</w:t>
      </w:r>
      <w:proofErr w:type="spellStart"/>
      <w:r w:rsidRPr="009C13B8">
        <w:rPr>
          <w:sz w:val="16"/>
          <w:szCs w:val="22"/>
        </w:rPr>
        <w:t>kva</w:t>
      </w:r>
      <w:proofErr w:type="spellEnd"/>
      <w:r w:rsidRPr="009C13B8">
        <w:rPr>
          <w:sz w:val="16"/>
          <w:szCs w:val="22"/>
        </w:rPr>
        <w:t xml:space="preserve"> = kleinverbruikersaansluiting, </w:t>
      </w:r>
      <w:proofErr w:type="spellStart"/>
      <w:r w:rsidRPr="009C13B8">
        <w:rPr>
          <w:sz w:val="16"/>
          <w:szCs w:val="22"/>
        </w:rPr>
        <w:t>gva</w:t>
      </w:r>
      <w:proofErr w:type="spellEnd"/>
      <w:r w:rsidRPr="009C13B8">
        <w:rPr>
          <w:sz w:val="16"/>
          <w:szCs w:val="22"/>
        </w:rPr>
        <w:t xml:space="preserve"> = grootverbruikersaansluiting)</w:t>
      </w:r>
    </w:p>
    <w:p w:rsidRPr="009C13B8" w:rsidR="009C13B8" w:rsidP="000865B0" w:rsidRDefault="009C13B8" w14:paraId="0B0F0D48" w14:textId="77777777"/>
    <w:p w:rsidR="009C13B8" w:rsidP="000865B0" w:rsidRDefault="009C13B8" w14:paraId="5B7D362E" w14:textId="07B756AE">
      <w:pPr>
        <w:rPr>
          <w:b/>
          <w:bCs/>
        </w:rPr>
      </w:pPr>
      <w:r w:rsidRPr="009C13B8">
        <w:rPr>
          <w:b/>
          <w:bCs/>
        </w:rPr>
        <w:t>Openstellingsronde 2026</w:t>
      </w:r>
    </w:p>
    <w:p w:rsidRPr="009C13B8" w:rsidR="009C13B8" w:rsidP="000865B0" w:rsidRDefault="009C13B8" w14:paraId="6D94774C" w14:textId="77777777">
      <w:r w:rsidRPr="009C13B8">
        <w:t xml:space="preserve">Het kabinet is voornemens de SCE van 2 maart tot 1 oktober 2026 open te stellen. Het openstellingsbudget is 78 miljoen euro, wat naar verwachting ruim genoeg is voor alle projecten die in 2026 een aanvraag willen doen. Het kabinet voert verschillende verbeteringen door binnen de SCE. Zo zullen de basisbedragen van verschillende categorieën worden verhoogd op basis van het advies van PBL om passend te stimuleren. Daarnaast is het kabinet voornemens de volgende wijzigingen door te voeren: </w:t>
      </w:r>
    </w:p>
    <w:p w:rsidRPr="009C13B8" w:rsidR="009C13B8" w:rsidP="000865B0" w:rsidRDefault="009C13B8" w14:paraId="73B190B9" w14:textId="222C293A">
      <w:pPr>
        <w:numPr>
          <w:ilvl w:val="0"/>
          <w:numId w:val="18"/>
        </w:numPr>
      </w:pPr>
      <w:r w:rsidRPr="009C13B8">
        <w:t>Verruiming categoriegrens kleinschalige zon-</w:t>
      </w:r>
      <w:r w:rsidR="003C6BDE">
        <w:t>PV</w:t>
      </w:r>
      <w:r w:rsidRPr="009C13B8">
        <w:t xml:space="preserve"> op een grootverbruikersaansluiting;</w:t>
      </w:r>
    </w:p>
    <w:p w:rsidRPr="009C13B8" w:rsidR="009C13B8" w:rsidP="000865B0" w:rsidRDefault="009C13B8" w14:paraId="7E09FB9E" w14:textId="2C494E2E">
      <w:pPr>
        <w:numPr>
          <w:ilvl w:val="0"/>
          <w:numId w:val="18"/>
        </w:numPr>
      </w:pPr>
      <w:r w:rsidRPr="009C13B8">
        <w:t>Toevoeging van categorieën voor zon-</w:t>
      </w:r>
      <w:r w:rsidR="003C6BDE">
        <w:t>PV</w:t>
      </w:r>
      <w:r w:rsidRPr="009C13B8">
        <w:t xml:space="preserve"> op zwakke daken;</w:t>
      </w:r>
    </w:p>
    <w:p w:rsidRPr="009C13B8" w:rsidR="009C13B8" w:rsidP="000865B0" w:rsidRDefault="009C13B8" w14:paraId="6006EAB0" w14:textId="166C25FE">
      <w:pPr>
        <w:numPr>
          <w:ilvl w:val="0"/>
          <w:numId w:val="18"/>
        </w:numPr>
      </w:pPr>
      <w:r w:rsidRPr="009C13B8">
        <w:t>Geen beperking meer op eigen verbruik bij zon-</w:t>
      </w:r>
      <w:r w:rsidR="003C6BDE">
        <w:t>PV</w:t>
      </w:r>
      <w:r w:rsidRPr="009C13B8">
        <w:t xml:space="preserve"> op een kleinverbruikersaansluiting;</w:t>
      </w:r>
    </w:p>
    <w:p w:rsidRPr="009C13B8" w:rsidR="009C13B8" w:rsidP="000865B0" w:rsidRDefault="009C13B8" w14:paraId="04663962" w14:textId="77777777">
      <w:pPr>
        <w:numPr>
          <w:ilvl w:val="0"/>
          <w:numId w:val="18"/>
        </w:numPr>
      </w:pPr>
      <w:r w:rsidRPr="009C13B8">
        <w:t>Versoepeling eisen bij vervangende windmolen (</w:t>
      </w:r>
      <w:proofErr w:type="spellStart"/>
      <w:r w:rsidRPr="009C13B8">
        <w:rPr>
          <w:i/>
          <w:iCs/>
        </w:rPr>
        <w:t>repowering</w:t>
      </w:r>
      <w:proofErr w:type="spellEnd"/>
      <w:r w:rsidRPr="009C13B8">
        <w:t>);</w:t>
      </w:r>
    </w:p>
    <w:p w:rsidRPr="009C13B8" w:rsidR="009C13B8" w:rsidP="000865B0" w:rsidRDefault="009C13B8" w14:paraId="77E72A9E" w14:textId="77777777">
      <w:pPr>
        <w:numPr>
          <w:ilvl w:val="0"/>
          <w:numId w:val="18"/>
        </w:numPr>
      </w:pPr>
      <w:r w:rsidRPr="009C13B8">
        <w:t>Waterkrachtprojecten niet langer in de SCE;</w:t>
      </w:r>
    </w:p>
    <w:p w:rsidRPr="009C13B8" w:rsidR="009C13B8" w:rsidP="000865B0" w:rsidRDefault="009C13B8" w14:paraId="7A5AD7FF" w14:textId="36D1EBCA">
      <w:pPr>
        <w:numPr>
          <w:ilvl w:val="0"/>
          <w:numId w:val="18"/>
        </w:numPr>
      </w:pPr>
      <w:r w:rsidRPr="009C13B8">
        <w:t xml:space="preserve">Onbalanskosten </w:t>
      </w:r>
      <w:r>
        <w:t>van</w:t>
      </w:r>
      <w:r w:rsidRPr="009C13B8">
        <w:t xml:space="preserve"> het correctiebedrag</w:t>
      </w:r>
      <w:r>
        <w:t xml:space="preserve"> naar het basisbedrag</w:t>
      </w:r>
      <w:r w:rsidRPr="009C13B8">
        <w:t>.</w:t>
      </w:r>
    </w:p>
    <w:p w:rsidRPr="009C13B8" w:rsidR="009C13B8" w:rsidP="000865B0" w:rsidRDefault="009C13B8" w14:paraId="0A1D415C" w14:textId="77777777"/>
    <w:p w:rsidRPr="009C13B8" w:rsidR="009C13B8" w:rsidP="000865B0" w:rsidRDefault="009C13B8" w14:paraId="1F61134E" w14:textId="77777777">
      <w:r w:rsidRPr="009C13B8">
        <w:t xml:space="preserve">Deze wijzigingen worden in de bijlage bij deze brief nader toegelicht. </w:t>
      </w:r>
    </w:p>
    <w:p w:rsidRPr="009C13B8" w:rsidR="009C13B8" w:rsidP="000865B0" w:rsidRDefault="009C13B8" w14:paraId="6A2E699B" w14:textId="77777777"/>
    <w:p w:rsidR="009C13B8" w:rsidP="000865B0" w:rsidRDefault="009C13B8" w14:paraId="22CCA119" w14:textId="77777777">
      <w:pPr>
        <w:rPr>
          <w:i/>
          <w:iCs/>
        </w:rPr>
      </w:pPr>
    </w:p>
    <w:p w:rsidR="009C13B8" w:rsidP="000865B0" w:rsidRDefault="009C13B8" w14:paraId="4929CB60" w14:textId="77777777">
      <w:pPr>
        <w:rPr>
          <w:i/>
          <w:iCs/>
        </w:rPr>
      </w:pPr>
    </w:p>
    <w:p w:rsidRPr="009C13B8" w:rsidR="009C13B8" w:rsidP="000865B0" w:rsidRDefault="009C13B8" w14:paraId="11964A16" w14:textId="67692E80">
      <w:pPr>
        <w:rPr>
          <w:i/>
          <w:iCs/>
        </w:rPr>
      </w:pPr>
      <w:r w:rsidRPr="009C13B8">
        <w:rPr>
          <w:i/>
          <w:iCs/>
        </w:rPr>
        <w:t>Basisbedragen SCE 2026</w:t>
      </w:r>
    </w:p>
    <w:p w:rsidRPr="009C13B8" w:rsidR="009C13B8" w:rsidP="000865B0" w:rsidRDefault="009C13B8" w14:paraId="4DA4DB40" w14:textId="77777777">
      <w:r w:rsidRPr="009C13B8">
        <w:t>Het basisbedrag voor de verschillende categorieën productie-installaties wordt vastgesteld in het openstellingsbesluit voor 2026. Dit is het bedrag dat per geproduceerde kWh nodig is om de productie-installatie rendabel te exploiteren. De basisbedragen zijn gebaseerd op het bij deze brief gevoegde eindadvies van het PBL voor de SCE 2026. Het PBL heeft bij de voorbereiding van het advies voor de SCE-openstelling van 2026 de sector wederom nauw betrokken om een zo volledig en actueel mogelijk beeld te verkrijgen van de omstandigheden en kosten waar projecten mee te maken hebben. Het PBL heeft in het advies onder meer rekening gehouden met gestegen investeringskosten en operationele kosten. Naast de basisbedragen biedt dit onafhankelijke advies ook de basis voor de gekozen categorieën productie-installaties.</w:t>
      </w:r>
    </w:p>
    <w:p w:rsidRPr="009C13B8" w:rsidR="009C13B8" w:rsidP="000865B0" w:rsidRDefault="009C13B8" w14:paraId="5672D72B" w14:textId="77777777"/>
    <w:p w:rsidR="009C13B8" w:rsidP="000865B0" w:rsidRDefault="009C13B8" w14:paraId="0EB5621E" w14:textId="77777777">
      <w:pPr>
        <w:rPr>
          <w:b/>
          <w:bCs/>
        </w:rPr>
      </w:pPr>
      <w:r w:rsidRPr="009C13B8">
        <w:rPr>
          <w:b/>
          <w:bCs/>
        </w:rPr>
        <w:t>Overige ontwikkelingen</w:t>
      </w:r>
    </w:p>
    <w:p w:rsidRPr="009C13B8" w:rsidR="009C13B8" w:rsidP="000865B0" w:rsidRDefault="009C13B8" w14:paraId="5F81D60A" w14:textId="77777777">
      <w:pPr>
        <w:rPr>
          <w:i/>
          <w:iCs/>
        </w:rPr>
      </w:pPr>
      <w:r w:rsidRPr="009C13B8">
        <w:rPr>
          <w:i/>
          <w:iCs/>
        </w:rPr>
        <w:t>Evaluatie SCE 2021-2025</w:t>
      </w:r>
    </w:p>
    <w:p w:rsidRPr="009C13B8" w:rsidR="009C13B8" w:rsidP="000865B0" w:rsidRDefault="009C13B8" w14:paraId="12FD1FDE" w14:textId="120BACFD">
      <w:r w:rsidRPr="009C13B8">
        <w:t>Momenteel wordt een evaluatie uitgevoerd van de SCE, op basis van de openstellingsrondes van de jaren 2021 tot en met 2025</w:t>
      </w:r>
      <w:r w:rsidR="00B12B39">
        <w:t>, o</w:t>
      </w:r>
      <w:r w:rsidRPr="009C13B8">
        <w:t xml:space="preserve">p grond van de </w:t>
      </w:r>
      <w:r w:rsidR="00B12B39">
        <w:t>verplichting</w:t>
      </w:r>
      <w:r w:rsidRPr="009C13B8">
        <w:t xml:space="preserve"> om subsidieregelingen elke vijf jaar te evalueren. De doelmatigheid en doeltreffend van de SCE, de consistentie van de SCE met andere beleidsinstrumenten en de ervaringen die gebruikers hebben met de SCE worden onderzocht. De evaluatie </w:t>
      </w:r>
      <w:r w:rsidR="002C22BD">
        <w:t xml:space="preserve">over de huidige vorm van de SCE </w:t>
      </w:r>
      <w:r w:rsidRPr="009C13B8">
        <w:t>wordt naar verwachting in februari 2026 afgerond. Conclusies en aanbevelingen die uit het evaluatierapport naar voren komen zullen bij de besluit</w:t>
      </w:r>
      <w:r w:rsidR="00035B54">
        <w:t>vorming</w:t>
      </w:r>
      <w:r w:rsidRPr="009C13B8">
        <w:t xml:space="preserve"> over de </w:t>
      </w:r>
      <w:r w:rsidR="00625474">
        <w:t>periode na 2026</w:t>
      </w:r>
      <w:r w:rsidRPr="009C13B8">
        <w:t xml:space="preserve"> worden meegenomen. </w:t>
      </w:r>
    </w:p>
    <w:p w:rsidRPr="009C13B8" w:rsidR="009C13B8" w:rsidP="000865B0" w:rsidRDefault="009C13B8" w14:paraId="13BC4026" w14:textId="77777777"/>
    <w:p w:rsidRPr="009C13B8" w:rsidR="009C13B8" w:rsidP="000865B0" w:rsidRDefault="009C13B8" w14:paraId="37F5A3A2" w14:textId="77777777">
      <w:pPr>
        <w:rPr>
          <w:i/>
          <w:iCs/>
        </w:rPr>
      </w:pPr>
      <w:r w:rsidRPr="009C13B8">
        <w:rPr>
          <w:i/>
          <w:iCs/>
        </w:rPr>
        <w:t xml:space="preserve">Tweerichtingscontracten </w:t>
      </w:r>
    </w:p>
    <w:p w:rsidR="004E38DC" w:rsidP="000865B0" w:rsidRDefault="009C13B8" w14:paraId="2A79E0AC" w14:textId="1631378A">
      <w:r w:rsidRPr="009C13B8">
        <w:t>Op 14 juli jl. heeft het kabinet de Tweede Kamer per brief geïnformeerd over de invoering van tweerichtingscontracten voor de verrekening van verschillen. Deze tweerichtingscontracten vervangen vanaf 2027 de SDE++ voor de stimulering van zon-</w:t>
      </w:r>
      <w:r w:rsidR="003C6BDE">
        <w:t>PV</w:t>
      </w:r>
      <w:r w:rsidRPr="009C13B8">
        <w:t xml:space="preserve"> en wind op land. Voor de SDE++ en de SCE geldt dat de huidige vorm van subsidie vanaf 17 juli 2027 niet meer is toegestaan voor nieuwe zon- en windprojecten</w:t>
      </w:r>
      <w:r w:rsidR="00630667">
        <w:t xml:space="preserve"> vanaf een bepaalde ondergrens</w:t>
      </w:r>
      <w:r w:rsidRPr="009C13B8">
        <w:t>. In plaats daarvan moet op grond van de gewijzigde Elektriciteits</w:t>
      </w:r>
      <w:r w:rsidR="004E215C">
        <w:t>markt</w:t>
      </w:r>
      <w:r w:rsidRPr="009C13B8">
        <w:t>verordening steun</w:t>
      </w:r>
      <w:r w:rsidR="00630667">
        <w:t xml:space="preserve"> voor deze projecten</w:t>
      </w:r>
      <w:r w:rsidRPr="009C13B8">
        <w:t xml:space="preserve"> </w:t>
      </w:r>
      <w:r w:rsidR="00197538">
        <w:t xml:space="preserve">in de EU </w:t>
      </w:r>
      <w:r w:rsidRPr="009C13B8">
        <w:t>verleend worden in de vorm van tweerichtingscontracten, waarmee in het geval van hoge elektriciteitsprijzen ook inkomsten kunnen worden gevorderd. Om tweerichtingscontracten tijdig te kunnen inzetten voor nieuwe projecten voor zon-PV en wind op land en zee is een spoedige behandeling van het wetsvoorstel in de Tweede Kamer van belang.</w:t>
      </w:r>
    </w:p>
    <w:p w:rsidR="00630667" w:rsidP="000865B0" w:rsidRDefault="00630667" w14:paraId="2162A646" w14:textId="77777777"/>
    <w:p w:rsidR="00B12B39" w:rsidP="000865B0" w:rsidRDefault="00B12B39" w14:paraId="7810BB6A" w14:textId="77777777">
      <w:pPr>
        <w:rPr>
          <w:i/>
          <w:iCs/>
        </w:rPr>
      </w:pPr>
      <w:r>
        <w:rPr>
          <w:i/>
          <w:iCs/>
        </w:rPr>
        <w:br w:type="page"/>
      </w:r>
    </w:p>
    <w:p w:rsidRPr="009C13B8" w:rsidR="009C13B8" w:rsidP="000865B0" w:rsidRDefault="009C13B8" w14:paraId="774D18B7" w14:textId="5733C4C6">
      <w:r w:rsidRPr="009C13B8">
        <w:rPr>
          <w:i/>
          <w:iCs/>
        </w:rPr>
        <w:t>Pilots voor collectieve opslag en zonne-energie</w:t>
      </w:r>
    </w:p>
    <w:p w:rsidRPr="009C13B8" w:rsidR="009C13B8" w:rsidP="000865B0" w:rsidRDefault="009C13B8" w14:paraId="63BA28E0" w14:textId="1BD47549">
      <w:pPr>
        <w:rPr>
          <w:i/>
          <w:iCs/>
        </w:rPr>
      </w:pPr>
      <w:r w:rsidRPr="009C13B8">
        <w:t xml:space="preserve">In het notaoverleg over de Klimaat- en Energieverkenning van 2 oktober jl. is aan het lid </w:t>
      </w:r>
      <w:proofErr w:type="spellStart"/>
      <w:r w:rsidRPr="009C13B8">
        <w:t>Kröger</w:t>
      </w:r>
      <w:proofErr w:type="spellEnd"/>
      <w:r w:rsidRPr="009C13B8">
        <w:t xml:space="preserve"> </w:t>
      </w:r>
      <w:r w:rsidR="004E215C">
        <w:t>de</w:t>
      </w:r>
      <w:r w:rsidRPr="009C13B8">
        <w:t xml:space="preserve"> toezegging</w:t>
      </w:r>
      <w:r w:rsidRPr="009C13B8">
        <w:rPr>
          <w:vertAlign w:val="superscript"/>
        </w:rPr>
        <w:footnoteReference w:id="1"/>
      </w:r>
      <w:r w:rsidRPr="009C13B8">
        <w:t xml:space="preserve"> gedaan om te kijken naar pilots voor collectieve energieopslag en het delen van zonne-energie. Het ondersteunen van energieopslag binnen de SCE is niet goed mogelijk, omdat de inkomsten van uitgestelde levering niet goed zijn in te schatten voor het bepalen van een correctiebedrag. Dit is essentieel voor de systematiek van de SCE. Dit kwam onder meer naar voren uit de analyse van het PBL in het Eindadvies basisbedragen SDE++ 2021</w:t>
      </w:r>
      <w:r w:rsidRPr="009C13B8">
        <w:rPr>
          <w:vertAlign w:val="superscript"/>
        </w:rPr>
        <w:footnoteReference w:id="2"/>
      </w:r>
      <w:r w:rsidRPr="009C13B8">
        <w:t>, waar van dezelfde systematiek gebruik gemaakt wordt</w:t>
      </w:r>
      <w:r w:rsidR="004E215C">
        <w:t xml:space="preserve"> als voor de SCE</w:t>
      </w:r>
      <w:r w:rsidRPr="009C13B8">
        <w:t>. De SCE, met een steunperiode van 15 jaar, leent zich daarnaast niet goed voor pilotprojecten. Wel kunnen innovatieve pilotprojecten voor coöperatieve energieopslag in aanmerking komen voor subsidie uit innovatieregelingen zoals de DEI+. Afgelopen jaren zijn al enkele projecten op het gebied van coöperatieve energieopslag ondersteund via deze subsidieregelingen, waaronder de projecten “COOP-STORE”</w:t>
      </w:r>
      <w:r w:rsidRPr="009C13B8">
        <w:rPr>
          <w:vertAlign w:val="superscript"/>
        </w:rPr>
        <w:footnoteReference w:id="3"/>
      </w:r>
      <w:r w:rsidRPr="009C13B8">
        <w:t xml:space="preserve"> en “</w:t>
      </w:r>
      <w:proofErr w:type="spellStart"/>
      <w:r w:rsidRPr="009C13B8">
        <w:t>WattFlex</w:t>
      </w:r>
      <w:proofErr w:type="spellEnd"/>
      <w:r w:rsidRPr="009C13B8">
        <w:t>”</w:t>
      </w:r>
      <w:r w:rsidRPr="009C13B8">
        <w:rPr>
          <w:vertAlign w:val="superscript"/>
        </w:rPr>
        <w:footnoteReference w:id="4"/>
      </w:r>
      <w:r w:rsidRPr="009C13B8">
        <w:t>.</w:t>
      </w:r>
    </w:p>
    <w:p w:rsidRPr="009C13B8" w:rsidR="009C13B8" w:rsidP="000865B0" w:rsidRDefault="009C13B8" w14:paraId="77BF1813" w14:textId="77777777"/>
    <w:p w:rsidRPr="009C13B8" w:rsidR="009C13B8" w:rsidP="000865B0" w:rsidRDefault="009C13B8" w14:paraId="790B9705" w14:textId="7EBA21E2">
      <w:r w:rsidRPr="009C13B8">
        <w:t>Ook kan een pilot met collectieve energieopslag en zonne-energie worden opgenomen in het vervolg van het Local4Local-programma. Zoals in de Kamerbrief over de rol van energiegemeenschappen in het energiesysteem</w:t>
      </w:r>
      <w:r w:rsidRPr="009C13B8">
        <w:rPr>
          <w:vertAlign w:val="superscript"/>
        </w:rPr>
        <w:footnoteReference w:id="5"/>
      </w:r>
      <w:r w:rsidRPr="009C13B8">
        <w:t xml:space="preserve"> is benoemd, verkent het kabinet de voortzetting van het Local4Local</w:t>
      </w:r>
      <w:r w:rsidR="00630667">
        <w:t>-</w:t>
      </w:r>
      <w:r w:rsidRPr="009C13B8">
        <w:t xml:space="preserve">programma met ondersteuning voor het verder ontwikkelen van pilots naar volwassen </w:t>
      </w:r>
      <w:proofErr w:type="spellStart"/>
      <w:r w:rsidRPr="009C13B8">
        <w:rPr>
          <w:i/>
          <w:iCs/>
        </w:rPr>
        <w:t>multicommodity</w:t>
      </w:r>
      <w:proofErr w:type="spellEnd"/>
      <w:r w:rsidR="00630667">
        <w:t>-</w:t>
      </w:r>
      <w:r w:rsidRPr="009C13B8">
        <w:t xml:space="preserve">energiehubs of </w:t>
      </w:r>
      <w:r w:rsidR="00630667">
        <w:t>-</w:t>
      </w:r>
      <w:r w:rsidRPr="009C13B8">
        <w:t xml:space="preserve">energiegemeenschappen. Energie Samen werkt tot eind maart 2026 aan een gedragen plan voor de doorontwikkeling van Local4Local. De doorontwikkeling gaat zowel over de opschaling van het aantal initiatieven als over de integratie van energiesystemen van bedrijven en de gebouwde omgeving. Het kabinet wil hiermee ruimte geven om te experimenteren met het combineren van opwek van duurzame energie met opslag en/of conversie naar andere energiedragers. Een pilot waarin collectieve energieopslag gecombineerd wordt met zonne-energie kan inzichten bieden in de impact van </w:t>
      </w:r>
      <w:r w:rsidR="004E215C">
        <w:t xml:space="preserve">een dergelijke </w:t>
      </w:r>
      <w:r w:rsidRPr="009C13B8">
        <w:t>integral</w:t>
      </w:r>
      <w:r w:rsidR="004E215C">
        <w:t>e benadering</w:t>
      </w:r>
      <w:r w:rsidRPr="009C13B8">
        <w:t xml:space="preserve"> op de business case en belasting van het elektriciteitsnet. </w:t>
      </w:r>
    </w:p>
    <w:p w:rsidRPr="009C13B8" w:rsidR="009C13B8" w:rsidP="000865B0" w:rsidRDefault="009C13B8" w14:paraId="4CADA06A" w14:textId="77777777"/>
    <w:p w:rsidRPr="009C13B8" w:rsidR="009C13B8" w:rsidP="000865B0" w:rsidRDefault="009C13B8" w14:paraId="3BEFD741" w14:textId="77777777"/>
    <w:p w:rsidRPr="009C13B8" w:rsidR="009C13B8" w:rsidP="000865B0" w:rsidRDefault="009C13B8" w14:paraId="7B219CCB" w14:textId="77777777"/>
    <w:p w:rsidR="009C13B8" w:rsidP="000865B0" w:rsidRDefault="009C13B8" w14:paraId="53892330" w14:textId="77777777"/>
    <w:p w:rsidRPr="009C13B8" w:rsidR="000865B0" w:rsidP="000865B0" w:rsidRDefault="000865B0" w14:paraId="340F6457" w14:textId="77777777"/>
    <w:p w:rsidRPr="009C13B8" w:rsidR="009C13B8" w:rsidP="000865B0" w:rsidRDefault="009C13B8" w14:paraId="4F17C3A0" w14:textId="77777777">
      <w:r w:rsidRPr="009C13B8">
        <w:t>Sophie Hermans</w:t>
      </w:r>
    </w:p>
    <w:p w:rsidRPr="009C13B8" w:rsidR="009C13B8" w:rsidP="000865B0" w:rsidRDefault="009C13B8" w14:paraId="5DB8AD23" w14:textId="77777777">
      <w:r w:rsidRPr="009C13B8">
        <w:t>Minister van Klimaat en Groene Groei</w:t>
      </w:r>
    </w:p>
    <w:p w:rsidR="00AF0A6A" w:rsidP="000865B0" w:rsidRDefault="00AF0A6A" w14:paraId="2775A103" w14:textId="77777777">
      <w:pPr>
        <w:rPr>
          <w:b/>
          <w:bCs/>
        </w:rPr>
      </w:pPr>
      <w:r>
        <w:rPr>
          <w:b/>
          <w:bCs/>
        </w:rPr>
        <w:br w:type="page"/>
      </w:r>
    </w:p>
    <w:p w:rsidRPr="009C13B8" w:rsidR="009C13B8" w:rsidP="000865B0" w:rsidRDefault="009C13B8" w14:paraId="10D6F3A8" w14:textId="1DC19B75">
      <w:pPr>
        <w:rPr>
          <w:b/>
          <w:bCs/>
        </w:rPr>
      </w:pPr>
      <w:r w:rsidRPr="009C13B8">
        <w:rPr>
          <w:b/>
          <w:bCs/>
        </w:rPr>
        <w:t>Bijlage – toelichting bij belangrijkste wijzigingen SCE 2026</w:t>
      </w:r>
    </w:p>
    <w:p w:rsidRPr="009C13B8" w:rsidR="009C13B8" w:rsidP="000865B0" w:rsidRDefault="009C13B8" w14:paraId="214E22A4" w14:textId="77777777"/>
    <w:p w:rsidRPr="009C13B8" w:rsidR="009C13B8" w:rsidP="000865B0" w:rsidRDefault="009C13B8" w14:paraId="4D93A04E" w14:textId="77777777">
      <w:pPr>
        <w:rPr>
          <w:i/>
          <w:iCs/>
        </w:rPr>
      </w:pPr>
      <w:r w:rsidRPr="009C13B8">
        <w:rPr>
          <w:i/>
          <w:iCs/>
        </w:rPr>
        <w:t>Verruiming categoriegrens kleinschalige zon-PV op grootverbruikersaansluiting</w:t>
      </w:r>
    </w:p>
    <w:p w:rsidR="000865B0" w:rsidP="000865B0" w:rsidRDefault="009C13B8" w14:paraId="4DE7B3F0" w14:textId="77777777">
      <w:r w:rsidRPr="009C13B8">
        <w:t>Het PBL adviseert op basis van de marktconsultatie voor 2026 een verruiming van de categorieën voor kleinschalige zon-</w:t>
      </w:r>
      <w:r w:rsidR="003C6BDE">
        <w:t>PV</w:t>
      </w:r>
      <w:r w:rsidRPr="009C13B8">
        <w:t xml:space="preserve"> op een grootverbruikersaansluiting (</w:t>
      </w:r>
      <w:proofErr w:type="spellStart"/>
      <w:r w:rsidRPr="009C13B8">
        <w:t>gva</w:t>
      </w:r>
      <w:proofErr w:type="spellEnd"/>
      <w:r w:rsidRPr="009C13B8">
        <w:t xml:space="preserve">). Deze grens ligt nu op 500 </w:t>
      </w:r>
      <w:proofErr w:type="spellStart"/>
      <w:r w:rsidRPr="009C13B8">
        <w:t>kWp</w:t>
      </w:r>
      <w:proofErr w:type="spellEnd"/>
      <w:r w:rsidRPr="009C13B8">
        <w:t xml:space="preserve"> en wordt verhoogd naar 1 </w:t>
      </w:r>
      <w:proofErr w:type="spellStart"/>
      <w:r w:rsidRPr="009C13B8">
        <w:t>MWp</w:t>
      </w:r>
      <w:proofErr w:type="spellEnd"/>
      <w:r w:rsidRPr="009C13B8">
        <w:t xml:space="preserve">. De grens van 500 </w:t>
      </w:r>
      <w:proofErr w:type="spellStart"/>
      <w:r w:rsidRPr="009C13B8">
        <w:t>kWp</w:t>
      </w:r>
      <w:proofErr w:type="spellEnd"/>
      <w:r w:rsidRPr="009C13B8">
        <w:t xml:space="preserve"> werd als beperkend ervaren, waardoor projecten die groter zijn in verschillende delen over meerdere jaren worden gerealiseerd om binnen deze grens te vallen. Het kabinet vindt verruiming wenselijk, omdat het bij projecten tot 1 </w:t>
      </w:r>
      <w:proofErr w:type="spellStart"/>
      <w:r w:rsidRPr="009C13B8">
        <w:t>MWp</w:t>
      </w:r>
      <w:proofErr w:type="spellEnd"/>
      <w:r w:rsidRPr="009C13B8">
        <w:t xml:space="preserve"> nog gaat om relatief kleinschalige projecten en omdat de verruiming naar verwachting bijdraagt aan een effectievere stimulering van deze projecten. Daarbij wordt de eis om bij de aanvraag een “verklaring geschiktheid dak of gevel”</w:t>
      </w:r>
      <w:r w:rsidRPr="009C13B8">
        <w:rPr>
          <w:vertAlign w:val="superscript"/>
        </w:rPr>
        <w:footnoteReference w:id="6"/>
      </w:r>
      <w:r w:rsidRPr="009C13B8">
        <w:t xml:space="preserve"> mee te sturen voortaan van toepassing op projecten tot 1 </w:t>
      </w:r>
      <w:proofErr w:type="spellStart"/>
      <w:r w:rsidRPr="009C13B8">
        <w:t>MWp</w:t>
      </w:r>
      <w:proofErr w:type="spellEnd"/>
      <w:r w:rsidRPr="009C13B8">
        <w:t xml:space="preserve"> (i.p.v. </w:t>
      </w:r>
    </w:p>
    <w:p w:rsidRPr="009C13B8" w:rsidR="009C13B8" w:rsidP="000865B0" w:rsidRDefault="009C13B8" w14:paraId="3379A90D" w14:textId="729EB737">
      <w:r w:rsidRPr="009C13B8">
        <w:t xml:space="preserve">500 </w:t>
      </w:r>
      <w:proofErr w:type="spellStart"/>
      <w:r w:rsidRPr="009C13B8">
        <w:t>kWp</w:t>
      </w:r>
      <w:proofErr w:type="spellEnd"/>
      <w:r w:rsidRPr="009C13B8">
        <w:t>). De eis van het meesturen van een dakconstructieverklaring</w:t>
      </w:r>
      <w:r w:rsidRPr="009C13B8">
        <w:rPr>
          <w:vertAlign w:val="superscript"/>
        </w:rPr>
        <w:footnoteReference w:id="7"/>
      </w:r>
      <w:r w:rsidRPr="009C13B8">
        <w:t xml:space="preserve"> die gold voor projecten vanaf 500 </w:t>
      </w:r>
      <w:proofErr w:type="spellStart"/>
      <w:r w:rsidRPr="009C13B8">
        <w:t>kWp</w:t>
      </w:r>
      <w:proofErr w:type="spellEnd"/>
      <w:r w:rsidRPr="009C13B8">
        <w:t xml:space="preserve">, geldt voortaan voor projecten vanaf 1 </w:t>
      </w:r>
      <w:proofErr w:type="spellStart"/>
      <w:r w:rsidRPr="009C13B8">
        <w:t>MWp</w:t>
      </w:r>
      <w:proofErr w:type="spellEnd"/>
      <w:r w:rsidRPr="009C13B8">
        <w:t xml:space="preserve">. </w:t>
      </w:r>
    </w:p>
    <w:p w:rsidRPr="009C13B8" w:rsidR="009C13B8" w:rsidP="000865B0" w:rsidRDefault="009C13B8" w14:paraId="5D5733F5" w14:textId="77777777">
      <w:pPr>
        <w:rPr>
          <w:i/>
          <w:iCs/>
        </w:rPr>
      </w:pPr>
    </w:p>
    <w:p w:rsidRPr="009C13B8" w:rsidR="009C13B8" w:rsidP="000865B0" w:rsidRDefault="009C13B8" w14:paraId="75712ED8" w14:textId="6AFA8102">
      <w:pPr>
        <w:rPr>
          <w:i/>
          <w:iCs/>
        </w:rPr>
      </w:pPr>
      <w:r w:rsidRPr="009C13B8">
        <w:rPr>
          <w:i/>
          <w:iCs/>
        </w:rPr>
        <w:t>Zon-</w:t>
      </w:r>
      <w:r w:rsidR="003C6BDE">
        <w:rPr>
          <w:i/>
          <w:iCs/>
        </w:rPr>
        <w:t>PV</w:t>
      </w:r>
      <w:r w:rsidRPr="009C13B8">
        <w:rPr>
          <w:i/>
          <w:iCs/>
        </w:rPr>
        <w:t xml:space="preserve"> op zwakke daken</w:t>
      </w:r>
    </w:p>
    <w:p w:rsidRPr="009C13B8" w:rsidR="009C13B8" w:rsidP="000865B0" w:rsidRDefault="009C13B8" w14:paraId="121F0371" w14:textId="0CEC6ED7">
      <w:r w:rsidRPr="009C13B8">
        <w:t>Het kabinet had het PBL gevraagd om te onderzoeken in hoeverre in de SCE behoefte is aan subsidie voor zon-</w:t>
      </w:r>
      <w:r w:rsidR="003C6BDE">
        <w:t>PV</w:t>
      </w:r>
      <w:r w:rsidRPr="009C13B8">
        <w:t xml:space="preserve"> op zwakke daken. Met zo’n subsidie worden de kosten vergoed voor versterking van de dakconstructie die nodig is om zonnepanelen te kunnen plaatsen. Steun voor zon-</w:t>
      </w:r>
      <w:r w:rsidR="003C6BDE">
        <w:t>PV</w:t>
      </w:r>
      <w:r w:rsidRPr="009C13B8">
        <w:t xml:space="preserve"> op zwakke daken is al opgenomen in de SDE++. Voor alle categorieën zon-op-</w:t>
      </w:r>
      <w:proofErr w:type="spellStart"/>
      <w:r w:rsidRPr="009C13B8">
        <w:t>dakprojecten</w:t>
      </w:r>
      <w:proofErr w:type="spellEnd"/>
      <w:r w:rsidRPr="009C13B8">
        <w:t xml:space="preserve"> heeft het PBL op basis van de marktconsultatie geadviseerd dergelijke steun aan de SCE toe te voegen. Het kabinet neemt dit advies over.</w:t>
      </w:r>
    </w:p>
    <w:p w:rsidRPr="009C13B8" w:rsidR="009C13B8" w:rsidP="000865B0" w:rsidRDefault="009C13B8" w14:paraId="4AD3B9FA" w14:textId="77777777">
      <w:pPr>
        <w:rPr>
          <w:i/>
          <w:iCs/>
        </w:rPr>
      </w:pPr>
    </w:p>
    <w:p w:rsidRPr="009C13B8" w:rsidR="009C13B8" w:rsidP="000865B0" w:rsidRDefault="009C13B8" w14:paraId="379280F1" w14:textId="70FA4EEF">
      <w:pPr>
        <w:rPr>
          <w:i/>
          <w:iCs/>
        </w:rPr>
      </w:pPr>
      <w:r w:rsidRPr="009C13B8">
        <w:rPr>
          <w:i/>
          <w:iCs/>
        </w:rPr>
        <w:t>Geen beperking meer op eigen verbruik bij zon-</w:t>
      </w:r>
      <w:r w:rsidR="003C6BDE">
        <w:rPr>
          <w:i/>
          <w:iCs/>
        </w:rPr>
        <w:t>PV</w:t>
      </w:r>
      <w:r w:rsidRPr="009C13B8">
        <w:rPr>
          <w:i/>
          <w:iCs/>
        </w:rPr>
        <w:t xml:space="preserve"> op </w:t>
      </w:r>
      <w:proofErr w:type="spellStart"/>
      <w:r w:rsidRPr="009C13B8">
        <w:rPr>
          <w:i/>
          <w:iCs/>
        </w:rPr>
        <w:t>kva</w:t>
      </w:r>
      <w:proofErr w:type="spellEnd"/>
    </w:p>
    <w:p w:rsidRPr="009C13B8" w:rsidR="009C13B8" w:rsidP="000865B0" w:rsidRDefault="009C13B8" w14:paraId="0A695E38" w14:textId="26BA28E8">
      <w:r w:rsidRPr="009C13B8">
        <w:t>Tot nu toe werd bij de categorie zon-</w:t>
      </w:r>
      <w:r w:rsidR="003C6BDE">
        <w:t>PV</w:t>
      </w:r>
      <w:r w:rsidRPr="009C13B8">
        <w:t xml:space="preserve"> op een kleinverbruikersaansluiting (</w:t>
      </w:r>
      <w:proofErr w:type="spellStart"/>
      <w:r w:rsidRPr="009C13B8">
        <w:t>kva</w:t>
      </w:r>
      <w:proofErr w:type="spellEnd"/>
      <w:r w:rsidRPr="009C13B8">
        <w:t xml:space="preserve">) vereist dat 100% van de stroom aan het net geleverd wordt, om te voorkomen dat sprake zou zijn van overcompensatie als ook van de salderingsregeling gebruik gemaakt wordt. De salderingsregeling wordt per 2027 afgeschaft. Het kabinet heeft het PBL gevraagd te adviseren over de implicaties hiervan voor projecten. </w:t>
      </w:r>
    </w:p>
    <w:p w:rsidRPr="009C13B8" w:rsidR="009C13B8" w:rsidP="000865B0" w:rsidRDefault="009C13B8" w14:paraId="07503475" w14:textId="77777777"/>
    <w:p w:rsidRPr="009C13B8" w:rsidR="009C13B8" w:rsidP="000865B0" w:rsidRDefault="009C13B8" w14:paraId="2AF92321" w14:textId="7E7CBCA2">
      <w:r w:rsidRPr="009C13B8">
        <w:t>Eigen verbruik van stroom heeft een gunstig effect op het energiesysteem en kan helpen om periodes met negatieve prijzen te verminderen en de impact van zonne-energie op netcongestie te beperken. Daarom wordt eigen verbruik voor productie vanaf 2027 voor zowel bestaande als nieuwe installaties toegestaan. Eigen verbruik komt niet in aanmerking voor subsidie bij projecten op een kleinverbruikersaansluiting (</w:t>
      </w:r>
      <w:proofErr w:type="spellStart"/>
      <w:r w:rsidRPr="009C13B8">
        <w:t>kva</w:t>
      </w:r>
      <w:proofErr w:type="spellEnd"/>
      <w:r w:rsidRPr="009C13B8">
        <w:t>). Kleinverbruikers vermijden bij gebruik van eigen stroom in plaats van stroom van het net namelijk dermate veel</w:t>
      </w:r>
      <w:r w:rsidR="004E38DC">
        <w:t xml:space="preserve"> kosten</w:t>
      </w:r>
      <w:r w:rsidRPr="009C13B8">
        <w:t xml:space="preserve"> dat er geen sprake is van een onrendabele top. </w:t>
      </w:r>
    </w:p>
    <w:p w:rsidRPr="009C13B8" w:rsidR="009C13B8" w:rsidP="000865B0" w:rsidRDefault="009C13B8" w14:paraId="32C56C6D" w14:textId="77777777">
      <w:pPr>
        <w:rPr>
          <w:i/>
          <w:iCs/>
        </w:rPr>
      </w:pPr>
    </w:p>
    <w:p w:rsidR="009C13B8" w:rsidP="000865B0" w:rsidRDefault="009C13B8" w14:paraId="1A946906" w14:textId="77777777">
      <w:pPr>
        <w:rPr>
          <w:i/>
          <w:iCs/>
        </w:rPr>
      </w:pPr>
    </w:p>
    <w:p w:rsidR="000865B0" w:rsidRDefault="000865B0" w14:paraId="4F52515C" w14:textId="77777777">
      <w:pPr>
        <w:spacing w:line="240" w:lineRule="auto"/>
        <w:rPr>
          <w:i/>
          <w:iCs/>
        </w:rPr>
      </w:pPr>
      <w:r>
        <w:rPr>
          <w:i/>
          <w:iCs/>
        </w:rPr>
        <w:br w:type="page"/>
      </w:r>
    </w:p>
    <w:p w:rsidRPr="009C13B8" w:rsidR="009C13B8" w:rsidP="000865B0" w:rsidRDefault="009C13B8" w14:paraId="5ADD575B" w14:textId="46D75E88">
      <w:pPr>
        <w:rPr>
          <w:i/>
          <w:iCs/>
        </w:rPr>
      </w:pPr>
      <w:r w:rsidRPr="009C13B8">
        <w:rPr>
          <w:i/>
          <w:iCs/>
        </w:rPr>
        <w:t>Versoepeling eisen bij vervangende windmolen (</w:t>
      </w:r>
      <w:proofErr w:type="spellStart"/>
      <w:r w:rsidRPr="009C13B8">
        <w:rPr>
          <w:i/>
          <w:iCs/>
        </w:rPr>
        <w:t>repowering</w:t>
      </w:r>
      <w:proofErr w:type="spellEnd"/>
      <w:r w:rsidRPr="009C13B8">
        <w:rPr>
          <w:i/>
          <w:iCs/>
        </w:rPr>
        <w:t>)</w:t>
      </w:r>
    </w:p>
    <w:p w:rsidRPr="009C13B8" w:rsidR="009C13B8" w:rsidP="000865B0" w:rsidRDefault="009C13B8" w14:paraId="786D1C04" w14:textId="77777777">
      <w:r w:rsidRPr="009C13B8">
        <w:t>Het kabinet kiest ervoor om de eisen bij vervanging van een bestaande windmolen door een nieuwe windmolen op dezelfde locatie te versoepelen en gelijk te trekken met de SDE++. Tot nu toe werd vereist dat de te vervangen windmolen er op het moment van vervanging minimaal 15 jaar heeft gestaan, en het vermogen van de vervangende windmolen minimaal 1 MW hoger is. Vanaf 2026 hoeft maar aan één van beide eisen te worden voldaan.</w:t>
      </w:r>
    </w:p>
    <w:p w:rsidRPr="009C13B8" w:rsidR="009C13B8" w:rsidP="000865B0" w:rsidRDefault="009C13B8" w14:paraId="30970AA8" w14:textId="77777777">
      <w:pPr>
        <w:rPr>
          <w:i/>
          <w:iCs/>
        </w:rPr>
      </w:pPr>
    </w:p>
    <w:p w:rsidRPr="009C13B8" w:rsidR="009C13B8" w:rsidP="000865B0" w:rsidRDefault="009C13B8" w14:paraId="2D80ACFE" w14:textId="77777777">
      <w:pPr>
        <w:rPr>
          <w:i/>
          <w:iCs/>
        </w:rPr>
      </w:pPr>
      <w:r w:rsidRPr="009C13B8">
        <w:rPr>
          <w:i/>
          <w:iCs/>
        </w:rPr>
        <w:t>Waterkrachtprojecten niet langer in SCE</w:t>
      </w:r>
    </w:p>
    <w:p w:rsidRPr="009C13B8" w:rsidR="009C13B8" w:rsidP="000865B0" w:rsidRDefault="009C13B8" w14:paraId="3C795D92" w14:textId="77777777">
      <w:r w:rsidRPr="009C13B8">
        <w:t>Al sinds de SCE voor het eerst in 2021 is opengesteld zijn er geen projecten voor waterkracht geweest. Uit de marktconsultatie van het PBL is gebleken dat er nog altijd geen concrete projecten voor waterkracht in voorbereiding zijn. Het kabinet besluit daarom om de categorie voor waterkracht niet langer open te stellen in de SCE. Mocht in de toekomst uit de marktconsultatie blijken dat er wel concrete projecten voorbereid worden, dan kan er in een toekomstige openstellingsronde overwogen worden weer een categorie voor waterkracht in de SCE op te nemen.</w:t>
      </w:r>
    </w:p>
    <w:p w:rsidRPr="009C13B8" w:rsidR="009C13B8" w:rsidP="000865B0" w:rsidRDefault="009C13B8" w14:paraId="170786F4" w14:textId="77777777">
      <w:pPr>
        <w:rPr>
          <w:i/>
          <w:iCs/>
        </w:rPr>
      </w:pPr>
    </w:p>
    <w:p w:rsidRPr="009C13B8" w:rsidR="009C13B8" w:rsidP="000865B0" w:rsidRDefault="009C13B8" w14:paraId="16D0FB1C" w14:textId="5070B83C">
      <w:pPr>
        <w:rPr>
          <w:i/>
          <w:iCs/>
        </w:rPr>
      </w:pPr>
      <w:r w:rsidRPr="009C13B8">
        <w:rPr>
          <w:i/>
          <w:iCs/>
        </w:rPr>
        <w:t xml:space="preserve">Onbalanskosten </w:t>
      </w:r>
      <w:r>
        <w:rPr>
          <w:i/>
          <w:iCs/>
        </w:rPr>
        <w:t>van</w:t>
      </w:r>
      <w:r w:rsidRPr="009C13B8">
        <w:rPr>
          <w:i/>
          <w:iCs/>
        </w:rPr>
        <w:t xml:space="preserve"> het correctiebedrag</w:t>
      </w:r>
      <w:r>
        <w:rPr>
          <w:i/>
          <w:iCs/>
        </w:rPr>
        <w:t xml:space="preserve"> naar het basisbedrag</w:t>
      </w:r>
    </w:p>
    <w:p w:rsidRPr="009C13B8" w:rsidR="009C13B8" w:rsidP="000865B0" w:rsidRDefault="009C13B8" w14:paraId="6A3E2B0D" w14:textId="6BC3C90F">
      <w:r w:rsidRPr="009C13B8">
        <w:t>Uit gesprekken met de Europese Commissie in het kader van de SDE++ is gebleken dat het niet is toegestaan om onbalanskosten van zon-</w:t>
      </w:r>
      <w:r w:rsidR="003C6BDE">
        <w:t>PV</w:t>
      </w:r>
      <w:r w:rsidRPr="009C13B8">
        <w:t xml:space="preserve"> en wind te vergoeden middels het correctiebedrag. Dit geldt ook voor de SCE. Op basis van de Elektriciteitsmarkt</w:t>
      </w:r>
      <w:r w:rsidR="00AF0A6A">
        <w:t>verordening</w:t>
      </w:r>
      <w:r w:rsidR="00AF0A6A">
        <w:rPr>
          <w:rStyle w:val="Voetnootmarkering"/>
        </w:rPr>
        <w:footnoteReference w:id="8"/>
      </w:r>
      <w:r w:rsidRPr="009C13B8">
        <w:t xml:space="preserve"> moeten producenten namelijk de volledige financiële verantwoordelijkheid dragen voor onbalanskosten, ook als het gaat om energiecoöperaties. De onbalansfactor wordt daarom niet langer meegenomen in het correctiebedrag. Om tegemoet te komen aan de onbalanskosten heeft het PBL een inschatting van de onbalanskosten meegenomen in het basisbedrag. Deze aanpassing in het correctie- en basisbedrag geldt alleen voor beschikkingen die vanaf 2026 worden afgegeven.</w:t>
      </w:r>
    </w:p>
    <w:p w:rsidRPr="009C13B8" w:rsidR="009C13B8" w:rsidP="000865B0" w:rsidRDefault="009C13B8" w14:paraId="6E066F4E" w14:textId="77777777"/>
    <w:p w:rsidRPr="009C13B8" w:rsidR="004E505E" w:rsidP="000865B0" w:rsidRDefault="009C13B8" w14:paraId="6D166FBE" w14:textId="0CB8E13D">
      <w:r w:rsidRPr="009C13B8">
        <w:t xml:space="preserve">In de uitgangspunten die jaarlijks aan het PBL worden meegegeven, staat onder meer dat het basisbedrag voor categorieën in de SCE wordt afgetopt op € 0,15 per kWh. Dit in verband met de kosteneffectiviteit van de uitgaven, die binnen de SCE al beperkt is in vergelijking met de SDE++, onder andere omdat </w:t>
      </w:r>
      <w:r w:rsidR="004E215C">
        <w:t xml:space="preserve">bij SCE-projecten </w:t>
      </w:r>
      <w:r w:rsidRPr="009C13B8">
        <w:t xml:space="preserve">minder sprake is van eigen verbruik van stroom. De verschuiving van de onbalanskosten van het correctiebedrag naar het basisbedrag leidt er bij een aantal categorieën in de SCE toe dat het basisbedrag (verder) boven de € 0,15 per kWh komt te liggen. Om te voorkomen dat projecten hier nadeel van ondervinden, wordt de aftopping verhoogd met de onbalanskosten, naar € 0,157 per kWh. </w:t>
      </w:r>
    </w:p>
    <w:sectPr w:rsidRPr="009C13B8"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C1A7" w14:textId="77777777" w:rsidR="00D62B72" w:rsidRDefault="00D62B72">
      <w:r>
        <w:separator/>
      </w:r>
    </w:p>
    <w:p w14:paraId="760CDD36" w14:textId="77777777" w:rsidR="00D62B72" w:rsidRDefault="00D62B72"/>
  </w:endnote>
  <w:endnote w:type="continuationSeparator" w:id="0">
    <w:p w14:paraId="22A25988" w14:textId="77777777" w:rsidR="00D62B72" w:rsidRDefault="00D62B72">
      <w:r>
        <w:continuationSeparator/>
      </w:r>
    </w:p>
    <w:p w14:paraId="49517EC9" w14:textId="77777777" w:rsidR="00D62B72" w:rsidRDefault="00D62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8E89" w14:textId="77777777" w:rsidR="007C7FD9" w:rsidRDefault="007C7F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333" w14:textId="65536958"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527507" w14:paraId="3EA55134" w14:textId="77777777" w:rsidTr="006D1737">
      <w:trPr>
        <w:trHeight w:hRule="exact" w:val="240"/>
      </w:trPr>
      <w:tc>
        <w:tcPr>
          <w:tcW w:w="7601" w:type="dxa"/>
        </w:tcPr>
        <w:p w14:paraId="68FD7F41" w14:textId="77777777" w:rsidR="006D1737" w:rsidRDefault="006D1737" w:rsidP="006D1737">
          <w:pPr>
            <w:pStyle w:val="Huisstijl-Rubricering"/>
          </w:pPr>
        </w:p>
      </w:tc>
      <w:tc>
        <w:tcPr>
          <w:tcW w:w="2156" w:type="dxa"/>
        </w:tcPr>
        <w:p w14:paraId="6007D7BF" w14:textId="6531640B" w:rsidR="006D1737" w:rsidRPr="00645414" w:rsidRDefault="002C22BD"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8D0E7E">
              <w:t>6</w:t>
            </w:r>
          </w:fldSimple>
          <w:r w:rsidRPr="00ED539E">
            <w:rPr>
              <w:rStyle w:val="Huisstijl-GegevenCharChar"/>
            </w:rPr>
            <w:t xml:space="preserve"> </w:t>
          </w:r>
          <w:r w:rsidRPr="00ED539E">
            <w:t xml:space="preserve"> </w:t>
          </w:r>
        </w:p>
      </w:tc>
      <w:tc>
        <w:tcPr>
          <w:tcW w:w="2156" w:type="dxa"/>
        </w:tcPr>
        <w:p w14:paraId="27ECB33F" w14:textId="77777777" w:rsidR="006D1737" w:rsidRPr="00645414" w:rsidRDefault="002C22BD" w:rsidP="006D1737">
          <w:pPr>
            <w:pStyle w:val="Huisstijl-Paginanummering"/>
          </w:pPr>
          <w:r w:rsidRPr="00645414">
            <w:t xml:space="preserve"> </w:t>
          </w:r>
        </w:p>
      </w:tc>
    </w:tr>
  </w:tbl>
  <w:p w14:paraId="6728FF2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507" w14:paraId="7AEAB305" w14:textId="77777777" w:rsidTr="00CA6A25">
      <w:trPr>
        <w:trHeight w:hRule="exact" w:val="240"/>
      </w:trPr>
      <w:tc>
        <w:tcPr>
          <w:tcW w:w="7601" w:type="dxa"/>
        </w:tcPr>
        <w:p w14:paraId="3953DEB6" w14:textId="7666EB07" w:rsidR="00527BD4" w:rsidRDefault="00527BD4" w:rsidP="008C356D">
          <w:pPr>
            <w:pStyle w:val="Huisstijl-Rubricering"/>
          </w:pPr>
        </w:p>
      </w:tc>
      <w:tc>
        <w:tcPr>
          <w:tcW w:w="2170" w:type="dxa"/>
        </w:tcPr>
        <w:p w14:paraId="6193B745" w14:textId="41FF4E9D" w:rsidR="00527BD4" w:rsidRPr="00ED539E" w:rsidRDefault="002C22B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2D1C8D">
              <w:t>6</w:t>
            </w:r>
          </w:fldSimple>
        </w:p>
      </w:tc>
    </w:tr>
  </w:tbl>
  <w:p w14:paraId="18E2C8AB" w14:textId="77777777" w:rsidR="00527BD4" w:rsidRPr="00BC3B53" w:rsidRDefault="00527BD4" w:rsidP="008C356D">
    <w:pPr>
      <w:pStyle w:val="Voettekst"/>
      <w:spacing w:line="240" w:lineRule="auto"/>
      <w:rPr>
        <w:sz w:val="2"/>
        <w:szCs w:val="2"/>
      </w:rPr>
    </w:pPr>
  </w:p>
  <w:p w14:paraId="4F3919B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DF1A" w14:textId="77777777" w:rsidR="00D62B72" w:rsidRDefault="00D62B72">
      <w:r>
        <w:separator/>
      </w:r>
    </w:p>
    <w:p w14:paraId="4662E713" w14:textId="77777777" w:rsidR="00D62B72" w:rsidRDefault="00D62B72"/>
  </w:footnote>
  <w:footnote w:type="continuationSeparator" w:id="0">
    <w:p w14:paraId="65531581" w14:textId="77777777" w:rsidR="00D62B72" w:rsidRDefault="00D62B72">
      <w:r>
        <w:continuationSeparator/>
      </w:r>
    </w:p>
    <w:p w14:paraId="3F6CE296" w14:textId="77777777" w:rsidR="00D62B72" w:rsidRDefault="00D62B72"/>
  </w:footnote>
  <w:footnote w:id="1">
    <w:p w14:paraId="0E431FB7" w14:textId="77777777" w:rsidR="009C13B8" w:rsidRPr="000865B0" w:rsidRDefault="009C13B8" w:rsidP="009C13B8">
      <w:pPr>
        <w:pStyle w:val="Voetnoottekst"/>
        <w:rPr>
          <w:szCs w:val="13"/>
        </w:rPr>
      </w:pPr>
      <w:r w:rsidRPr="000865B0">
        <w:rPr>
          <w:rStyle w:val="Voetnootmarkering"/>
          <w:szCs w:val="13"/>
        </w:rPr>
        <w:footnoteRef/>
      </w:r>
      <w:r w:rsidRPr="000865B0">
        <w:rPr>
          <w:szCs w:val="13"/>
        </w:rPr>
        <w:t xml:space="preserve"> Toezegging met nummer TZ202510-123.</w:t>
      </w:r>
    </w:p>
  </w:footnote>
  <w:footnote w:id="2">
    <w:p w14:paraId="40245AA4" w14:textId="77777777" w:rsidR="009C13B8" w:rsidRPr="000865B0" w:rsidRDefault="009C13B8" w:rsidP="009C13B8">
      <w:pPr>
        <w:pStyle w:val="Voetnoottekst"/>
        <w:rPr>
          <w:szCs w:val="13"/>
        </w:rPr>
      </w:pPr>
      <w:r w:rsidRPr="000865B0">
        <w:rPr>
          <w:rStyle w:val="Voetnootmarkering"/>
          <w:szCs w:val="13"/>
        </w:rPr>
        <w:footnoteRef/>
      </w:r>
      <w:r w:rsidRPr="000865B0">
        <w:rPr>
          <w:szCs w:val="13"/>
        </w:rPr>
        <w:t xml:space="preserve"> Zie </w:t>
      </w:r>
      <w:hyperlink r:id="rId1" w:history="1">
        <w:r w:rsidRPr="000865B0">
          <w:rPr>
            <w:rStyle w:val="Hyperlink"/>
            <w:szCs w:val="13"/>
          </w:rPr>
          <w:t>Eindadvies basisbedragen SDE++ 2021</w:t>
        </w:r>
      </w:hyperlink>
      <w:r w:rsidRPr="000865B0">
        <w:rPr>
          <w:szCs w:val="13"/>
        </w:rPr>
        <w:t xml:space="preserve">, bijlage F. </w:t>
      </w:r>
    </w:p>
  </w:footnote>
  <w:footnote w:id="3">
    <w:p w14:paraId="4DB61108" w14:textId="77777777" w:rsidR="009C13B8" w:rsidRPr="000865B0" w:rsidRDefault="009C13B8" w:rsidP="009C13B8">
      <w:pPr>
        <w:pStyle w:val="Voetnoottekst"/>
        <w:rPr>
          <w:szCs w:val="13"/>
          <w:lang w:val="en-US"/>
        </w:rPr>
      </w:pPr>
      <w:r w:rsidRPr="000865B0">
        <w:rPr>
          <w:rStyle w:val="Voetnootmarkering"/>
          <w:szCs w:val="13"/>
        </w:rPr>
        <w:footnoteRef/>
      </w:r>
      <w:r w:rsidRPr="000865B0">
        <w:rPr>
          <w:szCs w:val="13"/>
          <w:lang w:val="en-US"/>
        </w:rPr>
        <w:t xml:space="preserve"> </w:t>
      </w:r>
      <w:hyperlink r:id="rId2" w:history="1">
        <w:r w:rsidRPr="000865B0">
          <w:rPr>
            <w:rStyle w:val="Hyperlink"/>
            <w:szCs w:val="13"/>
            <w:lang w:val="en-US"/>
          </w:rPr>
          <w:t xml:space="preserve">Cooperative sustainable business models for storage - </w:t>
        </w:r>
        <w:proofErr w:type="spellStart"/>
        <w:r w:rsidRPr="000865B0">
          <w:rPr>
            <w:rStyle w:val="Hyperlink"/>
            <w:szCs w:val="13"/>
            <w:lang w:val="en-US"/>
          </w:rPr>
          <w:t>Topsector</w:t>
        </w:r>
        <w:proofErr w:type="spellEnd"/>
        <w:r w:rsidRPr="000865B0">
          <w:rPr>
            <w:rStyle w:val="Hyperlink"/>
            <w:szCs w:val="13"/>
            <w:lang w:val="en-US"/>
          </w:rPr>
          <w:t xml:space="preserve"> Energie</w:t>
        </w:r>
      </w:hyperlink>
      <w:r w:rsidRPr="000865B0">
        <w:rPr>
          <w:szCs w:val="13"/>
          <w:lang w:val="en-US"/>
        </w:rPr>
        <w:t xml:space="preserve">. </w:t>
      </w:r>
    </w:p>
  </w:footnote>
  <w:footnote w:id="4">
    <w:p w14:paraId="5CB8365F" w14:textId="77777777" w:rsidR="009C13B8" w:rsidRPr="000865B0" w:rsidRDefault="009C13B8" w:rsidP="009C13B8">
      <w:pPr>
        <w:pStyle w:val="Voetnoottekst"/>
        <w:rPr>
          <w:szCs w:val="13"/>
        </w:rPr>
      </w:pPr>
      <w:r w:rsidRPr="000865B0">
        <w:rPr>
          <w:rStyle w:val="Voetnootmarkering"/>
          <w:szCs w:val="13"/>
        </w:rPr>
        <w:footnoteRef/>
      </w:r>
      <w:r w:rsidRPr="000865B0">
        <w:rPr>
          <w:szCs w:val="13"/>
        </w:rPr>
        <w:t xml:space="preserve"> </w:t>
      </w:r>
      <w:hyperlink r:id="rId3" w:history="1">
        <w:proofErr w:type="spellStart"/>
        <w:r w:rsidRPr="000865B0">
          <w:rPr>
            <w:rStyle w:val="Hyperlink"/>
            <w:szCs w:val="13"/>
          </w:rPr>
          <w:t>Wattflex</w:t>
        </w:r>
        <w:proofErr w:type="spellEnd"/>
        <w:r w:rsidRPr="000865B0">
          <w:rPr>
            <w:rStyle w:val="Hyperlink"/>
            <w:szCs w:val="13"/>
          </w:rPr>
          <w:t xml:space="preserve">: ontwikkeling van coöperatieve </w:t>
        </w:r>
        <w:proofErr w:type="spellStart"/>
        <w:r w:rsidRPr="000865B0">
          <w:rPr>
            <w:rStyle w:val="Hyperlink"/>
            <w:szCs w:val="13"/>
          </w:rPr>
          <w:t>aggregator</w:t>
        </w:r>
        <w:proofErr w:type="spellEnd"/>
        <w:r w:rsidRPr="000865B0">
          <w:rPr>
            <w:rStyle w:val="Hyperlink"/>
            <w:szCs w:val="13"/>
          </w:rPr>
          <w:t xml:space="preserve"> diensten - Topsector Energie</w:t>
        </w:r>
      </w:hyperlink>
    </w:p>
  </w:footnote>
  <w:footnote w:id="5">
    <w:p w14:paraId="220ACBE1" w14:textId="77777777" w:rsidR="009C13B8" w:rsidRPr="000865B0" w:rsidRDefault="009C13B8" w:rsidP="009C13B8">
      <w:pPr>
        <w:pStyle w:val="Voetnoottekst"/>
        <w:rPr>
          <w:szCs w:val="13"/>
        </w:rPr>
      </w:pPr>
      <w:r w:rsidRPr="000865B0">
        <w:rPr>
          <w:rStyle w:val="Voetnootmarkering"/>
          <w:szCs w:val="13"/>
        </w:rPr>
        <w:footnoteRef/>
      </w:r>
      <w:r w:rsidRPr="000865B0">
        <w:rPr>
          <w:szCs w:val="13"/>
        </w:rPr>
        <w:t xml:space="preserve"> Brief van 29 september jl. met nummer 30196-854. </w:t>
      </w:r>
    </w:p>
  </w:footnote>
  <w:footnote w:id="6">
    <w:p w14:paraId="133C49C3" w14:textId="77777777" w:rsidR="009C13B8" w:rsidRPr="000865B0" w:rsidRDefault="009C13B8" w:rsidP="009C13B8">
      <w:pPr>
        <w:pStyle w:val="Voetnoottekst"/>
        <w:rPr>
          <w:szCs w:val="13"/>
        </w:rPr>
      </w:pPr>
      <w:r w:rsidRPr="000865B0">
        <w:rPr>
          <w:rStyle w:val="Voetnootmarkering"/>
          <w:szCs w:val="13"/>
        </w:rPr>
        <w:footnoteRef/>
      </w:r>
      <w:r w:rsidRPr="000865B0">
        <w:rPr>
          <w:szCs w:val="13"/>
        </w:rPr>
        <w:t xml:space="preserve"> Waarbij de schouw van dak of gevel door de aanvrager zelf mag zijn uitgevoerd. </w:t>
      </w:r>
    </w:p>
  </w:footnote>
  <w:footnote w:id="7">
    <w:p w14:paraId="0AE67B36" w14:textId="77777777" w:rsidR="009C13B8" w:rsidRPr="000865B0" w:rsidRDefault="009C13B8" w:rsidP="009C13B8">
      <w:pPr>
        <w:pStyle w:val="Voetnoottekst"/>
        <w:rPr>
          <w:szCs w:val="13"/>
        </w:rPr>
      </w:pPr>
      <w:r w:rsidRPr="000865B0">
        <w:rPr>
          <w:rStyle w:val="Voetnootmarkering"/>
          <w:szCs w:val="13"/>
        </w:rPr>
        <w:footnoteRef/>
      </w:r>
      <w:r w:rsidRPr="000865B0">
        <w:rPr>
          <w:szCs w:val="13"/>
        </w:rPr>
        <w:t xml:space="preserve"> Waarbij de dakconstructie door een constructeur moet zijn beoordeeld conform het Besluit bouwwerken leefomgeving. </w:t>
      </w:r>
    </w:p>
  </w:footnote>
  <w:footnote w:id="8">
    <w:p w14:paraId="2EAC75B0" w14:textId="2B4A33CE" w:rsidR="00AF0A6A" w:rsidRPr="000865B0" w:rsidRDefault="00AF0A6A">
      <w:pPr>
        <w:pStyle w:val="Voetnoottekst"/>
        <w:rPr>
          <w:szCs w:val="13"/>
        </w:rPr>
      </w:pPr>
      <w:r w:rsidRPr="000865B0">
        <w:rPr>
          <w:rStyle w:val="Voetnootmarkering"/>
          <w:szCs w:val="13"/>
        </w:rPr>
        <w:footnoteRef/>
      </w:r>
      <w:r w:rsidRPr="000865B0">
        <w:rPr>
          <w:szCs w:val="13"/>
        </w:rPr>
        <w:t xml:space="preserve"> Artikel 5 van verordening (EU)2019/943 betreffende de interne markt voor elektriciteit.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3852" w14:textId="77777777" w:rsidR="007C7FD9" w:rsidRDefault="007C7F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507" w14:paraId="76059BF1" w14:textId="77777777" w:rsidTr="00A50CF6">
      <w:tc>
        <w:tcPr>
          <w:tcW w:w="2156" w:type="dxa"/>
        </w:tcPr>
        <w:p w14:paraId="264D1404" w14:textId="77777777" w:rsidR="00527BD4" w:rsidRPr="00624D22" w:rsidRDefault="002C22BD" w:rsidP="00A50CF6">
          <w:pPr>
            <w:pStyle w:val="Huisstijl-Adres"/>
            <w:rPr>
              <w:b/>
            </w:rPr>
          </w:pPr>
          <w:r>
            <w:rPr>
              <w:b/>
            </w:rPr>
            <w:t>Directoraat-generaal Klimaat en Energie</w:t>
          </w:r>
        </w:p>
      </w:tc>
    </w:tr>
    <w:tr w:rsidR="00527507" w14:paraId="3633DBBF" w14:textId="77777777" w:rsidTr="00A50CF6">
      <w:trPr>
        <w:trHeight w:hRule="exact" w:val="200"/>
      </w:trPr>
      <w:tc>
        <w:tcPr>
          <w:tcW w:w="2156" w:type="dxa"/>
        </w:tcPr>
        <w:p w14:paraId="503C591F" w14:textId="77777777" w:rsidR="00527BD4" w:rsidRPr="005819CE" w:rsidRDefault="00527BD4" w:rsidP="00A50CF6"/>
      </w:tc>
    </w:tr>
    <w:tr w:rsidR="00527507" w14:paraId="5F539D6E" w14:textId="77777777" w:rsidTr="00502512">
      <w:trPr>
        <w:trHeight w:hRule="exact" w:val="774"/>
      </w:trPr>
      <w:tc>
        <w:tcPr>
          <w:tcW w:w="2156" w:type="dxa"/>
        </w:tcPr>
        <w:p w14:paraId="7E81EDEC" w14:textId="77777777" w:rsidR="00527BD4" w:rsidRDefault="00527BD4" w:rsidP="003A5290">
          <w:pPr>
            <w:pStyle w:val="Huisstijl-Kopje"/>
          </w:pPr>
        </w:p>
        <w:p w14:paraId="59917822" w14:textId="77777777" w:rsidR="00502512" w:rsidRPr="00502512" w:rsidRDefault="002C22BD" w:rsidP="003A5290">
          <w:pPr>
            <w:pStyle w:val="Huisstijl-Kopje"/>
            <w:rPr>
              <w:b w:val="0"/>
            </w:rPr>
          </w:pPr>
          <w:r>
            <w:rPr>
              <w:b w:val="0"/>
            </w:rPr>
            <w:t>DGKE-DSE</w:t>
          </w:r>
          <w:r w:rsidRPr="00502512">
            <w:rPr>
              <w:b w:val="0"/>
            </w:rPr>
            <w:t xml:space="preserve"> / </w:t>
          </w:r>
          <w:r>
            <w:rPr>
              <w:b w:val="0"/>
            </w:rPr>
            <w:t>101864750</w:t>
          </w:r>
        </w:p>
        <w:p w14:paraId="3CBAA4DE" w14:textId="77777777" w:rsidR="00527BD4" w:rsidRPr="005819CE" w:rsidRDefault="00527BD4" w:rsidP="00361A56">
          <w:pPr>
            <w:pStyle w:val="Huisstijl-Kopje"/>
          </w:pPr>
        </w:p>
      </w:tc>
    </w:tr>
  </w:tbl>
  <w:p w14:paraId="7805B8FC" w14:textId="77777777" w:rsidR="000865B0" w:rsidRDefault="000865B0" w:rsidP="004F44C2"/>
  <w:p w14:paraId="17679F58" w14:textId="77777777" w:rsidR="000865B0" w:rsidRDefault="000865B0" w:rsidP="004F44C2"/>
  <w:p w14:paraId="32E94D7C" w14:textId="77777777" w:rsidR="000865B0" w:rsidRDefault="000865B0" w:rsidP="004F44C2"/>
  <w:p w14:paraId="08D62CF1" w14:textId="77777777" w:rsidR="000865B0" w:rsidRDefault="000865B0" w:rsidP="004F44C2"/>
  <w:p w14:paraId="1774E0A3" w14:textId="77777777" w:rsidR="000865B0" w:rsidRDefault="000865B0" w:rsidP="004F44C2"/>
  <w:p w14:paraId="1DAD80A6" w14:textId="77777777" w:rsidR="000865B0" w:rsidRDefault="000865B0" w:rsidP="004F44C2"/>
  <w:p w14:paraId="7B13F0DB" w14:textId="77777777" w:rsidR="00527BD4" w:rsidRPr="00740712" w:rsidRDefault="00527BD4" w:rsidP="004F44C2"/>
  <w:p w14:paraId="470BFA4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507" w14:paraId="100D61DC" w14:textId="77777777" w:rsidTr="00751A6A">
      <w:trPr>
        <w:trHeight w:val="2636"/>
      </w:trPr>
      <w:tc>
        <w:tcPr>
          <w:tcW w:w="737" w:type="dxa"/>
        </w:tcPr>
        <w:p w14:paraId="3478F2D1" w14:textId="77777777" w:rsidR="00527BD4" w:rsidRDefault="00527BD4" w:rsidP="00D0609E">
          <w:pPr>
            <w:framePr w:w="6340" w:h="2750" w:hRule="exact" w:hSpace="180" w:wrap="around" w:vAnchor="page" w:hAnchor="text" w:x="3873" w:y="-140"/>
            <w:spacing w:line="240" w:lineRule="auto"/>
          </w:pPr>
        </w:p>
      </w:tc>
      <w:tc>
        <w:tcPr>
          <w:tcW w:w="5156" w:type="dxa"/>
        </w:tcPr>
        <w:p w14:paraId="1F07F9F8" w14:textId="77777777" w:rsidR="00527BD4" w:rsidRDefault="002C22BD"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1F73374" wp14:editId="237DA11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6C6FE253" w14:textId="77777777" w:rsidR="00527BD4" w:rsidRDefault="00527BD4" w:rsidP="00D0609E">
    <w:pPr>
      <w:framePr w:w="6340" w:h="2750" w:hRule="exact" w:hSpace="180" w:wrap="around" w:vAnchor="page" w:hAnchor="text" w:x="3873" w:y="-140"/>
    </w:pPr>
  </w:p>
  <w:p w14:paraId="1B4A8D3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507" w14:paraId="042558E6" w14:textId="77777777" w:rsidTr="00A50CF6">
      <w:tc>
        <w:tcPr>
          <w:tcW w:w="2160" w:type="dxa"/>
        </w:tcPr>
        <w:p w14:paraId="1617D1E5" w14:textId="77777777" w:rsidR="00527BD4" w:rsidRPr="00781DCA" w:rsidRDefault="002C22BD" w:rsidP="00A50CF6">
          <w:pPr>
            <w:pStyle w:val="Huisstijl-Adres"/>
            <w:rPr>
              <w:b/>
            </w:rPr>
          </w:pPr>
          <w:r>
            <w:rPr>
              <w:b/>
            </w:rPr>
            <w:t>Directoraat-generaal Klimaat en Energie</w:t>
          </w:r>
          <w:r w:rsidRPr="005819CE">
            <w:rPr>
              <w:b/>
            </w:rPr>
            <w:br/>
          </w:r>
          <w:r>
            <w:t>Directie Strategie Energiesysteem</w:t>
          </w:r>
        </w:p>
        <w:p w14:paraId="2ADBF50A" w14:textId="77777777" w:rsidR="00527BD4" w:rsidRPr="00BE5ED9" w:rsidRDefault="002C22BD" w:rsidP="00A50CF6">
          <w:pPr>
            <w:pStyle w:val="Huisstijl-Adres"/>
          </w:pPr>
          <w:r>
            <w:rPr>
              <w:b/>
            </w:rPr>
            <w:t>Bezoekadres</w:t>
          </w:r>
          <w:r>
            <w:rPr>
              <w:b/>
            </w:rPr>
            <w:br/>
          </w:r>
          <w:r>
            <w:t>Bezuidenhoutseweg 73</w:t>
          </w:r>
          <w:r w:rsidRPr="005819CE">
            <w:br/>
          </w:r>
          <w:r>
            <w:t>2594 AC Den Haag</w:t>
          </w:r>
        </w:p>
        <w:p w14:paraId="535458F9" w14:textId="77777777" w:rsidR="00EF495B" w:rsidRDefault="002C22BD" w:rsidP="0098788A">
          <w:pPr>
            <w:pStyle w:val="Huisstijl-Adres"/>
          </w:pPr>
          <w:r>
            <w:rPr>
              <w:b/>
            </w:rPr>
            <w:t>Postadres</w:t>
          </w:r>
          <w:r>
            <w:rPr>
              <w:b/>
            </w:rPr>
            <w:br/>
          </w:r>
          <w:r>
            <w:t>Postbus 20401</w:t>
          </w:r>
          <w:r w:rsidRPr="005819CE">
            <w:br/>
            <w:t>2500 E</w:t>
          </w:r>
          <w:r>
            <w:t>K</w:t>
          </w:r>
          <w:r w:rsidRPr="005819CE">
            <w:t xml:space="preserve"> Den Haag</w:t>
          </w:r>
        </w:p>
        <w:p w14:paraId="65E62837" w14:textId="77777777" w:rsidR="00EF495B" w:rsidRPr="005B3814" w:rsidRDefault="002C22BD" w:rsidP="0098788A">
          <w:pPr>
            <w:pStyle w:val="Huisstijl-Adres"/>
          </w:pPr>
          <w:r>
            <w:rPr>
              <w:b/>
            </w:rPr>
            <w:t>Overheidsidentificatienr</w:t>
          </w:r>
          <w:r>
            <w:rPr>
              <w:b/>
            </w:rPr>
            <w:br/>
          </w:r>
          <w:r w:rsidR="002D0DDB" w:rsidRPr="002D0DDB">
            <w:t>00000003952069570000</w:t>
          </w:r>
        </w:p>
        <w:p w14:paraId="77A8071A" w14:textId="1F2F865E" w:rsidR="00527BD4" w:rsidRPr="000865B0" w:rsidRDefault="002C22BD"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27507" w14:paraId="78132D9C" w14:textId="77777777" w:rsidTr="00A50CF6">
      <w:trPr>
        <w:trHeight w:hRule="exact" w:val="200"/>
      </w:trPr>
      <w:tc>
        <w:tcPr>
          <w:tcW w:w="2160" w:type="dxa"/>
        </w:tcPr>
        <w:p w14:paraId="27D02B20" w14:textId="77777777" w:rsidR="00527BD4" w:rsidRPr="00D71182" w:rsidRDefault="00527BD4" w:rsidP="00A50CF6">
          <w:pPr>
            <w:rPr>
              <w:lang w:val="fr-FR"/>
            </w:rPr>
          </w:pPr>
        </w:p>
      </w:tc>
    </w:tr>
    <w:tr w:rsidR="00527507" w14:paraId="4ADEC187" w14:textId="77777777" w:rsidTr="00A50CF6">
      <w:tc>
        <w:tcPr>
          <w:tcW w:w="2160" w:type="dxa"/>
        </w:tcPr>
        <w:p w14:paraId="12C9A25A" w14:textId="77777777" w:rsidR="000C0163" w:rsidRPr="005819CE" w:rsidRDefault="002C22BD" w:rsidP="000C0163">
          <w:pPr>
            <w:pStyle w:val="Huisstijl-Kopje"/>
          </w:pPr>
          <w:r>
            <w:t>Ons kenmerk</w:t>
          </w:r>
        </w:p>
        <w:p w14:paraId="63A0E732" w14:textId="04B794E2" w:rsidR="00527BD4" w:rsidRPr="005819CE" w:rsidRDefault="002C22BD" w:rsidP="00A50CF6">
          <w:pPr>
            <w:pStyle w:val="Huisstijl-Gegeven"/>
          </w:pPr>
          <w:r>
            <w:t>DGKE-DSE</w:t>
          </w:r>
          <w:r w:rsidR="00926AE2">
            <w:t xml:space="preserve"> / </w:t>
          </w:r>
          <w:r>
            <w:t>101864750</w:t>
          </w:r>
        </w:p>
        <w:p w14:paraId="2ED254EA" w14:textId="77777777" w:rsidR="00527BD4" w:rsidRPr="005819CE" w:rsidRDefault="002C22BD" w:rsidP="00A50CF6">
          <w:pPr>
            <w:pStyle w:val="Huisstijl-Kopje"/>
          </w:pPr>
          <w:r>
            <w:t>Bijlage(n)</w:t>
          </w:r>
        </w:p>
        <w:p w14:paraId="52A07591" w14:textId="3B9C358C" w:rsidR="00527BD4" w:rsidRDefault="000865B0" w:rsidP="00A50CF6">
          <w:pPr>
            <w:pStyle w:val="Huisstijl-Gegeven"/>
          </w:pPr>
          <w:r>
            <w:t>2</w:t>
          </w:r>
        </w:p>
        <w:p w14:paraId="56105020" w14:textId="6AC17AD4" w:rsidR="009C13B8" w:rsidRPr="005819CE" w:rsidRDefault="009C13B8" w:rsidP="00A50CF6">
          <w:pPr>
            <w:pStyle w:val="Huisstijl-Gegeven"/>
          </w:pPr>
        </w:p>
      </w:tc>
    </w:tr>
  </w:tbl>
  <w:p w14:paraId="5EB333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27507" w14:paraId="025F2F93" w14:textId="77777777" w:rsidTr="00C37826">
      <w:trPr>
        <w:trHeight w:val="400"/>
      </w:trPr>
      <w:tc>
        <w:tcPr>
          <w:tcW w:w="7371" w:type="dxa"/>
          <w:gridSpan w:val="2"/>
        </w:tcPr>
        <w:p w14:paraId="1BBB7AB5" w14:textId="77777777" w:rsidR="00527BD4" w:rsidRPr="00BC3B53" w:rsidRDefault="002C22B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527507" w14:paraId="50FF6C1C" w14:textId="77777777" w:rsidTr="00C37826">
      <w:tc>
        <w:tcPr>
          <w:tcW w:w="7371" w:type="dxa"/>
          <w:gridSpan w:val="2"/>
        </w:tcPr>
        <w:p w14:paraId="18B0C843" w14:textId="77777777" w:rsidR="00527BD4" w:rsidRPr="00983E8F" w:rsidRDefault="00527BD4" w:rsidP="00A50CF6">
          <w:pPr>
            <w:pStyle w:val="Huisstijl-Rubricering"/>
          </w:pPr>
        </w:p>
      </w:tc>
    </w:tr>
    <w:tr w:rsidR="00527507" w14:paraId="6210EE10" w14:textId="77777777" w:rsidTr="00C37826">
      <w:trPr>
        <w:trHeight w:hRule="exact" w:val="2440"/>
      </w:trPr>
      <w:tc>
        <w:tcPr>
          <w:tcW w:w="7371" w:type="dxa"/>
          <w:gridSpan w:val="2"/>
        </w:tcPr>
        <w:p w14:paraId="71E360BC" w14:textId="77777777" w:rsidR="00527BD4" w:rsidRDefault="002C22BD" w:rsidP="00A50CF6">
          <w:pPr>
            <w:pStyle w:val="Huisstijl-NAW"/>
          </w:pPr>
          <w:r>
            <w:t xml:space="preserve">De Voorzitter van de Tweede Kamer </w:t>
          </w:r>
        </w:p>
        <w:p w14:paraId="3B030216" w14:textId="77777777" w:rsidR="00D87195" w:rsidRDefault="002C22BD" w:rsidP="00D87195">
          <w:pPr>
            <w:pStyle w:val="Huisstijl-NAW"/>
          </w:pPr>
          <w:r>
            <w:t>der Staten-Generaal</w:t>
          </w:r>
        </w:p>
        <w:p w14:paraId="7D73CE25" w14:textId="77777777" w:rsidR="00EA0F13" w:rsidRDefault="002C22BD" w:rsidP="00EA0F13">
          <w:pPr>
            <w:rPr>
              <w:szCs w:val="18"/>
            </w:rPr>
          </w:pPr>
          <w:r>
            <w:rPr>
              <w:szCs w:val="18"/>
            </w:rPr>
            <w:t>Prinses Irenestraat 6</w:t>
          </w:r>
        </w:p>
        <w:p w14:paraId="5EB85E92" w14:textId="77777777" w:rsidR="00985E56" w:rsidRDefault="002C22BD" w:rsidP="00EA0F13">
          <w:r>
            <w:rPr>
              <w:szCs w:val="18"/>
            </w:rPr>
            <w:t>2595 BD  DEN HAAG</w:t>
          </w:r>
        </w:p>
      </w:tc>
    </w:tr>
    <w:tr w:rsidR="00527507" w14:paraId="4863074A" w14:textId="77777777" w:rsidTr="00C37826">
      <w:trPr>
        <w:trHeight w:hRule="exact" w:val="400"/>
      </w:trPr>
      <w:tc>
        <w:tcPr>
          <w:tcW w:w="7371" w:type="dxa"/>
          <w:gridSpan w:val="2"/>
        </w:tcPr>
        <w:p w14:paraId="3E89D2A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27507" w14:paraId="4C5D60D7" w14:textId="77777777" w:rsidTr="00C37826">
      <w:trPr>
        <w:trHeight w:val="240"/>
      </w:trPr>
      <w:tc>
        <w:tcPr>
          <w:tcW w:w="709" w:type="dxa"/>
        </w:tcPr>
        <w:p w14:paraId="1A1B8BAF" w14:textId="77777777" w:rsidR="00527BD4" w:rsidRPr="00C37826" w:rsidRDefault="002C22BD" w:rsidP="00A50CF6">
          <w:pPr>
            <w:rPr>
              <w:szCs w:val="18"/>
            </w:rPr>
          </w:pPr>
          <w:r>
            <w:rPr>
              <w:szCs w:val="18"/>
            </w:rPr>
            <w:t>Datum</w:t>
          </w:r>
        </w:p>
      </w:tc>
      <w:tc>
        <w:tcPr>
          <w:tcW w:w="6662" w:type="dxa"/>
        </w:tcPr>
        <w:p w14:paraId="2DCA7E55" w14:textId="651B707F" w:rsidR="00527BD4" w:rsidRPr="007709EF" w:rsidRDefault="007C7FD9" w:rsidP="00A50CF6">
          <w:r>
            <w:t xml:space="preserve">5 januari </w:t>
          </w:r>
          <w:r>
            <w:t>2025</w:t>
          </w:r>
        </w:p>
      </w:tc>
    </w:tr>
    <w:tr w:rsidR="00527507" w14:paraId="057D065A" w14:textId="77777777" w:rsidTr="00C37826">
      <w:trPr>
        <w:trHeight w:val="240"/>
      </w:trPr>
      <w:tc>
        <w:tcPr>
          <w:tcW w:w="709" w:type="dxa"/>
        </w:tcPr>
        <w:p w14:paraId="3558E967" w14:textId="77777777" w:rsidR="00527BD4" w:rsidRPr="00C37826" w:rsidRDefault="002C22BD" w:rsidP="00A50CF6">
          <w:pPr>
            <w:rPr>
              <w:szCs w:val="18"/>
            </w:rPr>
          </w:pPr>
          <w:r>
            <w:rPr>
              <w:szCs w:val="18"/>
            </w:rPr>
            <w:t>Betreft</w:t>
          </w:r>
        </w:p>
      </w:tc>
      <w:tc>
        <w:tcPr>
          <w:tcW w:w="6662" w:type="dxa"/>
        </w:tcPr>
        <w:p w14:paraId="2EFEF155" w14:textId="77777777" w:rsidR="00527BD4" w:rsidRPr="007709EF" w:rsidRDefault="002C22BD" w:rsidP="00A50CF6">
          <w:r>
            <w:t>SCE: resultaten 2025 en openstelling 2026</w:t>
          </w:r>
        </w:p>
      </w:tc>
    </w:tr>
  </w:tbl>
  <w:p w14:paraId="28694E3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D0645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3C82CA7A">
      <w:start w:val="1"/>
      <w:numFmt w:val="bullet"/>
      <w:pStyle w:val="Lijstopsomteken"/>
      <w:lvlText w:val="•"/>
      <w:lvlJc w:val="left"/>
      <w:pPr>
        <w:tabs>
          <w:tab w:val="num" w:pos="227"/>
        </w:tabs>
        <w:ind w:left="227" w:hanging="227"/>
      </w:pPr>
      <w:rPr>
        <w:rFonts w:ascii="Verdana" w:hAnsi="Verdana" w:hint="default"/>
        <w:sz w:val="18"/>
        <w:szCs w:val="18"/>
      </w:rPr>
    </w:lvl>
    <w:lvl w:ilvl="1" w:tplc="69904B66" w:tentative="1">
      <w:start w:val="1"/>
      <w:numFmt w:val="bullet"/>
      <w:lvlText w:val="o"/>
      <w:lvlJc w:val="left"/>
      <w:pPr>
        <w:tabs>
          <w:tab w:val="num" w:pos="1440"/>
        </w:tabs>
        <w:ind w:left="1440" w:hanging="360"/>
      </w:pPr>
      <w:rPr>
        <w:rFonts w:ascii="Courier New" w:hAnsi="Courier New" w:cs="Courier New" w:hint="default"/>
      </w:rPr>
    </w:lvl>
    <w:lvl w:ilvl="2" w:tplc="DE82D53A" w:tentative="1">
      <w:start w:val="1"/>
      <w:numFmt w:val="bullet"/>
      <w:lvlText w:val=""/>
      <w:lvlJc w:val="left"/>
      <w:pPr>
        <w:tabs>
          <w:tab w:val="num" w:pos="2160"/>
        </w:tabs>
        <w:ind w:left="2160" w:hanging="360"/>
      </w:pPr>
      <w:rPr>
        <w:rFonts w:ascii="Wingdings" w:hAnsi="Wingdings" w:hint="default"/>
      </w:rPr>
    </w:lvl>
    <w:lvl w:ilvl="3" w:tplc="A300E27A" w:tentative="1">
      <w:start w:val="1"/>
      <w:numFmt w:val="bullet"/>
      <w:lvlText w:val=""/>
      <w:lvlJc w:val="left"/>
      <w:pPr>
        <w:tabs>
          <w:tab w:val="num" w:pos="2880"/>
        </w:tabs>
        <w:ind w:left="2880" w:hanging="360"/>
      </w:pPr>
      <w:rPr>
        <w:rFonts w:ascii="Symbol" w:hAnsi="Symbol" w:hint="default"/>
      </w:rPr>
    </w:lvl>
    <w:lvl w:ilvl="4" w:tplc="E9088682" w:tentative="1">
      <w:start w:val="1"/>
      <w:numFmt w:val="bullet"/>
      <w:lvlText w:val="o"/>
      <w:lvlJc w:val="left"/>
      <w:pPr>
        <w:tabs>
          <w:tab w:val="num" w:pos="3600"/>
        </w:tabs>
        <w:ind w:left="3600" w:hanging="360"/>
      </w:pPr>
      <w:rPr>
        <w:rFonts w:ascii="Courier New" w:hAnsi="Courier New" w:cs="Courier New" w:hint="default"/>
      </w:rPr>
    </w:lvl>
    <w:lvl w:ilvl="5" w:tplc="C590C006" w:tentative="1">
      <w:start w:val="1"/>
      <w:numFmt w:val="bullet"/>
      <w:lvlText w:val=""/>
      <w:lvlJc w:val="left"/>
      <w:pPr>
        <w:tabs>
          <w:tab w:val="num" w:pos="4320"/>
        </w:tabs>
        <w:ind w:left="4320" w:hanging="360"/>
      </w:pPr>
      <w:rPr>
        <w:rFonts w:ascii="Wingdings" w:hAnsi="Wingdings" w:hint="default"/>
      </w:rPr>
    </w:lvl>
    <w:lvl w:ilvl="6" w:tplc="3A3EDFD4" w:tentative="1">
      <w:start w:val="1"/>
      <w:numFmt w:val="bullet"/>
      <w:lvlText w:val=""/>
      <w:lvlJc w:val="left"/>
      <w:pPr>
        <w:tabs>
          <w:tab w:val="num" w:pos="5040"/>
        </w:tabs>
        <w:ind w:left="5040" w:hanging="360"/>
      </w:pPr>
      <w:rPr>
        <w:rFonts w:ascii="Symbol" w:hAnsi="Symbol" w:hint="default"/>
      </w:rPr>
    </w:lvl>
    <w:lvl w:ilvl="7" w:tplc="642EA126" w:tentative="1">
      <w:start w:val="1"/>
      <w:numFmt w:val="bullet"/>
      <w:lvlText w:val="o"/>
      <w:lvlJc w:val="left"/>
      <w:pPr>
        <w:tabs>
          <w:tab w:val="num" w:pos="5760"/>
        </w:tabs>
        <w:ind w:left="5760" w:hanging="360"/>
      </w:pPr>
      <w:rPr>
        <w:rFonts w:ascii="Courier New" w:hAnsi="Courier New" w:cs="Courier New" w:hint="default"/>
      </w:rPr>
    </w:lvl>
    <w:lvl w:ilvl="8" w:tplc="A46C3A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F36B680">
      <w:start w:val="1"/>
      <w:numFmt w:val="bullet"/>
      <w:pStyle w:val="Lijstopsomteken2"/>
      <w:lvlText w:val="–"/>
      <w:lvlJc w:val="left"/>
      <w:pPr>
        <w:tabs>
          <w:tab w:val="num" w:pos="227"/>
        </w:tabs>
        <w:ind w:left="227" w:firstLine="0"/>
      </w:pPr>
      <w:rPr>
        <w:rFonts w:ascii="Verdana" w:hAnsi="Verdana" w:hint="default"/>
      </w:rPr>
    </w:lvl>
    <w:lvl w:ilvl="1" w:tplc="CB90E5D6" w:tentative="1">
      <w:start w:val="1"/>
      <w:numFmt w:val="bullet"/>
      <w:lvlText w:val="o"/>
      <w:lvlJc w:val="left"/>
      <w:pPr>
        <w:tabs>
          <w:tab w:val="num" w:pos="1440"/>
        </w:tabs>
        <w:ind w:left="1440" w:hanging="360"/>
      </w:pPr>
      <w:rPr>
        <w:rFonts w:ascii="Courier New" w:hAnsi="Courier New" w:cs="Courier New" w:hint="default"/>
      </w:rPr>
    </w:lvl>
    <w:lvl w:ilvl="2" w:tplc="E91C6864" w:tentative="1">
      <w:start w:val="1"/>
      <w:numFmt w:val="bullet"/>
      <w:lvlText w:val=""/>
      <w:lvlJc w:val="left"/>
      <w:pPr>
        <w:tabs>
          <w:tab w:val="num" w:pos="2160"/>
        </w:tabs>
        <w:ind w:left="2160" w:hanging="360"/>
      </w:pPr>
      <w:rPr>
        <w:rFonts w:ascii="Wingdings" w:hAnsi="Wingdings" w:hint="default"/>
      </w:rPr>
    </w:lvl>
    <w:lvl w:ilvl="3" w:tplc="34CA73F6" w:tentative="1">
      <w:start w:val="1"/>
      <w:numFmt w:val="bullet"/>
      <w:lvlText w:val=""/>
      <w:lvlJc w:val="left"/>
      <w:pPr>
        <w:tabs>
          <w:tab w:val="num" w:pos="2880"/>
        </w:tabs>
        <w:ind w:left="2880" w:hanging="360"/>
      </w:pPr>
      <w:rPr>
        <w:rFonts w:ascii="Symbol" w:hAnsi="Symbol" w:hint="default"/>
      </w:rPr>
    </w:lvl>
    <w:lvl w:ilvl="4" w:tplc="117C3E74" w:tentative="1">
      <w:start w:val="1"/>
      <w:numFmt w:val="bullet"/>
      <w:lvlText w:val="o"/>
      <w:lvlJc w:val="left"/>
      <w:pPr>
        <w:tabs>
          <w:tab w:val="num" w:pos="3600"/>
        </w:tabs>
        <w:ind w:left="3600" w:hanging="360"/>
      </w:pPr>
      <w:rPr>
        <w:rFonts w:ascii="Courier New" w:hAnsi="Courier New" w:cs="Courier New" w:hint="default"/>
      </w:rPr>
    </w:lvl>
    <w:lvl w:ilvl="5" w:tplc="708046E4" w:tentative="1">
      <w:start w:val="1"/>
      <w:numFmt w:val="bullet"/>
      <w:lvlText w:val=""/>
      <w:lvlJc w:val="left"/>
      <w:pPr>
        <w:tabs>
          <w:tab w:val="num" w:pos="4320"/>
        </w:tabs>
        <w:ind w:left="4320" w:hanging="360"/>
      </w:pPr>
      <w:rPr>
        <w:rFonts w:ascii="Wingdings" w:hAnsi="Wingdings" w:hint="default"/>
      </w:rPr>
    </w:lvl>
    <w:lvl w:ilvl="6" w:tplc="06B010E2" w:tentative="1">
      <w:start w:val="1"/>
      <w:numFmt w:val="bullet"/>
      <w:lvlText w:val=""/>
      <w:lvlJc w:val="left"/>
      <w:pPr>
        <w:tabs>
          <w:tab w:val="num" w:pos="5040"/>
        </w:tabs>
        <w:ind w:left="5040" w:hanging="360"/>
      </w:pPr>
      <w:rPr>
        <w:rFonts w:ascii="Symbol" w:hAnsi="Symbol" w:hint="default"/>
      </w:rPr>
    </w:lvl>
    <w:lvl w:ilvl="7" w:tplc="0728EAB6" w:tentative="1">
      <w:start w:val="1"/>
      <w:numFmt w:val="bullet"/>
      <w:lvlText w:val="o"/>
      <w:lvlJc w:val="left"/>
      <w:pPr>
        <w:tabs>
          <w:tab w:val="num" w:pos="5760"/>
        </w:tabs>
        <w:ind w:left="5760" w:hanging="360"/>
      </w:pPr>
      <w:rPr>
        <w:rFonts w:ascii="Courier New" w:hAnsi="Courier New" w:cs="Courier New" w:hint="default"/>
      </w:rPr>
    </w:lvl>
    <w:lvl w:ilvl="8" w:tplc="E13A20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7F3C5B"/>
    <w:multiLevelType w:val="hybridMultilevel"/>
    <w:tmpl w:val="55982BD0"/>
    <w:lvl w:ilvl="0" w:tplc="44EC954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E908F5"/>
    <w:multiLevelType w:val="hybridMultilevel"/>
    <w:tmpl w:val="2BDACAD4"/>
    <w:lvl w:ilvl="0" w:tplc="86DAC76C">
      <w:numFmt w:val="bullet"/>
      <w:lvlText w:val="-"/>
      <w:lvlJc w:val="left"/>
      <w:pPr>
        <w:ind w:left="720" w:hanging="360"/>
      </w:pPr>
      <w:rPr>
        <w:rFonts w:ascii="Calibri" w:eastAsia="Times New Roman" w:hAnsi="Calibri" w:cs="Calibri" w:hint="default"/>
      </w:rPr>
    </w:lvl>
    <w:lvl w:ilvl="1" w:tplc="3454DE20">
      <w:start w:val="1"/>
      <w:numFmt w:val="bullet"/>
      <w:lvlText w:val="o"/>
      <w:lvlJc w:val="left"/>
      <w:pPr>
        <w:ind w:left="1440" w:hanging="360"/>
      </w:pPr>
      <w:rPr>
        <w:rFonts w:ascii="Courier New" w:hAnsi="Courier New" w:cs="Courier New" w:hint="default"/>
      </w:rPr>
    </w:lvl>
    <w:lvl w:ilvl="2" w:tplc="F638528A">
      <w:start w:val="1"/>
      <w:numFmt w:val="bullet"/>
      <w:lvlText w:val=""/>
      <w:lvlJc w:val="left"/>
      <w:pPr>
        <w:ind w:left="2160" w:hanging="360"/>
      </w:pPr>
      <w:rPr>
        <w:rFonts w:ascii="Wingdings" w:hAnsi="Wingdings" w:hint="default"/>
      </w:rPr>
    </w:lvl>
    <w:lvl w:ilvl="3" w:tplc="CBDA27FE">
      <w:start w:val="1"/>
      <w:numFmt w:val="bullet"/>
      <w:lvlText w:val=""/>
      <w:lvlJc w:val="left"/>
      <w:pPr>
        <w:ind w:left="2880" w:hanging="360"/>
      </w:pPr>
      <w:rPr>
        <w:rFonts w:ascii="Symbol" w:hAnsi="Symbol" w:hint="default"/>
      </w:rPr>
    </w:lvl>
    <w:lvl w:ilvl="4" w:tplc="AFAAB7C4">
      <w:start w:val="1"/>
      <w:numFmt w:val="bullet"/>
      <w:lvlText w:val="o"/>
      <w:lvlJc w:val="left"/>
      <w:pPr>
        <w:ind w:left="3600" w:hanging="360"/>
      </w:pPr>
      <w:rPr>
        <w:rFonts w:ascii="Courier New" w:hAnsi="Courier New" w:cs="Courier New" w:hint="default"/>
      </w:rPr>
    </w:lvl>
    <w:lvl w:ilvl="5" w:tplc="53381CA2">
      <w:start w:val="1"/>
      <w:numFmt w:val="bullet"/>
      <w:lvlText w:val=""/>
      <w:lvlJc w:val="left"/>
      <w:pPr>
        <w:ind w:left="4320" w:hanging="360"/>
      </w:pPr>
      <w:rPr>
        <w:rFonts w:ascii="Wingdings" w:hAnsi="Wingdings" w:hint="default"/>
      </w:rPr>
    </w:lvl>
    <w:lvl w:ilvl="6" w:tplc="C88675FC">
      <w:start w:val="1"/>
      <w:numFmt w:val="bullet"/>
      <w:lvlText w:val=""/>
      <w:lvlJc w:val="left"/>
      <w:pPr>
        <w:ind w:left="5040" w:hanging="360"/>
      </w:pPr>
      <w:rPr>
        <w:rFonts w:ascii="Symbol" w:hAnsi="Symbol" w:hint="default"/>
      </w:rPr>
    </w:lvl>
    <w:lvl w:ilvl="7" w:tplc="AD9A944C">
      <w:start w:val="1"/>
      <w:numFmt w:val="bullet"/>
      <w:lvlText w:val="o"/>
      <w:lvlJc w:val="left"/>
      <w:pPr>
        <w:ind w:left="5760" w:hanging="360"/>
      </w:pPr>
      <w:rPr>
        <w:rFonts w:ascii="Courier New" w:hAnsi="Courier New" w:cs="Courier New" w:hint="default"/>
      </w:rPr>
    </w:lvl>
    <w:lvl w:ilvl="8" w:tplc="8D9033FE">
      <w:start w:val="1"/>
      <w:numFmt w:val="bullet"/>
      <w:lvlText w:val=""/>
      <w:lvlJc w:val="left"/>
      <w:pPr>
        <w:ind w:left="6480" w:hanging="360"/>
      </w:pPr>
      <w:rPr>
        <w:rFonts w:ascii="Wingdings" w:hAnsi="Wingdings" w:hint="default"/>
      </w:rPr>
    </w:lvl>
  </w:abstractNum>
  <w:abstractNum w:abstractNumId="16" w15:restartNumberingAfterBreak="0">
    <w:nsid w:val="400E1CAE"/>
    <w:multiLevelType w:val="hybridMultilevel"/>
    <w:tmpl w:val="FFFFFFFF"/>
    <w:lvl w:ilvl="0" w:tplc="3564847E">
      <w:numFmt w:val="bullet"/>
      <w:lvlText w:val="-"/>
      <w:lvlJc w:val="left"/>
      <w:pPr>
        <w:ind w:left="720" w:hanging="360"/>
      </w:pPr>
      <w:rPr>
        <w:rFonts w:ascii="Aptos" w:eastAsia="Times New Roman" w:hAnsi="Aptos"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3669055">
    <w:abstractNumId w:val="11"/>
  </w:num>
  <w:num w:numId="2" w16cid:durableId="2034109620">
    <w:abstractNumId w:val="7"/>
  </w:num>
  <w:num w:numId="3" w16cid:durableId="303433400">
    <w:abstractNumId w:val="6"/>
  </w:num>
  <w:num w:numId="4" w16cid:durableId="1357924959">
    <w:abstractNumId w:val="5"/>
  </w:num>
  <w:num w:numId="5" w16cid:durableId="858154168">
    <w:abstractNumId w:val="4"/>
  </w:num>
  <w:num w:numId="6" w16cid:durableId="1925650070">
    <w:abstractNumId w:val="8"/>
  </w:num>
  <w:num w:numId="7" w16cid:durableId="503135167">
    <w:abstractNumId w:val="3"/>
  </w:num>
  <w:num w:numId="8" w16cid:durableId="1404984482">
    <w:abstractNumId w:val="2"/>
  </w:num>
  <w:num w:numId="9" w16cid:durableId="734859785">
    <w:abstractNumId w:val="1"/>
  </w:num>
  <w:num w:numId="10" w16cid:durableId="710572454">
    <w:abstractNumId w:val="0"/>
  </w:num>
  <w:num w:numId="11" w16cid:durableId="794641926">
    <w:abstractNumId w:val="10"/>
  </w:num>
  <w:num w:numId="12" w16cid:durableId="446395096">
    <w:abstractNumId w:val="12"/>
  </w:num>
  <w:num w:numId="13" w16cid:durableId="1775706273">
    <w:abstractNumId w:val="17"/>
  </w:num>
  <w:num w:numId="14" w16cid:durableId="214195775">
    <w:abstractNumId w:val="13"/>
  </w:num>
  <w:num w:numId="15" w16cid:durableId="301740009">
    <w:abstractNumId w:val="15"/>
  </w:num>
  <w:num w:numId="16" w16cid:durableId="1818104554">
    <w:abstractNumId w:val="16"/>
  </w:num>
  <w:num w:numId="17" w16cid:durableId="346952809">
    <w:abstractNumId w:val="14"/>
  </w:num>
  <w:num w:numId="18" w16cid:durableId="6919593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801"/>
    <w:rsid w:val="00035B54"/>
    <w:rsid w:val="00035E67"/>
    <w:rsid w:val="000366F3"/>
    <w:rsid w:val="0006024D"/>
    <w:rsid w:val="00062F81"/>
    <w:rsid w:val="00071F28"/>
    <w:rsid w:val="00074079"/>
    <w:rsid w:val="000865B0"/>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03467"/>
    <w:rsid w:val="00121BF0"/>
    <w:rsid w:val="00123704"/>
    <w:rsid w:val="001270C7"/>
    <w:rsid w:val="00132540"/>
    <w:rsid w:val="0014786A"/>
    <w:rsid w:val="001516A4"/>
    <w:rsid w:val="00151E5F"/>
    <w:rsid w:val="00152D79"/>
    <w:rsid w:val="00153E28"/>
    <w:rsid w:val="00154908"/>
    <w:rsid w:val="001569AB"/>
    <w:rsid w:val="00164D63"/>
    <w:rsid w:val="0016725C"/>
    <w:rsid w:val="001726F3"/>
    <w:rsid w:val="00173C51"/>
    <w:rsid w:val="00174CC2"/>
    <w:rsid w:val="00176CC6"/>
    <w:rsid w:val="00181BE4"/>
    <w:rsid w:val="00185576"/>
    <w:rsid w:val="00185951"/>
    <w:rsid w:val="00196B8B"/>
    <w:rsid w:val="00197538"/>
    <w:rsid w:val="00197698"/>
    <w:rsid w:val="001A2BEA"/>
    <w:rsid w:val="001A6D93"/>
    <w:rsid w:val="001C0AA5"/>
    <w:rsid w:val="001C32EC"/>
    <w:rsid w:val="001C38BD"/>
    <w:rsid w:val="001C4D5A"/>
    <w:rsid w:val="001E129E"/>
    <w:rsid w:val="001E34C6"/>
    <w:rsid w:val="001E5581"/>
    <w:rsid w:val="001F3C70"/>
    <w:rsid w:val="00200D88"/>
    <w:rsid w:val="00201F68"/>
    <w:rsid w:val="00212F2A"/>
    <w:rsid w:val="00214F2B"/>
    <w:rsid w:val="00217880"/>
    <w:rsid w:val="00222D66"/>
    <w:rsid w:val="00224A8A"/>
    <w:rsid w:val="00230238"/>
    <w:rsid w:val="002309A8"/>
    <w:rsid w:val="00231909"/>
    <w:rsid w:val="00231F82"/>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2BD"/>
    <w:rsid w:val="002C2830"/>
    <w:rsid w:val="002D001A"/>
    <w:rsid w:val="002D0DDB"/>
    <w:rsid w:val="002D1C8D"/>
    <w:rsid w:val="002D28E2"/>
    <w:rsid w:val="002D317B"/>
    <w:rsid w:val="002D3587"/>
    <w:rsid w:val="002D502D"/>
    <w:rsid w:val="002E0F69"/>
    <w:rsid w:val="002F5147"/>
    <w:rsid w:val="002F7ABD"/>
    <w:rsid w:val="0030029B"/>
    <w:rsid w:val="00310729"/>
    <w:rsid w:val="00312597"/>
    <w:rsid w:val="00327BA5"/>
    <w:rsid w:val="00334154"/>
    <w:rsid w:val="003372C4"/>
    <w:rsid w:val="00340ECA"/>
    <w:rsid w:val="00341FA0"/>
    <w:rsid w:val="00344444"/>
    <w:rsid w:val="00344F3D"/>
    <w:rsid w:val="00345299"/>
    <w:rsid w:val="00351A8D"/>
    <w:rsid w:val="003526BB"/>
    <w:rsid w:val="00352BCF"/>
    <w:rsid w:val="00352DFB"/>
    <w:rsid w:val="003537B7"/>
    <w:rsid w:val="00353932"/>
    <w:rsid w:val="0035464B"/>
    <w:rsid w:val="00361A56"/>
    <w:rsid w:val="0036252A"/>
    <w:rsid w:val="00364D9D"/>
    <w:rsid w:val="00366054"/>
    <w:rsid w:val="00371048"/>
    <w:rsid w:val="0037396C"/>
    <w:rsid w:val="0037421D"/>
    <w:rsid w:val="00376093"/>
    <w:rsid w:val="00383DA1"/>
    <w:rsid w:val="00385F30"/>
    <w:rsid w:val="00386BB2"/>
    <w:rsid w:val="00387AA6"/>
    <w:rsid w:val="00393696"/>
    <w:rsid w:val="00393963"/>
    <w:rsid w:val="00395575"/>
    <w:rsid w:val="00395672"/>
    <w:rsid w:val="003A06C8"/>
    <w:rsid w:val="003A0D7C"/>
    <w:rsid w:val="003A5290"/>
    <w:rsid w:val="003B0155"/>
    <w:rsid w:val="003B45A8"/>
    <w:rsid w:val="003B7EE7"/>
    <w:rsid w:val="003C2CCB"/>
    <w:rsid w:val="003C6BDE"/>
    <w:rsid w:val="003D39EC"/>
    <w:rsid w:val="003D5072"/>
    <w:rsid w:val="003D5DED"/>
    <w:rsid w:val="003E3DD5"/>
    <w:rsid w:val="003F07C6"/>
    <w:rsid w:val="003F1F6B"/>
    <w:rsid w:val="003F3757"/>
    <w:rsid w:val="003F38BD"/>
    <w:rsid w:val="003F44B7"/>
    <w:rsid w:val="004008E9"/>
    <w:rsid w:val="00413D48"/>
    <w:rsid w:val="00433F08"/>
    <w:rsid w:val="00441AC2"/>
    <w:rsid w:val="0044249B"/>
    <w:rsid w:val="0045023C"/>
    <w:rsid w:val="00451A5B"/>
    <w:rsid w:val="00452BCD"/>
    <w:rsid w:val="00452CEA"/>
    <w:rsid w:val="00460210"/>
    <w:rsid w:val="00465829"/>
    <w:rsid w:val="00465B52"/>
    <w:rsid w:val="0046708E"/>
    <w:rsid w:val="00472A65"/>
    <w:rsid w:val="00474463"/>
    <w:rsid w:val="00474B75"/>
    <w:rsid w:val="00483F0B"/>
    <w:rsid w:val="00496319"/>
    <w:rsid w:val="00497279"/>
    <w:rsid w:val="004A163B"/>
    <w:rsid w:val="004A5AA5"/>
    <w:rsid w:val="004A670A"/>
    <w:rsid w:val="004B5465"/>
    <w:rsid w:val="004B70F0"/>
    <w:rsid w:val="004D505E"/>
    <w:rsid w:val="004D72CA"/>
    <w:rsid w:val="004E215C"/>
    <w:rsid w:val="004E2242"/>
    <w:rsid w:val="004E38DC"/>
    <w:rsid w:val="004E4776"/>
    <w:rsid w:val="004E505E"/>
    <w:rsid w:val="004F42FF"/>
    <w:rsid w:val="004F44C2"/>
    <w:rsid w:val="00502512"/>
    <w:rsid w:val="0050322C"/>
    <w:rsid w:val="00503FD2"/>
    <w:rsid w:val="00505262"/>
    <w:rsid w:val="00516022"/>
    <w:rsid w:val="0051736A"/>
    <w:rsid w:val="00521CEE"/>
    <w:rsid w:val="00524FB4"/>
    <w:rsid w:val="00527507"/>
    <w:rsid w:val="00527BD4"/>
    <w:rsid w:val="00537095"/>
    <w:rsid w:val="005403C8"/>
    <w:rsid w:val="005429DC"/>
    <w:rsid w:val="005461DA"/>
    <w:rsid w:val="005565F9"/>
    <w:rsid w:val="00566A95"/>
    <w:rsid w:val="00573041"/>
    <w:rsid w:val="00575B80"/>
    <w:rsid w:val="0057620F"/>
    <w:rsid w:val="005819CE"/>
    <w:rsid w:val="0058298D"/>
    <w:rsid w:val="00584C1A"/>
    <w:rsid w:val="0058662B"/>
    <w:rsid w:val="00593C2B"/>
    <w:rsid w:val="00595231"/>
    <w:rsid w:val="00596166"/>
    <w:rsid w:val="00597F64"/>
    <w:rsid w:val="005A207F"/>
    <w:rsid w:val="005A2F35"/>
    <w:rsid w:val="005B3814"/>
    <w:rsid w:val="005B463E"/>
    <w:rsid w:val="005C2538"/>
    <w:rsid w:val="005C34E1"/>
    <w:rsid w:val="005C3FE0"/>
    <w:rsid w:val="005C740C"/>
    <w:rsid w:val="005D32D1"/>
    <w:rsid w:val="005D5646"/>
    <w:rsid w:val="005D625B"/>
    <w:rsid w:val="005F62D3"/>
    <w:rsid w:val="005F6D11"/>
    <w:rsid w:val="00600CF0"/>
    <w:rsid w:val="006048F4"/>
    <w:rsid w:val="0060660A"/>
    <w:rsid w:val="00613B1D"/>
    <w:rsid w:val="00617A44"/>
    <w:rsid w:val="006202B6"/>
    <w:rsid w:val="00621DEC"/>
    <w:rsid w:val="00624D22"/>
    <w:rsid w:val="00625474"/>
    <w:rsid w:val="00625CD0"/>
    <w:rsid w:val="0062627D"/>
    <w:rsid w:val="00627432"/>
    <w:rsid w:val="00630667"/>
    <w:rsid w:val="00632140"/>
    <w:rsid w:val="006448E4"/>
    <w:rsid w:val="00645414"/>
    <w:rsid w:val="00646880"/>
    <w:rsid w:val="00651CEE"/>
    <w:rsid w:val="00651FE5"/>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2B1D"/>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5F0"/>
    <w:rsid w:val="007B7905"/>
    <w:rsid w:val="007C406E"/>
    <w:rsid w:val="007C5183"/>
    <w:rsid w:val="007C53DC"/>
    <w:rsid w:val="007C7573"/>
    <w:rsid w:val="007C7FD9"/>
    <w:rsid w:val="007E2B20"/>
    <w:rsid w:val="007E6975"/>
    <w:rsid w:val="007F1653"/>
    <w:rsid w:val="007F439C"/>
    <w:rsid w:val="007F5331"/>
    <w:rsid w:val="00800CCA"/>
    <w:rsid w:val="00804C0B"/>
    <w:rsid w:val="00806120"/>
    <w:rsid w:val="00806F63"/>
    <w:rsid w:val="00810C93"/>
    <w:rsid w:val="00812028"/>
    <w:rsid w:val="00812DD8"/>
    <w:rsid w:val="00813082"/>
    <w:rsid w:val="0081395B"/>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1913"/>
    <w:rsid w:val="00883137"/>
    <w:rsid w:val="00883E6C"/>
    <w:rsid w:val="00894A3B"/>
    <w:rsid w:val="008A1F5D"/>
    <w:rsid w:val="008A28F5"/>
    <w:rsid w:val="008B1198"/>
    <w:rsid w:val="008B3471"/>
    <w:rsid w:val="008B3929"/>
    <w:rsid w:val="008B4125"/>
    <w:rsid w:val="008B4CB3"/>
    <w:rsid w:val="008B567B"/>
    <w:rsid w:val="008B7B24"/>
    <w:rsid w:val="008C356D"/>
    <w:rsid w:val="008D0E7E"/>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2349"/>
    <w:rsid w:val="00933376"/>
    <w:rsid w:val="00933A2F"/>
    <w:rsid w:val="00937D77"/>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13B8"/>
    <w:rsid w:val="009C2DE1"/>
    <w:rsid w:val="009C3F20"/>
    <w:rsid w:val="009C758B"/>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11FF"/>
    <w:rsid w:val="00A56946"/>
    <w:rsid w:val="00A6170E"/>
    <w:rsid w:val="00A63B8C"/>
    <w:rsid w:val="00A715F8"/>
    <w:rsid w:val="00A71696"/>
    <w:rsid w:val="00A77F6F"/>
    <w:rsid w:val="00A831FD"/>
    <w:rsid w:val="00A83352"/>
    <w:rsid w:val="00A850A2"/>
    <w:rsid w:val="00A91FA3"/>
    <w:rsid w:val="00A927D3"/>
    <w:rsid w:val="00AA7ADC"/>
    <w:rsid w:val="00AA7FC9"/>
    <w:rsid w:val="00AB1543"/>
    <w:rsid w:val="00AB237D"/>
    <w:rsid w:val="00AB5933"/>
    <w:rsid w:val="00AD4E6A"/>
    <w:rsid w:val="00AE013D"/>
    <w:rsid w:val="00AE11B7"/>
    <w:rsid w:val="00AE75C9"/>
    <w:rsid w:val="00AE7F68"/>
    <w:rsid w:val="00AF0A6A"/>
    <w:rsid w:val="00AF2321"/>
    <w:rsid w:val="00AF52F6"/>
    <w:rsid w:val="00AF54A8"/>
    <w:rsid w:val="00AF7237"/>
    <w:rsid w:val="00B0043A"/>
    <w:rsid w:val="00B00D75"/>
    <w:rsid w:val="00B04649"/>
    <w:rsid w:val="00B04ABD"/>
    <w:rsid w:val="00B070CB"/>
    <w:rsid w:val="00B12456"/>
    <w:rsid w:val="00B12B39"/>
    <w:rsid w:val="00B145F0"/>
    <w:rsid w:val="00B259C8"/>
    <w:rsid w:val="00B26CCF"/>
    <w:rsid w:val="00B30FC2"/>
    <w:rsid w:val="00B32A82"/>
    <w:rsid w:val="00B331A2"/>
    <w:rsid w:val="00B425F0"/>
    <w:rsid w:val="00B42DFA"/>
    <w:rsid w:val="00B531DD"/>
    <w:rsid w:val="00B55014"/>
    <w:rsid w:val="00B62232"/>
    <w:rsid w:val="00B65E34"/>
    <w:rsid w:val="00B70BF3"/>
    <w:rsid w:val="00B71DC2"/>
    <w:rsid w:val="00B80E8A"/>
    <w:rsid w:val="00B824BA"/>
    <w:rsid w:val="00B91CFC"/>
    <w:rsid w:val="00B93893"/>
    <w:rsid w:val="00B974E7"/>
    <w:rsid w:val="00BA1397"/>
    <w:rsid w:val="00BA7E0A"/>
    <w:rsid w:val="00BC3B53"/>
    <w:rsid w:val="00BC3B96"/>
    <w:rsid w:val="00BC4AE3"/>
    <w:rsid w:val="00BC5B28"/>
    <w:rsid w:val="00BD0678"/>
    <w:rsid w:val="00BD2370"/>
    <w:rsid w:val="00BE3F88"/>
    <w:rsid w:val="00BE4756"/>
    <w:rsid w:val="00BE5939"/>
    <w:rsid w:val="00BE5ED9"/>
    <w:rsid w:val="00BE7B41"/>
    <w:rsid w:val="00BF57CE"/>
    <w:rsid w:val="00BF7110"/>
    <w:rsid w:val="00C15A91"/>
    <w:rsid w:val="00C206F1"/>
    <w:rsid w:val="00C217E1"/>
    <w:rsid w:val="00C219B1"/>
    <w:rsid w:val="00C32CE5"/>
    <w:rsid w:val="00C37826"/>
    <w:rsid w:val="00C4015B"/>
    <w:rsid w:val="00C40268"/>
    <w:rsid w:val="00C40C60"/>
    <w:rsid w:val="00C44581"/>
    <w:rsid w:val="00C5258E"/>
    <w:rsid w:val="00C530C9"/>
    <w:rsid w:val="00C619A7"/>
    <w:rsid w:val="00C73D5F"/>
    <w:rsid w:val="00C80455"/>
    <w:rsid w:val="00C82AFE"/>
    <w:rsid w:val="00C82E5F"/>
    <w:rsid w:val="00C83DBC"/>
    <w:rsid w:val="00C83EAD"/>
    <w:rsid w:val="00C97C80"/>
    <w:rsid w:val="00CA47D3"/>
    <w:rsid w:val="00CA6533"/>
    <w:rsid w:val="00CA6A25"/>
    <w:rsid w:val="00CA6A3F"/>
    <w:rsid w:val="00CA6FEB"/>
    <w:rsid w:val="00CA7C99"/>
    <w:rsid w:val="00CC6290"/>
    <w:rsid w:val="00CD233D"/>
    <w:rsid w:val="00CD3499"/>
    <w:rsid w:val="00CD362D"/>
    <w:rsid w:val="00CD69BA"/>
    <w:rsid w:val="00CE101D"/>
    <w:rsid w:val="00CE17E2"/>
    <w:rsid w:val="00CE1814"/>
    <w:rsid w:val="00CE1A95"/>
    <w:rsid w:val="00CE1C84"/>
    <w:rsid w:val="00CE5055"/>
    <w:rsid w:val="00CF053F"/>
    <w:rsid w:val="00CF1A17"/>
    <w:rsid w:val="00CF71AB"/>
    <w:rsid w:val="00D0375A"/>
    <w:rsid w:val="00D0609E"/>
    <w:rsid w:val="00D078E1"/>
    <w:rsid w:val="00D100E9"/>
    <w:rsid w:val="00D14F04"/>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2B72"/>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76EE"/>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641F2"/>
    <w:rsid w:val="00E717C4"/>
    <w:rsid w:val="00E77E18"/>
    <w:rsid w:val="00E77F89"/>
    <w:rsid w:val="00E80330"/>
    <w:rsid w:val="00E806C5"/>
    <w:rsid w:val="00E80E71"/>
    <w:rsid w:val="00E850D3"/>
    <w:rsid w:val="00E853D6"/>
    <w:rsid w:val="00E876B9"/>
    <w:rsid w:val="00E95E5E"/>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29C7"/>
    <w:rsid w:val="00F03963"/>
    <w:rsid w:val="00F11068"/>
    <w:rsid w:val="00F1256D"/>
    <w:rsid w:val="00F13A4E"/>
    <w:rsid w:val="00F172BB"/>
    <w:rsid w:val="00F17B10"/>
    <w:rsid w:val="00F21BEF"/>
    <w:rsid w:val="00F2315B"/>
    <w:rsid w:val="00F23E41"/>
    <w:rsid w:val="00F41A6F"/>
    <w:rsid w:val="00F45A25"/>
    <w:rsid w:val="00F470B5"/>
    <w:rsid w:val="00F50F86"/>
    <w:rsid w:val="00F53F91"/>
    <w:rsid w:val="00F61569"/>
    <w:rsid w:val="00F61A72"/>
    <w:rsid w:val="00F62B67"/>
    <w:rsid w:val="00F63889"/>
    <w:rsid w:val="00F65B0F"/>
    <w:rsid w:val="00F66F13"/>
    <w:rsid w:val="00F71F3C"/>
    <w:rsid w:val="00F74073"/>
    <w:rsid w:val="00F748E6"/>
    <w:rsid w:val="00F75603"/>
    <w:rsid w:val="00F845B4"/>
    <w:rsid w:val="00F8713B"/>
    <w:rsid w:val="00F93F9E"/>
    <w:rsid w:val="00F9533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0322C"/>
    <w:pPr>
      <w:ind w:left="720"/>
      <w:contextualSpacing/>
    </w:pPr>
  </w:style>
  <w:style w:type="paragraph" w:styleId="Onderwerpvanopmerking">
    <w:name w:val="annotation subject"/>
    <w:basedOn w:val="Tekstopmerking"/>
    <w:next w:val="Tekstopmerking"/>
    <w:link w:val="OnderwerpvanopmerkingChar"/>
    <w:semiHidden/>
    <w:unhideWhenUsed/>
    <w:rsid w:val="00DE76EE"/>
    <w:rPr>
      <w:b/>
      <w:bCs/>
    </w:rPr>
  </w:style>
  <w:style w:type="character" w:customStyle="1" w:styleId="OnderwerpvanopmerkingChar">
    <w:name w:val="Onderwerp van opmerking Char"/>
    <w:basedOn w:val="TekstopmerkingChar"/>
    <w:link w:val="Onderwerpvanopmerking"/>
    <w:semiHidden/>
    <w:rsid w:val="00DE76EE"/>
    <w:rPr>
      <w:rFonts w:ascii="Verdana" w:hAnsi="Verdana"/>
      <w:b/>
      <w:bCs/>
      <w:lang w:val="nl-NL" w:eastAsia="nl-NL"/>
    </w:rPr>
  </w:style>
  <w:style w:type="character" w:styleId="Voetnootmarkering">
    <w:name w:val="footnote reference"/>
    <w:basedOn w:val="Standaardalinea-lettertype"/>
    <w:semiHidden/>
    <w:unhideWhenUsed/>
    <w:rsid w:val="00DE76EE"/>
    <w:rPr>
      <w:vertAlign w:val="superscript"/>
    </w:rPr>
  </w:style>
  <w:style w:type="character" w:styleId="Onopgelostemelding">
    <w:name w:val="Unresolved Mention"/>
    <w:basedOn w:val="Standaardalinea-lettertype"/>
    <w:uiPriority w:val="99"/>
    <w:semiHidden/>
    <w:unhideWhenUsed/>
    <w:rsid w:val="00DE76EE"/>
    <w:rPr>
      <w:color w:val="605E5C"/>
      <w:shd w:val="clear" w:color="auto" w:fill="E1DFDD"/>
    </w:rPr>
  </w:style>
  <w:style w:type="table" w:styleId="Lijsttabel3-Accent1">
    <w:name w:val="List Table 3 Accent 1"/>
    <w:basedOn w:val="Standaardtabel"/>
    <w:uiPriority w:val="48"/>
    <w:rsid w:val="009C13B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evisie">
    <w:name w:val="Revision"/>
    <w:hidden/>
    <w:uiPriority w:val="99"/>
    <w:semiHidden/>
    <w:rsid w:val="004E215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rojecten.topsectorenergie.nl/projecten/wattflex-ontwikkeling-van-cooperatieve-aggregator-diensten-36292" TargetMode="External"/><Relationship Id="rId2" Type="http://schemas.openxmlformats.org/officeDocument/2006/relationships/hyperlink" Target="https://projecten.topsectorenergie.nl/projecten/cooperative-sustainable-business-models-for-storage-28974" TargetMode="External"/><Relationship Id="rId1" Type="http://schemas.openxmlformats.org/officeDocument/2006/relationships/hyperlink" Target="https://www.pbl.nl/uploads/default/downloads/pbl-2021-eindadvies-basisbedragen-sde-plus-plus-2021_403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2064</ap:Words>
  <ap:Characters>11354</ap:Characters>
  <ap:DocSecurity>0</ap:DocSecurity>
  <ap:Lines>94</ap:Lines>
  <ap:Paragraphs>26</ap:Paragraphs>
  <ap:ScaleCrop>false</ap:ScaleCrop>
  <ap:LinksUpToDate>false</ap:LinksUpToDate>
  <ap:CharactersWithSpaces>13392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2026-01-05T08:42:00.0000000Z</dcterms:created>
  <dcterms:modified xsi:type="dcterms:W3CDTF">2026-01-05T09:03:00.0000000Z</dcterms:modified>
  <dc:description>------------------------</dc:description>
  <dc:subject/>
  <keywords/>
  <version/>
  <category/>
</coreProperties>
</file>