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2E2" w:rsidRDefault="006863C7" w14:paraId="2EAE28A7" w14:textId="2BA0BD79">
      <w:pPr>
        <w:rPr>
          <w:rFonts w:ascii="Verdana" w:hAnsi="Verdana"/>
        </w:rPr>
      </w:pPr>
      <w:r w:rsidRPr="006863C7">
        <w:rPr>
          <w:rFonts w:ascii="Verdana" w:hAnsi="Verdana"/>
        </w:rPr>
        <w:t>Overzicht van wijzigingen op het Nationaal Strategisch Plan (</w:t>
      </w:r>
      <w:r>
        <w:rPr>
          <w:rFonts w:ascii="Verdana" w:hAnsi="Verdana"/>
        </w:rPr>
        <w:t>NSP)</w:t>
      </w:r>
    </w:p>
    <w:p w:rsidR="006863C7" w:rsidRDefault="006863C7" w14:paraId="7B5B3B15" w14:textId="77777777">
      <w:pPr>
        <w:rPr>
          <w:rFonts w:ascii="Verdana" w:hAnsi="Verdana"/>
        </w:rPr>
      </w:pPr>
    </w:p>
    <w:p w:rsidR="006863C7" w:rsidRDefault="006863C7" w14:paraId="11874C3C" w14:textId="4898BDBA">
      <w:pPr>
        <w:rPr>
          <w:rFonts w:ascii="Verdana" w:hAnsi="Verdana"/>
          <w:sz w:val="22"/>
          <w:szCs w:val="22"/>
        </w:rPr>
      </w:pPr>
      <w:r>
        <w:rPr>
          <w:rFonts w:ascii="Verdana" w:hAnsi="Verdana"/>
        </w:rPr>
        <w:t>NSP 5.1</w:t>
      </w:r>
      <w:r w:rsidR="003222BB">
        <w:rPr>
          <w:rFonts w:ascii="Verdana" w:hAnsi="Verdana"/>
        </w:rPr>
        <w:t xml:space="preserve"> </w:t>
      </w:r>
      <w:r w:rsidRPr="003222BB" w:rsidR="003222BB">
        <w:rPr>
          <w:rFonts w:ascii="Verdana" w:hAnsi="Verdana"/>
          <w:sz w:val="22"/>
          <w:szCs w:val="22"/>
        </w:rPr>
        <w:t xml:space="preserve">(goedgekeurd op </w:t>
      </w:r>
      <w:r w:rsidR="00B2414F">
        <w:rPr>
          <w:rFonts w:ascii="Verdana" w:hAnsi="Verdana"/>
          <w:sz w:val="22"/>
          <w:szCs w:val="22"/>
        </w:rPr>
        <w:t>30 juli 2025)</w:t>
      </w:r>
    </w:p>
    <w:p w:rsidR="007E4F99" w:rsidRDefault="007E4F99" w14:paraId="47602CD7" w14:textId="0BB87BB5">
      <w:pPr>
        <w:rPr>
          <w:rFonts w:ascii="Verdana" w:hAnsi="Verdana"/>
        </w:rPr>
      </w:pPr>
    </w:p>
    <w:p w:rsidRPr="00F8789C" w:rsidR="006863C7" w:rsidP="006863C7" w:rsidRDefault="006863C7" w14:paraId="5D096CDE" w14:textId="77777777">
      <w:pPr>
        <w:rPr>
          <w:rFonts w:ascii="Verdana" w:hAnsi="Verdana"/>
          <w:i/>
          <w:iCs/>
          <w:sz w:val="18"/>
          <w:szCs w:val="18"/>
        </w:rPr>
      </w:pPr>
      <w:proofErr w:type="spellStart"/>
      <w:r w:rsidRPr="00F8789C">
        <w:rPr>
          <w:rFonts w:ascii="Verdana" w:hAnsi="Verdana"/>
          <w:i/>
          <w:iCs/>
          <w:sz w:val="18"/>
          <w:szCs w:val="18"/>
        </w:rPr>
        <w:t>Eco</w:t>
      </w:r>
      <w:proofErr w:type="spellEnd"/>
      <w:r w:rsidRPr="00F8789C">
        <w:rPr>
          <w:rFonts w:ascii="Verdana" w:hAnsi="Verdana"/>
          <w:i/>
          <w:iCs/>
          <w:sz w:val="18"/>
          <w:szCs w:val="18"/>
        </w:rPr>
        <w:t>-regeling</w:t>
      </w:r>
    </w:p>
    <w:p w:rsidRPr="00F8789C" w:rsidR="006863C7" w:rsidP="006863C7" w:rsidRDefault="006863C7" w14:paraId="4DA27875" w14:textId="77777777">
      <w:pPr>
        <w:rPr>
          <w:rFonts w:ascii="Verdana" w:hAnsi="Verdana" w:eastAsia="Verdana" w:cs="Verdana"/>
          <w:color w:val="000000" w:themeColor="text1"/>
          <w:sz w:val="18"/>
          <w:szCs w:val="18"/>
        </w:rPr>
      </w:pPr>
      <w:r w:rsidRPr="00F8789C">
        <w:rPr>
          <w:rFonts w:ascii="Verdana" w:hAnsi="Verdana"/>
          <w:sz w:val="18"/>
          <w:szCs w:val="18"/>
        </w:rPr>
        <w:t xml:space="preserve">Voor de </w:t>
      </w:r>
      <w:proofErr w:type="spellStart"/>
      <w:r w:rsidRPr="00F8789C">
        <w:rPr>
          <w:rFonts w:ascii="Verdana" w:hAnsi="Verdana"/>
          <w:sz w:val="18"/>
          <w:szCs w:val="18"/>
        </w:rPr>
        <w:t>eco</w:t>
      </w:r>
      <w:proofErr w:type="spellEnd"/>
      <w:r w:rsidRPr="00F8789C">
        <w:rPr>
          <w:rFonts w:ascii="Verdana" w:hAnsi="Verdana"/>
          <w:sz w:val="18"/>
          <w:szCs w:val="18"/>
        </w:rPr>
        <w:t>-regeling is e</w:t>
      </w:r>
      <w:r w:rsidRPr="00F8789C">
        <w:rPr>
          <w:rFonts w:ascii="Verdana" w:hAnsi="Verdana" w:eastAsia="Verdana" w:cs="Verdana"/>
          <w:color w:val="000000" w:themeColor="text1"/>
          <w:sz w:val="18"/>
          <w:szCs w:val="18"/>
        </w:rPr>
        <w:t>en overheveling van pijler 1 naar pijler 2 gerealiseerd, zodat het budget voor deelnemers in 2026 stijgt</w:t>
      </w:r>
      <w:bookmarkStart w:name="OLE_LINK2" w:id="0"/>
      <w:r w:rsidRPr="00F8789C">
        <w:rPr>
          <w:rFonts w:ascii="Verdana" w:hAnsi="Verdana" w:eastAsia="Verdana" w:cs="Verdana"/>
          <w:color w:val="000000" w:themeColor="text1"/>
          <w:sz w:val="18"/>
          <w:szCs w:val="18"/>
        </w:rPr>
        <w:t>. Daarmee volg ik de motie-</w:t>
      </w:r>
      <w:proofErr w:type="spellStart"/>
      <w:r w:rsidRPr="00F8789C">
        <w:rPr>
          <w:rFonts w:ascii="Verdana" w:hAnsi="Verdana" w:eastAsia="Verdana" w:cs="Verdana"/>
          <w:color w:val="000000" w:themeColor="text1"/>
          <w:sz w:val="18"/>
          <w:szCs w:val="18"/>
        </w:rPr>
        <w:t>Flach</w:t>
      </w:r>
      <w:proofErr w:type="spellEnd"/>
      <w:r w:rsidRPr="00F8789C">
        <w:rPr>
          <w:rFonts w:ascii="Verdana" w:hAnsi="Verdana" w:eastAsia="Verdana" w:cs="Verdana"/>
          <w:color w:val="000000" w:themeColor="text1"/>
          <w:sz w:val="18"/>
          <w:szCs w:val="18"/>
        </w:rPr>
        <w:t xml:space="preserve"> (TK 36600-XIV-55) op waarin de regering wordt verzocht te zorgen voor consistentie in de hoogte van vergoedingen voor de </w:t>
      </w:r>
      <w:proofErr w:type="spellStart"/>
      <w:r w:rsidRPr="00F8789C">
        <w:rPr>
          <w:rFonts w:ascii="Verdana" w:hAnsi="Verdana" w:eastAsia="Verdana" w:cs="Verdana"/>
          <w:color w:val="000000" w:themeColor="text1"/>
          <w:sz w:val="18"/>
          <w:szCs w:val="18"/>
        </w:rPr>
        <w:t>eco</w:t>
      </w:r>
      <w:proofErr w:type="spellEnd"/>
      <w:r w:rsidRPr="00F8789C">
        <w:rPr>
          <w:rFonts w:ascii="Verdana" w:hAnsi="Verdana" w:eastAsia="Verdana" w:cs="Verdana"/>
          <w:color w:val="000000" w:themeColor="text1"/>
          <w:sz w:val="18"/>
          <w:szCs w:val="18"/>
        </w:rPr>
        <w:t>-regeling en ook op langere termijn te zorgen voor voldoende middelen binnen beschikbare budgetten. Daarnaast is een aanpassing gedaan van de tarieven voor stikstofbindende gewassen.</w:t>
      </w:r>
    </w:p>
    <w:bookmarkEnd w:id="0"/>
    <w:p w:rsidRPr="00F8789C" w:rsidR="006863C7" w:rsidP="006863C7" w:rsidRDefault="006863C7" w14:paraId="6CF40B59" w14:textId="77777777">
      <w:pPr>
        <w:rPr>
          <w:rFonts w:ascii="Verdana" w:hAnsi="Verdana" w:eastAsia="Verdana" w:cs="Verdana"/>
          <w:color w:val="000000" w:themeColor="text1"/>
          <w:sz w:val="18"/>
          <w:szCs w:val="18"/>
        </w:rPr>
      </w:pPr>
    </w:p>
    <w:p w:rsidRPr="00F8789C" w:rsidR="006863C7" w:rsidP="006863C7" w:rsidRDefault="006863C7" w14:paraId="69645648" w14:textId="77777777">
      <w:pPr>
        <w:rPr>
          <w:rFonts w:ascii="Verdana" w:hAnsi="Verdana" w:eastAsia="Verdana" w:cs="Verdana"/>
          <w:i/>
          <w:iCs/>
          <w:color w:val="000000" w:themeColor="text1"/>
          <w:sz w:val="18"/>
          <w:szCs w:val="18"/>
        </w:rPr>
      </w:pPr>
      <w:r w:rsidRPr="00F8789C">
        <w:rPr>
          <w:rFonts w:ascii="Verdana" w:hAnsi="Verdana" w:eastAsia="Verdana" w:cs="Verdana"/>
          <w:i/>
          <w:color w:val="000000" w:themeColor="text1"/>
          <w:sz w:val="18"/>
          <w:szCs w:val="18"/>
        </w:rPr>
        <w:t>Agrarisch natuur- en landschapsbeheer (</w:t>
      </w:r>
      <w:r w:rsidRPr="00F8789C">
        <w:rPr>
          <w:rFonts w:ascii="Verdana" w:hAnsi="Verdana" w:eastAsia="Verdana" w:cs="Verdana"/>
          <w:i/>
          <w:iCs/>
          <w:color w:val="000000" w:themeColor="text1"/>
          <w:sz w:val="18"/>
          <w:szCs w:val="18"/>
        </w:rPr>
        <w:t>ANLb)</w:t>
      </w:r>
    </w:p>
    <w:p w:rsidRPr="00F8789C" w:rsidR="006863C7" w:rsidP="006863C7" w:rsidRDefault="006863C7" w14:paraId="494EF939" w14:textId="77777777">
      <w:pPr>
        <w:rPr>
          <w:rFonts w:ascii="Verdana" w:hAnsi="Verdana" w:eastAsia="Verdana" w:cs="Verdana"/>
          <w:color w:val="000000" w:themeColor="text1"/>
          <w:sz w:val="18"/>
          <w:szCs w:val="18"/>
        </w:rPr>
      </w:pPr>
      <w:r w:rsidRPr="00F8789C">
        <w:rPr>
          <w:rFonts w:ascii="Verdana" w:hAnsi="Verdana" w:eastAsia="Verdana" w:cs="Verdana"/>
          <w:color w:val="000000" w:themeColor="text1"/>
          <w:sz w:val="18"/>
          <w:szCs w:val="18"/>
        </w:rPr>
        <w:t>Voor het ANLb zijn naast een aantal technische aanpassingen die betrekking hebben op het rapporteren van resultaten en het berekenen van tarieven, aanvullende nationale middelen toegevoegd vanuit de aanpak Agrarisch Natuurbeheer (ANB). Met deze aanvullende middelen kan het ANLb worden uitgebreid.</w:t>
      </w:r>
    </w:p>
    <w:p w:rsidRPr="00F8789C" w:rsidR="006863C7" w:rsidP="006863C7" w:rsidRDefault="006863C7" w14:paraId="75BBDD37" w14:textId="77777777">
      <w:pPr>
        <w:rPr>
          <w:rFonts w:ascii="Verdana" w:hAnsi="Verdana" w:eastAsia="Verdana" w:cs="Verdana"/>
          <w:color w:val="000000" w:themeColor="text1"/>
          <w:sz w:val="18"/>
          <w:szCs w:val="18"/>
        </w:rPr>
      </w:pPr>
    </w:p>
    <w:p w:rsidRPr="00F8789C" w:rsidR="006863C7" w:rsidP="006863C7" w:rsidRDefault="006863C7" w14:paraId="43227B32" w14:textId="77777777">
      <w:pPr>
        <w:rPr>
          <w:rFonts w:ascii="Verdana" w:hAnsi="Verdana" w:eastAsia="Verdana" w:cs="Verdana"/>
          <w:color w:val="000000" w:themeColor="text1"/>
          <w:sz w:val="18"/>
          <w:szCs w:val="18"/>
        </w:rPr>
      </w:pPr>
      <w:r w:rsidRPr="00F8789C">
        <w:rPr>
          <w:rFonts w:ascii="Verdana" w:hAnsi="Verdana" w:eastAsia="Verdana" w:cs="Verdana"/>
          <w:i/>
          <w:iCs/>
          <w:color w:val="000000" w:themeColor="text1"/>
          <w:sz w:val="18"/>
          <w:szCs w:val="18"/>
        </w:rPr>
        <w:t>Productieve en niet-productieve investeringen</w:t>
      </w:r>
    </w:p>
    <w:p w:rsidRPr="00F8789C" w:rsidR="006863C7" w:rsidP="006863C7" w:rsidRDefault="006863C7" w14:paraId="1CDCFC84" w14:textId="77777777">
      <w:pPr>
        <w:rPr>
          <w:rFonts w:ascii="Verdana" w:hAnsi="Verdana" w:eastAsia="Verdana" w:cs="Verdana"/>
          <w:color w:val="000000" w:themeColor="text1"/>
          <w:sz w:val="18"/>
          <w:szCs w:val="18"/>
        </w:rPr>
      </w:pPr>
      <w:r w:rsidRPr="00F8789C">
        <w:rPr>
          <w:rFonts w:ascii="Verdana" w:hAnsi="Verdana" w:eastAsia="Verdana" w:cs="Verdana"/>
          <w:color w:val="000000" w:themeColor="text1"/>
          <w:sz w:val="18"/>
          <w:szCs w:val="18"/>
        </w:rPr>
        <w:t xml:space="preserve">Voor zowel productieve als niet-productieve investeringen is biologische landbouw expliciet opgenomen als investeringsmogelijkheid. Daarnaast wordt voor productieve investeringen in waterbeheervoorzieningen en </w:t>
      </w:r>
      <w:proofErr w:type="spellStart"/>
      <w:r w:rsidRPr="00F8789C">
        <w:rPr>
          <w:rFonts w:ascii="Verdana" w:hAnsi="Verdana" w:eastAsia="Verdana" w:cs="Verdana"/>
          <w:color w:val="000000" w:themeColor="text1"/>
          <w:sz w:val="18"/>
          <w:szCs w:val="18"/>
        </w:rPr>
        <w:t>agroforestry</w:t>
      </w:r>
      <w:proofErr w:type="spellEnd"/>
      <w:r w:rsidRPr="00F8789C">
        <w:rPr>
          <w:rFonts w:ascii="Verdana" w:hAnsi="Verdana" w:eastAsia="Verdana" w:cs="Verdana"/>
          <w:color w:val="000000" w:themeColor="text1"/>
          <w:sz w:val="18"/>
          <w:szCs w:val="18"/>
        </w:rPr>
        <w:t xml:space="preserve"> het mogelijk gemaakt 70% van de gemaakte investeringskosten te vergoeden, voor jonge landbouwers zelfs 80%. Verder zijn aan productieve investeringen nationale aanvullende middelen toegevoegd. Voor </w:t>
      </w:r>
      <w:r w:rsidRPr="00F8789C">
        <w:rPr>
          <w:rFonts w:ascii="Verdana" w:hAnsi="Verdana"/>
          <w:sz w:val="18"/>
          <w:szCs w:val="18"/>
        </w:rPr>
        <w:t xml:space="preserve">niet-productieve investeringen zijn </w:t>
      </w:r>
      <w:r w:rsidRPr="00F8789C">
        <w:rPr>
          <w:rFonts w:ascii="Verdana" w:hAnsi="Verdana" w:eastAsia="Verdana"/>
          <w:sz w:val="18"/>
          <w:szCs w:val="18"/>
        </w:rPr>
        <w:t>a</w:t>
      </w:r>
      <w:r w:rsidRPr="00F8789C">
        <w:rPr>
          <w:rFonts w:ascii="Verdana" w:hAnsi="Verdana" w:eastAsia="Verdana" w:cs="Verdana"/>
          <w:color w:val="000000" w:themeColor="text1"/>
          <w:sz w:val="18"/>
          <w:szCs w:val="18"/>
        </w:rPr>
        <w:t>grarische collectieven, landbouworganisaties en organisaties voor landschapsbeheer als begunstigden toegevoegd.</w:t>
      </w:r>
    </w:p>
    <w:p w:rsidRPr="00F8789C" w:rsidR="006863C7" w:rsidP="006863C7" w:rsidRDefault="006863C7" w14:paraId="64D01524" w14:textId="77777777">
      <w:pPr>
        <w:rPr>
          <w:rFonts w:ascii="Verdana" w:hAnsi="Verdana" w:eastAsia="Verdana" w:cs="Verdana"/>
          <w:color w:val="000000" w:themeColor="text1"/>
          <w:sz w:val="18"/>
          <w:szCs w:val="18"/>
        </w:rPr>
      </w:pPr>
    </w:p>
    <w:p w:rsidRPr="00F8789C" w:rsidR="006863C7" w:rsidP="006863C7" w:rsidRDefault="006863C7" w14:paraId="1DC7E0F8" w14:textId="77777777">
      <w:pPr>
        <w:rPr>
          <w:rFonts w:ascii="Verdana" w:hAnsi="Verdana" w:eastAsia="Verdana" w:cs="Verdana"/>
          <w:i/>
          <w:color w:val="000000" w:themeColor="text1"/>
          <w:sz w:val="18"/>
          <w:szCs w:val="18"/>
        </w:rPr>
      </w:pPr>
      <w:r w:rsidRPr="00F8789C">
        <w:rPr>
          <w:rFonts w:ascii="Verdana" w:hAnsi="Verdana" w:eastAsia="Verdana" w:cs="Verdana"/>
          <w:i/>
          <w:color w:val="000000" w:themeColor="text1"/>
          <w:sz w:val="18"/>
          <w:szCs w:val="18"/>
        </w:rPr>
        <w:t>Jonge landbouwers</w:t>
      </w:r>
    </w:p>
    <w:p w:rsidRPr="00F8789C" w:rsidR="006863C7" w:rsidP="006863C7" w:rsidRDefault="006863C7" w14:paraId="180E4A3C" w14:textId="77777777">
      <w:pPr>
        <w:rPr>
          <w:rFonts w:ascii="Verdana" w:hAnsi="Verdana" w:eastAsia="Verdana" w:cs="Verdana"/>
          <w:color w:val="000000" w:themeColor="text1"/>
          <w:sz w:val="18"/>
          <w:szCs w:val="18"/>
        </w:rPr>
      </w:pPr>
      <w:r w:rsidRPr="00F8789C">
        <w:rPr>
          <w:rFonts w:ascii="Verdana" w:hAnsi="Verdana" w:eastAsia="Verdana" w:cs="Verdana"/>
          <w:color w:val="000000" w:themeColor="text1"/>
          <w:sz w:val="18"/>
          <w:szCs w:val="18"/>
        </w:rPr>
        <w:t>De interventie 'Samenwerking generatievernieuwing' is primair gericht op het aantrekken en behouden van jonge landbouwers. Om de doelgroep te verbreden zijn nu ook potentiële jonge landbouwers en nieuwe landbouwers als groep toegevoegd.</w:t>
      </w:r>
    </w:p>
    <w:p w:rsidRPr="00F8789C" w:rsidR="006863C7" w:rsidP="006863C7" w:rsidRDefault="006863C7" w14:paraId="7742A5DA" w14:textId="77777777">
      <w:pPr>
        <w:rPr>
          <w:rFonts w:ascii="Verdana" w:hAnsi="Verdana" w:eastAsia="Verdana" w:cs="Verdana"/>
          <w:color w:val="000000" w:themeColor="text1"/>
          <w:sz w:val="18"/>
          <w:szCs w:val="18"/>
        </w:rPr>
      </w:pPr>
    </w:p>
    <w:p w:rsidRPr="00F8789C" w:rsidR="006863C7" w:rsidP="006863C7" w:rsidRDefault="006863C7" w14:paraId="52E19607" w14:textId="77777777">
      <w:pPr>
        <w:rPr>
          <w:rFonts w:ascii="Verdana" w:hAnsi="Verdana" w:eastAsia="Verdana" w:cs="Verdana"/>
          <w:color w:val="000000" w:themeColor="text1"/>
          <w:sz w:val="18"/>
          <w:szCs w:val="18"/>
        </w:rPr>
      </w:pPr>
      <w:r w:rsidRPr="00F8789C">
        <w:rPr>
          <w:rFonts w:ascii="Verdana" w:hAnsi="Verdana" w:eastAsia="Verdana" w:cs="Verdana"/>
          <w:color w:val="000000" w:themeColor="text1"/>
          <w:sz w:val="18"/>
          <w:szCs w:val="18"/>
        </w:rPr>
        <w:t>Verder wordt d</w:t>
      </w:r>
      <w:r w:rsidRPr="00F8789C">
        <w:rPr>
          <w:rFonts w:ascii="Verdana" w:hAnsi="Verdana"/>
          <w:sz w:val="18"/>
          <w:szCs w:val="18"/>
        </w:rPr>
        <w:t>e SVJL voor de derde keer opengesteld. Hiervoor zijn aanvullende nationale middelen vrijgemaakt. Met de openstellingen in 2024 en 2025 hebben respectievelijk 540 (uit 876) en 528 (uit 777) jonge landbouwers (per 29 oktober 2025) steun ontvangen. De SVJL is hiermee een succes gebleken. Voor 2026 worden er ongeveer 700 aanvragen verwacht.</w:t>
      </w:r>
    </w:p>
    <w:p w:rsidRPr="00F8789C" w:rsidR="006863C7" w:rsidP="006863C7" w:rsidRDefault="006863C7" w14:paraId="334571B8" w14:textId="77777777">
      <w:pPr>
        <w:rPr>
          <w:rFonts w:ascii="Verdana" w:hAnsi="Verdana"/>
          <w:sz w:val="18"/>
          <w:szCs w:val="18"/>
        </w:rPr>
      </w:pPr>
    </w:p>
    <w:p w:rsidRPr="00F8789C" w:rsidR="006863C7" w:rsidP="006863C7" w:rsidRDefault="006863C7" w14:paraId="0A287E42" w14:textId="77777777">
      <w:pPr>
        <w:rPr>
          <w:rFonts w:ascii="Verdana" w:hAnsi="Verdana"/>
          <w:i/>
          <w:iCs/>
          <w:sz w:val="18"/>
          <w:szCs w:val="18"/>
        </w:rPr>
      </w:pPr>
      <w:r w:rsidRPr="00F8789C">
        <w:rPr>
          <w:rFonts w:ascii="Verdana" w:hAnsi="Verdana"/>
          <w:i/>
          <w:iCs/>
          <w:sz w:val="18"/>
          <w:szCs w:val="18"/>
        </w:rPr>
        <w:t>Andere wijzigingen</w:t>
      </w:r>
    </w:p>
    <w:p w:rsidRPr="00F8789C" w:rsidR="006863C7" w:rsidP="006863C7" w:rsidRDefault="006863C7" w14:paraId="4E80585B" w14:textId="77777777">
      <w:pPr>
        <w:rPr>
          <w:rFonts w:ascii="Verdana" w:hAnsi="Verdana" w:eastAsia="Verdana" w:cs="Verdana"/>
          <w:color w:val="000000" w:themeColor="text1"/>
          <w:sz w:val="18"/>
          <w:szCs w:val="18"/>
        </w:rPr>
      </w:pPr>
      <w:r w:rsidRPr="00F8789C">
        <w:rPr>
          <w:rFonts w:ascii="Verdana" w:hAnsi="Verdana" w:eastAsia="Verdana" w:cs="Verdana"/>
          <w:color w:val="000000" w:themeColor="text1"/>
          <w:sz w:val="18"/>
          <w:szCs w:val="18"/>
        </w:rPr>
        <w:t xml:space="preserve">Via de goedgekeurde wijzigingen zijn ook nationale middelen toegevoegd aan de interventies 'Samenwerking EIP', 'Kennisverspreiding en informatie' en 'Samenwerking integrale gebiedsontwikkeling'. Voor de laatste interventie is het ook mogelijk gemaakt om een hoger steunbedrag te geven dan nu het geval is. Verder wordt het mogelijk om het indienen van een subsidieaanvraag te doen voordat een activiteit is voltooid of volledig ten uitvoer is gelegd. </w:t>
      </w:r>
    </w:p>
    <w:p w:rsidRPr="00F8789C" w:rsidR="006863C7" w:rsidP="006863C7" w:rsidRDefault="006863C7" w14:paraId="2CCA859C" w14:textId="77777777">
      <w:pPr>
        <w:rPr>
          <w:rFonts w:ascii="Verdana" w:hAnsi="Verdana" w:eastAsia="Verdana" w:cs="Verdana"/>
          <w:color w:val="000000" w:themeColor="text1"/>
          <w:sz w:val="18"/>
          <w:szCs w:val="18"/>
        </w:rPr>
      </w:pPr>
    </w:p>
    <w:p w:rsidRPr="00F8789C" w:rsidR="006863C7" w:rsidP="006863C7" w:rsidRDefault="006863C7" w14:paraId="70747062" w14:textId="77777777">
      <w:pPr>
        <w:rPr>
          <w:rFonts w:ascii="Verdana" w:hAnsi="Verdana" w:eastAsia="Verdana" w:cs="Verdana"/>
          <w:color w:val="000000" w:themeColor="text1"/>
          <w:sz w:val="18"/>
          <w:szCs w:val="18"/>
        </w:rPr>
      </w:pPr>
      <w:r w:rsidRPr="00F8789C">
        <w:rPr>
          <w:rFonts w:ascii="Verdana" w:hAnsi="Verdana" w:eastAsia="Verdana" w:cs="Verdana"/>
          <w:color w:val="000000" w:themeColor="text1"/>
          <w:sz w:val="18"/>
          <w:szCs w:val="18"/>
        </w:rPr>
        <w:t xml:space="preserve">Voor de </w:t>
      </w:r>
      <w:r w:rsidRPr="00F8789C">
        <w:rPr>
          <w:rFonts w:ascii="Verdana" w:hAnsi="Verdana"/>
          <w:sz w:val="18"/>
          <w:szCs w:val="18"/>
        </w:rPr>
        <w:t>Goede landbouw- en milieuconditie (</w:t>
      </w:r>
      <w:r w:rsidRPr="00F8789C">
        <w:rPr>
          <w:rFonts w:ascii="Verdana" w:hAnsi="Verdana" w:eastAsia="Verdana" w:cs="Verdana"/>
          <w:color w:val="000000" w:themeColor="text1"/>
          <w:sz w:val="18"/>
          <w:szCs w:val="18"/>
        </w:rPr>
        <w:t>GLMC) 7 (gewasrotatie op bouwland) is een correctie goedgekeurd op de bestaande uitzondering voor de rotatieverplichting door middel van gewasdiversificatie. Voor de gebieden Oldambt en in Hoekse Waard is rotatie niet altijd mogelijk en kan deze alleen op bedrijfsniveau worden toegepast. Met de aanpassing telt ook deze vorm van gewasrotatie mee.</w:t>
      </w:r>
    </w:p>
    <w:p w:rsidR="006863C7" w:rsidRDefault="006863C7" w14:paraId="5A8AABD7" w14:textId="77777777">
      <w:pPr>
        <w:rPr>
          <w:rFonts w:ascii="Verdana" w:hAnsi="Verdana"/>
        </w:rPr>
      </w:pPr>
    </w:p>
    <w:p w:rsidR="006863C7" w:rsidRDefault="006863C7" w14:paraId="5A62C56A" w14:textId="77777777">
      <w:pPr>
        <w:rPr>
          <w:rFonts w:ascii="Verdana" w:hAnsi="Verdana"/>
        </w:rPr>
      </w:pPr>
    </w:p>
    <w:p w:rsidR="006863C7" w:rsidRDefault="006863C7" w14:paraId="1A80B231" w14:textId="01005236">
      <w:pPr>
        <w:rPr>
          <w:rFonts w:ascii="Verdana" w:hAnsi="Verdana"/>
          <w:sz w:val="22"/>
          <w:szCs w:val="22"/>
        </w:rPr>
      </w:pPr>
      <w:r>
        <w:rPr>
          <w:rFonts w:ascii="Verdana" w:hAnsi="Verdana"/>
        </w:rPr>
        <w:t xml:space="preserve">NSP </w:t>
      </w:r>
      <w:r w:rsidR="003222BB">
        <w:rPr>
          <w:rFonts w:ascii="Verdana" w:hAnsi="Verdana"/>
        </w:rPr>
        <w:t>6.1</w:t>
      </w:r>
      <w:r w:rsidR="005E4E1C">
        <w:rPr>
          <w:rFonts w:ascii="Verdana" w:hAnsi="Verdana"/>
        </w:rPr>
        <w:t xml:space="preserve"> </w:t>
      </w:r>
      <w:r w:rsidRPr="005E4E1C" w:rsidR="005E4E1C">
        <w:rPr>
          <w:rFonts w:ascii="Verdana" w:hAnsi="Verdana"/>
          <w:sz w:val="22"/>
          <w:szCs w:val="22"/>
        </w:rPr>
        <w:t xml:space="preserve">(goedgekeurd op </w:t>
      </w:r>
      <w:r w:rsidR="005E4E1C">
        <w:rPr>
          <w:rFonts w:ascii="Verdana" w:hAnsi="Verdana"/>
          <w:sz w:val="22"/>
          <w:szCs w:val="22"/>
        </w:rPr>
        <w:t>2</w:t>
      </w:r>
      <w:r w:rsidR="00456ED8">
        <w:rPr>
          <w:rFonts w:ascii="Verdana" w:hAnsi="Verdana"/>
          <w:sz w:val="22"/>
          <w:szCs w:val="22"/>
        </w:rPr>
        <w:t>6</w:t>
      </w:r>
      <w:r w:rsidR="005E4E1C">
        <w:rPr>
          <w:rFonts w:ascii="Verdana" w:hAnsi="Verdana"/>
          <w:sz w:val="22"/>
          <w:szCs w:val="22"/>
        </w:rPr>
        <w:t xml:space="preserve"> november 2025</w:t>
      </w:r>
      <w:r w:rsidRPr="005E4E1C" w:rsidR="005E4E1C">
        <w:rPr>
          <w:rFonts w:ascii="Verdana" w:hAnsi="Verdana"/>
          <w:sz w:val="22"/>
          <w:szCs w:val="22"/>
        </w:rPr>
        <w:t>)</w:t>
      </w:r>
    </w:p>
    <w:p w:rsidR="00F8789C" w:rsidRDefault="00F8789C" w14:paraId="34CB735D" w14:textId="77777777">
      <w:pPr>
        <w:rPr>
          <w:rFonts w:ascii="Verdana" w:hAnsi="Verdana"/>
          <w:sz w:val="22"/>
          <w:szCs w:val="22"/>
        </w:rPr>
      </w:pPr>
    </w:p>
    <w:p w:rsidR="00F8789C" w:rsidP="00F8789C" w:rsidRDefault="00F8789C" w14:paraId="11727298" w14:textId="293A1756">
      <w:pPr>
        <w:rPr>
          <w:rFonts w:ascii="Verdana" w:hAnsi="Verdana" w:cs="Calibri"/>
          <w:color w:val="212121"/>
          <w:sz w:val="18"/>
          <w:szCs w:val="18"/>
        </w:rPr>
      </w:pPr>
      <w:r>
        <w:rPr>
          <w:rFonts w:ascii="Verdana" w:hAnsi="Verdana" w:cs="Calibri"/>
          <w:color w:val="212121"/>
          <w:sz w:val="18"/>
          <w:szCs w:val="18"/>
        </w:rPr>
        <w:t xml:space="preserve">Voor het ANLb is een wijziging opgenomen die </w:t>
      </w:r>
      <w:r w:rsidR="005538D3">
        <w:rPr>
          <w:rFonts w:ascii="Verdana" w:hAnsi="Verdana" w:cs="Calibri"/>
          <w:color w:val="212121"/>
          <w:sz w:val="18"/>
          <w:szCs w:val="18"/>
        </w:rPr>
        <w:t>bepaald dat</w:t>
      </w:r>
      <w:r w:rsidRPr="00F8789C">
        <w:rPr>
          <w:rFonts w:ascii="Verdana" w:hAnsi="Verdana" w:cs="Calibri"/>
          <w:color w:val="212121"/>
          <w:sz w:val="18"/>
          <w:szCs w:val="18"/>
        </w:rPr>
        <w:t xml:space="preserve"> tarieven</w:t>
      </w:r>
      <w:r>
        <w:rPr>
          <w:rFonts w:ascii="Verdana" w:hAnsi="Verdana" w:cs="Calibri"/>
          <w:color w:val="212121"/>
          <w:sz w:val="18"/>
          <w:szCs w:val="18"/>
        </w:rPr>
        <w:t xml:space="preserve"> voor</w:t>
      </w:r>
      <w:r w:rsidR="005538D3">
        <w:rPr>
          <w:rFonts w:ascii="Verdana" w:hAnsi="Verdana" w:cs="Calibri"/>
          <w:color w:val="212121"/>
          <w:sz w:val="18"/>
          <w:szCs w:val="18"/>
        </w:rPr>
        <w:t xml:space="preserve"> deelnemers </w:t>
      </w:r>
      <w:r w:rsidRPr="00F8789C">
        <w:rPr>
          <w:rFonts w:ascii="Verdana" w:hAnsi="Verdana" w:cs="Calibri"/>
          <w:color w:val="212121"/>
          <w:sz w:val="18"/>
          <w:szCs w:val="18"/>
        </w:rPr>
        <w:t xml:space="preserve">als gevolg van de herijking niet lager worden dan de tarieven zoals </w:t>
      </w:r>
      <w:r w:rsidR="005538D3">
        <w:rPr>
          <w:rFonts w:ascii="Verdana" w:hAnsi="Verdana" w:cs="Calibri"/>
          <w:color w:val="212121"/>
          <w:sz w:val="18"/>
          <w:szCs w:val="18"/>
        </w:rPr>
        <w:t>deze</w:t>
      </w:r>
      <w:r w:rsidRPr="00F8789C">
        <w:rPr>
          <w:rFonts w:ascii="Verdana" w:hAnsi="Verdana" w:cs="Calibri"/>
          <w:color w:val="212121"/>
          <w:sz w:val="18"/>
          <w:szCs w:val="18"/>
        </w:rPr>
        <w:t xml:space="preserve"> waren op het moment van aangaan van </w:t>
      </w:r>
      <w:r>
        <w:rPr>
          <w:rFonts w:ascii="Verdana" w:hAnsi="Verdana" w:cs="Calibri"/>
          <w:color w:val="212121"/>
          <w:sz w:val="18"/>
          <w:szCs w:val="18"/>
        </w:rPr>
        <w:t>de</w:t>
      </w:r>
      <w:r w:rsidRPr="00F8789C">
        <w:rPr>
          <w:rFonts w:ascii="Verdana" w:hAnsi="Verdana" w:cs="Calibri"/>
          <w:color w:val="212121"/>
          <w:sz w:val="18"/>
          <w:szCs w:val="18"/>
        </w:rPr>
        <w:t xml:space="preserve"> verbintenis</w:t>
      </w:r>
    </w:p>
    <w:p w:rsidR="005538D3" w:rsidP="00F8789C" w:rsidRDefault="005538D3" w14:paraId="2ED27D87" w14:textId="77777777">
      <w:pPr>
        <w:rPr>
          <w:rFonts w:ascii="Verdana" w:hAnsi="Verdana" w:cs="Calibri"/>
          <w:color w:val="212121"/>
          <w:sz w:val="18"/>
          <w:szCs w:val="18"/>
        </w:rPr>
      </w:pPr>
    </w:p>
    <w:p w:rsidRPr="00F8789C" w:rsidR="005538D3" w:rsidP="00F8789C" w:rsidRDefault="005538D3" w14:paraId="4A98A5B5" w14:textId="397A43B0">
      <w:pPr>
        <w:rPr>
          <w:rFonts w:ascii="Aptos" w:hAnsi="Aptos" w:cs="Calibri"/>
          <w:color w:val="212121"/>
          <w:sz w:val="18"/>
          <w:szCs w:val="18"/>
        </w:rPr>
      </w:pPr>
      <w:r>
        <w:rPr>
          <w:rFonts w:ascii="Verdana" w:hAnsi="Verdana" w:cs="Calibri"/>
          <w:color w:val="212121"/>
          <w:sz w:val="18"/>
          <w:szCs w:val="18"/>
        </w:rPr>
        <w:t xml:space="preserve">Daarnaast zijn een aantal aanpassingen gedaan op de </w:t>
      </w:r>
      <w:proofErr w:type="spellStart"/>
      <w:r>
        <w:rPr>
          <w:rFonts w:ascii="Verdana" w:hAnsi="Verdana" w:cs="Calibri"/>
          <w:color w:val="212121"/>
          <w:sz w:val="18"/>
          <w:szCs w:val="18"/>
        </w:rPr>
        <w:t>GLMC’s</w:t>
      </w:r>
      <w:proofErr w:type="spellEnd"/>
      <w:r>
        <w:rPr>
          <w:rFonts w:ascii="Verdana" w:hAnsi="Verdana" w:cs="Calibri"/>
          <w:color w:val="212121"/>
          <w:sz w:val="18"/>
          <w:szCs w:val="18"/>
        </w:rPr>
        <w:t>.</w:t>
      </w:r>
    </w:p>
    <w:p w:rsidRPr="00F8789C" w:rsidR="00F8789C" w:rsidP="00F8789C" w:rsidRDefault="00F8789C" w14:paraId="6EA2F421" w14:textId="77777777">
      <w:pPr>
        <w:numPr>
          <w:ilvl w:val="0"/>
          <w:numId w:val="1"/>
        </w:numPr>
        <w:rPr>
          <w:rFonts w:ascii="Aptos" w:hAnsi="Aptos" w:cs="Calibri"/>
          <w:color w:val="212121"/>
          <w:sz w:val="18"/>
          <w:szCs w:val="18"/>
        </w:rPr>
      </w:pPr>
      <w:r w:rsidRPr="00F8789C">
        <w:rPr>
          <w:rFonts w:ascii="Verdana" w:hAnsi="Verdana" w:cs="Calibri"/>
          <w:color w:val="212121"/>
          <w:sz w:val="18"/>
          <w:szCs w:val="18"/>
        </w:rPr>
        <w:t>GLMC 2: er is een uitzondering op het omzet verbod opgenomen. Het verbod geldt niet voor percelen die met de verhoging van het waterpeil worden omgezet naar natte natuur of natte teelten.</w:t>
      </w:r>
    </w:p>
    <w:p w:rsidRPr="00F8789C" w:rsidR="00F8789C" w:rsidP="00F8789C" w:rsidRDefault="00F8789C" w14:paraId="7C7C77B1" w14:textId="151744EE">
      <w:pPr>
        <w:numPr>
          <w:ilvl w:val="0"/>
          <w:numId w:val="1"/>
        </w:numPr>
        <w:rPr>
          <w:rFonts w:ascii="Aptos" w:hAnsi="Aptos" w:cs="Calibri"/>
          <w:color w:val="212121"/>
          <w:sz w:val="18"/>
          <w:szCs w:val="18"/>
        </w:rPr>
      </w:pPr>
      <w:r w:rsidRPr="00F8789C">
        <w:rPr>
          <w:rFonts w:ascii="Verdana" w:hAnsi="Verdana" w:cs="Calibri"/>
          <w:color w:val="212121"/>
          <w:sz w:val="18"/>
          <w:szCs w:val="18"/>
        </w:rPr>
        <w:lastRenderedPageBreak/>
        <w:t>GLMC 5: er is toegevoegd dat druiventeelt met ondergroei ook is toegestaan op hellingen van 18% of meer</w:t>
      </w:r>
      <w:r w:rsidR="00AF15AF">
        <w:rPr>
          <w:rFonts w:ascii="Verdana" w:hAnsi="Verdana" w:cs="Calibri"/>
          <w:color w:val="212121"/>
          <w:sz w:val="18"/>
          <w:szCs w:val="18"/>
        </w:rPr>
        <w:t>.</w:t>
      </w:r>
    </w:p>
    <w:p w:rsidRPr="00D25D43" w:rsidR="00F8789C" w:rsidP="00F8789C" w:rsidRDefault="00F8789C" w14:paraId="4E08BC1C" w14:textId="2D88BBA9">
      <w:pPr>
        <w:numPr>
          <w:ilvl w:val="0"/>
          <w:numId w:val="1"/>
        </w:numPr>
        <w:rPr>
          <w:rFonts w:ascii="Aptos" w:hAnsi="Aptos" w:cs="Calibri"/>
          <w:color w:val="212121"/>
          <w:sz w:val="18"/>
          <w:szCs w:val="18"/>
        </w:rPr>
      </w:pPr>
      <w:r w:rsidRPr="00F8789C">
        <w:rPr>
          <w:rFonts w:ascii="Verdana" w:hAnsi="Verdana" w:cs="Calibri"/>
          <w:color w:val="212121"/>
          <w:sz w:val="18"/>
          <w:szCs w:val="18"/>
        </w:rPr>
        <w:t>GLMC 9: er is een uitzondering toegevoegd om het ploegverbod blijvend grasland N2000 gebieden. Dit wordt toegestaan als ploegen nodig is voor zwaardere vormen van natuurbeheer</w:t>
      </w:r>
      <w:r w:rsidR="00D25D43">
        <w:rPr>
          <w:rFonts w:ascii="Verdana" w:hAnsi="Verdana" w:cs="Calibri"/>
          <w:color w:val="212121"/>
          <w:sz w:val="18"/>
          <w:szCs w:val="18"/>
        </w:rPr>
        <w:t>.</w:t>
      </w:r>
    </w:p>
    <w:p w:rsidRPr="00F8789C" w:rsidR="00D25D43" w:rsidP="00D25D43" w:rsidRDefault="00D25D43" w14:paraId="57573AA3" w14:textId="77777777">
      <w:pPr>
        <w:ind w:left="360"/>
        <w:rPr>
          <w:rFonts w:ascii="Aptos" w:hAnsi="Aptos" w:cs="Calibri"/>
          <w:color w:val="212121"/>
          <w:sz w:val="18"/>
          <w:szCs w:val="18"/>
        </w:rPr>
      </w:pPr>
    </w:p>
    <w:p w:rsidRPr="00F8789C" w:rsidR="00D25D43" w:rsidP="00D25D43" w:rsidRDefault="00D25D43" w14:paraId="01B50429" w14:textId="0EA48652">
      <w:pPr>
        <w:rPr>
          <w:rFonts w:ascii="Verdana" w:hAnsi="Verdana" w:cs="Calibri"/>
          <w:color w:val="212121"/>
          <w:sz w:val="18"/>
          <w:szCs w:val="18"/>
        </w:rPr>
      </w:pPr>
      <w:r w:rsidRPr="00D25D43">
        <w:rPr>
          <w:rFonts w:ascii="Verdana" w:hAnsi="Verdana" w:cs="Calibri"/>
          <w:color w:val="212121"/>
          <w:sz w:val="18"/>
          <w:szCs w:val="18"/>
        </w:rPr>
        <w:t xml:space="preserve">Verder zijn </w:t>
      </w:r>
      <w:r w:rsidR="00FC149A">
        <w:rPr>
          <w:rFonts w:ascii="Verdana" w:hAnsi="Verdana" w:cs="Calibri"/>
          <w:color w:val="212121"/>
          <w:sz w:val="18"/>
          <w:szCs w:val="18"/>
        </w:rPr>
        <w:t xml:space="preserve">een aantal </w:t>
      </w:r>
      <w:r w:rsidRPr="00D25D43">
        <w:rPr>
          <w:rFonts w:ascii="Verdana" w:hAnsi="Verdana" w:cs="Calibri"/>
          <w:color w:val="212121"/>
          <w:sz w:val="18"/>
          <w:szCs w:val="18"/>
        </w:rPr>
        <w:t>technische aanpassingen gedaan.</w:t>
      </w:r>
    </w:p>
    <w:p w:rsidRPr="00FC149A" w:rsidR="00D25D43" w:rsidP="00FC149A" w:rsidRDefault="00FC149A" w14:paraId="60210F37" w14:textId="62815428">
      <w:pPr>
        <w:numPr>
          <w:ilvl w:val="0"/>
          <w:numId w:val="1"/>
        </w:numPr>
        <w:rPr>
          <w:rFonts w:ascii="Aptos" w:hAnsi="Aptos" w:cs="Calibri"/>
          <w:color w:val="212121"/>
          <w:sz w:val="22"/>
          <w:szCs w:val="22"/>
        </w:rPr>
      </w:pPr>
      <w:r w:rsidRPr="00F8789C">
        <w:rPr>
          <w:rFonts w:ascii="Verdana" w:hAnsi="Verdana" w:cs="Calibri"/>
          <w:color w:val="212121"/>
          <w:sz w:val="18"/>
          <w:szCs w:val="18"/>
        </w:rPr>
        <w:t xml:space="preserve">Aan I.77.1 is de pilot voor de </w:t>
      </w:r>
      <w:proofErr w:type="spellStart"/>
      <w:r w:rsidRPr="00F8789C">
        <w:rPr>
          <w:rFonts w:ascii="Verdana" w:hAnsi="Verdana" w:cs="Calibri"/>
          <w:color w:val="212121"/>
          <w:sz w:val="18"/>
          <w:szCs w:val="18"/>
        </w:rPr>
        <w:t>eco</w:t>
      </w:r>
      <w:proofErr w:type="spellEnd"/>
      <w:r w:rsidR="00F67BC1">
        <w:rPr>
          <w:rFonts w:ascii="Verdana" w:hAnsi="Verdana" w:cs="Calibri"/>
          <w:color w:val="212121"/>
          <w:sz w:val="18"/>
          <w:szCs w:val="18"/>
        </w:rPr>
        <w:t>-</w:t>
      </w:r>
      <w:r w:rsidRPr="00F8789C">
        <w:rPr>
          <w:rFonts w:ascii="Verdana" w:hAnsi="Verdana" w:cs="Calibri"/>
          <w:color w:val="212121"/>
          <w:sz w:val="18"/>
          <w:szCs w:val="18"/>
        </w:rPr>
        <w:t>regeling toegevoegd</w:t>
      </w:r>
      <w:r>
        <w:rPr>
          <w:rFonts w:ascii="Aptos" w:hAnsi="Aptos" w:cs="Calibri"/>
          <w:color w:val="212121"/>
          <w:sz w:val="22"/>
          <w:szCs w:val="22"/>
        </w:rPr>
        <w:t>.</w:t>
      </w:r>
    </w:p>
    <w:p w:rsidRPr="00F8789C" w:rsidR="00F8789C" w:rsidP="00F8789C" w:rsidRDefault="00F8789C" w14:paraId="7204CFE6" w14:textId="58AA18E0">
      <w:pPr>
        <w:numPr>
          <w:ilvl w:val="0"/>
          <w:numId w:val="1"/>
        </w:numPr>
        <w:rPr>
          <w:rFonts w:ascii="Aptos" w:hAnsi="Aptos" w:cs="Calibri"/>
          <w:color w:val="212121"/>
          <w:sz w:val="22"/>
          <w:szCs w:val="22"/>
        </w:rPr>
      </w:pPr>
      <w:r w:rsidRPr="00F8789C">
        <w:rPr>
          <w:rFonts w:ascii="Verdana" w:hAnsi="Verdana" w:cs="Calibri"/>
          <w:color w:val="212121"/>
          <w:sz w:val="18"/>
          <w:szCs w:val="18"/>
        </w:rPr>
        <w:t xml:space="preserve">De streefwaarden en mijlpalen van R.17 (bebost land/ agro </w:t>
      </w:r>
      <w:proofErr w:type="spellStart"/>
      <w:r w:rsidRPr="00F8789C">
        <w:rPr>
          <w:rFonts w:ascii="Verdana" w:hAnsi="Verdana" w:cs="Calibri"/>
          <w:color w:val="212121"/>
          <w:sz w:val="18"/>
          <w:szCs w:val="18"/>
        </w:rPr>
        <w:t>forestry</w:t>
      </w:r>
      <w:proofErr w:type="spellEnd"/>
      <w:r w:rsidRPr="00F8789C">
        <w:rPr>
          <w:rFonts w:ascii="Verdana" w:hAnsi="Verdana" w:cs="Calibri"/>
          <w:color w:val="212121"/>
          <w:sz w:val="18"/>
          <w:szCs w:val="18"/>
        </w:rPr>
        <w:t>) en R.34 (beheer landschapselementen) zijn naar beneden bijgesteld. De foutieve planning van NSP 1.3 is hersteld</w:t>
      </w:r>
      <w:r w:rsidR="00611503">
        <w:rPr>
          <w:rFonts w:ascii="Verdana" w:hAnsi="Verdana" w:cs="Calibri"/>
          <w:color w:val="212121"/>
          <w:sz w:val="18"/>
          <w:szCs w:val="18"/>
        </w:rPr>
        <w:t>.</w:t>
      </w:r>
    </w:p>
    <w:p w:rsidRPr="00F8789C" w:rsidR="00F8789C" w:rsidP="00F8789C" w:rsidRDefault="00F8789C" w14:paraId="3DA8A669" w14:textId="3DF30E63">
      <w:pPr>
        <w:numPr>
          <w:ilvl w:val="0"/>
          <w:numId w:val="1"/>
        </w:numPr>
        <w:rPr>
          <w:rFonts w:ascii="Aptos" w:hAnsi="Aptos" w:cs="Calibri"/>
          <w:color w:val="212121"/>
          <w:sz w:val="22"/>
          <w:szCs w:val="22"/>
        </w:rPr>
      </w:pPr>
      <w:r w:rsidRPr="00F8789C">
        <w:rPr>
          <w:rFonts w:ascii="Verdana" w:hAnsi="Verdana" w:cs="Calibri"/>
          <w:color w:val="212121"/>
          <w:sz w:val="18"/>
          <w:szCs w:val="18"/>
        </w:rPr>
        <w:t>De streefwaarden van R.36 en R.37 zijn op verzoek van de</w:t>
      </w:r>
      <w:r w:rsidR="005144B5">
        <w:rPr>
          <w:rFonts w:ascii="Verdana" w:hAnsi="Verdana" w:cs="Calibri"/>
          <w:color w:val="212121"/>
          <w:sz w:val="18"/>
          <w:szCs w:val="18"/>
        </w:rPr>
        <w:t xml:space="preserve"> Europese</w:t>
      </w:r>
      <w:r w:rsidRPr="00F8789C">
        <w:rPr>
          <w:rFonts w:ascii="Verdana" w:hAnsi="Verdana" w:cs="Calibri"/>
          <w:color w:val="212121"/>
          <w:sz w:val="18"/>
          <w:szCs w:val="18"/>
        </w:rPr>
        <w:t xml:space="preserve"> Commissie verhoogd</w:t>
      </w:r>
      <w:r w:rsidR="005144B5">
        <w:rPr>
          <w:rFonts w:ascii="Verdana" w:hAnsi="Verdana" w:cs="Calibri"/>
          <w:color w:val="212121"/>
          <w:sz w:val="18"/>
          <w:szCs w:val="18"/>
        </w:rPr>
        <w:t>.</w:t>
      </w:r>
    </w:p>
    <w:p w:rsidRPr="00F8789C" w:rsidR="00F8789C" w:rsidP="00F8789C" w:rsidRDefault="00F8789C" w14:paraId="0A04EDBA" w14:textId="1A47C5D6">
      <w:pPr>
        <w:numPr>
          <w:ilvl w:val="0"/>
          <w:numId w:val="1"/>
        </w:numPr>
        <w:rPr>
          <w:rFonts w:ascii="Aptos" w:hAnsi="Aptos" w:cs="Calibri"/>
          <w:color w:val="212121"/>
          <w:sz w:val="22"/>
          <w:szCs w:val="22"/>
        </w:rPr>
      </w:pPr>
      <w:r w:rsidRPr="00F8789C">
        <w:rPr>
          <w:rFonts w:ascii="Verdana" w:hAnsi="Verdana" w:cs="Calibri"/>
          <w:color w:val="212121"/>
          <w:sz w:val="18"/>
          <w:szCs w:val="18"/>
        </w:rPr>
        <w:t>In R.06 (inkomensherverdeling) is een technische aanpassing doorgevoerd</w:t>
      </w:r>
      <w:r w:rsidR="00FD379E">
        <w:rPr>
          <w:rFonts w:ascii="Verdana" w:hAnsi="Verdana" w:cs="Calibri"/>
          <w:color w:val="212121"/>
          <w:sz w:val="18"/>
          <w:szCs w:val="18"/>
        </w:rPr>
        <w:t xml:space="preserve"> in de wijze van de berekening.</w:t>
      </w:r>
    </w:p>
    <w:p w:rsidRPr="00F8789C" w:rsidR="00F8789C" w:rsidP="00F8789C" w:rsidRDefault="00F8789C" w14:paraId="7A20BB67" w14:textId="77777777"/>
    <w:p w:rsidRPr="006863C7" w:rsidR="00F8789C" w:rsidRDefault="00F8789C" w14:paraId="1FDE0369" w14:textId="54C25F85">
      <w:pPr>
        <w:rPr>
          <w:rFonts w:ascii="Verdana" w:hAnsi="Verdana"/>
        </w:rPr>
      </w:pPr>
    </w:p>
    <w:sectPr w:rsidRPr="006863C7" w:rsidR="00F8789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D026" w14:textId="77777777" w:rsidR="006863C7" w:rsidRDefault="006863C7" w:rsidP="006863C7">
      <w:r>
        <w:separator/>
      </w:r>
    </w:p>
  </w:endnote>
  <w:endnote w:type="continuationSeparator" w:id="0">
    <w:p w14:paraId="1BFCB43D" w14:textId="77777777" w:rsidR="006863C7" w:rsidRDefault="006863C7" w:rsidP="006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11F3" w14:textId="77777777" w:rsidR="006863C7" w:rsidRDefault="006863C7" w:rsidP="006863C7">
      <w:r>
        <w:separator/>
      </w:r>
    </w:p>
  </w:footnote>
  <w:footnote w:type="continuationSeparator" w:id="0">
    <w:p w14:paraId="488A8427" w14:textId="77777777" w:rsidR="006863C7" w:rsidRDefault="006863C7" w:rsidP="00686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C6557"/>
    <w:multiLevelType w:val="multilevel"/>
    <w:tmpl w:val="2D2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6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C7"/>
    <w:rsid w:val="002902E2"/>
    <w:rsid w:val="003222BB"/>
    <w:rsid w:val="00326F2C"/>
    <w:rsid w:val="00456ED8"/>
    <w:rsid w:val="005144B5"/>
    <w:rsid w:val="005538D3"/>
    <w:rsid w:val="005E4E1C"/>
    <w:rsid w:val="00611503"/>
    <w:rsid w:val="006420F2"/>
    <w:rsid w:val="006609F9"/>
    <w:rsid w:val="006863C7"/>
    <w:rsid w:val="006F7ECF"/>
    <w:rsid w:val="007932B1"/>
    <w:rsid w:val="007E4F99"/>
    <w:rsid w:val="009F0AFA"/>
    <w:rsid w:val="00AF15AF"/>
    <w:rsid w:val="00AF432D"/>
    <w:rsid w:val="00B2414F"/>
    <w:rsid w:val="00C5000A"/>
    <w:rsid w:val="00CA6528"/>
    <w:rsid w:val="00D25D43"/>
    <w:rsid w:val="00D71832"/>
    <w:rsid w:val="00E83EC7"/>
    <w:rsid w:val="00F5437E"/>
    <w:rsid w:val="00F65E96"/>
    <w:rsid w:val="00F67BC1"/>
    <w:rsid w:val="00F8789C"/>
    <w:rsid w:val="00FC149A"/>
    <w:rsid w:val="00FD3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4BC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89C"/>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686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6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63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63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63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63C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3C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3C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3C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3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63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63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63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63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63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3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3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3C7"/>
    <w:rPr>
      <w:rFonts w:eastAsiaTheme="majorEastAsia" w:cstheme="majorBidi"/>
      <w:color w:val="272727" w:themeColor="text1" w:themeTint="D8"/>
    </w:rPr>
  </w:style>
  <w:style w:type="paragraph" w:styleId="Titel">
    <w:name w:val="Title"/>
    <w:basedOn w:val="Standaard"/>
    <w:next w:val="Standaard"/>
    <w:link w:val="TitelChar"/>
    <w:uiPriority w:val="10"/>
    <w:qFormat/>
    <w:rsid w:val="006863C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3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3C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3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3C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863C7"/>
    <w:rPr>
      <w:i/>
      <w:iCs/>
      <w:color w:val="404040" w:themeColor="text1" w:themeTint="BF"/>
    </w:rPr>
  </w:style>
  <w:style w:type="paragraph" w:styleId="Lijstalinea">
    <w:name w:val="List Paragraph"/>
    <w:basedOn w:val="Standaard"/>
    <w:uiPriority w:val="34"/>
    <w:qFormat/>
    <w:rsid w:val="006863C7"/>
    <w:pPr>
      <w:ind w:left="720"/>
      <w:contextualSpacing/>
    </w:pPr>
  </w:style>
  <w:style w:type="character" w:styleId="Intensievebenadrukking">
    <w:name w:val="Intense Emphasis"/>
    <w:basedOn w:val="Standaardalinea-lettertype"/>
    <w:uiPriority w:val="21"/>
    <w:qFormat/>
    <w:rsid w:val="006863C7"/>
    <w:rPr>
      <w:i/>
      <w:iCs/>
      <w:color w:val="2F5496" w:themeColor="accent1" w:themeShade="BF"/>
    </w:rPr>
  </w:style>
  <w:style w:type="paragraph" w:styleId="Duidelijkcitaat">
    <w:name w:val="Intense Quote"/>
    <w:basedOn w:val="Standaard"/>
    <w:next w:val="Standaard"/>
    <w:link w:val="DuidelijkcitaatChar"/>
    <w:uiPriority w:val="30"/>
    <w:qFormat/>
    <w:rsid w:val="00686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63C7"/>
    <w:rPr>
      <w:i/>
      <w:iCs/>
      <w:color w:val="2F5496" w:themeColor="accent1" w:themeShade="BF"/>
    </w:rPr>
  </w:style>
  <w:style w:type="character" w:styleId="Intensieveverwijzing">
    <w:name w:val="Intense Reference"/>
    <w:basedOn w:val="Standaardalinea-lettertype"/>
    <w:uiPriority w:val="32"/>
    <w:qFormat/>
    <w:rsid w:val="006863C7"/>
    <w:rPr>
      <w:b/>
      <w:bCs/>
      <w:smallCaps/>
      <w:color w:val="2F5496" w:themeColor="accent1" w:themeShade="BF"/>
      <w:spacing w:val="5"/>
    </w:rPr>
  </w:style>
  <w:style w:type="paragraph" w:styleId="Voettekst">
    <w:name w:val="footer"/>
    <w:basedOn w:val="Standaard"/>
    <w:link w:val="VoettekstChar"/>
    <w:uiPriority w:val="99"/>
    <w:unhideWhenUsed/>
    <w:rsid w:val="006863C7"/>
    <w:pPr>
      <w:tabs>
        <w:tab w:val="center" w:pos="4536"/>
        <w:tab w:val="right" w:pos="9072"/>
      </w:tabs>
    </w:pPr>
  </w:style>
  <w:style w:type="character" w:customStyle="1" w:styleId="VoettekstChar">
    <w:name w:val="Voettekst Char"/>
    <w:basedOn w:val="Standaardalinea-lettertype"/>
    <w:link w:val="Voettekst"/>
    <w:uiPriority w:val="99"/>
    <w:rsid w:val="006863C7"/>
  </w:style>
  <w:style w:type="paragraph" w:styleId="Koptekst">
    <w:name w:val="header"/>
    <w:basedOn w:val="Standaard"/>
    <w:link w:val="KoptekstChar"/>
    <w:uiPriority w:val="99"/>
    <w:unhideWhenUsed/>
    <w:rsid w:val="006F7ECF"/>
    <w:pPr>
      <w:tabs>
        <w:tab w:val="center" w:pos="4536"/>
        <w:tab w:val="right" w:pos="9072"/>
      </w:tabs>
    </w:pPr>
  </w:style>
  <w:style w:type="character" w:customStyle="1" w:styleId="KoptekstChar">
    <w:name w:val="Koptekst Char"/>
    <w:basedOn w:val="Standaardalinea-lettertype"/>
    <w:link w:val="Koptekst"/>
    <w:uiPriority w:val="99"/>
    <w:rsid w:val="006F7ECF"/>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659</ap:Words>
  <ap:Characters>3630</ap:Characters>
  <ap:DocSecurity>0</ap:DocSecurity>
  <ap:Lines>30</ap:Lines>
  <ap:Paragraphs>8</ap:Paragraphs>
  <ap:ScaleCrop>false</ap:ScaleCrop>
  <ap:LinksUpToDate>false</ap:LinksUpToDate>
  <ap:CharactersWithSpaces>4281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2025-12-16T10:57:00.0000000Z</dcterms:created>
  <dcterms:modified xsi:type="dcterms:W3CDTF">2025-12-16T10:57:00.0000000Z</dcterms:modified>
  <version/>
  <category/>
</coreProperties>
</file>