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25D0A" w14:paraId="258EB843" w14:textId="513161D2">
                            <w:pPr>
                              <w:pStyle w:val="Huisstijl-Agendatitel"/>
                              <w:ind w:left="0" w:firstLine="0"/>
                              <w:jc w:val="right"/>
                            </w:pPr>
                            <w:r w:rsidRPr="0047768A">
                              <w:t>15</w:t>
                            </w:r>
                            <w:r w:rsidRPr="0047768A" w:rsidR="007971ED">
                              <w:t xml:space="preserve"> </w:t>
                            </w:r>
                            <w:r w:rsidRPr="0047768A">
                              <w:t>december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25D0A" w14:paraId="258EB843" w14:textId="513161D2">
                      <w:pPr>
                        <w:pStyle w:val="Huisstijl-Agendatitel"/>
                        <w:ind w:left="0" w:firstLine="0"/>
                        <w:jc w:val="right"/>
                      </w:pPr>
                      <w:r w:rsidRPr="0047768A">
                        <w:t>15</w:t>
                      </w:r>
                      <w:r w:rsidRPr="0047768A" w:rsidR="007971ED">
                        <w:t xml:space="preserve"> </w:t>
                      </w:r>
                      <w:r w:rsidRPr="0047768A">
                        <w:t>december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D63526" w:rsidP="00C727FA" w:rsidRDefault="00D63526" w14:paraId="1F7096BF" w14:textId="77777777">
      <w:pPr>
        <w:rPr>
          <w:b/>
          <w:szCs w:val="18"/>
        </w:rPr>
      </w:pPr>
    </w:p>
    <w:p w:rsidR="00133DC4" w:rsidP="00C727FA" w:rsidRDefault="00D63526" w14:paraId="51248853" w14:textId="77777777">
      <w:pPr>
        <w:rPr>
          <w:bCs/>
          <w:i/>
          <w:iCs/>
          <w:szCs w:val="18"/>
        </w:rPr>
      </w:pPr>
      <w:r w:rsidRPr="00107FB6">
        <w:rPr>
          <w:bCs/>
          <w:i/>
          <w:iCs/>
          <w:szCs w:val="18"/>
        </w:rPr>
        <w:t xml:space="preserve">De </w:t>
      </w:r>
      <w:r w:rsidR="00107FB6">
        <w:rPr>
          <w:bCs/>
          <w:i/>
          <w:iCs/>
          <w:szCs w:val="18"/>
        </w:rPr>
        <w:t>eerst</w:t>
      </w:r>
      <w:r w:rsidRPr="00107FB6" w:rsidR="00A70362">
        <w:rPr>
          <w:bCs/>
          <w:i/>
          <w:iCs/>
          <w:szCs w:val="18"/>
        </w:rPr>
        <w:t xml:space="preserve"> drie voorstellen </w:t>
      </w:r>
      <w:r w:rsidR="00107FB6">
        <w:rPr>
          <w:bCs/>
          <w:i/>
          <w:iCs/>
          <w:szCs w:val="18"/>
        </w:rPr>
        <w:t xml:space="preserve">van deze lijst hebben </w:t>
      </w:r>
      <w:r w:rsidRPr="00107FB6" w:rsidR="00A70362">
        <w:rPr>
          <w:bCs/>
          <w:i/>
          <w:iCs/>
          <w:szCs w:val="18"/>
        </w:rPr>
        <w:t xml:space="preserve">betrekking </w:t>
      </w:r>
      <w:r w:rsidR="00107FB6">
        <w:rPr>
          <w:bCs/>
          <w:i/>
          <w:iCs/>
          <w:szCs w:val="18"/>
        </w:rPr>
        <w:t>op</w:t>
      </w:r>
      <w:r w:rsidRPr="00107FB6" w:rsidR="00A70362">
        <w:rPr>
          <w:bCs/>
          <w:i/>
          <w:iCs/>
          <w:szCs w:val="18"/>
        </w:rPr>
        <w:t xml:space="preserve"> </w:t>
      </w:r>
      <w:r w:rsidRPr="00107FB6" w:rsidR="003C7179">
        <w:rPr>
          <w:bCs/>
          <w:i/>
          <w:iCs/>
          <w:szCs w:val="18"/>
        </w:rPr>
        <w:t>de financiële steun aan Oekraïne</w:t>
      </w:r>
      <w:r w:rsidR="00B918E0">
        <w:rPr>
          <w:bCs/>
          <w:i/>
          <w:iCs/>
          <w:szCs w:val="18"/>
        </w:rPr>
        <w:t xml:space="preserve"> (</w:t>
      </w:r>
      <w:r w:rsidR="00C6465D">
        <w:rPr>
          <w:bCs/>
          <w:i/>
          <w:iCs/>
          <w:szCs w:val="18"/>
        </w:rPr>
        <w:t>i.e. gemeenschappelijke schulduitgifte of herstellening)</w:t>
      </w:r>
      <w:r w:rsidRPr="00107FB6" w:rsidR="003C7179">
        <w:rPr>
          <w:bCs/>
          <w:i/>
          <w:iCs/>
          <w:szCs w:val="18"/>
        </w:rPr>
        <w:t>. Op de Europese Raad van 18 december zullen de regeringsleiders naar verwachting een politiek besluit hierover nemen</w:t>
      </w:r>
      <w:r w:rsidR="00F25942">
        <w:rPr>
          <w:bCs/>
          <w:i/>
          <w:iCs/>
          <w:szCs w:val="18"/>
        </w:rPr>
        <w:t>, voorafgegaan door een plenair Kamerdebat op 16 december</w:t>
      </w:r>
      <w:r w:rsidRPr="00107FB6" w:rsidR="003C7179">
        <w:rPr>
          <w:bCs/>
          <w:i/>
          <w:iCs/>
          <w:szCs w:val="18"/>
        </w:rPr>
        <w:t xml:space="preserve">. </w:t>
      </w:r>
    </w:p>
    <w:p w:rsidRPr="00107FB6" w:rsidR="00E02D08" w:rsidP="00C727FA" w:rsidRDefault="003C7179" w14:paraId="54F4943E" w14:textId="189BF222">
      <w:pPr>
        <w:rPr>
          <w:bCs/>
          <w:i/>
          <w:iCs/>
          <w:szCs w:val="18"/>
        </w:rPr>
      </w:pPr>
      <w:r w:rsidRPr="00107FB6">
        <w:rPr>
          <w:bCs/>
          <w:i/>
          <w:iCs/>
          <w:szCs w:val="18"/>
        </w:rPr>
        <w:t xml:space="preserve">Voorts bevat deze lijst </w:t>
      </w:r>
      <w:r w:rsidRPr="00107FB6" w:rsidR="005E65B5">
        <w:rPr>
          <w:bCs/>
          <w:i/>
          <w:iCs/>
          <w:szCs w:val="18"/>
        </w:rPr>
        <w:t>vijf wetgevende voorstellen in het kader van de Spaar- en Investeringsunie</w:t>
      </w:r>
      <w:r w:rsidRPr="00107FB6" w:rsidR="00FB2F2F">
        <w:rPr>
          <w:bCs/>
          <w:i/>
          <w:iCs/>
          <w:szCs w:val="18"/>
        </w:rPr>
        <w:t xml:space="preserve">, waarvoor wordt voorgesteld een </w:t>
      </w:r>
      <w:r w:rsidR="00107FB6">
        <w:rPr>
          <w:bCs/>
          <w:i/>
          <w:iCs/>
          <w:szCs w:val="18"/>
        </w:rPr>
        <w:t xml:space="preserve">schriftelijk overleg in te plannen. Voor één van deze wetgevende voorstellen (herziening verordening duurzaam beleggen (SFDR)) ontvangt u een aparte behandelnotitie, omdat de vorige Kamercommissie Financiën dit voorstel prioritair </w:t>
      </w:r>
      <w:r w:rsidR="00133DC4">
        <w:rPr>
          <w:bCs/>
          <w:i/>
          <w:iCs/>
          <w:szCs w:val="18"/>
        </w:rPr>
        <w:t>had</w:t>
      </w:r>
      <w:r w:rsidR="00107FB6">
        <w:rPr>
          <w:bCs/>
          <w:i/>
          <w:iCs/>
          <w:szCs w:val="18"/>
        </w:rPr>
        <w:t xml:space="preserve"> verklaard en tevens het voornemen tot een behandelvoorbehoud </w:t>
      </w:r>
      <w:r w:rsidR="00133DC4">
        <w:rPr>
          <w:bCs/>
          <w:i/>
          <w:iCs/>
          <w:szCs w:val="18"/>
        </w:rPr>
        <w:t>had</w:t>
      </w:r>
      <w:r w:rsidR="00107FB6">
        <w:rPr>
          <w:bCs/>
          <w:i/>
          <w:iCs/>
          <w:szCs w:val="18"/>
        </w:rPr>
        <w:t xml:space="preserve"> uitgesproken.</w:t>
      </w:r>
    </w:p>
    <w:p w:rsidRPr="00A9227F" w:rsidR="005115F8" w:rsidP="005115F8" w:rsidRDefault="005115F8" w14:paraId="3EB199E6" w14:textId="4A38C025">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E761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E76150" w:rsidP="00E76150" w:rsidRDefault="00E76150" w14:paraId="211B472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E76150" w:rsidTr="00BC275B" w14:paraId="77780EB4" w14:textId="77777777">
        <w:tc>
          <w:tcPr>
            <w:tcW w:w="1035" w:type="dxa"/>
          </w:tcPr>
          <w:p w:rsidRPr="00A9227F" w:rsidR="00E76150" w:rsidP="00BC275B" w:rsidRDefault="00E76150" w14:paraId="6FB39B24" w14:textId="77777777">
            <w:pPr>
              <w:spacing w:after="240"/>
              <w:rPr>
                <w:color w:val="595959" w:themeColor="text1" w:themeTint="A6"/>
                <w:szCs w:val="18"/>
              </w:rPr>
            </w:pPr>
            <w:r w:rsidRPr="00A9227F">
              <w:rPr>
                <w:color w:val="595959" w:themeColor="text1" w:themeTint="A6"/>
                <w:szCs w:val="18"/>
              </w:rPr>
              <w:t>Titel</w:t>
            </w:r>
          </w:p>
        </w:tc>
        <w:tc>
          <w:tcPr>
            <w:tcW w:w="6529" w:type="dxa"/>
          </w:tcPr>
          <w:p w:rsidR="00E76150" w:rsidP="00E76150" w:rsidRDefault="00E76150" w14:paraId="4FF74CD8" w14:textId="77777777">
            <w:pPr>
              <w:rPr>
                <w:szCs w:val="18"/>
              </w:rPr>
            </w:pPr>
            <w:r w:rsidRPr="00E76150">
              <w:rPr>
                <w:szCs w:val="18"/>
              </w:rPr>
              <w:t xml:space="preserve">Voorstel voor een VERORDENING VAN DE RAAD tot wijziging van Verordening (EU, Euratom) 2020/2093 van de Raad van 17 december 2020 tot bepaling van het meerjarig financieel kader voor de jaren 2021-2027 </w:t>
            </w:r>
            <w:hyperlink w:history="1" r:id="rId14">
              <w:r w:rsidRPr="00E76150">
                <w:rPr>
                  <w:rStyle w:val="Hyperlink"/>
                  <w:szCs w:val="18"/>
                </w:rPr>
                <w:t>COM(2025)3500</w:t>
              </w:r>
            </w:hyperlink>
          </w:p>
          <w:p w:rsidRPr="00205A0A" w:rsidR="00E76150" w:rsidP="00E76150" w:rsidRDefault="00E76150" w14:paraId="1C049941" w14:textId="6BC45E7F">
            <w:pPr>
              <w:rPr>
                <w:szCs w:val="18"/>
              </w:rPr>
            </w:pPr>
          </w:p>
        </w:tc>
      </w:tr>
      <w:tr w:rsidRPr="00A9227F" w:rsidR="00E76150" w:rsidTr="00BC275B" w14:paraId="0487393E" w14:textId="77777777">
        <w:tc>
          <w:tcPr>
            <w:tcW w:w="1035" w:type="dxa"/>
          </w:tcPr>
          <w:p w:rsidRPr="00A9227F" w:rsidR="00E76150" w:rsidP="00BC275B" w:rsidRDefault="00E76150" w14:paraId="53D90327" w14:textId="77777777">
            <w:pPr>
              <w:spacing w:after="240"/>
              <w:rPr>
                <w:szCs w:val="18"/>
              </w:rPr>
            </w:pPr>
            <w:r w:rsidRPr="00A9227F">
              <w:rPr>
                <w:szCs w:val="18"/>
              </w:rPr>
              <w:t>Voorstel</w:t>
            </w:r>
          </w:p>
        </w:tc>
        <w:tc>
          <w:tcPr>
            <w:tcW w:w="6529" w:type="dxa"/>
          </w:tcPr>
          <w:p w:rsidR="00E76150" w:rsidP="00BC275B" w:rsidRDefault="00477CC5" w14:paraId="28CB8B34" w14:textId="77777777">
            <w:pPr>
              <w:spacing w:after="240"/>
              <w:rPr>
                <w:szCs w:val="18"/>
              </w:rPr>
            </w:pPr>
            <w:r>
              <w:rPr>
                <w:szCs w:val="18"/>
              </w:rPr>
              <w:t xml:space="preserve">Op 15 december heeft het kabinet de Kamer per </w:t>
            </w:r>
            <w:hyperlink w:history="1" r:id="rId15">
              <w:r w:rsidRPr="00D46CDA">
                <w:rPr>
                  <w:rStyle w:val="Hyperlink"/>
                  <w:szCs w:val="18"/>
                </w:rPr>
                <w:t>brief</w:t>
              </w:r>
            </w:hyperlink>
            <w:r>
              <w:rPr>
                <w:szCs w:val="18"/>
              </w:rPr>
              <w:t xml:space="preserve"> geïnformeerd over de Nederlandse positie</w:t>
            </w:r>
            <w:r w:rsidR="00E017B5">
              <w:rPr>
                <w:szCs w:val="18"/>
              </w:rPr>
              <w:t xml:space="preserve">. </w:t>
            </w:r>
            <w:r w:rsidR="00790DF3">
              <w:rPr>
                <w:szCs w:val="18"/>
              </w:rPr>
              <w:t>De voorstellen voor steun aan Oekraïne</w:t>
            </w:r>
            <w:r w:rsidR="001D3641">
              <w:rPr>
                <w:szCs w:val="18"/>
              </w:rPr>
              <w:t xml:space="preserve"> word</w:t>
            </w:r>
            <w:r w:rsidR="00790DF3">
              <w:rPr>
                <w:szCs w:val="18"/>
              </w:rPr>
              <w:t>en</w:t>
            </w:r>
            <w:r w:rsidR="001D3641">
              <w:rPr>
                <w:szCs w:val="18"/>
              </w:rPr>
              <w:t xml:space="preserve"> betrokken bij het plenaire debat van 16 december over de Europese top van 18 en 19 december. Zie ook de bijbehorende </w:t>
            </w:r>
            <w:hyperlink w:history="1" r:id="rId16">
              <w:r w:rsidRPr="00790DF3" w:rsidR="001D3641">
                <w:rPr>
                  <w:rStyle w:val="Hyperlink"/>
                  <w:szCs w:val="18"/>
                </w:rPr>
                <w:t>EU-signalering</w:t>
              </w:r>
            </w:hyperlink>
            <w:r w:rsidR="00790DF3">
              <w:rPr>
                <w:szCs w:val="18"/>
              </w:rPr>
              <w:t>.</w:t>
            </w:r>
          </w:p>
          <w:p w:rsidRPr="00A9227F" w:rsidR="002C7E82" w:rsidP="00BC275B" w:rsidRDefault="002C7E82" w14:paraId="475AE16F" w14:textId="17A517FF">
            <w:pPr>
              <w:spacing w:after="240"/>
              <w:rPr>
                <w:szCs w:val="18"/>
              </w:rPr>
            </w:pPr>
            <w:r>
              <w:rPr>
                <w:szCs w:val="18"/>
              </w:rPr>
              <w:t xml:space="preserve">(Bij de behandeling van dit </w:t>
            </w:r>
            <w:r w:rsidR="00BF5457">
              <w:rPr>
                <w:szCs w:val="18"/>
              </w:rPr>
              <w:t>EU-</w:t>
            </w:r>
            <w:r>
              <w:rPr>
                <w:szCs w:val="18"/>
              </w:rPr>
              <w:t>voorstel heeft de commi</w:t>
            </w:r>
            <w:r w:rsidR="00BF5457">
              <w:rPr>
                <w:szCs w:val="18"/>
              </w:rPr>
              <w:t>ssie Europese Zaken het voortouw.)</w:t>
            </w:r>
          </w:p>
        </w:tc>
      </w:tr>
      <w:tr w:rsidRPr="00C66E98" w:rsidR="00E76150" w:rsidTr="00BC275B" w14:paraId="6B9AB75B" w14:textId="77777777">
        <w:tc>
          <w:tcPr>
            <w:tcW w:w="1035" w:type="dxa"/>
          </w:tcPr>
          <w:p w:rsidRPr="00A9227F" w:rsidR="00E76150" w:rsidP="00BC275B" w:rsidRDefault="00E76150" w14:paraId="52ABB1CD" w14:textId="77777777">
            <w:pPr>
              <w:spacing w:after="240"/>
              <w:rPr>
                <w:color w:val="595959" w:themeColor="text1" w:themeTint="A6"/>
                <w:szCs w:val="18"/>
              </w:rPr>
            </w:pPr>
            <w:r w:rsidRPr="00A9227F">
              <w:rPr>
                <w:color w:val="595959" w:themeColor="text1" w:themeTint="A6"/>
                <w:szCs w:val="18"/>
              </w:rPr>
              <w:t>Noot</w:t>
            </w:r>
          </w:p>
        </w:tc>
        <w:tc>
          <w:tcPr>
            <w:tcW w:w="6529" w:type="dxa"/>
          </w:tcPr>
          <w:p w:rsidR="00E56262" w:rsidP="001E5330" w:rsidRDefault="00EC4C8F" w14:paraId="5FD96EAE" w14:textId="6160EB0D">
            <w:pPr>
              <w:spacing w:after="240"/>
              <w:rPr>
                <w:color w:val="595959" w:themeColor="text1" w:themeTint="A6"/>
                <w:szCs w:val="18"/>
              </w:rPr>
            </w:pPr>
            <w:r>
              <w:rPr>
                <w:color w:val="595959" w:themeColor="text1" w:themeTint="A6"/>
                <w:szCs w:val="18"/>
              </w:rPr>
              <w:t>Op 3 december jl. heeft de Commissie wetsvoorstellen gepresenteerd</w:t>
            </w:r>
            <w:r w:rsidR="00D7159E">
              <w:rPr>
                <w:color w:val="595959" w:themeColor="text1" w:themeTint="A6"/>
                <w:szCs w:val="18"/>
              </w:rPr>
              <w:t xml:space="preserve"> </w:t>
            </w:r>
            <w:r w:rsidR="007A71F8">
              <w:rPr>
                <w:color w:val="595959" w:themeColor="text1" w:themeTint="A6"/>
                <w:szCs w:val="18"/>
              </w:rPr>
              <w:t>voor financiële steun aan</w:t>
            </w:r>
            <w:r w:rsidR="00D7159E">
              <w:rPr>
                <w:color w:val="595959" w:themeColor="text1" w:themeTint="A6"/>
                <w:szCs w:val="18"/>
              </w:rPr>
              <w:t xml:space="preserve"> Oekra</w:t>
            </w:r>
            <w:r w:rsidR="00E56262">
              <w:rPr>
                <w:color w:val="595959" w:themeColor="text1" w:themeTint="A6"/>
                <w:szCs w:val="18"/>
              </w:rPr>
              <w:t>ïne</w:t>
            </w:r>
            <w:r w:rsidR="007A71F8">
              <w:rPr>
                <w:color w:val="595959" w:themeColor="text1" w:themeTint="A6"/>
                <w:szCs w:val="18"/>
              </w:rPr>
              <w:t xml:space="preserve">, dat vanaf </w:t>
            </w:r>
            <w:r w:rsidRPr="00E56262" w:rsidR="00E56262">
              <w:rPr>
                <w:color w:val="595959" w:themeColor="text1" w:themeTint="A6"/>
                <w:szCs w:val="18"/>
              </w:rPr>
              <w:t xml:space="preserve">volgend jaar Oekraïne in acute geldnood </w:t>
            </w:r>
            <w:r w:rsidR="007A71F8">
              <w:rPr>
                <w:color w:val="595959" w:themeColor="text1" w:themeTint="A6"/>
                <w:szCs w:val="18"/>
              </w:rPr>
              <w:t xml:space="preserve">dreigt </w:t>
            </w:r>
            <w:r w:rsidRPr="00E56262" w:rsidR="00E56262">
              <w:rPr>
                <w:color w:val="595959" w:themeColor="text1" w:themeTint="A6"/>
                <w:szCs w:val="18"/>
              </w:rPr>
              <w:t>te komen</w:t>
            </w:r>
            <w:r w:rsidR="007A71F8">
              <w:rPr>
                <w:color w:val="595959" w:themeColor="text1" w:themeTint="A6"/>
                <w:szCs w:val="18"/>
              </w:rPr>
              <w:t>.</w:t>
            </w:r>
            <w:r w:rsidR="00BD0977">
              <w:rPr>
                <w:color w:val="595959" w:themeColor="text1" w:themeTint="A6"/>
                <w:szCs w:val="18"/>
              </w:rPr>
              <w:t xml:space="preserve"> De Commissie biedt daarbij twee opties: </w:t>
            </w:r>
            <w:r w:rsidR="00E550DD">
              <w:rPr>
                <w:color w:val="595959" w:themeColor="text1" w:themeTint="A6"/>
                <w:szCs w:val="18"/>
              </w:rPr>
              <w:t xml:space="preserve">i) </w:t>
            </w:r>
            <w:r w:rsidR="00BD0977">
              <w:rPr>
                <w:color w:val="595959" w:themeColor="text1" w:themeTint="A6"/>
                <w:szCs w:val="18"/>
              </w:rPr>
              <w:t>het uitgeven van nieuwe gemeenschappelijke schulden</w:t>
            </w:r>
            <w:r w:rsidR="00E550DD">
              <w:rPr>
                <w:color w:val="595959" w:themeColor="text1" w:themeTint="A6"/>
                <w:szCs w:val="18"/>
              </w:rPr>
              <w:t xml:space="preserve"> om door te lenen aan Oekraïne of ii) een herstellening waarbij de bevroren Russische centralebanktegoeden worden ingezet voor een nulrentelening aan</w:t>
            </w:r>
            <w:r w:rsidR="00726ED9">
              <w:rPr>
                <w:color w:val="595959" w:themeColor="text1" w:themeTint="A6"/>
                <w:szCs w:val="18"/>
              </w:rPr>
              <w:t xml:space="preserve"> Oekraïne die het land alleen hoeft terug te betalen indien Rusland herstelbetalingen doet voor de oorlogsschade.</w:t>
            </w:r>
          </w:p>
          <w:p w:rsidR="00F20064" w:rsidP="00F20064" w:rsidRDefault="00726ED9" w14:paraId="16AFE741" w14:textId="77777777">
            <w:pPr>
              <w:spacing w:after="240"/>
              <w:rPr>
                <w:color w:val="595959" w:themeColor="text1" w:themeTint="A6"/>
                <w:szCs w:val="18"/>
              </w:rPr>
            </w:pPr>
            <w:r>
              <w:rPr>
                <w:color w:val="595959" w:themeColor="text1" w:themeTint="A6"/>
                <w:szCs w:val="18"/>
              </w:rPr>
              <w:lastRenderedPageBreak/>
              <w:t>Onderhavige voorstel moet optie 1 (nieuwe gemeenschappelijke schulden) mogelijk maken door d</w:t>
            </w:r>
            <w:r w:rsidR="00387D83">
              <w:rPr>
                <w:color w:val="595959" w:themeColor="text1" w:themeTint="A6"/>
                <w:szCs w:val="18"/>
              </w:rPr>
              <w:t xml:space="preserve">e huidige MFK-verordening aan te passen. (De EU-begroting wordt gebruikt om de terugbetaling van de obligaties te garanderen). Hiervoor is unanimiteit vereist. Hongarije heeft al aangekondigd </w:t>
            </w:r>
            <w:r w:rsidR="00477CC5">
              <w:rPr>
                <w:color w:val="595959" w:themeColor="text1" w:themeTint="A6"/>
                <w:szCs w:val="18"/>
              </w:rPr>
              <w:t xml:space="preserve">optie 1 te vetoën. </w:t>
            </w:r>
          </w:p>
          <w:p w:rsidRPr="00C66E98" w:rsidR="00E76150" w:rsidP="00F20064" w:rsidRDefault="00F20064" w14:paraId="2A6479A0" w14:textId="03B734B2">
            <w:pPr>
              <w:spacing w:after="240"/>
              <w:rPr>
                <w:color w:val="595959" w:themeColor="text1" w:themeTint="A6"/>
                <w:szCs w:val="18"/>
              </w:rPr>
            </w:pPr>
            <w:r>
              <w:rPr>
                <w:color w:val="595959" w:themeColor="text1" w:themeTint="A6"/>
                <w:szCs w:val="18"/>
              </w:rPr>
              <w:t>Op de Europese Raad van 18 december nemen de regeringsleiders naar verwachting een politiek besluit over de steun aan Oekraïne.</w:t>
            </w:r>
          </w:p>
        </w:tc>
      </w:tr>
    </w:tbl>
    <w:p w:rsidR="00E76150" w:rsidP="00E76150" w:rsidRDefault="00E76150" w14:paraId="34C474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E76150" w:rsidTr="00BC275B" w14:paraId="4B75ECAF" w14:textId="77777777">
        <w:tc>
          <w:tcPr>
            <w:tcW w:w="1035" w:type="dxa"/>
          </w:tcPr>
          <w:p w:rsidRPr="00A9227F" w:rsidR="00E76150" w:rsidP="00E76150" w:rsidRDefault="00E76150" w14:paraId="1F4312FC" w14:textId="77777777">
            <w:pPr>
              <w:spacing w:after="240"/>
              <w:rPr>
                <w:color w:val="595959" w:themeColor="text1" w:themeTint="A6"/>
                <w:szCs w:val="18"/>
              </w:rPr>
            </w:pPr>
            <w:r w:rsidRPr="00A9227F">
              <w:rPr>
                <w:color w:val="595959" w:themeColor="text1" w:themeTint="A6"/>
                <w:szCs w:val="18"/>
              </w:rPr>
              <w:t>Titel</w:t>
            </w:r>
          </w:p>
        </w:tc>
        <w:tc>
          <w:tcPr>
            <w:tcW w:w="6529" w:type="dxa"/>
          </w:tcPr>
          <w:p w:rsidR="00E76150" w:rsidP="00E76150" w:rsidRDefault="00E76150" w14:paraId="0067EE71" w14:textId="77777777">
            <w:pPr>
              <w:rPr>
                <w:szCs w:val="18"/>
              </w:rPr>
            </w:pPr>
            <w:r w:rsidRPr="00E76150">
              <w:rPr>
                <w:szCs w:val="18"/>
              </w:rPr>
              <w:t xml:space="preserve">Voorstel voor een VERORDENING VAN DE RAAD betreffende noodmaatregelen om het hoofd te bieden aan de ernstige economische moeilijkheden veroorzaakt door acties van Rusland in de context van de oorlog in Oekraïne </w:t>
            </w:r>
            <w:hyperlink w:history="1" r:id="rId17">
              <w:r w:rsidRPr="00E76150">
                <w:rPr>
                  <w:rStyle w:val="Hyperlink"/>
                  <w:szCs w:val="18"/>
                </w:rPr>
                <w:t>COM(2025)3501</w:t>
              </w:r>
            </w:hyperlink>
          </w:p>
          <w:p w:rsidRPr="00205A0A" w:rsidR="00E76150" w:rsidP="00E76150" w:rsidRDefault="00E76150" w14:paraId="7A41DADB" w14:textId="689A7C39">
            <w:pPr>
              <w:rPr>
                <w:szCs w:val="18"/>
              </w:rPr>
            </w:pPr>
          </w:p>
        </w:tc>
      </w:tr>
      <w:tr w:rsidRPr="00A9227F" w:rsidR="00E76150" w:rsidTr="00BC275B" w14:paraId="369A91D9" w14:textId="77777777">
        <w:tc>
          <w:tcPr>
            <w:tcW w:w="1035" w:type="dxa"/>
          </w:tcPr>
          <w:p w:rsidRPr="00A9227F" w:rsidR="00E76150" w:rsidP="00E76150" w:rsidRDefault="00E76150" w14:paraId="0605C96C" w14:textId="77777777">
            <w:pPr>
              <w:spacing w:after="240"/>
              <w:rPr>
                <w:szCs w:val="18"/>
              </w:rPr>
            </w:pPr>
            <w:r w:rsidRPr="00A9227F">
              <w:rPr>
                <w:szCs w:val="18"/>
              </w:rPr>
              <w:t>Voorstel</w:t>
            </w:r>
          </w:p>
        </w:tc>
        <w:tc>
          <w:tcPr>
            <w:tcW w:w="6529" w:type="dxa"/>
          </w:tcPr>
          <w:p w:rsidRPr="00A9227F" w:rsidR="00E76150" w:rsidP="00E76150" w:rsidRDefault="00790DF3" w14:paraId="270CF187" w14:textId="52BFBA71">
            <w:pPr>
              <w:spacing w:after="240"/>
              <w:rPr>
                <w:szCs w:val="18"/>
              </w:rPr>
            </w:pPr>
            <w:r>
              <w:rPr>
                <w:szCs w:val="18"/>
              </w:rPr>
              <w:t xml:space="preserve">Op 15 december heeft het kabinet de Kamer per </w:t>
            </w:r>
            <w:hyperlink w:history="1" r:id="rId18">
              <w:r w:rsidRPr="00D46CDA">
                <w:rPr>
                  <w:rStyle w:val="Hyperlink"/>
                  <w:szCs w:val="18"/>
                </w:rPr>
                <w:t>brief</w:t>
              </w:r>
            </w:hyperlink>
            <w:r>
              <w:rPr>
                <w:szCs w:val="18"/>
              </w:rPr>
              <w:t xml:space="preserve"> geïnformeerd over de Nederlandse positie. De voorstellen voor steun aan Oekraïne worden betrokken bij het plenaire debat van 16 december over de Europese top van 18 en 19 december. Zie ook de bijbehorende </w:t>
            </w:r>
            <w:hyperlink w:history="1" r:id="rId19">
              <w:r w:rsidRPr="00790DF3">
                <w:rPr>
                  <w:rStyle w:val="Hyperlink"/>
                  <w:szCs w:val="18"/>
                </w:rPr>
                <w:t>EU-signalering</w:t>
              </w:r>
            </w:hyperlink>
            <w:r>
              <w:rPr>
                <w:szCs w:val="18"/>
              </w:rPr>
              <w:t>.</w:t>
            </w:r>
          </w:p>
        </w:tc>
      </w:tr>
      <w:tr w:rsidRPr="00C66E98" w:rsidR="00E76150" w:rsidTr="00BC275B" w14:paraId="7925E99E" w14:textId="77777777">
        <w:tc>
          <w:tcPr>
            <w:tcW w:w="1035" w:type="dxa"/>
          </w:tcPr>
          <w:p w:rsidRPr="00A9227F" w:rsidR="00E76150" w:rsidP="00E76150" w:rsidRDefault="00E76150" w14:paraId="62DA087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32326" w:rsidP="00E76150" w:rsidRDefault="00AB4DE5" w14:paraId="6182FCB7" w14:textId="048C9AA8">
            <w:pPr>
              <w:spacing w:after="240"/>
              <w:rPr>
                <w:color w:val="595959" w:themeColor="text1" w:themeTint="A6"/>
                <w:szCs w:val="18"/>
              </w:rPr>
            </w:pPr>
            <w:r>
              <w:rPr>
                <w:color w:val="595959" w:themeColor="text1" w:themeTint="A6"/>
                <w:szCs w:val="18"/>
              </w:rPr>
              <w:t xml:space="preserve">Dit voorstel moet de herstellening aan Oekraïne mogelijk maken. Met een beroep op noodbepaling artikel 122 WVEU verlengt dit voorstel de bevriezing van Russische centralebanktegoeden voor onbepaalde tijd. De Raad heeft hier op </w:t>
            </w:r>
            <w:hyperlink w:history="1" r:id="rId20">
              <w:r w:rsidRPr="00AB4DE5">
                <w:rPr>
                  <w:rStyle w:val="Hyperlink"/>
                  <w:szCs w:val="18"/>
                </w:rPr>
                <w:t>12 december</w:t>
              </w:r>
            </w:hyperlink>
            <w:r>
              <w:rPr>
                <w:color w:val="595959" w:themeColor="text1" w:themeTint="A6"/>
                <w:szCs w:val="18"/>
              </w:rPr>
              <w:t xml:space="preserve"> mee ingestemd.</w:t>
            </w:r>
          </w:p>
        </w:tc>
      </w:tr>
    </w:tbl>
    <w:p w:rsidR="00E76150" w:rsidP="00E76150" w:rsidRDefault="00E76150" w14:paraId="50A684D7"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E76150" w:rsidTr="00BC275B" w14:paraId="622FA9CE" w14:textId="77777777">
        <w:tc>
          <w:tcPr>
            <w:tcW w:w="1035" w:type="dxa"/>
          </w:tcPr>
          <w:p w:rsidRPr="00A9227F" w:rsidR="00E76150" w:rsidP="00BC275B" w:rsidRDefault="00E76150" w14:paraId="7259B5CF" w14:textId="77777777">
            <w:pPr>
              <w:spacing w:after="240"/>
              <w:rPr>
                <w:color w:val="595959" w:themeColor="text1" w:themeTint="A6"/>
                <w:szCs w:val="18"/>
              </w:rPr>
            </w:pPr>
            <w:r w:rsidRPr="00A9227F">
              <w:rPr>
                <w:color w:val="595959" w:themeColor="text1" w:themeTint="A6"/>
                <w:szCs w:val="18"/>
              </w:rPr>
              <w:t>Titel</w:t>
            </w:r>
          </w:p>
        </w:tc>
        <w:tc>
          <w:tcPr>
            <w:tcW w:w="6529" w:type="dxa"/>
          </w:tcPr>
          <w:p w:rsidR="00E76150" w:rsidP="00BC275B" w:rsidRDefault="00E76150" w14:paraId="76A0B3D1" w14:textId="04FCC144">
            <w:pPr>
              <w:rPr>
                <w:szCs w:val="18"/>
              </w:rPr>
            </w:pPr>
            <w:r w:rsidRPr="00E76150">
              <w:rPr>
                <w:szCs w:val="18"/>
              </w:rPr>
              <w:t xml:space="preserve">Voorstel voor een VERORDENING VAN HET EUROPEES PARLEMENT EN DE RAAD tot vaststelling van de herstelbetalingslening aan Oekraïne en tot wijziging van Verordening (EU) 2024/792 van het Europees Parlement en de Raad van 29 februari 2024 tot instelling van de faciliteit voor Oekraïne </w:t>
            </w:r>
            <w:hyperlink w:history="1" r:id="rId21">
              <w:r w:rsidRPr="00E76150">
                <w:rPr>
                  <w:rStyle w:val="Hyperlink"/>
                  <w:szCs w:val="18"/>
                </w:rPr>
                <w:t>COM(2025)3502</w:t>
              </w:r>
            </w:hyperlink>
          </w:p>
          <w:p w:rsidRPr="00205A0A" w:rsidR="00E76150" w:rsidP="00BC275B" w:rsidRDefault="00E76150" w14:paraId="0E1F4F3E" w14:textId="77777777">
            <w:pPr>
              <w:rPr>
                <w:szCs w:val="18"/>
              </w:rPr>
            </w:pPr>
          </w:p>
        </w:tc>
      </w:tr>
      <w:tr w:rsidRPr="00A9227F" w:rsidR="00E76150" w:rsidTr="00BC275B" w14:paraId="29C59D23" w14:textId="77777777">
        <w:tc>
          <w:tcPr>
            <w:tcW w:w="1035" w:type="dxa"/>
          </w:tcPr>
          <w:p w:rsidRPr="00A9227F" w:rsidR="00E76150" w:rsidP="00BC275B" w:rsidRDefault="00E76150" w14:paraId="59922B16" w14:textId="77777777">
            <w:pPr>
              <w:spacing w:after="240"/>
              <w:rPr>
                <w:szCs w:val="18"/>
              </w:rPr>
            </w:pPr>
            <w:r w:rsidRPr="00A9227F">
              <w:rPr>
                <w:szCs w:val="18"/>
              </w:rPr>
              <w:t>Voorstel</w:t>
            </w:r>
          </w:p>
        </w:tc>
        <w:tc>
          <w:tcPr>
            <w:tcW w:w="6529" w:type="dxa"/>
          </w:tcPr>
          <w:p w:rsidRPr="00A9227F" w:rsidR="00E76150" w:rsidP="00BC275B" w:rsidRDefault="00790DF3" w14:paraId="578BD05E" w14:textId="32096D2F">
            <w:pPr>
              <w:spacing w:after="240"/>
              <w:rPr>
                <w:szCs w:val="18"/>
              </w:rPr>
            </w:pPr>
            <w:r>
              <w:rPr>
                <w:szCs w:val="18"/>
              </w:rPr>
              <w:t xml:space="preserve">Op 15 december heeft het kabinet de Kamer per </w:t>
            </w:r>
            <w:hyperlink w:history="1" r:id="rId22">
              <w:r w:rsidRPr="00D46CDA">
                <w:rPr>
                  <w:rStyle w:val="Hyperlink"/>
                  <w:szCs w:val="18"/>
                </w:rPr>
                <w:t>brief</w:t>
              </w:r>
            </w:hyperlink>
            <w:r>
              <w:rPr>
                <w:szCs w:val="18"/>
              </w:rPr>
              <w:t xml:space="preserve"> geïnformeerd over de Nederlandse positie. De voorstellen voor steun aan Oekraïne worden betrokken bij het plenaire debat van 16 december over de Europese top van 18 en 19 december. Zie ook de bijbehorende </w:t>
            </w:r>
            <w:hyperlink w:history="1" r:id="rId23">
              <w:r w:rsidRPr="00790DF3">
                <w:rPr>
                  <w:rStyle w:val="Hyperlink"/>
                  <w:szCs w:val="18"/>
                </w:rPr>
                <w:t>EU-signalering</w:t>
              </w:r>
            </w:hyperlink>
            <w:r w:rsidR="00D84E96">
              <w:rPr>
                <w:szCs w:val="18"/>
              </w:rPr>
              <w:t>.</w:t>
            </w:r>
            <w:r w:rsidR="00E017B5">
              <w:rPr>
                <w:szCs w:val="18"/>
              </w:rPr>
              <w:t xml:space="preserve"> </w:t>
            </w:r>
          </w:p>
        </w:tc>
      </w:tr>
      <w:tr w:rsidRPr="00C66E98" w:rsidR="00E76150" w:rsidTr="00BC275B" w14:paraId="4F83426B" w14:textId="77777777">
        <w:tc>
          <w:tcPr>
            <w:tcW w:w="1035" w:type="dxa"/>
          </w:tcPr>
          <w:p w:rsidRPr="00A9227F" w:rsidR="00E76150" w:rsidP="00BC275B" w:rsidRDefault="00E76150" w14:paraId="1D2A0C47" w14:textId="77777777">
            <w:pPr>
              <w:spacing w:after="240"/>
              <w:rPr>
                <w:color w:val="595959" w:themeColor="text1" w:themeTint="A6"/>
                <w:szCs w:val="18"/>
              </w:rPr>
            </w:pPr>
            <w:r w:rsidRPr="00A9227F">
              <w:rPr>
                <w:color w:val="595959" w:themeColor="text1" w:themeTint="A6"/>
                <w:szCs w:val="18"/>
              </w:rPr>
              <w:t>Noot</w:t>
            </w:r>
          </w:p>
        </w:tc>
        <w:tc>
          <w:tcPr>
            <w:tcW w:w="6529" w:type="dxa"/>
          </w:tcPr>
          <w:p w:rsidR="00E76150" w:rsidP="00BC275B" w:rsidRDefault="001E180E" w14:paraId="66A95301" w14:textId="56AD8B82">
            <w:pPr>
              <w:spacing w:after="240"/>
              <w:rPr>
                <w:color w:val="595959" w:themeColor="text1" w:themeTint="A6"/>
                <w:szCs w:val="18"/>
              </w:rPr>
            </w:pPr>
            <w:r>
              <w:rPr>
                <w:color w:val="595959" w:themeColor="text1" w:themeTint="A6"/>
                <w:szCs w:val="18"/>
              </w:rPr>
              <w:t>Dit voorstel moet de</w:t>
            </w:r>
            <w:r w:rsidR="00280829">
              <w:rPr>
                <w:color w:val="595959" w:themeColor="text1" w:themeTint="A6"/>
                <w:szCs w:val="18"/>
              </w:rPr>
              <w:t xml:space="preserve"> </w:t>
            </w:r>
            <w:r w:rsidRPr="00372408" w:rsidR="00372408">
              <w:rPr>
                <w:color w:val="595959" w:themeColor="text1" w:themeTint="A6"/>
                <w:szCs w:val="18"/>
              </w:rPr>
              <w:t xml:space="preserve">herstelbetalingslening </w:t>
            </w:r>
            <w:r w:rsidR="00280829">
              <w:rPr>
                <w:color w:val="595959" w:themeColor="text1" w:themeTint="A6"/>
                <w:szCs w:val="18"/>
              </w:rPr>
              <w:t>mogelijk maken:</w:t>
            </w:r>
            <w:r w:rsidRPr="00372408" w:rsidR="00372408">
              <w:rPr>
                <w:color w:val="595959" w:themeColor="text1" w:themeTint="A6"/>
                <w:szCs w:val="18"/>
              </w:rPr>
              <w:t xml:space="preserve"> maximaal 210 miljard EUR</w:t>
            </w:r>
            <w:r w:rsidR="00280829">
              <w:rPr>
                <w:color w:val="595959" w:themeColor="text1" w:themeTint="A6"/>
                <w:szCs w:val="18"/>
              </w:rPr>
              <w:t xml:space="preserve"> aan in de EU bevroren Russische centralebanktegoeden komen hiermee beschikbaar voor</w:t>
            </w:r>
            <w:r w:rsidRPr="00372408" w:rsidR="00372408">
              <w:rPr>
                <w:color w:val="595959" w:themeColor="text1" w:themeTint="A6"/>
                <w:szCs w:val="18"/>
              </w:rPr>
              <w:t xml:space="preserve"> Oekraïne </w:t>
            </w:r>
            <w:r w:rsidR="00280829">
              <w:rPr>
                <w:color w:val="595959" w:themeColor="text1" w:themeTint="A6"/>
                <w:szCs w:val="18"/>
              </w:rPr>
              <w:t xml:space="preserve">dat </w:t>
            </w:r>
            <w:r w:rsidRPr="00372408" w:rsidR="00372408">
              <w:rPr>
                <w:color w:val="595959" w:themeColor="text1" w:themeTint="A6"/>
                <w:szCs w:val="18"/>
              </w:rPr>
              <w:t xml:space="preserve">pas terugbetaalt zodra Rusland de door zijn oorlog veroorzaakte schade vergoedt. </w:t>
            </w:r>
          </w:p>
          <w:p w:rsidRPr="00C66E98" w:rsidR="00AB4DE5" w:rsidP="00BC275B" w:rsidRDefault="00AB4DE5" w14:paraId="7125BAFC" w14:textId="5DBF9462">
            <w:pPr>
              <w:spacing w:after="240"/>
              <w:rPr>
                <w:color w:val="595959" w:themeColor="text1" w:themeTint="A6"/>
                <w:szCs w:val="18"/>
              </w:rPr>
            </w:pPr>
            <w:r>
              <w:rPr>
                <w:color w:val="595959" w:themeColor="text1" w:themeTint="A6"/>
                <w:szCs w:val="18"/>
              </w:rPr>
              <w:t>Op de Europese Raad van 18 december nemen de regeringsleiders naar verwachting een politiek besluit over de herstellening.</w:t>
            </w:r>
          </w:p>
        </w:tc>
      </w:tr>
    </w:tbl>
    <w:p w:rsidR="00E76150" w:rsidP="002A4BD8" w:rsidRDefault="00E76150" w14:paraId="663C34A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C7E82" w:rsidR="00D65C94" w:rsidTr="00BC275B" w14:paraId="467BB2E3" w14:textId="77777777">
        <w:tc>
          <w:tcPr>
            <w:tcW w:w="1035" w:type="dxa"/>
          </w:tcPr>
          <w:p w:rsidRPr="00465F72" w:rsidR="00D65C94" w:rsidP="00BC275B" w:rsidRDefault="00D65C94" w14:paraId="16492B5F" w14:textId="77777777">
            <w:pPr>
              <w:spacing w:after="240"/>
              <w:rPr>
                <w:color w:val="595959" w:themeColor="text1" w:themeTint="A6"/>
                <w:szCs w:val="18"/>
                <w:lang w:val="en-US"/>
              </w:rPr>
            </w:pPr>
            <w:r w:rsidRPr="00A9227F">
              <w:rPr>
                <w:color w:val="595959" w:themeColor="text1" w:themeTint="A6"/>
                <w:szCs w:val="18"/>
              </w:rPr>
              <w:t>Titel</w:t>
            </w:r>
          </w:p>
        </w:tc>
        <w:tc>
          <w:tcPr>
            <w:tcW w:w="6529" w:type="dxa"/>
          </w:tcPr>
          <w:p w:rsidRPr="00D65C94" w:rsidR="00465F72" w:rsidP="00465F72" w:rsidRDefault="00465F72" w14:paraId="347AD7FB" w14:textId="77777777">
            <w:pPr>
              <w:rPr>
                <w:szCs w:val="18"/>
                <w:lang w:val="en-US"/>
              </w:rPr>
            </w:pPr>
            <w:r w:rsidRPr="00D65C94">
              <w:rPr>
                <w:szCs w:val="18"/>
                <w:lang w:val="en-US"/>
              </w:rPr>
              <w:t xml:space="preserve">Proposal for a DIRECTIVE OF THE EUROPEAN PARLIAMENT AND OF THE COUNCIL amending Directives 2009/65/EC, 2011/61/EU and 2014/65/EU as regards the further development of capital market integration and supervision within the Union </w:t>
            </w:r>
            <w:hyperlink w:history="1" r:id="rId24">
              <w:r w:rsidRPr="00D65C94">
                <w:rPr>
                  <w:rStyle w:val="Hyperlink"/>
                  <w:szCs w:val="18"/>
                  <w:lang w:val="en-US"/>
                </w:rPr>
                <w:t>COM(2025)942</w:t>
              </w:r>
            </w:hyperlink>
          </w:p>
          <w:p w:rsidRPr="00465F72" w:rsidR="00D65C94" w:rsidP="00D65C94" w:rsidRDefault="00D65C94" w14:paraId="0FB24E8A" w14:textId="77777777">
            <w:pPr>
              <w:rPr>
                <w:szCs w:val="18"/>
                <w:lang w:val="en-US"/>
              </w:rPr>
            </w:pPr>
          </w:p>
        </w:tc>
      </w:tr>
      <w:tr w:rsidRPr="00A9227F" w:rsidR="00D65C94" w:rsidTr="00BC275B" w14:paraId="33D5F4E0" w14:textId="77777777">
        <w:tc>
          <w:tcPr>
            <w:tcW w:w="1035" w:type="dxa"/>
          </w:tcPr>
          <w:p w:rsidRPr="00A9227F" w:rsidR="00D65C94" w:rsidP="00BC275B" w:rsidRDefault="00D65C94" w14:paraId="128A957F" w14:textId="77777777">
            <w:pPr>
              <w:spacing w:after="240"/>
              <w:rPr>
                <w:szCs w:val="18"/>
              </w:rPr>
            </w:pPr>
            <w:r w:rsidRPr="00A9227F">
              <w:rPr>
                <w:szCs w:val="18"/>
              </w:rPr>
              <w:lastRenderedPageBreak/>
              <w:t>Voorstel</w:t>
            </w:r>
          </w:p>
        </w:tc>
        <w:tc>
          <w:tcPr>
            <w:tcW w:w="6529" w:type="dxa"/>
          </w:tcPr>
          <w:p w:rsidRPr="00A9227F" w:rsidR="00D65C94" w:rsidP="00BC275B" w:rsidRDefault="004B2891" w14:paraId="6995D33F" w14:textId="3E7BE8AF">
            <w:pPr>
              <w:spacing w:after="240"/>
              <w:rPr>
                <w:szCs w:val="18"/>
              </w:rPr>
            </w:pPr>
            <w:r>
              <w:rPr>
                <w:szCs w:val="18"/>
              </w:rPr>
              <w:t>Na ontvangst van het BNC-fiche agenderen voor een schriftelijk overleg</w:t>
            </w:r>
          </w:p>
        </w:tc>
      </w:tr>
      <w:tr w:rsidRPr="00C66E98" w:rsidR="00D65C94" w:rsidTr="00BC275B" w14:paraId="7D076CBF" w14:textId="77777777">
        <w:tc>
          <w:tcPr>
            <w:tcW w:w="1035" w:type="dxa"/>
          </w:tcPr>
          <w:p w:rsidRPr="00A9227F" w:rsidR="00D65C94" w:rsidP="00BC275B" w:rsidRDefault="00D65C94" w14:paraId="321FF8D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D65C94" w:rsidP="00BC275B" w:rsidRDefault="00F45F63" w14:paraId="0F990953" w14:textId="45CE115C">
            <w:pPr>
              <w:spacing w:after="240"/>
              <w:rPr>
                <w:color w:val="595959" w:themeColor="text1" w:themeTint="A6"/>
                <w:szCs w:val="18"/>
              </w:rPr>
            </w:pPr>
            <w:r w:rsidRPr="00F45F63">
              <w:rPr>
                <w:color w:val="595959" w:themeColor="text1" w:themeTint="A6"/>
                <w:szCs w:val="18"/>
              </w:rPr>
              <w:t xml:space="preserve">Dit voorstel voor een richtlijn beoogt een verdere versterking van de integratie en het toezicht op de Europese kapitaalmarkten. </w:t>
            </w:r>
            <w:r w:rsidR="00384C53">
              <w:rPr>
                <w:color w:val="595959" w:themeColor="text1" w:themeTint="A6"/>
                <w:szCs w:val="18"/>
              </w:rPr>
              <w:t>Het voorstel r</w:t>
            </w:r>
            <w:r w:rsidRPr="00384C53" w:rsidR="00384C53">
              <w:rPr>
                <w:color w:val="595959" w:themeColor="text1" w:themeTint="A6"/>
                <w:szCs w:val="18"/>
              </w:rPr>
              <w:t>icht zich op het wegnemen van barrières door fragmentatie van regels en toezicht, het bevorderen van innovatie zoals DLT en tokenisering, het harmoniseren van toezicht en het vereenvoudigen van regelgeving.</w:t>
            </w:r>
            <w:r w:rsidRPr="000F6C4F" w:rsidR="000F6C4F">
              <w:t xml:space="preserve"> </w:t>
            </w:r>
            <w:r w:rsidRPr="000F6C4F" w:rsidR="000F6C4F">
              <w:rPr>
                <w:color w:val="595959" w:themeColor="text1" w:themeTint="A6"/>
                <w:szCs w:val="18"/>
              </w:rPr>
              <w:t xml:space="preserve">Dit draagt bij aan het kerndoel van de </w:t>
            </w:r>
            <w:r w:rsidR="00433C38">
              <w:rPr>
                <w:color w:val="595959" w:themeColor="text1" w:themeTint="A6"/>
                <w:szCs w:val="18"/>
              </w:rPr>
              <w:t>Spaar- en Investeringsunie</w:t>
            </w:r>
            <w:r w:rsidRPr="000F6C4F" w:rsidR="000F6C4F">
              <w:rPr>
                <w:color w:val="595959" w:themeColor="text1" w:themeTint="A6"/>
                <w:szCs w:val="18"/>
              </w:rPr>
              <w:t xml:space="preserve"> om beleggers en ondernemingen toegang te geven tot een breder scala aan financiële mogelijkheden en om spaargelden te mobiliseren voor productieve investeringen.</w:t>
            </w:r>
            <w:r w:rsidRPr="00384C53" w:rsidR="00384C53">
              <w:rPr>
                <w:color w:val="595959" w:themeColor="text1" w:themeTint="A6"/>
                <w:szCs w:val="18"/>
              </w:rPr>
              <w:t xml:space="preserve"> </w:t>
            </w:r>
          </w:p>
        </w:tc>
      </w:tr>
    </w:tbl>
    <w:p w:rsidR="00D65C94" w:rsidP="002A4BD8" w:rsidRDefault="00D65C94" w14:paraId="220433E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C7E82" w:rsidR="009C5F72" w:rsidTr="00BC275B" w14:paraId="13444D34" w14:textId="77777777">
        <w:tc>
          <w:tcPr>
            <w:tcW w:w="1035" w:type="dxa"/>
          </w:tcPr>
          <w:p w:rsidRPr="00465F72" w:rsidR="009C5F72" w:rsidP="00BC275B" w:rsidRDefault="009C5F72" w14:paraId="21674FD8" w14:textId="77777777">
            <w:pPr>
              <w:spacing w:after="240"/>
              <w:rPr>
                <w:color w:val="595959" w:themeColor="text1" w:themeTint="A6"/>
                <w:szCs w:val="18"/>
                <w:lang w:val="en-US"/>
              </w:rPr>
            </w:pPr>
            <w:r w:rsidRPr="00A9227F">
              <w:rPr>
                <w:color w:val="595959" w:themeColor="text1" w:themeTint="A6"/>
                <w:szCs w:val="18"/>
              </w:rPr>
              <w:t>Titel</w:t>
            </w:r>
          </w:p>
        </w:tc>
        <w:tc>
          <w:tcPr>
            <w:tcW w:w="6529" w:type="dxa"/>
          </w:tcPr>
          <w:p w:rsidR="009C5F72" w:rsidP="009C5F72" w:rsidRDefault="009C5F72" w14:paraId="34424F92" w14:textId="77777777">
            <w:pPr>
              <w:rPr>
                <w:szCs w:val="18"/>
                <w:lang w:val="en-US"/>
              </w:rPr>
            </w:pPr>
            <w:r w:rsidRPr="009C5F72">
              <w:rPr>
                <w:szCs w:val="18"/>
                <w:lang w:val="en-US"/>
              </w:rPr>
              <w:t xml:space="preserve">Proposal for a REGULATION OF THE EUROPEAN PARLIAMENT AND OF THE COUNCIL amending Regulations (EU) No 1095/2010, No 648/2012, No 600/2014, No 909/2014, 2015/2365, 2019/1156, 2021/23, 2022/858, 2023/1114, No 1060/2009, 2016/1011, 2017/2402, 2023/2631 and 2024/3005 as regards the further development of capital market integration and supervision within the Union </w:t>
            </w:r>
            <w:hyperlink w:history="1" r:id="rId25">
              <w:r w:rsidRPr="009C5F72">
                <w:rPr>
                  <w:rStyle w:val="Hyperlink"/>
                  <w:szCs w:val="18"/>
                  <w:lang w:val="en-US"/>
                </w:rPr>
                <w:t>COM(2025)943</w:t>
              </w:r>
            </w:hyperlink>
          </w:p>
          <w:p w:rsidRPr="00465F72" w:rsidR="009C5F72" w:rsidP="009C5F72" w:rsidRDefault="009C5F72" w14:paraId="1D8BB24F" w14:textId="096FD6AC">
            <w:pPr>
              <w:rPr>
                <w:szCs w:val="18"/>
                <w:lang w:val="en-US"/>
              </w:rPr>
            </w:pPr>
          </w:p>
        </w:tc>
      </w:tr>
      <w:tr w:rsidRPr="00A9227F" w:rsidR="009C5F72" w:rsidTr="00BC275B" w14:paraId="69ED0C33" w14:textId="77777777">
        <w:tc>
          <w:tcPr>
            <w:tcW w:w="1035" w:type="dxa"/>
          </w:tcPr>
          <w:p w:rsidRPr="00A9227F" w:rsidR="009C5F72" w:rsidP="00BC275B" w:rsidRDefault="009C5F72" w14:paraId="3E5288D3" w14:textId="77777777">
            <w:pPr>
              <w:spacing w:after="240"/>
              <w:rPr>
                <w:szCs w:val="18"/>
              </w:rPr>
            </w:pPr>
            <w:r w:rsidRPr="00A9227F">
              <w:rPr>
                <w:szCs w:val="18"/>
              </w:rPr>
              <w:t>Voorstel</w:t>
            </w:r>
          </w:p>
        </w:tc>
        <w:tc>
          <w:tcPr>
            <w:tcW w:w="6529" w:type="dxa"/>
          </w:tcPr>
          <w:p w:rsidRPr="00A9227F" w:rsidR="009C5F72" w:rsidP="00BC275B" w:rsidRDefault="004B2891" w14:paraId="7F57E4AF" w14:textId="3826FD0C">
            <w:pPr>
              <w:spacing w:after="240"/>
              <w:rPr>
                <w:szCs w:val="18"/>
              </w:rPr>
            </w:pPr>
            <w:r>
              <w:rPr>
                <w:szCs w:val="18"/>
              </w:rPr>
              <w:t>Na ontvangst van het BNC-fiche agenderen voor een schriftelijk overleg</w:t>
            </w:r>
          </w:p>
        </w:tc>
      </w:tr>
      <w:tr w:rsidRPr="00C66E98" w:rsidR="009C5F72" w:rsidTr="00BC275B" w14:paraId="60E13802" w14:textId="77777777">
        <w:tc>
          <w:tcPr>
            <w:tcW w:w="1035" w:type="dxa"/>
          </w:tcPr>
          <w:p w:rsidRPr="00A9227F" w:rsidR="009C5F72" w:rsidP="00BC275B" w:rsidRDefault="009C5F72" w14:paraId="45F9FFD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C5F72" w:rsidP="00BC275B" w:rsidRDefault="00607B2D" w14:paraId="22D85929" w14:textId="56CE89A2">
            <w:pPr>
              <w:spacing w:after="240"/>
              <w:rPr>
                <w:color w:val="595959" w:themeColor="text1" w:themeTint="A6"/>
                <w:szCs w:val="18"/>
              </w:rPr>
            </w:pPr>
            <w:r w:rsidRPr="00607B2D">
              <w:rPr>
                <w:color w:val="595959" w:themeColor="text1" w:themeTint="A6"/>
                <w:szCs w:val="18"/>
              </w:rPr>
              <w:t>Dit voorstel voor een verordening voorziet in wijzigingen van een reeks bestaande EU-verordeningen op het gebied van financiële markten, marktinfrastructuur en toezicht. De aanpassingen zijn gericht op het verder verdiepen van de integratie van de kapitaalmarkten binnen de Unie en het versterken van het Europese toezichtkader. Daarbij wordt onder meer ingezet op een grotere rol voor Europese toezichthoudende autoriteiten, verbeterde toezichtconvergentie en een consistenter regelgevings- en handhavingskader voor grensoverschrijdende activiteiten, met als doel de stabiliteit, efficiëntie en weerbaarheid van de Europese kapitaalmarkten te bevorderen</w:t>
            </w:r>
            <w:r>
              <w:rPr>
                <w:color w:val="595959" w:themeColor="text1" w:themeTint="A6"/>
                <w:szCs w:val="18"/>
              </w:rPr>
              <w:t>.</w:t>
            </w:r>
          </w:p>
        </w:tc>
      </w:tr>
    </w:tbl>
    <w:p w:rsidR="009C5F72" w:rsidP="002A4BD8" w:rsidRDefault="009C5F72" w14:paraId="719FFAD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C7E82" w:rsidR="00D4115A" w:rsidTr="00BC275B" w14:paraId="3BC52DA0" w14:textId="77777777">
        <w:tc>
          <w:tcPr>
            <w:tcW w:w="1035" w:type="dxa"/>
          </w:tcPr>
          <w:p w:rsidRPr="00465F72" w:rsidR="00D4115A" w:rsidP="00BC275B" w:rsidRDefault="00D4115A" w14:paraId="637DD618" w14:textId="77777777">
            <w:pPr>
              <w:spacing w:after="240"/>
              <w:rPr>
                <w:color w:val="595959" w:themeColor="text1" w:themeTint="A6"/>
                <w:szCs w:val="18"/>
                <w:lang w:val="en-US"/>
              </w:rPr>
            </w:pPr>
            <w:r w:rsidRPr="00A9227F">
              <w:rPr>
                <w:color w:val="595959" w:themeColor="text1" w:themeTint="A6"/>
                <w:szCs w:val="18"/>
              </w:rPr>
              <w:t>Titel</w:t>
            </w:r>
          </w:p>
        </w:tc>
        <w:tc>
          <w:tcPr>
            <w:tcW w:w="6529" w:type="dxa"/>
          </w:tcPr>
          <w:p w:rsidR="00D4115A" w:rsidP="00BC275B" w:rsidRDefault="00D4115A" w14:paraId="14230713" w14:textId="77777777">
            <w:pPr>
              <w:rPr>
                <w:szCs w:val="18"/>
                <w:lang w:val="en-US"/>
              </w:rPr>
            </w:pPr>
            <w:r w:rsidRPr="009C5F72">
              <w:rPr>
                <w:szCs w:val="18"/>
                <w:lang w:val="en-US"/>
              </w:rPr>
              <w:t xml:space="preserve">Proposal for a REGULATION OF THE EUROPEAN PARLIAMENT AND OF THE COUNCIL on settlement finality and repealing Directive 98/26/EC and amending Directive 2002/47/EC on financial collateral arrangements </w:t>
            </w:r>
            <w:hyperlink w:history="1" r:id="rId26">
              <w:r w:rsidRPr="009C5F72">
                <w:rPr>
                  <w:rStyle w:val="Hyperlink"/>
                  <w:szCs w:val="18"/>
                  <w:lang w:val="en-US"/>
                </w:rPr>
                <w:t>COM(2025)941</w:t>
              </w:r>
            </w:hyperlink>
          </w:p>
          <w:p w:rsidRPr="00465F72" w:rsidR="00D4115A" w:rsidP="00D4115A" w:rsidRDefault="00D4115A" w14:paraId="12901012" w14:textId="77777777">
            <w:pPr>
              <w:rPr>
                <w:szCs w:val="18"/>
                <w:lang w:val="en-US"/>
              </w:rPr>
            </w:pPr>
          </w:p>
        </w:tc>
      </w:tr>
      <w:tr w:rsidRPr="00A9227F" w:rsidR="00D4115A" w:rsidTr="00BC275B" w14:paraId="572352F8" w14:textId="77777777">
        <w:tc>
          <w:tcPr>
            <w:tcW w:w="1035" w:type="dxa"/>
          </w:tcPr>
          <w:p w:rsidRPr="00A9227F" w:rsidR="00D4115A" w:rsidP="00BC275B" w:rsidRDefault="00D4115A" w14:paraId="1674179D" w14:textId="77777777">
            <w:pPr>
              <w:spacing w:after="240"/>
              <w:rPr>
                <w:szCs w:val="18"/>
              </w:rPr>
            </w:pPr>
            <w:r w:rsidRPr="00A9227F">
              <w:rPr>
                <w:szCs w:val="18"/>
              </w:rPr>
              <w:t>Voorstel</w:t>
            </w:r>
          </w:p>
        </w:tc>
        <w:tc>
          <w:tcPr>
            <w:tcW w:w="6529" w:type="dxa"/>
          </w:tcPr>
          <w:p w:rsidRPr="00A9227F" w:rsidR="00D4115A" w:rsidP="00BC275B" w:rsidRDefault="004B2891" w14:paraId="7EBA9642" w14:textId="7B1EF2D5">
            <w:pPr>
              <w:spacing w:after="240"/>
              <w:rPr>
                <w:szCs w:val="18"/>
              </w:rPr>
            </w:pPr>
            <w:r>
              <w:rPr>
                <w:szCs w:val="18"/>
              </w:rPr>
              <w:t>Na ontvangst van het BNC-fiche agenderen voor een schriftelijk overleg</w:t>
            </w:r>
          </w:p>
        </w:tc>
      </w:tr>
      <w:tr w:rsidRPr="00C66E98" w:rsidR="00D4115A" w:rsidTr="00BC275B" w14:paraId="24F87D57" w14:textId="77777777">
        <w:tc>
          <w:tcPr>
            <w:tcW w:w="1035" w:type="dxa"/>
          </w:tcPr>
          <w:p w:rsidRPr="00A9227F" w:rsidR="00D4115A" w:rsidP="00BC275B" w:rsidRDefault="00D4115A" w14:paraId="0132CAA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D4115A" w:rsidP="00BC275B" w:rsidRDefault="00654BBB" w14:paraId="1494A130" w14:textId="4B895EEA">
            <w:pPr>
              <w:spacing w:after="240"/>
              <w:rPr>
                <w:color w:val="595959" w:themeColor="text1" w:themeTint="A6"/>
                <w:szCs w:val="18"/>
              </w:rPr>
            </w:pPr>
            <w:r w:rsidRPr="00654BBB">
              <w:rPr>
                <w:color w:val="595959" w:themeColor="text1" w:themeTint="A6"/>
                <w:szCs w:val="18"/>
              </w:rPr>
              <w:t xml:space="preserve">Dit voorstel voor een verordening heeft tot doel het kader voor afwikkelingsfinaliteit binnen de Unie te moderniseren en te harmoniseren. Daartoe wordt Richtlijn 98/26/EG </w:t>
            </w:r>
            <w:r w:rsidRPr="00654BBB" w:rsidR="00FB71FC">
              <w:rPr>
                <w:color w:val="595959" w:themeColor="text1" w:themeTint="A6"/>
                <w:szCs w:val="18"/>
              </w:rPr>
              <w:t>over</w:t>
            </w:r>
            <w:r w:rsidRPr="00654BBB">
              <w:rPr>
                <w:color w:val="595959" w:themeColor="text1" w:themeTint="A6"/>
                <w:szCs w:val="18"/>
              </w:rPr>
              <w:t xml:space="preserve"> afwikkelingsfinaliteit ingetrokken en wordt Richtlijn 2002/47/EG </w:t>
            </w:r>
            <w:r w:rsidRPr="00654BBB" w:rsidR="00041D29">
              <w:rPr>
                <w:color w:val="595959" w:themeColor="text1" w:themeTint="A6"/>
                <w:szCs w:val="18"/>
              </w:rPr>
              <w:t>over</w:t>
            </w:r>
            <w:r w:rsidRPr="00654BBB">
              <w:rPr>
                <w:color w:val="595959" w:themeColor="text1" w:themeTint="A6"/>
                <w:szCs w:val="18"/>
              </w:rPr>
              <w:t xml:space="preserve"> financiële</w:t>
            </w:r>
            <w:r w:rsidR="00FB71FC">
              <w:rPr>
                <w:color w:val="595959" w:themeColor="text1" w:themeTint="A6"/>
                <w:szCs w:val="18"/>
              </w:rPr>
              <w:t xml:space="preserve"> </w:t>
            </w:r>
            <w:r w:rsidRPr="00654BBB">
              <w:rPr>
                <w:color w:val="595959" w:themeColor="text1" w:themeTint="A6"/>
                <w:szCs w:val="18"/>
              </w:rPr>
              <w:t xml:space="preserve">zekerheidsovereenkomsten aangepast. Met deze wijzigingen wordt beoogd de rechtszekerheid te vergroten, systeemrisico’s te beperken en de robuustheid en efficiëntie van </w:t>
            </w:r>
            <w:r w:rsidRPr="00654BBB">
              <w:rPr>
                <w:color w:val="595959" w:themeColor="text1" w:themeTint="A6"/>
                <w:szCs w:val="18"/>
              </w:rPr>
              <w:lastRenderedPageBreak/>
              <w:t>betalings- en afwikkelingssystemen, met inbegrip van grensoverschrijdende transacties, binnen de interne markt te versterken.</w:t>
            </w:r>
          </w:p>
        </w:tc>
      </w:tr>
    </w:tbl>
    <w:p w:rsidR="00BE14D9" w:rsidP="002A4BD8" w:rsidRDefault="00BE14D9" w14:paraId="1CF661C3" w14:textId="77777777">
      <w:pPr>
        <w:rPr>
          <w:szCs w:val="18"/>
        </w:rPr>
      </w:pPr>
    </w:p>
    <w:p w:rsidR="009425E2" w:rsidP="002A4BD8" w:rsidRDefault="009425E2" w14:paraId="47B8422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C7E82" w:rsidR="009425E2" w:rsidTr="00160D31" w14:paraId="4D852859" w14:textId="77777777">
        <w:tc>
          <w:tcPr>
            <w:tcW w:w="1035" w:type="dxa"/>
          </w:tcPr>
          <w:p w:rsidRPr="00465F72" w:rsidR="009425E2" w:rsidP="00160D31" w:rsidRDefault="009425E2" w14:paraId="0BBD2858" w14:textId="77777777">
            <w:pPr>
              <w:spacing w:after="240"/>
              <w:rPr>
                <w:color w:val="595959" w:themeColor="text1" w:themeTint="A6"/>
                <w:szCs w:val="18"/>
                <w:lang w:val="en-US"/>
              </w:rPr>
            </w:pPr>
            <w:r w:rsidRPr="00A9227F">
              <w:rPr>
                <w:color w:val="595959" w:themeColor="text1" w:themeTint="A6"/>
                <w:szCs w:val="18"/>
              </w:rPr>
              <w:t>Titel</w:t>
            </w:r>
          </w:p>
        </w:tc>
        <w:tc>
          <w:tcPr>
            <w:tcW w:w="6529" w:type="dxa"/>
          </w:tcPr>
          <w:p w:rsidRPr="002C7E82" w:rsidR="009425E2" w:rsidP="00160D31" w:rsidRDefault="00AA52A0" w14:paraId="1913A01B" w14:textId="77777777">
            <w:pPr>
              <w:rPr>
                <w:szCs w:val="18"/>
                <w:lang w:val="en-US"/>
              </w:rPr>
            </w:pPr>
            <w:r w:rsidRPr="009425E2">
              <w:rPr>
                <w:szCs w:val="18"/>
                <w:lang w:val="en-US"/>
              </w:rPr>
              <w:t xml:space="preserve">Proposal for a REGULATION OF THE EUROPEAN PARLIAMENT AND OF THE COUNCIL amending Regulation (EU) 2019/1238 on a pan-European Personal Pension Product (PEPP) </w:t>
            </w:r>
            <w:hyperlink w:history="1" r:id="rId27">
              <w:r w:rsidRPr="009425E2">
                <w:rPr>
                  <w:rStyle w:val="Hyperlink"/>
                  <w:szCs w:val="18"/>
                  <w:lang w:val="en-US"/>
                </w:rPr>
                <w:t>COM(2025)840</w:t>
              </w:r>
            </w:hyperlink>
          </w:p>
          <w:p w:rsidRPr="00465F72" w:rsidR="00AA52A0" w:rsidP="00160D31" w:rsidRDefault="00AA52A0" w14:paraId="005810B2" w14:textId="3A224812">
            <w:pPr>
              <w:rPr>
                <w:szCs w:val="18"/>
                <w:lang w:val="en-US"/>
              </w:rPr>
            </w:pPr>
          </w:p>
        </w:tc>
      </w:tr>
      <w:tr w:rsidRPr="00A9227F" w:rsidR="009425E2" w:rsidTr="00160D31" w14:paraId="70369E62" w14:textId="77777777">
        <w:tc>
          <w:tcPr>
            <w:tcW w:w="1035" w:type="dxa"/>
          </w:tcPr>
          <w:p w:rsidRPr="00A9227F" w:rsidR="009425E2" w:rsidP="00160D31" w:rsidRDefault="009425E2" w14:paraId="0869B434" w14:textId="77777777">
            <w:pPr>
              <w:spacing w:after="240"/>
              <w:rPr>
                <w:szCs w:val="18"/>
              </w:rPr>
            </w:pPr>
            <w:r w:rsidRPr="00A9227F">
              <w:rPr>
                <w:szCs w:val="18"/>
              </w:rPr>
              <w:t>Voorstel</w:t>
            </w:r>
          </w:p>
        </w:tc>
        <w:tc>
          <w:tcPr>
            <w:tcW w:w="6529" w:type="dxa"/>
          </w:tcPr>
          <w:p w:rsidRPr="00A9227F" w:rsidR="009425E2" w:rsidP="00160D31" w:rsidRDefault="00AA52A0" w14:paraId="5A32F6E5" w14:textId="1BB973A4">
            <w:pPr>
              <w:spacing w:after="240"/>
              <w:rPr>
                <w:szCs w:val="18"/>
              </w:rPr>
            </w:pPr>
            <w:r>
              <w:rPr>
                <w:szCs w:val="18"/>
              </w:rPr>
              <w:t xml:space="preserve">Na ontvangst van het BNC-fiche agenderen voor </w:t>
            </w:r>
            <w:r w:rsidR="004B2891">
              <w:rPr>
                <w:szCs w:val="18"/>
              </w:rPr>
              <w:t>een schriftelijk overleg</w:t>
            </w:r>
          </w:p>
        </w:tc>
      </w:tr>
      <w:tr w:rsidRPr="00CB6D3E" w:rsidR="009425E2" w:rsidTr="00160D31" w14:paraId="1FDC527E" w14:textId="77777777">
        <w:tc>
          <w:tcPr>
            <w:tcW w:w="1035" w:type="dxa"/>
          </w:tcPr>
          <w:p w:rsidRPr="00A9227F" w:rsidR="009425E2" w:rsidP="00160D31" w:rsidRDefault="009425E2" w14:paraId="7A6704B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4C7E47" w:rsidR="009425E2" w:rsidP="00160D31" w:rsidRDefault="00CF721C" w14:paraId="5D2CEF11" w14:textId="655FA78D">
            <w:pPr>
              <w:spacing w:after="240"/>
              <w:rPr>
                <w:color w:val="595959" w:themeColor="text1" w:themeTint="A6"/>
                <w:szCs w:val="18"/>
              </w:rPr>
            </w:pPr>
            <w:r>
              <w:rPr>
                <w:color w:val="595959" w:themeColor="text1" w:themeTint="A6"/>
                <w:szCs w:val="18"/>
              </w:rPr>
              <w:t xml:space="preserve">Als onderdeel van haar streven naar een Spaar- en Investeringsunie stelt de Commissie voor om de huidige </w:t>
            </w:r>
            <w:r w:rsidR="00E43713">
              <w:rPr>
                <w:color w:val="595959" w:themeColor="text1" w:themeTint="A6"/>
                <w:szCs w:val="18"/>
              </w:rPr>
              <w:t>verordening voor het pan-Europese persoonlijke pensioenplan aan te passen</w:t>
            </w:r>
            <w:r w:rsidR="00725681">
              <w:rPr>
                <w:color w:val="595959" w:themeColor="text1" w:themeTint="A6"/>
                <w:szCs w:val="18"/>
              </w:rPr>
              <w:t xml:space="preserve"> (PEPP)</w:t>
            </w:r>
            <w:r w:rsidR="00E43713">
              <w:rPr>
                <w:color w:val="595959" w:themeColor="text1" w:themeTint="A6"/>
                <w:szCs w:val="18"/>
              </w:rPr>
              <w:t xml:space="preserve">. </w:t>
            </w:r>
            <w:r w:rsidR="001014B1">
              <w:rPr>
                <w:color w:val="595959" w:themeColor="text1" w:themeTint="A6"/>
                <w:szCs w:val="18"/>
              </w:rPr>
              <w:t>PEPP</w:t>
            </w:r>
            <w:r w:rsidR="00725681">
              <w:rPr>
                <w:color w:val="595959" w:themeColor="text1" w:themeTint="A6"/>
                <w:szCs w:val="18"/>
              </w:rPr>
              <w:t xml:space="preserve"> is</w:t>
            </w:r>
            <w:r w:rsidRPr="00725681" w:rsidR="00725681">
              <w:rPr>
                <w:color w:val="595959" w:themeColor="text1" w:themeTint="A6"/>
                <w:szCs w:val="18"/>
              </w:rPr>
              <w:t xml:space="preserve"> een aanvullend, individueel pensioenproduct dat overal in de EU volgens grotendeels geharmoniseerde regels kan worden aangeboden en meegenomen bij verhuizing naar een andere lidstaat. </w:t>
            </w:r>
            <w:r w:rsidRPr="00391DD3" w:rsidR="00391DD3">
              <w:rPr>
                <w:color w:val="595959" w:themeColor="text1" w:themeTint="A6"/>
                <w:szCs w:val="18"/>
              </w:rPr>
              <w:t>Met de voorgenomen herziening wil de Commissie PEPP aantrekkelijker e</w:t>
            </w:r>
            <w:r w:rsidR="00391DD3">
              <w:rPr>
                <w:color w:val="595959" w:themeColor="text1" w:themeTint="A6"/>
                <w:szCs w:val="18"/>
              </w:rPr>
              <w:t>en laagdrempeliger maken</w:t>
            </w:r>
            <w:r w:rsidR="004C7E47">
              <w:rPr>
                <w:color w:val="595959" w:themeColor="text1" w:themeTint="A6"/>
                <w:szCs w:val="18"/>
              </w:rPr>
              <w:t>.</w:t>
            </w:r>
          </w:p>
        </w:tc>
      </w:tr>
    </w:tbl>
    <w:p w:rsidRPr="002C7E82" w:rsidR="009425E2" w:rsidP="002A4BD8" w:rsidRDefault="009425E2" w14:paraId="588268EF" w14:textId="77777777">
      <w:pPr>
        <w:rPr>
          <w:szCs w:val="18"/>
        </w:rPr>
      </w:pPr>
    </w:p>
    <w:p w:rsidRPr="002C7E82" w:rsidR="00600343" w:rsidP="002A4BD8" w:rsidRDefault="00600343" w14:paraId="7B2DCFA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C7E82" w:rsidR="00600343" w:rsidTr="00160D31" w14:paraId="5A2B13E9" w14:textId="77777777">
        <w:tc>
          <w:tcPr>
            <w:tcW w:w="1035" w:type="dxa"/>
          </w:tcPr>
          <w:p w:rsidRPr="00465F72" w:rsidR="00600343" w:rsidP="00160D31" w:rsidRDefault="00600343" w14:paraId="3B4172AF" w14:textId="77777777">
            <w:pPr>
              <w:spacing w:after="240"/>
              <w:rPr>
                <w:color w:val="595959" w:themeColor="text1" w:themeTint="A6"/>
                <w:szCs w:val="18"/>
                <w:lang w:val="en-US"/>
              </w:rPr>
            </w:pPr>
            <w:r w:rsidRPr="00A9227F">
              <w:rPr>
                <w:color w:val="595959" w:themeColor="text1" w:themeTint="A6"/>
                <w:szCs w:val="18"/>
              </w:rPr>
              <w:t>Titel</w:t>
            </w:r>
          </w:p>
        </w:tc>
        <w:tc>
          <w:tcPr>
            <w:tcW w:w="6529" w:type="dxa"/>
          </w:tcPr>
          <w:p w:rsidR="00600343" w:rsidP="00160D31" w:rsidRDefault="00600343" w14:paraId="181632D4" w14:textId="77777777">
            <w:pPr>
              <w:rPr>
                <w:szCs w:val="18"/>
                <w:lang w:val="en-US"/>
              </w:rPr>
            </w:pPr>
            <w:r w:rsidRPr="00600343">
              <w:rPr>
                <w:szCs w:val="18"/>
                <w:lang w:val="en-US"/>
              </w:rPr>
              <w:t xml:space="preserve">Proposal for a REGULATION OF THE EUROPEAN PARLIAMENT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 </w:t>
            </w:r>
            <w:hyperlink w:history="1" r:id="rId28">
              <w:r w:rsidRPr="00600343">
                <w:rPr>
                  <w:rStyle w:val="Hyperlink"/>
                  <w:szCs w:val="18"/>
                  <w:lang w:val="en-US"/>
                </w:rPr>
                <w:t>COM(2025)841</w:t>
              </w:r>
            </w:hyperlink>
          </w:p>
          <w:p w:rsidRPr="00465F72" w:rsidR="00600343" w:rsidP="00160D31" w:rsidRDefault="00600343" w14:paraId="2A2EA2DF" w14:textId="12C31D5B">
            <w:pPr>
              <w:rPr>
                <w:szCs w:val="18"/>
                <w:lang w:val="en-US"/>
              </w:rPr>
            </w:pPr>
          </w:p>
        </w:tc>
      </w:tr>
      <w:tr w:rsidRPr="00A9227F" w:rsidR="00600343" w:rsidTr="00160D31" w14:paraId="0D476842" w14:textId="77777777">
        <w:tc>
          <w:tcPr>
            <w:tcW w:w="1035" w:type="dxa"/>
          </w:tcPr>
          <w:p w:rsidRPr="00A9227F" w:rsidR="00600343" w:rsidP="00160D31" w:rsidRDefault="00600343" w14:paraId="41A7B5C0" w14:textId="77777777">
            <w:pPr>
              <w:spacing w:after="240"/>
              <w:rPr>
                <w:szCs w:val="18"/>
              </w:rPr>
            </w:pPr>
            <w:r w:rsidRPr="00A9227F">
              <w:rPr>
                <w:szCs w:val="18"/>
              </w:rPr>
              <w:t>Voorstel</w:t>
            </w:r>
          </w:p>
        </w:tc>
        <w:tc>
          <w:tcPr>
            <w:tcW w:w="6529" w:type="dxa"/>
          </w:tcPr>
          <w:p w:rsidRPr="00A9227F" w:rsidR="004C7E47" w:rsidP="00160D31" w:rsidRDefault="004C7E47" w14:paraId="59F45400" w14:textId="45544B0A">
            <w:pPr>
              <w:spacing w:after="240"/>
              <w:rPr>
                <w:szCs w:val="18"/>
              </w:rPr>
            </w:pPr>
            <w:r>
              <w:rPr>
                <w:szCs w:val="18"/>
              </w:rPr>
              <w:t xml:space="preserve">Agenderen voor een schriftelijk overleg; Het </w:t>
            </w:r>
            <w:hyperlink w:history="1" r:id="rId29">
              <w:r w:rsidRPr="001F5060">
                <w:rPr>
                  <w:rStyle w:val="Hyperlink"/>
                  <w:szCs w:val="18"/>
                </w:rPr>
                <w:t>BNC-fiche</w:t>
              </w:r>
            </w:hyperlink>
            <w:r>
              <w:rPr>
                <w:szCs w:val="18"/>
              </w:rPr>
              <w:t xml:space="preserve"> is op</w:t>
            </w:r>
            <w:r w:rsidR="001F5060">
              <w:rPr>
                <w:szCs w:val="18"/>
              </w:rPr>
              <w:t xml:space="preserve"> 5 december ontvangen</w:t>
            </w:r>
            <w:r>
              <w:rPr>
                <w:szCs w:val="18"/>
              </w:rPr>
              <w:t>.</w:t>
            </w:r>
            <w:r w:rsidR="00674762">
              <w:rPr>
                <w:szCs w:val="18"/>
              </w:rPr>
              <w:t xml:space="preserve"> </w:t>
            </w:r>
            <w:r>
              <w:rPr>
                <w:szCs w:val="18"/>
              </w:rPr>
              <w:t>Voorts wordt de Kamer in een aparte behandelnotitie in overweging gegeven</w:t>
            </w:r>
            <w:r w:rsidR="00635948">
              <w:rPr>
                <w:szCs w:val="18"/>
              </w:rPr>
              <w:t xml:space="preserve"> om eventueel uitvoering te geven aan het voornemen van de vorige Kamercommissie Financiën</w:t>
            </w:r>
            <w:r w:rsidR="009A0866">
              <w:rPr>
                <w:szCs w:val="18"/>
              </w:rPr>
              <w:t xml:space="preserve"> om een behandelvoorbehoud te plaatsen.</w:t>
            </w:r>
          </w:p>
        </w:tc>
      </w:tr>
      <w:tr w:rsidRPr="00C66E98" w:rsidR="00600343" w:rsidTr="00160D31" w14:paraId="108694FD" w14:textId="77777777">
        <w:tc>
          <w:tcPr>
            <w:tcW w:w="1035" w:type="dxa"/>
          </w:tcPr>
          <w:p w:rsidRPr="00A9227F" w:rsidR="00600343" w:rsidP="00160D31" w:rsidRDefault="00600343" w14:paraId="077760C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00343" w:rsidP="00160D31" w:rsidRDefault="009A0866" w14:paraId="09C9747D" w14:textId="0F716952">
            <w:pPr>
              <w:spacing w:after="240"/>
              <w:rPr>
                <w:color w:val="595959" w:themeColor="text1" w:themeTint="A6"/>
                <w:szCs w:val="18"/>
              </w:rPr>
            </w:pPr>
            <w:r>
              <w:rPr>
                <w:color w:val="595959" w:themeColor="text1" w:themeTint="A6"/>
                <w:szCs w:val="18"/>
              </w:rPr>
              <w:t>Zie aparte behandelnotitie</w:t>
            </w:r>
          </w:p>
        </w:tc>
      </w:tr>
    </w:tbl>
    <w:p w:rsidRPr="00600343" w:rsidR="00600343" w:rsidP="002A4BD8" w:rsidRDefault="00600343" w14:paraId="05C6EB67" w14:textId="77777777">
      <w:pPr>
        <w:rPr>
          <w:szCs w:val="18"/>
        </w:rPr>
      </w:pPr>
    </w:p>
    <w:p w:rsidRPr="00600343" w:rsidR="009425E2" w:rsidP="002A4BD8" w:rsidRDefault="009425E2" w14:paraId="124A2BCA" w14:textId="77777777">
      <w:pPr>
        <w:rPr>
          <w:szCs w:val="18"/>
        </w:rPr>
      </w:pPr>
    </w:p>
    <w:p w:rsidRPr="00CB6D3E" w:rsidR="009425E2" w:rsidP="002A4BD8" w:rsidRDefault="009425E2" w14:paraId="0ED0D65F" w14:textId="77777777">
      <w:pPr>
        <w:rPr>
          <w:szCs w:val="18"/>
          <w:lang w:val="en-US"/>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0DD8"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A0DD8" w:rsidR="00182C87" w:rsidP="00160D31" w:rsidRDefault="00182C87" w14:paraId="07FDE217" w14:textId="77777777">
            <w:pPr>
              <w:rPr>
                <w:b/>
                <w:bCs/>
                <w:szCs w:val="18"/>
              </w:rPr>
            </w:pPr>
            <w:r w:rsidRPr="00AA0DD8">
              <w:rPr>
                <w:szCs w:val="18"/>
              </w:rPr>
              <w:t>MEDEDELING VAN DE COMMISSIE AAN HET EUROPEES PARLEMENT, DE EUROPESE RAAD, DE RAAD, DE EUROPESE CENTRALE BANK, HET EUROPEES ECONOMISCH EN SOCIAAL COMITÉ EN HET COMITÉ VAN DE REGIO’S Verdere ontwikkeling van de integratie van de kapitaalmarkt en het toezicht in de Unie</w:t>
            </w:r>
            <w:r>
              <w:rPr>
                <w:b/>
                <w:bCs/>
                <w:szCs w:val="18"/>
              </w:rPr>
              <w:t xml:space="preserve"> </w:t>
            </w:r>
            <w:hyperlink w:history="1" r:id="rId30">
              <w:r w:rsidRPr="00AA0DD8">
                <w:rPr>
                  <w:rStyle w:val="Hyperlink"/>
                  <w:szCs w:val="18"/>
                </w:rPr>
                <w:t>COM(2025)940</w:t>
              </w:r>
            </w:hyperlink>
          </w:p>
          <w:p w:rsidRPr="00AA0DD8" w:rsidR="00182C87" w:rsidP="00160D31" w:rsidRDefault="00182C87" w14:paraId="31D74321" w14:textId="77777777">
            <w:pPr>
              <w:rPr>
                <w:szCs w:val="18"/>
              </w:rPr>
            </w:pPr>
          </w:p>
        </w:tc>
      </w:tr>
      <w:tr w:rsidRPr="00A9227F" w:rsidR="00182C87" w:rsidTr="00160D31" w14:paraId="6C8322D3" w14:textId="77777777">
        <w:tc>
          <w:tcPr>
            <w:tcW w:w="1035" w:type="dxa"/>
          </w:tcPr>
          <w:p w:rsidRPr="00A9227F" w:rsidR="00182C87" w:rsidP="00160D31" w:rsidRDefault="00182C87" w14:paraId="1EFB1F4E" w14:textId="77777777">
            <w:pPr>
              <w:spacing w:after="240"/>
              <w:rPr>
                <w:szCs w:val="18"/>
              </w:rPr>
            </w:pPr>
            <w:r w:rsidRPr="00A9227F">
              <w:rPr>
                <w:szCs w:val="18"/>
              </w:rPr>
              <w:lastRenderedPageBreak/>
              <w:t>Voorstel</w:t>
            </w:r>
          </w:p>
        </w:tc>
        <w:tc>
          <w:tcPr>
            <w:tcW w:w="6529" w:type="dxa"/>
          </w:tcPr>
          <w:p w:rsidRPr="005E62ED" w:rsidR="00182C87" w:rsidP="00160D31" w:rsidRDefault="00182C87" w14:paraId="22ECABAF" w14:textId="6E3E3774">
            <w:pPr>
              <w:spacing w:after="240"/>
              <w:rPr>
                <w:szCs w:val="18"/>
              </w:rPr>
            </w:pPr>
            <w:r w:rsidRPr="005E62ED">
              <w:rPr>
                <w:szCs w:val="18"/>
              </w:rPr>
              <w:t>Desgewenst betrekken bij het commissiedebat Eurogroep/Ecofinraad van 15 januari 2026.</w:t>
            </w:r>
            <w:r>
              <w:rPr>
                <w:szCs w:val="18"/>
              </w:rPr>
              <w:t xml:space="preserve"> </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82C87" w:rsidP="00160D31" w:rsidRDefault="00182C87" w14:paraId="7AEF5AFD" w14:textId="77777777">
            <w:pPr>
              <w:spacing w:after="240"/>
              <w:rPr>
                <w:color w:val="595959" w:themeColor="text1" w:themeTint="A6"/>
                <w:szCs w:val="18"/>
              </w:rPr>
            </w:pPr>
            <w:r w:rsidRPr="00FE393D">
              <w:rPr>
                <w:color w:val="595959" w:themeColor="text1" w:themeTint="A6"/>
                <w:szCs w:val="18"/>
              </w:rPr>
              <w:t>In deze mededeling schetst de Commissie haar beleidsvisie en prioriteiten voor de verdere ontwikkeling van de integratie van de kapitaalmarkten en het toezicht binnen de Unie. De mededeling bevat een strategisch kader voor het verdiepen van de kapitaalmarktenunie, het versterken van toezichtconvergentie en het verbeteren van de efficiëntie, stabiliteit en weerbaarheid van het Europese financiële stelsel, mede met het oog op het faciliteren van grensoverschrijdende investeringen en duurzame economische groei.</w:t>
            </w:r>
            <w:r w:rsidRPr="0034009B">
              <w:rPr>
                <w:color w:val="595959" w:themeColor="text1" w:themeTint="A6"/>
                <w:szCs w:val="18"/>
              </w:rPr>
              <w:t xml:space="preserve"> </w:t>
            </w:r>
          </w:p>
        </w:tc>
      </w:tr>
    </w:tbl>
    <w:p w:rsidRPr="00182C87" w:rsidR="00182C87" w:rsidP="00182C87" w:rsidRDefault="00182C87" w14:paraId="66F6056E" w14:textId="77777777">
      <w:pPr>
        <w:rPr>
          <w:b/>
          <w:szCs w:val="18"/>
        </w:rPr>
      </w:pP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25D0A" w:rsidR="00125D0A" w:rsidP="00125D0A" w:rsidRDefault="00125D0A" w14:paraId="6CAC96D2" w14:textId="77777777">
            <w:pPr>
              <w:rPr>
                <w:szCs w:val="18"/>
              </w:rPr>
            </w:pPr>
            <w:r w:rsidRPr="00125D0A">
              <w:rPr>
                <w:szCs w:val="18"/>
              </w:rPr>
              <w:t>Voorstel voor een UITVOERINGSBESLUIT VAN DE RAAD tot wijziging van het Uitvoeringsbesluit van 13 juli 2021 betreffende de goedkeuring van de beoordeling van het herstel- en veerkrachtplan voor Portugal COM(2025)718</w:t>
            </w:r>
          </w:p>
          <w:p w:rsidRPr="00205A0A" w:rsidR="00205A0A" w:rsidP="00125D0A" w:rsidRDefault="00205A0A" w14:paraId="638456AC" w14:textId="046DA46F">
            <w:pPr>
              <w:rPr>
                <w:szCs w:val="18"/>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587E6B" w14:paraId="013BA8CE" w14:textId="6458806C">
            <w:pPr>
              <w:spacing w:after="240"/>
              <w:rPr>
                <w:szCs w:val="18"/>
              </w:rPr>
            </w:pPr>
            <w:r>
              <w:rPr>
                <w:szCs w:val="18"/>
              </w:rPr>
              <w:t xml:space="preserve">Desgewenst betrekken bij het commissiedebat Eurogroep/Ecofinraad van </w:t>
            </w:r>
            <w:r w:rsidR="00125D0A">
              <w:rPr>
                <w:szCs w:val="18"/>
              </w:rPr>
              <w:t>15 januari 2026</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00125D0A" w:rsidP="00125D0A" w:rsidRDefault="00125D0A" w14:paraId="056AE785" w14:textId="7553C19E">
            <w:pPr>
              <w:spacing w:after="240"/>
              <w:rPr>
                <w:color w:val="595959" w:themeColor="text1" w:themeTint="A6"/>
                <w:szCs w:val="18"/>
              </w:rPr>
            </w:pPr>
            <w:r>
              <w:rPr>
                <w:color w:val="595959" w:themeColor="text1" w:themeTint="A6"/>
                <w:szCs w:val="18"/>
              </w:rPr>
              <w:t>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Portugal positief beoordeeld en de Ecofinraad moet de gewijzigde plannen vervolgens nog formeel met gekwalificeerde meerderheid goedkeuren.</w:t>
            </w:r>
          </w:p>
          <w:p w:rsidRPr="00C66E98" w:rsidR="001C40D8" w:rsidP="00125D0A" w:rsidRDefault="00125D0A" w14:paraId="34F080DB" w14:textId="71408885">
            <w:pPr>
              <w:spacing w:after="240"/>
              <w:rPr>
                <w:color w:val="595959" w:themeColor="text1" w:themeTint="A6"/>
                <w:szCs w:val="18"/>
              </w:rPr>
            </w:pPr>
            <w:r w:rsidRPr="001C40D8">
              <w:rPr>
                <w:color w:val="595959" w:themeColor="text1" w:themeTint="A6"/>
                <w:szCs w:val="18"/>
              </w:rPr>
              <w:t>De Raad stemt doorgaans zonder discussie in met de aanpassingen op grond van een positieve beoordeling door de Commissie en de inhoudelijke behandeling in de ambtelijke voorportalen van de Ecofinraad.</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32B9B"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00125D0A" w:rsidP="00680350" w:rsidRDefault="00125D0A" w14:paraId="32875507" w14:textId="70115C53">
            <w:pPr>
              <w:rPr>
                <w:szCs w:val="18"/>
              </w:rPr>
            </w:pPr>
            <w:r w:rsidRPr="00125D0A">
              <w:rPr>
                <w:szCs w:val="18"/>
              </w:rPr>
              <w:t>Voorstel voor een BESLUIT VAN DE RAAD betreffende het namens de Europese Unie in het Gemengd Comité van de EER in te nemen standpunt betreffende een wijziging van bijlage IX (Financiële diensten), bijlage XII (Vrij verkeer van kapitaal) en bijlage XXII (Vennootschapsrecht) bij de EER-overeenkomst (Kader voor het herstel en de afwikkeling van centrale tegenpartijen)</w:t>
            </w:r>
            <w:hyperlink w:history="1" r:id="rId31"/>
            <w:r w:rsidR="00DB67D3">
              <w:rPr>
                <w:szCs w:val="18"/>
              </w:rPr>
              <w:t xml:space="preserve"> </w:t>
            </w:r>
            <w:hyperlink w:history="1" r:id="rId32">
              <w:r w:rsidRPr="00DB67D3">
                <w:rPr>
                  <w:rStyle w:val="Hyperlink"/>
                  <w:szCs w:val="18"/>
                </w:rPr>
                <w:t>COM(2025)715</w:t>
              </w:r>
            </w:hyperlink>
            <w:r w:rsidR="00B32B9B">
              <w:rPr>
                <w:szCs w:val="18"/>
              </w:rPr>
              <w:t xml:space="preserve"> </w:t>
            </w:r>
          </w:p>
          <w:p w:rsidRPr="00B32B9B" w:rsidR="00205A0A" w:rsidP="00125D0A" w:rsidRDefault="00205A0A" w14:paraId="45B254E2" w14:textId="6D0D2FA5">
            <w:pPr>
              <w:rPr>
                <w:szCs w:val="18"/>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F41022" w14:paraId="77E44C7A" w14:textId="545ABCE4">
            <w:pPr>
              <w:spacing w:after="240"/>
              <w:rPr>
                <w:szCs w:val="18"/>
              </w:rPr>
            </w:pPr>
            <w:r>
              <w:rPr>
                <w:szCs w:val="18"/>
              </w:rPr>
              <w:t>Voor kennisgeving aannemen</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001C40D8" w:rsidP="00680350" w:rsidRDefault="00E609B8" w14:paraId="16FBDD8C" w14:textId="77777777">
            <w:pPr>
              <w:spacing w:after="240"/>
              <w:rPr>
                <w:color w:val="595959" w:themeColor="text1" w:themeTint="A6"/>
                <w:szCs w:val="18"/>
              </w:rPr>
            </w:pPr>
            <w:r w:rsidRPr="00E609B8">
              <w:rPr>
                <w:color w:val="595959" w:themeColor="text1" w:themeTint="A6"/>
                <w:szCs w:val="18"/>
              </w:rPr>
              <w:t>De EER, oftewel de Europese Economische Ruimte, is een samenwerkingsverband tussen de lidstaten van de EU en de landen van de Europese Vrijhandelsassociatie (EVA/ EFTA) die geen EU-lid zijn, namelijk IJsland, Liechtenstein en Noorwegen.</w:t>
            </w:r>
          </w:p>
          <w:p w:rsidRPr="006104A5" w:rsidR="006104A5" w:rsidP="006104A5" w:rsidRDefault="006104A5" w14:paraId="27C3EC58" w14:textId="44864364">
            <w:pPr>
              <w:spacing w:after="240"/>
              <w:rPr>
                <w:color w:val="595959" w:themeColor="text1" w:themeTint="A6"/>
                <w:szCs w:val="18"/>
              </w:rPr>
            </w:pPr>
            <w:r>
              <w:rPr>
                <w:color w:val="595959" w:themeColor="text1" w:themeTint="A6"/>
                <w:szCs w:val="18"/>
              </w:rPr>
              <w:lastRenderedPageBreak/>
              <w:t xml:space="preserve">In dit besluit wil de </w:t>
            </w:r>
            <w:r w:rsidRPr="006104A5">
              <w:rPr>
                <w:color w:val="595959" w:themeColor="text1" w:themeTint="A6"/>
                <w:szCs w:val="18"/>
              </w:rPr>
              <w:t>EU instem</w:t>
            </w:r>
            <w:r>
              <w:rPr>
                <w:color w:val="595959" w:themeColor="text1" w:themeTint="A6"/>
                <w:szCs w:val="18"/>
              </w:rPr>
              <w:t>men</w:t>
            </w:r>
            <w:r w:rsidRPr="006104A5">
              <w:rPr>
                <w:color w:val="595959" w:themeColor="text1" w:themeTint="A6"/>
                <w:szCs w:val="18"/>
              </w:rPr>
              <w:t xml:space="preserve"> met een wijziging van onderdelen van de EER</w:t>
            </w:r>
            <w:r w:rsidRPr="006104A5">
              <w:rPr>
                <w:rFonts w:ascii="Cambria Math" w:hAnsi="Cambria Math" w:cs="Cambria Math"/>
                <w:color w:val="595959" w:themeColor="text1" w:themeTint="A6"/>
                <w:szCs w:val="18"/>
              </w:rPr>
              <w:t>‑</w:t>
            </w:r>
            <w:r w:rsidRPr="006104A5">
              <w:rPr>
                <w:color w:val="595959" w:themeColor="text1" w:themeTint="A6"/>
                <w:szCs w:val="18"/>
              </w:rPr>
              <w:t>overeenkomst op het domein van financi</w:t>
            </w:r>
            <w:r w:rsidRPr="006104A5">
              <w:rPr>
                <w:rFonts w:cs="Verdana"/>
                <w:color w:val="595959" w:themeColor="text1" w:themeTint="A6"/>
                <w:szCs w:val="18"/>
              </w:rPr>
              <w:t>ë</w:t>
            </w:r>
            <w:r w:rsidRPr="006104A5">
              <w:rPr>
                <w:color w:val="595959" w:themeColor="text1" w:themeTint="A6"/>
                <w:szCs w:val="18"/>
              </w:rPr>
              <w:t>le diensten, kapitaalverkeer en vennootschapsrecht, in het kader van het vernieuwde Europees raamwerk voor het herstel en de afwikkeling van centrale tegenpartijen (CCP</w:t>
            </w:r>
            <w:r w:rsidRPr="006104A5">
              <w:rPr>
                <w:rFonts w:cs="Verdana"/>
                <w:color w:val="595959" w:themeColor="text1" w:themeTint="A6"/>
                <w:szCs w:val="18"/>
              </w:rPr>
              <w:t>’</w:t>
            </w:r>
            <w:r w:rsidRPr="006104A5">
              <w:rPr>
                <w:color w:val="595959" w:themeColor="text1" w:themeTint="A6"/>
                <w:szCs w:val="18"/>
              </w:rPr>
              <w:t xml:space="preserve">s). </w:t>
            </w:r>
            <w:r>
              <w:rPr>
                <w:color w:val="595959" w:themeColor="text1" w:themeTint="A6"/>
                <w:szCs w:val="18"/>
              </w:rPr>
              <w:t xml:space="preserve"> </w:t>
            </w:r>
            <w:r w:rsidRPr="006104A5">
              <w:rPr>
                <w:color w:val="595959" w:themeColor="text1" w:themeTint="A6"/>
                <w:szCs w:val="18"/>
              </w:rPr>
              <w:t>Dit raamwerk is ontworpen om de stabiliteit van de financiële markten te versterken en te zorgen dat bij problemen bij centrale tegenpartijen sprake is van adequate procedures voor herstel of afwikkeling, zonder onaanvaardbare risico’s voor markten of belastingbetalers.</w:t>
            </w:r>
          </w:p>
          <w:p w:rsidRPr="00C66E98" w:rsidR="006104A5" w:rsidP="006104A5" w:rsidRDefault="006104A5" w14:paraId="2FA4DAA3" w14:textId="3693E6FA">
            <w:pPr>
              <w:spacing w:after="240"/>
              <w:rPr>
                <w:color w:val="595959" w:themeColor="text1" w:themeTint="A6"/>
                <w:szCs w:val="18"/>
              </w:rPr>
            </w:pPr>
            <w:r w:rsidRPr="006104A5">
              <w:rPr>
                <w:color w:val="595959" w:themeColor="text1" w:themeTint="A6"/>
                <w:szCs w:val="18"/>
              </w:rPr>
              <w:t xml:space="preserve">Met dit besluit </w:t>
            </w:r>
            <w:r w:rsidR="00F80402">
              <w:rPr>
                <w:color w:val="595959" w:themeColor="text1" w:themeTint="A6"/>
                <w:szCs w:val="18"/>
              </w:rPr>
              <w:t>maakt</w:t>
            </w:r>
            <w:r w:rsidRPr="006104A5">
              <w:rPr>
                <w:color w:val="595959" w:themeColor="text1" w:themeTint="A6"/>
                <w:szCs w:val="18"/>
              </w:rPr>
              <w:t xml:space="preserve"> de Raad</w:t>
            </w:r>
            <w:r w:rsidR="00F80402">
              <w:rPr>
                <w:color w:val="595959" w:themeColor="text1" w:themeTint="A6"/>
                <w:szCs w:val="18"/>
              </w:rPr>
              <w:t xml:space="preserve">, </w:t>
            </w:r>
            <w:r w:rsidRPr="006104A5">
              <w:rPr>
                <w:color w:val="595959" w:themeColor="text1" w:themeTint="A6"/>
                <w:szCs w:val="18"/>
              </w:rPr>
              <w:t>namens de EU</w:t>
            </w:r>
            <w:r w:rsidR="00F80402">
              <w:rPr>
                <w:color w:val="595959" w:themeColor="text1" w:themeTint="A6"/>
                <w:szCs w:val="18"/>
              </w:rPr>
              <w:t>,</w:t>
            </w:r>
            <w:r w:rsidRPr="006104A5">
              <w:rPr>
                <w:color w:val="595959" w:themeColor="text1" w:themeTint="A6"/>
                <w:szCs w:val="18"/>
              </w:rPr>
              <w:t xml:space="preserve"> zijn positie </w:t>
            </w:r>
            <w:r w:rsidR="00BD5DA8">
              <w:rPr>
                <w:color w:val="595959" w:themeColor="text1" w:themeTint="A6"/>
                <w:szCs w:val="18"/>
              </w:rPr>
              <w:t>kenbaar</w:t>
            </w:r>
            <w:r w:rsidRPr="006104A5">
              <w:rPr>
                <w:color w:val="595959" w:themeColor="text1" w:themeTint="A6"/>
                <w:szCs w:val="18"/>
              </w:rPr>
              <w:t xml:space="preserve"> voor de stemming in het Gemengd Comité van de EER over de voorgestelde aanpassingen. Voor Nederland is dit relevant </w:t>
            </w:r>
            <w:r w:rsidRPr="006104A5" w:rsidR="00BD5DA8">
              <w:rPr>
                <w:color w:val="595959" w:themeColor="text1" w:themeTint="A6"/>
                <w:szCs w:val="18"/>
              </w:rPr>
              <w:t>omdat dezelfde</w:t>
            </w:r>
            <w:r w:rsidRPr="006104A5">
              <w:rPr>
                <w:color w:val="595959" w:themeColor="text1" w:themeTint="A6"/>
                <w:szCs w:val="18"/>
              </w:rPr>
              <w:t xml:space="preserve"> regels van bank</w:t>
            </w:r>
            <w:r w:rsidRPr="006104A5">
              <w:rPr>
                <w:rFonts w:ascii="Cambria Math" w:hAnsi="Cambria Math" w:cs="Cambria Math"/>
                <w:color w:val="595959" w:themeColor="text1" w:themeTint="A6"/>
                <w:szCs w:val="18"/>
              </w:rPr>
              <w:t>‑</w:t>
            </w:r>
            <w:r w:rsidRPr="006104A5">
              <w:rPr>
                <w:color w:val="595959" w:themeColor="text1" w:themeTint="A6"/>
                <w:szCs w:val="18"/>
              </w:rPr>
              <w:t>/kapitaal</w:t>
            </w:r>
            <w:r w:rsidRPr="006104A5">
              <w:rPr>
                <w:rFonts w:ascii="Cambria Math" w:hAnsi="Cambria Math" w:cs="Cambria Math"/>
                <w:color w:val="595959" w:themeColor="text1" w:themeTint="A6"/>
                <w:szCs w:val="18"/>
              </w:rPr>
              <w:t>‑</w:t>
            </w:r>
            <w:r w:rsidRPr="006104A5">
              <w:rPr>
                <w:color w:val="595959" w:themeColor="text1" w:themeTint="A6"/>
                <w:szCs w:val="18"/>
              </w:rPr>
              <w:t xml:space="preserve"> en vennootschapsrecht ook van toepassing kunnen worden op EER</w:t>
            </w:r>
            <w:r w:rsidRPr="006104A5">
              <w:rPr>
                <w:rFonts w:ascii="Cambria Math" w:hAnsi="Cambria Math" w:cs="Cambria Math"/>
                <w:color w:val="595959" w:themeColor="text1" w:themeTint="A6"/>
                <w:szCs w:val="18"/>
              </w:rPr>
              <w:t>‑</w:t>
            </w:r>
            <w:r w:rsidRPr="006104A5">
              <w:rPr>
                <w:color w:val="595959" w:themeColor="text1" w:themeTint="A6"/>
                <w:szCs w:val="18"/>
              </w:rPr>
              <w:t>partners die geen EU</w:t>
            </w:r>
            <w:r w:rsidRPr="006104A5">
              <w:rPr>
                <w:rFonts w:ascii="Cambria Math" w:hAnsi="Cambria Math" w:cs="Cambria Math"/>
                <w:color w:val="595959" w:themeColor="text1" w:themeTint="A6"/>
                <w:szCs w:val="18"/>
              </w:rPr>
              <w:t>‑</w:t>
            </w:r>
            <w:r w:rsidRPr="006104A5">
              <w:rPr>
                <w:color w:val="595959" w:themeColor="text1" w:themeTint="A6"/>
                <w:szCs w:val="18"/>
              </w:rPr>
              <w:t>lid zijn.</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00205A0A" w:rsidP="00125D0A" w:rsidRDefault="00125D0A" w14:paraId="16AC449D" w14:textId="77777777">
            <w:r>
              <w:rPr>
                <w:szCs w:val="18"/>
              </w:rPr>
              <w:t xml:space="preserve">VERSLAG VAN DE COMMISSIE AAN HET EUROPEES PARLEMENT, DE RAAD, HET EUROPEES ECONOMISCH EN SOCIAAL COMITÉ EN HET COMITÉ VAN DE REGIO'S over de tussentijdse evaluatie van het instrument voor financiële steun voor douanecontroleapparatuur 2021-2027 </w:t>
            </w:r>
            <w:hyperlink w:history="1" r:id="rId33">
              <w:r>
                <w:rPr>
                  <w:rStyle w:val="Hyperlink"/>
                  <w:szCs w:val="18"/>
                </w:rPr>
                <w:t>COM(2025)733</w:t>
              </w:r>
            </w:hyperlink>
          </w:p>
          <w:p w:rsidRPr="00125D0A" w:rsidR="00125D0A" w:rsidP="00125D0A" w:rsidRDefault="00125D0A" w14:paraId="7D21EC5D" w14:textId="0268830F">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F41022" w14:paraId="3301AC0F" w14:textId="3C6F650B">
            <w:pPr>
              <w:spacing w:after="240"/>
              <w:rPr>
                <w:szCs w:val="18"/>
              </w:rPr>
            </w:pPr>
            <w:r>
              <w:rPr>
                <w:szCs w:val="18"/>
              </w:rPr>
              <w:t>Voor kennisgeving aannemen</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0050283F" w:rsidP="001038F0" w:rsidRDefault="0050283F" w14:paraId="56D1EF6F" w14:textId="77777777">
            <w:pPr>
              <w:spacing w:after="240"/>
              <w:rPr>
                <w:color w:val="595959" w:themeColor="text1" w:themeTint="A6"/>
                <w:szCs w:val="18"/>
              </w:rPr>
            </w:pPr>
            <w:r w:rsidRPr="001038F0">
              <w:rPr>
                <w:color w:val="595959" w:themeColor="text1" w:themeTint="A6"/>
                <w:szCs w:val="18"/>
              </w:rPr>
              <w:t>Via dit instrument is tot 2027 een budget van circa € 1 mld beschikbaar om douanediensten in alle lidstaten te ondersteunen bij de modernisering van hun controleapparatuur.</w:t>
            </w:r>
          </w:p>
          <w:p w:rsidRPr="00C66E98" w:rsidR="001C40D8" w:rsidP="001038F0" w:rsidRDefault="0027366D" w14:paraId="263688F0" w14:textId="0DD3B806">
            <w:pPr>
              <w:spacing w:after="240"/>
              <w:rPr>
                <w:color w:val="595959" w:themeColor="text1" w:themeTint="A6"/>
                <w:szCs w:val="18"/>
              </w:rPr>
            </w:pPr>
            <w:r w:rsidRPr="0027366D">
              <w:rPr>
                <w:color w:val="595959" w:themeColor="text1" w:themeTint="A6"/>
                <w:szCs w:val="18"/>
              </w:rPr>
              <w:t>De Europese Commissie beoordeelt het instrument voor financiële steun voor douanecontroleapparatuur (2021</w:t>
            </w:r>
            <w:r w:rsidRPr="0027366D">
              <w:rPr>
                <w:rFonts w:ascii="Cambria Math" w:hAnsi="Cambria Math" w:cs="Cambria Math"/>
                <w:color w:val="595959" w:themeColor="text1" w:themeTint="A6"/>
                <w:szCs w:val="18"/>
              </w:rPr>
              <w:t>‑</w:t>
            </w:r>
            <w:r w:rsidRPr="0027366D">
              <w:rPr>
                <w:color w:val="595959" w:themeColor="text1" w:themeTint="A6"/>
                <w:szCs w:val="18"/>
              </w:rPr>
              <w:t>2027) overwegend positief. Het programma helpt lidstaten bij het moderniseren van douane</w:t>
            </w:r>
            <w:r w:rsidRPr="0027366D">
              <w:rPr>
                <w:rFonts w:ascii="Cambria Math" w:hAnsi="Cambria Math" w:cs="Cambria Math"/>
                <w:color w:val="595959" w:themeColor="text1" w:themeTint="A6"/>
                <w:szCs w:val="18"/>
              </w:rPr>
              <w:t>‑</w:t>
            </w:r>
            <w:r w:rsidRPr="0027366D">
              <w:rPr>
                <w:color w:val="595959" w:themeColor="text1" w:themeTint="A6"/>
                <w:szCs w:val="18"/>
              </w:rPr>
              <w:t>apparatuur en versterkt zo grenscontroles en marktveiligheid in de EU. Volgens de tussentijdse evaluatie zijn al tientallen projecten in 24 tot 25 lidstaten ondersteund en is de feedback van nationale douanediensten positief. Tegelijk merkt de Commissie op dat niet alle projecten volledig operationeel zijn, dat sommige vertragingen hebben opgelopen en dat coördinatie tussen lidstaten verbeterd kan worden. De Commissie dringt erop aan de resterende jaren van het programma optimaal te benutten om de beoogde resultaten volledig te realiseren.</w:t>
            </w:r>
            <w:r w:rsidRPr="001038F0" w:rsidR="001038F0">
              <w:rPr>
                <w:color w:val="595959" w:themeColor="text1" w:themeTint="A6"/>
                <w:szCs w:val="18"/>
              </w:rPr>
              <w:t xml:space="preserve"> </w:t>
            </w:r>
          </w:p>
        </w:tc>
      </w:tr>
    </w:tbl>
    <w:p w:rsidR="004E33D3" w:rsidP="003D5FB8" w:rsidRDefault="004E33D3" w14:paraId="5D2B7E8B" w14:textId="77777777">
      <w:pPr>
        <w:rPr>
          <w:szCs w:val="18"/>
        </w:rPr>
      </w:pPr>
    </w:p>
    <w:p w:rsidR="003D5FB8" w:rsidP="003D5FB8" w:rsidRDefault="003D5FB8" w14:paraId="1917BD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227C4" w:rsidR="004E33D3" w:rsidTr="00680350" w14:paraId="44F7147F" w14:textId="77777777">
        <w:tc>
          <w:tcPr>
            <w:tcW w:w="1035" w:type="dxa"/>
          </w:tcPr>
          <w:p w:rsidRPr="00A9227F" w:rsidR="004E33D3" w:rsidP="00680350" w:rsidRDefault="004E33D3" w14:paraId="72058DBA" w14:textId="77777777">
            <w:pPr>
              <w:spacing w:after="240"/>
              <w:rPr>
                <w:color w:val="595959" w:themeColor="text1" w:themeTint="A6"/>
                <w:szCs w:val="18"/>
              </w:rPr>
            </w:pPr>
            <w:r w:rsidRPr="00A9227F">
              <w:rPr>
                <w:color w:val="595959" w:themeColor="text1" w:themeTint="A6"/>
                <w:szCs w:val="18"/>
              </w:rPr>
              <w:t>Titel</w:t>
            </w:r>
          </w:p>
        </w:tc>
        <w:tc>
          <w:tcPr>
            <w:tcW w:w="6529" w:type="dxa"/>
          </w:tcPr>
          <w:p w:rsidR="001C40D8" w:rsidP="00125D0A" w:rsidRDefault="00D227C4" w14:paraId="54F6A2C8" w14:textId="660B9E4E">
            <w:r w:rsidRPr="00D227C4">
              <w:t>MEDEDELING VAN DE COMMISSIE AAN HET EUROPEES PARLEMENT, DE RAAD EN HET EUROPEES ECONOMISCH EN SOCIAAL COMITÉ Waarschuwingsmechanismeverslag 2026 opgesteld overeenkomstig artikel 3 van Verordening (EU) nr. 1176/2011 betreffende de preventie en correctie van macro-economische onevenwichtigheden</w:t>
            </w:r>
            <w:r>
              <w:rPr>
                <w:b/>
                <w:bCs/>
              </w:rPr>
              <w:t xml:space="preserve"> </w:t>
            </w:r>
            <w:hyperlink w:history="1" r:id="rId34">
              <w:r w:rsidRPr="00D227C4" w:rsidR="00125D0A">
                <w:rPr>
                  <w:rStyle w:val="Hyperlink"/>
                  <w:szCs w:val="18"/>
                </w:rPr>
                <w:t>COM(2025)956</w:t>
              </w:r>
            </w:hyperlink>
          </w:p>
          <w:p w:rsidRPr="00D227C4" w:rsidR="00125D0A" w:rsidP="00125D0A" w:rsidRDefault="00125D0A" w14:paraId="5BB4DFB5" w14:textId="1D506267">
            <w:pPr>
              <w:rPr>
                <w:szCs w:val="18"/>
              </w:rPr>
            </w:pPr>
          </w:p>
        </w:tc>
      </w:tr>
      <w:tr w:rsidRPr="00A9227F" w:rsidR="004E33D3" w:rsidTr="00680350" w14:paraId="11B6DB41" w14:textId="77777777">
        <w:tc>
          <w:tcPr>
            <w:tcW w:w="1035" w:type="dxa"/>
          </w:tcPr>
          <w:p w:rsidRPr="00A9227F" w:rsidR="004E33D3" w:rsidP="00680350" w:rsidRDefault="004E33D3" w14:paraId="55DA1BA2" w14:textId="77777777">
            <w:pPr>
              <w:spacing w:after="240"/>
              <w:rPr>
                <w:szCs w:val="18"/>
              </w:rPr>
            </w:pPr>
            <w:r w:rsidRPr="00A9227F">
              <w:rPr>
                <w:szCs w:val="18"/>
              </w:rPr>
              <w:lastRenderedPageBreak/>
              <w:t>Voorstel</w:t>
            </w:r>
          </w:p>
        </w:tc>
        <w:tc>
          <w:tcPr>
            <w:tcW w:w="6529" w:type="dxa"/>
          </w:tcPr>
          <w:p w:rsidRPr="00A9227F" w:rsidR="004E33D3" w:rsidP="00680350" w:rsidRDefault="001C40D8" w14:paraId="2B630B57" w14:textId="3BD21032">
            <w:pPr>
              <w:spacing w:after="240"/>
              <w:rPr>
                <w:szCs w:val="18"/>
              </w:rPr>
            </w:pPr>
            <w:r>
              <w:rPr>
                <w:szCs w:val="18"/>
              </w:rPr>
              <w:t xml:space="preserve">Desgewenst betrekken bij het commissiedebat Eurogroep/Ecofinraad van </w:t>
            </w:r>
            <w:r w:rsidR="00125D0A">
              <w:rPr>
                <w:szCs w:val="18"/>
              </w:rPr>
              <w:t>15 januari 2026.</w:t>
            </w:r>
          </w:p>
        </w:tc>
      </w:tr>
      <w:tr w:rsidRPr="00C66E98" w:rsidR="004E33D3" w:rsidTr="00680350" w14:paraId="4F00A45C" w14:textId="77777777">
        <w:tc>
          <w:tcPr>
            <w:tcW w:w="1035" w:type="dxa"/>
          </w:tcPr>
          <w:p w:rsidRPr="00A9227F" w:rsidR="004E33D3" w:rsidP="00680350" w:rsidRDefault="004E33D3" w14:paraId="2F060D8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680350" w:rsidRDefault="009C3878" w14:paraId="1640CCE1" w14:textId="6C9A809C">
            <w:pPr>
              <w:spacing w:after="240"/>
              <w:rPr>
                <w:color w:val="595959" w:themeColor="text1" w:themeTint="A6"/>
                <w:szCs w:val="18"/>
              </w:rPr>
            </w:pPr>
            <w:r>
              <w:rPr>
                <w:color w:val="595959" w:themeColor="text1" w:themeTint="A6"/>
                <w:szCs w:val="18"/>
              </w:rPr>
              <w:t>In deze mededeling brengt d</w:t>
            </w:r>
            <w:r w:rsidRPr="00D31425" w:rsidR="00D31425">
              <w:rPr>
                <w:color w:val="595959" w:themeColor="text1" w:themeTint="A6"/>
                <w:szCs w:val="18"/>
              </w:rPr>
              <w:t>e Europese Commissie in kaart welke lidstaten risico lopen op macro-economische onevenwichtigheden, zoals hoge schulden, betalingsbalanstekorten of structurele arbeidsmarktproblemen. België, Frankrijk, Italië en Spanje worden gevolgd vanwege hoge overheidsschulden en lage potentiële groei. Nederland valt op door een oplopend betalingsbalansoverschot en capaciteitsdruk op de arbeidsmarkt. Griekenland en Portugal blijven onder intensief toezicht vanwege aanhoudende structurele tekorten, terwijl Duitsland wordt gemonitord vanwege beperkte groei en tekorten in specifieke sectoren. De Commissie adviseert deze landen nauwlettend te volgen en waar nodig beleidsaanpassingen door te voeren</w:t>
            </w:r>
          </w:p>
        </w:tc>
      </w:tr>
    </w:tbl>
    <w:p w:rsidR="004E33D3" w:rsidP="003D5FB8" w:rsidRDefault="004E33D3" w14:paraId="372ADB17" w14:textId="77777777">
      <w:pPr>
        <w:rPr>
          <w:szCs w:val="18"/>
        </w:rPr>
      </w:pPr>
    </w:p>
    <w:p w:rsidRPr="003D5FB8" w:rsidR="004E33D3" w:rsidP="003D5FB8" w:rsidRDefault="004E33D3" w14:paraId="30A62C7D" w14:textId="77777777">
      <w:pPr>
        <w:rPr>
          <w:szCs w:val="18"/>
        </w:rPr>
      </w:pPr>
    </w:p>
    <w:p w:rsidR="003D5FB8" w:rsidP="003D5FB8" w:rsidRDefault="003D5FB8" w14:paraId="67EE7B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C7E82" w:rsidR="004E33D3" w:rsidTr="00680350" w14:paraId="36BBCCF2" w14:textId="77777777">
        <w:tc>
          <w:tcPr>
            <w:tcW w:w="1035" w:type="dxa"/>
          </w:tcPr>
          <w:p w:rsidRPr="00A9227F" w:rsidR="004E33D3" w:rsidP="00680350" w:rsidRDefault="004E33D3" w14:paraId="055B32F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25D0A" w:rsidR="001C40D8" w:rsidP="00125D0A" w:rsidRDefault="00125D0A" w14:paraId="4DE3ECEA" w14:textId="77777777">
            <w:pPr>
              <w:rPr>
                <w:lang w:val="en-US"/>
              </w:rPr>
            </w:pPr>
            <w:r>
              <w:rPr>
                <w:szCs w:val="18"/>
                <w:lang w:val="en-US"/>
              </w:rPr>
              <w:t xml:space="preserve">REPORT FROM THE COMMISSION Germany and Finland Report prepared in accordance with Article 126(3) of the Treaty on the Functioning of the European Union </w:t>
            </w:r>
            <w:hyperlink w:history="1" r:id="rId35">
              <w:r>
                <w:rPr>
                  <w:rStyle w:val="Hyperlink"/>
                  <w:szCs w:val="18"/>
                  <w:lang w:val="en-US"/>
                </w:rPr>
                <w:t>COM(2025)950</w:t>
              </w:r>
            </w:hyperlink>
          </w:p>
          <w:p w:rsidRPr="004C3F4D" w:rsidR="00125D0A" w:rsidP="00125D0A" w:rsidRDefault="00125D0A" w14:paraId="43628CAE" w14:textId="35EE46EF">
            <w:pPr>
              <w:rPr>
                <w:szCs w:val="18"/>
                <w:lang w:val="en-US"/>
              </w:rPr>
            </w:pPr>
          </w:p>
        </w:tc>
      </w:tr>
      <w:tr w:rsidRPr="00A9227F" w:rsidR="004E33D3" w:rsidTr="00680350" w14:paraId="1A219B67" w14:textId="77777777">
        <w:tc>
          <w:tcPr>
            <w:tcW w:w="1035" w:type="dxa"/>
          </w:tcPr>
          <w:p w:rsidRPr="00A9227F" w:rsidR="004E33D3" w:rsidP="00680350" w:rsidRDefault="004E33D3" w14:paraId="5DB242AB" w14:textId="77777777">
            <w:pPr>
              <w:spacing w:after="240"/>
              <w:rPr>
                <w:szCs w:val="18"/>
              </w:rPr>
            </w:pPr>
            <w:r w:rsidRPr="00A9227F">
              <w:rPr>
                <w:szCs w:val="18"/>
              </w:rPr>
              <w:t>Voorstel</w:t>
            </w:r>
          </w:p>
        </w:tc>
        <w:tc>
          <w:tcPr>
            <w:tcW w:w="6529" w:type="dxa"/>
          </w:tcPr>
          <w:p w:rsidRPr="00A9227F" w:rsidR="004E33D3" w:rsidP="00680350" w:rsidRDefault="001C40D8" w14:paraId="1AB48366" w14:textId="5AB49100">
            <w:pPr>
              <w:spacing w:after="240"/>
              <w:rPr>
                <w:szCs w:val="18"/>
              </w:rPr>
            </w:pPr>
            <w:r>
              <w:rPr>
                <w:szCs w:val="18"/>
              </w:rPr>
              <w:t xml:space="preserve">Desgewenst betrekken bij het commissiedebat Eurogroep/Ecofinraad van </w:t>
            </w:r>
            <w:r w:rsidR="00125D0A">
              <w:rPr>
                <w:szCs w:val="18"/>
              </w:rPr>
              <w:t>15 januari 2026.</w:t>
            </w:r>
          </w:p>
        </w:tc>
      </w:tr>
      <w:tr w:rsidRPr="00C66E98" w:rsidR="004E33D3" w:rsidTr="00680350" w14:paraId="677C428B" w14:textId="77777777">
        <w:tc>
          <w:tcPr>
            <w:tcW w:w="1035" w:type="dxa"/>
          </w:tcPr>
          <w:p w:rsidRPr="00A9227F" w:rsidR="004E33D3" w:rsidP="00680350" w:rsidRDefault="004E33D3" w14:paraId="16536C8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EB55EE" w:rsidRDefault="004B5EA8" w14:paraId="1976392D" w14:textId="01045915">
            <w:pPr>
              <w:spacing w:after="240"/>
              <w:rPr>
                <w:color w:val="595959" w:themeColor="text1" w:themeTint="A6"/>
                <w:szCs w:val="18"/>
              </w:rPr>
            </w:pPr>
            <w:r w:rsidRPr="004B5EA8">
              <w:rPr>
                <w:color w:val="595959" w:themeColor="text1" w:themeTint="A6"/>
                <w:szCs w:val="18"/>
              </w:rPr>
              <w:t xml:space="preserve">In dit rapport beoordeelt de Europese Commissie of Duitsland en Finland voldoen aan de begrotings- en schuldnormen van het Stabiliteits- en Groeipact. Beide landen wijken op dit moment van (een deel van) deze normen af. Voor Duitsland geldt dat het tekort in 2024 nog binnen de </w:t>
            </w:r>
            <w:r w:rsidRPr="004B5EA8" w:rsidR="00925949">
              <w:rPr>
                <w:color w:val="595959" w:themeColor="text1" w:themeTint="A6"/>
                <w:szCs w:val="18"/>
              </w:rPr>
              <w:t>3 procentnorm</w:t>
            </w:r>
            <w:r w:rsidRPr="004B5EA8">
              <w:rPr>
                <w:color w:val="595959" w:themeColor="text1" w:themeTint="A6"/>
                <w:szCs w:val="18"/>
              </w:rPr>
              <w:t xml:space="preserve"> lag, maar voor 2025 een overschrijding wordt verwacht en de schuld boven 60 procent blijft. De Commissie schrijft dit vooral toe aan uitzonderlijke defensie-uitgaven en ziet daarom nog geen aanleiding voor een formele procedure.</w:t>
            </w:r>
            <w:r w:rsidR="00EB55EE">
              <w:rPr>
                <w:color w:val="595959" w:themeColor="text1" w:themeTint="A6"/>
                <w:szCs w:val="18"/>
              </w:rPr>
              <w:t xml:space="preserve"> </w:t>
            </w:r>
            <w:r w:rsidRPr="004B5EA8">
              <w:rPr>
                <w:color w:val="595959" w:themeColor="text1" w:themeTint="A6"/>
                <w:szCs w:val="18"/>
              </w:rPr>
              <w:t>Voor Finland zijn zowel het tekort als de schuld duidelijk boven de referentiewaarden, nu en in de vooruitzichten. De Commissie concludeert dat hiermee de voorwaarden aanwezig zijn om een buitensporigtekortprocedure te starten en dat Finland zijn begrotingspositie op korte termijn moet verbeteren</w:t>
            </w:r>
            <w:r w:rsidR="00EB55EE">
              <w:rPr>
                <w:color w:val="595959" w:themeColor="text1" w:themeTint="A6"/>
                <w:szCs w:val="18"/>
              </w:rPr>
              <w:t xml:space="preserve">. Dit soort </w:t>
            </w:r>
            <w:r w:rsidRPr="009E5891" w:rsidR="009E5891">
              <w:rPr>
                <w:color w:val="595959" w:themeColor="text1" w:themeTint="A6"/>
                <w:szCs w:val="18"/>
              </w:rPr>
              <w:t xml:space="preserve">rapporten dienen als basis voor mogelijke vervolgstappen (bijv. een voorstel tot inbreuk, aanmoediging tot herstel, aanbevelingen) maar vormen zelf </w:t>
            </w:r>
            <w:r w:rsidR="00FB4AE0">
              <w:rPr>
                <w:color w:val="595959" w:themeColor="text1" w:themeTint="A6"/>
                <w:szCs w:val="18"/>
              </w:rPr>
              <w:t>geen</w:t>
            </w:r>
            <w:r w:rsidRPr="009E5891" w:rsidR="009E5891">
              <w:rPr>
                <w:color w:val="595959" w:themeColor="text1" w:themeTint="A6"/>
                <w:szCs w:val="18"/>
              </w:rPr>
              <w:t xml:space="preserve"> wet.</w:t>
            </w:r>
          </w:p>
        </w:tc>
      </w:tr>
    </w:tbl>
    <w:p w:rsidRPr="003D5FB8" w:rsidR="004E33D3" w:rsidP="003D5FB8" w:rsidRDefault="004E33D3" w14:paraId="1B181145" w14:textId="77777777">
      <w:pPr>
        <w:rPr>
          <w:szCs w:val="18"/>
        </w:rPr>
      </w:pPr>
    </w:p>
    <w:p w:rsidR="003D5FB8" w:rsidP="003D5FB8" w:rsidRDefault="003D5FB8" w14:paraId="4902988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E33D3" w:rsidTr="00680350" w14:paraId="3D9A2BB7" w14:textId="77777777">
        <w:tc>
          <w:tcPr>
            <w:tcW w:w="1035" w:type="dxa"/>
          </w:tcPr>
          <w:p w:rsidRPr="00A9227F" w:rsidR="004E33D3" w:rsidP="00680350" w:rsidRDefault="004E33D3" w14:paraId="147FEC6D" w14:textId="77777777">
            <w:pPr>
              <w:spacing w:after="240"/>
              <w:rPr>
                <w:color w:val="595959" w:themeColor="text1" w:themeTint="A6"/>
                <w:szCs w:val="18"/>
              </w:rPr>
            </w:pPr>
            <w:r w:rsidRPr="00A9227F">
              <w:rPr>
                <w:color w:val="595959" w:themeColor="text1" w:themeTint="A6"/>
                <w:szCs w:val="18"/>
              </w:rPr>
              <w:t>Titel</w:t>
            </w:r>
          </w:p>
        </w:tc>
        <w:tc>
          <w:tcPr>
            <w:tcW w:w="6529" w:type="dxa"/>
          </w:tcPr>
          <w:p w:rsidR="00C26777" w:rsidP="00125D0A" w:rsidRDefault="00A06AE7" w14:paraId="786194F3" w14:textId="39ED162F">
            <w:r w:rsidRPr="00A06AE7">
              <w:rPr>
                <w:szCs w:val="18"/>
              </w:rPr>
              <w:t>MEDEDELING VAN DE COMMISSIE AAN HET EUROPEES PARLEMENT, DE RAAD EN DE EUROPESE CENTRALE BANK Weerspiegeling van het kader voor economische governance in het nationale begrotingsbeleid</w:t>
            </w:r>
            <w:r w:rsidRPr="00A06AE7" w:rsidR="00125D0A">
              <w:rPr>
                <w:szCs w:val="18"/>
              </w:rPr>
              <w:t xml:space="preserve"> </w:t>
            </w:r>
            <w:hyperlink w:history="1" r:id="rId36">
              <w:r w:rsidRPr="00A06AE7" w:rsidR="00125D0A">
                <w:rPr>
                  <w:rStyle w:val="Hyperlink"/>
                  <w:szCs w:val="18"/>
                </w:rPr>
                <w:t>COM(2025)951</w:t>
              </w:r>
            </w:hyperlink>
          </w:p>
          <w:p w:rsidRPr="00A06AE7" w:rsidR="00125D0A" w:rsidP="00125D0A" w:rsidRDefault="00125D0A" w14:paraId="61D4D91E" w14:textId="342CE1FA">
            <w:pPr>
              <w:rPr>
                <w:szCs w:val="18"/>
              </w:rPr>
            </w:pPr>
          </w:p>
        </w:tc>
      </w:tr>
      <w:tr w:rsidRPr="00A9227F" w:rsidR="004E33D3" w:rsidTr="00680350" w14:paraId="33A652D1" w14:textId="77777777">
        <w:tc>
          <w:tcPr>
            <w:tcW w:w="1035" w:type="dxa"/>
          </w:tcPr>
          <w:p w:rsidRPr="00A9227F" w:rsidR="004E33D3" w:rsidP="00680350" w:rsidRDefault="004E33D3" w14:paraId="5E8BE0D2" w14:textId="77777777">
            <w:pPr>
              <w:spacing w:after="240"/>
              <w:rPr>
                <w:szCs w:val="18"/>
              </w:rPr>
            </w:pPr>
            <w:r w:rsidRPr="00A9227F">
              <w:rPr>
                <w:szCs w:val="18"/>
              </w:rPr>
              <w:t>Voorstel</w:t>
            </w:r>
          </w:p>
        </w:tc>
        <w:tc>
          <w:tcPr>
            <w:tcW w:w="6529" w:type="dxa"/>
          </w:tcPr>
          <w:p w:rsidRPr="00A9227F" w:rsidR="004E33D3" w:rsidP="00680350" w:rsidRDefault="00384DB2" w14:paraId="373CD439" w14:textId="1EE1C17C">
            <w:pPr>
              <w:spacing w:after="240"/>
              <w:rPr>
                <w:szCs w:val="18"/>
              </w:rPr>
            </w:pPr>
            <w:r>
              <w:rPr>
                <w:szCs w:val="18"/>
              </w:rPr>
              <w:t>Desgewenst betrekken bij het commissiedebat Eurogroep/Ecofinraad van 15 januari 2026.</w:t>
            </w:r>
          </w:p>
        </w:tc>
      </w:tr>
      <w:tr w:rsidRPr="00C66E98" w:rsidR="004E33D3" w:rsidTr="00680350" w14:paraId="590BCB88" w14:textId="77777777">
        <w:tc>
          <w:tcPr>
            <w:tcW w:w="1035" w:type="dxa"/>
          </w:tcPr>
          <w:p w:rsidRPr="00A9227F" w:rsidR="004E33D3" w:rsidP="00680350" w:rsidRDefault="004E33D3" w14:paraId="0EC3FA0A"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E44D1C" w:rsidR="00E44D1C" w:rsidP="00E44D1C" w:rsidRDefault="00E44D1C" w14:paraId="4E806415" w14:textId="1AABF7D6">
            <w:pPr>
              <w:spacing w:after="240"/>
              <w:rPr>
                <w:color w:val="595959" w:themeColor="text1" w:themeTint="A6"/>
                <w:szCs w:val="18"/>
              </w:rPr>
            </w:pPr>
            <w:r>
              <w:rPr>
                <w:color w:val="595959" w:themeColor="text1" w:themeTint="A6"/>
                <w:szCs w:val="18"/>
              </w:rPr>
              <w:t>In deze mededeling evalueert</w:t>
            </w:r>
            <w:r w:rsidR="00D41C73">
              <w:rPr>
                <w:color w:val="595959" w:themeColor="text1" w:themeTint="A6"/>
                <w:szCs w:val="18"/>
              </w:rPr>
              <w:t xml:space="preserve"> de Europese Commissie</w:t>
            </w:r>
            <w:r w:rsidRPr="00E44D1C">
              <w:rPr>
                <w:color w:val="595959" w:themeColor="text1" w:themeTint="A6"/>
                <w:szCs w:val="18"/>
              </w:rPr>
              <w:t xml:space="preserve"> de nationale begrotings- en schuldenplannen van de lidstaten binnen het vernieuwde EU-kader voor economische governance. </w:t>
            </w:r>
          </w:p>
          <w:p w:rsidRPr="00C66E98" w:rsidR="0034009B" w:rsidP="00E44D1C" w:rsidRDefault="0034009B" w14:paraId="0F5C0A82" w14:textId="0B792FDF">
            <w:pPr>
              <w:spacing w:after="240"/>
              <w:rPr>
                <w:color w:val="595959" w:themeColor="text1" w:themeTint="A6"/>
                <w:szCs w:val="18"/>
              </w:rPr>
            </w:pPr>
            <w:r w:rsidRPr="0034009B">
              <w:rPr>
                <w:color w:val="595959" w:themeColor="text1" w:themeTint="A6"/>
                <w:szCs w:val="18"/>
              </w:rPr>
              <w:t xml:space="preserve">De Europese Commissie signaleert dat een aantal lidstaten op dit moment niet volledig </w:t>
            </w:r>
            <w:r w:rsidR="00384DB2">
              <w:rPr>
                <w:color w:val="595959" w:themeColor="text1" w:themeTint="A6"/>
                <w:szCs w:val="18"/>
              </w:rPr>
              <w:t>voldoet aan de</w:t>
            </w:r>
            <w:r w:rsidRPr="0034009B">
              <w:rPr>
                <w:color w:val="595959" w:themeColor="text1" w:themeTint="A6"/>
                <w:szCs w:val="18"/>
              </w:rPr>
              <w:t xml:space="preserve"> afgesproken netto-uitgavenpaden. Het gaat onder meer om Nederland, Cyprus, Ierland en Luxemburg, waar de overheidsuitgaven dreigen af te wijken van de overeengekomen kaders. Daarnaast voldoet Roemenië niet aan het vereiste correctieve uitgavenpad omdat het buitensporige tekort onvoldoende wordt teruggebracht. Deze landen vallen daarom onder verhoogd toezicht of hebben een waarschuwing ontvangen. </w:t>
            </w:r>
          </w:p>
        </w:tc>
      </w:tr>
    </w:tbl>
    <w:p w:rsidR="004E33D3" w:rsidP="003D5FB8" w:rsidRDefault="004E33D3" w14:paraId="37AFDC4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F91A9D" w:rsidTr="00BC275B" w14:paraId="4916170B" w14:textId="77777777">
        <w:tc>
          <w:tcPr>
            <w:tcW w:w="1035" w:type="dxa"/>
          </w:tcPr>
          <w:p w:rsidRPr="00A9227F" w:rsidR="00F91A9D" w:rsidP="00BC275B" w:rsidRDefault="00F91A9D" w14:paraId="573088D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91A9D" w:rsidR="00F91A9D" w:rsidP="00F91A9D" w:rsidRDefault="00F91A9D" w14:paraId="2BDF1967" w14:textId="77777777">
            <w:pPr>
              <w:rPr>
                <w:szCs w:val="18"/>
              </w:rPr>
            </w:pPr>
            <w:r w:rsidRPr="00F91A9D">
              <w:rPr>
                <w:szCs w:val="18"/>
              </w:rPr>
              <w:t xml:space="preserve">VERSLAG VAN DE COMMISSIE AAN HET EUROPEES PARLEMENT EN DE RAAD over de stand van zaken op het gebied van de boekhouding van de overheden in de Unie, rekening houdend met de vooruitgang die is geboekt sinds haar beoordeling van de geschiktheid van de internationale standaarden voor overheidsboekhouding voor de lidstaten in 2013 </w:t>
            </w:r>
            <w:hyperlink w:history="1" r:id="rId37">
              <w:r w:rsidRPr="00F91A9D">
                <w:rPr>
                  <w:rStyle w:val="Hyperlink"/>
                  <w:szCs w:val="18"/>
                </w:rPr>
                <w:t>COM(2025)746</w:t>
              </w:r>
            </w:hyperlink>
          </w:p>
          <w:p w:rsidRPr="00A06AE7" w:rsidR="00F91A9D" w:rsidP="00F91A9D" w:rsidRDefault="00F91A9D" w14:paraId="0AADD020" w14:textId="77777777">
            <w:pPr>
              <w:rPr>
                <w:szCs w:val="18"/>
              </w:rPr>
            </w:pPr>
          </w:p>
        </w:tc>
      </w:tr>
      <w:tr w:rsidRPr="00A9227F" w:rsidR="00F91A9D" w:rsidTr="00BC275B" w14:paraId="076F0CAE" w14:textId="77777777">
        <w:tc>
          <w:tcPr>
            <w:tcW w:w="1035" w:type="dxa"/>
          </w:tcPr>
          <w:p w:rsidRPr="00A9227F" w:rsidR="00F91A9D" w:rsidP="00BC275B" w:rsidRDefault="00F91A9D" w14:paraId="6F7EDC68" w14:textId="77777777">
            <w:pPr>
              <w:spacing w:after="240"/>
              <w:rPr>
                <w:szCs w:val="18"/>
              </w:rPr>
            </w:pPr>
            <w:r w:rsidRPr="00A9227F">
              <w:rPr>
                <w:szCs w:val="18"/>
              </w:rPr>
              <w:t>Voorstel</w:t>
            </w:r>
          </w:p>
        </w:tc>
        <w:tc>
          <w:tcPr>
            <w:tcW w:w="6529" w:type="dxa"/>
          </w:tcPr>
          <w:p w:rsidRPr="00A9227F" w:rsidR="00F91A9D" w:rsidP="00BC275B" w:rsidRDefault="007C4BD2" w14:paraId="70DA72B2" w14:textId="3DAE497B">
            <w:pPr>
              <w:spacing w:after="240"/>
              <w:rPr>
                <w:szCs w:val="18"/>
              </w:rPr>
            </w:pPr>
            <w:r>
              <w:rPr>
                <w:szCs w:val="18"/>
              </w:rPr>
              <w:t>Voor kennisgeving aannemen</w:t>
            </w:r>
          </w:p>
        </w:tc>
      </w:tr>
      <w:tr w:rsidRPr="00C66E98" w:rsidR="00F91A9D" w:rsidTr="00BC275B" w14:paraId="7CD331F5" w14:textId="77777777">
        <w:tc>
          <w:tcPr>
            <w:tcW w:w="1035" w:type="dxa"/>
          </w:tcPr>
          <w:p w:rsidRPr="00A9227F" w:rsidR="00F91A9D" w:rsidP="00BC275B" w:rsidRDefault="00F91A9D" w14:paraId="4A4625F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F91A9D" w:rsidP="00BC275B" w:rsidRDefault="00252D80" w14:paraId="33EBEC40" w14:textId="5718FCC5">
            <w:pPr>
              <w:spacing w:after="240"/>
              <w:rPr>
                <w:color w:val="595959" w:themeColor="text1" w:themeTint="A6"/>
                <w:szCs w:val="18"/>
              </w:rPr>
            </w:pPr>
            <w:r w:rsidRPr="00252D80">
              <w:rPr>
                <w:color w:val="595959" w:themeColor="text1" w:themeTint="A6"/>
                <w:szCs w:val="18"/>
              </w:rPr>
              <w:t>In dit verslag informeert de Commissie het Europees Parlement en de Raad over de stand van zaken van de overheidsboekhouding binnen de Unie. Daarbij wordt ingegaan op de ontwikkelingen die hebben plaatsgevonden sinds de beoordeling in 2013 van de geschiktheid van de internationale standaarden voor overheidsboekhouding (IPSAS) voor toepassing door de lidstaten. Het verslag biedt een overzicht van de geboekte vooruitgang, resterende uitdagingen en mogelijke vervolgstappen met het oog op meer transparantie, vergelijkbaarheid en kwaliteit van overheidsfinanciën binnen de Unie</w:t>
            </w:r>
            <w:r>
              <w:rPr>
                <w:color w:val="595959" w:themeColor="text1" w:themeTint="A6"/>
                <w:szCs w:val="18"/>
              </w:rPr>
              <w:t>.</w:t>
            </w:r>
            <w:r w:rsidRPr="0034009B" w:rsidR="00F91A9D">
              <w:rPr>
                <w:color w:val="595959" w:themeColor="text1" w:themeTint="A6"/>
                <w:szCs w:val="18"/>
              </w:rPr>
              <w:t xml:space="preserve"> </w:t>
            </w:r>
          </w:p>
        </w:tc>
      </w:tr>
    </w:tbl>
    <w:p w:rsidR="00F91A9D" w:rsidP="00F91A9D" w:rsidRDefault="00F91A9D" w14:paraId="7B4E0269" w14:textId="77777777">
      <w:pPr>
        <w:rPr>
          <w:szCs w:val="18"/>
        </w:rPr>
      </w:pPr>
    </w:p>
    <w:p w:rsidRPr="00FE393D" w:rsidR="00F91A9D" w:rsidP="00F91A9D" w:rsidRDefault="00F91A9D" w14:paraId="6CC1869B" w14:textId="77777777">
      <w:pPr>
        <w:rPr>
          <w:szCs w:val="18"/>
        </w:rPr>
      </w:pPr>
    </w:p>
    <w:sectPr w:rsidRPr="00FE393D" w:rsidR="00F91A9D" w:rsidSect="00BF62AD">
      <w:headerReference w:type="default" r:id="rId38"/>
      <w:footerReference w:type="default" r:id="rId3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D2E4" w14:textId="77777777" w:rsidR="0044399E" w:rsidRDefault="0044399E">
      <w:r>
        <w:separator/>
      </w:r>
    </w:p>
  </w:endnote>
  <w:endnote w:type="continuationSeparator" w:id="0">
    <w:p w14:paraId="37711FD9" w14:textId="77777777" w:rsidR="0044399E" w:rsidRDefault="0044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CB10" w14:textId="77777777" w:rsidR="0044399E" w:rsidRDefault="0044399E">
      <w:r>
        <w:separator/>
      </w:r>
    </w:p>
  </w:footnote>
  <w:footnote w:type="continuationSeparator" w:id="0">
    <w:p w14:paraId="2C95191D" w14:textId="77777777" w:rsidR="0044399E" w:rsidRDefault="0044399E">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2"/>
  </w:num>
  <w:num w:numId="3" w16cid:durableId="1852522919">
    <w:abstractNumId w:val="22"/>
  </w:num>
  <w:num w:numId="4" w16cid:durableId="1700932629">
    <w:abstractNumId w:val="11"/>
  </w:num>
  <w:num w:numId="5" w16cid:durableId="695811610">
    <w:abstractNumId w:val="6"/>
  </w:num>
  <w:num w:numId="6" w16cid:durableId="1212182578">
    <w:abstractNumId w:val="1"/>
  </w:num>
  <w:num w:numId="7" w16cid:durableId="1827696991">
    <w:abstractNumId w:val="21"/>
  </w:num>
  <w:num w:numId="8" w16cid:durableId="1120151534">
    <w:abstractNumId w:val="16"/>
  </w:num>
  <w:num w:numId="9" w16cid:durableId="298996237">
    <w:abstractNumId w:val="17"/>
  </w:num>
  <w:num w:numId="10" w16cid:durableId="1877303567">
    <w:abstractNumId w:val="10"/>
  </w:num>
  <w:num w:numId="11" w16cid:durableId="831991226">
    <w:abstractNumId w:val="20"/>
  </w:num>
  <w:num w:numId="12" w16cid:durableId="1265193725">
    <w:abstractNumId w:val="23"/>
  </w:num>
  <w:num w:numId="13" w16cid:durableId="30108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5"/>
  </w:num>
  <w:num w:numId="17" w16cid:durableId="340592333">
    <w:abstractNumId w:val="14"/>
  </w:num>
  <w:num w:numId="18" w16cid:durableId="320357181">
    <w:abstractNumId w:val="0"/>
  </w:num>
  <w:num w:numId="19" w16cid:durableId="117257602">
    <w:abstractNumId w:val="19"/>
  </w:num>
  <w:num w:numId="20" w16cid:durableId="1379670799">
    <w:abstractNumId w:val="3"/>
  </w:num>
  <w:num w:numId="21" w16cid:durableId="807821389">
    <w:abstractNumId w:val="5"/>
  </w:num>
  <w:num w:numId="22" w16cid:durableId="1699892902">
    <w:abstractNumId w:val="18"/>
  </w:num>
  <w:num w:numId="23" w16cid:durableId="29771826">
    <w:abstractNumId w:val="13"/>
  </w:num>
  <w:num w:numId="24" w16cid:durableId="64382437">
    <w:abstractNumId w:val="9"/>
  </w:num>
  <w:num w:numId="25" w16cid:durableId="1388987622">
    <w:abstractNumId w:val="8"/>
  </w:num>
  <w:num w:numId="26" w16cid:durableId="1053894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EF2"/>
    <w:rsid w:val="000123FA"/>
    <w:rsid w:val="00013B5B"/>
    <w:rsid w:val="00016110"/>
    <w:rsid w:val="00025F7B"/>
    <w:rsid w:val="00026D47"/>
    <w:rsid w:val="000314D3"/>
    <w:rsid w:val="000339A6"/>
    <w:rsid w:val="00035057"/>
    <w:rsid w:val="00036674"/>
    <w:rsid w:val="00041D29"/>
    <w:rsid w:val="000423A9"/>
    <w:rsid w:val="000449B5"/>
    <w:rsid w:val="00045831"/>
    <w:rsid w:val="00050355"/>
    <w:rsid w:val="00050D24"/>
    <w:rsid w:val="00051FEC"/>
    <w:rsid w:val="000546B1"/>
    <w:rsid w:val="000635E6"/>
    <w:rsid w:val="000642C4"/>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30B"/>
    <w:rsid w:val="000E7C39"/>
    <w:rsid w:val="000F23BF"/>
    <w:rsid w:val="000F359C"/>
    <w:rsid w:val="000F36CD"/>
    <w:rsid w:val="000F5363"/>
    <w:rsid w:val="000F5722"/>
    <w:rsid w:val="000F6C4F"/>
    <w:rsid w:val="001014B1"/>
    <w:rsid w:val="00102D80"/>
    <w:rsid w:val="00102FE4"/>
    <w:rsid w:val="001038F0"/>
    <w:rsid w:val="00105391"/>
    <w:rsid w:val="00107FB6"/>
    <w:rsid w:val="00120BE4"/>
    <w:rsid w:val="00120FD2"/>
    <w:rsid w:val="00125D0A"/>
    <w:rsid w:val="001336DF"/>
    <w:rsid w:val="00133DC4"/>
    <w:rsid w:val="0013509E"/>
    <w:rsid w:val="0013623C"/>
    <w:rsid w:val="001401C7"/>
    <w:rsid w:val="00141D39"/>
    <w:rsid w:val="0014288C"/>
    <w:rsid w:val="00143A2C"/>
    <w:rsid w:val="001445D4"/>
    <w:rsid w:val="00147017"/>
    <w:rsid w:val="001506CA"/>
    <w:rsid w:val="00151AC8"/>
    <w:rsid w:val="001545B9"/>
    <w:rsid w:val="00154EC0"/>
    <w:rsid w:val="001555A9"/>
    <w:rsid w:val="00160E6E"/>
    <w:rsid w:val="00161D1B"/>
    <w:rsid w:val="0016550F"/>
    <w:rsid w:val="001706B1"/>
    <w:rsid w:val="00170AFB"/>
    <w:rsid w:val="001715CC"/>
    <w:rsid w:val="0017367F"/>
    <w:rsid w:val="00182C87"/>
    <w:rsid w:val="00186CFA"/>
    <w:rsid w:val="00187402"/>
    <w:rsid w:val="0018775E"/>
    <w:rsid w:val="00187CAF"/>
    <w:rsid w:val="00192F0E"/>
    <w:rsid w:val="00193DF4"/>
    <w:rsid w:val="001959F4"/>
    <w:rsid w:val="001A3995"/>
    <w:rsid w:val="001A4097"/>
    <w:rsid w:val="001B2F65"/>
    <w:rsid w:val="001B4881"/>
    <w:rsid w:val="001B7CAE"/>
    <w:rsid w:val="001C10D9"/>
    <w:rsid w:val="001C14DB"/>
    <w:rsid w:val="001C3467"/>
    <w:rsid w:val="001C40D8"/>
    <w:rsid w:val="001C7045"/>
    <w:rsid w:val="001D0357"/>
    <w:rsid w:val="001D08B2"/>
    <w:rsid w:val="001D3641"/>
    <w:rsid w:val="001D3CD3"/>
    <w:rsid w:val="001D7897"/>
    <w:rsid w:val="001D7B39"/>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6C27"/>
    <w:rsid w:val="002200FC"/>
    <w:rsid w:val="00221A14"/>
    <w:rsid w:val="00221D6B"/>
    <w:rsid w:val="002227E3"/>
    <w:rsid w:val="0022374D"/>
    <w:rsid w:val="00224294"/>
    <w:rsid w:val="00227D85"/>
    <w:rsid w:val="0023049B"/>
    <w:rsid w:val="00232B37"/>
    <w:rsid w:val="00235B3D"/>
    <w:rsid w:val="00241DE4"/>
    <w:rsid w:val="00243CE1"/>
    <w:rsid w:val="00244F5A"/>
    <w:rsid w:val="00245D08"/>
    <w:rsid w:val="00250A6B"/>
    <w:rsid w:val="00251996"/>
    <w:rsid w:val="00252D80"/>
    <w:rsid w:val="002538C7"/>
    <w:rsid w:val="00262A1B"/>
    <w:rsid w:val="00266365"/>
    <w:rsid w:val="0027082F"/>
    <w:rsid w:val="00271075"/>
    <w:rsid w:val="00271A95"/>
    <w:rsid w:val="0027366D"/>
    <w:rsid w:val="00280829"/>
    <w:rsid w:val="00281C3D"/>
    <w:rsid w:val="0028208B"/>
    <w:rsid w:val="002826C8"/>
    <w:rsid w:val="00287206"/>
    <w:rsid w:val="00287629"/>
    <w:rsid w:val="002920EA"/>
    <w:rsid w:val="00292C57"/>
    <w:rsid w:val="0029377C"/>
    <w:rsid w:val="002949C2"/>
    <w:rsid w:val="002A1A05"/>
    <w:rsid w:val="002A1A9B"/>
    <w:rsid w:val="002A2092"/>
    <w:rsid w:val="002A3B40"/>
    <w:rsid w:val="002A4BD8"/>
    <w:rsid w:val="002B011C"/>
    <w:rsid w:val="002B21B2"/>
    <w:rsid w:val="002B2DEC"/>
    <w:rsid w:val="002B3C7E"/>
    <w:rsid w:val="002B514F"/>
    <w:rsid w:val="002B59D9"/>
    <w:rsid w:val="002C0392"/>
    <w:rsid w:val="002C0A75"/>
    <w:rsid w:val="002C18DB"/>
    <w:rsid w:val="002C488A"/>
    <w:rsid w:val="002C52EE"/>
    <w:rsid w:val="002C7E82"/>
    <w:rsid w:val="002D0AC5"/>
    <w:rsid w:val="002E2685"/>
    <w:rsid w:val="002E2E30"/>
    <w:rsid w:val="002E43EB"/>
    <w:rsid w:val="002E5CC6"/>
    <w:rsid w:val="002E6686"/>
    <w:rsid w:val="002E72EA"/>
    <w:rsid w:val="002F1047"/>
    <w:rsid w:val="002F363A"/>
    <w:rsid w:val="002F45EE"/>
    <w:rsid w:val="002F7FEC"/>
    <w:rsid w:val="003023F3"/>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009B"/>
    <w:rsid w:val="003410ED"/>
    <w:rsid w:val="00345205"/>
    <w:rsid w:val="00346125"/>
    <w:rsid w:val="00352A08"/>
    <w:rsid w:val="00352EDA"/>
    <w:rsid w:val="00353945"/>
    <w:rsid w:val="00355ACA"/>
    <w:rsid w:val="00355DCC"/>
    <w:rsid w:val="00356E8E"/>
    <w:rsid w:val="00361C03"/>
    <w:rsid w:val="003620C8"/>
    <w:rsid w:val="003630D5"/>
    <w:rsid w:val="00363512"/>
    <w:rsid w:val="00363AFF"/>
    <w:rsid w:val="00364EE8"/>
    <w:rsid w:val="003664D8"/>
    <w:rsid w:val="00372408"/>
    <w:rsid w:val="0037414F"/>
    <w:rsid w:val="00374B44"/>
    <w:rsid w:val="00375238"/>
    <w:rsid w:val="00376585"/>
    <w:rsid w:val="0037758E"/>
    <w:rsid w:val="00377E26"/>
    <w:rsid w:val="003812B9"/>
    <w:rsid w:val="003843F9"/>
    <w:rsid w:val="00384C53"/>
    <w:rsid w:val="00384DB2"/>
    <w:rsid w:val="00387D83"/>
    <w:rsid w:val="00391024"/>
    <w:rsid w:val="00391DD3"/>
    <w:rsid w:val="00393BB7"/>
    <w:rsid w:val="0039680C"/>
    <w:rsid w:val="003A219A"/>
    <w:rsid w:val="003A5792"/>
    <w:rsid w:val="003B1D02"/>
    <w:rsid w:val="003B254F"/>
    <w:rsid w:val="003B2964"/>
    <w:rsid w:val="003B4119"/>
    <w:rsid w:val="003B484E"/>
    <w:rsid w:val="003B67E0"/>
    <w:rsid w:val="003C0D63"/>
    <w:rsid w:val="003C1ABF"/>
    <w:rsid w:val="003C2832"/>
    <w:rsid w:val="003C3DD4"/>
    <w:rsid w:val="003C7179"/>
    <w:rsid w:val="003D22ED"/>
    <w:rsid w:val="003D450D"/>
    <w:rsid w:val="003D52A8"/>
    <w:rsid w:val="003D5554"/>
    <w:rsid w:val="003D5FB8"/>
    <w:rsid w:val="003D660C"/>
    <w:rsid w:val="003D7976"/>
    <w:rsid w:val="003E6EA2"/>
    <w:rsid w:val="003F4ACF"/>
    <w:rsid w:val="003F5BBE"/>
    <w:rsid w:val="003F628A"/>
    <w:rsid w:val="003F7C42"/>
    <w:rsid w:val="00403FAF"/>
    <w:rsid w:val="00405747"/>
    <w:rsid w:val="0041042A"/>
    <w:rsid w:val="00411452"/>
    <w:rsid w:val="00411808"/>
    <w:rsid w:val="0041634B"/>
    <w:rsid w:val="004163E6"/>
    <w:rsid w:val="00416E67"/>
    <w:rsid w:val="00420882"/>
    <w:rsid w:val="00424531"/>
    <w:rsid w:val="00424D04"/>
    <w:rsid w:val="004264EA"/>
    <w:rsid w:val="004265B2"/>
    <w:rsid w:val="00427600"/>
    <w:rsid w:val="0043382C"/>
    <w:rsid w:val="00433C38"/>
    <w:rsid w:val="0043446E"/>
    <w:rsid w:val="00434BC6"/>
    <w:rsid w:val="00441745"/>
    <w:rsid w:val="00442D7A"/>
    <w:rsid w:val="0044399E"/>
    <w:rsid w:val="00443E3A"/>
    <w:rsid w:val="0044508B"/>
    <w:rsid w:val="004521E2"/>
    <w:rsid w:val="00455146"/>
    <w:rsid w:val="00455D0F"/>
    <w:rsid w:val="004573F4"/>
    <w:rsid w:val="004577D5"/>
    <w:rsid w:val="004605A4"/>
    <w:rsid w:val="00461756"/>
    <w:rsid w:val="0046311A"/>
    <w:rsid w:val="00464184"/>
    <w:rsid w:val="004651F3"/>
    <w:rsid w:val="00465C0D"/>
    <w:rsid w:val="00465F72"/>
    <w:rsid w:val="00473890"/>
    <w:rsid w:val="00473A07"/>
    <w:rsid w:val="00473A85"/>
    <w:rsid w:val="00473B75"/>
    <w:rsid w:val="00474A4E"/>
    <w:rsid w:val="00474E1E"/>
    <w:rsid w:val="004760D1"/>
    <w:rsid w:val="0047768A"/>
    <w:rsid w:val="00477CC5"/>
    <w:rsid w:val="00482405"/>
    <w:rsid w:val="00484658"/>
    <w:rsid w:val="0048605E"/>
    <w:rsid w:val="00491847"/>
    <w:rsid w:val="004A0757"/>
    <w:rsid w:val="004A0787"/>
    <w:rsid w:val="004A2857"/>
    <w:rsid w:val="004A48F2"/>
    <w:rsid w:val="004A553E"/>
    <w:rsid w:val="004B109E"/>
    <w:rsid w:val="004B2891"/>
    <w:rsid w:val="004B447F"/>
    <w:rsid w:val="004B572A"/>
    <w:rsid w:val="004B5B19"/>
    <w:rsid w:val="004B5EA8"/>
    <w:rsid w:val="004C3F4D"/>
    <w:rsid w:val="004C6DD4"/>
    <w:rsid w:val="004C7B01"/>
    <w:rsid w:val="004C7E47"/>
    <w:rsid w:val="004D7B14"/>
    <w:rsid w:val="004E33D3"/>
    <w:rsid w:val="004E3424"/>
    <w:rsid w:val="004E426E"/>
    <w:rsid w:val="004E5595"/>
    <w:rsid w:val="005012F5"/>
    <w:rsid w:val="0050283F"/>
    <w:rsid w:val="0050368C"/>
    <w:rsid w:val="00505F93"/>
    <w:rsid w:val="00507A41"/>
    <w:rsid w:val="00511442"/>
    <w:rsid w:val="005115F8"/>
    <w:rsid w:val="005142E0"/>
    <w:rsid w:val="005158C0"/>
    <w:rsid w:val="0051638F"/>
    <w:rsid w:val="00516A54"/>
    <w:rsid w:val="00520D88"/>
    <w:rsid w:val="00521E24"/>
    <w:rsid w:val="00522540"/>
    <w:rsid w:val="00525BF3"/>
    <w:rsid w:val="00525CAA"/>
    <w:rsid w:val="00526065"/>
    <w:rsid w:val="0052683D"/>
    <w:rsid w:val="00527428"/>
    <w:rsid w:val="005324DF"/>
    <w:rsid w:val="005376B8"/>
    <w:rsid w:val="00540F78"/>
    <w:rsid w:val="00543233"/>
    <w:rsid w:val="00543489"/>
    <w:rsid w:val="00543BB4"/>
    <w:rsid w:val="00550D74"/>
    <w:rsid w:val="00554CBF"/>
    <w:rsid w:val="005603E2"/>
    <w:rsid w:val="0056106A"/>
    <w:rsid w:val="00562B7D"/>
    <w:rsid w:val="00565011"/>
    <w:rsid w:val="00567995"/>
    <w:rsid w:val="00574B96"/>
    <w:rsid w:val="00575841"/>
    <w:rsid w:val="00581C55"/>
    <w:rsid w:val="005825D7"/>
    <w:rsid w:val="005825DC"/>
    <w:rsid w:val="005834BB"/>
    <w:rsid w:val="0058398B"/>
    <w:rsid w:val="0058632D"/>
    <w:rsid w:val="005866C0"/>
    <w:rsid w:val="00587E6B"/>
    <w:rsid w:val="005902ED"/>
    <w:rsid w:val="00593119"/>
    <w:rsid w:val="005933F0"/>
    <w:rsid w:val="0059370A"/>
    <w:rsid w:val="00596336"/>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36A3"/>
    <w:rsid w:val="005E62ED"/>
    <w:rsid w:val="005E65B5"/>
    <w:rsid w:val="005E7B45"/>
    <w:rsid w:val="005F1EDF"/>
    <w:rsid w:val="005F3027"/>
    <w:rsid w:val="005F5D06"/>
    <w:rsid w:val="005F7029"/>
    <w:rsid w:val="00600343"/>
    <w:rsid w:val="00605B5A"/>
    <w:rsid w:val="006060B3"/>
    <w:rsid w:val="0060611D"/>
    <w:rsid w:val="006073FB"/>
    <w:rsid w:val="006078C4"/>
    <w:rsid w:val="00607B2D"/>
    <w:rsid w:val="006104A5"/>
    <w:rsid w:val="00613764"/>
    <w:rsid w:val="00617577"/>
    <w:rsid w:val="006200E7"/>
    <w:rsid w:val="00621260"/>
    <w:rsid w:val="00626F56"/>
    <w:rsid w:val="00626FD8"/>
    <w:rsid w:val="006301F4"/>
    <w:rsid w:val="00633333"/>
    <w:rsid w:val="00635948"/>
    <w:rsid w:val="00637746"/>
    <w:rsid w:val="0064051F"/>
    <w:rsid w:val="00640A42"/>
    <w:rsid w:val="00643A98"/>
    <w:rsid w:val="006475E6"/>
    <w:rsid w:val="00650E8E"/>
    <w:rsid w:val="00653181"/>
    <w:rsid w:val="0065323F"/>
    <w:rsid w:val="006537C4"/>
    <w:rsid w:val="00654BBB"/>
    <w:rsid w:val="00655929"/>
    <w:rsid w:val="00656188"/>
    <w:rsid w:val="00661ACE"/>
    <w:rsid w:val="00661F6A"/>
    <w:rsid w:val="006635A7"/>
    <w:rsid w:val="00667A74"/>
    <w:rsid w:val="006705BE"/>
    <w:rsid w:val="00671830"/>
    <w:rsid w:val="00673519"/>
    <w:rsid w:val="00674762"/>
    <w:rsid w:val="00677736"/>
    <w:rsid w:val="00680E5D"/>
    <w:rsid w:val="00681C26"/>
    <w:rsid w:val="00682002"/>
    <w:rsid w:val="00690F44"/>
    <w:rsid w:val="006919C8"/>
    <w:rsid w:val="0069362C"/>
    <w:rsid w:val="00693D3B"/>
    <w:rsid w:val="00694B16"/>
    <w:rsid w:val="00697002"/>
    <w:rsid w:val="00697687"/>
    <w:rsid w:val="006A1382"/>
    <w:rsid w:val="006A15AD"/>
    <w:rsid w:val="006A45D8"/>
    <w:rsid w:val="006A4888"/>
    <w:rsid w:val="006A5210"/>
    <w:rsid w:val="006A5CD4"/>
    <w:rsid w:val="006A77C1"/>
    <w:rsid w:val="006B0B28"/>
    <w:rsid w:val="006B488A"/>
    <w:rsid w:val="006C4176"/>
    <w:rsid w:val="006C63DA"/>
    <w:rsid w:val="006D194C"/>
    <w:rsid w:val="006D2B66"/>
    <w:rsid w:val="006D3518"/>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3918"/>
    <w:rsid w:val="00723DF8"/>
    <w:rsid w:val="00724429"/>
    <w:rsid w:val="007248BC"/>
    <w:rsid w:val="00725681"/>
    <w:rsid w:val="00726342"/>
    <w:rsid w:val="00726354"/>
    <w:rsid w:val="00726ED9"/>
    <w:rsid w:val="00730C18"/>
    <w:rsid w:val="00731DB3"/>
    <w:rsid w:val="00732F06"/>
    <w:rsid w:val="00736908"/>
    <w:rsid w:val="007417AC"/>
    <w:rsid w:val="007439D7"/>
    <w:rsid w:val="00745D31"/>
    <w:rsid w:val="00747B36"/>
    <w:rsid w:val="00755534"/>
    <w:rsid w:val="00757AA5"/>
    <w:rsid w:val="007642F9"/>
    <w:rsid w:val="00770A61"/>
    <w:rsid w:val="00773074"/>
    <w:rsid w:val="00773C33"/>
    <w:rsid w:val="007751E7"/>
    <w:rsid w:val="00781A50"/>
    <w:rsid w:val="00784962"/>
    <w:rsid w:val="007876BC"/>
    <w:rsid w:val="00787C51"/>
    <w:rsid w:val="00790DF3"/>
    <w:rsid w:val="00791D09"/>
    <w:rsid w:val="00792970"/>
    <w:rsid w:val="0079316B"/>
    <w:rsid w:val="00794A22"/>
    <w:rsid w:val="00796433"/>
    <w:rsid w:val="00796B75"/>
    <w:rsid w:val="007971ED"/>
    <w:rsid w:val="007A03BA"/>
    <w:rsid w:val="007A4A53"/>
    <w:rsid w:val="007A6CDA"/>
    <w:rsid w:val="007A71F8"/>
    <w:rsid w:val="007B02DE"/>
    <w:rsid w:val="007B1EFC"/>
    <w:rsid w:val="007C4BD2"/>
    <w:rsid w:val="007D49C7"/>
    <w:rsid w:val="007D53AA"/>
    <w:rsid w:val="007E249D"/>
    <w:rsid w:val="007E2511"/>
    <w:rsid w:val="007E4BFD"/>
    <w:rsid w:val="007F04F9"/>
    <w:rsid w:val="007F714A"/>
    <w:rsid w:val="00800FF7"/>
    <w:rsid w:val="008029A0"/>
    <w:rsid w:val="00802D86"/>
    <w:rsid w:val="00802F06"/>
    <w:rsid w:val="008047D9"/>
    <w:rsid w:val="00804A4D"/>
    <w:rsid w:val="0081023D"/>
    <w:rsid w:val="0081050B"/>
    <w:rsid w:val="00812348"/>
    <w:rsid w:val="00820149"/>
    <w:rsid w:val="00820651"/>
    <w:rsid w:val="00822240"/>
    <w:rsid w:val="00826C29"/>
    <w:rsid w:val="008270F8"/>
    <w:rsid w:val="0082721C"/>
    <w:rsid w:val="00834690"/>
    <w:rsid w:val="0083576C"/>
    <w:rsid w:val="00837913"/>
    <w:rsid w:val="00840FA0"/>
    <w:rsid w:val="00843FBB"/>
    <w:rsid w:val="008454D2"/>
    <w:rsid w:val="00845DEC"/>
    <w:rsid w:val="00846F0C"/>
    <w:rsid w:val="0085294F"/>
    <w:rsid w:val="00860128"/>
    <w:rsid w:val="00866593"/>
    <w:rsid w:val="00867BA3"/>
    <w:rsid w:val="00870719"/>
    <w:rsid w:val="0087721F"/>
    <w:rsid w:val="00881791"/>
    <w:rsid w:val="00892314"/>
    <w:rsid w:val="0089371C"/>
    <w:rsid w:val="008A265F"/>
    <w:rsid w:val="008A4075"/>
    <w:rsid w:val="008A5C07"/>
    <w:rsid w:val="008A5F82"/>
    <w:rsid w:val="008B2F25"/>
    <w:rsid w:val="008B33EB"/>
    <w:rsid w:val="008B3ABC"/>
    <w:rsid w:val="008B4B43"/>
    <w:rsid w:val="008B5E4B"/>
    <w:rsid w:val="008B7783"/>
    <w:rsid w:val="008C0BDB"/>
    <w:rsid w:val="008C43A5"/>
    <w:rsid w:val="008C4443"/>
    <w:rsid w:val="008C4FEC"/>
    <w:rsid w:val="008C5659"/>
    <w:rsid w:val="008C58E0"/>
    <w:rsid w:val="008E1635"/>
    <w:rsid w:val="008E1DAE"/>
    <w:rsid w:val="008E363B"/>
    <w:rsid w:val="008E3821"/>
    <w:rsid w:val="008E44E6"/>
    <w:rsid w:val="008E7DAC"/>
    <w:rsid w:val="008F4834"/>
    <w:rsid w:val="00900546"/>
    <w:rsid w:val="00901055"/>
    <w:rsid w:val="0090730F"/>
    <w:rsid w:val="0091479F"/>
    <w:rsid w:val="00914C45"/>
    <w:rsid w:val="00916678"/>
    <w:rsid w:val="0091744E"/>
    <w:rsid w:val="009205E1"/>
    <w:rsid w:val="00922C5B"/>
    <w:rsid w:val="009247B3"/>
    <w:rsid w:val="00924D52"/>
    <w:rsid w:val="00924D7A"/>
    <w:rsid w:val="00925949"/>
    <w:rsid w:val="00927826"/>
    <w:rsid w:val="00930D89"/>
    <w:rsid w:val="00935201"/>
    <w:rsid w:val="00935FD0"/>
    <w:rsid w:val="0093711F"/>
    <w:rsid w:val="009373A1"/>
    <w:rsid w:val="009411C2"/>
    <w:rsid w:val="009425E2"/>
    <w:rsid w:val="00942CDE"/>
    <w:rsid w:val="00946E0E"/>
    <w:rsid w:val="009531A4"/>
    <w:rsid w:val="00953B00"/>
    <w:rsid w:val="00956342"/>
    <w:rsid w:val="009575DB"/>
    <w:rsid w:val="00962A95"/>
    <w:rsid w:val="00962B00"/>
    <w:rsid w:val="009647CC"/>
    <w:rsid w:val="00967713"/>
    <w:rsid w:val="00970CA0"/>
    <w:rsid w:val="0097614E"/>
    <w:rsid w:val="00976B14"/>
    <w:rsid w:val="00981B9B"/>
    <w:rsid w:val="00985DE2"/>
    <w:rsid w:val="00986DA2"/>
    <w:rsid w:val="009870EA"/>
    <w:rsid w:val="009874C6"/>
    <w:rsid w:val="00990B28"/>
    <w:rsid w:val="00990BD6"/>
    <w:rsid w:val="0099243E"/>
    <w:rsid w:val="00994BC2"/>
    <w:rsid w:val="009956D1"/>
    <w:rsid w:val="00995B14"/>
    <w:rsid w:val="009A0866"/>
    <w:rsid w:val="009A29A3"/>
    <w:rsid w:val="009A5399"/>
    <w:rsid w:val="009B1792"/>
    <w:rsid w:val="009B1FCB"/>
    <w:rsid w:val="009B2C99"/>
    <w:rsid w:val="009B3CF3"/>
    <w:rsid w:val="009B4DCA"/>
    <w:rsid w:val="009B706C"/>
    <w:rsid w:val="009C2266"/>
    <w:rsid w:val="009C3878"/>
    <w:rsid w:val="009C5F72"/>
    <w:rsid w:val="009D073C"/>
    <w:rsid w:val="009D0749"/>
    <w:rsid w:val="009E2113"/>
    <w:rsid w:val="009E5891"/>
    <w:rsid w:val="009F1C43"/>
    <w:rsid w:val="009F2CCC"/>
    <w:rsid w:val="009F75DD"/>
    <w:rsid w:val="00A009CA"/>
    <w:rsid w:val="00A04C8A"/>
    <w:rsid w:val="00A055D0"/>
    <w:rsid w:val="00A06AE7"/>
    <w:rsid w:val="00A146D2"/>
    <w:rsid w:val="00A149AC"/>
    <w:rsid w:val="00A20A7D"/>
    <w:rsid w:val="00A324AB"/>
    <w:rsid w:val="00A3345F"/>
    <w:rsid w:val="00A33B04"/>
    <w:rsid w:val="00A34E30"/>
    <w:rsid w:val="00A362EB"/>
    <w:rsid w:val="00A37154"/>
    <w:rsid w:val="00A37656"/>
    <w:rsid w:val="00A42CDC"/>
    <w:rsid w:val="00A464BD"/>
    <w:rsid w:val="00A501AD"/>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44E4"/>
    <w:rsid w:val="00AA52A0"/>
    <w:rsid w:val="00AA5F94"/>
    <w:rsid w:val="00AB0987"/>
    <w:rsid w:val="00AB365C"/>
    <w:rsid w:val="00AB4DE5"/>
    <w:rsid w:val="00AB601C"/>
    <w:rsid w:val="00AB6D0E"/>
    <w:rsid w:val="00AB6DF8"/>
    <w:rsid w:val="00AB711B"/>
    <w:rsid w:val="00AC226A"/>
    <w:rsid w:val="00AC2D1E"/>
    <w:rsid w:val="00AC34E8"/>
    <w:rsid w:val="00AC68C0"/>
    <w:rsid w:val="00AD0985"/>
    <w:rsid w:val="00AD33F2"/>
    <w:rsid w:val="00AD3C93"/>
    <w:rsid w:val="00AD4211"/>
    <w:rsid w:val="00AD531D"/>
    <w:rsid w:val="00AE17EA"/>
    <w:rsid w:val="00AE273B"/>
    <w:rsid w:val="00AE3B5E"/>
    <w:rsid w:val="00AE4AA4"/>
    <w:rsid w:val="00AE681E"/>
    <w:rsid w:val="00AE69BE"/>
    <w:rsid w:val="00AE6E58"/>
    <w:rsid w:val="00AE768D"/>
    <w:rsid w:val="00AF27EB"/>
    <w:rsid w:val="00AF294D"/>
    <w:rsid w:val="00AF57CB"/>
    <w:rsid w:val="00AF7BAC"/>
    <w:rsid w:val="00B22A15"/>
    <w:rsid w:val="00B23CB4"/>
    <w:rsid w:val="00B257AD"/>
    <w:rsid w:val="00B2587C"/>
    <w:rsid w:val="00B2723B"/>
    <w:rsid w:val="00B30327"/>
    <w:rsid w:val="00B306FA"/>
    <w:rsid w:val="00B32B9B"/>
    <w:rsid w:val="00B34C2F"/>
    <w:rsid w:val="00B51634"/>
    <w:rsid w:val="00B53C93"/>
    <w:rsid w:val="00B54A2B"/>
    <w:rsid w:val="00B55826"/>
    <w:rsid w:val="00B56147"/>
    <w:rsid w:val="00B60251"/>
    <w:rsid w:val="00B675FF"/>
    <w:rsid w:val="00B70F59"/>
    <w:rsid w:val="00B71A9C"/>
    <w:rsid w:val="00B740B5"/>
    <w:rsid w:val="00B757E9"/>
    <w:rsid w:val="00B860F9"/>
    <w:rsid w:val="00B86419"/>
    <w:rsid w:val="00B90C6F"/>
    <w:rsid w:val="00B90CB7"/>
    <w:rsid w:val="00B91483"/>
    <w:rsid w:val="00B914C1"/>
    <w:rsid w:val="00B918E0"/>
    <w:rsid w:val="00B92EE7"/>
    <w:rsid w:val="00B930A7"/>
    <w:rsid w:val="00B96878"/>
    <w:rsid w:val="00B96AD5"/>
    <w:rsid w:val="00BA41EB"/>
    <w:rsid w:val="00BA4858"/>
    <w:rsid w:val="00BB0C55"/>
    <w:rsid w:val="00BB0CE8"/>
    <w:rsid w:val="00BB27BB"/>
    <w:rsid w:val="00BB2953"/>
    <w:rsid w:val="00BB2E65"/>
    <w:rsid w:val="00BB4A0D"/>
    <w:rsid w:val="00BB60A4"/>
    <w:rsid w:val="00BB716F"/>
    <w:rsid w:val="00BC0427"/>
    <w:rsid w:val="00BC1083"/>
    <w:rsid w:val="00BC2EAD"/>
    <w:rsid w:val="00BC3391"/>
    <w:rsid w:val="00BC6D48"/>
    <w:rsid w:val="00BC7779"/>
    <w:rsid w:val="00BD0977"/>
    <w:rsid w:val="00BD13D9"/>
    <w:rsid w:val="00BD28EC"/>
    <w:rsid w:val="00BD2F3E"/>
    <w:rsid w:val="00BD3B5C"/>
    <w:rsid w:val="00BD5DA8"/>
    <w:rsid w:val="00BE14D9"/>
    <w:rsid w:val="00BE3706"/>
    <w:rsid w:val="00BE4CAA"/>
    <w:rsid w:val="00BE6D24"/>
    <w:rsid w:val="00BE7560"/>
    <w:rsid w:val="00BF2DEC"/>
    <w:rsid w:val="00BF464F"/>
    <w:rsid w:val="00BF468F"/>
    <w:rsid w:val="00BF4A25"/>
    <w:rsid w:val="00BF5457"/>
    <w:rsid w:val="00BF62AD"/>
    <w:rsid w:val="00C00303"/>
    <w:rsid w:val="00C00919"/>
    <w:rsid w:val="00C043E6"/>
    <w:rsid w:val="00C0452B"/>
    <w:rsid w:val="00C072B0"/>
    <w:rsid w:val="00C113E9"/>
    <w:rsid w:val="00C13494"/>
    <w:rsid w:val="00C14EA7"/>
    <w:rsid w:val="00C150F3"/>
    <w:rsid w:val="00C17A75"/>
    <w:rsid w:val="00C17E79"/>
    <w:rsid w:val="00C22406"/>
    <w:rsid w:val="00C24B87"/>
    <w:rsid w:val="00C26777"/>
    <w:rsid w:val="00C32326"/>
    <w:rsid w:val="00C3378C"/>
    <w:rsid w:val="00C3534E"/>
    <w:rsid w:val="00C3624D"/>
    <w:rsid w:val="00C4073F"/>
    <w:rsid w:val="00C41268"/>
    <w:rsid w:val="00C4727D"/>
    <w:rsid w:val="00C5067A"/>
    <w:rsid w:val="00C512BE"/>
    <w:rsid w:val="00C60BB7"/>
    <w:rsid w:val="00C643E9"/>
    <w:rsid w:val="00C6465D"/>
    <w:rsid w:val="00C660F6"/>
    <w:rsid w:val="00C66E98"/>
    <w:rsid w:val="00C71065"/>
    <w:rsid w:val="00C71154"/>
    <w:rsid w:val="00C727FA"/>
    <w:rsid w:val="00C75EFA"/>
    <w:rsid w:val="00C76646"/>
    <w:rsid w:val="00C776F3"/>
    <w:rsid w:val="00C77C19"/>
    <w:rsid w:val="00C81CF5"/>
    <w:rsid w:val="00C81EBE"/>
    <w:rsid w:val="00C920B0"/>
    <w:rsid w:val="00C92FEA"/>
    <w:rsid w:val="00C95F3E"/>
    <w:rsid w:val="00C97A62"/>
    <w:rsid w:val="00CA2071"/>
    <w:rsid w:val="00CA2568"/>
    <w:rsid w:val="00CA2E09"/>
    <w:rsid w:val="00CA5B9D"/>
    <w:rsid w:val="00CA686E"/>
    <w:rsid w:val="00CA7319"/>
    <w:rsid w:val="00CA7CBB"/>
    <w:rsid w:val="00CB6655"/>
    <w:rsid w:val="00CB6D12"/>
    <w:rsid w:val="00CB6D3E"/>
    <w:rsid w:val="00CC06B3"/>
    <w:rsid w:val="00CC0D76"/>
    <w:rsid w:val="00CC14BA"/>
    <w:rsid w:val="00CC1F4A"/>
    <w:rsid w:val="00CC4922"/>
    <w:rsid w:val="00CC6A8E"/>
    <w:rsid w:val="00CD180F"/>
    <w:rsid w:val="00CD3FDC"/>
    <w:rsid w:val="00CD57F3"/>
    <w:rsid w:val="00CD6193"/>
    <w:rsid w:val="00CD730D"/>
    <w:rsid w:val="00CE6987"/>
    <w:rsid w:val="00CE69C4"/>
    <w:rsid w:val="00CF0772"/>
    <w:rsid w:val="00CF721C"/>
    <w:rsid w:val="00CF7ECD"/>
    <w:rsid w:val="00D03DA0"/>
    <w:rsid w:val="00D04E0E"/>
    <w:rsid w:val="00D05232"/>
    <w:rsid w:val="00D06AD2"/>
    <w:rsid w:val="00D06BD8"/>
    <w:rsid w:val="00D11FD5"/>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3E7"/>
    <w:rsid w:val="00D3073E"/>
    <w:rsid w:val="00D30C85"/>
    <w:rsid w:val="00D31425"/>
    <w:rsid w:val="00D36A44"/>
    <w:rsid w:val="00D40390"/>
    <w:rsid w:val="00D4115A"/>
    <w:rsid w:val="00D415FF"/>
    <w:rsid w:val="00D41C73"/>
    <w:rsid w:val="00D4444E"/>
    <w:rsid w:val="00D46679"/>
    <w:rsid w:val="00D467E2"/>
    <w:rsid w:val="00D46CDA"/>
    <w:rsid w:val="00D5115C"/>
    <w:rsid w:val="00D523C8"/>
    <w:rsid w:val="00D5774F"/>
    <w:rsid w:val="00D63526"/>
    <w:rsid w:val="00D64CF8"/>
    <w:rsid w:val="00D64F93"/>
    <w:rsid w:val="00D6591C"/>
    <w:rsid w:val="00D65C94"/>
    <w:rsid w:val="00D67F7F"/>
    <w:rsid w:val="00D7159E"/>
    <w:rsid w:val="00D7255C"/>
    <w:rsid w:val="00D72CC9"/>
    <w:rsid w:val="00D75535"/>
    <w:rsid w:val="00D805EF"/>
    <w:rsid w:val="00D84E96"/>
    <w:rsid w:val="00DA2732"/>
    <w:rsid w:val="00DA5144"/>
    <w:rsid w:val="00DB2B90"/>
    <w:rsid w:val="00DB3AAC"/>
    <w:rsid w:val="00DB3F6B"/>
    <w:rsid w:val="00DB464F"/>
    <w:rsid w:val="00DB67D3"/>
    <w:rsid w:val="00DB6B9D"/>
    <w:rsid w:val="00DC0EBD"/>
    <w:rsid w:val="00DC1442"/>
    <w:rsid w:val="00DC165E"/>
    <w:rsid w:val="00DC699E"/>
    <w:rsid w:val="00DD2283"/>
    <w:rsid w:val="00DD4187"/>
    <w:rsid w:val="00DD5412"/>
    <w:rsid w:val="00DD564F"/>
    <w:rsid w:val="00DD6210"/>
    <w:rsid w:val="00DD6D95"/>
    <w:rsid w:val="00DE2897"/>
    <w:rsid w:val="00DE32DE"/>
    <w:rsid w:val="00DE5B8E"/>
    <w:rsid w:val="00DE6323"/>
    <w:rsid w:val="00DE6F9D"/>
    <w:rsid w:val="00DE7800"/>
    <w:rsid w:val="00DE7957"/>
    <w:rsid w:val="00DF142E"/>
    <w:rsid w:val="00DF1626"/>
    <w:rsid w:val="00DF2F47"/>
    <w:rsid w:val="00DF5A2E"/>
    <w:rsid w:val="00DF717F"/>
    <w:rsid w:val="00E006B7"/>
    <w:rsid w:val="00E017B5"/>
    <w:rsid w:val="00E02D08"/>
    <w:rsid w:val="00E057F3"/>
    <w:rsid w:val="00E10297"/>
    <w:rsid w:val="00E1180B"/>
    <w:rsid w:val="00E11A26"/>
    <w:rsid w:val="00E11B7B"/>
    <w:rsid w:val="00E12439"/>
    <w:rsid w:val="00E20B2E"/>
    <w:rsid w:val="00E228E1"/>
    <w:rsid w:val="00E23B52"/>
    <w:rsid w:val="00E23D3A"/>
    <w:rsid w:val="00E246A4"/>
    <w:rsid w:val="00E2607E"/>
    <w:rsid w:val="00E265FC"/>
    <w:rsid w:val="00E269CC"/>
    <w:rsid w:val="00E2749A"/>
    <w:rsid w:val="00E3590E"/>
    <w:rsid w:val="00E37DB4"/>
    <w:rsid w:val="00E407E1"/>
    <w:rsid w:val="00E41C82"/>
    <w:rsid w:val="00E4200D"/>
    <w:rsid w:val="00E42FB9"/>
    <w:rsid w:val="00E43713"/>
    <w:rsid w:val="00E44D1C"/>
    <w:rsid w:val="00E452DF"/>
    <w:rsid w:val="00E4701A"/>
    <w:rsid w:val="00E50FE2"/>
    <w:rsid w:val="00E52673"/>
    <w:rsid w:val="00E53C1E"/>
    <w:rsid w:val="00E550DD"/>
    <w:rsid w:val="00E56262"/>
    <w:rsid w:val="00E609B8"/>
    <w:rsid w:val="00E60AD6"/>
    <w:rsid w:val="00E63829"/>
    <w:rsid w:val="00E6432B"/>
    <w:rsid w:val="00E666D4"/>
    <w:rsid w:val="00E67989"/>
    <w:rsid w:val="00E76150"/>
    <w:rsid w:val="00E80096"/>
    <w:rsid w:val="00E80FBD"/>
    <w:rsid w:val="00E82B47"/>
    <w:rsid w:val="00E84D83"/>
    <w:rsid w:val="00E84FF5"/>
    <w:rsid w:val="00E86BEF"/>
    <w:rsid w:val="00E86E93"/>
    <w:rsid w:val="00E93211"/>
    <w:rsid w:val="00EA36AC"/>
    <w:rsid w:val="00EA3A9D"/>
    <w:rsid w:val="00EA4B76"/>
    <w:rsid w:val="00EA546B"/>
    <w:rsid w:val="00EA6FF9"/>
    <w:rsid w:val="00EB409D"/>
    <w:rsid w:val="00EB55EE"/>
    <w:rsid w:val="00EB676F"/>
    <w:rsid w:val="00EB6A5D"/>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4583"/>
    <w:rsid w:val="00EF69C7"/>
    <w:rsid w:val="00F00C07"/>
    <w:rsid w:val="00F01F92"/>
    <w:rsid w:val="00F02AF6"/>
    <w:rsid w:val="00F1038D"/>
    <w:rsid w:val="00F11149"/>
    <w:rsid w:val="00F14A3A"/>
    <w:rsid w:val="00F17D6A"/>
    <w:rsid w:val="00F20064"/>
    <w:rsid w:val="00F21A77"/>
    <w:rsid w:val="00F21FB6"/>
    <w:rsid w:val="00F246AB"/>
    <w:rsid w:val="00F25942"/>
    <w:rsid w:val="00F268FE"/>
    <w:rsid w:val="00F26D7C"/>
    <w:rsid w:val="00F2799A"/>
    <w:rsid w:val="00F30E66"/>
    <w:rsid w:val="00F33E5F"/>
    <w:rsid w:val="00F34544"/>
    <w:rsid w:val="00F40423"/>
    <w:rsid w:val="00F407B0"/>
    <w:rsid w:val="00F40D00"/>
    <w:rsid w:val="00F40F82"/>
    <w:rsid w:val="00F41022"/>
    <w:rsid w:val="00F44CB2"/>
    <w:rsid w:val="00F45F63"/>
    <w:rsid w:val="00F51007"/>
    <w:rsid w:val="00F51766"/>
    <w:rsid w:val="00F52221"/>
    <w:rsid w:val="00F522D4"/>
    <w:rsid w:val="00F53AC7"/>
    <w:rsid w:val="00F54DB9"/>
    <w:rsid w:val="00F55F1C"/>
    <w:rsid w:val="00F56E13"/>
    <w:rsid w:val="00F60AD0"/>
    <w:rsid w:val="00F62D5D"/>
    <w:rsid w:val="00F65184"/>
    <w:rsid w:val="00F71F61"/>
    <w:rsid w:val="00F73681"/>
    <w:rsid w:val="00F749F9"/>
    <w:rsid w:val="00F80402"/>
    <w:rsid w:val="00F839FE"/>
    <w:rsid w:val="00F83D92"/>
    <w:rsid w:val="00F84683"/>
    <w:rsid w:val="00F85D51"/>
    <w:rsid w:val="00F85F4D"/>
    <w:rsid w:val="00F87AC5"/>
    <w:rsid w:val="00F9004F"/>
    <w:rsid w:val="00F9024C"/>
    <w:rsid w:val="00F917D3"/>
    <w:rsid w:val="00F91A9D"/>
    <w:rsid w:val="00F938C6"/>
    <w:rsid w:val="00F9641A"/>
    <w:rsid w:val="00F9703B"/>
    <w:rsid w:val="00FA03AA"/>
    <w:rsid w:val="00FA5C15"/>
    <w:rsid w:val="00FA6BD8"/>
    <w:rsid w:val="00FB07CB"/>
    <w:rsid w:val="00FB2944"/>
    <w:rsid w:val="00FB2F2F"/>
    <w:rsid w:val="00FB30DD"/>
    <w:rsid w:val="00FB4AE0"/>
    <w:rsid w:val="00FB63FB"/>
    <w:rsid w:val="00FB673E"/>
    <w:rsid w:val="00FB6F30"/>
    <w:rsid w:val="00FB71FC"/>
    <w:rsid w:val="00FC3B9F"/>
    <w:rsid w:val="00FC6024"/>
    <w:rsid w:val="00FC69E1"/>
    <w:rsid w:val="00FD4911"/>
    <w:rsid w:val="00FD663A"/>
    <w:rsid w:val="00FD6BCB"/>
    <w:rsid w:val="00FE049C"/>
    <w:rsid w:val="00FE095D"/>
    <w:rsid w:val="00FE0FED"/>
    <w:rsid w:val="00FE393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open.overheid.nl/documenten/43eb8f86-6e0b-4d26-9d18-c7692a7ce4d5/file" TargetMode="External" Id="rId18" /><Relationship Type="http://schemas.openxmlformats.org/officeDocument/2006/relationships/hyperlink" Target="https://eur06.safelinks.protection.outlook.com/?url=https%3A%2F%2Feur-lex.europa.eu%2Flegal-content%2FNL%2FTXT%2F%3Furi%3DCELEX%253A52025PC0941%26qid%3D1765293543954&amp;data=05%7C02%7Cj.kramer%40tweedekamer.nl%7Cfbde421739de40c79e5908de37eabd23%7C238cb5073f714afeaaab8382731a4345%7C0%7C0%7C639009678488884352%7CUnknown%7CTWFpbGZsb3d8eyJFbXB0eU1hcGkiOnRydWUsIlYiOiIwLjAuMDAwMCIsIlAiOiJXaW4zMiIsIkFOIjoiTWFpbCIsIldUIjoyfQ%3D%3D%7C0%7C%7C%7C&amp;sdata=PAoS3Tis2G5GeXpQCPbvdoXaNk9aBXvDS%2FytU%2Bgxi6k%3D&amp;reserved=0" TargetMode="External" Id="rId26" /><Relationship Type="http://schemas.openxmlformats.org/officeDocument/2006/relationships/footer" Target="footer2.xml" Id="rId39" /><Relationship Type="http://schemas.openxmlformats.org/officeDocument/2006/relationships/hyperlink" Target="https://eur06.safelinks.protection.outlook.com/?url=https%3A%2F%2Feur-lex.europa.eu%2Flegal-content%2FNL%2FTXT%2F%3Furi%3DCELEX%253A52025PC3502%26qid%3D1765259168110&amp;data=05%7C02%7Cj.kramer%40tweedekamer.nl%7Cfbde421739de40c79e5908de37eabd23%7C238cb5073f714afeaaab8382731a4345%7C0%7C0%7C639009678488763808%7CUnknown%7CTWFpbGZsb3d8eyJFbXB0eU1hcGkiOnRydWUsIlYiOiIwLjAuMDAwMCIsIlAiOiJXaW4zMiIsIkFOIjoiTWFpbCIsIldUIjoyfQ%3D%3D%7C0%7C%7C%7C&amp;sdata=OYmwrba32Ulx8Be%2F0CiN8ZUdFx1Kc9ZpwDFyVZ6BITk%3D&amp;reserved=0" TargetMode="External" Id="rId21" /><Relationship Type="http://schemas.openxmlformats.org/officeDocument/2006/relationships/hyperlink" Target="https://eur06.safelinks.protection.outlook.com/?url=https%3A%2F%2Feur-lex.europa.eu%2Flegal-content%2FNL%2FTXT%2F%3Furi%3DCELEX%253A52025DC0956%26qid%3D1764667893165&amp;data=05%7C02%7Cj.kramer%40tweedekamer.nl%7C0651063a5f63450df82708de3310c1a5%7C238cb5073f714afeaaab8382731a4345%7C0%7C0%7C639004344223201507%7CUnknown%7CTWFpbGZsb3d8eyJFbXB0eU1hcGkiOnRydWUsIlYiOiIwLjAuMDAwMCIsIlAiOiJXaW4zMiIsIkFOIjoiTWFpbCIsIldUIjoyfQ%3D%3D%7C0%7C%7C%7C&amp;sdata=%2FC5gBZdIjX1MkmoQhk8svToJf0uThlPckj9s7fyi0R0%3D&amp;reserved=0" TargetMode="External" Id="rId34" /><Relationship Type="http://schemas.openxmlformats.org/officeDocument/2006/relationships/styles" Target="styles.xml" Id="rId7" /><Relationship Type="http://schemas.openxmlformats.org/officeDocument/2006/relationships/hyperlink" Target="https://parlisweb.tweedekamer.nl/parlis/document.aspx?Id=5f8ec6a6-3115-48c8-bfd6-7d1fb0bf305a" TargetMode="External" Id="rId16" /><Relationship Type="http://schemas.openxmlformats.org/officeDocument/2006/relationships/hyperlink" Target="https://www.consilium.europa.eu/en/press/press-releases/2025/12/12/council-decides-to-prohibit-transfers-of-immobilised-central-bank-of-russia-assets-back-to-russia/" TargetMode="External" Id="rId20" /><Relationship Type="http://schemas.openxmlformats.org/officeDocument/2006/relationships/hyperlink" Target="https://www.rijksoverheid.nl/documenten/publicaties/2025/11/20/fiche-1-herziening-verordening-duurzaam-beleggen" TargetMode="External" Id="rId29" /><Relationship Type="http://schemas.openxmlformats.org/officeDocument/2006/relationships/theme" Target="theme/theme1.xml" Id="rId4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5PC0942%26qid%3D1765286926095&amp;data=05%7C02%7Cj.kramer%40tweedekamer.nl%7Cfbde421739de40c79e5908de37eabd23%7C238cb5073f714afeaaab8382731a4345%7C0%7C0%7C639009678488836960%7CUnknown%7CTWFpbGZsb3d8eyJFbXB0eU1hcGkiOnRydWUsIlYiOiIwLjAuMDAwMCIsIlAiOiJXaW4zMiIsIkFOIjoiTWFpbCIsIldUIjoyfQ%3D%3D%7C0%7C%7C%7C&amp;sdata=Ry8WSLi61y6deYQQv%2B2dB0Oy8NJDY7VgmsO%2FC%2BWjiwg%3D&amp;reserved=0" TargetMode="External" Id="rId24" /><Relationship Type="http://schemas.openxmlformats.org/officeDocument/2006/relationships/hyperlink" Target="https://eur-lex.europa.eu/legal-content/NL/TXT/?uri=CELEX%3A52025PC0715&amp;qid=1764328728600" TargetMode="External" Id="rId32" /><Relationship Type="http://schemas.openxmlformats.org/officeDocument/2006/relationships/hyperlink" Target="https://eur06.safelinks.protection.outlook.com/?url=https%3A%2F%2Feur-lex.europa.eu%2Flegal-content%2FNL%2FTXT%2F%3Furi%3DCELEX%253A52025DC0746%26qid%3D1765287030317&amp;data=05%7C02%7Cj.kramer%40tweedekamer.nl%7Cfbde421739de40c79e5908de37eabd23%7C238cb5073f714afeaaab8382731a4345%7C0%7C0%7C639009678489101688%7CUnknown%7CTWFpbGZsb3d8eyJFbXB0eU1hcGkiOnRydWUsIlYiOiIwLjAuMDAwMCIsIlAiOiJXaW4zMiIsIkFOIjoiTWFpbCIsIldUIjoyfQ%3D%3D%7C0%7C%7C%7C&amp;sdata=trS8%2Fs64RUgahqSS2Q71GlHV5b8t%2Bb5KNOHs6Rnt1sQ%3D&amp;reserved=0" TargetMode="External" Id="rId37" /><Relationship Type="http://schemas.openxmlformats.org/officeDocument/2006/relationships/fontTable" Target="fontTable.xml" Id="rId40" /><Relationship Type="http://schemas.openxmlformats.org/officeDocument/2006/relationships/hyperlink" Target="https://open.overheid.nl/documenten/43eb8f86-6e0b-4d26-9d18-c7692a7ce4d5/file" TargetMode="External" Id="rId15" /><Relationship Type="http://schemas.openxmlformats.org/officeDocument/2006/relationships/hyperlink" Target="https://parlisweb.tweedekamer.nl/parlis/document.aspx?Id=5f8ec6a6-3115-48c8-bfd6-7d1fb0bf305a" TargetMode="External" Id="rId23" /><Relationship Type="http://schemas.openxmlformats.org/officeDocument/2006/relationships/hyperlink" Target="https://eur06.safelinks.protection.outlook.com/?url=https%3A%2F%2Feur-lex.europa.eu%2Flegal-content%2FNL%2FTXT%2F%3Furi%3DCELEX%253A52025PC0841%26qid%3D1764066712562&amp;data=05%7C02%7Ch.keesom%40tweedekamer.nl%7C6f9595babd424a4343f108de2db15d08%7C238cb5073f714afeaaab8382731a4345%7C0%7C0%7C638998436964737393%7CUnknown%7CTWFpbGZsb3d8eyJFbXB0eU1hcGkiOnRydWUsIlYiOiIwLjAuMDAwMCIsIlAiOiJXaW4zMiIsIkFOIjoiTWFpbCIsIldUIjoyfQ%3D%3D%7C0%7C%7C%7C&amp;sdata=mLHEObv19%2FK7it1pFOT1GOSv%2FIANIAkAznK90zA13Xc%3D&amp;reserved=0" TargetMode="External" Id="rId28" /><Relationship Type="http://schemas.openxmlformats.org/officeDocument/2006/relationships/hyperlink" Target="https://eur06.safelinks.protection.outlook.com/?url=https%3A%2F%2Feur-lex.europa.eu%2Flegal-content%2FNL%2FTXT%2F%3Furi%3DCELEX%253A52025DC0951%26qid%3D1764668642170&amp;data=05%7C02%7Cj.kramer%40tweedekamer.nl%7C0651063a5f63450df82708de3310c1a5%7C238cb5073f714afeaaab8382731a4345%7C0%7C0%7C639004344223246392%7CUnknown%7CTWFpbGZsb3d8eyJFbXB0eU1hcGkiOnRydWUsIlYiOiIwLjAuMDAwMCIsIlAiOiJXaW4zMiIsIkFOIjoiTWFpbCIsIldUIjoyfQ%3D%3D%7C0%7C%7C%7C&amp;sdata=4TCvPfpBPGZQLyMeTUFXacHlu7WBBdLabeIf3bcWMcI%3D&amp;reserved=0" TargetMode="External" Id="rId36" /><Relationship Type="http://schemas.openxmlformats.org/officeDocument/2006/relationships/footnotes" Target="footnotes.xml" Id="rId10" /><Relationship Type="http://schemas.openxmlformats.org/officeDocument/2006/relationships/hyperlink" Target="https://parlisweb.tweedekamer.nl/parlis/document.aspx?Id=5f8ec6a6-3115-48c8-bfd6-7d1fb0bf305a" TargetMode="External" Id="rId19" /><Relationship Type="http://schemas.openxmlformats.org/officeDocument/2006/relationships/hyperlink" Target="https://eur-lex.europa.eu/legal-content/NL/TXT/?uri=CELEX%3A52025PC0715&amp;qid=1764328728600" TargetMode="External" Id="rId31"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5PC3500%26qid%3D1765259031511&amp;data=05%7C02%7Cj.kramer%40tweedekamer.nl%7Cfbde421739de40c79e5908de37eabd23%7C238cb5073f714afeaaab8382731a4345%7C0%7C0%7C639009678488710378%7CUnknown%7CTWFpbGZsb3d8eyJFbXB0eU1hcGkiOnRydWUsIlYiOiIwLjAuMDAwMCIsIlAiOiJXaW4zMiIsIkFOIjoiTWFpbCIsIldUIjoyfQ%3D%3D%7C0%7C%7C%7C&amp;sdata=qQ94y4Dcv6tWDQ2UcLejGUPwuqI%2BBZCYMGzghsO5vF8%3D&amp;reserved=0" TargetMode="External" Id="rId14" /><Relationship Type="http://schemas.openxmlformats.org/officeDocument/2006/relationships/hyperlink" Target="https://open.overheid.nl/documenten/43eb8f86-6e0b-4d26-9d18-c7692a7ce4d5/file" TargetMode="External" Id="rId22" /><Relationship Type="http://schemas.openxmlformats.org/officeDocument/2006/relationships/hyperlink" Target="https://eur06.safelinks.protection.outlook.com/?url=https%3A%2F%2Feur-lex.europa.eu%2Flegal-content%2FNL%2FTXT%2F%3Furi%3DCELEX%253A52025PC0840%26qid%3D1764066828155&amp;data=05%7C02%7Ch.keesom%40tweedekamer.nl%7Cf5fb11fa4a524b05a36008de33fc771b%7C238cb5073f714afeaaab8382731a4345%7C0%7C0%7C639005356575260190%7CUnknown%7CTWFpbGZsb3d8eyJFbXB0eU1hcGkiOnRydWUsIlYiOiIwLjAuMDAwMCIsIlAiOiJXaW4zMiIsIkFOIjoiTWFpbCIsIldUIjoyfQ%3D%3D%7C0%7C%7C%7C&amp;sdata=mR7NOGCY5gHuuqlxJ0bN7%2Fm%2BvFNtHmUBiFLjARKEYrA%3D&amp;reserved=0" TargetMode="External" Id="rId27" /><Relationship Type="http://schemas.openxmlformats.org/officeDocument/2006/relationships/hyperlink" Target="https://eur06.safelinks.protection.outlook.com/?url=https%3A%2F%2Feur-lex.europa.eu%2Flegal-content%2FNL%2FTXT%2F%3Furi%3DCELEX%253A52025DC0940%26qid%3D1765293450867&amp;data=05%7C02%7Cj.kramer%40tweedekamer.nl%7Cfbde421739de40c79e5908de37eabd23%7C238cb5073f714afeaaab8382731a4345%7C0%7C0%7C639009678489194765%7CUnknown%7CTWFpbGZsb3d8eyJFbXB0eU1hcGkiOnRydWUsIlYiOiIwLjAuMDAwMCIsIlAiOiJXaW4zMiIsIkFOIjoiTWFpbCIsIldUIjoyfQ%3D%3D%7C0%7C%7C%7C&amp;sdata=OdbVUVAWF8w8bNvYuViYnOZb%2FgK4pjFaO%2FnNSBt%2FrGg%3D&amp;reserved=0" TargetMode="External" Id="rId30" /><Relationship Type="http://schemas.openxmlformats.org/officeDocument/2006/relationships/hyperlink" Target="https://eur06.safelinks.protection.outlook.com/?url=https%3A%2F%2Feur-lex.europa.eu%2Flegal-content%2FNL%2FTXT%2F%3Furi%3DCELEX%253A52025DC0950%26qid%3D1764668592684&amp;data=05%7C02%7Cj.kramer%40tweedekamer.nl%7C0651063a5f63450df82708de3310c1a5%7C238cb5073f714afeaaab8382731a4345%7C0%7C0%7C639004344223223893%7CUnknown%7CTWFpbGZsb3d8eyJFbXB0eU1hcGkiOnRydWUsIlYiOiIwLjAuMDAwMCIsIlAiOiJXaW4zMiIsIkFOIjoiTWFpbCIsIldUIjoyfQ%3D%3D%7C0%7C%7C%7C&amp;sdata=ge1F4DF3rNDFqC1PZfL%2F0DH4ZCXFVNdGq6%2BHQbTlMtM%3D&amp;reserved=0" TargetMode="External" Id="rId35" /><Relationship Type="http://schemas.openxmlformats.org/officeDocument/2006/relationships/settings" Target="settings.xml" Id="rId8"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5PC3501%26qid%3D1765259098255&amp;data=05%7C02%7Cj.kramer%40tweedekamer.nl%7Cfbde421739de40c79e5908de37eabd23%7C238cb5073f714afeaaab8382731a4345%7C0%7C0%7C639009678488738300%7CUnknown%7CTWFpbGZsb3d8eyJFbXB0eU1hcGkiOnRydWUsIlYiOiIwLjAuMDAwMCIsIlAiOiJXaW4zMiIsIkFOIjoiTWFpbCIsIldUIjoyfQ%3D%3D%7C0%7C%7C%7C&amp;sdata=xiQ7kcwqupbKjES6%2FQoLKL2g%2FlW5BxFOtFeHUKcCnEk%3D&amp;reserved=0" TargetMode="External" Id="rId17" /><Relationship Type="http://schemas.openxmlformats.org/officeDocument/2006/relationships/hyperlink" Target="https://eur06.safelinks.protection.outlook.com/?url=https%3A%2F%2Feur-lex.europa.eu%2Flegal-content%2FNL%2FTXT%2F%3Furi%3DCELEX%253A52025PC0943%26qid%3D1765293496110&amp;data=05%7C02%7Cj.kramer%40tweedekamer.nl%7Cfbde421739de40c79e5908de37eabd23%7C238cb5073f714afeaaab8382731a4345%7C0%7C0%7C639009678488861585%7CUnknown%7CTWFpbGZsb3d8eyJFbXB0eU1hcGkiOnRydWUsIlYiOiIwLjAuMDAwMCIsIlAiOiJXaW4zMiIsIkFOIjoiTWFpbCIsIldUIjoyfQ%3D%3D%7C0%7C%7C%7C&amp;sdata=UirGte3QUhp0nMoXoSkG3LuHxjBF%2B37X%2BJOEDGgJqq0%3D&amp;reserved=0" TargetMode="External" Id="rId25" /><Relationship Type="http://schemas.openxmlformats.org/officeDocument/2006/relationships/hyperlink" Target="https://eur06.safelinks.protection.outlook.com/?url=https%3A%2F%2Feur-lex.europa.eu%2Flegal-content%2FNL%2FTXT%2F%3Furi%3DCELEX%253A52025DC0733%26qid%3D1764666987165&amp;data=05%7C02%7Cj.kramer%40tweedekamer.nl%7C0651063a5f63450df82708de3310c1a5%7C238cb5073f714afeaaab8382731a4345%7C0%7C0%7C639004344223069209%7CUnknown%7CTWFpbGZsb3d8eyJFbXB0eU1hcGkiOnRydWUsIlYiOiIwLjAuMDAwMCIsIlAiOiJXaW4zMiIsIkFOIjoiTWFpbCIsIldUIjoyfQ%3D%3D%7C0%7C%7C%7C&amp;sdata=T%2BayaPlKqTr9gnGyLCtSciKMkPhE9suokfYjbSIVu40%3D&amp;reserved=0" TargetMode="External" Id="rId33" /><Relationship Type="http://schemas.openxmlformats.org/officeDocument/2006/relationships/header" Target="header2.xml" Id="rId38"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4060</ap:Words>
  <ap:Characters>22336</ap:Characters>
  <ap:DocSecurity>0</ap:DocSecurity>
  <ap:Lines>186</ap:Lines>
  <ap:Paragraphs>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2025-12-15T18:02:00.0000000Z</dcterms:created>
  <dcterms:modified xsi:type="dcterms:W3CDTF">2025-12-15T19:44:00.0000000Z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