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320" w:rsidP="00065320" w:rsidRDefault="00065320" w14:paraId="7E9C9445" w14:textId="77777777">
      <w:pPr>
        <w:rPr>
          <w:b/>
          <w:bCs/>
          <w:highlight w:val="yellow"/>
        </w:rPr>
      </w:pPr>
      <w:r w:rsidRPr="320BC4F7">
        <w:rPr>
          <w:b/>
          <w:bCs/>
          <w:sz w:val="22"/>
        </w:rPr>
        <w:t>Lijst van nieuwe EU-voorstellen</w:t>
      </w:r>
      <w:r>
        <w:tab/>
      </w:r>
      <w:r>
        <w:tab/>
      </w:r>
      <w:r>
        <w:tab/>
      </w:r>
    </w:p>
    <w:p w:rsidR="00065320" w:rsidP="00065320" w:rsidRDefault="00065320" w14:paraId="57F11054" w14:textId="77777777">
      <w:pPr>
        <w:pStyle w:val="PlatteTekst"/>
      </w:pPr>
    </w:p>
    <w:p w:rsidR="00065320" w:rsidP="00065320" w:rsidRDefault="00065320" w14:paraId="560C4AB2" w14:textId="3A62E41C">
      <w:pPr>
        <w:rPr>
          <w:szCs w:val="18"/>
        </w:rPr>
      </w:pPr>
      <w:r w:rsidRPr="769B3972">
        <w:rPr>
          <w:szCs w:val="18"/>
        </w:rPr>
        <w:t>De</w:t>
      </w:r>
      <w:r w:rsidRPr="769B3972">
        <w:rPr>
          <w:b/>
          <w:bCs/>
          <w:szCs w:val="18"/>
        </w:rPr>
        <w:t xml:space="preserve"> </w:t>
      </w:r>
      <w:r w:rsidRPr="769B3972">
        <w:rPr>
          <w:szCs w:val="18"/>
        </w:rPr>
        <w:t xml:space="preserve">Europese Commissie heeft in de periode tussen </w:t>
      </w:r>
      <w:r w:rsidRPr="769B3972">
        <w:rPr>
          <w:b/>
          <w:bCs/>
          <w:szCs w:val="18"/>
        </w:rPr>
        <w:t xml:space="preserve"> </w:t>
      </w:r>
      <w:r w:rsidR="00042940">
        <w:rPr>
          <w:b/>
          <w:bCs/>
          <w:szCs w:val="18"/>
        </w:rPr>
        <w:t xml:space="preserve">24 november </w:t>
      </w:r>
      <w:r w:rsidRPr="769B3972">
        <w:rPr>
          <w:b/>
          <w:bCs/>
          <w:szCs w:val="18"/>
        </w:rPr>
        <w:t xml:space="preserve">en </w:t>
      </w:r>
      <w:r>
        <w:rPr>
          <w:b/>
          <w:bCs/>
          <w:szCs w:val="18"/>
        </w:rPr>
        <w:t xml:space="preserve"> </w:t>
      </w:r>
      <w:r w:rsidR="00042940">
        <w:rPr>
          <w:b/>
          <w:bCs/>
          <w:szCs w:val="18"/>
        </w:rPr>
        <w:t xml:space="preserve">15 december </w:t>
      </w:r>
      <w:r w:rsidRPr="769B3972">
        <w:rPr>
          <w:b/>
          <w:bCs/>
          <w:szCs w:val="18"/>
        </w:rPr>
        <w:t>2025</w:t>
      </w:r>
      <w:r w:rsidRPr="769B3972">
        <w:rPr>
          <w:szCs w:val="18"/>
        </w:rPr>
        <w:t xml:space="preserve"> de volgende voor deze vaste commissie</w:t>
      </w:r>
      <w:r w:rsidRPr="769B3972">
        <w:rPr>
          <w:b/>
          <w:bCs/>
          <w:szCs w:val="18"/>
        </w:rPr>
        <w:t xml:space="preserve"> </w:t>
      </w:r>
      <w:r w:rsidRPr="769B3972">
        <w:rPr>
          <w:szCs w:val="18"/>
        </w:rPr>
        <w:t>relevante voorstellen voor Europese wetgeving, besluiten en andere beleidsvormende documenten aan de Tweede Kamer gestuurd</w:t>
      </w:r>
      <w:r w:rsidRPr="769B3972">
        <w:rPr>
          <w:rStyle w:val="Voetnootmarkering"/>
          <w:szCs w:val="18"/>
        </w:rPr>
        <w:footnoteReference w:id="1"/>
      </w:r>
      <w:r w:rsidRPr="769B3972">
        <w:rPr>
          <w:szCs w:val="18"/>
        </w:rPr>
        <w:t xml:space="preserve">: </w:t>
      </w:r>
    </w:p>
    <w:p w:rsidR="00042940" w:rsidP="00065320" w:rsidRDefault="00042940" w14:paraId="6CA6B447" w14:textId="77777777">
      <w:pPr>
        <w:rPr>
          <w:szCs w:val="18"/>
        </w:rPr>
      </w:pPr>
    </w:p>
    <w:p w:rsidRPr="00901460" w:rsidR="00AA1012" w:rsidP="00AA1012" w:rsidRDefault="00AA1012" w14:paraId="015359E5"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Pr="00901460" w:rsidR="00AA1012" w:rsidP="00AA1012" w:rsidRDefault="00AA1012" w14:paraId="75AC4D27" w14:textId="77777777">
      <w:pPr>
        <w:rPr>
          <w:b/>
          <w:szCs w:val="18"/>
        </w:rPr>
      </w:pPr>
    </w:p>
    <w:tbl>
      <w:tblPr>
        <w:tblW w:w="421" w:type="dxa"/>
        <w:tblInd w:w="10" w:type="dxa"/>
        <w:tblCellMar>
          <w:left w:w="0" w:type="dxa"/>
          <w:right w:w="0" w:type="dxa"/>
        </w:tblCellMar>
        <w:tblLook w:val="04A0" w:firstRow="1" w:lastRow="0" w:firstColumn="1" w:lastColumn="0" w:noHBand="0" w:noVBand="1"/>
      </w:tblPr>
      <w:tblGrid>
        <w:gridCol w:w="421"/>
      </w:tblGrid>
      <w:tr w:rsidR="00193A2B" w:rsidTr="00193A2B" w14:paraId="25ECE352" w14:textId="77777777">
        <w:trPr>
          <w:trHeight w:val="413"/>
        </w:trPr>
        <w:tc>
          <w:tcPr>
            <w:tcW w:w="421" w:type="dxa"/>
            <w:vMerge w:val="restart"/>
            <w:vAlign w:val="center"/>
            <w:hideMark/>
          </w:tcPr>
          <w:p w:rsidRPr="006B0017" w:rsidR="00193A2B" w:rsidP="00DE6BC7" w:rsidRDefault="00193A2B" w14:paraId="6FC3E041" w14:textId="77777777">
            <w:pPr>
              <w:rPr>
                <w:rFonts w:eastAsiaTheme="minorHAnsi"/>
                <w:szCs w:val="18"/>
              </w:rPr>
            </w:pPr>
          </w:p>
        </w:tc>
      </w:tr>
      <w:tr w:rsidRPr="00872D5A" w:rsidR="00193A2B" w:rsidTr="00193A2B" w14:paraId="4EBA2466" w14:textId="77777777">
        <w:trPr>
          <w:trHeight w:val="413"/>
        </w:trPr>
        <w:tc>
          <w:tcPr>
            <w:tcW w:w="421" w:type="dxa"/>
            <w:vMerge/>
            <w:vAlign w:val="center"/>
            <w:hideMark/>
          </w:tcPr>
          <w:p w:rsidR="00193A2B" w:rsidP="00DE6BC7" w:rsidRDefault="00193A2B" w14:paraId="0BD988CC" w14:textId="77777777">
            <w:pPr>
              <w:rPr>
                <w:rFonts w:eastAsiaTheme="minorHAnsi"/>
                <w:szCs w:val="18"/>
              </w:rPr>
            </w:pPr>
          </w:p>
        </w:tc>
      </w:tr>
    </w:tbl>
    <w:p w:rsidRPr="00E02D08" w:rsidR="00042940" w:rsidP="00065320" w:rsidRDefault="00042940" w14:paraId="22161B25" w14:textId="77777777">
      <w:pPr>
        <w:rPr>
          <w:szCs w:val="18"/>
        </w:rPr>
      </w:pPr>
    </w:p>
    <w:p w:rsidRPr="006A56CA" w:rsidR="007F7AA4" w:rsidP="007F7AA4" w:rsidRDefault="007F7AA4" w14:paraId="1B04700A" w14:textId="77777777">
      <w:pPr>
        <w:pStyle w:val="Lijstalinea"/>
        <w:numPr>
          <w:ilvl w:val="0"/>
          <w:numId w:val="1"/>
        </w:numPr>
        <w:rPr>
          <w:b/>
          <w:szCs w:val="18"/>
        </w:rPr>
      </w:pPr>
      <w:r w:rsidRPr="597C7B67">
        <w:rPr>
          <w:b/>
          <w:bCs/>
        </w:rPr>
        <w:t xml:space="preserve">Nieuwe EU-documenten van niet-wetgevende aard </w:t>
      </w:r>
      <w:r>
        <w:br/>
        <w:t>(Mededelingen, aanbevelingen, actieplannen, consultaties, etc.)</w:t>
      </w:r>
    </w:p>
    <w:p w:rsidR="006A56CA" w:rsidP="006A56CA" w:rsidRDefault="006A56CA" w14:paraId="78207975" w14:textId="77777777">
      <w:pPr>
        <w:rPr>
          <w:b/>
          <w:szCs w:val="18"/>
        </w:rPr>
      </w:pPr>
    </w:p>
    <w:p w:rsidR="00193A2B" w:rsidP="00193A2B" w:rsidRDefault="00193A2B" w14:paraId="2167425A" w14:textId="77777777">
      <w:pPr>
        <w:rPr>
          <w:b/>
          <w:bCs/>
          <w:szCs w:val="18"/>
        </w:rPr>
      </w:pPr>
    </w:p>
    <w:tbl>
      <w:tblPr>
        <w:tblW w:w="0" w:type="auto"/>
        <w:tblLook w:val="04A0" w:firstRow="1" w:lastRow="0" w:firstColumn="1" w:lastColumn="0" w:noHBand="0" w:noVBand="1"/>
      </w:tblPr>
      <w:tblGrid>
        <w:gridCol w:w="421"/>
        <w:gridCol w:w="1125"/>
        <w:gridCol w:w="6387"/>
      </w:tblGrid>
      <w:tr w:rsidRPr="00E303D0" w:rsidR="00193A2B" w:rsidTr="00DE6BC7" w14:paraId="4BC63E2F" w14:textId="77777777">
        <w:trPr>
          <w:trHeight w:val="300"/>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193A2B" w:rsidP="00DE6BC7" w:rsidRDefault="00193A2B" w14:paraId="11692D06" w14:textId="77777777">
            <w:pPr>
              <w:pStyle w:val="Lijstalinea"/>
              <w:numPr>
                <w:ilvl w:val="0"/>
                <w:numId w:val="2"/>
              </w:numPr>
              <w:spacing w:after="240"/>
              <w:ind w:left="312"/>
              <w:rPr>
                <w:rFonts w:eastAsiaTheme="minorEastAsia"/>
              </w:rPr>
            </w:pPr>
          </w:p>
        </w:tc>
        <w:tc>
          <w:tcPr>
            <w:tcW w:w="1125" w:type="dxa"/>
            <w:tcBorders>
              <w:top w:val="single" w:color="D9D9D9" w:themeColor="background1" w:themeShade="D9" w:sz="8" w:space="0"/>
              <w:left w:val="nil"/>
              <w:bottom w:val="nil"/>
              <w:right w:val="nil"/>
            </w:tcBorders>
            <w:tcMar>
              <w:top w:w="0" w:type="dxa"/>
              <w:left w:w="108" w:type="dxa"/>
              <w:bottom w:w="0" w:type="dxa"/>
              <w:right w:w="108" w:type="dxa"/>
            </w:tcMar>
          </w:tcPr>
          <w:p w:rsidR="00193A2B" w:rsidP="00DE6BC7" w:rsidRDefault="00193A2B" w14:paraId="0AF0E6BF" w14:textId="77777777">
            <w:pPr>
              <w:spacing w:after="240"/>
            </w:pPr>
            <w:r w:rsidRPr="00D83E71">
              <w:t>Titel</w:t>
            </w:r>
          </w:p>
        </w:tc>
        <w:tc>
          <w:tcPr>
            <w:tcW w:w="6387"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Pr="00E303D0" w:rsidR="00193A2B" w:rsidP="00DE6BC7" w:rsidRDefault="00E303D0" w14:paraId="25C5562B" w14:textId="49E882EC">
            <w:pPr>
              <w:rPr>
                <w:rFonts w:eastAsiaTheme="minorHAnsi"/>
                <w:szCs w:val="18"/>
              </w:rPr>
            </w:pPr>
            <w:r w:rsidRPr="00E303D0">
              <w:rPr>
                <w:szCs w:val="18"/>
              </w:rPr>
              <w:t>GEZAMENLIJKE MEDEDELING AAN HET EUROPEES PARLAMENT EN DE RAAD Versterking van de economische veiligheid van de EU</w:t>
            </w:r>
            <w:r>
              <w:rPr>
                <w:szCs w:val="18"/>
              </w:rPr>
              <w:t xml:space="preserve"> </w:t>
            </w:r>
            <w:hyperlink w:history="1" r:id="rId12">
              <w:r w:rsidRPr="00E303D0" w:rsidR="002334C2">
                <w:rPr>
                  <w:rStyle w:val="Hyperlink"/>
                  <w:szCs w:val="18"/>
                </w:rPr>
                <w:t>JOIN(2025)977</w:t>
              </w:r>
            </w:hyperlink>
          </w:p>
          <w:p w:rsidRPr="00E303D0" w:rsidR="00193A2B" w:rsidP="00DE6BC7" w:rsidRDefault="00193A2B" w14:paraId="1E8768A5" w14:textId="77777777"/>
        </w:tc>
      </w:tr>
      <w:tr w:rsidR="00193A2B" w:rsidTr="00DE6BC7" w14:paraId="2F06663B" w14:textId="77777777">
        <w:trPr>
          <w:trHeight w:val="300"/>
        </w:trPr>
        <w:tc>
          <w:tcPr>
            <w:tcW w:w="421" w:type="dxa"/>
            <w:vMerge/>
          </w:tcPr>
          <w:p w:rsidRPr="00E303D0" w:rsidR="00193A2B" w:rsidP="00DE6BC7" w:rsidRDefault="00193A2B" w14:paraId="0F4C6C6A" w14:textId="77777777"/>
        </w:tc>
        <w:tc>
          <w:tcPr>
            <w:tcW w:w="1125" w:type="dxa"/>
            <w:tcMar>
              <w:top w:w="0" w:type="dxa"/>
              <w:left w:w="108" w:type="dxa"/>
              <w:bottom w:w="0" w:type="dxa"/>
              <w:right w:w="108" w:type="dxa"/>
            </w:tcMar>
          </w:tcPr>
          <w:p w:rsidR="00193A2B" w:rsidP="00DE6BC7" w:rsidRDefault="00193A2B" w14:paraId="01E7E219" w14:textId="77777777">
            <w:pPr>
              <w:spacing w:after="240"/>
            </w:pPr>
            <w:r>
              <w:t>Voorstel</w:t>
            </w:r>
          </w:p>
        </w:tc>
        <w:tc>
          <w:tcPr>
            <w:tcW w:w="6387" w:type="dxa"/>
            <w:tcBorders>
              <w:top w:val="nil"/>
              <w:left w:val="nil"/>
              <w:bottom w:val="nil"/>
              <w:right w:val="single" w:color="D9D9D9" w:themeColor="background1" w:themeShade="D9" w:sz="8" w:space="0"/>
            </w:tcBorders>
            <w:tcMar>
              <w:top w:w="0" w:type="dxa"/>
              <w:left w:w="108" w:type="dxa"/>
              <w:bottom w:w="0" w:type="dxa"/>
              <w:right w:w="108" w:type="dxa"/>
            </w:tcMar>
          </w:tcPr>
          <w:p w:rsidR="00193A2B" w:rsidP="00DE6BC7" w:rsidRDefault="00497976" w14:paraId="37D9866A" w14:textId="20B4A2B7">
            <w:pPr>
              <w:spacing w:after="240"/>
              <w:rPr>
                <w:rFonts w:eastAsia="Verdana" w:cs="Verdana"/>
              </w:rPr>
            </w:pPr>
            <w:r>
              <w:rPr>
                <w:rFonts w:eastAsia="Verdana" w:cs="Verdana"/>
              </w:rPr>
              <w:t xml:space="preserve">BNC-fiche </w:t>
            </w:r>
            <w:r w:rsidR="00603D11">
              <w:rPr>
                <w:rFonts w:eastAsia="Verdana" w:cs="Verdana"/>
              </w:rPr>
              <w:t>agenderen voor het commissiedebat voor de Informele Raad Buitenlandse Zaken Handel van 19-20 februari 2026</w:t>
            </w:r>
            <w:r w:rsidR="0093612B">
              <w:rPr>
                <w:rFonts w:eastAsia="Verdana" w:cs="Verdana"/>
              </w:rPr>
              <w:t xml:space="preserve"> en rapporteurschap Europese Economische Veiligheid voortzetten. Zie de behandelnotitie voor meer informatie. </w:t>
            </w:r>
          </w:p>
        </w:tc>
      </w:tr>
      <w:tr w:rsidR="00193A2B" w:rsidTr="00DE6BC7" w14:paraId="70F0D94F" w14:textId="77777777">
        <w:trPr>
          <w:trHeight w:val="300"/>
        </w:trPr>
        <w:tc>
          <w:tcPr>
            <w:tcW w:w="421" w:type="dxa"/>
            <w:vMerge/>
          </w:tcPr>
          <w:p w:rsidR="00193A2B" w:rsidP="00DE6BC7" w:rsidRDefault="00193A2B" w14:paraId="238CA81F" w14:textId="77777777"/>
        </w:tc>
        <w:tc>
          <w:tcPr>
            <w:tcW w:w="1125" w:type="dxa"/>
            <w:tcBorders>
              <w:top w:val="nil"/>
              <w:left w:val="nil"/>
              <w:bottom w:val="single" w:color="D9D9D9" w:themeColor="background1" w:themeShade="D9" w:sz="8" w:space="0"/>
              <w:right w:val="nil"/>
            </w:tcBorders>
            <w:tcMar>
              <w:top w:w="0" w:type="dxa"/>
              <w:left w:w="108" w:type="dxa"/>
              <w:bottom w:w="0" w:type="dxa"/>
              <w:right w:w="108" w:type="dxa"/>
            </w:tcMar>
          </w:tcPr>
          <w:p w:rsidR="00193A2B" w:rsidP="00DE6BC7" w:rsidRDefault="00193A2B" w14:paraId="661A7A10" w14:textId="77777777">
            <w:pPr>
              <w:spacing w:after="240"/>
            </w:pPr>
            <w:r>
              <w:t>Noot</w:t>
            </w:r>
          </w:p>
        </w:tc>
        <w:tc>
          <w:tcPr>
            <w:tcW w:w="6387"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EA687F" w:rsidR="00EA687F" w:rsidP="00EA687F" w:rsidRDefault="00371234" w14:paraId="60527283" w14:textId="7CDB9749">
            <w:pPr>
              <w:shd w:val="clear" w:color="auto" w:fill="FFFFFF" w:themeFill="background1"/>
              <w:rPr>
                <w:rFonts w:eastAsia="Verdana" w:cs="Verdana"/>
              </w:rPr>
            </w:pPr>
            <w:r w:rsidRPr="00371234">
              <w:rPr>
                <w:rFonts w:eastAsia="Verdana" w:cs="Verdana"/>
              </w:rPr>
              <w:t>Het betreft een gezamenlijke mededeling van de Europese Commissie en de Hoge Vertegenwoordiger voor Buitenlandse Zaken en Veiligheidsbeleid</w:t>
            </w:r>
            <w:r>
              <w:rPr>
                <w:rFonts w:eastAsia="Verdana" w:cs="Verdana"/>
              </w:rPr>
              <w:t xml:space="preserve"> </w:t>
            </w:r>
            <w:r w:rsidRPr="00371234">
              <w:rPr>
                <w:rFonts w:eastAsia="Verdana" w:cs="Verdana"/>
              </w:rPr>
              <w:t>waarin wordt uiteengezet hoe de EU haar economische veiligheid wil versterken in een snel veranderende geopolitieke context</w:t>
            </w:r>
            <w:r w:rsidR="00EA687F">
              <w:rPr>
                <w:rFonts w:eastAsia="Verdana" w:cs="Verdana"/>
              </w:rPr>
              <w:t xml:space="preserve">. </w:t>
            </w:r>
            <w:r w:rsidRPr="00EA687F" w:rsidR="00EA687F">
              <w:rPr>
                <w:rFonts w:eastAsia="Verdana" w:cs="Verdana"/>
              </w:rPr>
              <w:t>Het beschrijft waarom economische afhankelijkheden, technologische kwetsbaarheden en risico’s voor kritieke infrastructuur een groeiende bedreiging vormen, en hoe de EU hier proactief op wil reageren</w:t>
            </w:r>
            <w:r w:rsidR="00EA687F">
              <w:rPr>
                <w:rFonts w:eastAsia="Verdana" w:cs="Verdana"/>
              </w:rPr>
              <w:t xml:space="preserve">. </w:t>
            </w:r>
            <w:r w:rsidRPr="00EA687F" w:rsidR="00EA687F">
              <w:rPr>
                <w:rFonts w:eastAsia="Verdana" w:cs="Verdana"/>
              </w:rPr>
              <w:t>De mededeling introduceert een meer strategische, assertieve en gecoördineerde aanpak, benoemt zes prioritaire risicogebieden en geeft aan hoe bestaande én nieuwe beleidsinstrumenten moeten worden ingezet om de EU-economie weerbaarder, veiliger en minder afhankelijk te maken van risicovolle derde landen </w:t>
            </w:r>
          </w:p>
          <w:p w:rsidR="00193A2B" w:rsidP="00DE6BC7" w:rsidRDefault="00193A2B" w14:paraId="20C9989F" w14:textId="55FFF53D">
            <w:pPr>
              <w:shd w:val="clear" w:color="auto" w:fill="FFFFFF" w:themeFill="background1"/>
              <w:rPr>
                <w:rFonts w:eastAsia="Verdana" w:cs="Verdana"/>
              </w:rPr>
            </w:pPr>
          </w:p>
        </w:tc>
      </w:tr>
    </w:tbl>
    <w:p w:rsidRPr="00193A2B" w:rsidR="006A56CA" w:rsidP="006A56CA" w:rsidRDefault="006A56CA" w14:paraId="323E4948" w14:textId="77777777">
      <w:pPr>
        <w:rPr>
          <w:bCs/>
          <w:szCs w:val="18"/>
        </w:rPr>
      </w:pPr>
    </w:p>
    <w:p w:rsidR="007F7AA4" w:rsidP="007F7AA4" w:rsidRDefault="007F7AA4" w14:paraId="144AE4AF" w14:textId="77777777">
      <w:pPr>
        <w:rPr>
          <w:b/>
          <w:bCs/>
          <w:szCs w:val="18"/>
        </w:rPr>
      </w:pPr>
    </w:p>
    <w:tbl>
      <w:tblPr>
        <w:tblW w:w="0" w:type="auto"/>
        <w:tblLook w:val="04A0" w:firstRow="1" w:lastRow="0" w:firstColumn="1" w:lastColumn="0" w:noHBand="0" w:noVBand="1"/>
      </w:tblPr>
      <w:tblGrid>
        <w:gridCol w:w="421"/>
        <w:gridCol w:w="1125"/>
        <w:gridCol w:w="6387"/>
      </w:tblGrid>
      <w:tr w:rsidR="007F7AA4" w:rsidTr="00DE6BC7" w14:paraId="0EE442F8" w14:textId="77777777">
        <w:trPr>
          <w:trHeight w:val="300"/>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7F7AA4" w:rsidP="007F7AA4" w:rsidRDefault="007F7AA4" w14:paraId="1833D821" w14:textId="77777777">
            <w:pPr>
              <w:pStyle w:val="Lijstalinea"/>
              <w:numPr>
                <w:ilvl w:val="0"/>
                <w:numId w:val="2"/>
              </w:numPr>
              <w:spacing w:after="240"/>
              <w:ind w:left="312"/>
              <w:rPr>
                <w:rFonts w:eastAsiaTheme="minorEastAsia"/>
              </w:rPr>
            </w:pPr>
          </w:p>
        </w:tc>
        <w:tc>
          <w:tcPr>
            <w:tcW w:w="1125" w:type="dxa"/>
            <w:tcBorders>
              <w:top w:val="single" w:color="D9D9D9" w:themeColor="background1" w:themeShade="D9" w:sz="8" w:space="0"/>
              <w:left w:val="nil"/>
              <w:bottom w:val="nil"/>
              <w:right w:val="nil"/>
            </w:tcBorders>
            <w:tcMar>
              <w:top w:w="0" w:type="dxa"/>
              <w:left w:w="108" w:type="dxa"/>
              <w:bottom w:w="0" w:type="dxa"/>
              <w:right w:w="108" w:type="dxa"/>
            </w:tcMar>
          </w:tcPr>
          <w:p w:rsidR="007F7AA4" w:rsidP="00DE6BC7" w:rsidRDefault="007F7AA4" w14:paraId="17F73991" w14:textId="77777777">
            <w:pPr>
              <w:spacing w:after="240"/>
            </w:pPr>
            <w:r w:rsidRPr="00D83E71">
              <w:t>Titel</w:t>
            </w:r>
          </w:p>
        </w:tc>
        <w:tc>
          <w:tcPr>
            <w:tcW w:w="6387"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D26BDB" w:rsidP="00D26BDB" w:rsidRDefault="00D26BDB" w14:paraId="1628BDB3" w14:textId="77777777">
            <w:pPr>
              <w:rPr>
                <w:rFonts w:eastAsiaTheme="minorHAnsi"/>
                <w:szCs w:val="18"/>
              </w:rPr>
            </w:pPr>
            <w:r>
              <w:rPr>
                <w:szCs w:val="18"/>
              </w:rPr>
              <w:t xml:space="preserve">Voorstel voor een BESLUIT VAN DE RAAD betreffende het standpunt dat namens de Europese Unie moet worden ingenomen in het Associatiecomité in zijn samenstelling voor handelsvraagstukken dat is opgericht bij de Associatieovereenkomst tussen de Europese Unie en de Europese Gemeenschap voor Atoomenergie en hun lidstaten, enerzijds, en de Republiek Moldavië, anderzijds, over een besluit tot vaststelling van een lijst van personen die bereid en in staat zijn om als arbiter in geschillenbeslechtingsprocedures op te treden </w:t>
            </w:r>
            <w:hyperlink w:history="1" r:id="rId13">
              <w:r>
                <w:rPr>
                  <w:rStyle w:val="Hyperlink"/>
                  <w:szCs w:val="18"/>
                </w:rPr>
                <w:t>COM(2025)714</w:t>
              </w:r>
            </w:hyperlink>
          </w:p>
          <w:p w:rsidR="007F7AA4" w:rsidP="00DE6BC7" w:rsidRDefault="007F7AA4" w14:paraId="02681F69" w14:textId="505E25CF"/>
          <w:p w:rsidR="007F7AA4" w:rsidP="00DE6BC7" w:rsidRDefault="007F7AA4" w14:paraId="6F89A74E" w14:textId="77777777"/>
        </w:tc>
      </w:tr>
      <w:tr w:rsidR="007F7AA4" w:rsidTr="00DE6BC7" w14:paraId="4647CD95" w14:textId="77777777">
        <w:trPr>
          <w:trHeight w:val="300"/>
        </w:trPr>
        <w:tc>
          <w:tcPr>
            <w:tcW w:w="421" w:type="dxa"/>
            <w:vMerge/>
          </w:tcPr>
          <w:p w:rsidR="007F7AA4" w:rsidP="00DE6BC7" w:rsidRDefault="007F7AA4" w14:paraId="65E9D039" w14:textId="77777777"/>
        </w:tc>
        <w:tc>
          <w:tcPr>
            <w:tcW w:w="1125" w:type="dxa"/>
            <w:tcMar>
              <w:top w:w="0" w:type="dxa"/>
              <w:left w:w="108" w:type="dxa"/>
              <w:bottom w:w="0" w:type="dxa"/>
              <w:right w:w="108" w:type="dxa"/>
            </w:tcMar>
          </w:tcPr>
          <w:p w:rsidR="007F7AA4" w:rsidP="00DE6BC7" w:rsidRDefault="007F7AA4" w14:paraId="55E61A62" w14:textId="77777777">
            <w:pPr>
              <w:spacing w:after="240"/>
            </w:pPr>
            <w:r>
              <w:t>Voorstel</w:t>
            </w:r>
          </w:p>
        </w:tc>
        <w:tc>
          <w:tcPr>
            <w:tcW w:w="6387" w:type="dxa"/>
            <w:tcBorders>
              <w:top w:val="nil"/>
              <w:left w:val="nil"/>
              <w:bottom w:val="nil"/>
              <w:right w:val="single" w:color="D9D9D9" w:themeColor="background1" w:themeShade="D9" w:sz="8" w:space="0"/>
            </w:tcBorders>
            <w:tcMar>
              <w:top w:w="0" w:type="dxa"/>
              <w:left w:w="108" w:type="dxa"/>
              <w:bottom w:w="0" w:type="dxa"/>
              <w:right w:w="108" w:type="dxa"/>
            </w:tcMar>
          </w:tcPr>
          <w:p w:rsidR="007F7AA4" w:rsidP="00DE6BC7" w:rsidRDefault="007F7AA4" w14:paraId="778F0F38" w14:textId="77777777">
            <w:pPr>
              <w:spacing w:after="240"/>
              <w:rPr>
                <w:rFonts w:eastAsia="Verdana" w:cs="Verdana"/>
              </w:rPr>
            </w:pPr>
            <w:r>
              <w:rPr>
                <w:rFonts w:eastAsia="Verdana" w:cs="Verdana"/>
              </w:rPr>
              <w:t>Ter informatie</w:t>
            </w:r>
          </w:p>
        </w:tc>
      </w:tr>
      <w:tr w:rsidR="007F7AA4" w:rsidTr="00DE6BC7" w14:paraId="725DB96C" w14:textId="77777777">
        <w:trPr>
          <w:trHeight w:val="300"/>
        </w:trPr>
        <w:tc>
          <w:tcPr>
            <w:tcW w:w="421" w:type="dxa"/>
            <w:vMerge/>
          </w:tcPr>
          <w:p w:rsidR="007F7AA4" w:rsidP="00DE6BC7" w:rsidRDefault="007F7AA4" w14:paraId="4BA698E2" w14:textId="77777777"/>
        </w:tc>
        <w:tc>
          <w:tcPr>
            <w:tcW w:w="1125" w:type="dxa"/>
            <w:tcBorders>
              <w:top w:val="nil"/>
              <w:left w:val="nil"/>
              <w:bottom w:val="single" w:color="D9D9D9" w:themeColor="background1" w:themeShade="D9" w:sz="8" w:space="0"/>
              <w:right w:val="nil"/>
            </w:tcBorders>
            <w:tcMar>
              <w:top w:w="0" w:type="dxa"/>
              <w:left w:w="108" w:type="dxa"/>
              <w:bottom w:w="0" w:type="dxa"/>
              <w:right w:w="108" w:type="dxa"/>
            </w:tcMar>
          </w:tcPr>
          <w:p w:rsidR="007F7AA4" w:rsidP="00DE6BC7" w:rsidRDefault="007F7AA4" w14:paraId="5143E214" w14:textId="77777777">
            <w:pPr>
              <w:spacing w:after="240"/>
            </w:pPr>
            <w:r>
              <w:t>Noot</w:t>
            </w:r>
          </w:p>
        </w:tc>
        <w:tc>
          <w:tcPr>
            <w:tcW w:w="6387"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7F7AA4" w:rsidP="005933E1" w:rsidRDefault="00AD7A8E" w14:paraId="12B98631" w14:textId="248BB183">
            <w:pPr>
              <w:shd w:val="clear" w:color="auto" w:fill="FFFFFF" w:themeFill="background1"/>
              <w:rPr>
                <w:rFonts w:eastAsia="Verdana" w:cs="Verdana"/>
              </w:rPr>
            </w:pPr>
            <w:r w:rsidRPr="00AD7A8E">
              <w:rPr>
                <w:rFonts w:eastAsia="Verdana" w:cs="Verdana"/>
              </w:rPr>
              <w:t xml:space="preserve">Dit </w:t>
            </w:r>
            <w:r>
              <w:rPr>
                <w:rFonts w:eastAsia="Verdana" w:cs="Verdana"/>
              </w:rPr>
              <w:t xml:space="preserve">betreft een </w:t>
            </w:r>
            <w:r w:rsidRPr="00AD7A8E">
              <w:rPr>
                <w:rFonts w:eastAsia="Verdana" w:cs="Verdana"/>
              </w:rPr>
              <w:t>voorstel van de Europese Commissie voor een raadsbesluit waarin wordt vastgelegd welk standpunt de Europese Unie moet innemen in het Associatiecomité EU–Moldavië voor handelsvraagstukken. Concreet gaat het om de goedkeuring van een gezamenlijke lijst van personen die kunnen optreden als arbiter bij geschillenbeslechtingsprocedures onder de Associatieovereenkomst, die de handelsrelatie en vrijhandelsafspraken tussen de EU en Moldavië regelt. Het besluit is nodig om deze lijst formeel vast te stellen en daarmee het functioneren van het geschillenbeslechtingsmechanisme mogelijk te maken</w:t>
            </w:r>
            <w:r w:rsidR="005933E1">
              <w:rPr>
                <w:rFonts w:eastAsia="Verdana" w:cs="Verdana"/>
              </w:rPr>
              <w:t>.</w:t>
            </w:r>
          </w:p>
        </w:tc>
      </w:tr>
    </w:tbl>
    <w:p w:rsidR="00D26BDB" w:rsidRDefault="00D26BDB" w14:paraId="3D4D2006" w14:textId="77777777"/>
    <w:p w:rsidR="00D26BDB" w:rsidRDefault="00D26BDB" w14:paraId="6D9A7BE3" w14:textId="77777777"/>
    <w:tbl>
      <w:tblPr>
        <w:tblW w:w="0" w:type="auto"/>
        <w:tblLook w:val="04A0" w:firstRow="1" w:lastRow="0" w:firstColumn="1" w:lastColumn="0" w:noHBand="0" w:noVBand="1"/>
      </w:tblPr>
      <w:tblGrid>
        <w:gridCol w:w="421"/>
        <w:gridCol w:w="1125"/>
        <w:gridCol w:w="6387"/>
      </w:tblGrid>
      <w:tr w:rsidR="00D26BDB" w:rsidTr="00DE6BC7" w14:paraId="2D339283" w14:textId="77777777">
        <w:trPr>
          <w:trHeight w:val="300"/>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D26BDB" w:rsidP="00DE6BC7" w:rsidRDefault="00D26BDB" w14:paraId="30C33467" w14:textId="77777777">
            <w:pPr>
              <w:pStyle w:val="Lijstalinea"/>
              <w:numPr>
                <w:ilvl w:val="0"/>
                <w:numId w:val="2"/>
              </w:numPr>
              <w:spacing w:after="240"/>
              <w:ind w:left="312"/>
              <w:rPr>
                <w:rFonts w:eastAsiaTheme="minorEastAsia"/>
              </w:rPr>
            </w:pPr>
          </w:p>
        </w:tc>
        <w:tc>
          <w:tcPr>
            <w:tcW w:w="1125" w:type="dxa"/>
            <w:tcBorders>
              <w:top w:val="single" w:color="D9D9D9" w:themeColor="background1" w:themeShade="D9" w:sz="8" w:space="0"/>
              <w:left w:val="nil"/>
              <w:bottom w:val="nil"/>
              <w:right w:val="nil"/>
            </w:tcBorders>
            <w:tcMar>
              <w:top w:w="0" w:type="dxa"/>
              <w:left w:w="108" w:type="dxa"/>
              <w:bottom w:w="0" w:type="dxa"/>
              <w:right w:w="108" w:type="dxa"/>
            </w:tcMar>
          </w:tcPr>
          <w:p w:rsidR="00D26BDB" w:rsidP="00DE6BC7" w:rsidRDefault="00D26BDB" w14:paraId="4BBE2B02" w14:textId="77777777">
            <w:pPr>
              <w:spacing w:after="240"/>
            </w:pPr>
            <w:r w:rsidRPr="00D83E71">
              <w:t>Titel</w:t>
            </w:r>
          </w:p>
        </w:tc>
        <w:tc>
          <w:tcPr>
            <w:tcW w:w="6387"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D26BDB" w:rsidP="00DE6BC7" w:rsidRDefault="005635F4" w14:paraId="578D66F9" w14:textId="1E6312F5">
            <w:r w:rsidRPr="005635F4">
              <w:t xml:space="preserve">VERSLAG VAN DE COMMISSIE AAN HET EUROPEES PARLEMENT, DE RAAD, HET EUROPEES ECONOMISCH EN SOCIAAL COMITÉ EN HET COMITÉ VAN DE REGIO'S Evaluatie van de richtlijn oneerlijke handelspraktijken </w:t>
            </w:r>
            <w:hyperlink w:history="1" r:id="rId14">
              <w:r w:rsidRPr="005635F4">
                <w:rPr>
                  <w:rStyle w:val="Hyperlink"/>
                </w:rPr>
                <w:t>COM(2025)728</w:t>
              </w:r>
            </w:hyperlink>
          </w:p>
          <w:p w:rsidR="00D26BDB" w:rsidP="00DE6BC7" w:rsidRDefault="00D26BDB" w14:paraId="66B447CE" w14:textId="77777777"/>
        </w:tc>
      </w:tr>
      <w:tr w:rsidR="00D26BDB" w:rsidTr="00DE6BC7" w14:paraId="65E3FCFF" w14:textId="77777777">
        <w:trPr>
          <w:trHeight w:val="300"/>
        </w:trPr>
        <w:tc>
          <w:tcPr>
            <w:tcW w:w="421" w:type="dxa"/>
            <w:vMerge/>
          </w:tcPr>
          <w:p w:rsidR="00D26BDB" w:rsidP="00DE6BC7" w:rsidRDefault="00D26BDB" w14:paraId="2E887BEA" w14:textId="77777777"/>
        </w:tc>
        <w:tc>
          <w:tcPr>
            <w:tcW w:w="1125" w:type="dxa"/>
            <w:tcMar>
              <w:top w:w="0" w:type="dxa"/>
              <w:left w:w="108" w:type="dxa"/>
              <w:bottom w:w="0" w:type="dxa"/>
              <w:right w:w="108" w:type="dxa"/>
            </w:tcMar>
          </w:tcPr>
          <w:p w:rsidR="00D26BDB" w:rsidP="00DE6BC7" w:rsidRDefault="00D26BDB" w14:paraId="45068F0F" w14:textId="77777777">
            <w:pPr>
              <w:spacing w:after="240"/>
            </w:pPr>
            <w:r>
              <w:t>Voorstel</w:t>
            </w:r>
          </w:p>
        </w:tc>
        <w:tc>
          <w:tcPr>
            <w:tcW w:w="6387" w:type="dxa"/>
            <w:tcBorders>
              <w:top w:val="nil"/>
              <w:left w:val="nil"/>
              <w:bottom w:val="nil"/>
              <w:right w:val="single" w:color="D9D9D9" w:themeColor="background1" w:themeShade="D9" w:sz="8" w:space="0"/>
            </w:tcBorders>
            <w:tcMar>
              <w:top w:w="0" w:type="dxa"/>
              <w:left w:w="108" w:type="dxa"/>
              <w:bottom w:w="0" w:type="dxa"/>
              <w:right w:w="108" w:type="dxa"/>
            </w:tcMar>
          </w:tcPr>
          <w:p w:rsidR="00D26BDB" w:rsidP="00DE6BC7" w:rsidRDefault="00D26BDB" w14:paraId="27AAFE21" w14:textId="77777777">
            <w:pPr>
              <w:spacing w:after="240"/>
              <w:rPr>
                <w:rFonts w:eastAsia="Verdana" w:cs="Verdana"/>
              </w:rPr>
            </w:pPr>
            <w:r>
              <w:rPr>
                <w:rFonts w:eastAsia="Verdana" w:cs="Verdana"/>
              </w:rPr>
              <w:t>Ter informatie</w:t>
            </w:r>
          </w:p>
        </w:tc>
      </w:tr>
      <w:tr w:rsidR="00D26BDB" w:rsidTr="00AA7450" w14:paraId="648C2810" w14:textId="77777777">
        <w:trPr>
          <w:trHeight w:val="60"/>
        </w:trPr>
        <w:tc>
          <w:tcPr>
            <w:tcW w:w="421" w:type="dxa"/>
            <w:vMerge/>
          </w:tcPr>
          <w:p w:rsidR="00D26BDB" w:rsidP="00DE6BC7" w:rsidRDefault="00D26BDB" w14:paraId="766DA7A3" w14:textId="77777777"/>
        </w:tc>
        <w:tc>
          <w:tcPr>
            <w:tcW w:w="1125" w:type="dxa"/>
            <w:tcBorders>
              <w:top w:val="nil"/>
              <w:left w:val="nil"/>
              <w:bottom w:val="single" w:color="D9D9D9" w:themeColor="background1" w:themeShade="D9" w:sz="8" w:space="0"/>
              <w:right w:val="nil"/>
            </w:tcBorders>
            <w:tcMar>
              <w:top w:w="0" w:type="dxa"/>
              <w:left w:w="108" w:type="dxa"/>
              <w:bottom w:w="0" w:type="dxa"/>
              <w:right w:w="108" w:type="dxa"/>
            </w:tcMar>
          </w:tcPr>
          <w:p w:rsidR="00D26BDB" w:rsidP="00DE6BC7" w:rsidRDefault="00D26BDB" w14:paraId="67C512B8" w14:textId="77777777">
            <w:pPr>
              <w:spacing w:after="240"/>
            </w:pPr>
            <w:r>
              <w:t>Noot</w:t>
            </w:r>
          </w:p>
        </w:tc>
        <w:tc>
          <w:tcPr>
            <w:tcW w:w="6387"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D26BDB" w:rsidP="00DE6BC7" w:rsidRDefault="00BE0645" w14:paraId="0E6C1C73" w14:textId="021E3E72">
            <w:pPr>
              <w:shd w:val="clear" w:color="auto" w:fill="FFFFFF" w:themeFill="background1"/>
              <w:rPr>
                <w:rFonts w:eastAsia="Verdana" w:cs="Verdana"/>
              </w:rPr>
            </w:pPr>
            <w:r w:rsidRPr="00BE0645">
              <w:rPr>
                <w:rFonts w:eastAsia="Verdana" w:cs="Verdana"/>
              </w:rPr>
              <w:t xml:space="preserve">Dit </w:t>
            </w:r>
            <w:r>
              <w:rPr>
                <w:rFonts w:eastAsia="Verdana" w:cs="Verdana"/>
              </w:rPr>
              <w:t xml:space="preserve">betreft een </w:t>
            </w:r>
            <w:r w:rsidRPr="00BE0645">
              <w:rPr>
                <w:rFonts w:eastAsia="Verdana" w:cs="Verdana"/>
              </w:rPr>
              <w:t>evaluatieverslag van de Europese Commissie over de werking van de richtlijn oneerlijke handelspraktijken in de landbouw- en voedselvoorzieningsketen. Het beoordeelt in hoeverre de richtlijn landbouwers en kleine leveranciers beschermt tegen misbruik door sterkere afnemers, concludeert dat er eerste positieve effecten zijn (zoals minder late betalingen en meer handhaving), maar dat het bewustzijn, het aantal klachten en de toepassing tussen lidstaten sterk uiteenlopen. Het verslag dient als basis voor mogelijke toekomstige aanpassingen van de richtlijn om de positie van landbouwers verder te versterken</w:t>
            </w:r>
          </w:p>
        </w:tc>
      </w:tr>
    </w:tbl>
    <w:p w:rsidR="00D26BDB" w:rsidRDefault="00D26BDB" w14:paraId="5634558F" w14:textId="77777777"/>
    <w:p w:rsidR="00AA7450" w:rsidRDefault="00AA7450" w14:paraId="56814A76" w14:textId="77777777"/>
    <w:p w:rsidR="00AA7450" w:rsidRDefault="00AA7450" w14:paraId="124F7688" w14:textId="77777777"/>
    <w:p w:rsidR="00AA7450" w:rsidRDefault="00AA7450" w14:paraId="76EE3444" w14:textId="77777777"/>
    <w:p w:rsidR="00AA7450" w:rsidRDefault="00AA7450" w14:paraId="6C3564E4" w14:textId="77777777"/>
    <w:tbl>
      <w:tblPr>
        <w:tblW w:w="0" w:type="auto"/>
        <w:tblLook w:val="04A0" w:firstRow="1" w:lastRow="0" w:firstColumn="1" w:lastColumn="0" w:noHBand="0" w:noVBand="1"/>
      </w:tblPr>
      <w:tblGrid>
        <w:gridCol w:w="421"/>
        <w:gridCol w:w="1125"/>
        <w:gridCol w:w="6387"/>
      </w:tblGrid>
      <w:tr w:rsidR="00AA7450" w:rsidTr="00DE6BC7" w14:paraId="42BAD632" w14:textId="77777777">
        <w:trPr>
          <w:trHeight w:val="300"/>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AA7450" w:rsidP="00DE6BC7" w:rsidRDefault="00AA7450" w14:paraId="1B321D0E" w14:textId="77777777">
            <w:pPr>
              <w:pStyle w:val="Lijstalinea"/>
              <w:numPr>
                <w:ilvl w:val="0"/>
                <w:numId w:val="2"/>
              </w:numPr>
              <w:spacing w:after="240"/>
              <w:ind w:left="312"/>
              <w:rPr>
                <w:rFonts w:eastAsiaTheme="minorEastAsia"/>
              </w:rPr>
            </w:pPr>
          </w:p>
        </w:tc>
        <w:tc>
          <w:tcPr>
            <w:tcW w:w="1125" w:type="dxa"/>
            <w:tcBorders>
              <w:top w:val="single" w:color="D9D9D9" w:themeColor="background1" w:themeShade="D9" w:sz="8" w:space="0"/>
              <w:left w:val="nil"/>
              <w:bottom w:val="nil"/>
              <w:right w:val="nil"/>
            </w:tcBorders>
            <w:tcMar>
              <w:top w:w="0" w:type="dxa"/>
              <w:left w:w="108" w:type="dxa"/>
              <w:bottom w:w="0" w:type="dxa"/>
              <w:right w:w="108" w:type="dxa"/>
            </w:tcMar>
          </w:tcPr>
          <w:p w:rsidR="00AA7450" w:rsidP="00DE6BC7" w:rsidRDefault="00AA7450" w14:paraId="6C9166F1" w14:textId="77777777">
            <w:pPr>
              <w:spacing w:after="240"/>
            </w:pPr>
            <w:r w:rsidRPr="00D83E71">
              <w:t>Titel</w:t>
            </w:r>
          </w:p>
        </w:tc>
        <w:tc>
          <w:tcPr>
            <w:tcW w:w="6387"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Pr="00422AEA" w:rsidR="00422AEA" w:rsidP="00422AEA" w:rsidRDefault="00422AEA" w14:paraId="05C1A8C2" w14:textId="77777777">
            <w:r w:rsidRPr="00422AEA">
              <w:t>VERSLAG VAN DE COMMISSIE AAN HET EUROPEES PARLEMENT EN DE RAAD over de door de Commissie gevoerde onderhandelingen over exportkredieten in de zin van Verordening (EU) nr. 1233/2011</w:t>
            </w:r>
          </w:p>
          <w:p w:rsidR="00AA7450" w:rsidP="00422AEA" w:rsidRDefault="00422AEA" w14:paraId="20791193" w14:textId="77777777">
            <w:hyperlink w:history="1" r:id="rId15">
              <w:r w:rsidRPr="00422AEA">
                <w:rPr>
                  <w:rStyle w:val="Hyperlink"/>
                </w:rPr>
                <w:t>COM(202</w:t>
              </w:r>
              <w:r w:rsidRPr="00422AEA">
                <w:rPr>
                  <w:rStyle w:val="Hyperlink"/>
                </w:rPr>
                <w:t>5</w:t>
              </w:r>
              <w:r w:rsidRPr="00422AEA">
                <w:rPr>
                  <w:rStyle w:val="Hyperlink"/>
                </w:rPr>
                <w:t>)688</w:t>
              </w:r>
            </w:hyperlink>
          </w:p>
          <w:p w:rsidR="00422AEA" w:rsidP="00422AEA" w:rsidRDefault="00422AEA" w14:paraId="765C01B8" w14:textId="7173BE84"/>
        </w:tc>
      </w:tr>
      <w:tr w:rsidR="00AA7450" w:rsidTr="00DE6BC7" w14:paraId="10DD7EAD" w14:textId="77777777">
        <w:trPr>
          <w:trHeight w:val="300"/>
        </w:trPr>
        <w:tc>
          <w:tcPr>
            <w:tcW w:w="421" w:type="dxa"/>
            <w:vMerge/>
          </w:tcPr>
          <w:p w:rsidR="00AA7450" w:rsidP="00DE6BC7" w:rsidRDefault="00AA7450" w14:paraId="14B81ACD" w14:textId="77777777"/>
        </w:tc>
        <w:tc>
          <w:tcPr>
            <w:tcW w:w="1125" w:type="dxa"/>
            <w:tcMar>
              <w:top w:w="0" w:type="dxa"/>
              <w:left w:w="108" w:type="dxa"/>
              <w:bottom w:w="0" w:type="dxa"/>
              <w:right w:w="108" w:type="dxa"/>
            </w:tcMar>
          </w:tcPr>
          <w:p w:rsidR="00AA7450" w:rsidP="00DE6BC7" w:rsidRDefault="00AA7450" w14:paraId="75E8EDC1" w14:textId="77777777">
            <w:pPr>
              <w:spacing w:after="240"/>
            </w:pPr>
            <w:r>
              <w:t>Voorstel</w:t>
            </w:r>
          </w:p>
        </w:tc>
        <w:tc>
          <w:tcPr>
            <w:tcW w:w="6387" w:type="dxa"/>
            <w:tcBorders>
              <w:top w:val="nil"/>
              <w:left w:val="nil"/>
              <w:bottom w:val="nil"/>
              <w:right w:val="single" w:color="D9D9D9" w:themeColor="background1" w:themeShade="D9" w:sz="8" w:space="0"/>
            </w:tcBorders>
            <w:tcMar>
              <w:top w:w="0" w:type="dxa"/>
              <w:left w:w="108" w:type="dxa"/>
              <w:bottom w:w="0" w:type="dxa"/>
              <w:right w:w="108" w:type="dxa"/>
            </w:tcMar>
          </w:tcPr>
          <w:p w:rsidR="00AA7450" w:rsidP="00DE6BC7" w:rsidRDefault="00AA7450" w14:paraId="03F609AA" w14:textId="77777777">
            <w:pPr>
              <w:spacing w:after="240"/>
              <w:rPr>
                <w:rFonts w:eastAsia="Verdana" w:cs="Verdana"/>
              </w:rPr>
            </w:pPr>
            <w:r>
              <w:rPr>
                <w:rFonts w:eastAsia="Verdana" w:cs="Verdana"/>
              </w:rPr>
              <w:t>Ter informatie</w:t>
            </w:r>
          </w:p>
        </w:tc>
      </w:tr>
      <w:tr w:rsidR="00AA7450" w:rsidTr="00DE6BC7" w14:paraId="4FE05D16" w14:textId="77777777">
        <w:trPr>
          <w:trHeight w:val="60"/>
        </w:trPr>
        <w:tc>
          <w:tcPr>
            <w:tcW w:w="421" w:type="dxa"/>
            <w:vMerge/>
          </w:tcPr>
          <w:p w:rsidR="00AA7450" w:rsidP="00DE6BC7" w:rsidRDefault="00AA7450" w14:paraId="1C516401" w14:textId="77777777"/>
        </w:tc>
        <w:tc>
          <w:tcPr>
            <w:tcW w:w="1125" w:type="dxa"/>
            <w:tcBorders>
              <w:top w:val="nil"/>
              <w:left w:val="nil"/>
              <w:bottom w:val="single" w:color="D9D9D9" w:themeColor="background1" w:themeShade="D9" w:sz="8" w:space="0"/>
              <w:right w:val="nil"/>
            </w:tcBorders>
            <w:tcMar>
              <w:top w:w="0" w:type="dxa"/>
              <w:left w:w="108" w:type="dxa"/>
              <w:bottom w:w="0" w:type="dxa"/>
              <w:right w:w="108" w:type="dxa"/>
            </w:tcMar>
          </w:tcPr>
          <w:p w:rsidR="00AA7450" w:rsidP="00DE6BC7" w:rsidRDefault="00AA7450" w14:paraId="797633D5" w14:textId="77777777">
            <w:pPr>
              <w:spacing w:after="240"/>
            </w:pPr>
            <w:r>
              <w:t>Noot</w:t>
            </w:r>
          </w:p>
        </w:tc>
        <w:tc>
          <w:tcPr>
            <w:tcW w:w="6387"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AA7450" w:rsidP="00DE6BC7" w:rsidRDefault="002D28D7" w14:paraId="46AF586E" w14:textId="323ACCCC">
            <w:pPr>
              <w:shd w:val="clear" w:color="auto" w:fill="FFFFFF" w:themeFill="background1"/>
              <w:rPr>
                <w:rFonts w:eastAsia="Verdana" w:cs="Verdana"/>
              </w:rPr>
            </w:pPr>
            <w:r w:rsidRPr="002D28D7">
              <w:rPr>
                <w:rFonts w:eastAsia="Verdana" w:cs="Verdana"/>
              </w:rPr>
              <w:t xml:space="preserve">Dit </w:t>
            </w:r>
            <w:r>
              <w:rPr>
                <w:rFonts w:eastAsia="Verdana" w:cs="Verdana"/>
              </w:rPr>
              <w:t xml:space="preserve">betreft </w:t>
            </w:r>
            <w:r w:rsidRPr="002D28D7">
              <w:rPr>
                <w:rFonts w:eastAsia="Verdana" w:cs="Verdana"/>
              </w:rPr>
              <w:t>een verslag van de Europese Commissie aan het Europees Parlement en de Raad over de onderhandelingen die zij in 2024 heeft gevoerd over door de overheid gesteunde exportkredieten in het kader van de OESO-regeling. Het beschrijft de belangrijkste ontwikkelingen, zoals pogingen om steun voor fossiele-energieprojecten verder te beperken, discussies over soepelere financieringsvoorwaarden voor ontwikkelingslanden en sociale infrastructuur, en herzieningen van sectorspecifieke afspraken voor onder meer klimaat, scheepsbouw en luchtvaart. Het verslag geeft daarmee inzicht in hoe de EU internationaal inzet op modernisering, verduurzaming en een gelijk speelveld in exportkredietregels</w:t>
            </w:r>
          </w:p>
        </w:tc>
      </w:tr>
    </w:tbl>
    <w:p w:rsidR="00AA7450" w:rsidRDefault="00AA7450" w14:paraId="73AEFD23" w14:textId="77777777"/>
    <w:p w:rsidR="00AA7450" w:rsidRDefault="00AA7450" w14:paraId="13715D87" w14:textId="77777777"/>
    <w:p w:rsidR="00AA7450" w:rsidRDefault="00AA7450" w14:paraId="360FCD35" w14:textId="77777777"/>
    <w:p w:rsidR="00AA7450" w:rsidRDefault="00AA7450" w14:paraId="1747A0FB" w14:textId="77777777"/>
    <w:tbl>
      <w:tblPr>
        <w:tblW w:w="0" w:type="auto"/>
        <w:tblLook w:val="04A0" w:firstRow="1" w:lastRow="0" w:firstColumn="1" w:lastColumn="0" w:noHBand="0" w:noVBand="1"/>
      </w:tblPr>
      <w:tblGrid>
        <w:gridCol w:w="421"/>
        <w:gridCol w:w="1125"/>
        <w:gridCol w:w="6387"/>
      </w:tblGrid>
      <w:tr w:rsidR="00AA7450" w:rsidTr="00DE6BC7" w14:paraId="774C33C3" w14:textId="77777777">
        <w:trPr>
          <w:trHeight w:val="300"/>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AA7450" w:rsidP="00DE6BC7" w:rsidRDefault="00AA7450" w14:paraId="41A0BAE9" w14:textId="77777777">
            <w:pPr>
              <w:pStyle w:val="Lijstalinea"/>
              <w:numPr>
                <w:ilvl w:val="0"/>
                <w:numId w:val="2"/>
              </w:numPr>
              <w:spacing w:after="240"/>
              <w:ind w:left="312"/>
              <w:rPr>
                <w:rFonts w:eastAsiaTheme="minorEastAsia"/>
              </w:rPr>
            </w:pPr>
          </w:p>
        </w:tc>
        <w:tc>
          <w:tcPr>
            <w:tcW w:w="1125" w:type="dxa"/>
            <w:tcBorders>
              <w:top w:val="single" w:color="D9D9D9" w:themeColor="background1" w:themeShade="D9" w:sz="8" w:space="0"/>
              <w:left w:val="nil"/>
              <w:bottom w:val="nil"/>
              <w:right w:val="nil"/>
            </w:tcBorders>
            <w:tcMar>
              <w:top w:w="0" w:type="dxa"/>
              <w:left w:w="108" w:type="dxa"/>
              <w:bottom w:w="0" w:type="dxa"/>
              <w:right w:w="108" w:type="dxa"/>
            </w:tcMar>
          </w:tcPr>
          <w:p w:rsidR="00AA7450" w:rsidP="00DE6BC7" w:rsidRDefault="00AA7450" w14:paraId="4E2F652B" w14:textId="77777777">
            <w:pPr>
              <w:spacing w:after="240"/>
            </w:pPr>
            <w:r w:rsidRPr="00D83E71">
              <w:t>Titel</w:t>
            </w:r>
          </w:p>
        </w:tc>
        <w:tc>
          <w:tcPr>
            <w:tcW w:w="6387"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AA7450" w:rsidP="00AA7450" w:rsidRDefault="00422AEA" w14:paraId="098C3D5A" w14:textId="77777777">
            <w:r w:rsidRPr="00422AEA">
              <w:t xml:space="preserve">JAARLIJKSE EVALUATIE DOOR DE COMMISSIE van de jaarlijkse activiteitenverslagen van de lidstaten inzake exportkredieten in de zin van Verordening (EU) nr. 1233/2011 </w:t>
            </w:r>
            <w:hyperlink w:history="1" r:id="rId16">
              <w:r w:rsidRPr="00422AEA">
                <w:rPr>
                  <w:rStyle w:val="Hyperlink"/>
                </w:rPr>
                <w:t>COM(202</w:t>
              </w:r>
              <w:r w:rsidRPr="00422AEA">
                <w:rPr>
                  <w:rStyle w:val="Hyperlink"/>
                </w:rPr>
                <w:t>5</w:t>
              </w:r>
              <w:r w:rsidRPr="00422AEA">
                <w:rPr>
                  <w:rStyle w:val="Hyperlink"/>
                </w:rPr>
                <w:t>)737</w:t>
              </w:r>
            </w:hyperlink>
          </w:p>
          <w:p w:rsidR="00422AEA" w:rsidP="00AA7450" w:rsidRDefault="00422AEA" w14:paraId="0C4612CF" w14:textId="3995D2F9"/>
        </w:tc>
      </w:tr>
      <w:tr w:rsidR="00AA7450" w:rsidTr="00DE6BC7" w14:paraId="5FC95865" w14:textId="77777777">
        <w:trPr>
          <w:trHeight w:val="300"/>
        </w:trPr>
        <w:tc>
          <w:tcPr>
            <w:tcW w:w="421" w:type="dxa"/>
            <w:vMerge/>
          </w:tcPr>
          <w:p w:rsidR="00AA7450" w:rsidP="00DE6BC7" w:rsidRDefault="00AA7450" w14:paraId="416AB241" w14:textId="77777777"/>
        </w:tc>
        <w:tc>
          <w:tcPr>
            <w:tcW w:w="1125" w:type="dxa"/>
            <w:tcMar>
              <w:top w:w="0" w:type="dxa"/>
              <w:left w:w="108" w:type="dxa"/>
              <w:bottom w:w="0" w:type="dxa"/>
              <w:right w:w="108" w:type="dxa"/>
            </w:tcMar>
          </w:tcPr>
          <w:p w:rsidR="00AA7450" w:rsidP="00DE6BC7" w:rsidRDefault="00AA7450" w14:paraId="35454F8A" w14:textId="77777777">
            <w:pPr>
              <w:spacing w:after="240"/>
            </w:pPr>
            <w:r>
              <w:t>Voorstel</w:t>
            </w:r>
          </w:p>
        </w:tc>
        <w:tc>
          <w:tcPr>
            <w:tcW w:w="6387" w:type="dxa"/>
            <w:tcBorders>
              <w:top w:val="nil"/>
              <w:left w:val="nil"/>
              <w:bottom w:val="nil"/>
              <w:right w:val="single" w:color="D9D9D9" w:themeColor="background1" w:themeShade="D9" w:sz="8" w:space="0"/>
            </w:tcBorders>
            <w:tcMar>
              <w:top w:w="0" w:type="dxa"/>
              <w:left w:w="108" w:type="dxa"/>
              <w:bottom w:w="0" w:type="dxa"/>
              <w:right w:w="108" w:type="dxa"/>
            </w:tcMar>
          </w:tcPr>
          <w:p w:rsidR="00AA7450" w:rsidP="00DE6BC7" w:rsidRDefault="00AA7450" w14:paraId="3F093880" w14:textId="77777777">
            <w:pPr>
              <w:spacing w:after="240"/>
              <w:rPr>
                <w:rFonts w:eastAsia="Verdana" w:cs="Verdana"/>
              </w:rPr>
            </w:pPr>
            <w:r>
              <w:rPr>
                <w:rFonts w:eastAsia="Verdana" w:cs="Verdana"/>
              </w:rPr>
              <w:t>Ter informatie</w:t>
            </w:r>
          </w:p>
        </w:tc>
      </w:tr>
      <w:tr w:rsidR="00AA7450" w:rsidTr="00DE6BC7" w14:paraId="7945C99C" w14:textId="77777777">
        <w:trPr>
          <w:trHeight w:val="60"/>
        </w:trPr>
        <w:tc>
          <w:tcPr>
            <w:tcW w:w="421" w:type="dxa"/>
            <w:vMerge/>
          </w:tcPr>
          <w:p w:rsidR="00AA7450" w:rsidP="00DE6BC7" w:rsidRDefault="00AA7450" w14:paraId="4A5108FC" w14:textId="77777777"/>
        </w:tc>
        <w:tc>
          <w:tcPr>
            <w:tcW w:w="1125" w:type="dxa"/>
            <w:tcBorders>
              <w:top w:val="nil"/>
              <w:left w:val="nil"/>
              <w:bottom w:val="single" w:color="D9D9D9" w:themeColor="background1" w:themeShade="D9" w:sz="8" w:space="0"/>
              <w:right w:val="nil"/>
            </w:tcBorders>
            <w:tcMar>
              <w:top w:w="0" w:type="dxa"/>
              <w:left w:w="108" w:type="dxa"/>
              <w:bottom w:w="0" w:type="dxa"/>
              <w:right w:w="108" w:type="dxa"/>
            </w:tcMar>
          </w:tcPr>
          <w:p w:rsidR="00AA7450" w:rsidP="00DE6BC7" w:rsidRDefault="00AA7450" w14:paraId="21D293C6" w14:textId="77777777">
            <w:pPr>
              <w:spacing w:after="240"/>
            </w:pPr>
            <w:r>
              <w:t>Noot</w:t>
            </w:r>
          </w:p>
        </w:tc>
        <w:tc>
          <w:tcPr>
            <w:tcW w:w="6387"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00AA7450" w:rsidP="00DE6BC7" w:rsidRDefault="006E08A2" w14:paraId="267BDFCF" w14:textId="67116D17">
            <w:pPr>
              <w:shd w:val="clear" w:color="auto" w:fill="FFFFFF" w:themeFill="background1"/>
              <w:rPr>
                <w:rFonts w:eastAsia="Verdana" w:cs="Verdana"/>
              </w:rPr>
            </w:pPr>
            <w:r>
              <w:rPr>
                <w:rFonts w:eastAsia="Verdana" w:cs="Verdana"/>
              </w:rPr>
              <w:t xml:space="preserve">Dit betreft </w:t>
            </w:r>
            <w:r w:rsidRPr="006E08A2">
              <w:rPr>
                <w:rFonts w:eastAsia="Verdana" w:cs="Verdana"/>
              </w:rPr>
              <w:t xml:space="preserve">de </w:t>
            </w:r>
            <w:r>
              <w:rPr>
                <w:rFonts w:eastAsia="Verdana" w:cs="Verdana"/>
              </w:rPr>
              <w:t xml:space="preserve">evaluatie uit 2024 van de </w:t>
            </w:r>
            <w:r w:rsidRPr="006E08A2">
              <w:rPr>
                <w:rFonts w:eastAsia="Verdana" w:cs="Verdana"/>
              </w:rPr>
              <w:t xml:space="preserve">Europese Commissie </w:t>
            </w:r>
            <w:r>
              <w:rPr>
                <w:rFonts w:eastAsia="Verdana" w:cs="Verdana"/>
              </w:rPr>
              <w:t xml:space="preserve">van </w:t>
            </w:r>
            <w:r w:rsidRPr="006E08A2">
              <w:rPr>
                <w:rFonts w:eastAsia="Verdana" w:cs="Verdana"/>
              </w:rPr>
              <w:t>de door de overheid gesteunde exportkredietactiviteiten van 21 EU-lidstaten, die samen een totale risicoblootstelling van €370 miljard (zuivere dekking) en een leningenportefeuille van €103 miljard (financieringssteun) rapporteerden. Het rapport benadrukt de verschuiving naar klimaatvriendelijke projecten: €4,2 miljard werd geïnvesteerd in 53 klimaatgerelateerde projecten (vooral hernieuwbare energie), terwijl de steun voor fossiele brandstoffen verder afna</w:t>
            </w:r>
            <w:r w:rsidR="001D2047">
              <w:rPr>
                <w:rFonts w:eastAsia="Verdana" w:cs="Verdana"/>
              </w:rPr>
              <w:t xml:space="preserve">m, </w:t>
            </w:r>
            <w:r w:rsidRPr="006E08A2">
              <w:rPr>
                <w:rFonts w:eastAsia="Verdana" w:cs="Verdana"/>
              </w:rPr>
              <w:t>slechts €1,2 miljard voor 14 olie- en gasprojecten, vaak onder strikte voorwaarden of als overgangsoplossing. Lidstaten volgen OESO-richtsnoeren voor milieu, sociale, en anti-omkopingszorgvuldigheid, met transparante rapportage en een groeiende focus op duurzaamheid, in lijn met de EU-doelstellingen en de Overeenkomst van Parijs.</w:t>
            </w:r>
          </w:p>
        </w:tc>
      </w:tr>
    </w:tbl>
    <w:p w:rsidR="00AA7450" w:rsidRDefault="00AA7450" w14:paraId="7D730C03" w14:textId="77777777"/>
    <w:sectPr w:rsidR="00AA7450" w:rsidSect="00065320">
      <w:headerReference w:type="default" r:id="rId17"/>
      <w:pgSz w:w="11906" w:h="16838"/>
      <w:pgMar w:top="1417" w:right="1417" w:bottom="1417" w:left="1417" w:header="2370"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014F" w14:textId="77777777" w:rsidR="00065320" w:rsidRDefault="00065320" w:rsidP="00065320">
      <w:r>
        <w:separator/>
      </w:r>
    </w:p>
  </w:endnote>
  <w:endnote w:type="continuationSeparator" w:id="0">
    <w:p w14:paraId="193AA380" w14:textId="77777777" w:rsidR="00065320" w:rsidRDefault="00065320" w:rsidP="0006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3E36" w14:textId="77777777" w:rsidR="00065320" w:rsidRDefault="00065320" w:rsidP="00065320">
      <w:r>
        <w:separator/>
      </w:r>
    </w:p>
  </w:footnote>
  <w:footnote w:type="continuationSeparator" w:id="0">
    <w:p w14:paraId="1508D872" w14:textId="77777777" w:rsidR="00065320" w:rsidRDefault="00065320" w:rsidP="00065320">
      <w:r>
        <w:continuationSeparator/>
      </w:r>
    </w:p>
  </w:footnote>
  <w:footnote w:id="1">
    <w:p w14:paraId="309A62E2" w14:textId="77777777" w:rsidR="00065320" w:rsidRPr="002B21B2" w:rsidRDefault="00065320" w:rsidP="00065320">
      <w:pPr>
        <w:pStyle w:val="Voetnoottekst"/>
        <w:rPr>
          <w:rFonts w:ascii="Verdana" w:hAnsi="Verdana"/>
        </w:rPr>
      </w:pPr>
      <w:r w:rsidRPr="4FDDB90E">
        <w:rPr>
          <w:rStyle w:val="Voetnootmarkering"/>
          <w:rFonts w:ascii="Verdana" w:eastAsia="Verdana" w:hAnsi="Verdana" w:cs="Verdana"/>
          <w:sz w:val="14"/>
          <w:szCs w:val="14"/>
        </w:rPr>
        <w:footnoteRef/>
      </w:r>
      <w:r w:rsidRPr="4FDDB90E">
        <w:rPr>
          <w:rFonts w:ascii="Verdana" w:eastAsia="Verdana" w:hAnsi="Verdana" w:cs="Verdana"/>
          <w:sz w:val="14"/>
          <w:szCs w:val="14"/>
        </w:rPr>
        <w:t xml:space="preserve">Voor een overzicht van behandelopties per type EU-voorstel, zie </w:t>
      </w:r>
      <w:hyperlink r:id="rId1" w:history="1">
        <w:r w:rsidRPr="4FDDB90E">
          <w:rPr>
            <w:rStyle w:val="Hyperlink"/>
            <w:rFonts w:ascii="Verdana" w:eastAsia="Verdana" w:hAnsi="Verdana" w:cs="Verdana"/>
            <w:sz w:val="14"/>
            <w:szCs w:val="14"/>
          </w:rPr>
          <w:t>dit overzicht op Plein2</w:t>
        </w:r>
      </w:hyperlink>
      <w:r w:rsidRPr="4FDDB90E">
        <w:rPr>
          <w:rFonts w:ascii="Verdana" w:eastAsia="Verdana" w:hAnsi="Verdana" w:cs="Verdana"/>
          <w:sz w:val="14"/>
          <w:szCs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813" w14:textId="68478388" w:rsidR="00065320" w:rsidRDefault="00065320">
    <w:pPr>
      <w:pStyle w:val="Koptekst"/>
    </w:pPr>
    <w:r>
      <w:rPr>
        <w:noProof/>
      </w:rPr>
      <mc:AlternateContent>
        <mc:Choice Requires="wps">
          <w:drawing>
            <wp:anchor distT="45720" distB="45720" distL="114300" distR="114300" simplePos="0" relativeHeight="251662336" behindDoc="0" locked="0" layoutInCell="1" allowOverlap="1" wp14:anchorId="1A8DE189" wp14:editId="457DF7F1">
              <wp:simplePos x="0" y="0"/>
              <wp:positionH relativeFrom="column">
                <wp:posOffset>4542155</wp:posOffset>
              </wp:positionH>
              <wp:positionV relativeFrom="paragraph">
                <wp:posOffset>-755650</wp:posOffset>
              </wp:positionV>
              <wp:extent cx="1854200" cy="74485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744855"/>
                      </a:xfrm>
                      <a:prstGeom prst="rect">
                        <a:avLst/>
                      </a:prstGeom>
                      <a:solidFill>
                        <a:srgbClr val="FFFFFF"/>
                      </a:solidFill>
                      <a:ln w="9525">
                        <a:noFill/>
                        <a:miter lim="800000"/>
                        <a:headEnd/>
                        <a:tailEnd/>
                      </a:ln>
                    </wps:spPr>
                    <wps:txbx>
                      <w:txbxContent>
                        <w:p w14:paraId="0C64D638" w14:textId="74153906" w:rsidR="00065320" w:rsidRDefault="00065320">
                          <w:r>
                            <w:t>Commissie BHO</w:t>
                          </w:r>
                        </w:p>
                        <w:p w14:paraId="53D769B2" w14:textId="40B7CAB6" w:rsidR="00065320" w:rsidRDefault="00065320">
                          <w:r>
                            <w:t>15-12-2025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DE189" id="_x0000_t202" coordsize="21600,21600" o:spt="202" path="m,l,21600r21600,l21600,xe">
              <v:stroke joinstyle="miter"/>
              <v:path gradientshapeok="t" o:connecttype="rect"/>
            </v:shapetype>
            <v:shape id="Tekstvak 2" o:spid="_x0000_s1026" type="#_x0000_t202" style="position:absolute;margin-left:357.65pt;margin-top:-59.5pt;width:146pt;height:58.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" stroked="f">
              <v:textbox>
                <w:txbxContent>
                  <w:p w14:paraId="0C64D638" w14:textId="74153906" w:rsidR="00065320" w:rsidRDefault="00065320">
                    <w:r>
                      <w:t>Commissie BHO</w:t>
                    </w:r>
                  </w:p>
                  <w:p w14:paraId="53D769B2" w14:textId="40B7CAB6" w:rsidR="00065320" w:rsidRDefault="00065320">
                    <w:r>
                      <w:t>15-12-2025</w:t>
                    </w:r>
                  </w:p>
                </w:txbxContent>
              </v:textbox>
              <w10:wrap type="square"/>
            </v:shape>
          </w:pict>
        </mc:Fallback>
      </mc:AlternateContent>
    </w:r>
    <w:r w:rsidRPr="00024610">
      <w:rPr>
        <w:noProof/>
      </w:rPr>
      <w:drawing>
        <wp:anchor distT="0" distB="0" distL="114300" distR="114300" simplePos="0" relativeHeight="251659264" behindDoc="1" locked="0" layoutInCell="1" allowOverlap="1" wp14:anchorId="645A3639" wp14:editId="1E4C803F">
          <wp:simplePos x="0" y="0"/>
          <wp:positionH relativeFrom="column">
            <wp:posOffset>73025</wp:posOffset>
          </wp:positionH>
          <wp:positionV relativeFrom="paragraph">
            <wp:posOffset>-1196975</wp:posOffset>
          </wp:positionV>
          <wp:extent cx="1624965" cy="655955"/>
          <wp:effectExtent l="0" t="0" r="0" b="0"/>
          <wp:wrapTight wrapText="bothSides">
            <wp:wrapPolygon edited="0">
              <wp:start x="0" y="0"/>
              <wp:lineTo x="0" y="20701"/>
              <wp:lineTo x="21271" y="20701"/>
              <wp:lineTo x="21271" y="0"/>
              <wp:lineTo x="0" y="0"/>
            </wp:wrapPolygon>
          </wp:wrapTight>
          <wp:docPr id="389614617"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965" cy="655955"/>
                  </a:xfrm>
                  <a:prstGeom prst="rect">
                    <a:avLst/>
                  </a:prstGeom>
                  <a:noFill/>
                  <a:ln>
                    <a:noFill/>
                  </a:ln>
                </pic:spPr>
              </pic:pic>
            </a:graphicData>
          </a:graphic>
        </wp:anchor>
      </w:drawing>
    </w:r>
    <w:r w:rsidRPr="00024610">
      <w:rPr>
        <w:noProof/>
      </w:rPr>
      <w:drawing>
        <wp:anchor distT="0" distB="0" distL="114300" distR="114300" simplePos="0" relativeHeight="251660288" behindDoc="1" locked="0" layoutInCell="1" allowOverlap="1" wp14:anchorId="5256CE25" wp14:editId="56B5FA34">
          <wp:simplePos x="0" y="0"/>
          <wp:positionH relativeFrom="column">
            <wp:posOffset>-457200</wp:posOffset>
          </wp:positionH>
          <wp:positionV relativeFrom="paragraph">
            <wp:posOffset>-1257935</wp:posOffset>
          </wp:positionV>
          <wp:extent cx="387985" cy="1097280"/>
          <wp:effectExtent l="0" t="0" r="0" b="7620"/>
          <wp:wrapTight wrapText="bothSides">
            <wp:wrapPolygon edited="0">
              <wp:start x="0" y="0"/>
              <wp:lineTo x="0" y="21375"/>
              <wp:lineTo x="20151" y="21375"/>
              <wp:lineTo x="20151" y="0"/>
              <wp:lineTo x="0" y="0"/>
            </wp:wrapPolygon>
          </wp:wrapTight>
          <wp:docPr id="12123455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7985"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1585"/>
    <w:multiLevelType w:val="hybridMultilevel"/>
    <w:tmpl w:val="865258CC"/>
    <w:lvl w:ilvl="0" w:tplc="3D1EFF72">
      <w:start w:val="1"/>
      <w:numFmt w:val="decimal"/>
      <w:lvlText w:val="%1."/>
      <w:lvlJc w:val="left"/>
      <w:pPr>
        <w:ind w:left="501" w:hanging="360"/>
      </w:pPr>
    </w:lvl>
    <w:lvl w:ilvl="1" w:tplc="877AC7A0" w:tentative="1">
      <w:start w:val="1"/>
      <w:numFmt w:val="lowerLetter"/>
      <w:lvlText w:val="%2."/>
      <w:lvlJc w:val="left"/>
      <w:pPr>
        <w:ind w:left="1440" w:hanging="360"/>
      </w:pPr>
    </w:lvl>
    <w:lvl w:ilvl="2" w:tplc="FDC05BE8" w:tentative="1">
      <w:start w:val="1"/>
      <w:numFmt w:val="lowerRoman"/>
      <w:lvlText w:val="%3."/>
      <w:lvlJc w:val="right"/>
      <w:pPr>
        <w:ind w:left="2160" w:hanging="180"/>
      </w:pPr>
    </w:lvl>
    <w:lvl w:ilvl="3" w:tplc="37DC7F52" w:tentative="1">
      <w:start w:val="1"/>
      <w:numFmt w:val="decimal"/>
      <w:lvlText w:val="%4."/>
      <w:lvlJc w:val="left"/>
      <w:pPr>
        <w:ind w:left="2880" w:hanging="360"/>
      </w:pPr>
    </w:lvl>
    <w:lvl w:ilvl="4" w:tplc="00E6C30A" w:tentative="1">
      <w:start w:val="1"/>
      <w:numFmt w:val="lowerLetter"/>
      <w:lvlText w:val="%5."/>
      <w:lvlJc w:val="left"/>
      <w:pPr>
        <w:ind w:left="3600" w:hanging="360"/>
      </w:pPr>
    </w:lvl>
    <w:lvl w:ilvl="5" w:tplc="FE468A18" w:tentative="1">
      <w:start w:val="1"/>
      <w:numFmt w:val="lowerRoman"/>
      <w:lvlText w:val="%6."/>
      <w:lvlJc w:val="right"/>
      <w:pPr>
        <w:ind w:left="4320" w:hanging="180"/>
      </w:pPr>
    </w:lvl>
    <w:lvl w:ilvl="6" w:tplc="6518B3FE" w:tentative="1">
      <w:start w:val="1"/>
      <w:numFmt w:val="decimal"/>
      <w:lvlText w:val="%7."/>
      <w:lvlJc w:val="left"/>
      <w:pPr>
        <w:ind w:left="5040" w:hanging="360"/>
      </w:pPr>
    </w:lvl>
    <w:lvl w:ilvl="7" w:tplc="BCACBE86" w:tentative="1">
      <w:start w:val="1"/>
      <w:numFmt w:val="lowerLetter"/>
      <w:lvlText w:val="%8."/>
      <w:lvlJc w:val="left"/>
      <w:pPr>
        <w:ind w:left="5760" w:hanging="360"/>
      </w:pPr>
    </w:lvl>
    <w:lvl w:ilvl="8" w:tplc="AB569E06"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33408AB8">
      <w:start w:val="1"/>
      <w:numFmt w:val="upperRoman"/>
      <w:lvlText w:val="%1."/>
      <w:lvlJc w:val="right"/>
      <w:pPr>
        <w:ind w:left="720" w:hanging="360"/>
      </w:pPr>
    </w:lvl>
    <w:lvl w:ilvl="1" w:tplc="517A103E" w:tentative="1">
      <w:start w:val="1"/>
      <w:numFmt w:val="lowerLetter"/>
      <w:lvlText w:val="%2."/>
      <w:lvlJc w:val="left"/>
      <w:pPr>
        <w:ind w:left="1440" w:hanging="360"/>
      </w:pPr>
    </w:lvl>
    <w:lvl w:ilvl="2" w:tplc="69541D0E" w:tentative="1">
      <w:start w:val="1"/>
      <w:numFmt w:val="lowerRoman"/>
      <w:lvlText w:val="%3."/>
      <w:lvlJc w:val="right"/>
      <w:pPr>
        <w:ind w:left="2160" w:hanging="180"/>
      </w:pPr>
    </w:lvl>
    <w:lvl w:ilvl="3" w:tplc="EE5018DE" w:tentative="1">
      <w:start w:val="1"/>
      <w:numFmt w:val="decimal"/>
      <w:lvlText w:val="%4."/>
      <w:lvlJc w:val="left"/>
      <w:pPr>
        <w:ind w:left="2880" w:hanging="360"/>
      </w:pPr>
    </w:lvl>
    <w:lvl w:ilvl="4" w:tplc="85B2877E" w:tentative="1">
      <w:start w:val="1"/>
      <w:numFmt w:val="lowerLetter"/>
      <w:lvlText w:val="%5."/>
      <w:lvlJc w:val="left"/>
      <w:pPr>
        <w:ind w:left="3600" w:hanging="360"/>
      </w:pPr>
    </w:lvl>
    <w:lvl w:ilvl="5" w:tplc="89725886" w:tentative="1">
      <w:start w:val="1"/>
      <w:numFmt w:val="lowerRoman"/>
      <w:lvlText w:val="%6."/>
      <w:lvlJc w:val="right"/>
      <w:pPr>
        <w:ind w:left="4320" w:hanging="180"/>
      </w:pPr>
    </w:lvl>
    <w:lvl w:ilvl="6" w:tplc="74AEAFC8" w:tentative="1">
      <w:start w:val="1"/>
      <w:numFmt w:val="decimal"/>
      <w:lvlText w:val="%7."/>
      <w:lvlJc w:val="left"/>
      <w:pPr>
        <w:ind w:left="5040" w:hanging="360"/>
      </w:pPr>
    </w:lvl>
    <w:lvl w:ilvl="7" w:tplc="1CB47C00" w:tentative="1">
      <w:start w:val="1"/>
      <w:numFmt w:val="lowerLetter"/>
      <w:lvlText w:val="%8."/>
      <w:lvlJc w:val="left"/>
      <w:pPr>
        <w:ind w:left="5760" w:hanging="360"/>
      </w:pPr>
    </w:lvl>
    <w:lvl w:ilvl="8" w:tplc="A75E37F2" w:tentative="1">
      <w:start w:val="1"/>
      <w:numFmt w:val="lowerRoman"/>
      <w:lvlText w:val="%9."/>
      <w:lvlJc w:val="right"/>
      <w:pPr>
        <w:ind w:left="6480" w:hanging="180"/>
      </w:pPr>
    </w:lvl>
  </w:abstractNum>
  <w:abstractNum w:abstractNumId="2" w15:restartNumberingAfterBreak="0">
    <w:nsid w:val="39AA73CE"/>
    <w:multiLevelType w:val="multilevel"/>
    <w:tmpl w:val="CC1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D86D9C"/>
    <w:multiLevelType w:val="multilevel"/>
    <w:tmpl w:val="B3DC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9794195">
    <w:abstractNumId w:val="1"/>
  </w:num>
  <w:num w:numId="2" w16cid:durableId="1055743063">
    <w:abstractNumId w:val="0"/>
  </w:num>
  <w:num w:numId="3" w16cid:durableId="1802503886">
    <w:abstractNumId w:val="3"/>
  </w:num>
  <w:num w:numId="4" w16cid:durableId="760373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20"/>
    <w:rsid w:val="00042940"/>
    <w:rsid w:val="00065320"/>
    <w:rsid w:val="00193A2B"/>
    <w:rsid w:val="001D2047"/>
    <w:rsid w:val="002334C2"/>
    <w:rsid w:val="002D28D7"/>
    <w:rsid w:val="00371234"/>
    <w:rsid w:val="00422AEA"/>
    <w:rsid w:val="00497976"/>
    <w:rsid w:val="00561B6E"/>
    <w:rsid w:val="005635F4"/>
    <w:rsid w:val="005933E1"/>
    <w:rsid w:val="00603D11"/>
    <w:rsid w:val="006A56CA"/>
    <w:rsid w:val="006C1878"/>
    <w:rsid w:val="006E08A2"/>
    <w:rsid w:val="007F7AA4"/>
    <w:rsid w:val="00901930"/>
    <w:rsid w:val="0093612B"/>
    <w:rsid w:val="00AA1012"/>
    <w:rsid w:val="00AA7450"/>
    <w:rsid w:val="00AD7A8E"/>
    <w:rsid w:val="00AF08A8"/>
    <w:rsid w:val="00BE0645"/>
    <w:rsid w:val="00D26BDB"/>
    <w:rsid w:val="00DE56E9"/>
    <w:rsid w:val="00E303D0"/>
    <w:rsid w:val="00EA68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85CA4"/>
  <w15:chartTrackingRefBased/>
  <w15:docId w15:val="{5E849650-466E-4C71-89C2-E878DAC1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5320"/>
    <w:pPr>
      <w:spacing w:after="0" w:line="240" w:lineRule="auto"/>
    </w:pPr>
    <w:rPr>
      <w:rFonts w:ascii="Verdana" w:eastAsia="Calibri" w:hAnsi="Verdana" w:cs="Times New Roman"/>
      <w:kern w:val="0"/>
      <w:sz w:val="18"/>
      <w:szCs w:val="22"/>
      <w14:ligatures w14:val="none"/>
    </w:rPr>
  </w:style>
  <w:style w:type="paragraph" w:styleId="Kop1">
    <w:name w:val="heading 1"/>
    <w:basedOn w:val="Standaard"/>
    <w:next w:val="Standaard"/>
    <w:link w:val="Kop1Char"/>
    <w:uiPriority w:val="9"/>
    <w:qFormat/>
    <w:rsid w:val="00065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5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53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53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53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53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53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53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53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53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53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53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53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53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53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53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53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5320"/>
    <w:rPr>
      <w:rFonts w:eastAsiaTheme="majorEastAsia" w:cstheme="majorBidi"/>
      <w:color w:val="272727" w:themeColor="text1" w:themeTint="D8"/>
    </w:rPr>
  </w:style>
  <w:style w:type="paragraph" w:styleId="Titel">
    <w:name w:val="Title"/>
    <w:basedOn w:val="Standaard"/>
    <w:next w:val="Standaard"/>
    <w:link w:val="TitelChar"/>
    <w:uiPriority w:val="10"/>
    <w:qFormat/>
    <w:rsid w:val="0006532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53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53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53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53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5320"/>
    <w:rPr>
      <w:i/>
      <w:iCs/>
      <w:color w:val="404040" w:themeColor="text1" w:themeTint="BF"/>
    </w:rPr>
  </w:style>
  <w:style w:type="paragraph" w:styleId="Lijstalinea">
    <w:name w:val="List Paragraph"/>
    <w:basedOn w:val="Standaard"/>
    <w:uiPriority w:val="34"/>
    <w:qFormat/>
    <w:rsid w:val="00065320"/>
    <w:pPr>
      <w:ind w:left="720"/>
      <w:contextualSpacing/>
    </w:pPr>
  </w:style>
  <w:style w:type="character" w:styleId="Intensievebenadrukking">
    <w:name w:val="Intense Emphasis"/>
    <w:basedOn w:val="Standaardalinea-lettertype"/>
    <w:uiPriority w:val="21"/>
    <w:qFormat/>
    <w:rsid w:val="00065320"/>
    <w:rPr>
      <w:i/>
      <w:iCs/>
      <w:color w:val="0F4761" w:themeColor="accent1" w:themeShade="BF"/>
    </w:rPr>
  </w:style>
  <w:style w:type="paragraph" w:styleId="Duidelijkcitaat">
    <w:name w:val="Intense Quote"/>
    <w:basedOn w:val="Standaard"/>
    <w:next w:val="Standaard"/>
    <w:link w:val="DuidelijkcitaatChar"/>
    <w:uiPriority w:val="30"/>
    <w:qFormat/>
    <w:rsid w:val="00065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5320"/>
    <w:rPr>
      <w:i/>
      <w:iCs/>
      <w:color w:val="0F4761" w:themeColor="accent1" w:themeShade="BF"/>
    </w:rPr>
  </w:style>
  <w:style w:type="character" w:styleId="Intensieveverwijzing">
    <w:name w:val="Intense Reference"/>
    <w:basedOn w:val="Standaardalinea-lettertype"/>
    <w:uiPriority w:val="32"/>
    <w:qFormat/>
    <w:rsid w:val="00065320"/>
    <w:rPr>
      <w:b/>
      <w:bCs/>
      <w:smallCaps/>
      <w:color w:val="0F4761" w:themeColor="accent1" w:themeShade="BF"/>
      <w:spacing w:val="5"/>
    </w:rPr>
  </w:style>
  <w:style w:type="paragraph" w:styleId="Koptekst">
    <w:name w:val="header"/>
    <w:basedOn w:val="Standaard"/>
    <w:link w:val="KoptekstChar"/>
    <w:uiPriority w:val="99"/>
    <w:unhideWhenUsed/>
    <w:rsid w:val="00065320"/>
    <w:pPr>
      <w:tabs>
        <w:tab w:val="center" w:pos="4536"/>
        <w:tab w:val="right" w:pos="9072"/>
      </w:tabs>
    </w:pPr>
  </w:style>
  <w:style w:type="character" w:customStyle="1" w:styleId="KoptekstChar">
    <w:name w:val="Koptekst Char"/>
    <w:basedOn w:val="Standaardalinea-lettertype"/>
    <w:link w:val="Koptekst"/>
    <w:uiPriority w:val="99"/>
    <w:rsid w:val="00065320"/>
  </w:style>
  <w:style w:type="paragraph" w:styleId="Voettekst">
    <w:name w:val="footer"/>
    <w:basedOn w:val="Standaard"/>
    <w:link w:val="VoettekstChar"/>
    <w:uiPriority w:val="99"/>
    <w:unhideWhenUsed/>
    <w:rsid w:val="00065320"/>
    <w:pPr>
      <w:tabs>
        <w:tab w:val="center" w:pos="4536"/>
        <w:tab w:val="right" w:pos="9072"/>
      </w:tabs>
    </w:pPr>
  </w:style>
  <w:style w:type="character" w:customStyle="1" w:styleId="VoettekstChar">
    <w:name w:val="Voettekst Char"/>
    <w:basedOn w:val="Standaardalinea-lettertype"/>
    <w:link w:val="Voettekst"/>
    <w:uiPriority w:val="99"/>
    <w:rsid w:val="00065320"/>
  </w:style>
  <w:style w:type="paragraph" w:customStyle="1" w:styleId="PlatteTekst">
    <w:name w:val="Platte_Tekst"/>
    <w:basedOn w:val="Standaard"/>
    <w:uiPriority w:val="99"/>
    <w:rsid w:val="00065320"/>
    <w:pPr>
      <w:spacing w:line="284" w:lineRule="exact"/>
    </w:pPr>
  </w:style>
  <w:style w:type="character" w:styleId="Hyperlink">
    <w:name w:val="Hyperlink"/>
    <w:rsid w:val="00065320"/>
    <w:rPr>
      <w:color w:val="0000FF"/>
      <w:u w:val="single"/>
    </w:rPr>
  </w:style>
  <w:style w:type="paragraph" w:styleId="Voetnoottekst">
    <w:name w:val="footnote text"/>
    <w:basedOn w:val="Standaard"/>
    <w:link w:val="VoetnoottekstChar"/>
    <w:uiPriority w:val="99"/>
    <w:semiHidden/>
    <w:rsid w:val="00065320"/>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065320"/>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semiHidden/>
    <w:rsid w:val="00065320"/>
    <w:rPr>
      <w:vertAlign w:val="superscript"/>
    </w:rPr>
  </w:style>
  <w:style w:type="character" w:styleId="Onopgelostemelding">
    <w:name w:val="Unresolved Mention"/>
    <w:basedOn w:val="Standaardalinea-lettertype"/>
    <w:uiPriority w:val="99"/>
    <w:semiHidden/>
    <w:unhideWhenUsed/>
    <w:rsid w:val="005635F4"/>
    <w:rPr>
      <w:color w:val="605E5C"/>
      <w:shd w:val="clear" w:color="auto" w:fill="E1DFDD"/>
    </w:rPr>
  </w:style>
  <w:style w:type="character" w:styleId="GevolgdeHyperlink">
    <w:name w:val="FollowedHyperlink"/>
    <w:basedOn w:val="Standaardalinea-lettertype"/>
    <w:uiPriority w:val="99"/>
    <w:semiHidden/>
    <w:unhideWhenUsed/>
    <w:rsid w:val="002334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06.safelinks.protection.outlook.com/?url=https%3A%2F%2Feur-lex.europa.eu%2Flegal-content%2FNL%2FTXT%2F%3Furi%3DCELEX%253A52025PC0714%26qid%3D1764666423571&amp;data=05%7C02%7Cl.haverkamp%40tweedekamer.nl%7C0651063a5f63450df82708de3310c1a5%7C238cb5073f714afeaaab8382731a4345%7C0%7C0%7C639004344225974408%7CUnknown%7CTWFpbGZsb3d8eyJFbXB0eU1hcGkiOnRydWUsIlYiOiIwLjAuMDAwMCIsIlAiOiJXaW4zMiIsIkFOIjoiTWFpbCIsIldUIjoyfQ%3D%3D%7C0%7C%7C%7C&amp;sdata=NWHn8Ssp2vufCKPps3fYntFOCWZbLOs9LYfhN2qvZ9s%3D&amp;reserved=0" TargetMode="Externa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yperlink" Target="https://eur06.safelinks.protection.outlook.com/?url=https%3A%2F%2Feur-lex.europa.eu%2Flegal-content%2FNL%2FTXT%2F%3Furi%3DCELEX%253A52025JC0977%26qid%3D1765285503844&amp;data=05%7C02%7Cl.haverkamp%40tweedekamer.nl%7C3eba0c090afa463b7a4408de37d9ba57%7C238cb5073f714afeaaab8382731a4345%7C0%7C0%7C639009605435213295%7CUnknown%7CTWFpbGZsb3d8eyJFbXB0eU1hcGkiOnRydWUsIlYiOiIwLjAuMDAwMCIsIlAiOiJXaW4zMiIsIkFOIjoiTWFpbCIsIldUIjoyfQ%3D%3D%7C0%7C%7C%7C&amp;sdata=NIE57fQ9WQ5YZJJ9xPTCayZ8JMJ3AGoHpXSkPgKKdnU%3D&amp;reserved=0" TargetMode="External" Id="rId12" /><Relationship Type="http://schemas.openxmlformats.org/officeDocument/2006/relationships/header" Target="header1.xml" Id="rId17" /><Relationship Type="http://schemas.openxmlformats.org/officeDocument/2006/relationships/hyperlink" Target="https://eur06.safelinks.protection.outlook.com/?url=https%3A%2F%2Feur-lex.europa.eu%2Flegal-content%2FNL%2FTXT%2F%3Furi%3DCELEX%253A52025DC0737%26qid%3D1765286541797&amp;data=05%7C02%7Cl.haverkamp%40tweedekamer.nl%7C3eba0c090afa463b7a4408de37d9ba57%7C238cb5073f714afeaaab8382731a4345%7C0%7C0%7C639009605435315562%7CUnknown%7CTWFpbGZsb3d8eyJFbXB0eU1hcGkiOnRydWUsIlYiOiIwLjAuMDAwMCIsIlAiOiJXaW4zMiIsIkFOIjoiTWFpbCIsIldUIjoyfQ%3D%3D%7C0%7C%7C%7C&amp;sdata=rPD1khd5KZW1ZB9artlLAY1xevthsTuQtVwLrhSCtt0%3D&amp;reserved=0" TargetMode="Externa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ur-lex.europa.eu%2Flegal-content%2FNL%2FTXT%2F%3Furi%3DCELEX%253A52025DC0688%26qid%3D1765286406263&amp;data=05%7C02%7Cl.haverkamp%40tweedekamer.nl%7C3eba0c090afa463b7a4408de37d9ba57%7C238cb5073f714afeaaab8382731a4345%7C0%7C0%7C639009605435293636%7CUnknown%7CTWFpbGZsb3d8eyJFbXB0eU1hcGkiOnRydWUsIlYiOiIwLjAuMDAwMCIsIlAiOiJXaW4zMiIsIkFOIjoiTWFpbCIsIldUIjoyfQ%3D%3D%7C0%7C%7C%7C&amp;sdata=QfFb7H57TpGKzsUXVgIoiDD07PERufhvwvdWOvb72nY%3D&amp;reserved=0"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5DC0728%26qid%3D1764667041515&amp;data=05%7C02%7Cl.haverkamp%40tweedekamer.nl%7C0651063a5f63450df82708de3310c1a5%7C238cb5073f714afeaaab8382731a4345%7C0%7C0%7C639004344226137345%7CUnknown%7CTWFpbGZsb3d8eyJFbXB0eU1hcGkiOnRydWUsIlYiOiIwLjAuMDAwMCIsIlAiOiJXaW4zMiIsIkFOIjoiTWFpbCIsIldUIjoyfQ%3D%3D%7C0%7C%7C%7C&amp;sdata=amJ6orIMdh5MqpuOr%2BtW9vzbqa6UKXOTYWG1I432keE%3D&amp;reserved=0"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1279</ap:Words>
  <ap:Characters>7037</ap:Characters>
  <ap:DocSecurity>0</ap:DocSecurity>
  <ap:Lines>58</ap:Lines>
  <ap:Paragraphs>16</ap:Paragraphs>
  <ap:ScaleCrop>false</ap:ScaleCrop>
  <ap:LinksUpToDate>false</ap:LinksUpToDate>
  <ap:CharactersWithSpaces>8300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2025-12-15T09:19:00.0000000Z</dcterms:created>
  <dcterms:modified xsi:type="dcterms:W3CDTF">2025-12-15T09:57:00.0000000Z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0x010100652B67EEE1A68642A5D50A61AFC143750056F2A0B99D579F4DBE5DBC0C3BA4ECBE</vt:lpwstr>
  </property>
  <property fmtid="{D5CDD505-2E9C-101B-9397-08002B2CF9AE}" pid="3"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4" name="Beperking">
    <vt:lpwstr/>
  </property>
  <property fmtid="{D5CDD505-2E9C-101B-9397-08002B2CF9AE}" pid="5" name="_dlc_DocIdItemGuid">
    <vt:lpwstr>2b4ed907-62ab-462c-b5b3-d63d0362c9a5</vt:lpwstr>
  </property>
</Properties>
</file>