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5171" w:rsidP="00CC5C44" w:rsidRDefault="00873BD2" w14:paraId="597DAFF4" w14:textId="5D463417">
      <w:pPr>
        <w:autoSpaceDN/>
        <w:textAlignment w:val="auto"/>
        <w:rPr>
          <w:rFonts w:eastAsiaTheme="minorHAnsi" w:cstheme="minorBidi"/>
          <w:b/>
          <w:bCs/>
          <w:color w:val="auto"/>
          <w:sz w:val="22"/>
          <w:szCs w:val="22"/>
          <w:lang w:eastAsia="en-US"/>
        </w:rPr>
      </w:pPr>
      <w:r>
        <w:rPr>
          <w:rFonts w:eastAsiaTheme="minorHAnsi" w:cstheme="minorBidi"/>
          <w:b/>
          <w:bCs/>
          <w:color w:val="auto"/>
          <w:sz w:val="22"/>
          <w:szCs w:val="22"/>
          <w:lang w:eastAsia="en-US"/>
        </w:rPr>
        <w:t xml:space="preserve">Bijlage 5. </w:t>
      </w:r>
      <w:r w:rsidRPr="008936A1" w:rsidR="0002565E">
        <w:rPr>
          <w:rFonts w:eastAsiaTheme="minorHAnsi" w:cstheme="minorBidi"/>
          <w:b/>
          <w:bCs/>
          <w:color w:val="auto"/>
          <w:sz w:val="22"/>
          <w:szCs w:val="22"/>
          <w:lang w:eastAsia="en-US"/>
        </w:rPr>
        <w:t xml:space="preserve">Voortgang </w:t>
      </w:r>
      <w:r w:rsidR="00CC5C44">
        <w:rPr>
          <w:rFonts w:eastAsiaTheme="minorHAnsi" w:cstheme="minorBidi"/>
          <w:b/>
          <w:bCs/>
          <w:color w:val="auto"/>
          <w:sz w:val="22"/>
          <w:szCs w:val="22"/>
          <w:lang w:eastAsia="en-US"/>
        </w:rPr>
        <w:t xml:space="preserve">aanpak regeldruk </w:t>
      </w:r>
    </w:p>
    <w:p w:rsidR="00E72523" w:rsidP="00CC5C44" w:rsidRDefault="00E72523" w14:paraId="02245F4A" w14:textId="77777777">
      <w:pPr>
        <w:autoSpaceDN/>
        <w:textAlignment w:val="auto"/>
        <w:rPr>
          <w:rFonts w:eastAsiaTheme="minorHAnsi" w:cstheme="minorBidi"/>
          <w:b/>
          <w:bCs/>
          <w:color w:val="auto"/>
          <w:sz w:val="22"/>
          <w:szCs w:val="22"/>
          <w:lang w:eastAsia="en-US"/>
        </w:rPr>
      </w:pPr>
    </w:p>
    <w:p w:rsidRPr="00CE370F" w:rsidR="00E72523" w:rsidP="00CC5C44" w:rsidRDefault="00873BD2" w14:paraId="42D07639" w14:textId="7AEE6887">
      <w:pPr>
        <w:autoSpaceDN/>
        <w:textAlignment w:val="auto"/>
        <w:rPr>
          <w:rFonts w:eastAsiaTheme="minorHAnsi" w:cstheme="minorBidi"/>
          <w:color w:val="auto"/>
          <w:lang w:eastAsia="en-US"/>
        </w:rPr>
      </w:pPr>
      <w:r>
        <w:rPr>
          <w:rFonts w:eastAsiaTheme="minorHAnsi" w:cstheme="minorBidi"/>
          <w:color w:val="auto"/>
          <w:lang w:eastAsia="en-US"/>
        </w:rPr>
        <w:t xml:space="preserve">In deze bijlage ga ik in </w:t>
      </w:r>
      <w:r w:rsidR="00E72523">
        <w:rPr>
          <w:rFonts w:eastAsiaTheme="minorHAnsi" w:cstheme="minorBidi"/>
          <w:color w:val="auto"/>
          <w:lang w:eastAsia="en-US"/>
        </w:rPr>
        <w:t xml:space="preserve">op de voortgang rondom de aanpak regeldruk. </w:t>
      </w:r>
      <w:r w:rsidR="00B9069C">
        <w:rPr>
          <w:rFonts w:eastAsiaTheme="minorHAnsi" w:cstheme="minorBidi"/>
          <w:color w:val="auto"/>
          <w:lang w:eastAsia="en-US"/>
        </w:rPr>
        <w:t xml:space="preserve">Tevens </w:t>
      </w:r>
      <w:r w:rsidR="00E72523">
        <w:rPr>
          <w:rFonts w:eastAsiaTheme="minorHAnsi" w:cstheme="minorBidi"/>
          <w:color w:val="auto"/>
          <w:lang w:eastAsia="en-US"/>
        </w:rPr>
        <w:t xml:space="preserve">zal ik ingaan op de voortgang rond de </w:t>
      </w:r>
      <w:r w:rsidRPr="00412FF3" w:rsidR="00B9069C">
        <w:rPr>
          <w:rFonts w:eastAsiaTheme="minorHAnsi" w:cstheme="minorBidi"/>
          <w:color w:val="auto"/>
          <w:szCs w:val="22"/>
          <w:lang w:eastAsia="en-US"/>
        </w:rPr>
        <w:t xml:space="preserve">Wet Bestuur en Toezicht Rechtspersonen </w:t>
      </w:r>
      <w:r w:rsidR="00B9069C">
        <w:rPr>
          <w:rFonts w:eastAsiaTheme="minorHAnsi" w:cstheme="minorBidi"/>
          <w:color w:val="auto"/>
          <w:szCs w:val="22"/>
          <w:lang w:eastAsia="en-US"/>
        </w:rPr>
        <w:t>(</w:t>
      </w:r>
      <w:r w:rsidR="00E72523">
        <w:rPr>
          <w:rFonts w:eastAsiaTheme="minorHAnsi" w:cstheme="minorBidi"/>
          <w:color w:val="auto"/>
          <w:lang w:eastAsia="en-US"/>
        </w:rPr>
        <w:t>WBTR</w:t>
      </w:r>
      <w:r w:rsidR="00B9069C">
        <w:rPr>
          <w:rFonts w:eastAsiaTheme="minorHAnsi" w:cstheme="minorBidi"/>
          <w:color w:val="auto"/>
          <w:lang w:eastAsia="en-US"/>
        </w:rPr>
        <w:t>)</w:t>
      </w:r>
      <w:r w:rsidR="00E72523">
        <w:rPr>
          <w:rFonts w:eastAsiaTheme="minorHAnsi" w:cstheme="minorBidi"/>
          <w:color w:val="auto"/>
          <w:lang w:eastAsia="en-US"/>
        </w:rPr>
        <w:t xml:space="preserve"> en de Vrijwilligersverzekering. </w:t>
      </w:r>
    </w:p>
    <w:p w:rsidR="00575171" w:rsidP="002C510D" w:rsidRDefault="00575171" w14:paraId="45D4172E" w14:textId="77777777">
      <w:pPr>
        <w:rPr>
          <w:rFonts w:eastAsiaTheme="minorHAnsi" w:cstheme="minorBidi"/>
          <w:color w:val="auto"/>
          <w:lang w:eastAsia="en-US"/>
        </w:rPr>
      </w:pPr>
    </w:p>
    <w:p w:rsidRPr="00D01901" w:rsidR="0054718E" w:rsidP="00235000" w:rsidRDefault="00575171" w14:paraId="0C882B59" w14:textId="3B6C92B5">
      <w:pPr>
        <w:rPr>
          <w:rFonts w:eastAsiaTheme="minorHAnsi" w:cstheme="minorBidi"/>
          <w:b/>
          <w:bCs/>
          <w:i/>
          <w:iCs/>
          <w:color w:val="auto"/>
          <w:lang w:eastAsia="en-US"/>
        </w:rPr>
      </w:pPr>
      <w:r w:rsidRPr="00D01901">
        <w:rPr>
          <w:rFonts w:eastAsiaTheme="minorHAnsi" w:cstheme="minorBidi"/>
          <w:b/>
          <w:bCs/>
          <w:i/>
          <w:iCs/>
          <w:color w:val="auto"/>
          <w:lang w:eastAsia="en-US"/>
        </w:rPr>
        <w:t>Aanpak Regeldruk</w:t>
      </w:r>
    </w:p>
    <w:p w:rsidRPr="0076651A" w:rsidR="0054718E" w:rsidP="00235000" w:rsidRDefault="0054718E" w14:paraId="25599BE6" w14:textId="77777777">
      <w:pPr>
        <w:rPr>
          <w:rFonts w:eastAsiaTheme="minorHAnsi" w:cstheme="minorBidi"/>
          <w:color w:val="auto"/>
          <w:lang w:eastAsia="en-US"/>
        </w:rPr>
      </w:pPr>
    </w:p>
    <w:p w:rsidRPr="00CC5C44" w:rsidR="00CC5C44" w:rsidP="00B2116B" w:rsidRDefault="00CC5C44" w14:paraId="233B1CDD" w14:textId="0ED9D21F">
      <w:pPr>
        <w:autoSpaceDN/>
        <w:textAlignment w:val="auto"/>
      </w:pPr>
      <w:bookmarkStart w:name="_Hlk190261025" w:id="0"/>
      <w:r w:rsidRPr="00CC5C44">
        <w:t>Op 28 november 2024</w:t>
      </w:r>
      <w:r w:rsidRPr="00CC5C44">
        <w:rPr>
          <w:vertAlign w:val="superscript"/>
        </w:rPr>
        <w:footnoteReference w:id="1"/>
      </w:r>
      <w:r w:rsidRPr="00CC5C44">
        <w:t xml:space="preserve"> heeft </w:t>
      </w:r>
      <w:r w:rsidR="00CE14D0">
        <w:t xml:space="preserve">de </w:t>
      </w:r>
      <w:r w:rsidRPr="00CC5C44">
        <w:t>toenmalig</w:t>
      </w:r>
      <w:r w:rsidR="00CE14D0">
        <w:t>e</w:t>
      </w:r>
      <w:r w:rsidRPr="00CC5C44">
        <w:t xml:space="preserve"> staatssecretaris Langdurige en Maatschappelijke Zorg samen met de staatssecretaris Rechtsbescherming uw Kamer geïnformeerd over de Aanpak regeldruk voor vrijwilligersorganisaties en filantropische instellingen.</w:t>
      </w:r>
      <w:r w:rsidR="00F1472A">
        <w:t xml:space="preserve"> </w:t>
      </w:r>
      <w:r w:rsidR="00994BA4">
        <w:t xml:space="preserve">Het verminderen van regeldruk is ook voor sportverenigingen van groot belang. </w:t>
      </w:r>
      <w:r w:rsidR="00873BD2">
        <w:t xml:space="preserve">Uw Kamer heeft </w:t>
      </w:r>
      <w:r w:rsidR="009953F0">
        <w:t>diverse moties</w:t>
      </w:r>
      <w:r w:rsidR="003F3F9C">
        <w:t xml:space="preserve"> </w:t>
      </w:r>
      <w:r w:rsidR="009953F0">
        <w:t>ingediend om ook de regeldruk voor vrijwilligers in de sportsector terug te dringen</w:t>
      </w:r>
      <w:r w:rsidR="00BC6881">
        <w:t>.</w:t>
      </w:r>
      <w:r w:rsidR="009953F0">
        <w:t xml:space="preserve"> </w:t>
      </w:r>
      <w:r w:rsidR="007A2DCC">
        <w:t xml:space="preserve">Zoals aangegeven in </w:t>
      </w:r>
      <w:r w:rsidR="00CE14D0">
        <w:t>de</w:t>
      </w:r>
      <w:r w:rsidR="007A2DCC">
        <w:t xml:space="preserve"> brief </w:t>
      </w:r>
      <w:r w:rsidR="00CE14D0">
        <w:t xml:space="preserve">van mijn ambtsvoorganger </w:t>
      </w:r>
      <w:r w:rsidR="007A2DCC">
        <w:t xml:space="preserve">van </w:t>
      </w:r>
      <w:r w:rsidRPr="00CC5C44">
        <w:t>18 juni 2025</w:t>
      </w:r>
      <w:r w:rsidRPr="00CC5C44">
        <w:rPr>
          <w:vertAlign w:val="superscript"/>
        </w:rPr>
        <w:footnoteReference w:id="2"/>
      </w:r>
      <w:r w:rsidR="007A2DCC">
        <w:t xml:space="preserve"> sluit ik bij het terugdringen van regeldruk voor sportverenigingen aan b</w:t>
      </w:r>
      <w:r w:rsidR="00994BA4">
        <w:t xml:space="preserve">ij de uitwerking en uitvoering van de aanpak regeldruk </w:t>
      </w:r>
      <w:r w:rsidRPr="00CC5C44">
        <w:t xml:space="preserve">van </w:t>
      </w:r>
      <w:r w:rsidR="00CE14D0">
        <w:t xml:space="preserve">de </w:t>
      </w:r>
      <w:r w:rsidRPr="00CC5C44">
        <w:t>toenmalig</w:t>
      </w:r>
      <w:r w:rsidR="00CE14D0">
        <w:t>e</w:t>
      </w:r>
      <w:r w:rsidRPr="00CC5C44">
        <w:t xml:space="preserve"> staatssecretaris van Langdurige en Maatschappelijke Zorg</w:t>
      </w:r>
      <w:r w:rsidR="00F1472A">
        <w:t>.</w:t>
      </w:r>
      <w:r w:rsidR="00B2116B">
        <w:t xml:space="preserve"> Onderstaand beschrijf ik de voortgang en ga ik in op diverse moties die hier betrekking op hebben. </w:t>
      </w:r>
    </w:p>
    <w:p w:rsidRPr="00412FF3" w:rsidR="00575171" w:rsidP="00235000" w:rsidRDefault="00575171" w14:paraId="718741F1" w14:textId="77777777">
      <w:pPr>
        <w:autoSpaceDN/>
        <w:textAlignment w:val="auto"/>
        <w:rPr>
          <w:rFonts w:asciiTheme="minorHAnsi" w:hAnsiTheme="minorHAnsi" w:eastAsiaTheme="minorHAnsi" w:cstheme="minorBidi"/>
          <w:color w:val="auto"/>
          <w:sz w:val="22"/>
          <w:szCs w:val="22"/>
        </w:rPr>
      </w:pPr>
    </w:p>
    <w:bookmarkEnd w:id="0"/>
    <w:p w:rsidRPr="00412FF3" w:rsidR="00F1472A" w:rsidP="00235000" w:rsidRDefault="00CE14D0" w14:paraId="74B98264" w14:textId="180C5A3C">
      <w:r>
        <w:t xml:space="preserve">Bij </w:t>
      </w:r>
      <w:r w:rsidR="00575171">
        <w:t xml:space="preserve">de volgende tien wettelijke verplichtingen wordt </w:t>
      </w:r>
      <w:r w:rsidR="008328DA">
        <w:t>de komende twee jaar</w:t>
      </w:r>
      <w:r w:rsidR="00F1472A">
        <w:t>,</w:t>
      </w:r>
      <w:r w:rsidR="008328DA">
        <w:t xml:space="preserve"> met stakeholder</w:t>
      </w:r>
      <w:r w:rsidR="00F55B75">
        <w:t>s</w:t>
      </w:r>
      <w:r w:rsidR="008328DA">
        <w:t xml:space="preserve"> uit</w:t>
      </w:r>
      <w:r w:rsidR="00F1472A">
        <w:t xml:space="preserve"> onder andere</w:t>
      </w:r>
      <w:r w:rsidR="008328DA">
        <w:t xml:space="preserve"> de sportsector</w:t>
      </w:r>
      <w:r w:rsidR="00F1472A">
        <w:t>, gewerkt</w:t>
      </w:r>
      <w:r w:rsidR="008328DA">
        <w:t xml:space="preserve"> </w:t>
      </w:r>
      <w:r w:rsidR="00575171">
        <w:t>aan regeldrukvermindering</w:t>
      </w:r>
      <w:r w:rsidR="00F1472A">
        <w:rPr>
          <w:rFonts w:eastAsia="Times New Roman" w:cstheme="minorBidi"/>
          <w:color w:val="auto"/>
          <w:szCs w:val="22"/>
          <w:lang w:eastAsia="en-US"/>
        </w:rPr>
        <w:t>:</w:t>
      </w:r>
    </w:p>
    <w:p w:rsidRPr="00F1472A" w:rsidR="00575171" w:rsidP="00F1472A" w:rsidRDefault="00575171" w14:paraId="43C34CC2" w14:textId="1D2F7D9D">
      <w:pPr>
        <w:pStyle w:val="Lijstalinea"/>
        <w:numPr>
          <w:ilvl w:val="0"/>
          <w:numId w:val="6"/>
        </w:numPr>
        <w:rPr>
          <w:rFonts w:eastAsia="Times New Roman" w:cstheme="minorBidi"/>
          <w:color w:val="auto"/>
          <w:szCs w:val="22"/>
          <w:lang w:eastAsia="en-US"/>
        </w:rPr>
      </w:pPr>
      <w:r w:rsidRPr="00F1472A">
        <w:rPr>
          <w:rFonts w:eastAsia="Times New Roman" w:cstheme="minorBidi"/>
          <w:color w:val="auto"/>
          <w:szCs w:val="22"/>
          <w:lang w:eastAsia="en-US"/>
        </w:rPr>
        <w:t xml:space="preserve">Algemene verordening gegevensbescherming (AVG): Het voldoen aan </w:t>
      </w:r>
      <w:r w:rsidRPr="00F1472A">
        <w:rPr>
          <w:rFonts w:eastAsiaTheme="minorHAnsi" w:cstheme="minorBidi"/>
          <w:color w:val="auto"/>
          <w:szCs w:val="22"/>
          <w:lang w:eastAsia="en-US"/>
        </w:rPr>
        <w:t>verplichtingen onder de AVG</w:t>
      </w:r>
      <w:r w:rsidRPr="00F1472A" w:rsidR="002C510D">
        <w:rPr>
          <w:rFonts w:eastAsiaTheme="minorHAnsi" w:cstheme="minorBidi"/>
          <w:color w:val="auto"/>
          <w:szCs w:val="22"/>
          <w:lang w:eastAsia="en-US"/>
        </w:rPr>
        <w:t>.</w:t>
      </w:r>
    </w:p>
    <w:p w:rsidRPr="00412FF3" w:rsidR="00575171" w:rsidP="00F1472A" w:rsidRDefault="00575171" w14:paraId="366478BB" w14:textId="5428727D">
      <w:pPr>
        <w:numPr>
          <w:ilvl w:val="0"/>
          <w:numId w:val="6"/>
        </w:numPr>
        <w:autoSpaceDN/>
        <w:ind w:left="284" w:hanging="284"/>
        <w:contextualSpacing/>
        <w:textAlignment w:val="auto"/>
        <w:rPr>
          <w:rFonts w:eastAsiaTheme="minorHAnsi" w:cstheme="minorBidi"/>
          <w:color w:val="auto"/>
          <w:szCs w:val="22"/>
          <w:lang w:eastAsia="en-US"/>
        </w:rPr>
      </w:pPr>
      <w:r w:rsidRPr="00412FF3">
        <w:rPr>
          <w:rFonts w:eastAsiaTheme="minorHAnsi" w:cstheme="minorBidi"/>
          <w:color w:val="auto"/>
          <w:szCs w:val="22"/>
          <w:lang w:eastAsia="en-US"/>
        </w:rPr>
        <w:t>Wet ter voorkoming van witwassen en financieren van terrorisme (</w:t>
      </w:r>
      <w:proofErr w:type="spellStart"/>
      <w:r w:rsidRPr="00412FF3">
        <w:rPr>
          <w:rFonts w:eastAsiaTheme="minorHAnsi" w:cstheme="minorBidi"/>
          <w:color w:val="auto"/>
          <w:szCs w:val="22"/>
          <w:lang w:eastAsia="en-US"/>
        </w:rPr>
        <w:t>Wwft</w:t>
      </w:r>
      <w:proofErr w:type="spellEnd"/>
      <w:r w:rsidRPr="00412FF3">
        <w:rPr>
          <w:rFonts w:eastAsiaTheme="minorHAnsi" w:cstheme="minorBidi"/>
          <w:color w:val="auto"/>
          <w:szCs w:val="22"/>
          <w:lang w:eastAsia="en-US"/>
        </w:rPr>
        <w:t xml:space="preserve">): Het vaststellen en registreren van een uiteindelijk belanghebbende (UBO) bij </w:t>
      </w:r>
      <w:r w:rsidR="00CE14D0">
        <w:rPr>
          <w:rFonts w:eastAsiaTheme="minorHAnsi" w:cstheme="minorBidi"/>
          <w:color w:val="auto"/>
          <w:szCs w:val="22"/>
          <w:lang w:eastAsia="en-US"/>
        </w:rPr>
        <w:t xml:space="preserve">de </w:t>
      </w:r>
      <w:r w:rsidRPr="00412FF3">
        <w:rPr>
          <w:rFonts w:eastAsiaTheme="minorHAnsi" w:cstheme="minorBidi"/>
          <w:color w:val="auto"/>
          <w:szCs w:val="22"/>
          <w:lang w:eastAsia="en-US"/>
        </w:rPr>
        <w:t>K</w:t>
      </w:r>
      <w:r w:rsidR="00CE14D0">
        <w:rPr>
          <w:rFonts w:eastAsiaTheme="minorHAnsi" w:cstheme="minorBidi"/>
          <w:color w:val="auto"/>
          <w:szCs w:val="22"/>
          <w:lang w:eastAsia="en-US"/>
        </w:rPr>
        <w:t xml:space="preserve">amer </w:t>
      </w:r>
      <w:r w:rsidRPr="00412FF3">
        <w:rPr>
          <w:rFonts w:eastAsiaTheme="minorHAnsi" w:cstheme="minorBidi"/>
          <w:color w:val="auto"/>
          <w:szCs w:val="22"/>
          <w:lang w:eastAsia="en-US"/>
        </w:rPr>
        <w:t>v</w:t>
      </w:r>
      <w:r w:rsidR="00CE14D0">
        <w:rPr>
          <w:rFonts w:eastAsiaTheme="minorHAnsi" w:cstheme="minorBidi"/>
          <w:color w:val="auto"/>
          <w:szCs w:val="22"/>
          <w:lang w:eastAsia="en-US"/>
        </w:rPr>
        <w:t xml:space="preserve">an </w:t>
      </w:r>
      <w:r w:rsidRPr="00412FF3">
        <w:rPr>
          <w:rFonts w:eastAsiaTheme="minorHAnsi" w:cstheme="minorBidi"/>
          <w:color w:val="auto"/>
          <w:szCs w:val="22"/>
          <w:lang w:eastAsia="en-US"/>
        </w:rPr>
        <w:t>K</w:t>
      </w:r>
      <w:r w:rsidR="00CE14D0">
        <w:rPr>
          <w:rFonts w:eastAsiaTheme="minorHAnsi" w:cstheme="minorBidi"/>
          <w:color w:val="auto"/>
          <w:szCs w:val="22"/>
          <w:lang w:eastAsia="en-US"/>
        </w:rPr>
        <w:t>oophandel</w:t>
      </w:r>
      <w:r w:rsidR="002C510D">
        <w:rPr>
          <w:rFonts w:eastAsiaTheme="minorHAnsi" w:cstheme="minorBidi"/>
          <w:color w:val="auto"/>
          <w:szCs w:val="22"/>
          <w:lang w:eastAsia="en-US"/>
        </w:rPr>
        <w:t>.</w:t>
      </w:r>
    </w:p>
    <w:p w:rsidRPr="00412FF3" w:rsidR="00575171" w:rsidP="00F1472A" w:rsidRDefault="00575171" w14:paraId="477877FF" w14:textId="339CB39E">
      <w:pPr>
        <w:numPr>
          <w:ilvl w:val="0"/>
          <w:numId w:val="6"/>
        </w:numPr>
        <w:autoSpaceDN/>
        <w:ind w:left="284" w:hanging="284"/>
        <w:contextualSpacing/>
        <w:textAlignment w:val="auto"/>
        <w:rPr>
          <w:rFonts w:eastAsiaTheme="minorHAnsi" w:cstheme="minorBidi"/>
          <w:color w:val="auto"/>
          <w:szCs w:val="22"/>
          <w:lang w:eastAsia="en-US"/>
        </w:rPr>
      </w:pPr>
      <w:r w:rsidRPr="00412FF3">
        <w:rPr>
          <w:rFonts w:eastAsiaTheme="minorHAnsi" w:cstheme="minorBidi"/>
          <w:color w:val="auto"/>
          <w:szCs w:val="22"/>
          <w:lang w:eastAsia="en-US"/>
        </w:rPr>
        <w:t>Wet Bestuur en Toezicht Rechtspersonen (WBTR): Het (mogelijk) aanpassen van de statuten op grond van de W</w:t>
      </w:r>
      <w:r w:rsidR="00B57D78">
        <w:rPr>
          <w:rFonts w:eastAsiaTheme="minorHAnsi" w:cstheme="minorBidi"/>
          <w:color w:val="auto"/>
          <w:szCs w:val="22"/>
          <w:lang w:eastAsia="en-US"/>
        </w:rPr>
        <w:t>BTR</w:t>
      </w:r>
      <w:r w:rsidR="002C510D">
        <w:rPr>
          <w:rFonts w:eastAsiaTheme="minorHAnsi" w:cstheme="minorBidi"/>
          <w:color w:val="auto"/>
          <w:szCs w:val="22"/>
          <w:lang w:eastAsia="en-US"/>
        </w:rPr>
        <w:t>.</w:t>
      </w:r>
    </w:p>
    <w:p w:rsidRPr="00412FF3" w:rsidR="00575171" w:rsidP="00F1472A" w:rsidRDefault="00575171" w14:paraId="73A05836" w14:textId="1DA3846D">
      <w:pPr>
        <w:numPr>
          <w:ilvl w:val="0"/>
          <w:numId w:val="6"/>
        </w:numPr>
        <w:autoSpaceDN/>
        <w:ind w:left="284" w:hanging="284"/>
        <w:contextualSpacing/>
        <w:textAlignment w:val="auto"/>
        <w:rPr>
          <w:rFonts w:eastAsiaTheme="minorHAnsi" w:cstheme="minorBidi"/>
          <w:color w:val="auto"/>
          <w:szCs w:val="22"/>
          <w:lang w:eastAsia="en-US"/>
        </w:rPr>
      </w:pPr>
      <w:r w:rsidRPr="00412FF3">
        <w:rPr>
          <w:rFonts w:eastAsiaTheme="minorHAnsi" w:cstheme="minorBidi"/>
          <w:color w:val="auto"/>
          <w:szCs w:val="22"/>
          <w:lang w:eastAsia="en-US"/>
        </w:rPr>
        <w:t>Wet Loonbelasting 1964: Het geven van vrijwilligersvergoedinge</w:t>
      </w:r>
      <w:r w:rsidR="002C510D">
        <w:rPr>
          <w:rFonts w:eastAsiaTheme="minorHAnsi" w:cstheme="minorBidi"/>
          <w:color w:val="auto"/>
          <w:szCs w:val="22"/>
          <w:lang w:eastAsia="en-US"/>
        </w:rPr>
        <w:t>n.</w:t>
      </w:r>
    </w:p>
    <w:p w:rsidRPr="00412FF3" w:rsidR="00575171" w:rsidP="00F1472A" w:rsidRDefault="00575171" w14:paraId="69650301" w14:textId="31549C21">
      <w:pPr>
        <w:numPr>
          <w:ilvl w:val="0"/>
          <w:numId w:val="6"/>
        </w:numPr>
        <w:autoSpaceDN/>
        <w:ind w:left="284" w:hanging="284"/>
        <w:contextualSpacing/>
        <w:textAlignment w:val="auto"/>
        <w:rPr>
          <w:rFonts w:eastAsiaTheme="minorHAnsi" w:cstheme="minorBidi"/>
          <w:color w:val="auto"/>
          <w:szCs w:val="22"/>
          <w:lang w:eastAsia="en-US"/>
        </w:rPr>
      </w:pPr>
      <w:r w:rsidRPr="00412FF3">
        <w:rPr>
          <w:rFonts w:eastAsiaTheme="minorHAnsi" w:cstheme="minorBidi"/>
          <w:color w:val="auto"/>
          <w:szCs w:val="22"/>
          <w:lang w:eastAsia="en-US"/>
        </w:rPr>
        <w:t>Wet arbeidsmarkt in balans (</w:t>
      </w:r>
      <w:proofErr w:type="spellStart"/>
      <w:r w:rsidRPr="00412FF3">
        <w:rPr>
          <w:rFonts w:eastAsiaTheme="minorHAnsi" w:cstheme="minorBidi"/>
          <w:color w:val="auto"/>
          <w:szCs w:val="22"/>
          <w:lang w:eastAsia="en-US"/>
        </w:rPr>
        <w:t>Wab</w:t>
      </w:r>
      <w:proofErr w:type="spellEnd"/>
      <w:r w:rsidRPr="00412FF3">
        <w:rPr>
          <w:rFonts w:eastAsiaTheme="minorHAnsi" w:cstheme="minorBidi"/>
          <w:color w:val="auto"/>
          <w:szCs w:val="22"/>
          <w:lang w:eastAsia="en-US"/>
        </w:rPr>
        <w:t xml:space="preserve">): Het verplicht aanbieden van een vast contract na </w:t>
      </w:r>
      <w:r w:rsidR="00F1472A">
        <w:rPr>
          <w:rFonts w:eastAsiaTheme="minorHAnsi" w:cstheme="minorBidi"/>
          <w:color w:val="auto"/>
          <w:szCs w:val="22"/>
          <w:lang w:eastAsia="en-US"/>
        </w:rPr>
        <w:t>drie</w:t>
      </w:r>
      <w:r w:rsidRPr="00412FF3">
        <w:rPr>
          <w:rFonts w:eastAsiaTheme="minorHAnsi" w:cstheme="minorBidi"/>
          <w:color w:val="auto"/>
          <w:szCs w:val="22"/>
          <w:lang w:eastAsia="en-US"/>
        </w:rPr>
        <w:t xml:space="preserve"> aaneengesloten jaarcontracten</w:t>
      </w:r>
      <w:r w:rsidR="002C510D">
        <w:rPr>
          <w:rFonts w:eastAsiaTheme="minorHAnsi" w:cstheme="minorBidi"/>
          <w:color w:val="auto"/>
          <w:szCs w:val="22"/>
          <w:lang w:eastAsia="en-US"/>
        </w:rPr>
        <w:t>.</w:t>
      </w:r>
    </w:p>
    <w:p w:rsidRPr="00412FF3" w:rsidR="00575171" w:rsidP="00F1472A" w:rsidRDefault="00575171" w14:paraId="63313313" w14:textId="3DBD1418">
      <w:pPr>
        <w:numPr>
          <w:ilvl w:val="0"/>
          <w:numId w:val="6"/>
        </w:numPr>
        <w:autoSpaceDN/>
        <w:ind w:left="284" w:hanging="284"/>
        <w:contextualSpacing/>
        <w:textAlignment w:val="auto"/>
        <w:rPr>
          <w:rFonts w:eastAsiaTheme="minorHAnsi" w:cstheme="minorBidi"/>
          <w:color w:val="auto"/>
          <w:szCs w:val="22"/>
          <w:lang w:eastAsia="en-US"/>
        </w:rPr>
      </w:pPr>
      <w:r w:rsidRPr="00412FF3">
        <w:rPr>
          <w:rFonts w:eastAsiaTheme="minorHAnsi" w:cstheme="minorBidi"/>
          <w:color w:val="auto"/>
          <w:szCs w:val="22"/>
          <w:lang w:eastAsia="en-US"/>
        </w:rPr>
        <w:t>Uitvoeringsregeling Algemene wet inzake Rijksbelastingen: Het aanvragen van de ANBI-status</w:t>
      </w:r>
      <w:r w:rsidR="002C510D">
        <w:rPr>
          <w:rFonts w:eastAsiaTheme="minorHAnsi" w:cstheme="minorBidi"/>
          <w:color w:val="auto"/>
          <w:szCs w:val="22"/>
          <w:lang w:eastAsia="en-US"/>
        </w:rPr>
        <w:t>.</w:t>
      </w:r>
    </w:p>
    <w:p w:rsidRPr="00412FF3" w:rsidR="00575171" w:rsidP="00F1472A" w:rsidRDefault="00575171" w14:paraId="71814773" w14:textId="19B8A03B">
      <w:pPr>
        <w:numPr>
          <w:ilvl w:val="0"/>
          <w:numId w:val="6"/>
        </w:numPr>
        <w:autoSpaceDN/>
        <w:ind w:left="284" w:hanging="284"/>
        <w:contextualSpacing/>
        <w:textAlignment w:val="auto"/>
        <w:rPr>
          <w:rFonts w:eastAsiaTheme="minorHAnsi" w:cstheme="minorBidi"/>
          <w:color w:val="auto"/>
          <w:szCs w:val="22"/>
          <w:lang w:eastAsia="en-US"/>
        </w:rPr>
      </w:pPr>
      <w:r w:rsidRPr="00412FF3">
        <w:rPr>
          <w:rFonts w:eastAsiaTheme="minorHAnsi" w:cstheme="minorBidi"/>
          <w:color w:val="auto"/>
          <w:szCs w:val="22"/>
          <w:lang w:eastAsia="en-US"/>
        </w:rPr>
        <w:t>Alcoholwet: Het houden van toezicht op het alcohol- en rookverbod</w:t>
      </w:r>
      <w:r w:rsidR="002C510D">
        <w:rPr>
          <w:rFonts w:eastAsiaTheme="minorHAnsi" w:cstheme="minorBidi"/>
          <w:color w:val="auto"/>
          <w:szCs w:val="22"/>
          <w:lang w:eastAsia="en-US"/>
        </w:rPr>
        <w:t>.</w:t>
      </w:r>
    </w:p>
    <w:p w:rsidRPr="00412FF3" w:rsidR="00F1472A" w:rsidP="00F1472A" w:rsidRDefault="00575171" w14:paraId="723F83EB" w14:textId="6E8DF80C">
      <w:pPr>
        <w:numPr>
          <w:ilvl w:val="0"/>
          <w:numId w:val="6"/>
        </w:numPr>
        <w:autoSpaceDN/>
        <w:ind w:left="284" w:hanging="284"/>
        <w:contextualSpacing/>
        <w:textAlignment w:val="auto"/>
        <w:rPr>
          <w:rFonts w:eastAsiaTheme="minorHAnsi" w:cstheme="minorBidi"/>
          <w:color w:val="auto"/>
          <w:szCs w:val="22"/>
          <w:lang w:eastAsia="en-US"/>
        </w:rPr>
      </w:pPr>
      <w:r w:rsidRPr="00412FF3">
        <w:rPr>
          <w:rFonts w:eastAsiaTheme="minorHAnsi" w:cstheme="minorBidi"/>
          <w:color w:val="auto"/>
          <w:szCs w:val="22"/>
          <w:lang w:eastAsia="en-US"/>
        </w:rPr>
        <w:t>Het aanvragen en verantwoorden van subsidies</w:t>
      </w:r>
      <w:r w:rsidR="002C510D">
        <w:rPr>
          <w:rFonts w:eastAsiaTheme="minorHAnsi" w:cstheme="minorBidi"/>
          <w:color w:val="auto"/>
          <w:szCs w:val="22"/>
          <w:lang w:eastAsia="en-US"/>
        </w:rPr>
        <w:t>.</w:t>
      </w:r>
    </w:p>
    <w:p w:rsidRPr="00F1472A" w:rsidR="00575171" w:rsidP="00C36349" w:rsidRDefault="00575171" w14:paraId="5DFA0149" w14:textId="085D32BD">
      <w:pPr>
        <w:numPr>
          <w:ilvl w:val="0"/>
          <w:numId w:val="6"/>
        </w:numPr>
        <w:tabs>
          <w:tab w:val="left" w:pos="5387"/>
        </w:tabs>
        <w:autoSpaceDN/>
        <w:ind w:left="284" w:hanging="284"/>
        <w:contextualSpacing/>
        <w:textAlignment w:val="auto"/>
        <w:rPr>
          <w:rFonts w:eastAsiaTheme="minorHAnsi" w:cstheme="minorBidi"/>
          <w:color w:val="auto"/>
          <w:szCs w:val="22"/>
          <w:lang w:eastAsia="en-US"/>
        </w:rPr>
      </w:pPr>
      <w:r w:rsidRPr="00F1472A">
        <w:rPr>
          <w:rFonts w:eastAsiaTheme="minorHAnsi" w:cstheme="minorBidi"/>
          <w:color w:val="auto"/>
          <w:szCs w:val="22"/>
          <w:lang w:eastAsia="en-US"/>
        </w:rPr>
        <w:t>Het organiseren van een groot evenement en lokale vergunningen die hiervoor nodig zijn</w:t>
      </w:r>
      <w:r w:rsidRPr="00F1472A" w:rsidR="007D0E89">
        <w:rPr>
          <w:rFonts w:eastAsiaTheme="minorHAnsi" w:cstheme="minorBidi"/>
          <w:color w:val="auto"/>
          <w:szCs w:val="22"/>
          <w:lang w:eastAsia="en-US"/>
        </w:rPr>
        <w:t>.</w:t>
      </w:r>
    </w:p>
    <w:p w:rsidR="0047175D" w:rsidP="0047175D" w:rsidRDefault="00FE6B31" w14:paraId="2E5886DC" w14:textId="10449722">
      <w:pPr>
        <w:rPr>
          <w:rFonts w:ascii="Calibri" w:hAnsi="Calibri" w:cs="Calibri" w:eastAsiaTheme="minorHAnsi"/>
          <w:color w:val="auto"/>
          <w:sz w:val="22"/>
          <w:szCs w:val="22"/>
        </w:rPr>
      </w:pPr>
      <w:r>
        <w:br/>
      </w:r>
      <w:r w:rsidR="0047175D">
        <w:t xml:space="preserve">In het tweede kwartaal van 2026 zal de staatssecretaris van Langdurige en Maatschappelijke Zorg uw Kamer informeren over de voortgang en de gedane toezeggingen in het kader van de bovengenoemde aanpak. </w:t>
      </w:r>
    </w:p>
    <w:p w:rsidR="008A6DFC" w:rsidP="005D04A7" w:rsidRDefault="008A6DFC" w14:paraId="00F9A763" w14:textId="153A5F65">
      <w:pPr>
        <w:autoSpaceDN/>
        <w:contextualSpacing/>
        <w:textAlignment w:val="auto"/>
        <w:rPr>
          <w:rFonts w:eastAsiaTheme="minorHAnsi" w:cstheme="minorBidi"/>
          <w:color w:val="auto"/>
          <w:szCs w:val="22"/>
          <w:lang w:eastAsia="en-US"/>
        </w:rPr>
      </w:pPr>
    </w:p>
    <w:p w:rsidRPr="008A6DFC" w:rsidR="006B1EE5" w:rsidP="005D04A7" w:rsidRDefault="00942835" w14:paraId="5F5603ED" w14:textId="6B53820E">
      <w:pPr>
        <w:autoSpaceDN/>
        <w:contextualSpacing/>
        <w:textAlignment w:val="auto"/>
        <w:rPr>
          <w:rFonts w:eastAsiaTheme="minorHAnsi" w:cstheme="minorBidi"/>
          <w:color w:val="auto"/>
          <w:szCs w:val="22"/>
          <w:lang w:eastAsia="en-US"/>
        </w:rPr>
      </w:pPr>
      <w:r>
        <w:rPr>
          <w:rFonts w:eastAsiaTheme="minorHAnsi" w:cstheme="minorBidi"/>
          <w:color w:val="auto"/>
          <w:szCs w:val="22"/>
          <w:lang w:eastAsia="en-US"/>
        </w:rPr>
        <w:t>In</w:t>
      </w:r>
      <w:r w:rsidR="00CE14D0">
        <w:rPr>
          <w:rFonts w:eastAsiaTheme="minorHAnsi" w:cstheme="minorBidi"/>
          <w:color w:val="auto"/>
          <w:szCs w:val="22"/>
          <w:lang w:eastAsia="en-US"/>
        </w:rPr>
        <w:t xml:space="preserve"> de hiervoor genoemde</w:t>
      </w:r>
      <w:r w:rsidR="003D3588">
        <w:rPr>
          <w:rFonts w:eastAsiaTheme="minorHAnsi" w:cstheme="minorBidi"/>
          <w:color w:val="auto"/>
          <w:szCs w:val="22"/>
          <w:lang w:eastAsia="en-US"/>
        </w:rPr>
        <w:t xml:space="preserve"> brief</w:t>
      </w:r>
      <w:r w:rsidR="00B2116B">
        <w:rPr>
          <w:rStyle w:val="Voetnootmarkering"/>
          <w:rFonts w:eastAsiaTheme="minorHAnsi" w:cstheme="minorBidi"/>
          <w:color w:val="auto"/>
          <w:szCs w:val="22"/>
          <w:lang w:eastAsia="en-US"/>
        </w:rPr>
        <w:footnoteReference w:id="3"/>
      </w:r>
      <w:r>
        <w:rPr>
          <w:rFonts w:eastAsiaTheme="minorHAnsi" w:cstheme="minorBidi"/>
          <w:color w:val="auto"/>
          <w:szCs w:val="22"/>
          <w:lang w:eastAsia="en-US"/>
        </w:rPr>
        <w:t xml:space="preserve"> </w:t>
      </w:r>
      <w:r w:rsidR="00CE14D0">
        <w:rPr>
          <w:rFonts w:eastAsiaTheme="minorHAnsi" w:cstheme="minorBidi"/>
          <w:color w:val="auto"/>
          <w:szCs w:val="22"/>
          <w:lang w:eastAsia="en-US"/>
        </w:rPr>
        <w:t xml:space="preserve">bent </w:t>
      </w:r>
      <w:r>
        <w:rPr>
          <w:rFonts w:eastAsiaTheme="minorHAnsi" w:cstheme="minorBidi"/>
          <w:color w:val="auto"/>
          <w:szCs w:val="22"/>
          <w:lang w:eastAsia="en-US"/>
        </w:rPr>
        <w:t>u geïnformeerd dat sportverenigingen</w:t>
      </w:r>
      <w:r w:rsidR="005D04A7">
        <w:rPr>
          <w:color w:val="auto"/>
        </w:rPr>
        <w:t xml:space="preserve"> m</w:t>
      </w:r>
      <w:r w:rsidR="00017D7A">
        <w:rPr>
          <w:color w:val="auto"/>
        </w:rPr>
        <w:t xml:space="preserve">et name knelpunten ervaren rondom lokale regelgeving, </w:t>
      </w:r>
      <w:r w:rsidR="005D04A7">
        <w:rPr>
          <w:color w:val="auto"/>
        </w:rPr>
        <w:t>bijvoorbeeld als het gaat om</w:t>
      </w:r>
      <w:r w:rsidR="00017D7A">
        <w:rPr>
          <w:color w:val="auto"/>
        </w:rPr>
        <w:t xml:space="preserve"> vergunningen</w:t>
      </w:r>
      <w:r>
        <w:rPr>
          <w:color w:val="auto"/>
        </w:rPr>
        <w:t>. Daarnaast ervaren zij regeldruk</w:t>
      </w:r>
      <w:r w:rsidR="00017D7A">
        <w:rPr>
          <w:color w:val="auto"/>
        </w:rPr>
        <w:t xml:space="preserve"> bij werkgeverschap van betaalde krachten en vrijwilligers. </w:t>
      </w:r>
      <w:r w:rsidR="00495DAF">
        <w:rPr>
          <w:color w:val="auto"/>
        </w:rPr>
        <w:t xml:space="preserve">Vooruitlopend op de </w:t>
      </w:r>
      <w:r w:rsidR="00764706">
        <w:t xml:space="preserve">aanpak regeldruk </w:t>
      </w:r>
      <w:r w:rsidRPr="00CC5C44" w:rsidR="00764706">
        <w:t xml:space="preserve">van </w:t>
      </w:r>
      <w:r w:rsidR="00764706">
        <w:t xml:space="preserve">de </w:t>
      </w:r>
      <w:r w:rsidRPr="00CC5C44" w:rsidR="00764706">
        <w:t>toenmalig</w:t>
      </w:r>
      <w:r w:rsidR="00764706">
        <w:t>e</w:t>
      </w:r>
      <w:r w:rsidRPr="00CC5C44" w:rsidR="00764706">
        <w:t xml:space="preserve"> staatssecretaris van Langdurige en Maatschappelijke Zorg</w:t>
      </w:r>
      <w:r w:rsidR="00495DAF">
        <w:rPr>
          <w:color w:val="auto"/>
        </w:rPr>
        <w:t xml:space="preserve">, zijn voor de sport- en beweegsector de volgende relevante acties al in gang gezet. </w:t>
      </w:r>
      <w:r w:rsidR="0075308B">
        <w:rPr>
          <w:color w:val="auto"/>
        </w:rPr>
        <w:t>Hiermee neem ik de motie van het lid van Inge van Dijk (CDA)</w:t>
      </w:r>
      <w:r w:rsidR="0075308B">
        <w:rPr>
          <w:rStyle w:val="Voetnootmarkering"/>
          <w:color w:val="auto"/>
        </w:rPr>
        <w:footnoteReference w:id="4"/>
      </w:r>
      <w:r w:rsidR="0075308B">
        <w:rPr>
          <w:color w:val="auto"/>
        </w:rPr>
        <w:t xml:space="preserve"> ter hand.</w:t>
      </w:r>
    </w:p>
    <w:p w:rsidR="00017D7A" w:rsidP="002C510D" w:rsidRDefault="00017D7A" w14:paraId="053CFBB1" w14:textId="77777777">
      <w:pPr>
        <w:rPr>
          <w:color w:val="auto"/>
        </w:rPr>
      </w:pPr>
    </w:p>
    <w:p w:rsidRPr="00495DAF" w:rsidR="00017D7A" w:rsidP="00DD275D" w:rsidRDefault="00E41EBB" w14:paraId="32AE84DA" w14:textId="1294581C">
      <w:pPr>
        <w:pStyle w:val="Lijstalinea"/>
        <w:numPr>
          <w:ilvl w:val="0"/>
          <w:numId w:val="12"/>
        </w:numPr>
        <w:ind w:left="426" w:hanging="426"/>
        <w:rPr>
          <w:i/>
          <w:iCs/>
          <w:color w:val="auto"/>
        </w:rPr>
      </w:pPr>
      <w:r w:rsidRPr="00495DAF">
        <w:rPr>
          <w:i/>
          <w:iCs/>
          <w:color w:val="auto"/>
        </w:rPr>
        <w:t>Vergunning-vrije kleinschalige evenementen in de sportsect</w:t>
      </w:r>
      <w:r w:rsidRPr="00495DAF" w:rsidR="00190363">
        <w:rPr>
          <w:i/>
          <w:iCs/>
          <w:color w:val="auto"/>
        </w:rPr>
        <w:t xml:space="preserve">or </w:t>
      </w:r>
    </w:p>
    <w:p w:rsidR="002363BE" w:rsidP="006B1EE5" w:rsidRDefault="002363BE" w14:paraId="2FB46290" w14:textId="5884C29B">
      <w:pPr>
        <w:autoSpaceDN/>
        <w:textAlignment w:val="auto"/>
        <w:rPr>
          <w:rFonts w:eastAsiaTheme="minorHAnsi" w:cstheme="minorBidi"/>
          <w:color w:val="auto"/>
          <w:lang w:eastAsia="en-US"/>
        </w:rPr>
      </w:pPr>
      <w:r w:rsidRPr="002363BE">
        <w:rPr>
          <w:rFonts w:eastAsiaTheme="minorHAnsi" w:cstheme="minorBidi"/>
          <w:color w:val="auto"/>
          <w:lang w:eastAsia="en-US"/>
        </w:rPr>
        <w:t>Voor het organiseren van een evenement is in het ene geval wel een vergunning vereist en in het andere geval niet. Daarnaast verschilt per gemeente of voor een evenement een vergunning nodig is. Voor vaak terugkerende, kleinschalige, aan lokale (sport)verenigingen verbonden evenementen moet de mogelijkheid bestaan om deze vergunning-vrij te laten plaatsvinden. Een meldplicht volstaat dan, zodat het bevoegd gezag in het kader van openbare orde en veiligheid op de hoogte is van de plannen. Ik ben met de Vereniging van Nederlandse Gemeenten (VNG) in gesprek om te verkennen onder welke voorwaarden een meldplicht voor dergelijke kleinschalige evenementen volstaat. Sommige gemeenten passen dit reeds toe. Door stimulering en eventueel opname in de modelverordening voor gemeenten zou deze optie een landelijke werking kunnen krijgen.</w:t>
      </w:r>
    </w:p>
    <w:p w:rsidR="00DE637B" w:rsidP="00DD275D" w:rsidRDefault="00DE637B" w14:paraId="007DA643" w14:textId="77777777">
      <w:pPr>
        <w:autoSpaceDN/>
        <w:textAlignment w:val="auto"/>
        <w:rPr>
          <w:rFonts w:eastAsiaTheme="minorHAnsi" w:cstheme="minorBidi"/>
          <w:color w:val="auto"/>
          <w:lang w:eastAsia="en-US"/>
        </w:rPr>
      </w:pPr>
    </w:p>
    <w:p w:rsidRPr="00127236" w:rsidR="00DE637B" w:rsidP="00D87439" w:rsidRDefault="00DE637B" w14:paraId="4FFD61C4" w14:textId="4DC28FA3">
      <w:pPr>
        <w:pStyle w:val="Lijstalinea"/>
        <w:numPr>
          <w:ilvl w:val="0"/>
          <w:numId w:val="12"/>
        </w:numPr>
        <w:ind w:left="426" w:hanging="426"/>
        <w:rPr>
          <w:i/>
          <w:iCs/>
          <w:lang w:eastAsia="en-US"/>
        </w:rPr>
      </w:pPr>
      <w:r w:rsidRPr="00127236">
        <w:rPr>
          <w:i/>
          <w:iCs/>
          <w:lang w:eastAsia="en-US"/>
        </w:rPr>
        <w:t>Ontzorgen vergunningen bij tochten en evenementen</w:t>
      </w:r>
    </w:p>
    <w:p w:rsidRPr="00412FF3" w:rsidR="00575171" w:rsidP="002C510D" w:rsidRDefault="00575171" w14:paraId="7F886CD7" w14:textId="434F9A52">
      <w:pPr>
        <w:autoSpaceDE w:val="0"/>
        <w:adjustRightInd w:val="0"/>
        <w:textAlignment w:val="auto"/>
        <w:rPr>
          <w:rFonts w:eastAsiaTheme="minorHAnsi" w:cstheme="minorBidi"/>
          <w:color w:val="auto"/>
          <w:lang w:eastAsia="en-US"/>
        </w:rPr>
      </w:pPr>
      <w:bookmarkStart w:name="_Hlk214265245" w:id="1"/>
      <w:r w:rsidRPr="00412FF3">
        <w:rPr>
          <w:rFonts w:eastAsiaTheme="minorHAnsi" w:cstheme="minorBidi"/>
          <w:color w:val="auto"/>
          <w:lang w:eastAsia="en-US"/>
        </w:rPr>
        <w:t xml:space="preserve">Het organiseren van (route)evenementen in de buitenruimte staat onder druk. </w:t>
      </w:r>
      <w:r w:rsidR="00967384">
        <w:rPr>
          <w:rFonts w:eastAsiaTheme="minorHAnsi" w:cstheme="minorBidi"/>
          <w:color w:val="auto"/>
          <w:lang w:eastAsia="en-US"/>
        </w:rPr>
        <w:t xml:space="preserve">Uit gesprekken met stakeholders blijkt dat een groot deel </w:t>
      </w:r>
      <w:r w:rsidRPr="006B1EE5" w:rsidR="000A54F2">
        <w:rPr>
          <w:rFonts w:eastAsiaTheme="minorHAnsi" w:cstheme="minorBidi"/>
          <w:color w:val="auto"/>
          <w:lang w:eastAsia="en-US"/>
        </w:rPr>
        <w:t xml:space="preserve">van de organisatoren te veel regeldruk </w:t>
      </w:r>
      <w:r w:rsidR="00967384">
        <w:rPr>
          <w:rFonts w:eastAsiaTheme="minorHAnsi" w:cstheme="minorBidi"/>
          <w:color w:val="auto"/>
          <w:lang w:eastAsia="en-US"/>
        </w:rPr>
        <w:t xml:space="preserve">ervaart </w:t>
      </w:r>
      <w:r w:rsidRPr="006B1EE5" w:rsidR="000A54F2">
        <w:rPr>
          <w:rFonts w:eastAsiaTheme="minorHAnsi" w:cstheme="minorBidi"/>
          <w:color w:val="auto"/>
          <w:lang w:eastAsia="en-US"/>
        </w:rPr>
        <w:t>en</w:t>
      </w:r>
      <w:r w:rsidR="00967384">
        <w:rPr>
          <w:rFonts w:eastAsiaTheme="minorHAnsi" w:cstheme="minorBidi"/>
          <w:color w:val="auto"/>
          <w:lang w:eastAsia="en-US"/>
        </w:rPr>
        <w:t xml:space="preserve"> </w:t>
      </w:r>
      <w:r w:rsidR="003C2DF0">
        <w:rPr>
          <w:rFonts w:eastAsiaTheme="minorHAnsi" w:cstheme="minorBidi"/>
          <w:color w:val="auto"/>
          <w:lang w:eastAsia="en-US"/>
        </w:rPr>
        <w:t>een deel</w:t>
      </w:r>
      <w:r w:rsidRPr="006B1EE5" w:rsidR="000A54F2">
        <w:rPr>
          <w:rFonts w:eastAsiaTheme="minorHAnsi" w:cstheme="minorBidi"/>
          <w:color w:val="auto"/>
          <w:lang w:eastAsia="en-US"/>
        </w:rPr>
        <w:t xml:space="preserve"> van de tochten van de </w:t>
      </w:r>
      <w:r w:rsidR="0052699D">
        <w:rPr>
          <w:rFonts w:eastAsiaTheme="minorHAnsi" w:cstheme="minorBidi"/>
          <w:color w:val="auto"/>
          <w:lang w:eastAsia="en-US"/>
        </w:rPr>
        <w:t>evenementen</w:t>
      </w:r>
      <w:r w:rsidRPr="006B1EE5" w:rsidR="000A54F2">
        <w:rPr>
          <w:rFonts w:eastAsiaTheme="minorHAnsi" w:cstheme="minorBidi"/>
          <w:color w:val="auto"/>
          <w:lang w:eastAsia="en-US"/>
        </w:rPr>
        <w:t xml:space="preserve">kalender </w:t>
      </w:r>
      <w:r w:rsidR="00967384">
        <w:rPr>
          <w:rFonts w:eastAsiaTheme="minorHAnsi" w:cstheme="minorBidi"/>
          <w:color w:val="auto"/>
          <w:lang w:eastAsia="en-US"/>
        </w:rPr>
        <w:t>verdwijnt</w:t>
      </w:r>
      <w:bookmarkEnd w:id="1"/>
      <w:r w:rsidRPr="006B1EE5" w:rsidR="000A54F2">
        <w:rPr>
          <w:rFonts w:eastAsiaTheme="minorHAnsi" w:cstheme="minorBidi"/>
          <w:color w:val="auto"/>
          <w:lang w:eastAsia="en-US"/>
        </w:rPr>
        <w:t xml:space="preserve">. </w:t>
      </w:r>
      <w:r w:rsidRPr="0057696E" w:rsidR="0057696E">
        <w:rPr>
          <w:rFonts w:eastAsiaTheme="minorHAnsi" w:cstheme="minorBidi"/>
          <w:color w:val="auto"/>
          <w:lang w:eastAsia="en-US"/>
        </w:rPr>
        <w:t xml:space="preserve">Door de complexe en omvangrijke regelgeving, en de kosten die het verkrijgen van vergunningen van gemeente, provincie en terreineigenaren met zich meebrengt, ervaren </w:t>
      </w:r>
      <w:r w:rsidR="0057696E">
        <w:rPr>
          <w:rFonts w:eastAsiaTheme="minorHAnsi" w:cstheme="minorBidi"/>
          <w:color w:val="auto"/>
          <w:lang w:eastAsia="en-US"/>
        </w:rPr>
        <w:t>organisatoren</w:t>
      </w:r>
      <w:r w:rsidRPr="0057696E" w:rsidR="0057696E">
        <w:rPr>
          <w:rFonts w:eastAsiaTheme="minorHAnsi" w:cstheme="minorBidi"/>
          <w:color w:val="auto"/>
          <w:lang w:eastAsia="en-US"/>
        </w:rPr>
        <w:t xml:space="preserve"> een hoge regeldruk. Dit maakt het niet alleen lastig om te voldoen aan de eisen voor openbare orde en veiligheid, maar ook om aan te tonen dat wordt gewerkt binnen de kaders van de natuurwetgeving</w:t>
      </w:r>
      <w:r w:rsidR="0057696E">
        <w:rPr>
          <w:rFonts w:eastAsiaTheme="minorHAnsi" w:cstheme="minorBidi"/>
          <w:color w:val="auto"/>
          <w:lang w:eastAsia="en-US"/>
        </w:rPr>
        <w:t xml:space="preserve">. </w:t>
      </w:r>
      <w:r w:rsidRPr="006B1EE5" w:rsidR="000A54F2">
        <w:rPr>
          <w:rFonts w:eastAsiaTheme="minorHAnsi" w:cstheme="minorBidi"/>
          <w:color w:val="auto"/>
          <w:lang w:eastAsia="en-US"/>
        </w:rPr>
        <w:t>Organisatoren hebben te maken met toenemende stapeling van tarieven en regels: de gemeentelijke Algemene Plaatselijke Verordening</w:t>
      </w:r>
      <w:r w:rsidR="000A54F2">
        <w:rPr>
          <w:rFonts w:eastAsiaTheme="minorHAnsi" w:cstheme="minorBidi"/>
          <w:color w:val="auto"/>
          <w:lang w:eastAsia="en-US"/>
        </w:rPr>
        <w:t xml:space="preserve"> (</w:t>
      </w:r>
      <w:proofErr w:type="spellStart"/>
      <w:r w:rsidRPr="006B1EE5" w:rsidR="000A54F2">
        <w:rPr>
          <w:rFonts w:eastAsiaTheme="minorHAnsi" w:cstheme="minorBidi"/>
          <w:color w:val="auto"/>
          <w:lang w:eastAsia="en-US"/>
        </w:rPr>
        <w:t>APV’s</w:t>
      </w:r>
      <w:proofErr w:type="spellEnd"/>
      <w:r w:rsidR="000A54F2">
        <w:rPr>
          <w:rFonts w:eastAsiaTheme="minorHAnsi" w:cstheme="minorBidi"/>
          <w:color w:val="auto"/>
          <w:lang w:eastAsia="en-US"/>
        </w:rPr>
        <w:t xml:space="preserve">) </w:t>
      </w:r>
      <w:r w:rsidRPr="006B1EE5" w:rsidR="000A54F2">
        <w:rPr>
          <w:rFonts w:eastAsiaTheme="minorHAnsi" w:cstheme="minorBidi"/>
          <w:color w:val="auto"/>
          <w:lang w:eastAsia="en-US"/>
        </w:rPr>
        <w:t xml:space="preserve">die onderling kunnen verschillen op inhoud en proces, provincies die vanuit de Omgevingswet moeten aangeven hoe met kwetsbare soorten en gebieden om te gaan en diverse </w:t>
      </w:r>
      <w:r w:rsidRPr="006B1EE5" w:rsidR="00B2116B">
        <w:rPr>
          <w:rFonts w:eastAsiaTheme="minorHAnsi" w:cstheme="minorBidi"/>
          <w:color w:val="auto"/>
          <w:lang w:eastAsia="en-US"/>
        </w:rPr>
        <w:t>terrein beherende</w:t>
      </w:r>
      <w:r w:rsidRPr="006B1EE5" w:rsidR="000A54F2">
        <w:rPr>
          <w:rFonts w:eastAsiaTheme="minorHAnsi" w:cstheme="minorBidi"/>
          <w:color w:val="auto"/>
          <w:lang w:eastAsia="en-US"/>
        </w:rPr>
        <w:t xml:space="preserve"> organisaties met ieder een eigen procesplaat en spelregels; soms landelijk, soms regionaal bepaald. </w:t>
      </w:r>
      <w:r w:rsidR="000F6ABA">
        <w:rPr>
          <w:rFonts w:eastAsiaTheme="minorHAnsi" w:cstheme="minorBidi"/>
          <w:color w:val="auto"/>
          <w:lang w:eastAsia="en-US"/>
        </w:rPr>
        <w:t xml:space="preserve">Hoewel de waarde van tochten in de buitenruimte bij geen van de stakeholders ter discussie staat, </w:t>
      </w:r>
      <w:r w:rsidR="00B2116B">
        <w:rPr>
          <w:rFonts w:eastAsiaTheme="minorHAnsi" w:cstheme="minorBidi"/>
          <w:color w:val="auto"/>
          <w:lang w:eastAsia="en-US"/>
        </w:rPr>
        <w:t xml:space="preserve">wordt het voor lokale organisatoren steeds ingewikkelder om (route)evenementen te organiseren. </w:t>
      </w:r>
      <w:r w:rsidR="000F6ABA">
        <w:rPr>
          <w:rFonts w:eastAsiaTheme="minorHAnsi" w:cstheme="minorBidi"/>
          <w:color w:val="auto"/>
          <w:lang w:eastAsia="en-US"/>
        </w:rPr>
        <w:t>In</w:t>
      </w:r>
      <w:r w:rsidRPr="00CC5C44" w:rsidR="00127236">
        <w:t xml:space="preserve"> de kamerbrief van 18 juni 2025</w:t>
      </w:r>
      <w:r w:rsidRPr="00CC5C44" w:rsidR="00127236">
        <w:rPr>
          <w:vertAlign w:val="superscript"/>
        </w:rPr>
        <w:footnoteReference w:id="5"/>
      </w:r>
      <w:r w:rsidR="00127236">
        <w:t xml:space="preserve"> </w:t>
      </w:r>
      <w:r w:rsidR="000F6ABA">
        <w:t>heb ik uw Kamer geïnformeerd dat</w:t>
      </w:r>
      <w:r w:rsidR="00127236">
        <w:t xml:space="preserve"> </w:t>
      </w:r>
      <w:r w:rsidRPr="00412FF3">
        <w:rPr>
          <w:rFonts w:eastAsiaTheme="minorHAnsi" w:cstheme="minorBidi"/>
          <w:color w:val="auto"/>
          <w:lang w:eastAsia="en-US"/>
        </w:rPr>
        <w:t xml:space="preserve">NOC*NSF en de Vereniging Sport en Gemeenten </w:t>
      </w:r>
      <w:r w:rsidR="0054718E">
        <w:rPr>
          <w:rFonts w:eastAsiaTheme="minorHAnsi" w:cstheme="minorBidi"/>
          <w:color w:val="auto"/>
          <w:lang w:eastAsia="en-US"/>
        </w:rPr>
        <w:t xml:space="preserve">(VSG) </w:t>
      </w:r>
      <w:r w:rsidRPr="00412FF3">
        <w:rPr>
          <w:rFonts w:eastAsiaTheme="minorHAnsi" w:cstheme="minorBidi"/>
          <w:color w:val="auto"/>
          <w:lang w:eastAsia="en-US"/>
        </w:rPr>
        <w:t xml:space="preserve">samen </w:t>
      </w:r>
      <w:r w:rsidR="0052699D">
        <w:rPr>
          <w:rFonts w:eastAsiaTheme="minorHAnsi" w:cstheme="minorBidi"/>
          <w:color w:val="auto"/>
          <w:lang w:eastAsia="en-US"/>
        </w:rPr>
        <w:t xml:space="preserve">aan de slag zijn om </w:t>
      </w:r>
      <w:r>
        <w:rPr>
          <w:rFonts w:eastAsiaTheme="minorHAnsi" w:cstheme="minorBidi"/>
          <w:color w:val="auto"/>
          <w:lang w:eastAsia="en-US"/>
        </w:rPr>
        <w:t xml:space="preserve">een plan </w:t>
      </w:r>
      <w:r w:rsidR="0052699D">
        <w:rPr>
          <w:rFonts w:eastAsiaTheme="minorHAnsi" w:cstheme="minorBidi"/>
          <w:color w:val="auto"/>
          <w:lang w:eastAsia="en-US"/>
        </w:rPr>
        <w:t>uit te werken</w:t>
      </w:r>
      <w:r>
        <w:rPr>
          <w:rFonts w:eastAsiaTheme="minorHAnsi" w:cstheme="minorBidi"/>
          <w:color w:val="auto"/>
          <w:lang w:eastAsia="en-US"/>
        </w:rPr>
        <w:t xml:space="preserve">, waarbij zij: </w:t>
      </w:r>
    </w:p>
    <w:p w:rsidRPr="00412FF3" w:rsidR="00575171" w:rsidP="00223F1E" w:rsidRDefault="00333CB6" w14:paraId="2FC474D5" w14:textId="58466212">
      <w:pPr>
        <w:numPr>
          <w:ilvl w:val="0"/>
          <w:numId w:val="5"/>
        </w:numPr>
        <w:autoSpaceDN/>
        <w:ind w:left="284" w:hanging="284"/>
        <w:contextualSpacing/>
        <w:textAlignment w:val="auto"/>
        <w:rPr>
          <w:rFonts w:eastAsiaTheme="minorHAnsi" w:cstheme="minorBidi"/>
          <w:color w:val="auto"/>
          <w:lang w:eastAsia="en-US"/>
        </w:rPr>
      </w:pPr>
      <w:r>
        <w:rPr>
          <w:rFonts w:eastAsiaTheme="minorHAnsi" w:cstheme="minorBidi"/>
          <w:color w:val="auto"/>
          <w:lang w:eastAsia="en-US"/>
        </w:rPr>
        <w:t>e</w:t>
      </w:r>
      <w:r w:rsidR="00575171">
        <w:rPr>
          <w:rFonts w:eastAsiaTheme="minorHAnsi" w:cstheme="minorBidi"/>
          <w:color w:val="auto"/>
          <w:lang w:eastAsia="en-US"/>
        </w:rPr>
        <w:t xml:space="preserve">en </w:t>
      </w:r>
      <w:r w:rsidRPr="00D71707" w:rsidR="00575171">
        <w:rPr>
          <w:rFonts w:eastAsiaTheme="minorHAnsi" w:cstheme="minorBidi"/>
          <w:color w:val="auto"/>
          <w:lang w:eastAsia="en-US"/>
        </w:rPr>
        <w:t xml:space="preserve">handelingskader </w:t>
      </w:r>
      <w:r w:rsidR="00575171">
        <w:rPr>
          <w:rFonts w:eastAsiaTheme="minorHAnsi" w:cstheme="minorBidi"/>
          <w:color w:val="auto"/>
          <w:lang w:eastAsia="en-US"/>
        </w:rPr>
        <w:t>opstellen</w:t>
      </w:r>
      <w:r w:rsidRPr="00412FF3" w:rsidR="00575171">
        <w:rPr>
          <w:rFonts w:eastAsiaTheme="minorHAnsi" w:cstheme="minorBidi"/>
          <w:color w:val="auto"/>
          <w:lang w:eastAsia="en-US"/>
        </w:rPr>
        <w:t>, waaruit blijkt onder welke omstandigheden tochten en evenementen altijd onder de kritische depositowaarde van stikstof en impact op natuur blijven. Hiermee is aan de voorkant al duidelijk voor</w:t>
      </w:r>
      <w:r w:rsidR="00760B53">
        <w:rPr>
          <w:rFonts w:eastAsiaTheme="minorHAnsi" w:cstheme="minorBidi"/>
          <w:color w:val="auto"/>
          <w:lang w:eastAsia="en-US"/>
        </w:rPr>
        <w:t xml:space="preserve"> welke</w:t>
      </w:r>
      <w:r w:rsidRPr="00412FF3" w:rsidR="00575171">
        <w:rPr>
          <w:rFonts w:eastAsiaTheme="minorHAnsi" w:cstheme="minorBidi"/>
          <w:color w:val="auto"/>
          <w:lang w:eastAsia="en-US"/>
        </w:rPr>
        <w:t xml:space="preserve"> evenementen geen vergunningen nodig zijn;</w:t>
      </w:r>
    </w:p>
    <w:p w:rsidRPr="00412FF3" w:rsidR="00575171" w:rsidP="00223F1E" w:rsidRDefault="00333CB6" w14:paraId="1EC2EB9E" w14:textId="0F01CD20">
      <w:pPr>
        <w:numPr>
          <w:ilvl w:val="0"/>
          <w:numId w:val="5"/>
        </w:numPr>
        <w:autoSpaceDN/>
        <w:ind w:left="284" w:hanging="284"/>
        <w:contextualSpacing/>
        <w:textAlignment w:val="auto"/>
        <w:rPr>
          <w:rFonts w:eastAsiaTheme="minorHAnsi" w:cstheme="minorBidi"/>
          <w:color w:val="auto"/>
          <w:lang w:eastAsia="en-US"/>
        </w:rPr>
      </w:pPr>
      <w:r>
        <w:rPr>
          <w:rFonts w:eastAsiaTheme="minorHAnsi" w:cstheme="minorBidi"/>
          <w:color w:val="auto"/>
          <w:lang w:eastAsia="en-US"/>
        </w:rPr>
        <w:t>e</w:t>
      </w:r>
      <w:r w:rsidRPr="00412FF3" w:rsidR="00575171">
        <w:rPr>
          <w:rFonts w:eastAsiaTheme="minorHAnsi" w:cstheme="minorBidi"/>
          <w:color w:val="auto"/>
          <w:lang w:eastAsia="en-US"/>
        </w:rPr>
        <w:t xml:space="preserve">en regionaal overleg Tochten &amp; Evenementen </w:t>
      </w:r>
      <w:r w:rsidR="00575171">
        <w:rPr>
          <w:rFonts w:eastAsiaTheme="minorHAnsi" w:cstheme="minorBidi"/>
          <w:color w:val="auto"/>
          <w:lang w:eastAsia="en-US"/>
        </w:rPr>
        <w:t>opstarten</w:t>
      </w:r>
      <w:r w:rsidRPr="00412FF3" w:rsidR="00575171">
        <w:rPr>
          <w:rFonts w:eastAsiaTheme="minorHAnsi" w:cstheme="minorBidi"/>
          <w:color w:val="auto"/>
          <w:lang w:eastAsia="en-US"/>
        </w:rPr>
        <w:t xml:space="preserve"> tussen sport, gemeenten en terreineigenaren</w:t>
      </w:r>
      <w:r w:rsidR="00575171">
        <w:rPr>
          <w:rFonts w:eastAsiaTheme="minorHAnsi" w:cstheme="minorBidi"/>
          <w:color w:val="auto"/>
          <w:lang w:eastAsia="en-US"/>
        </w:rPr>
        <w:t>. Betrokken</w:t>
      </w:r>
      <w:r w:rsidR="00AE63C3">
        <w:rPr>
          <w:rFonts w:eastAsiaTheme="minorHAnsi" w:cstheme="minorBidi"/>
          <w:color w:val="auto"/>
          <w:lang w:eastAsia="en-US"/>
        </w:rPr>
        <w:t xml:space="preserve"> partijen</w:t>
      </w:r>
      <w:r w:rsidR="00575171">
        <w:rPr>
          <w:rFonts w:eastAsiaTheme="minorHAnsi" w:cstheme="minorBidi"/>
          <w:color w:val="auto"/>
          <w:lang w:eastAsia="en-US"/>
        </w:rPr>
        <w:t xml:space="preserve"> werken toe </w:t>
      </w:r>
      <w:r w:rsidRPr="00412FF3" w:rsidR="00575171">
        <w:rPr>
          <w:rFonts w:eastAsiaTheme="minorHAnsi" w:cstheme="minorBidi"/>
          <w:color w:val="auto"/>
          <w:lang w:eastAsia="en-US"/>
        </w:rPr>
        <w:t>naar regionaal afgestemd beleid</w:t>
      </w:r>
      <w:r w:rsidR="00575171">
        <w:rPr>
          <w:rFonts w:eastAsiaTheme="minorHAnsi" w:cstheme="minorBidi"/>
          <w:color w:val="auto"/>
          <w:lang w:eastAsia="en-US"/>
        </w:rPr>
        <w:t xml:space="preserve">, waarbij zij ook </w:t>
      </w:r>
      <w:r w:rsidRPr="00412FF3" w:rsidR="00575171">
        <w:rPr>
          <w:rFonts w:eastAsiaTheme="minorHAnsi" w:cstheme="minorBidi"/>
          <w:color w:val="auto"/>
          <w:lang w:eastAsia="en-US"/>
        </w:rPr>
        <w:t xml:space="preserve">afspraken </w:t>
      </w:r>
      <w:r w:rsidR="00575171">
        <w:rPr>
          <w:rFonts w:eastAsiaTheme="minorHAnsi" w:cstheme="minorBidi"/>
          <w:color w:val="auto"/>
          <w:lang w:eastAsia="en-US"/>
        </w:rPr>
        <w:t>maken</w:t>
      </w:r>
      <w:r w:rsidRPr="00412FF3" w:rsidR="00575171">
        <w:rPr>
          <w:rFonts w:eastAsiaTheme="minorHAnsi" w:cstheme="minorBidi"/>
          <w:color w:val="auto"/>
          <w:lang w:eastAsia="en-US"/>
        </w:rPr>
        <w:t xml:space="preserve"> wanneer toestemmingstrajecten nodig zijn;</w:t>
      </w:r>
    </w:p>
    <w:p w:rsidR="00575171" w:rsidP="00223F1E" w:rsidRDefault="00333CB6" w14:paraId="36D5D6E1" w14:textId="171C24E0">
      <w:pPr>
        <w:numPr>
          <w:ilvl w:val="0"/>
          <w:numId w:val="5"/>
        </w:numPr>
        <w:autoSpaceDN/>
        <w:ind w:left="284" w:hanging="284"/>
        <w:contextualSpacing/>
        <w:textAlignment w:val="auto"/>
        <w:rPr>
          <w:rFonts w:eastAsiaTheme="minorHAnsi" w:cstheme="minorBidi"/>
          <w:color w:val="auto"/>
          <w:lang w:eastAsia="en-US"/>
        </w:rPr>
      </w:pPr>
      <w:r>
        <w:rPr>
          <w:rFonts w:eastAsiaTheme="minorHAnsi" w:cstheme="minorBidi"/>
          <w:color w:val="auto"/>
          <w:lang w:eastAsia="en-US"/>
        </w:rPr>
        <w:t>d</w:t>
      </w:r>
      <w:r w:rsidRPr="00412FF3" w:rsidR="00575171">
        <w:rPr>
          <w:rFonts w:eastAsiaTheme="minorHAnsi" w:cstheme="minorBidi"/>
          <w:color w:val="auto"/>
          <w:lang w:eastAsia="en-US"/>
        </w:rPr>
        <w:t xml:space="preserve">e informatie over </w:t>
      </w:r>
      <w:r w:rsidR="00D71707">
        <w:rPr>
          <w:rFonts w:eastAsiaTheme="minorHAnsi" w:cstheme="minorBidi"/>
          <w:color w:val="auto"/>
          <w:lang w:eastAsia="en-US"/>
        </w:rPr>
        <w:t xml:space="preserve">het </w:t>
      </w:r>
      <w:r w:rsidRPr="00D71707" w:rsidR="00575171">
        <w:rPr>
          <w:rFonts w:eastAsiaTheme="minorHAnsi" w:cstheme="minorBidi"/>
          <w:color w:val="auto"/>
          <w:lang w:eastAsia="en-US"/>
        </w:rPr>
        <w:t xml:space="preserve">handelingskader </w:t>
      </w:r>
      <w:r w:rsidRPr="00412FF3" w:rsidR="00575171">
        <w:rPr>
          <w:rFonts w:eastAsiaTheme="minorHAnsi" w:cstheme="minorBidi"/>
          <w:color w:val="auto"/>
          <w:lang w:eastAsia="en-US"/>
        </w:rPr>
        <w:t>en de regionaal gemaakte afspraken ontsl</w:t>
      </w:r>
      <w:r w:rsidR="00575171">
        <w:rPr>
          <w:rFonts w:eastAsiaTheme="minorHAnsi" w:cstheme="minorBidi"/>
          <w:color w:val="auto"/>
          <w:lang w:eastAsia="en-US"/>
        </w:rPr>
        <w:t>uiten</w:t>
      </w:r>
      <w:r w:rsidRPr="00412FF3" w:rsidR="00575171">
        <w:rPr>
          <w:rFonts w:eastAsiaTheme="minorHAnsi" w:cstheme="minorBidi"/>
          <w:color w:val="auto"/>
          <w:lang w:eastAsia="en-US"/>
        </w:rPr>
        <w:t xml:space="preserve"> via alle sport -en beweegloketten, zodat organisatoren van tochten en evenementen geïnformeerd worden over de regionale afspraken.</w:t>
      </w:r>
      <w:r w:rsidR="00180B76">
        <w:rPr>
          <w:rFonts w:eastAsiaTheme="minorHAnsi" w:cstheme="minorBidi"/>
          <w:color w:val="auto"/>
          <w:lang w:eastAsia="en-US"/>
        </w:rPr>
        <w:t xml:space="preserve"> Daar waar nog geen sport -en beweegloket actief is, wordt de informatie ontsloten via het netwerk van de adviseurs lokale sport.</w:t>
      </w:r>
    </w:p>
    <w:p w:rsidR="006B1EE5" w:rsidP="006B1EE5" w:rsidRDefault="006B1EE5" w14:paraId="2D57836B" w14:textId="77777777">
      <w:pPr>
        <w:autoSpaceDN/>
        <w:contextualSpacing/>
        <w:textAlignment w:val="auto"/>
        <w:rPr>
          <w:rFonts w:eastAsiaTheme="minorHAnsi" w:cstheme="minorBidi"/>
          <w:color w:val="auto"/>
          <w:lang w:eastAsia="en-US"/>
        </w:rPr>
      </w:pPr>
    </w:p>
    <w:p w:rsidR="00784213" w:rsidP="006B1EE5" w:rsidRDefault="000B52E8" w14:paraId="257E6ED0" w14:textId="77777777">
      <w:pPr>
        <w:autoSpaceDN/>
        <w:contextualSpacing/>
        <w:textAlignment w:val="auto"/>
        <w:rPr>
          <w:rFonts w:eastAsiaTheme="minorHAnsi" w:cstheme="minorBidi"/>
          <w:color w:val="auto"/>
          <w:lang w:eastAsia="en-US"/>
        </w:rPr>
      </w:pPr>
      <w:r>
        <w:rPr>
          <w:rFonts w:eastAsiaTheme="minorHAnsi" w:cstheme="minorBidi"/>
          <w:color w:val="auto"/>
          <w:lang w:eastAsia="en-US"/>
        </w:rPr>
        <w:t>De eerste stappen in dit plan zijn inmiddels gezet</w:t>
      </w:r>
      <w:r w:rsidR="006B1EE5">
        <w:rPr>
          <w:rFonts w:eastAsiaTheme="minorHAnsi" w:cstheme="minorBidi"/>
          <w:color w:val="auto"/>
          <w:lang w:eastAsia="en-US"/>
        </w:rPr>
        <w:t xml:space="preserve">. </w:t>
      </w:r>
      <w:r w:rsidRPr="006B1EE5" w:rsidR="006B1EE5">
        <w:rPr>
          <w:rFonts w:eastAsiaTheme="minorHAnsi" w:cstheme="minorBidi"/>
          <w:color w:val="auto"/>
          <w:lang w:eastAsia="en-US"/>
        </w:rPr>
        <w:t xml:space="preserve">Vanuit het Sportakkoord </w:t>
      </w:r>
      <w:r w:rsidR="00784213">
        <w:rPr>
          <w:rFonts w:eastAsiaTheme="minorHAnsi" w:cstheme="minorBidi"/>
          <w:color w:val="auto"/>
          <w:lang w:eastAsia="en-US"/>
        </w:rPr>
        <w:t xml:space="preserve">II worden pilots georganiseerd onder </w:t>
      </w:r>
      <w:r w:rsidRPr="006B1EE5" w:rsidR="006B1EE5">
        <w:rPr>
          <w:rFonts w:eastAsiaTheme="minorHAnsi" w:cstheme="minorBidi"/>
          <w:color w:val="auto"/>
          <w:lang w:eastAsia="en-US"/>
        </w:rPr>
        <w:t xml:space="preserve">leiding van Provinciale </w:t>
      </w:r>
      <w:proofErr w:type="spellStart"/>
      <w:r w:rsidRPr="006B1EE5" w:rsidR="006B1EE5">
        <w:rPr>
          <w:rFonts w:eastAsiaTheme="minorHAnsi" w:cstheme="minorBidi"/>
          <w:color w:val="auto"/>
          <w:lang w:eastAsia="en-US"/>
        </w:rPr>
        <w:t>SportService</w:t>
      </w:r>
      <w:proofErr w:type="spellEnd"/>
      <w:r w:rsidRPr="006B1EE5" w:rsidR="006B1EE5">
        <w:rPr>
          <w:rFonts w:eastAsiaTheme="minorHAnsi" w:cstheme="minorBidi"/>
          <w:color w:val="auto"/>
          <w:lang w:eastAsia="en-US"/>
        </w:rPr>
        <w:t xml:space="preserve"> Organisaties</w:t>
      </w:r>
      <w:r w:rsidR="00784213">
        <w:rPr>
          <w:rFonts w:eastAsiaTheme="minorHAnsi" w:cstheme="minorBidi"/>
          <w:color w:val="auto"/>
          <w:lang w:eastAsia="en-US"/>
        </w:rPr>
        <w:t>. Hierbij wordt</w:t>
      </w:r>
      <w:r w:rsidRPr="006B1EE5" w:rsidR="006B1EE5">
        <w:rPr>
          <w:rFonts w:eastAsiaTheme="minorHAnsi" w:cstheme="minorBidi"/>
          <w:color w:val="auto"/>
          <w:lang w:eastAsia="en-US"/>
        </w:rPr>
        <w:t xml:space="preserve"> gewerkt aan regionale afspraken</w:t>
      </w:r>
      <w:r w:rsidR="00140754">
        <w:rPr>
          <w:rFonts w:eastAsiaTheme="minorHAnsi" w:cstheme="minorBidi"/>
          <w:color w:val="auto"/>
          <w:lang w:eastAsia="en-US"/>
        </w:rPr>
        <w:t xml:space="preserve"> over vergunningen bij tochten en evenementen</w:t>
      </w:r>
      <w:r w:rsidRPr="006B1EE5" w:rsidR="006B1EE5">
        <w:rPr>
          <w:rFonts w:eastAsiaTheme="minorHAnsi" w:cstheme="minorBidi"/>
          <w:color w:val="auto"/>
          <w:lang w:eastAsia="en-US"/>
        </w:rPr>
        <w:t xml:space="preserve"> tussen de stakeholders. </w:t>
      </w:r>
      <w:r w:rsidR="0052699D">
        <w:rPr>
          <w:rFonts w:eastAsiaTheme="minorHAnsi" w:cstheme="minorBidi"/>
          <w:color w:val="auto"/>
          <w:lang w:eastAsia="en-US"/>
        </w:rPr>
        <w:t>Zo vindt er</w:t>
      </w:r>
      <w:r w:rsidR="00784213">
        <w:rPr>
          <w:rFonts w:eastAsiaTheme="minorHAnsi" w:cstheme="minorBidi"/>
          <w:color w:val="auto"/>
          <w:lang w:eastAsia="en-US"/>
        </w:rPr>
        <w:t xml:space="preserve"> </w:t>
      </w:r>
      <w:r w:rsidR="0052699D">
        <w:rPr>
          <w:rFonts w:eastAsiaTheme="minorHAnsi" w:cstheme="minorBidi"/>
          <w:color w:val="auto"/>
          <w:lang w:eastAsia="en-US"/>
        </w:rPr>
        <w:t>regionaal a</w:t>
      </w:r>
      <w:r w:rsidRPr="006B1EE5" w:rsidR="006B1EE5">
        <w:rPr>
          <w:rFonts w:eastAsiaTheme="minorHAnsi" w:cstheme="minorBidi"/>
          <w:color w:val="auto"/>
          <w:lang w:eastAsia="en-US"/>
        </w:rPr>
        <w:t xml:space="preserve">fstemming </w:t>
      </w:r>
      <w:r w:rsidR="0052699D">
        <w:rPr>
          <w:rFonts w:eastAsiaTheme="minorHAnsi" w:cstheme="minorBidi"/>
          <w:color w:val="auto"/>
          <w:lang w:eastAsia="en-US"/>
        </w:rPr>
        <w:t>plaats over</w:t>
      </w:r>
      <w:r w:rsidRPr="006B1EE5" w:rsidR="006B1EE5">
        <w:rPr>
          <w:rFonts w:eastAsiaTheme="minorHAnsi" w:cstheme="minorBidi"/>
          <w:color w:val="auto"/>
          <w:lang w:eastAsia="en-US"/>
        </w:rPr>
        <w:t xml:space="preserve"> de </w:t>
      </w:r>
      <w:r w:rsidR="0052699D">
        <w:rPr>
          <w:rFonts w:eastAsiaTheme="minorHAnsi" w:cstheme="minorBidi"/>
          <w:color w:val="auto"/>
          <w:lang w:eastAsia="en-US"/>
        </w:rPr>
        <w:t>evenementen</w:t>
      </w:r>
      <w:r w:rsidRPr="006B1EE5" w:rsidR="006B1EE5">
        <w:rPr>
          <w:rFonts w:eastAsiaTheme="minorHAnsi" w:cstheme="minorBidi"/>
          <w:color w:val="auto"/>
          <w:lang w:eastAsia="en-US"/>
        </w:rPr>
        <w:t xml:space="preserve">kalender. </w:t>
      </w:r>
    </w:p>
    <w:p w:rsidR="00784213" w:rsidP="006B1EE5" w:rsidRDefault="00784213" w14:paraId="5C1EB26B" w14:textId="77777777">
      <w:pPr>
        <w:autoSpaceDN/>
        <w:contextualSpacing/>
        <w:textAlignment w:val="auto"/>
        <w:rPr>
          <w:rFonts w:eastAsiaTheme="minorHAnsi" w:cstheme="minorBidi"/>
          <w:color w:val="auto"/>
          <w:lang w:eastAsia="en-US"/>
        </w:rPr>
      </w:pPr>
    </w:p>
    <w:p w:rsidR="009C3985" w:rsidP="006B1EE5" w:rsidRDefault="00784213" w14:paraId="3FAA137C" w14:textId="26F67B80">
      <w:pPr>
        <w:autoSpaceDN/>
        <w:contextualSpacing/>
        <w:textAlignment w:val="auto"/>
        <w:rPr>
          <w:rFonts w:eastAsiaTheme="minorHAnsi" w:cstheme="minorBidi"/>
          <w:color w:val="auto"/>
          <w:lang w:eastAsia="en-US"/>
        </w:rPr>
      </w:pPr>
      <w:r>
        <w:rPr>
          <w:rFonts w:eastAsiaTheme="minorHAnsi" w:cstheme="minorBidi"/>
          <w:color w:val="auto"/>
          <w:lang w:eastAsia="en-US"/>
        </w:rPr>
        <w:t>Daarnaast werkt e</w:t>
      </w:r>
      <w:r w:rsidRPr="006B1EE5" w:rsidR="006B1EE5">
        <w:rPr>
          <w:rFonts w:eastAsiaTheme="minorHAnsi" w:cstheme="minorBidi"/>
          <w:color w:val="auto"/>
          <w:lang w:eastAsia="en-US"/>
        </w:rPr>
        <w:t>en adviesbureau aan een handreiking over de impact van deze tochten op de stikstofuitstoot</w:t>
      </w:r>
      <w:r w:rsidR="00F620B6">
        <w:rPr>
          <w:rFonts w:eastAsiaTheme="minorHAnsi" w:cstheme="minorBidi"/>
          <w:color w:val="auto"/>
          <w:lang w:eastAsia="en-US"/>
        </w:rPr>
        <w:t xml:space="preserve">. Deze handreiking zal in het eerste kwartaal van 2026 opgeleverd worden. </w:t>
      </w:r>
      <w:r w:rsidR="009C3985">
        <w:rPr>
          <w:rFonts w:eastAsiaTheme="minorHAnsi" w:cstheme="minorBidi"/>
          <w:color w:val="auto"/>
          <w:lang w:eastAsia="en-US"/>
        </w:rPr>
        <w:t>Ook</w:t>
      </w:r>
      <w:r w:rsidRPr="006B1EE5" w:rsidR="006B1EE5">
        <w:rPr>
          <w:rFonts w:eastAsiaTheme="minorHAnsi" w:cstheme="minorBidi"/>
          <w:color w:val="auto"/>
          <w:lang w:eastAsia="en-US"/>
        </w:rPr>
        <w:t xml:space="preserve"> nemen sportbonden het initiatief om via een digitale pre-</w:t>
      </w:r>
      <w:proofErr w:type="spellStart"/>
      <w:r w:rsidRPr="006B1EE5" w:rsidR="006B1EE5">
        <w:rPr>
          <w:rFonts w:eastAsiaTheme="minorHAnsi" w:cstheme="minorBidi"/>
          <w:color w:val="auto"/>
          <w:lang w:eastAsia="en-US"/>
        </w:rPr>
        <w:t>vergunningchecker</w:t>
      </w:r>
      <w:proofErr w:type="spellEnd"/>
      <w:r w:rsidRPr="006B1EE5" w:rsidR="006B1EE5">
        <w:rPr>
          <w:rFonts w:eastAsiaTheme="minorHAnsi" w:cstheme="minorBidi"/>
          <w:color w:val="auto"/>
          <w:lang w:eastAsia="en-US"/>
        </w:rPr>
        <w:t xml:space="preserve"> de haalbaarheid op een vergunning vooraf inzichtelijk te krijgen</w:t>
      </w:r>
      <w:r w:rsidR="006B1EE5">
        <w:rPr>
          <w:rFonts w:eastAsiaTheme="minorHAnsi" w:cstheme="minorBidi"/>
          <w:color w:val="auto"/>
          <w:lang w:eastAsia="en-US"/>
        </w:rPr>
        <w:t xml:space="preserve">. </w:t>
      </w:r>
      <w:r w:rsidRPr="006B1EE5" w:rsidR="006B1EE5">
        <w:rPr>
          <w:rFonts w:eastAsiaTheme="minorHAnsi" w:cstheme="minorBidi"/>
          <w:color w:val="auto"/>
          <w:lang w:eastAsia="en-US"/>
        </w:rPr>
        <w:t xml:space="preserve">De </w:t>
      </w:r>
      <w:r w:rsidR="008B222E">
        <w:rPr>
          <w:rFonts w:eastAsiaTheme="minorHAnsi" w:cstheme="minorBidi"/>
          <w:color w:val="auto"/>
          <w:lang w:eastAsia="en-US"/>
        </w:rPr>
        <w:t xml:space="preserve">betrokken </w:t>
      </w:r>
      <w:r w:rsidRPr="006B1EE5" w:rsidR="006B1EE5">
        <w:rPr>
          <w:rFonts w:eastAsiaTheme="minorHAnsi" w:cstheme="minorBidi"/>
          <w:color w:val="auto"/>
          <w:lang w:eastAsia="en-US"/>
        </w:rPr>
        <w:t>sport</w:t>
      </w:r>
      <w:r w:rsidR="008B222E">
        <w:rPr>
          <w:rFonts w:eastAsiaTheme="minorHAnsi" w:cstheme="minorBidi"/>
          <w:color w:val="auto"/>
          <w:lang w:eastAsia="en-US"/>
        </w:rPr>
        <w:t>bonden</w:t>
      </w:r>
      <w:r w:rsidRPr="006B1EE5" w:rsidR="006B1EE5">
        <w:rPr>
          <w:rFonts w:eastAsiaTheme="minorHAnsi" w:cstheme="minorBidi"/>
          <w:color w:val="auto"/>
          <w:lang w:eastAsia="en-US"/>
        </w:rPr>
        <w:t xml:space="preserve"> ne</w:t>
      </w:r>
      <w:r w:rsidR="008B222E">
        <w:rPr>
          <w:rFonts w:eastAsiaTheme="minorHAnsi" w:cstheme="minorBidi"/>
          <w:color w:val="auto"/>
          <w:lang w:eastAsia="en-US"/>
        </w:rPr>
        <w:t>men</w:t>
      </w:r>
      <w:r w:rsidRPr="006B1EE5" w:rsidR="006B1EE5">
        <w:rPr>
          <w:rFonts w:eastAsiaTheme="minorHAnsi" w:cstheme="minorBidi"/>
          <w:color w:val="auto"/>
          <w:lang w:eastAsia="en-US"/>
        </w:rPr>
        <w:t xml:space="preserve"> de regie en z</w:t>
      </w:r>
      <w:r w:rsidR="008B222E">
        <w:rPr>
          <w:rFonts w:eastAsiaTheme="minorHAnsi" w:cstheme="minorBidi"/>
          <w:color w:val="auto"/>
          <w:lang w:eastAsia="en-US"/>
        </w:rPr>
        <w:t>ullen</w:t>
      </w:r>
      <w:r w:rsidRPr="006B1EE5" w:rsidR="006B1EE5">
        <w:rPr>
          <w:rFonts w:eastAsiaTheme="minorHAnsi" w:cstheme="minorBidi"/>
          <w:color w:val="auto"/>
          <w:lang w:eastAsia="en-US"/>
        </w:rPr>
        <w:t xml:space="preserve"> op basis van eerste pilots via een regionale aanpak m</w:t>
      </w:r>
      <w:r w:rsidR="006B1EE5">
        <w:rPr>
          <w:rFonts w:eastAsiaTheme="minorHAnsi" w:cstheme="minorBidi"/>
          <w:color w:val="auto"/>
          <w:lang w:eastAsia="en-US"/>
        </w:rPr>
        <w:t>e</w:t>
      </w:r>
      <w:r w:rsidRPr="006B1EE5" w:rsidR="006B1EE5">
        <w:rPr>
          <w:rFonts w:eastAsiaTheme="minorHAnsi" w:cstheme="minorBidi"/>
          <w:color w:val="auto"/>
          <w:lang w:eastAsia="en-US"/>
        </w:rPr>
        <w:t xml:space="preserve">t gemeenten, provincies en </w:t>
      </w:r>
      <w:r w:rsidRPr="006B1EE5" w:rsidR="009C3985">
        <w:rPr>
          <w:rFonts w:eastAsiaTheme="minorHAnsi" w:cstheme="minorBidi"/>
          <w:color w:val="auto"/>
          <w:lang w:eastAsia="en-US"/>
        </w:rPr>
        <w:t>terrein beherende</w:t>
      </w:r>
      <w:r w:rsidRPr="006B1EE5" w:rsidR="006B1EE5">
        <w:rPr>
          <w:rFonts w:eastAsiaTheme="minorHAnsi" w:cstheme="minorBidi"/>
          <w:color w:val="auto"/>
          <w:lang w:eastAsia="en-US"/>
        </w:rPr>
        <w:t xml:space="preserve"> organisaties die hiervoor openstaan, </w:t>
      </w:r>
      <w:r w:rsidR="008B222E">
        <w:rPr>
          <w:rFonts w:eastAsiaTheme="minorHAnsi" w:cstheme="minorBidi"/>
          <w:color w:val="auto"/>
          <w:lang w:eastAsia="en-US"/>
        </w:rPr>
        <w:t xml:space="preserve">deze tool </w:t>
      </w:r>
      <w:r w:rsidRPr="006B1EE5" w:rsidR="006B1EE5">
        <w:rPr>
          <w:rFonts w:eastAsiaTheme="minorHAnsi" w:cstheme="minorBidi"/>
          <w:color w:val="auto"/>
          <w:lang w:eastAsia="en-US"/>
        </w:rPr>
        <w:t>gaan uitrollen</w:t>
      </w:r>
      <w:r w:rsidR="009C3985">
        <w:rPr>
          <w:rFonts w:eastAsiaTheme="minorHAnsi" w:cstheme="minorBidi"/>
          <w:color w:val="auto"/>
          <w:lang w:eastAsia="en-US"/>
        </w:rPr>
        <w:t xml:space="preserve">. </w:t>
      </w:r>
    </w:p>
    <w:p w:rsidR="009C3985" w:rsidP="006B1EE5" w:rsidRDefault="009C3985" w14:paraId="5ABCC8C8" w14:textId="77777777">
      <w:pPr>
        <w:autoSpaceDN/>
        <w:contextualSpacing/>
        <w:textAlignment w:val="auto"/>
        <w:rPr>
          <w:rFonts w:eastAsiaTheme="minorHAnsi" w:cstheme="minorBidi"/>
          <w:color w:val="auto"/>
          <w:lang w:eastAsia="en-US"/>
        </w:rPr>
      </w:pPr>
    </w:p>
    <w:p w:rsidR="00174FD4" w:rsidP="006B1EE5" w:rsidRDefault="00F620B6" w14:paraId="1BE77DE9" w14:textId="30C20D3C">
      <w:pPr>
        <w:autoSpaceDN/>
        <w:contextualSpacing/>
        <w:textAlignment w:val="auto"/>
        <w:rPr>
          <w:rFonts w:eastAsiaTheme="minorHAnsi" w:cstheme="minorBidi"/>
          <w:color w:val="auto"/>
          <w:lang w:eastAsia="en-US"/>
        </w:rPr>
      </w:pPr>
      <w:r>
        <w:rPr>
          <w:rFonts w:eastAsiaTheme="minorHAnsi" w:cstheme="minorBidi"/>
          <w:color w:val="auto"/>
          <w:lang w:eastAsia="en-US"/>
        </w:rPr>
        <w:t>Tot slot zijn de p</w:t>
      </w:r>
      <w:r w:rsidRPr="006B1EE5" w:rsidR="006B1EE5">
        <w:rPr>
          <w:rFonts w:eastAsiaTheme="minorHAnsi" w:cstheme="minorBidi"/>
          <w:color w:val="auto"/>
          <w:lang w:eastAsia="en-US"/>
        </w:rPr>
        <w:t>artners van het Sportakkoord met</w:t>
      </w:r>
      <w:r>
        <w:rPr>
          <w:rFonts w:eastAsiaTheme="minorHAnsi" w:cstheme="minorBidi"/>
          <w:color w:val="auto"/>
          <w:lang w:eastAsia="en-US"/>
        </w:rPr>
        <w:t xml:space="preserve"> de</w:t>
      </w:r>
      <w:r w:rsidRPr="006B1EE5" w:rsidR="006B1EE5">
        <w:rPr>
          <w:rFonts w:eastAsiaTheme="minorHAnsi" w:cstheme="minorBidi"/>
          <w:color w:val="auto"/>
          <w:lang w:eastAsia="en-US"/>
        </w:rPr>
        <w:t xml:space="preserve"> V</w:t>
      </w:r>
      <w:r w:rsidR="00A43181">
        <w:rPr>
          <w:rFonts w:eastAsiaTheme="minorHAnsi" w:cstheme="minorBidi"/>
          <w:color w:val="auto"/>
          <w:lang w:eastAsia="en-US"/>
        </w:rPr>
        <w:t xml:space="preserve">ereniging </w:t>
      </w:r>
      <w:r w:rsidRPr="006B1EE5" w:rsidR="006B1EE5">
        <w:rPr>
          <w:rFonts w:eastAsiaTheme="minorHAnsi" w:cstheme="minorBidi"/>
          <w:color w:val="auto"/>
          <w:lang w:eastAsia="en-US"/>
        </w:rPr>
        <w:t>N</w:t>
      </w:r>
      <w:r w:rsidR="00A43181">
        <w:rPr>
          <w:rFonts w:eastAsiaTheme="minorHAnsi" w:cstheme="minorBidi"/>
          <w:color w:val="auto"/>
          <w:lang w:eastAsia="en-US"/>
        </w:rPr>
        <w:t xml:space="preserve">ederlandse </w:t>
      </w:r>
      <w:r w:rsidRPr="006B1EE5" w:rsidR="006B1EE5">
        <w:rPr>
          <w:rFonts w:eastAsiaTheme="minorHAnsi" w:cstheme="minorBidi"/>
          <w:color w:val="auto"/>
          <w:lang w:eastAsia="en-US"/>
        </w:rPr>
        <w:t>G</w:t>
      </w:r>
      <w:r w:rsidR="00A43181">
        <w:rPr>
          <w:rFonts w:eastAsiaTheme="minorHAnsi" w:cstheme="minorBidi"/>
          <w:color w:val="auto"/>
          <w:lang w:eastAsia="en-US"/>
        </w:rPr>
        <w:t>emeenten</w:t>
      </w:r>
      <w:r w:rsidR="00CF0773">
        <w:rPr>
          <w:rFonts w:eastAsiaTheme="minorHAnsi" w:cstheme="minorBidi"/>
          <w:color w:val="auto"/>
          <w:lang w:eastAsia="en-US"/>
        </w:rPr>
        <w:t xml:space="preserve"> (VNG)</w:t>
      </w:r>
      <w:r w:rsidRPr="006B1EE5" w:rsidR="006B1EE5">
        <w:rPr>
          <w:rFonts w:eastAsiaTheme="minorHAnsi" w:cstheme="minorBidi"/>
          <w:color w:val="auto"/>
          <w:lang w:eastAsia="en-US"/>
        </w:rPr>
        <w:t>, I</w:t>
      </w:r>
      <w:r w:rsidR="00A43181">
        <w:rPr>
          <w:rFonts w:eastAsiaTheme="minorHAnsi" w:cstheme="minorBidi"/>
          <w:color w:val="auto"/>
          <w:lang w:eastAsia="en-US"/>
        </w:rPr>
        <w:t xml:space="preserve">nterprovinciaal </w:t>
      </w:r>
      <w:r w:rsidRPr="006B1EE5" w:rsidR="006B1EE5">
        <w:rPr>
          <w:rFonts w:eastAsiaTheme="minorHAnsi" w:cstheme="minorBidi"/>
          <w:color w:val="auto"/>
          <w:lang w:eastAsia="en-US"/>
        </w:rPr>
        <w:t>O</w:t>
      </w:r>
      <w:r w:rsidR="00A43181">
        <w:rPr>
          <w:rFonts w:eastAsiaTheme="minorHAnsi" w:cstheme="minorBidi"/>
          <w:color w:val="auto"/>
          <w:lang w:eastAsia="en-US"/>
        </w:rPr>
        <w:t>verleg</w:t>
      </w:r>
      <w:r w:rsidRPr="006B1EE5" w:rsidR="006B1EE5">
        <w:rPr>
          <w:rFonts w:eastAsiaTheme="minorHAnsi" w:cstheme="minorBidi"/>
          <w:color w:val="auto"/>
          <w:lang w:eastAsia="en-US"/>
        </w:rPr>
        <w:t xml:space="preserve"> en </w:t>
      </w:r>
      <w:r w:rsidRPr="006B1EE5" w:rsidR="009C3985">
        <w:rPr>
          <w:rFonts w:eastAsiaTheme="minorHAnsi" w:cstheme="minorBidi"/>
          <w:color w:val="auto"/>
          <w:lang w:eastAsia="en-US"/>
        </w:rPr>
        <w:t>terrein beherende</w:t>
      </w:r>
      <w:r w:rsidRPr="006B1EE5" w:rsidR="006B1EE5">
        <w:rPr>
          <w:rFonts w:eastAsiaTheme="minorHAnsi" w:cstheme="minorBidi"/>
          <w:color w:val="auto"/>
          <w:lang w:eastAsia="en-US"/>
        </w:rPr>
        <w:t xml:space="preserve"> organisaties in gesprek om afspraken te maken voor een landelijke dekking en aanpak</w:t>
      </w:r>
      <w:r w:rsidR="006D5B43">
        <w:rPr>
          <w:rFonts w:eastAsiaTheme="minorHAnsi" w:cstheme="minorBidi"/>
          <w:color w:val="auto"/>
          <w:lang w:eastAsia="en-US"/>
        </w:rPr>
        <w:t xml:space="preserve"> voor het organiseren van tochten en evenementen in de buitenruimte</w:t>
      </w:r>
      <w:r w:rsidRPr="006B1EE5" w:rsidR="006B1EE5">
        <w:rPr>
          <w:rFonts w:eastAsiaTheme="minorHAnsi" w:cstheme="minorBidi"/>
          <w:color w:val="auto"/>
          <w:lang w:eastAsia="en-US"/>
        </w:rPr>
        <w:t>.</w:t>
      </w:r>
    </w:p>
    <w:p w:rsidR="00575171" w:rsidP="00A911E4" w:rsidRDefault="00575171" w14:paraId="09B25454" w14:textId="38FEA729">
      <w:pPr>
        <w:autoSpaceDN/>
        <w:contextualSpacing/>
        <w:textAlignment w:val="auto"/>
        <w:rPr>
          <w:rFonts w:eastAsiaTheme="minorHAnsi" w:cstheme="minorBidi"/>
          <w:color w:val="auto"/>
          <w:lang w:eastAsia="en-US"/>
        </w:rPr>
      </w:pPr>
    </w:p>
    <w:p w:rsidR="00575171" w:rsidP="00A140E0" w:rsidRDefault="00127236" w14:paraId="78E1902E" w14:textId="4E4E5467">
      <w:pPr>
        <w:numPr>
          <w:ilvl w:val="0"/>
          <w:numId w:val="12"/>
        </w:numPr>
        <w:autoSpaceDN/>
        <w:ind w:left="284" w:hanging="284"/>
        <w:contextualSpacing/>
        <w:textAlignment w:val="auto"/>
        <w:rPr>
          <w:rFonts w:eastAsiaTheme="minorHAnsi" w:cstheme="minorBidi"/>
          <w:i/>
          <w:iCs/>
          <w:color w:val="auto"/>
          <w:lang w:eastAsia="en-US"/>
        </w:rPr>
      </w:pPr>
      <w:r w:rsidRPr="00127236">
        <w:rPr>
          <w:rFonts w:eastAsiaTheme="minorHAnsi" w:cstheme="minorBidi"/>
          <w:i/>
          <w:iCs/>
          <w:color w:val="auto"/>
          <w:lang w:eastAsia="en-US"/>
        </w:rPr>
        <w:t>Ontzorgen van sportverenigingen op het gebied van werkgeverslasten bij betaalde krachten</w:t>
      </w:r>
    </w:p>
    <w:p w:rsidR="00575171" w:rsidP="002C510D" w:rsidRDefault="00575171" w14:paraId="0065293B" w14:textId="7B57131B">
      <w:pPr>
        <w:autoSpaceDN/>
        <w:textAlignment w:val="auto"/>
        <w:rPr>
          <w:rFonts w:eastAsiaTheme="minorHAnsi" w:cstheme="minorBidi"/>
          <w:color w:val="auto"/>
          <w:lang w:eastAsia="en-US"/>
        </w:rPr>
      </w:pPr>
      <w:r w:rsidRPr="00412FF3">
        <w:rPr>
          <w:rFonts w:eastAsiaTheme="minorHAnsi" w:cstheme="minorBidi"/>
          <w:color w:val="auto"/>
          <w:lang w:eastAsia="en-US"/>
        </w:rPr>
        <w:t>Uit het onderzoek</w:t>
      </w:r>
      <w:r w:rsidR="00D70FFE">
        <w:rPr>
          <w:rFonts w:eastAsiaTheme="minorHAnsi" w:cstheme="minorBidi"/>
          <w:color w:val="auto"/>
          <w:lang w:eastAsia="en-US"/>
        </w:rPr>
        <w:t xml:space="preserve"> </w:t>
      </w:r>
      <w:r w:rsidRPr="00412FF3">
        <w:rPr>
          <w:rFonts w:eastAsiaTheme="minorHAnsi" w:cstheme="minorBidi"/>
          <w:color w:val="auto"/>
          <w:lang w:eastAsia="en-US"/>
        </w:rPr>
        <w:t xml:space="preserve">van </w:t>
      </w:r>
      <w:proofErr w:type="spellStart"/>
      <w:r w:rsidRPr="00412FF3">
        <w:rPr>
          <w:rFonts w:eastAsiaTheme="minorHAnsi" w:cstheme="minorBidi"/>
          <w:color w:val="auto"/>
          <w:lang w:eastAsia="en-US"/>
        </w:rPr>
        <w:t>S</w:t>
      </w:r>
      <w:r w:rsidR="0054718E">
        <w:rPr>
          <w:rFonts w:eastAsiaTheme="minorHAnsi" w:cstheme="minorBidi"/>
          <w:color w:val="auto"/>
          <w:lang w:eastAsia="en-US"/>
        </w:rPr>
        <w:t>ira</w:t>
      </w:r>
      <w:proofErr w:type="spellEnd"/>
      <w:r w:rsidRPr="00412FF3">
        <w:rPr>
          <w:rFonts w:eastAsiaTheme="minorHAnsi" w:cstheme="minorBidi"/>
          <w:color w:val="auto"/>
          <w:lang w:eastAsia="en-US"/>
        </w:rPr>
        <w:t xml:space="preserve"> Consulting</w:t>
      </w:r>
      <w:r w:rsidR="00D70FFE">
        <w:rPr>
          <w:rStyle w:val="Voetnootmarkering"/>
          <w:rFonts w:eastAsiaTheme="minorHAnsi" w:cstheme="minorBidi"/>
          <w:color w:val="auto"/>
          <w:lang w:eastAsia="en-US"/>
        </w:rPr>
        <w:footnoteReference w:id="6"/>
      </w:r>
      <w:r w:rsidR="00D70FFE">
        <w:rPr>
          <w:rFonts w:eastAsiaTheme="minorHAnsi" w:cstheme="minorBidi"/>
          <w:color w:val="auto"/>
          <w:lang w:eastAsia="en-US"/>
        </w:rPr>
        <w:t xml:space="preserve"> </w:t>
      </w:r>
      <w:r>
        <w:rPr>
          <w:rFonts w:eastAsiaTheme="minorHAnsi" w:cstheme="minorBidi"/>
          <w:color w:val="auto"/>
          <w:lang w:eastAsia="en-US"/>
        </w:rPr>
        <w:t xml:space="preserve">naar </w:t>
      </w:r>
      <w:r>
        <w:t xml:space="preserve">de regeldruk bij vrijwilligersorganisaties en filantropische instellingen, </w:t>
      </w:r>
      <w:r w:rsidRPr="00412FF3">
        <w:rPr>
          <w:rFonts w:eastAsiaTheme="minorHAnsi" w:cstheme="minorBidi"/>
          <w:color w:val="auto"/>
          <w:lang w:eastAsia="en-US"/>
        </w:rPr>
        <w:t>blijkt dat het aantal verplichtingen waarmee een vrijwilligersorganisatie te maken heeft vooral wordt bepaald door het in dienst hebben van betaalde krachten. Een kleine organisatie die alleen bestaat uit vrijwilligers heeft te maken met zo’n 20 tot 30 verplichtingen. Zodra een vrijwilligersorganisatie betaalde krachten in dienst heeft</w:t>
      </w:r>
      <w:r w:rsidR="00B96A6F">
        <w:rPr>
          <w:rFonts w:eastAsiaTheme="minorHAnsi" w:cstheme="minorBidi"/>
          <w:color w:val="auto"/>
          <w:lang w:eastAsia="en-US"/>
        </w:rPr>
        <w:t>,</w:t>
      </w:r>
      <w:r w:rsidRPr="00412FF3">
        <w:rPr>
          <w:rFonts w:eastAsiaTheme="minorHAnsi" w:cstheme="minorBidi"/>
          <w:color w:val="auto"/>
          <w:lang w:eastAsia="en-US"/>
        </w:rPr>
        <w:t xml:space="preserve"> zijn 30 tot 40 verplichtingen van toepassing.</w:t>
      </w:r>
    </w:p>
    <w:p w:rsidR="00127236" w:rsidP="002C510D" w:rsidRDefault="00127236" w14:paraId="06370776" w14:textId="77777777">
      <w:pPr>
        <w:autoSpaceDN/>
        <w:textAlignment w:val="auto"/>
        <w:rPr>
          <w:rFonts w:eastAsiaTheme="minorHAnsi" w:cstheme="minorBidi"/>
          <w:color w:val="auto"/>
          <w:lang w:eastAsia="en-US"/>
        </w:rPr>
      </w:pPr>
    </w:p>
    <w:p w:rsidR="00127236" w:rsidP="002C510D" w:rsidRDefault="00C9082D" w14:paraId="30FE06EE" w14:textId="272D0C64">
      <w:pPr>
        <w:autoSpaceDN/>
        <w:textAlignment w:val="auto"/>
        <w:rPr>
          <w:rFonts w:eastAsiaTheme="minorHAnsi" w:cstheme="minorBidi"/>
          <w:color w:val="auto"/>
          <w:lang w:eastAsia="en-US"/>
        </w:rPr>
      </w:pPr>
      <w:r>
        <w:rPr>
          <w:rFonts w:eastAsiaTheme="minorHAnsi" w:cstheme="minorBidi"/>
          <w:color w:val="auto"/>
          <w:lang w:eastAsia="en-US"/>
        </w:rPr>
        <w:t>S</w:t>
      </w:r>
      <w:r w:rsidR="00127236">
        <w:rPr>
          <w:rFonts w:eastAsiaTheme="minorHAnsi" w:cstheme="minorBidi"/>
          <w:color w:val="auto"/>
          <w:lang w:eastAsia="en-US"/>
        </w:rPr>
        <w:t>portverenigingen</w:t>
      </w:r>
      <w:r>
        <w:rPr>
          <w:rFonts w:eastAsiaTheme="minorHAnsi" w:cstheme="minorBidi"/>
          <w:color w:val="auto"/>
          <w:lang w:eastAsia="en-US"/>
        </w:rPr>
        <w:t xml:space="preserve"> hebben te maken met diverse </w:t>
      </w:r>
      <w:r w:rsidRPr="00652204" w:rsidR="00652204">
        <w:rPr>
          <w:rFonts w:eastAsiaTheme="minorHAnsi" w:cstheme="minorBidi"/>
          <w:color w:val="auto"/>
          <w:lang w:eastAsia="en-US"/>
        </w:rPr>
        <w:t>werkgeverschapsverplichtinge</w:t>
      </w:r>
      <w:r w:rsidR="00127236">
        <w:rPr>
          <w:rFonts w:eastAsiaTheme="minorHAnsi" w:cstheme="minorBidi"/>
          <w:color w:val="auto"/>
          <w:lang w:eastAsia="en-US"/>
        </w:rPr>
        <w:t>n</w:t>
      </w:r>
      <w:r>
        <w:rPr>
          <w:rFonts w:eastAsiaTheme="minorHAnsi" w:cstheme="minorBidi"/>
          <w:color w:val="auto"/>
          <w:lang w:eastAsia="en-US"/>
        </w:rPr>
        <w:t xml:space="preserve"> zoals de Wet poortwachter,</w:t>
      </w:r>
      <w:r w:rsidR="00127236">
        <w:rPr>
          <w:rFonts w:eastAsiaTheme="minorHAnsi" w:cstheme="minorBidi"/>
          <w:color w:val="auto"/>
          <w:lang w:eastAsia="en-US"/>
        </w:rPr>
        <w:t xml:space="preserve"> </w:t>
      </w:r>
      <w:r w:rsidRPr="00412FF3" w:rsidR="00127236">
        <w:rPr>
          <w:rFonts w:eastAsiaTheme="minorHAnsi" w:cstheme="minorBidi"/>
          <w:color w:val="auto"/>
          <w:lang w:eastAsia="en-US"/>
        </w:rPr>
        <w:t xml:space="preserve">salarisbetaling, </w:t>
      </w:r>
      <w:r w:rsidR="009F095B">
        <w:rPr>
          <w:rFonts w:eastAsiaTheme="minorHAnsi" w:cstheme="minorBidi"/>
          <w:color w:val="auto"/>
          <w:lang w:eastAsia="en-US"/>
        </w:rPr>
        <w:t>arbeids</w:t>
      </w:r>
      <w:r w:rsidRPr="00412FF3" w:rsidR="00127236">
        <w:rPr>
          <w:rFonts w:eastAsiaTheme="minorHAnsi" w:cstheme="minorBidi"/>
          <w:color w:val="auto"/>
          <w:lang w:eastAsia="en-US"/>
        </w:rPr>
        <w:t xml:space="preserve">contracten, juridische vraagstukken in relatie tot </w:t>
      </w:r>
      <w:r w:rsidRPr="00412FF3" w:rsidR="00127236">
        <w:rPr>
          <w:rFonts w:eastAsiaTheme="minorHAnsi" w:cstheme="minorBidi"/>
          <w:color w:val="auto"/>
          <w:lang w:eastAsia="en-US"/>
        </w:rPr>
        <w:lastRenderedPageBreak/>
        <w:t>werkgeverschap en aan</w:t>
      </w:r>
      <w:r w:rsidR="009F095B">
        <w:rPr>
          <w:rFonts w:eastAsiaTheme="minorHAnsi" w:cstheme="minorBidi"/>
          <w:color w:val="auto"/>
          <w:lang w:eastAsia="en-US"/>
        </w:rPr>
        <w:t>verwante</w:t>
      </w:r>
      <w:r w:rsidRPr="00412FF3" w:rsidR="00127236">
        <w:rPr>
          <w:rFonts w:eastAsiaTheme="minorHAnsi" w:cstheme="minorBidi"/>
          <w:color w:val="auto"/>
          <w:lang w:eastAsia="en-US"/>
        </w:rPr>
        <w:t xml:space="preserve"> thema’s</w:t>
      </w:r>
      <w:r w:rsidR="0040501B">
        <w:rPr>
          <w:rFonts w:eastAsiaTheme="minorHAnsi" w:cstheme="minorBidi"/>
          <w:color w:val="auto"/>
          <w:lang w:eastAsia="en-US"/>
        </w:rPr>
        <w:t xml:space="preserve"> </w:t>
      </w:r>
      <w:r w:rsidR="00127236">
        <w:rPr>
          <w:rFonts w:eastAsiaTheme="minorHAnsi" w:cstheme="minorBidi"/>
          <w:color w:val="auto"/>
          <w:lang w:eastAsia="en-US"/>
        </w:rPr>
        <w:t xml:space="preserve">zoals </w:t>
      </w:r>
      <w:r w:rsidR="009F095B">
        <w:rPr>
          <w:rFonts w:eastAsiaTheme="minorHAnsi" w:cstheme="minorBidi"/>
          <w:color w:val="auto"/>
          <w:lang w:eastAsia="en-US"/>
        </w:rPr>
        <w:t xml:space="preserve">de </w:t>
      </w:r>
      <w:r w:rsidRPr="00412FF3" w:rsidR="00127236">
        <w:rPr>
          <w:rFonts w:eastAsiaTheme="minorHAnsi" w:cstheme="minorBidi"/>
          <w:color w:val="auto"/>
          <w:lang w:eastAsia="en-US"/>
        </w:rPr>
        <w:t>V</w:t>
      </w:r>
      <w:r w:rsidR="00127236">
        <w:rPr>
          <w:rFonts w:eastAsiaTheme="minorHAnsi" w:cstheme="minorBidi"/>
          <w:color w:val="auto"/>
          <w:lang w:eastAsia="en-US"/>
        </w:rPr>
        <w:t>erklaring Omtrent het Gedrag (VOG).</w:t>
      </w:r>
      <w:r w:rsidR="009F095B">
        <w:rPr>
          <w:rFonts w:eastAsiaTheme="minorHAnsi" w:cstheme="minorBidi"/>
          <w:color w:val="auto"/>
          <w:lang w:eastAsia="en-US"/>
        </w:rPr>
        <w:t xml:space="preserve"> Om sportverenigingen hierin te ontzorgen, kunnen deze taken extern worden ondergebracht.</w:t>
      </w:r>
      <w:r w:rsidR="007B62E2">
        <w:rPr>
          <w:rFonts w:eastAsiaTheme="minorHAnsi" w:cstheme="minorBidi"/>
          <w:color w:val="auto"/>
          <w:lang w:eastAsia="en-US"/>
        </w:rPr>
        <w:t xml:space="preserve"> Het Netwerk In de Sport (NIDS) kan hier een rol in spelen.</w:t>
      </w:r>
      <w:r w:rsidR="00127236">
        <w:rPr>
          <w:rFonts w:eastAsiaTheme="minorHAnsi" w:cstheme="minorBidi"/>
          <w:color w:val="auto"/>
          <w:lang w:eastAsia="en-US"/>
        </w:rPr>
        <w:t xml:space="preserve"> NIDS</w:t>
      </w:r>
      <w:r w:rsidR="000B52E8">
        <w:rPr>
          <w:rFonts w:eastAsiaTheme="minorHAnsi" w:cstheme="minorBidi"/>
          <w:color w:val="auto"/>
          <w:lang w:eastAsia="en-US"/>
        </w:rPr>
        <w:t xml:space="preserve"> </w:t>
      </w:r>
      <w:r w:rsidRPr="00412FF3" w:rsidR="00127236">
        <w:rPr>
          <w:rFonts w:eastAsiaTheme="minorHAnsi" w:cstheme="minorBidi"/>
          <w:color w:val="auto"/>
          <w:lang w:eastAsia="en-US"/>
        </w:rPr>
        <w:t xml:space="preserve">hanteert als werkgeversvereniging </w:t>
      </w:r>
      <w:r w:rsidR="00127236">
        <w:rPr>
          <w:rFonts w:eastAsiaTheme="minorHAnsi" w:cstheme="minorBidi"/>
          <w:color w:val="auto"/>
          <w:lang w:eastAsia="en-US"/>
        </w:rPr>
        <w:t xml:space="preserve">van lokale amateur sportorganisaties </w:t>
      </w:r>
      <w:r w:rsidRPr="00412FF3" w:rsidR="00127236">
        <w:rPr>
          <w:rFonts w:eastAsiaTheme="minorHAnsi" w:cstheme="minorBidi"/>
          <w:color w:val="auto"/>
          <w:lang w:eastAsia="en-US"/>
        </w:rPr>
        <w:t>de</w:t>
      </w:r>
      <w:r w:rsidR="0040501B">
        <w:rPr>
          <w:rFonts w:eastAsiaTheme="minorHAnsi" w:cstheme="minorBidi"/>
          <w:color w:val="auto"/>
          <w:lang w:eastAsia="en-US"/>
        </w:rPr>
        <w:t xml:space="preserve"> CAO</w:t>
      </w:r>
      <w:r w:rsidRPr="00412FF3" w:rsidR="00127236">
        <w:rPr>
          <w:rFonts w:eastAsiaTheme="minorHAnsi" w:cstheme="minorBidi"/>
          <w:color w:val="auto"/>
          <w:lang w:eastAsia="en-US"/>
        </w:rPr>
        <w:t xml:space="preserve"> Sportverenigingen en heeft met haar dienstverleners een landelijk dekking</w:t>
      </w:r>
      <w:r w:rsidR="00127236">
        <w:rPr>
          <w:rFonts w:eastAsiaTheme="minorHAnsi" w:cstheme="minorBidi"/>
          <w:color w:val="auto"/>
          <w:lang w:eastAsia="en-US"/>
        </w:rPr>
        <w:t xml:space="preserve">. </w:t>
      </w:r>
      <w:r w:rsidR="009F095B">
        <w:rPr>
          <w:rFonts w:eastAsiaTheme="minorHAnsi" w:cstheme="minorBidi"/>
          <w:color w:val="auto"/>
          <w:lang w:eastAsia="en-US"/>
        </w:rPr>
        <w:t>Ik ben in gesprek met de partners van Sportakkoord II om meer bekendheid te geven aan de dienstverlening die het NIDS kan bieden</w:t>
      </w:r>
      <w:r w:rsidR="00404D12">
        <w:rPr>
          <w:rFonts w:eastAsiaTheme="minorHAnsi" w:cstheme="minorBidi"/>
          <w:color w:val="auto"/>
          <w:lang w:eastAsia="en-US"/>
        </w:rPr>
        <w:t>.</w:t>
      </w:r>
      <w:r w:rsidR="009F095B">
        <w:rPr>
          <w:rFonts w:eastAsiaTheme="minorHAnsi" w:cstheme="minorBidi"/>
          <w:color w:val="auto"/>
          <w:lang w:eastAsia="en-US"/>
        </w:rPr>
        <w:t xml:space="preserve"> </w:t>
      </w:r>
      <w:r w:rsidR="00A43181">
        <w:rPr>
          <w:rFonts w:eastAsiaTheme="minorHAnsi" w:cstheme="minorBidi"/>
          <w:color w:val="auto"/>
          <w:lang w:eastAsia="en-US"/>
        </w:rPr>
        <w:t>Vanaf begin 2026 gaat de NIDS starten met</w:t>
      </w:r>
      <w:r w:rsidR="00127236">
        <w:rPr>
          <w:rFonts w:eastAsiaTheme="minorHAnsi" w:cstheme="minorBidi"/>
          <w:color w:val="auto"/>
          <w:lang w:eastAsia="en-US"/>
        </w:rPr>
        <w:t xml:space="preserve"> </w:t>
      </w:r>
      <w:r w:rsidR="00BC1367">
        <w:rPr>
          <w:rFonts w:eastAsiaTheme="minorHAnsi" w:cstheme="minorBidi"/>
          <w:color w:val="auto"/>
          <w:lang w:eastAsia="en-US"/>
        </w:rPr>
        <w:t xml:space="preserve">een campagne </w:t>
      </w:r>
      <w:r w:rsidR="00B06B4C">
        <w:rPr>
          <w:rFonts w:eastAsiaTheme="minorHAnsi" w:cstheme="minorBidi"/>
          <w:color w:val="auto"/>
          <w:lang w:eastAsia="en-US"/>
        </w:rPr>
        <w:t xml:space="preserve">die </w:t>
      </w:r>
      <w:r w:rsidR="0040501B">
        <w:rPr>
          <w:rFonts w:eastAsiaTheme="minorHAnsi" w:cstheme="minorBidi"/>
          <w:color w:val="auto"/>
          <w:lang w:eastAsia="en-US"/>
        </w:rPr>
        <w:t>sportverenigingen ondersteun</w:t>
      </w:r>
      <w:r w:rsidR="00B06B4C">
        <w:rPr>
          <w:rFonts w:eastAsiaTheme="minorHAnsi" w:cstheme="minorBidi"/>
          <w:color w:val="auto"/>
          <w:lang w:eastAsia="en-US"/>
        </w:rPr>
        <w:t>t</w:t>
      </w:r>
      <w:r w:rsidR="0040501B">
        <w:rPr>
          <w:rFonts w:eastAsiaTheme="minorHAnsi" w:cstheme="minorBidi"/>
          <w:color w:val="auto"/>
          <w:lang w:eastAsia="en-US"/>
        </w:rPr>
        <w:t xml:space="preserve"> en </w:t>
      </w:r>
      <w:r w:rsidR="00BC1367">
        <w:rPr>
          <w:rFonts w:eastAsiaTheme="minorHAnsi" w:cstheme="minorBidi"/>
          <w:color w:val="auto"/>
          <w:lang w:eastAsia="en-US"/>
        </w:rPr>
        <w:t>ontzorg</w:t>
      </w:r>
      <w:r w:rsidR="00B06B4C">
        <w:rPr>
          <w:rFonts w:eastAsiaTheme="minorHAnsi" w:cstheme="minorBidi"/>
          <w:color w:val="auto"/>
          <w:lang w:eastAsia="en-US"/>
        </w:rPr>
        <w:t>t</w:t>
      </w:r>
      <w:r w:rsidR="00BC1367">
        <w:rPr>
          <w:rFonts w:eastAsiaTheme="minorHAnsi" w:cstheme="minorBidi"/>
          <w:color w:val="auto"/>
          <w:lang w:eastAsia="en-US"/>
        </w:rPr>
        <w:t xml:space="preserve"> op het gebied van </w:t>
      </w:r>
      <w:r w:rsidRPr="00652204" w:rsidR="00652204">
        <w:rPr>
          <w:rFonts w:eastAsiaTheme="minorHAnsi" w:cstheme="minorBidi"/>
          <w:color w:val="auto"/>
          <w:lang w:eastAsia="en-US"/>
        </w:rPr>
        <w:t>werkgeverschapsverplichtingen</w:t>
      </w:r>
      <w:r w:rsidR="00BC1367">
        <w:rPr>
          <w:rFonts w:eastAsiaTheme="minorHAnsi" w:cstheme="minorBidi"/>
          <w:color w:val="auto"/>
          <w:lang w:eastAsia="en-US"/>
        </w:rPr>
        <w:t>.</w:t>
      </w:r>
      <w:r w:rsidR="0040501B">
        <w:rPr>
          <w:rFonts w:eastAsiaTheme="minorHAnsi" w:cstheme="minorBidi"/>
          <w:color w:val="auto"/>
          <w:lang w:eastAsia="en-US"/>
        </w:rPr>
        <w:t xml:space="preserve"> </w:t>
      </w:r>
    </w:p>
    <w:p w:rsidR="006B1EE5" w:rsidP="002C510D" w:rsidRDefault="006B1EE5" w14:paraId="022AE5A6" w14:textId="77777777">
      <w:pPr>
        <w:autoSpaceDN/>
        <w:textAlignment w:val="auto"/>
        <w:rPr>
          <w:rFonts w:eastAsiaTheme="minorHAnsi" w:cstheme="minorBidi"/>
          <w:color w:val="auto"/>
          <w:lang w:eastAsia="en-US"/>
        </w:rPr>
      </w:pPr>
    </w:p>
    <w:p w:rsidRPr="00BB484C" w:rsidR="008936A1" w:rsidP="002C510D" w:rsidRDefault="008936A1" w14:paraId="28A773C3" w14:textId="1D054224">
      <w:pPr>
        <w:rPr>
          <w:b/>
          <w:bCs/>
        </w:rPr>
      </w:pPr>
      <w:bookmarkStart w:name="_Hlk196472777" w:id="2"/>
      <w:bookmarkStart w:name="_Hlk196725790" w:id="3"/>
      <w:bookmarkStart w:name="_Hlk213761439" w:id="4"/>
      <w:r w:rsidRPr="00BB484C">
        <w:rPr>
          <w:b/>
          <w:bCs/>
        </w:rPr>
        <w:t>Wet Bestuur en Toezicht Rechtspersonen en Vrijwilligersverzekering</w:t>
      </w:r>
    </w:p>
    <w:p w:rsidR="00BB484C" w:rsidP="002C510D" w:rsidRDefault="00BB484C" w14:paraId="5D813DF6" w14:textId="77777777"/>
    <w:p w:rsidR="008936A1" w:rsidP="002C510D" w:rsidRDefault="00575171" w14:paraId="2AE625C5" w14:textId="0C698F2D">
      <w:r w:rsidRPr="0075256D">
        <w:t xml:space="preserve">Het lid </w:t>
      </w:r>
      <w:r w:rsidR="0018776E">
        <w:t>v</w:t>
      </w:r>
      <w:r w:rsidRPr="0075256D">
        <w:t>an Dijk c.s.</w:t>
      </w:r>
      <w:r w:rsidRPr="0051529D" w:rsidR="00FF51E7">
        <w:rPr>
          <w:rStyle w:val="Voetnootmarkering"/>
        </w:rPr>
        <w:footnoteReference w:id="7"/>
      </w:r>
      <w:r w:rsidRPr="0075256D">
        <w:t xml:space="preserve"> heeft een motie ingediend om de </w:t>
      </w:r>
      <w:r w:rsidRPr="008936A1">
        <w:t>Wet Bestuur en Toezicht Rechtspersonen</w:t>
      </w:r>
      <w:r w:rsidRPr="0075256D">
        <w:t xml:space="preserve"> (WBTR)</w:t>
      </w:r>
      <w:r>
        <w:t xml:space="preserve"> </w:t>
      </w:r>
      <w:r w:rsidRPr="0075256D">
        <w:t>te evalueren en de bescherming van de huidige vrijwilligersverzekering te</w:t>
      </w:r>
      <w:r w:rsidRPr="0051529D">
        <w:t xml:space="preserve"> onderzoeken</w:t>
      </w:r>
      <w:r>
        <w:t xml:space="preserve">. </w:t>
      </w:r>
      <w:r w:rsidRPr="00C35909" w:rsidR="00C35909">
        <w:t xml:space="preserve">In opdracht van het Wetenschappelijk Onderzoek en Datacentrum (WODC) zijn de Rijksuniversiteit Groningen en </w:t>
      </w:r>
      <w:r w:rsidR="00B06B4C">
        <w:t xml:space="preserve">de </w:t>
      </w:r>
      <w:r w:rsidRPr="00C35909" w:rsidR="00C35909">
        <w:t>Universiteit van Amsterdam (UvA)</w:t>
      </w:r>
      <w:r w:rsidR="00E41EBB">
        <w:t xml:space="preserve"> gestart met de evaluatie van de WBTR</w:t>
      </w:r>
      <w:r w:rsidR="00A140E0">
        <w:t>.</w:t>
      </w:r>
      <w:r w:rsidRPr="00C35909" w:rsidR="00C35909">
        <w:rPr>
          <w:color w:val="FF0000"/>
        </w:rPr>
        <w:t xml:space="preserve"> </w:t>
      </w:r>
      <w:r w:rsidRPr="00E82AE9" w:rsidR="00E82AE9">
        <w:rPr>
          <w:color w:val="000000" w:themeColor="text1"/>
        </w:rPr>
        <w:t xml:space="preserve">Hiermee beschouw ik deze motie als afgedaan. </w:t>
      </w:r>
      <w:r w:rsidRPr="00E82AE9" w:rsidR="00FF51E7">
        <w:rPr>
          <w:color w:val="000000" w:themeColor="text1"/>
        </w:rPr>
        <w:t>De</w:t>
      </w:r>
      <w:r w:rsidR="00B06B4C">
        <w:rPr>
          <w:color w:val="000000" w:themeColor="text1"/>
        </w:rPr>
        <w:t xml:space="preserve"> minister van Justitie en Veiligheid zal de</w:t>
      </w:r>
      <w:r w:rsidRPr="00E82AE9" w:rsidR="00C35909">
        <w:rPr>
          <w:color w:val="000000" w:themeColor="text1"/>
        </w:rPr>
        <w:t xml:space="preserve"> </w:t>
      </w:r>
      <w:r w:rsidRPr="00C35909" w:rsidR="00C35909">
        <w:t xml:space="preserve">evaluatie van de wet </w:t>
      </w:r>
      <w:r w:rsidR="00B06B4C">
        <w:t xml:space="preserve">naar verwachting </w:t>
      </w:r>
      <w:r w:rsidRPr="00C35909" w:rsidR="00C35909">
        <w:t xml:space="preserve">voor 1 juli 2026 naar uw Kamer </w:t>
      </w:r>
      <w:r w:rsidR="00B06B4C">
        <w:t>sturen</w:t>
      </w:r>
      <w:r w:rsidRPr="00C35909" w:rsidR="00C35909">
        <w:t>.</w:t>
      </w:r>
      <w:r w:rsidR="00A140E0">
        <w:t xml:space="preserve"> </w:t>
      </w:r>
      <w:r w:rsidR="00BC1367">
        <w:t xml:space="preserve">Bij de evaluatie zal niet alleen worden gekeken </w:t>
      </w:r>
      <w:r w:rsidR="00FF51E7">
        <w:t xml:space="preserve">worden </w:t>
      </w:r>
      <w:r w:rsidR="00BC1367">
        <w:t>of de wet op papier goed werkt, maar ook hoe deze door stichtingen en verenigingen wordt ervaren</w:t>
      </w:r>
      <w:r w:rsidR="0069177A">
        <w:t xml:space="preserve"> en of </w:t>
      </w:r>
      <w:r w:rsidR="002B6C44">
        <w:t xml:space="preserve">de wet mogelijk </w:t>
      </w:r>
      <w:r w:rsidR="0069177A">
        <w:t xml:space="preserve">effect heeft op de eventuele deelname aan het bestuur van een </w:t>
      </w:r>
      <w:r w:rsidR="002B6C44">
        <w:t xml:space="preserve">stichting of </w:t>
      </w:r>
      <w:r w:rsidR="0069177A">
        <w:t>vereniging</w:t>
      </w:r>
      <w:r w:rsidR="002B6C44">
        <w:rPr>
          <w:rStyle w:val="Voetnootmarkering"/>
        </w:rPr>
        <w:footnoteReference w:id="8"/>
      </w:r>
      <w:r w:rsidR="0069177A">
        <w:t xml:space="preserve">. </w:t>
      </w:r>
    </w:p>
    <w:p w:rsidR="00E41EBB" w:rsidP="002C510D" w:rsidRDefault="00E41EBB" w14:paraId="33E1C974" w14:textId="77777777"/>
    <w:p w:rsidR="0054718E" w:rsidP="00BC4525" w:rsidRDefault="00FF51E7" w14:paraId="35C105B5" w14:textId="3661E622">
      <w:r>
        <w:t xml:space="preserve">Ik heb toegezegd uw Kamer te informeren over de </w:t>
      </w:r>
      <w:r w:rsidRPr="00CC5C44" w:rsidR="00495DAF">
        <w:t>voortgang rondom</w:t>
      </w:r>
      <w:r w:rsidR="00495DAF">
        <w:t xml:space="preserve"> de vrijwilligersverzekering en bestuurdersaansprakelijkheid</w:t>
      </w:r>
      <w:r w:rsidR="00495DAF">
        <w:rPr>
          <w:rStyle w:val="Voetnootmarkering"/>
        </w:rPr>
        <w:footnoteReference w:id="9"/>
      </w:r>
      <w:r w:rsidR="00495DAF">
        <w:t xml:space="preserve">. </w:t>
      </w:r>
      <w:r w:rsidR="00575171">
        <w:t xml:space="preserve">Ten aanzien van de </w:t>
      </w:r>
      <w:r w:rsidRPr="008936A1" w:rsidR="00575171">
        <w:t>vrijwilligersverzekering</w:t>
      </w:r>
      <w:r w:rsidR="00575171">
        <w:t xml:space="preserve"> he</w:t>
      </w:r>
      <w:r w:rsidR="00043690">
        <w:t>eft</w:t>
      </w:r>
      <w:r w:rsidR="00575171">
        <w:t xml:space="preserve"> Significant Public een verkennend onderzoek uitgevoerd</w:t>
      </w:r>
      <w:r w:rsidR="00FE1789">
        <w:t xml:space="preserve"> naar </w:t>
      </w:r>
      <w:r w:rsidR="00043690">
        <w:t xml:space="preserve">de </w:t>
      </w:r>
      <w:r w:rsidR="00FE1789">
        <w:t xml:space="preserve">‘Bescherming gemeentelijke vrijwilligersverzekering </w:t>
      </w:r>
      <w:r w:rsidR="00043690">
        <w:t>tegen</w:t>
      </w:r>
      <w:r w:rsidR="00FE1789">
        <w:t xml:space="preserve"> bestuurdersaansprakelijkheid</w:t>
      </w:r>
      <w:r w:rsidR="00043690">
        <w:t>’</w:t>
      </w:r>
      <w:r w:rsidR="00847197">
        <w:t>, w</w:t>
      </w:r>
      <w:r w:rsidR="00E41EBB">
        <w:t xml:space="preserve">aarover u </w:t>
      </w:r>
      <w:r w:rsidRPr="00CC5C44" w:rsidR="00E41EBB">
        <w:t>in de brief van 18 juni 2025</w:t>
      </w:r>
      <w:r w:rsidRPr="00CC5C44" w:rsidR="00E41EBB">
        <w:rPr>
          <w:vertAlign w:val="superscript"/>
        </w:rPr>
        <w:footnoteReference w:id="10"/>
      </w:r>
      <w:r w:rsidRPr="00CC5C44" w:rsidR="00E41EBB">
        <w:t xml:space="preserve"> </w:t>
      </w:r>
      <w:r w:rsidR="00B06B4C">
        <w:t>bent</w:t>
      </w:r>
      <w:r w:rsidR="00E41EBB">
        <w:t xml:space="preserve"> geïnformeerd. </w:t>
      </w:r>
      <w:r w:rsidR="00845D39">
        <w:t>Zoals ook in die brief vermeld</w:t>
      </w:r>
      <w:r w:rsidR="00EF3DDE">
        <w:t>,</w:t>
      </w:r>
      <w:r w:rsidR="00845D39">
        <w:t xml:space="preserve"> betreft de vrijwilligersverzekering een secundaire verzekering die dient als vangnet voor kleinere vrijwilligersorganisaties. </w:t>
      </w:r>
      <w:r w:rsidR="00C36349">
        <w:t xml:space="preserve">Een secundaire verzekering </w:t>
      </w:r>
      <w:r w:rsidRPr="007B62E2" w:rsidR="007B62E2">
        <w:t xml:space="preserve">is een aanvullende verzekering die pas wordt </w:t>
      </w:r>
      <w:r w:rsidR="007B62E2">
        <w:t>aangesproken</w:t>
      </w:r>
      <w:r w:rsidRPr="007B62E2" w:rsidR="007B62E2">
        <w:t xml:space="preserve"> als de primaire verzekering onvoldoende of </w:t>
      </w:r>
      <w:r w:rsidR="00404D12">
        <w:t xml:space="preserve">geen </w:t>
      </w:r>
      <w:r w:rsidRPr="007B62E2" w:rsidR="007B62E2">
        <w:t>dek</w:t>
      </w:r>
      <w:r w:rsidR="00404D12">
        <w:t>king biedt</w:t>
      </w:r>
      <w:r w:rsidRPr="007B62E2" w:rsidR="007B62E2">
        <w:t>. Deze verzekering fungeert als een extra vangnet. Bijvoorbeeld als de aansprakelijkheidsverzekering van een sportvereniging of van een vrijwilliger bepaalde schade niet dekt, kan de secundaire verzekering de vrijwilliger alsnog beschermen.</w:t>
      </w:r>
      <w:r w:rsidR="007B62E2">
        <w:t xml:space="preserve"> </w:t>
      </w:r>
      <w:r w:rsidRPr="00845D39" w:rsidR="00845D39">
        <w:t>De vrijwilligersverzekering is in 2008 ontwikkeld, om vrijwilligers en mantelzorgers in gemeenten te verzekeren zonder aparte registratie. Het doel is om vrijwilligers te beschermen tegen risico’s, zodat zij niet stoppen met hun inzet.</w:t>
      </w:r>
      <w:bookmarkEnd w:id="2"/>
      <w:bookmarkEnd w:id="3"/>
    </w:p>
    <w:p w:rsidR="00043690" w:rsidP="00BC4525" w:rsidRDefault="00043690" w14:paraId="2C2E2C7D" w14:textId="77777777">
      <w:pPr>
        <w:rPr>
          <w:rFonts w:cs="Arial"/>
        </w:rPr>
      </w:pPr>
    </w:p>
    <w:p w:rsidR="00575171" w:rsidP="00BC4525" w:rsidRDefault="00EC722B" w14:paraId="6A21ACD0" w14:textId="59E40362">
      <w:pPr>
        <w:rPr>
          <w:rFonts w:eastAsiaTheme="minorHAnsi" w:cstheme="minorBidi"/>
          <w:color w:val="auto"/>
          <w:lang w:eastAsia="en-US"/>
        </w:rPr>
      </w:pPr>
      <w:r>
        <w:rPr>
          <w:rFonts w:cs="Arial"/>
        </w:rPr>
        <w:t>Significant Public concludeert dat de</w:t>
      </w:r>
      <w:r w:rsidRPr="0012771C" w:rsidR="00575171">
        <w:rPr>
          <w:rFonts w:eastAsiaTheme="minorHAnsi" w:cstheme="minorBidi"/>
          <w:color w:val="auto"/>
          <w:lang w:eastAsia="en-US"/>
        </w:rPr>
        <w:t xml:space="preserve"> gemeentelijke vrijwilligersverzekering</w:t>
      </w:r>
      <w:r w:rsidR="000A54F2">
        <w:rPr>
          <w:rFonts w:eastAsiaTheme="minorHAnsi" w:cstheme="minorBidi"/>
          <w:color w:val="auto"/>
          <w:lang w:eastAsia="en-US"/>
        </w:rPr>
        <w:t xml:space="preserve"> </w:t>
      </w:r>
      <w:r w:rsidR="00575171">
        <w:rPr>
          <w:rFonts w:eastAsiaTheme="minorHAnsi" w:cstheme="minorBidi"/>
          <w:color w:val="auto"/>
          <w:lang w:eastAsia="en-US"/>
        </w:rPr>
        <w:t>n</w:t>
      </w:r>
      <w:r w:rsidRPr="0012771C" w:rsidR="00575171">
        <w:rPr>
          <w:rFonts w:eastAsiaTheme="minorHAnsi" w:cstheme="minorBidi"/>
          <w:color w:val="auto"/>
          <w:lang w:eastAsia="en-US"/>
        </w:rPr>
        <w:t>iet voor alle bestuurdersaansprakelijkheidsrisico</w:t>
      </w:r>
      <w:r w:rsidR="00575171">
        <w:rPr>
          <w:rFonts w:eastAsiaTheme="minorHAnsi" w:cstheme="minorBidi"/>
          <w:color w:val="auto"/>
          <w:lang w:eastAsia="en-US"/>
        </w:rPr>
        <w:t>’</w:t>
      </w:r>
      <w:r w:rsidRPr="0012771C" w:rsidR="00575171">
        <w:rPr>
          <w:rFonts w:eastAsiaTheme="minorHAnsi" w:cstheme="minorBidi"/>
          <w:color w:val="auto"/>
          <w:lang w:eastAsia="en-US"/>
        </w:rPr>
        <w:t>s</w:t>
      </w:r>
      <w:r w:rsidR="00575171">
        <w:rPr>
          <w:rFonts w:eastAsiaTheme="minorHAnsi" w:cstheme="minorBidi"/>
          <w:color w:val="auto"/>
          <w:lang w:eastAsia="en-US"/>
        </w:rPr>
        <w:t xml:space="preserve"> afdoende dekking</w:t>
      </w:r>
      <w:r>
        <w:rPr>
          <w:rFonts w:eastAsiaTheme="minorHAnsi" w:cstheme="minorBidi"/>
          <w:color w:val="auto"/>
          <w:lang w:eastAsia="en-US"/>
        </w:rPr>
        <w:t xml:space="preserve"> biedt</w:t>
      </w:r>
      <w:r w:rsidRPr="0012771C" w:rsidR="00575171">
        <w:rPr>
          <w:rFonts w:eastAsiaTheme="minorHAnsi" w:cstheme="minorBidi"/>
          <w:color w:val="auto"/>
          <w:lang w:eastAsia="en-US"/>
        </w:rPr>
        <w:t>, ook niet de risico’s die al bestonden vóór</w:t>
      </w:r>
      <w:r w:rsidR="000A54F2">
        <w:rPr>
          <w:rFonts w:eastAsiaTheme="minorHAnsi" w:cstheme="minorBidi"/>
          <w:color w:val="auto"/>
          <w:lang w:eastAsia="en-US"/>
        </w:rPr>
        <w:t>dat</w:t>
      </w:r>
      <w:r w:rsidRPr="0012771C" w:rsidR="00575171">
        <w:rPr>
          <w:rFonts w:eastAsiaTheme="minorHAnsi" w:cstheme="minorBidi"/>
          <w:color w:val="auto"/>
          <w:lang w:eastAsia="en-US"/>
        </w:rPr>
        <w:t xml:space="preserve"> de WBTR</w:t>
      </w:r>
      <w:r w:rsidR="000A54F2">
        <w:rPr>
          <w:rFonts w:eastAsiaTheme="minorHAnsi" w:cstheme="minorBidi"/>
          <w:color w:val="auto"/>
          <w:lang w:eastAsia="en-US"/>
        </w:rPr>
        <w:t xml:space="preserve"> in werking trad</w:t>
      </w:r>
      <w:r w:rsidRPr="0012771C" w:rsidR="00575171">
        <w:rPr>
          <w:rFonts w:eastAsiaTheme="minorHAnsi" w:cstheme="minorBidi"/>
          <w:color w:val="auto"/>
          <w:lang w:eastAsia="en-US"/>
        </w:rPr>
        <w:t xml:space="preserve">. De gemeentelijke vrijwilligersverzekering is op dit punt bedoeld als (secundair) vangnet en niet bedoeld ter vervanging van een verzekering die verenigingen zelf afsluiten. Voor de module bestuurdersaansprakelijkheidsverzekering geldt bovendien </w:t>
      </w:r>
      <w:r w:rsidR="00F67065">
        <w:rPr>
          <w:rFonts w:eastAsiaTheme="minorHAnsi" w:cstheme="minorBidi"/>
          <w:color w:val="auto"/>
          <w:lang w:eastAsia="en-US"/>
        </w:rPr>
        <w:t>als</w:t>
      </w:r>
      <w:r w:rsidRPr="0012771C" w:rsidR="00575171">
        <w:rPr>
          <w:rFonts w:eastAsiaTheme="minorHAnsi" w:cstheme="minorBidi"/>
          <w:color w:val="auto"/>
          <w:lang w:eastAsia="en-US"/>
        </w:rPr>
        <w:t xml:space="preserve"> voorwaarde dat het maximum balanstotaal</w:t>
      </w:r>
      <w:r w:rsidR="00CC5EFB">
        <w:rPr>
          <w:rStyle w:val="Voetnootmarkering"/>
          <w:rFonts w:eastAsiaTheme="minorHAnsi" w:cstheme="minorBidi"/>
          <w:color w:val="auto"/>
          <w:lang w:eastAsia="en-US"/>
        </w:rPr>
        <w:footnoteReference w:id="11"/>
      </w:r>
      <w:r w:rsidR="00CC5EFB">
        <w:rPr>
          <w:rFonts w:eastAsiaTheme="minorHAnsi" w:cstheme="minorBidi"/>
          <w:color w:val="auto"/>
          <w:lang w:eastAsia="en-US"/>
        </w:rPr>
        <w:t xml:space="preserve"> </w:t>
      </w:r>
      <w:r w:rsidRPr="0012771C" w:rsidR="00575171">
        <w:rPr>
          <w:rFonts w:eastAsiaTheme="minorHAnsi" w:cstheme="minorBidi"/>
          <w:color w:val="auto"/>
          <w:lang w:eastAsia="en-US"/>
        </w:rPr>
        <w:t xml:space="preserve">niet hoger mag zijn dan 500.000 euro. </w:t>
      </w:r>
      <w:r w:rsidR="00575171">
        <w:rPr>
          <w:rFonts w:eastAsiaTheme="minorHAnsi" w:cstheme="minorBidi"/>
          <w:color w:val="auto"/>
          <w:lang w:eastAsia="en-US"/>
        </w:rPr>
        <w:t>Dit betekent dat d</w:t>
      </w:r>
      <w:r w:rsidRPr="0012771C" w:rsidR="00575171">
        <w:rPr>
          <w:rFonts w:eastAsiaTheme="minorHAnsi" w:cstheme="minorBidi"/>
          <w:color w:val="auto"/>
          <w:lang w:eastAsia="en-US"/>
        </w:rPr>
        <w:t xml:space="preserve">e gemeentelijke vrijwilligersverzekering zich voornamelijk </w:t>
      </w:r>
      <w:r w:rsidR="00575171">
        <w:rPr>
          <w:rFonts w:eastAsiaTheme="minorHAnsi" w:cstheme="minorBidi"/>
          <w:color w:val="auto"/>
          <w:lang w:eastAsia="en-US"/>
        </w:rPr>
        <w:t xml:space="preserve">richt </w:t>
      </w:r>
      <w:r w:rsidRPr="0012771C" w:rsidR="00575171">
        <w:rPr>
          <w:rFonts w:eastAsiaTheme="minorHAnsi" w:cstheme="minorBidi"/>
          <w:color w:val="auto"/>
          <w:lang w:eastAsia="en-US"/>
        </w:rPr>
        <w:t>op relatief kleinere vrijwilligersorganisaties en geen vangnet bi</w:t>
      </w:r>
      <w:r w:rsidR="00575171">
        <w:rPr>
          <w:rFonts w:eastAsiaTheme="minorHAnsi" w:cstheme="minorBidi"/>
          <w:color w:val="auto"/>
          <w:lang w:eastAsia="en-US"/>
        </w:rPr>
        <w:t>e</w:t>
      </w:r>
      <w:r w:rsidRPr="0012771C" w:rsidR="00575171">
        <w:rPr>
          <w:rFonts w:eastAsiaTheme="minorHAnsi" w:cstheme="minorBidi"/>
          <w:color w:val="auto"/>
          <w:lang w:eastAsia="en-US"/>
        </w:rPr>
        <w:t>dt voor bestuurders van grotere verenigingen en stichtingen, vaak met een eigen accommodatie of clubhuis in eigendom.</w:t>
      </w:r>
      <w:r w:rsidR="00575171">
        <w:rPr>
          <w:rFonts w:eastAsiaTheme="minorHAnsi" w:cstheme="minorBidi"/>
          <w:color w:val="auto"/>
          <w:lang w:eastAsia="en-US"/>
        </w:rPr>
        <w:t xml:space="preserve"> </w:t>
      </w:r>
      <w:r w:rsidRPr="0012771C" w:rsidR="00575171">
        <w:rPr>
          <w:rFonts w:eastAsiaTheme="minorHAnsi" w:cstheme="minorBidi"/>
          <w:color w:val="auto"/>
          <w:lang w:eastAsia="en-US"/>
        </w:rPr>
        <w:t xml:space="preserve">De modules ‘bestuurdersaansprakelijkheidsverzekering’ en ‘rechtsbijstand voor vrijwilligers’ zijn optioneel, maar de meeste gemeenten hebben deze wel afgenomen. </w:t>
      </w:r>
      <w:r w:rsidR="00575171">
        <w:rPr>
          <w:rFonts w:eastAsiaTheme="minorHAnsi" w:cstheme="minorBidi"/>
          <w:color w:val="auto"/>
          <w:lang w:eastAsia="en-US"/>
        </w:rPr>
        <w:t>Tot slot is de relatieve onbekendheid van de gemeentelijke vrijwilligersverzekering bij vrijwilligersorganisaties een a</w:t>
      </w:r>
      <w:r w:rsidRPr="0012771C" w:rsidR="00575171">
        <w:rPr>
          <w:rFonts w:eastAsiaTheme="minorHAnsi" w:cstheme="minorBidi"/>
          <w:color w:val="auto"/>
          <w:lang w:eastAsia="en-US"/>
        </w:rPr>
        <w:t xml:space="preserve">andachtspunt. </w:t>
      </w:r>
    </w:p>
    <w:p w:rsidR="00575171" w:rsidP="00BC4525" w:rsidRDefault="00575171" w14:paraId="28EFA18C" w14:textId="77777777">
      <w:pPr>
        <w:rPr>
          <w:rFonts w:eastAsiaTheme="minorHAnsi" w:cstheme="minorBidi"/>
          <w:color w:val="auto"/>
          <w:lang w:eastAsia="en-US"/>
        </w:rPr>
      </w:pPr>
    </w:p>
    <w:p w:rsidR="00EC0968" w:rsidP="009757D2" w:rsidRDefault="00EC722B" w14:paraId="628A0129" w14:textId="1F827716">
      <w:r>
        <w:t xml:space="preserve">Naar aanleiding van de uitkomsten van dit onderzoek, ben ik </w:t>
      </w:r>
      <w:r w:rsidR="000A54F2">
        <w:t xml:space="preserve">in gesprek met de </w:t>
      </w:r>
      <w:r w:rsidRPr="0069177A" w:rsidR="000A54F2">
        <w:t>VSG,</w:t>
      </w:r>
      <w:r w:rsidR="00495DAF">
        <w:t xml:space="preserve"> </w:t>
      </w:r>
      <w:r w:rsidRPr="0069177A" w:rsidR="000A54F2">
        <w:t>VNG</w:t>
      </w:r>
      <w:r w:rsidR="000A54F2">
        <w:t>,</w:t>
      </w:r>
      <w:r w:rsidR="00D569E1">
        <w:t xml:space="preserve"> Centraal Beheer</w:t>
      </w:r>
      <w:r w:rsidRPr="0069177A" w:rsidR="000A54F2">
        <w:t xml:space="preserve"> Achmea</w:t>
      </w:r>
      <w:r w:rsidR="000A54F2">
        <w:t xml:space="preserve"> en </w:t>
      </w:r>
      <w:proofErr w:type="spellStart"/>
      <w:r w:rsidR="000A54F2">
        <w:t>VrijwilligerswerkNL</w:t>
      </w:r>
      <w:proofErr w:type="spellEnd"/>
      <w:r w:rsidRPr="0069177A" w:rsidR="000A54F2">
        <w:t>. </w:t>
      </w:r>
      <w:r>
        <w:t xml:space="preserve">Om de </w:t>
      </w:r>
      <w:r w:rsidR="00ED254C">
        <w:t xml:space="preserve">bekendheid over de gemeentelijke vrijwilligersverzekering te vergroten en de </w:t>
      </w:r>
      <w:r>
        <w:t xml:space="preserve">communicatie </w:t>
      </w:r>
      <w:r w:rsidR="00ED254C">
        <w:t xml:space="preserve">te verbeteren, </w:t>
      </w:r>
      <w:r>
        <w:t>is met betrokken partijen</w:t>
      </w:r>
      <w:r w:rsidR="000A54F2">
        <w:t xml:space="preserve"> een </w:t>
      </w:r>
      <w:r w:rsidR="009757D2">
        <w:t xml:space="preserve">lijst opgesteld met de meest voorkomende vragen met bijbehorende antwoorden </w:t>
      </w:r>
      <w:r w:rsidR="000A54F2">
        <w:t xml:space="preserve">over de vrijwilligersverzekering. </w:t>
      </w:r>
      <w:r w:rsidR="00D569E1">
        <w:t>Hiermee</w:t>
      </w:r>
      <w:r w:rsidRPr="00D569E1" w:rsidR="00D569E1">
        <w:t xml:space="preserve"> </w:t>
      </w:r>
      <w:r w:rsidR="00D569E1">
        <w:t xml:space="preserve">worden </w:t>
      </w:r>
      <w:r w:rsidRPr="00D569E1" w:rsidR="00D569E1">
        <w:t xml:space="preserve">gemeenten op de hoogte </w:t>
      </w:r>
      <w:r w:rsidR="00D569E1">
        <w:t xml:space="preserve">gebracht </w:t>
      </w:r>
      <w:r w:rsidRPr="00D569E1" w:rsidR="00D569E1">
        <w:t xml:space="preserve">van de laatste </w:t>
      </w:r>
      <w:r w:rsidRPr="00D569E1" w:rsidR="00D569E1">
        <w:lastRenderedPageBreak/>
        <w:t>ontwikkelingen rondom de vrijwilligersverzekering</w:t>
      </w:r>
      <w:r w:rsidR="00B3773C">
        <w:t xml:space="preserve"> en wat wel en niet verzekerd wordt</w:t>
      </w:r>
      <w:r w:rsidRPr="00D569E1" w:rsidR="00D569E1">
        <w:t>. Daarnaast roep</w:t>
      </w:r>
      <w:r w:rsidR="00D569E1">
        <w:t xml:space="preserve">t de VSG </w:t>
      </w:r>
      <w:r w:rsidRPr="00D569E1" w:rsidR="00D569E1">
        <w:t>gemeenten op om deze informatie te delen met vrijwilligersorganisaties</w:t>
      </w:r>
      <w:r>
        <w:t>, zoals sportverenigingen</w:t>
      </w:r>
      <w:r w:rsidR="009757D2">
        <w:t xml:space="preserve"> </w:t>
      </w:r>
      <w:r w:rsidRPr="00D569E1" w:rsidR="00D569E1">
        <w:t>die lokaal werkzaam zijn, zodat ook zij hiervan kennis kunnen nemen.</w:t>
      </w:r>
      <w:r w:rsidR="00847197">
        <w:t xml:space="preserve"> </w:t>
      </w:r>
      <w:r>
        <w:t>Tot slot wordt deze informatie ook via de communicatielijnen van het Sportakkoord ontsloten</w:t>
      </w:r>
      <w:r w:rsidR="00ED254C">
        <w:t>, zodat bestuurders van sportverenigingen beter bereikt worden.</w:t>
      </w:r>
      <w:r>
        <w:t xml:space="preserve"> </w:t>
      </w:r>
    </w:p>
    <w:p w:rsidR="00CF0773" w:rsidP="009757D2" w:rsidRDefault="00CF0773" w14:paraId="2CF26724" w14:textId="77777777"/>
    <w:p w:rsidR="000A54F2" w:rsidP="00223F1E" w:rsidRDefault="00ED254C" w14:paraId="73E52A15" w14:textId="7D026B8E">
      <w:pPr>
        <w:pStyle w:val="p1"/>
        <w:spacing w:line="240" w:lineRule="atLeast"/>
        <w:rPr>
          <w:rFonts w:ascii="Verdana" w:hAnsi="Verdana" w:eastAsia="DejaVu Sans" w:cs="Lohit Hindi"/>
          <w:color w:val="000000"/>
          <w:sz w:val="18"/>
          <w:szCs w:val="18"/>
        </w:rPr>
      </w:pPr>
      <w:r>
        <w:rPr>
          <w:rFonts w:ascii="Verdana" w:hAnsi="Verdana" w:eastAsia="DejaVu Sans" w:cs="Lohit Hindi"/>
          <w:color w:val="000000"/>
          <w:sz w:val="18"/>
          <w:szCs w:val="18"/>
        </w:rPr>
        <w:t xml:space="preserve">Daarnaast </w:t>
      </w:r>
      <w:r w:rsidRPr="00EC0968" w:rsidR="00EC0968">
        <w:rPr>
          <w:rFonts w:ascii="Verdana" w:hAnsi="Verdana" w:eastAsia="DejaVu Sans" w:cs="Lohit Hindi"/>
          <w:color w:val="000000"/>
          <w:sz w:val="18"/>
          <w:szCs w:val="18"/>
        </w:rPr>
        <w:t xml:space="preserve">ben ik in gesprek gegaan </w:t>
      </w:r>
      <w:r>
        <w:rPr>
          <w:rFonts w:ascii="Verdana" w:hAnsi="Verdana" w:eastAsia="DejaVu Sans" w:cs="Lohit Hindi"/>
          <w:color w:val="000000"/>
          <w:sz w:val="18"/>
          <w:szCs w:val="18"/>
        </w:rPr>
        <w:t xml:space="preserve">met Centraal Beheer Achmea om </w:t>
      </w:r>
      <w:r w:rsidRPr="00EC0968" w:rsidR="00EC0968">
        <w:rPr>
          <w:rFonts w:ascii="Verdana" w:hAnsi="Verdana" w:eastAsia="DejaVu Sans" w:cs="Lohit Hindi"/>
          <w:color w:val="000000"/>
          <w:sz w:val="18"/>
          <w:szCs w:val="18"/>
        </w:rPr>
        <w:t xml:space="preserve">de </w:t>
      </w:r>
      <w:r>
        <w:rPr>
          <w:rFonts w:ascii="Verdana" w:hAnsi="Verdana" w:eastAsia="DejaVu Sans" w:cs="Lohit Hindi"/>
          <w:color w:val="000000"/>
          <w:sz w:val="18"/>
          <w:szCs w:val="18"/>
        </w:rPr>
        <w:t>vrijwilligersverzekering aan te passen naar de huidige tijd</w:t>
      </w:r>
      <w:r w:rsidRPr="00EC0968" w:rsidR="00EC0968">
        <w:rPr>
          <w:rFonts w:ascii="Verdana" w:hAnsi="Verdana" w:eastAsia="DejaVu Sans" w:cs="Lohit Hindi"/>
          <w:color w:val="000000"/>
          <w:sz w:val="18"/>
          <w:szCs w:val="18"/>
        </w:rPr>
        <w:t xml:space="preserve">. </w:t>
      </w:r>
      <w:r w:rsidR="00DC4AE3">
        <w:rPr>
          <w:rFonts w:ascii="Verdana" w:hAnsi="Verdana" w:eastAsia="DejaVu Sans" w:cs="Lohit Hindi"/>
          <w:color w:val="000000"/>
          <w:sz w:val="18"/>
          <w:szCs w:val="18"/>
        </w:rPr>
        <w:t xml:space="preserve">De </w:t>
      </w:r>
      <w:r w:rsidRPr="00EC0968" w:rsidR="00847197">
        <w:rPr>
          <w:rFonts w:ascii="Verdana" w:hAnsi="Verdana" w:eastAsia="DejaVu Sans" w:cs="Lohit Hindi"/>
          <w:color w:val="000000"/>
          <w:sz w:val="18"/>
          <w:szCs w:val="18"/>
        </w:rPr>
        <w:t>eerder genoemde voorwaarde dat het balanstotaal van een organisatie niet hoger mag zijn dan 500.000 euro om in aanmerking te komen voor dekking op grond van bestuurdersaansprakelijkheidsverzekering</w:t>
      </w:r>
      <w:r>
        <w:rPr>
          <w:rFonts w:ascii="Verdana" w:hAnsi="Verdana" w:eastAsia="DejaVu Sans" w:cs="Lohit Hindi"/>
          <w:color w:val="000000"/>
          <w:sz w:val="18"/>
          <w:szCs w:val="18"/>
        </w:rPr>
        <w:t xml:space="preserve"> wijzigt</w:t>
      </w:r>
      <w:r w:rsidRPr="00EC0968" w:rsidR="00847197">
        <w:rPr>
          <w:rFonts w:ascii="Verdana" w:hAnsi="Verdana" w:eastAsia="DejaVu Sans" w:cs="Lohit Hindi"/>
          <w:color w:val="000000"/>
          <w:sz w:val="18"/>
          <w:szCs w:val="18"/>
        </w:rPr>
        <w:t xml:space="preserve">. Per 1 januari 2026 zal het balanstotaal </w:t>
      </w:r>
      <w:r>
        <w:rPr>
          <w:rFonts w:ascii="Verdana" w:hAnsi="Verdana" w:eastAsia="DejaVu Sans" w:cs="Lohit Hindi"/>
          <w:color w:val="000000"/>
          <w:sz w:val="18"/>
          <w:szCs w:val="18"/>
        </w:rPr>
        <w:t xml:space="preserve">worden verhoogd van 500.000 naar </w:t>
      </w:r>
      <w:r w:rsidRPr="00EC0968" w:rsidR="00847197">
        <w:rPr>
          <w:rFonts w:ascii="Verdana" w:hAnsi="Verdana" w:eastAsia="DejaVu Sans" w:cs="Lohit Hindi"/>
          <w:color w:val="000000"/>
          <w:sz w:val="18"/>
          <w:szCs w:val="18"/>
        </w:rPr>
        <w:t xml:space="preserve">750.000 euro. Daarnaast zal het verzekerde bedrag </w:t>
      </w:r>
      <w:r>
        <w:rPr>
          <w:rFonts w:ascii="Verdana" w:hAnsi="Verdana" w:eastAsia="DejaVu Sans" w:cs="Lohit Hindi"/>
          <w:color w:val="000000"/>
          <w:sz w:val="18"/>
          <w:szCs w:val="18"/>
        </w:rPr>
        <w:t>worden verhoogd</w:t>
      </w:r>
      <w:r w:rsidRPr="00EC0968">
        <w:rPr>
          <w:rFonts w:ascii="Verdana" w:hAnsi="Verdana" w:eastAsia="DejaVu Sans" w:cs="Lohit Hindi"/>
          <w:color w:val="000000"/>
          <w:sz w:val="18"/>
          <w:szCs w:val="18"/>
        </w:rPr>
        <w:t xml:space="preserve"> </w:t>
      </w:r>
      <w:r>
        <w:rPr>
          <w:rFonts w:ascii="Verdana" w:hAnsi="Verdana" w:eastAsia="DejaVu Sans" w:cs="Lohit Hindi"/>
          <w:color w:val="000000"/>
          <w:sz w:val="18"/>
          <w:szCs w:val="18"/>
        </w:rPr>
        <w:t xml:space="preserve">van </w:t>
      </w:r>
      <w:r w:rsidRPr="00223F1E">
        <w:rPr>
          <w:rFonts w:ascii="Verdana" w:hAnsi="Verdana" w:eastAsia="DejaVu Sans" w:cs="Lohit Hindi"/>
          <w:color w:val="000000"/>
          <w:sz w:val="18"/>
          <w:szCs w:val="18"/>
        </w:rPr>
        <w:t>750.000</w:t>
      </w:r>
      <w:r>
        <w:rPr>
          <w:rFonts w:ascii="Verdana" w:hAnsi="Verdana" w:eastAsia="DejaVu Sans" w:cs="Lohit Hindi"/>
          <w:color w:val="000000"/>
          <w:sz w:val="18"/>
          <w:szCs w:val="18"/>
        </w:rPr>
        <w:t xml:space="preserve"> </w:t>
      </w:r>
      <w:r w:rsidRPr="00EC0968" w:rsidR="00847197">
        <w:rPr>
          <w:rFonts w:ascii="Verdana" w:hAnsi="Verdana" w:eastAsia="DejaVu Sans" w:cs="Lohit Hindi"/>
          <w:color w:val="000000"/>
          <w:sz w:val="18"/>
          <w:szCs w:val="18"/>
        </w:rPr>
        <w:t xml:space="preserve">naar 1.000.000 euro. Hiermee zijn meer organisaties gedekt dan tot op heden het geval was. </w:t>
      </w:r>
      <w:r w:rsidR="00B3773C">
        <w:rPr>
          <w:rFonts w:ascii="Verdana" w:hAnsi="Verdana" w:eastAsia="DejaVu Sans" w:cs="Lohit Hindi"/>
          <w:color w:val="000000"/>
          <w:sz w:val="18"/>
          <w:szCs w:val="18"/>
        </w:rPr>
        <w:t xml:space="preserve">Het </w:t>
      </w:r>
      <w:r w:rsidR="00597349">
        <w:rPr>
          <w:rFonts w:ascii="Verdana" w:hAnsi="Verdana" w:eastAsia="DejaVu Sans" w:cs="Lohit Hindi"/>
          <w:color w:val="000000"/>
          <w:sz w:val="18"/>
          <w:szCs w:val="18"/>
        </w:rPr>
        <w:t>blijft</w:t>
      </w:r>
      <w:r w:rsidR="00B3773C">
        <w:rPr>
          <w:rFonts w:ascii="Verdana" w:hAnsi="Verdana" w:eastAsia="DejaVu Sans" w:cs="Lohit Hindi"/>
          <w:color w:val="000000"/>
          <w:sz w:val="18"/>
          <w:szCs w:val="18"/>
        </w:rPr>
        <w:t xml:space="preserve"> belangrijk om te benadrukken dat de vrijwilligersverzekering een </w:t>
      </w:r>
      <w:r w:rsidRPr="00B3773C" w:rsidR="00B3773C">
        <w:rPr>
          <w:rFonts w:ascii="Verdana" w:hAnsi="Verdana" w:eastAsia="DejaVu Sans" w:cs="Lohit Hindi"/>
          <w:color w:val="000000"/>
          <w:sz w:val="18"/>
          <w:szCs w:val="18"/>
        </w:rPr>
        <w:t>secundaire</w:t>
      </w:r>
      <w:r w:rsidRPr="00B3773C" w:rsidR="00B3773C">
        <w:rPr>
          <w:rFonts w:ascii="Verdana" w:hAnsi="Verdana" w:eastAsiaTheme="minorHAnsi" w:cstheme="minorBidi"/>
          <w:color w:val="auto"/>
          <w:sz w:val="18"/>
          <w:szCs w:val="18"/>
          <w:lang w:eastAsia="en-US"/>
        </w:rPr>
        <w:t xml:space="preserve"> </w:t>
      </w:r>
      <w:r w:rsidR="00B3773C">
        <w:rPr>
          <w:rFonts w:ascii="Verdana" w:hAnsi="Verdana" w:eastAsiaTheme="minorHAnsi" w:cstheme="minorBidi"/>
          <w:color w:val="auto"/>
          <w:sz w:val="18"/>
          <w:szCs w:val="18"/>
          <w:lang w:eastAsia="en-US"/>
        </w:rPr>
        <w:t xml:space="preserve">verzekering </w:t>
      </w:r>
      <w:r w:rsidRPr="00B3773C" w:rsidR="00B3773C">
        <w:rPr>
          <w:rFonts w:ascii="Verdana" w:hAnsi="Verdana" w:eastAsiaTheme="minorHAnsi" w:cstheme="minorBidi"/>
          <w:color w:val="auto"/>
          <w:sz w:val="18"/>
          <w:szCs w:val="18"/>
          <w:lang w:eastAsia="en-US"/>
        </w:rPr>
        <w:t xml:space="preserve">is en niet bedoeld </w:t>
      </w:r>
      <w:r w:rsidR="00B3773C">
        <w:rPr>
          <w:rFonts w:ascii="Verdana" w:hAnsi="Verdana" w:eastAsiaTheme="minorHAnsi" w:cstheme="minorBidi"/>
          <w:color w:val="auto"/>
          <w:sz w:val="18"/>
          <w:szCs w:val="18"/>
          <w:lang w:eastAsia="en-US"/>
        </w:rPr>
        <w:t xml:space="preserve">is </w:t>
      </w:r>
      <w:r w:rsidRPr="00B3773C" w:rsidR="00B3773C">
        <w:rPr>
          <w:rFonts w:ascii="Verdana" w:hAnsi="Verdana" w:eastAsiaTheme="minorHAnsi" w:cstheme="minorBidi"/>
          <w:color w:val="auto"/>
          <w:sz w:val="18"/>
          <w:szCs w:val="18"/>
          <w:lang w:eastAsia="en-US"/>
        </w:rPr>
        <w:t>ter vervanging van een verzekering die verenigingen zelf afsluiten</w:t>
      </w:r>
      <w:r w:rsidR="00B3773C">
        <w:rPr>
          <w:rFonts w:ascii="Verdana" w:hAnsi="Verdana" w:eastAsia="DejaVu Sans" w:cs="Lohit Hindi"/>
          <w:color w:val="000000"/>
          <w:sz w:val="18"/>
          <w:szCs w:val="18"/>
        </w:rPr>
        <w:t>. Zeker sportverenigingen met een grotere omvang moeten zelf een afweging maken welke risico’s rondom bestuurdersaansprakelijkheid zij lopen</w:t>
      </w:r>
      <w:r w:rsidR="00597349">
        <w:rPr>
          <w:rFonts w:ascii="Verdana" w:hAnsi="Verdana" w:eastAsia="DejaVu Sans" w:cs="Lohit Hindi"/>
          <w:color w:val="000000"/>
          <w:sz w:val="18"/>
          <w:szCs w:val="18"/>
        </w:rPr>
        <w:t xml:space="preserve"> en </w:t>
      </w:r>
      <w:r w:rsidR="00B3773C">
        <w:rPr>
          <w:rFonts w:ascii="Verdana" w:hAnsi="Verdana" w:eastAsia="DejaVu Sans" w:cs="Lohit Hindi"/>
          <w:color w:val="000000"/>
          <w:sz w:val="18"/>
          <w:szCs w:val="18"/>
        </w:rPr>
        <w:t xml:space="preserve">welke verzekering </w:t>
      </w:r>
      <w:r w:rsidR="00597349">
        <w:rPr>
          <w:rFonts w:ascii="Verdana" w:hAnsi="Verdana" w:eastAsia="DejaVu Sans" w:cs="Lohit Hindi"/>
          <w:color w:val="000000"/>
          <w:sz w:val="18"/>
          <w:szCs w:val="18"/>
        </w:rPr>
        <w:t>de risico’s passend dekken.</w:t>
      </w:r>
      <w:r w:rsidR="00B3773C">
        <w:rPr>
          <w:rFonts w:ascii="Verdana" w:hAnsi="Verdana" w:eastAsia="DejaVu Sans" w:cs="Lohit Hindi"/>
          <w:color w:val="000000"/>
          <w:sz w:val="18"/>
          <w:szCs w:val="18"/>
        </w:rPr>
        <w:t xml:space="preserve"> Dat is een </w:t>
      </w:r>
      <w:r w:rsidR="00597349">
        <w:rPr>
          <w:rFonts w:ascii="Verdana" w:hAnsi="Verdana" w:eastAsia="DejaVu Sans" w:cs="Lohit Hindi"/>
          <w:color w:val="000000"/>
          <w:sz w:val="18"/>
          <w:szCs w:val="18"/>
        </w:rPr>
        <w:t xml:space="preserve">risico- en kostenafweging die besturen zelf moeten maken, aangezien dit </w:t>
      </w:r>
      <w:r w:rsidR="00B3773C">
        <w:rPr>
          <w:rFonts w:ascii="Verdana" w:hAnsi="Verdana" w:eastAsia="DejaVu Sans" w:cs="Lohit Hindi"/>
          <w:color w:val="000000"/>
          <w:sz w:val="18"/>
          <w:szCs w:val="18"/>
        </w:rPr>
        <w:t xml:space="preserve">afhankelijk is van </w:t>
      </w:r>
      <w:r w:rsidR="00597349">
        <w:rPr>
          <w:rFonts w:ascii="Verdana" w:hAnsi="Verdana" w:eastAsia="DejaVu Sans" w:cs="Lohit Hindi"/>
          <w:color w:val="000000"/>
          <w:sz w:val="18"/>
          <w:szCs w:val="18"/>
        </w:rPr>
        <w:t>hun specifieke situatie</w:t>
      </w:r>
      <w:r w:rsidR="00B3773C">
        <w:rPr>
          <w:rFonts w:ascii="Verdana" w:hAnsi="Verdana" w:eastAsia="DejaVu Sans" w:cs="Lohit Hindi"/>
          <w:color w:val="000000"/>
          <w:sz w:val="18"/>
          <w:szCs w:val="18"/>
        </w:rPr>
        <w:t xml:space="preserve">. </w:t>
      </w:r>
    </w:p>
    <w:p w:rsidR="007F6F37" w:rsidP="00223F1E" w:rsidRDefault="007F6F37" w14:paraId="3FABBC7A" w14:textId="77777777">
      <w:pPr>
        <w:pStyle w:val="p1"/>
        <w:spacing w:line="240" w:lineRule="atLeast"/>
        <w:rPr>
          <w:rFonts w:ascii="Verdana" w:hAnsi="Verdana" w:eastAsia="DejaVu Sans" w:cs="Lohit Hindi"/>
          <w:color w:val="000000"/>
          <w:sz w:val="18"/>
          <w:szCs w:val="18"/>
        </w:rPr>
      </w:pPr>
    </w:p>
    <w:p w:rsidR="00D569E1" w:rsidP="00BC4525" w:rsidRDefault="008174D9" w14:paraId="72A96B36" w14:textId="3A2C73C6">
      <w:r>
        <w:t xml:space="preserve">Met de voortgang die ik heb omschreven rondom het verminderen van regeldruk en de voortgang met betrekking tot de vrijwilligersverzekering en bestuurdersaansprakelijkheid </w:t>
      </w:r>
      <w:r w:rsidR="00610AD4">
        <w:t>doe ik</w:t>
      </w:r>
      <w:r>
        <w:t xml:space="preserve"> de motie van het l</w:t>
      </w:r>
      <w:r w:rsidR="00BC6881">
        <w:t>id</w:t>
      </w:r>
      <w:r>
        <w:t xml:space="preserve"> van Dijk</w:t>
      </w:r>
      <w:r w:rsidRPr="0051529D" w:rsidR="007F6F37">
        <w:rPr>
          <w:rStyle w:val="Voetnootmarkering"/>
        </w:rPr>
        <w:footnoteReference w:id="12"/>
      </w:r>
      <w:r w:rsidR="00495C03">
        <w:t xml:space="preserve">, de </w:t>
      </w:r>
      <w:r w:rsidR="007F6F37">
        <w:t>toezegging</w:t>
      </w:r>
      <w:r w:rsidR="00495C03">
        <w:rPr>
          <w:rStyle w:val="Voetnootmarkering"/>
        </w:rPr>
        <w:footnoteReference w:id="13"/>
      </w:r>
      <w:r w:rsidR="007F6F37">
        <w:t xml:space="preserve"> om een brief te sturen over de voortgang rondom regeldruk en </w:t>
      </w:r>
      <w:r w:rsidR="00495C03">
        <w:t>de toezegging</w:t>
      </w:r>
      <w:r w:rsidR="00495C03">
        <w:rPr>
          <w:rStyle w:val="Voetnootmarkering"/>
        </w:rPr>
        <w:footnoteReference w:id="14"/>
      </w:r>
      <w:r w:rsidR="00495C03">
        <w:t xml:space="preserve"> de Kamer te informeren</w:t>
      </w:r>
      <w:r w:rsidR="007F6F37">
        <w:t xml:space="preserve"> over de gesprekken over bestuurdersaansprakelijkheid</w:t>
      </w:r>
      <w:r w:rsidR="00495C03">
        <w:t>,</w:t>
      </w:r>
      <w:r w:rsidR="00610AD4">
        <w:t xml:space="preserve"> af</w:t>
      </w:r>
      <w:r w:rsidR="00BC6881">
        <w:t xml:space="preserve">. </w:t>
      </w:r>
    </w:p>
    <w:bookmarkEnd w:id="4"/>
    <w:p w:rsidR="00916DFD" w:rsidP="00BC4525" w:rsidRDefault="00916DFD" w14:paraId="73EEC93B" w14:textId="4797C945"/>
    <w:sectPr w:rsidR="00916DFD">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212BA" w14:textId="77777777" w:rsidR="003E0CC7" w:rsidRDefault="003E0CC7" w:rsidP="00575171">
      <w:pPr>
        <w:spacing w:line="240" w:lineRule="auto"/>
      </w:pPr>
      <w:r>
        <w:separator/>
      </w:r>
    </w:p>
  </w:endnote>
  <w:endnote w:type="continuationSeparator" w:id="0">
    <w:p w14:paraId="7072F252" w14:textId="77777777" w:rsidR="003E0CC7" w:rsidRDefault="003E0CC7" w:rsidP="005751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165796"/>
      <w:docPartObj>
        <w:docPartGallery w:val="Page Numbers (Bottom of Page)"/>
        <w:docPartUnique/>
      </w:docPartObj>
    </w:sdtPr>
    <w:sdtEndPr/>
    <w:sdtContent>
      <w:p w14:paraId="49A5EF20" w14:textId="496B47DE" w:rsidR="008936A1" w:rsidRDefault="008936A1">
        <w:pPr>
          <w:pStyle w:val="Voettekst"/>
          <w:jc w:val="right"/>
        </w:pPr>
        <w:r>
          <w:fldChar w:fldCharType="begin"/>
        </w:r>
        <w:r>
          <w:instrText>PAGE   \* MERGEFORMAT</w:instrText>
        </w:r>
        <w:r>
          <w:fldChar w:fldCharType="separate"/>
        </w:r>
        <w:r>
          <w:t>2</w:t>
        </w:r>
        <w:r>
          <w:fldChar w:fldCharType="end"/>
        </w:r>
      </w:p>
    </w:sdtContent>
  </w:sdt>
  <w:p w14:paraId="2341AEF0" w14:textId="77777777" w:rsidR="008936A1" w:rsidRDefault="008936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3DC5A" w14:textId="77777777" w:rsidR="003E0CC7" w:rsidRDefault="003E0CC7" w:rsidP="00575171">
      <w:pPr>
        <w:spacing w:line="240" w:lineRule="auto"/>
      </w:pPr>
      <w:r>
        <w:separator/>
      </w:r>
    </w:p>
  </w:footnote>
  <w:footnote w:type="continuationSeparator" w:id="0">
    <w:p w14:paraId="077FE7AD" w14:textId="77777777" w:rsidR="003E0CC7" w:rsidRDefault="003E0CC7" w:rsidP="00575171">
      <w:pPr>
        <w:spacing w:line="240" w:lineRule="auto"/>
      </w:pPr>
      <w:r>
        <w:continuationSeparator/>
      </w:r>
    </w:p>
  </w:footnote>
  <w:footnote w:id="1">
    <w:p w14:paraId="1E5F3E71" w14:textId="6817BCB3" w:rsidR="00CC5C44" w:rsidRPr="00977658" w:rsidRDefault="00CC5C44" w:rsidP="00CC5C44">
      <w:pPr>
        <w:pStyle w:val="Voetnoottekst"/>
        <w:rPr>
          <w:sz w:val="14"/>
          <w:szCs w:val="14"/>
        </w:rPr>
      </w:pPr>
      <w:r w:rsidRPr="00977658">
        <w:rPr>
          <w:rStyle w:val="Voetnootmarkering"/>
          <w:sz w:val="14"/>
          <w:szCs w:val="14"/>
        </w:rPr>
        <w:footnoteRef/>
      </w:r>
      <w:r w:rsidRPr="00977658">
        <w:rPr>
          <w:sz w:val="14"/>
          <w:szCs w:val="14"/>
        </w:rPr>
        <w:t xml:space="preserve"> Kamerstukken II 2024/25, 29 515, nr. 494</w:t>
      </w:r>
      <w:r w:rsidR="00977658" w:rsidRPr="00977658">
        <w:rPr>
          <w:sz w:val="14"/>
          <w:szCs w:val="14"/>
        </w:rPr>
        <w:t>.</w:t>
      </w:r>
    </w:p>
  </w:footnote>
  <w:footnote w:id="2">
    <w:p w14:paraId="46EB4081" w14:textId="526217CB" w:rsidR="00CC5C44" w:rsidRPr="00977658" w:rsidRDefault="00CC5C44" w:rsidP="00CC5C44">
      <w:pPr>
        <w:pStyle w:val="Voetnoottekst"/>
        <w:rPr>
          <w:sz w:val="14"/>
          <w:szCs w:val="14"/>
        </w:rPr>
      </w:pPr>
      <w:r w:rsidRPr="00977658">
        <w:rPr>
          <w:rStyle w:val="Voetnootmarkering"/>
          <w:sz w:val="14"/>
          <w:szCs w:val="14"/>
        </w:rPr>
        <w:footnoteRef/>
      </w:r>
      <w:r w:rsidRPr="00977658">
        <w:rPr>
          <w:sz w:val="14"/>
          <w:szCs w:val="14"/>
        </w:rPr>
        <w:t xml:space="preserve"> Kamerstukken II 2024/25, 30 234, nr. 408</w:t>
      </w:r>
      <w:r w:rsidR="00977658" w:rsidRPr="00977658">
        <w:rPr>
          <w:sz w:val="14"/>
          <w:szCs w:val="14"/>
        </w:rPr>
        <w:t>.</w:t>
      </w:r>
    </w:p>
  </w:footnote>
  <w:footnote w:id="3">
    <w:p w14:paraId="07B1B29B" w14:textId="1340FA8E" w:rsidR="00B2116B" w:rsidRPr="00977658" w:rsidRDefault="00B2116B">
      <w:pPr>
        <w:pStyle w:val="Voetnoottekst"/>
        <w:rPr>
          <w:sz w:val="14"/>
          <w:szCs w:val="14"/>
        </w:rPr>
      </w:pPr>
      <w:r w:rsidRPr="00977658">
        <w:rPr>
          <w:rStyle w:val="Voetnootmarkering"/>
          <w:sz w:val="14"/>
          <w:szCs w:val="14"/>
        </w:rPr>
        <w:footnoteRef/>
      </w:r>
      <w:r w:rsidRPr="00977658">
        <w:rPr>
          <w:sz w:val="14"/>
          <w:szCs w:val="14"/>
        </w:rPr>
        <w:t xml:space="preserve"> Kamerstukken II 2024/25, 30 234, nr. 408</w:t>
      </w:r>
      <w:r w:rsidR="00977658" w:rsidRPr="00977658">
        <w:rPr>
          <w:sz w:val="14"/>
          <w:szCs w:val="14"/>
        </w:rPr>
        <w:t>.</w:t>
      </w:r>
    </w:p>
  </w:footnote>
  <w:footnote w:id="4">
    <w:p w14:paraId="1CD62C9D" w14:textId="0EBD8C76" w:rsidR="0075308B" w:rsidRPr="006113DA" w:rsidRDefault="0075308B">
      <w:pPr>
        <w:pStyle w:val="Voetnoottekst"/>
        <w:rPr>
          <w:sz w:val="14"/>
          <w:szCs w:val="14"/>
        </w:rPr>
      </w:pPr>
      <w:r w:rsidRPr="006113DA">
        <w:rPr>
          <w:rStyle w:val="Voetnootmarkering"/>
          <w:sz w:val="14"/>
          <w:szCs w:val="14"/>
        </w:rPr>
        <w:footnoteRef/>
      </w:r>
      <w:r w:rsidRPr="006113DA">
        <w:rPr>
          <w:sz w:val="14"/>
          <w:szCs w:val="14"/>
        </w:rPr>
        <w:t xml:space="preserve"> </w:t>
      </w:r>
      <w:r w:rsidR="00977658" w:rsidRPr="006113DA">
        <w:rPr>
          <w:sz w:val="14"/>
          <w:szCs w:val="14"/>
        </w:rPr>
        <w:t>Kamerstukken II 2024/25, 30 234, nr. 416.</w:t>
      </w:r>
    </w:p>
  </w:footnote>
  <w:footnote w:id="5">
    <w:p w14:paraId="54AC1390" w14:textId="50EA2030" w:rsidR="00127236" w:rsidRPr="00212AE6" w:rsidRDefault="00127236" w:rsidP="00127236">
      <w:pPr>
        <w:pStyle w:val="Voetnoottekst"/>
        <w:rPr>
          <w:sz w:val="14"/>
          <w:szCs w:val="14"/>
        </w:rPr>
      </w:pPr>
      <w:r w:rsidRPr="00212AE6">
        <w:rPr>
          <w:rStyle w:val="Voetnootmarkering"/>
          <w:sz w:val="14"/>
          <w:szCs w:val="14"/>
        </w:rPr>
        <w:footnoteRef/>
      </w:r>
      <w:r w:rsidRPr="00212AE6">
        <w:rPr>
          <w:sz w:val="14"/>
          <w:szCs w:val="14"/>
        </w:rPr>
        <w:t xml:space="preserve"> Kamerstukken II 2024/25, 30 234, nr. 408</w:t>
      </w:r>
      <w:r w:rsidR="0093623A">
        <w:rPr>
          <w:sz w:val="14"/>
          <w:szCs w:val="14"/>
        </w:rPr>
        <w:t>.</w:t>
      </w:r>
    </w:p>
  </w:footnote>
  <w:footnote w:id="6">
    <w:p w14:paraId="1AA7BCCB" w14:textId="0C4BC60D" w:rsidR="00D70FFE" w:rsidRPr="007C40CF" w:rsidRDefault="00D70FFE" w:rsidP="00D70FFE">
      <w:pPr>
        <w:pStyle w:val="Voetnoottekst"/>
        <w:rPr>
          <w:sz w:val="14"/>
          <w:szCs w:val="14"/>
        </w:rPr>
      </w:pPr>
      <w:r w:rsidRPr="00212AE6">
        <w:rPr>
          <w:rStyle w:val="Voetnootmarkering"/>
          <w:sz w:val="14"/>
          <w:szCs w:val="14"/>
        </w:rPr>
        <w:footnoteRef/>
      </w:r>
      <w:r w:rsidRPr="00212AE6">
        <w:rPr>
          <w:sz w:val="14"/>
          <w:szCs w:val="14"/>
        </w:rPr>
        <w:t xml:space="preserve"> Kamerstukken</w:t>
      </w:r>
      <w:r w:rsidR="007C40CF" w:rsidRPr="00212AE6">
        <w:rPr>
          <w:sz w:val="14"/>
          <w:szCs w:val="14"/>
        </w:rPr>
        <w:t xml:space="preserve"> II</w:t>
      </w:r>
      <w:r w:rsidRPr="00212AE6">
        <w:rPr>
          <w:sz w:val="14"/>
          <w:szCs w:val="14"/>
        </w:rPr>
        <w:t xml:space="preserve"> 2022/23 29 5145, nr. 485</w:t>
      </w:r>
      <w:r w:rsidR="00AA1093" w:rsidRPr="00212AE6">
        <w:rPr>
          <w:sz w:val="14"/>
          <w:szCs w:val="14"/>
        </w:rPr>
        <w:t>.</w:t>
      </w:r>
    </w:p>
  </w:footnote>
  <w:footnote w:id="7">
    <w:p w14:paraId="3CE4783A" w14:textId="11493AC7" w:rsidR="00FF51E7" w:rsidRPr="00212AE6" w:rsidRDefault="00FF51E7" w:rsidP="00FF51E7">
      <w:pPr>
        <w:pStyle w:val="Voetnoottekst"/>
        <w:rPr>
          <w:color w:val="000000" w:themeColor="text1"/>
          <w:sz w:val="14"/>
          <w:szCs w:val="14"/>
        </w:rPr>
      </w:pPr>
      <w:r w:rsidRPr="00212AE6">
        <w:rPr>
          <w:rStyle w:val="Voetnootmarkering"/>
          <w:color w:val="000000" w:themeColor="text1"/>
          <w:sz w:val="14"/>
          <w:szCs w:val="14"/>
        </w:rPr>
        <w:footnoteRef/>
      </w:r>
      <w:r w:rsidRPr="00212AE6">
        <w:rPr>
          <w:color w:val="000000" w:themeColor="text1"/>
          <w:sz w:val="14"/>
          <w:szCs w:val="14"/>
        </w:rPr>
        <w:t xml:space="preserve"> Kamerstukken II 2024/25, 36</w:t>
      </w:r>
      <w:r w:rsidR="00495C03">
        <w:rPr>
          <w:color w:val="000000" w:themeColor="text1"/>
          <w:sz w:val="14"/>
          <w:szCs w:val="14"/>
        </w:rPr>
        <w:t xml:space="preserve"> </w:t>
      </w:r>
      <w:r w:rsidRPr="00212AE6">
        <w:rPr>
          <w:color w:val="000000" w:themeColor="text1"/>
          <w:sz w:val="14"/>
          <w:szCs w:val="14"/>
        </w:rPr>
        <w:t>600</w:t>
      </w:r>
      <w:r w:rsidR="00495C03">
        <w:rPr>
          <w:color w:val="000000" w:themeColor="text1"/>
          <w:sz w:val="14"/>
          <w:szCs w:val="14"/>
        </w:rPr>
        <w:t xml:space="preserve"> XVI</w:t>
      </w:r>
      <w:r w:rsidRPr="00212AE6">
        <w:rPr>
          <w:color w:val="000000" w:themeColor="text1"/>
          <w:sz w:val="14"/>
          <w:szCs w:val="14"/>
        </w:rPr>
        <w:t>, nr. 126.</w:t>
      </w:r>
    </w:p>
  </w:footnote>
  <w:footnote w:id="8">
    <w:p w14:paraId="0507429F" w14:textId="77777777" w:rsidR="002B6C44" w:rsidRPr="00212AE6" w:rsidRDefault="002B6C44" w:rsidP="002B6C44">
      <w:pPr>
        <w:pStyle w:val="Voetnoottekst"/>
        <w:rPr>
          <w:color w:val="000000" w:themeColor="text1"/>
          <w:sz w:val="14"/>
          <w:szCs w:val="14"/>
        </w:rPr>
      </w:pPr>
      <w:r w:rsidRPr="00212AE6">
        <w:rPr>
          <w:rStyle w:val="Voetnootmarkering"/>
          <w:color w:val="000000" w:themeColor="text1"/>
          <w:sz w:val="14"/>
          <w:szCs w:val="14"/>
        </w:rPr>
        <w:footnoteRef/>
      </w:r>
      <w:r w:rsidRPr="00212AE6">
        <w:rPr>
          <w:color w:val="000000" w:themeColor="text1"/>
          <w:sz w:val="14"/>
          <w:szCs w:val="14"/>
        </w:rPr>
        <w:t xml:space="preserve"> </w:t>
      </w:r>
      <w:hyperlink r:id="rId1" w:history="1">
        <w:r w:rsidRPr="00212AE6">
          <w:rPr>
            <w:rStyle w:val="cf11"/>
            <w:rFonts w:ascii="Verdana" w:hAnsi="Verdana"/>
            <w:color w:val="000000" w:themeColor="text1"/>
            <w:sz w:val="14"/>
            <w:szCs w:val="14"/>
          </w:rPr>
          <w:t>Evaluatie Wet bestuur en toezicht rechtspersonen | WODC - Wetenschappelijk Onderzoek- en Datacentrum</w:t>
        </w:r>
      </w:hyperlink>
    </w:p>
  </w:footnote>
  <w:footnote w:id="9">
    <w:p w14:paraId="7A06688D" w14:textId="77777777" w:rsidR="00495DAF" w:rsidRPr="00212AE6" w:rsidRDefault="00495DAF" w:rsidP="00495DAF">
      <w:pPr>
        <w:pStyle w:val="Voetnoottekst"/>
        <w:rPr>
          <w:color w:val="000000" w:themeColor="text1"/>
          <w:sz w:val="14"/>
          <w:szCs w:val="14"/>
        </w:rPr>
      </w:pPr>
      <w:r w:rsidRPr="00212AE6">
        <w:rPr>
          <w:rStyle w:val="Voetnootmarkering"/>
          <w:color w:val="000000" w:themeColor="text1"/>
          <w:sz w:val="14"/>
          <w:szCs w:val="14"/>
        </w:rPr>
        <w:footnoteRef/>
      </w:r>
      <w:r w:rsidRPr="00212AE6">
        <w:rPr>
          <w:color w:val="000000" w:themeColor="text1"/>
          <w:sz w:val="14"/>
          <w:szCs w:val="14"/>
        </w:rPr>
        <w:t xml:space="preserve"> TZ202507-008</w:t>
      </w:r>
    </w:p>
  </w:footnote>
  <w:footnote w:id="10">
    <w:p w14:paraId="617C6ECA" w14:textId="77777777" w:rsidR="00E41EBB" w:rsidRPr="00212AE6" w:rsidRDefault="00E41EBB" w:rsidP="00E41EBB">
      <w:pPr>
        <w:pStyle w:val="Voetnoottekst"/>
        <w:rPr>
          <w:color w:val="000000" w:themeColor="text1"/>
          <w:sz w:val="14"/>
          <w:szCs w:val="14"/>
        </w:rPr>
      </w:pPr>
      <w:r w:rsidRPr="00212AE6">
        <w:rPr>
          <w:rStyle w:val="Voetnootmarkering"/>
          <w:color w:val="000000" w:themeColor="text1"/>
          <w:sz w:val="14"/>
          <w:szCs w:val="14"/>
        </w:rPr>
        <w:footnoteRef/>
      </w:r>
      <w:r w:rsidRPr="00212AE6">
        <w:rPr>
          <w:color w:val="000000" w:themeColor="text1"/>
          <w:sz w:val="14"/>
          <w:szCs w:val="14"/>
        </w:rPr>
        <w:t xml:space="preserve"> Kamerstukken II 2024/25, 30 234, nr. 408</w:t>
      </w:r>
    </w:p>
  </w:footnote>
  <w:footnote w:id="11">
    <w:p w14:paraId="53D78BFF" w14:textId="5075878F" w:rsidR="00CC5EFB" w:rsidRPr="007C40CF" w:rsidRDefault="00CC5EFB" w:rsidP="00CC5EFB">
      <w:pPr>
        <w:pStyle w:val="Default"/>
        <w:rPr>
          <w:rFonts w:ascii="Verdana" w:hAnsi="Verdana"/>
          <w:sz w:val="14"/>
          <w:szCs w:val="14"/>
        </w:rPr>
      </w:pPr>
      <w:r w:rsidRPr="00212AE6">
        <w:rPr>
          <w:rStyle w:val="Voetnootmarkering"/>
          <w:rFonts w:ascii="Verdana" w:hAnsi="Verdana"/>
          <w:color w:val="000000" w:themeColor="text1"/>
          <w:sz w:val="14"/>
          <w:szCs w:val="14"/>
        </w:rPr>
        <w:footnoteRef/>
      </w:r>
      <w:r w:rsidRPr="00212AE6">
        <w:rPr>
          <w:rFonts w:ascii="Verdana" w:hAnsi="Verdana"/>
          <w:color w:val="000000" w:themeColor="text1"/>
          <w:sz w:val="14"/>
          <w:szCs w:val="14"/>
        </w:rPr>
        <w:t xml:space="preserve"> Het balanstotaal is het totaal van alle activa (bezittingen) of passiva (eigen vermogen en schulden) van de rechtspersoon. </w:t>
      </w:r>
    </w:p>
  </w:footnote>
  <w:footnote w:id="12">
    <w:p w14:paraId="2BDF03AF" w14:textId="797A0CFF" w:rsidR="007F6F37" w:rsidRPr="007C40CF" w:rsidRDefault="007F6F37" w:rsidP="007F6F37">
      <w:pPr>
        <w:pStyle w:val="Voetnoottekst"/>
        <w:rPr>
          <w:sz w:val="14"/>
          <w:szCs w:val="14"/>
        </w:rPr>
      </w:pPr>
      <w:r w:rsidRPr="007C40CF">
        <w:rPr>
          <w:rStyle w:val="Voetnootmarkering"/>
          <w:sz w:val="14"/>
          <w:szCs w:val="14"/>
        </w:rPr>
        <w:footnoteRef/>
      </w:r>
      <w:r w:rsidRPr="007C40CF">
        <w:rPr>
          <w:sz w:val="14"/>
          <w:szCs w:val="14"/>
        </w:rPr>
        <w:t xml:space="preserve"> Kamerstukken II 2024/25, 36</w:t>
      </w:r>
      <w:r w:rsidR="0093623A">
        <w:rPr>
          <w:sz w:val="14"/>
          <w:szCs w:val="14"/>
        </w:rPr>
        <w:t xml:space="preserve"> </w:t>
      </w:r>
      <w:r w:rsidRPr="007C40CF">
        <w:rPr>
          <w:sz w:val="14"/>
          <w:szCs w:val="14"/>
        </w:rPr>
        <w:t>600</w:t>
      </w:r>
      <w:r w:rsidR="0093623A">
        <w:rPr>
          <w:sz w:val="14"/>
          <w:szCs w:val="14"/>
        </w:rPr>
        <w:t xml:space="preserve"> XVI</w:t>
      </w:r>
      <w:r w:rsidRPr="007C40CF">
        <w:rPr>
          <w:sz w:val="14"/>
          <w:szCs w:val="14"/>
        </w:rPr>
        <w:t>, nr. 126</w:t>
      </w:r>
      <w:r>
        <w:rPr>
          <w:sz w:val="14"/>
          <w:szCs w:val="14"/>
        </w:rPr>
        <w:t>.</w:t>
      </w:r>
    </w:p>
  </w:footnote>
  <w:footnote w:id="13">
    <w:p w14:paraId="4C1EB057" w14:textId="5EA625A2" w:rsidR="00495C03" w:rsidRDefault="00495C03" w:rsidP="00495C03">
      <w:pPr>
        <w:pStyle w:val="Voetnoottekst"/>
      </w:pPr>
      <w:r w:rsidRPr="002B6C44">
        <w:rPr>
          <w:rStyle w:val="Voetnootmarkering"/>
          <w:sz w:val="14"/>
          <w:szCs w:val="14"/>
        </w:rPr>
        <w:footnoteRef/>
      </w:r>
      <w:r>
        <w:t xml:space="preserve"> </w:t>
      </w:r>
      <w:r w:rsidRPr="00223F1E">
        <w:rPr>
          <w:sz w:val="14"/>
          <w:szCs w:val="14"/>
        </w:rPr>
        <w:t>TZ202507-009</w:t>
      </w:r>
      <w:r w:rsidR="00CC3D4A">
        <w:rPr>
          <w:sz w:val="14"/>
          <w:szCs w:val="14"/>
        </w:rPr>
        <w:t>.</w:t>
      </w:r>
    </w:p>
  </w:footnote>
  <w:footnote w:id="14">
    <w:p w14:paraId="7974BD37" w14:textId="5AB804D9" w:rsidR="00495C03" w:rsidRDefault="00495C03" w:rsidP="00495C03">
      <w:pPr>
        <w:pStyle w:val="Voetnoottekst"/>
      </w:pPr>
      <w:r w:rsidRPr="00FF4D7A">
        <w:rPr>
          <w:rStyle w:val="Voetnootmarkering"/>
          <w:sz w:val="14"/>
          <w:szCs w:val="14"/>
        </w:rPr>
        <w:footnoteRef/>
      </w:r>
      <w:r w:rsidRPr="00FF4D7A">
        <w:rPr>
          <w:sz w:val="14"/>
          <w:szCs w:val="14"/>
        </w:rPr>
        <w:t xml:space="preserve"> TZ202507-008</w:t>
      </w:r>
      <w:r w:rsidR="00CC3D4A">
        <w:rPr>
          <w:sz w:val="14"/>
          <w:szCs w:val="1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737CD"/>
    <w:multiLevelType w:val="hybridMultilevel"/>
    <w:tmpl w:val="D0166FC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7B70637"/>
    <w:multiLevelType w:val="hybridMultilevel"/>
    <w:tmpl w:val="11EE4B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732D6F"/>
    <w:multiLevelType w:val="hybridMultilevel"/>
    <w:tmpl w:val="9D9038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A0E43DC"/>
    <w:multiLevelType w:val="hybridMultilevel"/>
    <w:tmpl w:val="6B7E3BD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2EC734D5"/>
    <w:multiLevelType w:val="hybridMultilevel"/>
    <w:tmpl w:val="FD5A0C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99837C4"/>
    <w:multiLevelType w:val="multilevel"/>
    <w:tmpl w:val="4B068952"/>
    <w:lvl w:ilvl="0">
      <w:start w:val="1"/>
      <w:numFmt w:val="decimal"/>
      <w:pStyle w:val="Stij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E35053"/>
    <w:multiLevelType w:val="hybridMultilevel"/>
    <w:tmpl w:val="3E68808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5B89665B"/>
    <w:multiLevelType w:val="hybridMultilevel"/>
    <w:tmpl w:val="6D26D51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BF175FB"/>
    <w:multiLevelType w:val="hybridMultilevel"/>
    <w:tmpl w:val="F8509EA6"/>
    <w:lvl w:ilvl="0" w:tplc="5E183886">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5F2306D9"/>
    <w:multiLevelType w:val="hybridMultilevel"/>
    <w:tmpl w:val="7A1CE6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0AF5E45"/>
    <w:multiLevelType w:val="hybridMultilevel"/>
    <w:tmpl w:val="E324723C"/>
    <w:lvl w:ilvl="0" w:tplc="04130001">
      <w:start w:val="1"/>
      <w:numFmt w:val="bullet"/>
      <w:lvlText w:val=""/>
      <w:lvlJc w:val="left"/>
      <w:pPr>
        <w:ind w:left="501" w:hanging="360"/>
      </w:pPr>
      <w:rPr>
        <w:rFonts w:ascii="Symbol" w:hAnsi="Symbol" w:hint="default"/>
      </w:rPr>
    </w:lvl>
    <w:lvl w:ilvl="1" w:tplc="04130003" w:tentative="1">
      <w:start w:val="1"/>
      <w:numFmt w:val="bullet"/>
      <w:lvlText w:val="o"/>
      <w:lvlJc w:val="left"/>
      <w:pPr>
        <w:ind w:left="1715" w:hanging="360"/>
      </w:pPr>
      <w:rPr>
        <w:rFonts w:ascii="Courier New" w:hAnsi="Courier New" w:cs="Courier New" w:hint="default"/>
      </w:rPr>
    </w:lvl>
    <w:lvl w:ilvl="2" w:tplc="04130005" w:tentative="1">
      <w:start w:val="1"/>
      <w:numFmt w:val="bullet"/>
      <w:lvlText w:val=""/>
      <w:lvlJc w:val="left"/>
      <w:pPr>
        <w:ind w:left="2435" w:hanging="360"/>
      </w:pPr>
      <w:rPr>
        <w:rFonts w:ascii="Wingdings" w:hAnsi="Wingdings" w:hint="default"/>
      </w:rPr>
    </w:lvl>
    <w:lvl w:ilvl="3" w:tplc="04130001" w:tentative="1">
      <w:start w:val="1"/>
      <w:numFmt w:val="bullet"/>
      <w:lvlText w:val=""/>
      <w:lvlJc w:val="left"/>
      <w:pPr>
        <w:ind w:left="3155" w:hanging="360"/>
      </w:pPr>
      <w:rPr>
        <w:rFonts w:ascii="Symbol" w:hAnsi="Symbol" w:hint="default"/>
      </w:rPr>
    </w:lvl>
    <w:lvl w:ilvl="4" w:tplc="04130003" w:tentative="1">
      <w:start w:val="1"/>
      <w:numFmt w:val="bullet"/>
      <w:lvlText w:val="o"/>
      <w:lvlJc w:val="left"/>
      <w:pPr>
        <w:ind w:left="3875" w:hanging="360"/>
      </w:pPr>
      <w:rPr>
        <w:rFonts w:ascii="Courier New" w:hAnsi="Courier New" w:cs="Courier New" w:hint="default"/>
      </w:rPr>
    </w:lvl>
    <w:lvl w:ilvl="5" w:tplc="04130005" w:tentative="1">
      <w:start w:val="1"/>
      <w:numFmt w:val="bullet"/>
      <w:lvlText w:val=""/>
      <w:lvlJc w:val="left"/>
      <w:pPr>
        <w:ind w:left="4595" w:hanging="360"/>
      </w:pPr>
      <w:rPr>
        <w:rFonts w:ascii="Wingdings" w:hAnsi="Wingdings" w:hint="default"/>
      </w:rPr>
    </w:lvl>
    <w:lvl w:ilvl="6" w:tplc="04130001" w:tentative="1">
      <w:start w:val="1"/>
      <w:numFmt w:val="bullet"/>
      <w:lvlText w:val=""/>
      <w:lvlJc w:val="left"/>
      <w:pPr>
        <w:ind w:left="5315" w:hanging="360"/>
      </w:pPr>
      <w:rPr>
        <w:rFonts w:ascii="Symbol" w:hAnsi="Symbol" w:hint="default"/>
      </w:rPr>
    </w:lvl>
    <w:lvl w:ilvl="7" w:tplc="04130003" w:tentative="1">
      <w:start w:val="1"/>
      <w:numFmt w:val="bullet"/>
      <w:lvlText w:val="o"/>
      <w:lvlJc w:val="left"/>
      <w:pPr>
        <w:ind w:left="6035" w:hanging="360"/>
      </w:pPr>
      <w:rPr>
        <w:rFonts w:ascii="Courier New" w:hAnsi="Courier New" w:cs="Courier New" w:hint="default"/>
      </w:rPr>
    </w:lvl>
    <w:lvl w:ilvl="8" w:tplc="04130005" w:tentative="1">
      <w:start w:val="1"/>
      <w:numFmt w:val="bullet"/>
      <w:lvlText w:val=""/>
      <w:lvlJc w:val="left"/>
      <w:pPr>
        <w:ind w:left="6755" w:hanging="360"/>
      </w:pPr>
      <w:rPr>
        <w:rFonts w:ascii="Wingdings" w:hAnsi="Wingdings" w:hint="default"/>
      </w:rPr>
    </w:lvl>
  </w:abstractNum>
  <w:num w:numId="1" w16cid:durableId="729109112">
    <w:abstractNumId w:val="1"/>
  </w:num>
  <w:num w:numId="2" w16cid:durableId="2031762083">
    <w:abstractNumId w:val="7"/>
  </w:num>
  <w:num w:numId="3" w16cid:durableId="1116295941">
    <w:abstractNumId w:val="6"/>
  </w:num>
  <w:num w:numId="4" w16cid:durableId="1759862365">
    <w:abstractNumId w:val="0"/>
  </w:num>
  <w:num w:numId="5" w16cid:durableId="1338383223">
    <w:abstractNumId w:val="8"/>
  </w:num>
  <w:num w:numId="6" w16cid:durableId="1969120629">
    <w:abstractNumId w:val="2"/>
  </w:num>
  <w:num w:numId="7" w16cid:durableId="1356880136">
    <w:abstractNumId w:val="7"/>
  </w:num>
  <w:num w:numId="8" w16cid:durableId="841969060">
    <w:abstractNumId w:val="3"/>
  </w:num>
  <w:num w:numId="9" w16cid:durableId="697048924">
    <w:abstractNumId w:val="10"/>
  </w:num>
  <w:num w:numId="10" w16cid:durableId="1334406841">
    <w:abstractNumId w:val="5"/>
  </w:num>
  <w:num w:numId="11" w16cid:durableId="1915580230">
    <w:abstractNumId w:val="4"/>
  </w:num>
  <w:num w:numId="12" w16cid:durableId="15361927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3A8"/>
    <w:rsid w:val="0000574C"/>
    <w:rsid w:val="00017D7A"/>
    <w:rsid w:val="000212F4"/>
    <w:rsid w:val="0002565E"/>
    <w:rsid w:val="00035686"/>
    <w:rsid w:val="00041091"/>
    <w:rsid w:val="00043690"/>
    <w:rsid w:val="00055079"/>
    <w:rsid w:val="00064ACD"/>
    <w:rsid w:val="0006588F"/>
    <w:rsid w:val="00067FE2"/>
    <w:rsid w:val="000807B2"/>
    <w:rsid w:val="000947DA"/>
    <w:rsid w:val="000A491A"/>
    <w:rsid w:val="000A54F2"/>
    <w:rsid w:val="000A5F1F"/>
    <w:rsid w:val="000A7811"/>
    <w:rsid w:val="000B52E8"/>
    <w:rsid w:val="000D5375"/>
    <w:rsid w:val="000F6ABA"/>
    <w:rsid w:val="000F74A2"/>
    <w:rsid w:val="00123EC7"/>
    <w:rsid w:val="00127236"/>
    <w:rsid w:val="001402B5"/>
    <w:rsid w:val="00140754"/>
    <w:rsid w:val="00167095"/>
    <w:rsid w:val="00174FD4"/>
    <w:rsid w:val="00180B76"/>
    <w:rsid w:val="0018776E"/>
    <w:rsid w:val="00190363"/>
    <w:rsid w:val="00191D00"/>
    <w:rsid w:val="001A390A"/>
    <w:rsid w:val="001B5537"/>
    <w:rsid w:val="001C768D"/>
    <w:rsid w:val="001D3108"/>
    <w:rsid w:val="001E59BE"/>
    <w:rsid w:val="001F1B0A"/>
    <w:rsid w:val="001F75F6"/>
    <w:rsid w:val="00207E1F"/>
    <w:rsid w:val="00212AE6"/>
    <w:rsid w:val="0022339F"/>
    <w:rsid w:val="00223F1E"/>
    <w:rsid w:val="002326A5"/>
    <w:rsid w:val="00235000"/>
    <w:rsid w:val="00235BE7"/>
    <w:rsid w:val="002363BE"/>
    <w:rsid w:val="00246281"/>
    <w:rsid w:val="002506CB"/>
    <w:rsid w:val="00253B02"/>
    <w:rsid w:val="0026447A"/>
    <w:rsid w:val="002726D0"/>
    <w:rsid w:val="00276FE4"/>
    <w:rsid w:val="002B6C44"/>
    <w:rsid w:val="002C33BC"/>
    <w:rsid w:val="002C510D"/>
    <w:rsid w:val="002E4CD9"/>
    <w:rsid w:val="002E609D"/>
    <w:rsid w:val="002F497E"/>
    <w:rsid w:val="00333CB6"/>
    <w:rsid w:val="0033759C"/>
    <w:rsid w:val="00363663"/>
    <w:rsid w:val="00366FB8"/>
    <w:rsid w:val="00380EBB"/>
    <w:rsid w:val="00391912"/>
    <w:rsid w:val="003A409A"/>
    <w:rsid w:val="003C211A"/>
    <w:rsid w:val="003C2DF0"/>
    <w:rsid w:val="003C3E16"/>
    <w:rsid w:val="003D3588"/>
    <w:rsid w:val="003E0CC7"/>
    <w:rsid w:val="003E0EC3"/>
    <w:rsid w:val="003F2CC0"/>
    <w:rsid w:val="003F37C1"/>
    <w:rsid w:val="003F3F9C"/>
    <w:rsid w:val="00402B7E"/>
    <w:rsid w:val="00404D12"/>
    <w:rsid w:val="0040501B"/>
    <w:rsid w:val="00407F8A"/>
    <w:rsid w:val="004127DA"/>
    <w:rsid w:val="00422CFB"/>
    <w:rsid w:val="00443463"/>
    <w:rsid w:val="004455A8"/>
    <w:rsid w:val="0047175D"/>
    <w:rsid w:val="0047552D"/>
    <w:rsid w:val="00481E2E"/>
    <w:rsid w:val="00486C40"/>
    <w:rsid w:val="00495C03"/>
    <w:rsid w:val="00495DAF"/>
    <w:rsid w:val="004A0A09"/>
    <w:rsid w:val="004A20FA"/>
    <w:rsid w:val="004A79C7"/>
    <w:rsid w:val="004A7D29"/>
    <w:rsid w:val="004C3FC8"/>
    <w:rsid w:val="004D4C7D"/>
    <w:rsid w:val="004F0944"/>
    <w:rsid w:val="00515842"/>
    <w:rsid w:val="00520813"/>
    <w:rsid w:val="00521CC1"/>
    <w:rsid w:val="005237E1"/>
    <w:rsid w:val="0052699D"/>
    <w:rsid w:val="00530110"/>
    <w:rsid w:val="0054718E"/>
    <w:rsid w:val="00552E71"/>
    <w:rsid w:val="005530ED"/>
    <w:rsid w:val="00575171"/>
    <w:rsid w:val="0057696E"/>
    <w:rsid w:val="00590B8E"/>
    <w:rsid w:val="00597349"/>
    <w:rsid w:val="005A781A"/>
    <w:rsid w:val="005B628B"/>
    <w:rsid w:val="005B78A3"/>
    <w:rsid w:val="005D04A7"/>
    <w:rsid w:val="005F4DC5"/>
    <w:rsid w:val="00602334"/>
    <w:rsid w:val="00610AD4"/>
    <w:rsid w:val="006113DA"/>
    <w:rsid w:val="00611EBB"/>
    <w:rsid w:val="006219EE"/>
    <w:rsid w:val="0064078D"/>
    <w:rsid w:val="006439ED"/>
    <w:rsid w:val="00644CB2"/>
    <w:rsid w:val="00645BE2"/>
    <w:rsid w:val="00652204"/>
    <w:rsid w:val="006542F9"/>
    <w:rsid w:val="00661C98"/>
    <w:rsid w:val="00676C0B"/>
    <w:rsid w:val="006816CB"/>
    <w:rsid w:val="0068366C"/>
    <w:rsid w:val="0068366E"/>
    <w:rsid w:val="0068527A"/>
    <w:rsid w:val="0069177A"/>
    <w:rsid w:val="00693D01"/>
    <w:rsid w:val="006A2A9A"/>
    <w:rsid w:val="006B1EE5"/>
    <w:rsid w:val="006C1631"/>
    <w:rsid w:val="006D2CE8"/>
    <w:rsid w:val="006D5B43"/>
    <w:rsid w:val="006F4A04"/>
    <w:rsid w:val="00707D43"/>
    <w:rsid w:val="00714B68"/>
    <w:rsid w:val="00720157"/>
    <w:rsid w:val="00720F84"/>
    <w:rsid w:val="007241A3"/>
    <w:rsid w:val="007264D0"/>
    <w:rsid w:val="00730F5A"/>
    <w:rsid w:val="00735C83"/>
    <w:rsid w:val="00750FCC"/>
    <w:rsid w:val="0075308B"/>
    <w:rsid w:val="00756D1C"/>
    <w:rsid w:val="00760B53"/>
    <w:rsid w:val="00764706"/>
    <w:rsid w:val="00765687"/>
    <w:rsid w:val="0076651A"/>
    <w:rsid w:val="00784213"/>
    <w:rsid w:val="007877D4"/>
    <w:rsid w:val="00790BF4"/>
    <w:rsid w:val="007A2DCC"/>
    <w:rsid w:val="007B62E2"/>
    <w:rsid w:val="007C1054"/>
    <w:rsid w:val="007C37A2"/>
    <w:rsid w:val="007C40CF"/>
    <w:rsid w:val="007C45AB"/>
    <w:rsid w:val="007D0E89"/>
    <w:rsid w:val="007F6F37"/>
    <w:rsid w:val="00810C2E"/>
    <w:rsid w:val="008174D9"/>
    <w:rsid w:val="008328DA"/>
    <w:rsid w:val="008455BE"/>
    <w:rsid w:val="00845D39"/>
    <w:rsid w:val="00847197"/>
    <w:rsid w:val="00851A6F"/>
    <w:rsid w:val="0086299B"/>
    <w:rsid w:val="00873BD2"/>
    <w:rsid w:val="00884ECB"/>
    <w:rsid w:val="00890A85"/>
    <w:rsid w:val="008936A1"/>
    <w:rsid w:val="008A6DFC"/>
    <w:rsid w:val="008A7C1F"/>
    <w:rsid w:val="008B222E"/>
    <w:rsid w:val="008C20A5"/>
    <w:rsid w:val="008C280D"/>
    <w:rsid w:val="008C4789"/>
    <w:rsid w:val="008E1106"/>
    <w:rsid w:val="008E7A47"/>
    <w:rsid w:val="008F7603"/>
    <w:rsid w:val="00903217"/>
    <w:rsid w:val="00905068"/>
    <w:rsid w:val="00916DFD"/>
    <w:rsid w:val="0093623A"/>
    <w:rsid w:val="00942835"/>
    <w:rsid w:val="0094742A"/>
    <w:rsid w:val="009507E0"/>
    <w:rsid w:val="00950A7C"/>
    <w:rsid w:val="00964441"/>
    <w:rsid w:val="00967384"/>
    <w:rsid w:val="009757D2"/>
    <w:rsid w:val="00977658"/>
    <w:rsid w:val="009824D0"/>
    <w:rsid w:val="00987CDB"/>
    <w:rsid w:val="009927BC"/>
    <w:rsid w:val="00993018"/>
    <w:rsid w:val="00994BA4"/>
    <w:rsid w:val="00994E96"/>
    <w:rsid w:val="009953F0"/>
    <w:rsid w:val="009C1F32"/>
    <w:rsid w:val="009C3985"/>
    <w:rsid w:val="009C6AA4"/>
    <w:rsid w:val="009D11CA"/>
    <w:rsid w:val="009D1214"/>
    <w:rsid w:val="009F095B"/>
    <w:rsid w:val="009F0CE0"/>
    <w:rsid w:val="00A05965"/>
    <w:rsid w:val="00A140E0"/>
    <w:rsid w:val="00A23A2A"/>
    <w:rsid w:val="00A24432"/>
    <w:rsid w:val="00A43181"/>
    <w:rsid w:val="00A55456"/>
    <w:rsid w:val="00A62CFD"/>
    <w:rsid w:val="00A77FF5"/>
    <w:rsid w:val="00A90AC2"/>
    <w:rsid w:val="00A911E4"/>
    <w:rsid w:val="00A92993"/>
    <w:rsid w:val="00AA1093"/>
    <w:rsid w:val="00AA73A8"/>
    <w:rsid w:val="00AC369E"/>
    <w:rsid w:val="00AE5F63"/>
    <w:rsid w:val="00AE63C3"/>
    <w:rsid w:val="00AF3A2D"/>
    <w:rsid w:val="00AF4C6C"/>
    <w:rsid w:val="00B06B4C"/>
    <w:rsid w:val="00B07DE2"/>
    <w:rsid w:val="00B1363E"/>
    <w:rsid w:val="00B138A4"/>
    <w:rsid w:val="00B145EB"/>
    <w:rsid w:val="00B2116B"/>
    <w:rsid w:val="00B3773C"/>
    <w:rsid w:val="00B41D39"/>
    <w:rsid w:val="00B57D78"/>
    <w:rsid w:val="00B625F5"/>
    <w:rsid w:val="00B73D28"/>
    <w:rsid w:val="00B9069C"/>
    <w:rsid w:val="00B93D9F"/>
    <w:rsid w:val="00B96A6F"/>
    <w:rsid w:val="00BB0C9C"/>
    <w:rsid w:val="00BB484C"/>
    <w:rsid w:val="00BC1367"/>
    <w:rsid w:val="00BC4525"/>
    <w:rsid w:val="00BC4754"/>
    <w:rsid w:val="00BC6881"/>
    <w:rsid w:val="00BC7A60"/>
    <w:rsid w:val="00BD4AB1"/>
    <w:rsid w:val="00BE36D9"/>
    <w:rsid w:val="00C0343E"/>
    <w:rsid w:val="00C35909"/>
    <w:rsid w:val="00C36349"/>
    <w:rsid w:val="00C42BCF"/>
    <w:rsid w:val="00C437CE"/>
    <w:rsid w:val="00C46380"/>
    <w:rsid w:val="00C503FE"/>
    <w:rsid w:val="00C6326D"/>
    <w:rsid w:val="00C72303"/>
    <w:rsid w:val="00C803C6"/>
    <w:rsid w:val="00C9082D"/>
    <w:rsid w:val="00CC3D4A"/>
    <w:rsid w:val="00CC5C44"/>
    <w:rsid w:val="00CC5EFB"/>
    <w:rsid w:val="00CE14D0"/>
    <w:rsid w:val="00CE370F"/>
    <w:rsid w:val="00CF0773"/>
    <w:rsid w:val="00D01901"/>
    <w:rsid w:val="00D33DBF"/>
    <w:rsid w:val="00D569E1"/>
    <w:rsid w:val="00D70FFE"/>
    <w:rsid w:val="00D71707"/>
    <w:rsid w:val="00D87439"/>
    <w:rsid w:val="00D964C1"/>
    <w:rsid w:val="00D96D7A"/>
    <w:rsid w:val="00DA34D3"/>
    <w:rsid w:val="00DA67ED"/>
    <w:rsid w:val="00DB0F03"/>
    <w:rsid w:val="00DB6D33"/>
    <w:rsid w:val="00DB7D29"/>
    <w:rsid w:val="00DC4AE3"/>
    <w:rsid w:val="00DC4D56"/>
    <w:rsid w:val="00DC61ED"/>
    <w:rsid w:val="00DD025A"/>
    <w:rsid w:val="00DD275D"/>
    <w:rsid w:val="00DD78B0"/>
    <w:rsid w:val="00DE0115"/>
    <w:rsid w:val="00DE0705"/>
    <w:rsid w:val="00DE637B"/>
    <w:rsid w:val="00DE6B4C"/>
    <w:rsid w:val="00E0194A"/>
    <w:rsid w:val="00E04389"/>
    <w:rsid w:val="00E12B1F"/>
    <w:rsid w:val="00E31956"/>
    <w:rsid w:val="00E33878"/>
    <w:rsid w:val="00E37D04"/>
    <w:rsid w:val="00E41EBB"/>
    <w:rsid w:val="00E47F63"/>
    <w:rsid w:val="00E507B7"/>
    <w:rsid w:val="00E61D40"/>
    <w:rsid w:val="00E72523"/>
    <w:rsid w:val="00E740C0"/>
    <w:rsid w:val="00E82AE9"/>
    <w:rsid w:val="00E944FE"/>
    <w:rsid w:val="00E96AE1"/>
    <w:rsid w:val="00EA7BA2"/>
    <w:rsid w:val="00EC0968"/>
    <w:rsid w:val="00EC0A59"/>
    <w:rsid w:val="00EC5D13"/>
    <w:rsid w:val="00EC6C07"/>
    <w:rsid w:val="00EC722B"/>
    <w:rsid w:val="00ED254C"/>
    <w:rsid w:val="00EE0ADA"/>
    <w:rsid w:val="00EF3DDE"/>
    <w:rsid w:val="00EF638D"/>
    <w:rsid w:val="00EF6ABC"/>
    <w:rsid w:val="00F03394"/>
    <w:rsid w:val="00F13EC8"/>
    <w:rsid w:val="00F1472A"/>
    <w:rsid w:val="00F1721C"/>
    <w:rsid w:val="00F41D81"/>
    <w:rsid w:val="00F51517"/>
    <w:rsid w:val="00F551B1"/>
    <w:rsid w:val="00F55B75"/>
    <w:rsid w:val="00F620B6"/>
    <w:rsid w:val="00F667BE"/>
    <w:rsid w:val="00F67065"/>
    <w:rsid w:val="00F71DC9"/>
    <w:rsid w:val="00FB7A97"/>
    <w:rsid w:val="00FC5407"/>
    <w:rsid w:val="00FE1789"/>
    <w:rsid w:val="00FE6B31"/>
    <w:rsid w:val="00FE76D4"/>
    <w:rsid w:val="00FF4D7A"/>
    <w:rsid w:val="00FF51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291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75171"/>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Kop1">
    <w:name w:val="heading 1"/>
    <w:basedOn w:val="Standaard"/>
    <w:next w:val="Standaard"/>
    <w:link w:val="Kop1Char"/>
    <w:uiPriority w:val="9"/>
    <w:qFormat/>
    <w:rsid w:val="00AA73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A73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A73A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A73A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A73A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A73A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73A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73A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73A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73A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A73A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A73A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A73A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73A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73A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73A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73A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73A8"/>
    <w:rPr>
      <w:rFonts w:eastAsiaTheme="majorEastAsia" w:cstheme="majorBidi"/>
      <w:color w:val="272727" w:themeColor="text1" w:themeTint="D8"/>
    </w:rPr>
  </w:style>
  <w:style w:type="paragraph" w:styleId="Titel">
    <w:name w:val="Title"/>
    <w:basedOn w:val="Standaard"/>
    <w:next w:val="Standaard"/>
    <w:link w:val="TitelChar"/>
    <w:uiPriority w:val="10"/>
    <w:qFormat/>
    <w:rsid w:val="00AA73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73A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73A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73A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73A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73A8"/>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3"/>
    <w:basedOn w:val="Standaard"/>
    <w:link w:val="LijstalineaChar"/>
    <w:uiPriority w:val="34"/>
    <w:qFormat/>
    <w:rsid w:val="00AA73A8"/>
    <w:pPr>
      <w:ind w:left="720"/>
      <w:contextualSpacing/>
    </w:pPr>
  </w:style>
  <w:style w:type="character" w:styleId="Intensievebenadrukking">
    <w:name w:val="Intense Emphasis"/>
    <w:basedOn w:val="Standaardalinea-lettertype"/>
    <w:uiPriority w:val="21"/>
    <w:qFormat/>
    <w:rsid w:val="00AA73A8"/>
    <w:rPr>
      <w:i/>
      <w:iCs/>
      <w:color w:val="0F4761" w:themeColor="accent1" w:themeShade="BF"/>
    </w:rPr>
  </w:style>
  <w:style w:type="paragraph" w:styleId="Duidelijkcitaat">
    <w:name w:val="Intense Quote"/>
    <w:basedOn w:val="Standaard"/>
    <w:next w:val="Standaard"/>
    <w:link w:val="DuidelijkcitaatChar"/>
    <w:uiPriority w:val="30"/>
    <w:qFormat/>
    <w:rsid w:val="00AA73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A73A8"/>
    <w:rPr>
      <w:i/>
      <w:iCs/>
      <w:color w:val="0F4761" w:themeColor="accent1" w:themeShade="BF"/>
    </w:rPr>
  </w:style>
  <w:style w:type="character" w:styleId="Intensieveverwijzing">
    <w:name w:val="Intense Reference"/>
    <w:basedOn w:val="Standaardalinea-lettertype"/>
    <w:uiPriority w:val="32"/>
    <w:qFormat/>
    <w:rsid w:val="00AA73A8"/>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575171"/>
    <w:rPr>
      <w:sz w:val="16"/>
      <w:szCs w:val="16"/>
    </w:rPr>
  </w:style>
  <w:style w:type="paragraph" w:styleId="Tekstopmerking">
    <w:name w:val="annotation text"/>
    <w:basedOn w:val="Standaard"/>
    <w:link w:val="TekstopmerkingChar"/>
    <w:uiPriority w:val="99"/>
    <w:unhideWhenUsed/>
    <w:rsid w:val="00575171"/>
    <w:pPr>
      <w:spacing w:line="240" w:lineRule="auto"/>
    </w:pPr>
    <w:rPr>
      <w:sz w:val="20"/>
      <w:szCs w:val="20"/>
    </w:rPr>
  </w:style>
  <w:style w:type="character" w:customStyle="1" w:styleId="TekstopmerkingChar">
    <w:name w:val="Tekst opmerking Char"/>
    <w:basedOn w:val="Standaardalinea-lettertype"/>
    <w:link w:val="Tekstopmerking"/>
    <w:uiPriority w:val="99"/>
    <w:rsid w:val="00575171"/>
    <w:rPr>
      <w:rFonts w:ascii="Verdana" w:eastAsia="DejaVu Sans" w:hAnsi="Verdana" w:cs="Lohit Hindi"/>
      <w:color w:val="000000"/>
      <w:kern w:val="0"/>
      <w:sz w:val="20"/>
      <w:szCs w:val="20"/>
      <w:lang w:eastAsia="nl-NL"/>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3 Char"/>
    <w:basedOn w:val="Standaardalinea-lettertype"/>
    <w:link w:val="Lijstalinea"/>
    <w:uiPriority w:val="34"/>
    <w:qFormat/>
    <w:locked/>
    <w:rsid w:val="00575171"/>
  </w:style>
  <w:style w:type="paragraph" w:styleId="Voetnoottekst">
    <w:name w:val="footnote text"/>
    <w:aliases w:val="Char,Footnote text,Voetnoottekst Char1 Char,Voetnoottekst Char1 Char Char,Voetnoottekst Char1 Char Char Char Char Char,Voetnoottekst Char2,Voetnoottekst Char2 Char,Voetnoottekst Char2 Char Char Char Char,Voetnoottekst Char3 Char Char Char"/>
    <w:basedOn w:val="Standaard"/>
    <w:link w:val="VoetnoottekstChar"/>
    <w:uiPriority w:val="99"/>
    <w:unhideWhenUsed/>
    <w:qFormat/>
    <w:rsid w:val="00575171"/>
    <w:pPr>
      <w:spacing w:line="240" w:lineRule="auto"/>
    </w:pPr>
    <w:rPr>
      <w:sz w:val="20"/>
      <w:szCs w:val="20"/>
    </w:rPr>
  </w:style>
  <w:style w:type="character" w:customStyle="1" w:styleId="VoetnoottekstChar">
    <w:name w:val="Voetnoottekst Char"/>
    <w:aliases w:val="Char Char,Footnote text Char,Voetnoottekst Char1 Char Char1,Voetnoottekst Char1 Char Char Char,Voetnoottekst Char1 Char Char Char Char Char Char,Voetnoottekst Char2 Char1,Voetnoottekst Char2 Char Char"/>
    <w:basedOn w:val="Standaardalinea-lettertype"/>
    <w:link w:val="Voetnoottekst"/>
    <w:uiPriority w:val="99"/>
    <w:rsid w:val="00575171"/>
    <w:rPr>
      <w:rFonts w:ascii="Verdana" w:eastAsia="DejaVu Sans" w:hAnsi="Verdana" w:cs="Lohit Hindi"/>
      <w:color w:val="000000"/>
      <w:kern w:val="0"/>
      <w:sz w:val="20"/>
      <w:szCs w:val="20"/>
      <w:lang w:eastAsia="nl-NL"/>
      <w14:ligatures w14:val="none"/>
    </w:rPr>
  </w:style>
  <w:style w:type="character" w:styleId="Voetnootmarkering">
    <w:name w:val="footnote reference"/>
    <w:aliases w:val="FR,FR1,FR11,FR2,FR21,FR3,FR31,FR4,FR5,Footnotemark,Footnotemark1,Footnotemark11,Footnotemark2,Footnotemark21,Footnotemark3,Footnotemark31,Footnotemark4,Footnotemark5,Footnotemark6,Footnotemark7,Footnotemark8,Voetnootmarkering boek STT"/>
    <w:basedOn w:val="Standaardalinea-lettertype"/>
    <w:link w:val="Char1CharCharCarCarCarCarCarCarCarCarCarCar"/>
    <w:uiPriority w:val="99"/>
    <w:unhideWhenUsed/>
    <w:qFormat/>
    <w:rsid w:val="00575171"/>
    <w:rPr>
      <w:vertAlign w:val="superscript"/>
    </w:rPr>
  </w:style>
  <w:style w:type="paragraph" w:styleId="Plattetekst">
    <w:name w:val="Body Text"/>
    <w:basedOn w:val="Standaard"/>
    <w:link w:val="PlattetekstChar"/>
    <w:uiPriority w:val="1"/>
    <w:qFormat/>
    <w:rsid w:val="00575171"/>
    <w:pPr>
      <w:widowControl w:val="0"/>
      <w:autoSpaceDE w:val="0"/>
      <w:spacing w:line="240" w:lineRule="auto"/>
      <w:textAlignment w:val="auto"/>
    </w:pPr>
    <w:rPr>
      <w:rFonts w:ascii="Arial" w:eastAsia="Arial" w:hAnsi="Arial" w:cs="Arial"/>
      <w:color w:val="auto"/>
      <w:lang w:bidi="nl-NL"/>
    </w:rPr>
  </w:style>
  <w:style w:type="character" w:customStyle="1" w:styleId="PlattetekstChar">
    <w:name w:val="Platte tekst Char"/>
    <w:basedOn w:val="Standaardalinea-lettertype"/>
    <w:link w:val="Plattetekst"/>
    <w:uiPriority w:val="1"/>
    <w:rsid w:val="00575171"/>
    <w:rPr>
      <w:rFonts w:ascii="Arial" w:eastAsia="Arial" w:hAnsi="Arial" w:cs="Arial"/>
      <w:kern w:val="0"/>
      <w:sz w:val="18"/>
      <w:szCs w:val="18"/>
      <w:lang w:eastAsia="nl-NL" w:bidi="nl-NL"/>
      <w14:ligatures w14:val="none"/>
    </w:rPr>
  </w:style>
  <w:style w:type="paragraph" w:customStyle="1" w:styleId="Char1CharCharCarCarCarCarCarCarCarCarCarCar">
    <w:name w:val="Char1 Char Char Car Car Car Car Car Car Car Car Car Car"/>
    <w:basedOn w:val="Standaard"/>
    <w:next w:val="Standaard"/>
    <w:link w:val="Voetnootmarkering"/>
    <w:uiPriority w:val="99"/>
    <w:rsid w:val="00575171"/>
    <w:pPr>
      <w:autoSpaceDN/>
      <w:spacing w:after="160" w:line="240" w:lineRule="exact"/>
      <w:textAlignment w:val="auto"/>
    </w:pPr>
    <w:rPr>
      <w:rFonts w:asciiTheme="minorHAnsi" w:eastAsiaTheme="minorHAnsi" w:hAnsiTheme="minorHAnsi" w:cstheme="minorBidi"/>
      <w:color w:val="auto"/>
      <w:kern w:val="2"/>
      <w:sz w:val="22"/>
      <w:szCs w:val="22"/>
      <w:vertAlign w:val="superscript"/>
      <w:lang w:eastAsia="en-US"/>
      <w14:ligatures w14:val="standardContextual"/>
    </w:rPr>
  </w:style>
  <w:style w:type="paragraph" w:styleId="Revisie">
    <w:name w:val="Revision"/>
    <w:hidden/>
    <w:uiPriority w:val="99"/>
    <w:semiHidden/>
    <w:rsid w:val="002506CB"/>
    <w:pPr>
      <w:spacing w:after="0" w:line="240" w:lineRule="auto"/>
    </w:pPr>
    <w:rPr>
      <w:rFonts w:ascii="Verdana" w:eastAsia="DejaVu Sans" w:hAnsi="Verdana" w:cs="Lohit Hindi"/>
      <w:color w:val="000000"/>
      <w:kern w:val="0"/>
      <w:sz w:val="18"/>
      <w:szCs w:val="18"/>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5A781A"/>
    <w:rPr>
      <w:b/>
      <w:bCs/>
    </w:rPr>
  </w:style>
  <w:style w:type="character" w:customStyle="1" w:styleId="OnderwerpvanopmerkingChar">
    <w:name w:val="Onderwerp van opmerking Char"/>
    <w:basedOn w:val="TekstopmerkingChar"/>
    <w:link w:val="Onderwerpvanopmerking"/>
    <w:uiPriority w:val="99"/>
    <w:semiHidden/>
    <w:rsid w:val="005A781A"/>
    <w:rPr>
      <w:rFonts w:ascii="Verdana" w:eastAsia="DejaVu Sans" w:hAnsi="Verdana" w:cs="Lohit Hindi"/>
      <w:b/>
      <w:bCs/>
      <w:color w:val="000000"/>
      <w:kern w:val="0"/>
      <w:sz w:val="20"/>
      <w:szCs w:val="20"/>
      <w:lang w:eastAsia="nl-NL"/>
      <w14:ligatures w14:val="none"/>
    </w:rPr>
  </w:style>
  <w:style w:type="paragraph" w:styleId="Koptekst">
    <w:name w:val="header"/>
    <w:basedOn w:val="Standaard"/>
    <w:link w:val="KoptekstChar"/>
    <w:uiPriority w:val="99"/>
    <w:unhideWhenUsed/>
    <w:rsid w:val="008936A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936A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936A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936A1"/>
    <w:rPr>
      <w:rFonts w:ascii="Verdana" w:eastAsia="DejaVu Sans" w:hAnsi="Verdana" w:cs="Lohit Hindi"/>
      <w:color w:val="000000"/>
      <w:kern w:val="0"/>
      <w:sz w:val="18"/>
      <w:szCs w:val="18"/>
      <w:lang w:eastAsia="nl-NL"/>
      <w14:ligatures w14:val="none"/>
    </w:rPr>
  </w:style>
  <w:style w:type="paragraph" w:customStyle="1" w:styleId="Stijl1">
    <w:name w:val="Stijl1"/>
    <w:basedOn w:val="Standaard"/>
    <w:link w:val="Stijl1Char"/>
    <w:qFormat/>
    <w:rsid w:val="000807B2"/>
    <w:pPr>
      <w:widowControl w:val="0"/>
      <w:numPr>
        <w:numId w:val="10"/>
      </w:numPr>
      <w:suppressAutoHyphens/>
      <w:spacing w:line="240" w:lineRule="auto"/>
    </w:pPr>
    <w:rPr>
      <w:b/>
      <w:bCs/>
      <w:color w:val="auto"/>
      <w:kern w:val="3"/>
      <w:szCs w:val="24"/>
      <w:lang w:eastAsia="zh-CN" w:bidi="hi-IN"/>
    </w:rPr>
  </w:style>
  <w:style w:type="character" w:customStyle="1" w:styleId="Stijl1Char">
    <w:name w:val="Stijl1 Char"/>
    <w:basedOn w:val="Standaardalinea-lettertype"/>
    <w:link w:val="Stijl1"/>
    <w:rsid w:val="000807B2"/>
    <w:rPr>
      <w:rFonts w:ascii="Verdana" w:eastAsia="DejaVu Sans" w:hAnsi="Verdana" w:cs="Lohit Hindi"/>
      <w:b/>
      <w:bCs/>
      <w:kern w:val="3"/>
      <w:sz w:val="18"/>
      <w:szCs w:val="24"/>
      <w:lang w:eastAsia="zh-CN" w:bidi="hi-IN"/>
      <w14:ligatures w14:val="none"/>
    </w:rPr>
  </w:style>
  <w:style w:type="character" w:styleId="Hyperlink">
    <w:name w:val="Hyperlink"/>
    <w:basedOn w:val="Standaardalinea-lettertype"/>
    <w:uiPriority w:val="99"/>
    <w:unhideWhenUsed/>
    <w:rsid w:val="000807B2"/>
    <w:rPr>
      <w:color w:val="0000FF"/>
      <w:u w:val="single"/>
    </w:rPr>
  </w:style>
  <w:style w:type="paragraph" w:customStyle="1" w:styleId="WitregelW1bodytekst">
    <w:name w:val="Witregel W1 (bodytekst)"/>
    <w:next w:val="Standaard"/>
    <w:rsid w:val="000807B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Default">
    <w:name w:val="Default"/>
    <w:rsid w:val="00CC5EFB"/>
    <w:pPr>
      <w:autoSpaceDE w:val="0"/>
      <w:autoSpaceDN w:val="0"/>
      <w:adjustRightInd w:val="0"/>
      <w:spacing w:after="0" w:line="240" w:lineRule="auto"/>
    </w:pPr>
    <w:rPr>
      <w:rFonts w:ascii="Arial" w:hAnsi="Arial" w:cs="Arial"/>
      <w:color w:val="000000"/>
      <w:kern w:val="0"/>
      <w:sz w:val="24"/>
      <w:szCs w:val="24"/>
    </w:rPr>
  </w:style>
  <w:style w:type="character" w:styleId="Onopgelostemelding">
    <w:name w:val="Unresolved Mention"/>
    <w:basedOn w:val="Standaardalinea-lettertype"/>
    <w:uiPriority w:val="99"/>
    <w:semiHidden/>
    <w:unhideWhenUsed/>
    <w:rsid w:val="00DE637B"/>
    <w:rPr>
      <w:color w:val="605E5C"/>
      <w:shd w:val="clear" w:color="auto" w:fill="E1DFDD"/>
    </w:rPr>
  </w:style>
  <w:style w:type="paragraph" w:customStyle="1" w:styleId="p1">
    <w:name w:val="p1"/>
    <w:basedOn w:val="Standaard"/>
    <w:rsid w:val="00EC0968"/>
    <w:pPr>
      <w:autoSpaceDN/>
      <w:spacing w:line="240" w:lineRule="auto"/>
      <w:textAlignment w:val="auto"/>
    </w:pPr>
    <w:rPr>
      <w:rFonts w:ascii="Arial" w:eastAsia="Times New Roman" w:hAnsi="Arial" w:cs="Arial"/>
      <w:color w:val="313131"/>
      <w:sz w:val="14"/>
      <w:szCs w:val="14"/>
    </w:rPr>
  </w:style>
  <w:style w:type="character" w:customStyle="1" w:styleId="cf11">
    <w:name w:val="cf11"/>
    <w:basedOn w:val="Standaardalinea-lettertype"/>
    <w:rsid w:val="00276FE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95455">
      <w:bodyDiv w:val="1"/>
      <w:marLeft w:val="0"/>
      <w:marRight w:val="0"/>
      <w:marTop w:val="0"/>
      <w:marBottom w:val="0"/>
      <w:divBdr>
        <w:top w:val="none" w:sz="0" w:space="0" w:color="auto"/>
        <w:left w:val="none" w:sz="0" w:space="0" w:color="auto"/>
        <w:bottom w:val="none" w:sz="0" w:space="0" w:color="auto"/>
        <w:right w:val="none" w:sz="0" w:space="0" w:color="auto"/>
      </w:divBdr>
    </w:div>
    <w:div w:id="249697376">
      <w:bodyDiv w:val="1"/>
      <w:marLeft w:val="0"/>
      <w:marRight w:val="0"/>
      <w:marTop w:val="0"/>
      <w:marBottom w:val="0"/>
      <w:divBdr>
        <w:top w:val="none" w:sz="0" w:space="0" w:color="auto"/>
        <w:left w:val="none" w:sz="0" w:space="0" w:color="auto"/>
        <w:bottom w:val="none" w:sz="0" w:space="0" w:color="auto"/>
        <w:right w:val="none" w:sz="0" w:space="0" w:color="auto"/>
      </w:divBdr>
    </w:div>
    <w:div w:id="828978515">
      <w:bodyDiv w:val="1"/>
      <w:marLeft w:val="0"/>
      <w:marRight w:val="0"/>
      <w:marTop w:val="0"/>
      <w:marBottom w:val="0"/>
      <w:divBdr>
        <w:top w:val="none" w:sz="0" w:space="0" w:color="auto"/>
        <w:left w:val="none" w:sz="0" w:space="0" w:color="auto"/>
        <w:bottom w:val="none" w:sz="0" w:space="0" w:color="auto"/>
        <w:right w:val="none" w:sz="0" w:space="0" w:color="auto"/>
      </w:divBdr>
    </w:div>
    <w:div w:id="1126005332">
      <w:bodyDiv w:val="1"/>
      <w:marLeft w:val="0"/>
      <w:marRight w:val="0"/>
      <w:marTop w:val="0"/>
      <w:marBottom w:val="0"/>
      <w:divBdr>
        <w:top w:val="none" w:sz="0" w:space="0" w:color="auto"/>
        <w:left w:val="none" w:sz="0" w:space="0" w:color="auto"/>
        <w:bottom w:val="none" w:sz="0" w:space="0" w:color="auto"/>
        <w:right w:val="none" w:sz="0" w:space="0" w:color="auto"/>
      </w:divBdr>
    </w:div>
    <w:div w:id="1132866201">
      <w:bodyDiv w:val="1"/>
      <w:marLeft w:val="0"/>
      <w:marRight w:val="0"/>
      <w:marTop w:val="0"/>
      <w:marBottom w:val="0"/>
      <w:divBdr>
        <w:top w:val="none" w:sz="0" w:space="0" w:color="auto"/>
        <w:left w:val="none" w:sz="0" w:space="0" w:color="auto"/>
        <w:bottom w:val="none" w:sz="0" w:space="0" w:color="auto"/>
        <w:right w:val="none" w:sz="0" w:space="0" w:color="auto"/>
      </w:divBdr>
    </w:div>
    <w:div w:id="1251428514">
      <w:bodyDiv w:val="1"/>
      <w:marLeft w:val="0"/>
      <w:marRight w:val="0"/>
      <w:marTop w:val="0"/>
      <w:marBottom w:val="0"/>
      <w:divBdr>
        <w:top w:val="none" w:sz="0" w:space="0" w:color="auto"/>
        <w:left w:val="none" w:sz="0" w:space="0" w:color="auto"/>
        <w:bottom w:val="none" w:sz="0" w:space="0" w:color="auto"/>
        <w:right w:val="none" w:sz="0" w:space="0" w:color="auto"/>
      </w:divBdr>
    </w:div>
    <w:div w:id="1542740323">
      <w:bodyDiv w:val="1"/>
      <w:marLeft w:val="0"/>
      <w:marRight w:val="0"/>
      <w:marTop w:val="0"/>
      <w:marBottom w:val="0"/>
      <w:divBdr>
        <w:top w:val="none" w:sz="0" w:space="0" w:color="auto"/>
        <w:left w:val="none" w:sz="0" w:space="0" w:color="auto"/>
        <w:bottom w:val="none" w:sz="0" w:space="0" w:color="auto"/>
        <w:right w:val="none" w:sz="0" w:space="0" w:color="auto"/>
      </w:divBdr>
    </w:div>
    <w:div w:id="1835340187">
      <w:bodyDiv w:val="1"/>
      <w:marLeft w:val="0"/>
      <w:marRight w:val="0"/>
      <w:marTop w:val="0"/>
      <w:marBottom w:val="0"/>
      <w:divBdr>
        <w:top w:val="none" w:sz="0" w:space="0" w:color="auto"/>
        <w:left w:val="none" w:sz="0" w:space="0" w:color="auto"/>
        <w:bottom w:val="none" w:sz="0" w:space="0" w:color="auto"/>
        <w:right w:val="none" w:sz="0" w:space="0" w:color="auto"/>
      </w:divBdr>
    </w:div>
    <w:div w:id="1881941283">
      <w:bodyDiv w:val="1"/>
      <w:marLeft w:val="0"/>
      <w:marRight w:val="0"/>
      <w:marTop w:val="0"/>
      <w:marBottom w:val="0"/>
      <w:divBdr>
        <w:top w:val="none" w:sz="0" w:space="0" w:color="auto"/>
        <w:left w:val="none" w:sz="0" w:space="0" w:color="auto"/>
        <w:bottom w:val="none" w:sz="0" w:space="0" w:color="auto"/>
        <w:right w:val="none" w:sz="0" w:space="0" w:color="auto"/>
      </w:divBdr>
    </w:div>
    <w:div w:id="2076467037">
      <w:bodyDiv w:val="1"/>
      <w:marLeft w:val="0"/>
      <w:marRight w:val="0"/>
      <w:marTop w:val="0"/>
      <w:marBottom w:val="0"/>
      <w:divBdr>
        <w:top w:val="none" w:sz="0" w:space="0" w:color="auto"/>
        <w:left w:val="none" w:sz="0" w:space="0" w:color="auto"/>
        <w:bottom w:val="none" w:sz="0" w:space="0" w:color="auto"/>
        <w:right w:val="none" w:sz="0" w:space="0" w:color="auto"/>
      </w:divBdr>
    </w:div>
    <w:div w:id="213532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wodc.nl/onderzoek-in-uitvoering/welk-onderzoek-doen-we/3600---evaluatie-wet-bestuur-en-toezicht-rechtsperson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2182</ap:Words>
  <ap:Characters>12001</ap:Characters>
  <ap:DocSecurity>0</ap:DocSecurity>
  <ap:Lines>100</ap:Lines>
  <ap:Paragraphs>28</ap:Paragraphs>
  <ap:ScaleCrop>false</ap:ScaleCrop>
  <ap:LinksUpToDate>false</ap:LinksUpToDate>
  <ap:CharactersWithSpaces>14155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2025-12-09T16:07:00.0000000Z</dcterms:created>
  <dcterms:modified xsi:type="dcterms:W3CDTF">2025-12-09T16:07:00.0000000Z</dcterms:modified>
  <version/>
  <category/>
</coreProperties>
</file>