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6701" w:rsidP="0057236D" w:rsidRDefault="00103013" w14:paraId="22F78690" w14:textId="0B46F36C">
      <w:pPr>
        <w:spacing w:after="0" w:line="240" w:lineRule="atLeast"/>
        <w:rPr>
          <w:b/>
          <w:bCs/>
          <w:lang w:val="nl-NL"/>
        </w:rPr>
      </w:pPr>
      <w:r w:rsidRPr="00767972">
        <w:rPr>
          <w:b/>
          <w:bCs/>
          <w:lang w:val="nl-NL"/>
        </w:rPr>
        <w:t>Bijlage 1. Moties en toezeggingen</w:t>
      </w:r>
    </w:p>
    <w:p w:rsidRPr="0057236D" w:rsidR="0057236D" w:rsidP="0057236D" w:rsidRDefault="0057236D" w14:paraId="68768F75" w14:textId="77777777">
      <w:pPr>
        <w:spacing w:after="0" w:line="240" w:lineRule="atLeast"/>
        <w:rPr>
          <w:lang w:val="nl-NL"/>
        </w:rPr>
      </w:pPr>
    </w:p>
    <w:p w:rsidRPr="00103013" w:rsidR="00103013" w:rsidP="000D76E1" w:rsidRDefault="0088790D" w14:paraId="4F00F91D" w14:textId="14D5D187">
      <w:pPr>
        <w:pStyle w:val="Kop1"/>
      </w:pPr>
      <w:r>
        <w:t>V</w:t>
      </w:r>
      <w:r w:rsidRPr="00103013" w:rsidR="00103013">
        <w:t xml:space="preserve">erbinding Sportakkoord II, </w:t>
      </w:r>
      <w:r w:rsidR="00BA4CA9">
        <w:t>Gezond en Actief Leven Akkoord (GALA)</w:t>
      </w:r>
      <w:r w:rsidRPr="00103013" w:rsidR="00103013">
        <w:t xml:space="preserve"> en lokaal beleid</w:t>
      </w:r>
    </w:p>
    <w:p w:rsidRPr="00F5256E" w:rsidR="0057236D" w:rsidP="00482F9F" w:rsidRDefault="00CB717A" w14:paraId="38CE3ACF" w14:textId="7673799F">
      <w:pPr>
        <w:spacing w:after="0" w:line="240" w:lineRule="atLeast"/>
        <w:rPr>
          <w:lang w:val="nl-NL"/>
        </w:rPr>
      </w:pPr>
      <w:r>
        <w:rPr>
          <w:lang w:val="nl-NL"/>
        </w:rPr>
        <w:t>De motie van het lid Saris c.s.</w:t>
      </w:r>
      <w:r w:rsidRPr="00CB717A">
        <w:rPr>
          <w:rStyle w:val="Voetnootmarkering"/>
        </w:rPr>
        <w:footnoteReference w:id="1"/>
      </w:r>
      <w:r>
        <w:rPr>
          <w:lang w:val="nl-NL"/>
        </w:rPr>
        <w:t xml:space="preserve"> vraagt mij te onderzoeken </w:t>
      </w:r>
      <w:r w:rsidR="0088790D">
        <w:rPr>
          <w:lang w:val="nl-NL"/>
        </w:rPr>
        <w:t xml:space="preserve">hoe de verbinding tussen het Sportakkoord II, de GALA-doelen en lokaal beleid verder kan worden versterkt. </w:t>
      </w:r>
      <w:r w:rsidR="00370921">
        <w:rPr>
          <w:lang w:val="nl-NL"/>
        </w:rPr>
        <w:t>Ik kan</w:t>
      </w:r>
      <w:r w:rsidR="008053DD">
        <w:rPr>
          <w:lang w:val="nl-NL"/>
        </w:rPr>
        <w:t xml:space="preserve"> hierbij</w:t>
      </w:r>
      <w:r w:rsidR="00370921">
        <w:rPr>
          <w:lang w:val="nl-NL"/>
        </w:rPr>
        <w:t xml:space="preserve"> de volgende voortgang</w:t>
      </w:r>
      <w:r w:rsidR="008053DD">
        <w:rPr>
          <w:lang w:val="nl-NL"/>
        </w:rPr>
        <w:t xml:space="preserve"> melden. </w:t>
      </w:r>
      <w:r w:rsidRPr="00F5256E" w:rsidR="00F5256E">
        <w:rPr>
          <w:lang w:val="nl-NL"/>
        </w:rPr>
        <w:t xml:space="preserve">Op </w:t>
      </w:r>
      <w:r w:rsidR="00910183">
        <w:rPr>
          <w:lang w:val="nl-NL"/>
        </w:rPr>
        <w:t>dit</w:t>
      </w:r>
      <w:r w:rsidRPr="00F5256E" w:rsidR="00F5256E">
        <w:rPr>
          <w:lang w:val="nl-NL"/>
        </w:rPr>
        <w:t xml:space="preserve"> moment worden zowel Sportakkoord II als</w:t>
      </w:r>
      <w:r w:rsidR="00482F9F">
        <w:rPr>
          <w:lang w:val="nl-NL"/>
        </w:rPr>
        <w:t xml:space="preserve"> het Actieplan</w:t>
      </w:r>
      <w:r w:rsidRPr="00F5256E" w:rsidR="00F5256E">
        <w:rPr>
          <w:lang w:val="nl-NL"/>
        </w:rPr>
        <w:t xml:space="preserve"> Nederland </w:t>
      </w:r>
      <w:r w:rsidR="00482F9F">
        <w:rPr>
          <w:lang w:val="nl-NL"/>
        </w:rPr>
        <w:t>B</w:t>
      </w:r>
      <w:r w:rsidRPr="00F5256E" w:rsidR="00F5256E">
        <w:rPr>
          <w:lang w:val="nl-NL"/>
        </w:rPr>
        <w:t>eweegt geëvalueerd. In beide evaluaties wordt de verbinding met</w:t>
      </w:r>
      <w:r w:rsidR="00482F9F">
        <w:rPr>
          <w:lang w:val="nl-NL"/>
        </w:rPr>
        <w:t xml:space="preserve"> </w:t>
      </w:r>
      <w:r w:rsidR="00BA4CA9">
        <w:rPr>
          <w:lang w:val="nl-NL"/>
        </w:rPr>
        <w:t>GALA</w:t>
      </w:r>
      <w:r w:rsidR="00621C1F">
        <w:rPr>
          <w:lang w:val="nl-NL"/>
        </w:rPr>
        <w:t xml:space="preserve"> </w:t>
      </w:r>
      <w:r w:rsidRPr="00F5256E" w:rsidR="00F5256E">
        <w:rPr>
          <w:lang w:val="nl-NL"/>
        </w:rPr>
        <w:t xml:space="preserve">meegenomen. De laatste fase van Sportakkoord II wordt benut om te onderzoeken waar een aantal zogenaamde focusregio’s staan op het gebied van data- en vraaggericht werken en regionale samenwerking. Regio’s waarvan bekend is dat de gemeenten samenwerken bij opgaven rondom sport en bewegen en waarin de verbinding wordt gelegd met programma’s uit GALA. </w:t>
      </w:r>
      <w:r w:rsidRPr="009101C2" w:rsidR="00F5256E">
        <w:rPr>
          <w:lang w:val="nl-NL"/>
        </w:rPr>
        <w:t xml:space="preserve">Opbrengsten uit deze verkenning verwacht ik </w:t>
      </w:r>
      <w:r w:rsidRPr="009101C2" w:rsidR="004D2E1C">
        <w:rPr>
          <w:lang w:val="nl-NL"/>
        </w:rPr>
        <w:t>in de eerste helft van</w:t>
      </w:r>
      <w:r w:rsidRPr="009101C2" w:rsidR="00F5256E">
        <w:rPr>
          <w:lang w:val="nl-NL"/>
        </w:rPr>
        <w:t xml:space="preserve"> 2026</w:t>
      </w:r>
      <w:r w:rsidRPr="009101C2" w:rsidR="009101C2">
        <w:rPr>
          <w:lang w:val="nl-NL"/>
        </w:rPr>
        <w:t>. Dit moet</w:t>
      </w:r>
      <w:r w:rsidRPr="009101C2" w:rsidR="00F5256E">
        <w:rPr>
          <w:lang w:val="nl-NL"/>
        </w:rPr>
        <w:t xml:space="preserve"> de partners van het Sportakkoord (V</w:t>
      </w:r>
      <w:r w:rsidRPr="009101C2" w:rsidR="00621C1F">
        <w:rPr>
          <w:lang w:val="nl-NL"/>
        </w:rPr>
        <w:t>ereniging Sport en Gemeenten (VSG)</w:t>
      </w:r>
      <w:r w:rsidRPr="009101C2" w:rsidR="00F5256E">
        <w:rPr>
          <w:lang w:val="nl-NL"/>
        </w:rPr>
        <w:t>, NOC*NSF, P</w:t>
      </w:r>
      <w:r w:rsidRPr="009101C2" w:rsidR="00621C1F">
        <w:rPr>
          <w:lang w:val="nl-NL"/>
        </w:rPr>
        <w:t>latform Ondernemende Sportaanbieders (POS)</w:t>
      </w:r>
      <w:r w:rsidRPr="009101C2" w:rsidR="00F5256E">
        <w:rPr>
          <w:lang w:val="nl-NL"/>
        </w:rPr>
        <w:t xml:space="preserve"> en </w:t>
      </w:r>
      <w:r w:rsidRPr="009101C2" w:rsidR="00621C1F">
        <w:rPr>
          <w:lang w:val="nl-NL"/>
        </w:rPr>
        <w:t>het ministerie van Volksgezondheid, Welzijn en Sport (</w:t>
      </w:r>
      <w:r w:rsidRPr="009101C2" w:rsidR="00F5256E">
        <w:rPr>
          <w:lang w:val="nl-NL"/>
        </w:rPr>
        <w:t>VWS</w:t>
      </w:r>
      <w:r w:rsidRPr="009101C2" w:rsidR="00621C1F">
        <w:rPr>
          <w:lang w:val="nl-NL"/>
        </w:rPr>
        <w:t>)</w:t>
      </w:r>
      <w:r w:rsidRPr="009101C2" w:rsidR="00F5256E">
        <w:rPr>
          <w:lang w:val="nl-NL"/>
        </w:rPr>
        <w:t>) informatie</w:t>
      </w:r>
      <w:r w:rsidRPr="009101C2" w:rsidR="009101C2">
        <w:rPr>
          <w:lang w:val="nl-NL"/>
        </w:rPr>
        <w:t xml:space="preserve"> geven</w:t>
      </w:r>
      <w:r w:rsidRPr="009101C2" w:rsidR="00F5256E">
        <w:rPr>
          <w:lang w:val="nl-NL"/>
        </w:rPr>
        <w:t xml:space="preserve"> over welke elementen geborgd moeten en kunnen worden uit Sportakkoord II en GALA.</w:t>
      </w:r>
      <w:r w:rsidRPr="00F5256E" w:rsidR="00F5256E">
        <w:rPr>
          <w:lang w:val="nl-NL"/>
        </w:rPr>
        <w:t xml:space="preserve"> Ik neem de informatie die voortkomt uit de twee evaluaties en het borgingstraject mee in mijn bredere afweging ten aanzien van wettelijke verankering van sport- en beweegbeleid. Zoals eerder toegezegd</w:t>
      </w:r>
      <w:r w:rsidR="004D2E1C">
        <w:rPr>
          <w:rStyle w:val="Voetnootmarkering"/>
          <w:lang w:val="nl-NL"/>
        </w:rPr>
        <w:footnoteReference w:id="2"/>
      </w:r>
      <w:r w:rsidR="004D2E1C">
        <w:rPr>
          <w:lang w:val="nl-NL"/>
        </w:rPr>
        <w:t xml:space="preserve"> </w:t>
      </w:r>
      <w:r w:rsidRPr="00F5256E" w:rsidR="00F5256E">
        <w:rPr>
          <w:lang w:val="nl-NL"/>
        </w:rPr>
        <w:t>ontvangt u in het voorjaar van 2026 een brief over de stand van zaken in dit traject.</w:t>
      </w:r>
    </w:p>
    <w:p w:rsidR="00F5256E" w:rsidP="0057236D" w:rsidRDefault="00F5256E" w14:paraId="36A3571E" w14:textId="77777777">
      <w:pPr>
        <w:spacing w:after="0" w:line="240" w:lineRule="atLeast"/>
        <w:rPr>
          <w:b/>
          <w:bCs/>
          <w:lang w:val="nl-NL"/>
        </w:rPr>
      </w:pPr>
    </w:p>
    <w:p w:rsidRPr="00704C3A" w:rsidR="00704C3A" w:rsidP="000D76E1" w:rsidRDefault="00704C3A" w14:paraId="20456095" w14:textId="06FB9F9A">
      <w:pPr>
        <w:pStyle w:val="Kop1"/>
      </w:pPr>
      <w:bookmarkStart w:name="_Hlk213667676" w:id="0"/>
      <w:r w:rsidRPr="00704C3A">
        <w:t>BOSA 2026</w:t>
      </w:r>
    </w:p>
    <w:p w:rsidR="00704C3A" w:rsidP="0057236D" w:rsidRDefault="00CA4A7F" w14:paraId="2096EAAE" w14:textId="23851C4B">
      <w:pPr>
        <w:spacing w:after="0" w:line="240" w:lineRule="atLeast"/>
        <w:rPr>
          <w:lang w:val="nl-NL"/>
        </w:rPr>
      </w:pPr>
      <w:r>
        <w:rPr>
          <w:lang w:val="nl-NL"/>
        </w:rPr>
        <w:t>I</w:t>
      </w:r>
      <w:r w:rsidRPr="00704C3A" w:rsidR="00704C3A">
        <w:rPr>
          <w:lang w:val="nl-NL"/>
        </w:rPr>
        <w:t xml:space="preserve">n </w:t>
      </w:r>
      <w:r w:rsidR="002A1672">
        <w:rPr>
          <w:lang w:val="nl-NL"/>
        </w:rPr>
        <w:t>de b</w:t>
      </w:r>
      <w:r w:rsidRPr="00704C3A" w:rsidR="00704C3A">
        <w:rPr>
          <w:lang w:val="nl-NL"/>
        </w:rPr>
        <w:t xml:space="preserve">eantwoording </w:t>
      </w:r>
      <w:r w:rsidR="002A1672">
        <w:rPr>
          <w:lang w:val="nl-NL"/>
        </w:rPr>
        <w:t xml:space="preserve">van </w:t>
      </w:r>
      <w:r w:rsidRPr="00704C3A" w:rsidR="00704C3A">
        <w:rPr>
          <w:lang w:val="nl-NL"/>
        </w:rPr>
        <w:t xml:space="preserve">vragen </w:t>
      </w:r>
      <w:r w:rsidR="002A1672">
        <w:rPr>
          <w:lang w:val="nl-NL"/>
        </w:rPr>
        <w:t xml:space="preserve">uit het </w:t>
      </w:r>
      <w:r w:rsidRPr="00704C3A" w:rsidR="00704C3A">
        <w:rPr>
          <w:lang w:val="nl-NL"/>
        </w:rPr>
        <w:t>Schriftelijk Overleg met betrekking tot het aanvragen van de Subsidieregeling Bouw en onderhoud sportaccommodaties (BOSA) in 2025</w:t>
      </w:r>
      <w:r w:rsidRPr="00704C3A" w:rsidR="00704C3A">
        <w:rPr>
          <w:vertAlign w:val="superscript"/>
          <w:lang w:val="nl-NL"/>
        </w:rPr>
        <w:footnoteReference w:id="3"/>
      </w:r>
      <w:r>
        <w:rPr>
          <w:lang w:val="nl-NL"/>
        </w:rPr>
        <w:t xml:space="preserve"> heb</w:t>
      </w:r>
      <w:r w:rsidRPr="00704C3A" w:rsidR="00704C3A">
        <w:rPr>
          <w:lang w:val="nl-NL"/>
        </w:rPr>
        <w:t xml:space="preserve"> </w:t>
      </w:r>
      <w:r w:rsidR="002A1672">
        <w:rPr>
          <w:lang w:val="nl-NL"/>
        </w:rPr>
        <w:t xml:space="preserve">ik </w:t>
      </w:r>
      <w:r w:rsidRPr="00704C3A" w:rsidR="00704C3A">
        <w:rPr>
          <w:lang w:val="nl-NL"/>
        </w:rPr>
        <w:t>toegezegd om bij het opstellen van een wijzigingsregeling van de BOSA voor het jaar 2026 te bezien of de (subsidiabele activiteiten van) de regeling nog aansluit</w:t>
      </w:r>
      <w:r w:rsidR="002A1672">
        <w:rPr>
          <w:lang w:val="nl-NL"/>
        </w:rPr>
        <w:t>(en)</w:t>
      </w:r>
      <w:r w:rsidRPr="00704C3A" w:rsidR="00704C3A">
        <w:rPr>
          <w:lang w:val="nl-NL"/>
        </w:rPr>
        <w:t xml:space="preserve"> bij de behoefte vanuit het veld en de strekking van de regeling. De wijzigingsregeling van de BOSA zal spoedig worden gepubliceerd. Hiermee wordt de regeling zodanig aangepast dat maatregelen in het kader van energiebesparing van bestaande sportaccommodaties vanaf 2026 zijn uitgezonderd van de regeling. Dit heeft te maken</w:t>
      </w:r>
      <w:r w:rsidR="00910183">
        <w:rPr>
          <w:lang w:val="nl-NL"/>
        </w:rPr>
        <w:t xml:space="preserve"> met</w:t>
      </w:r>
      <w:r w:rsidRPr="00704C3A" w:rsidR="00704C3A">
        <w:rPr>
          <w:lang w:val="nl-NL"/>
        </w:rPr>
        <w:t xml:space="preserve"> het feit dat amateursportorganisaties met hun accommodatie in eigen beheer voor deze activiteiten subsidie kunnen aanvragen bij de subsidieregeling duurzaam maatschappelijk vastgoed (DUMAVA). Ook wordt verduidelijkt wat wordt verstaan onder sportmaterialen. Om de subsidiabele activiteiten beter bij het doel van de regeling aan te laten sluiten</w:t>
      </w:r>
      <w:r w:rsidR="001423FF">
        <w:rPr>
          <w:lang w:val="nl-NL"/>
        </w:rPr>
        <w:t>,</w:t>
      </w:r>
      <w:r w:rsidRPr="00704C3A" w:rsidR="00704C3A">
        <w:rPr>
          <w:lang w:val="nl-NL"/>
        </w:rPr>
        <w:t xml:space="preserve"> worden bijvoorbeeld vervoersmiddelen</w:t>
      </w:r>
      <w:r w:rsidR="005A17DE">
        <w:rPr>
          <w:lang w:val="nl-NL"/>
        </w:rPr>
        <w:t xml:space="preserve"> om sporters, sportmaterialen en </w:t>
      </w:r>
      <w:r w:rsidRPr="00704C3A" w:rsidR="00704C3A">
        <w:rPr>
          <w:lang w:val="nl-NL"/>
        </w:rPr>
        <w:t>dieren</w:t>
      </w:r>
      <w:r w:rsidR="005A17DE">
        <w:rPr>
          <w:lang w:val="nl-NL"/>
        </w:rPr>
        <w:t xml:space="preserve"> mee te vervoeren </w:t>
      </w:r>
      <w:r w:rsidRPr="00704C3A" w:rsidR="00704C3A">
        <w:rPr>
          <w:lang w:val="nl-NL"/>
        </w:rPr>
        <w:t xml:space="preserve">en ICT-middelen uitgesloten van de regeling. </w:t>
      </w:r>
    </w:p>
    <w:p w:rsidRPr="00704C3A" w:rsidR="00F5256E" w:rsidP="0057236D" w:rsidRDefault="00F5256E" w14:paraId="1308A749" w14:textId="77777777">
      <w:pPr>
        <w:spacing w:after="0" w:line="240" w:lineRule="atLeast"/>
        <w:rPr>
          <w:lang w:val="nl-NL"/>
        </w:rPr>
      </w:pPr>
    </w:p>
    <w:p w:rsidRPr="009C186D" w:rsidR="00704C3A" w:rsidP="0057236D" w:rsidRDefault="00884BA1" w14:paraId="04903E0C" w14:textId="2D9F85FC">
      <w:pPr>
        <w:spacing w:after="0" w:line="240" w:lineRule="atLeast"/>
        <w:rPr>
          <w:lang w:val="nl-NL"/>
        </w:rPr>
      </w:pPr>
      <w:r>
        <w:rPr>
          <w:lang w:val="nl-NL"/>
        </w:rPr>
        <w:t>De motie</w:t>
      </w:r>
      <w:r w:rsidRPr="00704C3A" w:rsidR="00CB527D">
        <w:rPr>
          <w:vertAlign w:val="superscript"/>
          <w:lang w:val="nl-NL"/>
        </w:rPr>
        <w:footnoteReference w:id="4"/>
      </w:r>
      <w:r>
        <w:rPr>
          <w:lang w:val="nl-NL"/>
        </w:rPr>
        <w:t xml:space="preserve"> van de leden </w:t>
      </w:r>
      <w:r w:rsidR="007D7A5C">
        <w:rPr>
          <w:lang w:val="nl-NL"/>
        </w:rPr>
        <w:t xml:space="preserve">Van Dijk (CDA) en Van Nispen (SP) verzoekt de regering de regels voor de DUMAVA aan te passen zodat deze meer gelijk gaat lopen met de oorspronkelijke BOSA, </w:t>
      </w:r>
      <w:r w:rsidR="00BA4CA9">
        <w:rPr>
          <w:lang w:val="nl-NL"/>
        </w:rPr>
        <w:t xml:space="preserve">zodat deze </w:t>
      </w:r>
      <w:r w:rsidR="007D7A5C">
        <w:rPr>
          <w:lang w:val="nl-NL"/>
        </w:rPr>
        <w:t xml:space="preserve">ook ingezet kan worden voor nieuwbouw van sportaccommodaties. </w:t>
      </w:r>
      <w:r w:rsidRPr="00704C3A" w:rsidR="00704C3A">
        <w:rPr>
          <w:lang w:val="nl-NL"/>
        </w:rPr>
        <w:t xml:space="preserve">In aanloop naar de opening van de DUMAVA in 2026 zal op basis van de evaluatie van deze regeling duidelijk worden hoe de regeling aangepast kan en zal worden. Bij deze evaluatie zullen ook de ervaringen van de sportsector met het aanvragen van DUMAVA-subsidie betrokken worden. Het aanpassen van de regeling is uiteindelijk aan het ministerie van </w:t>
      </w:r>
      <w:r w:rsidRPr="004D2E1C" w:rsidR="004D2E1C">
        <w:rPr>
          <w:lang w:val="nl-NL"/>
        </w:rPr>
        <w:t>Volkshuisvesting en Ruimtelijke Ordening</w:t>
      </w:r>
      <w:r w:rsidR="004D2E1C">
        <w:rPr>
          <w:lang w:val="nl-NL"/>
        </w:rPr>
        <w:t xml:space="preserve"> (</w:t>
      </w:r>
      <w:r w:rsidRPr="00704C3A" w:rsidR="00704C3A">
        <w:rPr>
          <w:lang w:val="nl-NL"/>
        </w:rPr>
        <w:t>VRO</w:t>
      </w:r>
      <w:r w:rsidR="004D2E1C">
        <w:rPr>
          <w:lang w:val="nl-NL"/>
        </w:rPr>
        <w:t>)</w:t>
      </w:r>
      <w:r w:rsidRPr="00704C3A" w:rsidR="00704C3A">
        <w:rPr>
          <w:lang w:val="nl-NL"/>
        </w:rPr>
        <w:t>. Zodra hier meer duidelijkheid over is zal ik uw Kamer hierover informeren. Aangezien de DUMAVA een subsidieregeling is die zich expliciet richt op de verduurzaming van bestaand maatschappelijk vastgoed</w:t>
      </w:r>
      <w:r w:rsidR="00356EDF">
        <w:rPr>
          <w:lang w:val="nl-NL"/>
        </w:rPr>
        <w:t>,</w:t>
      </w:r>
      <w:r w:rsidRPr="00704C3A" w:rsidR="00704C3A">
        <w:rPr>
          <w:lang w:val="nl-NL"/>
        </w:rPr>
        <w:t xml:space="preserve"> is</w:t>
      </w:r>
      <w:r w:rsidR="00356EDF">
        <w:rPr>
          <w:lang w:val="nl-NL"/>
        </w:rPr>
        <w:t xml:space="preserve"> – ondanks het dictum van de motie -</w:t>
      </w:r>
      <w:r w:rsidRPr="00704C3A" w:rsidR="00704C3A">
        <w:rPr>
          <w:lang w:val="nl-NL"/>
        </w:rPr>
        <w:t xml:space="preserve"> een verbreding van de regeling naar nieuwbouw niet aan de orde.</w:t>
      </w:r>
      <w:r w:rsidR="00026486">
        <w:rPr>
          <w:lang w:val="nl-NL"/>
        </w:rPr>
        <w:t xml:space="preserve"> </w:t>
      </w:r>
      <w:r w:rsidRPr="009C186D" w:rsidR="009C186D">
        <w:rPr>
          <w:lang w:val="nl-NL"/>
        </w:rPr>
        <w:t>In de Kamerbrief Beleidsplan toekomstbestendige sportinfrastructuur en ruimte voor sport en bewegen</w:t>
      </w:r>
      <w:r w:rsidR="009C186D">
        <w:rPr>
          <w:rStyle w:val="Voetnootmarkering"/>
          <w:lang w:val="nl-NL"/>
        </w:rPr>
        <w:footnoteReference w:id="5"/>
      </w:r>
      <w:r w:rsidRPr="009C186D" w:rsidR="009C186D">
        <w:rPr>
          <w:lang w:val="nl-NL"/>
        </w:rPr>
        <w:t xml:space="preserve"> heb ik aangegeven hoe ik inzet op het op orde krijgen van de sportinfrastructuur, waaronder de (nieuw)bouw en het onderhoud van sportaccommodaties</w:t>
      </w:r>
      <w:r w:rsidR="009C186D">
        <w:rPr>
          <w:lang w:val="nl-NL"/>
        </w:rPr>
        <w:t>.</w:t>
      </w:r>
    </w:p>
    <w:bookmarkEnd w:id="0"/>
    <w:p w:rsidR="0057236D" w:rsidP="0057236D" w:rsidRDefault="0057236D" w14:paraId="26FD8132" w14:textId="77777777">
      <w:pPr>
        <w:spacing w:after="0" w:line="240" w:lineRule="atLeast"/>
        <w:rPr>
          <w:b/>
          <w:bCs/>
          <w:lang w:val="nl-NL"/>
        </w:rPr>
      </w:pPr>
    </w:p>
    <w:p w:rsidRPr="00767972" w:rsidR="0057236D" w:rsidP="000D76E1" w:rsidRDefault="00CB717A" w14:paraId="75C93397" w14:textId="5581D945">
      <w:pPr>
        <w:pStyle w:val="Kop1"/>
      </w:pPr>
      <w:r>
        <w:t>O</w:t>
      </w:r>
      <w:r w:rsidRPr="00767972" w:rsidR="0057236D">
        <w:t>ntwikkelingen Brede SPUK</w:t>
      </w:r>
    </w:p>
    <w:p w:rsidR="00BD3591" w:rsidP="0057236D" w:rsidRDefault="0057236D" w14:paraId="610536A7" w14:textId="48B95771">
      <w:pPr>
        <w:spacing w:after="0" w:line="240" w:lineRule="atLeast"/>
        <w:rPr>
          <w:lang w:val="nl-NL"/>
        </w:rPr>
      </w:pPr>
      <w:r w:rsidRPr="00767972">
        <w:rPr>
          <w:lang w:val="nl-NL"/>
        </w:rPr>
        <w:t xml:space="preserve">In bijlage </w:t>
      </w:r>
      <w:r w:rsidR="002F6E1B">
        <w:rPr>
          <w:lang w:val="nl-NL"/>
        </w:rPr>
        <w:t>8</w:t>
      </w:r>
      <w:r w:rsidRPr="00767972">
        <w:rPr>
          <w:lang w:val="nl-NL"/>
        </w:rPr>
        <w:t xml:space="preserve"> is de Monitor Brede Regeling Combinatiefuncties</w:t>
      </w:r>
      <w:r w:rsidR="004D2E1C">
        <w:rPr>
          <w:lang w:val="nl-NL"/>
        </w:rPr>
        <w:t xml:space="preserve"> (BRC)</w:t>
      </w:r>
      <w:r w:rsidRPr="00767972">
        <w:rPr>
          <w:lang w:val="nl-NL"/>
        </w:rPr>
        <w:t xml:space="preserve"> 2024 opgenomen. </w:t>
      </w:r>
      <w:r w:rsidR="00BD3591">
        <w:rPr>
          <w:lang w:val="nl-NL"/>
        </w:rPr>
        <w:t>Evenals een verdieping op het profiel cultuurcoach</w:t>
      </w:r>
      <w:r w:rsidR="0099427D">
        <w:rPr>
          <w:lang w:val="nl-NL"/>
        </w:rPr>
        <w:t xml:space="preserve"> (bijlage 8A)</w:t>
      </w:r>
      <w:r w:rsidR="00BD3591">
        <w:rPr>
          <w:lang w:val="nl-NL"/>
        </w:rPr>
        <w:t xml:space="preserve">, het profiel combinatiefunctionaris onderwijs </w:t>
      </w:r>
      <w:r w:rsidR="0099427D">
        <w:rPr>
          <w:lang w:val="nl-NL"/>
        </w:rPr>
        <w:t xml:space="preserve">(8B) </w:t>
      </w:r>
      <w:r w:rsidR="00BD3591">
        <w:rPr>
          <w:lang w:val="nl-NL"/>
        </w:rPr>
        <w:t xml:space="preserve">en een </w:t>
      </w:r>
      <w:proofErr w:type="spellStart"/>
      <w:r w:rsidR="00BD3591">
        <w:rPr>
          <w:lang w:val="nl-NL"/>
        </w:rPr>
        <w:t>factsheet</w:t>
      </w:r>
      <w:proofErr w:type="spellEnd"/>
      <w:r w:rsidR="00BD3591">
        <w:rPr>
          <w:lang w:val="nl-NL"/>
        </w:rPr>
        <w:t xml:space="preserve"> welke een update geeft over de afbouw van de inzet van vakleerkrachten vanuit de BRC-regeling</w:t>
      </w:r>
      <w:r w:rsidR="0099427D">
        <w:rPr>
          <w:lang w:val="nl-NL"/>
        </w:rPr>
        <w:t xml:space="preserve"> (8C)</w:t>
      </w:r>
      <w:r w:rsidR="00BD3591">
        <w:rPr>
          <w:lang w:val="nl-NL"/>
        </w:rPr>
        <w:t xml:space="preserve">. </w:t>
      </w:r>
    </w:p>
    <w:p w:rsidR="0057236D" w:rsidP="0057236D" w:rsidRDefault="0057236D" w14:paraId="42CD2C41" w14:textId="494E6F00">
      <w:pPr>
        <w:spacing w:after="0" w:line="240" w:lineRule="atLeast"/>
        <w:rPr>
          <w:lang w:val="nl-NL"/>
        </w:rPr>
      </w:pPr>
      <w:r w:rsidRPr="00767972">
        <w:rPr>
          <w:lang w:val="nl-NL"/>
        </w:rPr>
        <w:lastRenderedPageBreak/>
        <w:t>Gemeenten ontvangen tot en met 2026 de B</w:t>
      </w:r>
      <w:r>
        <w:rPr>
          <w:lang w:val="nl-NL"/>
        </w:rPr>
        <w:t>r</w:t>
      </w:r>
      <w:r w:rsidRPr="00767972">
        <w:rPr>
          <w:lang w:val="nl-NL"/>
        </w:rPr>
        <w:t xml:space="preserve">ede </w:t>
      </w:r>
      <w:r w:rsidR="003972A1">
        <w:rPr>
          <w:lang w:val="nl-NL"/>
        </w:rPr>
        <w:t>Subsidies Specifieke uitkeringen (</w:t>
      </w:r>
      <w:r w:rsidRPr="00767972">
        <w:rPr>
          <w:lang w:val="nl-NL"/>
        </w:rPr>
        <w:t>SPUK</w:t>
      </w:r>
      <w:r w:rsidR="003972A1">
        <w:rPr>
          <w:lang w:val="nl-NL"/>
        </w:rPr>
        <w:t>)</w:t>
      </w:r>
      <w:r w:rsidRPr="00767972">
        <w:rPr>
          <w:lang w:val="nl-NL"/>
        </w:rPr>
        <w:t xml:space="preserve"> om hen te equiperen taken uit het GALA, Sportakkoord II en</w:t>
      </w:r>
      <w:r w:rsidR="00026486">
        <w:rPr>
          <w:lang w:val="nl-NL"/>
        </w:rPr>
        <w:t xml:space="preserve"> de</w:t>
      </w:r>
      <w:r w:rsidRPr="00767972">
        <w:rPr>
          <w:lang w:val="nl-NL"/>
        </w:rPr>
        <w:t xml:space="preserve"> BRC-regeling uit te voeren. De brede SPUK is onlangs vereenvoudigd om administratieve kosten en lasten te verminderen, waardoor gemeenten niet meer over 15 programma’s apart verantwoorden, maar over de besteding van het totale budget</w:t>
      </w:r>
      <w:r w:rsidR="00390BC3">
        <w:rPr>
          <w:lang w:val="nl-NL"/>
        </w:rPr>
        <w:t>.</w:t>
      </w:r>
      <w:r>
        <w:rPr>
          <w:rStyle w:val="Voetnootmarkering"/>
          <w:lang w:val="nl-NL"/>
        </w:rPr>
        <w:footnoteReference w:id="6"/>
      </w:r>
      <w:r w:rsidR="00390BC3">
        <w:rPr>
          <w:lang w:val="nl-NL"/>
        </w:rPr>
        <w:t xml:space="preserve"> </w:t>
      </w:r>
      <w:r w:rsidRPr="00767972">
        <w:rPr>
          <w:lang w:val="nl-NL"/>
        </w:rPr>
        <w:t>Voor 2027 en verder bekijk ik opnieuw wat het meest passende (financiële) instrument is. Hiermee</w:t>
      </w:r>
      <w:r w:rsidR="00D321EA">
        <w:rPr>
          <w:lang w:val="nl-NL"/>
        </w:rPr>
        <w:t xml:space="preserve"> geef ik een jaarlijkse voortgang over de ontwikkelingen en vorderingen in de Brede SPUK, conform de toezegging aan uw Kamer</w:t>
      </w:r>
      <w:r w:rsidR="00390BC3">
        <w:rPr>
          <w:lang w:val="nl-NL"/>
        </w:rPr>
        <w:t>.</w:t>
      </w:r>
      <w:r>
        <w:rPr>
          <w:rStyle w:val="Voetnootmarkering"/>
          <w:lang w:val="nl-NL"/>
        </w:rPr>
        <w:footnoteReference w:id="7"/>
      </w:r>
    </w:p>
    <w:p w:rsidR="0057236D" w:rsidP="0057236D" w:rsidRDefault="0057236D" w14:paraId="266EF674" w14:textId="77777777">
      <w:pPr>
        <w:spacing w:after="0" w:line="240" w:lineRule="atLeast"/>
        <w:rPr>
          <w:lang w:val="nl-NL"/>
        </w:rPr>
      </w:pPr>
    </w:p>
    <w:p w:rsidR="005760A9" w:rsidP="000D76E1" w:rsidRDefault="005760A9" w14:paraId="08E73AB3" w14:textId="673005CC">
      <w:pPr>
        <w:pStyle w:val="Kop1"/>
      </w:pPr>
      <w:r>
        <w:t>Afronding eindevaluatie steunpakketten voor de sportsector</w:t>
      </w:r>
    </w:p>
    <w:p w:rsidRPr="00390BC3" w:rsidR="005760A9" w:rsidP="00390BC3" w:rsidRDefault="005760A9" w14:paraId="51F4A50F" w14:textId="1D14A12D">
      <w:pPr>
        <w:rPr>
          <w:lang w:val="nl-NL"/>
        </w:rPr>
      </w:pPr>
      <w:r w:rsidRPr="003972A1">
        <w:rPr>
          <w:lang w:val="nl-NL"/>
        </w:rPr>
        <w:t>Zoals toegezegd</w:t>
      </w:r>
      <w:r w:rsidRPr="003972A1">
        <w:rPr>
          <w:rStyle w:val="Voetnootmarkering"/>
          <w:lang w:val="nl-NL"/>
        </w:rPr>
        <w:footnoteReference w:id="8"/>
      </w:r>
      <w:r w:rsidRPr="003972A1">
        <w:rPr>
          <w:lang w:val="nl-NL"/>
        </w:rPr>
        <w:t xml:space="preserve"> in de Kamerbrief van 28 november 2024</w:t>
      </w:r>
      <w:r w:rsidRPr="003972A1">
        <w:rPr>
          <w:rStyle w:val="Voetnootmarkering"/>
          <w:lang w:val="nl-NL"/>
        </w:rPr>
        <w:footnoteReference w:id="9"/>
      </w:r>
      <w:r w:rsidRPr="003972A1">
        <w:rPr>
          <w:lang w:val="nl-NL"/>
        </w:rPr>
        <w:t xml:space="preserve"> worden de uitkomsten van de eindevaluatie van het steunpakket STIK-regeling</w:t>
      </w:r>
      <w:r w:rsidR="007E1593">
        <w:rPr>
          <w:rStyle w:val="Voetnootmarkering"/>
          <w:lang w:val="nl-NL"/>
        </w:rPr>
        <w:footnoteReference w:id="10"/>
      </w:r>
      <w:r w:rsidRPr="003972A1">
        <w:rPr>
          <w:lang w:val="nl-NL"/>
        </w:rPr>
        <w:t xml:space="preserve"> voor de sport in het kader van de coronacrisis met </w:t>
      </w:r>
      <w:r w:rsidR="006A5476">
        <w:rPr>
          <w:lang w:val="nl-NL"/>
        </w:rPr>
        <w:t>uw</w:t>
      </w:r>
      <w:r w:rsidRPr="003972A1">
        <w:rPr>
          <w:lang w:val="nl-NL"/>
        </w:rPr>
        <w:t xml:space="preserve"> Kamer gedeeld (</w:t>
      </w:r>
      <w:r w:rsidR="002F6E1B">
        <w:rPr>
          <w:lang w:val="nl-NL"/>
        </w:rPr>
        <w:t>zie</w:t>
      </w:r>
      <w:r w:rsidRPr="003972A1">
        <w:rPr>
          <w:lang w:val="nl-NL"/>
        </w:rPr>
        <w:t xml:space="preserve"> bijlage</w:t>
      </w:r>
      <w:r w:rsidR="002F6E1B">
        <w:rPr>
          <w:lang w:val="nl-NL"/>
        </w:rPr>
        <w:t xml:space="preserve"> </w:t>
      </w:r>
      <w:r w:rsidR="00B22C14">
        <w:rPr>
          <w:lang w:val="nl-NL"/>
        </w:rPr>
        <w:t>1</w:t>
      </w:r>
      <w:r w:rsidR="00D25507">
        <w:rPr>
          <w:lang w:val="nl-NL"/>
        </w:rPr>
        <w:t>0</w:t>
      </w:r>
      <w:r w:rsidRPr="003972A1">
        <w:rPr>
          <w:lang w:val="nl-NL"/>
        </w:rPr>
        <w:t xml:space="preserve">). De toezegging beschouw ik hiermee als afgedaan. </w:t>
      </w:r>
    </w:p>
    <w:p w:rsidRPr="00C0341D" w:rsidR="00C0341D" w:rsidP="000D76E1" w:rsidRDefault="00CB717A" w14:paraId="6E972411" w14:textId="29C3A744">
      <w:pPr>
        <w:pStyle w:val="Kop1"/>
      </w:pPr>
      <w:r>
        <w:t>O</w:t>
      </w:r>
      <w:r w:rsidRPr="00C0341D" w:rsidR="00C0341D">
        <w:t>rganisatiekracht van de topsport</w:t>
      </w:r>
    </w:p>
    <w:p w:rsidR="00C0341D" w:rsidP="0057236D" w:rsidRDefault="00C0341D" w14:paraId="1B144BD4" w14:textId="2A5F8CD3">
      <w:pPr>
        <w:spacing w:after="0" w:line="240" w:lineRule="atLeast"/>
        <w:rPr>
          <w:lang w:val="nl-NL"/>
        </w:rPr>
      </w:pPr>
      <w:r w:rsidRPr="00C0341D">
        <w:rPr>
          <w:lang w:val="nl-NL"/>
        </w:rPr>
        <w:t xml:space="preserve">Op 18 juni jl. heeft mijn ambtsvoorganger aan uw Kamer </w:t>
      </w:r>
      <w:r w:rsidR="004D2E1C">
        <w:rPr>
          <w:lang w:val="nl-NL"/>
        </w:rPr>
        <w:t>toegezegd</w:t>
      </w:r>
      <w:r w:rsidR="00302BEE">
        <w:rPr>
          <w:rStyle w:val="Voetnootmarkering"/>
        </w:rPr>
        <w:footnoteReference w:id="11"/>
      </w:r>
      <w:r w:rsidRPr="00C0341D">
        <w:rPr>
          <w:lang w:val="nl-NL"/>
        </w:rPr>
        <w:t xml:space="preserve"> op korte termijn </w:t>
      </w:r>
      <w:r w:rsidR="004D2E1C">
        <w:rPr>
          <w:lang w:val="nl-NL"/>
        </w:rPr>
        <w:t>in</w:t>
      </w:r>
      <w:r w:rsidRPr="00C0341D" w:rsidR="004D2E1C">
        <w:rPr>
          <w:lang w:val="nl-NL"/>
        </w:rPr>
        <w:t xml:space="preserve"> </w:t>
      </w:r>
      <w:r w:rsidRPr="00C0341D">
        <w:rPr>
          <w:lang w:val="nl-NL"/>
        </w:rPr>
        <w:t xml:space="preserve">gesprek </w:t>
      </w:r>
      <w:r w:rsidR="004D2E1C">
        <w:rPr>
          <w:lang w:val="nl-NL"/>
        </w:rPr>
        <w:t xml:space="preserve">te gaan </w:t>
      </w:r>
      <w:r w:rsidRPr="00C0341D">
        <w:rPr>
          <w:lang w:val="nl-NL"/>
        </w:rPr>
        <w:t>met de sportsector over hun organisatiekracht</w:t>
      </w:r>
      <w:r w:rsidR="00390BC3">
        <w:rPr>
          <w:lang w:val="nl-NL"/>
        </w:rPr>
        <w:t>.</w:t>
      </w:r>
      <w:r w:rsidRPr="00C0341D">
        <w:rPr>
          <w:lang w:val="nl-NL"/>
        </w:rPr>
        <w:t xml:space="preserve"> Dit gesprek is toegezegd aan uw Kamer naar aanleiding van de constatering van de Nederlandse Sportraad dat het merendeel van de Nederlandse topsportorganisaties niet over de noodzakelijke kennis en organisatiekracht beschikt om topsport adequaat te organiseren</w:t>
      </w:r>
      <w:r w:rsidR="00390BC3">
        <w:rPr>
          <w:lang w:val="nl-NL"/>
        </w:rPr>
        <w:t>.</w:t>
      </w:r>
      <w:r>
        <w:rPr>
          <w:rStyle w:val="Voetnootmarkering"/>
        </w:rPr>
        <w:footnoteReference w:id="12"/>
      </w:r>
    </w:p>
    <w:p w:rsidR="00F5256E" w:rsidP="0057236D" w:rsidRDefault="00F5256E" w14:paraId="1DF6836C" w14:textId="77777777">
      <w:pPr>
        <w:spacing w:after="0" w:line="240" w:lineRule="atLeast"/>
        <w:rPr>
          <w:lang w:val="nl-NL"/>
        </w:rPr>
      </w:pPr>
    </w:p>
    <w:p w:rsidR="00C0341D" w:rsidP="0057236D" w:rsidRDefault="00C0341D" w14:paraId="1DF5825E" w14:textId="103DE034">
      <w:pPr>
        <w:spacing w:after="0" w:line="240" w:lineRule="atLeast"/>
        <w:rPr>
          <w:lang w:val="nl-NL"/>
        </w:rPr>
      </w:pPr>
      <w:r w:rsidRPr="00C0341D">
        <w:rPr>
          <w:lang w:val="nl-NL"/>
        </w:rPr>
        <w:t>Uit het gesprek kwam het volgende naar voren. De aanwezige sportbonden herkenden de bevindingen van de Nederlandse Sportraad: de druk op topsportorganisaties is de laatste jaren toegenomen. Het maatschappelijk speelveld is veranderd en de eisen die aan de organisatie van topsport worden gesteld zijn hoger geworden. Bijvoorbeeld op het gebied van (sociale) veiligheid en integriteit. De organisatie en financiering van topsport zijn complexer geworden en dit vraagt nieuwe competities en organisatievormen. De sport is nu zelf aan zet om hier een passend antwoord op te vinden. NOC*NSF en de bonden pakken dit op. De</w:t>
      </w:r>
      <w:r w:rsidR="0097186C">
        <w:rPr>
          <w:lang w:val="nl-NL"/>
        </w:rPr>
        <w:t>ze</w:t>
      </w:r>
      <w:r w:rsidRPr="00C0341D">
        <w:rPr>
          <w:lang w:val="nl-NL"/>
        </w:rPr>
        <w:t xml:space="preserve"> </w:t>
      </w:r>
      <w:r w:rsidR="0097186C">
        <w:rPr>
          <w:lang w:val="nl-NL"/>
        </w:rPr>
        <w:t xml:space="preserve">ontwikkelingen </w:t>
      </w:r>
      <w:r w:rsidRPr="00C0341D">
        <w:rPr>
          <w:lang w:val="nl-NL"/>
        </w:rPr>
        <w:t>word</w:t>
      </w:r>
      <w:r w:rsidR="0097186C">
        <w:rPr>
          <w:lang w:val="nl-NL"/>
        </w:rPr>
        <w:t>en</w:t>
      </w:r>
      <w:r w:rsidRPr="00C0341D">
        <w:rPr>
          <w:lang w:val="nl-NL"/>
        </w:rPr>
        <w:t xml:space="preserve"> regelmatig besproken </w:t>
      </w:r>
      <w:r w:rsidR="0097186C">
        <w:rPr>
          <w:lang w:val="nl-NL"/>
        </w:rPr>
        <w:t>tijdens</w:t>
      </w:r>
      <w:r w:rsidRPr="00C0341D" w:rsidR="0097186C">
        <w:rPr>
          <w:lang w:val="nl-NL"/>
        </w:rPr>
        <w:t xml:space="preserve"> </w:t>
      </w:r>
      <w:r w:rsidRPr="00C0341D">
        <w:rPr>
          <w:lang w:val="nl-NL"/>
        </w:rPr>
        <w:t xml:space="preserve">de </w:t>
      </w:r>
      <w:proofErr w:type="spellStart"/>
      <w:r w:rsidR="00ED740B">
        <w:rPr>
          <w:lang w:val="nl-NL"/>
        </w:rPr>
        <w:t>voortgangs</w:t>
      </w:r>
      <w:r w:rsidRPr="00C0341D">
        <w:rPr>
          <w:lang w:val="nl-NL"/>
        </w:rPr>
        <w:t>overleggen</w:t>
      </w:r>
      <w:proofErr w:type="spellEnd"/>
      <w:r w:rsidRPr="00C0341D">
        <w:rPr>
          <w:lang w:val="nl-NL"/>
        </w:rPr>
        <w:t xml:space="preserve"> over de implementatie van het strategisch kader topsport</w:t>
      </w:r>
      <w:r w:rsidR="006309B5">
        <w:rPr>
          <w:lang w:val="nl-NL"/>
        </w:rPr>
        <w:t>.</w:t>
      </w:r>
      <w:r w:rsidR="00ED740B">
        <w:rPr>
          <w:lang w:val="nl-NL"/>
        </w:rPr>
        <w:t xml:space="preserve"> </w:t>
      </w:r>
      <w:r w:rsidRPr="00C0341D" w:rsidR="00ED740B">
        <w:rPr>
          <w:lang w:val="nl-NL"/>
        </w:rPr>
        <w:t>De toezegging doe ik hierbij af</w:t>
      </w:r>
      <w:r w:rsidR="00ED740B">
        <w:rPr>
          <w:lang w:val="nl-NL"/>
        </w:rPr>
        <w:t>.</w:t>
      </w:r>
      <w:r w:rsidR="0001542E">
        <w:rPr>
          <w:lang w:val="nl-NL"/>
        </w:rPr>
        <w:br/>
      </w:r>
    </w:p>
    <w:p w:rsidR="00512AE0" w:rsidP="000D76E1" w:rsidRDefault="00512AE0" w14:paraId="67242EB6" w14:textId="45C84A4A">
      <w:pPr>
        <w:pStyle w:val="Kop1"/>
      </w:pPr>
      <w:r w:rsidRPr="002A52CF">
        <w:t xml:space="preserve">Reactie rapportage Topsport in Nederland </w:t>
      </w:r>
    </w:p>
    <w:p w:rsidR="00512AE0" w:rsidP="00512AE0" w:rsidRDefault="00512AE0" w14:paraId="7220E46A" w14:textId="796469BF">
      <w:pPr>
        <w:spacing w:after="0" w:line="240" w:lineRule="atLeast"/>
        <w:rPr>
          <w:lang w:val="nl-NL"/>
        </w:rPr>
      </w:pPr>
      <w:r w:rsidRPr="002A52CF">
        <w:rPr>
          <w:lang w:val="nl-NL"/>
        </w:rPr>
        <w:t>Zoals toegezegd</w:t>
      </w:r>
      <w:r>
        <w:rPr>
          <w:rStyle w:val="Voetnootmarkering"/>
          <w:lang w:val="nl-NL"/>
        </w:rPr>
        <w:footnoteReference w:id="13"/>
      </w:r>
      <w:r w:rsidRPr="002A52CF">
        <w:rPr>
          <w:lang w:val="nl-NL"/>
        </w:rPr>
        <w:t xml:space="preserve"> reageer ik</w:t>
      </w:r>
      <w:r>
        <w:rPr>
          <w:lang w:val="nl-NL"/>
        </w:rPr>
        <w:t xml:space="preserve"> jaarlijks</w:t>
      </w:r>
      <w:r w:rsidRPr="002A52CF">
        <w:rPr>
          <w:lang w:val="nl-NL"/>
        </w:rPr>
        <w:t xml:space="preserve"> op de rapportage Topsport in Nederland (</w:t>
      </w:r>
      <w:proofErr w:type="spellStart"/>
      <w:r w:rsidRPr="002A52CF">
        <w:rPr>
          <w:lang w:val="nl-NL"/>
        </w:rPr>
        <w:t>TiN</w:t>
      </w:r>
      <w:proofErr w:type="spellEnd"/>
      <w:r w:rsidRPr="002A52CF">
        <w:rPr>
          <w:lang w:val="nl-NL"/>
        </w:rPr>
        <w:t xml:space="preserve">) van het </w:t>
      </w:r>
      <w:proofErr w:type="spellStart"/>
      <w:r w:rsidRPr="002A52CF">
        <w:rPr>
          <w:lang w:val="nl-NL"/>
        </w:rPr>
        <w:t>Mulier</w:t>
      </w:r>
      <w:proofErr w:type="spellEnd"/>
      <w:r w:rsidRPr="002A52CF">
        <w:rPr>
          <w:lang w:val="nl-NL"/>
        </w:rPr>
        <w:t xml:space="preserve"> Instituut</w:t>
      </w:r>
      <w:r w:rsidR="00797528">
        <w:rPr>
          <w:lang w:val="nl-NL"/>
        </w:rPr>
        <w:t>.</w:t>
      </w:r>
      <w:r w:rsidR="002D068C">
        <w:rPr>
          <w:rStyle w:val="Voetnootmarkering"/>
          <w:lang w:val="nl-NL"/>
        </w:rPr>
        <w:footnoteReference w:id="14"/>
      </w:r>
      <w:r w:rsidR="00797528">
        <w:rPr>
          <w:lang w:val="nl-NL"/>
        </w:rPr>
        <w:t xml:space="preserve"> </w:t>
      </w:r>
      <w:r w:rsidRPr="004D4E68" w:rsidR="004D4E68">
        <w:rPr>
          <w:lang w:val="nl-NL"/>
        </w:rPr>
        <w:t>De rapportage die jaarlijks verschijn</w:t>
      </w:r>
      <w:r w:rsidR="00BA4CA9">
        <w:rPr>
          <w:lang w:val="nl-NL"/>
        </w:rPr>
        <w:t>t,</w:t>
      </w:r>
      <w:r w:rsidR="00797528">
        <w:rPr>
          <w:lang w:val="nl-NL"/>
        </w:rPr>
        <w:t xml:space="preserve"> </w:t>
      </w:r>
      <w:r w:rsidRPr="004D4E68" w:rsidR="004D4E68">
        <w:rPr>
          <w:lang w:val="nl-NL"/>
        </w:rPr>
        <w:t xml:space="preserve">bevat een beschrijving van de belangrijkste ontwikkelingen in de Nederlandse topsport. Het </w:t>
      </w:r>
      <w:proofErr w:type="spellStart"/>
      <w:r w:rsidRPr="004D4E68" w:rsidR="004D4E68">
        <w:rPr>
          <w:lang w:val="nl-NL"/>
        </w:rPr>
        <w:t>Mulier</w:t>
      </w:r>
      <w:proofErr w:type="spellEnd"/>
      <w:r w:rsidRPr="004D4E68" w:rsidR="004D4E68">
        <w:rPr>
          <w:lang w:val="nl-NL"/>
        </w:rPr>
        <w:t xml:space="preserve"> Instituut verzamelt de data daarvoor in oneven jaren bij organisaties die de ‘topsportomgeving’ vormen (zoals de Team-NL centra en gemeenten) en in de even jaren onder doelgroepen in de ‘topsport’ (zoals </w:t>
      </w:r>
      <w:r w:rsidR="004D4E68">
        <w:rPr>
          <w:lang w:val="nl-NL"/>
        </w:rPr>
        <w:t>talenten, (voormalig) top</w:t>
      </w:r>
      <w:r w:rsidRPr="004D4E68" w:rsidR="004D4E68">
        <w:rPr>
          <w:lang w:val="nl-NL"/>
        </w:rPr>
        <w:t xml:space="preserve">sporters, coaches en bonden). Deze dataverzameling leidt tot een </w:t>
      </w:r>
      <w:proofErr w:type="spellStart"/>
      <w:r w:rsidRPr="004D4E68" w:rsidR="004D4E68">
        <w:rPr>
          <w:lang w:val="nl-NL"/>
        </w:rPr>
        <w:t>TiN</w:t>
      </w:r>
      <w:proofErr w:type="spellEnd"/>
      <w:r w:rsidRPr="004D4E68" w:rsidR="004D4E68">
        <w:rPr>
          <w:lang w:val="nl-NL"/>
        </w:rPr>
        <w:t xml:space="preserve">-rapportage die het daaropvolgende jaar wordt gepubliceerd door het </w:t>
      </w:r>
      <w:proofErr w:type="spellStart"/>
      <w:r w:rsidRPr="004D4E68" w:rsidR="004D4E68">
        <w:rPr>
          <w:lang w:val="nl-NL"/>
        </w:rPr>
        <w:t>Mulier</w:t>
      </w:r>
      <w:proofErr w:type="spellEnd"/>
      <w:r w:rsidRPr="004D4E68" w:rsidR="004D4E68">
        <w:rPr>
          <w:lang w:val="nl-NL"/>
        </w:rPr>
        <w:t xml:space="preserve"> Instituut.</w:t>
      </w:r>
      <w:r w:rsidR="00797528">
        <w:rPr>
          <w:lang w:val="nl-NL"/>
        </w:rPr>
        <w:t xml:space="preserve"> </w:t>
      </w:r>
      <w:r>
        <w:rPr>
          <w:lang w:val="nl-NL"/>
        </w:rPr>
        <w:t>In de publicatie van 2025 word</w:t>
      </w:r>
      <w:r w:rsidR="00ED740B">
        <w:rPr>
          <w:lang w:val="nl-NL"/>
        </w:rPr>
        <w:t>t</w:t>
      </w:r>
      <w:r>
        <w:rPr>
          <w:lang w:val="nl-NL"/>
        </w:rPr>
        <w:t xml:space="preserve"> gerapporteerd </w:t>
      </w:r>
      <w:r w:rsidR="00ED740B">
        <w:rPr>
          <w:lang w:val="nl-NL"/>
        </w:rPr>
        <w:t xml:space="preserve">over data </w:t>
      </w:r>
      <w:r>
        <w:rPr>
          <w:lang w:val="nl-NL"/>
        </w:rPr>
        <w:t xml:space="preserve">die zijn uitgevraagd bij </w:t>
      </w:r>
      <w:bookmarkStart w:name="_Hlk213679542" w:id="1"/>
      <w:r w:rsidR="004D4E68">
        <w:rPr>
          <w:lang w:val="nl-NL"/>
        </w:rPr>
        <w:t>de topsportdoelgroepen</w:t>
      </w:r>
      <w:bookmarkEnd w:id="1"/>
      <w:r>
        <w:rPr>
          <w:lang w:val="nl-NL"/>
        </w:rPr>
        <w:t>.</w:t>
      </w:r>
    </w:p>
    <w:p w:rsidR="00512AE0" w:rsidP="00512AE0" w:rsidRDefault="00512AE0" w14:paraId="72E7B0B7" w14:textId="77777777">
      <w:pPr>
        <w:spacing w:after="0" w:line="240" w:lineRule="atLeast"/>
        <w:rPr>
          <w:lang w:val="nl-NL"/>
        </w:rPr>
      </w:pPr>
    </w:p>
    <w:p w:rsidR="00636955" w:rsidP="00512AE0" w:rsidRDefault="00512AE0" w14:paraId="0BF864A8" w14:textId="70A53988">
      <w:pPr>
        <w:spacing w:after="0" w:line="240" w:lineRule="atLeast"/>
        <w:rPr>
          <w:lang w:val="nl-NL"/>
        </w:rPr>
      </w:pPr>
      <w:r w:rsidRPr="00F5256E">
        <w:rPr>
          <w:lang w:val="nl-NL"/>
        </w:rPr>
        <w:t>De</w:t>
      </w:r>
      <w:r w:rsidR="004D4E68">
        <w:rPr>
          <w:lang w:val="nl-NL"/>
        </w:rPr>
        <w:t>ze</w:t>
      </w:r>
      <w:r w:rsidRPr="00F5256E">
        <w:rPr>
          <w:lang w:val="nl-NL"/>
        </w:rPr>
        <w:t xml:space="preserve"> </w:t>
      </w:r>
      <w:proofErr w:type="spellStart"/>
      <w:r w:rsidR="00ED740B">
        <w:rPr>
          <w:lang w:val="nl-NL"/>
        </w:rPr>
        <w:t>TiN</w:t>
      </w:r>
      <w:proofErr w:type="spellEnd"/>
      <w:r w:rsidR="00ED740B">
        <w:rPr>
          <w:lang w:val="nl-NL"/>
        </w:rPr>
        <w:t>-</w:t>
      </w:r>
      <w:r w:rsidRPr="00F5256E">
        <w:rPr>
          <w:i/>
          <w:iCs/>
          <w:lang w:val="nl-NL"/>
        </w:rPr>
        <w:t xml:space="preserve">rapportage </w:t>
      </w:r>
      <w:r w:rsidRPr="00C57008">
        <w:rPr>
          <w:lang w:val="nl-NL"/>
        </w:rPr>
        <w:t>schetst een overwegend positief beeld van de huidige stand van de Nederlandse topsport. De maatschappelijke waardering voor topsport is licht toegenomen en sporters en coaches beoordelen h</w:t>
      </w:r>
      <w:r>
        <w:rPr>
          <w:lang w:val="nl-NL"/>
        </w:rPr>
        <w:t>et</w:t>
      </w:r>
      <w:r w:rsidRPr="00C57008">
        <w:rPr>
          <w:lang w:val="nl-NL"/>
        </w:rPr>
        <w:t xml:space="preserve"> </w:t>
      </w:r>
      <w:r>
        <w:rPr>
          <w:lang w:val="nl-NL"/>
        </w:rPr>
        <w:t>top</w:t>
      </w:r>
      <w:r w:rsidRPr="00C57008">
        <w:rPr>
          <w:lang w:val="nl-NL"/>
        </w:rPr>
        <w:t xml:space="preserve">sportklimaat beter dan in voorgaande jaren. Verder komt naar voren dat topsporters zich bewust zijn van hun maatschappelijke rol en hier actief invulling aan geven. Het stabiele </w:t>
      </w:r>
      <w:r w:rsidR="004D2E1C">
        <w:rPr>
          <w:lang w:val="nl-NL"/>
        </w:rPr>
        <w:t>niveau van media-aandacht</w:t>
      </w:r>
      <w:r w:rsidRPr="00C57008" w:rsidR="004D2E1C">
        <w:rPr>
          <w:lang w:val="nl-NL"/>
        </w:rPr>
        <w:t xml:space="preserve"> </w:t>
      </w:r>
      <w:r w:rsidRPr="00C57008">
        <w:rPr>
          <w:lang w:val="nl-NL"/>
        </w:rPr>
        <w:t xml:space="preserve">en de betrokkenheid van het publiek tonen aan dat topsport een vaste en gewaardeerde plaats </w:t>
      </w:r>
      <w:r>
        <w:rPr>
          <w:lang w:val="nl-NL"/>
        </w:rPr>
        <w:t>heeft</w:t>
      </w:r>
      <w:r w:rsidRPr="00C57008">
        <w:rPr>
          <w:lang w:val="nl-NL"/>
        </w:rPr>
        <w:t xml:space="preserve"> binnen de Nederlandse samenleving.</w:t>
      </w:r>
      <w:r>
        <w:rPr>
          <w:lang w:val="nl-NL"/>
        </w:rPr>
        <w:t xml:space="preserve"> </w:t>
      </w:r>
      <w:r w:rsidR="00636955">
        <w:rPr>
          <w:lang w:val="nl-NL"/>
        </w:rPr>
        <w:t xml:space="preserve">Ik vind dit mooie resultaten </w:t>
      </w:r>
      <w:r w:rsidR="00ED740B">
        <w:rPr>
          <w:lang w:val="nl-NL"/>
        </w:rPr>
        <w:t>en ik</w:t>
      </w:r>
      <w:r w:rsidR="00636955">
        <w:rPr>
          <w:lang w:val="nl-NL"/>
        </w:rPr>
        <w:t xml:space="preserve"> hoop dat deze resultaten zich richting toekomst zullen vertalen in een verder opwaartse lijn. Samen met de partners van het strategisch kader topsport </w:t>
      </w:r>
      <w:r w:rsidR="0072164E">
        <w:rPr>
          <w:lang w:val="nl-NL"/>
        </w:rPr>
        <w:t>blijf</w:t>
      </w:r>
      <w:r w:rsidR="00636955">
        <w:rPr>
          <w:lang w:val="nl-NL"/>
        </w:rPr>
        <w:t xml:space="preserve"> ik mij </w:t>
      </w:r>
      <w:r w:rsidR="0072164E">
        <w:rPr>
          <w:lang w:val="nl-NL"/>
        </w:rPr>
        <w:t>daarvoor</w:t>
      </w:r>
      <w:r w:rsidR="00636955">
        <w:rPr>
          <w:lang w:val="nl-NL"/>
        </w:rPr>
        <w:t xml:space="preserve"> in</w:t>
      </w:r>
      <w:r w:rsidR="0072164E">
        <w:rPr>
          <w:lang w:val="nl-NL"/>
        </w:rPr>
        <w:t>zetten</w:t>
      </w:r>
      <w:r w:rsidR="00636955">
        <w:rPr>
          <w:lang w:val="nl-NL"/>
        </w:rPr>
        <w:t>.</w:t>
      </w:r>
    </w:p>
    <w:p w:rsidR="00636955" w:rsidP="00512AE0" w:rsidRDefault="00636955" w14:paraId="7C61A0DC" w14:textId="77777777">
      <w:pPr>
        <w:spacing w:after="0" w:line="240" w:lineRule="atLeast"/>
        <w:rPr>
          <w:lang w:val="nl-NL"/>
        </w:rPr>
      </w:pPr>
    </w:p>
    <w:p w:rsidR="001423FF" w:rsidP="004D4E68" w:rsidRDefault="0072164E" w14:paraId="5AB35BDF" w14:textId="77777777">
      <w:pPr>
        <w:spacing w:after="0" w:line="240" w:lineRule="atLeast"/>
        <w:rPr>
          <w:lang w:val="nl-NL"/>
        </w:rPr>
      </w:pPr>
      <w:r w:rsidRPr="0072164E">
        <w:rPr>
          <w:lang w:val="nl-NL"/>
        </w:rPr>
        <w:lastRenderedPageBreak/>
        <w:t>In</w:t>
      </w:r>
      <w:r>
        <w:rPr>
          <w:lang w:val="nl-NL"/>
        </w:rPr>
        <w:t xml:space="preserve"> deze</w:t>
      </w:r>
      <w:r w:rsidRPr="0072164E">
        <w:rPr>
          <w:lang w:val="nl-NL"/>
        </w:rPr>
        <w:t xml:space="preserve"> rapportage is specifiek aan</w:t>
      </w:r>
      <w:r>
        <w:rPr>
          <w:lang w:val="nl-NL"/>
        </w:rPr>
        <w:t xml:space="preserve">dacht besteed aan sociale veiligheid binnen de topsport. Ik vind het belangrijk dat hier structureel aandacht voor is, met name als het gaat om de ervaringen en </w:t>
      </w:r>
    </w:p>
    <w:p w:rsidR="001423FF" w:rsidP="004D4E68" w:rsidRDefault="001423FF" w14:paraId="6099B268" w14:textId="77777777">
      <w:pPr>
        <w:spacing w:after="0" w:line="240" w:lineRule="atLeast"/>
        <w:rPr>
          <w:lang w:val="nl-NL"/>
        </w:rPr>
      </w:pPr>
    </w:p>
    <w:p w:rsidR="00636955" w:rsidP="004D4E68" w:rsidRDefault="0072164E" w14:paraId="602C178D" w14:textId="2DD85DF8">
      <w:pPr>
        <w:spacing w:after="0" w:line="240" w:lineRule="atLeast"/>
        <w:rPr>
          <w:lang w:val="nl-NL"/>
        </w:rPr>
      </w:pPr>
      <w:r>
        <w:rPr>
          <w:lang w:val="nl-NL"/>
        </w:rPr>
        <w:t xml:space="preserve">meningen onder topsporters en coaches. </w:t>
      </w:r>
      <w:r w:rsidR="004D4E68">
        <w:rPr>
          <w:lang w:val="nl-NL"/>
        </w:rPr>
        <w:t>Er wordt</w:t>
      </w:r>
      <w:r>
        <w:rPr>
          <w:lang w:val="nl-NL"/>
        </w:rPr>
        <w:t xml:space="preserve"> </w:t>
      </w:r>
      <w:r w:rsidR="00512AE0">
        <w:rPr>
          <w:lang w:val="nl-NL"/>
        </w:rPr>
        <w:t>een aantal kwetsbaarheden aan</w:t>
      </w:r>
      <w:r w:rsidR="004D4E68">
        <w:rPr>
          <w:lang w:val="nl-NL"/>
        </w:rPr>
        <w:t>gekaart</w:t>
      </w:r>
      <w:r w:rsidR="00512AE0">
        <w:rPr>
          <w:lang w:val="nl-NL"/>
        </w:rPr>
        <w:t>.</w:t>
      </w:r>
      <w:r w:rsidRPr="004D4E68" w:rsidR="004D4E68">
        <w:rPr>
          <w:lang w:val="nl-NL"/>
        </w:rPr>
        <w:t xml:space="preserve"> </w:t>
      </w:r>
      <w:r w:rsidR="004D4E68">
        <w:rPr>
          <w:lang w:val="nl-NL"/>
        </w:rPr>
        <w:t>Ondanks dat b</w:t>
      </w:r>
      <w:r w:rsidRPr="004D4E68" w:rsidR="004D4E68">
        <w:rPr>
          <w:lang w:val="nl-NL"/>
        </w:rPr>
        <w:t>ijna negen op de tien talentvolle sporters en topsporters zich veilig</w:t>
      </w:r>
      <w:r w:rsidR="004D4E68">
        <w:rPr>
          <w:lang w:val="nl-NL"/>
        </w:rPr>
        <w:t xml:space="preserve"> voelen</w:t>
      </w:r>
      <w:r w:rsidRPr="004D4E68" w:rsidR="004D4E68">
        <w:rPr>
          <w:lang w:val="nl-NL"/>
        </w:rPr>
        <w:t xml:space="preserve"> in hun topsportomgeving</w:t>
      </w:r>
      <w:r w:rsidR="004D4E68">
        <w:rPr>
          <w:lang w:val="nl-NL"/>
        </w:rPr>
        <w:t xml:space="preserve">, </w:t>
      </w:r>
      <w:r w:rsidRPr="004D4E68" w:rsidR="004D4E68">
        <w:rPr>
          <w:lang w:val="nl-NL"/>
        </w:rPr>
        <w:t>maakt een deel van de sporters ongewenst gedrag mee</w:t>
      </w:r>
      <w:r w:rsidRPr="00C57008" w:rsidR="00512AE0">
        <w:rPr>
          <w:lang w:val="nl-NL"/>
        </w:rPr>
        <w:t xml:space="preserve">. </w:t>
      </w:r>
      <w:r w:rsidR="00DC252D">
        <w:rPr>
          <w:lang w:val="nl-NL"/>
        </w:rPr>
        <w:t>Daarnaast</w:t>
      </w:r>
      <w:r w:rsidRPr="00C57008" w:rsidR="00512AE0">
        <w:rPr>
          <w:lang w:val="nl-NL"/>
        </w:rPr>
        <w:t xml:space="preserve"> blijkt dat de grens tussen stimulerend en grensoverschrijdend gedrag niet altijd even duidelijk is</w:t>
      </w:r>
      <w:r w:rsidR="00512AE0">
        <w:rPr>
          <w:lang w:val="nl-NL"/>
        </w:rPr>
        <w:t>. Dit leidt met name onder coaches tot onzekerheid en een kwetsbare positie.</w:t>
      </w:r>
      <w:r w:rsidR="00DC252D">
        <w:rPr>
          <w:lang w:val="nl-NL"/>
        </w:rPr>
        <w:t xml:space="preserve"> </w:t>
      </w:r>
      <w:r w:rsidR="00636955">
        <w:rPr>
          <w:lang w:val="nl-NL"/>
        </w:rPr>
        <w:t>Dit is in lijn met het eerder gepubliceerde topsportcultuuronderzoek. In mijn beleidsreactie</w:t>
      </w:r>
      <w:r>
        <w:rPr>
          <w:lang w:val="nl-NL"/>
        </w:rPr>
        <w:t xml:space="preserve"> (bijlage 3)</w:t>
      </w:r>
      <w:r w:rsidR="00636955">
        <w:rPr>
          <w:lang w:val="nl-NL"/>
        </w:rPr>
        <w:t xml:space="preserve"> hierop heb ik aangegeven hoe de sport hiermee verdergaat en wat ik vanuit mijn rol hieraan kan bijdragen.</w:t>
      </w:r>
    </w:p>
    <w:p w:rsidRPr="00DC252D" w:rsidR="00BD4D4A" w:rsidP="00DC252D" w:rsidRDefault="00BD4D4A" w14:paraId="518F5267" w14:textId="77777777">
      <w:pPr>
        <w:spacing w:after="0" w:line="240" w:lineRule="atLeast"/>
        <w:rPr>
          <w:rFonts w:eastAsia="Calibri" w:cs="Mangal"/>
          <w:szCs w:val="18"/>
          <w:lang w:val="nl-NL"/>
        </w:rPr>
      </w:pPr>
    </w:p>
    <w:p w:rsidRPr="000D76E1" w:rsidR="006309B5" w:rsidP="000D76E1" w:rsidRDefault="006309B5" w14:paraId="387B5B24" w14:textId="58A874A2">
      <w:pPr>
        <w:pStyle w:val="Kop1"/>
      </w:pPr>
      <w:r w:rsidRPr="000D76E1">
        <w:t>Topsportevenementen</w:t>
      </w:r>
    </w:p>
    <w:p w:rsidR="00B073AC" w:rsidP="00DC252D" w:rsidRDefault="00830EA7" w14:paraId="432BB4EE" w14:textId="355E8F9A">
      <w:pPr>
        <w:spacing w:after="0" w:line="240" w:lineRule="atLeast"/>
        <w:rPr>
          <w:szCs w:val="18"/>
          <w:lang w:val="nl-NL"/>
        </w:rPr>
      </w:pPr>
      <w:r>
        <w:rPr>
          <w:szCs w:val="18"/>
          <w:lang w:val="nl-NL"/>
        </w:rPr>
        <w:t>Hierbij</w:t>
      </w:r>
      <w:r w:rsidRPr="0074638B" w:rsidR="006309B5">
        <w:rPr>
          <w:szCs w:val="18"/>
          <w:lang w:val="nl-NL"/>
        </w:rPr>
        <w:t xml:space="preserve"> bied ik de rapportage Topsportpodium Nederland (2021- 2030) aan over het jaar 2025</w:t>
      </w:r>
      <w:r w:rsidR="002F6E1B">
        <w:rPr>
          <w:szCs w:val="18"/>
          <w:lang w:val="nl-NL"/>
        </w:rPr>
        <w:t xml:space="preserve"> (zie</w:t>
      </w:r>
      <w:r w:rsidRPr="0074638B" w:rsidR="006309B5">
        <w:rPr>
          <w:szCs w:val="18"/>
          <w:lang w:val="nl-NL"/>
        </w:rPr>
        <w:t xml:space="preserve"> bijlage</w:t>
      </w:r>
      <w:r>
        <w:rPr>
          <w:szCs w:val="18"/>
          <w:lang w:val="nl-NL"/>
        </w:rPr>
        <w:t xml:space="preserve"> </w:t>
      </w:r>
      <w:r w:rsidR="00B22C14">
        <w:rPr>
          <w:szCs w:val="18"/>
          <w:lang w:val="nl-NL"/>
        </w:rPr>
        <w:t>1</w:t>
      </w:r>
      <w:r w:rsidR="00D25507">
        <w:rPr>
          <w:szCs w:val="18"/>
          <w:lang w:val="nl-NL"/>
        </w:rPr>
        <w:t>1</w:t>
      </w:r>
      <w:r w:rsidR="002F6E1B">
        <w:rPr>
          <w:szCs w:val="18"/>
          <w:lang w:val="nl-NL"/>
        </w:rPr>
        <w:t>)</w:t>
      </w:r>
      <w:r w:rsidR="00F27451">
        <w:rPr>
          <w:szCs w:val="18"/>
          <w:lang w:val="nl-NL"/>
        </w:rPr>
        <w:t xml:space="preserve">, conform de </w:t>
      </w:r>
      <w:r w:rsidRPr="008750D3" w:rsidR="00F27451">
        <w:rPr>
          <w:szCs w:val="18"/>
          <w:lang w:val="nl-NL"/>
        </w:rPr>
        <w:t>toezegging</w:t>
      </w:r>
      <w:r w:rsidRPr="008750D3" w:rsidR="008750D3">
        <w:rPr>
          <w:rStyle w:val="Voetnootmarkering"/>
          <w:szCs w:val="18"/>
          <w:lang w:val="nl-NL"/>
        </w:rPr>
        <w:footnoteReference w:id="15"/>
      </w:r>
      <w:r w:rsidR="00F27451">
        <w:rPr>
          <w:szCs w:val="18"/>
          <w:lang w:val="nl-NL"/>
        </w:rPr>
        <w:t xml:space="preserve"> aan uw Kamer</w:t>
      </w:r>
      <w:r w:rsidRPr="0074638B" w:rsidR="006309B5">
        <w:rPr>
          <w:szCs w:val="18"/>
          <w:lang w:val="nl-NL"/>
        </w:rPr>
        <w:t>. Het betreft de vierde rapportage over de internationale topsportevenementen in Nederland en hun maatschappelijke waarde.</w:t>
      </w:r>
    </w:p>
    <w:p w:rsidR="00B073AC" w:rsidP="00DC252D" w:rsidRDefault="00B073AC" w14:paraId="7C902320" w14:textId="77777777">
      <w:pPr>
        <w:spacing w:after="0" w:line="240" w:lineRule="atLeast"/>
        <w:rPr>
          <w:szCs w:val="18"/>
          <w:lang w:val="nl-NL"/>
        </w:rPr>
      </w:pPr>
    </w:p>
    <w:p w:rsidR="00B073AC" w:rsidP="00DC252D" w:rsidRDefault="006309B5" w14:paraId="7F470F98" w14:textId="77777777">
      <w:pPr>
        <w:spacing w:after="0" w:line="240" w:lineRule="atLeast"/>
        <w:rPr>
          <w:szCs w:val="18"/>
          <w:lang w:val="nl-NL"/>
        </w:rPr>
      </w:pPr>
      <w:r>
        <w:rPr>
          <w:szCs w:val="18"/>
          <w:lang w:val="nl-NL"/>
        </w:rPr>
        <w:t xml:space="preserve">Kort ga ik in </w:t>
      </w:r>
      <w:r w:rsidRPr="0074638B">
        <w:rPr>
          <w:szCs w:val="18"/>
          <w:lang w:val="nl-NL"/>
        </w:rPr>
        <w:t xml:space="preserve">op enkele inzichten en </w:t>
      </w:r>
      <w:r>
        <w:rPr>
          <w:szCs w:val="18"/>
          <w:lang w:val="nl-NL"/>
        </w:rPr>
        <w:t xml:space="preserve">vervolgens </w:t>
      </w:r>
      <w:r w:rsidRPr="0074638B">
        <w:rPr>
          <w:szCs w:val="18"/>
          <w:lang w:val="nl-NL"/>
        </w:rPr>
        <w:t xml:space="preserve">neem ik u mee in de financiële middelen vanuit VWS als bijdrage aan de </w:t>
      </w:r>
      <w:r>
        <w:rPr>
          <w:szCs w:val="18"/>
          <w:lang w:val="nl-NL"/>
        </w:rPr>
        <w:t>topsport</w:t>
      </w:r>
      <w:r w:rsidRPr="0074638B">
        <w:rPr>
          <w:szCs w:val="18"/>
          <w:lang w:val="nl-NL"/>
        </w:rPr>
        <w:t>evenementenkalender over 2025</w:t>
      </w:r>
      <w:r w:rsidR="00B073AC">
        <w:rPr>
          <w:szCs w:val="18"/>
          <w:lang w:val="nl-NL"/>
        </w:rPr>
        <w:t>:</w:t>
      </w:r>
    </w:p>
    <w:p w:rsidR="00B073AC" w:rsidP="00DC252D" w:rsidRDefault="006309B5" w14:paraId="7BCC59D6" w14:textId="77777777">
      <w:pPr>
        <w:pStyle w:val="Lijstalinea"/>
        <w:numPr>
          <w:ilvl w:val="0"/>
          <w:numId w:val="1"/>
        </w:numPr>
        <w:spacing w:after="0" w:line="240" w:lineRule="atLeast"/>
        <w:rPr>
          <w:rFonts w:cs="Urbanist-Regular"/>
          <w:szCs w:val="18"/>
          <w:lang w:val="nl-NL"/>
        </w:rPr>
      </w:pPr>
      <w:r w:rsidRPr="00B073AC">
        <w:rPr>
          <w:szCs w:val="18"/>
          <w:lang w:val="nl-NL"/>
        </w:rPr>
        <w:t xml:space="preserve">In 2025 zijn er in totaal 68 internationale topsportevenementen in Nederland georganiseerd, dit aantal staat tegenover </w:t>
      </w:r>
      <w:r w:rsidRPr="00B073AC">
        <w:rPr>
          <w:rFonts w:cs="Urbanist-Regular"/>
          <w:szCs w:val="18"/>
          <w:lang w:val="nl-NL"/>
        </w:rPr>
        <w:t>64 evenementen in 2024.</w:t>
      </w:r>
    </w:p>
    <w:p w:rsidRPr="00B073AC" w:rsidR="00B073AC" w:rsidP="00DC252D" w:rsidRDefault="006309B5" w14:paraId="39300916" w14:textId="77777777">
      <w:pPr>
        <w:pStyle w:val="Lijstalinea"/>
        <w:numPr>
          <w:ilvl w:val="0"/>
          <w:numId w:val="1"/>
        </w:numPr>
        <w:spacing w:after="0" w:line="240" w:lineRule="atLeast"/>
        <w:rPr>
          <w:rFonts w:cs="Urbanist-Regular"/>
          <w:szCs w:val="18"/>
          <w:lang w:val="nl-NL"/>
        </w:rPr>
      </w:pPr>
      <w:r w:rsidRPr="00B073AC">
        <w:rPr>
          <w:szCs w:val="18"/>
          <w:lang w:val="nl-NL"/>
        </w:rPr>
        <w:t>Deze evenementen vonden verspreid over 41 gemeenten in Nederland plaats en concentreerden zich binnen 32 verschillende sporten.</w:t>
      </w:r>
    </w:p>
    <w:p w:rsidR="00B073AC" w:rsidP="00DC252D" w:rsidRDefault="006309B5" w14:paraId="5936C1CB" w14:textId="130ABAE7">
      <w:pPr>
        <w:pStyle w:val="Lijstalinea"/>
        <w:numPr>
          <w:ilvl w:val="0"/>
          <w:numId w:val="1"/>
        </w:numPr>
        <w:spacing w:after="0" w:line="240" w:lineRule="atLeast"/>
        <w:rPr>
          <w:rFonts w:cs="Urbanist-Regular"/>
          <w:szCs w:val="18"/>
          <w:lang w:val="nl-NL"/>
        </w:rPr>
      </w:pPr>
      <w:r w:rsidRPr="00B073AC">
        <w:rPr>
          <w:szCs w:val="18"/>
          <w:lang w:val="nl-NL"/>
        </w:rPr>
        <w:t>De vijf sporten met de meeste topsportevenementen</w:t>
      </w:r>
      <w:r w:rsidR="00ED740B">
        <w:rPr>
          <w:szCs w:val="18"/>
          <w:lang w:val="nl-NL"/>
        </w:rPr>
        <w:t xml:space="preserve"> zijn</w:t>
      </w:r>
      <w:r w:rsidRPr="00B073AC">
        <w:rPr>
          <w:rFonts w:cs="Urbanist-Regular"/>
          <w:szCs w:val="18"/>
          <w:lang w:val="nl-NL"/>
        </w:rPr>
        <w:t>: paardensport, wielersport, schaatssport, tennis en hardlopen.</w:t>
      </w:r>
    </w:p>
    <w:p w:rsidRPr="006309B5" w:rsidR="006309B5" w:rsidP="00DC252D" w:rsidRDefault="006309B5" w14:paraId="212A8BFD" w14:textId="05F1BA0A">
      <w:pPr>
        <w:autoSpaceDE w:val="0"/>
        <w:autoSpaceDN w:val="0"/>
        <w:adjustRightInd w:val="0"/>
        <w:spacing w:after="0" w:line="240" w:lineRule="atLeast"/>
        <w:rPr>
          <w:rFonts w:cs="Urbanist-Regular"/>
          <w:szCs w:val="18"/>
          <w:lang w:val="nl-NL"/>
        </w:rPr>
      </w:pPr>
    </w:p>
    <w:p w:rsidRPr="0074638B" w:rsidR="006309B5" w:rsidP="0057236D" w:rsidRDefault="006309B5" w14:paraId="1374604F" w14:textId="5B4A960E">
      <w:pPr>
        <w:spacing w:after="0" w:line="240" w:lineRule="atLeast"/>
        <w:rPr>
          <w:lang w:val="nl-NL"/>
        </w:rPr>
      </w:pPr>
      <w:r w:rsidRPr="0074638B">
        <w:rPr>
          <w:szCs w:val="18"/>
          <w:lang w:val="nl-NL"/>
        </w:rPr>
        <w:t>Samen met NOC*NSF</w:t>
      </w:r>
      <w:r>
        <w:rPr>
          <w:szCs w:val="18"/>
          <w:lang w:val="nl-NL"/>
        </w:rPr>
        <w:t xml:space="preserve"> en</w:t>
      </w:r>
      <w:r w:rsidRPr="0074638B">
        <w:rPr>
          <w:szCs w:val="18"/>
          <w:lang w:val="nl-NL"/>
        </w:rPr>
        <w:t xml:space="preserve"> de VSG </w:t>
      </w:r>
      <w:r>
        <w:rPr>
          <w:szCs w:val="18"/>
          <w:lang w:val="nl-NL"/>
        </w:rPr>
        <w:t xml:space="preserve">zet ik mij door middel van het </w:t>
      </w:r>
      <w:r w:rsidRPr="0074638B">
        <w:rPr>
          <w:szCs w:val="18"/>
          <w:lang w:val="nl-NL"/>
        </w:rPr>
        <w:t>Coördinatie – en Informatiepunt Topsport</w:t>
      </w:r>
      <w:r w:rsidR="00830EA7">
        <w:rPr>
          <w:szCs w:val="18"/>
          <w:lang w:val="nl-NL"/>
        </w:rPr>
        <w:t xml:space="preserve"> </w:t>
      </w:r>
      <w:r w:rsidRPr="0074638B">
        <w:rPr>
          <w:szCs w:val="18"/>
          <w:lang w:val="nl-NL"/>
        </w:rPr>
        <w:t xml:space="preserve">in om de maatschappelijke waarde van topsportevenementen </w:t>
      </w:r>
      <w:r>
        <w:rPr>
          <w:szCs w:val="18"/>
          <w:lang w:val="nl-NL"/>
        </w:rPr>
        <w:t xml:space="preserve">breed </w:t>
      </w:r>
      <w:r w:rsidRPr="0074638B">
        <w:rPr>
          <w:szCs w:val="18"/>
          <w:lang w:val="nl-NL"/>
        </w:rPr>
        <w:t>uit te dragen. Met voorbeelden als</w:t>
      </w:r>
      <w:r w:rsidR="000F3876">
        <w:rPr>
          <w:szCs w:val="18"/>
          <w:lang w:val="nl-NL"/>
        </w:rPr>
        <w:t xml:space="preserve"> de</w:t>
      </w:r>
      <w:r w:rsidRPr="0074638B">
        <w:rPr>
          <w:szCs w:val="18"/>
          <w:lang w:val="nl-NL"/>
        </w:rPr>
        <w:t xml:space="preserve"> </w:t>
      </w:r>
      <w:proofErr w:type="spellStart"/>
      <w:r w:rsidRPr="0074638B">
        <w:rPr>
          <w:szCs w:val="18"/>
          <w:lang w:val="nl-NL"/>
        </w:rPr>
        <w:t>TeamNL</w:t>
      </w:r>
      <w:proofErr w:type="spellEnd"/>
      <w:r w:rsidRPr="0074638B">
        <w:rPr>
          <w:szCs w:val="18"/>
          <w:lang w:val="nl-NL"/>
        </w:rPr>
        <w:t xml:space="preserve"> Sport </w:t>
      </w:r>
      <w:proofErr w:type="spellStart"/>
      <w:r w:rsidRPr="0074638B">
        <w:rPr>
          <w:szCs w:val="18"/>
          <w:lang w:val="nl-NL"/>
        </w:rPr>
        <w:t>Experience</w:t>
      </w:r>
      <w:proofErr w:type="spellEnd"/>
      <w:r w:rsidR="000F3876">
        <w:rPr>
          <w:szCs w:val="18"/>
          <w:lang w:val="nl-NL"/>
        </w:rPr>
        <w:t xml:space="preserve"> en </w:t>
      </w:r>
      <w:r w:rsidRPr="0074638B">
        <w:rPr>
          <w:szCs w:val="18"/>
          <w:lang w:val="nl-NL"/>
        </w:rPr>
        <w:t>SAM</w:t>
      </w:r>
      <w:r w:rsidR="000F3876">
        <w:rPr>
          <w:szCs w:val="18"/>
          <w:lang w:val="nl-NL"/>
        </w:rPr>
        <w:t>, een programma gericht op</w:t>
      </w:r>
      <w:r w:rsidR="00BB52D1">
        <w:rPr>
          <w:szCs w:val="18"/>
          <w:lang w:val="nl-NL"/>
        </w:rPr>
        <w:t xml:space="preserve"> het </w:t>
      </w:r>
      <w:r w:rsidRPr="00BB52D1" w:rsidR="00BB52D1">
        <w:rPr>
          <w:lang w:val="nl-NL"/>
        </w:rPr>
        <w:t>creëren van meer gelijkwaardigheid tussen meisjes en jongens in de sport, en tussen vrouwen en mannen</w:t>
      </w:r>
      <w:r w:rsidR="000F3876">
        <w:rPr>
          <w:szCs w:val="18"/>
          <w:lang w:val="nl-NL"/>
        </w:rPr>
        <w:t xml:space="preserve"> </w:t>
      </w:r>
      <w:r w:rsidRPr="0074638B">
        <w:rPr>
          <w:szCs w:val="18"/>
          <w:lang w:val="nl-NL"/>
        </w:rPr>
        <w:t>in de sport</w:t>
      </w:r>
      <w:r w:rsidR="00A259D4">
        <w:rPr>
          <w:szCs w:val="18"/>
          <w:lang w:val="nl-NL"/>
        </w:rPr>
        <w:t>. Ook</w:t>
      </w:r>
      <w:r w:rsidR="000F3876">
        <w:rPr>
          <w:szCs w:val="18"/>
          <w:lang w:val="nl-NL"/>
        </w:rPr>
        <w:t xml:space="preserve"> </w:t>
      </w:r>
      <w:r w:rsidRPr="0074638B">
        <w:rPr>
          <w:szCs w:val="18"/>
          <w:lang w:val="nl-NL"/>
        </w:rPr>
        <w:t>maatschappelijke activatieprogramma</w:t>
      </w:r>
      <w:r w:rsidR="00BB52D1">
        <w:rPr>
          <w:szCs w:val="18"/>
          <w:lang w:val="nl-NL"/>
        </w:rPr>
        <w:t>’</w:t>
      </w:r>
      <w:r w:rsidRPr="0074638B">
        <w:rPr>
          <w:szCs w:val="18"/>
          <w:lang w:val="nl-NL"/>
        </w:rPr>
        <w:t xml:space="preserve">s </w:t>
      </w:r>
      <w:r w:rsidR="00BB52D1">
        <w:rPr>
          <w:szCs w:val="18"/>
          <w:lang w:val="nl-NL"/>
        </w:rPr>
        <w:t>worden ingezet. Te denken valt</w:t>
      </w:r>
      <w:r w:rsidR="00A259D4">
        <w:rPr>
          <w:szCs w:val="18"/>
          <w:lang w:val="nl-NL"/>
        </w:rPr>
        <w:t xml:space="preserve"> aan</w:t>
      </w:r>
      <w:r w:rsidRPr="0074638B">
        <w:rPr>
          <w:szCs w:val="18"/>
          <w:lang w:val="nl-NL"/>
        </w:rPr>
        <w:t xml:space="preserve"> het </w:t>
      </w:r>
      <w:r w:rsidR="00A259D4">
        <w:rPr>
          <w:szCs w:val="18"/>
          <w:lang w:val="nl-NL"/>
        </w:rPr>
        <w:t xml:space="preserve">thema duurzaamheid bij het </w:t>
      </w:r>
      <w:r w:rsidRPr="0074638B">
        <w:rPr>
          <w:szCs w:val="18"/>
          <w:lang w:val="nl-NL"/>
        </w:rPr>
        <w:t xml:space="preserve">organiseren van </w:t>
      </w:r>
      <w:r>
        <w:rPr>
          <w:szCs w:val="18"/>
          <w:lang w:val="nl-NL"/>
        </w:rPr>
        <w:t xml:space="preserve">grote </w:t>
      </w:r>
      <w:r w:rsidRPr="0074638B">
        <w:rPr>
          <w:szCs w:val="18"/>
          <w:lang w:val="nl-NL"/>
        </w:rPr>
        <w:t>evenementen</w:t>
      </w:r>
      <w:r w:rsidR="0081683C">
        <w:rPr>
          <w:szCs w:val="18"/>
          <w:lang w:val="nl-NL"/>
        </w:rPr>
        <w:t xml:space="preserve"> </w:t>
      </w:r>
      <w:r w:rsidR="00830EA7">
        <w:rPr>
          <w:szCs w:val="18"/>
          <w:lang w:val="nl-NL"/>
        </w:rPr>
        <w:t xml:space="preserve">of </w:t>
      </w:r>
      <w:r w:rsidR="00A259D4">
        <w:rPr>
          <w:szCs w:val="18"/>
          <w:lang w:val="nl-NL"/>
        </w:rPr>
        <w:t>het beschikbaar maken van gezonde voedingskeuzes voor bezoekers van een evenement</w:t>
      </w:r>
      <w:r w:rsidR="0081683C">
        <w:rPr>
          <w:szCs w:val="18"/>
          <w:lang w:val="nl-NL"/>
        </w:rPr>
        <w:t>.</w:t>
      </w:r>
      <w:r w:rsidRPr="0074638B">
        <w:rPr>
          <w:szCs w:val="18"/>
          <w:lang w:val="nl-NL"/>
        </w:rPr>
        <w:t xml:space="preserve"> De rapportage</w:t>
      </w:r>
      <w:r w:rsidR="00BB52D1">
        <w:rPr>
          <w:szCs w:val="18"/>
          <w:lang w:val="nl-NL"/>
        </w:rPr>
        <w:t xml:space="preserve"> Topsportpodium Nederland</w:t>
      </w:r>
      <w:r w:rsidRPr="0074638B">
        <w:rPr>
          <w:szCs w:val="18"/>
          <w:lang w:val="nl-NL"/>
        </w:rPr>
        <w:t xml:space="preserve"> gaat in op de </w:t>
      </w:r>
      <w:r>
        <w:rPr>
          <w:szCs w:val="18"/>
          <w:lang w:val="nl-NL"/>
        </w:rPr>
        <w:t xml:space="preserve">kansen en </w:t>
      </w:r>
      <w:r w:rsidRPr="0074638B">
        <w:rPr>
          <w:szCs w:val="18"/>
          <w:lang w:val="nl-NL"/>
        </w:rPr>
        <w:t>uitdagingen voor de toekomst</w:t>
      </w:r>
      <w:r>
        <w:rPr>
          <w:szCs w:val="18"/>
          <w:lang w:val="nl-NL"/>
        </w:rPr>
        <w:t>.</w:t>
      </w:r>
    </w:p>
    <w:p w:rsidR="00830EA7" w:rsidP="0057236D" w:rsidRDefault="00830EA7" w14:paraId="4BFC6888" w14:textId="77777777">
      <w:pPr>
        <w:spacing w:after="0" w:line="240" w:lineRule="atLeast"/>
        <w:rPr>
          <w:lang w:val="nl-NL"/>
        </w:rPr>
      </w:pPr>
    </w:p>
    <w:p w:rsidRPr="006309B5" w:rsidR="006309B5" w:rsidP="0057236D" w:rsidRDefault="006309B5" w14:paraId="6A6B1E7D" w14:textId="0A788E9F">
      <w:pPr>
        <w:spacing w:after="0" w:line="240" w:lineRule="atLeast"/>
        <w:rPr>
          <w:b/>
          <w:bCs/>
          <w:lang w:val="nl-NL"/>
        </w:rPr>
      </w:pPr>
      <w:r w:rsidRPr="0074638B">
        <w:rPr>
          <w:lang w:val="nl-NL"/>
        </w:rPr>
        <w:t xml:space="preserve">Onderstaand </w:t>
      </w:r>
      <w:r w:rsidR="000F3876">
        <w:rPr>
          <w:lang w:val="nl-NL"/>
        </w:rPr>
        <w:t>overzicht</w:t>
      </w:r>
      <w:r w:rsidRPr="0074638B" w:rsidR="000F3876">
        <w:rPr>
          <w:lang w:val="nl-NL"/>
        </w:rPr>
        <w:t xml:space="preserve"> </w:t>
      </w:r>
      <w:r w:rsidRPr="0074638B">
        <w:rPr>
          <w:lang w:val="nl-NL"/>
        </w:rPr>
        <w:t xml:space="preserve">toont hoe het ministerie van VWS de financiële middelen voor internationale topsportevenementen heeft </w:t>
      </w:r>
      <w:r w:rsidR="00BA4CA9">
        <w:rPr>
          <w:lang w:val="nl-NL"/>
        </w:rPr>
        <w:t>toegekend</w:t>
      </w:r>
      <w:r w:rsidRPr="0074638B">
        <w:rPr>
          <w:lang w:val="nl-NL"/>
        </w:rPr>
        <w:t xml:space="preserve"> in 2025, vanuit de subsidieregeling topsportevenementen 2021 – 2023 en de subsidieregeling topsportevenementen 2024–2028. Het betreft de totale VWS-subsidie die per evenement gedurende de looptijd van de projecten is verleend.</w:t>
      </w:r>
      <w:r w:rsidR="00B073AC">
        <w:rPr>
          <w:lang w:val="nl-NL"/>
        </w:rPr>
        <w:br/>
      </w:r>
    </w:p>
    <w:tbl>
      <w:tblPr>
        <w:tblW w:w="0" w:type="auto"/>
        <w:tblInd w:w="-108" w:type="dxa"/>
        <w:tblBorders>
          <w:top w:val="single" w:color="auto" w:sz="4" w:space="0"/>
          <w:bottom w:val="single" w:color="auto" w:sz="4" w:space="0"/>
        </w:tblBorders>
        <w:tblCellMar>
          <w:left w:w="0" w:type="dxa"/>
          <w:right w:w="0" w:type="dxa"/>
        </w:tblCellMar>
        <w:tblLook w:val="04A0" w:firstRow="1" w:lastRow="0" w:firstColumn="1" w:lastColumn="0" w:noHBand="0" w:noVBand="1"/>
      </w:tblPr>
      <w:tblGrid>
        <w:gridCol w:w="4988"/>
        <w:gridCol w:w="2152"/>
      </w:tblGrid>
      <w:tr w:rsidRPr="00302BEE" w:rsidR="006309B5" w:rsidTr="0001542E" w14:paraId="43778B0C" w14:textId="77777777">
        <w:trPr>
          <w:trHeight w:val="123"/>
        </w:trPr>
        <w:tc>
          <w:tcPr>
            <w:tcW w:w="4988" w:type="dxa"/>
            <w:tcBorders>
              <w:top w:val="single" w:color="auto" w:sz="4" w:space="0"/>
              <w:bottom w:val="single" w:color="auto" w:sz="4" w:space="0"/>
            </w:tcBorders>
            <w:tcMar>
              <w:top w:w="0" w:type="dxa"/>
              <w:left w:w="108" w:type="dxa"/>
              <w:bottom w:w="0" w:type="dxa"/>
              <w:right w:w="108" w:type="dxa"/>
            </w:tcMar>
            <w:hideMark/>
          </w:tcPr>
          <w:p w:rsidRPr="00302BEE" w:rsidR="006309B5" w:rsidP="0057236D" w:rsidRDefault="006309B5" w14:paraId="2A7D98C6" w14:textId="77777777">
            <w:pPr>
              <w:spacing w:after="0" w:line="240" w:lineRule="atLeast"/>
              <w:rPr>
                <w:rFonts w:ascii="Segoe UI" w:hAnsi="Segoe UI" w:cs="Segoe UI"/>
                <w:b/>
                <w:bCs/>
              </w:rPr>
            </w:pPr>
            <w:proofErr w:type="spellStart"/>
            <w:r w:rsidRPr="00302BEE">
              <w:rPr>
                <w:rFonts w:ascii="Segoe UI" w:hAnsi="Segoe UI" w:cs="Segoe UI"/>
                <w:b/>
                <w:bCs/>
              </w:rPr>
              <w:t>Gesubsidieerde</w:t>
            </w:r>
            <w:proofErr w:type="spellEnd"/>
            <w:r w:rsidRPr="00302BEE">
              <w:rPr>
                <w:rFonts w:ascii="Segoe UI" w:hAnsi="Segoe UI" w:cs="Segoe UI"/>
                <w:b/>
                <w:bCs/>
              </w:rPr>
              <w:t xml:space="preserve"> </w:t>
            </w:r>
            <w:proofErr w:type="spellStart"/>
            <w:r w:rsidRPr="00302BEE">
              <w:rPr>
                <w:rFonts w:ascii="Segoe UI" w:hAnsi="Segoe UI" w:cs="Segoe UI"/>
                <w:b/>
                <w:bCs/>
              </w:rPr>
              <w:t>topsportevenementen</w:t>
            </w:r>
            <w:proofErr w:type="spellEnd"/>
            <w:r w:rsidRPr="00302BEE">
              <w:rPr>
                <w:rFonts w:ascii="Segoe UI" w:hAnsi="Segoe UI" w:cs="Segoe UI"/>
                <w:b/>
                <w:bCs/>
              </w:rPr>
              <w:t xml:space="preserve"> 2025</w:t>
            </w:r>
          </w:p>
        </w:tc>
        <w:tc>
          <w:tcPr>
            <w:tcW w:w="2152" w:type="dxa"/>
            <w:tcBorders>
              <w:top w:val="single" w:color="auto" w:sz="4" w:space="0"/>
              <w:bottom w:val="single" w:color="auto" w:sz="4" w:space="0"/>
            </w:tcBorders>
            <w:tcMar>
              <w:top w:w="0" w:type="dxa"/>
              <w:left w:w="108" w:type="dxa"/>
              <w:bottom w:w="0" w:type="dxa"/>
              <w:right w:w="108" w:type="dxa"/>
            </w:tcMar>
            <w:hideMark/>
          </w:tcPr>
          <w:p w:rsidRPr="00302BEE" w:rsidR="006309B5" w:rsidP="00BA4CA9" w:rsidRDefault="006309B5" w14:paraId="2F5AA4F8" w14:textId="77777777">
            <w:pPr>
              <w:spacing w:after="0" w:line="240" w:lineRule="atLeast"/>
              <w:jc w:val="right"/>
              <w:rPr>
                <w:rFonts w:ascii="Segoe UI" w:hAnsi="Segoe UI" w:cs="Segoe UI"/>
              </w:rPr>
            </w:pPr>
            <w:proofErr w:type="spellStart"/>
            <w:r w:rsidRPr="00302BEE">
              <w:rPr>
                <w:rFonts w:ascii="Segoe UI" w:hAnsi="Segoe UI" w:cs="Segoe UI"/>
                <w:b/>
                <w:bCs/>
              </w:rPr>
              <w:t>Verleende</w:t>
            </w:r>
            <w:proofErr w:type="spellEnd"/>
            <w:r w:rsidRPr="00302BEE">
              <w:rPr>
                <w:rFonts w:ascii="Segoe UI" w:hAnsi="Segoe UI" w:cs="Segoe UI"/>
                <w:b/>
                <w:bCs/>
              </w:rPr>
              <w:t xml:space="preserve"> </w:t>
            </w:r>
            <w:proofErr w:type="spellStart"/>
            <w:r w:rsidRPr="00302BEE">
              <w:rPr>
                <w:rFonts w:ascii="Segoe UI" w:hAnsi="Segoe UI" w:cs="Segoe UI"/>
                <w:b/>
                <w:bCs/>
              </w:rPr>
              <w:t>subsidie</w:t>
            </w:r>
            <w:proofErr w:type="spellEnd"/>
            <w:r w:rsidRPr="00302BEE">
              <w:rPr>
                <w:rFonts w:ascii="Segoe UI" w:hAnsi="Segoe UI" w:cs="Segoe UI"/>
                <w:b/>
                <w:bCs/>
              </w:rPr>
              <w:t xml:space="preserve"> </w:t>
            </w:r>
          </w:p>
        </w:tc>
      </w:tr>
      <w:tr w:rsidRPr="00302BEE" w:rsidR="006309B5" w:rsidTr="0001542E" w14:paraId="4CED0864" w14:textId="77777777">
        <w:trPr>
          <w:trHeight w:val="121"/>
        </w:trPr>
        <w:tc>
          <w:tcPr>
            <w:tcW w:w="4988" w:type="dxa"/>
            <w:tcBorders>
              <w:top w:val="single" w:color="auto" w:sz="4" w:space="0"/>
            </w:tcBorders>
            <w:tcMar>
              <w:top w:w="0" w:type="dxa"/>
              <w:left w:w="108" w:type="dxa"/>
              <w:bottom w:w="0" w:type="dxa"/>
              <w:right w:w="108" w:type="dxa"/>
            </w:tcMar>
            <w:hideMark/>
          </w:tcPr>
          <w:p w:rsidRPr="00302BEE" w:rsidR="006309B5" w:rsidP="0057236D" w:rsidRDefault="006309B5" w14:paraId="5C1E13BD" w14:textId="77777777">
            <w:pPr>
              <w:spacing w:after="0" w:line="240" w:lineRule="atLeast"/>
              <w:rPr>
                <w:rFonts w:ascii="Segoe UI" w:hAnsi="Segoe UI" w:cs="Segoe UI"/>
              </w:rPr>
            </w:pPr>
            <w:r w:rsidRPr="00302BEE">
              <w:rPr>
                <w:rFonts w:ascii="Segoe UI" w:hAnsi="Segoe UI" w:cs="Segoe UI"/>
              </w:rPr>
              <w:t xml:space="preserve">EK BMX Freestyle 2025 </w:t>
            </w:r>
          </w:p>
        </w:tc>
        <w:tc>
          <w:tcPr>
            <w:tcW w:w="2152" w:type="dxa"/>
            <w:tcBorders>
              <w:top w:val="single" w:color="auto" w:sz="4" w:space="0"/>
            </w:tcBorders>
            <w:tcMar>
              <w:top w:w="0" w:type="dxa"/>
              <w:left w:w="108" w:type="dxa"/>
              <w:bottom w:w="0" w:type="dxa"/>
              <w:right w:w="108" w:type="dxa"/>
            </w:tcMar>
            <w:hideMark/>
          </w:tcPr>
          <w:p w:rsidRPr="00302BEE" w:rsidR="006309B5" w:rsidP="00BA4CA9" w:rsidRDefault="006309B5" w14:paraId="08E82556" w14:textId="77777777">
            <w:pPr>
              <w:spacing w:after="0" w:line="240" w:lineRule="atLeast"/>
              <w:jc w:val="right"/>
              <w:rPr>
                <w:rFonts w:ascii="Segoe UI" w:hAnsi="Segoe UI" w:cs="Segoe UI"/>
              </w:rPr>
            </w:pPr>
            <w:r w:rsidRPr="00302BEE">
              <w:rPr>
                <w:rFonts w:ascii="Segoe UI" w:hAnsi="Segoe UI" w:cs="Segoe UI"/>
              </w:rPr>
              <w:t xml:space="preserve">€ 341.090 </w:t>
            </w:r>
          </w:p>
        </w:tc>
      </w:tr>
      <w:tr w:rsidRPr="00302BEE" w:rsidR="006309B5" w:rsidTr="0001542E" w14:paraId="1F2CF405" w14:textId="77777777">
        <w:trPr>
          <w:trHeight w:val="121"/>
        </w:trPr>
        <w:tc>
          <w:tcPr>
            <w:tcW w:w="4988" w:type="dxa"/>
            <w:tcMar>
              <w:top w:w="0" w:type="dxa"/>
              <w:left w:w="108" w:type="dxa"/>
              <w:bottom w:w="0" w:type="dxa"/>
              <w:right w:w="108" w:type="dxa"/>
            </w:tcMar>
            <w:hideMark/>
          </w:tcPr>
          <w:p w:rsidRPr="00302BEE" w:rsidR="006309B5" w:rsidP="0057236D" w:rsidRDefault="006309B5" w14:paraId="3C67CE5A" w14:textId="77777777">
            <w:pPr>
              <w:spacing w:after="0" w:line="240" w:lineRule="atLeast"/>
              <w:rPr>
                <w:rFonts w:ascii="Segoe UI" w:hAnsi="Segoe UI" w:cs="Segoe UI"/>
              </w:rPr>
            </w:pPr>
            <w:r w:rsidRPr="00302BEE">
              <w:rPr>
                <w:rFonts w:ascii="Segoe UI" w:hAnsi="Segoe UI" w:cs="Segoe UI"/>
              </w:rPr>
              <w:t xml:space="preserve">EK </w:t>
            </w:r>
            <w:proofErr w:type="spellStart"/>
            <w:r w:rsidRPr="00302BEE">
              <w:rPr>
                <w:rFonts w:ascii="Segoe UI" w:hAnsi="Segoe UI" w:cs="Segoe UI"/>
              </w:rPr>
              <w:t>Atletiek</w:t>
            </w:r>
            <w:proofErr w:type="spellEnd"/>
            <w:r w:rsidRPr="00302BEE">
              <w:rPr>
                <w:rFonts w:ascii="Segoe UI" w:hAnsi="Segoe UI" w:cs="Segoe UI"/>
              </w:rPr>
              <w:t xml:space="preserve"> indoor 2025 </w:t>
            </w:r>
          </w:p>
        </w:tc>
        <w:tc>
          <w:tcPr>
            <w:tcW w:w="2152" w:type="dxa"/>
            <w:tcMar>
              <w:top w:w="0" w:type="dxa"/>
              <w:left w:w="108" w:type="dxa"/>
              <w:bottom w:w="0" w:type="dxa"/>
              <w:right w:w="108" w:type="dxa"/>
            </w:tcMar>
            <w:hideMark/>
          </w:tcPr>
          <w:p w:rsidRPr="00302BEE" w:rsidR="006309B5" w:rsidP="00BA4CA9" w:rsidRDefault="006309B5" w14:paraId="75642D5B" w14:textId="77777777">
            <w:pPr>
              <w:spacing w:after="0" w:line="240" w:lineRule="atLeast"/>
              <w:jc w:val="right"/>
              <w:rPr>
                <w:rFonts w:ascii="Segoe UI" w:hAnsi="Segoe UI" w:cs="Segoe UI"/>
              </w:rPr>
            </w:pPr>
            <w:r w:rsidRPr="00302BEE">
              <w:rPr>
                <w:rFonts w:ascii="Segoe UI" w:hAnsi="Segoe UI" w:cs="Segoe UI"/>
              </w:rPr>
              <w:t xml:space="preserve">€ 1.922.415 </w:t>
            </w:r>
          </w:p>
        </w:tc>
      </w:tr>
      <w:tr w:rsidRPr="00302BEE" w:rsidR="006309B5" w:rsidTr="0001542E" w14:paraId="29D7747F" w14:textId="77777777">
        <w:trPr>
          <w:trHeight w:val="121"/>
        </w:trPr>
        <w:tc>
          <w:tcPr>
            <w:tcW w:w="4988" w:type="dxa"/>
            <w:tcMar>
              <w:top w:w="0" w:type="dxa"/>
              <w:left w:w="108" w:type="dxa"/>
              <w:bottom w:w="0" w:type="dxa"/>
              <w:right w:w="108" w:type="dxa"/>
            </w:tcMar>
            <w:hideMark/>
          </w:tcPr>
          <w:p w:rsidRPr="00302BEE" w:rsidR="006309B5" w:rsidP="0057236D" w:rsidRDefault="006309B5" w14:paraId="1A9A3651" w14:textId="77777777">
            <w:pPr>
              <w:spacing w:after="0" w:line="240" w:lineRule="atLeast"/>
              <w:rPr>
                <w:rFonts w:ascii="Segoe UI" w:hAnsi="Segoe UI" w:cs="Segoe UI"/>
              </w:rPr>
            </w:pPr>
            <w:r w:rsidRPr="00302BEE">
              <w:rPr>
                <w:rFonts w:ascii="Segoe UI" w:hAnsi="Segoe UI" w:cs="Segoe UI"/>
              </w:rPr>
              <w:t xml:space="preserve">EK Wheelchair Rugby 2025 </w:t>
            </w:r>
          </w:p>
        </w:tc>
        <w:tc>
          <w:tcPr>
            <w:tcW w:w="2152" w:type="dxa"/>
            <w:tcMar>
              <w:top w:w="0" w:type="dxa"/>
              <w:left w:w="108" w:type="dxa"/>
              <w:bottom w:w="0" w:type="dxa"/>
              <w:right w:w="108" w:type="dxa"/>
            </w:tcMar>
            <w:hideMark/>
          </w:tcPr>
          <w:p w:rsidRPr="00302BEE" w:rsidR="006309B5" w:rsidP="00BA4CA9" w:rsidRDefault="006309B5" w14:paraId="29227461" w14:textId="77777777">
            <w:pPr>
              <w:spacing w:after="0" w:line="240" w:lineRule="atLeast"/>
              <w:jc w:val="right"/>
              <w:rPr>
                <w:rFonts w:ascii="Segoe UI" w:hAnsi="Segoe UI" w:cs="Segoe UI"/>
              </w:rPr>
            </w:pPr>
            <w:r w:rsidRPr="00302BEE">
              <w:rPr>
                <w:rFonts w:ascii="Segoe UI" w:hAnsi="Segoe UI" w:cs="Segoe UI"/>
              </w:rPr>
              <w:t xml:space="preserve">€ 420.000 </w:t>
            </w:r>
          </w:p>
        </w:tc>
      </w:tr>
      <w:tr w:rsidRPr="00302BEE" w:rsidR="006309B5" w:rsidTr="0001542E" w14:paraId="1C78CCB5" w14:textId="77777777">
        <w:trPr>
          <w:trHeight w:val="121"/>
        </w:trPr>
        <w:tc>
          <w:tcPr>
            <w:tcW w:w="4988" w:type="dxa"/>
            <w:tcMar>
              <w:top w:w="0" w:type="dxa"/>
              <w:left w:w="108" w:type="dxa"/>
              <w:bottom w:w="0" w:type="dxa"/>
              <w:right w:w="108" w:type="dxa"/>
            </w:tcMar>
            <w:hideMark/>
          </w:tcPr>
          <w:p w:rsidRPr="00302BEE" w:rsidR="006309B5" w:rsidP="0057236D" w:rsidRDefault="006309B5" w14:paraId="499CFC03" w14:textId="77777777">
            <w:pPr>
              <w:spacing w:after="0" w:line="240" w:lineRule="atLeast"/>
              <w:rPr>
                <w:rFonts w:ascii="Segoe UI" w:hAnsi="Segoe UI" w:cs="Segoe UI"/>
              </w:rPr>
            </w:pPr>
            <w:r w:rsidRPr="00302BEE">
              <w:rPr>
                <w:rFonts w:ascii="Segoe UI" w:hAnsi="Segoe UI" w:cs="Segoe UI"/>
              </w:rPr>
              <w:t xml:space="preserve">WK </w:t>
            </w:r>
            <w:proofErr w:type="spellStart"/>
            <w:r w:rsidRPr="00302BEE">
              <w:rPr>
                <w:rFonts w:ascii="Segoe UI" w:hAnsi="Segoe UI" w:cs="Segoe UI"/>
              </w:rPr>
              <w:t>Handbal</w:t>
            </w:r>
            <w:proofErr w:type="spellEnd"/>
            <w:r w:rsidRPr="00302BEE">
              <w:rPr>
                <w:rFonts w:ascii="Segoe UI" w:hAnsi="Segoe UI" w:cs="Segoe UI"/>
              </w:rPr>
              <w:t xml:space="preserve"> dames 2025 </w:t>
            </w:r>
          </w:p>
        </w:tc>
        <w:tc>
          <w:tcPr>
            <w:tcW w:w="2152" w:type="dxa"/>
            <w:tcMar>
              <w:top w:w="0" w:type="dxa"/>
              <w:left w:w="108" w:type="dxa"/>
              <w:bottom w:w="0" w:type="dxa"/>
              <w:right w:w="108" w:type="dxa"/>
            </w:tcMar>
            <w:hideMark/>
          </w:tcPr>
          <w:p w:rsidRPr="00302BEE" w:rsidR="006309B5" w:rsidP="00BA4CA9" w:rsidRDefault="006309B5" w14:paraId="267CCAB2" w14:textId="77777777">
            <w:pPr>
              <w:spacing w:after="0" w:line="240" w:lineRule="atLeast"/>
              <w:jc w:val="right"/>
              <w:rPr>
                <w:rFonts w:ascii="Segoe UI" w:hAnsi="Segoe UI" w:cs="Segoe UI"/>
              </w:rPr>
            </w:pPr>
            <w:r w:rsidRPr="00302BEE">
              <w:rPr>
                <w:rFonts w:ascii="Segoe UI" w:hAnsi="Segoe UI" w:cs="Segoe UI"/>
              </w:rPr>
              <w:t xml:space="preserve">€ 2.500.000 </w:t>
            </w:r>
          </w:p>
        </w:tc>
      </w:tr>
      <w:tr w:rsidRPr="00302BEE" w:rsidR="006309B5" w:rsidTr="0001542E" w14:paraId="40E952E5" w14:textId="77777777">
        <w:trPr>
          <w:trHeight w:val="121"/>
        </w:trPr>
        <w:tc>
          <w:tcPr>
            <w:tcW w:w="4988" w:type="dxa"/>
            <w:tcMar>
              <w:top w:w="0" w:type="dxa"/>
              <w:left w:w="108" w:type="dxa"/>
              <w:bottom w:w="0" w:type="dxa"/>
              <w:right w:w="108" w:type="dxa"/>
            </w:tcMar>
            <w:hideMark/>
          </w:tcPr>
          <w:p w:rsidRPr="00302BEE" w:rsidR="006309B5" w:rsidP="0057236D" w:rsidRDefault="006309B5" w14:paraId="6151FE83" w14:textId="77777777">
            <w:pPr>
              <w:spacing w:after="0" w:line="240" w:lineRule="atLeast"/>
              <w:rPr>
                <w:rFonts w:ascii="Segoe UI" w:hAnsi="Segoe UI" w:cs="Segoe UI"/>
              </w:rPr>
            </w:pPr>
            <w:r w:rsidRPr="00302BEE">
              <w:rPr>
                <w:rFonts w:ascii="Segoe UI" w:hAnsi="Segoe UI" w:cs="Segoe UI"/>
              </w:rPr>
              <w:t xml:space="preserve">WK </w:t>
            </w:r>
            <w:proofErr w:type="spellStart"/>
            <w:r w:rsidRPr="00302BEE">
              <w:rPr>
                <w:rFonts w:ascii="Segoe UI" w:hAnsi="Segoe UI" w:cs="Segoe UI"/>
              </w:rPr>
              <w:t>Baanwielrennen</w:t>
            </w:r>
            <w:proofErr w:type="spellEnd"/>
            <w:r w:rsidRPr="00302BEE">
              <w:rPr>
                <w:rFonts w:ascii="Segoe UI" w:hAnsi="Segoe UI" w:cs="Segoe UI"/>
              </w:rPr>
              <w:t xml:space="preserve"> </w:t>
            </w:r>
            <w:proofErr w:type="spellStart"/>
            <w:r w:rsidRPr="00302BEE">
              <w:rPr>
                <w:rFonts w:ascii="Segoe UI" w:hAnsi="Segoe UI" w:cs="Segoe UI"/>
              </w:rPr>
              <w:t>junioren</w:t>
            </w:r>
            <w:proofErr w:type="spellEnd"/>
            <w:r w:rsidRPr="00302BEE">
              <w:rPr>
                <w:rFonts w:ascii="Segoe UI" w:hAnsi="Segoe UI" w:cs="Segoe UI"/>
              </w:rPr>
              <w:t xml:space="preserve"> 2025 </w:t>
            </w:r>
          </w:p>
        </w:tc>
        <w:tc>
          <w:tcPr>
            <w:tcW w:w="2152" w:type="dxa"/>
            <w:tcMar>
              <w:top w:w="0" w:type="dxa"/>
              <w:left w:w="108" w:type="dxa"/>
              <w:bottom w:w="0" w:type="dxa"/>
              <w:right w:w="108" w:type="dxa"/>
            </w:tcMar>
            <w:hideMark/>
          </w:tcPr>
          <w:p w:rsidRPr="00302BEE" w:rsidR="006309B5" w:rsidP="00BA4CA9" w:rsidRDefault="006309B5" w14:paraId="219DE1BA" w14:textId="77777777">
            <w:pPr>
              <w:spacing w:after="0" w:line="240" w:lineRule="atLeast"/>
              <w:jc w:val="right"/>
              <w:rPr>
                <w:rFonts w:ascii="Segoe UI" w:hAnsi="Segoe UI" w:cs="Segoe UI"/>
              </w:rPr>
            </w:pPr>
            <w:r w:rsidRPr="00302BEE">
              <w:rPr>
                <w:rFonts w:ascii="Segoe UI" w:hAnsi="Segoe UI" w:cs="Segoe UI"/>
              </w:rPr>
              <w:t xml:space="preserve">€ 723.375 </w:t>
            </w:r>
          </w:p>
        </w:tc>
      </w:tr>
      <w:tr w:rsidRPr="00302BEE" w:rsidR="006309B5" w:rsidTr="0001542E" w14:paraId="687D138A" w14:textId="77777777">
        <w:trPr>
          <w:trHeight w:val="121"/>
        </w:trPr>
        <w:tc>
          <w:tcPr>
            <w:tcW w:w="4988" w:type="dxa"/>
            <w:tcMar>
              <w:top w:w="0" w:type="dxa"/>
              <w:left w:w="108" w:type="dxa"/>
              <w:bottom w:w="0" w:type="dxa"/>
              <w:right w:w="108" w:type="dxa"/>
            </w:tcMar>
            <w:hideMark/>
          </w:tcPr>
          <w:p w:rsidRPr="00302BEE" w:rsidR="006309B5" w:rsidP="0057236D" w:rsidRDefault="006309B5" w14:paraId="521DE91E" w14:textId="77777777">
            <w:pPr>
              <w:spacing w:after="0" w:line="240" w:lineRule="atLeast"/>
              <w:rPr>
                <w:rFonts w:ascii="Segoe UI" w:hAnsi="Segoe UI" w:cs="Segoe UI"/>
              </w:rPr>
            </w:pPr>
            <w:r w:rsidRPr="00302BEE">
              <w:rPr>
                <w:rFonts w:ascii="Segoe UI" w:hAnsi="Segoe UI" w:cs="Segoe UI"/>
              </w:rPr>
              <w:t xml:space="preserve">EK Para </w:t>
            </w:r>
            <w:proofErr w:type="spellStart"/>
            <w:r w:rsidRPr="00302BEE">
              <w:rPr>
                <w:rFonts w:ascii="Segoe UI" w:hAnsi="Segoe UI" w:cs="Segoe UI"/>
              </w:rPr>
              <w:t>dressuur</w:t>
            </w:r>
            <w:proofErr w:type="spellEnd"/>
            <w:r w:rsidRPr="00302BEE">
              <w:rPr>
                <w:rFonts w:ascii="Segoe UI" w:hAnsi="Segoe UI" w:cs="Segoe UI"/>
              </w:rPr>
              <w:t xml:space="preserve"> 2025 </w:t>
            </w:r>
          </w:p>
        </w:tc>
        <w:tc>
          <w:tcPr>
            <w:tcW w:w="2152" w:type="dxa"/>
            <w:tcMar>
              <w:top w:w="0" w:type="dxa"/>
              <w:left w:w="108" w:type="dxa"/>
              <w:bottom w:w="0" w:type="dxa"/>
              <w:right w:w="108" w:type="dxa"/>
            </w:tcMar>
            <w:hideMark/>
          </w:tcPr>
          <w:p w:rsidRPr="00302BEE" w:rsidR="006309B5" w:rsidP="00BA4CA9" w:rsidRDefault="006309B5" w14:paraId="6084FA24" w14:textId="77777777">
            <w:pPr>
              <w:spacing w:after="0" w:line="240" w:lineRule="atLeast"/>
              <w:jc w:val="right"/>
              <w:rPr>
                <w:rFonts w:ascii="Segoe UI" w:hAnsi="Segoe UI" w:cs="Segoe UI"/>
              </w:rPr>
            </w:pPr>
            <w:r w:rsidRPr="00302BEE">
              <w:rPr>
                <w:rFonts w:ascii="Segoe UI" w:hAnsi="Segoe UI" w:cs="Segoe UI"/>
              </w:rPr>
              <w:t xml:space="preserve">€ 400.000 </w:t>
            </w:r>
          </w:p>
        </w:tc>
      </w:tr>
      <w:tr w:rsidRPr="00302BEE" w:rsidR="006309B5" w:rsidTr="0001542E" w14:paraId="7EF61F49" w14:textId="77777777">
        <w:trPr>
          <w:trHeight w:val="121"/>
        </w:trPr>
        <w:tc>
          <w:tcPr>
            <w:tcW w:w="4988" w:type="dxa"/>
            <w:tcMar>
              <w:top w:w="0" w:type="dxa"/>
              <w:left w:w="108" w:type="dxa"/>
              <w:bottom w:w="0" w:type="dxa"/>
              <w:right w:w="108" w:type="dxa"/>
            </w:tcMar>
            <w:hideMark/>
          </w:tcPr>
          <w:p w:rsidRPr="00302BEE" w:rsidR="006309B5" w:rsidP="0057236D" w:rsidRDefault="006309B5" w14:paraId="21637485" w14:textId="77777777">
            <w:pPr>
              <w:spacing w:after="0" w:line="240" w:lineRule="atLeast"/>
              <w:rPr>
                <w:rFonts w:ascii="Segoe UI" w:hAnsi="Segoe UI" w:cs="Segoe UI"/>
              </w:rPr>
            </w:pPr>
            <w:r w:rsidRPr="00302BEE">
              <w:rPr>
                <w:rFonts w:ascii="Segoe UI" w:hAnsi="Segoe UI" w:cs="Segoe UI"/>
              </w:rPr>
              <w:t xml:space="preserve">FIG Parkour World Cup 2025 </w:t>
            </w:r>
          </w:p>
        </w:tc>
        <w:tc>
          <w:tcPr>
            <w:tcW w:w="2152" w:type="dxa"/>
            <w:tcMar>
              <w:top w:w="0" w:type="dxa"/>
              <w:left w:w="108" w:type="dxa"/>
              <w:bottom w:w="0" w:type="dxa"/>
              <w:right w:w="108" w:type="dxa"/>
            </w:tcMar>
            <w:hideMark/>
          </w:tcPr>
          <w:p w:rsidRPr="00302BEE" w:rsidR="006309B5" w:rsidP="00BA4CA9" w:rsidRDefault="006309B5" w14:paraId="7F79CE8E" w14:textId="77777777">
            <w:pPr>
              <w:spacing w:after="0" w:line="240" w:lineRule="atLeast"/>
              <w:jc w:val="right"/>
              <w:rPr>
                <w:rFonts w:ascii="Segoe UI" w:hAnsi="Segoe UI" w:cs="Segoe UI"/>
              </w:rPr>
            </w:pPr>
            <w:r w:rsidRPr="00302BEE">
              <w:rPr>
                <w:rFonts w:ascii="Segoe UI" w:hAnsi="Segoe UI" w:cs="Segoe UI"/>
              </w:rPr>
              <w:t xml:space="preserve">€ 173.165 </w:t>
            </w:r>
          </w:p>
        </w:tc>
      </w:tr>
      <w:tr w:rsidRPr="00302BEE" w:rsidR="006309B5" w:rsidTr="0001542E" w14:paraId="4DFF2E5D" w14:textId="77777777">
        <w:trPr>
          <w:trHeight w:val="121"/>
        </w:trPr>
        <w:tc>
          <w:tcPr>
            <w:tcW w:w="4988" w:type="dxa"/>
            <w:tcMar>
              <w:top w:w="0" w:type="dxa"/>
              <w:left w:w="108" w:type="dxa"/>
              <w:bottom w:w="0" w:type="dxa"/>
              <w:right w:w="108" w:type="dxa"/>
            </w:tcMar>
            <w:hideMark/>
          </w:tcPr>
          <w:p w:rsidRPr="00302BEE" w:rsidR="006309B5" w:rsidP="0057236D" w:rsidRDefault="006309B5" w14:paraId="431B1D8B" w14:textId="77777777">
            <w:pPr>
              <w:spacing w:after="0" w:line="240" w:lineRule="atLeast"/>
              <w:rPr>
                <w:rFonts w:ascii="Segoe UI" w:hAnsi="Segoe UI" w:cs="Segoe UI"/>
              </w:rPr>
            </w:pPr>
            <w:r w:rsidRPr="00302BEE">
              <w:rPr>
                <w:rFonts w:ascii="Segoe UI" w:hAnsi="Segoe UI" w:cs="Segoe UI"/>
              </w:rPr>
              <w:t xml:space="preserve">OKT </w:t>
            </w:r>
            <w:proofErr w:type="spellStart"/>
            <w:r w:rsidRPr="00302BEE">
              <w:rPr>
                <w:rFonts w:ascii="Segoe UI" w:hAnsi="Segoe UI" w:cs="Segoe UI"/>
              </w:rPr>
              <w:t>Shortrack</w:t>
            </w:r>
            <w:proofErr w:type="spellEnd"/>
            <w:r w:rsidRPr="00302BEE">
              <w:rPr>
                <w:rFonts w:ascii="Segoe UI" w:hAnsi="Segoe UI" w:cs="Segoe UI"/>
              </w:rPr>
              <w:t xml:space="preserve"> 2025 </w:t>
            </w:r>
          </w:p>
        </w:tc>
        <w:tc>
          <w:tcPr>
            <w:tcW w:w="2152" w:type="dxa"/>
            <w:tcMar>
              <w:top w:w="0" w:type="dxa"/>
              <w:left w:w="108" w:type="dxa"/>
              <w:bottom w:w="0" w:type="dxa"/>
              <w:right w:w="108" w:type="dxa"/>
            </w:tcMar>
            <w:hideMark/>
          </w:tcPr>
          <w:p w:rsidRPr="00302BEE" w:rsidR="006309B5" w:rsidP="00BA4CA9" w:rsidRDefault="006309B5" w14:paraId="0249383D" w14:textId="77777777">
            <w:pPr>
              <w:spacing w:after="0" w:line="240" w:lineRule="atLeast"/>
              <w:jc w:val="right"/>
              <w:rPr>
                <w:rFonts w:ascii="Segoe UI" w:hAnsi="Segoe UI" w:cs="Segoe UI"/>
              </w:rPr>
            </w:pPr>
            <w:r w:rsidRPr="00302BEE">
              <w:rPr>
                <w:rFonts w:ascii="Segoe UI" w:hAnsi="Segoe UI" w:cs="Segoe UI"/>
              </w:rPr>
              <w:t xml:space="preserve">€ 427.168 </w:t>
            </w:r>
          </w:p>
        </w:tc>
      </w:tr>
      <w:tr w:rsidRPr="00302BEE" w:rsidR="006309B5" w:rsidTr="0001542E" w14:paraId="6C1AA6A2" w14:textId="77777777">
        <w:trPr>
          <w:trHeight w:val="121"/>
        </w:trPr>
        <w:tc>
          <w:tcPr>
            <w:tcW w:w="4988" w:type="dxa"/>
            <w:tcMar>
              <w:top w:w="0" w:type="dxa"/>
              <w:left w:w="108" w:type="dxa"/>
              <w:bottom w:w="0" w:type="dxa"/>
              <w:right w:w="108" w:type="dxa"/>
            </w:tcMar>
            <w:hideMark/>
          </w:tcPr>
          <w:p w:rsidRPr="00302BEE" w:rsidR="006309B5" w:rsidP="0057236D" w:rsidRDefault="006309B5" w14:paraId="51A27416" w14:textId="77777777">
            <w:pPr>
              <w:spacing w:after="0" w:line="240" w:lineRule="atLeast"/>
              <w:rPr>
                <w:rFonts w:ascii="Segoe UI" w:hAnsi="Segoe UI" w:cs="Segoe UI"/>
              </w:rPr>
            </w:pPr>
            <w:r w:rsidRPr="00302BEE">
              <w:rPr>
                <w:rFonts w:ascii="Segoe UI" w:hAnsi="Segoe UI" w:cs="Segoe UI"/>
              </w:rPr>
              <w:t xml:space="preserve">World Tour 3x3 </w:t>
            </w:r>
            <w:proofErr w:type="spellStart"/>
            <w:r w:rsidRPr="00302BEE">
              <w:rPr>
                <w:rFonts w:ascii="Segoe UI" w:hAnsi="Segoe UI" w:cs="Segoe UI"/>
              </w:rPr>
              <w:t>Basketbal</w:t>
            </w:r>
            <w:proofErr w:type="spellEnd"/>
            <w:r w:rsidRPr="00302BEE">
              <w:rPr>
                <w:rFonts w:ascii="Segoe UI" w:hAnsi="Segoe UI" w:cs="Segoe UI"/>
              </w:rPr>
              <w:t xml:space="preserve"> 2025 </w:t>
            </w:r>
          </w:p>
        </w:tc>
        <w:tc>
          <w:tcPr>
            <w:tcW w:w="2152" w:type="dxa"/>
            <w:tcMar>
              <w:top w:w="0" w:type="dxa"/>
              <w:left w:w="108" w:type="dxa"/>
              <w:bottom w:w="0" w:type="dxa"/>
              <w:right w:w="108" w:type="dxa"/>
            </w:tcMar>
            <w:hideMark/>
          </w:tcPr>
          <w:p w:rsidRPr="00302BEE" w:rsidR="006309B5" w:rsidP="00BA4CA9" w:rsidRDefault="006309B5" w14:paraId="604C59B7" w14:textId="77777777">
            <w:pPr>
              <w:spacing w:after="0" w:line="240" w:lineRule="atLeast"/>
              <w:jc w:val="right"/>
              <w:rPr>
                <w:rFonts w:ascii="Segoe UI" w:hAnsi="Segoe UI" w:cs="Segoe UI"/>
              </w:rPr>
            </w:pPr>
            <w:r w:rsidRPr="00302BEE">
              <w:rPr>
                <w:rFonts w:ascii="Segoe UI" w:hAnsi="Segoe UI" w:cs="Segoe UI"/>
              </w:rPr>
              <w:t xml:space="preserve">€ 300.347 </w:t>
            </w:r>
          </w:p>
        </w:tc>
      </w:tr>
      <w:tr w:rsidRPr="00302BEE" w:rsidR="006309B5" w:rsidTr="0001542E" w14:paraId="0AA682B2" w14:textId="77777777">
        <w:trPr>
          <w:trHeight w:val="121"/>
        </w:trPr>
        <w:tc>
          <w:tcPr>
            <w:tcW w:w="4988" w:type="dxa"/>
            <w:tcMar>
              <w:top w:w="0" w:type="dxa"/>
              <w:left w:w="108" w:type="dxa"/>
              <w:bottom w:w="0" w:type="dxa"/>
              <w:right w:w="108" w:type="dxa"/>
            </w:tcMar>
            <w:hideMark/>
          </w:tcPr>
          <w:p w:rsidRPr="00302BEE" w:rsidR="006309B5" w:rsidP="0057236D" w:rsidRDefault="006309B5" w14:paraId="557776EF" w14:textId="77777777">
            <w:pPr>
              <w:spacing w:after="0" w:line="240" w:lineRule="atLeast"/>
              <w:rPr>
                <w:rFonts w:ascii="Segoe UI" w:hAnsi="Segoe UI" w:cs="Segoe UI"/>
              </w:rPr>
            </w:pPr>
            <w:r w:rsidRPr="00302BEE">
              <w:rPr>
                <w:rFonts w:ascii="Segoe UI" w:hAnsi="Segoe UI" w:cs="Segoe UI"/>
              </w:rPr>
              <w:t xml:space="preserve">EK Kendo 2025 </w:t>
            </w:r>
          </w:p>
        </w:tc>
        <w:tc>
          <w:tcPr>
            <w:tcW w:w="2152" w:type="dxa"/>
            <w:tcMar>
              <w:top w:w="0" w:type="dxa"/>
              <w:left w:w="108" w:type="dxa"/>
              <w:bottom w:w="0" w:type="dxa"/>
              <w:right w:w="108" w:type="dxa"/>
            </w:tcMar>
            <w:hideMark/>
          </w:tcPr>
          <w:p w:rsidRPr="00302BEE" w:rsidR="006309B5" w:rsidP="00BA4CA9" w:rsidRDefault="006309B5" w14:paraId="631A7FD2" w14:textId="77777777">
            <w:pPr>
              <w:spacing w:after="0" w:line="240" w:lineRule="atLeast"/>
              <w:jc w:val="right"/>
              <w:rPr>
                <w:rFonts w:ascii="Segoe UI" w:hAnsi="Segoe UI" w:cs="Segoe UI"/>
              </w:rPr>
            </w:pPr>
            <w:r w:rsidRPr="00302BEE">
              <w:rPr>
                <w:rFonts w:ascii="Segoe UI" w:hAnsi="Segoe UI" w:cs="Segoe UI"/>
              </w:rPr>
              <w:t xml:space="preserve">€ 54.038 </w:t>
            </w:r>
          </w:p>
        </w:tc>
      </w:tr>
      <w:tr w:rsidRPr="00302BEE" w:rsidR="006309B5" w:rsidTr="0001542E" w14:paraId="021701F3" w14:textId="77777777">
        <w:trPr>
          <w:trHeight w:val="121"/>
        </w:trPr>
        <w:tc>
          <w:tcPr>
            <w:tcW w:w="4988" w:type="dxa"/>
            <w:tcMar>
              <w:top w:w="0" w:type="dxa"/>
              <w:left w:w="108" w:type="dxa"/>
              <w:bottom w:w="0" w:type="dxa"/>
              <w:right w:w="108" w:type="dxa"/>
            </w:tcMar>
            <w:hideMark/>
          </w:tcPr>
          <w:p w:rsidRPr="00302BEE" w:rsidR="006309B5" w:rsidP="0057236D" w:rsidRDefault="006309B5" w14:paraId="30F08D41" w14:textId="77777777">
            <w:pPr>
              <w:spacing w:after="0" w:line="240" w:lineRule="atLeast"/>
              <w:rPr>
                <w:rFonts w:ascii="Segoe UI" w:hAnsi="Segoe UI" w:cs="Segoe UI"/>
              </w:rPr>
            </w:pPr>
            <w:r w:rsidRPr="00302BEE">
              <w:rPr>
                <w:rFonts w:ascii="Segoe UI" w:hAnsi="Segoe UI" w:cs="Segoe UI"/>
              </w:rPr>
              <w:t xml:space="preserve">EK </w:t>
            </w:r>
            <w:proofErr w:type="spellStart"/>
            <w:r w:rsidRPr="00302BEE">
              <w:rPr>
                <w:rFonts w:ascii="Segoe UI" w:hAnsi="Segoe UI" w:cs="Segoe UI"/>
              </w:rPr>
              <w:t>Dansen</w:t>
            </w:r>
            <w:proofErr w:type="spellEnd"/>
            <w:r w:rsidRPr="00302BEE">
              <w:rPr>
                <w:rFonts w:ascii="Segoe UI" w:hAnsi="Segoe UI" w:cs="Segoe UI"/>
              </w:rPr>
              <w:t xml:space="preserve"> Latin 2025</w:t>
            </w:r>
          </w:p>
        </w:tc>
        <w:tc>
          <w:tcPr>
            <w:tcW w:w="2152" w:type="dxa"/>
            <w:tcMar>
              <w:top w:w="0" w:type="dxa"/>
              <w:left w:w="108" w:type="dxa"/>
              <w:bottom w:w="0" w:type="dxa"/>
              <w:right w:w="108" w:type="dxa"/>
            </w:tcMar>
            <w:hideMark/>
          </w:tcPr>
          <w:p w:rsidRPr="00302BEE" w:rsidR="006309B5" w:rsidP="00BA4CA9" w:rsidRDefault="006309B5" w14:paraId="1767BEFF" w14:textId="77777777">
            <w:pPr>
              <w:spacing w:after="0" w:line="240" w:lineRule="atLeast"/>
              <w:jc w:val="right"/>
              <w:rPr>
                <w:rFonts w:ascii="Segoe UI" w:hAnsi="Segoe UI" w:cs="Segoe UI"/>
              </w:rPr>
            </w:pPr>
            <w:r w:rsidRPr="00302BEE">
              <w:rPr>
                <w:rFonts w:ascii="Segoe UI" w:hAnsi="Segoe UI" w:cs="Segoe UI"/>
              </w:rPr>
              <w:t>€ 65.063</w:t>
            </w:r>
          </w:p>
        </w:tc>
      </w:tr>
      <w:tr w:rsidRPr="00302BEE" w:rsidR="006309B5" w:rsidTr="0001542E" w14:paraId="21103B6E" w14:textId="77777777">
        <w:trPr>
          <w:trHeight w:val="121"/>
        </w:trPr>
        <w:tc>
          <w:tcPr>
            <w:tcW w:w="4988" w:type="dxa"/>
            <w:tcMar>
              <w:top w:w="0" w:type="dxa"/>
              <w:left w:w="108" w:type="dxa"/>
              <w:bottom w:w="0" w:type="dxa"/>
              <w:right w:w="108" w:type="dxa"/>
            </w:tcMar>
            <w:hideMark/>
          </w:tcPr>
          <w:p w:rsidRPr="00302BEE" w:rsidR="006309B5" w:rsidP="0057236D" w:rsidRDefault="006309B5" w14:paraId="47B27B6D" w14:textId="08DFDCC5">
            <w:pPr>
              <w:spacing w:after="0" w:line="240" w:lineRule="atLeast"/>
              <w:rPr>
                <w:rFonts w:ascii="Segoe UI" w:hAnsi="Segoe UI" w:cs="Segoe UI"/>
              </w:rPr>
            </w:pPr>
            <w:r w:rsidRPr="00302BEE">
              <w:rPr>
                <w:rFonts w:ascii="Segoe UI" w:hAnsi="Segoe UI" w:cs="Segoe UI"/>
              </w:rPr>
              <w:t>Grand Prix Archery 2025</w:t>
            </w:r>
          </w:p>
        </w:tc>
        <w:tc>
          <w:tcPr>
            <w:tcW w:w="2152" w:type="dxa"/>
            <w:tcMar>
              <w:top w:w="0" w:type="dxa"/>
              <w:left w:w="108" w:type="dxa"/>
              <w:bottom w:w="0" w:type="dxa"/>
              <w:right w:w="108" w:type="dxa"/>
            </w:tcMar>
            <w:hideMark/>
          </w:tcPr>
          <w:p w:rsidRPr="00302BEE" w:rsidR="006309B5" w:rsidP="00BA4CA9" w:rsidRDefault="006309B5" w14:paraId="2535EEA0" w14:textId="77777777">
            <w:pPr>
              <w:spacing w:after="0" w:line="240" w:lineRule="atLeast"/>
              <w:jc w:val="right"/>
              <w:rPr>
                <w:rFonts w:ascii="Segoe UI" w:hAnsi="Segoe UI" w:cs="Segoe UI"/>
              </w:rPr>
            </w:pPr>
            <w:r w:rsidRPr="00302BEE">
              <w:rPr>
                <w:rFonts w:ascii="Segoe UI" w:hAnsi="Segoe UI" w:cs="Segoe UI"/>
              </w:rPr>
              <w:t>€ 109.681</w:t>
            </w:r>
          </w:p>
        </w:tc>
      </w:tr>
    </w:tbl>
    <w:p w:rsidR="0001542E" w:rsidP="0001542E" w:rsidRDefault="0001542E" w14:paraId="30CED24E" w14:textId="77777777">
      <w:pPr>
        <w:widowControl w:val="0"/>
        <w:suppressAutoHyphens/>
        <w:autoSpaceDN w:val="0"/>
        <w:spacing w:after="0" w:line="240" w:lineRule="atLeast"/>
        <w:contextualSpacing/>
        <w:rPr>
          <w:rFonts w:eastAsia="Calibri" w:cs="Mangal"/>
          <w:szCs w:val="18"/>
          <w:lang w:val="nl-NL"/>
        </w:rPr>
      </w:pPr>
    </w:p>
    <w:p w:rsidR="008F54AB" w:rsidRDefault="008F54AB" w14:paraId="7AC38F00" w14:textId="77777777">
      <w:pPr>
        <w:rPr>
          <w:rFonts w:eastAsia="Calibri" w:cs="Mangal"/>
          <w:b/>
          <w:bCs/>
          <w:szCs w:val="18"/>
          <w:lang w:val="nl-NL"/>
        </w:rPr>
      </w:pPr>
      <w:r>
        <w:br w:type="page"/>
      </w:r>
    </w:p>
    <w:p w:rsidRPr="00B073AC" w:rsidR="0001542E" w:rsidP="0001542E" w:rsidRDefault="0001542E" w14:paraId="0966C2A5" w14:textId="5A89FD34">
      <w:pPr>
        <w:pStyle w:val="Kop1"/>
      </w:pPr>
      <w:r w:rsidRPr="00B073AC">
        <w:lastRenderedPageBreak/>
        <w:t>Topsportbegroting NOC*NSF</w:t>
      </w:r>
    </w:p>
    <w:p w:rsidR="0001542E" w:rsidP="0001542E" w:rsidRDefault="0001542E" w14:paraId="4645F248" w14:textId="07B7D865">
      <w:pPr>
        <w:spacing w:after="0" w:line="240" w:lineRule="atLeast"/>
        <w:rPr>
          <w:lang w:val="nl-NL"/>
        </w:rPr>
      </w:pPr>
      <w:r w:rsidRPr="00B073AC">
        <w:rPr>
          <w:lang w:val="nl-NL"/>
        </w:rPr>
        <w:t>In 2018 is toegezegd</w:t>
      </w:r>
      <w:r>
        <w:rPr>
          <w:rStyle w:val="Voetnootmarkering"/>
          <w:lang w:val="nl-NL"/>
        </w:rPr>
        <w:footnoteReference w:id="16"/>
      </w:r>
      <w:r w:rsidRPr="00B073AC">
        <w:rPr>
          <w:lang w:val="nl-NL"/>
        </w:rPr>
        <w:t xml:space="preserve"> de Kamer jaarlijks te informeren over de bestedingsdoelen van de topsportmiddelen van VWS die door NOC*NSF via een instellingssubsidie worden aangevraagd</w:t>
      </w:r>
      <w:r w:rsidRPr="00C557C7">
        <w:rPr>
          <w:lang w:val="nl-NL"/>
        </w:rPr>
        <w:t xml:space="preserve">. In bijlage </w:t>
      </w:r>
      <w:r>
        <w:rPr>
          <w:lang w:val="nl-NL"/>
        </w:rPr>
        <w:t>1</w:t>
      </w:r>
      <w:r w:rsidR="00D25507">
        <w:rPr>
          <w:lang w:val="nl-NL"/>
        </w:rPr>
        <w:t>2</w:t>
      </w:r>
      <w:r w:rsidRPr="00B073AC">
        <w:rPr>
          <w:lang w:val="nl-NL"/>
        </w:rPr>
        <w:t xml:space="preserve"> is daarom de </w:t>
      </w:r>
      <w:proofErr w:type="spellStart"/>
      <w:r w:rsidRPr="00B073AC">
        <w:rPr>
          <w:lang w:val="nl-NL"/>
        </w:rPr>
        <w:t>factsheet</w:t>
      </w:r>
      <w:proofErr w:type="spellEnd"/>
      <w:r w:rsidRPr="00B073AC">
        <w:rPr>
          <w:lang w:val="nl-NL"/>
        </w:rPr>
        <w:t xml:space="preserve"> topsportbegroting 202</w:t>
      </w:r>
      <w:r>
        <w:rPr>
          <w:lang w:val="nl-NL"/>
        </w:rPr>
        <w:t>6</w:t>
      </w:r>
      <w:r w:rsidRPr="00B073AC">
        <w:rPr>
          <w:lang w:val="nl-NL"/>
        </w:rPr>
        <w:t xml:space="preserve"> van NOC*NSF opgenomen</w:t>
      </w:r>
      <w:r>
        <w:rPr>
          <w:lang w:val="nl-NL"/>
        </w:rPr>
        <w:t>.</w:t>
      </w:r>
    </w:p>
    <w:p w:rsidR="0001542E" w:rsidP="0001542E" w:rsidRDefault="0001542E" w14:paraId="046C92CB" w14:textId="77777777">
      <w:pPr>
        <w:spacing w:after="0" w:line="240" w:lineRule="atLeast"/>
        <w:rPr>
          <w:lang w:val="nl-NL"/>
        </w:rPr>
      </w:pPr>
    </w:p>
    <w:p w:rsidRPr="00876B58" w:rsidR="000D76E1" w:rsidP="000D76E1" w:rsidRDefault="000D76E1" w14:paraId="3161ABBE" w14:textId="4B4DEF6B">
      <w:pPr>
        <w:pStyle w:val="Kop1"/>
      </w:pPr>
      <w:r w:rsidRPr="00876B58">
        <w:t xml:space="preserve">Gezondheid en vitaliteit op de werkvloer </w:t>
      </w:r>
    </w:p>
    <w:p w:rsidRPr="00862F21" w:rsidR="00862F21" w:rsidP="00D0115D" w:rsidRDefault="007A549A" w14:paraId="263B5550" w14:textId="09D68E51">
      <w:pPr>
        <w:spacing w:after="0" w:line="240" w:lineRule="exact"/>
        <w:rPr>
          <w:lang w:val="nl-NL"/>
        </w:rPr>
      </w:pPr>
      <w:r>
        <w:rPr>
          <w:lang w:val="nl-NL"/>
        </w:rPr>
        <w:t xml:space="preserve">De motie van het lid </w:t>
      </w:r>
      <w:proofErr w:type="spellStart"/>
      <w:r>
        <w:rPr>
          <w:lang w:val="nl-NL"/>
        </w:rPr>
        <w:t>Richardson</w:t>
      </w:r>
      <w:proofErr w:type="spellEnd"/>
      <w:r>
        <w:rPr>
          <w:lang w:val="nl-NL"/>
        </w:rPr>
        <w:t xml:space="preserve"> (VVD)</w:t>
      </w:r>
      <w:r w:rsidRPr="00862F21">
        <w:rPr>
          <w:rStyle w:val="Voetnootmarkering"/>
          <w:szCs w:val="18"/>
        </w:rPr>
        <w:footnoteReference w:id="17"/>
      </w:r>
      <w:r w:rsidRPr="00862F21" w:rsidR="00862F21">
        <w:rPr>
          <w:lang w:val="nl-NL"/>
        </w:rPr>
        <w:t xml:space="preserve"> heeft</w:t>
      </w:r>
      <w:r>
        <w:rPr>
          <w:lang w:val="nl-NL"/>
        </w:rPr>
        <w:t xml:space="preserve"> mij</w:t>
      </w:r>
      <w:r w:rsidRPr="00862F21" w:rsidR="00862F21">
        <w:rPr>
          <w:lang w:val="nl-NL"/>
        </w:rPr>
        <w:t xml:space="preserve"> recent verzocht om in samenwerking met werkgevers en andere relevante partijen te komen tot toekomstbestendig beleid om werknemers zo lang mogelijk fit en gezond te houden. Dit vanuit de overweging dat bedrijven een grote rol kunnen en willen spelen bij het faciliteren</w:t>
      </w:r>
      <w:r w:rsidR="00F762FE">
        <w:rPr>
          <w:lang w:val="nl-NL"/>
        </w:rPr>
        <w:t xml:space="preserve"> en stimuleren</w:t>
      </w:r>
      <w:r w:rsidRPr="00862F21" w:rsidR="00862F21">
        <w:rPr>
          <w:lang w:val="nl-NL"/>
        </w:rPr>
        <w:t xml:space="preserve"> van</w:t>
      </w:r>
      <w:r w:rsidR="00F762FE">
        <w:rPr>
          <w:lang w:val="nl-NL"/>
        </w:rPr>
        <w:t xml:space="preserve"> vitaliteit</w:t>
      </w:r>
      <w:r w:rsidRPr="00862F21" w:rsidR="00862F21">
        <w:rPr>
          <w:lang w:val="nl-NL"/>
        </w:rPr>
        <w:t xml:space="preserve"> in een gezonde werkomgeving.</w:t>
      </w:r>
    </w:p>
    <w:p w:rsidR="00F762FE" w:rsidP="00F762FE" w:rsidRDefault="00F762FE" w14:paraId="036C84ED" w14:textId="77777777">
      <w:pPr>
        <w:spacing w:after="0" w:line="240" w:lineRule="exact"/>
        <w:rPr>
          <w:lang w:val="nl-NL"/>
        </w:rPr>
      </w:pPr>
    </w:p>
    <w:p w:rsidRPr="00862F21" w:rsidR="00862F21" w:rsidP="00D0115D" w:rsidRDefault="00862F21" w14:paraId="5B62035D" w14:textId="3544AB97">
      <w:pPr>
        <w:spacing w:after="0" w:line="240" w:lineRule="exact"/>
        <w:rPr>
          <w:lang w:val="nl-NL"/>
        </w:rPr>
      </w:pPr>
      <w:r w:rsidRPr="00862F21">
        <w:rPr>
          <w:lang w:val="nl-NL"/>
        </w:rPr>
        <w:t>In de Samenhangende preventiestrategie staat dat</w:t>
      </w:r>
      <w:r w:rsidR="00797528">
        <w:rPr>
          <w:lang w:val="nl-NL"/>
        </w:rPr>
        <w:t xml:space="preserve"> het ministerie van VWS</w:t>
      </w:r>
      <w:r w:rsidRPr="00862F21">
        <w:rPr>
          <w:lang w:val="nl-NL"/>
        </w:rPr>
        <w:t xml:space="preserve"> samen met werkgevers een aanpak gaa</w:t>
      </w:r>
      <w:r w:rsidR="00F762FE">
        <w:rPr>
          <w:lang w:val="nl-NL"/>
        </w:rPr>
        <w:t>t</w:t>
      </w:r>
      <w:r w:rsidRPr="00862F21">
        <w:rPr>
          <w:lang w:val="nl-NL"/>
        </w:rPr>
        <w:t xml:space="preserve"> uitwerken om de gezondheid en vitaliteit op de werkvloer te bevorderen (o</w:t>
      </w:r>
      <w:r w:rsidR="00E87290">
        <w:rPr>
          <w:lang w:val="nl-NL"/>
        </w:rPr>
        <w:t>nder andere een</w:t>
      </w:r>
      <w:r w:rsidRPr="00862F21">
        <w:rPr>
          <w:lang w:val="nl-NL"/>
        </w:rPr>
        <w:t xml:space="preserve"> gezonde leefstijl), als onderdeel van het beleid gericht op duurzame inzetbaarheid van 10 miljoen werkenden</w:t>
      </w:r>
      <w:r w:rsidR="00F762FE">
        <w:rPr>
          <w:lang w:val="nl-NL"/>
        </w:rPr>
        <w:t>.</w:t>
      </w:r>
      <w:r w:rsidRPr="00862F21">
        <w:rPr>
          <w:rStyle w:val="Voetnootmarkering"/>
          <w:szCs w:val="18"/>
          <w:lang w:val="nl-NL"/>
        </w:rPr>
        <w:footnoteReference w:id="18"/>
      </w:r>
      <w:r w:rsidRPr="00862F21">
        <w:rPr>
          <w:lang w:val="nl-NL"/>
        </w:rPr>
        <w:t xml:space="preserve"> Hierbij </w:t>
      </w:r>
      <w:r w:rsidR="00B6354D">
        <w:rPr>
          <w:lang w:val="nl-NL"/>
        </w:rPr>
        <w:t>worden ook</w:t>
      </w:r>
      <w:r w:rsidRPr="00862F21">
        <w:rPr>
          <w:lang w:val="nl-NL"/>
        </w:rPr>
        <w:t xml:space="preserve"> werkgevers-, werknemers- en brancheorganisaties</w:t>
      </w:r>
      <w:r w:rsidR="00B6354D">
        <w:rPr>
          <w:lang w:val="nl-NL"/>
        </w:rPr>
        <w:t xml:space="preserve"> betrokken</w:t>
      </w:r>
      <w:r w:rsidRPr="00862F21">
        <w:rPr>
          <w:lang w:val="nl-NL"/>
        </w:rPr>
        <w:t xml:space="preserve">. </w:t>
      </w:r>
    </w:p>
    <w:p w:rsidR="00F762FE" w:rsidP="00F762FE" w:rsidRDefault="00F762FE" w14:paraId="6DCD61FE" w14:textId="77777777">
      <w:pPr>
        <w:spacing w:after="0" w:line="240" w:lineRule="exact"/>
        <w:rPr>
          <w:lang w:val="nl-NL"/>
        </w:rPr>
      </w:pPr>
    </w:p>
    <w:p w:rsidRPr="00862F21" w:rsidR="00862F21" w:rsidP="00D0115D" w:rsidRDefault="00F762FE" w14:paraId="5A27E63E" w14:textId="665C2849">
      <w:pPr>
        <w:spacing w:after="0" w:line="240" w:lineRule="exact"/>
        <w:rPr>
          <w:lang w:val="nl-NL"/>
        </w:rPr>
      </w:pPr>
      <w:r>
        <w:rPr>
          <w:lang w:val="nl-NL"/>
        </w:rPr>
        <w:t xml:space="preserve">Vanuit de Arbowet- en regelgeving is de werkgever verantwoordelijk voor gezonde en veilige werkomstandigheden. </w:t>
      </w:r>
      <w:r w:rsidR="00DD4FC5">
        <w:rPr>
          <w:lang w:val="nl-NL"/>
        </w:rPr>
        <w:t>Het is</w:t>
      </w:r>
      <w:r>
        <w:rPr>
          <w:lang w:val="nl-NL"/>
        </w:rPr>
        <w:t xml:space="preserve"> in eerste instantie</w:t>
      </w:r>
      <w:r w:rsidR="00DD4FC5">
        <w:rPr>
          <w:lang w:val="nl-NL"/>
        </w:rPr>
        <w:t xml:space="preserve"> de verantwoordelijkheid van werkgevers om </w:t>
      </w:r>
      <w:r>
        <w:rPr>
          <w:lang w:val="nl-NL"/>
        </w:rPr>
        <w:t>ervoor te zorgen dat werknemers een gezonde werkplek hebben en niet te veel zitten</w:t>
      </w:r>
      <w:r w:rsidR="00DD4FC5">
        <w:rPr>
          <w:lang w:val="nl-NL"/>
        </w:rPr>
        <w:t xml:space="preserve">. </w:t>
      </w:r>
      <w:r w:rsidR="00B6354D">
        <w:rPr>
          <w:lang w:val="nl-NL"/>
        </w:rPr>
        <w:t>Echter, z</w:t>
      </w:r>
      <w:r w:rsidR="00DD4FC5">
        <w:rPr>
          <w:lang w:val="nl-NL"/>
        </w:rPr>
        <w:t xml:space="preserve">ij weten vaak niet hoe of waar te beginnen. </w:t>
      </w:r>
      <w:r w:rsidR="00A44970">
        <w:rPr>
          <w:lang w:val="nl-NL"/>
        </w:rPr>
        <w:t>Daarom werken p</w:t>
      </w:r>
      <w:r w:rsidRPr="00862F21" w:rsidR="00862F21">
        <w:rPr>
          <w:lang w:val="nl-NL"/>
        </w:rPr>
        <w:t xml:space="preserve">artijen zoals TNO, de Beweegalliantie en Kenniscentrum Sport &amp; Bewegen samen met elkaar én </w:t>
      </w:r>
      <w:r w:rsidR="00E87290">
        <w:rPr>
          <w:lang w:val="nl-NL"/>
        </w:rPr>
        <w:t xml:space="preserve">met </w:t>
      </w:r>
      <w:r w:rsidRPr="00862F21" w:rsidR="00862F21">
        <w:rPr>
          <w:lang w:val="nl-NL"/>
        </w:rPr>
        <w:t>werkgevers om goede voorbeelden over minder zitten en meer bewegen op het werk te delen en werkgevers te inspireren</w:t>
      </w:r>
      <w:r w:rsidR="00B6354D">
        <w:rPr>
          <w:lang w:val="nl-NL"/>
        </w:rPr>
        <w:t>.</w:t>
      </w:r>
      <w:r w:rsidRPr="00862F21" w:rsidR="00862F21">
        <w:rPr>
          <w:rStyle w:val="Voetnootmarkering"/>
          <w:szCs w:val="18"/>
          <w:lang w:val="nl-NL"/>
        </w:rPr>
        <w:footnoteReference w:id="19"/>
      </w:r>
      <w:r w:rsidR="00B6354D">
        <w:rPr>
          <w:lang w:val="nl-NL"/>
        </w:rPr>
        <w:t xml:space="preserve"> </w:t>
      </w:r>
      <w:r w:rsidR="00A44970">
        <w:rPr>
          <w:lang w:val="nl-NL"/>
        </w:rPr>
        <w:t>Daarnaast zijn praktijktools en implementatieaanpakken voor werkgevers ontwikkeld en verspreid om werkgevers ook praktisch op weg te helpen</w:t>
      </w:r>
      <w:r>
        <w:rPr>
          <w:lang w:val="nl-NL"/>
        </w:rPr>
        <w:t>.</w:t>
      </w:r>
      <w:r w:rsidRPr="00862F21" w:rsidR="00A44970">
        <w:rPr>
          <w:rStyle w:val="Voetnootmarkering"/>
          <w:szCs w:val="18"/>
          <w:lang w:val="nl-NL"/>
        </w:rPr>
        <w:footnoteReference w:id="20"/>
      </w:r>
      <w:r w:rsidRPr="00862F21" w:rsidR="00A44970">
        <w:rPr>
          <w:vertAlign w:val="superscript"/>
          <w:lang w:val="nl-NL"/>
        </w:rPr>
        <w:t>,</w:t>
      </w:r>
      <w:r w:rsidRPr="00862F21" w:rsidR="00A44970">
        <w:rPr>
          <w:rStyle w:val="Voetnootmarkering"/>
          <w:szCs w:val="18"/>
          <w:lang w:val="nl-NL"/>
        </w:rPr>
        <w:footnoteReference w:id="21"/>
      </w:r>
      <w:r w:rsidRPr="00862F21" w:rsidR="00A44970">
        <w:rPr>
          <w:vertAlign w:val="superscript"/>
          <w:lang w:val="nl-NL"/>
        </w:rPr>
        <w:t>,</w:t>
      </w:r>
      <w:r w:rsidRPr="00862F21" w:rsidR="00A44970">
        <w:rPr>
          <w:rStyle w:val="Voetnootmarkering"/>
          <w:szCs w:val="18"/>
          <w:lang w:val="nl-NL"/>
        </w:rPr>
        <w:footnoteReference w:id="22"/>
      </w:r>
      <w:r w:rsidR="00E87290">
        <w:rPr>
          <w:lang w:val="nl-NL"/>
        </w:rPr>
        <w:t xml:space="preserve"> </w:t>
      </w:r>
      <w:r w:rsidR="00536CB9">
        <w:rPr>
          <w:lang w:val="nl-NL"/>
        </w:rPr>
        <w:t>Ook</w:t>
      </w:r>
      <w:r w:rsidR="00A44970">
        <w:rPr>
          <w:lang w:val="nl-NL"/>
        </w:rPr>
        <w:t xml:space="preserve"> is een </w:t>
      </w:r>
      <w:proofErr w:type="spellStart"/>
      <w:r w:rsidR="00BA4CA9">
        <w:rPr>
          <w:lang w:val="nl-NL"/>
        </w:rPr>
        <w:t>w</w:t>
      </w:r>
      <w:r w:rsidR="00A44970">
        <w:rPr>
          <w:lang w:val="nl-NL"/>
        </w:rPr>
        <w:t>ebinar</w:t>
      </w:r>
      <w:proofErr w:type="spellEnd"/>
      <w:r w:rsidR="00A44970">
        <w:rPr>
          <w:lang w:val="nl-NL"/>
        </w:rPr>
        <w:t xml:space="preserve"> georganiseerd over het belang van een actieve werkdag voor werknemers en werkgevers met aandacht voor praktische tips en tools</w:t>
      </w:r>
      <w:r>
        <w:rPr>
          <w:lang w:val="nl-NL"/>
        </w:rPr>
        <w:t>.</w:t>
      </w:r>
      <w:r w:rsidRPr="00862F21" w:rsidR="00A44970">
        <w:rPr>
          <w:rStyle w:val="Voetnootmarkering"/>
          <w:szCs w:val="18"/>
          <w:lang w:val="nl-NL"/>
        </w:rPr>
        <w:footnoteReference w:id="23"/>
      </w:r>
    </w:p>
    <w:p w:rsidR="00F762FE" w:rsidP="00F762FE" w:rsidRDefault="00F762FE" w14:paraId="4522B259" w14:textId="77777777">
      <w:pPr>
        <w:spacing w:after="0" w:line="240" w:lineRule="exact"/>
        <w:rPr>
          <w:lang w:val="nl-NL"/>
        </w:rPr>
      </w:pPr>
    </w:p>
    <w:p w:rsidRPr="00862F21" w:rsidR="00862F21" w:rsidP="00D0115D" w:rsidRDefault="00F762FE" w14:paraId="5BAD1DEE" w14:textId="76F18AC8">
      <w:pPr>
        <w:spacing w:after="0" w:line="240" w:lineRule="exact"/>
        <w:rPr>
          <w:lang w:val="nl-NL"/>
        </w:rPr>
      </w:pPr>
      <w:r>
        <w:rPr>
          <w:lang w:val="nl-NL"/>
        </w:rPr>
        <w:t>Daarnaast</w:t>
      </w:r>
      <w:r w:rsidRPr="00862F21">
        <w:rPr>
          <w:lang w:val="nl-NL"/>
        </w:rPr>
        <w:t xml:space="preserve"> </w:t>
      </w:r>
      <w:r w:rsidRPr="00862F21" w:rsidR="00862F21">
        <w:rPr>
          <w:lang w:val="nl-NL"/>
        </w:rPr>
        <w:t>heeft de Beweegalliantie eind 2025 samen met FNV een inspiratiesessie georganiseerd voor de vertegenwoordigers van werkgevers en werknemers (de sociale partners) over meer en beter bewegen op de werkvloer en hoe dit als gezamenlijke verantwoordelijkheid opgepakt kan worden. Onder meer is ingegaan op de invloed die cao’s kunnen hebben om bewegen tijdens de werkdag te stimuleren, inclusief tips voor cao-onderhandelaars</w:t>
      </w:r>
      <w:r w:rsidR="00E87290">
        <w:rPr>
          <w:lang w:val="nl-NL"/>
        </w:rPr>
        <w:t xml:space="preserve">. </w:t>
      </w:r>
      <w:r>
        <w:rPr>
          <w:lang w:val="nl-NL"/>
        </w:rPr>
        <w:t>Stichting</w:t>
      </w:r>
      <w:r w:rsidRPr="00862F21" w:rsidR="00862F21">
        <w:rPr>
          <w:lang w:val="nl-NL"/>
        </w:rPr>
        <w:t xml:space="preserve"> JOGG</w:t>
      </w:r>
      <w:r>
        <w:rPr>
          <w:lang w:val="nl-NL"/>
        </w:rPr>
        <w:t xml:space="preserve"> (voorheen voluit Jongeren Op Gezond Gewicht)</w:t>
      </w:r>
      <w:r w:rsidRPr="00862F21" w:rsidR="00862F21">
        <w:rPr>
          <w:lang w:val="nl-NL"/>
        </w:rPr>
        <w:t xml:space="preserve"> </w:t>
      </w:r>
      <w:r>
        <w:rPr>
          <w:lang w:val="nl-NL"/>
        </w:rPr>
        <w:t xml:space="preserve">zet </w:t>
      </w:r>
      <w:r w:rsidRPr="00862F21" w:rsidR="00862F21">
        <w:rPr>
          <w:lang w:val="nl-NL"/>
        </w:rPr>
        <w:t>zich samen met diverse andere partijen in voor beroepsvitaliteit in beroepsopleidingen, zodat mbo-professionals hun toekomstige beroep vitaal en duurzaam kunnen uitoefenen</w:t>
      </w:r>
      <w:r w:rsidR="00FC0689">
        <w:rPr>
          <w:lang w:val="nl-NL"/>
        </w:rPr>
        <w:t>.</w:t>
      </w:r>
    </w:p>
    <w:p w:rsidR="00F762FE" w:rsidP="00F762FE" w:rsidRDefault="00F762FE" w14:paraId="3C9BC27D" w14:textId="77777777">
      <w:pPr>
        <w:spacing w:after="0" w:line="240" w:lineRule="exact"/>
        <w:rPr>
          <w:lang w:val="nl-NL"/>
        </w:rPr>
      </w:pPr>
    </w:p>
    <w:p w:rsidRPr="00862F21" w:rsidR="00157642" w:rsidP="00D0115D" w:rsidRDefault="00862F21" w14:paraId="6AA033D8" w14:textId="2B661D42">
      <w:pPr>
        <w:spacing w:after="0" w:line="240" w:lineRule="exact"/>
        <w:rPr>
          <w:lang w:val="nl-NL"/>
        </w:rPr>
      </w:pPr>
      <w:r w:rsidRPr="00862F21">
        <w:rPr>
          <w:lang w:val="nl-NL"/>
        </w:rPr>
        <w:t>Zoals eerder aangegeven zal ik u in het voorjaar van 2026 nader informeren over de voortgang van de preventiestrategie. Ik beschouw hiermee de motie als afgedaan.</w:t>
      </w:r>
    </w:p>
    <w:sectPr w:rsidRPr="00862F21" w:rsidR="00157642" w:rsidSect="001E6A24">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BFFEE" w14:textId="77777777" w:rsidR="0058156A" w:rsidRDefault="0058156A" w:rsidP="00103013">
      <w:pPr>
        <w:spacing w:after="0" w:line="240" w:lineRule="auto"/>
      </w:pPr>
      <w:r>
        <w:separator/>
      </w:r>
    </w:p>
  </w:endnote>
  <w:endnote w:type="continuationSeparator" w:id="0">
    <w:p w14:paraId="1DA4A38F" w14:textId="77777777" w:rsidR="0058156A" w:rsidRDefault="0058156A" w:rsidP="00103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Urbanist-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CBCF0" w14:textId="77777777" w:rsidR="0058156A" w:rsidRDefault="0058156A" w:rsidP="00103013">
      <w:pPr>
        <w:spacing w:after="0" w:line="240" w:lineRule="auto"/>
      </w:pPr>
      <w:r>
        <w:separator/>
      </w:r>
    </w:p>
  </w:footnote>
  <w:footnote w:type="continuationSeparator" w:id="0">
    <w:p w14:paraId="63BFABAB" w14:textId="77777777" w:rsidR="0058156A" w:rsidRDefault="0058156A" w:rsidP="00103013">
      <w:pPr>
        <w:spacing w:after="0" w:line="240" w:lineRule="auto"/>
      </w:pPr>
      <w:r>
        <w:continuationSeparator/>
      </w:r>
    </w:p>
  </w:footnote>
  <w:footnote w:id="1">
    <w:p w14:paraId="0B7005A0" w14:textId="3E245D9B" w:rsidR="00CB717A" w:rsidRPr="007E1593" w:rsidRDefault="00CB717A" w:rsidP="00CB717A">
      <w:pPr>
        <w:pStyle w:val="Voetnoottekst"/>
        <w:rPr>
          <w:rFonts w:ascii="Verdana" w:hAnsi="Verdana"/>
          <w:sz w:val="14"/>
          <w:szCs w:val="14"/>
        </w:rPr>
      </w:pPr>
      <w:r w:rsidRPr="007E1593">
        <w:rPr>
          <w:rStyle w:val="Voetnootmarkering"/>
          <w:rFonts w:ascii="Verdana" w:hAnsi="Verdana"/>
          <w:sz w:val="14"/>
          <w:szCs w:val="14"/>
        </w:rPr>
        <w:footnoteRef/>
      </w:r>
      <w:r w:rsidRPr="007E1593">
        <w:rPr>
          <w:rFonts w:ascii="Verdana" w:hAnsi="Verdana"/>
          <w:sz w:val="14"/>
          <w:szCs w:val="14"/>
        </w:rPr>
        <w:t xml:space="preserve"> Kamerstukken II 2024/25 36 600, nr. 128</w:t>
      </w:r>
      <w:r w:rsidR="0079775F">
        <w:rPr>
          <w:rFonts w:ascii="Verdana" w:hAnsi="Verdana"/>
          <w:sz w:val="14"/>
          <w:szCs w:val="14"/>
        </w:rPr>
        <w:t>.</w:t>
      </w:r>
    </w:p>
  </w:footnote>
  <w:footnote w:id="2">
    <w:p w14:paraId="201A4FC7" w14:textId="2B00C223" w:rsidR="004D2E1C" w:rsidRPr="007E1593" w:rsidRDefault="004D2E1C">
      <w:pPr>
        <w:pStyle w:val="Voetnoottekst"/>
        <w:rPr>
          <w:rFonts w:ascii="Verdana" w:hAnsi="Verdana"/>
          <w:sz w:val="14"/>
          <w:szCs w:val="14"/>
        </w:rPr>
      </w:pPr>
      <w:r w:rsidRPr="007E1593">
        <w:rPr>
          <w:rStyle w:val="Voetnootmarkering"/>
          <w:rFonts w:ascii="Verdana" w:hAnsi="Verdana"/>
          <w:sz w:val="14"/>
          <w:szCs w:val="14"/>
        </w:rPr>
        <w:footnoteRef/>
      </w:r>
      <w:r w:rsidRPr="007E1593">
        <w:rPr>
          <w:rFonts w:ascii="Verdana" w:hAnsi="Verdana"/>
          <w:sz w:val="14"/>
          <w:szCs w:val="14"/>
        </w:rPr>
        <w:t xml:space="preserve"> TZ202507-012</w:t>
      </w:r>
      <w:r w:rsidR="0079775F">
        <w:rPr>
          <w:rFonts w:ascii="Verdana" w:hAnsi="Verdana"/>
          <w:sz w:val="14"/>
          <w:szCs w:val="14"/>
        </w:rPr>
        <w:t>.</w:t>
      </w:r>
    </w:p>
  </w:footnote>
  <w:footnote w:id="3">
    <w:p w14:paraId="0E0AB1F2" w14:textId="1427C746" w:rsidR="00704C3A" w:rsidRPr="007E1593" w:rsidRDefault="00704C3A" w:rsidP="00704C3A">
      <w:pPr>
        <w:pStyle w:val="Voetnoottekst"/>
        <w:rPr>
          <w:rFonts w:ascii="Verdana" w:hAnsi="Verdana"/>
          <w:sz w:val="14"/>
          <w:szCs w:val="14"/>
        </w:rPr>
      </w:pPr>
      <w:r w:rsidRPr="007E1593">
        <w:rPr>
          <w:rStyle w:val="Voetnootmarkering"/>
          <w:rFonts w:ascii="Verdana" w:hAnsi="Verdana"/>
          <w:sz w:val="14"/>
          <w:szCs w:val="14"/>
        </w:rPr>
        <w:footnoteRef/>
      </w:r>
      <w:r w:rsidRPr="007E1593">
        <w:rPr>
          <w:rFonts w:ascii="Verdana" w:hAnsi="Verdana"/>
          <w:sz w:val="14"/>
          <w:szCs w:val="14"/>
        </w:rPr>
        <w:t xml:space="preserve"> Kamerstukken II 2024/25 30 234, nr. 400</w:t>
      </w:r>
      <w:r w:rsidR="0079775F">
        <w:rPr>
          <w:rFonts w:ascii="Verdana" w:hAnsi="Verdana"/>
          <w:sz w:val="14"/>
          <w:szCs w:val="14"/>
        </w:rPr>
        <w:t>.</w:t>
      </w:r>
    </w:p>
  </w:footnote>
  <w:footnote w:id="4">
    <w:p w14:paraId="51976FEC" w14:textId="77777777" w:rsidR="00CB527D" w:rsidRPr="007E1593" w:rsidRDefault="00CB527D" w:rsidP="00CB527D">
      <w:pPr>
        <w:pStyle w:val="Voetnoottekst"/>
        <w:rPr>
          <w:rFonts w:ascii="Verdana" w:hAnsi="Verdana"/>
          <w:sz w:val="14"/>
          <w:szCs w:val="14"/>
        </w:rPr>
      </w:pPr>
      <w:r w:rsidRPr="007E1593">
        <w:rPr>
          <w:rStyle w:val="Voetnootmarkering"/>
          <w:rFonts w:ascii="Verdana" w:hAnsi="Verdana"/>
          <w:sz w:val="14"/>
          <w:szCs w:val="14"/>
        </w:rPr>
        <w:footnoteRef/>
      </w:r>
      <w:r w:rsidRPr="007E1593">
        <w:rPr>
          <w:rFonts w:ascii="Verdana" w:hAnsi="Verdana"/>
          <w:sz w:val="14"/>
          <w:szCs w:val="14"/>
        </w:rPr>
        <w:t xml:space="preserve"> Kamerstukken II 2024/25 30 234, nr. 415</w:t>
      </w:r>
      <w:r>
        <w:rPr>
          <w:rFonts w:ascii="Verdana" w:hAnsi="Verdana"/>
          <w:sz w:val="14"/>
          <w:szCs w:val="14"/>
        </w:rPr>
        <w:t>.</w:t>
      </w:r>
    </w:p>
  </w:footnote>
  <w:footnote w:id="5">
    <w:p w14:paraId="1A56D692" w14:textId="0C6F75A4" w:rsidR="009C186D" w:rsidRPr="009C186D" w:rsidRDefault="009C186D">
      <w:pPr>
        <w:pStyle w:val="Voetnoottekst"/>
      </w:pPr>
      <w:r w:rsidRPr="007E1593">
        <w:rPr>
          <w:rStyle w:val="Voetnootmarkering"/>
          <w:rFonts w:ascii="Verdana" w:hAnsi="Verdana"/>
          <w:sz w:val="14"/>
          <w:szCs w:val="14"/>
        </w:rPr>
        <w:footnoteRef/>
      </w:r>
      <w:r w:rsidRPr="007E1593">
        <w:rPr>
          <w:rFonts w:ascii="Verdana" w:hAnsi="Verdana"/>
          <w:sz w:val="14"/>
          <w:szCs w:val="14"/>
        </w:rPr>
        <w:t xml:space="preserve"> Kamerstukken II 2025/26, 30 234, nr. 431</w:t>
      </w:r>
      <w:r w:rsidR="0079775F">
        <w:rPr>
          <w:rFonts w:ascii="Verdana" w:hAnsi="Verdana"/>
          <w:sz w:val="14"/>
          <w:szCs w:val="14"/>
        </w:rPr>
        <w:t>.</w:t>
      </w:r>
    </w:p>
  </w:footnote>
  <w:footnote w:id="6">
    <w:p w14:paraId="542791F4" w14:textId="67A917A8" w:rsidR="0057236D" w:rsidRPr="00797528" w:rsidRDefault="0057236D" w:rsidP="0057236D">
      <w:pPr>
        <w:pStyle w:val="Voetnoottekst"/>
        <w:rPr>
          <w:rFonts w:ascii="Verdana" w:hAnsi="Verdana"/>
          <w:sz w:val="14"/>
          <w:szCs w:val="14"/>
        </w:rPr>
      </w:pPr>
      <w:r w:rsidRPr="00797528">
        <w:rPr>
          <w:rStyle w:val="Voetnootmarkering"/>
          <w:rFonts w:ascii="Verdana" w:hAnsi="Verdana"/>
          <w:sz w:val="14"/>
          <w:szCs w:val="14"/>
        </w:rPr>
        <w:footnoteRef/>
      </w:r>
      <w:r w:rsidRPr="00797528">
        <w:rPr>
          <w:rFonts w:ascii="Verdana" w:hAnsi="Verdana"/>
          <w:sz w:val="14"/>
          <w:szCs w:val="14"/>
        </w:rPr>
        <w:t xml:space="preserve"> Staatscourant 2025, 36343 | Overheid.nl &gt; Officiële bekendmakingen</w:t>
      </w:r>
    </w:p>
  </w:footnote>
  <w:footnote w:id="7">
    <w:p w14:paraId="0D171D67" w14:textId="48729350" w:rsidR="0057236D" w:rsidRPr="00797528" w:rsidRDefault="0057236D" w:rsidP="0057236D">
      <w:pPr>
        <w:pStyle w:val="Voetnoottekst"/>
        <w:rPr>
          <w:rFonts w:ascii="Verdana" w:hAnsi="Verdana"/>
          <w:sz w:val="14"/>
          <w:szCs w:val="14"/>
        </w:rPr>
      </w:pPr>
      <w:r w:rsidRPr="00797528">
        <w:rPr>
          <w:rStyle w:val="Voetnootmarkering"/>
          <w:rFonts w:ascii="Verdana" w:hAnsi="Verdana"/>
          <w:sz w:val="14"/>
          <w:szCs w:val="14"/>
        </w:rPr>
        <w:footnoteRef/>
      </w:r>
      <w:r w:rsidRPr="00797528">
        <w:rPr>
          <w:rFonts w:ascii="Verdana" w:hAnsi="Verdana"/>
          <w:sz w:val="14"/>
          <w:szCs w:val="14"/>
        </w:rPr>
        <w:t xml:space="preserve"> Kamerstuk</w:t>
      </w:r>
      <w:r w:rsidR="00830EA7" w:rsidRPr="00797528">
        <w:rPr>
          <w:rFonts w:ascii="Verdana" w:hAnsi="Verdana"/>
          <w:sz w:val="14"/>
          <w:szCs w:val="14"/>
        </w:rPr>
        <w:t>ken II 2022/23</w:t>
      </w:r>
      <w:r w:rsidR="00797528">
        <w:rPr>
          <w:rFonts w:ascii="Verdana" w:hAnsi="Verdana"/>
          <w:sz w:val="14"/>
          <w:szCs w:val="14"/>
        </w:rPr>
        <w:t>,</w:t>
      </w:r>
      <w:r w:rsidR="00830EA7" w:rsidRPr="00797528">
        <w:rPr>
          <w:rFonts w:ascii="Verdana" w:hAnsi="Verdana"/>
          <w:sz w:val="14"/>
          <w:szCs w:val="14"/>
        </w:rPr>
        <w:t xml:space="preserve"> 30 234, nr. 329</w:t>
      </w:r>
      <w:r w:rsidR="00370921">
        <w:rPr>
          <w:rFonts w:ascii="Verdana" w:hAnsi="Verdana"/>
          <w:sz w:val="14"/>
          <w:szCs w:val="14"/>
        </w:rPr>
        <w:t>.</w:t>
      </w:r>
    </w:p>
  </w:footnote>
  <w:footnote w:id="8">
    <w:p w14:paraId="06B5E3AF" w14:textId="6E8A2C84" w:rsidR="005760A9" w:rsidRPr="00797528" w:rsidRDefault="005760A9">
      <w:pPr>
        <w:pStyle w:val="Voetnoottekst"/>
        <w:rPr>
          <w:rFonts w:ascii="Verdana" w:hAnsi="Verdana"/>
          <w:sz w:val="14"/>
          <w:szCs w:val="14"/>
        </w:rPr>
      </w:pPr>
      <w:r w:rsidRPr="00797528">
        <w:rPr>
          <w:rStyle w:val="Voetnootmarkering"/>
          <w:rFonts w:ascii="Verdana" w:hAnsi="Verdana"/>
          <w:sz w:val="14"/>
          <w:szCs w:val="14"/>
        </w:rPr>
        <w:footnoteRef/>
      </w:r>
      <w:r w:rsidRPr="00797528">
        <w:rPr>
          <w:rFonts w:ascii="Verdana" w:hAnsi="Verdana"/>
          <w:sz w:val="14"/>
          <w:szCs w:val="14"/>
        </w:rPr>
        <w:t xml:space="preserve"> Kamerstukken II 2022/23, 30 234, nr. 329</w:t>
      </w:r>
      <w:r w:rsidR="00370921">
        <w:rPr>
          <w:rFonts w:ascii="Verdana" w:hAnsi="Verdana"/>
          <w:sz w:val="14"/>
          <w:szCs w:val="14"/>
        </w:rPr>
        <w:t>.</w:t>
      </w:r>
    </w:p>
  </w:footnote>
  <w:footnote w:id="9">
    <w:p w14:paraId="742F9C5D" w14:textId="45DAB698" w:rsidR="005760A9" w:rsidRPr="00797528" w:rsidRDefault="005760A9">
      <w:pPr>
        <w:pStyle w:val="Voetnoottekst"/>
        <w:rPr>
          <w:rFonts w:ascii="Verdana" w:hAnsi="Verdana"/>
          <w:sz w:val="14"/>
          <w:szCs w:val="14"/>
        </w:rPr>
      </w:pPr>
      <w:r w:rsidRPr="00797528">
        <w:rPr>
          <w:rStyle w:val="Voetnootmarkering"/>
          <w:rFonts w:ascii="Verdana" w:hAnsi="Verdana"/>
          <w:sz w:val="14"/>
          <w:szCs w:val="14"/>
        </w:rPr>
        <w:footnoteRef/>
      </w:r>
      <w:r w:rsidRPr="00797528">
        <w:rPr>
          <w:rFonts w:ascii="Verdana" w:hAnsi="Verdana"/>
          <w:sz w:val="14"/>
          <w:szCs w:val="14"/>
        </w:rPr>
        <w:t xml:space="preserve"> </w:t>
      </w:r>
      <w:r w:rsidR="00D33821" w:rsidRPr="00797528">
        <w:rPr>
          <w:rFonts w:ascii="Verdana" w:hAnsi="Verdana"/>
          <w:sz w:val="14"/>
          <w:szCs w:val="14"/>
        </w:rPr>
        <w:t>Kamerstukken II 2024/25, 30 234, nr. 396</w:t>
      </w:r>
      <w:r w:rsidR="00370921">
        <w:rPr>
          <w:rFonts w:ascii="Verdana" w:hAnsi="Verdana"/>
          <w:sz w:val="14"/>
          <w:szCs w:val="14"/>
        </w:rPr>
        <w:t>.</w:t>
      </w:r>
    </w:p>
  </w:footnote>
  <w:footnote w:id="10">
    <w:p w14:paraId="6EBBC8AC" w14:textId="427483A2" w:rsidR="007E1593" w:rsidRPr="00797528" w:rsidRDefault="007E1593">
      <w:pPr>
        <w:pStyle w:val="Voetnoottekst"/>
        <w:rPr>
          <w:rFonts w:ascii="Verdana" w:hAnsi="Verdana"/>
          <w:sz w:val="14"/>
          <w:szCs w:val="14"/>
        </w:rPr>
      </w:pPr>
      <w:r w:rsidRPr="00797528">
        <w:rPr>
          <w:rStyle w:val="Voetnootmarkering"/>
          <w:rFonts w:ascii="Verdana" w:hAnsi="Verdana"/>
          <w:sz w:val="14"/>
          <w:szCs w:val="14"/>
        </w:rPr>
        <w:footnoteRef/>
      </w:r>
      <w:r w:rsidRPr="00797528">
        <w:rPr>
          <w:rFonts w:ascii="Verdana" w:hAnsi="Verdana"/>
          <w:sz w:val="14"/>
          <w:szCs w:val="14"/>
        </w:rPr>
        <w:t xml:space="preserve"> Subsidieregeling topsportwedstrijden en topsportevenementen inkomstenderving kaartverkoop COVID-19</w:t>
      </w:r>
    </w:p>
  </w:footnote>
  <w:footnote w:id="11">
    <w:p w14:paraId="2EAA3240" w14:textId="77777777" w:rsidR="00302BEE" w:rsidRPr="00797528" w:rsidRDefault="00302BEE" w:rsidP="00302BEE">
      <w:pPr>
        <w:pStyle w:val="Voetnoottekst"/>
        <w:autoSpaceDN w:val="0"/>
        <w:contextualSpacing/>
        <w:textAlignment w:val="baseline"/>
        <w:rPr>
          <w:rStyle w:val="Voetnootmarkering"/>
          <w:rFonts w:ascii="Verdana" w:eastAsia="DejaVu Sans" w:hAnsi="Verdana" w:cs="Lohit Hindi"/>
          <w:color w:val="000000"/>
          <w:sz w:val="14"/>
          <w:szCs w:val="14"/>
          <w:vertAlign w:val="baseline"/>
          <w:lang w:eastAsia="nl-NL"/>
        </w:rPr>
      </w:pPr>
      <w:r w:rsidRPr="00797528">
        <w:rPr>
          <w:rStyle w:val="Voetnootmarkering"/>
          <w:rFonts w:ascii="Verdana" w:eastAsia="DejaVu Sans" w:hAnsi="Verdana" w:cs="Lohit Hindi"/>
          <w:color w:val="000000"/>
          <w:sz w:val="14"/>
          <w:szCs w:val="14"/>
          <w:lang w:eastAsia="nl-NL"/>
        </w:rPr>
        <w:footnoteRef/>
      </w:r>
      <w:r w:rsidRPr="00797528">
        <w:rPr>
          <w:rStyle w:val="Voetnootmarkering"/>
          <w:rFonts w:ascii="Verdana" w:eastAsia="DejaVu Sans" w:hAnsi="Verdana" w:cs="Lohit Hindi"/>
          <w:color w:val="000000"/>
          <w:sz w:val="14"/>
          <w:szCs w:val="14"/>
          <w:vertAlign w:val="baseline"/>
          <w:lang w:eastAsia="nl-NL"/>
        </w:rPr>
        <w:t xml:space="preserve"> Kamerstukken II 2024/25, 30 234, nr. 408</w:t>
      </w:r>
      <w:r>
        <w:rPr>
          <w:rFonts w:ascii="Verdana" w:eastAsia="DejaVu Sans" w:hAnsi="Verdana" w:cs="Lohit Hindi"/>
          <w:color w:val="000000"/>
          <w:sz w:val="14"/>
          <w:szCs w:val="14"/>
          <w:lang w:eastAsia="nl-NL"/>
        </w:rPr>
        <w:t>.</w:t>
      </w:r>
    </w:p>
  </w:footnote>
  <w:footnote w:id="12">
    <w:p w14:paraId="146654FE" w14:textId="5B7EF9CF" w:rsidR="00C0341D" w:rsidRPr="00797528" w:rsidRDefault="00C0341D" w:rsidP="00F5256E">
      <w:pPr>
        <w:pStyle w:val="Voetnoottekst"/>
        <w:autoSpaceDN w:val="0"/>
        <w:contextualSpacing/>
        <w:textAlignment w:val="baseline"/>
        <w:rPr>
          <w:rStyle w:val="Voetnootmarkering"/>
          <w:rFonts w:ascii="Verdana" w:eastAsia="DejaVu Sans" w:hAnsi="Verdana" w:cs="Lohit Hindi"/>
          <w:color w:val="000000"/>
          <w:sz w:val="14"/>
          <w:szCs w:val="14"/>
          <w:vertAlign w:val="baseline"/>
          <w:lang w:eastAsia="nl-NL"/>
        </w:rPr>
      </w:pPr>
      <w:r w:rsidRPr="00797528">
        <w:rPr>
          <w:rStyle w:val="Voetnootmarkering"/>
          <w:rFonts w:ascii="Verdana" w:eastAsia="DejaVu Sans" w:hAnsi="Verdana" w:cs="Lohit Hindi"/>
          <w:color w:val="000000"/>
          <w:sz w:val="14"/>
          <w:szCs w:val="14"/>
          <w:lang w:eastAsia="nl-NL"/>
        </w:rPr>
        <w:footnoteRef/>
      </w:r>
      <w:r w:rsidRPr="00797528">
        <w:rPr>
          <w:rStyle w:val="Voetnootmarkering"/>
          <w:rFonts w:ascii="Verdana" w:eastAsia="DejaVu Sans" w:hAnsi="Verdana" w:cs="Lohit Hindi"/>
          <w:color w:val="000000"/>
          <w:sz w:val="14"/>
          <w:szCs w:val="14"/>
          <w:vertAlign w:val="baseline"/>
          <w:lang w:eastAsia="nl-NL"/>
        </w:rPr>
        <w:t xml:space="preserve"> </w:t>
      </w:r>
      <w:r w:rsidR="00B073AC" w:rsidRPr="00797528">
        <w:rPr>
          <w:rStyle w:val="Voetnootmarkering"/>
          <w:rFonts w:ascii="Verdana" w:eastAsia="DejaVu Sans" w:hAnsi="Verdana" w:cs="Lohit Hindi"/>
          <w:color w:val="000000"/>
          <w:sz w:val="14"/>
          <w:szCs w:val="14"/>
          <w:vertAlign w:val="baseline"/>
          <w:lang w:eastAsia="nl-NL"/>
        </w:rPr>
        <w:t>Kamerstukken II 2023/24, 30</w:t>
      </w:r>
      <w:r w:rsidR="00D33821" w:rsidRPr="00797528">
        <w:rPr>
          <w:rFonts w:ascii="Verdana" w:eastAsia="DejaVu Sans" w:hAnsi="Verdana" w:cs="Lohit Hindi"/>
          <w:color w:val="000000"/>
          <w:sz w:val="14"/>
          <w:szCs w:val="14"/>
          <w:lang w:eastAsia="nl-NL"/>
        </w:rPr>
        <w:t xml:space="preserve"> </w:t>
      </w:r>
      <w:r w:rsidR="00B073AC" w:rsidRPr="00797528">
        <w:rPr>
          <w:rStyle w:val="Voetnootmarkering"/>
          <w:rFonts w:ascii="Verdana" w:eastAsia="DejaVu Sans" w:hAnsi="Verdana" w:cs="Lohit Hindi"/>
          <w:color w:val="000000"/>
          <w:sz w:val="14"/>
          <w:szCs w:val="14"/>
          <w:vertAlign w:val="baseline"/>
          <w:lang w:eastAsia="nl-NL"/>
        </w:rPr>
        <w:t>234, nr. 390</w:t>
      </w:r>
      <w:r w:rsidR="00370921">
        <w:rPr>
          <w:rFonts w:ascii="Verdana" w:eastAsia="DejaVu Sans" w:hAnsi="Verdana" w:cs="Lohit Hindi"/>
          <w:color w:val="000000"/>
          <w:sz w:val="14"/>
          <w:szCs w:val="14"/>
          <w:lang w:eastAsia="nl-NL"/>
        </w:rPr>
        <w:t>.</w:t>
      </w:r>
    </w:p>
  </w:footnote>
  <w:footnote w:id="13">
    <w:p w14:paraId="4B131FDB" w14:textId="5CC0A5B6" w:rsidR="00512AE0" w:rsidRPr="00797528" w:rsidRDefault="00512AE0" w:rsidP="00F5256E">
      <w:pPr>
        <w:pStyle w:val="Voetnoottekst"/>
        <w:autoSpaceDN w:val="0"/>
        <w:contextualSpacing/>
        <w:textAlignment w:val="baseline"/>
        <w:rPr>
          <w:rStyle w:val="Voetnootmarkering"/>
          <w:rFonts w:ascii="Verdana" w:eastAsia="DejaVu Sans" w:hAnsi="Verdana" w:cs="Lohit Hindi"/>
          <w:color w:val="000000"/>
          <w:sz w:val="14"/>
          <w:szCs w:val="14"/>
          <w:vertAlign w:val="baseline"/>
          <w:lang w:eastAsia="nl-NL"/>
        </w:rPr>
      </w:pPr>
      <w:r w:rsidRPr="00797528">
        <w:rPr>
          <w:rStyle w:val="Voetnootmarkering"/>
          <w:rFonts w:ascii="Verdana" w:eastAsia="DejaVu Sans" w:hAnsi="Verdana" w:cs="Lohit Hindi"/>
          <w:color w:val="000000"/>
          <w:sz w:val="14"/>
          <w:szCs w:val="14"/>
          <w:lang w:eastAsia="nl-NL"/>
        </w:rPr>
        <w:footnoteRef/>
      </w:r>
      <w:r w:rsidRPr="00797528">
        <w:rPr>
          <w:rStyle w:val="Voetnootmarkering"/>
          <w:rFonts w:ascii="Verdana" w:eastAsia="DejaVu Sans" w:hAnsi="Verdana" w:cs="Lohit Hindi"/>
          <w:color w:val="000000"/>
          <w:sz w:val="14"/>
          <w:szCs w:val="14"/>
          <w:vertAlign w:val="baseline"/>
          <w:lang w:eastAsia="nl-NL"/>
        </w:rPr>
        <w:t xml:space="preserve"> Kamerstukken II 2023/24, 30234</w:t>
      </w:r>
      <w:r w:rsidR="00797528">
        <w:rPr>
          <w:rFonts w:ascii="Verdana" w:eastAsia="DejaVu Sans" w:hAnsi="Verdana" w:cs="Lohit Hindi"/>
          <w:color w:val="000000"/>
          <w:sz w:val="14"/>
          <w:szCs w:val="14"/>
          <w:lang w:eastAsia="nl-NL"/>
        </w:rPr>
        <w:t>,</w:t>
      </w:r>
      <w:r w:rsidRPr="00797528">
        <w:rPr>
          <w:rStyle w:val="Voetnootmarkering"/>
          <w:rFonts w:ascii="Verdana" w:eastAsia="DejaVu Sans" w:hAnsi="Verdana" w:cs="Lohit Hindi"/>
          <w:color w:val="000000"/>
          <w:sz w:val="14"/>
          <w:szCs w:val="14"/>
          <w:vertAlign w:val="baseline"/>
          <w:lang w:eastAsia="nl-NL"/>
        </w:rPr>
        <w:t xml:space="preserve"> nr. 394</w:t>
      </w:r>
      <w:r w:rsidR="00370921">
        <w:rPr>
          <w:rFonts w:ascii="Verdana" w:eastAsia="DejaVu Sans" w:hAnsi="Verdana" w:cs="Lohit Hindi"/>
          <w:color w:val="000000"/>
          <w:sz w:val="14"/>
          <w:szCs w:val="14"/>
          <w:lang w:eastAsia="nl-NL"/>
        </w:rPr>
        <w:t>.</w:t>
      </w:r>
    </w:p>
  </w:footnote>
  <w:footnote w:id="14">
    <w:p w14:paraId="7CA360BA" w14:textId="0BFAA9DF" w:rsidR="002D068C" w:rsidRDefault="002D068C" w:rsidP="00F5256E">
      <w:pPr>
        <w:pStyle w:val="Voetnoottekst"/>
        <w:autoSpaceDN w:val="0"/>
        <w:contextualSpacing/>
        <w:textAlignment w:val="baseline"/>
      </w:pPr>
      <w:r w:rsidRPr="00797528">
        <w:rPr>
          <w:rStyle w:val="Voetnootmarkering"/>
          <w:rFonts w:ascii="Verdana" w:eastAsia="DejaVu Sans" w:hAnsi="Verdana" w:cs="Lohit Hindi"/>
          <w:color w:val="000000"/>
          <w:sz w:val="14"/>
          <w:szCs w:val="14"/>
          <w:lang w:eastAsia="nl-NL"/>
        </w:rPr>
        <w:footnoteRef/>
      </w:r>
      <w:r w:rsidRPr="00797528">
        <w:rPr>
          <w:rStyle w:val="Voetnootmarkering"/>
          <w:rFonts w:ascii="Verdana" w:eastAsia="DejaVu Sans" w:hAnsi="Verdana" w:cs="Lohit Hindi"/>
          <w:color w:val="000000"/>
          <w:sz w:val="14"/>
          <w:szCs w:val="14"/>
          <w:vertAlign w:val="baseline"/>
          <w:lang w:eastAsia="nl-NL"/>
        </w:rPr>
        <w:t xml:space="preserve"> https://www.mulierinstituut.nl/programmas-aanbod/monitor-topsport-in-nederland-tin/</w:t>
      </w:r>
    </w:p>
  </w:footnote>
  <w:footnote w:id="15">
    <w:p w14:paraId="22D114E8" w14:textId="4F35E710" w:rsidR="008750D3" w:rsidRPr="008750D3" w:rsidRDefault="008750D3">
      <w:pPr>
        <w:pStyle w:val="Voetnoottekst"/>
        <w:rPr>
          <w:rFonts w:ascii="Verdana" w:hAnsi="Verdana"/>
          <w:sz w:val="14"/>
          <w:szCs w:val="14"/>
        </w:rPr>
      </w:pPr>
      <w:r w:rsidRPr="008750D3">
        <w:rPr>
          <w:rStyle w:val="Voetnootmarkering"/>
          <w:rFonts w:ascii="Verdana" w:hAnsi="Verdana"/>
          <w:sz w:val="14"/>
          <w:szCs w:val="14"/>
        </w:rPr>
        <w:footnoteRef/>
      </w:r>
      <w:r w:rsidRPr="008750D3">
        <w:rPr>
          <w:rFonts w:ascii="Verdana" w:hAnsi="Verdana"/>
          <w:sz w:val="14"/>
          <w:szCs w:val="14"/>
        </w:rPr>
        <w:t xml:space="preserve"> Kamerstukken II 2020/21, 30 234, nr. 275. </w:t>
      </w:r>
    </w:p>
  </w:footnote>
  <w:footnote w:id="16">
    <w:p w14:paraId="54483908" w14:textId="0BD9420E" w:rsidR="0001542E" w:rsidRPr="00797528" w:rsidRDefault="0001542E" w:rsidP="0001542E">
      <w:pPr>
        <w:pStyle w:val="Voetnoottekst"/>
        <w:autoSpaceDN w:val="0"/>
        <w:contextualSpacing/>
        <w:textAlignment w:val="baseline"/>
        <w:rPr>
          <w:rStyle w:val="Voetnootmarkering"/>
          <w:rFonts w:ascii="Verdana" w:eastAsia="DejaVu Sans" w:hAnsi="Verdana" w:cs="Lohit Hindi"/>
          <w:color w:val="000000"/>
          <w:sz w:val="14"/>
          <w:szCs w:val="14"/>
          <w:vertAlign w:val="baseline"/>
          <w:lang w:eastAsia="nl-NL"/>
        </w:rPr>
      </w:pPr>
      <w:r w:rsidRPr="00797528">
        <w:rPr>
          <w:rStyle w:val="Voetnootmarkering"/>
          <w:rFonts w:ascii="Verdana" w:eastAsia="DejaVu Sans" w:hAnsi="Verdana" w:cs="Lohit Hindi"/>
          <w:color w:val="000000"/>
          <w:sz w:val="14"/>
          <w:szCs w:val="14"/>
          <w:lang w:eastAsia="nl-NL"/>
        </w:rPr>
        <w:footnoteRef/>
      </w:r>
      <w:r w:rsidRPr="00797528">
        <w:rPr>
          <w:rStyle w:val="Voetnootmarkering"/>
          <w:rFonts w:ascii="Verdana" w:eastAsia="DejaVu Sans" w:hAnsi="Verdana" w:cs="Lohit Hindi"/>
          <w:color w:val="000000"/>
          <w:sz w:val="14"/>
          <w:szCs w:val="14"/>
          <w:vertAlign w:val="baseline"/>
          <w:lang w:eastAsia="nl-NL"/>
        </w:rPr>
        <w:t xml:space="preserve"> Kamerstukken II</w:t>
      </w:r>
      <w:r w:rsidR="00BA4CA9">
        <w:rPr>
          <w:rStyle w:val="Voetnootmarkering"/>
          <w:rFonts w:ascii="Verdana" w:eastAsia="DejaVu Sans" w:hAnsi="Verdana" w:cs="Lohit Hindi"/>
          <w:color w:val="000000"/>
          <w:sz w:val="14"/>
          <w:szCs w:val="14"/>
          <w:vertAlign w:val="baseline"/>
          <w:lang w:eastAsia="nl-NL"/>
        </w:rPr>
        <w:t>,</w:t>
      </w:r>
      <w:r w:rsidRPr="00797528">
        <w:rPr>
          <w:rStyle w:val="Voetnootmarkering"/>
          <w:rFonts w:ascii="Verdana" w:eastAsia="DejaVu Sans" w:hAnsi="Verdana" w:cs="Lohit Hindi"/>
          <w:color w:val="000000"/>
          <w:sz w:val="14"/>
          <w:szCs w:val="14"/>
          <w:vertAlign w:val="baseline"/>
          <w:lang w:eastAsia="nl-NL"/>
        </w:rPr>
        <w:t xml:space="preserve"> 2018/19, 31 856</w:t>
      </w:r>
      <w:r>
        <w:rPr>
          <w:rFonts w:ascii="Verdana" w:eastAsia="DejaVu Sans" w:hAnsi="Verdana" w:cs="Lohit Hindi"/>
          <w:color w:val="000000"/>
          <w:sz w:val="14"/>
          <w:szCs w:val="14"/>
          <w:lang w:eastAsia="nl-NL"/>
        </w:rPr>
        <w:t>,</w:t>
      </w:r>
      <w:r w:rsidRPr="00797528">
        <w:rPr>
          <w:rStyle w:val="Voetnootmarkering"/>
          <w:rFonts w:ascii="Verdana" w:eastAsia="DejaVu Sans" w:hAnsi="Verdana" w:cs="Lohit Hindi"/>
          <w:color w:val="000000"/>
          <w:sz w:val="14"/>
          <w:szCs w:val="14"/>
          <w:vertAlign w:val="baseline"/>
          <w:lang w:eastAsia="nl-NL"/>
        </w:rPr>
        <w:t xml:space="preserve"> nr. 124</w:t>
      </w:r>
      <w:r>
        <w:rPr>
          <w:rFonts w:ascii="Verdana" w:eastAsia="DejaVu Sans" w:hAnsi="Verdana" w:cs="Lohit Hindi"/>
          <w:color w:val="000000"/>
          <w:sz w:val="14"/>
          <w:szCs w:val="14"/>
          <w:lang w:eastAsia="nl-NL"/>
        </w:rPr>
        <w:t>.</w:t>
      </w:r>
    </w:p>
  </w:footnote>
  <w:footnote w:id="17">
    <w:p w14:paraId="045FA012" w14:textId="77777777" w:rsidR="007A549A" w:rsidRPr="00BD4A39" w:rsidRDefault="007A549A" w:rsidP="007A549A">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Kamerstukken II, 2024/25, 30 234, nr. 425</w:t>
      </w:r>
      <w:r>
        <w:rPr>
          <w:rFonts w:ascii="Verdana" w:hAnsi="Verdana"/>
          <w:sz w:val="14"/>
          <w:szCs w:val="14"/>
        </w:rPr>
        <w:t>.</w:t>
      </w:r>
    </w:p>
  </w:footnote>
  <w:footnote w:id="18">
    <w:p w14:paraId="7B1EA3C3" w14:textId="04C088A8" w:rsidR="00862F21" w:rsidRPr="00BD4A39" w:rsidRDefault="00862F21" w:rsidP="00862F21">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Kamerstukken II, 2024/25, 32 793, nr. 846</w:t>
      </w:r>
      <w:r w:rsidR="00370921">
        <w:rPr>
          <w:rFonts w:ascii="Verdana" w:hAnsi="Verdana"/>
          <w:sz w:val="14"/>
          <w:szCs w:val="14"/>
        </w:rPr>
        <w:t>.</w:t>
      </w:r>
    </w:p>
  </w:footnote>
  <w:footnote w:id="19">
    <w:p w14:paraId="617D5BE2" w14:textId="77777777" w:rsidR="00862F21" w:rsidRPr="00BD4A39" w:rsidRDefault="00862F21" w:rsidP="00862F21">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w:t>
      </w:r>
      <w:hyperlink r:id="rId1" w:history="1">
        <w:r w:rsidRPr="00BD4A39">
          <w:rPr>
            <w:rStyle w:val="Hyperlink"/>
            <w:rFonts w:ascii="Verdana" w:hAnsi="Verdana"/>
            <w:sz w:val="14"/>
            <w:szCs w:val="14"/>
          </w:rPr>
          <w:t>https://www.kenniscentrumsportenbewegen.nl/kennisbank/publicaties/?praktijkvoorbeelden-bewegen-op-de-werkvloer&amp;kb_id=28190&amp;kb_q=</w:t>
        </w:r>
      </w:hyperlink>
      <w:r w:rsidRPr="00BD4A39">
        <w:rPr>
          <w:rFonts w:ascii="Verdana" w:hAnsi="Verdana"/>
          <w:sz w:val="14"/>
          <w:szCs w:val="14"/>
        </w:rPr>
        <w:t xml:space="preserve"> en </w:t>
      </w:r>
      <w:hyperlink r:id="rId2" w:history="1">
        <w:r w:rsidRPr="00BD4A39">
          <w:rPr>
            <w:rStyle w:val="Hyperlink"/>
            <w:rFonts w:ascii="Verdana" w:hAnsi="Verdana"/>
            <w:sz w:val="14"/>
            <w:szCs w:val="14"/>
          </w:rPr>
          <w:t>https://www.beweegalliantie.nl/domeinen/werk</w:t>
        </w:r>
      </w:hyperlink>
    </w:p>
  </w:footnote>
  <w:footnote w:id="20">
    <w:p w14:paraId="2240E0B8" w14:textId="77777777" w:rsidR="00A44970" w:rsidRPr="00BD4A39" w:rsidRDefault="00A44970" w:rsidP="00A44970">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w:t>
      </w:r>
      <w:hyperlink r:id="rId3" w:history="1">
        <w:r w:rsidRPr="00BD4A39">
          <w:rPr>
            <w:rStyle w:val="Hyperlink"/>
            <w:rFonts w:ascii="Verdana" w:hAnsi="Verdana"/>
            <w:sz w:val="14"/>
            <w:szCs w:val="14"/>
          </w:rPr>
          <w:t>https://fysiekebelasting.tno.nl/nl/instrumenten/minder-zitten-meer-bewegen/</w:t>
        </w:r>
      </w:hyperlink>
    </w:p>
  </w:footnote>
  <w:footnote w:id="21">
    <w:p w14:paraId="2DF9A8F2" w14:textId="77777777" w:rsidR="00A44970" w:rsidRPr="00BD4A39" w:rsidRDefault="00A44970" w:rsidP="00A44970">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w:t>
      </w:r>
      <w:hyperlink r:id="rId4" w:history="1">
        <w:r w:rsidRPr="00BD4A39">
          <w:rPr>
            <w:rStyle w:val="Hyperlink"/>
            <w:rFonts w:ascii="Verdana" w:hAnsi="Verdana"/>
            <w:sz w:val="14"/>
            <w:szCs w:val="14"/>
          </w:rPr>
          <w:t>https://vitaliteitsprogrammas.nl/</w:t>
        </w:r>
      </w:hyperlink>
    </w:p>
  </w:footnote>
  <w:footnote w:id="22">
    <w:p w14:paraId="5DD304EF" w14:textId="77777777" w:rsidR="00A44970" w:rsidRPr="00BD4A39" w:rsidRDefault="00A44970" w:rsidP="00A44970">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w:t>
      </w:r>
      <w:hyperlink r:id="rId5" w:history="1">
        <w:r w:rsidRPr="00BD4A39">
          <w:rPr>
            <w:rStyle w:val="Hyperlink"/>
            <w:rFonts w:ascii="Verdana" w:hAnsi="Verdana"/>
            <w:sz w:val="14"/>
            <w:szCs w:val="14"/>
          </w:rPr>
          <w:t>https://www.beweegalliantie.nl/domeinen/werk</w:t>
        </w:r>
      </w:hyperlink>
    </w:p>
  </w:footnote>
  <w:footnote w:id="23">
    <w:p w14:paraId="21163CD7" w14:textId="77777777" w:rsidR="00A44970" w:rsidRPr="00BD4A39" w:rsidRDefault="00A44970" w:rsidP="00A44970">
      <w:pPr>
        <w:pStyle w:val="Voetnoottekst"/>
        <w:rPr>
          <w:rFonts w:ascii="Verdana" w:hAnsi="Verdana"/>
          <w:sz w:val="14"/>
          <w:szCs w:val="14"/>
        </w:rPr>
      </w:pPr>
      <w:r w:rsidRPr="00BD4A39">
        <w:rPr>
          <w:rStyle w:val="Voetnootmarkering"/>
          <w:rFonts w:ascii="Verdana" w:hAnsi="Verdana"/>
          <w:sz w:val="14"/>
          <w:szCs w:val="14"/>
        </w:rPr>
        <w:footnoteRef/>
      </w:r>
      <w:r w:rsidRPr="00BD4A39">
        <w:rPr>
          <w:rFonts w:ascii="Verdana" w:hAnsi="Verdana"/>
          <w:sz w:val="14"/>
          <w:szCs w:val="14"/>
        </w:rPr>
        <w:t xml:space="preserve"> </w:t>
      </w:r>
      <w:hyperlink r:id="rId6" w:history="1">
        <w:r w:rsidRPr="00BD4A39">
          <w:rPr>
            <w:rStyle w:val="Hyperlink"/>
            <w:rFonts w:ascii="Verdana" w:hAnsi="Verdana"/>
            <w:sz w:val="14"/>
            <w:szCs w:val="14"/>
          </w:rPr>
          <w:t>https://www.kenniscentrumsportenbewegen.nl/nieuws/terugkijken-webinar-met-praktische-tips-e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E1A33"/>
    <w:multiLevelType w:val="hybridMultilevel"/>
    <w:tmpl w:val="B7443B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85044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13"/>
    <w:rsid w:val="0000587B"/>
    <w:rsid w:val="0001542E"/>
    <w:rsid w:val="00026486"/>
    <w:rsid w:val="00076534"/>
    <w:rsid w:val="00080187"/>
    <w:rsid w:val="000A05B4"/>
    <w:rsid w:val="000C38FA"/>
    <w:rsid w:val="000D76E1"/>
    <w:rsid w:val="000F3876"/>
    <w:rsid w:val="00102BF5"/>
    <w:rsid w:val="00103013"/>
    <w:rsid w:val="00133F03"/>
    <w:rsid w:val="001423FF"/>
    <w:rsid w:val="00157642"/>
    <w:rsid w:val="0019057E"/>
    <w:rsid w:val="001A497E"/>
    <w:rsid w:val="001B72EC"/>
    <w:rsid w:val="001C449A"/>
    <w:rsid w:val="001E50C8"/>
    <w:rsid w:val="001E6A24"/>
    <w:rsid w:val="00224C6B"/>
    <w:rsid w:val="002326A5"/>
    <w:rsid w:val="00241D78"/>
    <w:rsid w:val="00283992"/>
    <w:rsid w:val="002A1672"/>
    <w:rsid w:val="002A52CF"/>
    <w:rsid w:val="002B22A5"/>
    <w:rsid w:val="002D068C"/>
    <w:rsid w:val="002F2D8F"/>
    <w:rsid w:val="002F6E1B"/>
    <w:rsid w:val="00302BEE"/>
    <w:rsid w:val="003329A0"/>
    <w:rsid w:val="00356EDF"/>
    <w:rsid w:val="00370921"/>
    <w:rsid w:val="00377D55"/>
    <w:rsid w:val="003835D7"/>
    <w:rsid w:val="00390BC3"/>
    <w:rsid w:val="003972A1"/>
    <w:rsid w:val="003E3E5E"/>
    <w:rsid w:val="003F5CC4"/>
    <w:rsid w:val="00482F9F"/>
    <w:rsid w:val="004D018C"/>
    <w:rsid w:val="004D2E1C"/>
    <w:rsid w:val="004D4915"/>
    <w:rsid w:val="004D4E68"/>
    <w:rsid w:val="004E35F3"/>
    <w:rsid w:val="00510436"/>
    <w:rsid w:val="00512AE0"/>
    <w:rsid w:val="005144DA"/>
    <w:rsid w:val="005244A3"/>
    <w:rsid w:val="00536CB9"/>
    <w:rsid w:val="005578BA"/>
    <w:rsid w:val="0057236D"/>
    <w:rsid w:val="00574496"/>
    <w:rsid w:val="005760A9"/>
    <w:rsid w:val="0058156A"/>
    <w:rsid w:val="005A17DE"/>
    <w:rsid w:val="005D2646"/>
    <w:rsid w:val="0061228D"/>
    <w:rsid w:val="00621C1F"/>
    <w:rsid w:val="006309B5"/>
    <w:rsid w:val="00634051"/>
    <w:rsid w:val="00636955"/>
    <w:rsid w:val="006554AC"/>
    <w:rsid w:val="0068338E"/>
    <w:rsid w:val="006A5476"/>
    <w:rsid w:val="006F67D7"/>
    <w:rsid w:val="00704C3A"/>
    <w:rsid w:val="0072164E"/>
    <w:rsid w:val="00767972"/>
    <w:rsid w:val="00772354"/>
    <w:rsid w:val="00797528"/>
    <w:rsid w:val="0079775F"/>
    <w:rsid w:val="007A549A"/>
    <w:rsid w:val="007D7A5C"/>
    <w:rsid w:val="007E1593"/>
    <w:rsid w:val="007F3C4E"/>
    <w:rsid w:val="008037FC"/>
    <w:rsid w:val="008053DD"/>
    <w:rsid w:val="0081683C"/>
    <w:rsid w:val="00830EA7"/>
    <w:rsid w:val="00835211"/>
    <w:rsid w:val="00862F21"/>
    <w:rsid w:val="008750D3"/>
    <w:rsid w:val="00884BA1"/>
    <w:rsid w:val="0088790D"/>
    <w:rsid w:val="008F54AB"/>
    <w:rsid w:val="00910183"/>
    <w:rsid w:val="009101C2"/>
    <w:rsid w:val="009477C4"/>
    <w:rsid w:val="0097186C"/>
    <w:rsid w:val="0099427D"/>
    <w:rsid w:val="00994B96"/>
    <w:rsid w:val="009A4005"/>
    <w:rsid w:val="009C186D"/>
    <w:rsid w:val="00A259D4"/>
    <w:rsid w:val="00A44970"/>
    <w:rsid w:val="00A45167"/>
    <w:rsid w:val="00B06701"/>
    <w:rsid w:val="00B073AC"/>
    <w:rsid w:val="00B22C14"/>
    <w:rsid w:val="00B23D29"/>
    <w:rsid w:val="00B6354D"/>
    <w:rsid w:val="00B65CEF"/>
    <w:rsid w:val="00BA4CA9"/>
    <w:rsid w:val="00BB52D1"/>
    <w:rsid w:val="00BD3591"/>
    <w:rsid w:val="00BD4A39"/>
    <w:rsid w:val="00BD4D4A"/>
    <w:rsid w:val="00BE5847"/>
    <w:rsid w:val="00C0341D"/>
    <w:rsid w:val="00C51EAE"/>
    <w:rsid w:val="00C557C7"/>
    <w:rsid w:val="00C57008"/>
    <w:rsid w:val="00CA4A7F"/>
    <w:rsid w:val="00CB527D"/>
    <w:rsid w:val="00CB717A"/>
    <w:rsid w:val="00CD59FC"/>
    <w:rsid w:val="00D0115D"/>
    <w:rsid w:val="00D25507"/>
    <w:rsid w:val="00D321EA"/>
    <w:rsid w:val="00D33821"/>
    <w:rsid w:val="00DC252D"/>
    <w:rsid w:val="00DD4FC5"/>
    <w:rsid w:val="00DE4513"/>
    <w:rsid w:val="00DF3B50"/>
    <w:rsid w:val="00E229D9"/>
    <w:rsid w:val="00E31BA1"/>
    <w:rsid w:val="00E627A9"/>
    <w:rsid w:val="00E87290"/>
    <w:rsid w:val="00ED740B"/>
    <w:rsid w:val="00EE6554"/>
    <w:rsid w:val="00EF6D09"/>
    <w:rsid w:val="00F27451"/>
    <w:rsid w:val="00F5256E"/>
    <w:rsid w:val="00F762FE"/>
    <w:rsid w:val="00F96F60"/>
    <w:rsid w:val="00FA3D6C"/>
    <w:rsid w:val="00FC0689"/>
    <w:rsid w:val="00FE1114"/>
    <w:rsid w:val="00FF3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D98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6E1"/>
    <w:pPr>
      <w:spacing w:after="0" w:line="240" w:lineRule="atLeast"/>
      <w:outlineLvl w:val="0"/>
    </w:pPr>
    <w:rPr>
      <w:rFonts w:eastAsia="Calibri" w:cs="Mangal"/>
      <w:b/>
      <w:bCs/>
      <w:szCs w:val="18"/>
      <w:lang w:val="nl-NL"/>
    </w:rPr>
  </w:style>
  <w:style w:type="paragraph" w:styleId="Kop2">
    <w:name w:val="heading 2"/>
    <w:basedOn w:val="Standaard"/>
    <w:next w:val="Standaard"/>
    <w:link w:val="Kop2Char"/>
    <w:uiPriority w:val="9"/>
    <w:semiHidden/>
    <w:unhideWhenUsed/>
    <w:qFormat/>
    <w:rsid w:val="0010301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10301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10301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103013"/>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103013"/>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103013"/>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103013"/>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103013"/>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6E1"/>
    <w:rPr>
      <w:rFonts w:eastAsia="Calibri" w:cs="Mangal"/>
      <w:b/>
      <w:bCs/>
      <w:szCs w:val="18"/>
      <w:lang w:val="nl-NL"/>
    </w:rPr>
  </w:style>
  <w:style w:type="character" w:customStyle="1" w:styleId="Kop2Char">
    <w:name w:val="Kop 2 Char"/>
    <w:basedOn w:val="Standaardalinea-lettertype"/>
    <w:link w:val="Kop2"/>
    <w:uiPriority w:val="9"/>
    <w:semiHidden/>
    <w:rsid w:val="00103013"/>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103013"/>
    <w:rPr>
      <w:rFonts w:asciiTheme="minorHAnsi" w:eastAsiaTheme="majorEastAsia" w:hAnsiTheme="minorHAnsi" w:cstheme="majorBidi"/>
      <w:color w:val="2E74B5" w:themeColor="accent1" w:themeShade="BF"/>
      <w:sz w:val="28"/>
      <w:szCs w:val="28"/>
    </w:rPr>
  </w:style>
  <w:style w:type="character" w:customStyle="1" w:styleId="Kop4Char">
    <w:name w:val="Kop 4 Char"/>
    <w:basedOn w:val="Standaardalinea-lettertype"/>
    <w:link w:val="Kop4"/>
    <w:uiPriority w:val="9"/>
    <w:semiHidden/>
    <w:rsid w:val="00103013"/>
    <w:rPr>
      <w:rFonts w:asciiTheme="minorHAnsi" w:eastAsiaTheme="majorEastAsia" w:hAnsiTheme="minorHAnsi" w:cstheme="majorBidi"/>
      <w:i/>
      <w:iCs/>
      <w:color w:val="2E74B5" w:themeColor="accent1" w:themeShade="BF"/>
    </w:rPr>
  </w:style>
  <w:style w:type="character" w:customStyle="1" w:styleId="Kop5Char">
    <w:name w:val="Kop 5 Char"/>
    <w:basedOn w:val="Standaardalinea-lettertype"/>
    <w:link w:val="Kop5"/>
    <w:uiPriority w:val="9"/>
    <w:semiHidden/>
    <w:rsid w:val="00103013"/>
    <w:rPr>
      <w:rFonts w:asciiTheme="minorHAnsi" w:eastAsiaTheme="majorEastAsia" w:hAnsiTheme="minorHAnsi" w:cstheme="majorBidi"/>
      <w:color w:val="2E74B5" w:themeColor="accent1" w:themeShade="BF"/>
    </w:rPr>
  </w:style>
  <w:style w:type="character" w:customStyle="1" w:styleId="Kop6Char">
    <w:name w:val="Kop 6 Char"/>
    <w:basedOn w:val="Standaardalinea-lettertype"/>
    <w:link w:val="Kop6"/>
    <w:uiPriority w:val="9"/>
    <w:semiHidden/>
    <w:rsid w:val="00103013"/>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103013"/>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103013"/>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103013"/>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1030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01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01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013"/>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10301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013"/>
    <w:rPr>
      <w:i/>
      <w:iCs/>
      <w:color w:val="404040" w:themeColor="text1" w:themeTint="BF"/>
    </w:rPr>
  </w:style>
  <w:style w:type="paragraph" w:styleId="Lijstalinea">
    <w:name w:val="List Paragraph"/>
    <w:basedOn w:val="Standaard"/>
    <w:uiPriority w:val="34"/>
    <w:qFormat/>
    <w:rsid w:val="00103013"/>
    <w:pPr>
      <w:ind w:left="720"/>
      <w:contextualSpacing/>
    </w:pPr>
  </w:style>
  <w:style w:type="character" w:styleId="Intensievebenadrukking">
    <w:name w:val="Intense Emphasis"/>
    <w:basedOn w:val="Standaardalinea-lettertype"/>
    <w:uiPriority w:val="21"/>
    <w:qFormat/>
    <w:rsid w:val="00103013"/>
    <w:rPr>
      <w:i/>
      <w:iCs/>
      <w:color w:val="2E74B5" w:themeColor="accent1" w:themeShade="BF"/>
    </w:rPr>
  </w:style>
  <w:style w:type="paragraph" w:styleId="Duidelijkcitaat">
    <w:name w:val="Intense Quote"/>
    <w:basedOn w:val="Standaard"/>
    <w:next w:val="Standaard"/>
    <w:link w:val="DuidelijkcitaatChar"/>
    <w:uiPriority w:val="30"/>
    <w:qFormat/>
    <w:rsid w:val="0010301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103013"/>
    <w:rPr>
      <w:i/>
      <w:iCs/>
      <w:color w:val="2E74B5" w:themeColor="accent1" w:themeShade="BF"/>
    </w:rPr>
  </w:style>
  <w:style w:type="character" w:styleId="Intensieveverwijzing">
    <w:name w:val="Intense Reference"/>
    <w:basedOn w:val="Standaardalinea-lettertype"/>
    <w:uiPriority w:val="32"/>
    <w:qFormat/>
    <w:rsid w:val="00103013"/>
    <w:rPr>
      <w:b/>
      <w:bCs/>
      <w:smallCaps/>
      <w:color w:val="2E74B5" w:themeColor="accent1" w:themeShade="BF"/>
      <w:spacing w:val="5"/>
    </w:rPr>
  </w:style>
  <w:style w:type="paragraph" w:styleId="Voetnoottekst">
    <w:name w:val="footnote text"/>
    <w:aliases w:val="Char,Footnote text,Voetnoottekst Char1 Char,Voetnoottekst Char1 Char Char,Voetnoottekst Char1 Char Char Char Char Char,Voetnoottekst Char2,Voetnoottekst Char2 Char,Voetnoottekst Char2 Char Char Char Char,Voetnoottekst Char3 Char Char Char"/>
    <w:basedOn w:val="Standaard"/>
    <w:link w:val="VoetnoottekstChar"/>
    <w:uiPriority w:val="99"/>
    <w:unhideWhenUsed/>
    <w:qFormat/>
    <w:rsid w:val="00103013"/>
    <w:pPr>
      <w:spacing w:after="0" w:line="240" w:lineRule="auto"/>
    </w:pPr>
    <w:rPr>
      <w:rFonts w:asciiTheme="minorHAnsi" w:hAnsiTheme="minorHAnsi"/>
      <w:sz w:val="20"/>
      <w:szCs w:val="20"/>
      <w:lang w:val="nl-NL"/>
    </w:rPr>
  </w:style>
  <w:style w:type="character" w:customStyle="1" w:styleId="VoetnoottekstChar">
    <w:name w:val="Voetnoottekst Char"/>
    <w:aliases w:val="Char Char,Footnote text Char,Voetnoottekst Char1 Char Char1,Voetnoottekst Char1 Char Char Char,Voetnoottekst Char1 Char Char Char Char Char Char,Voetnoottekst Char2 Char1,Voetnoottekst Char2 Char Char"/>
    <w:basedOn w:val="Standaardalinea-lettertype"/>
    <w:link w:val="Voetnoottekst"/>
    <w:uiPriority w:val="99"/>
    <w:rsid w:val="00103013"/>
    <w:rPr>
      <w:rFonts w:asciiTheme="minorHAnsi" w:hAnsiTheme="minorHAnsi"/>
      <w:sz w:val="20"/>
      <w:szCs w:val="20"/>
      <w:lang w:val="nl-NL"/>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link w:val="Char1CharCharCarCarCarCarCarCarCarCarCarCar"/>
    <w:uiPriority w:val="99"/>
    <w:unhideWhenUsed/>
    <w:qFormat/>
    <w:rsid w:val="00103013"/>
    <w:rPr>
      <w:vertAlign w:val="superscript"/>
    </w:rPr>
  </w:style>
  <w:style w:type="table" w:styleId="Tabelraster">
    <w:name w:val="Table Grid"/>
    <w:basedOn w:val="Standaardtabel"/>
    <w:uiPriority w:val="39"/>
    <w:rsid w:val="00767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767972"/>
    <w:rPr>
      <w:color w:val="467886"/>
      <w:u w:val="single"/>
    </w:rPr>
  </w:style>
  <w:style w:type="character" w:styleId="Onopgelostemelding">
    <w:name w:val="Unresolved Mention"/>
    <w:basedOn w:val="Standaardalinea-lettertype"/>
    <w:uiPriority w:val="99"/>
    <w:semiHidden/>
    <w:unhideWhenUsed/>
    <w:rsid w:val="00767972"/>
    <w:rPr>
      <w:color w:val="605E5C"/>
      <w:shd w:val="clear" w:color="auto" w:fill="E1DFDD"/>
    </w:rPr>
  </w:style>
  <w:style w:type="character" w:styleId="Verwijzingopmerking">
    <w:name w:val="annotation reference"/>
    <w:basedOn w:val="Standaardalinea-lettertype"/>
    <w:uiPriority w:val="99"/>
    <w:semiHidden/>
    <w:unhideWhenUsed/>
    <w:rsid w:val="00704C3A"/>
    <w:rPr>
      <w:sz w:val="16"/>
      <w:szCs w:val="16"/>
    </w:rPr>
  </w:style>
  <w:style w:type="paragraph" w:styleId="Tekstopmerking">
    <w:name w:val="annotation text"/>
    <w:basedOn w:val="Standaard"/>
    <w:link w:val="TekstopmerkingChar"/>
    <w:uiPriority w:val="99"/>
    <w:unhideWhenUsed/>
    <w:rsid w:val="00704C3A"/>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704C3A"/>
    <w:rPr>
      <w:kern w:val="2"/>
      <w:sz w:val="20"/>
      <w:szCs w:val="20"/>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512AE0"/>
    <w:rPr>
      <w:b/>
      <w:bCs/>
      <w:kern w:val="0"/>
      <w14:ligatures w14:val="none"/>
    </w:rPr>
  </w:style>
  <w:style w:type="character" w:customStyle="1" w:styleId="OnderwerpvanopmerkingChar">
    <w:name w:val="Onderwerp van opmerking Char"/>
    <w:basedOn w:val="TekstopmerkingChar"/>
    <w:link w:val="Onderwerpvanopmerking"/>
    <w:uiPriority w:val="99"/>
    <w:semiHidden/>
    <w:rsid w:val="00512AE0"/>
    <w:rPr>
      <w:b/>
      <w:bCs/>
      <w:kern w:val="2"/>
      <w:sz w:val="20"/>
      <w:szCs w:val="20"/>
      <w14:ligatures w14:val="standardContextual"/>
    </w:rPr>
  </w:style>
  <w:style w:type="paragraph" w:customStyle="1" w:styleId="Char1CharCharCarCarCarCarCarCarCarCarCarCar">
    <w:name w:val="Char1 Char Char Car Car Car Car Car Car Car Car Car Car"/>
    <w:basedOn w:val="Standaard"/>
    <w:next w:val="Standaard"/>
    <w:link w:val="Voetnootmarkering"/>
    <w:uiPriority w:val="99"/>
    <w:rsid w:val="00F5256E"/>
    <w:pPr>
      <w:spacing w:line="240" w:lineRule="exact"/>
    </w:pPr>
    <w:rPr>
      <w:vertAlign w:val="superscript"/>
    </w:rPr>
  </w:style>
  <w:style w:type="paragraph" w:styleId="Revisie">
    <w:name w:val="Revision"/>
    <w:hidden/>
    <w:uiPriority w:val="99"/>
    <w:semiHidden/>
    <w:rsid w:val="00ED740B"/>
    <w:pPr>
      <w:spacing w:after="0" w:line="240" w:lineRule="auto"/>
    </w:pPr>
  </w:style>
  <w:style w:type="paragraph" w:customStyle="1" w:styleId="TableParagraph">
    <w:name w:val="Table Paragraph"/>
    <w:basedOn w:val="Standaard"/>
    <w:uiPriority w:val="1"/>
    <w:qFormat/>
    <w:rsid w:val="000D76E1"/>
    <w:pPr>
      <w:widowControl w:val="0"/>
      <w:autoSpaceDE w:val="0"/>
      <w:autoSpaceDN w:val="0"/>
      <w:spacing w:after="0" w:line="240" w:lineRule="auto"/>
      <w:ind w:left="104"/>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17559">
      <w:bodyDiv w:val="1"/>
      <w:marLeft w:val="0"/>
      <w:marRight w:val="0"/>
      <w:marTop w:val="0"/>
      <w:marBottom w:val="0"/>
      <w:divBdr>
        <w:top w:val="none" w:sz="0" w:space="0" w:color="auto"/>
        <w:left w:val="none" w:sz="0" w:space="0" w:color="auto"/>
        <w:bottom w:val="none" w:sz="0" w:space="0" w:color="auto"/>
        <w:right w:val="none" w:sz="0" w:space="0" w:color="auto"/>
      </w:divBdr>
    </w:div>
    <w:div w:id="196553212">
      <w:bodyDiv w:val="1"/>
      <w:marLeft w:val="0"/>
      <w:marRight w:val="0"/>
      <w:marTop w:val="0"/>
      <w:marBottom w:val="0"/>
      <w:divBdr>
        <w:top w:val="none" w:sz="0" w:space="0" w:color="auto"/>
        <w:left w:val="none" w:sz="0" w:space="0" w:color="auto"/>
        <w:bottom w:val="none" w:sz="0" w:space="0" w:color="auto"/>
        <w:right w:val="none" w:sz="0" w:space="0" w:color="auto"/>
      </w:divBdr>
    </w:div>
    <w:div w:id="358433875">
      <w:bodyDiv w:val="1"/>
      <w:marLeft w:val="0"/>
      <w:marRight w:val="0"/>
      <w:marTop w:val="0"/>
      <w:marBottom w:val="0"/>
      <w:divBdr>
        <w:top w:val="none" w:sz="0" w:space="0" w:color="auto"/>
        <w:left w:val="none" w:sz="0" w:space="0" w:color="auto"/>
        <w:bottom w:val="none" w:sz="0" w:space="0" w:color="auto"/>
        <w:right w:val="none" w:sz="0" w:space="0" w:color="auto"/>
      </w:divBdr>
    </w:div>
    <w:div w:id="584539395">
      <w:bodyDiv w:val="1"/>
      <w:marLeft w:val="0"/>
      <w:marRight w:val="0"/>
      <w:marTop w:val="0"/>
      <w:marBottom w:val="0"/>
      <w:divBdr>
        <w:top w:val="none" w:sz="0" w:space="0" w:color="auto"/>
        <w:left w:val="none" w:sz="0" w:space="0" w:color="auto"/>
        <w:bottom w:val="none" w:sz="0" w:space="0" w:color="auto"/>
        <w:right w:val="none" w:sz="0" w:space="0" w:color="auto"/>
      </w:divBdr>
    </w:div>
    <w:div w:id="587274417">
      <w:bodyDiv w:val="1"/>
      <w:marLeft w:val="0"/>
      <w:marRight w:val="0"/>
      <w:marTop w:val="0"/>
      <w:marBottom w:val="0"/>
      <w:divBdr>
        <w:top w:val="none" w:sz="0" w:space="0" w:color="auto"/>
        <w:left w:val="none" w:sz="0" w:space="0" w:color="auto"/>
        <w:bottom w:val="none" w:sz="0" w:space="0" w:color="auto"/>
        <w:right w:val="none" w:sz="0" w:space="0" w:color="auto"/>
      </w:divBdr>
    </w:div>
    <w:div w:id="847065503">
      <w:bodyDiv w:val="1"/>
      <w:marLeft w:val="0"/>
      <w:marRight w:val="0"/>
      <w:marTop w:val="0"/>
      <w:marBottom w:val="0"/>
      <w:divBdr>
        <w:top w:val="none" w:sz="0" w:space="0" w:color="auto"/>
        <w:left w:val="none" w:sz="0" w:space="0" w:color="auto"/>
        <w:bottom w:val="none" w:sz="0" w:space="0" w:color="auto"/>
        <w:right w:val="none" w:sz="0" w:space="0" w:color="auto"/>
      </w:divBdr>
    </w:div>
    <w:div w:id="911894429">
      <w:bodyDiv w:val="1"/>
      <w:marLeft w:val="0"/>
      <w:marRight w:val="0"/>
      <w:marTop w:val="0"/>
      <w:marBottom w:val="0"/>
      <w:divBdr>
        <w:top w:val="none" w:sz="0" w:space="0" w:color="auto"/>
        <w:left w:val="none" w:sz="0" w:space="0" w:color="auto"/>
        <w:bottom w:val="none" w:sz="0" w:space="0" w:color="auto"/>
        <w:right w:val="none" w:sz="0" w:space="0" w:color="auto"/>
      </w:divBdr>
    </w:div>
    <w:div w:id="1008558125">
      <w:bodyDiv w:val="1"/>
      <w:marLeft w:val="0"/>
      <w:marRight w:val="0"/>
      <w:marTop w:val="0"/>
      <w:marBottom w:val="0"/>
      <w:divBdr>
        <w:top w:val="none" w:sz="0" w:space="0" w:color="auto"/>
        <w:left w:val="none" w:sz="0" w:space="0" w:color="auto"/>
        <w:bottom w:val="none" w:sz="0" w:space="0" w:color="auto"/>
        <w:right w:val="none" w:sz="0" w:space="0" w:color="auto"/>
      </w:divBdr>
    </w:div>
    <w:div w:id="1026295117">
      <w:bodyDiv w:val="1"/>
      <w:marLeft w:val="0"/>
      <w:marRight w:val="0"/>
      <w:marTop w:val="0"/>
      <w:marBottom w:val="0"/>
      <w:divBdr>
        <w:top w:val="none" w:sz="0" w:space="0" w:color="auto"/>
        <w:left w:val="none" w:sz="0" w:space="0" w:color="auto"/>
        <w:bottom w:val="none" w:sz="0" w:space="0" w:color="auto"/>
        <w:right w:val="none" w:sz="0" w:space="0" w:color="auto"/>
      </w:divBdr>
    </w:div>
    <w:div w:id="1051419549">
      <w:bodyDiv w:val="1"/>
      <w:marLeft w:val="0"/>
      <w:marRight w:val="0"/>
      <w:marTop w:val="0"/>
      <w:marBottom w:val="0"/>
      <w:divBdr>
        <w:top w:val="none" w:sz="0" w:space="0" w:color="auto"/>
        <w:left w:val="none" w:sz="0" w:space="0" w:color="auto"/>
        <w:bottom w:val="none" w:sz="0" w:space="0" w:color="auto"/>
        <w:right w:val="none" w:sz="0" w:space="0" w:color="auto"/>
      </w:divBdr>
    </w:div>
    <w:div w:id="1069575493">
      <w:bodyDiv w:val="1"/>
      <w:marLeft w:val="0"/>
      <w:marRight w:val="0"/>
      <w:marTop w:val="0"/>
      <w:marBottom w:val="0"/>
      <w:divBdr>
        <w:top w:val="none" w:sz="0" w:space="0" w:color="auto"/>
        <w:left w:val="none" w:sz="0" w:space="0" w:color="auto"/>
        <w:bottom w:val="none" w:sz="0" w:space="0" w:color="auto"/>
        <w:right w:val="none" w:sz="0" w:space="0" w:color="auto"/>
      </w:divBdr>
    </w:div>
    <w:div w:id="1175806193">
      <w:bodyDiv w:val="1"/>
      <w:marLeft w:val="0"/>
      <w:marRight w:val="0"/>
      <w:marTop w:val="0"/>
      <w:marBottom w:val="0"/>
      <w:divBdr>
        <w:top w:val="none" w:sz="0" w:space="0" w:color="auto"/>
        <w:left w:val="none" w:sz="0" w:space="0" w:color="auto"/>
        <w:bottom w:val="none" w:sz="0" w:space="0" w:color="auto"/>
        <w:right w:val="none" w:sz="0" w:space="0" w:color="auto"/>
      </w:divBdr>
    </w:div>
    <w:div w:id="1684895830">
      <w:bodyDiv w:val="1"/>
      <w:marLeft w:val="0"/>
      <w:marRight w:val="0"/>
      <w:marTop w:val="0"/>
      <w:marBottom w:val="0"/>
      <w:divBdr>
        <w:top w:val="none" w:sz="0" w:space="0" w:color="auto"/>
        <w:left w:val="none" w:sz="0" w:space="0" w:color="auto"/>
        <w:bottom w:val="none" w:sz="0" w:space="0" w:color="auto"/>
        <w:right w:val="none" w:sz="0" w:space="0" w:color="auto"/>
      </w:divBdr>
    </w:div>
    <w:div w:id="1687292919">
      <w:bodyDiv w:val="1"/>
      <w:marLeft w:val="0"/>
      <w:marRight w:val="0"/>
      <w:marTop w:val="0"/>
      <w:marBottom w:val="0"/>
      <w:divBdr>
        <w:top w:val="none" w:sz="0" w:space="0" w:color="auto"/>
        <w:left w:val="none" w:sz="0" w:space="0" w:color="auto"/>
        <w:bottom w:val="none" w:sz="0" w:space="0" w:color="auto"/>
        <w:right w:val="none" w:sz="0" w:space="0" w:color="auto"/>
      </w:divBdr>
    </w:div>
    <w:div w:id="173508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fysiekebelasting.tno.nl/nl/instrumenten/minder-zitten-meer-bewegen/" TargetMode="External"/><Relationship Id="rId2" Type="http://schemas.openxmlformats.org/officeDocument/2006/relationships/hyperlink" Target="https://www.beweegalliantie.nl/domeinen/werk" TargetMode="External"/><Relationship Id="rId1" Type="http://schemas.openxmlformats.org/officeDocument/2006/relationships/hyperlink" Target="https://www.kenniscentrumsportenbewegen.nl/kennisbank/publicaties/?praktijkvoorbeelden-bewegen-op-de-werkvloer&amp;kb_id=28190&amp;kb_q=" TargetMode="External"/><Relationship Id="rId6" Type="http://schemas.openxmlformats.org/officeDocument/2006/relationships/hyperlink" Target="https://www.kenniscentrumsportenbewegen.nl/nieuws/terugkijken-webinar-met-praktische-tips-en-tools-voor-een-actieve-werkdag/" TargetMode="External"/><Relationship Id="rId5" Type="http://schemas.openxmlformats.org/officeDocument/2006/relationships/hyperlink" Target="https://www.beweegalliantie.nl/domeinen/werk" TargetMode="External"/><Relationship Id="rId4" Type="http://schemas.openxmlformats.org/officeDocument/2006/relationships/hyperlink" Target="https://vitaliteitsprogrammas.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2142</ap:Words>
  <ap:Characters>11782</ap:Characters>
  <ap:DocSecurity>0</ap:DocSecurity>
  <ap:Lines>98</ap:Lines>
  <ap:Paragraphs>27</ap:Paragraphs>
  <ap:ScaleCrop>false</ap:ScaleCrop>
  <ap:LinksUpToDate>false</ap:LinksUpToDate>
  <ap:CharactersWithSpaces>13897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2025-12-09T16:02:00.0000000Z</dcterms:created>
  <dcterms:modified xsi:type="dcterms:W3CDTF">2025-12-09T16:02:00.0000000Z</dcterms:modified>
  <version/>
  <category/>
</coreProperties>
</file>