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C47" w:rsidP="00880CB1" w:rsidRDefault="00103180" w14:paraId="2B88574E" w14:textId="77777777">
      <w:pPr>
        <w:spacing w:line="276" w:lineRule="auto"/>
      </w:pPr>
      <w:r>
        <w:t>Geachte voorzitter,</w:t>
      </w:r>
    </w:p>
    <w:p w:rsidR="00B44C47" w:rsidP="00880CB1" w:rsidRDefault="00B44C47" w14:paraId="2B88574F" w14:textId="77777777">
      <w:pPr>
        <w:spacing w:line="276" w:lineRule="auto"/>
      </w:pPr>
    </w:p>
    <w:p w:rsidR="00AB0E10" w:rsidP="00880CB1" w:rsidRDefault="00FD62AB" w14:paraId="65230FB8" w14:textId="7C73BD30">
      <w:pPr>
        <w:spacing w:after="160" w:line="276" w:lineRule="auto"/>
      </w:pPr>
      <w:r>
        <w:t>O</w:t>
      </w:r>
      <w:r w:rsidR="00526413">
        <w:t>p 9</w:t>
      </w:r>
      <w:r w:rsidRPr="00374DA5" w:rsidR="00AB0E10">
        <w:t xml:space="preserve"> december jl. hebben de Raad, het Europees Parlement en de Europese Commissie een</w:t>
      </w:r>
      <w:r w:rsidR="00AB0E10">
        <w:rPr>
          <w:b/>
          <w:bCs/>
        </w:rPr>
        <w:t xml:space="preserve"> </w:t>
      </w:r>
      <w:r w:rsidRPr="00374DA5" w:rsidR="00AB0E10">
        <w:t>voorlopig politiek akkoord bereikt in de triloog over</w:t>
      </w:r>
      <w:r w:rsidR="00AB0E10">
        <w:t xml:space="preserve"> Omnibus I, waarin onder meer de </w:t>
      </w:r>
      <w:r w:rsidRPr="00374DA5" w:rsidR="00AB0E10">
        <w:t>Corporate Sustainability Due Diligence Directive (CSDDD</w:t>
      </w:r>
      <w:r w:rsidR="00AB0E10">
        <w:t xml:space="preserve">) wordt gewijzigd. Deze brief </w:t>
      </w:r>
      <w:r w:rsidR="00526413">
        <w:t xml:space="preserve">informeert u </w:t>
      </w:r>
      <w:r w:rsidR="000A6F86">
        <w:t xml:space="preserve">op basis van de nu bekende gegevens </w:t>
      </w:r>
      <w:r w:rsidR="00526413">
        <w:t xml:space="preserve">over </w:t>
      </w:r>
      <w:r w:rsidR="00AB0E10">
        <w:t>de uitkomsten voor wat betreft de CSDDD.</w:t>
      </w:r>
      <w:r w:rsidR="00526413">
        <w:t xml:space="preserve"> </w:t>
      </w:r>
      <w:r w:rsidR="00AB0E10">
        <w:t xml:space="preserve">Op 23 juni jl. </w:t>
      </w:r>
      <w:r w:rsidRPr="00374DA5" w:rsidR="00AB0E10">
        <w:t>zijn de EU-lidstaten een Raadspositie overeengekomen</w:t>
      </w:r>
      <w:r w:rsidR="00AB0E10">
        <w:t xml:space="preserve">. U bent hierover geïnformeerd bij brief van 23 juni 2025 en door middel van de Geannoteerde Agenda RBZ Handel van 14 juli 2025. Op </w:t>
      </w:r>
      <w:r w:rsidRPr="00374DA5" w:rsidR="00AB0E10">
        <w:t xml:space="preserve">13 november vond plenaire stemming plaats in het Europees Parlement (EP) over de EP-positie </w:t>
      </w:r>
      <w:r w:rsidR="00FA4BDD">
        <w:t>op</w:t>
      </w:r>
      <w:r w:rsidRPr="00374DA5" w:rsidR="00AB0E10">
        <w:t xml:space="preserve"> Omnibus I. </w:t>
      </w:r>
    </w:p>
    <w:p w:rsidRPr="005154F3" w:rsidR="00526413" w:rsidP="00880CB1" w:rsidRDefault="00526413" w14:paraId="6BF782EB" w14:textId="58D35AC5">
      <w:pPr>
        <w:spacing w:line="276" w:lineRule="auto"/>
      </w:pPr>
      <w:r>
        <w:t xml:space="preserve">Op 10 december </w:t>
      </w:r>
      <w:r w:rsidR="00693216">
        <w:t>202</w:t>
      </w:r>
      <w:r w:rsidR="009F6243">
        <w:t>5</w:t>
      </w:r>
      <w:r w:rsidR="00693216">
        <w:t xml:space="preserve"> </w:t>
      </w:r>
      <w:r>
        <w:t xml:space="preserve">staat het </w:t>
      </w:r>
      <w:proofErr w:type="spellStart"/>
      <w:r>
        <w:t>triloogakkoord</w:t>
      </w:r>
      <w:proofErr w:type="spellEnd"/>
      <w:r>
        <w:t xml:space="preserve"> geagendeerd ter bespreking in het </w:t>
      </w:r>
      <w:r w:rsidRPr="00374DA5">
        <w:t>Comité van Permanente Vertegenwoordigers (Coreper)</w:t>
      </w:r>
      <w:r>
        <w:t xml:space="preserve">, met als doel om voorlopige overeenstemming hierover te bereiken in de Raad. Finale stemming over de richtlijn </w:t>
      </w:r>
      <w:r w:rsidR="004F337B">
        <w:t xml:space="preserve">in het Europees Parlement en de Raad </w:t>
      </w:r>
      <w:r>
        <w:t xml:space="preserve">vindt op een later moment plaats, na juridische </w:t>
      </w:r>
      <w:r w:rsidR="00FA4BDD">
        <w:t xml:space="preserve">controles </w:t>
      </w:r>
      <w:r>
        <w:t xml:space="preserve">en vertalingen (naar verwachting begin 2026). </w:t>
      </w:r>
    </w:p>
    <w:p w:rsidR="00526413" w:rsidP="00880CB1" w:rsidRDefault="00526413" w14:paraId="5348DF5C" w14:textId="77777777">
      <w:pPr>
        <w:spacing w:line="276" w:lineRule="auto"/>
      </w:pPr>
    </w:p>
    <w:p w:rsidRPr="000748D7" w:rsidR="000748D7" w:rsidP="000748D7" w:rsidRDefault="00712188" w14:paraId="551C93BE" w14:textId="0090BF19">
      <w:pPr>
        <w:spacing w:line="276" w:lineRule="auto"/>
      </w:pPr>
      <w:r>
        <w:rPr>
          <w:iCs/>
        </w:rPr>
        <w:t xml:space="preserve">Het krachtenveld binnen de Raad en het Europees Parlement was gedurende de onderhandelingen complex, dat er desalniettemin een akkoord is bereikt is positief. </w:t>
      </w:r>
      <w:r w:rsidR="007C6369">
        <w:t>Een belangrijk</w:t>
      </w:r>
      <w:r w:rsidR="00526413">
        <w:t xml:space="preserve"> </w:t>
      </w:r>
      <w:r w:rsidR="007C6369">
        <w:t>onderdeel van de inzet</w:t>
      </w:r>
      <w:r w:rsidR="00526413">
        <w:t xml:space="preserve"> tijdens de </w:t>
      </w:r>
      <w:proofErr w:type="spellStart"/>
      <w:r w:rsidR="00526413">
        <w:t>triloogfase</w:t>
      </w:r>
      <w:proofErr w:type="spellEnd"/>
      <w:r w:rsidR="00526413">
        <w:t xml:space="preserve">, het verankeren van de </w:t>
      </w:r>
      <w:proofErr w:type="spellStart"/>
      <w:r w:rsidR="00526413">
        <w:t>risicogebaseerde</w:t>
      </w:r>
      <w:proofErr w:type="spellEnd"/>
      <w:r w:rsidR="00526413">
        <w:t xml:space="preserve"> benadering, is b</w:t>
      </w:r>
      <w:r w:rsidR="00B85164">
        <w:t>ereikt</w:t>
      </w:r>
      <w:r w:rsidR="00526413">
        <w:t xml:space="preserve">. </w:t>
      </w:r>
      <w:r w:rsidR="007C6369">
        <w:t xml:space="preserve">Dit draagt bij aan vermindering van regeldruk en aan de effectiviteit van de richtlijn. </w:t>
      </w:r>
      <w:r w:rsidRPr="00374DA5" w:rsidR="00526413">
        <w:t xml:space="preserve">Regeldrukvermindering is een prioriteit van dit kabinet. Bedrijven zijn </w:t>
      </w:r>
      <w:r w:rsidR="007C6369">
        <w:t xml:space="preserve">ook </w:t>
      </w:r>
      <w:r w:rsidRPr="00374DA5" w:rsidR="00526413">
        <w:t>gebaat bij zo spoedig mogelijke afronding van de onderhandelingen</w:t>
      </w:r>
      <w:r w:rsidR="00693216">
        <w:t>,</w:t>
      </w:r>
      <w:r w:rsidRPr="00374DA5" w:rsidR="00526413">
        <w:t xml:space="preserve"> en de duidelijkheid die dat oplevert</w:t>
      </w:r>
      <w:r w:rsidR="00526413">
        <w:t xml:space="preserve">. </w:t>
      </w:r>
      <w:r w:rsidRPr="000748D7" w:rsidR="000748D7">
        <w:t xml:space="preserve">Het kabinet is daarom voornemens om tijdens </w:t>
      </w:r>
      <w:proofErr w:type="spellStart"/>
      <w:r w:rsidRPr="000748D7" w:rsidR="000748D7">
        <w:t>Coreper</w:t>
      </w:r>
      <w:proofErr w:type="spellEnd"/>
      <w:r w:rsidRPr="000748D7" w:rsidR="000748D7">
        <w:t xml:space="preserve"> in te stemmen met doorgeleiden van de tekst naar het Europees Parlement.</w:t>
      </w:r>
    </w:p>
    <w:p w:rsidR="00526413" w:rsidP="00880CB1" w:rsidRDefault="00526413" w14:paraId="1D222552" w14:textId="77777777">
      <w:pPr>
        <w:spacing w:line="276" w:lineRule="auto"/>
      </w:pPr>
    </w:p>
    <w:p w:rsidR="00526413" w:rsidP="00880CB1" w:rsidRDefault="00526413" w14:paraId="50C3D1EE" w14:textId="77777777">
      <w:pPr>
        <w:spacing w:line="276" w:lineRule="auto"/>
      </w:pPr>
      <w:r w:rsidRPr="00374DA5">
        <w:t xml:space="preserve">Hieronder staat per onderwerp beschreven wat er in het voorlopige politieke akkoord staat, hoe dit zich verhoudt tot de Nederlandse inzet, en wat de vervolgstappen zijn voordat Omnibus I in werking treedt. </w:t>
      </w:r>
    </w:p>
    <w:p w:rsidR="00526413" w:rsidP="00880CB1" w:rsidRDefault="00526413" w14:paraId="685645E2" w14:textId="77777777">
      <w:pPr>
        <w:spacing w:line="276" w:lineRule="auto"/>
      </w:pPr>
    </w:p>
    <w:p w:rsidR="00693216" w:rsidP="00880CB1" w:rsidRDefault="00693216" w14:paraId="001E42FA" w14:textId="77777777">
      <w:pPr>
        <w:spacing w:line="276" w:lineRule="auto"/>
        <w:rPr>
          <w:b/>
          <w:bCs/>
        </w:rPr>
      </w:pPr>
    </w:p>
    <w:p w:rsidR="00693216" w:rsidP="00880CB1" w:rsidRDefault="00693216" w14:paraId="1B3D06F5" w14:textId="77777777">
      <w:pPr>
        <w:spacing w:line="276" w:lineRule="auto"/>
        <w:rPr>
          <w:b/>
          <w:bCs/>
        </w:rPr>
      </w:pPr>
    </w:p>
    <w:p w:rsidR="00AB0E10" w:rsidP="00880CB1" w:rsidRDefault="00693216" w14:paraId="57DF1C1F" w14:textId="23FC25A6">
      <w:pPr>
        <w:spacing w:line="276" w:lineRule="auto"/>
        <w:rPr>
          <w:b/>
          <w:bCs/>
        </w:rPr>
      </w:pPr>
      <w:r>
        <w:rPr>
          <w:b/>
          <w:bCs/>
        </w:rPr>
        <w:lastRenderedPageBreak/>
        <w:t>R</w:t>
      </w:r>
      <w:r w:rsidR="00AB0E10">
        <w:rPr>
          <w:b/>
          <w:bCs/>
        </w:rPr>
        <w:t>eikwijdte</w:t>
      </w:r>
    </w:p>
    <w:p w:rsidR="00AB0E10" w:rsidP="00880CB1" w:rsidRDefault="00AB0E10" w14:paraId="2546B465" w14:textId="012C2943">
      <w:pPr>
        <w:spacing w:line="276" w:lineRule="auto"/>
      </w:pPr>
      <w:r w:rsidRPr="00B94CCF">
        <w:t>Ten aanzien van de reikwijdte is de drempelwaarde voor bedrijven om onder de verplichtingen te vallen verhoogd van 1.000 naar 5.000 medewerkers en van EUR 450 miljoen naar EUR 1,5 miljard jaaromzet.</w:t>
      </w:r>
      <w:r w:rsidR="00526413">
        <w:t xml:space="preserve"> Er is een reviewclausule opgenomen in de richtlijn om de </w:t>
      </w:r>
      <w:r w:rsidR="00E0381E">
        <w:t xml:space="preserve">reikwijdte </w:t>
      </w:r>
      <w:r w:rsidR="00526413">
        <w:t xml:space="preserve">in de toekomst </w:t>
      </w:r>
      <w:r w:rsidR="00E0381E">
        <w:t>opnieuw te bezien</w:t>
      </w:r>
      <w:r w:rsidR="00526413">
        <w:t>.</w:t>
      </w:r>
      <w:r w:rsidRPr="00B94CCF">
        <w:t xml:space="preserve"> </w:t>
      </w:r>
      <w:r>
        <w:t>In de Raad heeft het kabinet</w:t>
      </w:r>
      <w:r w:rsidRPr="00B94CCF">
        <w:t xml:space="preserve"> ingezet op behoud van de reikwijdte van het Commissievoorstel, conform de toezegging aan uw Kamer door de minister van Buitenlandse Zaken tijdens het Tweeminutendebat over de Raad Buitenlandse Zaken op 19 juni jl. Hier was echter geen draagvlak voor.</w:t>
      </w:r>
      <w:r>
        <w:t xml:space="preserve"> Aangezien </w:t>
      </w:r>
      <w:r w:rsidR="00E0381E">
        <w:t xml:space="preserve">de versmalde </w:t>
      </w:r>
      <w:r>
        <w:t xml:space="preserve">reikwijdte ook in de EP-positie stond, </w:t>
      </w:r>
      <w:r w:rsidR="00DE690D">
        <w:t xml:space="preserve">lag het in de lijn der verwachting dat deze reikwijdte gehandhaafd zou blijven. </w:t>
      </w:r>
      <w:r>
        <w:t xml:space="preserve">   </w:t>
      </w:r>
    </w:p>
    <w:p w:rsidRPr="00B94CCF" w:rsidR="00AB0E10" w:rsidP="00880CB1" w:rsidRDefault="00AB0E10" w14:paraId="24834615" w14:textId="77777777">
      <w:pPr>
        <w:spacing w:line="276" w:lineRule="auto"/>
      </w:pPr>
    </w:p>
    <w:p w:rsidR="00AB0E10" w:rsidP="00880CB1" w:rsidRDefault="00AB0E10" w14:paraId="5B2460BB" w14:textId="77777777">
      <w:pPr>
        <w:spacing w:line="276" w:lineRule="auto"/>
        <w:rPr>
          <w:b/>
          <w:bCs/>
        </w:rPr>
      </w:pPr>
      <w:r>
        <w:rPr>
          <w:b/>
          <w:bCs/>
        </w:rPr>
        <w:t>Klimaattransitieplan</w:t>
      </w:r>
    </w:p>
    <w:p w:rsidR="00526413" w:rsidP="00880CB1" w:rsidRDefault="00526413" w14:paraId="6F984DD0" w14:textId="60863A9C">
      <w:pPr>
        <w:spacing w:line="276" w:lineRule="auto"/>
      </w:pPr>
      <w:r>
        <w:t xml:space="preserve">Het klimaattransitieplan is verwijderd. Dit is een verschil ten opzichte van de Raadspositie. Diverse lidstaten waren voorstander van het schrappen van het klimaattransitieplan, evenals een meerderheid in het Europees Parlement. </w:t>
      </w:r>
    </w:p>
    <w:p w:rsidR="00AB0E10" w:rsidP="00880CB1" w:rsidRDefault="00AB0E10" w14:paraId="3CA3DC79" w14:textId="77777777">
      <w:pPr>
        <w:spacing w:line="276" w:lineRule="auto"/>
        <w:rPr>
          <w:b/>
          <w:bCs/>
        </w:rPr>
      </w:pPr>
    </w:p>
    <w:p w:rsidR="00AB0E10" w:rsidP="00880CB1" w:rsidRDefault="00AB0E10" w14:paraId="754DF0EF" w14:textId="77777777">
      <w:pPr>
        <w:spacing w:line="276" w:lineRule="auto"/>
        <w:rPr>
          <w:b/>
          <w:bCs/>
        </w:rPr>
      </w:pPr>
      <w:r>
        <w:rPr>
          <w:b/>
          <w:bCs/>
        </w:rPr>
        <w:t>Risicogebaseerde benadering en informatieuitvragen</w:t>
      </w:r>
    </w:p>
    <w:p w:rsidR="00AB0E10" w:rsidP="00880CB1" w:rsidRDefault="00526413" w14:paraId="4A20FF01" w14:textId="4001BA86">
      <w:pPr>
        <w:spacing w:line="276" w:lineRule="auto"/>
      </w:pPr>
      <w:r>
        <w:t xml:space="preserve">In het triloogakkoord is de risicogerichte benadering stevig verankerd. Ook worden </w:t>
      </w:r>
      <w:r w:rsidRPr="00B94CCF">
        <w:t>bedrijven in de keten beschermd tegen onnodige informatie-uitvragen.</w:t>
      </w:r>
      <w:r>
        <w:t xml:space="preserve"> </w:t>
      </w:r>
      <w:r w:rsidR="00C44D8E">
        <w:t>Dit is lijn met de Nederlandse inzet</w:t>
      </w:r>
      <w:r w:rsidR="00767697">
        <w:t xml:space="preserve"> om de regeldruk te verminderen</w:t>
      </w:r>
      <w:r w:rsidR="00C44D8E">
        <w:t xml:space="preserve">. </w:t>
      </w:r>
      <w:r w:rsidRPr="00B94CCF" w:rsidR="00C44D8E">
        <w:t xml:space="preserve">In het BNC-fiche heeft het kabinet bij de beperking van gepaste zorgvuldigheid tot directe zakenrelaties aangegeven alternatieven voor te stellen die bijdragen aan regeldrukvermindering en de effectiviteit van het voorstel. Het kabinet heeft tijdens de onderhandelingen daarom </w:t>
      </w:r>
      <w:r w:rsidR="00C44D8E">
        <w:t xml:space="preserve">steeds </w:t>
      </w:r>
      <w:r w:rsidRPr="00B94CCF" w:rsidR="00C44D8E">
        <w:t>ingezet op een meer risicogerichte benadering. Dat sluit beter aan bij de internationale standaarden</w:t>
      </w:r>
      <w:r w:rsidR="00C44D8E">
        <w:rPr>
          <w:rStyle w:val="FootnoteReference"/>
        </w:rPr>
        <w:footnoteReference w:id="2"/>
      </w:r>
      <w:r w:rsidRPr="00B94CCF" w:rsidR="00C44D8E">
        <w:t xml:space="preserve"> die een deel van de bedrijven al toepast.</w:t>
      </w:r>
    </w:p>
    <w:p w:rsidR="00AB0E10" w:rsidP="00880CB1" w:rsidRDefault="00AB0E10" w14:paraId="2D4C5B53" w14:textId="77777777">
      <w:pPr>
        <w:spacing w:line="276" w:lineRule="auto"/>
        <w:rPr>
          <w:b/>
          <w:bCs/>
        </w:rPr>
      </w:pPr>
    </w:p>
    <w:p w:rsidR="00AB0E10" w:rsidP="00880CB1" w:rsidRDefault="00AB0E10" w14:paraId="65584369" w14:textId="77777777">
      <w:pPr>
        <w:spacing w:line="276" w:lineRule="auto"/>
        <w:rPr>
          <w:b/>
          <w:bCs/>
        </w:rPr>
      </w:pPr>
      <w:r>
        <w:rPr>
          <w:b/>
          <w:bCs/>
        </w:rPr>
        <w:t>Handhaving</w:t>
      </w:r>
    </w:p>
    <w:p w:rsidRPr="00B94CCF" w:rsidR="00AB0E10" w:rsidP="00880CB1" w:rsidRDefault="00526413" w14:paraId="6E30D1CA" w14:textId="7AED0D3D">
      <w:pPr>
        <w:spacing w:line="276" w:lineRule="auto"/>
      </w:pPr>
      <w:r>
        <w:t xml:space="preserve">In het triloogakkoord staat </w:t>
      </w:r>
      <w:r w:rsidR="00C44D8E">
        <w:t xml:space="preserve">een </w:t>
      </w:r>
      <w:r w:rsidRPr="00B94CCF" w:rsidR="00AB0E10">
        <w:t xml:space="preserve">geharmoniseerde bepaling over </w:t>
      </w:r>
      <w:r>
        <w:t xml:space="preserve">de maximum </w:t>
      </w:r>
      <w:r w:rsidRPr="00B94CCF" w:rsidR="00AB0E10">
        <w:t>boetehoogte</w:t>
      </w:r>
      <w:r>
        <w:t>, die op 3% van de netto jaaromzet wordt vastgesteld</w:t>
      </w:r>
      <w:r w:rsidRPr="00B94CCF" w:rsidR="00AB0E10">
        <w:t xml:space="preserve">. </w:t>
      </w:r>
      <w:r w:rsidR="00DF593D">
        <w:t>Harmonisatie van de maximumboete</w:t>
      </w:r>
      <w:r w:rsidRPr="00B94CCF" w:rsidR="00AB0E10">
        <w:t xml:space="preserve"> </w:t>
      </w:r>
      <w:r w:rsidR="00C44D8E">
        <w:t xml:space="preserve">is in lijn met de Nederlandse positie en </w:t>
      </w:r>
      <w:r w:rsidRPr="00B94CCF" w:rsidR="00AB0E10">
        <w:t>draagt bij aan het gelijke speelveld</w:t>
      </w:r>
      <w:r w:rsidR="00A17465">
        <w:t xml:space="preserve"> binnen de EU</w:t>
      </w:r>
      <w:r w:rsidRPr="00B94CCF" w:rsidR="00AB0E10">
        <w:t>. Ook de richtsnoeren die de Commissie in samenwerking met de lidstaten hierover zal opstellen dragen bij aan uniforme handhaving tussen lidstaten.</w:t>
      </w:r>
    </w:p>
    <w:p w:rsidR="00C44D8E" w:rsidP="00880CB1" w:rsidRDefault="00C44D8E" w14:paraId="35D92923" w14:textId="77777777">
      <w:pPr>
        <w:spacing w:line="276" w:lineRule="auto"/>
      </w:pPr>
    </w:p>
    <w:p w:rsidRPr="00B94CCF" w:rsidR="00AB0E10" w:rsidP="00880CB1" w:rsidRDefault="00AB0E10" w14:paraId="61ED2E2A" w14:textId="18835D4C">
      <w:pPr>
        <w:spacing w:line="276" w:lineRule="auto"/>
      </w:pPr>
      <w:r w:rsidRPr="00B94CCF">
        <w:t xml:space="preserve">De geharmoniseerde bepalingen over civiele aansprakelijkheid zijn </w:t>
      </w:r>
      <w:r w:rsidR="00526413">
        <w:t xml:space="preserve">in het triloogakkoord </w:t>
      </w:r>
      <w:r w:rsidRPr="00B94CCF">
        <w:t>niet teruggebracht. Het kabinet heeft hier tijdens de onderhandelingen op ingezet om fragmentatie te voorkomen. Daarvoor bleek onvoldoende draagvlak</w:t>
      </w:r>
      <w:r w:rsidR="000A6F86">
        <w:t xml:space="preserve"> in de Raad en het EP</w:t>
      </w:r>
      <w:r w:rsidRPr="00B94CCF">
        <w:t>.</w:t>
      </w:r>
    </w:p>
    <w:p w:rsidR="00AB0E10" w:rsidP="00880CB1" w:rsidRDefault="00AB0E10" w14:paraId="6310DDCB" w14:textId="77777777">
      <w:pPr>
        <w:spacing w:line="276" w:lineRule="auto"/>
        <w:rPr>
          <w:b/>
          <w:bCs/>
        </w:rPr>
      </w:pPr>
    </w:p>
    <w:p w:rsidR="00AB0E10" w:rsidP="00880CB1" w:rsidRDefault="00AB0E10" w14:paraId="19199B1A" w14:textId="77777777">
      <w:pPr>
        <w:spacing w:line="276" w:lineRule="auto"/>
        <w:rPr>
          <w:b/>
          <w:bCs/>
        </w:rPr>
      </w:pPr>
      <w:r>
        <w:rPr>
          <w:b/>
          <w:bCs/>
        </w:rPr>
        <w:t>Toepassingsdatum en implementatiedeadline</w:t>
      </w:r>
    </w:p>
    <w:p w:rsidR="00880CB1" w:rsidP="00880CB1" w:rsidRDefault="00526413" w14:paraId="795B360C" w14:textId="77777777">
      <w:pPr>
        <w:spacing w:line="276" w:lineRule="auto"/>
      </w:pPr>
      <w:r>
        <w:t xml:space="preserve">Het triloogakkoord </w:t>
      </w:r>
      <w:r w:rsidRPr="00B94CCF" w:rsidR="00AB0E10">
        <w:t>bevat</w:t>
      </w:r>
      <w:r w:rsidR="000A6F86">
        <w:t>, in lijn met de Raadspositie,</w:t>
      </w:r>
      <w:r w:rsidRPr="00B94CCF" w:rsidR="00AB0E10">
        <w:t xml:space="preserve"> een bepaling waarmee de toepassing van de richtlijn nog een jaar wordt uitgesteld. Dit uitstel komt bovenop het eerder overeengekomen uitstel op grond van de “stop de klokrichtlijn”</w:t>
      </w:r>
      <w:r w:rsidRPr="00B94CCF" w:rsidR="00AB0E10">
        <w:rPr>
          <w:rStyle w:val="FootnoteReference"/>
        </w:rPr>
        <w:footnoteReference w:id="3"/>
      </w:r>
      <w:r w:rsidRPr="00B94CCF" w:rsidR="00AB0E10">
        <w:t>, en betekent dat de verplichtingen voor bedrijven van toepassing zullen worden vanaf juli 2029</w:t>
      </w:r>
      <w:r w:rsidR="00AB0E10">
        <w:t xml:space="preserve">. </w:t>
      </w:r>
      <w:r w:rsidR="00C44D8E">
        <w:t xml:space="preserve">De deadline voor implementatie door de lidstaten wordt juli 2028. </w:t>
      </w:r>
      <w:r w:rsidR="00F56222">
        <w:lastRenderedPageBreak/>
        <w:t>Hiermee krijgen lidstaten en bedrijven meer tijd voor de impl</w:t>
      </w:r>
      <w:r w:rsidR="00D33AAB">
        <w:t>ementatie</w:t>
      </w:r>
      <w:r w:rsidR="00F56222">
        <w:t xml:space="preserve"> en voorbereiding. </w:t>
      </w:r>
    </w:p>
    <w:p w:rsidR="00880CB1" w:rsidP="00880CB1" w:rsidRDefault="00880CB1" w14:paraId="085D697C" w14:textId="77777777">
      <w:pPr>
        <w:spacing w:line="276" w:lineRule="auto"/>
      </w:pPr>
    </w:p>
    <w:p w:rsidR="00880CB1" w:rsidP="00880CB1" w:rsidRDefault="00DF593D" w14:paraId="2781DB08" w14:textId="74E66078">
      <w:pPr>
        <w:spacing w:line="276" w:lineRule="auto"/>
      </w:pPr>
      <w:r w:rsidRPr="00DF593D">
        <w:t xml:space="preserve">Staatssecretaris Buitenlandse Handel </w:t>
      </w:r>
    </w:p>
    <w:p w:rsidR="00DF593D" w:rsidP="00880CB1" w:rsidRDefault="00DF593D" w14:paraId="27EC019C" w14:textId="46EDAFE6">
      <w:pPr>
        <w:spacing w:line="276" w:lineRule="auto"/>
      </w:pPr>
      <w:r w:rsidRPr="00DF593D">
        <w:t>en Ontwikkelingshulp</w:t>
      </w:r>
      <w:r>
        <w:t xml:space="preserve">, </w:t>
      </w:r>
    </w:p>
    <w:p w:rsidR="00DF593D" w:rsidP="00880CB1" w:rsidRDefault="00DF593D" w14:paraId="42F20A53" w14:textId="77777777">
      <w:pPr>
        <w:spacing w:line="276" w:lineRule="auto"/>
      </w:pPr>
    </w:p>
    <w:p w:rsidR="00DF593D" w:rsidP="00880CB1" w:rsidRDefault="00DF593D" w14:paraId="44170B6E" w14:textId="77777777">
      <w:pPr>
        <w:spacing w:line="276" w:lineRule="auto"/>
      </w:pPr>
    </w:p>
    <w:p w:rsidR="00880CB1" w:rsidP="00880CB1" w:rsidRDefault="00880CB1" w14:paraId="4868BCD7" w14:textId="77777777">
      <w:pPr>
        <w:spacing w:line="276" w:lineRule="auto"/>
      </w:pPr>
    </w:p>
    <w:p w:rsidR="00880CB1" w:rsidP="00880CB1" w:rsidRDefault="00880CB1" w14:paraId="1EDB3F08" w14:textId="77777777">
      <w:pPr>
        <w:spacing w:line="276" w:lineRule="auto"/>
      </w:pPr>
    </w:p>
    <w:p w:rsidR="00880CB1" w:rsidP="00880CB1" w:rsidRDefault="00880CB1" w14:paraId="1C71528C" w14:textId="77777777">
      <w:pPr>
        <w:spacing w:line="276" w:lineRule="auto"/>
      </w:pPr>
    </w:p>
    <w:p w:rsidR="00DF593D" w:rsidP="00880CB1" w:rsidRDefault="00DF593D" w14:paraId="7CD91774" w14:textId="77777777">
      <w:pPr>
        <w:spacing w:line="276" w:lineRule="auto"/>
      </w:pPr>
    </w:p>
    <w:p w:rsidRPr="00DF593D" w:rsidR="00DF593D" w:rsidP="00880CB1" w:rsidRDefault="00DF593D" w14:paraId="6D0E70A6" w14:textId="431E4F68">
      <w:pPr>
        <w:spacing w:line="276" w:lineRule="auto"/>
      </w:pPr>
      <w:r w:rsidRPr="00DF593D">
        <w:t>Aukje de Vries</w:t>
      </w:r>
    </w:p>
    <w:p w:rsidRPr="00B94CCF" w:rsidR="00AB0E10" w:rsidP="00880CB1" w:rsidRDefault="00AB0E10" w14:paraId="7F7C8663" w14:textId="77777777">
      <w:pPr>
        <w:spacing w:line="276" w:lineRule="auto"/>
      </w:pPr>
    </w:p>
    <w:p w:rsidR="00B44C47" w:rsidP="00880CB1" w:rsidRDefault="00B44C47" w14:paraId="2B885756" w14:textId="77777777">
      <w:pPr>
        <w:spacing w:line="276" w:lineRule="auto"/>
      </w:pPr>
    </w:p>
    <w:p w:rsidR="00880CB1" w:rsidP="00880CB1" w:rsidRDefault="00880CB1" w14:paraId="48A9D04E" w14:textId="77777777">
      <w:pPr>
        <w:spacing w:line="276" w:lineRule="auto"/>
      </w:pPr>
    </w:p>
    <w:sectPr w:rsidR="00880CB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65B0" w14:textId="77777777" w:rsidR="00103180" w:rsidRDefault="00103180">
      <w:pPr>
        <w:spacing w:line="240" w:lineRule="auto"/>
      </w:pPr>
      <w:r>
        <w:separator/>
      </w:r>
    </w:p>
  </w:endnote>
  <w:endnote w:type="continuationSeparator" w:id="0">
    <w:p w14:paraId="75914390" w14:textId="77777777" w:rsidR="00103180" w:rsidRDefault="00103180">
      <w:pPr>
        <w:spacing w:line="240" w:lineRule="auto"/>
      </w:pPr>
      <w:r>
        <w:continuationSeparator/>
      </w:r>
    </w:p>
  </w:endnote>
  <w:endnote w:type="continuationNotice" w:id="1">
    <w:p w14:paraId="1FCE9F80" w14:textId="77777777" w:rsidR="00304236" w:rsidRDefault="003042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F02A" w14:textId="77777777" w:rsidR="009F6243" w:rsidRDefault="009F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0773"/>
      <w:docPartObj>
        <w:docPartGallery w:val="Page Numbers (Bottom of Page)"/>
        <w:docPartUnique/>
      </w:docPartObj>
    </w:sdtPr>
    <w:sdtContent>
      <w:p w14:paraId="60AD07BB" w14:textId="513CC4B3" w:rsidR="009F6243" w:rsidRDefault="009F6243">
        <w:pPr>
          <w:pStyle w:val="Footer"/>
          <w:jc w:val="center"/>
        </w:pPr>
        <w:r>
          <w:fldChar w:fldCharType="begin"/>
        </w:r>
        <w:r>
          <w:instrText>PAGE   \* MERGEFORMAT</w:instrText>
        </w:r>
        <w:r>
          <w:fldChar w:fldCharType="separate"/>
        </w:r>
        <w:r>
          <w:t>2</w:t>
        </w:r>
        <w:r>
          <w:fldChar w:fldCharType="end"/>
        </w:r>
      </w:p>
    </w:sdtContent>
  </w:sdt>
  <w:p w14:paraId="7583E9CB" w14:textId="77777777" w:rsidR="009F6243" w:rsidRDefault="009F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21359"/>
      <w:docPartObj>
        <w:docPartGallery w:val="Page Numbers (Bottom of Page)"/>
        <w:docPartUnique/>
      </w:docPartObj>
    </w:sdtPr>
    <w:sdtContent>
      <w:p w14:paraId="0DDE39FD" w14:textId="1DCBEBB7" w:rsidR="009F6243" w:rsidRDefault="009F6243">
        <w:pPr>
          <w:pStyle w:val="Footer"/>
          <w:jc w:val="center"/>
        </w:pPr>
        <w:r>
          <w:fldChar w:fldCharType="begin"/>
        </w:r>
        <w:r>
          <w:instrText>PAGE   \* MERGEFORMAT</w:instrText>
        </w:r>
        <w:r>
          <w:fldChar w:fldCharType="separate"/>
        </w:r>
        <w:r>
          <w:t>2</w:t>
        </w:r>
        <w:r>
          <w:fldChar w:fldCharType="end"/>
        </w:r>
      </w:p>
    </w:sdtContent>
  </w:sdt>
  <w:p w14:paraId="2A655E45" w14:textId="77777777" w:rsidR="009F6243" w:rsidRDefault="009F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6E09" w14:textId="77777777" w:rsidR="00103180" w:rsidRDefault="00103180">
      <w:pPr>
        <w:spacing w:line="240" w:lineRule="auto"/>
      </w:pPr>
      <w:r>
        <w:separator/>
      </w:r>
    </w:p>
  </w:footnote>
  <w:footnote w:type="continuationSeparator" w:id="0">
    <w:p w14:paraId="35BEC485" w14:textId="77777777" w:rsidR="00103180" w:rsidRDefault="00103180">
      <w:pPr>
        <w:spacing w:line="240" w:lineRule="auto"/>
      </w:pPr>
      <w:r>
        <w:continuationSeparator/>
      </w:r>
    </w:p>
  </w:footnote>
  <w:footnote w:type="continuationNotice" w:id="1">
    <w:p w14:paraId="1904DDC2" w14:textId="77777777" w:rsidR="00304236" w:rsidRDefault="00304236">
      <w:pPr>
        <w:spacing w:line="240" w:lineRule="auto"/>
      </w:pPr>
    </w:p>
  </w:footnote>
  <w:footnote w:id="2">
    <w:p w14:paraId="08B44CF7" w14:textId="77777777" w:rsidR="00C44D8E" w:rsidRPr="00880CB1" w:rsidRDefault="00C44D8E" w:rsidP="00C44D8E">
      <w:pPr>
        <w:pStyle w:val="FootnoteText"/>
        <w:rPr>
          <w:rFonts w:ascii="Verdana" w:hAnsi="Verdana"/>
          <w:sz w:val="16"/>
          <w:szCs w:val="16"/>
        </w:rPr>
      </w:pPr>
      <w:r w:rsidRPr="00880CB1">
        <w:rPr>
          <w:rStyle w:val="FootnoteReference"/>
          <w:rFonts w:ascii="Verdana" w:hAnsi="Verdana"/>
          <w:sz w:val="16"/>
          <w:szCs w:val="16"/>
        </w:rPr>
        <w:footnoteRef/>
      </w:r>
      <w:r w:rsidRPr="00880CB1">
        <w:rPr>
          <w:rFonts w:ascii="Verdana" w:hAnsi="Verdana"/>
          <w:sz w:val="16"/>
          <w:szCs w:val="16"/>
        </w:rPr>
        <w:t xml:space="preserve"> De OESO-richtlijn voor multinationale ondernemingen inzake maatschappelijk verantwoord ondernemen en de UN Guiding Principles on Business and Human Rights.</w:t>
      </w:r>
    </w:p>
  </w:footnote>
  <w:footnote w:id="3">
    <w:p w14:paraId="6EC48967" w14:textId="77777777" w:rsidR="00AB0E10" w:rsidRPr="00B94CCF" w:rsidRDefault="00AB0E10" w:rsidP="00AB0E10">
      <w:pPr>
        <w:pStyle w:val="FootnoteText"/>
      </w:pPr>
      <w:r w:rsidRPr="00880CB1">
        <w:rPr>
          <w:rStyle w:val="FootnoteReference"/>
          <w:rFonts w:ascii="Verdana" w:hAnsi="Verdana"/>
          <w:sz w:val="16"/>
          <w:szCs w:val="16"/>
        </w:rPr>
        <w:footnoteRef/>
      </w:r>
      <w:r w:rsidRPr="00880CB1">
        <w:rPr>
          <w:rFonts w:ascii="Verdana" w:hAnsi="Verdana"/>
          <w:sz w:val="16"/>
          <w:szCs w:val="16"/>
        </w:rPr>
        <w:t xml:space="preserve"> Kamerstukken 36712, nr</w:t>
      </w:r>
      <w:r w:rsidRPr="00251020">
        <w:rPr>
          <w:sz w:val="16"/>
          <w:szCs w:val="16"/>
        </w:rPr>
        <w:t>. 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2CB8" w14:textId="77777777" w:rsidR="009F6243" w:rsidRDefault="009F6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5757" w14:textId="44A61795" w:rsidR="00B44C47" w:rsidRDefault="00103180">
    <w:r>
      <w:rPr>
        <w:noProof/>
      </w:rPr>
      <mc:AlternateContent>
        <mc:Choice Requires="wps">
          <w:drawing>
            <wp:anchor distT="0" distB="0" distL="0" distR="0" simplePos="0" relativeHeight="251658240" behindDoc="0" locked="1" layoutInCell="1" allowOverlap="1" wp14:anchorId="2B88575B" wp14:editId="3D4A4BF3">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2B885789" w14:textId="77777777" w:rsidR="00B44C47" w:rsidRDefault="00103180">
                          <w:pPr>
                            <w:pStyle w:val="Referentiegegevensbold"/>
                          </w:pPr>
                          <w:r>
                            <w:t>Ministerie van Buitenlandse Zaken</w:t>
                          </w:r>
                        </w:p>
                        <w:p w14:paraId="2B88578A" w14:textId="77777777" w:rsidR="00B44C47" w:rsidRDefault="00B44C47">
                          <w:pPr>
                            <w:pStyle w:val="WitregelW2"/>
                          </w:pPr>
                        </w:p>
                        <w:p w14:paraId="2B88578B" w14:textId="77777777" w:rsidR="00B44C47" w:rsidRDefault="00103180">
                          <w:pPr>
                            <w:pStyle w:val="Referentiegegevensbold"/>
                          </w:pPr>
                          <w:r>
                            <w:t>Onze referentie</w:t>
                          </w:r>
                        </w:p>
                        <w:p w14:paraId="2B88578C" w14:textId="77777777" w:rsidR="00B44C47" w:rsidRDefault="00103180">
                          <w:pPr>
                            <w:pStyle w:val="Referentiegegevens"/>
                          </w:pPr>
                          <w:r>
                            <w:t>BZ2523162</w:t>
                          </w:r>
                        </w:p>
                      </w:txbxContent>
                    </wps:txbx>
                    <wps:bodyPr vert="horz" wrap="square" lIns="0" tIns="0" rIns="0" bIns="0" anchor="t" anchorCtr="0"/>
                  </wps:wsp>
                </a:graphicData>
              </a:graphic>
              <wp14:sizeRelH relativeFrom="margin">
                <wp14:pctWidth>0</wp14:pctWidth>
              </wp14:sizeRelH>
            </wp:anchor>
          </w:drawing>
        </mc:Choice>
        <mc:Fallback>
          <w:pict>
            <v:shapetype w14:anchorId="2B88575B"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2B885789" w14:textId="77777777" w:rsidR="00B44C47" w:rsidRDefault="00103180">
                    <w:pPr>
                      <w:pStyle w:val="Referentiegegevensbold"/>
                    </w:pPr>
                    <w:r>
                      <w:t>Ministerie van Buitenlandse Zaken</w:t>
                    </w:r>
                  </w:p>
                  <w:p w14:paraId="2B88578A" w14:textId="77777777" w:rsidR="00B44C47" w:rsidRDefault="00B44C47">
                    <w:pPr>
                      <w:pStyle w:val="WitregelW2"/>
                    </w:pPr>
                  </w:p>
                  <w:p w14:paraId="2B88578B" w14:textId="77777777" w:rsidR="00B44C47" w:rsidRDefault="00103180">
                    <w:pPr>
                      <w:pStyle w:val="Referentiegegevensbold"/>
                    </w:pPr>
                    <w:r>
                      <w:t>Onze referentie</w:t>
                    </w:r>
                  </w:p>
                  <w:p w14:paraId="2B88578C" w14:textId="77777777" w:rsidR="00B44C47" w:rsidRDefault="00103180">
                    <w:pPr>
                      <w:pStyle w:val="Referentiegegevens"/>
                    </w:pPr>
                    <w:r>
                      <w:t>BZ2523162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B88575F" wp14:editId="32E391D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88579A" w14:textId="77777777" w:rsidR="00103180" w:rsidRDefault="00103180"/>
                      </w:txbxContent>
                    </wps:txbx>
                    <wps:bodyPr vert="horz" wrap="square" lIns="0" tIns="0" rIns="0" bIns="0" anchor="t" anchorCtr="0"/>
                  </wps:wsp>
                </a:graphicData>
              </a:graphic>
            </wp:anchor>
          </w:drawing>
        </mc:Choice>
        <mc:Fallback>
          <w:pict>
            <v:shape w14:anchorId="2B88575F"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B88579A" w14:textId="77777777" w:rsidR="00103180" w:rsidRDefault="0010318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5759" w14:textId="6492DE58" w:rsidR="00B44C47" w:rsidRDefault="00103180">
    <w:pPr>
      <w:spacing w:after="7131" w:line="14" w:lineRule="exact"/>
    </w:pPr>
    <w:r>
      <w:rPr>
        <w:noProof/>
      </w:rPr>
      <mc:AlternateContent>
        <mc:Choice Requires="wps">
          <w:drawing>
            <wp:anchor distT="0" distB="0" distL="0" distR="0" simplePos="0" relativeHeight="251658242" behindDoc="0" locked="1" layoutInCell="1" allowOverlap="1" wp14:anchorId="2B885761" wp14:editId="2B8857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88578E" w14:textId="77777777" w:rsidR="00103180" w:rsidRDefault="00103180"/>
                      </w:txbxContent>
                    </wps:txbx>
                    <wps:bodyPr vert="horz" wrap="square" lIns="0" tIns="0" rIns="0" bIns="0" anchor="t" anchorCtr="0"/>
                  </wps:wsp>
                </a:graphicData>
              </a:graphic>
            </wp:anchor>
          </w:drawing>
        </mc:Choice>
        <mc:Fallback>
          <w:pict>
            <v:shapetype w14:anchorId="2B8857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88578E" w14:textId="77777777" w:rsidR="00103180" w:rsidRDefault="0010318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B885763" wp14:editId="2B8857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3BB4F3" w14:textId="77777777" w:rsidR="00880CB1" w:rsidRPr="00CF7C5C" w:rsidRDefault="00880CB1" w:rsidP="00880CB1">
                          <w:r>
                            <w:t>Aan de Voorzitter van de</w:t>
                          </w:r>
                          <w:r>
                            <w:br/>
                            <w:t>Tweede Kamer der Staten-Generaal</w:t>
                          </w:r>
                          <w:r>
                            <w:br/>
                            <w:t>Prinses Irenestraat 6</w:t>
                          </w:r>
                          <w:r>
                            <w:br/>
                            <w:t>Den Haag</w:t>
                          </w:r>
                        </w:p>
                        <w:p w14:paraId="2B885771" w14:textId="268BCCC7" w:rsidR="00B44C47" w:rsidRDefault="00B44C47">
                          <w:pPr>
                            <w:pStyle w:val="Rubricering"/>
                          </w:pPr>
                        </w:p>
                      </w:txbxContent>
                    </wps:txbx>
                    <wps:bodyPr vert="horz" wrap="square" lIns="0" tIns="0" rIns="0" bIns="0" anchor="t" anchorCtr="0"/>
                  </wps:wsp>
                </a:graphicData>
              </a:graphic>
            </wp:anchor>
          </w:drawing>
        </mc:Choice>
        <mc:Fallback>
          <w:pict>
            <v:shape w14:anchorId="2B885763"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3BB4F3" w14:textId="77777777" w:rsidR="00880CB1" w:rsidRPr="00CF7C5C" w:rsidRDefault="00880CB1" w:rsidP="00880CB1">
                    <w:r>
                      <w:t>Aan de Voorzitter van de</w:t>
                    </w:r>
                    <w:r>
                      <w:br/>
                      <w:t>Tweede Kamer der Staten-Generaal</w:t>
                    </w:r>
                    <w:r>
                      <w:br/>
                      <w:t>Prinses Irenestraat 6</w:t>
                    </w:r>
                    <w:r>
                      <w:br/>
                      <w:t>Den Haag</w:t>
                    </w:r>
                  </w:p>
                  <w:p w14:paraId="2B885771" w14:textId="268BCCC7" w:rsidR="00B44C47" w:rsidRDefault="00B44C4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B885765" wp14:editId="2B8857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4C47" w14:paraId="2B885774" w14:textId="77777777">
                            <w:tc>
                              <w:tcPr>
                                <w:tcW w:w="678" w:type="dxa"/>
                              </w:tcPr>
                              <w:p w14:paraId="2B885772" w14:textId="77777777" w:rsidR="00B44C47" w:rsidRDefault="00103180">
                                <w:r>
                                  <w:t>Datum</w:t>
                                </w:r>
                              </w:p>
                            </w:tc>
                            <w:tc>
                              <w:tcPr>
                                <w:tcW w:w="6851" w:type="dxa"/>
                              </w:tcPr>
                              <w:p w14:paraId="2B885773" w14:textId="5F11F939" w:rsidR="00B44C47" w:rsidRDefault="00BB1322">
                                <w:r>
                                  <w:t>9</w:t>
                                </w:r>
                                <w:r w:rsidR="00103180">
                                  <w:t xml:space="preserve"> december 2025</w:t>
                                </w:r>
                              </w:p>
                            </w:tc>
                          </w:tr>
                          <w:tr w:rsidR="00B44C47" w14:paraId="2B885779" w14:textId="77777777">
                            <w:tc>
                              <w:tcPr>
                                <w:tcW w:w="678" w:type="dxa"/>
                              </w:tcPr>
                              <w:p w14:paraId="2B885775" w14:textId="77777777" w:rsidR="00B44C47" w:rsidRDefault="00103180">
                                <w:r>
                                  <w:t>Betreft</w:t>
                                </w:r>
                              </w:p>
                              <w:p w14:paraId="2B885776" w14:textId="77777777" w:rsidR="00B44C47" w:rsidRDefault="00B44C47"/>
                            </w:tc>
                            <w:tc>
                              <w:tcPr>
                                <w:tcW w:w="6851" w:type="dxa"/>
                              </w:tcPr>
                              <w:p w14:paraId="2B885777" w14:textId="77777777" w:rsidR="00B44C47" w:rsidRDefault="00103180">
                                <w:r>
                                  <w:t>Voorlopig politiek akkoord Omnibus I-CSDDD</w:t>
                                </w:r>
                              </w:p>
                              <w:p w14:paraId="2B885778" w14:textId="77777777" w:rsidR="00B44C47" w:rsidRDefault="00B44C47"/>
                            </w:tc>
                          </w:tr>
                        </w:tbl>
                        <w:p w14:paraId="2B88577A" w14:textId="77777777" w:rsidR="00B44C47" w:rsidRDefault="00B44C47"/>
                        <w:p w14:paraId="2B88577B" w14:textId="77777777" w:rsidR="00B44C47" w:rsidRDefault="00B44C47"/>
                      </w:txbxContent>
                    </wps:txbx>
                    <wps:bodyPr vert="horz" wrap="square" lIns="0" tIns="0" rIns="0" bIns="0" anchor="t" anchorCtr="0"/>
                  </wps:wsp>
                </a:graphicData>
              </a:graphic>
            </wp:anchor>
          </w:drawing>
        </mc:Choice>
        <mc:Fallback>
          <w:pict>
            <v:shape w14:anchorId="2B885765"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44C47" w14:paraId="2B885774" w14:textId="77777777">
                      <w:tc>
                        <w:tcPr>
                          <w:tcW w:w="678" w:type="dxa"/>
                        </w:tcPr>
                        <w:p w14:paraId="2B885772" w14:textId="77777777" w:rsidR="00B44C47" w:rsidRDefault="00103180">
                          <w:r>
                            <w:t>Datum</w:t>
                          </w:r>
                        </w:p>
                      </w:tc>
                      <w:tc>
                        <w:tcPr>
                          <w:tcW w:w="6851" w:type="dxa"/>
                        </w:tcPr>
                        <w:p w14:paraId="2B885773" w14:textId="5F11F939" w:rsidR="00B44C47" w:rsidRDefault="00BB1322">
                          <w:r>
                            <w:t>9</w:t>
                          </w:r>
                          <w:r w:rsidR="00103180">
                            <w:t xml:space="preserve"> december 2025</w:t>
                          </w:r>
                        </w:p>
                      </w:tc>
                    </w:tr>
                    <w:tr w:rsidR="00B44C47" w14:paraId="2B885779" w14:textId="77777777">
                      <w:tc>
                        <w:tcPr>
                          <w:tcW w:w="678" w:type="dxa"/>
                        </w:tcPr>
                        <w:p w14:paraId="2B885775" w14:textId="77777777" w:rsidR="00B44C47" w:rsidRDefault="00103180">
                          <w:r>
                            <w:t>Betreft</w:t>
                          </w:r>
                        </w:p>
                        <w:p w14:paraId="2B885776" w14:textId="77777777" w:rsidR="00B44C47" w:rsidRDefault="00B44C47"/>
                      </w:tc>
                      <w:tc>
                        <w:tcPr>
                          <w:tcW w:w="6851" w:type="dxa"/>
                        </w:tcPr>
                        <w:p w14:paraId="2B885777" w14:textId="77777777" w:rsidR="00B44C47" w:rsidRDefault="00103180">
                          <w:r>
                            <w:t>Voorlopig politiek akkoord Omnibus I-CSDDD</w:t>
                          </w:r>
                        </w:p>
                        <w:p w14:paraId="2B885778" w14:textId="77777777" w:rsidR="00B44C47" w:rsidRDefault="00B44C47"/>
                      </w:tc>
                    </w:tr>
                  </w:tbl>
                  <w:p w14:paraId="2B88577A" w14:textId="77777777" w:rsidR="00B44C47" w:rsidRDefault="00B44C47"/>
                  <w:p w14:paraId="2B88577B" w14:textId="77777777" w:rsidR="00B44C47" w:rsidRDefault="00B44C4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B885767" wp14:editId="411F674D">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843D526" w14:textId="77777777" w:rsidR="00880CB1" w:rsidRPr="00F51C07" w:rsidRDefault="00880CB1" w:rsidP="00880CB1">
                              <w:pPr>
                                <w:rPr>
                                  <w:b/>
                                  <w:sz w:val="13"/>
                                  <w:szCs w:val="13"/>
                                </w:rPr>
                              </w:pPr>
                              <w:r w:rsidRPr="00FC13FA">
                                <w:rPr>
                                  <w:b/>
                                  <w:sz w:val="13"/>
                                  <w:szCs w:val="13"/>
                                </w:rPr>
                                <w:t>Ministerie van Buitenlandse Zaken</w:t>
                              </w:r>
                            </w:p>
                          </w:sdtContent>
                        </w:sdt>
                        <w:p w14:paraId="2D54C72E" w14:textId="77777777" w:rsidR="00880CB1" w:rsidRPr="00EE5E5D" w:rsidRDefault="00880CB1" w:rsidP="00880CB1">
                          <w:pPr>
                            <w:rPr>
                              <w:sz w:val="13"/>
                              <w:szCs w:val="13"/>
                            </w:rPr>
                          </w:pPr>
                          <w:r>
                            <w:rPr>
                              <w:sz w:val="13"/>
                              <w:szCs w:val="13"/>
                            </w:rPr>
                            <w:t>Rijnstraat 8</w:t>
                          </w:r>
                        </w:p>
                        <w:p w14:paraId="286A0847" w14:textId="77777777" w:rsidR="00880CB1" w:rsidRPr="0059764A" w:rsidRDefault="00880CB1" w:rsidP="00880CB1">
                          <w:pPr>
                            <w:rPr>
                              <w:sz w:val="13"/>
                              <w:szCs w:val="13"/>
                              <w:lang w:val="da-DK"/>
                            </w:rPr>
                          </w:pPr>
                          <w:r w:rsidRPr="0059764A">
                            <w:rPr>
                              <w:sz w:val="13"/>
                              <w:szCs w:val="13"/>
                              <w:lang w:val="da-DK"/>
                            </w:rPr>
                            <w:t>2515 XP Den Haag</w:t>
                          </w:r>
                        </w:p>
                        <w:p w14:paraId="06CC5A19" w14:textId="77777777" w:rsidR="00880CB1" w:rsidRPr="0059764A" w:rsidRDefault="00880CB1" w:rsidP="00880CB1">
                          <w:pPr>
                            <w:rPr>
                              <w:sz w:val="13"/>
                              <w:szCs w:val="13"/>
                              <w:lang w:val="da-DK"/>
                            </w:rPr>
                          </w:pPr>
                          <w:r w:rsidRPr="0059764A">
                            <w:rPr>
                              <w:sz w:val="13"/>
                              <w:szCs w:val="13"/>
                              <w:lang w:val="da-DK"/>
                            </w:rPr>
                            <w:t>Postbus 20061</w:t>
                          </w:r>
                        </w:p>
                        <w:p w14:paraId="68A91D70" w14:textId="77777777" w:rsidR="00880CB1" w:rsidRPr="0059764A" w:rsidRDefault="00880CB1" w:rsidP="00880CB1">
                          <w:pPr>
                            <w:rPr>
                              <w:sz w:val="13"/>
                              <w:szCs w:val="13"/>
                              <w:lang w:val="da-DK"/>
                            </w:rPr>
                          </w:pPr>
                          <w:r w:rsidRPr="0059764A">
                            <w:rPr>
                              <w:sz w:val="13"/>
                              <w:szCs w:val="13"/>
                              <w:lang w:val="da-DK"/>
                            </w:rPr>
                            <w:t>Nederland</w:t>
                          </w:r>
                        </w:p>
                        <w:p w14:paraId="6A1CF382" w14:textId="77777777" w:rsidR="00880CB1" w:rsidRDefault="00880CB1">
                          <w:pPr>
                            <w:pStyle w:val="Referentiegegevens"/>
                            <w:rPr>
                              <w:lang w:val="da-DK"/>
                            </w:rPr>
                          </w:pPr>
                        </w:p>
                        <w:p w14:paraId="2B88577F" w14:textId="54340126" w:rsidR="00B44C47" w:rsidRPr="00880CB1" w:rsidRDefault="00103180">
                          <w:pPr>
                            <w:pStyle w:val="Referentiegegevens"/>
                            <w:rPr>
                              <w:lang w:val="da-DK"/>
                            </w:rPr>
                          </w:pPr>
                          <w:r w:rsidRPr="00880CB1">
                            <w:rPr>
                              <w:lang w:val="da-DK"/>
                            </w:rPr>
                            <w:t>www.minbuza.nl</w:t>
                          </w:r>
                        </w:p>
                        <w:p w14:paraId="2B885780" w14:textId="77777777" w:rsidR="00B44C47" w:rsidRPr="00880CB1" w:rsidRDefault="00B44C47">
                          <w:pPr>
                            <w:pStyle w:val="WitregelW2"/>
                            <w:rPr>
                              <w:lang w:val="da-DK"/>
                            </w:rPr>
                          </w:pPr>
                        </w:p>
                        <w:p w14:paraId="2B885781" w14:textId="77777777" w:rsidR="00B44C47" w:rsidRDefault="00103180">
                          <w:pPr>
                            <w:pStyle w:val="Referentiegegevensbold"/>
                          </w:pPr>
                          <w:r>
                            <w:t>Onze referentie</w:t>
                          </w:r>
                        </w:p>
                        <w:p w14:paraId="2B885782" w14:textId="77777777" w:rsidR="00B44C47" w:rsidRDefault="00103180">
                          <w:pPr>
                            <w:pStyle w:val="Referentiegegevens"/>
                          </w:pPr>
                          <w:r>
                            <w:t>BZ2523162</w:t>
                          </w:r>
                        </w:p>
                        <w:p w14:paraId="2B885783" w14:textId="77777777" w:rsidR="00B44C47" w:rsidRDefault="00B44C47">
                          <w:pPr>
                            <w:pStyle w:val="WitregelW1"/>
                          </w:pPr>
                        </w:p>
                      </w:txbxContent>
                    </wps:txbx>
                    <wps:bodyPr vert="horz" wrap="square" lIns="0" tIns="0" rIns="0" bIns="0" anchor="t" anchorCtr="0"/>
                  </wps:wsp>
                </a:graphicData>
              </a:graphic>
              <wp14:sizeRelH relativeFrom="margin">
                <wp14:pctWidth>0</wp14:pctWidth>
              </wp14:sizeRelH>
            </wp:anchor>
          </w:drawing>
        </mc:Choice>
        <mc:Fallback>
          <w:pict>
            <v:shape w14:anchorId="2B885767" id="41b10cd4-80a4-11ea-b356-6230a4311406" o:spid="_x0000_s1031" type="#_x0000_t202" style="position:absolute;margin-left:466.5pt;margin-top:155pt;width:104.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843D526" w14:textId="77777777" w:rsidR="00880CB1" w:rsidRPr="00F51C07" w:rsidRDefault="00880CB1" w:rsidP="00880CB1">
                        <w:pPr>
                          <w:rPr>
                            <w:b/>
                            <w:sz w:val="13"/>
                            <w:szCs w:val="13"/>
                          </w:rPr>
                        </w:pPr>
                        <w:r w:rsidRPr="00FC13FA">
                          <w:rPr>
                            <w:b/>
                            <w:sz w:val="13"/>
                            <w:szCs w:val="13"/>
                          </w:rPr>
                          <w:t>Ministerie van Buitenlandse Zaken</w:t>
                        </w:r>
                      </w:p>
                    </w:sdtContent>
                  </w:sdt>
                  <w:p w14:paraId="2D54C72E" w14:textId="77777777" w:rsidR="00880CB1" w:rsidRPr="00EE5E5D" w:rsidRDefault="00880CB1" w:rsidP="00880CB1">
                    <w:pPr>
                      <w:rPr>
                        <w:sz w:val="13"/>
                        <w:szCs w:val="13"/>
                      </w:rPr>
                    </w:pPr>
                    <w:r>
                      <w:rPr>
                        <w:sz w:val="13"/>
                        <w:szCs w:val="13"/>
                      </w:rPr>
                      <w:t>Rijnstraat 8</w:t>
                    </w:r>
                  </w:p>
                  <w:p w14:paraId="286A0847" w14:textId="77777777" w:rsidR="00880CB1" w:rsidRPr="0059764A" w:rsidRDefault="00880CB1" w:rsidP="00880CB1">
                    <w:pPr>
                      <w:rPr>
                        <w:sz w:val="13"/>
                        <w:szCs w:val="13"/>
                        <w:lang w:val="da-DK"/>
                      </w:rPr>
                    </w:pPr>
                    <w:r w:rsidRPr="0059764A">
                      <w:rPr>
                        <w:sz w:val="13"/>
                        <w:szCs w:val="13"/>
                        <w:lang w:val="da-DK"/>
                      </w:rPr>
                      <w:t>2515 XP Den Haag</w:t>
                    </w:r>
                  </w:p>
                  <w:p w14:paraId="06CC5A19" w14:textId="77777777" w:rsidR="00880CB1" w:rsidRPr="0059764A" w:rsidRDefault="00880CB1" w:rsidP="00880CB1">
                    <w:pPr>
                      <w:rPr>
                        <w:sz w:val="13"/>
                        <w:szCs w:val="13"/>
                        <w:lang w:val="da-DK"/>
                      </w:rPr>
                    </w:pPr>
                    <w:r w:rsidRPr="0059764A">
                      <w:rPr>
                        <w:sz w:val="13"/>
                        <w:szCs w:val="13"/>
                        <w:lang w:val="da-DK"/>
                      </w:rPr>
                      <w:t>Postbus 20061</w:t>
                    </w:r>
                  </w:p>
                  <w:p w14:paraId="68A91D70" w14:textId="77777777" w:rsidR="00880CB1" w:rsidRPr="0059764A" w:rsidRDefault="00880CB1" w:rsidP="00880CB1">
                    <w:pPr>
                      <w:rPr>
                        <w:sz w:val="13"/>
                        <w:szCs w:val="13"/>
                        <w:lang w:val="da-DK"/>
                      </w:rPr>
                    </w:pPr>
                    <w:r w:rsidRPr="0059764A">
                      <w:rPr>
                        <w:sz w:val="13"/>
                        <w:szCs w:val="13"/>
                        <w:lang w:val="da-DK"/>
                      </w:rPr>
                      <w:t>Nederland</w:t>
                    </w:r>
                  </w:p>
                  <w:p w14:paraId="6A1CF382" w14:textId="77777777" w:rsidR="00880CB1" w:rsidRDefault="00880CB1">
                    <w:pPr>
                      <w:pStyle w:val="Referentiegegevens"/>
                      <w:rPr>
                        <w:lang w:val="da-DK"/>
                      </w:rPr>
                    </w:pPr>
                  </w:p>
                  <w:p w14:paraId="2B88577F" w14:textId="54340126" w:rsidR="00B44C47" w:rsidRPr="00880CB1" w:rsidRDefault="00103180">
                    <w:pPr>
                      <w:pStyle w:val="Referentiegegevens"/>
                      <w:rPr>
                        <w:lang w:val="da-DK"/>
                      </w:rPr>
                    </w:pPr>
                    <w:r w:rsidRPr="00880CB1">
                      <w:rPr>
                        <w:lang w:val="da-DK"/>
                      </w:rPr>
                      <w:t>www.minbuza.nl</w:t>
                    </w:r>
                  </w:p>
                  <w:p w14:paraId="2B885780" w14:textId="77777777" w:rsidR="00B44C47" w:rsidRPr="00880CB1" w:rsidRDefault="00B44C47">
                    <w:pPr>
                      <w:pStyle w:val="WitregelW2"/>
                      <w:rPr>
                        <w:lang w:val="da-DK"/>
                      </w:rPr>
                    </w:pPr>
                  </w:p>
                  <w:p w14:paraId="2B885781" w14:textId="77777777" w:rsidR="00B44C47" w:rsidRDefault="00103180">
                    <w:pPr>
                      <w:pStyle w:val="Referentiegegevensbold"/>
                    </w:pPr>
                    <w:r>
                      <w:t>Onze referentie</w:t>
                    </w:r>
                  </w:p>
                  <w:p w14:paraId="2B885782" w14:textId="77777777" w:rsidR="00B44C47" w:rsidRDefault="00103180">
                    <w:pPr>
                      <w:pStyle w:val="Referentiegegevens"/>
                    </w:pPr>
                    <w:r>
                      <w:t>BZ2523162</w:t>
                    </w:r>
                  </w:p>
                  <w:p w14:paraId="2B885783" w14:textId="77777777" w:rsidR="00B44C47" w:rsidRDefault="00B44C47">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B88576B" wp14:editId="7168B1A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885794" w14:textId="77777777" w:rsidR="00103180" w:rsidRDefault="00103180"/>
                      </w:txbxContent>
                    </wps:txbx>
                    <wps:bodyPr vert="horz" wrap="square" lIns="0" tIns="0" rIns="0" bIns="0" anchor="t" anchorCtr="0"/>
                  </wps:wsp>
                </a:graphicData>
              </a:graphic>
            </wp:anchor>
          </w:drawing>
        </mc:Choice>
        <mc:Fallback>
          <w:pict>
            <v:shape w14:anchorId="2B88576B"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B885794" w14:textId="77777777" w:rsidR="00103180" w:rsidRDefault="0010318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B88576D" wp14:editId="2B8857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885787" w14:textId="77777777" w:rsidR="00B44C47" w:rsidRDefault="00103180">
                          <w:pPr>
                            <w:spacing w:line="240" w:lineRule="auto"/>
                          </w:pPr>
                          <w:r>
                            <w:rPr>
                              <w:noProof/>
                            </w:rPr>
                            <w:drawing>
                              <wp:inline distT="0" distB="0" distL="0" distR="0" wp14:anchorId="2B88578E" wp14:editId="2B88578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88576D"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B885787" w14:textId="77777777" w:rsidR="00B44C47" w:rsidRDefault="00103180">
                    <w:pPr>
                      <w:spacing w:line="240" w:lineRule="auto"/>
                    </w:pPr>
                    <w:r>
                      <w:rPr>
                        <w:noProof/>
                      </w:rPr>
                      <w:drawing>
                        <wp:inline distT="0" distB="0" distL="0" distR="0" wp14:anchorId="2B88578E" wp14:editId="2B88578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B88576F" wp14:editId="2B8857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885788" w14:textId="77777777" w:rsidR="00B44C47" w:rsidRDefault="00103180">
                          <w:pPr>
                            <w:spacing w:line="240" w:lineRule="auto"/>
                          </w:pPr>
                          <w:r>
                            <w:rPr>
                              <w:noProof/>
                            </w:rPr>
                            <w:drawing>
                              <wp:inline distT="0" distB="0" distL="0" distR="0" wp14:anchorId="2B885790" wp14:editId="2B88579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88576F"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885788" w14:textId="77777777" w:rsidR="00B44C47" w:rsidRDefault="00103180">
                    <w:pPr>
                      <w:spacing w:line="240" w:lineRule="auto"/>
                    </w:pPr>
                    <w:r>
                      <w:rPr>
                        <w:noProof/>
                      </w:rPr>
                      <w:drawing>
                        <wp:inline distT="0" distB="0" distL="0" distR="0" wp14:anchorId="2B885790" wp14:editId="2B88579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58F8A"/>
    <w:multiLevelType w:val="multilevel"/>
    <w:tmpl w:val="FD2CD0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A9694BA"/>
    <w:multiLevelType w:val="multilevel"/>
    <w:tmpl w:val="C3D8A2A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24A3FA"/>
    <w:multiLevelType w:val="multilevel"/>
    <w:tmpl w:val="399A386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EF6395"/>
    <w:multiLevelType w:val="hybridMultilevel"/>
    <w:tmpl w:val="EEDABC96"/>
    <w:lvl w:ilvl="0" w:tplc="616CE53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EF6D0A"/>
    <w:multiLevelType w:val="multilevel"/>
    <w:tmpl w:val="19D12CA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237FEB5"/>
    <w:multiLevelType w:val="multilevel"/>
    <w:tmpl w:val="B72A7E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4B74962"/>
    <w:multiLevelType w:val="hybridMultilevel"/>
    <w:tmpl w:val="E1F61968"/>
    <w:lvl w:ilvl="0" w:tplc="28164AB2">
      <w:start w:val="2"/>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290257">
    <w:abstractNumId w:val="0"/>
  </w:num>
  <w:num w:numId="2" w16cid:durableId="516163459">
    <w:abstractNumId w:val="4"/>
  </w:num>
  <w:num w:numId="3" w16cid:durableId="1804732640">
    <w:abstractNumId w:val="5"/>
  </w:num>
  <w:num w:numId="4" w16cid:durableId="729622539">
    <w:abstractNumId w:val="2"/>
  </w:num>
  <w:num w:numId="5" w16cid:durableId="1213274121">
    <w:abstractNumId w:val="1"/>
  </w:num>
  <w:num w:numId="6" w16cid:durableId="1230532742">
    <w:abstractNumId w:val="6"/>
  </w:num>
  <w:num w:numId="7" w16cid:durableId="6430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47"/>
    <w:rsid w:val="00005C78"/>
    <w:rsid w:val="00012FFF"/>
    <w:rsid w:val="000301BD"/>
    <w:rsid w:val="000406B4"/>
    <w:rsid w:val="000748D7"/>
    <w:rsid w:val="000A6F86"/>
    <w:rsid w:val="00103180"/>
    <w:rsid w:val="0012695B"/>
    <w:rsid w:val="00132BA6"/>
    <w:rsid w:val="00171E08"/>
    <w:rsid w:val="001B03DC"/>
    <w:rsid w:val="001D7E45"/>
    <w:rsid w:val="00214BE4"/>
    <w:rsid w:val="00251020"/>
    <w:rsid w:val="00304236"/>
    <w:rsid w:val="00364D0C"/>
    <w:rsid w:val="003D1D32"/>
    <w:rsid w:val="003F6294"/>
    <w:rsid w:val="0043609C"/>
    <w:rsid w:val="004455E3"/>
    <w:rsid w:val="004D2C4D"/>
    <w:rsid w:val="004F337B"/>
    <w:rsid w:val="00513796"/>
    <w:rsid w:val="00526413"/>
    <w:rsid w:val="00542DC3"/>
    <w:rsid w:val="0058756C"/>
    <w:rsid w:val="00693216"/>
    <w:rsid w:val="006B2731"/>
    <w:rsid w:val="00712188"/>
    <w:rsid w:val="00741DEE"/>
    <w:rsid w:val="00767697"/>
    <w:rsid w:val="007C3A05"/>
    <w:rsid w:val="007C6369"/>
    <w:rsid w:val="007D71DE"/>
    <w:rsid w:val="007E59A9"/>
    <w:rsid w:val="00880CB1"/>
    <w:rsid w:val="008A3498"/>
    <w:rsid w:val="0099121F"/>
    <w:rsid w:val="009A10AE"/>
    <w:rsid w:val="009A5C61"/>
    <w:rsid w:val="009C0849"/>
    <w:rsid w:val="009F6243"/>
    <w:rsid w:val="00A17465"/>
    <w:rsid w:val="00A57999"/>
    <w:rsid w:val="00AB0E10"/>
    <w:rsid w:val="00AC01BF"/>
    <w:rsid w:val="00AE67A8"/>
    <w:rsid w:val="00B00507"/>
    <w:rsid w:val="00B155FF"/>
    <w:rsid w:val="00B44C47"/>
    <w:rsid w:val="00B85164"/>
    <w:rsid w:val="00BB1322"/>
    <w:rsid w:val="00BB13DD"/>
    <w:rsid w:val="00BE1568"/>
    <w:rsid w:val="00C44D8E"/>
    <w:rsid w:val="00D33AAB"/>
    <w:rsid w:val="00D611E0"/>
    <w:rsid w:val="00DE690D"/>
    <w:rsid w:val="00DF593D"/>
    <w:rsid w:val="00E0381E"/>
    <w:rsid w:val="00E6361A"/>
    <w:rsid w:val="00E713A1"/>
    <w:rsid w:val="00EB1FA4"/>
    <w:rsid w:val="00F03396"/>
    <w:rsid w:val="00F47105"/>
    <w:rsid w:val="00F53FBF"/>
    <w:rsid w:val="00F56222"/>
    <w:rsid w:val="00F71A49"/>
    <w:rsid w:val="00F72AAA"/>
    <w:rsid w:val="00F9100F"/>
    <w:rsid w:val="00FA4BDD"/>
    <w:rsid w:val="00FD62AB"/>
    <w:rsid w:val="00FF176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88574E"/>
  <w15:docId w15:val="{81E284F9-748F-44A7-B565-14F9776D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AB0E1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B0E10"/>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B0E10"/>
    <w:rPr>
      <w:vertAlign w:val="superscript"/>
    </w:rPr>
  </w:style>
  <w:style w:type="paragraph" w:styleId="ListParagraph">
    <w:name w:val="List Paragraph"/>
    <w:basedOn w:val="Normal"/>
    <w:uiPriority w:val="34"/>
    <w:semiHidden/>
    <w:rsid w:val="00526413"/>
    <w:pPr>
      <w:ind w:left="720"/>
      <w:contextualSpacing/>
    </w:pPr>
  </w:style>
  <w:style w:type="paragraph" w:styleId="Header">
    <w:name w:val="header"/>
    <w:basedOn w:val="Normal"/>
    <w:link w:val="HeaderChar"/>
    <w:uiPriority w:val="99"/>
    <w:unhideWhenUsed/>
    <w:rsid w:val="00C44D8E"/>
    <w:pPr>
      <w:tabs>
        <w:tab w:val="center" w:pos="4513"/>
        <w:tab w:val="right" w:pos="9026"/>
      </w:tabs>
      <w:spacing w:line="240" w:lineRule="auto"/>
    </w:pPr>
  </w:style>
  <w:style w:type="character" w:customStyle="1" w:styleId="HeaderChar">
    <w:name w:val="Header Char"/>
    <w:basedOn w:val="DefaultParagraphFont"/>
    <w:link w:val="Header"/>
    <w:uiPriority w:val="99"/>
    <w:rsid w:val="00C44D8E"/>
    <w:rPr>
      <w:rFonts w:ascii="Verdana" w:hAnsi="Verdana"/>
      <w:color w:val="000000"/>
      <w:sz w:val="18"/>
      <w:szCs w:val="18"/>
    </w:rPr>
  </w:style>
  <w:style w:type="paragraph" w:styleId="Footer">
    <w:name w:val="footer"/>
    <w:basedOn w:val="Normal"/>
    <w:link w:val="FooterChar"/>
    <w:uiPriority w:val="99"/>
    <w:unhideWhenUsed/>
    <w:rsid w:val="00C44D8E"/>
    <w:pPr>
      <w:tabs>
        <w:tab w:val="center" w:pos="4513"/>
        <w:tab w:val="right" w:pos="9026"/>
      </w:tabs>
      <w:spacing w:line="240" w:lineRule="auto"/>
    </w:pPr>
  </w:style>
  <w:style w:type="character" w:customStyle="1" w:styleId="FooterChar">
    <w:name w:val="Footer Char"/>
    <w:basedOn w:val="DefaultParagraphFont"/>
    <w:link w:val="Footer"/>
    <w:uiPriority w:val="99"/>
    <w:rsid w:val="00C44D8E"/>
    <w:rPr>
      <w:rFonts w:ascii="Verdana" w:hAnsi="Verdana"/>
      <w:color w:val="000000"/>
      <w:sz w:val="18"/>
      <w:szCs w:val="18"/>
    </w:rPr>
  </w:style>
  <w:style w:type="paragraph" w:styleId="Revision">
    <w:name w:val="Revision"/>
    <w:hidden/>
    <w:uiPriority w:val="99"/>
    <w:semiHidden/>
    <w:rsid w:val="00FD62A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A6F86"/>
    <w:rPr>
      <w:sz w:val="16"/>
      <w:szCs w:val="16"/>
    </w:rPr>
  </w:style>
  <w:style w:type="paragraph" w:styleId="CommentText">
    <w:name w:val="annotation text"/>
    <w:basedOn w:val="Normal"/>
    <w:link w:val="CommentTextChar"/>
    <w:uiPriority w:val="99"/>
    <w:semiHidden/>
    <w:unhideWhenUsed/>
    <w:rsid w:val="000A6F86"/>
    <w:pPr>
      <w:spacing w:line="240" w:lineRule="auto"/>
    </w:pPr>
    <w:rPr>
      <w:sz w:val="20"/>
      <w:szCs w:val="20"/>
    </w:rPr>
  </w:style>
  <w:style w:type="character" w:customStyle="1" w:styleId="CommentTextChar">
    <w:name w:val="Comment Text Char"/>
    <w:basedOn w:val="DefaultParagraphFont"/>
    <w:link w:val="CommentText"/>
    <w:uiPriority w:val="99"/>
    <w:semiHidden/>
    <w:rsid w:val="000A6F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A6F86"/>
    <w:rPr>
      <w:b/>
      <w:bCs/>
    </w:rPr>
  </w:style>
  <w:style w:type="character" w:customStyle="1" w:styleId="CommentSubjectChar">
    <w:name w:val="Comment Subject Char"/>
    <w:basedOn w:val="CommentTextChar"/>
    <w:link w:val="CommentSubject"/>
    <w:uiPriority w:val="99"/>
    <w:semiHidden/>
    <w:rsid w:val="000A6F8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3335">
      <w:bodyDiv w:val="1"/>
      <w:marLeft w:val="0"/>
      <w:marRight w:val="0"/>
      <w:marTop w:val="0"/>
      <w:marBottom w:val="0"/>
      <w:divBdr>
        <w:top w:val="none" w:sz="0" w:space="0" w:color="auto"/>
        <w:left w:val="none" w:sz="0" w:space="0" w:color="auto"/>
        <w:bottom w:val="none" w:sz="0" w:space="0" w:color="auto"/>
        <w:right w:val="none" w:sz="0" w:space="0" w:color="auto"/>
      </w:divBdr>
    </w:div>
    <w:div w:id="140117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760</ap:Words>
  <ap:Characters>4183</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Voorlopig politiek akkoord Omnibus I-CSDDD</vt:lpstr>
    </vt:vector>
  </ap:TitlesOfParts>
  <ap:LinksUpToDate>false</ap:LinksUpToDate>
  <ap:CharactersWithSpaces>4934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2025-12-09T16:43:00.0000000Z</dcterms:created>
  <dcterms:modified xsi:type="dcterms:W3CDTF">2025-12-09T16:43:00.0000000Z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a7e39059-0838-4ed6-b9ac-12ba1d3105b8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