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24610" w:rsidP="00024610" w:rsidRDefault="00DF5B46" w14:paraId="5ECE8333" w14:textId="09184272">
      <w:pPr>
        <w:pStyle w:val="PlatteTekst"/>
        <w:rPr>
          <w:b/>
          <w:bCs/>
        </w:rPr>
      </w:pPr>
      <w:r>
        <w:t xml:space="preserve">                                                   </w:t>
      </w:r>
      <w:r w:rsidRPr="686AA117" w:rsidR="00024610">
        <w:rPr>
          <w:b/>
          <w:bCs/>
        </w:rPr>
        <w:t>Commissie BHO</w:t>
      </w:r>
    </w:p>
    <w:p w:rsidR="769B3972" w:rsidP="00024610" w:rsidRDefault="00DF5B46" w14:paraId="40BD6578" w14:textId="4F5849E9">
      <w:pPr>
        <w:pStyle w:val="PlatteTekst"/>
        <w:rPr>
          <w:b/>
          <w:bCs/>
        </w:rPr>
      </w:pPr>
      <w:r>
        <w:t xml:space="preserve">                                       </w:t>
      </w:r>
      <w:r w:rsidR="00024610">
        <w:t xml:space="preserve">          </w:t>
      </w:r>
      <w:r w:rsidR="00024610">
        <w:tab/>
      </w:r>
      <w:r w:rsidR="00024610">
        <w:tab/>
      </w:r>
      <w:r w:rsidR="00024610">
        <w:tab/>
      </w:r>
      <w:r w:rsidR="00024610">
        <w:tab/>
      </w:r>
      <w:r w:rsidR="001E058A">
        <w:rPr>
          <w:b/>
          <w:bCs/>
        </w:rPr>
        <w:t>24-11-2025</w:t>
      </w:r>
    </w:p>
    <w:p w:rsidRPr="003225FD" w:rsidR="003225FD" w:rsidP="003225FD" w:rsidRDefault="003225FD" w14:paraId="1FD884D4" w14:textId="77777777">
      <w:pPr>
        <w:ind w:left="5040" w:firstLine="720"/>
        <w:rPr>
          <w:b/>
          <w:bCs/>
        </w:rPr>
      </w:pPr>
    </w:p>
    <w:p w:rsidR="004010D5" w:rsidP="320BC4F7" w:rsidRDefault="004010D5" w14:paraId="15DA5F52" w14:textId="673702F0">
      <w:pPr>
        <w:rPr>
          <w:b/>
          <w:bCs/>
          <w:highlight w:val="yellow"/>
        </w:rPr>
      </w:pPr>
      <w:r w:rsidRPr="320BC4F7">
        <w:rPr>
          <w:b/>
          <w:bCs/>
          <w:sz w:val="22"/>
        </w:rPr>
        <w:t>Lijst van nieuwe EU-voorstellen</w:t>
      </w:r>
      <w:r>
        <w:tab/>
      </w:r>
      <w:r>
        <w:tab/>
      </w:r>
      <w:r>
        <w:tab/>
      </w:r>
    </w:p>
    <w:p w:rsidR="00CC585D" w:rsidP="00F9708B" w:rsidRDefault="00CC585D" w14:paraId="5945157F" w14:textId="669FBF71">
      <w:pPr>
        <w:pStyle w:val="PlatteTekst"/>
      </w:pPr>
    </w:p>
    <w:p w:rsidRPr="00E02D08" w:rsidR="00CC585D" w:rsidP="769B3972" w:rsidRDefault="00CC585D" w14:paraId="4A568F30" w14:textId="63E6AF9E">
      <w:pPr>
        <w:rPr>
          <w:szCs w:val="18"/>
        </w:rPr>
      </w:pPr>
      <w:r w:rsidRPr="769B3972">
        <w:rPr>
          <w:szCs w:val="18"/>
        </w:rPr>
        <w:t>De</w:t>
      </w:r>
      <w:r w:rsidRPr="769B3972">
        <w:rPr>
          <w:b/>
          <w:bCs/>
          <w:szCs w:val="18"/>
        </w:rPr>
        <w:t xml:space="preserve"> </w:t>
      </w:r>
      <w:r w:rsidRPr="769B3972">
        <w:rPr>
          <w:szCs w:val="18"/>
        </w:rPr>
        <w:t xml:space="preserve">Europese Commissie heeft in de periode tussen </w:t>
      </w:r>
      <w:r w:rsidRPr="769B3972" w:rsidR="002C76DD">
        <w:rPr>
          <w:b/>
          <w:bCs/>
          <w:szCs w:val="18"/>
        </w:rPr>
        <w:t xml:space="preserve">18 september </w:t>
      </w:r>
      <w:r w:rsidRPr="769B3972">
        <w:rPr>
          <w:b/>
          <w:bCs/>
          <w:szCs w:val="18"/>
        </w:rPr>
        <w:t xml:space="preserve">en </w:t>
      </w:r>
      <w:r w:rsidR="001E058A">
        <w:rPr>
          <w:b/>
          <w:bCs/>
          <w:szCs w:val="18"/>
        </w:rPr>
        <w:t xml:space="preserve">24 november </w:t>
      </w:r>
      <w:r w:rsidRPr="769B3972">
        <w:rPr>
          <w:b/>
          <w:bCs/>
          <w:szCs w:val="18"/>
        </w:rPr>
        <w:t>2025</w:t>
      </w:r>
      <w:r w:rsidRPr="769B3972">
        <w:rPr>
          <w:szCs w:val="18"/>
        </w:rPr>
        <w:t xml:space="preserve"> de volgende voor deze vaste commissie</w:t>
      </w:r>
      <w:r w:rsidRPr="769B3972">
        <w:rPr>
          <w:b/>
          <w:bCs/>
          <w:szCs w:val="18"/>
        </w:rPr>
        <w:t xml:space="preserve"> </w:t>
      </w:r>
      <w:r w:rsidRPr="769B3972">
        <w:rPr>
          <w:szCs w:val="18"/>
        </w:rPr>
        <w:t>relevante voorstellen voor Europese wetgeving, besluiten en andere beleidsvormende documenten aan de Tweede Kamer gestuurd</w:t>
      </w:r>
      <w:r w:rsidRPr="769B3972">
        <w:rPr>
          <w:rStyle w:val="Voetnootmarkering"/>
          <w:szCs w:val="18"/>
        </w:rPr>
        <w:footnoteReference w:id="1"/>
      </w:r>
      <w:r w:rsidRPr="769B3972">
        <w:rPr>
          <w:szCs w:val="18"/>
        </w:rPr>
        <w:t xml:space="preserve">: </w:t>
      </w:r>
    </w:p>
    <w:p w:rsidR="00CC585D" w:rsidP="00CC585D" w:rsidRDefault="00CC585D" w14:paraId="75C00D69" w14:textId="77777777">
      <w:pPr>
        <w:rPr>
          <w:szCs w:val="18"/>
        </w:rPr>
      </w:pPr>
    </w:p>
    <w:p w:rsidRPr="00901460" w:rsidR="00CC585D" w:rsidP="00CC585D" w:rsidRDefault="00CC585D" w14:paraId="63CF6157" w14:textId="77777777">
      <w:pPr>
        <w:pStyle w:val="Lijstalinea"/>
        <w:numPr>
          <w:ilvl w:val="0"/>
          <w:numId w:val="4"/>
        </w:numPr>
        <w:rPr>
          <w:b/>
          <w:szCs w:val="18"/>
        </w:rPr>
      </w:pPr>
      <w:r>
        <w:rPr>
          <w:b/>
          <w:szCs w:val="18"/>
        </w:rPr>
        <w:t>Nieuw voorgestelde EU-w</w:t>
      </w:r>
      <w:r w:rsidRPr="00820149">
        <w:rPr>
          <w:b/>
          <w:szCs w:val="18"/>
        </w:rPr>
        <w:t>etgeving</w:t>
      </w:r>
      <w:r>
        <w:rPr>
          <w:rStyle w:val="Voetnootmarkering"/>
          <w:b/>
          <w:szCs w:val="18"/>
        </w:rPr>
        <w:br/>
      </w:r>
      <w:r>
        <w:rPr>
          <w:szCs w:val="18"/>
        </w:rPr>
        <w:t>(Verordeningen, richtlijnen en wetgevende besluiten)</w:t>
      </w:r>
    </w:p>
    <w:p w:rsidRPr="00901460" w:rsidR="00CC585D" w:rsidP="00CC585D" w:rsidRDefault="00CC585D" w14:paraId="25D62B89" w14:textId="77777777">
      <w:pPr>
        <w:rPr>
          <w:b/>
          <w:szCs w:val="18"/>
        </w:rPr>
      </w:pPr>
    </w:p>
    <w:tbl>
      <w:tblPr>
        <w:tblW w:w="7933" w:type="dxa"/>
        <w:tblCellMar>
          <w:left w:w="0" w:type="dxa"/>
          <w:right w:w="0" w:type="dxa"/>
        </w:tblCellMar>
        <w:tblLook w:val="04A0" w:firstRow="1" w:lastRow="0" w:firstColumn="1" w:lastColumn="0" w:noHBand="0" w:noVBand="1"/>
      </w:tblPr>
      <w:tblGrid>
        <w:gridCol w:w="421"/>
        <w:gridCol w:w="1125"/>
        <w:gridCol w:w="6387"/>
      </w:tblGrid>
      <w:tr w:rsidRPr="000E58AA" w:rsidR="00CC585D" w:rsidTr="00CB3733" w14:paraId="7F0664B2" w14:textId="77777777">
        <w:trPr>
          <w:trHeight w:val="1365"/>
        </w:trPr>
        <w:tc>
          <w:tcPr>
            <w:tcW w:w="421" w:type="dxa"/>
            <w:vMerge w:val="restart"/>
            <w:tcBorders>
              <w:top w:val="single" w:color="D9D9D9" w:themeColor="background1" w:themeShade="D9" w:sz="8" w:space="0"/>
              <w:left w:val="single" w:color="D9D9D9" w:themeColor="background1" w:themeShade="D9" w:sz="8" w:space="0"/>
              <w:bottom w:val="single" w:color="D9D9D9" w:themeColor="background1" w:themeShade="D9" w:sz="8" w:space="0"/>
              <w:right w:val="nil"/>
            </w:tcBorders>
            <w:shd w:val="clear" w:color="auto" w:fill="F2F2F2" w:themeFill="background1" w:themeFillShade="F2"/>
            <w:tcMar>
              <w:top w:w="0" w:type="dxa"/>
              <w:left w:w="108" w:type="dxa"/>
              <w:bottom w:w="0" w:type="dxa"/>
              <w:right w:w="108" w:type="dxa"/>
            </w:tcMar>
          </w:tcPr>
          <w:p w:rsidR="00CC585D" w:rsidP="00CC585D" w:rsidRDefault="00CC585D" w14:paraId="2450F3F3" w14:textId="77777777">
            <w:pPr>
              <w:pStyle w:val="Lijstalinea"/>
              <w:numPr>
                <w:ilvl w:val="0"/>
                <w:numId w:val="5"/>
              </w:numPr>
              <w:spacing w:after="240"/>
              <w:ind w:left="312"/>
              <w:rPr>
                <w:rFonts w:eastAsiaTheme="minorHAnsi"/>
              </w:rPr>
            </w:pPr>
          </w:p>
        </w:tc>
        <w:tc>
          <w:tcPr>
            <w:tcW w:w="1125" w:type="dxa"/>
            <w:tcBorders>
              <w:top w:val="single" w:color="D9D9D9" w:themeColor="background1" w:themeShade="D9" w:sz="8" w:space="0"/>
              <w:left w:val="nil"/>
              <w:bottom w:val="nil"/>
              <w:right w:val="nil"/>
            </w:tcBorders>
            <w:tcMar>
              <w:top w:w="0" w:type="dxa"/>
              <w:left w:w="108" w:type="dxa"/>
              <w:bottom w:w="0" w:type="dxa"/>
              <w:right w:w="108" w:type="dxa"/>
            </w:tcMar>
            <w:hideMark/>
          </w:tcPr>
          <w:p w:rsidR="00CC585D" w:rsidP="00CB3733" w:rsidRDefault="00CC585D" w14:paraId="50AB6833" w14:textId="77777777">
            <w:pPr>
              <w:spacing w:after="240"/>
              <w:rPr>
                <w:szCs w:val="18"/>
              </w:rPr>
            </w:pPr>
            <w:r>
              <w:rPr>
                <w:szCs w:val="18"/>
              </w:rPr>
              <w:t>Titel</w:t>
            </w:r>
          </w:p>
        </w:tc>
        <w:tc>
          <w:tcPr>
            <w:tcW w:w="6387" w:type="dxa"/>
            <w:tcBorders>
              <w:top w:val="single" w:color="D9D9D9" w:themeColor="background1" w:themeShade="D9" w:sz="8" w:space="0"/>
              <w:left w:val="nil"/>
              <w:bottom w:val="nil"/>
              <w:right w:val="single" w:color="D9D9D9" w:themeColor="background1" w:themeShade="D9" w:sz="8" w:space="0"/>
            </w:tcBorders>
            <w:tcMar>
              <w:top w:w="0" w:type="dxa"/>
              <w:left w:w="108" w:type="dxa"/>
              <w:bottom w:w="0" w:type="dxa"/>
              <w:right w:w="108" w:type="dxa"/>
            </w:tcMar>
            <w:hideMark/>
          </w:tcPr>
          <w:p w:rsidRPr="006B0017" w:rsidR="00CC585D" w:rsidP="00AC4407" w:rsidRDefault="006B0017" w14:paraId="776F2C60" w14:textId="7F157965">
            <w:pPr>
              <w:shd w:val="clear" w:color="auto" w:fill="FFFFFF"/>
              <w:spacing w:after="75"/>
              <w:rPr>
                <w:szCs w:val="18"/>
              </w:rPr>
            </w:pPr>
            <w:r w:rsidRPr="006B0017">
              <w:rPr>
                <w:szCs w:val="18"/>
              </w:rPr>
              <w:t>Voorstel voor een VERORDENING VAN HET EUROPEES PARLEMENT EN DE RAAD waarmee de negatieve handelsgerelateerde gevolgen van de wereldwijde overcapaciteit op de staalmarkt van de Unie worden aangepakt</w:t>
            </w:r>
            <w:r w:rsidR="00FF7534">
              <w:rPr>
                <w:szCs w:val="18"/>
              </w:rPr>
              <w:t xml:space="preserve"> </w:t>
            </w:r>
            <w:hyperlink w:history="1" r:id="rId12">
              <w:r w:rsidRPr="00FF7534" w:rsidR="00FF7534">
                <w:rPr>
                  <w:rStyle w:val="Hyperlink"/>
                  <w:szCs w:val="18"/>
                </w:rPr>
                <w:t>COM(2025)726</w:t>
              </w:r>
            </w:hyperlink>
          </w:p>
        </w:tc>
      </w:tr>
      <w:tr w:rsidR="00CC585D" w:rsidTr="00CB3733" w14:paraId="17471D00" w14:textId="77777777">
        <w:tc>
          <w:tcPr>
            <w:tcW w:w="421" w:type="dxa"/>
            <w:vMerge/>
            <w:vAlign w:val="center"/>
            <w:hideMark/>
          </w:tcPr>
          <w:p w:rsidRPr="006B0017" w:rsidR="00CC585D" w:rsidP="00CB3733" w:rsidRDefault="00CC585D" w14:paraId="3351EA64" w14:textId="77777777">
            <w:pPr>
              <w:rPr>
                <w:rFonts w:eastAsiaTheme="minorHAnsi"/>
                <w:szCs w:val="18"/>
              </w:rPr>
            </w:pPr>
          </w:p>
        </w:tc>
        <w:tc>
          <w:tcPr>
            <w:tcW w:w="1125" w:type="dxa"/>
            <w:tcMar>
              <w:top w:w="0" w:type="dxa"/>
              <w:left w:w="108" w:type="dxa"/>
              <w:bottom w:w="0" w:type="dxa"/>
              <w:right w:w="108" w:type="dxa"/>
            </w:tcMar>
            <w:hideMark/>
          </w:tcPr>
          <w:p w:rsidR="00CC585D" w:rsidP="00CB3733" w:rsidRDefault="00CC585D" w14:paraId="6899BD31" w14:textId="77777777">
            <w:pPr>
              <w:spacing w:after="240"/>
              <w:rPr>
                <w:szCs w:val="18"/>
              </w:rPr>
            </w:pPr>
            <w:r>
              <w:rPr>
                <w:szCs w:val="18"/>
              </w:rPr>
              <w:t>Voorstel</w:t>
            </w:r>
          </w:p>
        </w:tc>
        <w:tc>
          <w:tcPr>
            <w:tcW w:w="6387" w:type="dxa"/>
            <w:tcBorders>
              <w:top w:val="nil"/>
              <w:left w:val="nil"/>
              <w:bottom w:val="nil"/>
              <w:right w:val="single" w:color="D9D9D9" w:themeColor="background1" w:themeShade="D9" w:sz="8" w:space="0"/>
            </w:tcBorders>
            <w:tcMar>
              <w:top w:w="0" w:type="dxa"/>
              <w:left w:w="108" w:type="dxa"/>
              <w:bottom w:w="0" w:type="dxa"/>
              <w:right w:w="108" w:type="dxa"/>
            </w:tcMar>
            <w:hideMark/>
          </w:tcPr>
          <w:p w:rsidRPr="00244E56" w:rsidR="00CC585D" w:rsidP="00CB3733" w:rsidRDefault="00C21AF8" w14:paraId="6CFBE9D9" w14:textId="05889BDE">
            <w:pPr>
              <w:spacing w:after="240"/>
              <w:rPr>
                <w:rFonts w:eastAsia="Verdana" w:cs="Verdana"/>
                <w:szCs w:val="18"/>
              </w:rPr>
            </w:pPr>
            <w:r>
              <w:rPr>
                <w:color w:val="000000"/>
                <w:szCs w:val="18"/>
              </w:rPr>
              <w:t xml:space="preserve">BNC-fiche agenderen voor het </w:t>
            </w:r>
            <w:r w:rsidR="007D6ADD">
              <w:rPr>
                <w:color w:val="000000"/>
                <w:szCs w:val="18"/>
              </w:rPr>
              <w:t xml:space="preserve">eerstvolgende </w:t>
            </w:r>
            <w:r>
              <w:rPr>
                <w:color w:val="000000"/>
                <w:szCs w:val="18"/>
              </w:rPr>
              <w:t xml:space="preserve">commissiedebat over de Raad </w:t>
            </w:r>
            <w:r w:rsidR="00D27B31">
              <w:rPr>
                <w:color w:val="000000"/>
                <w:szCs w:val="18"/>
              </w:rPr>
              <w:t>Buitenlandse Zaken Handel</w:t>
            </w:r>
            <w:r w:rsidR="00621CB8">
              <w:rPr>
                <w:color w:val="000000"/>
                <w:szCs w:val="18"/>
              </w:rPr>
              <w:t xml:space="preserve"> </w:t>
            </w:r>
          </w:p>
        </w:tc>
      </w:tr>
      <w:tr w:rsidRPr="00872D5A" w:rsidR="00CC585D" w:rsidTr="00CB3733" w14:paraId="5959D8FC" w14:textId="77777777">
        <w:tc>
          <w:tcPr>
            <w:tcW w:w="421" w:type="dxa"/>
            <w:vMerge/>
            <w:vAlign w:val="center"/>
            <w:hideMark/>
          </w:tcPr>
          <w:p w:rsidR="00CC585D" w:rsidP="00CB3733" w:rsidRDefault="00CC585D" w14:paraId="1E304385" w14:textId="77777777">
            <w:pPr>
              <w:rPr>
                <w:rFonts w:eastAsiaTheme="minorHAnsi"/>
                <w:szCs w:val="18"/>
              </w:rPr>
            </w:pPr>
          </w:p>
        </w:tc>
        <w:tc>
          <w:tcPr>
            <w:tcW w:w="1125" w:type="dxa"/>
            <w:tcBorders>
              <w:top w:val="nil"/>
              <w:left w:val="nil"/>
              <w:bottom w:val="single" w:color="D9D9D9" w:themeColor="background1" w:themeShade="D9" w:sz="8" w:space="0"/>
              <w:right w:val="nil"/>
            </w:tcBorders>
            <w:tcMar>
              <w:top w:w="0" w:type="dxa"/>
              <w:left w:w="108" w:type="dxa"/>
              <w:bottom w:w="0" w:type="dxa"/>
              <w:right w:w="108" w:type="dxa"/>
            </w:tcMar>
            <w:hideMark/>
          </w:tcPr>
          <w:p w:rsidR="00CC585D" w:rsidP="00CB3733" w:rsidRDefault="00CC585D" w14:paraId="3C9B19D6" w14:textId="77777777">
            <w:pPr>
              <w:spacing w:after="240"/>
              <w:rPr>
                <w:szCs w:val="18"/>
              </w:rPr>
            </w:pPr>
            <w:r>
              <w:rPr>
                <w:szCs w:val="18"/>
              </w:rPr>
              <w:t>Noot</w:t>
            </w:r>
          </w:p>
        </w:tc>
        <w:tc>
          <w:tcPr>
            <w:tcW w:w="6387" w:type="dxa"/>
            <w:tcBorders>
              <w:top w:val="nil"/>
              <w:left w:val="nil"/>
              <w:bottom w:val="single" w:color="D9D9D9" w:themeColor="background1" w:themeShade="D9" w:sz="8" w:space="0"/>
              <w:right w:val="single" w:color="D9D9D9" w:themeColor="background1" w:themeShade="D9" w:sz="8" w:space="0"/>
            </w:tcBorders>
            <w:tcMar>
              <w:top w:w="0" w:type="dxa"/>
              <w:left w:w="108" w:type="dxa"/>
              <w:bottom w:w="0" w:type="dxa"/>
              <w:right w:w="108" w:type="dxa"/>
            </w:tcMar>
          </w:tcPr>
          <w:p w:rsidR="00482283" w:rsidP="000E58AA" w:rsidRDefault="00604B7E" w14:paraId="35ADFD56" w14:textId="31A9F5AA">
            <w:pPr>
              <w:rPr>
                <w:rFonts w:eastAsia="Verdana" w:cs="Verdana"/>
                <w:szCs w:val="18"/>
              </w:rPr>
            </w:pPr>
            <w:r>
              <w:rPr>
                <w:rFonts w:eastAsia="Verdana" w:cs="Verdana"/>
                <w:szCs w:val="18"/>
              </w:rPr>
              <w:t>Het betreft een</w:t>
            </w:r>
            <w:r w:rsidRPr="00604B7E">
              <w:rPr>
                <w:rFonts w:eastAsia="Verdana" w:cs="Verdana"/>
                <w:szCs w:val="18"/>
              </w:rPr>
              <w:t xml:space="preserve"> nieuwe EU-verordening om de negatieve handelsgevolgen van de wereldwijde overcapaciteit in de staalsector tegen te gaan. Omdat goedkope staalimport de Europese industrie onder druk zet en investeringen in onder meer groene technologie belemmert, wil de EU vaste tariefcontingenten per productcategorie invoeren op basis van historische importvolumes. Invoer binnen die quota blijft rechtenvrij, maar zodra ze zijn uitgeput, geldt een heffing van 50%. Ook worden regels aangescherpt om de oorsprong van staal te controleren en kan de Commissie aanvullende maatregelen nemen, waaronder bilaterale vrijwaringsmaatregelen. Het doel is de Europese staalindustrie te beschermen, strategische autonomie te bewaren en ruimte te creëren voor decarbonisatie en investeringen.</w:t>
            </w:r>
          </w:p>
          <w:p w:rsidR="00482283" w:rsidP="000E58AA" w:rsidRDefault="00482283" w14:paraId="1F38C3B2" w14:textId="77777777">
            <w:pPr>
              <w:rPr>
                <w:rFonts w:eastAsia="Verdana" w:cs="Verdana"/>
                <w:szCs w:val="18"/>
              </w:rPr>
            </w:pPr>
          </w:p>
          <w:p w:rsidRPr="00244E56" w:rsidR="00CC585D" w:rsidP="000E58AA" w:rsidRDefault="00982B4C" w14:paraId="62F12D0B" w14:textId="1D021133">
            <w:pPr>
              <w:rPr>
                <w:rFonts w:eastAsia="Verdana" w:cs="Verdana"/>
                <w:szCs w:val="18"/>
              </w:rPr>
            </w:pPr>
            <w:r>
              <w:rPr>
                <w:rFonts w:eastAsia="Verdana" w:cs="Verdana"/>
                <w:szCs w:val="18"/>
              </w:rPr>
              <w:t xml:space="preserve"> </w:t>
            </w:r>
          </w:p>
        </w:tc>
      </w:tr>
    </w:tbl>
    <w:p w:rsidRPr="00810EA4" w:rsidR="00CC585D" w:rsidP="00CC585D" w:rsidRDefault="00CC585D" w14:paraId="66E61B27" w14:textId="77777777">
      <w:pPr>
        <w:rPr>
          <w:b/>
          <w:szCs w:val="18"/>
        </w:rPr>
      </w:pPr>
    </w:p>
    <w:p w:rsidR="00CC585D" w:rsidP="00CC585D" w:rsidRDefault="00CC585D" w14:paraId="24AC9EAE" w14:textId="77777777"/>
    <w:tbl>
      <w:tblPr>
        <w:tblW w:w="0" w:type="auto"/>
        <w:tblCellMar>
          <w:left w:w="0" w:type="dxa"/>
          <w:right w:w="0" w:type="dxa"/>
        </w:tblCellMar>
        <w:tblLook w:val="04A0" w:firstRow="1" w:lastRow="0" w:firstColumn="1" w:lastColumn="0" w:noHBand="0" w:noVBand="1"/>
      </w:tblPr>
      <w:tblGrid>
        <w:gridCol w:w="421"/>
        <w:gridCol w:w="1134"/>
        <w:gridCol w:w="6378"/>
      </w:tblGrid>
      <w:tr w:rsidRPr="00843544" w:rsidR="00CC585D" w:rsidTr="00CB3733" w14:paraId="0B1E9575" w14:textId="77777777">
        <w:tc>
          <w:tcPr>
            <w:tcW w:w="421" w:type="dxa"/>
            <w:vMerge w:val="restart"/>
            <w:tcBorders>
              <w:top w:val="single" w:color="D9D9D9" w:themeColor="background1" w:themeShade="D9" w:sz="8" w:space="0"/>
              <w:left w:val="single" w:color="D9D9D9" w:themeColor="background1" w:themeShade="D9" w:sz="8" w:space="0"/>
              <w:bottom w:val="single" w:color="D9D9D9" w:themeColor="background1" w:themeShade="D9" w:sz="8" w:space="0"/>
              <w:right w:val="nil"/>
            </w:tcBorders>
            <w:shd w:val="clear" w:color="auto" w:fill="F2F2F2" w:themeFill="background1" w:themeFillShade="F2"/>
            <w:tcMar>
              <w:top w:w="0" w:type="dxa"/>
              <w:left w:w="108" w:type="dxa"/>
              <w:bottom w:w="0" w:type="dxa"/>
              <w:right w:w="108" w:type="dxa"/>
            </w:tcMar>
          </w:tcPr>
          <w:p w:rsidR="00CC585D" w:rsidP="00CC585D" w:rsidRDefault="00CC585D" w14:paraId="0D504830" w14:textId="77777777">
            <w:pPr>
              <w:pStyle w:val="Lijstalinea"/>
              <w:numPr>
                <w:ilvl w:val="0"/>
                <w:numId w:val="5"/>
              </w:numPr>
              <w:spacing w:after="240"/>
              <w:ind w:left="312"/>
              <w:rPr>
                <w:rFonts w:eastAsiaTheme="minorHAnsi"/>
              </w:rPr>
            </w:pPr>
          </w:p>
        </w:tc>
        <w:tc>
          <w:tcPr>
            <w:tcW w:w="1134" w:type="dxa"/>
            <w:tcBorders>
              <w:top w:val="single" w:color="D9D9D9" w:themeColor="background1" w:themeShade="D9" w:sz="8" w:space="0"/>
              <w:left w:val="nil"/>
              <w:bottom w:val="nil"/>
              <w:right w:val="nil"/>
            </w:tcBorders>
            <w:tcMar>
              <w:top w:w="0" w:type="dxa"/>
              <w:left w:w="108" w:type="dxa"/>
              <w:bottom w:w="0" w:type="dxa"/>
              <w:right w:w="108" w:type="dxa"/>
            </w:tcMar>
            <w:hideMark/>
          </w:tcPr>
          <w:p w:rsidRPr="00C61959" w:rsidR="00CC585D" w:rsidP="00CB3733" w:rsidRDefault="00CC585D" w14:paraId="5BEE1E25" w14:textId="77777777">
            <w:pPr>
              <w:spacing w:after="240"/>
              <w:rPr>
                <w:szCs w:val="18"/>
              </w:rPr>
            </w:pPr>
            <w:r w:rsidRPr="00C61959">
              <w:rPr>
                <w:szCs w:val="18"/>
              </w:rPr>
              <w:t>Titel</w:t>
            </w:r>
          </w:p>
        </w:tc>
        <w:tc>
          <w:tcPr>
            <w:tcW w:w="6378" w:type="dxa"/>
            <w:tcBorders>
              <w:top w:val="single" w:color="D9D9D9" w:themeColor="background1" w:themeShade="D9" w:sz="8" w:space="0"/>
              <w:left w:val="nil"/>
              <w:bottom w:val="nil"/>
              <w:right w:val="single" w:color="D9D9D9" w:themeColor="background1" w:themeShade="D9" w:sz="8" w:space="0"/>
            </w:tcBorders>
            <w:tcMar>
              <w:top w:w="0" w:type="dxa"/>
              <w:left w:w="108" w:type="dxa"/>
              <w:bottom w:w="0" w:type="dxa"/>
              <w:right w:w="108" w:type="dxa"/>
            </w:tcMar>
            <w:hideMark/>
          </w:tcPr>
          <w:p w:rsidR="00CC585D" w:rsidP="00CB3733" w:rsidRDefault="006B0017" w14:paraId="43302024" w14:textId="06035AA3">
            <w:pPr>
              <w:shd w:val="clear" w:color="auto" w:fill="FFFFFF"/>
              <w:spacing w:after="75"/>
              <w:rPr>
                <w:szCs w:val="18"/>
              </w:rPr>
            </w:pPr>
            <w:r w:rsidRPr="006B0017">
              <w:rPr>
                <w:szCs w:val="18"/>
              </w:rPr>
              <w:t>Voorstel voor een VERORDENING VAN HET EUROPEES PARLEMENT EN DE RAAD tot uitvoering van de bilaterale vrijwaringsclausule in de partnerschapsovereenkomst EU-Mercosur en de interim-handelsovereenkomst EU-Mercosur met betrekking tot landbouwproducten</w:t>
            </w:r>
            <w:r w:rsidR="00DC4E7B">
              <w:rPr>
                <w:szCs w:val="18"/>
              </w:rPr>
              <w:t xml:space="preserve"> </w:t>
            </w:r>
            <w:hyperlink w:history="1" r:id="rId13">
              <w:r w:rsidRPr="00DC4E7B" w:rsidR="00DC4E7B">
                <w:rPr>
                  <w:rStyle w:val="Hyperlink"/>
                  <w:szCs w:val="18"/>
                </w:rPr>
                <w:t>COM(2025)639</w:t>
              </w:r>
            </w:hyperlink>
          </w:p>
          <w:p w:rsidRPr="006B0017" w:rsidR="00AF0AB3" w:rsidP="00CB3733" w:rsidRDefault="00AF0AB3" w14:paraId="24DEA20B" w14:textId="77777777">
            <w:pPr>
              <w:shd w:val="clear" w:color="auto" w:fill="FFFFFF"/>
              <w:spacing w:after="75"/>
              <w:rPr>
                <w:szCs w:val="18"/>
              </w:rPr>
            </w:pPr>
          </w:p>
          <w:p w:rsidRPr="006B0017" w:rsidR="006B0017" w:rsidP="00CB3733" w:rsidRDefault="006B0017" w14:paraId="590760EF" w14:textId="0C4E200C">
            <w:pPr>
              <w:shd w:val="clear" w:color="auto" w:fill="FFFFFF"/>
              <w:spacing w:after="75"/>
              <w:rPr>
                <w:szCs w:val="18"/>
              </w:rPr>
            </w:pPr>
          </w:p>
        </w:tc>
      </w:tr>
      <w:tr w:rsidR="00CC585D" w:rsidTr="00CB3733" w14:paraId="52C70E9F" w14:textId="77777777">
        <w:tc>
          <w:tcPr>
            <w:tcW w:w="0" w:type="auto"/>
            <w:vMerge/>
            <w:vAlign w:val="center"/>
            <w:hideMark/>
          </w:tcPr>
          <w:p w:rsidRPr="006B0017" w:rsidR="00CC585D" w:rsidP="00CB3733" w:rsidRDefault="00CC585D" w14:paraId="2F585ACF" w14:textId="77777777">
            <w:pPr>
              <w:rPr>
                <w:rFonts w:eastAsiaTheme="minorHAnsi"/>
                <w:szCs w:val="18"/>
              </w:rPr>
            </w:pPr>
          </w:p>
        </w:tc>
        <w:tc>
          <w:tcPr>
            <w:tcW w:w="1134" w:type="dxa"/>
            <w:tcMar>
              <w:top w:w="0" w:type="dxa"/>
              <w:left w:w="108" w:type="dxa"/>
              <w:bottom w:w="0" w:type="dxa"/>
              <w:right w:w="108" w:type="dxa"/>
            </w:tcMar>
            <w:hideMark/>
          </w:tcPr>
          <w:p w:rsidR="00CC585D" w:rsidP="00CB3733" w:rsidRDefault="00CC585D" w14:paraId="6BA07E9B" w14:textId="77777777">
            <w:pPr>
              <w:spacing w:after="240"/>
              <w:rPr>
                <w:szCs w:val="18"/>
              </w:rPr>
            </w:pPr>
            <w:r>
              <w:rPr>
                <w:szCs w:val="18"/>
              </w:rPr>
              <w:t>Voorstel</w:t>
            </w:r>
          </w:p>
        </w:tc>
        <w:tc>
          <w:tcPr>
            <w:tcW w:w="6378" w:type="dxa"/>
            <w:tcBorders>
              <w:top w:val="nil"/>
              <w:left w:val="nil"/>
              <w:bottom w:val="nil"/>
              <w:right w:val="single" w:color="D9D9D9" w:themeColor="background1" w:themeShade="D9" w:sz="8" w:space="0"/>
            </w:tcBorders>
            <w:tcMar>
              <w:top w:w="0" w:type="dxa"/>
              <w:left w:w="108" w:type="dxa"/>
              <w:bottom w:w="0" w:type="dxa"/>
              <w:right w:w="108" w:type="dxa"/>
            </w:tcMar>
            <w:hideMark/>
          </w:tcPr>
          <w:p w:rsidRPr="00244E56" w:rsidR="00CC585D" w:rsidP="00CB3733" w:rsidRDefault="00593FEB" w14:paraId="0725DE1F" w14:textId="00A508BC">
            <w:pPr>
              <w:spacing w:after="240"/>
              <w:rPr>
                <w:rFonts w:eastAsia="Verdana" w:cs="Verdana"/>
                <w:szCs w:val="18"/>
              </w:rPr>
            </w:pPr>
            <w:r>
              <w:rPr>
                <w:szCs w:val="18"/>
              </w:rPr>
              <w:t xml:space="preserve">Ter informatie, raadspositie aangenomen </w:t>
            </w:r>
            <w:r w:rsidR="00AB732D">
              <w:rPr>
                <w:szCs w:val="18"/>
              </w:rPr>
              <w:t>op 19 november 2025</w:t>
            </w:r>
          </w:p>
        </w:tc>
      </w:tr>
      <w:tr w:rsidRPr="00872D5A" w:rsidR="00CC585D" w:rsidTr="00CB3733" w14:paraId="309AAC3A" w14:textId="77777777">
        <w:tc>
          <w:tcPr>
            <w:tcW w:w="0" w:type="auto"/>
            <w:vMerge/>
            <w:vAlign w:val="center"/>
            <w:hideMark/>
          </w:tcPr>
          <w:p w:rsidR="00CC585D" w:rsidP="00CB3733" w:rsidRDefault="00CC585D" w14:paraId="3988CEEA" w14:textId="77777777">
            <w:pPr>
              <w:rPr>
                <w:rFonts w:eastAsiaTheme="minorHAnsi"/>
                <w:szCs w:val="18"/>
              </w:rPr>
            </w:pPr>
          </w:p>
        </w:tc>
        <w:tc>
          <w:tcPr>
            <w:tcW w:w="1134" w:type="dxa"/>
            <w:tcBorders>
              <w:top w:val="nil"/>
              <w:left w:val="nil"/>
              <w:bottom w:val="single" w:color="D9D9D9" w:themeColor="background1" w:themeShade="D9" w:sz="8" w:space="0"/>
              <w:right w:val="nil"/>
            </w:tcBorders>
            <w:tcMar>
              <w:top w:w="0" w:type="dxa"/>
              <w:left w:w="108" w:type="dxa"/>
              <w:bottom w:w="0" w:type="dxa"/>
              <w:right w:w="108" w:type="dxa"/>
            </w:tcMar>
            <w:hideMark/>
          </w:tcPr>
          <w:p w:rsidR="00CC585D" w:rsidP="00CB3733" w:rsidRDefault="00CC585D" w14:paraId="5076C917" w14:textId="77777777">
            <w:pPr>
              <w:spacing w:after="240"/>
              <w:rPr>
                <w:szCs w:val="18"/>
              </w:rPr>
            </w:pPr>
            <w:r>
              <w:rPr>
                <w:szCs w:val="18"/>
              </w:rPr>
              <w:t>Noot</w:t>
            </w:r>
          </w:p>
        </w:tc>
        <w:tc>
          <w:tcPr>
            <w:tcW w:w="6378" w:type="dxa"/>
            <w:tcBorders>
              <w:top w:val="nil"/>
              <w:left w:val="nil"/>
              <w:bottom w:val="single" w:color="D9D9D9" w:themeColor="background1" w:themeShade="D9" w:sz="8" w:space="0"/>
              <w:right w:val="single" w:color="D9D9D9" w:themeColor="background1" w:themeShade="D9" w:sz="8" w:space="0"/>
            </w:tcBorders>
            <w:tcMar>
              <w:top w:w="0" w:type="dxa"/>
              <w:left w:w="108" w:type="dxa"/>
              <w:bottom w:w="0" w:type="dxa"/>
              <w:right w:w="108" w:type="dxa"/>
            </w:tcMar>
          </w:tcPr>
          <w:p w:rsidRPr="00244E56" w:rsidR="00CC585D" w:rsidP="00CB3733" w:rsidRDefault="00AF0AB3" w14:paraId="780D4846" w14:textId="68A5FE10">
            <w:pPr>
              <w:shd w:val="clear" w:color="auto" w:fill="FFFFFF" w:themeFill="background1"/>
            </w:pPr>
            <w:r w:rsidRPr="00AF0AB3">
              <w:t>Het voorstel scherpt de bestaande EU-vrijwaringsverordening</w:t>
            </w:r>
            <w:r w:rsidR="005D7DE0">
              <w:t xml:space="preserve"> m.b.t. de Mercosur-handelsovereenkomst</w:t>
            </w:r>
            <w:r w:rsidRPr="00AF0AB3">
              <w:t xml:space="preserve"> aan zodat de Unie sneller en doeltreffender kan reageren op </w:t>
            </w:r>
            <w:r w:rsidR="005D7DE0">
              <w:t xml:space="preserve">plotselinge </w:t>
            </w:r>
            <w:r w:rsidRPr="00AF0AB3">
              <w:t>schadelijke import</w:t>
            </w:r>
            <w:r w:rsidR="005D7DE0">
              <w:t>toename</w:t>
            </w:r>
            <w:r w:rsidRPr="00AF0AB3">
              <w:t xml:space="preserve">. Het introduceert een nieuw, voorspelbaarder kader </w:t>
            </w:r>
            <w:r w:rsidRPr="00AF0AB3">
              <w:lastRenderedPageBreak/>
              <w:t>met kortere termijnen, vereenvoudigde procedures en een breder instrumentarium om de markt te stabiliseren wanneer plotselinge invoerstijgingen een EU-industrie dreigen te schaden. De Commissie krijgt meer flexibiliteit om voorlopige maatregelen te nemen, contingenten of tarieven in te stellen en uitzonderingen te beperken. Doel is de EU-industrie beter te beschermen tegen verstoringen van de wereldhandel, terwijl de vrijwaringsinstrumenten transparant en WTO-conform blijven.</w:t>
            </w:r>
          </w:p>
        </w:tc>
      </w:tr>
    </w:tbl>
    <w:p w:rsidR="00CC585D" w:rsidP="4E40F6AD" w:rsidRDefault="00CC585D" w14:paraId="38CDFE38" w14:textId="401284CA">
      <w:pPr>
        <w:rPr>
          <w:b/>
          <w:bCs/>
        </w:rPr>
      </w:pPr>
    </w:p>
    <w:tbl>
      <w:tblPr>
        <w:tblW w:w="0" w:type="auto"/>
        <w:tblLook w:val="04A0" w:firstRow="1" w:lastRow="0" w:firstColumn="1" w:lastColumn="0" w:noHBand="0" w:noVBand="1"/>
      </w:tblPr>
      <w:tblGrid>
        <w:gridCol w:w="421"/>
        <w:gridCol w:w="1134"/>
        <w:gridCol w:w="6378"/>
      </w:tblGrid>
      <w:tr w:rsidRPr="00A763BE" w:rsidR="360E89AE" w:rsidTr="360E89AE" w14:paraId="2938D199" w14:textId="77777777">
        <w:trPr>
          <w:trHeight w:val="300"/>
        </w:trPr>
        <w:tc>
          <w:tcPr>
            <w:tcW w:w="421" w:type="dxa"/>
            <w:vMerge w:val="restart"/>
            <w:tcBorders>
              <w:top w:val="single" w:color="D9D9D9" w:themeColor="background1" w:themeShade="D9" w:sz="8" w:space="0"/>
              <w:left w:val="single" w:color="D9D9D9" w:themeColor="background1" w:themeShade="D9" w:sz="8" w:space="0"/>
              <w:bottom w:val="single" w:color="D9D9D9" w:themeColor="background1" w:themeShade="D9" w:sz="8" w:space="0"/>
              <w:right w:val="nil"/>
            </w:tcBorders>
            <w:shd w:val="clear" w:color="auto" w:fill="F2F2F2" w:themeFill="background1" w:themeFillShade="F2"/>
            <w:tcMar>
              <w:top w:w="0" w:type="dxa"/>
              <w:left w:w="108" w:type="dxa"/>
              <w:bottom w:w="0" w:type="dxa"/>
              <w:right w:w="108" w:type="dxa"/>
            </w:tcMar>
          </w:tcPr>
          <w:p w:rsidR="360E89AE" w:rsidP="360E89AE" w:rsidRDefault="360E89AE" w14:paraId="5750675D" w14:textId="77777777">
            <w:pPr>
              <w:pStyle w:val="Lijstalinea"/>
              <w:numPr>
                <w:ilvl w:val="0"/>
                <w:numId w:val="5"/>
              </w:numPr>
              <w:spacing w:after="240"/>
              <w:ind w:left="312"/>
              <w:rPr>
                <w:rFonts w:eastAsiaTheme="minorEastAsia"/>
              </w:rPr>
            </w:pPr>
          </w:p>
        </w:tc>
        <w:tc>
          <w:tcPr>
            <w:tcW w:w="1134" w:type="dxa"/>
            <w:tcBorders>
              <w:top w:val="single" w:color="D9D9D9" w:themeColor="background1" w:themeShade="D9" w:sz="8" w:space="0"/>
              <w:left w:val="nil"/>
              <w:bottom w:val="nil"/>
              <w:right w:val="nil"/>
            </w:tcBorders>
            <w:tcMar>
              <w:top w:w="0" w:type="dxa"/>
              <w:left w:w="108" w:type="dxa"/>
              <w:bottom w:w="0" w:type="dxa"/>
              <w:right w:w="108" w:type="dxa"/>
            </w:tcMar>
          </w:tcPr>
          <w:p w:rsidR="360E89AE" w:rsidP="360E89AE" w:rsidRDefault="360E89AE" w14:paraId="3CFDA311" w14:textId="77777777">
            <w:pPr>
              <w:spacing w:after="240"/>
            </w:pPr>
            <w:r>
              <w:t>Titel</w:t>
            </w:r>
          </w:p>
        </w:tc>
        <w:tc>
          <w:tcPr>
            <w:tcW w:w="6378" w:type="dxa"/>
            <w:tcBorders>
              <w:top w:val="single" w:color="D9D9D9" w:themeColor="background1" w:themeShade="D9" w:sz="8" w:space="0"/>
              <w:left w:val="nil"/>
              <w:bottom w:val="nil"/>
              <w:right w:val="single" w:color="D9D9D9" w:themeColor="background1" w:themeShade="D9" w:sz="8" w:space="0"/>
            </w:tcBorders>
            <w:tcMar>
              <w:top w:w="0" w:type="dxa"/>
              <w:left w:w="108" w:type="dxa"/>
              <w:bottom w:w="0" w:type="dxa"/>
              <w:right w:w="108" w:type="dxa"/>
            </w:tcMar>
          </w:tcPr>
          <w:p w:rsidRPr="00A763BE" w:rsidR="7738A28A" w:rsidP="360E89AE" w:rsidRDefault="00A763BE" w14:paraId="02F99792" w14:textId="1AEA0D3D">
            <w:r w:rsidRPr="00A763BE">
              <w:t xml:space="preserve">Voorstel voor een VERORDENING VAN DE RAAD tot wijziging van Verordening (EU) 2021/2283 betreffende de opening en het beheer van autonome tariefcontingenten van de Unie voor bepaalde landbouw- en industrieproducten </w:t>
            </w:r>
            <w:hyperlink r:id="rId14">
              <w:r w:rsidRPr="00A763BE" w:rsidR="7738A28A">
                <w:rPr>
                  <w:rStyle w:val="Hyperlink"/>
                  <w:rFonts w:eastAsia="Verdana" w:cs="Verdana"/>
                  <w:color w:val="467886"/>
                  <w:szCs w:val="18"/>
                </w:rPr>
                <w:t>COM(2025)659</w:t>
              </w:r>
            </w:hyperlink>
          </w:p>
          <w:p w:rsidRPr="00A763BE" w:rsidR="360E89AE" w:rsidP="360E89AE" w:rsidRDefault="360E89AE" w14:paraId="4BB97667" w14:textId="0C4E200C">
            <w:pPr>
              <w:shd w:val="clear" w:color="auto" w:fill="FFFFFF" w:themeFill="background1"/>
              <w:spacing w:after="75"/>
            </w:pPr>
          </w:p>
        </w:tc>
      </w:tr>
      <w:tr w:rsidR="360E89AE" w:rsidTr="360E89AE" w14:paraId="75B9F041" w14:textId="77777777">
        <w:trPr>
          <w:trHeight w:val="300"/>
        </w:trPr>
        <w:tc>
          <w:tcPr>
            <w:tcW w:w="421" w:type="dxa"/>
            <w:vMerge/>
          </w:tcPr>
          <w:p w:rsidRPr="00A763BE" w:rsidR="001142D3" w:rsidRDefault="001142D3" w14:paraId="49BD0AA5" w14:textId="77777777"/>
        </w:tc>
        <w:tc>
          <w:tcPr>
            <w:tcW w:w="1134" w:type="dxa"/>
            <w:tcMar>
              <w:top w:w="0" w:type="dxa"/>
              <w:left w:w="108" w:type="dxa"/>
              <w:bottom w:w="0" w:type="dxa"/>
              <w:right w:w="108" w:type="dxa"/>
            </w:tcMar>
          </w:tcPr>
          <w:p w:rsidR="360E89AE" w:rsidP="360E89AE" w:rsidRDefault="360E89AE" w14:paraId="14512F21" w14:textId="77777777">
            <w:pPr>
              <w:spacing w:after="240"/>
            </w:pPr>
            <w:r>
              <w:t>Voorstel</w:t>
            </w:r>
          </w:p>
        </w:tc>
        <w:tc>
          <w:tcPr>
            <w:tcW w:w="6378" w:type="dxa"/>
            <w:tcBorders>
              <w:top w:val="nil"/>
              <w:left w:val="nil"/>
              <w:bottom w:val="nil"/>
              <w:right w:val="single" w:color="D9D9D9" w:themeColor="background1" w:themeShade="D9" w:sz="8" w:space="0"/>
            </w:tcBorders>
            <w:tcMar>
              <w:top w:w="0" w:type="dxa"/>
              <w:left w:w="108" w:type="dxa"/>
              <w:bottom w:w="0" w:type="dxa"/>
              <w:right w:w="108" w:type="dxa"/>
            </w:tcMar>
          </w:tcPr>
          <w:p w:rsidR="360E89AE" w:rsidP="360E89AE" w:rsidRDefault="00AB732D" w14:paraId="2FB9B004" w14:textId="2E3D0015">
            <w:pPr>
              <w:spacing w:after="240"/>
              <w:rPr>
                <w:rFonts w:eastAsia="Verdana" w:cs="Verdana"/>
              </w:rPr>
            </w:pPr>
            <w:r>
              <w:t>Ter informatie</w:t>
            </w:r>
          </w:p>
        </w:tc>
      </w:tr>
      <w:tr w:rsidR="360E89AE" w:rsidTr="360E89AE" w14:paraId="5BB22A12" w14:textId="77777777">
        <w:trPr>
          <w:trHeight w:val="300"/>
        </w:trPr>
        <w:tc>
          <w:tcPr>
            <w:tcW w:w="421" w:type="dxa"/>
            <w:vMerge/>
          </w:tcPr>
          <w:p w:rsidR="001142D3" w:rsidRDefault="001142D3" w14:paraId="167A63F6" w14:textId="77777777"/>
        </w:tc>
        <w:tc>
          <w:tcPr>
            <w:tcW w:w="1134" w:type="dxa"/>
            <w:tcBorders>
              <w:top w:val="nil"/>
              <w:left w:val="nil"/>
              <w:bottom w:val="single" w:color="D9D9D9" w:themeColor="background1" w:themeShade="D9" w:sz="8" w:space="0"/>
              <w:right w:val="nil"/>
            </w:tcBorders>
            <w:tcMar>
              <w:top w:w="0" w:type="dxa"/>
              <w:left w:w="108" w:type="dxa"/>
              <w:bottom w:w="0" w:type="dxa"/>
              <w:right w:w="108" w:type="dxa"/>
            </w:tcMar>
          </w:tcPr>
          <w:p w:rsidR="360E89AE" w:rsidP="360E89AE" w:rsidRDefault="360E89AE" w14:paraId="7643427A" w14:textId="77777777">
            <w:pPr>
              <w:spacing w:after="240"/>
            </w:pPr>
            <w:r>
              <w:t>Noot</w:t>
            </w:r>
          </w:p>
        </w:tc>
        <w:tc>
          <w:tcPr>
            <w:tcW w:w="6378" w:type="dxa"/>
            <w:tcBorders>
              <w:top w:val="nil"/>
              <w:left w:val="nil"/>
              <w:bottom w:val="single" w:color="D9D9D9" w:themeColor="background1" w:themeShade="D9" w:sz="8" w:space="0"/>
              <w:right w:val="single" w:color="D9D9D9" w:themeColor="background1" w:themeShade="D9" w:sz="8" w:space="0"/>
            </w:tcBorders>
            <w:tcMar>
              <w:top w:w="0" w:type="dxa"/>
              <w:left w:w="108" w:type="dxa"/>
              <w:bottom w:w="0" w:type="dxa"/>
              <w:right w:w="108" w:type="dxa"/>
            </w:tcMar>
          </w:tcPr>
          <w:p w:rsidRPr="00CF52E9" w:rsidR="00CF52E9" w:rsidP="00CF52E9" w:rsidRDefault="00CF52E9" w14:paraId="3D2CEFC1" w14:textId="77777777">
            <w:pPr>
              <w:shd w:val="clear" w:color="auto" w:fill="FFFFFF" w:themeFill="background1"/>
            </w:pPr>
            <w:r w:rsidRPr="00CF52E9">
              <w:t xml:space="preserve">Het voorstel wijzigt de bestaande EU-verordening over autonome tariefcontingenten om de aanvoer van landbouw- en industrieproducten die in de EU onvoldoende beschikbaar zijn, te blijven garanderen. Op basis van verzoeken van lidstaten opent de EU twee nieuwe contingenten, past zij dertien bestaande contingenten aan (bijvoorbeeld door omschrijvingen, codes of hoeveelheden te wijzigen) en schrapt zij twaalf contingenten die niet langer economisch nodig zijn. Het doel is om industriële afnemers toegang te blijven geven tot noodzakelijke grondstoffen tegen verlaagde of nulrechten zonder de EU-markt te verstoren. De aanpassingen hebben beperkte budgettaire impact, met per saldo meer douane-inkomsten doordat enkele contingenten worden gesloten. </w:t>
            </w:r>
          </w:p>
          <w:p w:rsidR="360E89AE" w:rsidP="360E89AE" w:rsidRDefault="360E89AE" w14:paraId="5B009479" w14:textId="37CD47C6">
            <w:pPr>
              <w:shd w:val="clear" w:color="auto" w:fill="FFFFFF" w:themeFill="background1"/>
            </w:pPr>
          </w:p>
        </w:tc>
      </w:tr>
    </w:tbl>
    <w:p w:rsidR="4E40F6AD" w:rsidP="4E40F6AD" w:rsidRDefault="4E40F6AD" w14:paraId="72DBBDB8" w14:textId="219E4C45">
      <w:pPr>
        <w:rPr>
          <w:b/>
          <w:bCs/>
        </w:rPr>
      </w:pPr>
    </w:p>
    <w:tbl>
      <w:tblPr>
        <w:tblW w:w="0" w:type="auto"/>
        <w:tblLook w:val="04A0" w:firstRow="1" w:lastRow="0" w:firstColumn="1" w:lastColumn="0" w:noHBand="0" w:noVBand="1"/>
      </w:tblPr>
      <w:tblGrid>
        <w:gridCol w:w="421"/>
        <w:gridCol w:w="1134"/>
        <w:gridCol w:w="6378"/>
      </w:tblGrid>
      <w:tr w:rsidRPr="00705E5E" w:rsidR="13048994" w:rsidTr="13048994" w14:paraId="2BF45315" w14:textId="77777777">
        <w:trPr>
          <w:trHeight w:val="300"/>
        </w:trPr>
        <w:tc>
          <w:tcPr>
            <w:tcW w:w="421" w:type="dxa"/>
            <w:vMerge w:val="restart"/>
            <w:tcBorders>
              <w:top w:val="single" w:color="D9D9D9" w:themeColor="background1" w:themeShade="D9" w:sz="8" w:space="0"/>
              <w:left w:val="single" w:color="D9D9D9" w:themeColor="background1" w:themeShade="D9" w:sz="8" w:space="0"/>
              <w:bottom w:val="single" w:color="D9D9D9" w:themeColor="background1" w:themeShade="D9" w:sz="8" w:space="0"/>
              <w:right w:val="nil"/>
            </w:tcBorders>
            <w:shd w:val="clear" w:color="auto" w:fill="F2F2F2" w:themeFill="background1" w:themeFillShade="F2"/>
            <w:tcMar>
              <w:top w:w="0" w:type="dxa"/>
              <w:left w:w="108" w:type="dxa"/>
              <w:bottom w:w="0" w:type="dxa"/>
              <w:right w:w="108" w:type="dxa"/>
            </w:tcMar>
          </w:tcPr>
          <w:p w:rsidR="13048994" w:rsidP="13048994" w:rsidRDefault="13048994" w14:paraId="33A493B3" w14:textId="77777777">
            <w:pPr>
              <w:pStyle w:val="Lijstalinea"/>
              <w:numPr>
                <w:ilvl w:val="0"/>
                <w:numId w:val="5"/>
              </w:numPr>
              <w:spacing w:after="240"/>
              <w:ind w:left="312"/>
              <w:rPr>
                <w:rFonts w:eastAsiaTheme="minorEastAsia"/>
              </w:rPr>
            </w:pPr>
          </w:p>
        </w:tc>
        <w:tc>
          <w:tcPr>
            <w:tcW w:w="1134" w:type="dxa"/>
            <w:tcBorders>
              <w:top w:val="single" w:color="D9D9D9" w:themeColor="background1" w:themeShade="D9" w:sz="8" w:space="0"/>
              <w:left w:val="nil"/>
              <w:bottom w:val="nil"/>
              <w:right w:val="nil"/>
            </w:tcBorders>
            <w:tcMar>
              <w:top w:w="0" w:type="dxa"/>
              <w:left w:w="108" w:type="dxa"/>
              <w:bottom w:w="0" w:type="dxa"/>
              <w:right w:w="108" w:type="dxa"/>
            </w:tcMar>
          </w:tcPr>
          <w:p w:rsidR="13048994" w:rsidP="13048994" w:rsidRDefault="13048994" w14:paraId="0706E28C" w14:textId="77777777">
            <w:pPr>
              <w:spacing w:after="240"/>
            </w:pPr>
            <w:r>
              <w:t>Titel</w:t>
            </w:r>
          </w:p>
        </w:tc>
        <w:tc>
          <w:tcPr>
            <w:tcW w:w="6378" w:type="dxa"/>
            <w:tcBorders>
              <w:top w:val="single" w:color="D9D9D9" w:themeColor="background1" w:themeShade="D9" w:sz="8" w:space="0"/>
              <w:left w:val="nil"/>
              <w:bottom w:val="nil"/>
              <w:right w:val="single" w:color="D9D9D9" w:themeColor="background1" w:themeShade="D9" w:sz="8" w:space="0"/>
            </w:tcBorders>
            <w:tcMar>
              <w:top w:w="0" w:type="dxa"/>
              <w:left w:w="108" w:type="dxa"/>
              <w:bottom w:w="0" w:type="dxa"/>
              <w:right w:w="108" w:type="dxa"/>
            </w:tcMar>
          </w:tcPr>
          <w:p w:rsidRPr="00705E5E" w:rsidR="63921FB6" w:rsidP="13048994" w:rsidRDefault="00423D11" w14:paraId="2E4A4594" w14:textId="0FC94ED0">
            <w:r w:rsidRPr="00423D11">
              <w:t xml:space="preserve">Voorstel voor een VERORDENING VAN DE RAAD tot wijziging van Verordening (EU) 2021/2278 tot schorsing van de rechten van het gemeenschappelijk douanetarief als bedoeld in artikel 56, lid 2, onder c), van Verordening (EU) nr. 952/2013 van het Europees Parlement en de Raad voor bepaalde landbouw- en industrieproducten </w:t>
            </w:r>
            <w:hyperlink r:id="rId15">
              <w:r w:rsidRPr="00705E5E" w:rsidR="63921FB6">
                <w:rPr>
                  <w:rStyle w:val="Hyperlink"/>
                  <w:rFonts w:eastAsia="Verdana" w:cs="Verdana"/>
                  <w:color w:val="467886"/>
                  <w:szCs w:val="18"/>
                </w:rPr>
                <w:t>COM(2025)660</w:t>
              </w:r>
            </w:hyperlink>
          </w:p>
          <w:p w:rsidRPr="00705E5E" w:rsidR="13048994" w:rsidP="13048994" w:rsidRDefault="13048994" w14:paraId="20E5545F" w14:textId="0C4E200C">
            <w:pPr>
              <w:shd w:val="clear" w:color="auto" w:fill="FFFFFF" w:themeFill="background1"/>
              <w:spacing w:after="75"/>
            </w:pPr>
          </w:p>
        </w:tc>
      </w:tr>
      <w:tr w:rsidR="13048994" w:rsidTr="13048994" w14:paraId="3BE94994" w14:textId="77777777">
        <w:trPr>
          <w:trHeight w:val="300"/>
        </w:trPr>
        <w:tc>
          <w:tcPr>
            <w:tcW w:w="421" w:type="dxa"/>
            <w:vMerge/>
          </w:tcPr>
          <w:p w:rsidRPr="00705E5E" w:rsidR="001142D3" w:rsidRDefault="001142D3" w14:paraId="256D667A" w14:textId="77777777"/>
        </w:tc>
        <w:tc>
          <w:tcPr>
            <w:tcW w:w="1134" w:type="dxa"/>
            <w:tcMar>
              <w:top w:w="0" w:type="dxa"/>
              <w:left w:w="108" w:type="dxa"/>
              <w:bottom w:w="0" w:type="dxa"/>
              <w:right w:w="108" w:type="dxa"/>
            </w:tcMar>
          </w:tcPr>
          <w:p w:rsidR="13048994" w:rsidP="13048994" w:rsidRDefault="13048994" w14:paraId="11CF045A" w14:textId="77777777">
            <w:pPr>
              <w:spacing w:after="240"/>
            </w:pPr>
            <w:r>
              <w:t>Voorstel</w:t>
            </w:r>
          </w:p>
        </w:tc>
        <w:tc>
          <w:tcPr>
            <w:tcW w:w="6378" w:type="dxa"/>
            <w:tcBorders>
              <w:top w:val="nil"/>
              <w:left w:val="nil"/>
              <w:bottom w:val="nil"/>
              <w:right w:val="single" w:color="D9D9D9" w:themeColor="background1" w:themeShade="D9" w:sz="8" w:space="0"/>
            </w:tcBorders>
            <w:tcMar>
              <w:top w:w="0" w:type="dxa"/>
              <w:left w:w="108" w:type="dxa"/>
              <w:bottom w:w="0" w:type="dxa"/>
              <w:right w:w="108" w:type="dxa"/>
            </w:tcMar>
          </w:tcPr>
          <w:p w:rsidR="13048994" w:rsidP="13048994" w:rsidRDefault="00AB732D" w14:paraId="61F8A369" w14:textId="747602E6">
            <w:pPr>
              <w:spacing w:after="240"/>
              <w:rPr>
                <w:rFonts w:eastAsia="Verdana" w:cs="Verdana"/>
              </w:rPr>
            </w:pPr>
            <w:r>
              <w:t>Ter informatie</w:t>
            </w:r>
          </w:p>
        </w:tc>
      </w:tr>
      <w:tr w:rsidR="13048994" w:rsidTr="13048994" w14:paraId="771D8438" w14:textId="77777777">
        <w:trPr>
          <w:trHeight w:val="300"/>
        </w:trPr>
        <w:tc>
          <w:tcPr>
            <w:tcW w:w="421" w:type="dxa"/>
            <w:vMerge/>
          </w:tcPr>
          <w:p w:rsidR="001142D3" w:rsidRDefault="001142D3" w14:paraId="777B11BF" w14:textId="77777777"/>
        </w:tc>
        <w:tc>
          <w:tcPr>
            <w:tcW w:w="1134" w:type="dxa"/>
            <w:tcBorders>
              <w:top w:val="nil"/>
              <w:left w:val="nil"/>
              <w:bottom w:val="single" w:color="D9D9D9" w:themeColor="background1" w:themeShade="D9" w:sz="8" w:space="0"/>
              <w:right w:val="nil"/>
            </w:tcBorders>
            <w:tcMar>
              <w:top w:w="0" w:type="dxa"/>
              <w:left w:w="108" w:type="dxa"/>
              <w:bottom w:w="0" w:type="dxa"/>
              <w:right w:w="108" w:type="dxa"/>
            </w:tcMar>
          </w:tcPr>
          <w:p w:rsidRPr="0047379C" w:rsidR="13048994" w:rsidP="13048994" w:rsidRDefault="13048994" w14:paraId="585CDDD7" w14:textId="77777777">
            <w:pPr>
              <w:spacing w:after="240"/>
            </w:pPr>
            <w:r w:rsidRPr="0047379C">
              <w:t>Noot</w:t>
            </w:r>
          </w:p>
        </w:tc>
        <w:tc>
          <w:tcPr>
            <w:tcW w:w="6378" w:type="dxa"/>
            <w:tcBorders>
              <w:top w:val="nil"/>
              <w:left w:val="nil"/>
              <w:bottom w:val="single" w:color="D9D9D9" w:themeColor="background1" w:themeShade="D9" w:sz="8" w:space="0"/>
              <w:right w:val="single" w:color="D9D9D9" w:themeColor="background1" w:themeShade="D9" w:sz="8" w:space="0"/>
            </w:tcBorders>
            <w:tcMar>
              <w:top w:w="0" w:type="dxa"/>
              <w:left w:w="108" w:type="dxa"/>
              <w:bottom w:w="0" w:type="dxa"/>
              <w:right w:w="108" w:type="dxa"/>
            </w:tcMar>
          </w:tcPr>
          <w:p w:rsidRPr="0047379C" w:rsidR="13048994" w:rsidP="13048994" w:rsidRDefault="0047379C" w14:paraId="3119C83D" w14:textId="3E51DB86">
            <w:pPr>
              <w:shd w:val="clear" w:color="auto" w:fill="FFFFFF" w:themeFill="background1"/>
            </w:pPr>
            <w:r w:rsidRPr="0047379C">
              <w:t>Het betreft een voorstel tot de wijziging van een verordening die</w:t>
            </w:r>
            <w:r w:rsidRPr="0047379C" w:rsidR="001B6C4D">
              <w:t xml:space="preserve"> de schorsing regelt van bepaalde douanerechten op landbouw- en industrieproducten die niet of onvoldoende in de EU worden geproduceerd. Het doel is om de toegang tot deze producten te waarborgen en marktverstoringen te voorkomen. Concreet worden 62 nieuwe producten toegevoegd aan de lijst van schorsingen, terwijl 131 producten worden geschrapt omdat hun schorsing niet langer in het economisch belang van de EU is. Daarnaast worden voor sommige producten de productomschrijvingen, indelingen of evaluatiedata aangepast. De wijzigingen treden in werking op 1 januari 2026 en leiden naar schatting tot een jaarlijkse derving van douane-inkomsten van ongeveer 205.059 EUR voor de EU-begroting.</w:t>
            </w:r>
          </w:p>
        </w:tc>
      </w:tr>
    </w:tbl>
    <w:p w:rsidR="4E40F6AD" w:rsidP="13048994" w:rsidRDefault="4E40F6AD" w14:paraId="045EE035" w14:textId="0BA4207D">
      <w:pPr>
        <w:rPr>
          <w:b/>
          <w:bCs/>
        </w:rPr>
      </w:pPr>
    </w:p>
    <w:p w:rsidR="4E40F6AD" w:rsidP="4E40F6AD" w:rsidRDefault="4E40F6AD" w14:paraId="469838DA" w14:textId="032179AF">
      <w:pPr>
        <w:rPr>
          <w:b/>
          <w:bCs/>
        </w:rPr>
      </w:pPr>
    </w:p>
    <w:p w:rsidRPr="00901460" w:rsidR="00CC585D" w:rsidP="00CC585D" w:rsidRDefault="00CC585D" w14:paraId="519E7951" w14:textId="77777777">
      <w:pPr>
        <w:rPr>
          <w:b/>
          <w:szCs w:val="18"/>
        </w:rPr>
      </w:pPr>
    </w:p>
    <w:p w:rsidRPr="00810EA4" w:rsidR="00CC585D" w:rsidP="00CC585D" w:rsidRDefault="00CC585D" w14:paraId="47A10380" w14:textId="77777777">
      <w:pPr>
        <w:pStyle w:val="Lijstalinea"/>
        <w:numPr>
          <w:ilvl w:val="0"/>
          <w:numId w:val="4"/>
        </w:numPr>
        <w:rPr>
          <w:b/>
          <w:szCs w:val="18"/>
        </w:rPr>
      </w:pPr>
      <w:r w:rsidRPr="597C7B67">
        <w:rPr>
          <w:b/>
          <w:bCs/>
        </w:rPr>
        <w:lastRenderedPageBreak/>
        <w:t xml:space="preserve">Nieuwe EU-documenten van niet-wetgevende aard </w:t>
      </w:r>
      <w:r>
        <w:br/>
        <w:t>(Mededelingen, aanbevelingen, actieplannen, consultaties, etc.)</w:t>
      </w:r>
    </w:p>
    <w:p w:rsidR="00CC585D" w:rsidP="00CC585D" w:rsidRDefault="00CC585D" w14:paraId="07100EA2" w14:textId="77777777">
      <w:pPr>
        <w:rPr>
          <w:b/>
          <w:bCs/>
          <w:szCs w:val="18"/>
        </w:rPr>
      </w:pPr>
    </w:p>
    <w:tbl>
      <w:tblPr>
        <w:tblW w:w="0" w:type="auto"/>
        <w:tblLook w:val="04A0" w:firstRow="1" w:lastRow="0" w:firstColumn="1" w:lastColumn="0" w:noHBand="0" w:noVBand="1"/>
      </w:tblPr>
      <w:tblGrid>
        <w:gridCol w:w="421"/>
        <w:gridCol w:w="1125"/>
        <w:gridCol w:w="6387"/>
      </w:tblGrid>
      <w:tr w:rsidR="00CC585D" w:rsidTr="00CB3733" w14:paraId="115A946A" w14:textId="77777777">
        <w:trPr>
          <w:trHeight w:val="300"/>
        </w:trPr>
        <w:tc>
          <w:tcPr>
            <w:tcW w:w="421" w:type="dxa"/>
            <w:vMerge w:val="restart"/>
            <w:tcBorders>
              <w:top w:val="single" w:color="D9D9D9" w:themeColor="background1" w:themeShade="D9" w:sz="8" w:space="0"/>
              <w:left w:val="single" w:color="D9D9D9" w:themeColor="background1" w:themeShade="D9" w:sz="8" w:space="0"/>
              <w:bottom w:val="single" w:color="D9D9D9" w:themeColor="background1" w:themeShade="D9" w:sz="8" w:space="0"/>
              <w:right w:val="nil"/>
            </w:tcBorders>
            <w:shd w:val="clear" w:color="auto" w:fill="F2F2F2" w:themeFill="background1" w:themeFillShade="F2"/>
            <w:tcMar>
              <w:top w:w="0" w:type="dxa"/>
              <w:left w:w="108" w:type="dxa"/>
              <w:bottom w:w="0" w:type="dxa"/>
              <w:right w:w="108" w:type="dxa"/>
            </w:tcMar>
          </w:tcPr>
          <w:p w:rsidR="00CC585D" w:rsidP="00CC585D" w:rsidRDefault="00CC585D" w14:paraId="0E0E1B1F" w14:textId="77777777">
            <w:pPr>
              <w:pStyle w:val="Lijstalinea"/>
              <w:numPr>
                <w:ilvl w:val="0"/>
                <w:numId w:val="5"/>
              </w:numPr>
              <w:spacing w:after="240"/>
              <w:ind w:left="312"/>
              <w:rPr>
                <w:rFonts w:eastAsiaTheme="minorEastAsia"/>
              </w:rPr>
            </w:pPr>
          </w:p>
        </w:tc>
        <w:tc>
          <w:tcPr>
            <w:tcW w:w="1125" w:type="dxa"/>
            <w:tcBorders>
              <w:top w:val="single" w:color="D9D9D9" w:themeColor="background1" w:themeShade="D9" w:sz="8" w:space="0"/>
              <w:left w:val="nil"/>
              <w:bottom w:val="nil"/>
              <w:right w:val="nil"/>
            </w:tcBorders>
            <w:tcMar>
              <w:top w:w="0" w:type="dxa"/>
              <w:left w:w="108" w:type="dxa"/>
              <w:bottom w:w="0" w:type="dxa"/>
              <w:right w:w="108" w:type="dxa"/>
            </w:tcMar>
          </w:tcPr>
          <w:p w:rsidR="00CC585D" w:rsidP="00CB3733" w:rsidRDefault="00CC585D" w14:paraId="4E332590" w14:textId="77777777">
            <w:pPr>
              <w:spacing w:after="240"/>
            </w:pPr>
            <w:r w:rsidRPr="00D83E71">
              <w:t>Titel</w:t>
            </w:r>
          </w:p>
        </w:tc>
        <w:tc>
          <w:tcPr>
            <w:tcW w:w="6387" w:type="dxa"/>
            <w:tcBorders>
              <w:top w:val="single" w:color="D9D9D9" w:themeColor="background1" w:themeShade="D9" w:sz="8" w:space="0"/>
              <w:left w:val="nil"/>
              <w:bottom w:val="nil"/>
              <w:right w:val="single" w:color="D9D9D9" w:themeColor="background1" w:themeShade="D9" w:sz="8" w:space="0"/>
            </w:tcBorders>
            <w:tcMar>
              <w:top w:w="0" w:type="dxa"/>
              <w:left w:w="108" w:type="dxa"/>
              <w:bottom w:w="0" w:type="dxa"/>
              <w:right w:w="108" w:type="dxa"/>
            </w:tcMar>
          </w:tcPr>
          <w:p w:rsidR="00CC585D" w:rsidP="00827673" w:rsidRDefault="00827673" w14:paraId="2FF188D7" w14:textId="77777777">
            <w:r w:rsidRPr="008B444B">
              <w:t xml:space="preserve">Voorstel voor een BESLUIT VAN DE RAAD betreffende het standpunt dat namens de Europese Unie moet worden ingenomen in de EPO-Raad, in het Comité van hoge ambtenaren en in het Raadgevend Comité van de EPO, opgericht bij de Economische Partnerschapsovereenkomst tussen de Europese Unie, enerzijds, en de Republiek Kenia, lid van de Oost-Afrikaanse Gemeenschap, anderzijds, met betrekking tot de vaststelling van het reglement van orde van het Raadgevend Comité van de EPO, de aanbeveling van het Comité van hoge ambtenaren aan de EPO-Raad over het lidmaatschap van het Raadgevend Comité van de EPO, het besluit van de EPO-Raad over het lidmaatschap van het Raadgevend Comité van de EPO en het besluit van het Comité van hoge ambtenaren tot goedkeuring van de vaststelling van het reglement van orde van het Raadgevend Comité van de EPO </w:t>
            </w:r>
            <w:hyperlink w:history="1" r:id="rId16">
              <w:r w:rsidRPr="008B444B">
                <w:rPr>
                  <w:rStyle w:val="Hyperlink"/>
                </w:rPr>
                <w:t>COM(2025)532</w:t>
              </w:r>
            </w:hyperlink>
          </w:p>
          <w:p w:rsidR="00827673" w:rsidP="00827673" w:rsidRDefault="00827673" w14:paraId="595E4A70" w14:textId="4D098E28"/>
        </w:tc>
      </w:tr>
      <w:tr w:rsidR="00CC585D" w:rsidTr="00CB3733" w14:paraId="301F2C24" w14:textId="77777777">
        <w:trPr>
          <w:trHeight w:val="300"/>
        </w:trPr>
        <w:tc>
          <w:tcPr>
            <w:tcW w:w="421" w:type="dxa"/>
            <w:vMerge/>
          </w:tcPr>
          <w:p w:rsidR="00CC585D" w:rsidP="00CB3733" w:rsidRDefault="00CC585D" w14:paraId="5AFC654C" w14:textId="77777777"/>
        </w:tc>
        <w:tc>
          <w:tcPr>
            <w:tcW w:w="1125" w:type="dxa"/>
            <w:tcMar>
              <w:top w:w="0" w:type="dxa"/>
              <w:left w:w="108" w:type="dxa"/>
              <w:bottom w:w="0" w:type="dxa"/>
              <w:right w:w="108" w:type="dxa"/>
            </w:tcMar>
          </w:tcPr>
          <w:p w:rsidR="00CC585D" w:rsidP="00CB3733" w:rsidRDefault="00CC585D" w14:paraId="1FC6F6B1" w14:textId="77777777">
            <w:pPr>
              <w:spacing w:after="240"/>
            </w:pPr>
            <w:r>
              <w:t>Voorstel</w:t>
            </w:r>
          </w:p>
        </w:tc>
        <w:tc>
          <w:tcPr>
            <w:tcW w:w="6387" w:type="dxa"/>
            <w:tcBorders>
              <w:top w:val="nil"/>
              <w:left w:val="nil"/>
              <w:bottom w:val="nil"/>
              <w:right w:val="single" w:color="D9D9D9" w:themeColor="background1" w:themeShade="D9" w:sz="8" w:space="0"/>
            </w:tcBorders>
            <w:tcMar>
              <w:top w:w="0" w:type="dxa"/>
              <w:left w:w="108" w:type="dxa"/>
              <w:bottom w:w="0" w:type="dxa"/>
              <w:right w:w="108" w:type="dxa"/>
            </w:tcMar>
          </w:tcPr>
          <w:p w:rsidR="00CC585D" w:rsidP="00CB3733" w:rsidRDefault="00044F04" w14:paraId="2EF2B53A" w14:textId="64595497">
            <w:pPr>
              <w:spacing w:after="240"/>
              <w:rPr>
                <w:rFonts w:eastAsia="Verdana" w:cs="Verdana"/>
              </w:rPr>
            </w:pPr>
            <w:r>
              <w:rPr>
                <w:rFonts w:eastAsia="Verdana" w:cs="Verdana"/>
              </w:rPr>
              <w:t>Ter informatie</w:t>
            </w:r>
          </w:p>
        </w:tc>
      </w:tr>
      <w:tr w:rsidR="00CC585D" w:rsidTr="00CB3733" w14:paraId="50A75277" w14:textId="77777777">
        <w:trPr>
          <w:trHeight w:val="300"/>
        </w:trPr>
        <w:tc>
          <w:tcPr>
            <w:tcW w:w="421" w:type="dxa"/>
            <w:vMerge/>
          </w:tcPr>
          <w:p w:rsidR="00CC585D" w:rsidP="00CB3733" w:rsidRDefault="00CC585D" w14:paraId="36ED3227" w14:textId="77777777"/>
        </w:tc>
        <w:tc>
          <w:tcPr>
            <w:tcW w:w="1125" w:type="dxa"/>
            <w:tcBorders>
              <w:top w:val="nil"/>
              <w:left w:val="nil"/>
              <w:bottom w:val="single" w:color="D9D9D9" w:themeColor="background1" w:themeShade="D9" w:sz="8" w:space="0"/>
              <w:right w:val="nil"/>
            </w:tcBorders>
            <w:tcMar>
              <w:top w:w="0" w:type="dxa"/>
              <w:left w:w="108" w:type="dxa"/>
              <w:bottom w:w="0" w:type="dxa"/>
              <w:right w:w="108" w:type="dxa"/>
            </w:tcMar>
          </w:tcPr>
          <w:p w:rsidR="00CC585D" w:rsidP="00CB3733" w:rsidRDefault="00CC585D" w14:paraId="44A9CA2D" w14:textId="77777777">
            <w:pPr>
              <w:spacing w:after="240"/>
            </w:pPr>
            <w:r>
              <w:t>Noot</w:t>
            </w:r>
          </w:p>
        </w:tc>
        <w:tc>
          <w:tcPr>
            <w:tcW w:w="6387" w:type="dxa"/>
            <w:tcBorders>
              <w:top w:val="nil"/>
              <w:left w:val="nil"/>
              <w:bottom w:val="single" w:color="D9D9D9" w:themeColor="background1" w:themeShade="D9" w:sz="8" w:space="0"/>
              <w:right w:val="single" w:color="D9D9D9" w:themeColor="background1" w:themeShade="D9" w:sz="8" w:space="0"/>
            </w:tcBorders>
            <w:tcMar>
              <w:top w:w="0" w:type="dxa"/>
              <w:left w:w="108" w:type="dxa"/>
              <w:bottom w:w="0" w:type="dxa"/>
              <w:right w:w="108" w:type="dxa"/>
            </w:tcMar>
          </w:tcPr>
          <w:p w:rsidR="004027DD" w:rsidP="004027DD" w:rsidRDefault="004027DD" w14:paraId="1419FFA1" w14:textId="37F574D6">
            <w:pPr>
              <w:shd w:val="clear" w:color="auto" w:fill="FFFFFF" w:themeFill="background1"/>
              <w:rPr>
                <w:rFonts w:eastAsia="Verdana" w:cs="Verdana"/>
              </w:rPr>
            </w:pPr>
            <w:r w:rsidRPr="004027DD">
              <w:rPr>
                <w:rFonts w:eastAsia="Verdana" w:cs="Verdana"/>
              </w:rPr>
              <w:t>Het betreft het vaststellen van het standpunt dat de Europese Unie moet innemen in drie organen van de Economische</w:t>
            </w:r>
            <w:r w:rsidR="00715EAB">
              <w:rPr>
                <w:rFonts w:eastAsia="Verdana" w:cs="Verdana"/>
              </w:rPr>
              <w:t xml:space="preserve"> </w:t>
            </w:r>
            <w:r w:rsidRPr="004027DD">
              <w:rPr>
                <w:rFonts w:eastAsia="Verdana" w:cs="Verdana"/>
              </w:rPr>
              <w:t>Partnerschapsovereenkomst (EPO) tussen de EU en Kenia: de EPO-Raad, het Comité van hoge ambtenaren, en het Raadgevend Comité van de EPO.</w:t>
            </w:r>
            <w:r w:rsidR="00715EAB">
              <w:rPr>
                <w:rFonts w:eastAsia="Verdana" w:cs="Verdana"/>
              </w:rPr>
              <w:t xml:space="preserve"> </w:t>
            </w:r>
            <w:r w:rsidRPr="004027DD">
              <w:rPr>
                <w:rFonts w:eastAsia="Verdana" w:cs="Verdana"/>
              </w:rPr>
              <w:t>Het doel is om de regels van procedure (reglement van orde) van het Raadgevend Comité van de EPO vast te stellen, evenals het lidmaatschap van dit comité.</w:t>
            </w:r>
          </w:p>
          <w:p w:rsidRPr="004027DD" w:rsidR="00715EAB" w:rsidP="004027DD" w:rsidRDefault="00715EAB" w14:paraId="6A902C04" w14:textId="77777777">
            <w:pPr>
              <w:shd w:val="clear" w:color="auto" w:fill="FFFFFF" w:themeFill="background1"/>
              <w:rPr>
                <w:rFonts w:eastAsia="Verdana" w:cs="Verdana"/>
              </w:rPr>
            </w:pPr>
          </w:p>
          <w:p w:rsidRPr="004027DD" w:rsidR="004027DD" w:rsidP="004027DD" w:rsidRDefault="004027DD" w14:paraId="447092D6" w14:textId="77777777">
            <w:pPr>
              <w:shd w:val="clear" w:color="auto" w:fill="FFFFFF" w:themeFill="background1"/>
              <w:rPr>
                <w:rFonts w:eastAsia="Verdana" w:cs="Verdana"/>
              </w:rPr>
            </w:pPr>
            <w:r w:rsidRPr="004027DD">
              <w:rPr>
                <w:rFonts w:eastAsia="Verdana" w:cs="Verdana"/>
              </w:rPr>
              <w:t>De EPO tussen de EU en Kenia, die op 1 juli 2024 in werking trad, voorziet in asymmetrische handelsliberalisatie en duurzame ontwikkeling. Het Raadgevend Comité van de EPO heeft als taak om de dialoog tussen de particuliere sector, maatschappelijke organisaties en economische partners te bevorderen. Het vaststellen van het reglement van orde en het lidmaatschap is essentieel voor de goede werking van dit comité en de soepele uitvoering van de overeenkomst.</w:t>
            </w:r>
          </w:p>
          <w:p w:rsidR="00CC585D" w:rsidP="00CB3733" w:rsidRDefault="00CC585D" w14:paraId="40BDE92E" w14:textId="32D469C1">
            <w:pPr>
              <w:shd w:val="clear" w:color="auto" w:fill="FFFFFF" w:themeFill="background1"/>
              <w:rPr>
                <w:rFonts w:eastAsia="Verdana" w:cs="Verdana"/>
              </w:rPr>
            </w:pPr>
          </w:p>
        </w:tc>
      </w:tr>
    </w:tbl>
    <w:p w:rsidR="00CC585D" w:rsidP="00CC585D" w:rsidRDefault="00CC585D" w14:paraId="3E138762" w14:textId="77777777">
      <w:pPr>
        <w:rPr>
          <w:b/>
          <w:bCs/>
        </w:rPr>
      </w:pPr>
    </w:p>
    <w:tbl>
      <w:tblPr>
        <w:tblW w:w="0" w:type="auto"/>
        <w:tblLook w:val="04A0" w:firstRow="1" w:lastRow="0" w:firstColumn="1" w:lastColumn="0" w:noHBand="0" w:noVBand="1"/>
      </w:tblPr>
      <w:tblGrid>
        <w:gridCol w:w="421"/>
        <w:gridCol w:w="1134"/>
        <w:gridCol w:w="6378"/>
      </w:tblGrid>
      <w:tr w:rsidR="00CC585D" w:rsidTr="00CB3733" w14:paraId="02D42DCE" w14:textId="77777777">
        <w:trPr>
          <w:trHeight w:val="300"/>
        </w:trPr>
        <w:tc>
          <w:tcPr>
            <w:tcW w:w="421" w:type="dxa"/>
            <w:vMerge w:val="restart"/>
            <w:tcBorders>
              <w:top w:val="single" w:color="D9D9D9" w:themeColor="background1" w:themeShade="D9" w:sz="8" w:space="0"/>
              <w:left w:val="single" w:color="D9D9D9" w:themeColor="background1" w:themeShade="D9" w:sz="8" w:space="0"/>
              <w:bottom w:val="single" w:color="D9D9D9" w:themeColor="background1" w:themeShade="D9" w:sz="8" w:space="0"/>
              <w:right w:val="nil"/>
            </w:tcBorders>
            <w:shd w:val="clear" w:color="auto" w:fill="F2F2F2" w:themeFill="background1" w:themeFillShade="F2"/>
            <w:tcMar>
              <w:top w:w="0" w:type="dxa"/>
              <w:left w:w="108" w:type="dxa"/>
              <w:bottom w:w="0" w:type="dxa"/>
              <w:right w:w="108" w:type="dxa"/>
            </w:tcMar>
          </w:tcPr>
          <w:p w:rsidR="00CC585D" w:rsidP="00CC585D" w:rsidRDefault="00CC585D" w14:paraId="0E3D8083" w14:textId="77777777">
            <w:pPr>
              <w:pStyle w:val="Lijstalinea"/>
              <w:numPr>
                <w:ilvl w:val="0"/>
                <w:numId w:val="5"/>
              </w:numPr>
              <w:spacing w:after="240"/>
              <w:ind w:left="312"/>
              <w:rPr>
                <w:rFonts w:eastAsiaTheme="minorEastAsia"/>
              </w:rPr>
            </w:pPr>
          </w:p>
        </w:tc>
        <w:tc>
          <w:tcPr>
            <w:tcW w:w="1134" w:type="dxa"/>
            <w:tcBorders>
              <w:top w:val="single" w:color="D9D9D9" w:themeColor="background1" w:themeShade="D9" w:sz="8" w:space="0"/>
              <w:left w:val="nil"/>
              <w:bottom w:val="nil"/>
              <w:right w:val="nil"/>
            </w:tcBorders>
            <w:tcMar>
              <w:top w:w="0" w:type="dxa"/>
              <w:left w:w="108" w:type="dxa"/>
              <w:bottom w:w="0" w:type="dxa"/>
              <w:right w:w="108" w:type="dxa"/>
            </w:tcMar>
          </w:tcPr>
          <w:p w:rsidR="00CC585D" w:rsidP="00CB3733" w:rsidRDefault="00CC585D" w14:paraId="6877E71F" w14:textId="77777777">
            <w:pPr>
              <w:spacing w:after="240"/>
            </w:pPr>
            <w:r>
              <w:t>Titel</w:t>
            </w:r>
          </w:p>
        </w:tc>
        <w:tc>
          <w:tcPr>
            <w:tcW w:w="6378" w:type="dxa"/>
            <w:tcBorders>
              <w:top w:val="single" w:color="D9D9D9" w:themeColor="background1" w:themeShade="D9" w:sz="8" w:space="0"/>
              <w:left w:val="nil"/>
              <w:bottom w:val="nil"/>
              <w:right w:val="single" w:color="D9D9D9" w:themeColor="background1" w:themeShade="D9" w:sz="8" w:space="0"/>
            </w:tcBorders>
            <w:tcMar>
              <w:top w:w="0" w:type="dxa"/>
              <w:left w:w="108" w:type="dxa"/>
              <w:bottom w:w="0" w:type="dxa"/>
              <w:right w:w="108" w:type="dxa"/>
            </w:tcMar>
          </w:tcPr>
          <w:p w:rsidR="00CC585D" w:rsidP="00813A33" w:rsidRDefault="00813A33" w14:paraId="03007B2E" w14:textId="77777777">
            <w:r w:rsidRPr="00813A33">
              <w:t xml:space="preserve">Voorstel voor een BESLUIT VAN DE RAAD betreffende het standpunt dat namens de Europese Unie moet worden ingenomen in het Handelscomité dat is opgericht bij de Vrijhandelsovereenkomst tussen de Europese Unie en Nieuw-Zeeland, over de vaststelling van de operationele richtsnoeren van het Forum voor het maatschappelijk middenveld </w:t>
            </w:r>
            <w:hyperlink w:history="1" r:id="rId17">
              <w:r w:rsidRPr="00813A33">
                <w:rPr>
                  <w:rStyle w:val="Hyperlink"/>
                </w:rPr>
                <w:t>COM(2025)568</w:t>
              </w:r>
            </w:hyperlink>
          </w:p>
          <w:p w:rsidR="00813A33" w:rsidP="00813A33" w:rsidRDefault="00813A33" w14:paraId="713113DE" w14:textId="1D211DE9"/>
        </w:tc>
      </w:tr>
      <w:tr w:rsidR="00CC585D" w:rsidTr="00CB3733" w14:paraId="588579C4" w14:textId="77777777">
        <w:trPr>
          <w:trHeight w:val="300"/>
        </w:trPr>
        <w:tc>
          <w:tcPr>
            <w:tcW w:w="421" w:type="dxa"/>
            <w:vMerge/>
          </w:tcPr>
          <w:p w:rsidR="00CC585D" w:rsidP="00CB3733" w:rsidRDefault="00CC585D" w14:paraId="20EDD895" w14:textId="77777777"/>
        </w:tc>
        <w:tc>
          <w:tcPr>
            <w:tcW w:w="1134" w:type="dxa"/>
            <w:tcMar>
              <w:top w:w="0" w:type="dxa"/>
              <w:left w:w="108" w:type="dxa"/>
              <w:bottom w:w="0" w:type="dxa"/>
              <w:right w:w="108" w:type="dxa"/>
            </w:tcMar>
          </w:tcPr>
          <w:p w:rsidR="00CC585D" w:rsidP="00CB3733" w:rsidRDefault="00CC585D" w14:paraId="5F9A8E11" w14:textId="77777777">
            <w:pPr>
              <w:spacing w:after="240"/>
            </w:pPr>
            <w:r>
              <w:t>Voorstel</w:t>
            </w:r>
          </w:p>
        </w:tc>
        <w:tc>
          <w:tcPr>
            <w:tcW w:w="6378" w:type="dxa"/>
            <w:tcBorders>
              <w:top w:val="nil"/>
              <w:left w:val="nil"/>
              <w:bottom w:val="nil"/>
              <w:right w:val="single" w:color="D9D9D9" w:themeColor="background1" w:themeShade="D9" w:sz="8" w:space="0"/>
            </w:tcBorders>
            <w:tcMar>
              <w:top w:w="0" w:type="dxa"/>
              <w:left w:w="108" w:type="dxa"/>
              <w:bottom w:w="0" w:type="dxa"/>
              <w:right w:w="108" w:type="dxa"/>
            </w:tcMar>
          </w:tcPr>
          <w:p w:rsidR="00CC585D" w:rsidP="00CB3733" w:rsidRDefault="007A2654" w14:paraId="47490D06" w14:textId="5E7B42A8">
            <w:pPr>
              <w:spacing w:after="240"/>
              <w:rPr>
                <w:rFonts w:eastAsia="Verdana" w:cs="Verdana"/>
              </w:rPr>
            </w:pPr>
            <w:r>
              <w:rPr>
                <w:rFonts w:eastAsia="Verdana" w:cs="Verdana"/>
              </w:rPr>
              <w:t>Ter informatie</w:t>
            </w:r>
          </w:p>
        </w:tc>
      </w:tr>
      <w:tr w:rsidR="00CC585D" w:rsidTr="00CB3733" w14:paraId="76658878" w14:textId="77777777">
        <w:trPr>
          <w:trHeight w:val="300"/>
        </w:trPr>
        <w:tc>
          <w:tcPr>
            <w:tcW w:w="421" w:type="dxa"/>
            <w:vMerge/>
          </w:tcPr>
          <w:p w:rsidR="00CC585D" w:rsidP="00CB3733" w:rsidRDefault="00CC585D" w14:paraId="139D4533" w14:textId="77777777"/>
        </w:tc>
        <w:tc>
          <w:tcPr>
            <w:tcW w:w="1134" w:type="dxa"/>
            <w:tcBorders>
              <w:top w:val="nil"/>
              <w:left w:val="nil"/>
              <w:bottom w:val="single" w:color="D9D9D9" w:themeColor="background1" w:themeShade="D9" w:sz="8" w:space="0"/>
              <w:right w:val="nil"/>
            </w:tcBorders>
            <w:tcMar>
              <w:top w:w="0" w:type="dxa"/>
              <w:left w:w="108" w:type="dxa"/>
              <w:bottom w:w="0" w:type="dxa"/>
              <w:right w:w="108" w:type="dxa"/>
            </w:tcMar>
          </w:tcPr>
          <w:p w:rsidR="00CC585D" w:rsidP="00CB3733" w:rsidRDefault="00CC585D" w14:paraId="137465B6" w14:textId="77777777">
            <w:pPr>
              <w:spacing w:after="240"/>
            </w:pPr>
            <w:r>
              <w:t>Noot</w:t>
            </w:r>
          </w:p>
        </w:tc>
        <w:tc>
          <w:tcPr>
            <w:tcW w:w="6378" w:type="dxa"/>
            <w:tcBorders>
              <w:top w:val="nil"/>
              <w:left w:val="nil"/>
              <w:bottom w:val="single" w:color="D9D9D9" w:themeColor="background1" w:themeShade="D9" w:sz="8" w:space="0"/>
              <w:right w:val="single" w:color="D9D9D9" w:themeColor="background1" w:themeShade="D9" w:sz="8" w:space="0"/>
            </w:tcBorders>
            <w:tcMar>
              <w:top w:w="0" w:type="dxa"/>
              <w:left w:w="108" w:type="dxa"/>
              <w:bottom w:w="0" w:type="dxa"/>
              <w:right w:w="108" w:type="dxa"/>
            </w:tcMar>
          </w:tcPr>
          <w:p w:rsidRPr="007A2654" w:rsidR="00CC585D" w:rsidP="00CB3733" w:rsidRDefault="00256327" w14:paraId="736EA2B9" w14:textId="24D89C67">
            <w:pPr>
              <w:shd w:val="clear" w:color="auto" w:fill="FFFFFF" w:themeFill="background1"/>
              <w:rPr>
                <w:rFonts w:eastAsia="Verdana" w:cs="Verdana"/>
              </w:rPr>
            </w:pPr>
            <w:r w:rsidRPr="007A2654">
              <w:rPr>
                <w:rFonts w:eastAsia="Verdana" w:cs="Verdana"/>
              </w:rPr>
              <w:t xml:space="preserve">Het betreft </w:t>
            </w:r>
            <w:r w:rsidRPr="007A2654" w:rsidR="000B6978">
              <w:rPr>
                <w:rFonts w:eastAsia="Verdana" w:cs="Verdana"/>
              </w:rPr>
              <w:t>een voorstel</w:t>
            </w:r>
            <w:r w:rsidRPr="007A2654">
              <w:rPr>
                <w:rFonts w:eastAsia="Verdana" w:cs="Verdana"/>
              </w:rPr>
              <w:t xml:space="preserve"> om het standpunt van de Europese Unie vast te leggen in het Handelscomité van de</w:t>
            </w:r>
            <w:r w:rsidRPr="007A2654" w:rsidR="000B6978">
              <w:rPr>
                <w:rFonts w:eastAsia="Verdana" w:cs="Verdana"/>
              </w:rPr>
              <w:t xml:space="preserve"> </w:t>
            </w:r>
            <w:r w:rsidRPr="007A2654">
              <w:rPr>
                <w:rFonts w:eastAsia="Verdana" w:cs="Verdana"/>
              </w:rPr>
              <w:t>Vrijhandelsovereenkomst tussen de EU en Nieuw-Zeeland.</w:t>
            </w:r>
            <w:r w:rsidRPr="007A2654" w:rsidR="000B6978">
              <w:rPr>
                <w:rFonts w:eastAsia="Verdana" w:cs="Verdana"/>
              </w:rPr>
              <w:t xml:space="preserve"> </w:t>
            </w:r>
            <w:r w:rsidRPr="007A2654" w:rsidR="007A2654">
              <w:rPr>
                <w:rFonts w:eastAsia="Verdana" w:cs="Verdana"/>
              </w:rPr>
              <w:t xml:space="preserve">Het doel is om de operationele richtsnoeren voor het Forum voor het maatschappelijk middenveld te laten vaststellen. </w:t>
            </w:r>
          </w:p>
        </w:tc>
      </w:tr>
    </w:tbl>
    <w:p w:rsidR="00CC585D" w:rsidP="00CC585D" w:rsidRDefault="00CC585D" w14:paraId="303147C6" w14:textId="77777777">
      <w:pPr>
        <w:rPr>
          <w:b/>
          <w:bCs/>
        </w:rPr>
      </w:pPr>
    </w:p>
    <w:tbl>
      <w:tblPr>
        <w:tblW w:w="0" w:type="auto"/>
        <w:tblLook w:val="04A0" w:firstRow="1" w:lastRow="0" w:firstColumn="1" w:lastColumn="0" w:noHBand="0" w:noVBand="1"/>
      </w:tblPr>
      <w:tblGrid>
        <w:gridCol w:w="421"/>
        <w:gridCol w:w="1134"/>
        <w:gridCol w:w="6378"/>
      </w:tblGrid>
      <w:tr w:rsidR="00CC585D" w:rsidTr="7E7915D2" w14:paraId="22452119" w14:textId="77777777">
        <w:trPr>
          <w:trHeight w:val="300"/>
        </w:trPr>
        <w:tc>
          <w:tcPr>
            <w:tcW w:w="421" w:type="dxa"/>
            <w:vMerge w:val="restart"/>
            <w:tcBorders>
              <w:top w:val="single" w:color="D9D9D9" w:themeColor="background1" w:themeShade="D9" w:sz="8" w:space="0"/>
              <w:left w:val="single" w:color="D9D9D9" w:themeColor="background1" w:themeShade="D9" w:sz="8" w:space="0"/>
              <w:bottom w:val="single" w:color="D9D9D9" w:themeColor="background1" w:themeShade="D9" w:sz="8" w:space="0"/>
              <w:right w:val="nil"/>
            </w:tcBorders>
            <w:shd w:val="clear" w:color="auto" w:fill="F2F2F2" w:themeFill="background1" w:themeFillShade="F2"/>
            <w:tcMar>
              <w:top w:w="0" w:type="dxa"/>
              <w:left w:w="108" w:type="dxa"/>
              <w:bottom w:w="0" w:type="dxa"/>
              <w:right w:w="108" w:type="dxa"/>
            </w:tcMar>
          </w:tcPr>
          <w:p w:rsidR="00CC585D" w:rsidP="0004AEDD" w:rsidRDefault="00CC585D" w14:paraId="6D9B4B39" w14:textId="77777777">
            <w:pPr>
              <w:pStyle w:val="Lijstalinea"/>
              <w:numPr>
                <w:ilvl w:val="0"/>
                <w:numId w:val="5"/>
              </w:numPr>
              <w:spacing w:after="240"/>
              <w:ind w:left="312"/>
              <w:rPr>
                <w:rFonts w:eastAsiaTheme="minorEastAsia"/>
              </w:rPr>
            </w:pPr>
          </w:p>
        </w:tc>
        <w:tc>
          <w:tcPr>
            <w:tcW w:w="1134" w:type="dxa"/>
            <w:tcBorders>
              <w:top w:val="single" w:color="D9D9D9" w:themeColor="background1" w:themeShade="D9" w:sz="8" w:space="0"/>
              <w:left w:val="nil"/>
              <w:bottom w:val="nil"/>
              <w:right w:val="nil"/>
            </w:tcBorders>
            <w:tcMar>
              <w:top w:w="0" w:type="dxa"/>
              <w:left w:w="108" w:type="dxa"/>
              <w:bottom w:w="0" w:type="dxa"/>
              <w:right w:w="108" w:type="dxa"/>
            </w:tcMar>
          </w:tcPr>
          <w:p w:rsidR="00CC585D" w:rsidP="00CB3733" w:rsidRDefault="00CC585D" w14:paraId="79A1B0CE" w14:textId="77777777">
            <w:pPr>
              <w:spacing w:after="240"/>
            </w:pPr>
            <w:r>
              <w:t>Titel</w:t>
            </w:r>
          </w:p>
        </w:tc>
        <w:tc>
          <w:tcPr>
            <w:tcW w:w="6378" w:type="dxa"/>
            <w:tcBorders>
              <w:top w:val="single" w:color="D9D9D9" w:themeColor="background1" w:themeShade="D9" w:sz="8" w:space="0"/>
              <w:left w:val="nil"/>
              <w:bottom w:val="nil"/>
              <w:right w:val="single" w:color="D9D9D9" w:themeColor="background1" w:themeShade="D9" w:sz="8" w:space="0"/>
            </w:tcBorders>
            <w:tcMar>
              <w:top w:w="0" w:type="dxa"/>
              <w:left w:w="108" w:type="dxa"/>
              <w:bottom w:w="0" w:type="dxa"/>
              <w:right w:w="108" w:type="dxa"/>
            </w:tcMar>
          </w:tcPr>
          <w:p w:rsidR="00CC585D" w:rsidP="00813A33" w:rsidRDefault="000E58AA" w14:paraId="2A56C546" w14:textId="56AFF12C">
            <w:r>
              <w:t xml:space="preserve">VERSLAG VAN DE COMMISSIE AAN HET EUROPEES PARLEMENT EN DE RAAD Jaarverslag aan het Europees Parlement en de Raad over de in 2024 gefinancierde humanitaire hulpacties </w:t>
            </w:r>
            <w:hyperlink r:id="rId18">
              <w:r w:rsidRPr="0004AEDD">
                <w:rPr>
                  <w:rStyle w:val="Hyperlink"/>
                </w:rPr>
                <w:t>COM(2025)562</w:t>
              </w:r>
            </w:hyperlink>
          </w:p>
          <w:p w:rsidR="000E58AA" w:rsidP="00813A33" w:rsidRDefault="000E58AA" w14:paraId="2B9F8885" w14:textId="5D99E045"/>
        </w:tc>
      </w:tr>
      <w:tr w:rsidR="00CC585D" w:rsidTr="7E7915D2" w14:paraId="15E79E44" w14:textId="77777777">
        <w:trPr>
          <w:trHeight w:val="300"/>
        </w:trPr>
        <w:tc>
          <w:tcPr>
            <w:tcW w:w="421" w:type="dxa"/>
            <w:vMerge/>
          </w:tcPr>
          <w:p w:rsidR="00CC585D" w:rsidP="00CB3733" w:rsidRDefault="00CC585D" w14:paraId="51137A32" w14:textId="77777777"/>
        </w:tc>
        <w:tc>
          <w:tcPr>
            <w:tcW w:w="1134" w:type="dxa"/>
            <w:tcMar>
              <w:top w:w="0" w:type="dxa"/>
              <w:left w:w="108" w:type="dxa"/>
              <w:bottom w:w="0" w:type="dxa"/>
              <w:right w:w="108" w:type="dxa"/>
            </w:tcMar>
          </w:tcPr>
          <w:p w:rsidR="00CC585D" w:rsidP="00CB3733" w:rsidRDefault="00CC585D" w14:paraId="7343C041" w14:textId="77777777">
            <w:pPr>
              <w:spacing w:after="240"/>
            </w:pPr>
            <w:r>
              <w:t>Voorstel</w:t>
            </w:r>
          </w:p>
        </w:tc>
        <w:tc>
          <w:tcPr>
            <w:tcW w:w="6378" w:type="dxa"/>
            <w:tcBorders>
              <w:top w:val="nil"/>
              <w:left w:val="nil"/>
              <w:bottom w:val="nil"/>
              <w:right w:val="single" w:color="D9D9D9" w:themeColor="background1" w:themeShade="D9" w:sz="8" w:space="0"/>
            </w:tcBorders>
            <w:tcMar>
              <w:top w:w="0" w:type="dxa"/>
              <w:left w:w="108" w:type="dxa"/>
              <w:bottom w:w="0" w:type="dxa"/>
              <w:right w:w="108" w:type="dxa"/>
            </w:tcMar>
          </w:tcPr>
          <w:p w:rsidR="00CC585D" w:rsidP="7E7915D2" w:rsidRDefault="65CEC445" w14:paraId="093373A1" w14:textId="167B68CA">
            <w:pPr>
              <w:spacing w:after="240"/>
              <w:rPr>
                <w:rFonts w:eastAsia="Verdana" w:cs="Verdana"/>
              </w:rPr>
            </w:pPr>
            <w:r w:rsidRPr="7E7915D2">
              <w:rPr>
                <w:rFonts w:eastAsia="Verdana" w:cs="Verdana"/>
              </w:rPr>
              <w:t>Ter informatie</w:t>
            </w:r>
          </w:p>
        </w:tc>
      </w:tr>
      <w:tr w:rsidR="00CC585D" w:rsidTr="7E7915D2" w14:paraId="57CB1788" w14:textId="77777777">
        <w:trPr>
          <w:trHeight w:val="300"/>
        </w:trPr>
        <w:tc>
          <w:tcPr>
            <w:tcW w:w="421" w:type="dxa"/>
            <w:vMerge/>
          </w:tcPr>
          <w:p w:rsidR="00CC585D" w:rsidP="00CB3733" w:rsidRDefault="00CC585D" w14:paraId="71AF41B6" w14:textId="77777777"/>
        </w:tc>
        <w:tc>
          <w:tcPr>
            <w:tcW w:w="1134" w:type="dxa"/>
            <w:tcBorders>
              <w:top w:val="nil"/>
              <w:left w:val="nil"/>
              <w:bottom w:val="single" w:color="D9D9D9" w:themeColor="background1" w:themeShade="D9" w:sz="8" w:space="0"/>
              <w:right w:val="nil"/>
            </w:tcBorders>
            <w:tcMar>
              <w:top w:w="0" w:type="dxa"/>
              <w:left w:w="108" w:type="dxa"/>
              <w:bottom w:w="0" w:type="dxa"/>
              <w:right w:w="108" w:type="dxa"/>
            </w:tcMar>
          </w:tcPr>
          <w:p w:rsidR="00CC585D" w:rsidP="00CB3733" w:rsidRDefault="00CC585D" w14:paraId="6B78C6FF" w14:textId="77777777">
            <w:pPr>
              <w:spacing w:after="240"/>
            </w:pPr>
            <w:r>
              <w:t>Noot</w:t>
            </w:r>
          </w:p>
        </w:tc>
        <w:tc>
          <w:tcPr>
            <w:tcW w:w="6378" w:type="dxa"/>
            <w:tcBorders>
              <w:top w:val="nil"/>
              <w:left w:val="nil"/>
              <w:bottom w:val="single" w:color="D9D9D9" w:themeColor="background1" w:themeShade="D9" w:sz="8" w:space="0"/>
              <w:right w:val="single" w:color="D9D9D9" w:themeColor="background1" w:themeShade="D9" w:sz="8" w:space="0"/>
            </w:tcBorders>
            <w:tcMar>
              <w:top w:w="0" w:type="dxa"/>
              <w:left w:w="108" w:type="dxa"/>
              <w:bottom w:w="0" w:type="dxa"/>
              <w:right w:w="108" w:type="dxa"/>
            </w:tcMar>
          </w:tcPr>
          <w:p w:rsidR="00CC585D" w:rsidP="7E7915D2" w:rsidRDefault="51E7EDAB" w14:paraId="1377036D" w14:textId="1598189F">
            <w:pPr>
              <w:shd w:val="clear" w:color="auto" w:fill="FFFFFF" w:themeFill="background1"/>
              <w:rPr>
                <w:rFonts w:eastAsia="Verdana" w:cs="Verdana"/>
                <w:szCs w:val="18"/>
              </w:rPr>
            </w:pPr>
            <w:r w:rsidRPr="7E7915D2">
              <w:rPr>
                <w:rFonts w:eastAsia="Verdana" w:cs="Verdana"/>
                <w:szCs w:val="18"/>
              </w:rPr>
              <w:t>Dit verslag bevat een overzicht van de belangrijkste activiteiten en beleidsresultaten van de EU op het gebied van humanitaire hulp in 2024.</w:t>
            </w:r>
          </w:p>
        </w:tc>
      </w:tr>
      <w:tr w:rsidR="00CC585D" w:rsidTr="7E7915D2" w14:paraId="67513B4B" w14:textId="77777777">
        <w:trPr>
          <w:trHeight w:val="300"/>
        </w:trPr>
        <w:tc>
          <w:tcPr>
            <w:tcW w:w="421" w:type="dxa"/>
            <w:tcBorders>
              <w:top w:val="single" w:color="D9D9D9" w:themeColor="background1" w:themeShade="D9" w:sz="8" w:space="0"/>
              <w:left w:val="single" w:color="D9D9D9" w:themeColor="background1" w:themeShade="D9" w:sz="8" w:space="0"/>
              <w:bottom w:val="single" w:color="D9D9D9" w:themeColor="background1" w:themeShade="D9" w:sz="8" w:space="0"/>
              <w:right w:val="nil"/>
            </w:tcBorders>
            <w:shd w:val="clear" w:color="auto" w:fill="F2F2F2" w:themeFill="background1" w:themeFillShade="F2"/>
            <w:tcMar>
              <w:top w:w="0" w:type="dxa"/>
              <w:left w:w="108" w:type="dxa"/>
              <w:bottom w:w="0" w:type="dxa"/>
              <w:right w:w="108" w:type="dxa"/>
            </w:tcMar>
          </w:tcPr>
          <w:p w:rsidR="00CC585D" w:rsidP="00CB3733" w:rsidRDefault="00CC585D" w14:paraId="25529952" w14:textId="77777777">
            <w:pPr>
              <w:rPr>
                <w:rFonts w:eastAsiaTheme="minorEastAsia"/>
                <w:szCs w:val="18"/>
              </w:rPr>
            </w:pPr>
          </w:p>
        </w:tc>
        <w:tc>
          <w:tcPr>
            <w:tcW w:w="1134" w:type="dxa"/>
            <w:tcBorders>
              <w:top w:val="nil"/>
              <w:left w:val="nil"/>
              <w:bottom w:val="single" w:color="D9D9D9" w:themeColor="background1" w:themeShade="D9" w:sz="8" w:space="0"/>
              <w:right w:val="nil"/>
            </w:tcBorders>
            <w:tcMar>
              <w:top w:w="0" w:type="dxa"/>
              <w:left w:w="108" w:type="dxa"/>
              <w:bottom w:w="0" w:type="dxa"/>
              <w:right w:w="108" w:type="dxa"/>
            </w:tcMar>
          </w:tcPr>
          <w:p w:rsidR="00CC585D" w:rsidP="00CB3733" w:rsidRDefault="00CC585D" w14:paraId="6CD09B41" w14:textId="77777777"/>
        </w:tc>
        <w:tc>
          <w:tcPr>
            <w:tcW w:w="6378" w:type="dxa"/>
            <w:tcBorders>
              <w:top w:val="nil"/>
              <w:left w:val="nil"/>
              <w:bottom w:val="single" w:color="D9D9D9" w:themeColor="background1" w:themeShade="D9" w:sz="8" w:space="0"/>
              <w:right w:val="single" w:color="D9D9D9" w:themeColor="background1" w:themeShade="D9" w:sz="8" w:space="0"/>
            </w:tcBorders>
            <w:tcMar>
              <w:top w:w="0" w:type="dxa"/>
              <w:left w:w="108" w:type="dxa"/>
              <w:bottom w:w="0" w:type="dxa"/>
              <w:right w:w="108" w:type="dxa"/>
            </w:tcMar>
          </w:tcPr>
          <w:p w:rsidR="00CC585D" w:rsidP="00CB3733" w:rsidRDefault="00CC585D" w14:paraId="19E0FCDC" w14:textId="77777777"/>
        </w:tc>
      </w:tr>
    </w:tbl>
    <w:p w:rsidR="00CC585D" w:rsidP="00CC585D" w:rsidRDefault="00CC585D" w14:paraId="325C8F01" w14:textId="77777777">
      <w:pPr>
        <w:rPr>
          <w:b/>
          <w:bCs/>
        </w:rPr>
      </w:pPr>
    </w:p>
    <w:tbl>
      <w:tblPr>
        <w:tblW w:w="0" w:type="auto"/>
        <w:tblLook w:val="04A0" w:firstRow="1" w:lastRow="0" w:firstColumn="1" w:lastColumn="0" w:noHBand="0" w:noVBand="1"/>
      </w:tblPr>
      <w:tblGrid>
        <w:gridCol w:w="421"/>
        <w:gridCol w:w="1125"/>
        <w:gridCol w:w="6387"/>
      </w:tblGrid>
      <w:tr w:rsidRPr="008A2DA0" w:rsidR="00CC585D" w:rsidTr="00CB3733" w14:paraId="4FF9593D" w14:textId="77777777">
        <w:trPr>
          <w:trHeight w:val="300"/>
        </w:trPr>
        <w:tc>
          <w:tcPr>
            <w:tcW w:w="421" w:type="dxa"/>
            <w:vMerge w:val="restart"/>
            <w:tcBorders>
              <w:top w:val="single" w:color="D9D9D9" w:themeColor="background1" w:themeShade="D9" w:sz="8" w:space="0"/>
              <w:left w:val="single" w:color="D9D9D9" w:themeColor="background1" w:themeShade="D9" w:sz="8" w:space="0"/>
              <w:bottom w:val="single" w:color="D9D9D9" w:themeColor="background1" w:themeShade="D9" w:sz="8" w:space="0"/>
              <w:right w:val="nil"/>
            </w:tcBorders>
            <w:shd w:val="clear" w:color="auto" w:fill="F2F2F2" w:themeFill="background1" w:themeFillShade="F2"/>
            <w:tcMar>
              <w:top w:w="0" w:type="dxa"/>
              <w:left w:w="108" w:type="dxa"/>
              <w:bottom w:w="0" w:type="dxa"/>
              <w:right w:w="108" w:type="dxa"/>
            </w:tcMar>
          </w:tcPr>
          <w:p w:rsidR="00CC585D" w:rsidP="00CC585D" w:rsidRDefault="00CC585D" w14:paraId="23E6DC47" w14:textId="77777777">
            <w:pPr>
              <w:pStyle w:val="Lijstalinea"/>
              <w:numPr>
                <w:ilvl w:val="0"/>
                <w:numId w:val="5"/>
              </w:numPr>
              <w:spacing w:after="240"/>
              <w:ind w:left="312"/>
              <w:rPr>
                <w:rFonts w:eastAsiaTheme="minorEastAsia"/>
              </w:rPr>
            </w:pPr>
          </w:p>
        </w:tc>
        <w:tc>
          <w:tcPr>
            <w:tcW w:w="1125" w:type="dxa"/>
            <w:tcBorders>
              <w:top w:val="single" w:color="D9D9D9" w:themeColor="background1" w:themeShade="D9" w:sz="8" w:space="0"/>
              <w:left w:val="nil"/>
              <w:bottom w:val="nil"/>
              <w:right w:val="nil"/>
            </w:tcBorders>
            <w:tcMar>
              <w:top w:w="0" w:type="dxa"/>
              <w:left w:w="108" w:type="dxa"/>
              <w:bottom w:w="0" w:type="dxa"/>
              <w:right w:w="108" w:type="dxa"/>
            </w:tcMar>
          </w:tcPr>
          <w:p w:rsidR="00CC585D" w:rsidP="00CB3733" w:rsidRDefault="00CC585D" w14:paraId="6A9D4B22" w14:textId="77777777">
            <w:pPr>
              <w:spacing w:after="240"/>
            </w:pPr>
            <w:r>
              <w:t>Titel</w:t>
            </w:r>
          </w:p>
        </w:tc>
        <w:tc>
          <w:tcPr>
            <w:tcW w:w="6387" w:type="dxa"/>
            <w:tcBorders>
              <w:top w:val="single" w:color="D9D9D9" w:themeColor="background1" w:themeShade="D9" w:sz="8" w:space="0"/>
              <w:left w:val="nil"/>
              <w:bottom w:val="nil"/>
              <w:right w:val="single" w:color="D9D9D9" w:themeColor="background1" w:themeShade="D9" w:sz="8" w:space="0"/>
            </w:tcBorders>
            <w:tcMar>
              <w:top w:w="0" w:type="dxa"/>
              <w:left w:w="108" w:type="dxa"/>
              <w:bottom w:w="0" w:type="dxa"/>
              <w:right w:w="108" w:type="dxa"/>
            </w:tcMar>
          </w:tcPr>
          <w:p w:rsidR="00CC585D" w:rsidP="00813A33" w:rsidRDefault="008A2DA0" w14:paraId="6F35862B" w14:textId="65E23D65">
            <w:r w:rsidRPr="008A2DA0">
              <w:t xml:space="preserve">Aanbeveling voor een BESLUIT VAN DE RAAD tot machtiging tot het openen van onderhandelingen met het oog op de wijziging van de concessies die de Unie in het kader van de Wereldhandelsorganisatie heeft gedaan inzake invoerrechten voor bepaalde staalproducten </w:t>
            </w:r>
            <w:hyperlink w:history="1" r:id="rId19">
              <w:r w:rsidRPr="008A2DA0" w:rsidR="00C42F7B">
                <w:rPr>
                  <w:rStyle w:val="Hyperlink"/>
                </w:rPr>
                <w:t>COM(2025)727</w:t>
              </w:r>
            </w:hyperlink>
          </w:p>
          <w:p w:rsidRPr="008A2DA0" w:rsidR="00ED23B5" w:rsidP="00813A33" w:rsidRDefault="00ED23B5" w14:paraId="6A54BD91" w14:textId="3ADA6E0A"/>
        </w:tc>
      </w:tr>
      <w:tr w:rsidR="00CC585D" w:rsidTr="00CB3733" w14:paraId="1986EA25" w14:textId="77777777">
        <w:trPr>
          <w:trHeight w:val="300"/>
        </w:trPr>
        <w:tc>
          <w:tcPr>
            <w:tcW w:w="421" w:type="dxa"/>
            <w:vMerge/>
          </w:tcPr>
          <w:p w:rsidRPr="008A2DA0" w:rsidR="00CC585D" w:rsidP="00CB3733" w:rsidRDefault="00CC585D" w14:paraId="2BE152C7" w14:textId="77777777"/>
        </w:tc>
        <w:tc>
          <w:tcPr>
            <w:tcW w:w="1125" w:type="dxa"/>
            <w:tcMar>
              <w:top w:w="0" w:type="dxa"/>
              <w:left w:w="108" w:type="dxa"/>
              <w:bottom w:w="0" w:type="dxa"/>
              <w:right w:w="108" w:type="dxa"/>
            </w:tcMar>
          </w:tcPr>
          <w:p w:rsidR="00CC585D" w:rsidP="00CB3733" w:rsidRDefault="00CC585D" w14:paraId="7E31590E" w14:textId="77777777">
            <w:pPr>
              <w:spacing w:after="240"/>
            </w:pPr>
            <w:r>
              <w:t>Voorstel</w:t>
            </w:r>
          </w:p>
        </w:tc>
        <w:tc>
          <w:tcPr>
            <w:tcW w:w="6387" w:type="dxa"/>
            <w:tcBorders>
              <w:top w:val="nil"/>
              <w:left w:val="nil"/>
              <w:bottom w:val="nil"/>
              <w:right w:val="single" w:color="D9D9D9" w:themeColor="background1" w:themeShade="D9" w:sz="8" w:space="0"/>
            </w:tcBorders>
            <w:tcMar>
              <w:top w:w="0" w:type="dxa"/>
              <w:left w:w="108" w:type="dxa"/>
              <w:bottom w:w="0" w:type="dxa"/>
              <w:right w:w="108" w:type="dxa"/>
            </w:tcMar>
          </w:tcPr>
          <w:p w:rsidRPr="00211E9D" w:rsidR="00CC585D" w:rsidP="00CB3733" w:rsidRDefault="00211E9D" w14:paraId="46327A34" w14:textId="117F3C06">
            <w:pPr>
              <w:spacing w:after="240"/>
              <w:rPr>
                <w:rFonts w:eastAsia="Segoe UI" w:cs="Segoe UI"/>
                <w:color w:val="333333"/>
              </w:rPr>
            </w:pPr>
            <w:r w:rsidRPr="00211E9D">
              <w:rPr>
                <w:rFonts w:eastAsia="Segoe UI" w:cs="Segoe UI"/>
                <w:color w:val="333333"/>
              </w:rPr>
              <w:t>Ter informatie</w:t>
            </w:r>
          </w:p>
        </w:tc>
      </w:tr>
      <w:tr w:rsidR="00CC585D" w:rsidTr="00CB3733" w14:paraId="281BA460" w14:textId="77777777">
        <w:trPr>
          <w:trHeight w:val="300"/>
        </w:trPr>
        <w:tc>
          <w:tcPr>
            <w:tcW w:w="421" w:type="dxa"/>
            <w:vMerge/>
          </w:tcPr>
          <w:p w:rsidR="00CC585D" w:rsidP="00CB3733" w:rsidRDefault="00CC585D" w14:paraId="67D14B54" w14:textId="77777777"/>
        </w:tc>
        <w:tc>
          <w:tcPr>
            <w:tcW w:w="1125" w:type="dxa"/>
            <w:tcBorders>
              <w:top w:val="nil"/>
              <w:left w:val="nil"/>
              <w:bottom w:val="single" w:color="D9D9D9" w:themeColor="background1" w:themeShade="D9" w:sz="8" w:space="0"/>
              <w:right w:val="nil"/>
            </w:tcBorders>
            <w:tcMar>
              <w:top w:w="0" w:type="dxa"/>
              <w:left w:w="108" w:type="dxa"/>
              <w:bottom w:w="0" w:type="dxa"/>
              <w:right w:w="108" w:type="dxa"/>
            </w:tcMar>
          </w:tcPr>
          <w:p w:rsidR="00CC585D" w:rsidP="00CB3733" w:rsidRDefault="00CC585D" w14:paraId="6343D711" w14:textId="77777777">
            <w:pPr>
              <w:spacing w:after="240"/>
            </w:pPr>
            <w:r>
              <w:t>Noot</w:t>
            </w:r>
          </w:p>
        </w:tc>
        <w:tc>
          <w:tcPr>
            <w:tcW w:w="6387" w:type="dxa"/>
            <w:tcBorders>
              <w:top w:val="nil"/>
              <w:left w:val="nil"/>
              <w:bottom w:val="single" w:color="D9D9D9" w:themeColor="background1" w:themeShade="D9" w:sz="8" w:space="0"/>
              <w:right w:val="single" w:color="D9D9D9" w:themeColor="background1" w:themeShade="D9" w:sz="8" w:space="0"/>
            </w:tcBorders>
            <w:tcMar>
              <w:top w:w="0" w:type="dxa"/>
              <w:left w:w="108" w:type="dxa"/>
              <w:bottom w:w="0" w:type="dxa"/>
              <w:right w:w="108" w:type="dxa"/>
            </w:tcMar>
          </w:tcPr>
          <w:p w:rsidR="00CC585D" w:rsidP="00CB3733" w:rsidRDefault="00451F99" w14:paraId="3C9E8330" w14:textId="374B3302">
            <w:pPr>
              <w:shd w:val="clear" w:color="auto" w:fill="FFFFFF" w:themeFill="background1"/>
            </w:pPr>
            <w:r w:rsidRPr="00451F99">
              <w:t xml:space="preserve">Het betreft een aanbeveling om </w:t>
            </w:r>
            <w:r w:rsidR="00A342CA">
              <w:t xml:space="preserve">de Europese Commissie </w:t>
            </w:r>
            <w:r w:rsidRPr="00451F99">
              <w:t xml:space="preserve">te machtigen om onderhandelingen te openen met de </w:t>
            </w:r>
            <w:r w:rsidRPr="00A342CA">
              <w:t>Wereldhandelsorganisatie (WTO). Het doel is om de invoerrechten (tarieven) voor bepaalde staalproducten te wijzigen, in het kader van de WTO-concessies die de EU is aangegaan. Deze aanpassing is nodig om de Europese staalindustrie te beschermen tegen de negatieve gevolgen van wereldwijde overcapaciteit, oneerlijke concurrentie en dalende prijzen, die de sector ernstig bedreigen.</w:t>
            </w:r>
          </w:p>
        </w:tc>
      </w:tr>
    </w:tbl>
    <w:p w:rsidR="00257459" w:rsidP="009C7ADA" w:rsidRDefault="00257459" w14:paraId="53006165" w14:textId="2003F553"/>
    <w:tbl>
      <w:tblPr>
        <w:tblW w:w="0" w:type="auto"/>
        <w:tblLook w:val="04A0" w:firstRow="1" w:lastRow="0" w:firstColumn="1" w:lastColumn="0" w:noHBand="0" w:noVBand="1"/>
      </w:tblPr>
      <w:tblGrid>
        <w:gridCol w:w="421"/>
        <w:gridCol w:w="1125"/>
        <w:gridCol w:w="6387"/>
      </w:tblGrid>
      <w:tr w:rsidR="377A0E53" w:rsidTr="377A0E53" w14:paraId="14357EAF" w14:textId="77777777">
        <w:trPr>
          <w:trHeight w:val="300"/>
        </w:trPr>
        <w:tc>
          <w:tcPr>
            <w:tcW w:w="421" w:type="dxa"/>
            <w:vMerge w:val="restart"/>
            <w:tcBorders>
              <w:top w:val="single" w:color="D9D9D9" w:themeColor="background1" w:themeShade="D9" w:sz="8" w:space="0"/>
              <w:left w:val="single" w:color="D9D9D9" w:themeColor="background1" w:themeShade="D9" w:sz="8" w:space="0"/>
              <w:bottom w:val="single" w:color="D9D9D9" w:themeColor="background1" w:themeShade="D9" w:sz="8" w:space="0"/>
              <w:right w:val="nil"/>
            </w:tcBorders>
            <w:shd w:val="clear" w:color="auto" w:fill="F2F2F2" w:themeFill="background1" w:themeFillShade="F2"/>
            <w:tcMar>
              <w:top w:w="0" w:type="dxa"/>
              <w:left w:w="108" w:type="dxa"/>
              <w:bottom w:w="0" w:type="dxa"/>
              <w:right w:w="108" w:type="dxa"/>
            </w:tcMar>
          </w:tcPr>
          <w:p w:rsidR="377A0E53" w:rsidP="377A0E53" w:rsidRDefault="377A0E53" w14:paraId="4870CC60" w14:textId="77777777">
            <w:pPr>
              <w:pStyle w:val="Lijstalinea"/>
              <w:numPr>
                <w:ilvl w:val="0"/>
                <w:numId w:val="5"/>
              </w:numPr>
              <w:spacing w:after="240"/>
              <w:ind w:left="312"/>
              <w:rPr>
                <w:rFonts w:eastAsiaTheme="minorEastAsia"/>
              </w:rPr>
            </w:pPr>
          </w:p>
        </w:tc>
        <w:tc>
          <w:tcPr>
            <w:tcW w:w="1125" w:type="dxa"/>
            <w:tcBorders>
              <w:top w:val="single" w:color="D9D9D9" w:themeColor="background1" w:themeShade="D9" w:sz="8" w:space="0"/>
              <w:left w:val="nil"/>
              <w:bottom w:val="nil"/>
              <w:right w:val="nil"/>
            </w:tcBorders>
            <w:tcMar>
              <w:top w:w="0" w:type="dxa"/>
              <w:left w:w="108" w:type="dxa"/>
              <w:bottom w:w="0" w:type="dxa"/>
              <w:right w:w="108" w:type="dxa"/>
            </w:tcMar>
          </w:tcPr>
          <w:p w:rsidR="377A0E53" w:rsidP="377A0E53" w:rsidRDefault="377A0E53" w14:paraId="318FF0EB" w14:textId="77777777">
            <w:pPr>
              <w:spacing w:after="240"/>
            </w:pPr>
            <w:r>
              <w:t>Titel</w:t>
            </w:r>
          </w:p>
        </w:tc>
        <w:tc>
          <w:tcPr>
            <w:tcW w:w="6387" w:type="dxa"/>
            <w:tcBorders>
              <w:top w:val="single" w:color="D9D9D9" w:themeColor="background1" w:themeShade="D9" w:sz="8" w:space="0"/>
              <w:left w:val="nil"/>
              <w:bottom w:val="nil"/>
              <w:right w:val="single" w:color="D9D9D9" w:themeColor="background1" w:themeShade="D9" w:sz="8" w:space="0"/>
            </w:tcBorders>
            <w:tcMar>
              <w:top w:w="0" w:type="dxa"/>
              <w:left w:w="108" w:type="dxa"/>
              <w:bottom w:w="0" w:type="dxa"/>
              <w:right w:w="108" w:type="dxa"/>
            </w:tcMar>
          </w:tcPr>
          <w:p w:rsidR="70D294C0" w:rsidP="377A0E53" w:rsidRDefault="70D294C0" w14:paraId="68BCE3E8" w14:textId="77777777">
            <w:r w:rsidRPr="377A0E53">
              <w:rPr>
                <w:rFonts w:eastAsia="Verdana" w:cs="Verdana"/>
                <w:szCs w:val="18"/>
              </w:rPr>
              <w:t xml:space="preserve">VERSLAG VAN DE COMMISSIE AAN HET EUROPEES PARLEMENT, DE RAAD, HET EUROPEES ECONOMISCH EN SOCIAAL COMITÉ EN HET COMITÉ VAN DE REGIO'S over de uitvoering en de handhaving van het handelsbeleid van de EU </w:t>
            </w:r>
            <w:hyperlink r:id="rId20">
              <w:r w:rsidRPr="377A0E53">
                <w:rPr>
                  <w:rStyle w:val="Hyperlink"/>
                  <w:rFonts w:eastAsia="Verdana" w:cs="Verdana"/>
                  <w:color w:val="467886"/>
                  <w:szCs w:val="18"/>
                </w:rPr>
                <w:t>COM(2025)920</w:t>
              </w:r>
            </w:hyperlink>
          </w:p>
          <w:p w:rsidR="001807A2" w:rsidP="377A0E53" w:rsidRDefault="001807A2" w14:paraId="2F535CF8" w14:textId="1811B04E"/>
        </w:tc>
      </w:tr>
      <w:tr w:rsidR="377A0E53" w:rsidTr="377A0E53" w14:paraId="0AD1E13F" w14:textId="77777777">
        <w:trPr>
          <w:trHeight w:val="300"/>
        </w:trPr>
        <w:tc>
          <w:tcPr>
            <w:tcW w:w="421" w:type="dxa"/>
            <w:vMerge/>
          </w:tcPr>
          <w:p w:rsidR="001142D3" w:rsidRDefault="001142D3" w14:paraId="57F8100C" w14:textId="77777777"/>
        </w:tc>
        <w:tc>
          <w:tcPr>
            <w:tcW w:w="1125" w:type="dxa"/>
            <w:tcMar>
              <w:top w:w="0" w:type="dxa"/>
              <w:left w:w="108" w:type="dxa"/>
              <w:bottom w:w="0" w:type="dxa"/>
              <w:right w:w="108" w:type="dxa"/>
            </w:tcMar>
          </w:tcPr>
          <w:p w:rsidR="377A0E53" w:rsidP="377A0E53" w:rsidRDefault="377A0E53" w14:paraId="54CFF961" w14:textId="77777777">
            <w:pPr>
              <w:spacing w:after="240"/>
            </w:pPr>
            <w:r>
              <w:t>Voorstel</w:t>
            </w:r>
          </w:p>
        </w:tc>
        <w:tc>
          <w:tcPr>
            <w:tcW w:w="6387" w:type="dxa"/>
            <w:tcBorders>
              <w:top w:val="nil"/>
              <w:left w:val="nil"/>
              <w:bottom w:val="nil"/>
              <w:right w:val="single" w:color="D9D9D9" w:themeColor="background1" w:themeShade="D9" w:sz="8" w:space="0"/>
            </w:tcBorders>
            <w:tcMar>
              <w:top w:w="0" w:type="dxa"/>
              <w:left w:w="108" w:type="dxa"/>
              <w:bottom w:w="0" w:type="dxa"/>
              <w:right w:w="108" w:type="dxa"/>
            </w:tcMar>
          </w:tcPr>
          <w:p w:rsidR="377A0E53" w:rsidP="377A0E53" w:rsidRDefault="00567D09" w14:paraId="6C47BB2A" w14:textId="7795D595">
            <w:pPr>
              <w:spacing w:after="240"/>
              <w:rPr>
                <w:rFonts w:ascii="Segoe UI" w:hAnsi="Segoe UI" w:eastAsia="Segoe UI" w:cs="Segoe UI"/>
                <w:color w:val="333333"/>
              </w:rPr>
            </w:pPr>
            <w:r>
              <w:rPr>
                <w:rFonts w:ascii="Segoe UI" w:hAnsi="Segoe UI" w:eastAsia="Segoe UI" w:cs="Segoe UI"/>
                <w:color w:val="333333"/>
              </w:rPr>
              <w:t>Ter informatie</w:t>
            </w:r>
          </w:p>
        </w:tc>
      </w:tr>
      <w:tr w:rsidR="377A0E53" w:rsidTr="377A0E53" w14:paraId="12D6AF15" w14:textId="77777777">
        <w:trPr>
          <w:trHeight w:val="300"/>
        </w:trPr>
        <w:tc>
          <w:tcPr>
            <w:tcW w:w="421" w:type="dxa"/>
            <w:vMerge/>
          </w:tcPr>
          <w:p w:rsidR="001142D3" w:rsidRDefault="001142D3" w14:paraId="31AF70AE" w14:textId="77777777"/>
        </w:tc>
        <w:tc>
          <w:tcPr>
            <w:tcW w:w="1125" w:type="dxa"/>
            <w:tcBorders>
              <w:top w:val="nil"/>
              <w:left w:val="nil"/>
              <w:bottom w:val="single" w:color="D9D9D9" w:themeColor="background1" w:themeShade="D9" w:sz="8" w:space="0"/>
              <w:right w:val="nil"/>
            </w:tcBorders>
            <w:tcMar>
              <w:top w:w="0" w:type="dxa"/>
              <w:left w:w="108" w:type="dxa"/>
              <w:bottom w:w="0" w:type="dxa"/>
              <w:right w:w="108" w:type="dxa"/>
            </w:tcMar>
          </w:tcPr>
          <w:p w:rsidR="377A0E53" w:rsidP="377A0E53" w:rsidRDefault="377A0E53" w14:paraId="06399392" w14:textId="77777777">
            <w:pPr>
              <w:spacing w:after="240"/>
            </w:pPr>
            <w:r>
              <w:t>Noot</w:t>
            </w:r>
          </w:p>
        </w:tc>
        <w:tc>
          <w:tcPr>
            <w:tcW w:w="6387" w:type="dxa"/>
            <w:tcBorders>
              <w:top w:val="nil"/>
              <w:left w:val="nil"/>
              <w:bottom w:val="single" w:color="D9D9D9" w:themeColor="background1" w:themeShade="D9" w:sz="8" w:space="0"/>
              <w:right w:val="single" w:color="D9D9D9" w:themeColor="background1" w:themeShade="D9" w:sz="8" w:space="0"/>
            </w:tcBorders>
            <w:tcMar>
              <w:top w:w="0" w:type="dxa"/>
              <w:left w:w="108" w:type="dxa"/>
              <w:bottom w:w="0" w:type="dxa"/>
              <w:right w:w="108" w:type="dxa"/>
            </w:tcMar>
          </w:tcPr>
          <w:p w:rsidRPr="002D1C7F" w:rsidR="377A0E53" w:rsidP="377A0E53" w:rsidRDefault="002D1C7F" w14:paraId="2A7B8B05" w14:textId="72729039">
            <w:pPr>
              <w:shd w:val="clear" w:color="auto" w:fill="FFFFFF" w:themeFill="background1"/>
            </w:pPr>
            <w:r w:rsidRPr="002D1C7F">
              <w:t>Het betreft een overzicht van de uitvoering en handhaving van het handelsbeleid van de EU in 2024 en de eerste maanden van 2025. Het rapport benadrukt hoe de EU haar handelsovereenkomsten gebruikt om het concurrentievermogen, de veerkracht en de duurzaamheid van de Europese economie te versterken</w:t>
            </w:r>
            <w:r>
              <w:t xml:space="preserve">. </w:t>
            </w:r>
          </w:p>
        </w:tc>
      </w:tr>
    </w:tbl>
    <w:p w:rsidR="377A0E53" w:rsidRDefault="377A0E53" w14:paraId="1498ADB6" w14:textId="7B8CCA31"/>
    <w:p w:rsidR="4E40F6AD" w:rsidP="377A0E53" w:rsidRDefault="4E40F6AD" w14:paraId="0D359663" w14:textId="74785BB5">
      <w:pPr>
        <w:rPr>
          <w:rFonts w:eastAsia="Verdana" w:cs="Verdana"/>
          <w:szCs w:val="18"/>
        </w:rPr>
      </w:pPr>
    </w:p>
    <w:sectPr w:rsidR="4E40F6AD" w:rsidSect="009C7ADA">
      <w:headerReference w:type="default" r:id="rId21"/>
      <w:footerReference w:type="default" r:id="rId22"/>
      <w:headerReference w:type="first" r:id="rId23"/>
      <w:footerReference w:type="first" r:id="rId24"/>
      <w:pgSz w:w="11907" w:h="16840" w:code="9"/>
      <w:pgMar w:top="-2410" w:right="1361" w:bottom="1418" w:left="2211" w:header="2370" w:footer="992" w:gutter="0"/>
      <w:cols w:space="708"/>
      <w:titlePg/>
      <w:docGrid w:type="lines" w:linePitch="284"/>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C8288" w14:textId="77777777" w:rsidR="00737B04" w:rsidRDefault="00737B04" w:rsidP="00257459">
      <w:r>
        <w:separator/>
      </w:r>
    </w:p>
  </w:endnote>
  <w:endnote w:type="continuationSeparator" w:id="0">
    <w:p w14:paraId="598600B6" w14:textId="77777777" w:rsidR="00737B04" w:rsidRDefault="00737B04" w:rsidP="002574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775"/>
      <w:gridCol w:w="2775"/>
      <w:gridCol w:w="2775"/>
    </w:tblGrid>
    <w:tr w:rsidR="4FDDB90E" w14:paraId="34CE4767" w14:textId="77777777" w:rsidTr="4FDDB90E">
      <w:trPr>
        <w:trHeight w:val="300"/>
      </w:trPr>
      <w:tc>
        <w:tcPr>
          <w:tcW w:w="2775" w:type="dxa"/>
        </w:tcPr>
        <w:p w14:paraId="47E6B78E" w14:textId="5590FE4D" w:rsidR="4FDDB90E" w:rsidRDefault="4FDDB90E" w:rsidP="4FDDB90E">
          <w:pPr>
            <w:pStyle w:val="Koptekst"/>
            <w:ind w:left="-115"/>
          </w:pPr>
        </w:p>
      </w:tc>
      <w:tc>
        <w:tcPr>
          <w:tcW w:w="2775" w:type="dxa"/>
        </w:tcPr>
        <w:p w14:paraId="3B63E3B3" w14:textId="27997857" w:rsidR="4FDDB90E" w:rsidRDefault="4FDDB90E" w:rsidP="4FDDB90E">
          <w:pPr>
            <w:pStyle w:val="Koptekst"/>
            <w:jc w:val="center"/>
          </w:pPr>
        </w:p>
      </w:tc>
      <w:tc>
        <w:tcPr>
          <w:tcW w:w="2775" w:type="dxa"/>
        </w:tcPr>
        <w:p w14:paraId="1FD6759E" w14:textId="001F6FD3" w:rsidR="4FDDB90E" w:rsidRDefault="4FDDB90E" w:rsidP="4FDDB90E">
          <w:pPr>
            <w:pStyle w:val="Koptekst"/>
            <w:ind w:right="-115"/>
            <w:jc w:val="right"/>
          </w:pPr>
        </w:p>
      </w:tc>
    </w:tr>
  </w:tbl>
  <w:p w14:paraId="4491F6BF" w14:textId="2923BBED" w:rsidR="4FDDB90E" w:rsidRDefault="4FDDB90E" w:rsidP="4FDDB90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775"/>
      <w:gridCol w:w="2775"/>
      <w:gridCol w:w="2775"/>
    </w:tblGrid>
    <w:tr w:rsidR="4FDDB90E" w14:paraId="097D2C88" w14:textId="77777777" w:rsidTr="27CEF672">
      <w:trPr>
        <w:trHeight w:val="300"/>
      </w:trPr>
      <w:tc>
        <w:tcPr>
          <w:tcW w:w="2775" w:type="dxa"/>
        </w:tcPr>
        <w:p w14:paraId="6A8E1624" w14:textId="58EA2B76" w:rsidR="4FDDB90E" w:rsidRDefault="4FDDB90E" w:rsidP="4FDDB90E">
          <w:pPr>
            <w:pStyle w:val="Koptekst"/>
            <w:ind w:left="-115"/>
          </w:pPr>
        </w:p>
      </w:tc>
      <w:tc>
        <w:tcPr>
          <w:tcW w:w="2775" w:type="dxa"/>
        </w:tcPr>
        <w:p w14:paraId="571DE36C" w14:textId="23E7E69B" w:rsidR="4FDDB90E" w:rsidRDefault="4FDDB90E" w:rsidP="4FDDB90E">
          <w:pPr>
            <w:pStyle w:val="Koptekst"/>
            <w:jc w:val="center"/>
          </w:pPr>
        </w:p>
      </w:tc>
      <w:tc>
        <w:tcPr>
          <w:tcW w:w="2775" w:type="dxa"/>
        </w:tcPr>
        <w:p w14:paraId="504BC4AD" w14:textId="39ADBD9A" w:rsidR="4FDDB90E" w:rsidRDefault="4FDDB90E" w:rsidP="27CEF672">
          <w:pPr>
            <w:pStyle w:val="Koptekst"/>
            <w:jc w:val="right"/>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90D2C" w14:textId="77777777" w:rsidR="00737B04" w:rsidRDefault="00737B04" w:rsidP="00257459">
      <w:r>
        <w:separator/>
      </w:r>
    </w:p>
  </w:footnote>
  <w:footnote w:type="continuationSeparator" w:id="0">
    <w:p w14:paraId="4E5ECB27" w14:textId="77777777" w:rsidR="00737B04" w:rsidRDefault="00737B04" w:rsidP="00257459">
      <w:r>
        <w:continuationSeparator/>
      </w:r>
    </w:p>
  </w:footnote>
  <w:footnote w:id="1">
    <w:p w14:paraId="459677F4" w14:textId="77777777" w:rsidR="00CC585D" w:rsidRPr="002B21B2" w:rsidRDefault="00CC585D" w:rsidP="4FDDB90E">
      <w:pPr>
        <w:pStyle w:val="Voetnoottekst"/>
        <w:rPr>
          <w:rFonts w:ascii="Verdana" w:hAnsi="Verdana"/>
        </w:rPr>
      </w:pPr>
      <w:r w:rsidRPr="4FDDB90E">
        <w:rPr>
          <w:rStyle w:val="Voetnootmarkering"/>
          <w:rFonts w:ascii="Verdana" w:eastAsia="Verdana" w:hAnsi="Verdana" w:cs="Verdana"/>
          <w:sz w:val="14"/>
          <w:szCs w:val="14"/>
        </w:rPr>
        <w:footnoteRef/>
      </w:r>
      <w:r w:rsidR="4FDDB90E" w:rsidRPr="4FDDB90E">
        <w:rPr>
          <w:rFonts w:ascii="Verdana" w:eastAsia="Verdana" w:hAnsi="Verdana" w:cs="Verdana"/>
          <w:sz w:val="14"/>
          <w:szCs w:val="14"/>
        </w:rPr>
        <w:t xml:space="preserve">Voor een overzicht van behandelopties per type EU-voorstel, zie </w:t>
      </w:r>
      <w:hyperlink r:id="rId1" w:history="1">
        <w:r w:rsidR="4FDDB90E" w:rsidRPr="4FDDB90E">
          <w:rPr>
            <w:rStyle w:val="Hyperlink"/>
            <w:rFonts w:ascii="Verdana" w:eastAsia="Verdana" w:hAnsi="Verdana" w:cs="Verdana"/>
            <w:sz w:val="14"/>
            <w:szCs w:val="14"/>
          </w:rPr>
          <w:t>dit overzicht op Plein2</w:t>
        </w:r>
      </w:hyperlink>
      <w:r w:rsidR="4FDDB90E" w:rsidRPr="4FDDB90E">
        <w:rPr>
          <w:rFonts w:ascii="Verdana" w:eastAsia="Verdana" w:hAnsi="Verdana" w:cs="Verdana"/>
          <w:sz w:val="14"/>
          <w:szCs w:val="14"/>
        </w:rPr>
        <w:t xml:space="preserve"> (interne link).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22391" w14:textId="1FF1C88A" w:rsidR="00257459" w:rsidRDefault="008B7149">
    <w:pPr>
      <w:pStyle w:val="Koptekst"/>
    </w:pPr>
    <w:r>
      <w:rPr>
        <w:noProof/>
        <w:lang w:eastAsia="nl-NL"/>
      </w:rPr>
      <mc:AlternateContent>
        <mc:Choice Requires="wps">
          <w:drawing>
            <wp:anchor distT="0" distB="0" distL="114300" distR="114300" simplePos="0" relativeHeight="251658241" behindDoc="0" locked="0" layoutInCell="1" allowOverlap="1" wp14:anchorId="19A70A49" wp14:editId="50B6497E">
              <wp:simplePos x="0" y="0"/>
              <wp:positionH relativeFrom="margin">
                <wp:posOffset>-671048</wp:posOffset>
              </wp:positionH>
              <wp:positionV relativeFrom="page">
                <wp:posOffset>1217246</wp:posOffset>
              </wp:positionV>
              <wp:extent cx="6143625" cy="100330"/>
              <wp:effectExtent l="0" t="0" r="9525" b="7620"/>
              <wp:wrapNone/>
              <wp:docPr id="1"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43625" cy="1003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6EF2882" w14:textId="77777777" w:rsidR="008B7149" w:rsidRDefault="008B7149" w:rsidP="008B7149">
                          <w:pPr>
                            <w:pStyle w:val="Huisstijl-Gegevens"/>
                            <w:tabs>
                              <w:tab w:val="right" w:pos="1540"/>
                              <w:tab w:val="left" w:pos="1701"/>
                            </w:tabs>
                          </w:pPr>
                          <w:r>
                            <w:tab/>
                            <w:t>betreft</w:t>
                          </w:r>
                          <w:r>
                            <w:tab/>
                            <w:t>Lijst van nieuwe EU-voorstellen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type w14:anchorId="19A70A49" id="_x0000_t202" coordsize="21600,21600" o:spt="202" path="m,l,21600r21600,l21600,xe">
              <v:stroke joinstyle="miter"/>
              <v:path gradientshapeok="t" o:connecttype="rect"/>
            </v:shapetype>
            <v:shape id="Tekstvak 1" o:spid="_x0000_s1026" type="#_x0000_t202" style="position:absolute;margin-left:-52.85pt;margin-top:95.85pt;width:483.75pt;height:7.9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" filled="f" stroked="f" strokeweight=".5pt">
              <v:textbox style="mso-fit-shape-to-text:t" inset="0,0,0,0">
                <w:txbxContent>
                  <w:p w14:paraId="06EF2882" w14:textId="77777777" w:rsidR="008B7149" w:rsidRDefault="008B7149" w:rsidP="008B7149">
                    <w:pPr>
                      <w:pStyle w:val="Huisstijl-Gegevens"/>
                      <w:tabs>
                        <w:tab w:val="right" w:pos="1540"/>
                        <w:tab w:val="left" w:pos="1701"/>
                      </w:tabs>
                    </w:pPr>
                    <w:r>
                      <w:tab/>
                      <w:t>betreft</w:t>
                    </w:r>
                    <w:r>
                      <w:tab/>
                      <w:t>Lijst van nieuwe EU-voorstellen</w:t>
                    </w:r>
                  </w:p>
                </w:txbxContent>
              </v:textbox>
              <w10:wrap anchorx="margin" anchory="page"/>
            </v:shape>
          </w:pict>
        </mc:Fallback>
      </mc:AlternateContent>
    </w:r>
    <w:r w:rsidR="00D620C6">
      <w:rPr>
        <w:noProof/>
        <w:lang w:eastAsia="nl-NL"/>
      </w:rPr>
      <w:drawing>
        <wp:anchor distT="0" distB="0" distL="114300" distR="114300" simplePos="0" relativeHeight="251658240" behindDoc="1" locked="0" layoutInCell="1" allowOverlap="1" wp14:anchorId="5D0E5DE2" wp14:editId="7C57228D">
          <wp:simplePos x="0" y="0"/>
          <wp:positionH relativeFrom="page">
            <wp:posOffset>710419</wp:posOffset>
          </wp:positionH>
          <wp:positionV relativeFrom="page">
            <wp:posOffset>238223</wp:posOffset>
          </wp:positionV>
          <wp:extent cx="432000" cy="1238400"/>
          <wp:effectExtent l="0" t="0" r="6350" b="0"/>
          <wp:wrapNone/>
          <wp:docPr id="10" name="Afbeelding 10" descr="Afbeelding met schets, symbool, tekening, emblee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 10" descr="Afbeelding met schets, symbool, tekening, embleem&#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432000" cy="12384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775"/>
      <w:gridCol w:w="2775"/>
      <w:gridCol w:w="2775"/>
    </w:tblGrid>
    <w:tr w:rsidR="4FDDB90E" w14:paraId="43AA3BDF" w14:textId="77777777" w:rsidTr="4FDDB90E">
      <w:trPr>
        <w:trHeight w:val="300"/>
      </w:trPr>
      <w:tc>
        <w:tcPr>
          <w:tcW w:w="2775" w:type="dxa"/>
        </w:tcPr>
        <w:p w14:paraId="52159829" w14:textId="76C49333" w:rsidR="4FDDB90E" w:rsidRDefault="4FDDB90E" w:rsidP="4FDDB90E">
          <w:pPr>
            <w:pStyle w:val="Koptekst"/>
            <w:ind w:left="-115"/>
          </w:pPr>
        </w:p>
      </w:tc>
      <w:tc>
        <w:tcPr>
          <w:tcW w:w="2775" w:type="dxa"/>
        </w:tcPr>
        <w:p w14:paraId="0B79F146" w14:textId="1542F0A2" w:rsidR="4FDDB90E" w:rsidRDefault="4FDDB90E" w:rsidP="4FDDB90E">
          <w:pPr>
            <w:pStyle w:val="Koptekst"/>
            <w:jc w:val="center"/>
          </w:pPr>
        </w:p>
      </w:tc>
      <w:tc>
        <w:tcPr>
          <w:tcW w:w="2775" w:type="dxa"/>
        </w:tcPr>
        <w:p w14:paraId="411809A7" w14:textId="5F984991" w:rsidR="4FDDB90E" w:rsidRDefault="4FDDB90E" w:rsidP="4FDDB90E">
          <w:pPr>
            <w:pStyle w:val="Koptekst"/>
            <w:ind w:right="-115"/>
            <w:jc w:val="right"/>
          </w:pPr>
        </w:p>
      </w:tc>
    </w:tr>
  </w:tbl>
  <w:p w14:paraId="66686931" w14:textId="01919F4B" w:rsidR="4FDDB90E" w:rsidRDefault="00024610" w:rsidP="4FDDB90E">
    <w:pPr>
      <w:pStyle w:val="Koptekst"/>
    </w:pPr>
    <w:r w:rsidRPr="00024610">
      <w:drawing>
        <wp:anchor distT="0" distB="0" distL="114300" distR="114300" simplePos="0" relativeHeight="251660289" behindDoc="1" locked="0" layoutInCell="1" allowOverlap="1" wp14:anchorId="6107FC75" wp14:editId="32A95D84">
          <wp:simplePos x="0" y="0"/>
          <wp:positionH relativeFrom="column">
            <wp:posOffset>-601373</wp:posOffset>
          </wp:positionH>
          <wp:positionV relativeFrom="paragraph">
            <wp:posOffset>-880497</wp:posOffset>
          </wp:positionV>
          <wp:extent cx="387985" cy="1097280"/>
          <wp:effectExtent l="0" t="0" r="0" b="7620"/>
          <wp:wrapTight wrapText="bothSides">
            <wp:wrapPolygon edited="0">
              <wp:start x="0" y="0"/>
              <wp:lineTo x="0" y="21375"/>
              <wp:lineTo x="20151" y="21375"/>
              <wp:lineTo x="20151" y="0"/>
              <wp:lineTo x="0" y="0"/>
            </wp:wrapPolygon>
          </wp:wrapTight>
          <wp:docPr id="121234551"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7985" cy="1097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24610">
      <w:drawing>
        <wp:anchor distT="0" distB="0" distL="114300" distR="114300" simplePos="0" relativeHeight="251659265" behindDoc="1" locked="0" layoutInCell="1" allowOverlap="1" wp14:anchorId="18C82F62" wp14:editId="60F08881">
          <wp:simplePos x="0" y="0"/>
          <wp:positionH relativeFrom="column">
            <wp:posOffset>-71534</wp:posOffset>
          </wp:positionH>
          <wp:positionV relativeFrom="paragraph">
            <wp:posOffset>-704297</wp:posOffset>
          </wp:positionV>
          <wp:extent cx="1624965" cy="655955"/>
          <wp:effectExtent l="0" t="0" r="0" b="0"/>
          <wp:wrapTight wrapText="bothSides">
            <wp:wrapPolygon edited="0">
              <wp:start x="0" y="0"/>
              <wp:lineTo x="0" y="20701"/>
              <wp:lineTo x="21271" y="20701"/>
              <wp:lineTo x="21271" y="0"/>
              <wp:lineTo x="0" y="0"/>
            </wp:wrapPolygon>
          </wp:wrapTight>
          <wp:docPr id="389614617"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24965" cy="655955"/>
                  </a:xfrm>
                  <a:prstGeom prst="rect">
                    <a:avLst/>
                  </a:prstGeom>
                  <a:noFill/>
                  <a:ln>
                    <a:noFill/>
                  </a:ln>
                </pic:spPr>
              </pic:pic>
            </a:graphicData>
          </a:graphic>
        </wp:anchor>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14011"/>
    <w:multiLevelType w:val="hybridMultilevel"/>
    <w:tmpl w:val="B016ECC4"/>
    <w:lvl w:ilvl="0" w:tplc="C754816E">
      <w:start w:val="1"/>
      <w:numFmt w:val="decimal"/>
      <w:lvlText w:val="%1."/>
      <w:lvlJc w:val="left"/>
      <w:pPr>
        <w:ind w:left="720" w:hanging="360"/>
      </w:pPr>
    </w:lvl>
    <w:lvl w:ilvl="1" w:tplc="EEB6451E">
      <w:start w:val="1"/>
      <w:numFmt w:val="lowerLetter"/>
      <w:lvlText w:val="%2."/>
      <w:lvlJc w:val="left"/>
      <w:pPr>
        <w:ind w:left="1440" w:hanging="360"/>
      </w:pPr>
    </w:lvl>
    <w:lvl w:ilvl="2" w:tplc="ED4C2164">
      <w:start w:val="1"/>
      <w:numFmt w:val="lowerRoman"/>
      <w:lvlText w:val="%3."/>
      <w:lvlJc w:val="right"/>
      <w:pPr>
        <w:ind w:left="2160" w:hanging="180"/>
      </w:pPr>
    </w:lvl>
    <w:lvl w:ilvl="3" w:tplc="85161702">
      <w:start w:val="1"/>
      <w:numFmt w:val="decimal"/>
      <w:lvlText w:val="%4."/>
      <w:lvlJc w:val="left"/>
      <w:pPr>
        <w:ind w:left="2880" w:hanging="360"/>
      </w:pPr>
    </w:lvl>
    <w:lvl w:ilvl="4" w:tplc="1916B036">
      <w:start w:val="1"/>
      <w:numFmt w:val="lowerLetter"/>
      <w:lvlText w:val="%5."/>
      <w:lvlJc w:val="left"/>
      <w:pPr>
        <w:ind w:left="3600" w:hanging="360"/>
      </w:pPr>
    </w:lvl>
    <w:lvl w:ilvl="5" w:tplc="BA3E8E42">
      <w:start w:val="1"/>
      <w:numFmt w:val="lowerRoman"/>
      <w:lvlText w:val="%6."/>
      <w:lvlJc w:val="right"/>
      <w:pPr>
        <w:ind w:left="4320" w:hanging="180"/>
      </w:pPr>
    </w:lvl>
    <w:lvl w:ilvl="6" w:tplc="0B8C474E">
      <w:start w:val="1"/>
      <w:numFmt w:val="decimal"/>
      <w:lvlText w:val="%7."/>
      <w:lvlJc w:val="left"/>
      <w:pPr>
        <w:ind w:left="5040" w:hanging="360"/>
      </w:pPr>
    </w:lvl>
    <w:lvl w:ilvl="7" w:tplc="F54AA914">
      <w:start w:val="1"/>
      <w:numFmt w:val="lowerLetter"/>
      <w:lvlText w:val="%8."/>
      <w:lvlJc w:val="left"/>
      <w:pPr>
        <w:ind w:left="5760" w:hanging="360"/>
      </w:pPr>
    </w:lvl>
    <w:lvl w:ilvl="8" w:tplc="D74C158E">
      <w:start w:val="1"/>
      <w:numFmt w:val="lowerRoman"/>
      <w:lvlText w:val="%9."/>
      <w:lvlJc w:val="right"/>
      <w:pPr>
        <w:ind w:left="6480" w:hanging="180"/>
      </w:pPr>
    </w:lvl>
  </w:abstractNum>
  <w:abstractNum w:abstractNumId="1" w15:restartNumberingAfterBreak="0">
    <w:nsid w:val="2C6D1585"/>
    <w:multiLevelType w:val="hybridMultilevel"/>
    <w:tmpl w:val="865258CC"/>
    <w:lvl w:ilvl="0" w:tplc="3D1EFF72">
      <w:start w:val="1"/>
      <w:numFmt w:val="decimal"/>
      <w:lvlText w:val="%1."/>
      <w:lvlJc w:val="left"/>
      <w:pPr>
        <w:ind w:left="501" w:hanging="360"/>
      </w:pPr>
    </w:lvl>
    <w:lvl w:ilvl="1" w:tplc="877AC7A0" w:tentative="1">
      <w:start w:val="1"/>
      <w:numFmt w:val="lowerLetter"/>
      <w:lvlText w:val="%2."/>
      <w:lvlJc w:val="left"/>
      <w:pPr>
        <w:ind w:left="1440" w:hanging="360"/>
      </w:pPr>
    </w:lvl>
    <w:lvl w:ilvl="2" w:tplc="FDC05BE8" w:tentative="1">
      <w:start w:val="1"/>
      <w:numFmt w:val="lowerRoman"/>
      <w:lvlText w:val="%3."/>
      <w:lvlJc w:val="right"/>
      <w:pPr>
        <w:ind w:left="2160" w:hanging="180"/>
      </w:pPr>
    </w:lvl>
    <w:lvl w:ilvl="3" w:tplc="37DC7F52" w:tentative="1">
      <w:start w:val="1"/>
      <w:numFmt w:val="decimal"/>
      <w:lvlText w:val="%4."/>
      <w:lvlJc w:val="left"/>
      <w:pPr>
        <w:ind w:left="2880" w:hanging="360"/>
      </w:pPr>
    </w:lvl>
    <w:lvl w:ilvl="4" w:tplc="00E6C30A" w:tentative="1">
      <w:start w:val="1"/>
      <w:numFmt w:val="lowerLetter"/>
      <w:lvlText w:val="%5."/>
      <w:lvlJc w:val="left"/>
      <w:pPr>
        <w:ind w:left="3600" w:hanging="360"/>
      </w:pPr>
    </w:lvl>
    <w:lvl w:ilvl="5" w:tplc="FE468A18" w:tentative="1">
      <w:start w:val="1"/>
      <w:numFmt w:val="lowerRoman"/>
      <w:lvlText w:val="%6."/>
      <w:lvlJc w:val="right"/>
      <w:pPr>
        <w:ind w:left="4320" w:hanging="180"/>
      </w:pPr>
    </w:lvl>
    <w:lvl w:ilvl="6" w:tplc="6518B3FE" w:tentative="1">
      <w:start w:val="1"/>
      <w:numFmt w:val="decimal"/>
      <w:lvlText w:val="%7."/>
      <w:lvlJc w:val="left"/>
      <w:pPr>
        <w:ind w:left="5040" w:hanging="360"/>
      </w:pPr>
    </w:lvl>
    <w:lvl w:ilvl="7" w:tplc="BCACBE86" w:tentative="1">
      <w:start w:val="1"/>
      <w:numFmt w:val="lowerLetter"/>
      <w:lvlText w:val="%8."/>
      <w:lvlJc w:val="left"/>
      <w:pPr>
        <w:ind w:left="5760" w:hanging="360"/>
      </w:pPr>
    </w:lvl>
    <w:lvl w:ilvl="8" w:tplc="AB569E06" w:tentative="1">
      <w:start w:val="1"/>
      <w:numFmt w:val="lowerRoman"/>
      <w:lvlText w:val="%9."/>
      <w:lvlJc w:val="right"/>
      <w:pPr>
        <w:ind w:left="6480" w:hanging="180"/>
      </w:pPr>
    </w:lvl>
  </w:abstractNum>
  <w:abstractNum w:abstractNumId="2" w15:restartNumberingAfterBreak="0">
    <w:nsid w:val="30033713"/>
    <w:multiLevelType w:val="hybridMultilevel"/>
    <w:tmpl w:val="C00C02E8"/>
    <w:lvl w:ilvl="0" w:tplc="C60EA520">
      <w:start w:val="1"/>
      <w:numFmt w:val="decimal"/>
      <w:lvlText w:val="%1."/>
      <w:lvlJc w:val="left"/>
      <w:pPr>
        <w:ind w:left="720" w:hanging="360"/>
      </w:pPr>
    </w:lvl>
    <w:lvl w:ilvl="1" w:tplc="4510E96A">
      <w:start w:val="1"/>
      <w:numFmt w:val="lowerLetter"/>
      <w:lvlText w:val="%2."/>
      <w:lvlJc w:val="left"/>
      <w:pPr>
        <w:ind w:left="1440" w:hanging="360"/>
      </w:pPr>
    </w:lvl>
    <w:lvl w:ilvl="2" w:tplc="394A2642">
      <w:start w:val="1"/>
      <w:numFmt w:val="lowerRoman"/>
      <w:lvlText w:val="%3."/>
      <w:lvlJc w:val="right"/>
      <w:pPr>
        <w:ind w:left="2160" w:hanging="180"/>
      </w:pPr>
    </w:lvl>
    <w:lvl w:ilvl="3" w:tplc="30300CD0">
      <w:start w:val="1"/>
      <w:numFmt w:val="decimal"/>
      <w:lvlText w:val="%4."/>
      <w:lvlJc w:val="left"/>
      <w:pPr>
        <w:ind w:left="2880" w:hanging="360"/>
      </w:pPr>
    </w:lvl>
    <w:lvl w:ilvl="4" w:tplc="EBE420A8">
      <w:start w:val="1"/>
      <w:numFmt w:val="lowerLetter"/>
      <w:lvlText w:val="%5."/>
      <w:lvlJc w:val="left"/>
      <w:pPr>
        <w:ind w:left="3600" w:hanging="360"/>
      </w:pPr>
    </w:lvl>
    <w:lvl w:ilvl="5" w:tplc="30FA6C3A">
      <w:start w:val="1"/>
      <w:numFmt w:val="lowerRoman"/>
      <w:lvlText w:val="%6."/>
      <w:lvlJc w:val="right"/>
      <w:pPr>
        <w:ind w:left="4320" w:hanging="180"/>
      </w:pPr>
    </w:lvl>
    <w:lvl w:ilvl="6" w:tplc="7E54E7AC">
      <w:start w:val="1"/>
      <w:numFmt w:val="decimal"/>
      <w:lvlText w:val="%7."/>
      <w:lvlJc w:val="left"/>
      <w:pPr>
        <w:ind w:left="5040" w:hanging="360"/>
      </w:pPr>
    </w:lvl>
    <w:lvl w:ilvl="7" w:tplc="37122026">
      <w:start w:val="1"/>
      <w:numFmt w:val="lowerLetter"/>
      <w:lvlText w:val="%8."/>
      <w:lvlJc w:val="left"/>
      <w:pPr>
        <w:ind w:left="5760" w:hanging="360"/>
      </w:pPr>
    </w:lvl>
    <w:lvl w:ilvl="8" w:tplc="D2BE7388">
      <w:start w:val="1"/>
      <w:numFmt w:val="lowerRoman"/>
      <w:lvlText w:val="%9."/>
      <w:lvlJc w:val="right"/>
      <w:pPr>
        <w:ind w:left="6480" w:hanging="180"/>
      </w:pPr>
    </w:lvl>
  </w:abstractNum>
  <w:abstractNum w:abstractNumId="3" w15:restartNumberingAfterBreak="0">
    <w:nsid w:val="32313F87"/>
    <w:multiLevelType w:val="hybridMultilevel"/>
    <w:tmpl w:val="BAFE3CF4"/>
    <w:lvl w:ilvl="0" w:tplc="33408AB8">
      <w:start w:val="1"/>
      <w:numFmt w:val="upperRoman"/>
      <w:lvlText w:val="%1."/>
      <w:lvlJc w:val="right"/>
      <w:pPr>
        <w:ind w:left="720" w:hanging="360"/>
      </w:pPr>
    </w:lvl>
    <w:lvl w:ilvl="1" w:tplc="517A103E" w:tentative="1">
      <w:start w:val="1"/>
      <w:numFmt w:val="lowerLetter"/>
      <w:lvlText w:val="%2."/>
      <w:lvlJc w:val="left"/>
      <w:pPr>
        <w:ind w:left="1440" w:hanging="360"/>
      </w:pPr>
    </w:lvl>
    <w:lvl w:ilvl="2" w:tplc="69541D0E" w:tentative="1">
      <w:start w:val="1"/>
      <w:numFmt w:val="lowerRoman"/>
      <w:lvlText w:val="%3."/>
      <w:lvlJc w:val="right"/>
      <w:pPr>
        <w:ind w:left="2160" w:hanging="180"/>
      </w:pPr>
    </w:lvl>
    <w:lvl w:ilvl="3" w:tplc="EE5018DE" w:tentative="1">
      <w:start w:val="1"/>
      <w:numFmt w:val="decimal"/>
      <w:lvlText w:val="%4."/>
      <w:lvlJc w:val="left"/>
      <w:pPr>
        <w:ind w:left="2880" w:hanging="360"/>
      </w:pPr>
    </w:lvl>
    <w:lvl w:ilvl="4" w:tplc="85B2877E" w:tentative="1">
      <w:start w:val="1"/>
      <w:numFmt w:val="lowerLetter"/>
      <w:lvlText w:val="%5."/>
      <w:lvlJc w:val="left"/>
      <w:pPr>
        <w:ind w:left="3600" w:hanging="360"/>
      </w:pPr>
    </w:lvl>
    <w:lvl w:ilvl="5" w:tplc="89725886" w:tentative="1">
      <w:start w:val="1"/>
      <w:numFmt w:val="lowerRoman"/>
      <w:lvlText w:val="%6."/>
      <w:lvlJc w:val="right"/>
      <w:pPr>
        <w:ind w:left="4320" w:hanging="180"/>
      </w:pPr>
    </w:lvl>
    <w:lvl w:ilvl="6" w:tplc="74AEAFC8" w:tentative="1">
      <w:start w:val="1"/>
      <w:numFmt w:val="decimal"/>
      <w:lvlText w:val="%7."/>
      <w:lvlJc w:val="left"/>
      <w:pPr>
        <w:ind w:left="5040" w:hanging="360"/>
      </w:pPr>
    </w:lvl>
    <w:lvl w:ilvl="7" w:tplc="1CB47C00" w:tentative="1">
      <w:start w:val="1"/>
      <w:numFmt w:val="lowerLetter"/>
      <w:lvlText w:val="%8."/>
      <w:lvlJc w:val="left"/>
      <w:pPr>
        <w:ind w:left="5760" w:hanging="360"/>
      </w:pPr>
    </w:lvl>
    <w:lvl w:ilvl="8" w:tplc="A75E37F2" w:tentative="1">
      <w:start w:val="1"/>
      <w:numFmt w:val="lowerRoman"/>
      <w:lvlText w:val="%9."/>
      <w:lvlJc w:val="right"/>
      <w:pPr>
        <w:ind w:left="6480" w:hanging="180"/>
      </w:pPr>
    </w:lvl>
  </w:abstractNum>
  <w:abstractNum w:abstractNumId="4" w15:restartNumberingAfterBreak="0">
    <w:nsid w:val="4C8B3398"/>
    <w:multiLevelType w:val="hybridMultilevel"/>
    <w:tmpl w:val="AE58DE28"/>
    <w:lvl w:ilvl="0" w:tplc="6862E5AE">
      <w:start w:val="2"/>
      <w:numFmt w:val="decimal"/>
      <w:lvlText w:val="%1."/>
      <w:lvlJc w:val="left"/>
      <w:pPr>
        <w:ind w:left="720" w:hanging="360"/>
      </w:pPr>
    </w:lvl>
    <w:lvl w:ilvl="1" w:tplc="C8921336">
      <w:start w:val="1"/>
      <w:numFmt w:val="lowerLetter"/>
      <w:lvlText w:val="%2."/>
      <w:lvlJc w:val="left"/>
      <w:pPr>
        <w:ind w:left="1440" w:hanging="360"/>
      </w:pPr>
    </w:lvl>
    <w:lvl w:ilvl="2" w:tplc="856E4528">
      <w:start w:val="1"/>
      <w:numFmt w:val="lowerRoman"/>
      <w:lvlText w:val="%3."/>
      <w:lvlJc w:val="right"/>
      <w:pPr>
        <w:ind w:left="2160" w:hanging="180"/>
      </w:pPr>
    </w:lvl>
    <w:lvl w:ilvl="3" w:tplc="91D65310">
      <w:start w:val="1"/>
      <w:numFmt w:val="decimal"/>
      <w:lvlText w:val="%4."/>
      <w:lvlJc w:val="left"/>
      <w:pPr>
        <w:ind w:left="2880" w:hanging="360"/>
      </w:pPr>
    </w:lvl>
    <w:lvl w:ilvl="4" w:tplc="10666B40">
      <w:start w:val="1"/>
      <w:numFmt w:val="lowerLetter"/>
      <w:lvlText w:val="%5."/>
      <w:lvlJc w:val="left"/>
      <w:pPr>
        <w:ind w:left="3600" w:hanging="360"/>
      </w:pPr>
    </w:lvl>
    <w:lvl w:ilvl="5" w:tplc="0734BD14">
      <w:start w:val="1"/>
      <w:numFmt w:val="lowerRoman"/>
      <w:lvlText w:val="%6."/>
      <w:lvlJc w:val="right"/>
      <w:pPr>
        <w:ind w:left="4320" w:hanging="180"/>
      </w:pPr>
    </w:lvl>
    <w:lvl w:ilvl="6" w:tplc="40E02B66">
      <w:start w:val="1"/>
      <w:numFmt w:val="decimal"/>
      <w:lvlText w:val="%7."/>
      <w:lvlJc w:val="left"/>
      <w:pPr>
        <w:ind w:left="5040" w:hanging="360"/>
      </w:pPr>
    </w:lvl>
    <w:lvl w:ilvl="7" w:tplc="5FBAF96E">
      <w:start w:val="1"/>
      <w:numFmt w:val="lowerLetter"/>
      <w:lvlText w:val="%8."/>
      <w:lvlJc w:val="left"/>
      <w:pPr>
        <w:ind w:left="5760" w:hanging="360"/>
      </w:pPr>
    </w:lvl>
    <w:lvl w:ilvl="8" w:tplc="7644AE9A">
      <w:start w:val="1"/>
      <w:numFmt w:val="lowerRoman"/>
      <w:lvlText w:val="%9."/>
      <w:lvlJc w:val="right"/>
      <w:pPr>
        <w:ind w:left="6480" w:hanging="180"/>
      </w:pPr>
    </w:lvl>
  </w:abstractNum>
  <w:num w:numId="1" w16cid:durableId="1831214168">
    <w:abstractNumId w:val="2"/>
  </w:num>
  <w:num w:numId="2" w16cid:durableId="2084569493">
    <w:abstractNumId w:val="4"/>
  </w:num>
  <w:num w:numId="3" w16cid:durableId="1564213811">
    <w:abstractNumId w:val="0"/>
  </w:num>
  <w:num w:numId="4" w16cid:durableId="669794195">
    <w:abstractNumId w:val="3"/>
  </w:num>
  <w:num w:numId="5" w16cid:durableId="10557430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hyphenationZone w:val="425"/>
  <w:drawingGridHorizontalSpacing w:val="90"/>
  <w:drawingGridVerticalSpacing w:val="142"/>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598"/>
    <w:rsid w:val="00024610"/>
    <w:rsid w:val="00024661"/>
    <w:rsid w:val="00035D04"/>
    <w:rsid w:val="00044F04"/>
    <w:rsid w:val="0004AEDD"/>
    <w:rsid w:val="000514CD"/>
    <w:rsid w:val="000B6978"/>
    <w:rsid w:val="000E58AA"/>
    <w:rsid w:val="001142D3"/>
    <w:rsid w:val="00154E0B"/>
    <w:rsid w:val="00175C1E"/>
    <w:rsid w:val="001807A2"/>
    <w:rsid w:val="001B6C4D"/>
    <w:rsid w:val="001C3FB7"/>
    <w:rsid w:val="001D3075"/>
    <w:rsid w:val="001E058A"/>
    <w:rsid w:val="00211E9D"/>
    <w:rsid w:val="00256327"/>
    <w:rsid w:val="00257459"/>
    <w:rsid w:val="002C76DD"/>
    <w:rsid w:val="002D1C7F"/>
    <w:rsid w:val="002F4CD2"/>
    <w:rsid w:val="003225FD"/>
    <w:rsid w:val="00375C96"/>
    <w:rsid w:val="003F0FE3"/>
    <w:rsid w:val="004010D5"/>
    <w:rsid w:val="004027DD"/>
    <w:rsid w:val="00423D11"/>
    <w:rsid w:val="00451F99"/>
    <w:rsid w:val="004636EE"/>
    <w:rsid w:val="004663B8"/>
    <w:rsid w:val="004711A7"/>
    <w:rsid w:val="0047379C"/>
    <w:rsid w:val="00482283"/>
    <w:rsid w:val="004C0845"/>
    <w:rsid w:val="004C4206"/>
    <w:rsid w:val="004D3DC6"/>
    <w:rsid w:val="005129C8"/>
    <w:rsid w:val="00567D09"/>
    <w:rsid w:val="00593FEB"/>
    <w:rsid w:val="00596C0A"/>
    <w:rsid w:val="005D7DE0"/>
    <w:rsid w:val="00601021"/>
    <w:rsid w:val="00604B7E"/>
    <w:rsid w:val="00621CB8"/>
    <w:rsid w:val="006452AC"/>
    <w:rsid w:val="006B0017"/>
    <w:rsid w:val="006B24C1"/>
    <w:rsid w:val="00705E5E"/>
    <w:rsid w:val="00715EAB"/>
    <w:rsid w:val="00723B54"/>
    <w:rsid w:val="00737B04"/>
    <w:rsid w:val="00775A85"/>
    <w:rsid w:val="007A2654"/>
    <w:rsid w:val="007A3775"/>
    <w:rsid w:val="007C4E4D"/>
    <w:rsid w:val="007D6ADD"/>
    <w:rsid w:val="007F15FD"/>
    <w:rsid w:val="00813A33"/>
    <w:rsid w:val="00827673"/>
    <w:rsid w:val="00843544"/>
    <w:rsid w:val="00874FEC"/>
    <w:rsid w:val="00880070"/>
    <w:rsid w:val="008807BE"/>
    <w:rsid w:val="008913CC"/>
    <w:rsid w:val="008A2DA0"/>
    <w:rsid w:val="008B444B"/>
    <w:rsid w:val="008B6B0D"/>
    <w:rsid w:val="008B6DB1"/>
    <w:rsid w:val="008B7149"/>
    <w:rsid w:val="008C3729"/>
    <w:rsid w:val="008D7F78"/>
    <w:rsid w:val="009173DB"/>
    <w:rsid w:val="00936B98"/>
    <w:rsid w:val="00982B4C"/>
    <w:rsid w:val="009C7ADA"/>
    <w:rsid w:val="009D100D"/>
    <w:rsid w:val="009D43BE"/>
    <w:rsid w:val="00A22598"/>
    <w:rsid w:val="00A30F40"/>
    <w:rsid w:val="00A342CA"/>
    <w:rsid w:val="00A5251F"/>
    <w:rsid w:val="00A763BE"/>
    <w:rsid w:val="00AB732D"/>
    <w:rsid w:val="00AC4407"/>
    <w:rsid w:val="00AF0AB3"/>
    <w:rsid w:val="00B77FA6"/>
    <w:rsid w:val="00B84305"/>
    <w:rsid w:val="00C07E50"/>
    <w:rsid w:val="00C21AF8"/>
    <w:rsid w:val="00C42F7B"/>
    <w:rsid w:val="00C54A75"/>
    <w:rsid w:val="00C87A08"/>
    <w:rsid w:val="00C92766"/>
    <w:rsid w:val="00CC585D"/>
    <w:rsid w:val="00CF52E9"/>
    <w:rsid w:val="00D27B31"/>
    <w:rsid w:val="00D56E61"/>
    <w:rsid w:val="00D620C6"/>
    <w:rsid w:val="00D77C1D"/>
    <w:rsid w:val="00D82AA0"/>
    <w:rsid w:val="00D83E71"/>
    <w:rsid w:val="00DC4E7B"/>
    <w:rsid w:val="00DF3CEA"/>
    <w:rsid w:val="00DF5B46"/>
    <w:rsid w:val="00E319B6"/>
    <w:rsid w:val="00E40ECB"/>
    <w:rsid w:val="00E81DD6"/>
    <w:rsid w:val="00E84A0E"/>
    <w:rsid w:val="00ED23B5"/>
    <w:rsid w:val="00F91767"/>
    <w:rsid w:val="00F9708B"/>
    <w:rsid w:val="00FD6785"/>
    <w:rsid w:val="00FF7534"/>
    <w:rsid w:val="07BD27A6"/>
    <w:rsid w:val="10A19C97"/>
    <w:rsid w:val="13048994"/>
    <w:rsid w:val="15AFEBBC"/>
    <w:rsid w:val="2065E5EA"/>
    <w:rsid w:val="23882A73"/>
    <w:rsid w:val="27C90167"/>
    <w:rsid w:val="27CEF672"/>
    <w:rsid w:val="28BF02C0"/>
    <w:rsid w:val="320BC4F7"/>
    <w:rsid w:val="360E89AE"/>
    <w:rsid w:val="377A0E53"/>
    <w:rsid w:val="463789B7"/>
    <w:rsid w:val="4E40F6AD"/>
    <w:rsid w:val="4FDDB90E"/>
    <w:rsid w:val="51E7EDAB"/>
    <w:rsid w:val="63921FB6"/>
    <w:rsid w:val="65CEC445"/>
    <w:rsid w:val="686AA117"/>
    <w:rsid w:val="6B3525E6"/>
    <w:rsid w:val="70D294C0"/>
    <w:rsid w:val="769B3972"/>
    <w:rsid w:val="7738A28A"/>
    <w:rsid w:val="7C71656D"/>
    <w:rsid w:val="7E7915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423659"/>
  <w15:chartTrackingRefBased/>
  <w15:docId w15:val="{C5CAE16B-8AAD-7544-A751-6B48ACE3E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9708B"/>
    <w:pPr>
      <w:spacing w:after="0" w:line="240" w:lineRule="auto"/>
    </w:pPr>
    <w:rPr>
      <w:rFonts w:ascii="Verdana" w:eastAsia="Calibri" w:hAnsi="Verdana" w:cs="Times New Roman"/>
      <w:kern w:val="0"/>
      <w:sz w:val="18"/>
      <w:szCs w:val="22"/>
      <w:lang w:val="nl-NL"/>
      <w14:ligatures w14:val="none"/>
    </w:rPr>
  </w:style>
  <w:style w:type="paragraph" w:styleId="Kop1">
    <w:name w:val="heading 1"/>
    <w:basedOn w:val="Standaard"/>
    <w:next w:val="Standaard"/>
    <w:link w:val="Kop1Char"/>
    <w:uiPriority w:val="9"/>
    <w:qFormat/>
    <w:rsid w:val="00A225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225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2259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2259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2259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22598"/>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22598"/>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22598"/>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22598"/>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22598"/>
    <w:rPr>
      <w:rFonts w:asciiTheme="majorHAnsi" w:eastAsiaTheme="majorEastAsia" w:hAnsiTheme="majorHAnsi" w:cstheme="majorBidi"/>
      <w:color w:val="0F4761" w:themeColor="accent1" w:themeShade="BF"/>
      <w:sz w:val="40"/>
      <w:szCs w:val="40"/>
      <w:lang w:val="nl-NL"/>
    </w:rPr>
  </w:style>
  <w:style w:type="character" w:customStyle="1" w:styleId="Kop2Char">
    <w:name w:val="Kop 2 Char"/>
    <w:basedOn w:val="Standaardalinea-lettertype"/>
    <w:link w:val="Kop2"/>
    <w:uiPriority w:val="9"/>
    <w:semiHidden/>
    <w:rsid w:val="00A22598"/>
    <w:rPr>
      <w:rFonts w:asciiTheme="majorHAnsi" w:eastAsiaTheme="majorEastAsia" w:hAnsiTheme="majorHAnsi" w:cstheme="majorBidi"/>
      <w:color w:val="0F4761" w:themeColor="accent1" w:themeShade="BF"/>
      <w:sz w:val="32"/>
      <w:szCs w:val="32"/>
      <w:lang w:val="nl-NL"/>
    </w:rPr>
  </w:style>
  <w:style w:type="character" w:customStyle="1" w:styleId="Kop3Char">
    <w:name w:val="Kop 3 Char"/>
    <w:basedOn w:val="Standaardalinea-lettertype"/>
    <w:link w:val="Kop3"/>
    <w:uiPriority w:val="9"/>
    <w:semiHidden/>
    <w:rsid w:val="00A22598"/>
    <w:rPr>
      <w:rFonts w:eastAsiaTheme="majorEastAsia" w:cstheme="majorBidi"/>
      <w:color w:val="0F4761" w:themeColor="accent1" w:themeShade="BF"/>
      <w:sz w:val="28"/>
      <w:szCs w:val="28"/>
      <w:lang w:val="nl-NL"/>
    </w:rPr>
  </w:style>
  <w:style w:type="character" w:customStyle="1" w:styleId="Kop4Char">
    <w:name w:val="Kop 4 Char"/>
    <w:basedOn w:val="Standaardalinea-lettertype"/>
    <w:link w:val="Kop4"/>
    <w:uiPriority w:val="9"/>
    <w:semiHidden/>
    <w:rsid w:val="00A22598"/>
    <w:rPr>
      <w:rFonts w:eastAsiaTheme="majorEastAsia" w:cstheme="majorBidi"/>
      <w:i/>
      <w:iCs/>
      <w:color w:val="0F4761" w:themeColor="accent1" w:themeShade="BF"/>
      <w:lang w:val="nl-NL"/>
    </w:rPr>
  </w:style>
  <w:style w:type="character" w:customStyle="1" w:styleId="Kop5Char">
    <w:name w:val="Kop 5 Char"/>
    <w:basedOn w:val="Standaardalinea-lettertype"/>
    <w:link w:val="Kop5"/>
    <w:uiPriority w:val="9"/>
    <w:semiHidden/>
    <w:rsid w:val="00A22598"/>
    <w:rPr>
      <w:rFonts w:eastAsiaTheme="majorEastAsia" w:cstheme="majorBidi"/>
      <w:color w:val="0F4761" w:themeColor="accent1" w:themeShade="BF"/>
      <w:lang w:val="nl-NL"/>
    </w:rPr>
  </w:style>
  <w:style w:type="character" w:customStyle="1" w:styleId="Kop6Char">
    <w:name w:val="Kop 6 Char"/>
    <w:basedOn w:val="Standaardalinea-lettertype"/>
    <w:link w:val="Kop6"/>
    <w:uiPriority w:val="9"/>
    <w:semiHidden/>
    <w:rsid w:val="00A22598"/>
    <w:rPr>
      <w:rFonts w:ascii="Verdana" w:eastAsiaTheme="majorEastAsia" w:hAnsi="Verdana" w:cstheme="majorBidi"/>
      <w:i/>
      <w:iCs/>
      <w:color w:val="595959" w:themeColor="text1" w:themeTint="A6"/>
      <w:kern w:val="0"/>
      <w:sz w:val="18"/>
      <w:szCs w:val="22"/>
      <w:lang w:val="nl-NL"/>
      <w14:ligatures w14:val="none"/>
    </w:rPr>
  </w:style>
  <w:style w:type="character" w:customStyle="1" w:styleId="Kop7Char">
    <w:name w:val="Kop 7 Char"/>
    <w:basedOn w:val="Standaardalinea-lettertype"/>
    <w:link w:val="Kop7"/>
    <w:uiPriority w:val="9"/>
    <w:semiHidden/>
    <w:rsid w:val="00A22598"/>
    <w:rPr>
      <w:rFonts w:ascii="Verdana" w:eastAsiaTheme="majorEastAsia" w:hAnsi="Verdana" w:cstheme="majorBidi"/>
      <w:color w:val="595959" w:themeColor="text1" w:themeTint="A6"/>
      <w:kern w:val="0"/>
      <w:sz w:val="18"/>
      <w:szCs w:val="22"/>
      <w:lang w:val="nl-NL"/>
      <w14:ligatures w14:val="none"/>
    </w:rPr>
  </w:style>
  <w:style w:type="character" w:customStyle="1" w:styleId="Kop8Char">
    <w:name w:val="Kop 8 Char"/>
    <w:basedOn w:val="Standaardalinea-lettertype"/>
    <w:link w:val="Kop8"/>
    <w:uiPriority w:val="9"/>
    <w:semiHidden/>
    <w:rsid w:val="00A22598"/>
    <w:rPr>
      <w:rFonts w:ascii="Verdana" w:eastAsiaTheme="majorEastAsia" w:hAnsi="Verdana" w:cstheme="majorBidi"/>
      <w:i/>
      <w:iCs/>
      <w:color w:val="272727" w:themeColor="text1" w:themeTint="D8"/>
      <w:kern w:val="0"/>
      <w:sz w:val="18"/>
      <w:szCs w:val="22"/>
      <w:lang w:val="nl-NL"/>
      <w14:ligatures w14:val="none"/>
    </w:rPr>
  </w:style>
  <w:style w:type="character" w:customStyle="1" w:styleId="Kop9Char">
    <w:name w:val="Kop 9 Char"/>
    <w:basedOn w:val="Standaardalinea-lettertype"/>
    <w:link w:val="Kop9"/>
    <w:uiPriority w:val="9"/>
    <w:semiHidden/>
    <w:rsid w:val="00A22598"/>
    <w:rPr>
      <w:rFonts w:ascii="Verdana" w:eastAsiaTheme="majorEastAsia" w:hAnsi="Verdana" w:cstheme="majorBidi"/>
      <w:color w:val="272727" w:themeColor="text1" w:themeTint="D8"/>
      <w:kern w:val="0"/>
      <w:sz w:val="18"/>
      <w:szCs w:val="22"/>
      <w:lang w:val="nl-NL"/>
      <w14:ligatures w14:val="none"/>
    </w:rPr>
  </w:style>
  <w:style w:type="paragraph" w:styleId="Titel">
    <w:name w:val="Title"/>
    <w:basedOn w:val="Standaard"/>
    <w:next w:val="Standaard"/>
    <w:link w:val="TitelChar"/>
    <w:uiPriority w:val="10"/>
    <w:qFormat/>
    <w:rsid w:val="00A22598"/>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22598"/>
    <w:rPr>
      <w:rFonts w:asciiTheme="majorHAnsi" w:eastAsiaTheme="majorEastAsia" w:hAnsiTheme="majorHAnsi" w:cstheme="majorBidi"/>
      <w:spacing w:val="-10"/>
      <w:kern w:val="28"/>
      <w:sz w:val="56"/>
      <w:szCs w:val="56"/>
      <w:lang w:val="nl-NL"/>
      <w14:ligatures w14:val="none"/>
    </w:rPr>
  </w:style>
  <w:style w:type="paragraph" w:styleId="Ondertitel">
    <w:name w:val="Subtitle"/>
    <w:basedOn w:val="Standaard"/>
    <w:next w:val="Standaard"/>
    <w:link w:val="OndertitelChar"/>
    <w:uiPriority w:val="11"/>
    <w:qFormat/>
    <w:rsid w:val="00A2259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22598"/>
    <w:rPr>
      <w:rFonts w:eastAsiaTheme="majorEastAsia" w:cstheme="majorBidi"/>
      <w:color w:val="595959" w:themeColor="text1" w:themeTint="A6"/>
      <w:spacing w:val="15"/>
      <w:sz w:val="28"/>
      <w:szCs w:val="28"/>
      <w:lang w:val="nl-NL"/>
    </w:rPr>
  </w:style>
  <w:style w:type="paragraph" w:styleId="Citaat">
    <w:name w:val="Quote"/>
    <w:basedOn w:val="Standaard"/>
    <w:next w:val="Standaard"/>
    <w:link w:val="CitaatChar"/>
    <w:uiPriority w:val="29"/>
    <w:qFormat/>
    <w:rsid w:val="00A2259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22598"/>
    <w:rPr>
      <w:i/>
      <w:iCs/>
      <w:color w:val="404040" w:themeColor="text1" w:themeTint="BF"/>
      <w:lang w:val="nl-NL"/>
    </w:rPr>
  </w:style>
  <w:style w:type="paragraph" w:styleId="Lijstalinea">
    <w:name w:val="List Paragraph"/>
    <w:basedOn w:val="Standaard"/>
    <w:uiPriority w:val="34"/>
    <w:qFormat/>
    <w:rsid w:val="00A22598"/>
    <w:pPr>
      <w:ind w:left="720"/>
      <w:contextualSpacing/>
    </w:pPr>
  </w:style>
  <w:style w:type="character" w:styleId="Intensievebenadrukking">
    <w:name w:val="Intense Emphasis"/>
    <w:basedOn w:val="Standaardalinea-lettertype"/>
    <w:uiPriority w:val="21"/>
    <w:qFormat/>
    <w:rsid w:val="00A22598"/>
    <w:rPr>
      <w:i/>
      <w:iCs/>
      <w:color w:val="0F4761" w:themeColor="accent1" w:themeShade="BF"/>
    </w:rPr>
  </w:style>
  <w:style w:type="paragraph" w:styleId="Duidelijkcitaat">
    <w:name w:val="Intense Quote"/>
    <w:basedOn w:val="Standaard"/>
    <w:next w:val="Standaard"/>
    <w:link w:val="DuidelijkcitaatChar"/>
    <w:uiPriority w:val="30"/>
    <w:qFormat/>
    <w:rsid w:val="00A225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22598"/>
    <w:rPr>
      <w:i/>
      <w:iCs/>
      <w:color w:val="0F4761" w:themeColor="accent1" w:themeShade="BF"/>
      <w:lang w:val="nl-NL"/>
    </w:rPr>
  </w:style>
  <w:style w:type="character" w:styleId="Intensieveverwijzing">
    <w:name w:val="Intense Reference"/>
    <w:basedOn w:val="Standaardalinea-lettertype"/>
    <w:uiPriority w:val="32"/>
    <w:qFormat/>
    <w:rsid w:val="00A22598"/>
    <w:rPr>
      <w:b/>
      <w:bCs/>
      <w:smallCaps/>
      <w:color w:val="0F4761" w:themeColor="accent1" w:themeShade="BF"/>
      <w:spacing w:val="5"/>
    </w:rPr>
  </w:style>
  <w:style w:type="paragraph" w:styleId="Koptekst">
    <w:name w:val="header"/>
    <w:basedOn w:val="Standaard"/>
    <w:link w:val="KoptekstChar"/>
    <w:uiPriority w:val="99"/>
    <w:unhideWhenUsed/>
    <w:rsid w:val="00257459"/>
    <w:pPr>
      <w:tabs>
        <w:tab w:val="center" w:pos="4536"/>
        <w:tab w:val="right" w:pos="9072"/>
      </w:tabs>
    </w:pPr>
  </w:style>
  <w:style w:type="character" w:customStyle="1" w:styleId="KoptekstChar">
    <w:name w:val="Koptekst Char"/>
    <w:basedOn w:val="Standaardalinea-lettertype"/>
    <w:link w:val="Koptekst"/>
    <w:uiPriority w:val="99"/>
    <w:rsid w:val="00257459"/>
    <w:rPr>
      <w:rFonts w:ascii="Verdana" w:eastAsia="Calibri" w:hAnsi="Verdana" w:cs="Times New Roman"/>
      <w:kern w:val="0"/>
      <w:sz w:val="18"/>
      <w:szCs w:val="22"/>
      <w:lang w:val="nl-NL"/>
      <w14:ligatures w14:val="none"/>
    </w:rPr>
  </w:style>
  <w:style w:type="paragraph" w:styleId="Voettekst">
    <w:name w:val="footer"/>
    <w:basedOn w:val="Standaard"/>
    <w:link w:val="VoettekstChar"/>
    <w:unhideWhenUsed/>
    <w:rsid w:val="00257459"/>
    <w:pPr>
      <w:tabs>
        <w:tab w:val="center" w:pos="4536"/>
        <w:tab w:val="right" w:pos="9072"/>
      </w:tabs>
    </w:pPr>
  </w:style>
  <w:style w:type="character" w:customStyle="1" w:styleId="VoettekstChar">
    <w:name w:val="Voettekst Char"/>
    <w:basedOn w:val="Standaardalinea-lettertype"/>
    <w:link w:val="Voettekst"/>
    <w:rsid w:val="00257459"/>
    <w:rPr>
      <w:rFonts w:ascii="Verdana" w:eastAsia="Calibri" w:hAnsi="Verdana" w:cs="Times New Roman"/>
      <w:kern w:val="0"/>
      <w:sz w:val="18"/>
      <w:szCs w:val="22"/>
      <w:lang w:val="nl-NL"/>
      <w14:ligatures w14:val="none"/>
    </w:rPr>
  </w:style>
  <w:style w:type="paragraph" w:customStyle="1" w:styleId="PlatteTekst">
    <w:name w:val="Platte_Tekst"/>
    <w:basedOn w:val="Standaard"/>
    <w:uiPriority w:val="99"/>
    <w:rsid w:val="00F9708B"/>
    <w:pPr>
      <w:spacing w:line="284" w:lineRule="exact"/>
    </w:pPr>
  </w:style>
  <w:style w:type="character" w:styleId="Hyperlink">
    <w:name w:val="Hyperlink"/>
    <w:rsid w:val="00F9708B"/>
    <w:rPr>
      <w:color w:val="0000FF"/>
      <w:u w:val="single"/>
    </w:rPr>
  </w:style>
  <w:style w:type="paragraph" w:styleId="Voetnoottekst">
    <w:name w:val="footnote text"/>
    <w:basedOn w:val="Standaard"/>
    <w:link w:val="VoetnoottekstChar"/>
    <w:uiPriority w:val="99"/>
    <w:semiHidden/>
    <w:rsid w:val="00F9708B"/>
    <w:rPr>
      <w:rFonts w:ascii="Times New Roman" w:eastAsia="Times New Roman" w:hAnsi="Times New Roman"/>
      <w:sz w:val="20"/>
      <w:szCs w:val="20"/>
      <w:lang w:eastAsia="nl-NL"/>
    </w:rPr>
  </w:style>
  <w:style w:type="character" w:customStyle="1" w:styleId="VoetnoottekstChar">
    <w:name w:val="Voetnoottekst Char"/>
    <w:basedOn w:val="Standaardalinea-lettertype"/>
    <w:link w:val="Voetnoottekst"/>
    <w:uiPriority w:val="99"/>
    <w:semiHidden/>
    <w:rsid w:val="00F9708B"/>
    <w:rPr>
      <w:rFonts w:ascii="Times New Roman" w:eastAsia="Times New Roman" w:hAnsi="Times New Roman" w:cs="Times New Roman"/>
      <w:kern w:val="0"/>
      <w:sz w:val="20"/>
      <w:szCs w:val="20"/>
      <w:lang w:val="nl-NL" w:eastAsia="nl-NL"/>
      <w14:ligatures w14:val="none"/>
    </w:rPr>
  </w:style>
  <w:style w:type="character" w:styleId="Voetnootmarkering">
    <w:name w:val="footnote reference"/>
    <w:uiPriority w:val="99"/>
    <w:semiHidden/>
    <w:rsid w:val="00F9708B"/>
    <w:rPr>
      <w:vertAlign w:val="superscript"/>
    </w:rPr>
  </w:style>
  <w:style w:type="paragraph" w:customStyle="1" w:styleId="Standaard1">
    <w:name w:val="Standaard1"/>
    <w:basedOn w:val="Standaard"/>
    <w:rsid w:val="00F9708B"/>
    <w:pPr>
      <w:spacing w:before="100" w:beforeAutospacing="1" w:after="100" w:afterAutospacing="1"/>
    </w:pPr>
    <w:rPr>
      <w:rFonts w:ascii="Times New Roman" w:eastAsia="Times New Roman" w:hAnsi="Times New Roman"/>
      <w:sz w:val="24"/>
      <w:szCs w:val="24"/>
      <w:lang w:eastAsia="nl-NL"/>
    </w:rPr>
  </w:style>
  <w:style w:type="paragraph" w:customStyle="1" w:styleId="Huisstijl-Gegevens">
    <w:name w:val="Huisstijl - Gegevens"/>
    <w:basedOn w:val="Standaard"/>
    <w:qFormat/>
    <w:rsid w:val="008B7149"/>
    <w:pPr>
      <w:framePr w:w="6538" w:h="4034" w:hRule="exact" w:hSpace="181" w:wrap="around" w:vAnchor="page" w:hAnchor="page" w:x="681" w:y="2978"/>
    </w:pPr>
    <w:rPr>
      <w:noProof/>
      <w:sz w:val="13"/>
      <w:szCs w:val="13"/>
    </w:rPr>
  </w:style>
  <w:style w:type="character" w:styleId="Onopgelostemelding">
    <w:name w:val="Unresolved Mention"/>
    <w:basedOn w:val="Standaardalinea-lettertype"/>
    <w:uiPriority w:val="99"/>
    <w:semiHidden/>
    <w:unhideWhenUsed/>
    <w:rsid w:val="00827673"/>
    <w:rPr>
      <w:color w:val="605E5C"/>
      <w:shd w:val="clear" w:color="auto" w:fill="E1DFDD"/>
    </w:rPr>
  </w:style>
  <w:style w:type="character" w:styleId="GevolgdeHyperlink">
    <w:name w:val="FollowedHyperlink"/>
    <w:basedOn w:val="Standaardalinea-lettertype"/>
    <w:uiPriority w:val="99"/>
    <w:semiHidden/>
    <w:unhideWhenUsed/>
    <w:rsid w:val="00C07E50"/>
    <w:rPr>
      <w:color w:val="96607D" w:themeColor="followedHyperlink"/>
      <w:u w:val="single"/>
    </w:r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s://eur06.safelinks.protection.outlook.com/?url=https%3A%2F%2Feur-lex.europa.eu%2Flegal-content%2FNL%2FTXT%2F%3Furi%3DCELEX%253A52025PC0639%26qid%3D1760431406247&amp;data=05%7C02%7Cl.haverkamp%40tweedekamer.nl%7C854028177c40404f8c6c08de0bba3a87%7C238cb5073f714afeaaab8382731a4345%7C0%7C0%7C638961091664813046%7CUnknown%7CTWFpbGZsb3d8eyJFbXB0eU1hcGkiOnRydWUsIlYiOiIwLjAuMDAwMCIsIlAiOiJXaW4zMiIsIkFOIjoiTWFpbCIsIldUIjoyfQ%3D%3D%7C0%7C%7C%7C&amp;sdata=SDRyEZr1Ck4VXBTyZUqnHSLNqRATNvUZjbd0AbA2J9c%3D&amp;reserved=0" TargetMode="External" Id="rId13" /><Relationship Type="http://schemas.openxmlformats.org/officeDocument/2006/relationships/hyperlink" Target="https://eur06.safelinks.protection.outlook.com/?url=https%3A%2F%2Feur-lex.europa.eu%2Flegal-content%2FNL%2FTXT%2F%3Furi%3DCELEX%253A52025DC0562%26qid%3D1759824778717&amp;data=05%7C02%7Cl.haverkamp%40tweedekamer.nl%7C9f228c8c31f142063a6408de0732f88f%7C238cb5073f714afeaaab8382731a4345%7C0%7C0%7C638956112751332575%7CUnknown%7CTWFpbGZsb3d8eyJFbXB0eU1hcGkiOnRydWUsIlYiOiIwLjAuMDAwMCIsIlAiOiJXaW4zMiIsIkFOIjoiTWFpbCIsIldUIjoyfQ%3D%3D%7C0%7C%7C%7C&amp;sdata=8lFA7FN7zY13UyUSxfktavJLEP1wSvY7yCJT9ODI96A%3D&amp;reserved=0" TargetMode="External" Id="rId18" /><Relationship Type="http://schemas.openxmlformats.org/officeDocument/2006/relationships/theme" Target="theme/theme1.xml" Id="rId26" /><Relationship Type="http://schemas.openxmlformats.org/officeDocument/2006/relationships/header" Target="header1.xml" Id="rId21" /><Relationship Type="http://schemas.openxmlformats.org/officeDocument/2006/relationships/styles" Target="styles.xml" Id="rId7" /><Relationship Type="http://schemas.openxmlformats.org/officeDocument/2006/relationships/hyperlink" Target="https://eur06.safelinks.protection.outlook.com/?url=https%3A%2F%2Feur-lex.europa.eu%2Flegal-content%2FNL%2FTXT%2F%3Furi%3DCELEX%253A52025PC0726%26qid%3D1760430457643&amp;data=05%7C02%7Cl.haverkamp%40tweedekamer.nl%7C854028177c40404f8c6c08de0bba3a87%7C238cb5073f714afeaaab8382731a4345%7C0%7C0%7C638961091664772697%7CUnknown%7CTWFpbGZsb3d8eyJFbXB0eU1hcGkiOnRydWUsIlYiOiIwLjAuMDAwMCIsIlAiOiJXaW4zMiIsIkFOIjoiTWFpbCIsIldUIjoyfQ%3D%3D%7C0%7C%7C%7C&amp;sdata=SllSsIksHU3pWQFS%2FNveeNCx6wxLtpfeIU7gDMyK%2Fa0%3D&amp;reserved=0" TargetMode="External" Id="rId12" /><Relationship Type="http://schemas.openxmlformats.org/officeDocument/2006/relationships/hyperlink" Target="https://eur06.safelinks.protection.outlook.com/?url=https%3A%2F%2Feur-lex.europa.eu%2Flegal-content%2FNL%2FTXT%2F%3Furi%3DCELEX%253A52025PC0568%26qid%3D1759821990822&amp;data=05%7C02%7Cl.haverkamp%40tweedekamer.nl%7C9f228c8c31f142063a6408de0732f88f%7C238cb5073f714afeaaab8382731a4345%7C0%7C0%7C638956112751081776%7CUnknown%7CTWFpbGZsb3d8eyJFbXB0eU1hcGkiOnRydWUsIlYiOiIwLjAuMDAwMCIsIlAiOiJXaW4zMiIsIkFOIjoiTWFpbCIsIldUIjoyfQ%3D%3D%7C0%7C%7C%7C&amp;sdata=ECxcbIX7PnYr83xYDhPhs5Uh3Jo4gVavoY8hhbmcqZ4%3D&amp;reserved=0" TargetMode="External" Id="rId17" /><Relationship Type="http://schemas.openxmlformats.org/officeDocument/2006/relationships/fontTable" Target="fontTable.xml" Id="rId25" /><Relationship Type="http://schemas.openxmlformats.org/officeDocument/2006/relationships/hyperlink" Target="https://eur06.safelinks.protection.outlook.com/?url=https%3A%2F%2Feur-lex.europa.eu%2Flegal-content%2FNL%2FTXT%2F%3Furi%3DCELEX%253A52025PC0532%26qid%3D1759217231649&amp;data=05%7C02%7Cl.haverkamp%40tweedekamer.nl%7C6e00d28e595d43c90c9708de0185f11c%7C238cb5073f714afeaaab8382731a4345%7C0%7C0%7C638949871950494058%7CUnknown%7CTWFpbGZsb3d8eyJFbXB0eU1hcGkiOnRydWUsIlYiOiIwLjAuMDAwMCIsIlAiOiJXaW4zMiIsIkFOIjoiTWFpbCIsIldUIjoyfQ%3D%3D%7C0%7C%7C%7C&amp;sdata=EfILs9bET%2BIF6iVapFFgHxDTibxOTULZsdttsF0610U%3D&amp;reserved=0" TargetMode="External" Id="rId16" /><Relationship Type="http://schemas.openxmlformats.org/officeDocument/2006/relationships/hyperlink" Target="https://eur06.safelinks.protection.outlook.com/?url=https%3A%2F%2Feur-lex.europa.eu%2Flegal-content%2FNL%2FTXT%2F%3Furi%3DCOM%253A2025%253A920%253AFIN%26qid%3D1762175228886&amp;data=05%7C02%7Ca.vvliet%40tweedekamer.nl%7C54b897a69b90464e308c08de1d0c06ea%7C238cb5073f714afeaaab8382731a4345%7C0%7C0%7C638980134678044043%7CUnknown%7CTWFpbGZsb3d8eyJFbXB0eU1hcGkiOnRydWUsIlYiOiIwLjAuMDAwMCIsIlAiOiJXaW4zMiIsIkFOIjoiTWFpbCIsIldUIjoyfQ%3D%3D%7C0%7C%7C%7C&amp;sdata=YYYWot4%2BwJzVOF8gkeTAamvz%2F4n08VhuIlt6t2xx3qY%3D&amp;reserved=0" TargetMode="External"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24" /><Relationship Type="http://schemas.openxmlformats.org/officeDocument/2006/relationships/hyperlink" Target="https://eur06.safelinks.protection.outlook.com/?url=https%3A%2F%2Feur-lex.europa.eu%2Flegal-content%2FNL%2FTXT%2F%3Furi%3DCELEX%253A52025PC0660%26qid%3D1762174872792&amp;data=05%7C02%7Ca.vvliet%40tweedekamer.nl%7C54b897a69b90464e308c08de1d0c06ea%7C238cb5073f714afeaaab8382731a4345%7C0%7C0%7C638980134677797314%7CUnknown%7CTWFpbGZsb3d8eyJFbXB0eU1hcGkiOnRydWUsIlYiOiIwLjAuMDAwMCIsIlAiOiJXaW4zMiIsIkFOIjoiTWFpbCIsIldUIjoyfQ%3D%3D%7C0%7C%7C%7C&amp;sdata=%2BgC2KeHcWOvvsKcQqaJQ9UROmnd01%2FkSDqVMr8Psf68%3D&amp;reserved=0" TargetMode="External" Id="rId15" /><Relationship Type="http://schemas.openxmlformats.org/officeDocument/2006/relationships/header" Target="header2.xml" Id="rId23" /><Relationship Type="http://schemas.openxmlformats.org/officeDocument/2006/relationships/footnotes" Target="footnotes.xml" Id="rId10" /><Relationship Type="http://schemas.openxmlformats.org/officeDocument/2006/relationships/hyperlink" Target="https://eur06.safelinks.protection.outlook.com/?url=https%3A%2F%2Feur-lex.europa.eu%2Flegal-content%2FNL%2FTXT%2F%3Furi%3DCELEX%253A52025PC0727%26qid%3D1760430518807&amp;data=05%7C02%7Cl.haverkamp%40tweedekamer.nl%7C854028177c40404f8c6c08de0bba3a87%7C238cb5073f714afeaaab8382731a4345%7C0%7C0%7C638961091664839013%7CUnknown%7CTWFpbGZsb3d8eyJFbXB0eU1hcGkiOnRydWUsIlYiOiIwLjAuMDAwMCIsIlAiOiJXaW4zMiIsIkFOIjoiTWFpbCIsIldUIjoyfQ%3D%3D%7C0%7C%7C%7C&amp;sdata=hVD%2FQdcVwtqFhaKZydZc6SkdG1hXrzF8vit5MDI8PCo%3D&amp;reserved=0" TargetMode="External" Id="rId19" /><Relationship Type="http://schemas.openxmlformats.org/officeDocument/2006/relationships/webSettings" Target="webSettings.xml" Id="rId9" /><Relationship Type="http://schemas.openxmlformats.org/officeDocument/2006/relationships/hyperlink" Target="https://eur06.safelinks.protection.outlook.com/?url=https%3A%2F%2Feur-lex.europa.eu%2Flegal-content%2FNL%2FTXT%2F%3Furi%3DCELEX%253A52025PC00659%26qid%3D1762174501030&amp;data=05%7C02%7Ca.vvliet%40tweedekamer.nl%7C54b897a69b90464e308c08de1d0c06ea%7C238cb5073f714afeaaab8382731a4345%7C0%7C0%7C638980134677741805%7CUnknown%7CTWFpbGZsb3d8eyJFbXB0eU1hcGkiOnRydWUsIlYiOiIwLjAuMDAwMCIsIlAiOiJXaW4zMiIsIkFOIjoiTWFpbCIsIldUIjoyfQ%3D%3D%7C0%7C%7C%7C&amp;sdata=jaOOr0FZfMKCZ7T0Pd8sn01I8jtgW2Aql8WR5T2Rkic%3D&amp;reserved=0" TargetMode="External" Id="rId14" /><Relationship Type="http://schemas.openxmlformats.org/officeDocument/2006/relationships/footer" Target="footer1.xml" Id="rId22" /></Relationships>
</file>

<file path=word/_rels/footnotes.xml.rels><?xml version="1.0" encoding="UTF-8" standalone="yes"?>
<Relationships xmlns="http://schemas.openxmlformats.org/package/2006/relationships"><Relationship Id="rId1" Type="http://schemas.openxmlformats.org/officeDocument/2006/relationships/hyperlink" Target="https://plein2/over_de_kamer/commissies/europese_zak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ap:Pages>
  <ap:Words>2123</ap:Words>
  <ap:Characters>11680</ap:Characters>
  <ap:DocSecurity>0</ap:DocSecurity>
  <ap:Lines>97</ap:Lines>
  <ap:Paragraphs>27</ap:Paragraphs>
  <ap:ScaleCrop>false</ap:ScaleCrop>
  <ap:LinksUpToDate>false</ap:LinksUpToDate>
  <ap:CharactersWithSpaces>13776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2024-12-10T14:50:00.0000000Z</dcterms:created>
  <dcterms:modified xsi:type="dcterms:W3CDTF">2025-11-24T11:04:00.0000000Z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0x010100652B67EEE1A68642A5D50A61AFC143750056F2A0B99D579F4DBE5DBC0C3BA4ECBE</vt:lpwstr>
  </property>
  <property fmtid="{D5CDD505-2E9C-101B-9397-08002B2CF9AE}" pid="3" name="Selectielijstproces">
    <vt:lpwstr>1;#47. Het structureren, ordenen, analyseren, duiden, overbrengen en presenteren van informatie ten behoeve van parlementaire processen en parlementair onderzoek|c64fbbe8-7c78-42c3-a920-8bb219caf38b</vt:lpwstr>
  </property>
  <property fmtid="{D5CDD505-2E9C-101B-9397-08002B2CF9AE}" pid="4" name="Beperking">
    <vt:lpwstr/>
  </property>
  <property fmtid="{D5CDD505-2E9C-101B-9397-08002B2CF9AE}" pid="5" name="_dlc_DocIdItemGuid">
    <vt:lpwstr>46a68c9e-1cc8-4953-a9a7-2737a9b97165</vt:lpwstr>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_ip_UnifiedCompliancePolicyProperties">
    <vt:lpwstr/>
  </property>
  <property fmtid="{D5CDD505-2E9C-101B-9397-08002B2CF9AE}" pid="12" name="xd_Signature">
    <vt:bool>false</vt:bool>
  </property>
</Properties>
</file>