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931774" w:rsidR="005E721C" w:rsidTr="00D9561B" w14:paraId="3A151F9C" w14:textId="77777777">
        <w:trPr>
          <w:trHeight w:val="1514"/>
        </w:trPr>
        <w:tc>
          <w:tcPr>
            <w:tcW w:w="7522" w:type="dxa"/>
            <w:tcBorders>
              <w:top w:val="nil"/>
              <w:left w:val="nil"/>
              <w:bottom w:val="nil"/>
              <w:right w:val="nil"/>
            </w:tcBorders>
            <w:tcMar>
              <w:left w:w="0" w:type="dxa"/>
              <w:right w:w="0" w:type="dxa"/>
            </w:tcMar>
          </w:tcPr>
          <w:p w:rsidRPr="00931774" w:rsidR="00374412" w:rsidP="00D9561B" w:rsidRDefault="00E938AA" w14:paraId="6227361C" w14:textId="1D374D60">
            <w:r w:rsidRPr="00931774">
              <w:t>De v</w:t>
            </w:r>
            <w:r w:rsidRPr="00931774" w:rsidR="008E3932">
              <w:t>oorzitter van de Tweede Kamer der Staten-Generaal</w:t>
            </w:r>
          </w:p>
          <w:p w:rsidRPr="00931774" w:rsidR="00374412" w:rsidP="00D9561B" w:rsidRDefault="00E938AA" w14:paraId="1553B567" w14:textId="77777777">
            <w:r w:rsidRPr="00931774">
              <w:t>Postbus 20018</w:t>
            </w:r>
          </w:p>
          <w:p w:rsidRPr="00931774" w:rsidR="008E3932" w:rsidP="00D9561B" w:rsidRDefault="00E938AA" w14:paraId="4762F31B" w14:textId="74F6E1ED">
            <w:r w:rsidRPr="00931774">
              <w:t>2500 EA DEN HAA</w:t>
            </w:r>
            <w:r w:rsidRPr="00931774" w:rsidR="001325EE">
              <w:t>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931774" w:rsidR="005E721C" w:rsidTr="00991AEC" w14:paraId="5A6C478F" w14:textId="77777777">
        <w:trPr>
          <w:trHeight w:val="289" w:hRule="exact"/>
        </w:trPr>
        <w:tc>
          <w:tcPr>
            <w:tcW w:w="928" w:type="dxa"/>
          </w:tcPr>
          <w:p w:rsidRPr="00931774" w:rsidR="0005404B" w:rsidP="00FF66F9" w:rsidRDefault="00E938AA" w14:paraId="576A847A" w14:textId="77777777">
            <w:pPr>
              <w:rPr>
                <w:lang w:eastAsia="en-US"/>
              </w:rPr>
            </w:pPr>
            <w:r w:rsidRPr="00931774">
              <w:rPr>
                <w:lang w:eastAsia="en-US"/>
              </w:rPr>
              <w:t>Datum</w:t>
            </w:r>
          </w:p>
        </w:tc>
        <w:tc>
          <w:tcPr>
            <w:tcW w:w="6572" w:type="dxa"/>
          </w:tcPr>
          <w:p w:rsidRPr="00931774" w:rsidR="0005404B" w:rsidP="00FF66F9" w:rsidRDefault="00717860" w14:paraId="2C69303C" w14:textId="273F0B68">
            <w:pPr>
              <w:rPr>
                <w:lang w:eastAsia="en-US"/>
              </w:rPr>
            </w:pPr>
            <w:r>
              <w:rPr>
                <w:lang w:eastAsia="en-US"/>
              </w:rPr>
              <w:t>21 november 2025</w:t>
            </w:r>
          </w:p>
        </w:tc>
      </w:tr>
      <w:tr w:rsidRPr="00931774" w:rsidR="005E721C" w:rsidTr="00991AEC" w14:paraId="5E4EA994" w14:textId="77777777">
        <w:trPr>
          <w:trHeight w:val="368"/>
        </w:trPr>
        <w:tc>
          <w:tcPr>
            <w:tcW w:w="928" w:type="dxa"/>
          </w:tcPr>
          <w:p w:rsidRPr="00931774" w:rsidR="0005404B" w:rsidP="00FF66F9" w:rsidRDefault="00E938AA" w14:paraId="07022A05" w14:textId="77777777">
            <w:pPr>
              <w:rPr>
                <w:lang w:eastAsia="en-US"/>
              </w:rPr>
            </w:pPr>
            <w:r w:rsidRPr="00931774">
              <w:rPr>
                <w:lang w:eastAsia="en-US"/>
              </w:rPr>
              <w:t>Betreft</w:t>
            </w:r>
          </w:p>
        </w:tc>
        <w:tc>
          <w:tcPr>
            <w:tcW w:w="6572" w:type="dxa"/>
          </w:tcPr>
          <w:p w:rsidRPr="00931774" w:rsidR="0005404B" w:rsidP="00FF66F9" w:rsidRDefault="00E938AA" w14:paraId="7912B8F6" w14:textId="77777777">
            <w:pPr>
              <w:rPr>
                <w:lang w:eastAsia="en-US"/>
              </w:rPr>
            </w:pPr>
            <w:r w:rsidRPr="00931774">
              <w:rPr>
                <w:lang w:eastAsia="en-US"/>
              </w:rPr>
              <w:t>Financiering landelijke publieke omroep en de rol van reclame</w:t>
            </w:r>
          </w:p>
        </w:tc>
      </w:tr>
    </w:tbl>
    <w:p w:rsidR="00404016" w:rsidP="00540FA1" w:rsidRDefault="00404016" w14:paraId="75AEC2E6" w14:textId="6FCE72DF">
      <w:r>
        <w:t xml:space="preserve">Vorige maand heb ik uw Kamer het rapport aangeboden </w:t>
      </w:r>
      <w:r w:rsidRPr="00931774" w:rsidR="00540FA1">
        <w:t xml:space="preserve">van het onderzoek naar de effecten van het verruimen van de mogelijkheden voor </w:t>
      </w:r>
      <w:proofErr w:type="spellStart"/>
      <w:r w:rsidRPr="00931774" w:rsidR="00540FA1">
        <w:t>Ster</w:t>
      </w:r>
      <w:r w:rsidRPr="00931774" w:rsidR="002E3B43">
        <w:t>-</w:t>
      </w:r>
      <w:r w:rsidRPr="00931774" w:rsidR="00540FA1">
        <w:t>reclame</w:t>
      </w:r>
      <w:proofErr w:type="spellEnd"/>
      <w:r w:rsidRPr="00931774" w:rsidR="00540FA1">
        <w:t xml:space="preserve"> op de Nederlandse advertentiemarkt. </w:t>
      </w:r>
      <w:r>
        <w:t>Deze brief bevat de beleidsreactie op dat rapport. Hiermee voldoe ik aan de toezegging om uw Kamer te informeren over de financiering van de landelijke publieke omroep en de rol van reclame daarbij.</w:t>
      </w:r>
      <w:r w:rsidR="006036E5">
        <w:rPr>
          <w:rStyle w:val="Voetnootmarkering"/>
        </w:rPr>
        <w:footnoteReference w:id="1"/>
      </w:r>
      <w:r w:rsidR="00414375">
        <w:t xml:space="preserve"> </w:t>
      </w:r>
    </w:p>
    <w:p w:rsidR="00414375" w:rsidP="00540FA1" w:rsidRDefault="00414375" w14:paraId="198E5378" w14:textId="77777777"/>
    <w:p w:rsidR="00414375" w:rsidP="00540FA1" w:rsidRDefault="00414375" w14:paraId="324FDE43" w14:textId="3C9AB115">
      <w:r>
        <w:t>Ik neem de volgende besluiten</w:t>
      </w:r>
      <w:r w:rsidR="004D4699">
        <w:t>:</w:t>
      </w:r>
    </w:p>
    <w:p w:rsidR="00414375" w:rsidP="00414375" w:rsidRDefault="00EB64E1" w14:paraId="2AF39A05" w14:textId="77777777">
      <w:pPr>
        <w:pStyle w:val="Lijstalinea"/>
        <w:numPr>
          <w:ilvl w:val="0"/>
          <w:numId w:val="19"/>
        </w:numPr>
      </w:pPr>
      <w:r>
        <w:t xml:space="preserve">Ik kies ervoor om </w:t>
      </w:r>
      <w:r w:rsidRPr="00931774">
        <w:t>de eerdere verlaging van de commerciële reclamezendtijd op de lineaire televisiekanalen naar 8% terug te draaien en per 2027 aan te passen naar 10%.</w:t>
      </w:r>
      <w:r>
        <w:t xml:space="preserve"> </w:t>
      </w:r>
    </w:p>
    <w:p w:rsidR="00414375" w:rsidP="00414375" w:rsidRDefault="00414375" w14:paraId="0676EB90" w14:textId="77777777">
      <w:pPr>
        <w:pStyle w:val="Lijstalinea"/>
        <w:numPr>
          <w:ilvl w:val="0"/>
          <w:numId w:val="19"/>
        </w:numPr>
      </w:pPr>
      <w:r>
        <w:t xml:space="preserve">Ik roep </w:t>
      </w:r>
      <w:r w:rsidR="00EB64E1">
        <w:t xml:space="preserve">de Ster en de NPO op om de </w:t>
      </w:r>
      <w:r w:rsidRPr="00931774" w:rsidR="00EB64E1">
        <w:t>bestaande reclamemogelijkheden die de wet- en regelgeving bieden zo goed mogelijk te benutten.</w:t>
      </w:r>
      <w:r w:rsidR="00EB64E1">
        <w:t xml:space="preserve"> </w:t>
      </w:r>
    </w:p>
    <w:p w:rsidR="00EB64E1" w:rsidP="00540FA1" w:rsidRDefault="00EB64E1" w14:paraId="3A1D0890" w14:textId="01D4002F">
      <w:pPr>
        <w:pStyle w:val="Lijstalinea"/>
        <w:numPr>
          <w:ilvl w:val="0"/>
          <w:numId w:val="19"/>
        </w:numPr>
      </w:pPr>
      <w:r>
        <w:t xml:space="preserve">Deze maatregelen maken het mogelijk om het aandeel reclame-inkomsten in de financiering van de landelijke publieke omroep per 2027 te verhogen met € 11,7 miljoen, van € 153,3 miljoen naar € 165 miljoen. </w:t>
      </w:r>
    </w:p>
    <w:p w:rsidR="00414375" w:rsidP="00540FA1" w:rsidRDefault="00414375" w14:paraId="56D2F32D" w14:textId="716B3AC6">
      <w:pPr>
        <w:pStyle w:val="Lijstalinea"/>
        <w:numPr>
          <w:ilvl w:val="0"/>
          <w:numId w:val="19"/>
        </w:numPr>
      </w:pPr>
      <w:r>
        <w:t>Ik kies er niet voor om reclame bij online video-aanbod op de kanalen van de landelijke publieke omroep opnieuw toe te staan</w:t>
      </w:r>
      <w:r w:rsidR="004D4699">
        <w:t>.</w:t>
      </w:r>
    </w:p>
    <w:p w:rsidR="00414375" w:rsidP="00414375" w:rsidRDefault="00414375" w14:paraId="15AFDA56" w14:textId="77777777">
      <w:pPr>
        <w:pStyle w:val="Lijstalinea"/>
        <w:ind w:left="360"/>
      </w:pPr>
    </w:p>
    <w:p w:rsidRPr="00F7424A" w:rsidR="00EB64E1" w:rsidP="00540FA1" w:rsidRDefault="00607E3C" w14:paraId="241260B8" w14:textId="05BD8EFE">
      <w:r>
        <w:t>Hieronder licht ik mijn besluit</w:t>
      </w:r>
      <w:r w:rsidR="00414375">
        <w:t>en</w:t>
      </w:r>
      <w:r>
        <w:t xml:space="preserve"> </w:t>
      </w:r>
      <w:r w:rsidR="00414375">
        <w:t>toe aan de hand van</w:t>
      </w:r>
      <w:r>
        <w:t xml:space="preserve"> de uitkomsten van het onderzoek.</w:t>
      </w:r>
    </w:p>
    <w:p w:rsidRPr="00931774" w:rsidR="00CE6034" w:rsidP="00540FA1" w:rsidRDefault="00CE6034" w14:paraId="38E0028E" w14:textId="17CDA88B"/>
    <w:p w:rsidRPr="00931774" w:rsidR="00CE6034" w:rsidP="00540FA1" w:rsidRDefault="00607E3C" w14:paraId="72975C13" w14:textId="482C84F8">
      <w:r>
        <w:t xml:space="preserve">Voor het onderzoek waren meerdere aanleidingen. </w:t>
      </w:r>
      <w:r w:rsidRPr="00931774" w:rsidR="00027739">
        <w:t xml:space="preserve">De </w:t>
      </w:r>
      <w:r w:rsidRPr="00931774" w:rsidR="00540FA1">
        <w:t xml:space="preserve">eerste </w:t>
      </w:r>
      <w:r w:rsidRPr="00931774" w:rsidR="00027739">
        <w:t xml:space="preserve">aanleiding is het </w:t>
      </w:r>
      <w:r w:rsidRPr="00931774" w:rsidR="00540FA1">
        <w:t xml:space="preserve">veranderend mediagebruik </w:t>
      </w:r>
      <w:r w:rsidRPr="00931774" w:rsidR="00027739">
        <w:t xml:space="preserve">dat </w:t>
      </w:r>
      <w:r w:rsidRPr="00931774" w:rsidR="00540FA1">
        <w:t xml:space="preserve">impact </w:t>
      </w:r>
      <w:r w:rsidRPr="00931774" w:rsidR="00027739">
        <w:t xml:space="preserve">heeft </w:t>
      </w:r>
      <w:r w:rsidRPr="00931774" w:rsidR="00540FA1">
        <w:t xml:space="preserve">op de financiering van de landelijke publieke omroep. Lineair kijken loopt terug en dat leidt tot minder reclame-inkomsten die via lineaire kanalen </w:t>
      </w:r>
      <w:r w:rsidRPr="00931774" w:rsidR="00027739">
        <w:t xml:space="preserve">kunnen </w:t>
      </w:r>
      <w:r w:rsidRPr="00931774" w:rsidR="00540FA1">
        <w:t xml:space="preserve">worden gegenereerd. Het kijkgedrag verplaatst zich naar de online en on </w:t>
      </w:r>
      <w:proofErr w:type="spellStart"/>
      <w:r w:rsidRPr="00931774" w:rsidR="00540FA1">
        <w:t>demand</w:t>
      </w:r>
      <w:proofErr w:type="spellEnd"/>
      <w:r w:rsidRPr="00931774" w:rsidR="00540FA1">
        <w:t xml:space="preserve"> kanalen, met name onder jongeren. Op dit moment is het wettelijk niet toegestaan om (commerciële) reclameboodschappen te plaatsen bij video-aanbod op de online en on </w:t>
      </w:r>
      <w:proofErr w:type="spellStart"/>
      <w:r w:rsidRPr="00931774" w:rsidR="00540FA1">
        <w:t>demand</w:t>
      </w:r>
      <w:proofErr w:type="spellEnd"/>
      <w:r w:rsidRPr="00931774" w:rsidR="00540FA1">
        <w:t xml:space="preserve"> kanalen van de landelijke publieke omroep.</w:t>
      </w:r>
      <w:r w:rsidRPr="00931774" w:rsidR="00CE6034">
        <w:t xml:space="preserve"> </w:t>
      </w:r>
    </w:p>
    <w:p w:rsidRPr="00931774" w:rsidR="00540FA1" w:rsidP="00540FA1" w:rsidRDefault="00540FA1" w14:paraId="3F6DBA48" w14:textId="77777777"/>
    <w:p w:rsidRPr="00931774" w:rsidR="00540FA1" w:rsidP="00540FA1" w:rsidRDefault="00027739" w14:paraId="6F9036BE" w14:textId="6EF5FF59">
      <w:r w:rsidRPr="00931774">
        <w:lastRenderedPageBreak/>
        <w:t>De tweede aanleiding is het amendement Bontenbal c.s.</w:t>
      </w:r>
      <w:r w:rsidRPr="00931774" w:rsidR="002E3B43">
        <w:t xml:space="preserve"> </w:t>
      </w:r>
      <w:r w:rsidRPr="00931774">
        <w:t xml:space="preserve">dat </w:t>
      </w:r>
      <w:r w:rsidRPr="00931774" w:rsidR="00540FA1">
        <w:t xml:space="preserve">uw Kamer bij de behandeling van de onderwijsbegroting 2025 </w:t>
      </w:r>
      <w:r w:rsidRPr="00931774">
        <w:t xml:space="preserve">heeft </w:t>
      </w:r>
      <w:r w:rsidRPr="00931774" w:rsidR="00540FA1">
        <w:t>aangenomen.</w:t>
      </w:r>
      <w:r w:rsidRPr="00931774" w:rsidR="00540FA1">
        <w:rPr>
          <w:rStyle w:val="Voetnootmarkering"/>
        </w:rPr>
        <w:footnoteReference w:id="2"/>
      </w:r>
      <w:r w:rsidRPr="00931774" w:rsidR="00540FA1">
        <w:t xml:space="preserve"> Met dat amendement wordt de </w:t>
      </w:r>
      <w:proofErr w:type="spellStart"/>
      <w:r w:rsidRPr="00931774" w:rsidR="00540FA1">
        <w:t>rijksmediabijdrage</w:t>
      </w:r>
      <w:proofErr w:type="spellEnd"/>
      <w:r w:rsidRPr="00931774" w:rsidR="00540FA1">
        <w:t xml:space="preserve"> voor de landelijke publieke omroep</w:t>
      </w:r>
      <w:r w:rsidR="009A5DA6">
        <w:t xml:space="preserve"> vanaf 2027 structureel</w:t>
      </w:r>
      <w:r w:rsidRPr="00931774" w:rsidR="00540FA1">
        <w:t xml:space="preserve"> met </w:t>
      </w:r>
      <w:bookmarkStart w:name="_Hlk202442158" w:id="0"/>
      <w:r w:rsidRPr="00931774" w:rsidR="00540FA1">
        <w:t xml:space="preserve">€ 50 miljoen </w:t>
      </w:r>
      <w:bookmarkEnd w:id="0"/>
      <w:r w:rsidRPr="00931774" w:rsidR="00540FA1">
        <w:t>verlaagd. In het amendement wordt daaraan gekoppeld om de Ster en de NPO meer ruimte te geven om (online) reclame-inkomsten te genereren.</w:t>
      </w:r>
    </w:p>
    <w:p w:rsidRPr="00931774" w:rsidR="00540FA1" w:rsidP="00540FA1" w:rsidRDefault="00540FA1" w14:paraId="405AA438" w14:textId="77777777"/>
    <w:p w:rsidRPr="00931774" w:rsidR="00540FA1" w:rsidP="00540FA1" w:rsidRDefault="006036E5" w14:paraId="78E326A6" w14:textId="4171EAE2">
      <w:r w:rsidRPr="00931774">
        <w:t xml:space="preserve">Vanaf 2027 wordt er structureel € 156,7 miljoen bezuinigd op de </w:t>
      </w:r>
      <w:proofErr w:type="spellStart"/>
      <w:r w:rsidRPr="00931774">
        <w:t>rijksmediabijdrage</w:t>
      </w:r>
      <w:proofErr w:type="spellEnd"/>
      <w:r w:rsidRPr="00931774">
        <w:t xml:space="preserve"> voor de landelijke publieke omroep</w:t>
      </w:r>
      <w:r w:rsidR="00112B5A">
        <w:t>.</w:t>
      </w:r>
      <w:r>
        <w:t xml:space="preserve"> Naast de verlaging uit het amendement Bontenbal gaat het om een verlaging van € 106,7 miljoen die voortvloeit uit </w:t>
      </w:r>
      <w:r w:rsidR="00E94ED0">
        <w:t xml:space="preserve">de maatregelen uit </w:t>
      </w:r>
      <w:r>
        <w:t>het Hoofdlijnenakkoord 2024-20</w:t>
      </w:r>
      <w:r w:rsidR="005053CF">
        <w:t>2</w:t>
      </w:r>
      <w:r>
        <w:t xml:space="preserve">8. </w:t>
      </w:r>
      <w:r w:rsidR="00E94ED0">
        <w:t xml:space="preserve">Die verlaging wordt verwerkt in de Mediawet, ik streef ernaar dat wetsvoorstel in het eerste kwartaal van 2026 aan uw Kamer aan de bieden. </w:t>
      </w:r>
      <w:r w:rsidRPr="00931774" w:rsidR="0035132B">
        <w:t xml:space="preserve">Op </w:t>
      </w:r>
      <w:r w:rsidRPr="00931774" w:rsidR="00540FA1">
        <w:t xml:space="preserve">basis van artikel 2.148a van de Mediawet 2008 </w:t>
      </w:r>
      <w:r w:rsidRPr="00931774" w:rsidR="0035132B">
        <w:t xml:space="preserve">moet </w:t>
      </w:r>
      <w:r w:rsidRPr="00931774" w:rsidR="00540FA1">
        <w:t xml:space="preserve">bij het begin van een nieuwe </w:t>
      </w:r>
      <w:proofErr w:type="spellStart"/>
      <w:r w:rsidRPr="00931774" w:rsidR="00540FA1">
        <w:t>erkenningperiode</w:t>
      </w:r>
      <w:proofErr w:type="spellEnd"/>
      <w:r w:rsidRPr="00931774" w:rsidR="00540FA1">
        <w:t xml:space="preserve"> of bij tussentijdse </w:t>
      </w:r>
      <w:r w:rsidR="009A5DA6">
        <w:t xml:space="preserve">budgettaire </w:t>
      </w:r>
      <w:r w:rsidRPr="00931774" w:rsidR="00540FA1">
        <w:t>verlagingen tijdig een nieuw minimumbudget voor de landelijke publieke omroep worden vastgesteld, inclusief de hoogte van het aandeel reclame-inkomsten</w:t>
      </w:r>
      <w:r w:rsidR="00084EBE">
        <w:t xml:space="preserve"> in dat budget</w:t>
      </w:r>
      <w:r w:rsidRPr="00931774" w:rsidR="00540FA1">
        <w:t xml:space="preserve">. </w:t>
      </w:r>
      <w:r>
        <w:t xml:space="preserve">Door de verlaging van de </w:t>
      </w:r>
      <w:proofErr w:type="spellStart"/>
      <w:r>
        <w:t>rijksmediabijdrage</w:t>
      </w:r>
      <w:proofErr w:type="spellEnd"/>
      <w:r>
        <w:t xml:space="preserve"> is </w:t>
      </w:r>
      <w:r w:rsidRPr="00931774" w:rsidR="00540FA1">
        <w:t>het noodzakelijk een nieuw minimumbudget vast te stellen.</w:t>
      </w:r>
      <w:r w:rsidR="00084EBE">
        <w:t xml:space="preserve"> </w:t>
      </w:r>
    </w:p>
    <w:p w:rsidRPr="00931774" w:rsidR="00540FA1" w:rsidP="00540FA1" w:rsidRDefault="00540FA1" w14:paraId="0A910805" w14:textId="77777777"/>
    <w:p w:rsidRPr="00931774" w:rsidR="00540FA1" w:rsidP="00540FA1" w:rsidRDefault="00540FA1" w14:paraId="78ED57FE" w14:textId="2B9B98CF">
      <w:r w:rsidRPr="00931774">
        <w:t xml:space="preserve">Bovenstaande </w:t>
      </w:r>
      <w:r w:rsidRPr="00931774" w:rsidR="00027739">
        <w:t xml:space="preserve">aanleidingen voor het onderzoek en bepalingen in de Mediawet </w:t>
      </w:r>
      <w:r w:rsidRPr="00931774">
        <w:t>beteken</w:t>
      </w:r>
      <w:r w:rsidRPr="00931774" w:rsidR="00027739">
        <w:t>en</w:t>
      </w:r>
      <w:r w:rsidRPr="00931774">
        <w:t xml:space="preserve"> </w:t>
      </w:r>
      <w:r w:rsidRPr="00931774" w:rsidR="00DA72D2">
        <w:t>tezamen</w:t>
      </w:r>
      <w:r w:rsidRPr="00931774" w:rsidR="00027739">
        <w:t xml:space="preserve"> </w:t>
      </w:r>
      <w:r w:rsidRPr="00931774">
        <w:t>dat er een besluit moet worden genomen over de hoogte van de financiering van de landelijke publieke omroep</w:t>
      </w:r>
      <w:r w:rsidRPr="00931774" w:rsidR="00CE6034">
        <w:t xml:space="preserve"> per 2027</w:t>
      </w:r>
      <w:r w:rsidR="00084EBE">
        <w:t xml:space="preserve"> e</w:t>
      </w:r>
      <w:r w:rsidR="00F7424A">
        <w:t xml:space="preserve">n </w:t>
      </w:r>
      <w:r w:rsidRPr="00931774">
        <w:t>het aandeel van de reclame-inkomsten in die financiering</w:t>
      </w:r>
      <w:r w:rsidR="00084EBE">
        <w:t xml:space="preserve">, </w:t>
      </w:r>
      <w:r w:rsidRPr="00931774">
        <w:t xml:space="preserve">en de manier waarop die inkomsten door de Ster kunnen worden gegenereerd. </w:t>
      </w:r>
    </w:p>
    <w:p w:rsidRPr="00931774" w:rsidR="00540FA1" w:rsidP="00540FA1" w:rsidRDefault="00540FA1" w14:paraId="4455A39C" w14:textId="77777777"/>
    <w:p w:rsidR="00540FA1" w:rsidP="00540FA1" w:rsidRDefault="00540FA1" w14:paraId="53DB92E2" w14:textId="3CBDE21D">
      <w:r w:rsidRPr="00931774">
        <w:t xml:space="preserve">Bij dat besluit spelen meerdere belangen die zorgvuldig tegen elkaar moeten worden afgewogen. De kijker en de maatschappij zijn gebaat bij een sterke landelijke publieke omroep die zijn democratische en verbindende functie in onafhankelijkheid kan vervullen. </w:t>
      </w:r>
    </w:p>
    <w:p w:rsidRPr="00931774" w:rsidR="00A91A3A" w:rsidP="00540FA1" w:rsidRDefault="00A91A3A" w14:paraId="15BF870C" w14:textId="77777777"/>
    <w:p w:rsidRPr="00931774" w:rsidR="00540FA1" w:rsidP="00540FA1" w:rsidRDefault="00540FA1" w14:paraId="299ED37A" w14:textId="2F055A94">
      <w:r w:rsidRPr="00931774">
        <w:t xml:space="preserve">De kijker en maatschappij zijn evengoed gebaat bij ruimte voor private mediapartijen, die samen met de publieke media kwalitatief hoogwaardig Nederlands (journalistiek) media-aanbod maken te midden van steeds meer internationale mediaspelers die zich met </w:t>
      </w:r>
      <w:r w:rsidR="008977EB">
        <w:t xml:space="preserve">hun </w:t>
      </w:r>
      <w:r w:rsidRPr="00931774">
        <w:t xml:space="preserve">aanbod en diensten </w:t>
      </w:r>
      <w:r w:rsidR="008977EB">
        <w:t xml:space="preserve">ook </w:t>
      </w:r>
      <w:r w:rsidRPr="00931774">
        <w:t xml:space="preserve">richten op de Nederlandse markt. </w:t>
      </w:r>
      <w:r w:rsidR="008977EB">
        <w:t xml:space="preserve">Van belang is dat </w:t>
      </w:r>
      <w:r w:rsidRPr="00931774">
        <w:t xml:space="preserve">er een sterk en pluriform Nederlands medialandschap blijft bestaan met </w:t>
      </w:r>
      <w:r w:rsidR="00C03C2D">
        <w:t xml:space="preserve">een </w:t>
      </w:r>
      <w:r w:rsidRPr="00931774">
        <w:t xml:space="preserve">aanbod dat zorgt voor verbinding en versterking van de Nederlandse taal en cultuur. </w:t>
      </w:r>
      <w:r w:rsidR="00C03C2D">
        <w:t>Dit leidt tot e</w:t>
      </w:r>
      <w:r w:rsidRPr="00931774">
        <w:t>en economisch sterke sector die gestut wordt door onze audiovisuele producenten en creatieve makers.</w:t>
      </w:r>
    </w:p>
    <w:p w:rsidRPr="00931774" w:rsidR="00540FA1" w:rsidP="00540FA1" w:rsidRDefault="00540FA1" w14:paraId="4D23ADF6" w14:textId="77777777"/>
    <w:p w:rsidRPr="00931774" w:rsidR="00540FA1" w:rsidP="00540FA1" w:rsidRDefault="00540FA1" w14:paraId="572F9CC1" w14:textId="1A240AB0">
      <w:r w:rsidRPr="00931774">
        <w:t xml:space="preserve">Tegen deze achtergrond </w:t>
      </w:r>
      <w:r w:rsidR="008977EB">
        <w:t>heeft</w:t>
      </w:r>
      <w:r w:rsidRPr="00931774" w:rsidR="000E0591">
        <w:t xml:space="preserve"> mijn ambtsvoorganger </w:t>
      </w:r>
      <w:r w:rsidRPr="00931774">
        <w:t xml:space="preserve">de onderzoekers van SEO gevraagd een impactanalyse uit te voeren naar de gevolgen van een uitbreiding van de wettelijke reclamemogelijkheden van de Ster voor de private mediapartijen en naar de verwachte impact van een uitbreiding op de hoogte van </w:t>
      </w:r>
      <w:r w:rsidR="00112B5A">
        <w:t>d</w:t>
      </w:r>
      <w:r w:rsidRPr="00931774">
        <w:t xml:space="preserve">e Ster-inkomsten. </w:t>
      </w:r>
      <w:r w:rsidR="00404016">
        <w:t>Het bijbehorende rapport is vorige maand aan uw Kamer verzonden.</w:t>
      </w:r>
      <w:r w:rsidR="004C703E">
        <w:rPr>
          <w:rStyle w:val="Voetnootmarkering"/>
        </w:rPr>
        <w:footnoteReference w:id="3"/>
      </w:r>
    </w:p>
    <w:p w:rsidRPr="00931774" w:rsidR="00540FA1" w:rsidP="00540FA1" w:rsidRDefault="00540FA1" w14:paraId="589D77F2" w14:textId="1ED41CEE">
      <w:pPr>
        <w:rPr>
          <w:i/>
          <w:iCs/>
        </w:rPr>
      </w:pPr>
      <w:r w:rsidRPr="00931774">
        <w:rPr>
          <w:i/>
          <w:iCs/>
        </w:rPr>
        <w:lastRenderedPageBreak/>
        <w:t xml:space="preserve">Huidige </w:t>
      </w:r>
      <w:r w:rsidRPr="00931774" w:rsidR="0035132B">
        <w:rPr>
          <w:i/>
          <w:iCs/>
        </w:rPr>
        <w:t>reclamemogelijkheden landelijke publieke omroep</w:t>
      </w:r>
    </w:p>
    <w:p w:rsidRPr="00931774" w:rsidR="00540FA1" w:rsidP="00540FA1" w:rsidRDefault="00540FA1" w14:paraId="2C0F64F8" w14:textId="77777777">
      <w:pPr>
        <w:rPr>
          <w:i/>
          <w:iCs/>
        </w:rPr>
      </w:pPr>
    </w:p>
    <w:p w:rsidRPr="00931774" w:rsidR="00540FA1" w:rsidP="00540FA1" w:rsidRDefault="00540FA1" w14:paraId="26342608" w14:textId="102DC0B9">
      <w:r w:rsidRPr="00931774">
        <w:t>De reclameregels voor de landelijke publieke omroep zijn vastgelegd in de Mediawet 2008, in lagere regelgeving, in beleidsregels van het Commissariaat voor de Media en in bindende regelingen van de NPO.</w:t>
      </w:r>
      <w:r w:rsidRPr="00931774">
        <w:rPr>
          <w:rStyle w:val="Voetnootmarkering"/>
        </w:rPr>
        <w:footnoteReference w:id="4"/>
      </w:r>
      <w:r w:rsidRPr="00931774">
        <w:t xml:space="preserve"> Het uitgangspunt is hierbij dat de publieke omroep reclameluw moet zijn. Daarom zijn beperkende maatregelen opgenomen over de duur en hoeveelheid van alle verschillende vormen van reclame op de verschillende kanalen</w:t>
      </w:r>
      <w:r w:rsidR="004C703E">
        <w:t xml:space="preserve"> van de</w:t>
      </w:r>
      <w:r w:rsidRPr="00931774">
        <w:t xml:space="preserve"> landelijke publieke omroep. De belangrijkste daarvan zijn dat op de lineaire videokanalen maximaal 8% en op de lineaire audiokanalen maximaal 10% van de zendtijd beschikbaar is voor reclame en dat reclame in online en on </w:t>
      </w:r>
      <w:proofErr w:type="spellStart"/>
      <w:r w:rsidRPr="00931774">
        <w:t>demand</w:t>
      </w:r>
      <w:proofErr w:type="spellEnd"/>
      <w:r w:rsidRPr="00931774">
        <w:t xml:space="preserve"> video-aanbod en reclame rond kinderprogrammering niet is toegestaan. In de beleidsregel van het Commissariaat en de bindende regeling van de NPO worden nadere beperkingen ingevuld specifiek voor het online domein, zoals de maximale toegestane lengte van een pre</w:t>
      </w:r>
      <w:r w:rsidR="00C03C2D">
        <w:t>-</w:t>
      </w:r>
      <w:proofErr w:type="spellStart"/>
      <w:r w:rsidRPr="00931774">
        <w:t>roll</w:t>
      </w:r>
      <w:proofErr w:type="spellEnd"/>
      <w:r w:rsidRPr="00931774">
        <w:t xml:space="preserve"> </w:t>
      </w:r>
      <w:r w:rsidRPr="00931774" w:rsidR="002E3B43">
        <w:t>(</w:t>
      </w:r>
      <w:r w:rsidR="00C03C2D">
        <w:t xml:space="preserve">een </w:t>
      </w:r>
      <w:r w:rsidRPr="00931774" w:rsidR="002E3B43">
        <w:t xml:space="preserve">video-advertentie voorafgaand aan online of on </w:t>
      </w:r>
      <w:proofErr w:type="spellStart"/>
      <w:r w:rsidRPr="00931774" w:rsidR="002E3B43">
        <w:t>demand</w:t>
      </w:r>
      <w:proofErr w:type="spellEnd"/>
      <w:r w:rsidRPr="00931774" w:rsidR="002E3B43">
        <w:t xml:space="preserve"> video-aanbod) </w:t>
      </w:r>
      <w:r w:rsidRPr="00931774">
        <w:t>en de omvang en hoeveelheid van zogenaamde banners (een reclame-afbeelding op een webpagina</w:t>
      </w:r>
      <w:r w:rsidR="000C25D7">
        <w:t xml:space="preserve"> of </w:t>
      </w:r>
      <w:r w:rsidR="00AE31CE">
        <w:t xml:space="preserve">in </w:t>
      </w:r>
      <w:r w:rsidR="000C25D7">
        <w:t>apps</w:t>
      </w:r>
      <w:r w:rsidRPr="00931774">
        <w:t xml:space="preserve">) op nieuwssites. </w:t>
      </w:r>
    </w:p>
    <w:p w:rsidRPr="00931774" w:rsidR="00540FA1" w:rsidP="00540FA1" w:rsidRDefault="00540FA1" w14:paraId="5DC0E66B" w14:textId="77777777"/>
    <w:p w:rsidRPr="00931774" w:rsidR="00540FA1" w:rsidP="00540FA1" w:rsidRDefault="00540FA1" w14:paraId="4C548EAE" w14:textId="77777777">
      <w:pPr>
        <w:rPr>
          <w:i/>
          <w:iCs/>
        </w:rPr>
      </w:pPr>
      <w:r w:rsidRPr="00931774">
        <w:rPr>
          <w:i/>
          <w:iCs/>
        </w:rPr>
        <w:t>Uitkomsten impactanalyse</w:t>
      </w:r>
    </w:p>
    <w:p w:rsidRPr="00931774" w:rsidR="00540FA1" w:rsidP="00540FA1" w:rsidRDefault="00540FA1" w14:paraId="62F2940F" w14:textId="77777777">
      <w:pPr>
        <w:rPr>
          <w:i/>
          <w:iCs/>
        </w:rPr>
      </w:pPr>
    </w:p>
    <w:p w:rsidRPr="00931774" w:rsidR="00540FA1" w:rsidP="00540FA1" w:rsidRDefault="00540FA1" w14:paraId="0F26DE0A" w14:textId="53A642B1">
      <w:pPr>
        <w:pStyle w:val="Lijstalinea"/>
        <w:numPr>
          <w:ilvl w:val="0"/>
          <w:numId w:val="17"/>
        </w:numPr>
      </w:pPr>
      <w:r w:rsidRPr="00931774">
        <w:t xml:space="preserve">De impactanalyse bevestigt het beeld van veranderende consumentenvoorkeuren waarbij media-aanbod steeds meer wordt geconsumeerd via digitale platformen, met name onder jongeren. Het kijktijdaandeel van de lineaire kanalen en daarmee het bereik van reclames op die kanalen dalen juist. </w:t>
      </w:r>
      <w:r w:rsidR="00263FB5">
        <w:t>Het bereik van advertenties op de lineaire televisiekanalen is daardoor sinds 20</w:t>
      </w:r>
      <w:r w:rsidR="00FE2A01">
        <w:t>1</w:t>
      </w:r>
      <w:r w:rsidR="00263FB5">
        <w:t>6 met bijna 40% afgenomen. Die daling</w:t>
      </w:r>
      <w:r w:rsidRPr="00931774" w:rsidR="00263FB5">
        <w:t xml:space="preserve"> </w:t>
      </w:r>
      <w:r w:rsidRPr="00931774">
        <w:t>kan alleen worden gecompenseerd met hogere prijzen, maar daaraan zit een grens wat haalbaar en</w:t>
      </w:r>
      <w:r w:rsidRPr="00931774" w:rsidR="00CE6034">
        <w:t xml:space="preserve"> </w:t>
      </w:r>
      <w:r w:rsidRPr="00931774">
        <w:t xml:space="preserve">wenselijk is. De onderzoekers concluderen dat de prijzen voor lineaire televisiereclame sinds 2016 met </w:t>
      </w:r>
      <w:r w:rsidR="00263FB5">
        <w:t>bijna</w:t>
      </w:r>
      <w:r w:rsidRPr="00931774" w:rsidR="00263FB5">
        <w:t xml:space="preserve"> </w:t>
      </w:r>
      <w:r w:rsidRPr="00931774">
        <w:t xml:space="preserve">60% zijn gestegen. </w:t>
      </w:r>
      <w:r w:rsidR="00263FB5">
        <w:t xml:space="preserve">Daarmee zijn de bestedingen op deze deelmarkt in nominale termen op peil gebleven. Gecorrigeerd voor inflatie is </w:t>
      </w:r>
      <w:r w:rsidR="00C03C2D">
        <w:t xml:space="preserve">er </w:t>
      </w:r>
      <w:r w:rsidR="00263FB5">
        <w:t xml:space="preserve">in reële termen </w:t>
      </w:r>
      <w:r w:rsidR="00C03C2D">
        <w:t xml:space="preserve">echter </w:t>
      </w:r>
      <w:r w:rsidR="00263FB5">
        <w:t xml:space="preserve">sprake van een krimpende markt. </w:t>
      </w:r>
      <w:r w:rsidRPr="00931774">
        <w:t xml:space="preserve">De onderzoekers stellen dat reclame op de lineaire kanalen voor bepaalde doeleinden populair zal blijven </w:t>
      </w:r>
      <w:r w:rsidR="00C03C2D">
        <w:t>maar</w:t>
      </w:r>
      <w:r w:rsidRPr="00931774">
        <w:t xml:space="preserve"> dat er naar verwachting wel een bodem in </w:t>
      </w:r>
      <w:r w:rsidR="00263FB5">
        <w:t>het bereik van de</w:t>
      </w:r>
      <w:r w:rsidR="00A91A3A">
        <w:t xml:space="preserve"> </w:t>
      </w:r>
      <w:r w:rsidRPr="00931774">
        <w:t>markt zit</w:t>
      </w:r>
      <w:r w:rsidR="00C03C2D">
        <w:t>. De onderzoekers</w:t>
      </w:r>
      <w:r w:rsidRPr="00931774">
        <w:t xml:space="preserve"> spreken geen verwachting uit op welk niveau die bodem precies ligt.</w:t>
      </w:r>
    </w:p>
    <w:p w:rsidRPr="00931774" w:rsidR="00540FA1" w:rsidP="00540FA1" w:rsidRDefault="00540FA1" w14:paraId="6120F042" w14:textId="1AE644AD">
      <w:pPr>
        <w:pStyle w:val="Lijstalinea"/>
        <w:numPr>
          <w:ilvl w:val="0"/>
          <w:numId w:val="17"/>
        </w:numPr>
      </w:pPr>
      <w:r w:rsidRPr="00931774">
        <w:t xml:space="preserve">De onderzoekers hebben in kaart gebracht op welke deelmarkten van de advertentiemarkt de Ster actief is. Dat zijn voor de Ster op dit moment met name lineaire tv en lineaire radio en in mindere mate (delen van) het online domein; waarbij </w:t>
      </w:r>
      <w:r w:rsidR="00263FB5">
        <w:t>het bereik op</w:t>
      </w:r>
      <w:r w:rsidRPr="00931774" w:rsidR="00263FB5">
        <w:t xml:space="preserve"> </w:t>
      </w:r>
      <w:r w:rsidRPr="00931774">
        <w:t xml:space="preserve">advertentiemarkt voor lineaire televisie </w:t>
      </w:r>
      <w:r w:rsidR="00263FB5">
        <w:t>afneemt</w:t>
      </w:r>
      <w:r w:rsidRPr="00931774">
        <w:t xml:space="preserve"> terwijl in de deelmarkt voor online video </w:t>
      </w:r>
      <w:r w:rsidR="00C03C2D">
        <w:t xml:space="preserve">toekomstige </w:t>
      </w:r>
      <w:r w:rsidRPr="00931774">
        <w:t xml:space="preserve">groei zit. SEO concludeert daarom dat additionele reclame-inkomsten </w:t>
      </w:r>
      <w:r w:rsidRPr="00931774" w:rsidR="000E0591">
        <w:t xml:space="preserve">voor de landelijke publieke omroep </w:t>
      </w:r>
      <w:r w:rsidRPr="00931774">
        <w:t xml:space="preserve">met name kunnen komen uit het online domein. Vervolgens is er een inschatting gemaakt van de mogelijke opbrengsten van een uitbreiding van de reclamemogelijkheden voor de Ster, </w:t>
      </w:r>
      <w:r w:rsidRPr="00931774" w:rsidR="007F00DB">
        <w:t>waaronder</w:t>
      </w:r>
      <w:r w:rsidRPr="00931774">
        <w:t xml:space="preserve"> </w:t>
      </w:r>
      <w:r w:rsidRPr="00931774" w:rsidR="007F00DB">
        <w:t xml:space="preserve">het verruimen van de maximaal toegestane reclame op de lineaire </w:t>
      </w:r>
      <w:r w:rsidRPr="00931774" w:rsidR="007F00DB">
        <w:lastRenderedPageBreak/>
        <w:t>televisiekanalen van 8% naar 10% en het opnieuw toestaan van reclame bij</w:t>
      </w:r>
      <w:r w:rsidRPr="00931774">
        <w:t xml:space="preserve"> online video-aanbod</w:t>
      </w:r>
      <w:r w:rsidRPr="00931774" w:rsidR="007F00DB">
        <w:t>,</w:t>
      </w:r>
      <w:r w:rsidRPr="00931774">
        <w:t xml:space="preserve"> waar reclame nu niet is toegestaan. </w:t>
      </w:r>
    </w:p>
    <w:p w:rsidRPr="00931774" w:rsidR="00540FA1" w:rsidP="00540FA1" w:rsidRDefault="00540FA1" w14:paraId="47AE10E2" w14:textId="055A5F66">
      <w:pPr>
        <w:pStyle w:val="Lijstalinea"/>
        <w:numPr>
          <w:ilvl w:val="0"/>
          <w:numId w:val="17"/>
        </w:numPr>
      </w:pPr>
      <w:r w:rsidRPr="00931774">
        <w:t>SEO concludeert dat slechts een deel van de € 50 miljoen uit het amendement Bontenbal kan worden opgevangen met een verruiming van het commerciële reclame-aanbod op de kanalen van de landelijke publieke omroep. De Ster kan door de afspraken over maximale hoeveelheid en duur van de reclame op de kanalen van de landelijke publieke omroep namelijk maar een beperkte extra opbrengst realiseren via verruiming van de reclamemogelijkheden. SEO schat in, hierbij gebruikmakend van twee verschillende scenario’s voor de te verwachten groei</w:t>
      </w:r>
      <w:r w:rsidR="004C703E">
        <w:t>,</w:t>
      </w:r>
      <w:r w:rsidRPr="00931774">
        <w:t xml:space="preserve"> dat in het digitale domein de omzet uit banners in 2027 ten opzichte van de huidige situatie kan toenemen met </w:t>
      </w:r>
      <w:r w:rsidR="00CC18A0">
        <w:t xml:space="preserve">€ </w:t>
      </w:r>
      <w:r w:rsidRPr="00931774">
        <w:t>1 tot 3 miljoen, en de omzet uit pre-</w:t>
      </w:r>
      <w:proofErr w:type="spellStart"/>
      <w:r w:rsidRPr="00931774">
        <w:t>rolls</w:t>
      </w:r>
      <w:proofErr w:type="spellEnd"/>
      <w:r w:rsidRPr="00931774">
        <w:t xml:space="preserve"> </w:t>
      </w:r>
      <w:r w:rsidR="00AE31CE">
        <w:t xml:space="preserve">bij online video-aanbod </w:t>
      </w:r>
      <w:r w:rsidRPr="00931774">
        <w:t xml:space="preserve">met </w:t>
      </w:r>
      <w:r w:rsidR="00CC18A0">
        <w:t xml:space="preserve">€ </w:t>
      </w:r>
      <w:r w:rsidRPr="00931774">
        <w:t xml:space="preserve">9 tot 23 miljoen, afhankelijk van de mate waarin de relevante deelmarkten zich ontwikkelen. </w:t>
      </w:r>
      <w:r w:rsidR="00263FB5">
        <w:t xml:space="preserve">De onzekerheid bij de ontwikkeling van de deelmarkten komt tot uiting in de </w:t>
      </w:r>
      <w:r w:rsidR="00F24FAE">
        <w:t xml:space="preserve">brede </w:t>
      </w:r>
      <w:r w:rsidR="00263FB5">
        <w:t xml:space="preserve">bandbreedtes bij deze schattingen. </w:t>
      </w:r>
      <w:r w:rsidRPr="00931774">
        <w:t>Verruiming van de mogelijkheden voor reclame bij lineair</w:t>
      </w:r>
      <w:r w:rsidR="000316DF">
        <w:t>e televisie</w:t>
      </w:r>
      <w:r w:rsidRPr="00931774">
        <w:t xml:space="preserve">  (van 8% naar 10%) kan volgens de onderzoekers € 5 </w:t>
      </w:r>
      <w:r w:rsidRPr="00931774" w:rsidR="00931774">
        <w:t xml:space="preserve">tot 6 </w:t>
      </w:r>
      <w:r w:rsidRPr="00931774">
        <w:t>miljoen opleveren, onder de aanname dat de deelmarkt voor lineair</w:t>
      </w:r>
      <w:r w:rsidR="000316DF">
        <w:t>e</w:t>
      </w:r>
      <w:r w:rsidRPr="00931774">
        <w:t xml:space="preserve"> </w:t>
      </w:r>
      <w:r w:rsidR="000316DF">
        <w:t>televisie</w:t>
      </w:r>
      <w:r w:rsidRPr="00931774">
        <w:t xml:space="preserve"> </w:t>
      </w:r>
      <w:r w:rsidR="00263FB5">
        <w:t>in nominale termen</w:t>
      </w:r>
      <w:r w:rsidRPr="00931774">
        <w:t xml:space="preserve"> stabiel blijft. Het onderzoek van SEO laat dus zien dat het niet realistisch is dat uit een verruiming van de (online) reclamemogelijkheden een bedrag van € 50 miljoen gehaald kan worden zoals het amendement Bontenbal vraagt.</w:t>
      </w:r>
    </w:p>
    <w:p w:rsidRPr="00931774" w:rsidR="00F7424A" w:rsidP="00F7424A" w:rsidRDefault="00540FA1" w14:paraId="3B9F0925" w14:textId="074AF0E1">
      <w:pPr>
        <w:pStyle w:val="Lijstalinea"/>
        <w:numPr>
          <w:ilvl w:val="0"/>
          <w:numId w:val="17"/>
        </w:numPr>
      </w:pPr>
      <w:r w:rsidRPr="00931774">
        <w:t>De onderzoekers concluderen dat de Ster op de deelmarkten voor lineair</w:t>
      </w:r>
      <w:r w:rsidR="000316DF">
        <w:t>e</w:t>
      </w:r>
      <w:r w:rsidRPr="00931774">
        <w:t xml:space="preserve"> </w:t>
      </w:r>
      <w:r w:rsidR="000316DF">
        <w:t xml:space="preserve">televisie </w:t>
      </w:r>
      <w:r w:rsidRPr="00931774">
        <w:t xml:space="preserve">en voor online en on </w:t>
      </w:r>
      <w:proofErr w:type="spellStart"/>
      <w:r w:rsidRPr="00931774">
        <w:t>demand</w:t>
      </w:r>
      <w:proofErr w:type="spellEnd"/>
      <w:r w:rsidRPr="00931774">
        <w:t xml:space="preserve"> video-aanbod met name concurreert of zou concurreren met andere, private, Nederlandse spelers. Een uitbreiding van de Ster op deze markten heeft daarmee onvermijdelijk impact op het verdienvermogen van deze partijen. De mate waarin</w:t>
      </w:r>
      <w:r w:rsidR="004C703E">
        <w:t>,</w:t>
      </w:r>
      <w:r w:rsidRPr="00931774">
        <w:t xml:space="preserve"> is om te beginnen afhankelijk van de ontwikkeling op deze markten. Het rapport van SEO laat zien dat de advertentiemarkt voor online video een groeiende markt is. Bij uitbreiding van de mogelijkheden van de Ster op deze markt zal een deel van de groei in de toekomst naar de Ster </w:t>
      </w:r>
      <w:r w:rsidR="00263FB5">
        <w:t xml:space="preserve">kunnen </w:t>
      </w:r>
      <w:r w:rsidRPr="00931774">
        <w:t>vloeien. De precieze impact is afhankelijk van de marktontwikkeling en daarnaast van de mate waarin er door de uitbreiding van de mogelijkheden voor de Ster eigenstandige, autonome marktgroei optreedt én de mate waarin er substitutie plaatsvindt met overige (deel)advertentiemarkten, met name de advertentiemarkten waarop grote internationale streamingsdiensten en grote internationale (</w:t>
      </w:r>
      <w:proofErr w:type="spellStart"/>
      <w:r w:rsidRPr="00931774">
        <w:t>tech</w:t>
      </w:r>
      <w:proofErr w:type="spellEnd"/>
      <w:r w:rsidRPr="00931774">
        <w:t>)bedrijven actief zijn. De impactanalyse laat zien dat voor die autonome marktgroei en substitutie enige ruimte is, maar dat die ruimte waarschijnlijk beperkt is en afhankelijk van (onzekere) toekomstige ontwikkelingen. Op de deelmarkt voor banners zien de onderzoekers met name substitutie op het gebied van nieuwswebsites.</w:t>
      </w:r>
    </w:p>
    <w:p w:rsidRPr="00931774" w:rsidR="00540FA1" w:rsidP="00540FA1" w:rsidRDefault="00540FA1" w14:paraId="22A027CE" w14:textId="77777777">
      <w:pPr>
        <w:rPr>
          <w:i/>
          <w:iCs/>
        </w:rPr>
      </w:pPr>
    </w:p>
    <w:p w:rsidRPr="00931774" w:rsidR="00540FA1" w:rsidP="00540FA1" w:rsidRDefault="00540FA1" w14:paraId="7523C7A6" w14:textId="76EE3699">
      <w:pPr>
        <w:rPr>
          <w:i/>
          <w:iCs/>
        </w:rPr>
      </w:pPr>
      <w:r w:rsidRPr="00931774">
        <w:rPr>
          <w:i/>
          <w:iCs/>
        </w:rPr>
        <w:t xml:space="preserve">Besluit </w:t>
      </w:r>
      <w:r w:rsidRPr="00931774" w:rsidR="00CE6034">
        <w:rPr>
          <w:i/>
          <w:iCs/>
        </w:rPr>
        <w:t>verruiming reclamemogelijkheden Ster en aandeel reclame-inkomsten in financiering NPO</w:t>
      </w:r>
    </w:p>
    <w:p w:rsidRPr="00931774" w:rsidR="00540FA1" w:rsidP="00540FA1" w:rsidRDefault="00540FA1" w14:paraId="78AF25E2" w14:textId="77777777">
      <w:pPr>
        <w:rPr>
          <w:i/>
          <w:iCs/>
        </w:rPr>
      </w:pPr>
    </w:p>
    <w:p w:rsidRPr="00931774" w:rsidR="00540FA1" w:rsidP="00540FA1" w:rsidRDefault="00540FA1" w14:paraId="724D5598" w14:textId="59891D28">
      <w:r w:rsidRPr="00931774">
        <w:t xml:space="preserve">De </w:t>
      </w:r>
      <w:r w:rsidRPr="00931774" w:rsidR="007F00DB">
        <w:t>impactanalyse</w:t>
      </w:r>
      <w:r w:rsidRPr="00931774">
        <w:t xml:space="preserve"> </w:t>
      </w:r>
      <w:r w:rsidRPr="00931774" w:rsidR="007F00DB">
        <w:t xml:space="preserve">geeft </w:t>
      </w:r>
      <w:r w:rsidRPr="00931774">
        <w:t xml:space="preserve">input voor de </w:t>
      </w:r>
      <w:r w:rsidRPr="00931774" w:rsidR="00CE6034">
        <w:t xml:space="preserve">gevraagde </w:t>
      </w:r>
      <w:r w:rsidRPr="00931774">
        <w:t xml:space="preserve">besluitvorming en de afwegingen die daarbij moeten worden gemaakt. Het onderzoek bevestigt dat de markt voor lineaire televisie weliswaar substantiële inkomsten oplevert, maar </w:t>
      </w:r>
      <w:r w:rsidR="00263FB5">
        <w:t xml:space="preserve">dat het bereik op deze markt </w:t>
      </w:r>
      <w:r w:rsidR="00BF6CF8">
        <w:t>afneemt</w:t>
      </w:r>
      <w:r w:rsidRPr="00931774" w:rsidR="000E0591">
        <w:t>,</w:t>
      </w:r>
      <w:r w:rsidRPr="00931774">
        <w:t xml:space="preserve"> waar</w:t>
      </w:r>
      <w:r w:rsidR="00BF6CF8">
        <w:t>door</w:t>
      </w:r>
      <w:r w:rsidRPr="00931774">
        <w:t xml:space="preserve"> de inkomsten tot nu alleen op peil konden blijven door stijgende prijzen. Verdere </w:t>
      </w:r>
      <w:r w:rsidR="00BF6CF8">
        <w:t>daling van het bereik op deze markt</w:t>
      </w:r>
      <w:r w:rsidRPr="00931774" w:rsidR="00BF6CF8">
        <w:t xml:space="preserve"> </w:t>
      </w:r>
      <w:r w:rsidRPr="00931774">
        <w:t xml:space="preserve">door het veranderend kijkgedrag ligt voor de hand. De impactanalyse laat zien dat het mogelijk is om het aandeel reclame-inkomsten in de financiering van de landelijke </w:t>
      </w:r>
      <w:r w:rsidRPr="00931774">
        <w:lastRenderedPageBreak/>
        <w:t xml:space="preserve">publieke omroep beperkt te verhogen als de lineaire reclameruimte wordt verruimd en als weer </w:t>
      </w:r>
      <w:r w:rsidRPr="00931774" w:rsidR="002E3B43">
        <w:t xml:space="preserve">beperkt </w:t>
      </w:r>
      <w:r w:rsidR="00BF6CF8">
        <w:t>zou worden</w:t>
      </w:r>
      <w:r w:rsidRPr="00931774" w:rsidR="00BF6CF8">
        <w:t xml:space="preserve"> </w:t>
      </w:r>
      <w:r w:rsidRPr="00931774">
        <w:t xml:space="preserve">toegestaan dat er reclame wordt geplaatst bij online en on </w:t>
      </w:r>
      <w:proofErr w:type="spellStart"/>
      <w:r w:rsidRPr="00931774">
        <w:t>demand</w:t>
      </w:r>
      <w:proofErr w:type="spellEnd"/>
      <w:r w:rsidRPr="00931774">
        <w:t xml:space="preserve"> video</w:t>
      </w:r>
      <w:r w:rsidR="000316DF">
        <w:t>-</w:t>
      </w:r>
      <w:r w:rsidRPr="00931774">
        <w:t>aanbod in de vorm van pre</w:t>
      </w:r>
      <w:r w:rsidR="00BF6CF8">
        <w:t>-</w:t>
      </w:r>
      <w:proofErr w:type="spellStart"/>
      <w:r w:rsidRPr="00931774">
        <w:t>rolls</w:t>
      </w:r>
      <w:proofErr w:type="spellEnd"/>
      <w:r w:rsidRPr="00931774">
        <w:t xml:space="preserve">. Beperkt, omdat hiervoor de bestaande afspraken over duur en hoeveelheid van de reclame </w:t>
      </w:r>
      <w:r w:rsidR="00F1346C">
        <w:t>blijven</w:t>
      </w:r>
      <w:r w:rsidRPr="00931774">
        <w:t xml:space="preserve"> gelden. Aan de andere kant blijkt uit het onderzoek dat zowel de verruiming van lineaire reclameruimte als de beperkte verhoging van online reclame grotendeels ten koste gaat van de private mediapartijen. </w:t>
      </w:r>
    </w:p>
    <w:p w:rsidRPr="00931774" w:rsidR="00540FA1" w:rsidP="00540FA1" w:rsidRDefault="00540FA1" w14:paraId="1BD9AA39" w14:textId="77777777"/>
    <w:p w:rsidRPr="00931774" w:rsidR="00540FA1" w:rsidP="00540FA1" w:rsidRDefault="00540FA1" w14:paraId="086405E2" w14:textId="384F39B4">
      <w:r w:rsidRPr="00931774">
        <w:t xml:space="preserve">Als het gaat over het verruimen van de reclamemogelijkheden, zowel lineair als online, liggen er drie mogelijkheden op tafel. Al deze drie opties gaan over het </w:t>
      </w:r>
      <w:r w:rsidRPr="00931774" w:rsidR="00C055F7">
        <w:t>(</w:t>
      </w:r>
      <w:r w:rsidRPr="00931774">
        <w:t>deels</w:t>
      </w:r>
      <w:r w:rsidRPr="00931774" w:rsidR="00C055F7">
        <w:t>)</w:t>
      </w:r>
      <w:r w:rsidRPr="00931774">
        <w:t xml:space="preserve"> herstellen van de reclamemogelijkheden zoals die er waren voor 2021 toen het wettelijk kader ten aanzien van de reclamemogelijkheden is aangescherpt:</w:t>
      </w:r>
    </w:p>
    <w:p w:rsidRPr="00931774" w:rsidR="00540FA1" w:rsidP="00540FA1" w:rsidRDefault="00540FA1" w14:paraId="004252EC" w14:textId="77777777"/>
    <w:p w:rsidRPr="00931774" w:rsidR="00540FA1" w:rsidP="00540FA1" w:rsidRDefault="00540FA1" w14:paraId="0B73D478" w14:textId="77777777">
      <w:pPr>
        <w:pStyle w:val="Lijstalinea"/>
        <w:numPr>
          <w:ilvl w:val="0"/>
          <w:numId w:val="18"/>
        </w:numPr>
      </w:pPr>
      <w:r w:rsidRPr="00931774">
        <w:t>Het terugdraaien van de verlaging van de commerciële reclamezendtijd op de lineaire televisiekanalen van 8% terug naar 10%.</w:t>
      </w:r>
    </w:p>
    <w:p w:rsidRPr="00931774" w:rsidR="00540FA1" w:rsidP="00540FA1" w:rsidRDefault="00540FA1" w14:paraId="75AAC3ED" w14:textId="378625D4">
      <w:pPr>
        <w:pStyle w:val="Lijstalinea"/>
        <w:numPr>
          <w:ilvl w:val="0"/>
          <w:numId w:val="18"/>
        </w:numPr>
      </w:pPr>
      <w:r w:rsidRPr="00931774">
        <w:t>Het terugdraaien van het verbod van het plaatsen van reclame bij kinderprogrammering</w:t>
      </w:r>
      <w:r w:rsidR="00076187">
        <w:t>.</w:t>
      </w:r>
    </w:p>
    <w:p w:rsidRPr="00931774" w:rsidR="00540FA1" w:rsidP="00540FA1" w:rsidRDefault="00540FA1" w14:paraId="332B5C7E" w14:textId="77777777">
      <w:pPr>
        <w:pStyle w:val="Lijstalinea"/>
        <w:numPr>
          <w:ilvl w:val="0"/>
          <w:numId w:val="18"/>
        </w:numPr>
      </w:pPr>
      <w:r w:rsidRPr="00931774">
        <w:t xml:space="preserve">Het terugdraaien van het verbod op commerciële reclameboodschappen bij online video-aanbod. </w:t>
      </w:r>
    </w:p>
    <w:p w:rsidRPr="00931774" w:rsidR="00540FA1" w:rsidP="00540FA1" w:rsidRDefault="00540FA1" w14:paraId="21880CA4" w14:textId="77777777"/>
    <w:p w:rsidRPr="00931774" w:rsidR="00540FA1" w:rsidP="00540FA1" w:rsidRDefault="00540FA1" w14:paraId="7B59B243" w14:textId="6413C37E">
      <w:r w:rsidRPr="00931774">
        <w:t>Ten aanzien van optie twee deel ik de principiële overwegingen die toentertijd de basis vorm</w:t>
      </w:r>
      <w:r w:rsidRPr="00931774" w:rsidR="007F00DB">
        <w:t>d</w:t>
      </w:r>
      <w:r w:rsidRPr="00931774">
        <w:t>en voor het besluit om reclame rondom kinderprogrammering niet langer toe te staan. Het is onwenselijk als kinderen op kanalen van de publieke omroep rondom aanbod dat specifiek voor hen bestemd is</w:t>
      </w:r>
      <w:r w:rsidR="00076187">
        <w:t>,</w:t>
      </w:r>
      <w:r w:rsidRPr="00931774">
        <w:t xml:space="preserve"> geconfronteerd </w:t>
      </w:r>
      <w:r w:rsidRPr="00931774" w:rsidR="007F00DB">
        <w:t>worden</w:t>
      </w:r>
      <w:r w:rsidRPr="00931774">
        <w:t xml:space="preserve"> met commerciële reclameboodschappen. Ten aanzien van de derde optie om reclame bij online video-aanbod toe te staan kom ik tot de conclusie </w:t>
      </w:r>
    </w:p>
    <w:p w:rsidRPr="00931774" w:rsidR="00540FA1" w:rsidP="00540FA1" w:rsidRDefault="00540FA1" w14:paraId="3B18A781" w14:textId="6A9242F6">
      <w:r w:rsidRPr="00931774">
        <w:t>dat ik dit fundamentele besluit niet wil nemen zonder een duidelijk mandaat van uw Kamer of een nieuw kabinet. Daarvoor zijn de belangen te groot. Het aangenomen amendement</w:t>
      </w:r>
      <w:r w:rsidR="00CC18A0">
        <w:t>-</w:t>
      </w:r>
      <w:r w:rsidRPr="00931774">
        <w:t>Bontenbal biedt hiervoor in mijn ogen te weinig richting</w:t>
      </w:r>
      <w:r w:rsidRPr="00931774" w:rsidR="000E0591">
        <w:t>,</w:t>
      </w:r>
      <w:r w:rsidRPr="00931774" w:rsidR="002E3B43">
        <w:t xml:space="preserve"> </w:t>
      </w:r>
      <w:r w:rsidRPr="00931774">
        <w:t xml:space="preserve">terwijl het onderzoek van SEO laat zien dat er effecten zijn op private partijen. </w:t>
      </w:r>
    </w:p>
    <w:p w:rsidRPr="00931774" w:rsidR="00540FA1" w:rsidP="00540FA1" w:rsidRDefault="00540FA1" w14:paraId="3BDEE0BF" w14:textId="77777777"/>
    <w:p w:rsidRPr="00931774" w:rsidR="00540FA1" w:rsidP="00540FA1" w:rsidRDefault="00540FA1" w14:paraId="7060D3E7" w14:textId="4636A963">
      <w:r w:rsidRPr="00931774">
        <w:t xml:space="preserve">Het is wel duidelijk dat het amendement uitgaat van </w:t>
      </w:r>
      <w:r w:rsidR="00CC18A0">
        <w:t xml:space="preserve">een </w:t>
      </w:r>
      <w:r w:rsidRPr="00931774" w:rsidR="007F00DB">
        <w:t xml:space="preserve">verruiming van de mogelijkheden en van </w:t>
      </w:r>
      <w:r w:rsidRPr="00931774">
        <w:t xml:space="preserve">compensatie van de korting op de </w:t>
      </w:r>
      <w:proofErr w:type="spellStart"/>
      <w:r w:rsidRPr="00931774">
        <w:t>rijksmediabijdrage</w:t>
      </w:r>
      <w:proofErr w:type="spellEnd"/>
      <w:r w:rsidRPr="00931774">
        <w:t xml:space="preserve"> bij de landelijke publieke omroep met een hoger aandeel reclame-inkomsten. Daar wil ik zoveel als mogelijk aan tegemoet komen. Om deze reden kies ik er wel voor om optie één uit te werken en de </w:t>
      </w:r>
      <w:r w:rsidRPr="00931774" w:rsidR="000E0591">
        <w:t xml:space="preserve">eerdere </w:t>
      </w:r>
      <w:r w:rsidRPr="00931774">
        <w:t xml:space="preserve">verlaging van de commerciële reclamezendtijd op de lineaire televisiekanalen naar 8% terug te draaien en </w:t>
      </w:r>
      <w:r w:rsidRPr="00931774" w:rsidR="000E0591">
        <w:t xml:space="preserve">per 2027 </w:t>
      </w:r>
      <w:r w:rsidRPr="00931774">
        <w:t>aan te passen naar 10%. Ik zie dit als een relatief kleine stap waarmee de hoeveelheid toegestane commerciële reclame op lineaire televisiekanalen in lijn wordt gebracht met de maxima</w:t>
      </w:r>
      <w:r w:rsidR="00CC18A0">
        <w:t>al</w:t>
      </w:r>
      <w:r w:rsidRPr="00931774">
        <w:t xml:space="preserve"> toegestane hoeveelheid op de lineaire </w:t>
      </w:r>
      <w:r w:rsidR="00CC18A0">
        <w:t>radio</w:t>
      </w:r>
      <w:r w:rsidRPr="00931774">
        <w:t>kanalen. Deze optie levert volgens SEO bij gelijkblijvende marktomstandigheden aanvullende inkomsten op van €</w:t>
      </w:r>
      <w:r w:rsidR="00CC18A0">
        <w:t xml:space="preserve"> </w:t>
      </w:r>
      <w:r w:rsidRPr="00931774">
        <w:t>5 à €</w:t>
      </w:r>
      <w:r w:rsidR="00CC18A0">
        <w:t xml:space="preserve"> </w:t>
      </w:r>
      <w:r w:rsidRPr="00931774">
        <w:t xml:space="preserve">6 miljoen. Ik zal hiervoor op korte termijn het Mediabesluit 2008 aanpassen waarin het maximale percentage is opgenomen. </w:t>
      </w:r>
    </w:p>
    <w:p w:rsidRPr="00931774" w:rsidR="00540FA1" w:rsidP="00540FA1" w:rsidRDefault="00540FA1" w14:paraId="4DAE40EC" w14:textId="77777777"/>
    <w:p w:rsidR="00D412CB" w:rsidP="00540FA1" w:rsidRDefault="00D3235D" w14:paraId="69CAE3F5" w14:textId="0BD8D1B2">
      <w:r w:rsidRPr="00931774">
        <w:t xml:space="preserve">Daarnaast </w:t>
      </w:r>
      <w:r w:rsidRPr="00931774" w:rsidR="00540FA1">
        <w:t xml:space="preserve">roep </w:t>
      </w:r>
      <w:r w:rsidRPr="00931774">
        <w:t xml:space="preserve">ik </w:t>
      </w:r>
      <w:r w:rsidRPr="00931774" w:rsidR="00540FA1">
        <w:t xml:space="preserve">de Ster en de NPO op om waar mogelijk de bestaande reclamemogelijkheden die de wet- en regelgeving bieden zo goed mogelijk te benutten. Ik denk hierbij bijvoorbeeld aan de ruimte die wet- en regelgeving biedt voor de mogelijkheden rondom online audio-aanbod </w:t>
      </w:r>
      <w:r w:rsidR="00BF6CF8">
        <w:t xml:space="preserve">(waaronder podcasts) </w:t>
      </w:r>
      <w:r w:rsidRPr="00931774" w:rsidR="00540FA1">
        <w:t xml:space="preserve">en het </w:t>
      </w:r>
      <w:r w:rsidRPr="00931774" w:rsidR="00540FA1">
        <w:lastRenderedPageBreak/>
        <w:t>beter benutten van mogelijkheden voor reclameblokken op lineaire televisiekanalen. Mijn inschatting is dat met beide sporen, het terugdraaien van de verlaging van 8% naar 10% op lineaire televisiekanalen en het beter benutten van bestaande mogelijkheden, de afdracht van de reclame-inkomsten aan de OCW begroting daarmee in 2027 op het huidige niveau van €</w:t>
      </w:r>
      <w:r w:rsidR="00CC18A0">
        <w:t xml:space="preserve"> </w:t>
      </w:r>
      <w:r w:rsidRPr="00931774" w:rsidR="00540FA1">
        <w:t>165 miljoen kan blijven. Dat geeft mij de mogelijkheid om het aandeel reclame-inkomsten in de financiering van de landelijke publieke omroep per 2027 te verhogen van €</w:t>
      </w:r>
      <w:r w:rsidR="00CC18A0">
        <w:t xml:space="preserve"> </w:t>
      </w:r>
      <w:r w:rsidRPr="00931774" w:rsidR="00540FA1">
        <w:t>153,3 miljoen tot €</w:t>
      </w:r>
      <w:r w:rsidR="00CC18A0">
        <w:t xml:space="preserve"> </w:t>
      </w:r>
      <w:r w:rsidRPr="00931774" w:rsidR="00540FA1">
        <w:t>165 miljoen. Hiermee wordt in totaal een bedrag van €</w:t>
      </w:r>
      <w:r w:rsidR="00CC18A0">
        <w:t xml:space="preserve"> </w:t>
      </w:r>
      <w:r w:rsidRPr="00931774" w:rsidR="00540FA1">
        <w:t>11,7 miljoen</w:t>
      </w:r>
      <w:r w:rsidR="00F1346C">
        <w:t xml:space="preserve"> </w:t>
      </w:r>
      <w:r w:rsidRPr="00931774" w:rsidR="00540FA1">
        <w:t xml:space="preserve"> gecompenseerd vanuit de verlaging van €</w:t>
      </w:r>
      <w:r w:rsidR="00CC18A0">
        <w:t xml:space="preserve"> </w:t>
      </w:r>
      <w:r w:rsidRPr="00931774" w:rsidR="00540FA1">
        <w:t xml:space="preserve">50 miljoen op de </w:t>
      </w:r>
      <w:proofErr w:type="spellStart"/>
      <w:r w:rsidRPr="00931774" w:rsidR="00540FA1">
        <w:t>rijksmediabijdrage</w:t>
      </w:r>
      <w:proofErr w:type="spellEnd"/>
      <w:r w:rsidRPr="00931774" w:rsidR="00540FA1">
        <w:t xml:space="preserve"> vanuit het amendement</w:t>
      </w:r>
      <w:r w:rsidR="00CC18A0">
        <w:t>-</w:t>
      </w:r>
      <w:r w:rsidRPr="00931774" w:rsidR="00540FA1">
        <w:t>Bontenbal.</w:t>
      </w:r>
      <w:r w:rsidRPr="00931774" w:rsidR="00931774">
        <w:t xml:space="preserve"> </w:t>
      </w:r>
    </w:p>
    <w:p w:rsidR="00D412CB" w:rsidP="00540FA1" w:rsidRDefault="00D412CB" w14:paraId="24D149AC" w14:textId="77777777"/>
    <w:p w:rsidRPr="00931774" w:rsidR="00540FA1" w:rsidP="00540FA1" w:rsidRDefault="00540FA1" w14:paraId="22B6ABBE" w14:textId="60548077">
      <w:pPr>
        <w:rPr>
          <w:i/>
          <w:iCs/>
        </w:rPr>
      </w:pPr>
      <w:r w:rsidRPr="00931774">
        <w:rPr>
          <w:i/>
          <w:iCs/>
        </w:rPr>
        <w:t>Financiering landelijke publieke omroep</w:t>
      </w:r>
    </w:p>
    <w:p w:rsidRPr="00931774" w:rsidR="00540FA1" w:rsidP="00540FA1" w:rsidRDefault="00540FA1" w14:paraId="54E7698B" w14:textId="43F85CD7"/>
    <w:p w:rsidRPr="00931774" w:rsidR="00540FA1" w:rsidP="00540FA1" w:rsidRDefault="00540FA1" w14:paraId="16B7566A" w14:textId="6AF167BB">
      <w:pPr>
        <w:rPr>
          <w:iCs/>
        </w:rPr>
      </w:pPr>
      <w:r w:rsidRPr="00931774">
        <w:rPr>
          <w:iCs/>
        </w:rPr>
        <w:t>Met dit besluit geef ik de noodzakelijke duidelijkheid over de financiering van de landelijke publieke omroep per 2027. Onderstaande tabel laat zien wat dat betekent voor de hoogte en de samenstelling van d</w:t>
      </w:r>
      <w:r w:rsidRPr="00931774" w:rsidR="00442DD4">
        <w:rPr>
          <w:iCs/>
        </w:rPr>
        <w:t>i</w:t>
      </w:r>
      <w:r w:rsidRPr="00931774">
        <w:rPr>
          <w:iCs/>
        </w:rPr>
        <w:t xml:space="preserve">e financiering. </w:t>
      </w:r>
      <w:r w:rsidRPr="00931774" w:rsidR="007F00DB">
        <w:t>Het nieuwe minimumbudget per 2027 stel ik vast op € 844,7 miljoen.</w:t>
      </w:r>
      <w:r w:rsidRPr="00931774" w:rsidR="0035132B">
        <w:t xml:space="preserve"> </w:t>
      </w:r>
      <w:r w:rsidRPr="00931774" w:rsidR="0035132B">
        <w:rPr>
          <w:iCs/>
        </w:rPr>
        <w:t>Dat bedrag</w:t>
      </w:r>
      <w:r w:rsidRPr="00931774">
        <w:rPr>
          <w:iCs/>
        </w:rPr>
        <w:t xml:space="preserve"> is inclusief de aanvullende middelen die beschikbaar zijn gesteld voor </w:t>
      </w:r>
      <w:r w:rsidRPr="00931774" w:rsidR="0035132B">
        <w:rPr>
          <w:iCs/>
        </w:rPr>
        <w:t>a</w:t>
      </w:r>
      <w:r w:rsidRPr="00931774">
        <w:rPr>
          <w:iCs/>
        </w:rPr>
        <w:t xml:space="preserve">udiodescriptie en de middelen voor het </w:t>
      </w:r>
      <w:proofErr w:type="spellStart"/>
      <w:r w:rsidRPr="00931774">
        <w:rPr>
          <w:iCs/>
        </w:rPr>
        <w:t>Co-productiefonds</w:t>
      </w:r>
      <w:proofErr w:type="spellEnd"/>
      <w:r w:rsidRPr="00931774">
        <w:rPr>
          <w:iCs/>
        </w:rPr>
        <w:t xml:space="preserve"> Binnenlandse Omroep (</w:t>
      </w:r>
      <w:proofErr w:type="spellStart"/>
      <w:r w:rsidRPr="00931774">
        <w:rPr>
          <w:iCs/>
        </w:rPr>
        <w:t>CoBo</w:t>
      </w:r>
      <w:proofErr w:type="spellEnd"/>
      <w:r w:rsidRPr="00931774">
        <w:rPr>
          <w:iCs/>
        </w:rPr>
        <w:t xml:space="preserve">), en exclusief middelen voor meerkosten voor de aankoop van rechten voor de uitzending van zogenaamde superevenementen. Dit budget geldt in ieder geval voor de resterende jaren van de huidige, verlengde, </w:t>
      </w:r>
      <w:proofErr w:type="spellStart"/>
      <w:r w:rsidRPr="00931774">
        <w:rPr>
          <w:iCs/>
        </w:rPr>
        <w:t>erkenningperiode</w:t>
      </w:r>
      <w:proofErr w:type="spellEnd"/>
      <w:r w:rsidRPr="00931774">
        <w:rPr>
          <w:iCs/>
        </w:rPr>
        <w:t xml:space="preserve">, dus tot en met 2028, en bij ongewijzigd beleid en omstandigheden ook voor de volgende </w:t>
      </w:r>
      <w:proofErr w:type="spellStart"/>
      <w:r w:rsidRPr="00931774">
        <w:rPr>
          <w:iCs/>
        </w:rPr>
        <w:t>erkenningperiode</w:t>
      </w:r>
      <w:proofErr w:type="spellEnd"/>
      <w:r w:rsidRPr="00931774">
        <w:rPr>
          <w:iCs/>
        </w:rPr>
        <w:t>.</w:t>
      </w:r>
      <w:r w:rsidR="0035056E">
        <w:rPr>
          <w:iCs/>
        </w:rPr>
        <w:t xml:space="preserve"> </w:t>
      </w:r>
      <w:r w:rsidRPr="00931774" w:rsidR="0035056E">
        <w:t xml:space="preserve">Ik ga </w:t>
      </w:r>
      <w:r w:rsidR="0035056E">
        <w:t>dit nieuwe minimumbudget en de verhoging van het aandeel reclame-inkomsten in de financiering van de landelijke publieke omroep</w:t>
      </w:r>
      <w:r w:rsidRPr="00931774" w:rsidR="0035056E">
        <w:t xml:space="preserve"> komende Voorjaarsnota in de Rijksbegroting verwerken.  </w:t>
      </w:r>
    </w:p>
    <w:p w:rsidRPr="00931774" w:rsidR="00540FA1" w:rsidP="00540FA1" w:rsidRDefault="00540FA1" w14:paraId="127ACD2B" w14:textId="77777777"/>
    <w:p w:rsidRPr="00931774" w:rsidR="00540FA1" w:rsidP="00540FA1" w:rsidRDefault="00540FA1" w14:paraId="0C1DA7FE" w14:textId="77777777"/>
    <w:tbl>
      <w:tblPr>
        <w:tblW w:w="8906" w:type="dxa"/>
        <w:tblInd w:w="-5" w:type="dxa"/>
        <w:tblCellMar>
          <w:left w:w="70" w:type="dxa"/>
          <w:right w:w="70" w:type="dxa"/>
        </w:tblCellMar>
        <w:tblLook w:val="04A0" w:firstRow="1" w:lastRow="0" w:firstColumn="1" w:lastColumn="0" w:noHBand="0" w:noVBand="1"/>
      </w:tblPr>
      <w:tblGrid>
        <w:gridCol w:w="5499"/>
        <w:gridCol w:w="1814"/>
        <w:gridCol w:w="1593"/>
      </w:tblGrid>
      <w:tr w:rsidRPr="00931774" w:rsidR="00540FA1" w:rsidTr="00761BBA" w14:paraId="01AD7CD2" w14:textId="77777777">
        <w:trPr>
          <w:trHeight w:val="233"/>
        </w:trPr>
        <w:tc>
          <w:tcPr>
            <w:tcW w:w="5499" w:type="dxa"/>
            <w:tcBorders>
              <w:top w:val="single" w:color="auto" w:sz="4" w:space="0"/>
              <w:left w:val="single" w:color="auto" w:sz="4" w:space="0"/>
              <w:bottom w:val="single" w:color="auto" w:sz="4" w:space="0"/>
              <w:right w:val="single" w:color="auto" w:sz="4" w:space="0"/>
            </w:tcBorders>
            <w:noWrap/>
            <w:vAlign w:val="bottom"/>
            <w:hideMark/>
          </w:tcPr>
          <w:p w:rsidRPr="00931774" w:rsidR="00540FA1" w:rsidP="00761BBA" w:rsidRDefault="00540FA1" w14:paraId="68C265AE" w14:textId="77777777">
            <w:pPr>
              <w:spacing w:line="240" w:lineRule="auto"/>
              <w:rPr>
                <w:color w:val="000000"/>
                <w:szCs w:val="18"/>
              </w:rPr>
            </w:pPr>
            <w:bookmarkStart w:name="_Hlk202103281" w:id="1"/>
            <w:r w:rsidRPr="00931774">
              <w:rPr>
                <w:color w:val="000000"/>
                <w:szCs w:val="18"/>
              </w:rPr>
              <w:t>Bedragen x € 1.000</w:t>
            </w:r>
          </w:p>
        </w:tc>
        <w:tc>
          <w:tcPr>
            <w:tcW w:w="1814" w:type="dxa"/>
            <w:tcBorders>
              <w:top w:val="single" w:color="auto" w:sz="4" w:space="0"/>
              <w:left w:val="single" w:color="auto" w:sz="4" w:space="0"/>
              <w:bottom w:val="single" w:color="auto" w:sz="4" w:space="0"/>
              <w:right w:val="single" w:color="auto" w:sz="4" w:space="0"/>
            </w:tcBorders>
            <w:noWrap/>
            <w:vAlign w:val="bottom"/>
            <w:hideMark/>
          </w:tcPr>
          <w:p w:rsidRPr="00931774" w:rsidR="00540FA1" w:rsidP="00761BBA" w:rsidRDefault="00540FA1" w14:paraId="04C3BD13" w14:textId="77777777">
            <w:pPr>
              <w:spacing w:line="240" w:lineRule="auto"/>
              <w:jc w:val="right"/>
              <w:rPr>
                <w:color w:val="000000"/>
                <w:szCs w:val="18"/>
              </w:rPr>
            </w:pPr>
            <w:r w:rsidRPr="00931774">
              <w:rPr>
                <w:color w:val="000000"/>
                <w:szCs w:val="18"/>
              </w:rPr>
              <w:t>2025</w:t>
            </w:r>
          </w:p>
        </w:tc>
        <w:tc>
          <w:tcPr>
            <w:tcW w:w="1593" w:type="dxa"/>
            <w:tcBorders>
              <w:top w:val="single" w:color="auto" w:sz="4" w:space="0"/>
              <w:left w:val="single" w:color="auto" w:sz="4" w:space="0"/>
              <w:bottom w:val="single" w:color="auto" w:sz="4" w:space="0"/>
              <w:right w:val="single" w:color="auto" w:sz="4" w:space="0"/>
            </w:tcBorders>
            <w:noWrap/>
            <w:vAlign w:val="bottom"/>
            <w:hideMark/>
          </w:tcPr>
          <w:p w:rsidRPr="00931774" w:rsidR="00540FA1" w:rsidP="00761BBA" w:rsidRDefault="00540FA1" w14:paraId="643934DA" w14:textId="77777777">
            <w:pPr>
              <w:spacing w:line="240" w:lineRule="auto"/>
              <w:jc w:val="right"/>
              <w:rPr>
                <w:color w:val="000000"/>
                <w:szCs w:val="18"/>
              </w:rPr>
            </w:pPr>
            <w:r w:rsidRPr="00931774">
              <w:rPr>
                <w:color w:val="000000"/>
                <w:szCs w:val="18"/>
              </w:rPr>
              <w:t>2027</w:t>
            </w:r>
          </w:p>
        </w:tc>
      </w:tr>
      <w:tr w:rsidRPr="00931774" w:rsidR="00540FA1" w:rsidTr="00761BBA" w14:paraId="1B1A3FD6" w14:textId="77777777">
        <w:trPr>
          <w:trHeight w:val="233"/>
        </w:trPr>
        <w:tc>
          <w:tcPr>
            <w:tcW w:w="5499" w:type="dxa"/>
            <w:tcBorders>
              <w:top w:val="single" w:color="auto" w:sz="4" w:space="0"/>
              <w:left w:val="single" w:color="auto" w:sz="4" w:space="0"/>
              <w:bottom w:val="single" w:color="auto" w:sz="4" w:space="0"/>
              <w:right w:val="single" w:color="auto" w:sz="4" w:space="0"/>
            </w:tcBorders>
            <w:noWrap/>
            <w:vAlign w:val="bottom"/>
          </w:tcPr>
          <w:p w:rsidRPr="00931774" w:rsidR="00540FA1" w:rsidP="00761BBA" w:rsidRDefault="00540FA1" w14:paraId="779A2DCC" w14:textId="77777777">
            <w:pPr>
              <w:spacing w:line="240" w:lineRule="auto"/>
              <w:rPr>
                <w:color w:val="000000"/>
                <w:szCs w:val="18"/>
              </w:rPr>
            </w:pPr>
          </w:p>
        </w:tc>
        <w:tc>
          <w:tcPr>
            <w:tcW w:w="1814" w:type="dxa"/>
            <w:tcBorders>
              <w:top w:val="single" w:color="auto" w:sz="4" w:space="0"/>
              <w:left w:val="single" w:color="auto" w:sz="4" w:space="0"/>
              <w:bottom w:val="single" w:color="auto" w:sz="4" w:space="0"/>
              <w:right w:val="single" w:color="auto" w:sz="4" w:space="0"/>
            </w:tcBorders>
            <w:noWrap/>
            <w:vAlign w:val="bottom"/>
          </w:tcPr>
          <w:p w:rsidRPr="00931774" w:rsidR="00540FA1" w:rsidP="00761BBA" w:rsidRDefault="00540FA1" w14:paraId="70DBDD13" w14:textId="77777777">
            <w:pPr>
              <w:spacing w:line="240" w:lineRule="auto"/>
              <w:jc w:val="right"/>
              <w:rPr>
                <w:color w:val="000000"/>
                <w:szCs w:val="18"/>
              </w:rPr>
            </w:pPr>
          </w:p>
        </w:tc>
        <w:tc>
          <w:tcPr>
            <w:tcW w:w="1593" w:type="dxa"/>
            <w:tcBorders>
              <w:top w:val="single" w:color="auto" w:sz="4" w:space="0"/>
              <w:left w:val="single" w:color="auto" w:sz="4" w:space="0"/>
              <w:bottom w:val="single" w:color="auto" w:sz="4" w:space="0"/>
              <w:right w:val="single" w:color="auto" w:sz="4" w:space="0"/>
            </w:tcBorders>
            <w:noWrap/>
            <w:vAlign w:val="bottom"/>
          </w:tcPr>
          <w:p w:rsidRPr="00931774" w:rsidR="00540FA1" w:rsidP="00761BBA" w:rsidRDefault="00540FA1" w14:paraId="3DBD1D4F" w14:textId="77777777">
            <w:pPr>
              <w:spacing w:line="240" w:lineRule="auto"/>
              <w:jc w:val="right"/>
              <w:rPr>
                <w:color w:val="000000"/>
                <w:szCs w:val="18"/>
              </w:rPr>
            </w:pPr>
          </w:p>
        </w:tc>
      </w:tr>
      <w:tr w:rsidRPr="00931774" w:rsidR="00540FA1" w:rsidTr="00761BBA" w14:paraId="60EA795B" w14:textId="77777777">
        <w:trPr>
          <w:trHeight w:val="233"/>
        </w:trPr>
        <w:tc>
          <w:tcPr>
            <w:tcW w:w="5499" w:type="dxa"/>
            <w:tcBorders>
              <w:top w:val="single" w:color="auto" w:sz="4" w:space="0"/>
              <w:left w:val="single" w:color="auto" w:sz="4" w:space="0"/>
              <w:bottom w:val="single" w:color="auto" w:sz="4" w:space="0"/>
              <w:right w:val="single" w:color="auto" w:sz="4" w:space="0"/>
            </w:tcBorders>
            <w:noWrap/>
            <w:hideMark/>
          </w:tcPr>
          <w:p w:rsidRPr="00931774" w:rsidR="00540FA1" w:rsidP="00761BBA" w:rsidRDefault="00540FA1" w14:paraId="590FA9F1" w14:textId="77777777">
            <w:pPr>
              <w:spacing w:line="240" w:lineRule="auto"/>
              <w:rPr>
                <w:color w:val="000000"/>
                <w:szCs w:val="18"/>
              </w:rPr>
            </w:pPr>
            <w:r w:rsidRPr="00931774">
              <w:rPr>
                <w:color w:val="000000"/>
                <w:szCs w:val="18"/>
              </w:rPr>
              <w:t>Budget landelijke publieke omroep (prijspeil 2025)*</w:t>
            </w:r>
          </w:p>
        </w:tc>
        <w:tc>
          <w:tcPr>
            <w:tcW w:w="1814" w:type="dxa"/>
            <w:tcBorders>
              <w:top w:val="single" w:color="auto" w:sz="4" w:space="0"/>
              <w:left w:val="nil"/>
              <w:bottom w:val="single" w:color="auto" w:sz="4" w:space="0"/>
              <w:right w:val="single" w:color="auto" w:sz="4" w:space="0"/>
            </w:tcBorders>
            <w:noWrap/>
            <w:vAlign w:val="center"/>
            <w:hideMark/>
          </w:tcPr>
          <w:p w:rsidRPr="00931774" w:rsidR="00540FA1" w:rsidP="00761BBA" w:rsidRDefault="002E3B43" w14:paraId="48F75B0A" w14:textId="06D9C8F3">
            <w:pPr>
              <w:spacing w:line="240" w:lineRule="auto"/>
              <w:jc w:val="right"/>
              <w:rPr>
                <w:color w:val="000000"/>
                <w:szCs w:val="18"/>
              </w:rPr>
            </w:pPr>
            <w:r w:rsidRPr="00931774">
              <w:rPr>
                <w:color w:val="000000"/>
                <w:szCs w:val="18"/>
              </w:rPr>
              <w:t xml:space="preserve"> </w:t>
            </w:r>
            <w:r w:rsidRPr="00931774" w:rsidR="00540FA1">
              <w:rPr>
                <w:color w:val="000000"/>
                <w:szCs w:val="18"/>
              </w:rPr>
              <w:t xml:space="preserve">983.823 </w:t>
            </w:r>
          </w:p>
        </w:tc>
        <w:tc>
          <w:tcPr>
            <w:tcW w:w="1593" w:type="dxa"/>
            <w:tcBorders>
              <w:top w:val="single" w:color="auto" w:sz="4" w:space="0"/>
              <w:left w:val="nil"/>
              <w:bottom w:val="single" w:color="auto" w:sz="4" w:space="0"/>
              <w:right w:val="single" w:color="auto" w:sz="4" w:space="0"/>
            </w:tcBorders>
            <w:noWrap/>
            <w:vAlign w:val="center"/>
            <w:hideMark/>
          </w:tcPr>
          <w:p w:rsidRPr="00931774" w:rsidR="00540FA1" w:rsidP="00761BBA" w:rsidRDefault="00540FA1" w14:paraId="546C7C54" w14:textId="71CD636F">
            <w:pPr>
              <w:spacing w:line="240" w:lineRule="auto"/>
              <w:jc w:val="right"/>
              <w:rPr>
                <w:color w:val="000000"/>
                <w:szCs w:val="18"/>
              </w:rPr>
            </w:pPr>
            <w:r w:rsidRPr="00931774">
              <w:rPr>
                <w:color w:val="000000"/>
                <w:szCs w:val="18"/>
              </w:rPr>
              <w:t xml:space="preserve"> 844.</w:t>
            </w:r>
            <w:r w:rsidR="000138FF">
              <w:rPr>
                <w:color w:val="000000"/>
                <w:szCs w:val="18"/>
              </w:rPr>
              <w:t>703</w:t>
            </w:r>
            <w:r w:rsidRPr="00931774">
              <w:rPr>
                <w:color w:val="000000"/>
                <w:szCs w:val="18"/>
              </w:rPr>
              <w:t xml:space="preserve"> </w:t>
            </w:r>
          </w:p>
        </w:tc>
      </w:tr>
      <w:tr w:rsidRPr="00931774" w:rsidR="00540FA1" w:rsidTr="00761BBA" w14:paraId="0BCC16F5" w14:textId="77777777">
        <w:trPr>
          <w:trHeight w:val="233"/>
        </w:trPr>
        <w:tc>
          <w:tcPr>
            <w:tcW w:w="5499" w:type="dxa"/>
            <w:tcBorders>
              <w:top w:val="single" w:color="auto" w:sz="4" w:space="0"/>
              <w:left w:val="single" w:color="auto" w:sz="4" w:space="0"/>
              <w:bottom w:val="single" w:color="auto" w:sz="4" w:space="0"/>
              <w:right w:val="single" w:color="auto" w:sz="4" w:space="0"/>
            </w:tcBorders>
            <w:noWrap/>
            <w:hideMark/>
          </w:tcPr>
          <w:p w:rsidRPr="00931774" w:rsidR="00540FA1" w:rsidP="00761BBA" w:rsidRDefault="00540FA1" w14:paraId="1E3E85E8" w14:textId="77777777">
            <w:pPr>
              <w:spacing w:line="240" w:lineRule="auto"/>
              <w:rPr>
                <w:i/>
                <w:iCs/>
                <w:color w:val="000000"/>
                <w:szCs w:val="18"/>
              </w:rPr>
            </w:pPr>
            <w:r w:rsidRPr="00931774">
              <w:rPr>
                <w:i/>
                <w:iCs/>
                <w:color w:val="000000"/>
                <w:szCs w:val="18"/>
              </w:rPr>
              <w:t>Waarvan OCW-middelen</w:t>
            </w:r>
          </w:p>
        </w:tc>
        <w:tc>
          <w:tcPr>
            <w:tcW w:w="1814" w:type="dxa"/>
            <w:tcBorders>
              <w:top w:val="single" w:color="auto" w:sz="4" w:space="0"/>
              <w:left w:val="nil"/>
              <w:bottom w:val="single" w:color="auto" w:sz="4" w:space="0"/>
              <w:right w:val="single" w:color="auto" w:sz="4" w:space="0"/>
            </w:tcBorders>
            <w:noWrap/>
            <w:vAlign w:val="center"/>
            <w:hideMark/>
          </w:tcPr>
          <w:p w:rsidRPr="00931774" w:rsidR="00540FA1" w:rsidP="00761BBA" w:rsidRDefault="002E3B43" w14:paraId="5FA3D3B2" w14:textId="6BFEC500">
            <w:pPr>
              <w:spacing w:line="240" w:lineRule="auto"/>
              <w:jc w:val="right"/>
              <w:rPr>
                <w:color w:val="000000"/>
                <w:szCs w:val="18"/>
              </w:rPr>
            </w:pPr>
            <w:r w:rsidRPr="00931774">
              <w:rPr>
                <w:color w:val="000000"/>
                <w:szCs w:val="18"/>
              </w:rPr>
              <w:t xml:space="preserve"> </w:t>
            </w:r>
            <w:r w:rsidRPr="00931774" w:rsidR="00540FA1">
              <w:rPr>
                <w:color w:val="000000"/>
                <w:szCs w:val="18"/>
              </w:rPr>
              <w:t xml:space="preserve"> </w:t>
            </w:r>
          </w:p>
          <w:p w:rsidRPr="00931774" w:rsidR="00540FA1" w:rsidP="00761BBA" w:rsidRDefault="00540FA1" w14:paraId="2AFD3945" w14:textId="77777777">
            <w:pPr>
              <w:spacing w:line="240" w:lineRule="auto"/>
              <w:jc w:val="right"/>
              <w:rPr>
                <w:color w:val="000000"/>
                <w:szCs w:val="18"/>
              </w:rPr>
            </w:pPr>
            <w:r w:rsidRPr="00931774">
              <w:rPr>
                <w:color w:val="000000"/>
                <w:szCs w:val="18"/>
              </w:rPr>
              <w:t xml:space="preserve">830.543 </w:t>
            </w:r>
          </w:p>
        </w:tc>
        <w:tc>
          <w:tcPr>
            <w:tcW w:w="1593" w:type="dxa"/>
            <w:tcBorders>
              <w:top w:val="single" w:color="auto" w:sz="4" w:space="0"/>
              <w:left w:val="nil"/>
              <w:bottom w:val="single" w:color="auto" w:sz="4" w:space="0"/>
              <w:right w:val="single" w:color="auto" w:sz="4" w:space="0"/>
            </w:tcBorders>
            <w:noWrap/>
            <w:vAlign w:val="center"/>
            <w:hideMark/>
          </w:tcPr>
          <w:p w:rsidRPr="00931774" w:rsidR="00540FA1" w:rsidP="00761BBA" w:rsidRDefault="002E3B43" w14:paraId="4F8ACB3B" w14:textId="27D89015">
            <w:pPr>
              <w:spacing w:line="240" w:lineRule="auto"/>
              <w:jc w:val="right"/>
              <w:rPr>
                <w:color w:val="000000"/>
                <w:szCs w:val="18"/>
              </w:rPr>
            </w:pPr>
            <w:r w:rsidRPr="00931774">
              <w:rPr>
                <w:color w:val="000000"/>
                <w:szCs w:val="18"/>
              </w:rPr>
              <w:t xml:space="preserve"> </w:t>
            </w:r>
            <w:r w:rsidRPr="00931774" w:rsidR="00540FA1">
              <w:rPr>
                <w:color w:val="000000"/>
                <w:szCs w:val="18"/>
              </w:rPr>
              <w:t xml:space="preserve"> </w:t>
            </w:r>
          </w:p>
          <w:p w:rsidRPr="00931774" w:rsidR="00540FA1" w:rsidP="00761BBA" w:rsidRDefault="00540FA1" w14:paraId="1AA374FF" w14:textId="2E706965">
            <w:pPr>
              <w:spacing w:line="240" w:lineRule="auto"/>
              <w:jc w:val="right"/>
              <w:rPr>
                <w:color w:val="000000"/>
                <w:szCs w:val="18"/>
              </w:rPr>
            </w:pPr>
            <w:r w:rsidRPr="00931774">
              <w:rPr>
                <w:color w:val="000000"/>
                <w:szCs w:val="18"/>
              </w:rPr>
              <w:t>679.</w:t>
            </w:r>
            <w:r w:rsidR="000138FF">
              <w:rPr>
                <w:color w:val="000000"/>
                <w:szCs w:val="18"/>
              </w:rPr>
              <w:t>703</w:t>
            </w:r>
            <w:r w:rsidRPr="00931774">
              <w:rPr>
                <w:color w:val="000000"/>
                <w:szCs w:val="18"/>
              </w:rPr>
              <w:t xml:space="preserve"> </w:t>
            </w:r>
          </w:p>
        </w:tc>
      </w:tr>
      <w:tr w:rsidRPr="00931774" w:rsidR="00540FA1" w:rsidTr="00761BBA" w14:paraId="4ADC6B40" w14:textId="77777777">
        <w:trPr>
          <w:trHeight w:val="233"/>
        </w:trPr>
        <w:tc>
          <w:tcPr>
            <w:tcW w:w="5499" w:type="dxa"/>
            <w:tcBorders>
              <w:top w:val="single" w:color="auto" w:sz="4" w:space="0"/>
              <w:left w:val="single" w:color="auto" w:sz="4" w:space="0"/>
              <w:bottom w:val="single" w:color="auto" w:sz="4" w:space="0"/>
              <w:right w:val="single" w:color="auto" w:sz="4" w:space="0"/>
            </w:tcBorders>
            <w:noWrap/>
            <w:hideMark/>
          </w:tcPr>
          <w:p w:rsidRPr="00931774" w:rsidR="00540FA1" w:rsidP="00761BBA" w:rsidRDefault="00540FA1" w14:paraId="2F9970F3" w14:textId="77777777">
            <w:pPr>
              <w:spacing w:line="240" w:lineRule="auto"/>
              <w:rPr>
                <w:i/>
                <w:iCs/>
                <w:color w:val="000000"/>
                <w:szCs w:val="18"/>
              </w:rPr>
            </w:pPr>
            <w:r w:rsidRPr="00931774">
              <w:rPr>
                <w:i/>
                <w:iCs/>
                <w:color w:val="000000"/>
                <w:szCs w:val="18"/>
              </w:rPr>
              <w:t>Waarvan Ster-inkomsten</w:t>
            </w:r>
          </w:p>
        </w:tc>
        <w:tc>
          <w:tcPr>
            <w:tcW w:w="1814" w:type="dxa"/>
            <w:tcBorders>
              <w:top w:val="single" w:color="auto" w:sz="4" w:space="0"/>
              <w:left w:val="nil"/>
              <w:bottom w:val="single" w:color="auto" w:sz="4" w:space="0"/>
              <w:right w:val="single" w:color="auto" w:sz="4" w:space="0"/>
            </w:tcBorders>
            <w:noWrap/>
            <w:vAlign w:val="center"/>
            <w:hideMark/>
          </w:tcPr>
          <w:p w:rsidRPr="00931774" w:rsidR="00540FA1" w:rsidP="00761BBA" w:rsidRDefault="002E3B43" w14:paraId="2C8ED9BE" w14:textId="3B3BFE93">
            <w:pPr>
              <w:spacing w:line="240" w:lineRule="auto"/>
              <w:jc w:val="right"/>
              <w:rPr>
                <w:color w:val="000000"/>
                <w:szCs w:val="18"/>
              </w:rPr>
            </w:pPr>
            <w:r w:rsidRPr="00931774">
              <w:rPr>
                <w:color w:val="000000"/>
                <w:szCs w:val="18"/>
              </w:rPr>
              <w:t xml:space="preserve">  </w:t>
            </w:r>
          </w:p>
          <w:p w:rsidRPr="00931774" w:rsidR="00540FA1" w:rsidP="00761BBA" w:rsidRDefault="00540FA1" w14:paraId="7F442217" w14:textId="77777777">
            <w:pPr>
              <w:spacing w:line="240" w:lineRule="auto"/>
              <w:jc w:val="right"/>
              <w:rPr>
                <w:color w:val="000000"/>
                <w:szCs w:val="18"/>
              </w:rPr>
            </w:pPr>
            <w:r w:rsidRPr="00931774">
              <w:rPr>
                <w:color w:val="000000"/>
                <w:szCs w:val="18"/>
              </w:rPr>
              <w:t xml:space="preserve">153.280 </w:t>
            </w:r>
          </w:p>
        </w:tc>
        <w:tc>
          <w:tcPr>
            <w:tcW w:w="1593" w:type="dxa"/>
            <w:tcBorders>
              <w:top w:val="single" w:color="auto" w:sz="4" w:space="0"/>
              <w:left w:val="nil"/>
              <w:bottom w:val="single" w:color="auto" w:sz="4" w:space="0"/>
              <w:right w:val="single" w:color="auto" w:sz="4" w:space="0"/>
            </w:tcBorders>
            <w:noWrap/>
            <w:vAlign w:val="center"/>
            <w:hideMark/>
          </w:tcPr>
          <w:p w:rsidRPr="00931774" w:rsidR="00540FA1" w:rsidP="00761BBA" w:rsidRDefault="002E3B43" w14:paraId="73DCC4EA" w14:textId="07A2279F">
            <w:pPr>
              <w:spacing w:line="240" w:lineRule="auto"/>
              <w:jc w:val="right"/>
              <w:rPr>
                <w:color w:val="000000"/>
                <w:szCs w:val="18"/>
              </w:rPr>
            </w:pPr>
            <w:r w:rsidRPr="00931774">
              <w:rPr>
                <w:color w:val="000000"/>
                <w:szCs w:val="18"/>
              </w:rPr>
              <w:t xml:space="preserve"> </w:t>
            </w:r>
            <w:r w:rsidRPr="00931774" w:rsidR="00540FA1">
              <w:rPr>
                <w:color w:val="000000"/>
                <w:szCs w:val="18"/>
              </w:rPr>
              <w:t xml:space="preserve"> </w:t>
            </w:r>
          </w:p>
          <w:p w:rsidRPr="00931774" w:rsidR="00540FA1" w:rsidP="00761BBA" w:rsidRDefault="00540FA1" w14:paraId="777B28E2" w14:textId="77777777">
            <w:pPr>
              <w:spacing w:line="240" w:lineRule="auto"/>
              <w:jc w:val="right"/>
              <w:rPr>
                <w:color w:val="000000"/>
                <w:szCs w:val="18"/>
              </w:rPr>
            </w:pPr>
            <w:r w:rsidRPr="00931774">
              <w:rPr>
                <w:color w:val="000000"/>
                <w:szCs w:val="18"/>
              </w:rPr>
              <w:t xml:space="preserve">165.000 </w:t>
            </w:r>
          </w:p>
        </w:tc>
      </w:tr>
    </w:tbl>
    <w:bookmarkEnd w:id="1"/>
    <w:p w:rsidRPr="00931774" w:rsidR="00540FA1" w:rsidP="00540FA1" w:rsidRDefault="00540FA1" w14:paraId="050B478D" w14:textId="77777777">
      <w:pPr>
        <w:rPr>
          <w:color w:val="000000"/>
          <w:sz w:val="17"/>
          <w:szCs w:val="17"/>
        </w:rPr>
      </w:pPr>
      <w:r w:rsidRPr="00931774">
        <w:rPr>
          <w:color w:val="000000"/>
          <w:sz w:val="17"/>
          <w:szCs w:val="17"/>
        </w:rPr>
        <w:t xml:space="preserve">* exclusief middelen voor meerkosten superevenementen en inclusief middelen voor audiodescriptie en </w:t>
      </w:r>
      <w:proofErr w:type="spellStart"/>
      <w:r w:rsidRPr="00931774">
        <w:rPr>
          <w:color w:val="000000"/>
          <w:sz w:val="17"/>
          <w:szCs w:val="17"/>
        </w:rPr>
        <w:t>CoBo</w:t>
      </w:r>
      <w:proofErr w:type="spellEnd"/>
      <w:r w:rsidRPr="00931774">
        <w:rPr>
          <w:color w:val="000000"/>
          <w:sz w:val="17"/>
          <w:szCs w:val="17"/>
        </w:rPr>
        <w:t>.</w:t>
      </w:r>
    </w:p>
    <w:p w:rsidRPr="00931774" w:rsidR="00540FA1" w:rsidP="00540FA1" w:rsidRDefault="00540FA1" w14:paraId="1CC4A2C6" w14:textId="77777777">
      <w:pPr>
        <w:rPr>
          <w:color w:val="000000"/>
          <w:sz w:val="17"/>
          <w:szCs w:val="17"/>
        </w:rPr>
      </w:pPr>
    </w:p>
    <w:p w:rsidRPr="00931774" w:rsidR="00540FA1" w:rsidP="00540FA1" w:rsidRDefault="00540FA1" w14:paraId="3EA54266" w14:textId="06B2593B">
      <w:pPr>
        <w:rPr>
          <w:iCs/>
        </w:rPr>
      </w:pPr>
      <w:r w:rsidRPr="00931774">
        <w:rPr>
          <w:iCs/>
        </w:rPr>
        <w:t xml:space="preserve">In de tabel is te zien dat de totale besparing op het budget van de landelijke publieke omroep, inclusief toe te kennen huishoudensindex, per 2027 bijna € 140 miljoen is. Dat is meer dan de oorspronkelijke bezuiniging uit het Hoofdlijnenakkoord van € 100 miljoen. </w:t>
      </w:r>
      <w:r w:rsidR="00BF6CF8">
        <w:rPr>
          <w:iCs/>
        </w:rPr>
        <w:t xml:space="preserve">Dat betekent dat die bezuiniging </w:t>
      </w:r>
      <w:r w:rsidRPr="00931774" w:rsidR="00BF6CF8">
        <w:rPr>
          <w:iCs/>
        </w:rPr>
        <w:t xml:space="preserve"> </w:t>
      </w:r>
      <w:r w:rsidR="00F24FAE">
        <w:rPr>
          <w:iCs/>
        </w:rPr>
        <w:t xml:space="preserve">afkomstig uit het Hoofdlijnenakkoord </w:t>
      </w:r>
      <w:r w:rsidR="00BF6CF8">
        <w:rPr>
          <w:iCs/>
        </w:rPr>
        <w:t>dus niet wordt opgevangen met hogere reclame-inkomsten.</w:t>
      </w:r>
      <w:r w:rsidRPr="00931774">
        <w:rPr>
          <w:iCs/>
        </w:rPr>
        <w:t xml:space="preserve"> Daarmee past dit besluit bij de motie van de leden Martens-America en </w:t>
      </w:r>
      <w:r w:rsidR="00700CEA">
        <w:rPr>
          <w:iCs/>
        </w:rPr>
        <w:t>V</w:t>
      </w:r>
      <w:r w:rsidRPr="00931774">
        <w:rPr>
          <w:iCs/>
        </w:rPr>
        <w:t xml:space="preserve">an Zanten </w:t>
      </w:r>
      <w:r w:rsidR="00700CEA">
        <w:rPr>
          <w:iCs/>
        </w:rPr>
        <w:t xml:space="preserve">waarin werd </w:t>
      </w:r>
      <w:r w:rsidRPr="00931774">
        <w:rPr>
          <w:iCs/>
        </w:rPr>
        <w:t>verzocht om die mogelijkheid uit te sluiten.</w:t>
      </w:r>
      <w:r w:rsidRPr="00931774">
        <w:rPr>
          <w:rStyle w:val="Voetnootmarkering"/>
          <w:iCs/>
        </w:rPr>
        <w:footnoteReference w:id="5"/>
      </w:r>
      <w:r w:rsidRPr="00931774">
        <w:rPr>
          <w:iCs/>
        </w:rPr>
        <w:t xml:space="preserve"> </w:t>
      </w:r>
    </w:p>
    <w:p w:rsidRPr="00931774" w:rsidR="00540FA1" w:rsidP="00540FA1" w:rsidRDefault="00540FA1" w14:paraId="64F10CEF" w14:textId="77777777">
      <w:pPr>
        <w:rPr>
          <w:iCs/>
        </w:rPr>
      </w:pPr>
    </w:p>
    <w:p w:rsidR="00ED1B5C" w:rsidP="00540FA1" w:rsidRDefault="00540FA1" w14:paraId="5613C8DF" w14:textId="19CDEB15">
      <w:pPr>
        <w:rPr>
          <w:i/>
        </w:rPr>
      </w:pPr>
      <w:r w:rsidRPr="00931774">
        <w:rPr>
          <w:iCs/>
        </w:rPr>
        <w:t>Vanaf 2027 zal de landelijke publieke omroep dus geconfronteerd worden met een totale besparingsopdracht van bijna €</w:t>
      </w:r>
      <w:r w:rsidR="00700CEA">
        <w:rPr>
          <w:iCs/>
        </w:rPr>
        <w:t xml:space="preserve"> </w:t>
      </w:r>
      <w:r w:rsidRPr="00931774">
        <w:rPr>
          <w:iCs/>
        </w:rPr>
        <w:t xml:space="preserve">140 miljoen euro. Zoals eerder gecommuniceerd ligt de verantwoordelijkheid voor de invulling van deze </w:t>
      </w:r>
      <w:r w:rsidRPr="00931774">
        <w:rPr>
          <w:iCs/>
        </w:rPr>
        <w:lastRenderedPageBreak/>
        <w:t>besparing bij de NPO, in gezamenlijkheid met de omroepen. Zij zijn hiervoor al plannen aan het ontwikkelen. Als uitgangspunt hierbij geldt dat de programmering zoveel mogelijk word</w:t>
      </w:r>
      <w:r w:rsidRPr="00931774" w:rsidR="003E540F">
        <w:rPr>
          <w:iCs/>
        </w:rPr>
        <w:t>t</w:t>
      </w:r>
      <w:r w:rsidRPr="00931774">
        <w:rPr>
          <w:iCs/>
        </w:rPr>
        <w:t xml:space="preserve"> ontzien, al is het bij een besparing van deze omvang onvermijdelijk dat ook de programmering wordt geraakt. Ik </w:t>
      </w:r>
      <w:r w:rsidR="00283315">
        <w:rPr>
          <w:iCs/>
        </w:rPr>
        <w:t xml:space="preserve">heb uw Kamer in de </w:t>
      </w:r>
      <w:r w:rsidRPr="00931774">
        <w:rPr>
          <w:iCs/>
        </w:rPr>
        <w:t xml:space="preserve">mediabegrotingsbrief </w:t>
      </w:r>
      <w:r w:rsidR="00283315">
        <w:rPr>
          <w:iCs/>
        </w:rPr>
        <w:t xml:space="preserve">2026 </w:t>
      </w:r>
      <w:r w:rsidR="00847FB9">
        <w:rPr>
          <w:iCs/>
        </w:rPr>
        <w:t>nader</w:t>
      </w:r>
      <w:r w:rsidRPr="00931774">
        <w:rPr>
          <w:iCs/>
        </w:rPr>
        <w:t xml:space="preserve"> </w:t>
      </w:r>
      <w:r w:rsidR="00283315">
        <w:rPr>
          <w:iCs/>
        </w:rPr>
        <w:t xml:space="preserve">geïnformeerd over de stand van zaken bij </w:t>
      </w:r>
      <w:r w:rsidRPr="00931774">
        <w:rPr>
          <w:iCs/>
        </w:rPr>
        <w:t xml:space="preserve">de uitwerking van de bezuinigingen. </w:t>
      </w:r>
    </w:p>
    <w:p w:rsidR="00ED1B5C" w:rsidP="00540FA1" w:rsidRDefault="00ED1B5C" w14:paraId="5BD6438F" w14:textId="77777777">
      <w:pPr>
        <w:rPr>
          <w:i/>
        </w:rPr>
      </w:pPr>
    </w:p>
    <w:p w:rsidRPr="00931774" w:rsidR="00540FA1" w:rsidP="00540FA1" w:rsidRDefault="00540FA1" w14:paraId="7BB5F8E1" w14:textId="2AE9C582">
      <w:pPr>
        <w:rPr>
          <w:i/>
        </w:rPr>
      </w:pPr>
      <w:r w:rsidRPr="00931774">
        <w:rPr>
          <w:i/>
        </w:rPr>
        <w:t>Tot slot</w:t>
      </w:r>
    </w:p>
    <w:p w:rsidRPr="00931774" w:rsidR="00D30E9B" w:rsidP="00540FA1" w:rsidRDefault="00D30E9B" w14:paraId="73B29B16" w14:textId="77777777">
      <w:pPr>
        <w:rPr>
          <w:i/>
        </w:rPr>
      </w:pPr>
    </w:p>
    <w:p w:rsidR="00540FA1" w:rsidP="00D30E9B" w:rsidRDefault="00CE6034" w14:paraId="6D5C3616" w14:textId="3E82A92F">
      <w:pPr>
        <w:rPr>
          <w:iCs/>
        </w:rPr>
      </w:pPr>
      <w:r w:rsidRPr="00931774">
        <w:rPr>
          <w:iCs/>
        </w:rPr>
        <w:t xml:space="preserve">Met de impactanalyse van SEO ligt er een rapport dat inzicht biedt in de </w:t>
      </w:r>
      <w:r w:rsidRPr="00931774" w:rsidR="00D30E9B">
        <w:rPr>
          <w:iCs/>
        </w:rPr>
        <w:t xml:space="preserve">opties voor een uitbreiding van de reclamemogelijkheden van de Ster </w:t>
      </w:r>
      <w:r w:rsidRPr="00931774">
        <w:rPr>
          <w:iCs/>
        </w:rPr>
        <w:t xml:space="preserve">en </w:t>
      </w:r>
      <w:r w:rsidRPr="00931774" w:rsidR="00D30E9B">
        <w:rPr>
          <w:iCs/>
        </w:rPr>
        <w:t xml:space="preserve">de </w:t>
      </w:r>
      <w:r w:rsidRPr="00931774">
        <w:rPr>
          <w:iCs/>
        </w:rPr>
        <w:t xml:space="preserve">gevolgen </w:t>
      </w:r>
      <w:r w:rsidRPr="00931774" w:rsidR="00D30E9B">
        <w:rPr>
          <w:iCs/>
        </w:rPr>
        <w:t xml:space="preserve">hiervan </w:t>
      </w:r>
      <w:r w:rsidRPr="00931774">
        <w:rPr>
          <w:iCs/>
        </w:rPr>
        <w:t>op de advertentiemarkt</w:t>
      </w:r>
      <w:r w:rsidR="008A74D7">
        <w:rPr>
          <w:iCs/>
        </w:rPr>
        <w:t xml:space="preserve">. </w:t>
      </w:r>
      <w:r w:rsidRPr="00931774" w:rsidR="00D30E9B">
        <w:rPr>
          <w:iCs/>
        </w:rPr>
        <w:t xml:space="preserve">Het rapport is hiermee </w:t>
      </w:r>
      <w:r w:rsidR="00FE2A01">
        <w:rPr>
          <w:iCs/>
        </w:rPr>
        <w:t xml:space="preserve">ook </w:t>
      </w:r>
      <w:r w:rsidRPr="00931774" w:rsidR="00D30E9B">
        <w:rPr>
          <w:iCs/>
        </w:rPr>
        <w:t xml:space="preserve">bruikbaar voor een volgend kabinet </w:t>
      </w:r>
      <w:r w:rsidR="00607E3C">
        <w:rPr>
          <w:iCs/>
        </w:rPr>
        <w:t>of uw Kamer bij een eventuele wens</w:t>
      </w:r>
      <w:r w:rsidRPr="00931774" w:rsidR="00D30E9B">
        <w:rPr>
          <w:iCs/>
        </w:rPr>
        <w:t xml:space="preserve"> de reclamemogelijkheden bij de landelijke publieke omroep opnieuw </w:t>
      </w:r>
      <w:r w:rsidR="00607E3C">
        <w:rPr>
          <w:iCs/>
        </w:rPr>
        <w:t>te bezien</w:t>
      </w:r>
      <w:r w:rsidR="00414375">
        <w:rPr>
          <w:iCs/>
        </w:rPr>
        <w:t xml:space="preserve"> </w:t>
      </w:r>
      <w:r w:rsidRPr="00931774" w:rsidR="00D30E9B">
        <w:rPr>
          <w:iCs/>
        </w:rPr>
        <w:t>in het licht van mogelijke veranderingen</w:t>
      </w:r>
      <w:r w:rsidR="000327D7">
        <w:rPr>
          <w:iCs/>
        </w:rPr>
        <w:t xml:space="preserve"> in kijkersgedrag en</w:t>
      </w:r>
      <w:r w:rsidRPr="00931774" w:rsidR="00D30E9B">
        <w:rPr>
          <w:iCs/>
        </w:rPr>
        <w:t xml:space="preserve"> op de advertentiemarkt.</w:t>
      </w:r>
    </w:p>
    <w:p w:rsidR="00847FB9" w:rsidP="00D30E9B" w:rsidRDefault="00847FB9" w14:paraId="592E60F7" w14:textId="77777777">
      <w:pPr>
        <w:rPr>
          <w:iCs/>
        </w:rPr>
      </w:pPr>
    </w:p>
    <w:p w:rsidRPr="00931774" w:rsidR="00847FB9" w:rsidP="00D30E9B" w:rsidRDefault="00847FB9" w14:paraId="469B2D5B" w14:textId="4D0BCD5B">
      <w:pPr>
        <w:rPr>
          <w:iCs/>
        </w:rPr>
      </w:pPr>
    </w:p>
    <w:p w:rsidR="009C5700" w:rsidP="00CA35E4" w:rsidRDefault="009C5700" w14:paraId="3189748B" w14:textId="77777777">
      <w:pPr>
        <w:rPr>
          <w:iCs/>
        </w:rPr>
      </w:pPr>
    </w:p>
    <w:p w:rsidRPr="00931774" w:rsidR="00312E0B" w:rsidP="00CA35E4" w:rsidRDefault="00312E0B" w14:paraId="2B7F73EB" w14:textId="77777777"/>
    <w:p w:rsidRPr="00931774" w:rsidR="00820DDA" w:rsidP="00CA35E4" w:rsidRDefault="00E938AA" w14:paraId="254A83F8" w14:textId="3BB53E66">
      <w:r w:rsidRPr="00931774">
        <w:t>De minister van Onderwijs, Cultuur en Wetenschap</w:t>
      </w:r>
      <w:r w:rsidRPr="00931774" w:rsidR="00A336F6">
        <w:t>,</w:t>
      </w:r>
      <w:r w:rsidRPr="00931774" w:rsidR="00125C45">
        <w:t xml:space="preserve"> </w:t>
      </w:r>
    </w:p>
    <w:p w:rsidRPr="00931774" w:rsidR="000F521E" w:rsidP="003A7160" w:rsidRDefault="000F521E" w14:paraId="36B580C9" w14:textId="77777777"/>
    <w:p w:rsidRPr="00931774" w:rsidR="000F521E" w:rsidP="003A7160" w:rsidRDefault="000F521E" w14:paraId="6C1A61A1" w14:textId="77777777"/>
    <w:p w:rsidRPr="00931774" w:rsidR="000F521E" w:rsidP="003A7160" w:rsidRDefault="000F521E" w14:paraId="4B2049AF" w14:textId="77777777"/>
    <w:p w:rsidRPr="00931774" w:rsidR="000F521E" w:rsidP="003A7160" w:rsidRDefault="000F521E" w14:paraId="30B7A381" w14:textId="77777777"/>
    <w:p w:rsidRPr="00820DDA" w:rsidR="00820DDA" w:rsidP="00312E0B" w:rsidRDefault="00A336F6" w14:paraId="68A82174" w14:textId="1B1BB1EF">
      <w:pPr>
        <w:pStyle w:val="standaard-tekst"/>
      </w:pPr>
      <w:proofErr w:type="spellStart"/>
      <w:r w:rsidRPr="00931774">
        <w:t>Gouke</w:t>
      </w:r>
      <w:proofErr w:type="spellEnd"/>
      <w:r w:rsidRPr="00931774">
        <w:t xml:space="preserve"> Moe</w:t>
      </w:r>
      <w:r w:rsidR="00312E0B">
        <w:t>s</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59E4" w14:textId="77777777" w:rsidR="00A00E91" w:rsidRDefault="00A00E91">
      <w:r>
        <w:separator/>
      </w:r>
    </w:p>
    <w:p w14:paraId="270150C1" w14:textId="77777777" w:rsidR="00A00E91" w:rsidRDefault="00A00E91"/>
  </w:endnote>
  <w:endnote w:type="continuationSeparator" w:id="0">
    <w:p w14:paraId="6FF0FA25" w14:textId="77777777" w:rsidR="00A00E91" w:rsidRDefault="00A00E91">
      <w:r>
        <w:continuationSeparator/>
      </w:r>
    </w:p>
    <w:p w14:paraId="0AB94BF7" w14:textId="77777777" w:rsidR="00A00E91" w:rsidRDefault="00A00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462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E721C" w14:paraId="26887CE7" w14:textId="77777777" w:rsidTr="004C7E1D">
      <w:trPr>
        <w:trHeight w:hRule="exact" w:val="357"/>
      </w:trPr>
      <w:tc>
        <w:tcPr>
          <w:tcW w:w="7603" w:type="dxa"/>
        </w:tcPr>
        <w:p w14:paraId="58B3521A" w14:textId="77777777" w:rsidR="002F71BB" w:rsidRPr="004C7E1D" w:rsidRDefault="002F71BB" w:rsidP="004C7E1D">
          <w:pPr>
            <w:spacing w:line="180" w:lineRule="exact"/>
            <w:rPr>
              <w:sz w:val="13"/>
              <w:szCs w:val="13"/>
            </w:rPr>
          </w:pPr>
        </w:p>
      </w:tc>
      <w:tc>
        <w:tcPr>
          <w:tcW w:w="2172" w:type="dxa"/>
        </w:tcPr>
        <w:p w14:paraId="7261A1C8" w14:textId="6FE63D50" w:rsidR="002F71BB" w:rsidRPr="004C7E1D" w:rsidRDefault="00E938A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20AB1">
            <w:rPr>
              <w:szCs w:val="13"/>
            </w:rPr>
            <w:t>7</w:t>
          </w:r>
          <w:r w:rsidRPr="004C7E1D">
            <w:rPr>
              <w:szCs w:val="13"/>
            </w:rPr>
            <w:fldChar w:fldCharType="end"/>
          </w:r>
        </w:p>
      </w:tc>
    </w:tr>
  </w:tbl>
  <w:p w14:paraId="5D2C7E8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E721C" w14:paraId="7EA7A471" w14:textId="77777777" w:rsidTr="004C7E1D">
      <w:trPr>
        <w:trHeight w:hRule="exact" w:val="357"/>
      </w:trPr>
      <w:tc>
        <w:tcPr>
          <w:tcW w:w="7709" w:type="dxa"/>
        </w:tcPr>
        <w:p w14:paraId="618D4EF6" w14:textId="77777777" w:rsidR="00D17084" w:rsidRPr="004C7E1D" w:rsidRDefault="00D17084" w:rsidP="004C7E1D">
          <w:pPr>
            <w:spacing w:line="180" w:lineRule="exact"/>
            <w:rPr>
              <w:sz w:val="13"/>
              <w:szCs w:val="13"/>
            </w:rPr>
          </w:pPr>
        </w:p>
      </w:tc>
      <w:tc>
        <w:tcPr>
          <w:tcW w:w="2060" w:type="dxa"/>
        </w:tcPr>
        <w:p w14:paraId="051B2D5B" w14:textId="159D8430" w:rsidR="00D17084" w:rsidRPr="004C7E1D" w:rsidRDefault="00E938A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20AB1">
            <w:rPr>
              <w:szCs w:val="13"/>
            </w:rPr>
            <w:t>7</w:t>
          </w:r>
          <w:r w:rsidRPr="004C7E1D">
            <w:rPr>
              <w:szCs w:val="13"/>
            </w:rPr>
            <w:fldChar w:fldCharType="end"/>
          </w:r>
        </w:p>
      </w:tc>
    </w:tr>
  </w:tbl>
  <w:p w14:paraId="005C7F9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E24A" w14:textId="77777777" w:rsidR="00A00E91" w:rsidRDefault="00A00E91">
      <w:r>
        <w:separator/>
      </w:r>
    </w:p>
    <w:p w14:paraId="5F53E22F" w14:textId="77777777" w:rsidR="00A00E91" w:rsidRDefault="00A00E91"/>
  </w:footnote>
  <w:footnote w:type="continuationSeparator" w:id="0">
    <w:p w14:paraId="4CF4C647" w14:textId="77777777" w:rsidR="00A00E91" w:rsidRDefault="00A00E91">
      <w:r>
        <w:continuationSeparator/>
      </w:r>
    </w:p>
    <w:p w14:paraId="65677B84" w14:textId="77777777" w:rsidR="00A00E91" w:rsidRDefault="00A00E91"/>
  </w:footnote>
  <w:footnote w:id="1">
    <w:p w14:paraId="55840566" w14:textId="5A3391B6" w:rsidR="006036E5" w:rsidRDefault="006036E5">
      <w:pPr>
        <w:pStyle w:val="Voetnoottekst"/>
      </w:pPr>
      <w:r>
        <w:rPr>
          <w:rStyle w:val="Voetnootmarkering"/>
        </w:rPr>
        <w:footnoteRef/>
      </w:r>
      <w:r>
        <w:t xml:space="preserve"> Kamerstukken II, 2024/25, 32 827, nr. 333.</w:t>
      </w:r>
    </w:p>
  </w:footnote>
  <w:footnote w:id="2">
    <w:p w14:paraId="0593C974" w14:textId="77777777" w:rsidR="00540FA1" w:rsidRPr="002345AC" w:rsidRDefault="00540FA1" w:rsidP="00540FA1">
      <w:pPr>
        <w:pStyle w:val="Voetnoottekst"/>
        <w:rPr>
          <w:sz w:val="16"/>
          <w:szCs w:val="16"/>
        </w:rPr>
      </w:pPr>
      <w:r w:rsidRPr="00931774">
        <w:rPr>
          <w:rStyle w:val="Voetnootmarkering"/>
          <w:szCs w:val="13"/>
        </w:rPr>
        <w:footnoteRef/>
      </w:r>
      <w:r w:rsidRPr="00931774">
        <w:rPr>
          <w:szCs w:val="13"/>
        </w:rPr>
        <w:t xml:space="preserve"> Kamerstukken II, 2024/25, 36 600, nr. 141.</w:t>
      </w:r>
    </w:p>
  </w:footnote>
  <w:footnote w:id="3">
    <w:p w14:paraId="193C4731" w14:textId="702D1E69" w:rsidR="004C703E" w:rsidRDefault="004C703E">
      <w:pPr>
        <w:pStyle w:val="Voetnoottekst"/>
      </w:pPr>
      <w:r>
        <w:rPr>
          <w:rStyle w:val="Voetnootmarkering"/>
        </w:rPr>
        <w:footnoteRef/>
      </w:r>
      <w:r>
        <w:t xml:space="preserve"> </w:t>
      </w:r>
      <w:r w:rsidR="00AE31CE">
        <w:t>Kamer</w:t>
      </w:r>
      <w:r w:rsidR="00952E78">
        <w:t>s</w:t>
      </w:r>
      <w:r w:rsidR="00AE31CE">
        <w:t>tukken II, 2025/26, 32 827, nr. 372.</w:t>
      </w:r>
    </w:p>
  </w:footnote>
  <w:footnote w:id="4">
    <w:p w14:paraId="1B85C9C0" w14:textId="0E68C61E" w:rsidR="00540FA1" w:rsidRPr="00931774" w:rsidRDefault="00540FA1" w:rsidP="00540FA1">
      <w:pPr>
        <w:pStyle w:val="Voetnoottekst"/>
        <w:rPr>
          <w:szCs w:val="13"/>
        </w:rPr>
      </w:pPr>
      <w:r w:rsidRPr="00931774">
        <w:rPr>
          <w:rStyle w:val="Voetnootmarkering"/>
          <w:szCs w:val="13"/>
        </w:rPr>
        <w:footnoteRef/>
      </w:r>
      <w:r w:rsidRPr="00931774">
        <w:rPr>
          <w:szCs w:val="13"/>
        </w:rPr>
        <w:t xml:space="preserve"> In de Mediawet zijn verschillende artikelen opgenomen die de hoeveelheid reclame op lineaire kanalen van de publieke omroep beperkt (art. 2.94-2.97). In de Mediawet is daarbij opgenomen dat deze wetsartikelen zoveel als mogelijk van overeenkomstige toepassing zijn op het overige media-aanbod, waaronder op de online kanalen.</w:t>
      </w:r>
      <w:r w:rsidR="002E3B43" w:rsidRPr="00931774">
        <w:rPr>
          <w:szCs w:val="13"/>
        </w:rPr>
        <w:t xml:space="preserve"> </w:t>
      </w:r>
    </w:p>
    <w:p w14:paraId="76999BAB" w14:textId="77777777" w:rsidR="00540FA1" w:rsidRDefault="00540FA1" w:rsidP="00540FA1">
      <w:pPr>
        <w:pStyle w:val="Voetnoottekst"/>
      </w:pPr>
    </w:p>
  </w:footnote>
  <w:footnote w:id="5">
    <w:p w14:paraId="5FE80984" w14:textId="77777777" w:rsidR="00540FA1" w:rsidRPr="002F6A92" w:rsidRDefault="00540FA1" w:rsidP="00540FA1">
      <w:pPr>
        <w:pStyle w:val="Voetnoottekst"/>
      </w:pPr>
      <w:r w:rsidRPr="002F6A92">
        <w:rPr>
          <w:rStyle w:val="Voetnootmarkering"/>
        </w:rPr>
        <w:footnoteRef/>
      </w:r>
      <w:r w:rsidRPr="002F6A92">
        <w:t xml:space="preserve"> </w:t>
      </w:r>
      <w:r w:rsidRPr="002F6A92">
        <w:rPr>
          <w:i/>
          <w:iCs/>
        </w:rPr>
        <w:t>Kamerstukken II</w:t>
      </w:r>
      <w:r w:rsidRPr="002F6A92">
        <w:t>, 2024/25, 36600-VIII, nr. 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E3B1" w14:textId="77777777" w:rsidR="00312E0B" w:rsidRDefault="00312E0B"/>
  <w:tbl>
    <w:tblPr>
      <w:tblW w:w="7518" w:type="dxa"/>
      <w:tblLayout w:type="fixed"/>
      <w:tblCellMar>
        <w:left w:w="0" w:type="dxa"/>
        <w:right w:w="0" w:type="dxa"/>
      </w:tblCellMar>
      <w:tblLook w:val="0000" w:firstRow="0" w:lastRow="0" w:firstColumn="0" w:lastColumn="0" w:noHBand="0" w:noVBand="0"/>
    </w:tblPr>
    <w:tblGrid>
      <w:gridCol w:w="7518"/>
    </w:tblGrid>
    <w:tr w:rsidR="005E721C" w14:paraId="48D7D702" w14:textId="77777777" w:rsidTr="006D2D53">
      <w:trPr>
        <w:trHeight w:hRule="exact" w:val="400"/>
      </w:trPr>
      <w:tc>
        <w:tcPr>
          <w:tcW w:w="7518" w:type="dxa"/>
        </w:tcPr>
        <w:p w14:paraId="01FC5865" w14:textId="77777777" w:rsidR="00527BD4" w:rsidRPr="00275984" w:rsidRDefault="00527BD4" w:rsidP="00BF4427">
          <w:pPr>
            <w:pStyle w:val="Huisstijl-Rubricering"/>
          </w:pPr>
        </w:p>
      </w:tc>
    </w:tr>
  </w:tbl>
  <w:p w14:paraId="1B604A0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E721C" w14:paraId="55864AAA" w14:textId="77777777" w:rsidTr="003B528D">
      <w:tc>
        <w:tcPr>
          <w:tcW w:w="2160" w:type="dxa"/>
        </w:tcPr>
        <w:p w14:paraId="580511BC" w14:textId="77777777" w:rsidR="002F71BB" w:rsidRPr="000407BB" w:rsidRDefault="00E938AA" w:rsidP="005D283A">
          <w:pPr>
            <w:pStyle w:val="Colofonkop"/>
            <w:framePr w:hSpace="0" w:wrap="auto" w:vAnchor="margin" w:hAnchor="text" w:xAlign="left" w:yAlign="inline"/>
          </w:pPr>
          <w:r>
            <w:t>Onze referentie</w:t>
          </w:r>
        </w:p>
      </w:tc>
    </w:tr>
    <w:tr w:rsidR="005E721C" w14:paraId="286E6C06" w14:textId="77777777" w:rsidTr="002F71BB">
      <w:trPr>
        <w:trHeight w:val="259"/>
      </w:trPr>
      <w:tc>
        <w:tcPr>
          <w:tcW w:w="2160" w:type="dxa"/>
        </w:tcPr>
        <w:p w14:paraId="1BEB2EC8" w14:textId="77777777" w:rsidR="00E35CF4" w:rsidRPr="005D283A" w:rsidRDefault="00E938AA" w:rsidP="0049501A">
          <w:pPr>
            <w:spacing w:line="180" w:lineRule="exact"/>
            <w:rPr>
              <w:sz w:val="13"/>
              <w:szCs w:val="13"/>
            </w:rPr>
          </w:pPr>
          <w:r>
            <w:rPr>
              <w:sz w:val="13"/>
              <w:szCs w:val="13"/>
            </w:rPr>
            <w:t>53125685</w:t>
          </w:r>
        </w:p>
      </w:tc>
    </w:tr>
  </w:tbl>
  <w:p w14:paraId="2F32F2F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E721C" w14:paraId="543A1C28" w14:textId="77777777" w:rsidTr="001377D4">
      <w:trPr>
        <w:trHeight w:val="2636"/>
      </w:trPr>
      <w:tc>
        <w:tcPr>
          <w:tcW w:w="737" w:type="dxa"/>
        </w:tcPr>
        <w:p w14:paraId="4B8B45D9" w14:textId="77777777" w:rsidR="00704845" w:rsidRDefault="00704845" w:rsidP="0047126E">
          <w:pPr>
            <w:framePr w:w="6339" w:h="2750" w:hRule="exact" w:hSpace="181" w:wrap="around" w:vAnchor="page" w:hAnchor="page" w:x="5586" w:y="1"/>
            <w:spacing w:line="240" w:lineRule="auto"/>
          </w:pPr>
        </w:p>
      </w:tc>
      <w:tc>
        <w:tcPr>
          <w:tcW w:w="5156" w:type="dxa"/>
        </w:tcPr>
        <w:p w14:paraId="39037032" w14:textId="77777777" w:rsidR="00704845" w:rsidRDefault="00E938AA" w:rsidP="0047126E">
          <w:pPr>
            <w:framePr w:w="3873" w:h="2625" w:hRule="exact" w:wrap="around" w:vAnchor="page" w:hAnchor="page" w:x="6323" w:y="1"/>
          </w:pPr>
          <w:r>
            <w:rPr>
              <w:noProof/>
              <w:lang w:val="en-US" w:eastAsia="en-US"/>
            </w:rPr>
            <w:drawing>
              <wp:inline distT="0" distB="0" distL="0" distR="0" wp14:anchorId="140B1C1B" wp14:editId="0941EC44">
                <wp:extent cx="2447925" cy="1657350"/>
                <wp:effectExtent l="0" t="0" r="0" b="0"/>
                <wp:docPr id="93500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3F40A40" w14:textId="77777777" w:rsidR="00483ECA" w:rsidRDefault="00483ECA" w:rsidP="00D037A9"/>
      </w:tc>
    </w:tr>
  </w:tbl>
  <w:p w14:paraId="5456FB61" w14:textId="77777777" w:rsidR="00704845" w:rsidRDefault="00704845" w:rsidP="0047126E">
    <w:pPr>
      <w:framePr w:w="6339" w:h="2750" w:hRule="exact" w:hSpace="181" w:wrap="around" w:vAnchor="page" w:hAnchor="page" w:x="5586" w:y="1"/>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778F8" w:rsidRPr="00952E78" w14:paraId="7F386CED" w14:textId="77777777" w:rsidTr="007D338A">
      <w:tc>
        <w:tcPr>
          <w:tcW w:w="2160" w:type="dxa"/>
        </w:tcPr>
        <w:p w14:paraId="7382D96D" w14:textId="77777777" w:rsidR="00C778F8" w:rsidRPr="004853C0" w:rsidRDefault="00C778F8" w:rsidP="00C778F8">
          <w:pPr>
            <w:spacing w:line="180" w:lineRule="exact"/>
            <w:rPr>
              <w:b/>
              <w:noProof/>
              <w:sz w:val="13"/>
              <w:szCs w:val="13"/>
            </w:rPr>
          </w:pPr>
          <w:r w:rsidRPr="004853C0">
            <w:rPr>
              <w:b/>
              <w:noProof/>
              <w:sz w:val="13"/>
              <w:szCs w:val="13"/>
            </w:rPr>
            <w:t>Media en Creatieve Industrie</w:t>
          </w:r>
        </w:p>
        <w:p w14:paraId="7DDC1A50" w14:textId="77777777" w:rsidR="00C778F8" w:rsidRPr="004853C0" w:rsidRDefault="00C778F8" w:rsidP="00C778F8">
          <w:pPr>
            <w:spacing w:line="180" w:lineRule="exact"/>
            <w:rPr>
              <w:noProof/>
              <w:sz w:val="13"/>
            </w:rPr>
          </w:pPr>
          <w:r w:rsidRPr="004853C0">
            <w:rPr>
              <w:noProof/>
              <w:sz w:val="13"/>
            </w:rPr>
            <w:t xml:space="preserve">Rijnstraat 50 </w:t>
          </w:r>
        </w:p>
        <w:p w14:paraId="7FEA68AB" w14:textId="77777777" w:rsidR="00C778F8" w:rsidRPr="004853C0" w:rsidRDefault="00C778F8" w:rsidP="00C778F8">
          <w:pPr>
            <w:spacing w:line="180" w:lineRule="exact"/>
            <w:rPr>
              <w:noProof/>
              <w:sz w:val="13"/>
            </w:rPr>
          </w:pPr>
          <w:r w:rsidRPr="004853C0">
            <w:rPr>
              <w:noProof/>
              <w:sz w:val="13"/>
            </w:rPr>
            <w:t>Den Haag</w:t>
          </w:r>
        </w:p>
        <w:p w14:paraId="5EBE60D4" w14:textId="77777777" w:rsidR="00C778F8" w:rsidRPr="004853C0" w:rsidRDefault="00C778F8" w:rsidP="00C778F8">
          <w:pPr>
            <w:spacing w:line="180" w:lineRule="exact"/>
            <w:rPr>
              <w:noProof/>
              <w:sz w:val="13"/>
            </w:rPr>
          </w:pPr>
          <w:r w:rsidRPr="004853C0">
            <w:rPr>
              <w:noProof/>
              <w:sz w:val="13"/>
            </w:rPr>
            <w:t>Postbus 16375</w:t>
          </w:r>
        </w:p>
        <w:p w14:paraId="489596D5" w14:textId="77777777" w:rsidR="00C778F8" w:rsidRPr="004853C0" w:rsidRDefault="00C778F8" w:rsidP="00C778F8">
          <w:pPr>
            <w:spacing w:line="180" w:lineRule="exact"/>
            <w:rPr>
              <w:noProof/>
              <w:sz w:val="13"/>
            </w:rPr>
          </w:pPr>
          <w:r w:rsidRPr="004853C0">
            <w:rPr>
              <w:noProof/>
              <w:sz w:val="13"/>
            </w:rPr>
            <w:t>2500 BJ Den Haag</w:t>
          </w:r>
        </w:p>
        <w:p w14:paraId="2DC83FD9" w14:textId="77777777" w:rsidR="00C778F8" w:rsidRPr="004853C0" w:rsidRDefault="00C778F8" w:rsidP="00C778F8">
          <w:pPr>
            <w:spacing w:after="90" w:line="180" w:lineRule="exact"/>
            <w:rPr>
              <w:noProof/>
              <w:sz w:val="13"/>
            </w:rPr>
          </w:pPr>
          <w:r w:rsidRPr="004853C0">
            <w:rPr>
              <w:noProof/>
              <w:sz w:val="13"/>
            </w:rPr>
            <w:t>www.rijksoverheid.nl</w:t>
          </w:r>
        </w:p>
        <w:p w14:paraId="764632D5" w14:textId="77777777" w:rsidR="00C778F8" w:rsidRPr="004853C0" w:rsidRDefault="00C778F8" w:rsidP="00C778F8">
          <w:pPr>
            <w:spacing w:line="180" w:lineRule="exact"/>
            <w:rPr>
              <w:b/>
              <w:sz w:val="13"/>
              <w:szCs w:val="13"/>
            </w:rPr>
          </w:pPr>
          <w:r w:rsidRPr="004853C0">
            <w:rPr>
              <w:b/>
              <w:sz w:val="13"/>
              <w:szCs w:val="13"/>
            </w:rPr>
            <w:t>Contactpersoon</w:t>
          </w:r>
        </w:p>
        <w:p w14:paraId="7E190EC2" w14:textId="78C11ECE" w:rsidR="00717860" w:rsidRPr="004853C0" w:rsidRDefault="00717860" w:rsidP="00717860">
          <w:pPr>
            <w:spacing w:after="90" w:line="180" w:lineRule="exact"/>
            <w:rPr>
              <w:sz w:val="13"/>
              <w:szCs w:val="13"/>
              <w:lang w:val="en-US"/>
            </w:rPr>
          </w:pPr>
        </w:p>
        <w:p w14:paraId="2C98DBE3" w14:textId="1D57FA1B" w:rsidR="00C778F8" w:rsidRPr="004853C0" w:rsidRDefault="00C778F8" w:rsidP="00C778F8">
          <w:pPr>
            <w:spacing w:line="180" w:lineRule="exact"/>
            <w:rPr>
              <w:sz w:val="13"/>
              <w:szCs w:val="13"/>
              <w:lang w:val="en-US"/>
            </w:rPr>
          </w:pPr>
        </w:p>
      </w:tc>
    </w:tr>
    <w:tr w:rsidR="00C778F8" w:rsidRPr="00952E78" w14:paraId="4DA6E3BD" w14:textId="77777777" w:rsidTr="007D338A">
      <w:trPr>
        <w:trHeight w:hRule="exact" w:val="200"/>
      </w:trPr>
      <w:tc>
        <w:tcPr>
          <w:tcW w:w="2160" w:type="dxa"/>
        </w:tcPr>
        <w:p w14:paraId="32B7BBA8" w14:textId="77777777" w:rsidR="00C778F8" w:rsidRPr="004853C0" w:rsidRDefault="00C778F8" w:rsidP="00C778F8">
          <w:pPr>
            <w:spacing w:after="90" w:line="180" w:lineRule="exact"/>
            <w:rPr>
              <w:sz w:val="13"/>
              <w:szCs w:val="13"/>
              <w:lang w:val="en-US"/>
            </w:rPr>
          </w:pPr>
        </w:p>
      </w:tc>
    </w:tr>
    <w:tr w:rsidR="00C778F8" w:rsidRPr="004853C0" w14:paraId="472F6FE3" w14:textId="77777777" w:rsidTr="007D338A">
      <w:trPr>
        <w:trHeight w:val="450"/>
      </w:trPr>
      <w:tc>
        <w:tcPr>
          <w:tcW w:w="2160" w:type="dxa"/>
        </w:tcPr>
        <w:p w14:paraId="167B9CFC" w14:textId="77777777" w:rsidR="00C778F8" w:rsidRPr="004853C0" w:rsidRDefault="00C778F8" w:rsidP="00C778F8">
          <w:pPr>
            <w:spacing w:line="180" w:lineRule="exact"/>
            <w:rPr>
              <w:b/>
              <w:sz w:val="13"/>
              <w:szCs w:val="13"/>
            </w:rPr>
          </w:pPr>
          <w:r w:rsidRPr="004853C0">
            <w:rPr>
              <w:b/>
              <w:sz w:val="13"/>
              <w:szCs w:val="13"/>
            </w:rPr>
            <w:t>Onze referentie</w:t>
          </w:r>
        </w:p>
        <w:p w14:paraId="1F42226D" w14:textId="77777777" w:rsidR="00C778F8" w:rsidRPr="004853C0" w:rsidRDefault="00C778F8" w:rsidP="00C778F8">
          <w:pPr>
            <w:spacing w:line="180" w:lineRule="exact"/>
            <w:rPr>
              <w:sz w:val="13"/>
              <w:szCs w:val="13"/>
            </w:rPr>
          </w:pPr>
          <w:r w:rsidRPr="004853C0">
            <w:rPr>
              <w:sz w:val="13"/>
              <w:szCs w:val="13"/>
            </w:rPr>
            <w:t>53125685</w:t>
          </w:r>
        </w:p>
      </w:tc>
    </w:tr>
    <w:tr w:rsidR="00C778F8" w:rsidRPr="004853C0" w14:paraId="29641919" w14:textId="77777777" w:rsidTr="007D338A">
      <w:trPr>
        <w:trHeight w:val="113"/>
      </w:trPr>
      <w:tc>
        <w:tcPr>
          <w:tcW w:w="2160" w:type="dxa"/>
        </w:tcPr>
        <w:p w14:paraId="01E42B77" w14:textId="77777777" w:rsidR="00C778F8" w:rsidRPr="004853C0" w:rsidRDefault="00C778F8" w:rsidP="00C778F8">
          <w:pPr>
            <w:tabs>
              <w:tab w:val="center" w:pos="1080"/>
            </w:tabs>
            <w:spacing w:line="180" w:lineRule="exact"/>
            <w:rPr>
              <w:sz w:val="13"/>
              <w:szCs w:val="13"/>
            </w:rPr>
          </w:pPr>
          <w:r w:rsidRPr="004853C0">
            <w:rPr>
              <w:b/>
              <w:sz w:val="13"/>
              <w:szCs w:val="13"/>
            </w:rPr>
            <w:t>Bijlagen</w:t>
          </w:r>
        </w:p>
      </w:tc>
    </w:tr>
    <w:tr w:rsidR="00C778F8" w:rsidRPr="004853C0" w14:paraId="7030C94F" w14:textId="77777777" w:rsidTr="007D338A">
      <w:trPr>
        <w:trHeight w:val="113"/>
      </w:trPr>
      <w:tc>
        <w:tcPr>
          <w:tcW w:w="2160" w:type="dxa"/>
        </w:tcPr>
        <w:p w14:paraId="002395A7" w14:textId="77777777" w:rsidR="00C778F8" w:rsidRPr="004853C0" w:rsidRDefault="00C778F8" w:rsidP="00C778F8">
          <w:pPr>
            <w:spacing w:after="90" w:line="180" w:lineRule="exact"/>
            <w:rPr>
              <w:sz w:val="13"/>
            </w:rPr>
          </w:pPr>
          <w:r w:rsidRPr="004853C0">
            <w:rPr>
              <w:sz w:val="13"/>
            </w:rPr>
            <w:t>1</w:t>
          </w:r>
        </w:p>
      </w:tc>
    </w:tr>
  </w:tbl>
  <w:tbl>
    <w:tblPr>
      <w:tblW w:w="7520" w:type="dxa"/>
      <w:tblLayout w:type="fixed"/>
      <w:tblCellMar>
        <w:left w:w="0" w:type="dxa"/>
        <w:right w:w="0" w:type="dxa"/>
      </w:tblCellMar>
      <w:tblLook w:val="0000" w:firstRow="0" w:lastRow="0" w:firstColumn="0" w:lastColumn="0" w:noHBand="0" w:noVBand="0"/>
    </w:tblPr>
    <w:tblGrid>
      <w:gridCol w:w="7520"/>
    </w:tblGrid>
    <w:tr w:rsidR="005E721C" w14:paraId="39407B96" w14:textId="77777777" w:rsidTr="0008539E">
      <w:trPr>
        <w:trHeight w:hRule="exact" w:val="572"/>
      </w:trPr>
      <w:tc>
        <w:tcPr>
          <w:tcW w:w="7520" w:type="dxa"/>
        </w:tcPr>
        <w:p w14:paraId="27F691B4" w14:textId="77777777" w:rsidR="00527BD4" w:rsidRPr="00963440" w:rsidRDefault="00E938AA" w:rsidP="00210BA3">
          <w:pPr>
            <w:pStyle w:val="Huisstijl-Adres"/>
            <w:spacing w:after="0"/>
          </w:pPr>
          <w:r w:rsidRPr="009E3B07">
            <w:t>&gt;Retouradres </w:t>
          </w:r>
          <w:r>
            <w:t>Postbus 16375 2500 BJ Den Haag</w:t>
          </w:r>
          <w:r w:rsidRPr="009E3B07">
            <w:t xml:space="preserve"> </w:t>
          </w:r>
        </w:p>
      </w:tc>
    </w:tr>
    <w:tr w:rsidR="005E721C" w14:paraId="061C24FB" w14:textId="77777777" w:rsidTr="00E776C6">
      <w:trPr>
        <w:cantSplit/>
        <w:trHeight w:hRule="exact" w:val="238"/>
      </w:trPr>
      <w:tc>
        <w:tcPr>
          <w:tcW w:w="7520" w:type="dxa"/>
        </w:tcPr>
        <w:p w14:paraId="79D1F11F" w14:textId="77777777" w:rsidR="00093ABC" w:rsidRPr="00963440" w:rsidRDefault="00093ABC" w:rsidP="00963440"/>
      </w:tc>
    </w:tr>
    <w:tr w:rsidR="005E721C" w14:paraId="638372DB" w14:textId="77777777" w:rsidTr="00E776C6">
      <w:trPr>
        <w:cantSplit/>
        <w:trHeight w:hRule="exact" w:val="1520"/>
      </w:trPr>
      <w:tc>
        <w:tcPr>
          <w:tcW w:w="7520" w:type="dxa"/>
        </w:tcPr>
        <w:p w14:paraId="00C36843" w14:textId="77777777" w:rsidR="00A604D3" w:rsidRPr="00963440" w:rsidRDefault="00A604D3" w:rsidP="00963440"/>
      </w:tc>
    </w:tr>
    <w:tr w:rsidR="005E721C" w14:paraId="023C501A" w14:textId="77777777" w:rsidTr="00E776C6">
      <w:trPr>
        <w:trHeight w:hRule="exact" w:val="1077"/>
      </w:trPr>
      <w:tc>
        <w:tcPr>
          <w:tcW w:w="7520" w:type="dxa"/>
        </w:tcPr>
        <w:p w14:paraId="44DA3551" w14:textId="77777777" w:rsidR="00892BA5" w:rsidRPr="00035E67" w:rsidRDefault="00892BA5" w:rsidP="00892BA5">
          <w:pPr>
            <w:tabs>
              <w:tab w:val="left" w:pos="740"/>
            </w:tabs>
            <w:autoSpaceDE w:val="0"/>
            <w:autoSpaceDN w:val="0"/>
            <w:adjustRightInd w:val="0"/>
            <w:rPr>
              <w:rFonts w:cs="Verdana"/>
              <w:szCs w:val="18"/>
            </w:rPr>
          </w:pPr>
        </w:p>
      </w:tc>
    </w:tr>
  </w:tbl>
  <w:p w14:paraId="5ED9A998" w14:textId="77777777" w:rsidR="006F273B" w:rsidRDefault="006F273B" w:rsidP="00BC4AE3">
    <w:pPr>
      <w:pStyle w:val="Koptekst"/>
    </w:pPr>
  </w:p>
  <w:p w14:paraId="5F4C163E" w14:textId="77777777" w:rsidR="00153BD0" w:rsidRDefault="00153BD0" w:rsidP="00BC4AE3">
    <w:pPr>
      <w:pStyle w:val="Koptekst"/>
    </w:pPr>
  </w:p>
  <w:p w14:paraId="04FE3A32" w14:textId="77777777" w:rsidR="0044605E" w:rsidRDefault="0044605E" w:rsidP="00BC4AE3">
    <w:pPr>
      <w:pStyle w:val="Koptekst"/>
    </w:pPr>
  </w:p>
  <w:p w14:paraId="280B3255" w14:textId="77777777" w:rsidR="0044605E" w:rsidRDefault="0044605E" w:rsidP="00BC4AE3">
    <w:pPr>
      <w:pStyle w:val="Koptekst"/>
    </w:pPr>
  </w:p>
  <w:p w14:paraId="5096BA2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B36E914">
      <w:start w:val="1"/>
      <w:numFmt w:val="bullet"/>
      <w:pStyle w:val="Lijstopsomteken"/>
      <w:lvlText w:val="•"/>
      <w:lvlJc w:val="left"/>
      <w:pPr>
        <w:tabs>
          <w:tab w:val="num" w:pos="227"/>
        </w:tabs>
        <w:ind w:left="227" w:hanging="227"/>
      </w:pPr>
      <w:rPr>
        <w:rFonts w:ascii="Verdana" w:hAnsi="Verdana" w:hint="default"/>
        <w:sz w:val="18"/>
        <w:szCs w:val="18"/>
      </w:rPr>
    </w:lvl>
    <w:lvl w:ilvl="1" w:tplc="331641C6" w:tentative="1">
      <w:start w:val="1"/>
      <w:numFmt w:val="bullet"/>
      <w:lvlText w:val="o"/>
      <w:lvlJc w:val="left"/>
      <w:pPr>
        <w:tabs>
          <w:tab w:val="num" w:pos="1440"/>
        </w:tabs>
        <w:ind w:left="1440" w:hanging="360"/>
      </w:pPr>
      <w:rPr>
        <w:rFonts w:ascii="Courier New" w:hAnsi="Courier New" w:cs="Courier New" w:hint="default"/>
      </w:rPr>
    </w:lvl>
    <w:lvl w:ilvl="2" w:tplc="AA087B84" w:tentative="1">
      <w:start w:val="1"/>
      <w:numFmt w:val="bullet"/>
      <w:lvlText w:val=""/>
      <w:lvlJc w:val="left"/>
      <w:pPr>
        <w:tabs>
          <w:tab w:val="num" w:pos="2160"/>
        </w:tabs>
        <w:ind w:left="2160" w:hanging="360"/>
      </w:pPr>
      <w:rPr>
        <w:rFonts w:ascii="Wingdings" w:hAnsi="Wingdings" w:hint="default"/>
      </w:rPr>
    </w:lvl>
    <w:lvl w:ilvl="3" w:tplc="FD7C3466" w:tentative="1">
      <w:start w:val="1"/>
      <w:numFmt w:val="bullet"/>
      <w:lvlText w:val=""/>
      <w:lvlJc w:val="left"/>
      <w:pPr>
        <w:tabs>
          <w:tab w:val="num" w:pos="2880"/>
        </w:tabs>
        <w:ind w:left="2880" w:hanging="360"/>
      </w:pPr>
      <w:rPr>
        <w:rFonts w:ascii="Symbol" w:hAnsi="Symbol" w:hint="default"/>
      </w:rPr>
    </w:lvl>
    <w:lvl w:ilvl="4" w:tplc="880EF7EC" w:tentative="1">
      <w:start w:val="1"/>
      <w:numFmt w:val="bullet"/>
      <w:lvlText w:val="o"/>
      <w:lvlJc w:val="left"/>
      <w:pPr>
        <w:tabs>
          <w:tab w:val="num" w:pos="3600"/>
        </w:tabs>
        <w:ind w:left="3600" w:hanging="360"/>
      </w:pPr>
      <w:rPr>
        <w:rFonts w:ascii="Courier New" w:hAnsi="Courier New" w:cs="Courier New" w:hint="default"/>
      </w:rPr>
    </w:lvl>
    <w:lvl w:ilvl="5" w:tplc="D7706BB2" w:tentative="1">
      <w:start w:val="1"/>
      <w:numFmt w:val="bullet"/>
      <w:lvlText w:val=""/>
      <w:lvlJc w:val="left"/>
      <w:pPr>
        <w:tabs>
          <w:tab w:val="num" w:pos="4320"/>
        </w:tabs>
        <w:ind w:left="4320" w:hanging="360"/>
      </w:pPr>
      <w:rPr>
        <w:rFonts w:ascii="Wingdings" w:hAnsi="Wingdings" w:hint="default"/>
      </w:rPr>
    </w:lvl>
    <w:lvl w:ilvl="6" w:tplc="0DE8CB92" w:tentative="1">
      <w:start w:val="1"/>
      <w:numFmt w:val="bullet"/>
      <w:lvlText w:val=""/>
      <w:lvlJc w:val="left"/>
      <w:pPr>
        <w:tabs>
          <w:tab w:val="num" w:pos="5040"/>
        </w:tabs>
        <w:ind w:left="5040" w:hanging="360"/>
      </w:pPr>
      <w:rPr>
        <w:rFonts w:ascii="Symbol" w:hAnsi="Symbol" w:hint="default"/>
      </w:rPr>
    </w:lvl>
    <w:lvl w:ilvl="7" w:tplc="5DCCCB1A" w:tentative="1">
      <w:start w:val="1"/>
      <w:numFmt w:val="bullet"/>
      <w:lvlText w:val="o"/>
      <w:lvlJc w:val="left"/>
      <w:pPr>
        <w:tabs>
          <w:tab w:val="num" w:pos="5760"/>
        </w:tabs>
        <w:ind w:left="5760" w:hanging="360"/>
      </w:pPr>
      <w:rPr>
        <w:rFonts w:ascii="Courier New" w:hAnsi="Courier New" w:cs="Courier New" w:hint="default"/>
      </w:rPr>
    </w:lvl>
    <w:lvl w:ilvl="8" w:tplc="3112E8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05A3D12">
      <w:start w:val="1"/>
      <w:numFmt w:val="bullet"/>
      <w:pStyle w:val="Lijstopsomteken2"/>
      <w:lvlText w:val="–"/>
      <w:lvlJc w:val="left"/>
      <w:pPr>
        <w:tabs>
          <w:tab w:val="num" w:pos="227"/>
        </w:tabs>
        <w:ind w:left="227" w:firstLine="0"/>
      </w:pPr>
      <w:rPr>
        <w:rFonts w:ascii="Verdana" w:hAnsi="Verdana" w:hint="default"/>
      </w:rPr>
    </w:lvl>
    <w:lvl w:ilvl="1" w:tplc="371EF760" w:tentative="1">
      <w:start w:val="1"/>
      <w:numFmt w:val="bullet"/>
      <w:lvlText w:val="o"/>
      <w:lvlJc w:val="left"/>
      <w:pPr>
        <w:tabs>
          <w:tab w:val="num" w:pos="1440"/>
        </w:tabs>
        <w:ind w:left="1440" w:hanging="360"/>
      </w:pPr>
      <w:rPr>
        <w:rFonts w:ascii="Courier New" w:hAnsi="Courier New" w:cs="Courier New" w:hint="default"/>
      </w:rPr>
    </w:lvl>
    <w:lvl w:ilvl="2" w:tplc="BFF6CC08" w:tentative="1">
      <w:start w:val="1"/>
      <w:numFmt w:val="bullet"/>
      <w:lvlText w:val=""/>
      <w:lvlJc w:val="left"/>
      <w:pPr>
        <w:tabs>
          <w:tab w:val="num" w:pos="2160"/>
        </w:tabs>
        <w:ind w:left="2160" w:hanging="360"/>
      </w:pPr>
      <w:rPr>
        <w:rFonts w:ascii="Wingdings" w:hAnsi="Wingdings" w:hint="default"/>
      </w:rPr>
    </w:lvl>
    <w:lvl w:ilvl="3" w:tplc="09CE9560" w:tentative="1">
      <w:start w:val="1"/>
      <w:numFmt w:val="bullet"/>
      <w:lvlText w:val=""/>
      <w:lvlJc w:val="left"/>
      <w:pPr>
        <w:tabs>
          <w:tab w:val="num" w:pos="2880"/>
        </w:tabs>
        <w:ind w:left="2880" w:hanging="360"/>
      </w:pPr>
      <w:rPr>
        <w:rFonts w:ascii="Symbol" w:hAnsi="Symbol" w:hint="default"/>
      </w:rPr>
    </w:lvl>
    <w:lvl w:ilvl="4" w:tplc="EE52476E" w:tentative="1">
      <w:start w:val="1"/>
      <w:numFmt w:val="bullet"/>
      <w:lvlText w:val="o"/>
      <w:lvlJc w:val="left"/>
      <w:pPr>
        <w:tabs>
          <w:tab w:val="num" w:pos="3600"/>
        </w:tabs>
        <w:ind w:left="3600" w:hanging="360"/>
      </w:pPr>
      <w:rPr>
        <w:rFonts w:ascii="Courier New" w:hAnsi="Courier New" w:cs="Courier New" w:hint="default"/>
      </w:rPr>
    </w:lvl>
    <w:lvl w:ilvl="5" w:tplc="DBCCA560" w:tentative="1">
      <w:start w:val="1"/>
      <w:numFmt w:val="bullet"/>
      <w:lvlText w:val=""/>
      <w:lvlJc w:val="left"/>
      <w:pPr>
        <w:tabs>
          <w:tab w:val="num" w:pos="4320"/>
        </w:tabs>
        <w:ind w:left="4320" w:hanging="360"/>
      </w:pPr>
      <w:rPr>
        <w:rFonts w:ascii="Wingdings" w:hAnsi="Wingdings" w:hint="default"/>
      </w:rPr>
    </w:lvl>
    <w:lvl w:ilvl="6" w:tplc="BE8A6E5A" w:tentative="1">
      <w:start w:val="1"/>
      <w:numFmt w:val="bullet"/>
      <w:lvlText w:val=""/>
      <w:lvlJc w:val="left"/>
      <w:pPr>
        <w:tabs>
          <w:tab w:val="num" w:pos="5040"/>
        </w:tabs>
        <w:ind w:left="5040" w:hanging="360"/>
      </w:pPr>
      <w:rPr>
        <w:rFonts w:ascii="Symbol" w:hAnsi="Symbol" w:hint="default"/>
      </w:rPr>
    </w:lvl>
    <w:lvl w:ilvl="7" w:tplc="0094AD3A" w:tentative="1">
      <w:start w:val="1"/>
      <w:numFmt w:val="bullet"/>
      <w:lvlText w:val="o"/>
      <w:lvlJc w:val="left"/>
      <w:pPr>
        <w:tabs>
          <w:tab w:val="num" w:pos="5760"/>
        </w:tabs>
        <w:ind w:left="5760" w:hanging="360"/>
      </w:pPr>
      <w:rPr>
        <w:rFonts w:ascii="Courier New" w:hAnsi="Courier New" w:cs="Courier New" w:hint="default"/>
      </w:rPr>
    </w:lvl>
    <w:lvl w:ilvl="8" w:tplc="2DD0DB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F65887"/>
    <w:multiLevelType w:val="hybridMultilevel"/>
    <w:tmpl w:val="098465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441719"/>
    <w:multiLevelType w:val="hybridMultilevel"/>
    <w:tmpl w:val="2DAA3DB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A332E7"/>
    <w:multiLevelType w:val="hybridMultilevel"/>
    <w:tmpl w:val="E7B24A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037692"/>
    <w:multiLevelType w:val="hybridMultilevel"/>
    <w:tmpl w:val="911417C4"/>
    <w:lvl w:ilvl="0" w:tplc="76C62A3C">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DF38B6"/>
    <w:multiLevelType w:val="hybridMultilevel"/>
    <w:tmpl w:val="D3702E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40565260">
    <w:abstractNumId w:val="10"/>
  </w:num>
  <w:num w:numId="2" w16cid:durableId="1425297144">
    <w:abstractNumId w:val="7"/>
  </w:num>
  <w:num w:numId="3" w16cid:durableId="1566724014">
    <w:abstractNumId w:val="6"/>
  </w:num>
  <w:num w:numId="4" w16cid:durableId="1687832130">
    <w:abstractNumId w:val="5"/>
  </w:num>
  <w:num w:numId="5" w16cid:durableId="1786923797">
    <w:abstractNumId w:val="4"/>
  </w:num>
  <w:num w:numId="6" w16cid:durableId="2010479001">
    <w:abstractNumId w:val="8"/>
  </w:num>
  <w:num w:numId="7" w16cid:durableId="98573492">
    <w:abstractNumId w:val="3"/>
  </w:num>
  <w:num w:numId="8" w16cid:durableId="1542088853">
    <w:abstractNumId w:val="2"/>
  </w:num>
  <w:num w:numId="9" w16cid:durableId="1146238655">
    <w:abstractNumId w:val="1"/>
  </w:num>
  <w:num w:numId="10" w16cid:durableId="1305085342">
    <w:abstractNumId w:val="0"/>
  </w:num>
  <w:num w:numId="11" w16cid:durableId="547035167">
    <w:abstractNumId w:val="9"/>
  </w:num>
  <w:num w:numId="12" w16cid:durableId="462888583">
    <w:abstractNumId w:val="11"/>
  </w:num>
  <w:num w:numId="13" w16cid:durableId="11959118">
    <w:abstractNumId w:val="15"/>
  </w:num>
  <w:num w:numId="14" w16cid:durableId="1922138069">
    <w:abstractNumId w:val="12"/>
  </w:num>
  <w:num w:numId="15" w16cid:durableId="1477068673">
    <w:abstractNumId w:val="18"/>
  </w:num>
  <w:num w:numId="16" w16cid:durableId="1635521731">
    <w:abstractNumId w:val="17"/>
  </w:num>
  <w:num w:numId="17" w16cid:durableId="1241256001">
    <w:abstractNumId w:val="13"/>
  </w:num>
  <w:num w:numId="18" w16cid:durableId="1682852165">
    <w:abstractNumId w:val="14"/>
  </w:num>
  <w:num w:numId="19" w16cid:durableId="199383111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5AAC"/>
    <w:rsid w:val="00006C55"/>
    <w:rsid w:val="00013862"/>
    <w:rsid w:val="000138FF"/>
    <w:rsid w:val="00014599"/>
    <w:rsid w:val="00016012"/>
    <w:rsid w:val="00020189"/>
    <w:rsid w:val="00020EE4"/>
    <w:rsid w:val="00020FCB"/>
    <w:rsid w:val="000217E8"/>
    <w:rsid w:val="00023E9A"/>
    <w:rsid w:val="00025A42"/>
    <w:rsid w:val="00027739"/>
    <w:rsid w:val="000316DF"/>
    <w:rsid w:val="000327D7"/>
    <w:rsid w:val="00033CDD"/>
    <w:rsid w:val="00034A84"/>
    <w:rsid w:val="00034D28"/>
    <w:rsid w:val="00035E67"/>
    <w:rsid w:val="000366F3"/>
    <w:rsid w:val="00036C8F"/>
    <w:rsid w:val="000407BB"/>
    <w:rsid w:val="00045492"/>
    <w:rsid w:val="00047775"/>
    <w:rsid w:val="0005404B"/>
    <w:rsid w:val="0005447D"/>
    <w:rsid w:val="000546DE"/>
    <w:rsid w:val="0005775E"/>
    <w:rsid w:val="00057A24"/>
    <w:rsid w:val="0006024D"/>
    <w:rsid w:val="00062055"/>
    <w:rsid w:val="00065462"/>
    <w:rsid w:val="0006641C"/>
    <w:rsid w:val="00071F28"/>
    <w:rsid w:val="000732B4"/>
    <w:rsid w:val="00074079"/>
    <w:rsid w:val="00075A80"/>
    <w:rsid w:val="00076187"/>
    <w:rsid w:val="000765B6"/>
    <w:rsid w:val="0008289C"/>
    <w:rsid w:val="00084A14"/>
    <w:rsid w:val="00084EBE"/>
    <w:rsid w:val="0008539E"/>
    <w:rsid w:val="00086E3F"/>
    <w:rsid w:val="0008749B"/>
    <w:rsid w:val="00090D99"/>
    <w:rsid w:val="00092799"/>
    <w:rsid w:val="00092A99"/>
    <w:rsid w:val="00092C5F"/>
    <w:rsid w:val="00093701"/>
    <w:rsid w:val="00093ABC"/>
    <w:rsid w:val="000947BC"/>
    <w:rsid w:val="00096680"/>
    <w:rsid w:val="000A0F36"/>
    <w:rsid w:val="000A174A"/>
    <w:rsid w:val="000A3E0A"/>
    <w:rsid w:val="000A65AC"/>
    <w:rsid w:val="000B087E"/>
    <w:rsid w:val="000B48FB"/>
    <w:rsid w:val="000B4A69"/>
    <w:rsid w:val="000B4EDC"/>
    <w:rsid w:val="000B7281"/>
    <w:rsid w:val="000B7FAB"/>
    <w:rsid w:val="000C1BA1"/>
    <w:rsid w:val="000C25D7"/>
    <w:rsid w:val="000C3EA9"/>
    <w:rsid w:val="000C4A32"/>
    <w:rsid w:val="000C65BB"/>
    <w:rsid w:val="000C7119"/>
    <w:rsid w:val="000D0225"/>
    <w:rsid w:val="000D249E"/>
    <w:rsid w:val="000D6399"/>
    <w:rsid w:val="000E0591"/>
    <w:rsid w:val="000E24D2"/>
    <w:rsid w:val="000E4CF0"/>
    <w:rsid w:val="000E5886"/>
    <w:rsid w:val="000E6621"/>
    <w:rsid w:val="000E75BC"/>
    <w:rsid w:val="000E7895"/>
    <w:rsid w:val="000F161D"/>
    <w:rsid w:val="000F1B4E"/>
    <w:rsid w:val="000F1F6F"/>
    <w:rsid w:val="000F1FFF"/>
    <w:rsid w:val="000F521E"/>
    <w:rsid w:val="00100203"/>
    <w:rsid w:val="00104B4D"/>
    <w:rsid w:val="00105677"/>
    <w:rsid w:val="001101AE"/>
    <w:rsid w:val="00112B5A"/>
    <w:rsid w:val="001177B4"/>
    <w:rsid w:val="00122CF9"/>
    <w:rsid w:val="00123704"/>
    <w:rsid w:val="00125C45"/>
    <w:rsid w:val="00126484"/>
    <w:rsid w:val="001270C7"/>
    <w:rsid w:val="00132540"/>
    <w:rsid w:val="001325EE"/>
    <w:rsid w:val="001356EA"/>
    <w:rsid w:val="001377D4"/>
    <w:rsid w:val="00141C17"/>
    <w:rsid w:val="00142E41"/>
    <w:rsid w:val="0014786A"/>
    <w:rsid w:val="001516A4"/>
    <w:rsid w:val="00151E5F"/>
    <w:rsid w:val="00153BD0"/>
    <w:rsid w:val="00155BC3"/>
    <w:rsid w:val="001569AB"/>
    <w:rsid w:val="00157A12"/>
    <w:rsid w:val="0016022C"/>
    <w:rsid w:val="00164D63"/>
    <w:rsid w:val="0016725C"/>
    <w:rsid w:val="00167DE5"/>
    <w:rsid w:val="0017008F"/>
    <w:rsid w:val="00170364"/>
    <w:rsid w:val="001726F3"/>
    <w:rsid w:val="0017388E"/>
    <w:rsid w:val="00173C51"/>
    <w:rsid w:val="001740B9"/>
    <w:rsid w:val="00174CC2"/>
    <w:rsid w:val="00176CC6"/>
    <w:rsid w:val="00177B41"/>
    <w:rsid w:val="00180271"/>
    <w:rsid w:val="00180E6A"/>
    <w:rsid w:val="0018193C"/>
    <w:rsid w:val="00181BE4"/>
    <w:rsid w:val="00183589"/>
    <w:rsid w:val="0018496F"/>
    <w:rsid w:val="00184B30"/>
    <w:rsid w:val="00185576"/>
    <w:rsid w:val="00185951"/>
    <w:rsid w:val="001877D0"/>
    <w:rsid w:val="00194A00"/>
    <w:rsid w:val="00196B8B"/>
    <w:rsid w:val="001A0BFA"/>
    <w:rsid w:val="001A1608"/>
    <w:rsid w:val="001A2BEA"/>
    <w:rsid w:val="001A325F"/>
    <w:rsid w:val="001A64F1"/>
    <w:rsid w:val="001A6D93"/>
    <w:rsid w:val="001B2BBA"/>
    <w:rsid w:val="001B35FA"/>
    <w:rsid w:val="001C006F"/>
    <w:rsid w:val="001C2916"/>
    <w:rsid w:val="001C2C36"/>
    <w:rsid w:val="001C32EC"/>
    <w:rsid w:val="001C38BD"/>
    <w:rsid w:val="001C4D5A"/>
    <w:rsid w:val="001D4085"/>
    <w:rsid w:val="001E0256"/>
    <w:rsid w:val="001E1403"/>
    <w:rsid w:val="001E1E3F"/>
    <w:rsid w:val="001E26CD"/>
    <w:rsid w:val="001E34C6"/>
    <w:rsid w:val="001E5581"/>
    <w:rsid w:val="001E7711"/>
    <w:rsid w:val="001E7B9D"/>
    <w:rsid w:val="001F3C70"/>
    <w:rsid w:val="001F42BF"/>
    <w:rsid w:val="001F791B"/>
    <w:rsid w:val="00200D88"/>
    <w:rsid w:val="00201C09"/>
    <w:rsid w:val="00201F68"/>
    <w:rsid w:val="00210BA3"/>
    <w:rsid w:val="00211A67"/>
    <w:rsid w:val="00212F2A"/>
    <w:rsid w:val="00213A0D"/>
    <w:rsid w:val="00214F2B"/>
    <w:rsid w:val="00215356"/>
    <w:rsid w:val="00215964"/>
    <w:rsid w:val="00215D8B"/>
    <w:rsid w:val="002160FB"/>
    <w:rsid w:val="00217880"/>
    <w:rsid w:val="00222D66"/>
    <w:rsid w:val="0022441A"/>
    <w:rsid w:val="00224A8A"/>
    <w:rsid w:val="002309A8"/>
    <w:rsid w:val="00236CFE"/>
    <w:rsid w:val="002428E3"/>
    <w:rsid w:val="0024352D"/>
    <w:rsid w:val="0024430A"/>
    <w:rsid w:val="00245FF7"/>
    <w:rsid w:val="002529E4"/>
    <w:rsid w:val="00253B65"/>
    <w:rsid w:val="0025477F"/>
    <w:rsid w:val="0026060B"/>
    <w:rsid w:val="00260BAF"/>
    <w:rsid w:val="002610A6"/>
    <w:rsid w:val="00263FB5"/>
    <w:rsid w:val="00263FD6"/>
    <w:rsid w:val="002650F7"/>
    <w:rsid w:val="0026686B"/>
    <w:rsid w:val="00271A43"/>
    <w:rsid w:val="00272064"/>
    <w:rsid w:val="00272A7C"/>
    <w:rsid w:val="00273F3B"/>
    <w:rsid w:val="00274DB7"/>
    <w:rsid w:val="00275984"/>
    <w:rsid w:val="00276199"/>
    <w:rsid w:val="002768F3"/>
    <w:rsid w:val="00276DA4"/>
    <w:rsid w:val="00280580"/>
    <w:rsid w:val="00280F74"/>
    <w:rsid w:val="00283315"/>
    <w:rsid w:val="00286998"/>
    <w:rsid w:val="00291AB7"/>
    <w:rsid w:val="0029422B"/>
    <w:rsid w:val="00294DCB"/>
    <w:rsid w:val="002A06CE"/>
    <w:rsid w:val="002A1B4C"/>
    <w:rsid w:val="002A37B5"/>
    <w:rsid w:val="002A6722"/>
    <w:rsid w:val="002B153C"/>
    <w:rsid w:val="002B52FC"/>
    <w:rsid w:val="002C26D0"/>
    <w:rsid w:val="002C2830"/>
    <w:rsid w:val="002C3CE0"/>
    <w:rsid w:val="002C40AF"/>
    <w:rsid w:val="002C7F45"/>
    <w:rsid w:val="002D001A"/>
    <w:rsid w:val="002D28E2"/>
    <w:rsid w:val="002D317B"/>
    <w:rsid w:val="002D3587"/>
    <w:rsid w:val="002D3F4E"/>
    <w:rsid w:val="002D502D"/>
    <w:rsid w:val="002D6C72"/>
    <w:rsid w:val="002E0F69"/>
    <w:rsid w:val="002E1572"/>
    <w:rsid w:val="002E2142"/>
    <w:rsid w:val="002E260D"/>
    <w:rsid w:val="002E2DA3"/>
    <w:rsid w:val="002E3B43"/>
    <w:rsid w:val="002E4CF2"/>
    <w:rsid w:val="002E6FC0"/>
    <w:rsid w:val="002E71EA"/>
    <w:rsid w:val="002F258D"/>
    <w:rsid w:val="002F3115"/>
    <w:rsid w:val="002F3F37"/>
    <w:rsid w:val="002F493B"/>
    <w:rsid w:val="002F4ED5"/>
    <w:rsid w:val="002F5147"/>
    <w:rsid w:val="002F580E"/>
    <w:rsid w:val="002F5A0B"/>
    <w:rsid w:val="002F71BB"/>
    <w:rsid w:val="002F7ABD"/>
    <w:rsid w:val="00301DB8"/>
    <w:rsid w:val="00303D76"/>
    <w:rsid w:val="00307B3C"/>
    <w:rsid w:val="00310EF2"/>
    <w:rsid w:val="003115A6"/>
    <w:rsid w:val="00312597"/>
    <w:rsid w:val="00312E0B"/>
    <w:rsid w:val="00322836"/>
    <w:rsid w:val="0032542A"/>
    <w:rsid w:val="003306EA"/>
    <w:rsid w:val="00330EB5"/>
    <w:rsid w:val="00334154"/>
    <w:rsid w:val="003341D0"/>
    <w:rsid w:val="003372C4"/>
    <w:rsid w:val="003411BB"/>
    <w:rsid w:val="00341C5A"/>
    <w:rsid w:val="00341FA0"/>
    <w:rsid w:val="00342374"/>
    <w:rsid w:val="003427BA"/>
    <w:rsid w:val="00344F3D"/>
    <w:rsid w:val="00345299"/>
    <w:rsid w:val="0035056E"/>
    <w:rsid w:val="0035132B"/>
    <w:rsid w:val="00351A8D"/>
    <w:rsid w:val="003526BB"/>
    <w:rsid w:val="00352BCF"/>
    <w:rsid w:val="00353932"/>
    <w:rsid w:val="0035464B"/>
    <w:rsid w:val="00356D2B"/>
    <w:rsid w:val="00361A56"/>
    <w:rsid w:val="00361DFA"/>
    <w:rsid w:val="0036252A"/>
    <w:rsid w:val="00364D9D"/>
    <w:rsid w:val="00371048"/>
    <w:rsid w:val="0037396C"/>
    <w:rsid w:val="003741A8"/>
    <w:rsid w:val="0037421D"/>
    <w:rsid w:val="00374412"/>
    <w:rsid w:val="00376093"/>
    <w:rsid w:val="0037715E"/>
    <w:rsid w:val="00377778"/>
    <w:rsid w:val="00380D01"/>
    <w:rsid w:val="00380FB1"/>
    <w:rsid w:val="00383DA1"/>
    <w:rsid w:val="00385F30"/>
    <w:rsid w:val="003861F7"/>
    <w:rsid w:val="00387600"/>
    <w:rsid w:val="00393696"/>
    <w:rsid w:val="00393963"/>
    <w:rsid w:val="00395575"/>
    <w:rsid w:val="00395672"/>
    <w:rsid w:val="003A06C8"/>
    <w:rsid w:val="003A0D7C"/>
    <w:rsid w:val="003A16F1"/>
    <w:rsid w:val="003A7160"/>
    <w:rsid w:val="003B0155"/>
    <w:rsid w:val="003B09DB"/>
    <w:rsid w:val="003B4551"/>
    <w:rsid w:val="003B528D"/>
    <w:rsid w:val="003B7EE7"/>
    <w:rsid w:val="003C043D"/>
    <w:rsid w:val="003C0F86"/>
    <w:rsid w:val="003C2CCB"/>
    <w:rsid w:val="003C4A1C"/>
    <w:rsid w:val="003C5BCB"/>
    <w:rsid w:val="003C7894"/>
    <w:rsid w:val="003D39EC"/>
    <w:rsid w:val="003D40EA"/>
    <w:rsid w:val="003E1E84"/>
    <w:rsid w:val="003E3DD5"/>
    <w:rsid w:val="003E540F"/>
    <w:rsid w:val="003F0703"/>
    <w:rsid w:val="003F07C6"/>
    <w:rsid w:val="003F1F6B"/>
    <w:rsid w:val="003F2549"/>
    <w:rsid w:val="003F3757"/>
    <w:rsid w:val="003F44B7"/>
    <w:rsid w:val="004002E6"/>
    <w:rsid w:val="004008E9"/>
    <w:rsid w:val="004035EB"/>
    <w:rsid w:val="00404016"/>
    <w:rsid w:val="0040625A"/>
    <w:rsid w:val="00407991"/>
    <w:rsid w:val="00407F5A"/>
    <w:rsid w:val="0041019E"/>
    <w:rsid w:val="00411695"/>
    <w:rsid w:val="00413D48"/>
    <w:rsid w:val="00414375"/>
    <w:rsid w:val="0041486E"/>
    <w:rsid w:val="0041648E"/>
    <w:rsid w:val="00424A60"/>
    <w:rsid w:val="004328F4"/>
    <w:rsid w:val="00434042"/>
    <w:rsid w:val="00434500"/>
    <w:rsid w:val="00434907"/>
    <w:rsid w:val="00437B54"/>
    <w:rsid w:val="00440BBE"/>
    <w:rsid w:val="00441AC2"/>
    <w:rsid w:val="0044249B"/>
    <w:rsid w:val="004425A7"/>
    <w:rsid w:val="00442DD4"/>
    <w:rsid w:val="0044605E"/>
    <w:rsid w:val="004470DC"/>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53C0"/>
    <w:rsid w:val="00487AFD"/>
    <w:rsid w:val="0049501A"/>
    <w:rsid w:val="00496319"/>
    <w:rsid w:val="0049657E"/>
    <w:rsid w:val="00497279"/>
    <w:rsid w:val="004A010B"/>
    <w:rsid w:val="004A174F"/>
    <w:rsid w:val="004A3186"/>
    <w:rsid w:val="004A419C"/>
    <w:rsid w:val="004A670A"/>
    <w:rsid w:val="004B0737"/>
    <w:rsid w:val="004B24C2"/>
    <w:rsid w:val="004B5465"/>
    <w:rsid w:val="004B6487"/>
    <w:rsid w:val="004B70F0"/>
    <w:rsid w:val="004C0035"/>
    <w:rsid w:val="004C1299"/>
    <w:rsid w:val="004C1B97"/>
    <w:rsid w:val="004C703E"/>
    <w:rsid w:val="004C7E1D"/>
    <w:rsid w:val="004D065C"/>
    <w:rsid w:val="004D1A51"/>
    <w:rsid w:val="004D2903"/>
    <w:rsid w:val="004D33FE"/>
    <w:rsid w:val="004D39A8"/>
    <w:rsid w:val="004D4699"/>
    <w:rsid w:val="004D4703"/>
    <w:rsid w:val="004D505E"/>
    <w:rsid w:val="004D67E8"/>
    <w:rsid w:val="004D72CA"/>
    <w:rsid w:val="004E2242"/>
    <w:rsid w:val="004F0F6D"/>
    <w:rsid w:val="004F2483"/>
    <w:rsid w:val="004F2E6E"/>
    <w:rsid w:val="004F42FF"/>
    <w:rsid w:val="004F44C2"/>
    <w:rsid w:val="00505262"/>
    <w:rsid w:val="005053CF"/>
    <w:rsid w:val="005107B1"/>
    <w:rsid w:val="00516022"/>
    <w:rsid w:val="005161B9"/>
    <w:rsid w:val="00517AE6"/>
    <w:rsid w:val="00520AB1"/>
    <w:rsid w:val="00521CEE"/>
    <w:rsid w:val="00527BD4"/>
    <w:rsid w:val="0053081D"/>
    <w:rsid w:val="00530FD2"/>
    <w:rsid w:val="00533061"/>
    <w:rsid w:val="005333FB"/>
    <w:rsid w:val="00533FA1"/>
    <w:rsid w:val="00534C77"/>
    <w:rsid w:val="00536C4A"/>
    <w:rsid w:val="005403C8"/>
    <w:rsid w:val="00540FA1"/>
    <w:rsid w:val="00541AD9"/>
    <w:rsid w:val="005429DC"/>
    <w:rsid w:val="0054475D"/>
    <w:rsid w:val="00547F16"/>
    <w:rsid w:val="00550A91"/>
    <w:rsid w:val="0055125B"/>
    <w:rsid w:val="005565F9"/>
    <w:rsid w:val="00557EFB"/>
    <w:rsid w:val="0056209C"/>
    <w:rsid w:val="005639D2"/>
    <w:rsid w:val="0056560A"/>
    <w:rsid w:val="00565739"/>
    <w:rsid w:val="00573041"/>
    <w:rsid w:val="00575B80"/>
    <w:rsid w:val="00577559"/>
    <w:rsid w:val="00581930"/>
    <w:rsid w:val="005819CE"/>
    <w:rsid w:val="0058298D"/>
    <w:rsid w:val="005864DF"/>
    <w:rsid w:val="00590595"/>
    <w:rsid w:val="00593C2B"/>
    <w:rsid w:val="00594F48"/>
    <w:rsid w:val="00595231"/>
    <w:rsid w:val="00595CBB"/>
    <w:rsid w:val="00596166"/>
    <w:rsid w:val="00597F64"/>
    <w:rsid w:val="005A1AF5"/>
    <w:rsid w:val="005A207F"/>
    <w:rsid w:val="005A2F35"/>
    <w:rsid w:val="005A7181"/>
    <w:rsid w:val="005A7512"/>
    <w:rsid w:val="005B3441"/>
    <w:rsid w:val="005B463E"/>
    <w:rsid w:val="005B4FAC"/>
    <w:rsid w:val="005B5D8B"/>
    <w:rsid w:val="005B610C"/>
    <w:rsid w:val="005B637E"/>
    <w:rsid w:val="005C0D72"/>
    <w:rsid w:val="005C34E1"/>
    <w:rsid w:val="005C3FDB"/>
    <w:rsid w:val="005C3FE0"/>
    <w:rsid w:val="005C4C82"/>
    <w:rsid w:val="005C740C"/>
    <w:rsid w:val="005D283A"/>
    <w:rsid w:val="005D625B"/>
    <w:rsid w:val="005E3322"/>
    <w:rsid w:val="005E3972"/>
    <w:rsid w:val="005E436C"/>
    <w:rsid w:val="005E64E2"/>
    <w:rsid w:val="005E708C"/>
    <w:rsid w:val="005E721C"/>
    <w:rsid w:val="005F62D3"/>
    <w:rsid w:val="005F6D11"/>
    <w:rsid w:val="00600CF0"/>
    <w:rsid w:val="006036E5"/>
    <w:rsid w:val="0060388A"/>
    <w:rsid w:val="006048F4"/>
    <w:rsid w:val="0060660A"/>
    <w:rsid w:val="00607E3C"/>
    <w:rsid w:val="00610A24"/>
    <w:rsid w:val="00613B1D"/>
    <w:rsid w:val="00617311"/>
    <w:rsid w:val="00617A44"/>
    <w:rsid w:val="006202B6"/>
    <w:rsid w:val="006205C0"/>
    <w:rsid w:val="00623CB2"/>
    <w:rsid w:val="00625CD0"/>
    <w:rsid w:val="0062627D"/>
    <w:rsid w:val="00627432"/>
    <w:rsid w:val="00635031"/>
    <w:rsid w:val="006379D4"/>
    <w:rsid w:val="0064192A"/>
    <w:rsid w:val="00642011"/>
    <w:rsid w:val="00642768"/>
    <w:rsid w:val="006448E4"/>
    <w:rsid w:val="00645414"/>
    <w:rsid w:val="00646F01"/>
    <w:rsid w:val="0065244E"/>
    <w:rsid w:val="0065328B"/>
    <w:rsid w:val="006534D0"/>
    <w:rsid w:val="00653606"/>
    <w:rsid w:val="00654E7D"/>
    <w:rsid w:val="00654E91"/>
    <w:rsid w:val="00660057"/>
    <w:rsid w:val="006610E9"/>
    <w:rsid w:val="00661591"/>
    <w:rsid w:val="00662A78"/>
    <w:rsid w:val="00663187"/>
    <w:rsid w:val="0066632F"/>
    <w:rsid w:val="00667E5A"/>
    <w:rsid w:val="00674A89"/>
    <w:rsid w:val="00674D11"/>
    <w:rsid w:val="00674F3D"/>
    <w:rsid w:val="00681EB9"/>
    <w:rsid w:val="006821CF"/>
    <w:rsid w:val="00682E02"/>
    <w:rsid w:val="00685545"/>
    <w:rsid w:val="006864B3"/>
    <w:rsid w:val="00686AED"/>
    <w:rsid w:val="00687511"/>
    <w:rsid w:val="00692BA9"/>
    <w:rsid w:val="00692C30"/>
    <w:rsid w:val="00692D64"/>
    <w:rsid w:val="00694014"/>
    <w:rsid w:val="00696147"/>
    <w:rsid w:val="006A10F8"/>
    <w:rsid w:val="006A2100"/>
    <w:rsid w:val="006A422F"/>
    <w:rsid w:val="006A768A"/>
    <w:rsid w:val="006A7C78"/>
    <w:rsid w:val="006B0BF3"/>
    <w:rsid w:val="006B1521"/>
    <w:rsid w:val="006B2239"/>
    <w:rsid w:val="006B2A77"/>
    <w:rsid w:val="006B421D"/>
    <w:rsid w:val="006B632C"/>
    <w:rsid w:val="006B775E"/>
    <w:rsid w:val="006B7B87"/>
    <w:rsid w:val="006B7BC7"/>
    <w:rsid w:val="006C0013"/>
    <w:rsid w:val="006C1B3B"/>
    <w:rsid w:val="006C2093"/>
    <w:rsid w:val="006C2278"/>
    <w:rsid w:val="006C2535"/>
    <w:rsid w:val="006C311B"/>
    <w:rsid w:val="006C3342"/>
    <w:rsid w:val="006C4353"/>
    <w:rsid w:val="006C441E"/>
    <w:rsid w:val="006C4B90"/>
    <w:rsid w:val="006C54E0"/>
    <w:rsid w:val="006D1016"/>
    <w:rsid w:val="006D17F2"/>
    <w:rsid w:val="006D2D53"/>
    <w:rsid w:val="006D7DB4"/>
    <w:rsid w:val="006E3546"/>
    <w:rsid w:val="006E3FA9"/>
    <w:rsid w:val="006E7D82"/>
    <w:rsid w:val="006F038F"/>
    <w:rsid w:val="006F0F93"/>
    <w:rsid w:val="006F273B"/>
    <w:rsid w:val="006F318F"/>
    <w:rsid w:val="006F31F2"/>
    <w:rsid w:val="006F6127"/>
    <w:rsid w:val="00700CEA"/>
    <w:rsid w:val="00704845"/>
    <w:rsid w:val="00706AB3"/>
    <w:rsid w:val="00714DC5"/>
    <w:rsid w:val="00715237"/>
    <w:rsid w:val="007174F4"/>
    <w:rsid w:val="00717860"/>
    <w:rsid w:val="00721D2E"/>
    <w:rsid w:val="007242CC"/>
    <w:rsid w:val="00724A8B"/>
    <w:rsid w:val="00725120"/>
    <w:rsid w:val="007254A5"/>
    <w:rsid w:val="00725748"/>
    <w:rsid w:val="00727AAC"/>
    <w:rsid w:val="00727B4F"/>
    <w:rsid w:val="00734CF6"/>
    <w:rsid w:val="00735D88"/>
    <w:rsid w:val="0073718A"/>
    <w:rsid w:val="0073720D"/>
    <w:rsid w:val="00737507"/>
    <w:rsid w:val="00737ECF"/>
    <w:rsid w:val="00740712"/>
    <w:rsid w:val="007410AA"/>
    <w:rsid w:val="00741309"/>
    <w:rsid w:val="00742AB9"/>
    <w:rsid w:val="00745270"/>
    <w:rsid w:val="00747059"/>
    <w:rsid w:val="00751A6A"/>
    <w:rsid w:val="00753F0F"/>
    <w:rsid w:val="00754AD6"/>
    <w:rsid w:val="00754FBF"/>
    <w:rsid w:val="007615AC"/>
    <w:rsid w:val="00764585"/>
    <w:rsid w:val="00766334"/>
    <w:rsid w:val="00767FEF"/>
    <w:rsid w:val="00770732"/>
    <w:rsid w:val="00770890"/>
    <w:rsid w:val="007709EF"/>
    <w:rsid w:val="00771B72"/>
    <w:rsid w:val="00783559"/>
    <w:rsid w:val="007846ED"/>
    <w:rsid w:val="007851C4"/>
    <w:rsid w:val="00785C3B"/>
    <w:rsid w:val="00786468"/>
    <w:rsid w:val="00787C16"/>
    <w:rsid w:val="0079145F"/>
    <w:rsid w:val="00797AA5"/>
    <w:rsid w:val="007A26BD"/>
    <w:rsid w:val="007A4105"/>
    <w:rsid w:val="007A4F0E"/>
    <w:rsid w:val="007A514C"/>
    <w:rsid w:val="007B0D8E"/>
    <w:rsid w:val="007B4503"/>
    <w:rsid w:val="007C03C9"/>
    <w:rsid w:val="007C16D8"/>
    <w:rsid w:val="007C18EF"/>
    <w:rsid w:val="007C406E"/>
    <w:rsid w:val="007C5183"/>
    <w:rsid w:val="007C7573"/>
    <w:rsid w:val="007D372F"/>
    <w:rsid w:val="007D59D8"/>
    <w:rsid w:val="007D7A39"/>
    <w:rsid w:val="007E14E4"/>
    <w:rsid w:val="007E2B20"/>
    <w:rsid w:val="007F00DB"/>
    <w:rsid w:val="007F4190"/>
    <w:rsid w:val="007F52AB"/>
    <w:rsid w:val="007F5331"/>
    <w:rsid w:val="00800CCA"/>
    <w:rsid w:val="008020F2"/>
    <w:rsid w:val="0080568D"/>
    <w:rsid w:val="00805CED"/>
    <w:rsid w:val="00806120"/>
    <w:rsid w:val="00810C93"/>
    <w:rsid w:val="00810DAD"/>
    <w:rsid w:val="00812028"/>
    <w:rsid w:val="00812842"/>
    <w:rsid w:val="00812DD8"/>
    <w:rsid w:val="00813082"/>
    <w:rsid w:val="00813439"/>
    <w:rsid w:val="00813527"/>
    <w:rsid w:val="00814120"/>
    <w:rsid w:val="00814D03"/>
    <w:rsid w:val="00815C7E"/>
    <w:rsid w:val="0081745A"/>
    <w:rsid w:val="00820DDA"/>
    <w:rsid w:val="00821114"/>
    <w:rsid w:val="008211EF"/>
    <w:rsid w:val="00821FC1"/>
    <w:rsid w:val="00823870"/>
    <w:rsid w:val="008267CC"/>
    <w:rsid w:val="008267F1"/>
    <w:rsid w:val="0083178B"/>
    <w:rsid w:val="00833695"/>
    <w:rsid w:val="008336B7"/>
    <w:rsid w:val="00833A8E"/>
    <w:rsid w:val="00836427"/>
    <w:rsid w:val="008424E3"/>
    <w:rsid w:val="0084255A"/>
    <w:rsid w:val="00842CD8"/>
    <w:rsid w:val="008431FA"/>
    <w:rsid w:val="00847265"/>
    <w:rsid w:val="00847EA5"/>
    <w:rsid w:val="00847FB9"/>
    <w:rsid w:val="008547BA"/>
    <w:rsid w:val="008553C7"/>
    <w:rsid w:val="00857FEB"/>
    <w:rsid w:val="008601AF"/>
    <w:rsid w:val="00861C1F"/>
    <w:rsid w:val="00872271"/>
    <w:rsid w:val="00872E17"/>
    <w:rsid w:val="008731F6"/>
    <w:rsid w:val="00874982"/>
    <w:rsid w:val="008762B6"/>
    <w:rsid w:val="00883137"/>
    <w:rsid w:val="00883821"/>
    <w:rsid w:val="008907A3"/>
    <w:rsid w:val="00892BA5"/>
    <w:rsid w:val="008942D8"/>
    <w:rsid w:val="008977EB"/>
    <w:rsid w:val="008A0876"/>
    <w:rsid w:val="008A08AC"/>
    <w:rsid w:val="008A1F5D"/>
    <w:rsid w:val="008A28F5"/>
    <w:rsid w:val="008A3F63"/>
    <w:rsid w:val="008A569A"/>
    <w:rsid w:val="008A74D7"/>
    <w:rsid w:val="008B0E6F"/>
    <w:rsid w:val="008B1198"/>
    <w:rsid w:val="008B2349"/>
    <w:rsid w:val="008B3471"/>
    <w:rsid w:val="008B3929"/>
    <w:rsid w:val="008B3BAB"/>
    <w:rsid w:val="008B4125"/>
    <w:rsid w:val="008B4CB3"/>
    <w:rsid w:val="008B567B"/>
    <w:rsid w:val="008B7B24"/>
    <w:rsid w:val="008C356D"/>
    <w:rsid w:val="008D1583"/>
    <w:rsid w:val="008D15D3"/>
    <w:rsid w:val="008D1A49"/>
    <w:rsid w:val="008D34ED"/>
    <w:rsid w:val="008D553F"/>
    <w:rsid w:val="008E0B3F"/>
    <w:rsid w:val="008E1341"/>
    <w:rsid w:val="008E356D"/>
    <w:rsid w:val="008E3932"/>
    <w:rsid w:val="008E49AD"/>
    <w:rsid w:val="008E698E"/>
    <w:rsid w:val="008F123F"/>
    <w:rsid w:val="008F2584"/>
    <w:rsid w:val="008F3246"/>
    <w:rsid w:val="008F3C1B"/>
    <w:rsid w:val="008F508C"/>
    <w:rsid w:val="008F63C8"/>
    <w:rsid w:val="0090271B"/>
    <w:rsid w:val="0090291B"/>
    <w:rsid w:val="00910642"/>
    <w:rsid w:val="00910DDF"/>
    <w:rsid w:val="00913408"/>
    <w:rsid w:val="0091396B"/>
    <w:rsid w:val="0091545E"/>
    <w:rsid w:val="00921861"/>
    <w:rsid w:val="009230D6"/>
    <w:rsid w:val="00924639"/>
    <w:rsid w:val="0092611E"/>
    <w:rsid w:val="00926F1F"/>
    <w:rsid w:val="00926F4B"/>
    <w:rsid w:val="00930B13"/>
    <w:rsid w:val="00930DA7"/>
    <w:rsid w:val="009311C8"/>
    <w:rsid w:val="00931774"/>
    <w:rsid w:val="0093199F"/>
    <w:rsid w:val="009331AD"/>
    <w:rsid w:val="00933376"/>
    <w:rsid w:val="00933A2F"/>
    <w:rsid w:val="0094000D"/>
    <w:rsid w:val="00940206"/>
    <w:rsid w:val="00940708"/>
    <w:rsid w:val="00941B16"/>
    <w:rsid w:val="00946703"/>
    <w:rsid w:val="009528B2"/>
    <w:rsid w:val="00952E78"/>
    <w:rsid w:val="00952FEB"/>
    <w:rsid w:val="009607C4"/>
    <w:rsid w:val="00962F2A"/>
    <w:rsid w:val="00963440"/>
    <w:rsid w:val="00965EC8"/>
    <w:rsid w:val="009716D8"/>
    <w:rsid w:val="009718F9"/>
    <w:rsid w:val="009724E4"/>
    <w:rsid w:val="00972FB9"/>
    <w:rsid w:val="00975112"/>
    <w:rsid w:val="009812EB"/>
    <w:rsid w:val="00981768"/>
    <w:rsid w:val="009838BB"/>
    <w:rsid w:val="00983E8F"/>
    <w:rsid w:val="0098458A"/>
    <w:rsid w:val="00991AEC"/>
    <w:rsid w:val="00992338"/>
    <w:rsid w:val="00994FDA"/>
    <w:rsid w:val="00997D15"/>
    <w:rsid w:val="009A31B2"/>
    <w:rsid w:val="009A31BF"/>
    <w:rsid w:val="009A3B71"/>
    <w:rsid w:val="009A5914"/>
    <w:rsid w:val="009A5DA6"/>
    <w:rsid w:val="009A61BC"/>
    <w:rsid w:val="009B0138"/>
    <w:rsid w:val="009B0FE9"/>
    <w:rsid w:val="009B173A"/>
    <w:rsid w:val="009B1FC4"/>
    <w:rsid w:val="009B5846"/>
    <w:rsid w:val="009B601B"/>
    <w:rsid w:val="009C3F20"/>
    <w:rsid w:val="009C5700"/>
    <w:rsid w:val="009C64FB"/>
    <w:rsid w:val="009C7CA1"/>
    <w:rsid w:val="009D043D"/>
    <w:rsid w:val="009D5895"/>
    <w:rsid w:val="009D716F"/>
    <w:rsid w:val="009E06E7"/>
    <w:rsid w:val="009E3B07"/>
    <w:rsid w:val="009E3CEF"/>
    <w:rsid w:val="009E3E54"/>
    <w:rsid w:val="009E75FD"/>
    <w:rsid w:val="009F3259"/>
    <w:rsid w:val="009F49A5"/>
    <w:rsid w:val="009F541F"/>
    <w:rsid w:val="00A00E91"/>
    <w:rsid w:val="00A03445"/>
    <w:rsid w:val="00A04439"/>
    <w:rsid w:val="00A056DE"/>
    <w:rsid w:val="00A0678A"/>
    <w:rsid w:val="00A11588"/>
    <w:rsid w:val="00A1289E"/>
    <w:rsid w:val="00A128AD"/>
    <w:rsid w:val="00A144DC"/>
    <w:rsid w:val="00A1638A"/>
    <w:rsid w:val="00A20730"/>
    <w:rsid w:val="00A20773"/>
    <w:rsid w:val="00A21E76"/>
    <w:rsid w:val="00A224BD"/>
    <w:rsid w:val="00A2276F"/>
    <w:rsid w:val="00A23BC8"/>
    <w:rsid w:val="00A24CEC"/>
    <w:rsid w:val="00A2531F"/>
    <w:rsid w:val="00A30E68"/>
    <w:rsid w:val="00A31933"/>
    <w:rsid w:val="00A32073"/>
    <w:rsid w:val="00A336F6"/>
    <w:rsid w:val="00A34AA0"/>
    <w:rsid w:val="00A34CAC"/>
    <w:rsid w:val="00A371EC"/>
    <w:rsid w:val="00A373D9"/>
    <w:rsid w:val="00A41FE2"/>
    <w:rsid w:val="00A421A1"/>
    <w:rsid w:val="00A46FEF"/>
    <w:rsid w:val="00A47948"/>
    <w:rsid w:val="00A50311"/>
    <w:rsid w:val="00A50CF6"/>
    <w:rsid w:val="00A51C81"/>
    <w:rsid w:val="00A54267"/>
    <w:rsid w:val="00A56850"/>
    <w:rsid w:val="00A56946"/>
    <w:rsid w:val="00A604D3"/>
    <w:rsid w:val="00A60B58"/>
    <w:rsid w:val="00A6170E"/>
    <w:rsid w:val="00A63B8C"/>
    <w:rsid w:val="00A67637"/>
    <w:rsid w:val="00A67AC7"/>
    <w:rsid w:val="00A715F8"/>
    <w:rsid w:val="00A7199E"/>
    <w:rsid w:val="00A741BA"/>
    <w:rsid w:val="00A7571B"/>
    <w:rsid w:val="00A773CC"/>
    <w:rsid w:val="00A77A9D"/>
    <w:rsid w:val="00A77F6F"/>
    <w:rsid w:val="00A82D39"/>
    <w:rsid w:val="00A831FD"/>
    <w:rsid w:val="00A83352"/>
    <w:rsid w:val="00A843CA"/>
    <w:rsid w:val="00A850A2"/>
    <w:rsid w:val="00A91A3A"/>
    <w:rsid w:val="00A91FA3"/>
    <w:rsid w:val="00A927D3"/>
    <w:rsid w:val="00A9429A"/>
    <w:rsid w:val="00A970A0"/>
    <w:rsid w:val="00AA0F28"/>
    <w:rsid w:val="00AA24C7"/>
    <w:rsid w:val="00AA70B0"/>
    <w:rsid w:val="00AA7FC9"/>
    <w:rsid w:val="00AB237D"/>
    <w:rsid w:val="00AB50E6"/>
    <w:rsid w:val="00AB5933"/>
    <w:rsid w:val="00AC1EED"/>
    <w:rsid w:val="00AC5049"/>
    <w:rsid w:val="00AC5C6C"/>
    <w:rsid w:val="00AC778E"/>
    <w:rsid w:val="00AD34B3"/>
    <w:rsid w:val="00AD5B44"/>
    <w:rsid w:val="00AD7608"/>
    <w:rsid w:val="00AE013D"/>
    <w:rsid w:val="00AE11B7"/>
    <w:rsid w:val="00AE18BA"/>
    <w:rsid w:val="00AE31CE"/>
    <w:rsid w:val="00AE7130"/>
    <w:rsid w:val="00AE7F68"/>
    <w:rsid w:val="00AF1C5D"/>
    <w:rsid w:val="00AF2321"/>
    <w:rsid w:val="00AF52F6"/>
    <w:rsid w:val="00AF6D4D"/>
    <w:rsid w:val="00AF7237"/>
    <w:rsid w:val="00AF771A"/>
    <w:rsid w:val="00B0043A"/>
    <w:rsid w:val="00B00D75"/>
    <w:rsid w:val="00B04E61"/>
    <w:rsid w:val="00B060D2"/>
    <w:rsid w:val="00B0690C"/>
    <w:rsid w:val="00B070CB"/>
    <w:rsid w:val="00B0763A"/>
    <w:rsid w:val="00B12456"/>
    <w:rsid w:val="00B132B0"/>
    <w:rsid w:val="00B13BBA"/>
    <w:rsid w:val="00B13D50"/>
    <w:rsid w:val="00B173C6"/>
    <w:rsid w:val="00B17F82"/>
    <w:rsid w:val="00B20109"/>
    <w:rsid w:val="00B2171E"/>
    <w:rsid w:val="00B21FF9"/>
    <w:rsid w:val="00B220A5"/>
    <w:rsid w:val="00B2317A"/>
    <w:rsid w:val="00B259C8"/>
    <w:rsid w:val="00B26CCF"/>
    <w:rsid w:val="00B30FC2"/>
    <w:rsid w:val="00B31BA0"/>
    <w:rsid w:val="00B331A2"/>
    <w:rsid w:val="00B33CF2"/>
    <w:rsid w:val="00B350A2"/>
    <w:rsid w:val="00B425F0"/>
    <w:rsid w:val="00B42DFA"/>
    <w:rsid w:val="00B43388"/>
    <w:rsid w:val="00B50571"/>
    <w:rsid w:val="00B531DD"/>
    <w:rsid w:val="00B54761"/>
    <w:rsid w:val="00B55014"/>
    <w:rsid w:val="00B556A5"/>
    <w:rsid w:val="00B562A1"/>
    <w:rsid w:val="00B56B2C"/>
    <w:rsid w:val="00B57F2B"/>
    <w:rsid w:val="00B62232"/>
    <w:rsid w:val="00B626DD"/>
    <w:rsid w:val="00B70BF3"/>
    <w:rsid w:val="00B70D24"/>
    <w:rsid w:val="00B70E51"/>
    <w:rsid w:val="00B71DC2"/>
    <w:rsid w:val="00B771FC"/>
    <w:rsid w:val="00B773FF"/>
    <w:rsid w:val="00B80DB6"/>
    <w:rsid w:val="00B81AD2"/>
    <w:rsid w:val="00B81AEC"/>
    <w:rsid w:val="00B8296E"/>
    <w:rsid w:val="00B834F7"/>
    <w:rsid w:val="00B83A67"/>
    <w:rsid w:val="00B8531B"/>
    <w:rsid w:val="00B85A66"/>
    <w:rsid w:val="00B85ABF"/>
    <w:rsid w:val="00B85ED4"/>
    <w:rsid w:val="00B85F07"/>
    <w:rsid w:val="00B9128D"/>
    <w:rsid w:val="00B91CFC"/>
    <w:rsid w:val="00B93893"/>
    <w:rsid w:val="00B9427A"/>
    <w:rsid w:val="00BA0C6A"/>
    <w:rsid w:val="00BA439D"/>
    <w:rsid w:val="00BA57AC"/>
    <w:rsid w:val="00BA5A96"/>
    <w:rsid w:val="00BA7391"/>
    <w:rsid w:val="00BA7E0A"/>
    <w:rsid w:val="00BB4B63"/>
    <w:rsid w:val="00BB61B0"/>
    <w:rsid w:val="00BB6369"/>
    <w:rsid w:val="00BC0D9E"/>
    <w:rsid w:val="00BC12F8"/>
    <w:rsid w:val="00BC2FC7"/>
    <w:rsid w:val="00BC3B53"/>
    <w:rsid w:val="00BC3B96"/>
    <w:rsid w:val="00BC4AE3"/>
    <w:rsid w:val="00BC5935"/>
    <w:rsid w:val="00BC5B28"/>
    <w:rsid w:val="00BC7264"/>
    <w:rsid w:val="00BC7BCA"/>
    <w:rsid w:val="00BD4CE8"/>
    <w:rsid w:val="00BE17D4"/>
    <w:rsid w:val="00BE2863"/>
    <w:rsid w:val="00BE36B3"/>
    <w:rsid w:val="00BE3F88"/>
    <w:rsid w:val="00BE4756"/>
    <w:rsid w:val="00BE5ED9"/>
    <w:rsid w:val="00BE7B41"/>
    <w:rsid w:val="00BF1802"/>
    <w:rsid w:val="00BF4427"/>
    <w:rsid w:val="00BF46B6"/>
    <w:rsid w:val="00BF5408"/>
    <w:rsid w:val="00BF5675"/>
    <w:rsid w:val="00BF6CF8"/>
    <w:rsid w:val="00BF780C"/>
    <w:rsid w:val="00C03C2D"/>
    <w:rsid w:val="00C055F7"/>
    <w:rsid w:val="00C056F9"/>
    <w:rsid w:val="00C11962"/>
    <w:rsid w:val="00C15A91"/>
    <w:rsid w:val="00C206F1"/>
    <w:rsid w:val="00C2159D"/>
    <w:rsid w:val="00C217E1"/>
    <w:rsid w:val="00C219B1"/>
    <w:rsid w:val="00C231E2"/>
    <w:rsid w:val="00C2703D"/>
    <w:rsid w:val="00C352B6"/>
    <w:rsid w:val="00C4015B"/>
    <w:rsid w:val="00C4044E"/>
    <w:rsid w:val="00C40C60"/>
    <w:rsid w:val="00C44487"/>
    <w:rsid w:val="00C47F04"/>
    <w:rsid w:val="00C503BE"/>
    <w:rsid w:val="00C50E87"/>
    <w:rsid w:val="00C5258E"/>
    <w:rsid w:val="00C5333A"/>
    <w:rsid w:val="00C53BD7"/>
    <w:rsid w:val="00C55923"/>
    <w:rsid w:val="00C5787F"/>
    <w:rsid w:val="00C619A7"/>
    <w:rsid w:val="00C64E34"/>
    <w:rsid w:val="00C6545E"/>
    <w:rsid w:val="00C66682"/>
    <w:rsid w:val="00C6796A"/>
    <w:rsid w:val="00C7097A"/>
    <w:rsid w:val="00C736E8"/>
    <w:rsid w:val="00C738BF"/>
    <w:rsid w:val="00C73D5F"/>
    <w:rsid w:val="00C76540"/>
    <w:rsid w:val="00C778F8"/>
    <w:rsid w:val="00C86F91"/>
    <w:rsid w:val="00C91B37"/>
    <w:rsid w:val="00C92A99"/>
    <w:rsid w:val="00C965EF"/>
    <w:rsid w:val="00C97C80"/>
    <w:rsid w:val="00CA1D00"/>
    <w:rsid w:val="00CA315C"/>
    <w:rsid w:val="00CA35E4"/>
    <w:rsid w:val="00CA47D3"/>
    <w:rsid w:val="00CA6533"/>
    <w:rsid w:val="00CA6A25"/>
    <w:rsid w:val="00CA6A3F"/>
    <w:rsid w:val="00CA7C99"/>
    <w:rsid w:val="00CB690D"/>
    <w:rsid w:val="00CC15DE"/>
    <w:rsid w:val="00CC18A0"/>
    <w:rsid w:val="00CC6290"/>
    <w:rsid w:val="00CD233D"/>
    <w:rsid w:val="00CD362D"/>
    <w:rsid w:val="00CD7B75"/>
    <w:rsid w:val="00CE101D"/>
    <w:rsid w:val="00CE1C84"/>
    <w:rsid w:val="00CE4E63"/>
    <w:rsid w:val="00CE5055"/>
    <w:rsid w:val="00CE6034"/>
    <w:rsid w:val="00CE6426"/>
    <w:rsid w:val="00CF033C"/>
    <w:rsid w:val="00CF053F"/>
    <w:rsid w:val="00CF1A17"/>
    <w:rsid w:val="00CF22BF"/>
    <w:rsid w:val="00CF554B"/>
    <w:rsid w:val="00CF5A1C"/>
    <w:rsid w:val="00D0091F"/>
    <w:rsid w:val="00D0140D"/>
    <w:rsid w:val="00D01C92"/>
    <w:rsid w:val="00D030AB"/>
    <w:rsid w:val="00D037A9"/>
    <w:rsid w:val="00D0609E"/>
    <w:rsid w:val="00D078E1"/>
    <w:rsid w:val="00D100E9"/>
    <w:rsid w:val="00D17084"/>
    <w:rsid w:val="00D1791D"/>
    <w:rsid w:val="00D20F3D"/>
    <w:rsid w:val="00D21E4B"/>
    <w:rsid w:val="00D22588"/>
    <w:rsid w:val="00D22689"/>
    <w:rsid w:val="00D23522"/>
    <w:rsid w:val="00D264D6"/>
    <w:rsid w:val="00D306E0"/>
    <w:rsid w:val="00D30E9B"/>
    <w:rsid w:val="00D3235D"/>
    <w:rsid w:val="00D33144"/>
    <w:rsid w:val="00D33BF0"/>
    <w:rsid w:val="00D33F30"/>
    <w:rsid w:val="00D34892"/>
    <w:rsid w:val="00D34C77"/>
    <w:rsid w:val="00D36088"/>
    <w:rsid w:val="00D36447"/>
    <w:rsid w:val="00D412CB"/>
    <w:rsid w:val="00D41CE8"/>
    <w:rsid w:val="00D44B73"/>
    <w:rsid w:val="00D516BE"/>
    <w:rsid w:val="00D52F19"/>
    <w:rsid w:val="00D5423B"/>
    <w:rsid w:val="00D54F4E"/>
    <w:rsid w:val="00D604B3"/>
    <w:rsid w:val="00D60BA4"/>
    <w:rsid w:val="00D62419"/>
    <w:rsid w:val="00D62AD8"/>
    <w:rsid w:val="00D65336"/>
    <w:rsid w:val="00D66074"/>
    <w:rsid w:val="00D730E9"/>
    <w:rsid w:val="00D74F66"/>
    <w:rsid w:val="00D75B3F"/>
    <w:rsid w:val="00D76425"/>
    <w:rsid w:val="00D77870"/>
    <w:rsid w:val="00D80977"/>
    <w:rsid w:val="00D80CCE"/>
    <w:rsid w:val="00D82D83"/>
    <w:rsid w:val="00D849AF"/>
    <w:rsid w:val="00D86CC6"/>
    <w:rsid w:val="00D86EEA"/>
    <w:rsid w:val="00D87D03"/>
    <w:rsid w:val="00D93170"/>
    <w:rsid w:val="00D9561B"/>
    <w:rsid w:val="00D95C88"/>
    <w:rsid w:val="00D97B2E"/>
    <w:rsid w:val="00DA1BA1"/>
    <w:rsid w:val="00DA241E"/>
    <w:rsid w:val="00DA51B5"/>
    <w:rsid w:val="00DA70F3"/>
    <w:rsid w:val="00DA72D2"/>
    <w:rsid w:val="00DB36FE"/>
    <w:rsid w:val="00DB3893"/>
    <w:rsid w:val="00DB38E3"/>
    <w:rsid w:val="00DB533A"/>
    <w:rsid w:val="00DB6307"/>
    <w:rsid w:val="00DC0D42"/>
    <w:rsid w:val="00DC18F3"/>
    <w:rsid w:val="00DC2443"/>
    <w:rsid w:val="00DC691C"/>
    <w:rsid w:val="00DD1DCD"/>
    <w:rsid w:val="00DD338F"/>
    <w:rsid w:val="00DD3404"/>
    <w:rsid w:val="00DD66F2"/>
    <w:rsid w:val="00DD6AD9"/>
    <w:rsid w:val="00DE0352"/>
    <w:rsid w:val="00DE17C8"/>
    <w:rsid w:val="00DE1EB5"/>
    <w:rsid w:val="00DE3FE0"/>
    <w:rsid w:val="00DE578A"/>
    <w:rsid w:val="00DE685A"/>
    <w:rsid w:val="00DE7A80"/>
    <w:rsid w:val="00DF2583"/>
    <w:rsid w:val="00DF3D59"/>
    <w:rsid w:val="00DF3E62"/>
    <w:rsid w:val="00DF4D7F"/>
    <w:rsid w:val="00DF4E80"/>
    <w:rsid w:val="00DF54D9"/>
    <w:rsid w:val="00DF63F3"/>
    <w:rsid w:val="00DF7283"/>
    <w:rsid w:val="00DF785F"/>
    <w:rsid w:val="00E00858"/>
    <w:rsid w:val="00E01A59"/>
    <w:rsid w:val="00E0622C"/>
    <w:rsid w:val="00E0675E"/>
    <w:rsid w:val="00E068F9"/>
    <w:rsid w:val="00E1087A"/>
    <w:rsid w:val="00E10DC6"/>
    <w:rsid w:val="00E11F8E"/>
    <w:rsid w:val="00E13D95"/>
    <w:rsid w:val="00E14AA3"/>
    <w:rsid w:val="00E15881"/>
    <w:rsid w:val="00E16A8F"/>
    <w:rsid w:val="00E1798B"/>
    <w:rsid w:val="00E17CA2"/>
    <w:rsid w:val="00E20C25"/>
    <w:rsid w:val="00E21DE3"/>
    <w:rsid w:val="00E233D5"/>
    <w:rsid w:val="00E27BF1"/>
    <w:rsid w:val="00E307D1"/>
    <w:rsid w:val="00E35710"/>
    <w:rsid w:val="00E35CF4"/>
    <w:rsid w:val="00E36693"/>
    <w:rsid w:val="00E3731D"/>
    <w:rsid w:val="00E37811"/>
    <w:rsid w:val="00E466D6"/>
    <w:rsid w:val="00E468E4"/>
    <w:rsid w:val="00E51469"/>
    <w:rsid w:val="00E5234D"/>
    <w:rsid w:val="00E54114"/>
    <w:rsid w:val="00E5523C"/>
    <w:rsid w:val="00E62709"/>
    <w:rsid w:val="00E634E3"/>
    <w:rsid w:val="00E717C4"/>
    <w:rsid w:val="00E733AA"/>
    <w:rsid w:val="00E74D10"/>
    <w:rsid w:val="00E776C6"/>
    <w:rsid w:val="00E77F89"/>
    <w:rsid w:val="00E80E71"/>
    <w:rsid w:val="00E81589"/>
    <w:rsid w:val="00E847DC"/>
    <w:rsid w:val="00E850D3"/>
    <w:rsid w:val="00E853D6"/>
    <w:rsid w:val="00E8544F"/>
    <w:rsid w:val="00E85658"/>
    <w:rsid w:val="00E876B9"/>
    <w:rsid w:val="00E91B40"/>
    <w:rsid w:val="00E91F7C"/>
    <w:rsid w:val="00E938AA"/>
    <w:rsid w:val="00E94D82"/>
    <w:rsid w:val="00E94ED0"/>
    <w:rsid w:val="00E972A2"/>
    <w:rsid w:val="00E97F5B"/>
    <w:rsid w:val="00EA2AB3"/>
    <w:rsid w:val="00EA5BA2"/>
    <w:rsid w:val="00EB64E1"/>
    <w:rsid w:val="00EB73E0"/>
    <w:rsid w:val="00EC0DFF"/>
    <w:rsid w:val="00EC237D"/>
    <w:rsid w:val="00EC25AB"/>
    <w:rsid w:val="00EC25B9"/>
    <w:rsid w:val="00EC2927"/>
    <w:rsid w:val="00EC3172"/>
    <w:rsid w:val="00EC4D0E"/>
    <w:rsid w:val="00EC4E2B"/>
    <w:rsid w:val="00EC6C69"/>
    <w:rsid w:val="00ED072A"/>
    <w:rsid w:val="00ED1B5C"/>
    <w:rsid w:val="00ED2F32"/>
    <w:rsid w:val="00ED539E"/>
    <w:rsid w:val="00ED576F"/>
    <w:rsid w:val="00ED5E4D"/>
    <w:rsid w:val="00EE4A1F"/>
    <w:rsid w:val="00EE4C2D"/>
    <w:rsid w:val="00EE6412"/>
    <w:rsid w:val="00EF0CCB"/>
    <w:rsid w:val="00EF1B5A"/>
    <w:rsid w:val="00EF24FB"/>
    <w:rsid w:val="00EF2CCA"/>
    <w:rsid w:val="00EF4D48"/>
    <w:rsid w:val="00EF60DC"/>
    <w:rsid w:val="00F0022D"/>
    <w:rsid w:val="00F00CCE"/>
    <w:rsid w:val="00F00F54"/>
    <w:rsid w:val="00F01557"/>
    <w:rsid w:val="00F01EB9"/>
    <w:rsid w:val="00F03963"/>
    <w:rsid w:val="00F05507"/>
    <w:rsid w:val="00F0733A"/>
    <w:rsid w:val="00F1074B"/>
    <w:rsid w:val="00F11068"/>
    <w:rsid w:val="00F115FD"/>
    <w:rsid w:val="00F1256D"/>
    <w:rsid w:val="00F1346C"/>
    <w:rsid w:val="00F13A4E"/>
    <w:rsid w:val="00F1454F"/>
    <w:rsid w:val="00F172BB"/>
    <w:rsid w:val="00F17B10"/>
    <w:rsid w:val="00F17BFE"/>
    <w:rsid w:val="00F20147"/>
    <w:rsid w:val="00F21792"/>
    <w:rsid w:val="00F21BEF"/>
    <w:rsid w:val="00F2315B"/>
    <w:rsid w:val="00F24FAE"/>
    <w:rsid w:val="00F30BA6"/>
    <w:rsid w:val="00F30F1A"/>
    <w:rsid w:val="00F31111"/>
    <w:rsid w:val="00F329CB"/>
    <w:rsid w:val="00F35793"/>
    <w:rsid w:val="00F40F11"/>
    <w:rsid w:val="00F41A6F"/>
    <w:rsid w:val="00F45A25"/>
    <w:rsid w:val="00F468B6"/>
    <w:rsid w:val="00F50F86"/>
    <w:rsid w:val="00F51A76"/>
    <w:rsid w:val="00F53862"/>
    <w:rsid w:val="00F53C9D"/>
    <w:rsid w:val="00F53F91"/>
    <w:rsid w:val="00F54B9F"/>
    <w:rsid w:val="00F61569"/>
    <w:rsid w:val="00F61A6B"/>
    <w:rsid w:val="00F61A72"/>
    <w:rsid w:val="00F62B67"/>
    <w:rsid w:val="00F63FFE"/>
    <w:rsid w:val="00F66F13"/>
    <w:rsid w:val="00F7145D"/>
    <w:rsid w:val="00F71B5E"/>
    <w:rsid w:val="00F74073"/>
    <w:rsid w:val="00F7424A"/>
    <w:rsid w:val="00F75603"/>
    <w:rsid w:val="00F75ABA"/>
    <w:rsid w:val="00F77BE5"/>
    <w:rsid w:val="00F80E64"/>
    <w:rsid w:val="00F845B4"/>
    <w:rsid w:val="00F8713B"/>
    <w:rsid w:val="00F904FB"/>
    <w:rsid w:val="00F93F9E"/>
    <w:rsid w:val="00F93FB2"/>
    <w:rsid w:val="00F950BC"/>
    <w:rsid w:val="00F95A06"/>
    <w:rsid w:val="00FA2CD7"/>
    <w:rsid w:val="00FA5AD5"/>
    <w:rsid w:val="00FA60B4"/>
    <w:rsid w:val="00FA7882"/>
    <w:rsid w:val="00FA7937"/>
    <w:rsid w:val="00FB06ED"/>
    <w:rsid w:val="00FB15E3"/>
    <w:rsid w:val="00FC08A4"/>
    <w:rsid w:val="00FC1643"/>
    <w:rsid w:val="00FC202F"/>
    <w:rsid w:val="00FC3165"/>
    <w:rsid w:val="00FC36AB"/>
    <w:rsid w:val="00FC4300"/>
    <w:rsid w:val="00FC7A97"/>
    <w:rsid w:val="00FC7F66"/>
    <w:rsid w:val="00FD5776"/>
    <w:rsid w:val="00FD653B"/>
    <w:rsid w:val="00FD6A55"/>
    <w:rsid w:val="00FD6CF9"/>
    <w:rsid w:val="00FE1CB6"/>
    <w:rsid w:val="00FE2A01"/>
    <w:rsid w:val="00FE3B71"/>
    <w:rsid w:val="00FE486B"/>
    <w:rsid w:val="00FE4F08"/>
    <w:rsid w:val="00FE70B8"/>
    <w:rsid w:val="00FE776A"/>
    <w:rsid w:val="00FF192E"/>
    <w:rsid w:val="00FF3C8D"/>
    <w:rsid w:val="00FF66F9"/>
    <w:rsid w:val="00FF6F52"/>
    <w:rsid w:val="00FF735E"/>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80711"/>
  <w15:docId w15:val="{ADFAB830-6D33-44ED-98E4-D2960EC7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B64E1"/>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DE7A80"/>
    <w:rPr>
      <w:rFonts w:ascii="Verdana" w:hAnsi="Verdana"/>
      <w:sz w:val="18"/>
      <w:szCs w:val="24"/>
      <w:lang w:val="nl-NL" w:eastAsia="nl-NL"/>
    </w:rPr>
  </w:style>
  <w:style w:type="character" w:styleId="Voetnootmarkering">
    <w:name w:val="footnote reference"/>
    <w:basedOn w:val="Standaardalinea-lettertype"/>
    <w:rsid w:val="00DE7A80"/>
    <w:rPr>
      <w:vertAlign w:val="superscript"/>
    </w:rPr>
  </w:style>
  <w:style w:type="character" w:styleId="Verwijzingopmerking">
    <w:name w:val="annotation reference"/>
    <w:basedOn w:val="Standaardalinea-lettertype"/>
    <w:rsid w:val="00DE7A80"/>
    <w:rPr>
      <w:sz w:val="16"/>
      <w:szCs w:val="16"/>
    </w:rPr>
  </w:style>
  <w:style w:type="paragraph" w:styleId="Tekstopmerking">
    <w:name w:val="annotation text"/>
    <w:basedOn w:val="Standaard"/>
    <w:link w:val="TekstopmerkingChar"/>
    <w:rsid w:val="00DE7A80"/>
    <w:pPr>
      <w:spacing w:line="240" w:lineRule="auto"/>
    </w:pPr>
    <w:rPr>
      <w:sz w:val="20"/>
      <w:szCs w:val="20"/>
    </w:rPr>
  </w:style>
  <w:style w:type="character" w:customStyle="1" w:styleId="TekstopmerkingChar">
    <w:name w:val="Tekst opmerking Char"/>
    <w:basedOn w:val="Standaardalinea-lettertype"/>
    <w:link w:val="Tekstopmerking"/>
    <w:rsid w:val="00DE7A80"/>
    <w:rPr>
      <w:rFonts w:ascii="Verdana" w:hAnsi="Verdana"/>
      <w:lang w:val="nl-NL" w:eastAsia="nl-NL"/>
    </w:rPr>
  </w:style>
  <w:style w:type="paragraph" w:styleId="Onderwerpvanopmerking">
    <w:name w:val="annotation subject"/>
    <w:basedOn w:val="Tekstopmerking"/>
    <w:next w:val="Tekstopmerking"/>
    <w:link w:val="OnderwerpvanopmerkingChar"/>
    <w:rsid w:val="00DE7A80"/>
    <w:rPr>
      <w:b/>
      <w:bCs/>
    </w:rPr>
  </w:style>
  <w:style w:type="character" w:customStyle="1" w:styleId="OnderwerpvanopmerkingChar">
    <w:name w:val="Onderwerp van opmerking Char"/>
    <w:basedOn w:val="TekstopmerkingChar"/>
    <w:link w:val="Onderwerpvanopmerking"/>
    <w:rsid w:val="00DE7A80"/>
    <w:rPr>
      <w:rFonts w:ascii="Verdana" w:hAnsi="Verdana"/>
      <w:b/>
      <w:bCs/>
      <w:lang w:val="nl-NL" w:eastAsia="nl-NL"/>
    </w:rPr>
  </w:style>
  <w:style w:type="character" w:customStyle="1" w:styleId="VoetnoottekstChar">
    <w:name w:val="Voetnoottekst Char"/>
    <w:basedOn w:val="Standaardalinea-lettertype"/>
    <w:link w:val="Voetnoottekst"/>
    <w:semiHidden/>
    <w:rsid w:val="008F63C8"/>
    <w:rPr>
      <w:rFonts w:ascii="Verdana" w:hAnsi="Verdana"/>
      <w:sz w:val="13"/>
      <w:lang w:val="nl-NL" w:eastAsia="nl-NL"/>
    </w:rPr>
  </w:style>
  <w:style w:type="paragraph" w:styleId="Lijstalinea">
    <w:name w:val="List Paragraph"/>
    <w:basedOn w:val="Standaard"/>
    <w:uiPriority w:val="34"/>
    <w:qFormat/>
    <w:rsid w:val="005A7181"/>
    <w:pPr>
      <w:ind w:left="720"/>
      <w:contextualSpacing/>
    </w:pPr>
  </w:style>
  <w:style w:type="character" w:styleId="Onopgelostemelding">
    <w:name w:val="Unresolved Mention"/>
    <w:basedOn w:val="Standaardalinea-lettertype"/>
    <w:uiPriority w:val="99"/>
    <w:semiHidden/>
    <w:unhideWhenUsed/>
    <w:rsid w:val="008A3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2720</ap:Words>
  <ap:Characters>15359</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2025-09-23T12:51:00.0000000Z</lastPrinted>
  <dcterms:created xsi:type="dcterms:W3CDTF">2025-11-21T12:20:00.0000000Z</dcterms:created>
  <dcterms:modified xsi:type="dcterms:W3CDTF">2025-11-21T12:20:00.0000000Z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o209hoe</vt:lpwstr>
  </property>
  <property fmtid="{D5CDD505-2E9C-101B-9397-08002B2CF9AE}" pid="3" name="Author">
    <vt:lpwstr>o209hoe</vt:lpwstr>
  </property>
  <property fmtid="{D5CDD505-2E9C-101B-9397-08002B2CF9AE}" pid="4" name="cs_objectid">
    <vt:lpwstr>54458983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Financiering landelijke publieke omroep en de rol van reclame</vt:lpwstr>
  </property>
  <property fmtid="{D5CDD505-2E9C-101B-9397-08002B2CF9AE}" pid="9" name="ocw_directie">
    <vt:lpwstr>MENC/FENC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o209hoe</vt:lpwstr>
  </property>
</Properties>
</file>