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308F" w:rsidR="00EC4F1D" w:rsidRDefault="00610543" w14:paraId="51A3231D" w14:textId="6B71E87B">
      <w:pPr>
        <w:rPr>
          <w:rFonts w:ascii="Verdana" w:hAnsi="Verdana"/>
          <w:b/>
          <w:bCs/>
          <w:sz w:val="18"/>
          <w:szCs w:val="18"/>
        </w:rPr>
      </w:pPr>
      <w:r w:rsidRPr="000D308F">
        <w:rPr>
          <w:rFonts w:ascii="Verdana" w:hAnsi="Verdana"/>
          <w:b/>
          <w:bCs/>
          <w:sz w:val="18"/>
          <w:szCs w:val="18"/>
        </w:rPr>
        <w:t xml:space="preserve">Goedkeuring van de </w:t>
      </w:r>
      <w:r w:rsidRPr="000D308F" w:rsidR="00460CBA">
        <w:rPr>
          <w:rFonts w:ascii="Verdana" w:hAnsi="Verdana"/>
          <w:b/>
          <w:bCs/>
          <w:sz w:val="18"/>
          <w:szCs w:val="18"/>
        </w:rPr>
        <w:t xml:space="preserve">op 15 </w:t>
      </w:r>
      <w:r w:rsidRPr="000D308F" w:rsidR="0060633F">
        <w:rPr>
          <w:rFonts w:ascii="Verdana" w:hAnsi="Verdana"/>
          <w:b/>
          <w:bCs/>
          <w:sz w:val="18"/>
          <w:szCs w:val="18"/>
        </w:rPr>
        <w:t>november</w:t>
      </w:r>
      <w:r w:rsidRPr="000D308F" w:rsidR="00460CBA">
        <w:rPr>
          <w:rFonts w:ascii="Verdana" w:hAnsi="Verdana"/>
          <w:b/>
          <w:bCs/>
          <w:sz w:val="18"/>
          <w:szCs w:val="18"/>
        </w:rPr>
        <w:t xml:space="preserve"> 2023 te Apia, Samoa</w:t>
      </w:r>
      <w:r w:rsidRPr="000D308F" w:rsidR="00F9334C">
        <w:rPr>
          <w:rFonts w:ascii="Verdana" w:hAnsi="Verdana"/>
          <w:b/>
          <w:bCs/>
          <w:sz w:val="18"/>
          <w:szCs w:val="18"/>
        </w:rPr>
        <w:t>,</w:t>
      </w:r>
      <w:r w:rsidRPr="000D308F">
        <w:rPr>
          <w:rFonts w:ascii="Verdana" w:hAnsi="Verdana"/>
          <w:b/>
          <w:bCs/>
          <w:sz w:val="18"/>
          <w:szCs w:val="18"/>
        </w:rPr>
        <w:t xml:space="preserve"> tot stand gekomen </w:t>
      </w:r>
      <w:r w:rsidRPr="000D308F" w:rsidR="00940EB6">
        <w:rPr>
          <w:rFonts w:ascii="Verdana" w:hAnsi="Verdana"/>
          <w:b/>
          <w:bCs/>
          <w:sz w:val="18"/>
          <w:szCs w:val="18"/>
        </w:rPr>
        <w:t>P</w:t>
      </w:r>
      <w:r w:rsidRPr="000D308F">
        <w:rPr>
          <w:rFonts w:ascii="Verdana" w:hAnsi="Verdana"/>
          <w:b/>
          <w:bCs/>
          <w:sz w:val="18"/>
          <w:szCs w:val="18"/>
        </w:rPr>
        <w:t xml:space="preserve">artnerschapsovereenkomst tussen de Europese Unie en haar lidstaten, enerzijds, en de </w:t>
      </w:r>
      <w:r w:rsidRPr="000D308F" w:rsidR="00A32EEB">
        <w:rPr>
          <w:rFonts w:ascii="Verdana" w:hAnsi="Verdana"/>
          <w:b/>
          <w:bCs/>
          <w:sz w:val="18"/>
          <w:szCs w:val="18"/>
        </w:rPr>
        <w:t xml:space="preserve">leden van de </w:t>
      </w:r>
      <w:r w:rsidRPr="000D308F" w:rsidR="00940EB6">
        <w:rPr>
          <w:rFonts w:ascii="Verdana" w:hAnsi="Verdana"/>
          <w:b/>
          <w:bCs/>
          <w:sz w:val="18"/>
          <w:szCs w:val="18"/>
        </w:rPr>
        <w:t>O</w:t>
      </w:r>
      <w:r w:rsidRPr="000D308F" w:rsidR="00A32EEB">
        <w:rPr>
          <w:rFonts w:ascii="Verdana" w:hAnsi="Verdana"/>
          <w:b/>
          <w:bCs/>
          <w:sz w:val="18"/>
          <w:szCs w:val="18"/>
        </w:rPr>
        <w:t xml:space="preserve">rganisatie van </w:t>
      </w:r>
      <w:r w:rsidRPr="000D308F" w:rsidR="00940EB6">
        <w:rPr>
          <w:rFonts w:ascii="Verdana" w:hAnsi="Verdana"/>
          <w:b/>
          <w:bCs/>
          <w:sz w:val="18"/>
          <w:szCs w:val="18"/>
        </w:rPr>
        <w:t>S</w:t>
      </w:r>
      <w:r w:rsidRPr="000D308F" w:rsidR="00A32EEB">
        <w:rPr>
          <w:rFonts w:ascii="Verdana" w:hAnsi="Verdana"/>
          <w:b/>
          <w:bCs/>
          <w:sz w:val="18"/>
          <w:szCs w:val="18"/>
        </w:rPr>
        <w:t>taten</w:t>
      </w:r>
      <w:r w:rsidRPr="000D308F">
        <w:rPr>
          <w:rFonts w:ascii="Verdana" w:hAnsi="Verdana"/>
          <w:b/>
          <w:bCs/>
          <w:sz w:val="18"/>
          <w:szCs w:val="18"/>
        </w:rPr>
        <w:t xml:space="preserve"> in Afrika, het Caribisch </w:t>
      </w:r>
      <w:r w:rsidRPr="000D308F" w:rsidR="00624934">
        <w:rPr>
          <w:rFonts w:ascii="Verdana" w:hAnsi="Verdana"/>
          <w:b/>
          <w:bCs/>
          <w:sz w:val="18"/>
          <w:szCs w:val="18"/>
        </w:rPr>
        <w:t xml:space="preserve">Gebied </w:t>
      </w:r>
      <w:r w:rsidRPr="000D308F">
        <w:rPr>
          <w:rFonts w:ascii="Verdana" w:hAnsi="Verdana"/>
          <w:b/>
          <w:bCs/>
          <w:sz w:val="18"/>
          <w:szCs w:val="18"/>
        </w:rPr>
        <w:t xml:space="preserve">en de </w:t>
      </w:r>
      <w:r w:rsidRPr="000D308F" w:rsidR="00624934">
        <w:rPr>
          <w:rFonts w:ascii="Verdana" w:hAnsi="Verdana"/>
          <w:b/>
          <w:bCs/>
          <w:sz w:val="18"/>
          <w:szCs w:val="18"/>
        </w:rPr>
        <w:t>Stille Oceaan</w:t>
      </w:r>
      <w:r w:rsidRPr="000D308F">
        <w:rPr>
          <w:rFonts w:ascii="Verdana" w:hAnsi="Verdana"/>
          <w:b/>
          <w:bCs/>
          <w:sz w:val="18"/>
          <w:szCs w:val="18"/>
        </w:rPr>
        <w:t xml:space="preserve">, anderzijds </w:t>
      </w:r>
      <w:r w:rsidRPr="000D308F" w:rsidR="00D97139">
        <w:rPr>
          <w:rFonts w:ascii="Verdana" w:hAnsi="Verdana"/>
          <w:b/>
          <w:bCs/>
          <w:sz w:val="18"/>
          <w:szCs w:val="18"/>
        </w:rPr>
        <w:t>(</w:t>
      </w:r>
      <w:proofErr w:type="spellStart"/>
      <w:r w:rsidRPr="000D308F" w:rsidR="00D97139">
        <w:rPr>
          <w:rFonts w:ascii="Verdana" w:hAnsi="Verdana"/>
          <w:b/>
          <w:bCs/>
          <w:i/>
          <w:iCs/>
          <w:sz w:val="18"/>
          <w:szCs w:val="18"/>
        </w:rPr>
        <w:t>Trb</w:t>
      </w:r>
      <w:proofErr w:type="spellEnd"/>
      <w:r w:rsidRPr="000D308F" w:rsidR="00D97139">
        <w:rPr>
          <w:rFonts w:ascii="Verdana" w:hAnsi="Verdana"/>
          <w:b/>
          <w:bCs/>
          <w:i/>
          <w:iCs/>
          <w:sz w:val="18"/>
          <w:szCs w:val="18"/>
        </w:rPr>
        <w:t xml:space="preserve">. </w:t>
      </w:r>
      <w:r w:rsidRPr="000D308F" w:rsidR="00D97139">
        <w:rPr>
          <w:rFonts w:ascii="Verdana" w:hAnsi="Verdana"/>
          <w:b/>
          <w:bCs/>
          <w:sz w:val="18"/>
          <w:szCs w:val="18"/>
        </w:rPr>
        <w:t>202</w:t>
      </w:r>
      <w:r w:rsidRPr="000D308F" w:rsidR="00F764BB">
        <w:rPr>
          <w:rFonts w:ascii="Verdana" w:hAnsi="Verdana"/>
          <w:b/>
          <w:bCs/>
          <w:sz w:val="18"/>
          <w:szCs w:val="18"/>
        </w:rPr>
        <w:t>4</w:t>
      </w:r>
      <w:r w:rsidRPr="000D308F" w:rsidR="00D97139">
        <w:rPr>
          <w:rFonts w:ascii="Verdana" w:hAnsi="Verdana"/>
          <w:b/>
          <w:bCs/>
          <w:sz w:val="18"/>
          <w:szCs w:val="18"/>
        </w:rPr>
        <w:t xml:space="preserve">, </w:t>
      </w:r>
      <w:r w:rsidRPr="000D308F" w:rsidR="000E33D0">
        <w:rPr>
          <w:rFonts w:ascii="Verdana" w:hAnsi="Verdana"/>
          <w:b/>
          <w:bCs/>
          <w:sz w:val="18"/>
          <w:szCs w:val="18"/>
        </w:rPr>
        <w:t>47</w:t>
      </w:r>
      <w:r w:rsidRPr="000D308F" w:rsidR="00D97139">
        <w:rPr>
          <w:rFonts w:ascii="Verdana" w:hAnsi="Verdana"/>
          <w:b/>
          <w:bCs/>
          <w:sz w:val="18"/>
          <w:szCs w:val="18"/>
        </w:rPr>
        <w:t>)</w:t>
      </w:r>
    </w:p>
    <w:p w:rsidRPr="000D308F" w:rsidR="00EC4F1D" w:rsidRDefault="00EC4F1D" w14:paraId="1619A7C3" w14:textId="4D4F49A2">
      <w:pPr>
        <w:rPr>
          <w:rFonts w:ascii="Verdana" w:hAnsi="Verdana"/>
          <w:b/>
          <w:bCs/>
          <w:sz w:val="18"/>
          <w:szCs w:val="18"/>
        </w:rPr>
      </w:pPr>
      <w:r w:rsidRPr="000D308F">
        <w:rPr>
          <w:rFonts w:ascii="Verdana" w:hAnsi="Verdana"/>
          <w:b/>
          <w:bCs/>
          <w:sz w:val="18"/>
          <w:szCs w:val="18"/>
        </w:rPr>
        <w:t>MEMORIE VAN TOELICHTING</w:t>
      </w:r>
    </w:p>
    <w:p w:rsidRPr="000D308F" w:rsidR="00EC4F1D" w:rsidP="00EC4F1D" w:rsidRDefault="00EC4F1D" w14:paraId="75C8B340" w14:textId="01907E85">
      <w:pPr>
        <w:rPr>
          <w:rFonts w:ascii="Verdana" w:hAnsi="Verdana"/>
          <w:b/>
          <w:bCs/>
          <w:sz w:val="18"/>
          <w:szCs w:val="18"/>
        </w:rPr>
      </w:pPr>
      <w:r w:rsidRPr="000D308F">
        <w:rPr>
          <w:rFonts w:ascii="Verdana" w:hAnsi="Verdana"/>
          <w:b/>
          <w:bCs/>
          <w:sz w:val="18"/>
          <w:szCs w:val="18"/>
        </w:rPr>
        <w:t>1. Algemene inleiding</w:t>
      </w:r>
    </w:p>
    <w:p w:rsidRPr="000D308F" w:rsidR="00EC4F1D" w:rsidP="00EC4F1D" w:rsidRDefault="00EC4F1D" w14:paraId="6398595C" w14:textId="0A0C7923">
      <w:pPr>
        <w:rPr>
          <w:rFonts w:ascii="Verdana" w:hAnsi="Verdana"/>
          <w:b/>
          <w:bCs/>
          <w:sz w:val="18"/>
          <w:szCs w:val="18"/>
        </w:rPr>
      </w:pPr>
      <w:r w:rsidRPr="000D308F">
        <w:rPr>
          <w:rFonts w:ascii="Verdana" w:hAnsi="Verdana"/>
          <w:b/>
          <w:bCs/>
          <w:sz w:val="18"/>
          <w:szCs w:val="18"/>
        </w:rPr>
        <w:t xml:space="preserve">1.1 De Europese Unie en de </w:t>
      </w:r>
      <w:r w:rsidRPr="000D308F" w:rsidR="008B4705">
        <w:rPr>
          <w:rFonts w:ascii="Verdana" w:hAnsi="Verdana"/>
          <w:b/>
          <w:bCs/>
          <w:sz w:val="18"/>
          <w:szCs w:val="18"/>
        </w:rPr>
        <w:t xml:space="preserve">leden van de </w:t>
      </w:r>
      <w:r w:rsidRPr="000D308F" w:rsidR="00940EB6">
        <w:rPr>
          <w:rFonts w:ascii="Verdana" w:hAnsi="Verdana"/>
          <w:b/>
          <w:bCs/>
          <w:sz w:val="18"/>
          <w:szCs w:val="18"/>
        </w:rPr>
        <w:t>O</w:t>
      </w:r>
      <w:r w:rsidRPr="000D308F" w:rsidR="008B4705">
        <w:rPr>
          <w:rFonts w:ascii="Verdana" w:hAnsi="Verdana"/>
          <w:b/>
          <w:bCs/>
          <w:sz w:val="18"/>
          <w:szCs w:val="18"/>
        </w:rPr>
        <w:t xml:space="preserve">rganisatie van </w:t>
      </w:r>
      <w:r w:rsidRPr="000D308F" w:rsidR="00940EB6">
        <w:rPr>
          <w:rFonts w:ascii="Verdana" w:hAnsi="Verdana"/>
          <w:b/>
          <w:bCs/>
          <w:sz w:val="18"/>
          <w:szCs w:val="18"/>
        </w:rPr>
        <w:t>S</w:t>
      </w:r>
      <w:r w:rsidRPr="000D308F" w:rsidR="008B4705">
        <w:rPr>
          <w:rFonts w:ascii="Verdana" w:hAnsi="Verdana"/>
          <w:b/>
          <w:bCs/>
          <w:sz w:val="18"/>
          <w:szCs w:val="18"/>
        </w:rPr>
        <w:t xml:space="preserve">taten in Afrika, het Caribisch </w:t>
      </w:r>
      <w:r w:rsidRPr="000D308F" w:rsidR="006D54F0">
        <w:rPr>
          <w:rFonts w:ascii="Verdana" w:hAnsi="Verdana"/>
          <w:b/>
          <w:bCs/>
          <w:sz w:val="18"/>
          <w:szCs w:val="18"/>
        </w:rPr>
        <w:t xml:space="preserve">Gebied </w:t>
      </w:r>
      <w:r w:rsidRPr="000D308F" w:rsidR="008B4705">
        <w:rPr>
          <w:rFonts w:ascii="Verdana" w:hAnsi="Verdana"/>
          <w:b/>
          <w:bCs/>
          <w:sz w:val="18"/>
          <w:szCs w:val="18"/>
        </w:rPr>
        <w:t xml:space="preserve">en de </w:t>
      </w:r>
      <w:r w:rsidRPr="000D308F" w:rsidR="006D54F0">
        <w:rPr>
          <w:rFonts w:ascii="Verdana" w:hAnsi="Verdana"/>
          <w:b/>
          <w:bCs/>
          <w:sz w:val="18"/>
          <w:szCs w:val="18"/>
        </w:rPr>
        <w:t xml:space="preserve">Stille Oceaan </w:t>
      </w:r>
    </w:p>
    <w:p w:rsidRPr="000D308F" w:rsidR="00CA51A5" w:rsidP="00EC4F1D" w:rsidRDefault="008759F7" w14:paraId="47FCDC77" w14:textId="173EBF58">
      <w:pPr>
        <w:rPr>
          <w:rFonts w:ascii="Verdana" w:hAnsi="Verdana"/>
          <w:sz w:val="18"/>
          <w:szCs w:val="18"/>
        </w:rPr>
      </w:pPr>
      <w:r w:rsidRPr="000D308F">
        <w:rPr>
          <w:rFonts w:ascii="Verdana" w:hAnsi="Verdana"/>
          <w:sz w:val="18"/>
          <w:szCs w:val="18"/>
        </w:rPr>
        <w:t xml:space="preserve">De relatie tussen de Europese Unie (hierna: EU of Unie) en de </w:t>
      </w:r>
      <w:r w:rsidRPr="000D308F" w:rsidR="00F876E4">
        <w:rPr>
          <w:rFonts w:ascii="Verdana" w:hAnsi="Verdana"/>
          <w:sz w:val="18"/>
          <w:szCs w:val="18"/>
        </w:rPr>
        <w:t>79</w:t>
      </w:r>
      <w:r w:rsidRPr="000D308F">
        <w:rPr>
          <w:rFonts w:ascii="Verdana" w:hAnsi="Verdana"/>
          <w:sz w:val="18"/>
          <w:szCs w:val="18"/>
        </w:rPr>
        <w:t xml:space="preserve"> leden van de </w:t>
      </w:r>
      <w:r w:rsidRPr="000D308F" w:rsidR="002734CA">
        <w:rPr>
          <w:rFonts w:ascii="Verdana" w:hAnsi="Verdana"/>
          <w:sz w:val="18"/>
          <w:szCs w:val="18"/>
        </w:rPr>
        <w:t xml:space="preserve">Organisatie </w:t>
      </w:r>
      <w:r w:rsidRPr="000D308F">
        <w:rPr>
          <w:rFonts w:ascii="Verdana" w:hAnsi="Verdana"/>
          <w:sz w:val="18"/>
          <w:szCs w:val="18"/>
        </w:rPr>
        <w:t xml:space="preserve">van </w:t>
      </w:r>
      <w:r w:rsidRPr="000D308F" w:rsidR="00496006">
        <w:rPr>
          <w:rFonts w:ascii="Verdana" w:hAnsi="Verdana"/>
          <w:sz w:val="18"/>
          <w:szCs w:val="18"/>
        </w:rPr>
        <w:t xml:space="preserve">Staten </w:t>
      </w:r>
      <w:r w:rsidRPr="000D308F">
        <w:rPr>
          <w:rFonts w:ascii="Verdana" w:hAnsi="Verdana"/>
          <w:sz w:val="18"/>
          <w:szCs w:val="18"/>
        </w:rPr>
        <w:t xml:space="preserve">in Afrika, het Caribisch </w:t>
      </w:r>
      <w:r w:rsidRPr="000D308F" w:rsidR="00DE65B8">
        <w:rPr>
          <w:rFonts w:ascii="Verdana" w:hAnsi="Verdana"/>
          <w:sz w:val="18"/>
          <w:szCs w:val="18"/>
        </w:rPr>
        <w:t xml:space="preserve">Gebied </w:t>
      </w:r>
      <w:r w:rsidRPr="000D308F">
        <w:rPr>
          <w:rFonts w:ascii="Verdana" w:hAnsi="Verdana"/>
          <w:sz w:val="18"/>
          <w:szCs w:val="18"/>
        </w:rPr>
        <w:t xml:space="preserve">en de </w:t>
      </w:r>
      <w:r w:rsidRPr="000D308F" w:rsidR="00940EB6">
        <w:rPr>
          <w:rFonts w:ascii="Verdana" w:hAnsi="Verdana"/>
          <w:sz w:val="18"/>
          <w:szCs w:val="18"/>
        </w:rPr>
        <w:t>S</w:t>
      </w:r>
      <w:r w:rsidRPr="000D308F">
        <w:rPr>
          <w:rFonts w:ascii="Verdana" w:hAnsi="Verdana"/>
          <w:sz w:val="18"/>
          <w:szCs w:val="18"/>
        </w:rPr>
        <w:t xml:space="preserve">tille </w:t>
      </w:r>
      <w:r w:rsidRPr="000D308F" w:rsidR="00940EB6">
        <w:rPr>
          <w:rFonts w:ascii="Verdana" w:hAnsi="Verdana"/>
          <w:sz w:val="18"/>
          <w:szCs w:val="18"/>
        </w:rPr>
        <w:t>O</w:t>
      </w:r>
      <w:r w:rsidRPr="000D308F">
        <w:rPr>
          <w:rFonts w:ascii="Verdana" w:hAnsi="Verdana"/>
          <w:sz w:val="18"/>
          <w:szCs w:val="18"/>
        </w:rPr>
        <w:t>ceaan (hierna: ACS-landen) kent een lange geschiedenis</w:t>
      </w:r>
      <w:r w:rsidRPr="000D308F" w:rsidR="005B5795">
        <w:rPr>
          <w:rFonts w:ascii="Verdana" w:hAnsi="Verdana"/>
          <w:sz w:val="18"/>
          <w:szCs w:val="18"/>
        </w:rPr>
        <w:t>.</w:t>
      </w:r>
      <w:r w:rsidRPr="000D308F" w:rsidR="00353DC1">
        <w:rPr>
          <w:rFonts w:ascii="Verdana" w:hAnsi="Verdana"/>
          <w:sz w:val="18"/>
          <w:szCs w:val="18"/>
        </w:rPr>
        <w:t xml:space="preserve"> </w:t>
      </w:r>
      <w:r w:rsidRPr="000D308F" w:rsidR="005B5795">
        <w:rPr>
          <w:rFonts w:ascii="Verdana" w:hAnsi="Verdana"/>
          <w:sz w:val="18"/>
          <w:szCs w:val="18"/>
        </w:rPr>
        <w:t>Het oprichtingsverdrag van de Europese Economische Gemeenschap (</w:t>
      </w:r>
      <w:r w:rsidRPr="000D308F" w:rsidR="00216B19">
        <w:rPr>
          <w:rFonts w:ascii="Verdana" w:hAnsi="Verdana"/>
          <w:sz w:val="18"/>
          <w:szCs w:val="18"/>
        </w:rPr>
        <w:t xml:space="preserve">hierna: </w:t>
      </w:r>
      <w:r w:rsidRPr="000D308F" w:rsidR="005B5795">
        <w:rPr>
          <w:rFonts w:ascii="Verdana" w:hAnsi="Verdana"/>
          <w:sz w:val="18"/>
          <w:szCs w:val="18"/>
        </w:rPr>
        <w:t xml:space="preserve">EEG) in 1957 voorzag reeds in een associatieregeling voor de landen en gebieden overzee (hierna: LGO) van de vier betrokken EEG-lidstaten (België, Frankrijk, Italië en het Koninkrijk der Nederlanden). Deze regeling had tot doel de economische en sociale ontwikkeling van de LGO te bevorderen </w:t>
      </w:r>
      <w:r w:rsidRPr="000D308F" w:rsidR="00C31F48">
        <w:rPr>
          <w:rFonts w:ascii="Verdana" w:hAnsi="Verdana"/>
          <w:sz w:val="18"/>
          <w:szCs w:val="18"/>
        </w:rPr>
        <w:t xml:space="preserve">en hun banden met de EEG te </w:t>
      </w:r>
      <w:r w:rsidRPr="000D308F" w:rsidR="002F35A1">
        <w:rPr>
          <w:rFonts w:ascii="Verdana" w:hAnsi="Verdana"/>
          <w:sz w:val="18"/>
          <w:szCs w:val="18"/>
        </w:rPr>
        <w:t xml:space="preserve">versterken en </w:t>
      </w:r>
      <w:r w:rsidRPr="000D308F" w:rsidR="00C31F48">
        <w:rPr>
          <w:rFonts w:ascii="Verdana" w:hAnsi="Verdana"/>
          <w:sz w:val="18"/>
          <w:szCs w:val="18"/>
        </w:rPr>
        <w:t xml:space="preserve">verankeren. In de periode die daarop volgde werden de meeste van deze geassocieerde landen soevereine staten. Omdat zij </w:t>
      </w:r>
      <w:r w:rsidRPr="000D308F" w:rsidR="00A27CB3">
        <w:rPr>
          <w:rFonts w:ascii="Verdana" w:hAnsi="Verdana"/>
          <w:sz w:val="18"/>
          <w:szCs w:val="18"/>
        </w:rPr>
        <w:t xml:space="preserve">als gevolg hiervan destijds </w:t>
      </w:r>
      <w:r w:rsidRPr="000D308F" w:rsidR="00C31F48">
        <w:rPr>
          <w:rFonts w:ascii="Verdana" w:hAnsi="Verdana"/>
          <w:sz w:val="18"/>
          <w:szCs w:val="18"/>
        </w:rPr>
        <w:t>de status van LGO verloren werd een nieuwe associatie per verdrag geregeld. Dit gebeurde achtereenvolgens in de gesloten Conventies van Yaoundé (1963-1975)</w:t>
      </w:r>
      <w:r w:rsidRPr="000D308F" w:rsidR="00747B96">
        <w:rPr>
          <w:rStyle w:val="FootnoteReference"/>
          <w:rFonts w:ascii="Verdana" w:hAnsi="Verdana"/>
          <w:sz w:val="18"/>
          <w:szCs w:val="18"/>
        </w:rPr>
        <w:footnoteReference w:id="2"/>
      </w:r>
      <w:r w:rsidRPr="000D308F" w:rsidR="00C31F48">
        <w:rPr>
          <w:rFonts w:ascii="Verdana" w:hAnsi="Verdana"/>
          <w:sz w:val="18"/>
          <w:szCs w:val="18"/>
        </w:rPr>
        <w:t xml:space="preserve"> en van Lomé (1975-2000)</w:t>
      </w:r>
      <w:r w:rsidRPr="000D308F" w:rsidR="00747B96">
        <w:rPr>
          <w:rStyle w:val="FootnoteReference"/>
          <w:rFonts w:ascii="Verdana" w:hAnsi="Verdana"/>
          <w:sz w:val="18"/>
          <w:szCs w:val="18"/>
        </w:rPr>
        <w:footnoteReference w:id="3"/>
      </w:r>
      <w:r w:rsidRPr="000D308F" w:rsidR="00C31F48">
        <w:rPr>
          <w:rFonts w:ascii="Verdana" w:hAnsi="Verdana"/>
          <w:sz w:val="18"/>
          <w:szCs w:val="18"/>
        </w:rPr>
        <w:t>.</w:t>
      </w:r>
      <w:r w:rsidRPr="000D308F" w:rsidR="007D680E">
        <w:rPr>
          <w:rFonts w:ascii="Verdana" w:hAnsi="Verdana"/>
          <w:sz w:val="18"/>
          <w:szCs w:val="18"/>
        </w:rPr>
        <w:t xml:space="preserve"> </w:t>
      </w:r>
      <w:r w:rsidRPr="000D308F" w:rsidR="00E26766">
        <w:rPr>
          <w:rFonts w:ascii="Verdana" w:hAnsi="Verdana"/>
          <w:sz w:val="18"/>
          <w:szCs w:val="18"/>
        </w:rPr>
        <w:t>De zes lidstaten van de EEG</w:t>
      </w:r>
      <w:r w:rsidRPr="000D308F" w:rsidR="00A27CB3">
        <w:rPr>
          <w:rFonts w:ascii="Verdana" w:hAnsi="Verdana"/>
          <w:sz w:val="18"/>
          <w:szCs w:val="18"/>
        </w:rPr>
        <w:t>,</w:t>
      </w:r>
      <w:r w:rsidRPr="000D308F" w:rsidR="00E26766">
        <w:rPr>
          <w:rFonts w:ascii="Verdana" w:hAnsi="Verdana"/>
          <w:sz w:val="18"/>
          <w:szCs w:val="18"/>
        </w:rPr>
        <w:t xml:space="preserve"> enerzijds</w:t>
      </w:r>
      <w:r w:rsidRPr="000D308F" w:rsidR="00A27CB3">
        <w:rPr>
          <w:rFonts w:ascii="Verdana" w:hAnsi="Verdana"/>
          <w:sz w:val="18"/>
          <w:szCs w:val="18"/>
        </w:rPr>
        <w:t>,</w:t>
      </w:r>
      <w:r w:rsidRPr="000D308F" w:rsidR="00E26766">
        <w:rPr>
          <w:rFonts w:ascii="Verdana" w:hAnsi="Verdana"/>
          <w:sz w:val="18"/>
          <w:szCs w:val="18"/>
        </w:rPr>
        <w:t xml:space="preserve"> en de </w:t>
      </w:r>
      <w:r w:rsidRPr="000D308F" w:rsidR="00355DA7">
        <w:rPr>
          <w:rFonts w:ascii="Verdana" w:hAnsi="Verdana"/>
          <w:sz w:val="18"/>
          <w:szCs w:val="18"/>
        </w:rPr>
        <w:t>18</w:t>
      </w:r>
      <w:r w:rsidRPr="000D308F" w:rsidR="00E26766">
        <w:rPr>
          <w:rFonts w:ascii="Verdana" w:hAnsi="Verdana"/>
          <w:sz w:val="18"/>
          <w:szCs w:val="18"/>
        </w:rPr>
        <w:t xml:space="preserve"> leden van de Geassocieerde Afrikaanse Staten en Madagaskar (GASM)</w:t>
      </w:r>
      <w:r w:rsidRPr="000D308F" w:rsidR="00A27CB3">
        <w:rPr>
          <w:rFonts w:ascii="Verdana" w:hAnsi="Verdana"/>
          <w:sz w:val="18"/>
          <w:szCs w:val="18"/>
        </w:rPr>
        <w:t>,</w:t>
      </w:r>
      <w:r w:rsidRPr="000D308F" w:rsidR="00E26766">
        <w:rPr>
          <w:rFonts w:ascii="Verdana" w:hAnsi="Verdana"/>
          <w:sz w:val="18"/>
          <w:szCs w:val="18"/>
        </w:rPr>
        <w:t xml:space="preserve"> </w:t>
      </w:r>
      <w:r w:rsidRPr="000D308F" w:rsidR="00A27CB3">
        <w:rPr>
          <w:rFonts w:ascii="Verdana" w:hAnsi="Verdana"/>
          <w:sz w:val="18"/>
          <w:szCs w:val="18"/>
        </w:rPr>
        <w:t xml:space="preserve">anderzijds, </w:t>
      </w:r>
      <w:r w:rsidRPr="000D308F" w:rsidR="00E26766">
        <w:rPr>
          <w:rFonts w:ascii="Verdana" w:hAnsi="Verdana"/>
          <w:sz w:val="18"/>
          <w:szCs w:val="18"/>
        </w:rPr>
        <w:t xml:space="preserve">sloten in 1963 de Conventie van Yaoundé af </w:t>
      </w:r>
      <w:r w:rsidRPr="000D308F" w:rsidR="00C17C70">
        <w:rPr>
          <w:rFonts w:ascii="Verdana" w:hAnsi="Verdana"/>
          <w:sz w:val="18"/>
          <w:szCs w:val="18"/>
        </w:rPr>
        <w:t xml:space="preserve">in </w:t>
      </w:r>
      <w:r w:rsidRPr="000D308F" w:rsidR="007410B5">
        <w:rPr>
          <w:rFonts w:ascii="Verdana" w:hAnsi="Verdana"/>
          <w:sz w:val="18"/>
          <w:szCs w:val="18"/>
        </w:rPr>
        <w:t xml:space="preserve">Kameroen </w:t>
      </w:r>
      <w:r w:rsidRPr="000D308F" w:rsidR="00E26766">
        <w:rPr>
          <w:rFonts w:ascii="Verdana" w:hAnsi="Verdana"/>
          <w:sz w:val="18"/>
          <w:szCs w:val="18"/>
        </w:rPr>
        <w:t xml:space="preserve">ter bevordering van de </w:t>
      </w:r>
      <w:r w:rsidRPr="000D308F" w:rsidR="00C17C70">
        <w:rPr>
          <w:rFonts w:ascii="Verdana" w:hAnsi="Verdana"/>
          <w:sz w:val="18"/>
          <w:szCs w:val="18"/>
        </w:rPr>
        <w:t xml:space="preserve">onderlinge </w:t>
      </w:r>
      <w:r w:rsidRPr="000D308F" w:rsidR="00E26766">
        <w:rPr>
          <w:rFonts w:ascii="Verdana" w:hAnsi="Verdana"/>
          <w:sz w:val="18"/>
          <w:szCs w:val="18"/>
        </w:rPr>
        <w:t>handel en samenwerking</w:t>
      </w:r>
      <w:r w:rsidRPr="000D308F" w:rsidR="00C17C70">
        <w:rPr>
          <w:rFonts w:ascii="Verdana" w:hAnsi="Verdana"/>
          <w:sz w:val="18"/>
          <w:szCs w:val="18"/>
        </w:rPr>
        <w:t xml:space="preserve">. </w:t>
      </w:r>
      <w:r w:rsidRPr="000D308F" w:rsidR="005B5795">
        <w:rPr>
          <w:rFonts w:ascii="Verdana" w:hAnsi="Verdana"/>
          <w:sz w:val="18"/>
          <w:szCs w:val="18"/>
        </w:rPr>
        <w:t>De</w:t>
      </w:r>
      <w:r w:rsidRPr="000D308F">
        <w:rPr>
          <w:rFonts w:ascii="Verdana" w:hAnsi="Verdana"/>
          <w:sz w:val="18"/>
          <w:szCs w:val="18"/>
        </w:rPr>
        <w:t xml:space="preserve"> </w:t>
      </w:r>
      <w:r w:rsidRPr="000D308F" w:rsidR="00E26766">
        <w:rPr>
          <w:rFonts w:ascii="Verdana" w:hAnsi="Verdana"/>
          <w:sz w:val="18"/>
          <w:szCs w:val="18"/>
        </w:rPr>
        <w:t>negen</w:t>
      </w:r>
      <w:r w:rsidRPr="000D308F">
        <w:rPr>
          <w:rFonts w:ascii="Verdana" w:hAnsi="Verdana"/>
          <w:sz w:val="18"/>
          <w:szCs w:val="18"/>
        </w:rPr>
        <w:t xml:space="preserve"> lidstaten van de </w:t>
      </w:r>
      <w:r w:rsidRPr="000D308F" w:rsidR="004F1D14">
        <w:rPr>
          <w:rFonts w:ascii="Verdana" w:hAnsi="Verdana"/>
          <w:sz w:val="18"/>
          <w:szCs w:val="18"/>
        </w:rPr>
        <w:t>EEG</w:t>
      </w:r>
      <w:r w:rsidRPr="000D308F" w:rsidR="00A27CB3">
        <w:rPr>
          <w:rFonts w:ascii="Verdana" w:hAnsi="Verdana"/>
          <w:sz w:val="18"/>
          <w:szCs w:val="18"/>
        </w:rPr>
        <w:t xml:space="preserve">, </w:t>
      </w:r>
      <w:r w:rsidRPr="000D308F">
        <w:rPr>
          <w:rFonts w:ascii="Verdana" w:hAnsi="Verdana"/>
          <w:sz w:val="18"/>
          <w:szCs w:val="18"/>
        </w:rPr>
        <w:t>enerzijds</w:t>
      </w:r>
      <w:r w:rsidRPr="000D308F" w:rsidR="00A27CB3">
        <w:rPr>
          <w:rFonts w:ascii="Verdana" w:hAnsi="Verdana"/>
          <w:sz w:val="18"/>
          <w:szCs w:val="18"/>
        </w:rPr>
        <w:t>,</w:t>
      </w:r>
      <w:r w:rsidRPr="000D308F">
        <w:rPr>
          <w:rFonts w:ascii="Verdana" w:hAnsi="Verdana"/>
          <w:sz w:val="18"/>
          <w:szCs w:val="18"/>
        </w:rPr>
        <w:t xml:space="preserve"> en de toenmalige </w:t>
      </w:r>
      <w:r w:rsidRPr="000D308F" w:rsidR="00C17C70">
        <w:rPr>
          <w:rFonts w:ascii="Verdana" w:hAnsi="Verdana"/>
          <w:sz w:val="18"/>
          <w:szCs w:val="18"/>
        </w:rPr>
        <w:t>46</w:t>
      </w:r>
      <w:r w:rsidRPr="000D308F">
        <w:rPr>
          <w:rFonts w:ascii="Verdana" w:hAnsi="Verdana"/>
          <w:sz w:val="18"/>
          <w:szCs w:val="18"/>
        </w:rPr>
        <w:t xml:space="preserve"> ACS-landen</w:t>
      </w:r>
      <w:r w:rsidRPr="000D308F" w:rsidR="00A27CB3">
        <w:rPr>
          <w:rFonts w:ascii="Verdana" w:hAnsi="Verdana"/>
          <w:sz w:val="18"/>
          <w:szCs w:val="18"/>
        </w:rPr>
        <w:t>,</w:t>
      </w:r>
      <w:r w:rsidRPr="000D308F">
        <w:rPr>
          <w:rFonts w:ascii="Verdana" w:hAnsi="Verdana"/>
          <w:sz w:val="18"/>
          <w:szCs w:val="18"/>
        </w:rPr>
        <w:t xml:space="preserve"> anderzijds</w:t>
      </w:r>
      <w:r w:rsidRPr="000D308F" w:rsidR="00A27CB3">
        <w:rPr>
          <w:rFonts w:ascii="Verdana" w:hAnsi="Verdana"/>
          <w:sz w:val="18"/>
          <w:szCs w:val="18"/>
        </w:rPr>
        <w:t>,</w:t>
      </w:r>
      <w:r w:rsidRPr="000D308F" w:rsidR="005B5795">
        <w:rPr>
          <w:rFonts w:ascii="Verdana" w:hAnsi="Verdana"/>
          <w:sz w:val="18"/>
          <w:szCs w:val="18"/>
        </w:rPr>
        <w:t xml:space="preserve"> sloten</w:t>
      </w:r>
      <w:r w:rsidRPr="000D308F">
        <w:rPr>
          <w:rFonts w:ascii="Verdana" w:hAnsi="Verdana"/>
          <w:sz w:val="18"/>
          <w:szCs w:val="18"/>
        </w:rPr>
        <w:t xml:space="preserve"> in 1975 de Conventie van Lomé af</w:t>
      </w:r>
      <w:r w:rsidRPr="000D308F" w:rsidR="00054730">
        <w:rPr>
          <w:rFonts w:ascii="Verdana" w:hAnsi="Verdana"/>
          <w:sz w:val="18"/>
          <w:szCs w:val="18"/>
        </w:rPr>
        <w:t xml:space="preserve"> in de Republiek Togo. In dit verdrag besloten </w:t>
      </w:r>
      <w:r w:rsidRPr="000D308F" w:rsidR="007410B5">
        <w:rPr>
          <w:rFonts w:ascii="Verdana" w:hAnsi="Verdana"/>
          <w:sz w:val="18"/>
          <w:szCs w:val="18"/>
        </w:rPr>
        <w:t xml:space="preserve">de </w:t>
      </w:r>
      <w:r w:rsidRPr="000D308F" w:rsidR="00054730">
        <w:rPr>
          <w:rFonts w:ascii="Verdana" w:hAnsi="Verdana"/>
          <w:sz w:val="18"/>
          <w:szCs w:val="18"/>
        </w:rPr>
        <w:t>partijen tot een</w:t>
      </w:r>
      <w:r w:rsidRPr="000D308F">
        <w:rPr>
          <w:rFonts w:ascii="Verdana" w:hAnsi="Verdana"/>
          <w:sz w:val="18"/>
          <w:szCs w:val="18"/>
        </w:rPr>
        <w:t xml:space="preserve"> handelsregeling, een regeling ter consolidatie van de exportopbrengsten </w:t>
      </w:r>
      <w:r w:rsidRPr="000D308F" w:rsidR="00602FD3">
        <w:rPr>
          <w:rFonts w:ascii="Verdana" w:hAnsi="Verdana"/>
          <w:sz w:val="18"/>
          <w:szCs w:val="18"/>
        </w:rPr>
        <w:t xml:space="preserve">van grondstoffen </w:t>
      </w:r>
      <w:r w:rsidRPr="000D308F">
        <w:rPr>
          <w:rFonts w:ascii="Verdana" w:hAnsi="Verdana"/>
          <w:sz w:val="18"/>
          <w:szCs w:val="18"/>
        </w:rPr>
        <w:t>uit de ACS-landen</w:t>
      </w:r>
      <w:r w:rsidRPr="000D308F" w:rsidR="00054730">
        <w:rPr>
          <w:rFonts w:ascii="Verdana" w:hAnsi="Verdana"/>
          <w:sz w:val="18"/>
          <w:szCs w:val="18"/>
        </w:rPr>
        <w:t>,</w:t>
      </w:r>
      <w:r w:rsidRPr="000D308F">
        <w:rPr>
          <w:rFonts w:ascii="Verdana" w:hAnsi="Verdana"/>
          <w:sz w:val="18"/>
          <w:szCs w:val="18"/>
        </w:rPr>
        <w:t xml:space="preserve"> en een regeling inzake </w:t>
      </w:r>
      <w:r w:rsidRPr="000D308F" w:rsidR="00602FD3">
        <w:rPr>
          <w:rFonts w:ascii="Verdana" w:hAnsi="Verdana"/>
          <w:sz w:val="18"/>
          <w:szCs w:val="18"/>
        </w:rPr>
        <w:t>financiële</w:t>
      </w:r>
      <w:r w:rsidRPr="000D308F">
        <w:rPr>
          <w:rFonts w:ascii="Verdana" w:hAnsi="Verdana"/>
          <w:sz w:val="18"/>
          <w:szCs w:val="18"/>
        </w:rPr>
        <w:t xml:space="preserve"> en technische samenwerking. </w:t>
      </w:r>
    </w:p>
    <w:p w:rsidRPr="000D308F" w:rsidR="006A5D08" w:rsidP="00EC4F1D" w:rsidRDefault="00602FD3" w14:paraId="637CC232" w14:textId="0161A8B6">
      <w:pPr>
        <w:rPr>
          <w:rFonts w:ascii="Verdana" w:hAnsi="Verdana"/>
          <w:sz w:val="18"/>
          <w:szCs w:val="18"/>
        </w:rPr>
      </w:pPr>
      <w:r w:rsidRPr="000D308F">
        <w:rPr>
          <w:rFonts w:ascii="Verdana" w:hAnsi="Verdana"/>
          <w:sz w:val="18"/>
          <w:szCs w:val="18"/>
        </w:rPr>
        <w:t xml:space="preserve">De speciale relatie tussen de EU en de </w:t>
      </w:r>
      <w:r w:rsidRPr="000D308F" w:rsidR="005B5795">
        <w:rPr>
          <w:rFonts w:ascii="Verdana" w:hAnsi="Verdana"/>
          <w:sz w:val="18"/>
          <w:szCs w:val="18"/>
        </w:rPr>
        <w:t>ACS-</w:t>
      </w:r>
      <w:r w:rsidRPr="000D308F">
        <w:rPr>
          <w:rFonts w:ascii="Verdana" w:hAnsi="Verdana"/>
          <w:sz w:val="18"/>
          <w:szCs w:val="18"/>
        </w:rPr>
        <w:t xml:space="preserve">landen werd </w:t>
      </w:r>
      <w:r w:rsidRPr="000D308F" w:rsidR="002F35A1">
        <w:rPr>
          <w:rFonts w:ascii="Verdana" w:hAnsi="Verdana"/>
          <w:sz w:val="18"/>
          <w:szCs w:val="18"/>
        </w:rPr>
        <w:t>verstevigd</w:t>
      </w:r>
      <w:r w:rsidRPr="000D308F">
        <w:rPr>
          <w:rFonts w:ascii="Verdana" w:hAnsi="Verdana"/>
          <w:sz w:val="18"/>
          <w:szCs w:val="18"/>
        </w:rPr>
        <w:t xml:space="preserve"> na </w:t>
      </w:r>
      <w:r w:rsidRPr="000D308F" w:rsidR="002F35A1">
        <w:rPr>
          <w:rFonts w:ascii="Verdana" w:hAnsi="Verdana"/>
          <w:sz w:val="18"/>
          <w:szCs w:val="18"/>
        </w:rPr>
        <w:t xml:space="preserve">de oprichting </w:t>
      </w:r>
      <w:r w:rsidRPr="000D308F">
        <w:rPr>
          <w:rFonts w:ascii="Verdana" w:hAnsi="Verdana"/>
          <w:sz w:val="18"/>
          <w:szCs w:val="18"/>
        </w:rPr>
        <w:t>van de E</w:t>
      </w:r>
      <w:r w:rsidRPr="000D308F" w:rsidR="00045AD6">
        <w:rPr>
          <w:rFonts w:ascii="Verdana" w:hAnsi="Verdana"/>
          <w:sz w:val="18"/>
          <w:szCs w:val="18"/>
        </w:rPr>
        <w:t>U</w:t>
      </w:r>
      <w:r w:rsidRPr="000D308F">
        <w:rPr>
          <w:rFonts w:ascii="Verdana" w:hAnsi="Verdana"/>
          <w:sz w:val="18"/>
          <w:szCs w:val="18"/>
        </w:rPr>
        <w:t xml:space="preserve"> in 1993 en richt</w:t>
      </w:r>
      <w:r w:rsidRPr="000D308F" w:rsidR="00471E1B">
        <w:rPr>
          <w:rFonts w:ascii="Verdana" w:hAnsi="Verdana"/>
          <w:sz w:val="18"/>
          <w:szCs w:val="18"/>
        </w:rPr>
        <w:t>te</w:t>
      </w:r>
      <w:r w:rsidRPr="000D308F">
        <w:rPr>
          <w:rFonts w:ascii="Verdana" w:hAnsi="Verdana"/>
          <w:sz w:val="18"/>
          <w:szCs w:val="18"/>
        </w:rPr>
        <w:t xml:space="preserve"> zich met name op </w:t>
      </w:r>
      <w:r w:rsidRPr="000D308F" w:rsidR="008759F7">
        <w:rPr>
          <w:rFonts w:ascii="Verdana" w:hAnsi="Verdana"/>
          <w:sz w:val="18"/>
          <w:szCs w:val="18"/>
        </w:rPr>
        <w:t xml:space="preserve">economische samenwerking, ontwikkelingssamenwerking en het bevorderen van mensenrechten en democratie. </w:t>
      </w:r>
      <w:r w:rsidRPr="000D308F" w:rsidR="005B5795">
        <w:rPr>
          <w:rFonts w:ascii="Verdana" w:hAnsi="Verdana"/>
          <w:sz w:val="18"/>
          <w:szCs w:val="18"/>
        </w:rPr>
        <w:t xml:space="preserve">De relatie werd </w:t>
      </w:r>
      <w:r w:rsidRPr="000D308F" w:rsidR="00CA51A5">
        <w:rPr>
          <w:rFonts w:ascii="Verdana" w:hAnsi="Verdana"/>
          <w:sz w:val="18"/>
          <w:szCs w:val="18"/>
        </w:rPr>
        <w:t xml:space="preserve">verder </w:t>
      </w:r>
      <w:r w:rsidRPr="000D308F" w:rsidR="005B5795">
        <w:rPr>
          <w:rFonts w:ascii="Verdana" w:hAnsi="Verdana"/>
          <w:sz w:val="18"/>
          <w:szCs w:val="18"/>
        </w:rPr>
        <w:t xml:space="preserve">geformaliseerd </w:t>
      </w:r>
      <w:r w:rsidRPr="000D308F" w:rsidR="00C73FA8">
        <w:rPr>
          <w:rFonts w:ascii="Verdana" w:hAnsi="Verdana"/>
          <w:sz w:val="18"/>
          <w:szCs w:val="18"/>
        </w:rPr>
        <w:t xml:space="preserve">toen de partijen </w:t>
      </w:r>
      <w:r w:rsidRPr="000D308F" w:rsidR="00D97139">
        <w:rPr>
          <w:rFonts w:ascii="Verdana" w:hAnsi="Verdana"/>
          <w:sz w:val="18"/>
          <w:szCs w:val="18"/>
        </w:rPr>
        <w:t>de op 23 juni 2000 te Cotonou tot stand gekomen Partnerschapsovereenkomst tussen de leden van de groep van Staten in Afrika, het Caribisch Gebied en de Stille Oceaan, enerzijds, en de Europese Gemeenschap en haar Lidstaten, anderzijds (</w:t>
      </w:r>
      <w:proofErr w:type="spellStart"/>
      <w:r w:rsidRPr="000D308F" w:rsidR="00D97139">
        <w:rPr>
          <w:rFonts w:ascii="Verdana" w:hAnsi="Verdana"/>
          <w:i/>
          <w:iCs/>
          <w:sz w:val="18"/>
          <w:szCs w:val="18"/>
        </w:rPr>
        <w:t>Trb</w:t>
      </w:r>
      <w:proofErr w:type="spellEnd"/>
      <w:r w:rsidRPr="000D308F" w:rsidR="00D97139">
        <w:rPr>
          <w:rFonts w:ascii="Verdana" w:hAnsi="Verdana"/>
          <w:i/>
          <w:iCs/>
          <w:sz w:val="18"/>
          <w:szCs w:val="18"/>
        </w:rPr>
        <w:t>.</w:t>
      </w:r>
      <w:r w:rsidRPr="000D308F" w:rsidR="00D97139">
        <w:rPr>
          <w:rFonts w:ascii="Verdana" w:hAnsi="Verdana"/>
          <w:sz w:val="18"/>
          <w:szCs w:val="18"/>
        </w:rPr>
        <w:t xml:space="preserve"> 2001, 57), ook wel bekend als </w:t>
      </w:r>
      <w:r w:rsidRPr="000D308F" w:rsidR="000113B8">
        <w:rPr>
          <w:rFonts w:ascii="Verdana" w:hAnsi="Verdana"/>
          <w:sz w:val="18"/>
          <w:szCs w:val="18"/>
        </w:rPr>
        <w:t>de</w:t>
      </w:r>
      <w:r w:rsidRPr="000D308F" w:rsidR="00BF636C">
        <w:rPr>
          <w:rFonts w:ascii="Verdana" w:hAnsi="Verdana"/>
          <w:sz w:val="18"/>
          <w:szCs w:val="18"/>
        </w:rPr>
        <w:t xml:space="preserve"> Overeenkomst van Cotonou</w:t>
      </w:r>
      <w:r w:rsidRPr="000D308F" w:rsidR="00D97139">
        <w:rPr>
          <w:rFonts w:ascii="Verdana" w:hAnsi="Verdana"/>
          <w:sz w:val="18"/>
          <w:szCs w:val="18"/>
        </w:rPr>
        <w:t xml:space="preserve">, </w:t>
      </w:r>
      <w:r w:rsidRPr="000D308F" w:rsidR="00C73FA8">
        <w:rPr>
          <w:rFonts w:ascii="Verdana" w:hAnsi="Verdana"/>
          <w:sz w:val="18"/>
          <w:szCs w:val="18"/>
        </w:rPr>
        <w:t>sloten</w:t>
      </w:r>
      <w:r w:rsidRPr="000D308F" w:rsidR="005B6319">
        <w:rPr>
          <w:rFonts w:ascii="Verdana" w:hAnsi="Verdana"/>
          <w:sz w:val="18"/>
          <w:szCs w:val="18"/>
        </w:rPr>
        <w:t>.</w:t>
      </w:r>
      <w:r w:rsidRPr="000D308F" w:rsidR="00353DC1">
        <w:rPr>
          <w:rStyle w:val="FootnoteReference"/>
          <w:rFonts w:ascii="Verdana" w:hAnsi="Verdana"/>
          <w:sz w:val="18"/>
          <w:szCs w:val="18"/>
        </w:rPr>
        <w:footnoteReference w:id="4"/>
      </w:r>
      <w:r w:rsidRPr="000D308F" w:rsidR="00C73FA8">
        <w:rPr>
          <w:rFonts w:ascii="Verdana" w:hAnsi="Verdana"/>
          <w:sz w:val="18"/>
          <w:szCs w:val="18"/>
        </w:rPr>
        <w:t xml:space="preserve"> Deze partnerschapsovereenkomst verv</w:t>
      </w:r>
      <w:r w:rsidRPr="000D308F" w:rsidR="00471E1B">
        <w:rPr>
          <w:rFonts w:ascii="Verdana" w:hAnsi="Verdana"/>
          <w:sz w:val="18"/>
          <w:szCs w:val="18"/>
        </w:rPr>
        <w:t>ing</w:t>
      </w:r>
      <w:r w:rsidRPr="000D308F" w:rsidR="00C73FA8">
        <w:rPr>
          <w:rFonts w:ascii="Verdana" w:hAnsi="Verdana"/>
          <w:sz w:val="18"/>
          <w:szCs w:val="18"/>
        </w:rPr>
        <w:t xml:space="preserve"> eerdergenoemde Conventies en h</w:t>
      </w:r>
      <w:r w:rsidRPr="000D308F" w:rsidR="00E13D9F">
        <w:rPr>
          <w:rFonts w:ascii="Verdana" w:hAnsi="Verdana"/>
          <w:sz w:val="18"/>
          <w:szCs w:val="18"/>
        </w:rPr>
        <w:t>ad</w:t>
      </w:r>
      <w:r w:rsidRPr="000D308F" w:rsidR="00C73FA8">
        <w:rPr>
          <w:rFonts w:ascii="Verdana" w:hAnsi="Verdana"/>
          <w:sz w:val="18"/>
          <w:szCs w:val="18"/>
        </w:rPr>
        <w:t xml:space="preserve"> tot doel om bij te dragen aan armoede</w:t>
      </w:r>
      <w:r w:rsidRPr="000D308F" w:rsidR="006245FF">
        <w:rPr>
          <w:rFonts w:ascii="Verdana" w:hAnsi="Verdana"/>
          <w:sz w:val="18"/>
          <w:szCs w:val="18"/>
        </w:rPr>
        <w:t>bestrijding,</w:t>
      </w:r>
      <w:r w:rsidRPr="000D308F" w:rsidR="00C73FA8">
        <w:rPr>
          <w:rFonts w:ascii="Verdana" w:hAnsi="Verdana"/>
          <w:sz w:val="18"/>
          <w:szCs w:val="18"/>
        </w:rPr>
        <w:t xml:space="preserve"> de geleidelijke integratie van de ACS-landen in de wereldeconomie</w:t>
      </w:r>
      <w:r w:rsidRPr="000D308F" w:rsidR="006245FF">
        <w:rPr>
          <w:rFonts w:ascii="Verdana" w:hAnsi="Verdana"/>
          <w:sz w:val="18"/>
          <w:szCs w:val="18"/>
        </w:rPr>
        <w:t xml:space="preserve"> en het ondersteunen van duurzame economische, culture</w:t>
      </w:r>
      <w:r w:rsidRPr="000D308F" w:rsidR="00022917">
        <w:rPr>
          <w:rFonts w:ascii="Verdana" w:hAnsi="Verdana"/>
          <w:sz w:val="18"/>
          <w:szCs w:val="18"/>
        </w:rPr>
        <w:t>le</w:t>
      </w:r>
      <w:r w:rsidRPr="000D308F" w:rsidR="006245FF">
        <w:rPr>
          <w:rFonts w:ascii="Verdana" w:hAnsi="Verdana"/>
          <w:sz w:val="18"/>
          <w:szCs w:val="18"/>
        </w:rPr>
        <w:t xml:space="preserve"> en sociale ontwikkeling van deze partnerlanden</w:t>
      </w:r>
      <w:r w:rsidRPr="000D308F" w:rsidR="00C73FA8">
        <w:rPr>
          <w:rFonts w:ascii="Verdana" w:hAnsi="Verdana"/>
          <w:sz w:val="18"/>
          <w:szCs w:val="18"/>
        </w:rPr>
        <w:t xml:space="preserve">. </w:t>
      </w:r>
      <w:r w:rsidRPr="000D308F" w:rsidR="000113B8">
        <w:rPr>
          <w:rFonts w:ascii="Verdana" w:hAnsi="Verdana"/>
          <w:sz w:val="18"/>
          <w:szCs w:val="18"/>
        </w:rPr>
        <w:t>De Cotonou-overeenkomst</w:t>
      </w:r>
      <w:r w:rsidRPr="000D308F" w:rsidR="00554C4F">
        <w:rPr>
          <w:rFonts w:ascii="Verdana" w:hAnsi="Verdana"/>
          <w:sz w:val="18"/>
          <w:szCs w:val="18"/>
        </w:rPr>
        <w:t xml:space="preserve"> zou oorspronkelijk op 28 februari 2020 aflopen</w:t>
      </w:r>
      <w:r w:rsidRPr="000D308F" w:rsidR="00CA51A5">
        <w:rPr>
          <w:rFonts w:ascii="Verdana" w:hAnsi="Verdana"/>
          <w:sz w:val="18"/>
          <w:szCs w:val="18"/>
        </w:rPr>
        <w:t xml:space="preserve"> maar werd </w:t>
      </w:r>
      <w:r w:rsidRPr="000D308F" w:rsidR="003A0826">
        <w:rPr>
          <w:rFonts w:ascii="Verdana" w:hAnsi="Verdana"/>
          <w:sz w:val="18"/>
          <w:szCs w:val="18"/>
        </w:rPr>
        <w:t>zes</w:t>
      </w:r>
      <w:r w:rsidRPr="000D308F" w:rsidR="00CA51A5">
        <w:rPr>
          <w:rFonts w:ascii="Verdana" w:hAnsi="Verdana"/>
          <w:sz w:val="18"/>
          <w:szCs w:val="18"/>
        </w:rPr>
        <w:t xml:space="preserve"> keer verlengd, laatstelijk tot eind </w:t>
      </w:r>
      <w:r w:rsidRPr="000D308F" w:rsidR="003A0826">
        <w:rPr>
          <w:rFonts w:ascii="Verdana" w:hAnsi="Verdana"/>
          <w:sz w:val="18"/>
          <w:szCs w:val="18"/>
        </w:rPr>
        <w:t>december</w:t>
      </w:r>
      <w:r w:rsidRPr="000D308F" w:rsidR="00CA51A5">
        <w:rPr>
          <w:rFonts w:ascii="Verdana" w:hAnsi="Verdana"/>
          <w:sz w:val="18"/>
          <w:szCs w:val="18"/>
        </w:rPr>
        <w:t xml:space="preserve"> 2023</w:t>
      </w:r>
      <w:r w:rsidRPr="000D308F" w:rsidR="00554C4F">
        <w:rPr>
          <w:rFonts w:ascii="Verdana" w:hAnsi="Verdana"/>
          <w:sz w:val="18"/>
          <w:szCs w:val="18"/>
        </w:rPr>
        <w:t xml:space="preserve">. </w:t>
      </w:r>
    </w:p>
    <w:p w:rsidRPr="000D308F" w:rsidR="00EC4F1D" w:rsidP="00EC4F1D" w:rsidRDefault="00EC4F1D" w14:paraId="31146D38" w14:textId="0A2B8ED8">
      <w:pPr>
        <w:rPr>
          <w:rFonts w:ascii="Verdana" w:hAnsi="Verdana"/>
          <w:b/>
          <w:bCs/>
          <w:sz w:val="18"/>
          <w:szCs w:val="18"/>
        </w:rPr>
      </w:pPr>
      <w:r w:rsidRPr="000D308F">
        <w:rPr>
          <w:rFonts w:ascii="Verdana" w:hAnsi="Verdana"/>
          <w:b/>
          <w:bCs/>
          <w:sz w:val="18"/>
          <w:szCs w:val="18"/>
        </w:rPr>
        <w:t>1.2 Geschiedenis en totstandkoming van de partnerschapsovereenkomst</w:t>
      </w:r>
    </w:p>
    <w:p w:rsidRPr="000D308F" w:rsidR="00EC4F1D" w:rsidP="00EC4F1D" w:rsidRDefault="007D591A" w14:paraId="4413BC7A" w14:textId="1A91EE44">
      <w:pPr>
        <w:rPr>
          <w:rFonts w:ascii="Verdana" w:hAnsi="Verdana"/>
          <w:sz w:val="18"/>
          <w:szCs w:val="18"/>
        </w:rPr>
      </w:pPr>
      <w:r w:rsidRPr="000D308F">
        <w:rPr>
          <w:rFonts w:ascii="Verdana" w:hAnsi="Verdana"/>
          <w:sz w:val="18"/>
          <w:szCs w:val="18"/>
        </w:rPr>
        <w:t xml:space="preserve">In </w:t>
      </w:r>
      <w:r w:rsidRPr="000D308F" w:rsidR="000113B8">
        <w:rPr>
          <w:rFonts w:ascii="Verdana" w:hAnsi="Verdana"/>
          <w:sz w:val="18"/>
          <w:szCs w:val="18"/>
        </w:rPr>
        <w:t>de Cotonou-overeenkomst</w:t>
      </w:r>
      <w:r w:rsidRPr="000D308F">
        <w:rPr>
          <w:rFonts w:ascii="Verdana" w:hAnsi="Verdana"/>
          <w:sz w:val="18"/>
          <w:szCs w:val="18"/>
        </w:rPr>
        <w:t xml:space="preserve"> </w:t>
      </w:r>
      <w:r w:rsidRPr="000D308F" w:rsidR="00FD22B3">
        <w:rPr>
          <w:rFonts w:ascii="Verdana" w:hAnsi="Verdana"/>
          <w:sz w:val="18"/>
          <w:szCs w:val="18"/>
        </w:rPr>
        <w:t>werd</w:t>
      </w:r>
      <w:r w:rsidRPr="000D308F">
        <w:rPr>
          <w:rFonts w:ascii="Verdana" w:hAnsi="Verdana"/>
          <w:sz w:val="18"/>
          <w:szCs w:val="18"/>
        </w:rPr>
        <w:t xml:space="preserve"> bepaald dat uiterlijk 1 september 2018 onderhandelingen moe</w:t>
      </w:r>
      <w:r w:rsidRPr="000D308F" w:rsidR="00FD22B3">
        <w:rPr>
          <w:rFonts w:ascii="Verdana" w:hAnsi="Verdana"/>
          <w:sz w:val="18"/>
          <w:szCs w:val="18"/>
        </w:rPr>
        <w:t>s</w:t>
      </w:r>
      <w:r w:rsidRPr="000D308F">
        <w:rPr>
          <w:rFonts w:ascii="Verdana" w:hAnsi="Verdana"/>
          <w:sz w:val="18"/>
          <w:szCs w:val="18"/>
        </w:rPr>
        <w:t>ten worden gestart over een vervolg.</w:t>
      </w:r>
      <w:r w:rsidRPr="000D308F">
        <w:t xml:space="preserve"> </w:t>
      </w:r>
      <w:r w:rsidRPr="000D308F" w:rsidR="003573C8">
        <w:rPr>
          <w:rFonts w:ascii="Verdana" w:hAnsi="Verdana"/>
          <w:sz w:val="18"/>
          <w:szCs w:val="18"/>
        </w:rPr>
        <w:t>De Raad en de vertegenwoordigers van de</w:t>
      </w:r>
      <w:r w:rsidRPr="000D308F" w:rsidR="00A27CB3">
        <w:rPr>
          <w:rFonts w:ascii="Verdana" w:hAnsi="Verdana"/>
          <w:sz w:val="18"/>
          <w:szCs w:val="18"/>
        </w:rPr>
        <w:t xml:space="preserve"> EU-</w:t>
      </w:r>
      <w:r w:rsidRPr="000D308F" w:rsidR="003573C8">
        <w:rPr>
          <w:rFonts w:ascii="Verdana" w:hAnsi="Verdana"/>
          <w:sz w:val="18"/>
          <w:szCs w:val="18"/>
        </w:rPr>
        <w:t>lidstaten hebben de Europese Commissie (hierna: Commissie) en de</w:t>
      </w:r>
      <w:r w:rsidRPr="000D308F" w:rsidR="00C41627">
        <w:rPr>
          <w:rFonts w:ascii="Verdana" w:hAnsi="Verdana"/>
          <w:sz w:val="18"/>
          <w:szCs w:val="18"/>
        </w:rPr>
        <w:t xml:space="preserve"> H</w:t>
      </w:r>
      <w:r w:rsidRPr="000D308F" w:rsidR="003573C8">
        <w:rPr>
          <w:rFonts w:ascii="Verdana" w:hAnsi="Verdana"/>
          <w:sz w:val="18"/>
          <w:szCs w:val="18"/>
        </w:rPr>
        <w:t xml:space="preserve">oge </w:t>
      </w:r>
      <w:r w:rsidRPr="000D308F" w:rsidR="00C41627">
        <w:rPr>
          <w:rFonts w:ascii="Verdana" w:hAnsi="Verdana"/>
          <w:sz w:val="18"/>
          <w:szCs w:val="18"/>
        </w:rPr>
        <w:t>V</w:t>
      </w:r>
      <w:r w:rsidRPr="000D308F" w:rsidR="003573C8">
        <w:rPr>
          <w:rFonts w:ascii="Verdana" w:hAnsi="Verdana"/>
          <w:sz w:val="18"/>
          <w:szCs w:val="18"/>
        </w:rPr>
        <w:t>ertegenwoordiger</w:t>
      </w:r>
      <w:r w:rsidRPr="000D308F" w:rsidR="00216B19">
        <w:rPr>
          <w:rFonts w:ascii="Verdana" w:hAnsi="Verdana"/>
          <w:sz w:val="18"/>
          <w:szCs w:val="18"/>
        </w:rPr>
        <w:t xml:space="preserve"> van de Unie</w:t>
      </w:r>
      <w:r w:rsidRPr="000D308F" w:rsidR="003573C8">
        <w:rPr>
          <w:rFonts w:ascii="Verdana" w:hAnsi="Verdana"/>
          <w:sz w:val="18"/>
          <w:szCs w:val="18"/>
        </w:rPr>
        <w:t xml:space="preserve"> voor buitenlandse zaken en veiligheidsbeleid daarom in juni 2018 gemachtigd om de onderhandelingen met de ACS-landen over een nieuwe partnerschapsovereenkomst te openen.</w:t>
      </w:r>
      <w:r w:rsidRPr="000D308F" w:rsidR="003573C8">
        <w:rPr>
          <w:rStyle w:val="FootnoteReference"/>
          <w:rFonts w:ascii="Verdana" w:hAnsi="Verdana"/>
          <w:sz w:val="18"/>
          <w:szCs w:val="18"/>
        </w:rPr>
        <w:footnoteReference w:id="5"/>
      </w:r>
      <w:r w:rsidRPr="000D308F" w:rsidR="003573C8">
        <w:rPr>
          <w:rFonts w:ascii="Verdana" w:hAnsi="Verdana"/>
          <w:sz w:val="18"/>
          <w:szCs w:val="18"/>
        </w:rPr>
        <w:t xml:space="preserve"> De onderhandelingen zijn vervolgens in september 2018 gestart.</w:t>
      </w:r>
      <w:r w:rsidRPr="000D308F">
        <w:rPr>
          <w:rFonts w:ascii="Verdana" w:hAnsi="Verdana"/>
          <w:sz w:val="18"/>
          <w:szCs w:val="18"/>
        </w:rPr>
        <w:t xml:space="preserve"> </w:t>
      </w:r>
      <w:r w:rsidRPr="000D308F" w:rsidR="006D037B">
        <w:rPr>
          <w:rFonts w:ascii="Verdana" w:hAnsi="Verdana"/>
          <w:sz w:val="18"/>
          <w:szCs w:val="18"/>
        </w:rPr>
        <w:t xml:space="preserve">De hoofdonderhandelaars bereikten op 3 december 2020 een politiek akkoord over een nieuwe partnerschapsovereenkomst </w:t>
      </w:r>
      <w:r w:rsidRPr="000D308F" w:rsidR="006D037B">
        <w:rPr>
          <w:rFonts w:ascii="Verdana" w:hAnsi="Verdana"/>
          <w:sz w:val="18"/>
          <w:szCs w:val="18"/>
        </w:rPr>
        <w:lastRenderedPageBreak/>
        <w:t>en op 15 april</w:t>
      </w:r>
      <w:r w:rsidRPr="000D308F" w:rsidR="004F6053">
        <w:rPr>
          <w:rFonts w:ascii="Verdana" w:hAnsi="Verdana"/>
          <w:sz w:val="18"/>
          <w:szCs w:val="18"/>
        </w:rPr>
        <w:t xml:space="preserve"> 2021</w:t>
      </w:r>
      <w:r w:rsidRPr="000D308F" w:rsidR="006D037B">
        <w:rPr>
          <w:rFonts w:ascii="Verdana" w:hAnsi="Verdana"/>
          <w:sz w:val="18"/>
          <w:szCs w:val="18"/>
        </w:rPr>
        <w:t xml:space="preserve"> werd de tekst door de onderhandelaars geparafeerd.</w:t>
      </w:r>
      <w:r w:rsidRPr="000D308F" w:rsidR="00486F5D">
        <w:rPr>
          <w:rStyle w:val="FootnoteReference"/>
          <w:rFonts w:ascii="Verdana" w:hAnsi="Verdana"/>
          <w:sz w:val="18"/>
          <w:szCs w:val="18"/>
        </w:rPr>
        <w:footnoteReference w:id="6"/>
      </w:r>
      <w:r w:rsidRPr="000D308F" w:rsidR="006D037B">
        <w:rPr>
          <w:rFonts w:ascii="Verdana" w:hAnsi="Verdana"/>
          <w:sz w:val="18"/>
          <w:szCs w:val="18"/>
        </w:rPr>
        <w:t xml:space="preserve"> </w:t>
      </w:r>
      <w:r w:rsidRPr="000D308F" w:rsidR="00D1691C">
        <w:rPr>
          <w:rFonts w:ascii="Verdana" w:hAnsi="Verdana"/>
          <w:sz w:val="18"/>
          <w:szCs w:val="18"/>
        </w:rPr>
        <w:t xml:space="preserve">Het ontbrak echter tot 18 juli 2023 aan de vereiste unanimiteit in de Raad </w:t>
      </w:r>
      <w:r w:rsidRPr="000D308F" w:rsidR="00191EF6">
        <w:rPr>
          <w:rFonts w:ascii="Verdana" w:hAnsi="Verdana"/>
          <w:sz w:val="18"/>
          <w:szCs w:val="18"/>
        </w:rPr>
        <w:t xml:space="preserve">voor vaststellen van </w:t>
      </w:r>
      <w:r w:rsidRPr="000D308F" w:rsidR="00D1691C">
        <w:rPr>
          <w:rFonts w:ascii="Verdana" w:hAnsi="Verdana"/>
          <w:sz w:val="18"/>
          <w:szCs w:val="18"/>
        </w:rPr>
        <w:t>het Raadsbesluit t</w:t>
      </w:r>
      <w:r w:rsidRPr="000D308F" w:rsidR="00191EF6">
        <w:rPr>
          <w:rFonts w:ascii="Verdana" w:hAnsi="Verdana"/>
          <w:sz w:val="18"/>
          <w:szCs w:val="18"/>
        </w:rPr>
        <w:t>ot</w:t>
      </w:r>
      <w:r w:rsidRPr="000D308F" w:rsidR="00D1691C">
        <w:rPr>
          <w:rFonts w:ascii="Verdana" w:hAnsi="Verdana"/>
          <w:sz w:val="18"/>
          <w:szCs w:val="18"/>
        </w:rPr>
        <w:t xml:space="preserve"> ondertekening en (gedeeltelijke) voorlopige toepassing van het verdrag. </w:t>
      </w:r>
      <w:r w:rsidRPr="000D308F" w:rsidR="00191EF6">
        <w:rPr>
          <w:rFonts w:ascii="Verdana" w:hAnsi="Verdana"/>
          <w:sz w:val="18"/>
          <w:szCs w:val="18"/>
        </w:rPr>
        <w:t>Nadat en</w:t>
      </w:r>
      <w:r w:rsidRPr="000D308F" w:rsidR="00D1691C">
        <w:rPr>
          <w:rFonts w:ascii="Verdana" w:hAnsi="Verdana"/>
          <w:sz w:val="18"/>
          <w:szCs w:val="18"/>
        </w:rPr>
        <w:t xml:space="preserve"> marge van de EU-CELAC top van 1</w:t>
      </w:r>
      <w:r w:rsidRPr="000D308F" w:rsidR="00FD22B3">
        <w:rPr>
          <w:rFonts w:ascii="Verdana" w:hAnsi="Verdana"/>
          <w:sz w:val="18"/>
          <w:szCs w:val="18"/>
        </w:rPr>
        <w:t>7</w:t>
      </w:r>
      <w:r w:rsidRPr="000D308F" w:rsidR="00D1691C">
        <w:rPr>
          <w:rFonts w:ascii="Verdana" w:hAnsi="Verdana"/>
          <w:sz w:val="18"/>
          <w:szCs w:val="18"/>
        </w:rPr>
        <w:t xml:space="preserve"> en 18 juli 2023 een akkoord </w:t>
      </w:r>
      <w:r w:rsidRPr="000D308F" w:rsidR="00191EF6">
        <w:rPr>
          <w:rFonts w:ascii="Verdana" w:hAnsi="Verdana"/>
          <w:sz w:val="18"/>
          <w:szCs w:val="18"/>
        </w:rPr>
        <w:t xml:space="preserve">werd </w:t>
      </w:r>
      <w:r w:rsidRPr="000D308F" w:rsidR="00D1691C">
        <w:rPr>
          <w:rFonts w:ascii="Verdana" w:hAnsi="Verdana"/>
          <w:sz w:val="18"/>
          <w:szCs w:val="18"/>
        </w:rPr>
        <w:t xml:space="preserve">bereikt met de laatste EU-lidstaat die nog niet </w:t>
      </w:r>
      <w:r w:rsidRPr="000D308F" w:rsidR="00191EF6">
        <w:rPr>
          <w:rFonts w:ascii="Verdana" w:hAnsi="Verdana"/>
          <w:sz w:val="18"/>
          <w:szCs w:val="18"/>
        </w:rPr>
        <w:t xml:space="preserve">kon instemmen, heeft de </w:t>
      </w:r>
      <w:r w:rsidRPr="000D308F" w:rsidR="00D1691C">
        <w:rPr>
          <w:rFonts w:ascii="Verdana" w:hAnsi="Verdana"/>
          <w:sz w:val="18"/>
          <w:szCs w:val="18"/>
        </w:rPr>
        <w:t xml:space="preserve">Raad </w:t>
      </w:r>
      <w:r w:rsidRPr="000D308F" w:rsidR="00191EF6">
        <w:rPr>
          <w:rFonts w:ascii="Verdana" w:hAnsi="Verdana"/>
          <w:sz w:val="18"/>
          <w:szCs w:val="18"/>
        </w:rPr>
        <w:t>het besluit uiteindelijk</w:t>
      </w:r>
      <w:r w:rsidRPr="000D308F" w:rsidR="009B0428">
        <w:rPr>
          <w:rFonts w:ascii="Verdana" w:hAnsi="Verdana"/>
          <w:sz w:val="18"/>
          <w:szCs w:val="18"/>
        </w:rPr>
        <w:t xml:space="preserve"> </w:t>
      </w:r>
      <w:r w:rsidRPr="000D308F" w:rsidR="00D1691C">
        <w:rPr>
          <w:rFonts w:ascii="Verdana" w:hAnsi="Verdana"/>
          <w:sz w:val="18"/>
          <w:szCs w:val="18"/>
        </w:rPr>
        <w:t xml:space="preserve">tijdens de Raad Buitenlandse Zaken van 20 juli 2023 formeel vastgesteld. De </w:t>
      </w:r>
      <w:r w:rsidRPr="000D308F" w:rsidR="00120747">
        <w:rPr>
          <w:rFonts w:ascii="Verdana" w:hAnsi="Verdana"/>
          <w:sz w:val="18"/>
          <w:szCs w:val="18"/>
        </w:rPr>
        <w:t>EU-lidstaten</w:t>
      </w:r>
      <w:r w:rsidRPr="000D308F" w:rsidR="00D1691C">
        <w:rPr>
          <w:rFonts w:ascii="Verdana" w:hAnsi="Verdana"/>
          <w:sz w:val="18"/>
          <w:szCs w:val="18"/>
        </w:rPr>
        <w:t xml:space="preserve"> hebben de </w:t>
      </w:r>
      <w:r w:rsidRPr="000D308F" w:rsidR="005105A2">
        <w:rPr>
          <w:rFonts w:ascii="Verdana" w:hAnsi="Verdana"/>
          <w:sz w:val="18"/>
          <w:szCs w:val="18"/>
        </w:rPr>
        <w:t>overeenkomst</w:t>
      </w:r>
      <w:r w:rsidRPr="000D308F" w:rsidR="00D1691C">
        <w:rPr>
          <w:rFonts w:ascii="Verdana" w:hAnsi="Verdana"/>
          <w:sz w:val="18"/>
          <w:szCs w:val="18"/>
        </w:rPr>
        <w:t xml:space="preserve"> op 1</w:t>
      </w:r>
      <w:r w:rsidRPr="000D308F" w:rsidR="00F72DAF">
        <w:rPr>
          <w:rFonts w:ascii="Verdana" w:hAnsi="Verdana"/>
          <w:sz w:val="18"/>
          <w:szCs w:val="18"/>
        </w:rPr>
        <w:t xml:space="preserve">5 en </w:t>
      </w:r>
      <w:r w:rsidRPr="000D308F" w:rsidR="00D1691C">
        <w:rPr>
          <w:rFonts w:ascii="Verdana" w:hAnsi="Verdana"/>
          <w:sz w:val="18"/>
          <w:szCs w:val="18"/>
        </w:rPr>
        <w:t>20 september 2023</w:t>
      </w:r>
      <w:r w:rsidRPr="000D308F" w:rsidR="00864B13">
        <w:rPr>
          <w:rFonts w:ascii="Verdana" w:hAnsi="Verdana"/>
          <w:sz w:val="18"/>
          <w:szCs w:val="18"/>
        </w:rPr>
        <w:t xml:space="preserve"> respectievelijk </w:t>
      </w:r>
      <w:r w:rsidRPr="000D308F" w:rsidR="00FD22B3">
        <w:rPr>
          <w:rFonts w:ascii="Verdana" w:hAnsi="Verdana"/>
          <w:sz w:val="18"/>
          <w:szCs w:val="18"/>
        </w:rPr>
        <w:t xml:space="preserve">in Brussel </w:t>
      </w:r>
      <w:r w:rsidRPr="000D308F" w:rsidR="00D1691C">
        <w:rPr>
          <w:rFonts w:ascii="Verdana" w:hAnsi="Verdana"/>
          <w:sz w:val="18"/>
          <w:szCs w:val="18"/>
        </w:rPr>
        <w:t>ondertekend</w:t>
      </w:r>
      <w:r w:rsidRPr="000D308F" w:rsidR="00864B13">
        <w:rPr>
          <w:rFonts w:ascii="Verdana" w:hAnsi="Verdana"/>
          <w:sz w:val="18"/>
          <w:szCs w:val="18"/>
        </w:rPr>
        <w:t>.</w:t>
      </w:r>
      <w:r w:rsidRPr="000D308F" w:rsidR="005457DD">
        <w:rPr>
          <w:rStyle w:val="FootnoteReference"/>
          <w:rFonts w:ascii="Verdana" w:hAnsi="Verdana"/>
          <w:sz w:val="18"/>
          <w:szCs w:val="18"/>
        </w:rPr>
        <w:footnoteReference w:id="7"/>
      </w:r>
      <w:r w:rsidRPr="000D308F" w:rsidR="002B283D">
        <w:rPr>
          <w:rFonts w:ascii="Verdana" w:hAnsi="Verdana"/>
          <w:sz w:val="18"/>
          <w:szCs w:val="18"/>
        </w:rPr>
        <w:t xml:space="preserve"> </w:t>
      </w:r>
      <w:r w:rsidRPr="000D308F" w:rsidR="009B0428">
        <w:rPr>
          <w:rFonts w:ascii="Verdana" w:hAnsi="Verdana"/>
          <w:sz w:val="18"/>
          <w:szCs w:val="18"/>
        </w:rPr>
        <w:t xml:space="preserve">Nederland heeft de </w:t>
      </w:r>
      <w:r w:rsidRPr="000D308F" w:rsidR="005105A2">
        <w:rPr>
          <w:rFonts w:ascii="Verdana" w:hAnsi="Verdana"/>
          <w:sz w:val="18"/>
          <w:szCs w:val="18"/>
        </w:rPr>
        <w:t>overeenkomst</w:t>
      </w:r>
      <w:r w:rsidRPr="000D308F" w:rsidR="009B0428">
        <w:rPr>
          <w:rFonts w:ascii="Verdana" w:hAnsi="Verdana"/>
          <w:sz w:val="18"/>
          <w:szCs w:val="18"/>
        </w:rPr>
        <w:t xml:space="preserve"> op 20 september 2023 ondertekend. </w:t>
      </w:r>
      <w:r w:rsidRPr="000D308F" w:rsidR="002B283D">
        <w:rPr>
          <w:rFonts w:ascii="Verdana" w:hAnsi="Verdana"/>
          <w:sz w:val="18"/>
          <w:szCs w:val="18"/>
        </w:rPr>
        <w:t>De vertegenwoordiger(s) van de ACS-</w:t>
      </w:r>
      <w:r w:rsidRPr="000D308F" w:rsidR="00EE4804">
        <w:rPr>
          <w:rFonts w:ascii="Verdana" w:hAnsi="Verdana"/>
          <w:sz w:val="18"/>
          <w:szCs w:val="18"/>
        </w:rPr>
        <w:t>groep</w:t>
      </w:r>
      <w:r w:rsidRPr="000D308F" w:rsidR="002B283D">
        <w:rPr>
          <w:rFonts w:ascii="Verdana" w:hAnsi="Verdana"/>
          <w:sz w:val="18"/>
          <w:szCs w:val="18"/>
        </w:rPr>
        <w:t xml:space="preserve"> en de EU hebben de overeenkomst op </w:t>
      </w:r>
      <w:r w:rsidRPr="000D308F" w:rsidR="001D57AB">
        <w:rPr>
          <w:rFonts w:ascii="Verdana" w:hAnsi="Verdana"/>
          <w:sz w:val="18"/>
          <w:szCs w:val="18"/>
        </w:rPr>
        <w:t>15</w:t>
      </w:r>
      <w:r w:rsidRPr="000D308F" w:rsidR="002B283D">
        <w:rPr>
          <w:rFonts w:ascii="Verdana" w:hAnsi="Verdana"/>
          <w:sz w:val="18"/>
          <w:szCs w:val="18"/>
        </w:rPr>
        <w:t xml:space="preserve"> </w:t>
      </w:r>
      <w:r w:rsidRPr="000D308F" w:rsidR="001D57AB">
        <w:rPr>
          <w:rFonts w:ascii="Verdana" w:hAnsi="Verdana"/>
          <w:sz w:val="18"/>
          <w:szCs w:val="18"/>
        </w:rPr>
        <w:t>november</w:t>
      </w:r>
      <w:r w:rsidRPr="000D308F" w:rsidR="00B40F89">
        <w:rPr>
          <w:rFonts w:ascii="Verdana" w:hAnsi="Verdana"/>
          <w:sz w:val="18"/>
          <w:szCs w:val="18"/>
        </w:rPr>
        <w:t xml:space="preserve"> 2023</w:t>
      </w:r>
      <w:r w:rsidRPr="000D308F" w:rsidR="00133E66">
        <w:rPr>
          <w:rFonts w:ascii="Verdana" w:hAnsi="Verdana"/>
          <w:sz w:val="18"/>
          <w:szCs w:val="18"/>
        </w:rPr>
        <w:t xml:space="preserve"> </w:t>
      </w:r>
      <w:r w:rsidRPr="000D308F" w:rsidR="0060633F">
        <w:rPr>
          <w:rFonts w:ascii="Verdana" w:hAnsi="Verdana"/>
          <w:sz w:val="18"/>
          <w:szCs w:val="18"/>
        </w:rPr>
        <w:t>te</w:t>
      </w:r>
      <w:r w:rsidRPr="000D308F" w:rsidR="002B283D">
        <w:rPr>
          <w:rFonts w:ascii="Verdana" w:hAnsi="Verdana"/>
          <w:sz w:val="18"/>
          <w:szCs w:val="18"/>
        </w:rPr>
        <w:t xml:space="preserve"> </w:t>
      </w:r>
      <w:r w:rsidRPr="000D308F" w:rsidR="00636C7A">
        <w:rPr>
          <w:rFonts w:ascii="Verdana" w:hAnsi="Verdana"/>
          <w:sz w:val="18"/>
          <w:szCs w:val="18"/>
        </w:rPr>
        <w:t xml:space="preserve">Apia, </w:t>
      </w:r>
      <w:r w:rsidRPr="000D308F" w:rsidR="002B283D">
        <w:rPr>
          <w:rFonts w:ascii="Verdana" w:hAnsi="Verdana"/>
          <w:sz w:val="18"/>
          <w:szCs w:val="18"/>
        </w:rPr>
        <w:t>Samoa ondertekend</w:t>
      </w:r>
      <w:r w:rsidRPr="000D308F" w:rsidR="00636C7A">
        <w:rPr>
          <w:rFonts w:ascii="Verdana" w:hAnsi="Verdana"/>
          <w:sz w:val="18"/>
          <w:szCs w:val="18"/>
        </w:rPr>
        <w:t>, waarop de</w:t>
      </w:r>
      <w:r w:rsidRPr="000D308F" w:rsidR="00D97139">
        <w:rPr>
          <w:rFonts w:ascii="Verdana" w:hAnsi="Verdana"/>
          <w:sz w:val="18"/>
          <w:szCs w:val="18"/>
        </w:rPr>
        <w:t xml:space="preserve"> </w:t>
      </w:r>
      <w:r w:rsidRPr="000D308F" w:rsidR="000E34D9">
        <w:rPr>
          <w:rFonts w:ascii="Verdana" w:hAnsi="Verdana"/>
          <w:sz w:val="18"/>
          <w:szCs w:val="18"/>
        </w:rPr>
        <w:t>P</w:t>
      </w:r>
      <w:r w:rsidRPr="000D308F" w:rsidR="0009203C">
        <w:rPr>
          <w:rFonts w:ascii="Verdana" w:hAnsi="Verdana"/>
          <w:sz w:val="18"/>
          <w:szCs w:val="18"/>
        </w:rPr>
        <w:t xml:space="preserve">artnerschapsovereenkomst </w:t>
      </w:r>
      <w:r w:rsidRPr="000D308F" w:rsidR="00636C7A">
        <w:rPr>
          <w:rFonts w:ascii="Verdana" w:hAnsi="Verdana"/>
          <w:sz w:val="18"/>
          <w:szCs w:val="18"/>
        </w:rPr>
        <w:t xml:space="preserve">tussen </w:t>
      </w:r>
      <w:r w:rsidRPr="000D308F" w:rsidR="0009203C">
        <w:rPr>
          <w:rFonts w:ascii="Verdana" w:hAnsi="Verdana"/>
          <w:sz w:val="18"/>
          <w:szCs w:val="18"/>
        </w:rPr>
        <w:t xml:space="preserve">de </w:t>
      </w:r>
      <w:r w:rsidRPr="000D308F" w:rsidR="00636C7A">
        <w:rPr>
          <w:rFonts w:ascii="Verdana" w:hAnsi="Verdana"/>
          <w:sz w:val="18"/>
          <w:szCs w:val="18"/>
        </w:rPr>
        <w:t xml:space="preserve">Europese Unie en haar </w:t>
      </w:r>
      <w:r w:rsidRPr="000D308F" w:rsidR="0009203C">
        <w:rPr>
          <w:rFonts w:ascii="Verdana" w:hAnsi="Verdana"/>
          <w:sz w:val="18"/>
          <w:szCs w:val="18"/>
        </w:rPr>
        <w:t>lidstaten</w:t>
      </w:r>
      <w:r w:rsidRPr="000D308F" w:rsidR="00636C7A">
        <w:rPr>
          <w:rFonts w:ascii="Verdana" w:hAnsi="Verdana"/>
          <w:sz w:val="18"/>
          <w:szCs w:val="18"/>
        </w:rPr>
        <w:t xml:space="preserve">, </w:t>
      </w:r>
      <w:r w:rsidRPr="000D308F" w:rsidR="0009203C">
        <w:rPr>
          <w:rFonts w:ascii="Verdana" w:hAnsi="Verdana"/>
          <w:sz w:val="18"/>
          <w:szCs w:val="18"/>
        </w:rPr>
        <w:t xml:space="preserve">enerzijds, en de leden van de </w:t>
      </w:r>
      <w:r w:rsidRPr="000D308F" w:rsidR="000E34D9">
        <w:rPr>
          <w:rFonts w:ascii="Verdana" w:hAnsi="Verdana"/>
          <w:sz w:val="18"/>
          <w:szCs w:val="18"/>
        </w:rPr>
        <w:t>O</w:t>
      </w:r>
      <w:r w:rsidRPr="000D308F" w:rsidR="0009203C">
        <w:rPr>
          <w:rFonts w:ascii="Verdana" w:hAnsi="Verdana"/>
          <w:sz w:val="18"/>
          <w:szCs w:val="18"/>
        </w:rPr>
        <w:t xml:space="preserve">rganisatie van </w:t>
      </w:r>
      <w:r w:rsidRPr="000D308F" w:rsidR="000E34D9">
        <w:rPr>
          <w:rFonts w:ascii="Verdana" w:hAnsi="Verdana"/>
          <w:sz w:val="18"/>
          <w:szCs w:val="18"/>
        </w:rPr>
        <w:t>S</w:t>
      </w:r>
      <w:r w:rsidRPr="000D308F" w:rsidR="0009203C">
        <w:rPr>
          <w:rFonts w:ascii="Verdana" w:hAnsi="Verdana"/>
          <w:sz w:val="18"/>
          <w:szCs w:val="18"/>
        </w:rPr>
        <w:t xml:space="preserve">taten in Afrika, het Caribisch Gebied en de Stille Oceaan, anderzijds </w:t>
      </w:r>
      <w:r w:rsidRPr="000D308F" w:rsidR="00636C7A">
        <w:rPr>
          <w:rFonts w:ascii="Verdana" w:hAnsi="Verdana"/>
          <w:sz w:val="18"/>
          <w:szCs w:val="18"/>
        </w:rPr>
        <w:t>(</w:t>
      </w:r>
      <w:r w:rsidRPr="000D308F" w:rsidR="00BF636C">
        <w:rPr>
          <w:rFonts w:ascii="Verdana" w:hAnsi="Verdana"/>
          <w:sz w:val="18"/>
          <w:szCs w:val="18"/>
        </w:rPr>
        <w:t>ook bekend als</w:t>
      </w:r>
      <w:r w:rsidRPr="000D308F" w:rsidR="00636C7A">
        <w:rPr>
          <w:rFonts w:ascii="Verdana" w:hAnsi="Verdana"/>
          <w:sz w:val="18"/>
          <w:szCs w:val="18"/>
        </w:rPr>
        <w:t xml:space="preserve">: de </w:t>
      </w:r>
      <w:r w:rsidRPr="000D308F" w:rsidR="00BF636C">
        <w:rPr>
          <w:rFonts w:ascii="Verdana" w:hAnsi="Verdana"/>
          <w:sz w:val="18"/>
          <w:szCs w:val="18"/>
        </w:rPr>
        <w:t>Overeenkomst van Samoa</w:t>
      </w:r>
      <w:r w:rsidRPr="000D308F" w:rsidR="0009203C">
        <w:rPr>
          <w:rStyle w:val="FootnoteReference"/>
          <w:rFonts w:ascii="Verdana" w:hAnsi="Verdana"/>
          <w:sz w:val="18"/>
          <w:szCs w:val="18"/>
        </w:rPr>
        <w:footnoteReference w:id="8"/>
      </w:r>
      <w:r w:rsidRPr="000D308F" w:rsidR="00636C7A">
        <w:rPr>
          <w:rFonts w:ascii="Verdana" w:hAnsi="Verdana"/>
          <w:sz w:val="18"/>
          <w:szCs w:val="18"/>
        </w:rPr>
        <w:t>)</w:t>
      </w:r>
      <w:r w:rsidRPr="000D308F" w:rsidR="0009203C">
        <w:rPr>
          <w:rFonts w:ascii="Verdana" w:hAnsi="Verdana"/>
          <w:sz w:val="18"/>
          <w:szCs w:val="18"/>
        </w:rPr>
        <w:t xml:space="preserve">, </w:t>
      </w:r>
      <w:r w:rsidRPr="000D308F" w:rsidR="00636C7A">
        <w:rPr>
          <w:rFonts w:ascii="Verdana" w:hAnsi="Verdana"/>
          <w:sz w:val="18"/>
          <w:szCs w:val="18"/>
        </w:rPr>
        <w:t>tot stand is gekomen</w:t>
      </w:r>
      <w:r w:rsidRPr="000D308F" w:rsidR="002B283D">
        <w:rPr>
          <w:rFonts w:ascii="Verdana" w:hAnsi="Verdana"/>
          <w:sz w:val="18"/>
          <w:szCs w:val="18"/>
        </w:rPr>
        <w:t>.</w:t>
      </w:r>
    </w:p>
    <w:p w:rsidRPr="000D308F" w:rsidR="00EC4F1D" w:rsidP="00EC4F1D" w:rsidRDefault="00EC4F1D" w14:paraId="533611E6" w14:textId="1F22B934">
      <w:pPr>
        <w:rPr>
          <w:rFonts w:ascii="Verdana" w:hAnsi="Verdana"/>
          <w:b/>
          <w:bCs/>
          <w:sz w:val="18"/>
          <w:szCs w:val="18"/>
        </w:rPr>
      </w:pPr>
      <w:r w:rsidRPr="000D308F">
        <w:rPr>
          <w:rFonts w:ascii="Verdana" w:hAnsi="Verdana"/>
          <w:b/>
          <w:bCs/>
          <w:sz w:val="18"/>
          <w:szCs w:val="18"/>
        </w:rPr>
        <w:t>1.3 Doel en inhoud van de partnerschapsovereenkomst</w:t>
      </w:r>
    </w:p>
    <w:p w:rsidRPr="000D308F" w:rsidR="00EC4F1D" w:rsidP="00EC4F1D" w:rsidRDefault="00E028E9" w14:paraId="18AB883A" w14:textId="0EFACFD6">
      <w:pPr>
        <w:rPr>
          <w:rFonts w:ascii="Verdana" w:hAnsi="Verdana"/>
          <w:sz w:val="18"/>
          <w:szCs w:val="18"/>
        </w:rPr>
      </w:pPr>
      <w:r w:rsidRPr="000D308F">
        <w:rPr>
          <w:rFonts w:ascii="Verdana" w:hAnsi="Verdana"/>
          <w:sz w:val="18"/>
          <w:szCs w:val="18"/>
        </w:rPr>
        <w:t xml:space="preserve">De </w:t>
      </w:r>
      <w:r w:rsidRPr="000D308F" w:rsidR="00F50016">
        <w:rPr>
          <w:rFonts w:ascii="Verdana" w:hAnsi="Verdana"/>
          <w:sz w:val="18"/>
          <w:szCs w:val="18"/>
        </w:rPr>
        <w:t xml:space="preserve">partnerschapsovereenkomst (hierna: de </w:t>
      </w:r>
      <w:r w:rsidRPr="000D308F">
        <w:rPr>
          <w:rFonts w:ascii="Verdana" w:hAnsi="Verdana"/>
          <w:sz w:val="18"/>
          <w:szCs w:val="18"/>
        </w:rPr>
        <w:t>Samoa-overeenkomst</w:t>
      </w:r>
      <w:r w:rsidRPr="000D308F" w:rsidR="002C4952">
        <w:rPr>
          <w:rFonts w:ascii="Verdana" w:hAnsi="Verdana"/>
          <w:sz w:val="18"/>
          <w:szCs w:val="18"/>
        </w:rPr>
        <w:t xml:space="preserve"> </w:t>
      </w:r>
      <w:r w:rsidRPr="000D308F" w:rsidR="00F50016">
        <w:rPr>
          <w:rFonts w:ascii="Verdana" w:hAnsi="Verdana"/>
          <w:sz w:val="18"/>
          <w:szCs w:val="18"/>
        </w:rPr>
        <w:t xml:space="preserve">of de overeenkomst) </w:t>
      </w:r>
      <w:r w:rsidRPr="000D308F" w:rsidR="002C4952">
        <w:rPr>
          <w:rFonts w:ascii="Verdana" w:hAnsi="Verdana"/>
          <w:sz w:val="18"/>
          <w:szCs w:val="18"/>
        </w:rPr>
        <w:t>biedt een versterkt politiek partnerschap tussen de EU en de ACS-landen</w:t>
      </w:r>
      <w:r w:rsidRPr="000D308F" w:rsidR="007115F5">
        <w:rPr>
          <w:rStyle w:val="FootnoteReference"/>
          <w:rFonts w:ascii="Verdana" w:hAnsi="Verdana"/>
          <w:sz w:val="18"/>
          <w:szCs w:val="18"/>
        </w:rPr>
        <w:footnoteReference w:id="9"/>
      </w:r>
      <w:r w:rsidRPr="000D308F" w:rsidR="002C4952">
        <w:rPr>
          <w:rFonts w:ascii="Verdana" w:hAnsi="Verdana"/>
          <w:sz w:val="18"/>
          <w:szCs w:val="18"/>
        </w:rPr>
        <w:t xml:space="preserve"> gebaseerd op gedeelde waarden, belangen en uitdagingen. Het betreft een brede overeenkomst gericht op het aangaan van internationale uitdagingen waarvoor versterkte samenwerking tussen de EU en de ACS-landen van belang is, waaronder op de terreinen mensenrechten, klimaat, vrede en veiligheid, </w:t>
      </w:r>
      <w:r w:rsidRPr="000D308F" w:rsidR="00357677">
        <w:rPr>
          <w:rFonts w:ascii="Verdana" w:hAnsi="Verdana"/>
          <w:sz w:val="18"/>
          <w:szCs w:val="18"/>
        </w:rPr>
        <w:t xml:space="preserve">gendergelijkheid, </w:t>
      </w:r>
      <w:r w:rsidRPr="000D308F" w:rsidR="002C4952">
        <w:rPr>
          <w:rFonts w:ascii="Verdana" w:hAnsi="Verdana"/>
          <w:sz w:val="18"/>
          <w:szCs w:val="18"/>
        </w:rPr>
        <w:t xml:space="preserve">migratie en mobiliteit en duurzame ontwikkeling. </w:t>
      </w:r>
      <w:r w:rsidRPr="000D308F" w:rsidR="002A2324">
        <w:rPr>
          <w:rFonts w:ascii="Verdana" w:hAnsi="Verdana"/>
          <w:sz w:val="18"/>
          <w:szCs w:val="18"/>
        </w:rPr>
        <w:t>De</w:t>
      </w:r>
      <w:r w:rsidRPr="000D308F" w:rsidDel="00636C7A" w:rsidR="002A2324">
        <w:rPr>
          <w:rFonts w:ascii="Verdana" w:hAnsi="Verdana"/>
          <w:sz w:val="18"/>
          <w:szCs w:val="18"/>
        </w:rPr>
        <w:t xml:space="preserve"> </w:t>
      </w:r>
      <w:r w:rsidRPr="000D308F" w:rsidR="00636C7A">
        <w:rPr>
          <w:rFonts w:ascii="Verdana" w:hAnsi="Verdana"/>
          <w:sz w:val="18"/>
          <w:szCs w:val="18"/>
        </w:rPr>
        <w:t>overeenkomst</w:t>
      </w:r>
      <w:r w:rsidRPr="000D308F" w:rsidR="0070430E">
        <w:rPr>
          <w:rFonts w:ascii="Verdana" w:hAnsi="Verdana"/>
          <w:sz w:val="18"/>
          <w:szCs w:val="18"/>
        </w:rPr>
        <w:t xml:space="preserve"> </w:t>
      </w:r>
      <w:r w:rsidRPr="000D308F" w:rsidR="002A2324">
        <w:rPr>
          <w:rFonts w:ascii="Verdana" w:hAnsi="Verdana"/>
          <w:sz w:val="18"/>
          <w:szCs w:val="18"/>
        </w:rPr>
        <w:t xml:space="preserve">reflecteert de historische en nauwe relatie tussen de EU en de ACS-landen en geeft uiting aan de gedeelde wens om de relatie te versterken en verbreden. </w:t>
      </w:r>
    </w:p>
    <w:p w:rsidRPr="000D308F" w:rsidR="00EC4F1D" w:rsidP="00EC4F1D" w:rsidRDefault="00AF0D99" w14:paraId="1227B731" w14:textId="4127236C">
      <w:pPr>
        <w:rPr>
          <w:rFonts w:ascii="Verdana" w:hAnsi="Verdana" w:eastAsia="Times New Roman"/>
          <w:color w:val="000000"/>
          <w:sz w:val="18"/>
          <w:szCs w:val="18"/>
        </w:rPr>
      </w:pPr>
      <w:r w:rsidRPr="000D308F">
        <w:rPr>
          <w:rFonts w:ascii="Verdana" w:hAnsi="Verdana"/>
          <w:sz w:val="18"/>
          <w:szCs w:val="18"/>
        </w:rPr>
        <w:t xml:space="preserve">De </w:t>
      </w:r>
      <w:r w:rsidRPr="000D308F" w:rsidR="00F50016">
        <w:rPr>
          <w:rFonts w:ascii="Verdana" w:hAnsi="Verdana"/>
          <w:sz w:val="18"/>
          <w:szCs w:val="18"/>
        </w:rPr>
        <w:t>Samoa-overeenkomst</w:t>
      </w:r>
      <w:r w:rsidRPr="000D308F">
        <w:rPr>
          <w:rFonts w:ascii="Verdana" w:hAnsi="Verdana"/>
          <w:sz w:val="18"/>
          <w:szCs w:val="18"/>
        </w:rPr>
        <w:t xml:space="preserve"> bestaat uit een juridisch bindend overkoepelend verdrag (</w:t>
      </w:r>
      <w:r w:rsidRPr="000D308F">
        <w:rPr>
          <w:rFonts w:ascii="Verdana" w:hAnsi="Verdana"/>
          <w:i/>
          <w:iCs/>
          <w:sz w:val="18"/>
          <w:szCs w:val="18"/>
        </w:rPr>
        <w:t>Foundation</w:t>
      </w:r>
      <w:r w:rsidRPr="000D308F">
        <w:rPr>
          <w:rFonts w:ascii="Verdana" w:hAnsi="Verdana"/>
          <w:sz w:val="18"/>
          <w:szCs w:val="18"/>
        </w:rPr>
        <w:t xml:space="preserve">), waarin gedeelde waarden en principes worden vastgelegd als gemeenschappelijke basis voor de relatie met de drie regio’s (Afrika, Caraïben en Stille Oceaan), en daarnaast drie juridisch bindende regionale protocollen bij het verdrag. Daarmee is in </w:t>
      </w:r>
      <w:r w:rsidRPr="000D308F" w:rsidR="00F50016">
        <w:rPr>
          <w:rFonts w:ascii="Verdana" w:hAnsi="Verdana"/>
          <w:sz w:val="18"/>
          <w:szCs w:val="18"/>
        </w:rPr>
        <w:t xml:space="preserve">de overeenkomst </w:t>
      </w:r>
      <w:r w:rsidRPr="000D308F">
        <w:rPr>
          <w:rFonts w:ascii="Verdana" w:hAnsi="Verdana"/>
          <w:sz w:val="18"/>
          <w:szCs w:val="18"/>
        </w:rPr>
        <w:t xml:space="preserve">meer aandacht gekomen voor een regio-specifieke benadering. De </w:t>
      </w:r>
      <w:r w:rsidRPr="000D308F" w:rsidR="00293477">
        <w:rPr>
          <w:rFonts w:ascii="Verdana" w:hAnsi="Verdana"/>
          <w:sz w:val="18"/>
          <w:szCs w:val="18"/>
        </w:rPr>
        <w:t>V</w:t>
      </w:r>
      <w:r w:rsidRPr="000D308F" w:rsidR="007861FD">
        <w:rPr>
          <w:rFonts w:ascii="Verdana" w:hAnsi="Verdana"/>
          <w:sz w:val="18"/>
          <w:szCs w:val="18"/>
        </w:rPr>
        <w:t>erenigde Naties</w:t>
      </w:r>
      <w:r w:rsidRPr="000D308F" w:rsidR="00293477">
        <w:rPr>
          <w:rFonts w:ascii="Verdana" w:hAnsi="Verdana"/>
          <w:sz w:val="18"/>
          <w:szCs w:val="18"/>
        </w:rPr>
        <w:t xml:space="preserve"> </w:t>
      </w:r>
      <w:r w:rsidRPr="000D308F">
        <w:rPr>
          <w:rFonts w:ascii="Verdana" w:hAnsi="Verdana"/>
          <w:sz w:val="18"/>
          <w:szCs w:val="18"/>
        </w:rPr>
        <w:t xml:space="preserve">Agenda 2030 (Duurzame Ontwikkelingsdoelen), de Europese Consensus voor Ontwikkeling van juni 2017 en de </w:t>
      </w:r>
      <w:r w:rsidRPr="000D308F">
        <w:rPr>
          <w:rFonts w:ascii="Verdana" w:hAnsi="Verdana"/>
          <w:i/>
          <w:iCs/>
          <w:sz w:val="18"/>
          <w:szCs w:val="18"/>
        </w:rPr>
        <w:t xml:space="preserve">EU Global </w:t>
      </w:r>
      <w:proofErr w:type="spellStart"/>
      <w:r w:rsidRPr="000D308F">
        <w:rPr>
          <w:rFonts w:ascii="Verdana" w:hAnsi="Verdana"/>
          <w:i/>
          <w:iCs/>
          <w:sz w:val="18"/>
          <w:szCs w:val="18"/>
        </w:rPr>
        <w:t>Strategy</w:t>
      </w:r>
      <w:proofErr w:type="spellEnd"/>
      <w:r w:rsidRPr="000D308F">
        <w:rPr>
          <w:rFonts w:ascii="Verdana" w:hAnsi="Verdana"/>
          <w:sz w:val="18"/>
          <w:szCs w:val="18"/>
        </w:rPr>
        <w:t xml:space="preserve"> staan centraal in het partnerschap. De regionale protocollen zullen de bestaande regionale strategieën met de regio’s (</w:t>
      </w:r>
      <w:r w:rsidRPr="000D308F">
        <w:rPr>
          <w:rFonts w:ascii="Verdana" w:hAnsi="Verdana"/>
          <w:i/>
          <w:iCs/>
          <w:sz w:val="18"/>
          <w:szCs w:val="18"/>
        </w:rPr>
        <w:t xml:space="preserve">Joint </w:t>
      </w:r>
      <w:proofErr w:type="spellStart"/>
      <w:r w:rsidRPr="000D308F">
        <w:rPr>
          <w:rFonts w:ascii="Verdana" w:hAnsi="Verdana"/>
          <w:i/>
          <w:iCs/>
          <w:sz w:val="18"/>
          <w:szCs w:val="18"/>
        </w:rPr>
        <w:t>Africa</w:t>
      </w:r>
      <w:proofErr w:type="spellEnd"/>
      <w:r w:rsidRPr="000D308F">
        <w:rPr>
          <w:rFonts w:ascii="Verdana" w:hAnsi="Verdana"/>
          <w:i/>
          <w:iCs/>
          <w:sz w:val="18"/>
          <w:szCs w:val="18"/>
        </w:rPr>
        <w:t xml:space="preserve">-EU </w:t>
      </w:r>
      <w:proofErr w:type="spellStart"/>
      <w:r w:rsidRPr="000D308F">
        <w:rPr>
          <w:rFonts w:ascii="Verdana" w:hAnsi="Verdana"/>
          <w:i/>
          <w:iCs/>
          <w:sz w:val="18"/>
          <w:szCs w:val="18"/>
        </w:rPr>
        <w:t>Strategy</w:t>
      </w:r>
      <w:proofErr w:type="spellEnd"/>
      <w:r w:rsidRPr="000D308F">
        <w:rPr>
          <w:rFonts w:ascii="Verdana" w:hAnsi="Verdana"/>
          <w:sz w:val="18"/>
          <w:szCs w:val="18"/>
        </w:rPr>
        <w:t xml:space="preserve">, de </w:t>
      </w:r>
      <w:r w:rsidRPr="000D308F">
        <w:rPr>
          <w:rFonts w:ascii="Verdana" w:hAnsi="Verdana"/>
          <w:i/>
          <w:iCs/>
          <w:sz w:val="18"/>
          <w:szCs w:val="18"/>
        </w:rPr>
        <w:t xml:space="preserve">Joint Caribbean EU Partnership </w:t>
      </w:r>
      <w:proofErr w:type="spellStart"/>
      <w:r w:rsidRPr="000D308F">
        <w:rPr>
          <w:rFonts w:ascii="Verdana" w:hAnsi="Verdana"/>
          <w:i/>
          <w:iCs/>
          <w:sz w:val="18"/>
          <w:szCs w:val="18"/>
        </w:rPr>
        <w:t>Strategy</w:t>
      </w:r>
      <w:proofErr w:type="spellEnd"/>
      <w:r w:rsidRPr="000D308F">
        <w:rPr>
          <w:rFonts w:ascii="Verdana" w:hAnsi="Verdana"/>
          <w:sz w:val="18"/>
          <w:szCs w:val="18"/>
        </w:rPr>
        <w:t xml:space="preserve"> en de </w:t>
      </w:r>
      <w:proofErr w:type="spellStart"/>
      <w:r w:rsidRPr="000D308F">
        <w:rPr>
          <w:rFonts w:ascii="Verdana" w:hAnsi="Verdana"/>
          <w:i/>
          <w:iCs/>
          <w:sz w:val="18"/>
          <w:szCs w:val="18"/>
        </w:rPr>
        <w:t>Strategy</w:t>
      </w:r>
      <w:proofErr w:type="spellEnd"/>
      <w:r w:rsidRPr="000D308F">
        <w:rPr>
          <w:rFonts w:ascii="Verdana" w:hAnsi="Verdana"/>
          <w:i/>
          <w:iCs/>
          <w:sz w:val="18"/>
          <w:szCs w:val="18"/>
        </w:rPr>
        <w:t xml:space="preserve"> </w:t>
      </w:r>
      <w:proofErr w:type="spellStart"/>
      <w:r w:rsidRPr="000D308F">
        <w:rPr>
          <w:rFonts w:ascii="Verdana" w:hAnsi="Verdana"/>
          <w:i/>
          <w:iCs/>
          <w:sz w:val="18"/>
          <w:szCs w:val="18"/>
        </w:rPr>
        <w:t>with</w:t>
      </w:r>
      <w:proofErr w:type="spellEnd"/>
      <w:r w:rsidRPr="000D308F">
        <w:rPr>
          <w:rFonts w:ascii="Verdana" w:hAnsi="Verdana"/>
          <w:i/>
          <w:iCs/>
          <w:sz w:val="18"/>
          <w:szCs w:val="18"/>
        </w:rPr>
        <w:t xml:space="preserve"> </w:t>
      </w:r>
      <w:proofErr w:type="spellStart"/>
      <w:r w:rsidRPr="000D308F">
        <w:rPr>
          <w:rFonts w:ascii="Verdana" w:hAnsi="Verdana"/>
          <w:i/>
          <w:iCs/>
          <w:sz w:val="18"/>
          <w:szCs w:val="18"/>
        </w:rPr>
        <w:t>the</w:t>
      </w:r>
      <w:proofErr w:type="spellEnd"/>
      <w:r w:rsidRPr="000D308F">
        <w:rPr>
          <w:rFonts w:ascii="Verdana" w:hAnsi="Verdana"/>
          <w:i/>
          <w:iCs/>
          <w:sz w:val="18"/>
          <w:szCs w:val="18"/>
        </w:rPr>
        <w:t xml:space="preserve"> Pacific </w:t>
      </w:r>
      <w:proofErr w:type="spellStart"/>
      <w:r w:rsidRPr="000D308F">
        <w:rPr>
          <w:rFonts w:ascii="Verdana" w:hAnsi="Verdana"/>
          <w:i/>
          <w:iCs/>
          <w:sz w:val="18"/>
          <w:szCs w:val="18"/>
        </w:rPr>
        <w:t>Islands</w:t>
      </w:r>
      <w:proofErr w:type="spellEnd"/>
      <w:r w:rsidRPr="000D308F">
        <w:rPr>
          <w:rFonts w:ascii="Verdana" w:hAnsi="Verdana"/>
          <w:sz w:val="18"/>
          <w:szCs w:val="18"/>
        </w:rPr>
        <w:t>) vervangen.</w:t>
      </w:r>
      <w:r w:rsidRPr="000D308F" w:rsidR="00227AFA">
        <w:rPr>
          <w:rFonts w:ascii="Verdana" w:hAnsi="Verdana"/>
          <w:sz w:val="18"/>
          <w:szCs w:val="18"/>
        </w:rPr>
        <w:t xml:space="preserve"> </w:t>
      </w:r>
      <w:r w:rsidRPr="000D308F" w:rsidR="00227AFA">
        <w:rPr>
          <w:rFonts w:ascii="Verdana" w:hAnsi="Verdana" w:eastAsia="Times New Roman"/>
          <w:color w:val="000000"/>
          <w:sz w:val="18"/>
          <w:szCs w:val="18"/>
        </w:rPr>
        <w:t>Het verdrag biedt een juridisch raamwerk voor politieke dialogen tussen de EU en de ACP-landen (artikel 8 dialogen), economische partnerschapsakkoorden (</w:t>
      </w:r>
      <w:proofErr w:type="spellStart"/>
      <w:r w:rsidRPr="000D308F" w:rsidR="00227AFA">
        <w:rPr>
          <w:rFonts w:ascii="Verdana" w:hAnsi="Verdana" w:eastAsia="Times New Roman"/>
          <w:color w:val="000000"/>
          <w:sz w:val="18"/>
          <w:szCs w:val="18"/>
        </w:rPr>
        <w:t>EPA’s</w:t>
      </w:r>
      <w:proofErr w:type="spellEnd"/>
      <w:r w:rsidRPr="000D308F" w:rsidR="00227AFA">
        <w:rPr>
          <w:rFonts w:ascii="Verdana" w:hAnsi="Verdana" w:eastAsia="Times New Roman"/>
          <w:color w:val="000000"/>
          <w:sz w:val="18"/>
          <w:szCs w:val="18"/>
        </w:rPr>
        <w:t xml:space="preserve">), en investeringen van de Europese Investeringsbank. </w:t>
      </w:r>
    </w:p>
    <w:p w:rsidRPr="000D308F" w:rsidR="00C0481A" w:rsidP="00C0481A" w:rsidRDefault="00C0481A" w14:paraId="41E7D067" w14:textId="6813F565">
      <w:pPr>
        <w:rPr>
          <w:rFonts w:ascii="Verdana" w:hAnsi="Verdana"/>
          <w:i/>
          <w:iCs/>
          <w:sz w:val="18"/>
          <w:szCs w:val="18"/>
        </w:rPr>
      </w:pPr>
      <w:r w:rsidRPr="000D308F">
        <w:rPr>
          <w:rFonts w:ascii="Verdana" w:hAnsi="Verdana"/>
          <w:i/>
          <w:iCs/>
          <w:sz w:val="18"/>
          <w:szCs w:val="18"/>
        </w:rPr>
        <w:t xml:space="preserve">De ‘essentiële elementen’, </w:t>
      </w:r>
      <w:r w:rsidRPr="000D308F" w:rsidR="007F71CB">
        <w:rPr>
          <w:rFonts w:ascii="Verdana" w:hAnsi="Verdana"/>
          <w:i/>
          <w:iCs/>
          <w:sz w:val="18"/>
          <w:szCs w:val="18"/>
        </w:rPr>
        <w:t>m</w:t>
      </w:r>
      <w:r w:rsidRPr="000D308F">
        <w:rPr>
          <w:rFonts w:ascii="Verdana" w:hAnsi="Verdana"/>
          <w:i/>
          <w:iCs/>
          <w:sz w:val="18"/>
          <w:szCs w:val="18"/>
        </w:rPr>
        <w:t xml:space="preserve">ensenrechten, inclusief </w:t>
      </w:r>
      <w:r w:rsidRPr="000D308F" w:rsidR="00ED58A9">
        <w:rPr>
          <w:rFonts w:ascii="Verdana" w:hAnsi="Verdana"/>
          <w:i/>
          <w:iCs/>
          <w:sz w:val="18"/>
          <w:szCs w:val="18"/>
        </w:rPr>
        <w:t xml:space="preserve">gendergelijkheid, </w:t>
      </w:r>
      <w:r w:rsidRPr="000D308F">
        <w:rPr>
          <w:rFonts w:ascii="Verdana" w:hAnsi="Verdana"/>
          <w:i/>
          <w:iCs/>
          <w:sz w:val="18"/>
          <w:szCs w:val="18"/>
        </w:rPr>
        <w:t>seksuele en reproductieve gezondheid en rechten (SRGR) en het non-discriminatie principe</w:t>
      </w:r>
    </w:p>
    <w:p w:rsidRPr="000D308F" w:rsidR="00C0481A" w:rsidP="00C0481A" w:rsidRDefault="002075C6" w14:paraId="2BFE754B" w14:textId="62AB0AC7">
      <w:pPr>
        <w:rPr>
          <w:rFonts w:ascii="Verdana" w:hAnsi="Verdana"/>
          <w:sz w:val="18"/>
          <w:szCs w:val="18"/>
        </w:rPr>
      </w:pPr>
      <w:r w:rsidRPr="000D308F">
        <w:rPr>
          <w:rFonts w:ascii="Verdana" w:hAnsi="Verdana"/>
          <w:sz w:val="18"/>
          <w:szCs w:val="18"/>
        </w:rPr>
        <w:t>De overeenkomst</w:t>
      </w:r>
      <w:r w:rsidRPr="000D308F" w:rsidR="00C0481A">
        <w:rPr>
          <w:rFonts w:ascii="Verdana" w:hAnsi="Verdana"/>
          <w:sz w:val="18"/>
          <w:szCs w:val="18"/>
        </w:rPr>
        <w:t xml:space="preserve"> is</w:t>
      </w:r>
      <w:r w:rsidRPr="000D308F" w:rsidR="001A0F4C">
        <w:rPr>
          <w:rFonts w:ascii="Verdana" w:hAnsi="Verdana"/>
          <w:sz w:val="18"/>
          <w:szCs w:val="18"/>
        </w:rPr>
        <w:t xml:space="preserve"> </w:t>
      </w:r>
      <w:r w:rsidRPr="000D308F" w:rsidR="00C0481A">
        <w:rPr>
          <w:rFonts w:ascii="Verdana" w:hAnsi="Verdana"/>
          <w:sz w:val="18"/>
          <w:szCs w:val="18"/>
        </w:rPr>
        <w:t xml:space="preserve">gestoeld op de volgende essentiële elementen: mensenrechten, democratische principes, rechtsstaat en non-proliferatie van massavernietigingswapens. Deze elementen vormen het fundament waarop de </w:t>
      </w:r>
      <w:r w:rsidRPr="000D308F" w:rsidR="00636C7A">
        <w:rPr>
          <w:rFonts w:ascii="Verdana" w:hAnsi="Verdana"/>
          <w:sz w:val="18"/>
          <w:szCs w:val="18"/>
        </w:rPr>
        <w:t xml:space="preserve">overeenkomst </w:t>
      </w:r>
      <w:r w:rsidRPr="000D308F" w:rsidR="00C0481A">
        <w:rPr>
          <w:rFonts w:ascii="Verdana" w:hAnsi="Verdana"/>
          <w:sz w:val="18"/>
          <w:szCs w:val="18"/>
        </w:rPr>
        <w:t xml:space="preserve">gebouwd is. </w:t>
      </w:r>
      <w:r w:rsidRPr="000D308F" w:rsidR="00595CD7">
        <w:rPr>
          <w:rFonts w:ascii="Verdana" w:hAnsi="Verdana"/>
          <w:sz w:val="18"/>
          <w:szCs w:val="18"/>
        </w:rPr>
        <w:t>De Samoa-overeenkomst biedt</w:t>
      </w:r>
      <w:r w:rsidRPr="000D308F" w:rsidR="00C65861">
        <w:rPr>
          <w:rFonts w:ascii="Verdana" w:hAnsi="Verdana"/>
          <w:sz w:val="18"/>
          <w:szCs w:val="18"/>
        </w:rPr>
        <w:t xml:space="preserve">, ingevolge artikel 101, </w:t>
      </w:r>
      <w:r w:rsidRPr="000D308F" w:rsidR="00093B59">
        <w:rPr>
          <w:rFonts w:ascii="Verdana" w:hAnsi="Verdana"/>
          <w:sz w:val="18"/>
          <w:szCs w:val="18"/>
        </w:rPr>
        <w:t xml:space="preserve">onder meer </w:t>
      </w:r>
      <w:r w:rsidRPr="000D308F" w:rsidR="00595CD7">
        <w:rPr>
          <w:rFonts w:ascii="Verdana" w:hAnsi="Verdana"/>
          <w:sz w:val="18"/>
          <w:szCs w:val="18"/>
        </w:rPr>
        <w:t>de mogelijkheid om passende en proportionele maatregelen te nemen bij niet-naleving van de</w:t>
      </w:r>
      <w:r w:rsidRPr="000D308F" w:rsidR="00C65861">
        <w:t xml:space="preserve"> </w:t>
      </w:r>
      <w:r w:rsidRPr="000D308F" w:rsidR="00C65861">
        <w:rPr>
          <w:rFonts w:ascii="Verdana" w:hAnsi="Verdana"/>
          <w:sz w:val="18"/>
          <w:szCs w:val="18"/>
        </w:rPr>
        <w:t>essentiële</w:t>
      </w:r>
      <w:r w:rsidRPr="000D308F" w:rsidR="00595CD7">
        <w:rPr>
          <w:rFonts w:ascii="Verdana" w:hAnsi="Verdana"/>
          <w:sz w:val="18"/>
          <w:szCs w:val="18"/>
        </w:rPr>
        <w:t xml:space="preserve"> beginselen uit het verdrag.</w:t>
      </w:r>
    </w:p>
    <w:p w:rsidRPr="000D308F" w:rsidR="00C0481A" w:rsidP="00C0481A" w:rsidRDefault="00C0481A" w14:paraId="4A965D35" w14:textId="51D194E5">
      <w:pPr>
        <w:rPr>
          <w:rFonts w:ascii="Verdana" w:hAnsi="Verdana"/>
          <w:sz w:val="18"/>
          <w:szCs w:val="18"/>
        </w:rPr>
      </w:pPr>
      <w:r w:rsidRPr="000D308F">
        <w:rPr>
          <w:rFonts w:ascii="Verdana" w:hAnsi="Verdana"/>
          <w:sz w:val="18"/>
          <w:szCs w:val="18"/>
        </w:rPr>
        <w:t xml:space="preserve">Zowel de </w:t>
      </w:r>
      <w:r w:rsidRPr="000D308F">
        <w:rPr>
          <w:rFonts w:ascii="Verdana" w:hAnsi="Verdana"/>
          <w:i/>
          <w:iCs/>
          <w:sz w:val="18"/>
          <w:szCs w:val="18"/>
        </w:rPr>
        <w:t>Foundation</w:t>
      </w:r>
      <w:r w:rsidRPr="000D308F">
        <w:rPr>
          <w:rFonts w:ascii="Verdana" w:hAnsi="Verdana"/>
          <w:sz w:val="18"/>
          <w:szCs w:val="18"/>
        </w:rPr>
        <w:t xml:space="preserve"> als de drie regionale protocollen bevatten belangrijke afspraken op het gebied van mensenrechten, democratie en rechtsstaat</w:t>
      </w:r>
      <w:r w:rsidRPr="000D308F" w:rsidR="00E46DB4">
        <w:rPr>
          <w:rFonts w:ascii="Verdana" w:hAnsi="Verdana"/>
          <w:sz w:val="18"/>
          <w:szCs w:val="18"/>
        </w:rPr>
        <w:t>,</w:t>
      </w:r>
      <w:r w:rsidRPr="000D308F">
        <w:rPr>
          <w:rFonts w:ascii="Verdana" w:hAnsi="Verdana"/>
          <w:sz w:val="18"/>
          <w:szCs w:val="18"/>
        </w:rPr>
        <w:t xml:space="preserve"> onder andere gericht op gendergelijkheid, non-discriminatie en goed bestuur. Zo bevestigen partijen hun intentie om het </w:t>
      </w:r>
      <w:r w:rsidRPr="000D308F" w:rsidR="008845E8">
        <w:rPr>
          <w:rFonts w:ascii="Verdana" w:hAnsi="Verdana"/>
          <w:sz w:val="18"/>
          <w:szCs w:val="18"/>
        </w:rPr>
        <w:t xml:space="preserve">op 17 juli 1998 te </w:t>
      </w:r>
      <w:r w:rsidRPr="000D308F" w:rsidR="008845E8">
        <w:rPr>
          <w:rFonts w:ascii="Verdana" w:hAnsi="Verdana"/>
          <w:sz w:val="18"/>
          <w:szCs w:val="18"/>
        </w:rPr>
        <w:lastRenderedPageBreak/>
        <w:t>Rome tot stand gekomen Statuut van Rome (</w:t>
      </w:r>
      <w:proofErr w:type="spellStart"/>
      <w:r w:rsidRPr="000D308F" w:rsidR="008845E8">
        <w:rPr>
          <w:rFonts w:ascii="Verdana" w:hAnsi="Verdana"/>
          <w:i/>
          <w:iCs/>
          <w:sz w:val="18"/>
          <w:szCs w:val="18"/>
        </w:rPr>
        <w:t>Trb</w:t>
      </w:r>
      <w:proofErr w:type="spellEnd"/>
      <w:r w:rsidRPr="000D308F" w:rsidR="008845E8">
        <w:rPr>
          <w:rFonts w:ascii="Verdana" w:hAnsi="Verdana"/>
          <w:i/>
          <w:iCs/>
          <w:sz w:val="18"/>
          <w:szCs w:val="18"/>
        </w:rPr>
        <w:t xml:space="preserve">. </w:t>
      </w:r>
      <w:r w:rsidRPr="000D308F" w:rsidR="008845E8">
        <w:rPr>
          <w:rFonts w:ascii="Verdana" w:hAnsi="Verdana"/>
          <w:sz w:val="18"/>
          <w:szCs w:val="18"/>
        </w:rPr>
        <w:t xml:space="preserve">1999, 13) </w:t>
      </w:r>
      <w:r w:rsidRPr="000D308F">
        <w:rPr>
          <w:rFonts w:ascii="Verdana" w:hAnsi="Verdana"/>
          <w:sz w:val="18"/>
          <w:szCs w:val="18"/>
        </w:rPr>
        <w:t xml:space="preserve">inzake het Internationaal Strafhof (ICC) te ratificeren en </w:t>
      </w:r>
      <w:r w:rsidRPr="000D308F" w:rsidR="008845E8">
        <w:rPr>
          <w:rFonts w:ascii="Verdana" w:hAnsi="Verdana"/>
          <w:sz w:val="18"/>
          <w:szCs w:val="18"/>
        </w:rPr>
        <w:t xml:space="preserve">te </w:t>
      </w:r>
      <w:r w:rsidRPr="000D308F">
        <w:rPr>
          <w:rFonts w:ascii="Verdana" w:hAnsi="Verdana"/>
          <w:sz w:val="18"/>
          <w:szCs w:val="18"/>
        </w:rPr>
        <w:t>implementeren en wordt expliciet verwezen naar het belang van het effectief functioneren van het ICC waarbij partijen hun inzet benadrukken om medewerking met het hof te verlenen.</w:t>
      </w:r>
      <w:r w:rsidRPr="000D308F" w:rsidR="009B0428">
        <w:rPr>
          <w:rFonts w:ascii="Verdana" w:hAnsi="Verdana"/>
          <w:sz w:val="18"/>
          <w:szCs w:val="18"/>
        </w:rPr>
        <w:t xml:space="preserve"> </w:t>
      </w:r>
      <w:r w:rsidRPr="000D308F" w:rsidR="00F9545C">
        <w:rPr>
          <w:rFonts w:ascii="Verdana" w:hAnsi="Verdana"/>
          <w:sz w:val="18"/>
          <w:szCs w:val="18"/>
        </w:rPr>
        <w:t xml:space="preserve">De </w:t>
      </w:r>
      <w:r w:rsidRPr="000D308F" w:rsidR="00A87DB4">
        <w:rPr>
          <w:rFonts w:ascii="Verdana" w:hAnsi="Verdana"/>
          <w:sz w:val="18"/>
          <w:szCs w:val="18"/>
        </w:rPr>
        <w:t>p</w:t>
      </w:r>
      <w:r w:rsidRPr="000D308F" w:rsidR="00F9545C">
        <w:rPr>
          <w:rFonts w:ascii="Verdana" w:hAnsi="Verdana"/>
          <w:sz w:val="18"/>
          <w:szCs w:val="18"/>
        </w:rPr>
        <w:t xml:space="preserve">artijen </w:t>
      </w:r>
      <w:r w:rsidRPr="000D308F" w:rsidR="008D1FC1">
        <w:rPr>
          <w:rFonts w:ascii="Verdana" w:hAnsi="Verdana"/>
          <w:sz w:val="18"/>
          <w:szCs w:val="18"/>
        </w:rPr>
        <w:t xml:space="preserve">zullen tevens </w:t>
      </w:r>
      <w:r w:rsidRPr="000D308F" w:rsidR="00F9545C">
        <w:rPr>
          <w:rFonts w:ascii="Verdana" w:hAnsi="Verdana"/>
          <w:sz w:val="18"/>
          <w:szCs w:val="18"/>
        </w:rPr>
        <w:t xml:space="preserve">zorgen voor de uitvoering en handhaving van wetgeving die vrouwen en meisjes beschermt tegen alle vormen van geweld, met inbegrip van seksueel en </w:t>
      </w:r>
      <w:proofErr w:type="spellStart"/>
      <w:r w:rsidRPr="000D308F" w:rsidR="00F9545C">
        <w:rPr>
          <w:rFonts w:ascii="Verdana" w:hAnsi="Verdana"/>
          <w:sz w:val="18"/>
          <w:szCs w:val="18"/>
        </w:rPr>
        <w:t>gendergerelateerd</w:t>
      </w:r>
      <w:proofErr w:type="spellEnd"/>
      <w:r w:rsidRPr="000D308F" w:rsidR="00F9545C">
        <w:rPr>
          <w:rFonts w:ascii="Verdana" w:hAnsi="Verdana"/>
          <w:sz w:val="18"/>
          <w:szCs w:val="18"/>
        </w:rPr>
        <w:t xml:space="preserve"> geweld, seksuele uitbuiting en seksueel misbruik en mensenhandel. De partijen spreken </w:t>
      </w:r>
      <w:r w:rsidRPr="000D308F" w:rsidR="00845203">
        <w:rPr>
          <w:rFonts w:ascii="Verdana" w:hAnsi="Verdana"/>
          <w:sz w:val="18"/>
          <w:szCs w:val="18"/>
        </w:rPr>
        <w:t xml:space="preserve">verder </w:t>
      </w:r>
      <w:r w:rsidRPr="000D308F" w:rsidR="00F9545C">
        <w:rPr>
          <w:rFonts w:ascii="Verdana" w:hAnsi="Verdana"/>
          <w:sz w:val="18"/>
          <w:szCs w:val="18"/>
        </w:rPr>
        <w:t>af dat het genderperspectief systematisch wordt geïntegreerd in alle beleidsdomeinen en programma’s.</w:t>
      </w:r>
      <w:r w:rsidRPr="000D308F" w:rsidR="0037454A">
        <w:rPr>
          <w:rFonts w:ascii="Verdana" w:hAnsi="Verdana"/>
          <w:sz w:val="18"/>
          <w:szCs w:val="18"/>
        </w:rPr>
        <w:t xml:space="preserve"> </w:t>
      </w:r>
    </w:p>
    <w:p w:rsidRPr="000D308F" w:rsidR="00C0481A" w:rsidP="00C0481A" w:rsidRDefault="00B40909" w14:paraId="7DBA4B6A" w14:textId="6C7EDB53">
      <w:pPr>
        <w:rPr>
          <w:rFonts w:ascii="Verdana" w:hAnsi="Verdana"/>
          <w:sz w:val="18"/>
          <w:szCs w:val="18"/>
        </w:rPr>
      </w:pPr>
      <w:r w:rsidRPr="000D308F">
        <w:rPr>
          <w:rFonts w:ascii="Verdana" w:hAnsi="Verdana"/>
          <w:sz w:val="18"/>
          <w:szCs w:val="18"/>
        </w:rPr>
        <w:t>De Samoa-vereenkomst</w:t>
      </w:r>
      <w:r w:rsidRPr="000D308F" w:rsidR="00C0481A">
        <w:rPr>
          <w:rFonts w:ascii="Verdana" w:hAnsi="Verdana"/>
          <w:sz w:val="18"/>
          <w:szCs w:val="18"/>
        </w:rPr>
        <w:t xml:space="preserve"> gaat specifiek in op seksuele en reproductieve gezondheid en rechten (SRGR) met verwijzing naar de </w:t>
      </w:r>
      <w:r w:rsidRPr="000D308F" w:rsidR="00C0481A">
        <w:rPr>
          <w:rFonts w:ascii="Verdana" w:hAnsi="Verdana"/>
          <w:i/>
          <w:iCs/>
          <w:sz w:val="18"/>
          <w:szCs w:val="18"/>
        </w:rPr>
        <w:t xml:space="preserve">Beijing </w:t>
      </w:r>
      <w:proofErr w:type="spellStart"/>
      <w:r w:rsidRPr="000D308F" w:rsidR="00C0481A">
        <w:rPr>
          <w:rFonts w:ascii="Verdana" w:hAnsi="Verdana"/>
          <w:i/>
          <w:iCs/>
          <w:sz w:val="18"/>
          <w:szCs w:val="18"/>
        </w:rPr>
        <w:t>Declaration</w:t>
      </w:r>
      <w:proofErr w:type="spellEnd"/>
      <w:r w:rsidRPr="000D308F" w:rsidR="00C0481A">
        <w:rPr>
          <w:rFonts w:ascii="Verdana" w:hAnsi="Verdana"/>
          <w:i/>
          <w:iCs/>
          <w:sz w:val="18"/>
          <w:szCs w:val="18"/>
        </w:rPr>
        <w:t xml:space="preserve"> </w:t>
      </w:r>
      <w:proofErr w:type="spellStart"/>
      <w:r w:rsidRPr="000D308F" w:rsidR="00C0481A">
        <w:rPr>
          <w:rFonts w:ascii="Verdana" w:hAnsi="Verdana"/>
          <w:i/>
          <w:iCs/>
          <w:sz w:val="18"/>
          <w:szCs w:val="18"/>
        </w:rPr>
        <w:t>and</w:t>
      </w:r>
      <w:proofErr w:type="spellEnd"/>
      <w:r w:rsidRPr="000D308F" w:rsidR="00C0481A">
        <w:rPr>
          <w:rFonts w:ascii="Verdana" w:hAnsi="Verdana"/>
          <w:i/>
          <w:iCs/>
          <w:sz w:val="18"/>
          <w:szCs w:val="18"/>
        </w:rPr>
        <w:t xml:space="preserve"> Platform </w:t>
      </w:r>
      <w:proofErr w:type="spellStart"/>
      <w:r w:rsidRPr="000D308F" w:rsidR="00C0481A">
        <w:rPr>
          <w:rFonts w:ascii="Verdana" w:hAnsi="Verdana"/>
          <w:i/>
          <w:iCs/>
          <w:sz w:val="18"/>
          <w:szCs w:val="18"/>
        </w:rPr>
        <w:t>for</w:t>
      </w:r>
      <w:proofErr w:type="spellEnd"/>
      <w:r w:rsidRPr="000D308F" w:rsidR="00C0481A">
        <w:rPr>
          <w:rFonts w:ascii="Verdana" w:hAnsi="Verdana"/>
          <w:i/>
          <w:iCs/>
          <w:sz w:val="18"/>
          <w:szCs w:val="18"/>
        </w:rPr>
        <w:t xml:space="preserve"> Action</w:t>
      </w:r>
      <w:r w:rsidRPr="000D308F" w:rsidR="00C0481A">
        <w:rPr>
          <w:rFonts w:ascii="Verdana" w:hAnsi="Verdana"/>
          <w:sz w:val="18"/>
          <w:szCs w:val="18"/>
        </w:rPr>
        <w:t xml:space="preserve">, het </w:t>
      </w:r>
      <w:proofErr w:type="spellStart"/>
      <w:r w:rsidRPr="000D308F" w:rsidR="00C0481A">
        <w:rPr>
          <w:rFonts w:ascii="Verdana" w:hAnsi="Verdana"/>
          <w:i/>
          <w:iCs/>
          <w:sz w:val="18"/>
          <w:szCs w:val="18"/>
        </w:rPr>
        <w:t>Programme</w:t>
      </w:r>
      <w:proofErr w:type="spellEnd"/>
      <w:r w:rsidRPr="000D308F" w:rsidR="00C0481A">
        <w:rPr>
          <w:rFonts w:ascii="Verdana" w:hAnsi="Verdana"/>
          <w:i/>
          <w:iCs/>
          <w:sz w:val="18"/>
          <w:szCs w:val="18"/>
        </w:rPr>
        <w:t xml:space="preserve"> of Action of </w:t>
      </w:r>
      <w:proofErr w:type="spellStart"/>
      <w:r w:rsidRPr="000D308F" w:rsidR="00C0481A">
        <w:rPr>
          <w:rFonts w:ascii="Verdana" w:hAnsi="Verdana"/>
          <w:i/>
          <w:iCs/>
          <w:sz w:val="18"/>
          <w:szCs w:val="18"/>
        </w:rPr>
        <w:t>the</w:t>
      </w:r>
      <w:proofErr w:type="spellEnd"/>
      <w:r w:rsidRPr="000D308F" w:rsidR="00C0481A">
        <w:rPr>
          <w:rFonts w:ascii="Verdana" w:hAnsi="Verdana"/>
          <w:i/>
          <w:iCs/>
          <w:sz w:val="18"/>
          <w:szCs w:val="18"/>
        </w:rPr>
        <w:t xml:space="preserve"> International Conference on </w:t>
      </w:r>
      <w:proofErr w:type="spellStart"/>
      <w:r w:rsidRPr="000D308F" w:rsidR="00C0481A">
        <w:rPr>
          <w:rFonts w:ascii="Verdana" w:hAnsi="Verdana"/>
          <w:i/>
          <w:iCs/>
          <w:sz w:val="18"/>
          <w:szCs w:val="18"/>
        </w:rPr>
        <w:t>Population</w:t>
      </w:r>
      <w:proofErr w:type="spellEnd"/>
      <w:r w:rsidRPr="000D308F" w:rsidR="00C0481A">
        <w:rPr>
          <w:rFonts w:ascii="Verdana" w:hAnsi="Verdana"/>
          <w:i/>
          <w:iCs/>
          <w:sz w:val="18"/>
          <w:szCs w:val="18"/>
        </w:rPr>
        <w:t xml:space="preserve"> </w:t>
      </w:r>
      <w:proofErr w:type="spellStart"/>
      <w:r w:rsidRPr="000D308F" w:rsidR="00C0481A">
        <w:rPr>
          <w:rFonts w:ascii="Verdana" w:hAnsi="Verdana"/>
          <w:i/>
          <w:iCs/>
          <w:sz w:val="18"/>
          <w:szCs w:val="18"/>
        </w:rPr>
        <w:t>and</w:t>
      </w:r>
      <w:proofErr w:type="spellEnd"/>
      <w:r w:rsidRPr="000D308F" w:rsidR="00C0481A">
        <w:rPr>
          <w:rFonts w:ascii="Verdana" w:hAnsi="Verdana"/>
          <w:i/>
          <w:iCs/>
          <w:sz w:val="18"/>
          <w:szCs w:val="18"/>
        </w:rPr>
        <w:t xml:space="preserve"> Development</w:t>
      </w:r>
      <w:r w:rsidRPr="000D308F" w:rsidR="00C0481A">
        <w:rPr>
          <w:rFonts w:ascii="Verdana" w:hAnsi="Verdana"/>
          <w:sz w:val="18"/>
          <w:szCs w:val="18"/>
        </w:rPr>
        <w:t xml:space="preserve"> en regionale verklaringen zoals het Maputo Actieplan (2016-2030), de </w:t>
      </w:r>
      <w:r w:rsidRPr="000D308F" w:rsidR="00C0481A">
        <w:rPr>
          <w:rFonts w:ascii="Verdana" w:hAnsi="Verdana"/>
          <w:i/>
          <w:iCs/>
          <w:sz w:val="18"/>
          <w:szCs w:val="18"/>
        </w:rPr>
        <w:t xml:space="preserve">Montevideo Consensus on </w:t>
      </w:r>
      <w:proofErr w:type="spellStart"/>
      <w:r w:rsidRPr="000D308F" w:rsidR="00C0481A">
        <w:rPr>
          <w:rFonts w:ascii="Verdana" w:hAnsi="Verdana"/>
          <w:i/>
          <w:iCs/>
          <w:sz w:val="18"/>
          <w:szCs w:val="18"/>
        </w:rPr>
        <w:t>Population</w:t>
      </w:r>
      <w:proofErr w:type="spellEnd"/>
      <w:r w:rsidRPr="000D308F" w:rsidR="00C0481A">
        <w:rPr>
          <w:rFonts w:ascii="Verdana" w:hAnsi="Verdana"/>
          <w:i/>
          <w:iCs/>
          <w:sz w:val="18"/>
          <w:szCs w:val="18"/>
        </w:rPr>
        <w:t xml:space="preserve"> </w:t>
      </w:r>
      <w:proofErr w:type="spellStart"/>
      <w:r w:rsidRPr="000D308F" w:rsidR="00C0481A">
        <w:rPr>
          <w:rFonts w:ascii="Verdana" w:hAnsi="Verdana"/>
          <w:i/>
          <w:iCs/>
          <w:sz w:val="18"/>
          <w:szCs w:val="18"/>
        </w:rPr>
        <w:t>and</w:t>
      </w:r>
      <w:proofErr w:type="spellEnd"/>
      <w:r w:rsidRPr="000D308F" w:rsidR="00C0481A">
        <w:rPr>
          <w:rFonts w:ascii="Verdana" w:hAnsi="Verdana"/>
          <w:i/>
          <w:iCs/>
          <w:sz w:val="18"/>
          <w:szCs w:val="18"/>
        </w:rPr>
        <w:t xml:space="preserve"> Development</w:t>
      </w:r>
      <w:r w:rsidRPr="000D308F" w:rsidR="00C0481A">
        <w:rPr>
          <w:rFonts w:ascii="Verdana" w:hAnsi="Verdana"/>
          <w:sz w:val="18"/>
          <w:szCs w:val="18"/>
        </w:rPr>
        <w:t xml:space="preserve"> en de </w:t>
      </w:r>
      <w:proofErr w:type="spellStart"/>
      <w:r w:rsidRPr="000D308F" w:rsidR="00C0481A">
        <w:rPr>
          <w:rFonts w:ascii="Verdana" w:hAnsi="Verdana"/>
          <w:i/>
          <w:iCs/>
          <w:sz w:val="18"/>
          <w:szCs w:val="18"/>
        </w:rPr>
        <w:t>Asian</w:t>
      </w:r>
      <w:proofErr w:type="spellEnd"/>
      <w:r w:rsidRPr="000D308F" w:rsidR="00C0481A">
        <w:rPr>
          <w:rFonts w:ascii="Verdana" w:hAnsi="Verdana"/>
          <w:i/>
          <w:iCs/>
          <w:sz w:val="18"/>
          <w:szCs w:val="18"/>
        </w:rPr>
        <w:t xml:space="preserve"> </w:t>
      </w:r>
      <w:proofErr w:type="spellStart"/>
      <w:r w:rsidRPr="000D308F" w:rsidR="00C0481A">
        <w:rPr>
          <w:rFonts w:ascii="Verdana" w:hAnsi="Verdana"/>
          <w:i/>
          <w:iCs/>
          <w:sz w:val="18"/>
          <w:szCs w:val="18"/>
        </w:rPr>
        <w:t>and</w:t>
      </w:r>
      <w:proofErr w:type="spellEnd"/>
      <w:r w:rsidRPr="000D308F" w:rsidR="00C0481A">
        <w:rPr>
          <w:rFonts w:ascii="Verdana" w:hAnsi="Verdana"/>
          <w:i/>
          <w:iCs/>
          <w:sz w:val="18"/>
          <w:szCs w:val="18"/>
        </w:rPr>
        <w:t xml:space="preserve"> Pacific </w:t>
      </w:r>
      <w:proofErr w:type="spellStart"/>
      <w:r w:rsidRPr="000D308F" w:rsidR="00C0481A">
        <w:rPr>
          <w:rFonts w:ascii="Verdana" w:hAnsi="Verdana"/>
          <w:i/>
          <w:iCs/>
          <w:sz w:val="18"/>
          <w:szCs w:val="18"/>
        </w:rPr>
        <w:t>Ministerial</w:t>
      </w:r>
      <w:proofErr w:type="spellEnd"/>
      <w:r w:rsidRPr="000D308F" w:rsidR="00C0481A">
        <w:rPr>
          <w:rFonts w:ascii="Verdana" w:hAnsi="Verdana"/>
          <w:i/>
          <w:iCs/>
          <w:sz w:val="18"/>
          <w:szCs w:val="18"/>
        </w:rPr>
        <w:t xml:space="preserve"> </w:t>
      </w:r>
      <w:proofErr w:type="spellStart"/>
      <w:r w:rsidRPr="000D308F" w:rsidR="00C0481A">
        <w:rPr>
          <w:rFonts w:ascii="Verdana" w:hAnsi="Verdana"/>
          <w:i/>
          <w:iCs/>
          <w:sz w:val="18"/>
          <w:szCs w:val="18"/>
        </w:rPr>
        <w:t>Declaration</w:t>
      </w:r>
      <w:proofErr w:type="spellEnd"/>
      <w:r w:rsidRPr="000D308F" w:rsidR="00C0481A">
        <w:rPr>
          <w:rFonts w:ascii="Verdana" w:hAnsi="Verdana"/>
          <w:i/>
          <w:iCs/>
          <w:sz w:val="18"/>
          <w:szCs w:val="18"/>
        </w:rPr>
        <w:t xml:space="preserve"> on </w:t>
      </w:r>
      <w:proofErr w:type="spellStart"/>
      <w:r w:rsidRPr="000D308F" w:rsidR="00C0481A">
        <w:rPr>
          <w:rFonts w:ascii="Verdana" w:hAnsi="Verdana"/>
          <w:i/>
          <w:iCs/>
          <w:sz w:val="18"/>
          <w:szCs w:val="18"/>
        </w:rPr>
        <w:t>Population</w:t>
      </w:r>
      <w:proofErr w:type="spellEnd"/>
      <w:r w:rsidRPr="000D308F" w:rsidR="00C0481A">
        <w:rPr>
          <w:rFonts w:ascii="Verdana" w:hAnsi="Verdana"/>
          <w:i/>
          <w:iCs/>
          <w:sz w:val="18"/>
          <w:szCs w:val="18"/>
        </w:rPr>
        <w:t xml:space="preserve"> </w:t>
      </w:r>
      <w:proofErr w:type="spellStart"/>
      <w:r w:rsidRPr="000D308F" w:rsidR="00C0481A">
        <w:rPr>
          <w:rFonts w:ascii="Verdana" w:hAnsi="Verdana"/>
          <w:i/>
          <w:iCs/>
          <w:sz w:val="18"/>
          <w:szCs w:val="18"/>
        </w:rPr>
        <w:t>and</w:t>
      </w:r>
      <w:proofErr w:type="spellEnd"/>
      <w:r w:rsidRPr="000D308F" w:rsidR="00C0481A">
        <w:rPr>
          <w:rFonts w:ascii="Verdana" w:hAnsi="Verdana"/>
          <w:i/>
          <w:iCs/>
          <w:sz w:val="18"/>
          <w:szCs w:val="18"/>
        </w:rPr>
        <w:t xml:space="preserve"> Development</w:t>
      </w:r>
      <w:r w:rsidRPr="000D308F" w:rsidR="00C0481A">
        <w:rPr>
          <w:rFonts w:ascii="Verdana" w:hAnsi="Verdana"/>
          <w:sz w:val="18"/>
          <w:szCs w:val="18"/>
        </w:rPr>
        <w:t xml:space="preserve">. </w:t>
      </w:r>
      <w:r w:rsidRPr="000D308F">
        <w:rPr>
          <w:rFonts w:ascii="Verdana" w:hAnsi="Verdana"/>
          <w:sz w:val="18"/>
          <w:szCs w:val="18"/>
        </w:rPr>
        <w:t>De overeenkomst</w:t>
      </w:r>
      <w:r w:rsidRPr="000D308F" w:rsidR="00C0481A">
        <w:rPr>
          <w:rFonts w:ascii="Verdana" w:hAnsi="Verdana"/>
          <w:sz w:val="18"/>
          <w:szCs w:val="18"/>
        </w:rPr>
        <w:t xml:space="preserve"> benadrukt onder andere het belang van keuzevrijheid en zelfbeschikking, universele toegang tot kwalitatieve en betaalbare informatie en voorlichting over seksualiteit en reproductie, en het bieden van seksuele en reproductieve gezondheidszorg.</w:t>
      </w:r>
      <w:r w:rsidRPr="000D308F" w:rsidR="001A0F4C">
        <w:rPr>
          <w:rFonts w:ascii="Verdana" w:hAnsi="Verdana"/>
          <w:sz w:val="18"/>
          <w:szCs w:val="18"/>
        </w:rPr>
        <w:t xml:space="preserve"> Ook is h</w:t>
      </w:r>
      <w:r w:rsidRPr="000D308F" w:rsidR="00C0481A">
        <w:rPr>
          <w:rFonts w:ascii="Verdana" w:hAnsi="Verdana"/>
          <w:sz w:val="18"/>
          <w:szCs w:val="18"/>
        </w:rPr>
        <w:t xml:space="preserve">et non-discriminatiebeginsel opgenomen in artikel 9, </w:t>
      </w:r>
      <w:r w:rsidRPr="000D308F" w:rsidR="00B76661">
        <w:rPr>
          <w:rFonts w:ascii="Verdana" w:hAnsi="Verdana"/>
          <w:sz w:val="18"/>
          <w:szCs w:val="18"/>
        </w:rPr>
        <w:t>tweede lid</w:t>
      </w:r>
      <w:r w:rsidRPr="000D308F" w:rsidR="00FC7252">
        <w:rPr>
          <w:rFonts w:ascii="Verdana" w:hAnsi="Verdana"/>
          <w:sz w:val="18"/>
          <w:szCs w:val="18"/>
        </w:rPr>
        <w:t>,</w:t>
      </w:r>
      <w:r w:rsidRPr="000D308F" w:rsidR="00C0481A">
        <w:rPr>
          <w:rFonts w:ascii="Verdana" w:hAnsi="Verdana"/>
          <w:sz w:val="18"/>
          <w:szCs w:val="18"/>
        </w:rPr>
        <w:t xml:space="preserve"> van </w:t>
      </w:r>
      <w:r w:rsidRPr="000D308F" w:rsidR="00E028E9">
        <w:rPr>
          <w:rFonts w:ascii="Verdana" w:hAnsi="Verdana"/>
          <w:sz w:val="18"/>
          <w:szCs w:val="18"/>
        </w:rPr>
        <w:t>de Samoa-overeenkomst</w:t>
      </w:r>
      <w:r w:rsidRPr="000D308F" w:rsidR="001A0F4C">
        <w:rPr>
          <w:rFonts w:ascii="Verdana" w:hAnsi="Verdana"/>
          <w:sz w:val="18"/>
          <w:szCs w:val="18"/>
        </w:rPr>
        <w:t xml:space="preserve">. </w:t>
      </w:r>
    </w:p>
    <w:p w:rsidRPr="000D308F" w:rsidR="00C0481A" w:rsidP="00C0481A" w:rsidRDefault="00C0481A" w14:paraId="39A057D7" w14:textId="77777777">
      <w:pPr>
        <w:rPr>
          <w:rFonts w:ascii="Verdana" w:hAnsi="Verdana"/>
          <w:i/>
          <w:iCs/>
          <w:sz w:val="18"/>
          <w:szCs w:val="18"/>
        </w:rPr>
      </w:pPr>
      <w:r w:rsidRPr="000D308F">
        <w:rPr>
          <w:rFonts w:ascii="Verdana" w:hAnsi="Verdana"/>
          <w:i/>
          <w:iCs/>
          <w:sz w:val="18"/>
          <w:szCs w:val="18"/>
        </w:rPr>
        <w:t>Migratie en mobiliteit</w:t>
      </w:r>
    </w:p>
    <w:p w:rsidRPr="000D308F" w:rsidR="00C0481A" w:rsidP="00912C26" w:rsidRDefault="00912C26" w14:paraId="5756AAD8" w14:textId="7B33DA0D">
      <w:pPr>
        <w:rPr>
          <w:rFonts w:ascii="Verdana" w:hAnsi="Verdana"/>
          <w:sz w:val="18"/>
          <w:szCs w:val="18"/>
        </w:rPr>
      </w:pPr>
      <w:r w:rsidRPr="000D308F">
        <w:rPr>
          <w:rFonts w:ascii="Verdana" w:hAnsi="Verdana"/>
          <w:sz w:val="18"/>
          <w:szCs w:val="18"/>
        </w:rPr>
        <w:t xml:space="preserve">Op het gebied van migratie en mobiliteit zal de </w:t>
      </w:r>
      <w:r w:rsidRPr="000D308F" w:rsidR="00B40909">
        <w:rPr>
          <w:rFonts w:ascii="Verdana" w:hAnsi="Verdana"/>
          <w:sz w:val="18"/>
          <w:szCs w:val="18"/>
        </w:rPr>
        <w:t>Samoa-</w:t>
      </w:r>
      <w:r w:rsidRPr="000D308F" w:rsidR="005105A2">
        <w:rPr>
          <w:rFonts w:ascii="Verdana" w:hAnsi="Verdana"/>
          <w:sz w:val="18"/>
          <w:szCs w:val="18"/>
        </w:rPr>
        <w:t>overeenkomst</w:t>
      </w:r>
      <w:r w:rsidRPr="000D308F">
        <w:rPr>
          <w:rFonts w:ascii="Verdana" w:hAnsi="Verdana"/>
          <w:sz w:val="18"/>
          <w:szCs w:val="18"/>
        </w:rPr>
        <w:t xml:space="preserve">, in lijn met het </w:t>
      </w:r>
      <w:r w:rsidRPr="000D308F" w:rsidR="007410B5">
        <w:rPr>
          <w:rFonts w:ascii="Verdana" w:hAnsi="Verdana"/>
          <w:sz w:val="18"/>
          <w:szCs w:val="18"/>
        </w:rPr>
        <w:t>door de Commissie op 23 september 2020 gepresenteerde Asiel- en Migratiepact</w:t>
      </w:r>
      <w:r w:rsidRPr="000D308F" w:rsidR="00216B19">
        <w:rPr>
          <w:rFonts w:ascii="Verdana" w:hAnsi="Verdana"/>
          <w:sz w:val="18"/>
          <w:szCs w:val="18"/>
        </w:rPr>
        <w:t xml:space="preserve"> </w:t>
      </w:r>
      <w:r w:rsidRPr="000D308F">
        <w:rPr>
          <w:rFonts w:ascii="Verdana" w:hAnsi="Verdana"/>
          <w:sz w:val="18"/>
          <w:szCs w:val="18"/>
        </w:rPr>
        <w:t>inzetten op brede partnerschappen om migratiesamenwerking te verbeteren. Onder Titel VI</w:t>
      </w:r>
      <w:r w:rsidRPr="000D308F" w:rsidR="00BA0C23">
        <w:rPr>
          <w:rFonts w:ascii="Verdana" w:hAnsi="Verdana"/>
          <w:sz w:val="18"/>
          <w:szCs w:val="18"/>
        </w:rPr>
        <w:t>,</w:t>
      </w:r>
      <w:r w:rsidRPr="000D308F">
        <w:rPr>
          <w:rFonts w:ascii="Verdana" w:hAnsi="Verdana"/>
          <w:sz w:val="18"/>
          <w:szCs w:val="18"/>
        </w:rPr>
        <w:t xml:space="preserve"> artikel 62</w:t>
      </w:r>
      <w:r w:rsidRPr="000D308F" w:rsidR="00BA0C23">
        <w:rPr>
          <w:rFonts w:ascii="Verdana" w:hAnsi="Verdana"/>
          <w:sz w:val="18"/>
          <w:szCs w:val="18"/>
        </w:rPr>
        <w:t>,</w:t>
      </w:r>
      <w:r w:rsidRPr="000D308F">
        <w:rPr>
          <w:rFonts w:ascii="Verdana" w:hAnsi="Verdana"/>
          <w:sz w:val="18"/>
          <w:szCs w:val="18"/>
        </w:rPr>
        <w:t xml:space="preserve"> wordt aangegeven dat </w:t>
      </w:r>
      <w:r w:rsidRPr="000D308F" w:rsidR="006E6291">
        <w:rPr>
          <w:rFonts w:ascii="Verdana" w:hAnsi="Verdana"/>
          <w:sz w:val="18"/>
          <w:szCs w:val="18"/>
        </w:rPr>
        <w:t>de overeenkomst</w:t>
      </w:r>
      <w:r w:rsidRPr="000D308F">
        <w:rPr>
          <w:rFonts w:ascii="Verdana" w:hAnsi="Verdana"/>
          <w:sz w:val="18"/>
          <w:szCs w:val="18"/>
        </w:rPr>
        <w:t xml:space="preserve"> gebaseerd is op een alomvattende, coherente, pragmatische en gebalanceerde benadering. Onder </w:t>
      </w:r>
      <w:r w:rsidRPr="000D308F" w:rsidR="00E34B8A">
        <w:rPr>
          <w:rFonts w:ascii="Verdana" w:hAnsi="Verdana"/>
          <w:sz w:val="18"/>
          <w:szCs w:val="18"/>
        </w:rPr>
        <w:t xml:space="preserve">de </w:t>
      </w:r>
      <w:r w:rsidRPr="000D308F">
        <w:rPr>
          <w:rFonts w:ascii="Verdana" w:hAnsi="Verdana"/>
          <w:sz w:val="18"/>
          <w:szCs w:val="18"/>
        </w:rPr>
        <w:t>genoemd</w:t>
      </w:r>
      <w:r w:rsidRPr="000D308F" w:rsidR="00191EF6">
        <w:rPr>
          <w:rFonts w:ascii="Verdana" w:hAnsi="Verdana"/>
          <w:sz w:val="18"/>
          <w:szCs w:val="18"/>
        </w:rPr>
        <w:t>e</w:t>
      </w:r>
      <w:r w:rsidRPr="000D308F">
        <w:rPr>
          <w:rFonts w:ascii="Verdana" w:hAnsi="Verdana"/>
          <w:sz w:val="18"/>
          <w:szCs w:val="18"/>
        </w:rPr>
        <w:t xml:space="preserve"> titel volgen zes hoofdstukken die betrekking hebben op diverse aspecten van de migratiesamenwerking, van legale migratie, tot de aanpak van irreguliere migratie</w:t>
      </w:r>
      <w:r w:rsidRPr="000D308F" w:rsidR="001A0F4C">
        <w:rPr>
          <w:rFonts w:ascii="Verdana" w:hAnsi="Verdana"/>
          <w:sz w:val="18"/>
          <w:szCs w:val="18"/>
        </w:rPr>
        <w:t>,</w:t>
      </w:r>
      <w:r w:rsidRPr="000D308F">
        <w:rPr>
          <w:rFonts w:ascii="Verdana" w:hAnsi="Verdana"/>
          <w:sz w:val="18"/>
          <w:szCs w:val="18"/>
        </w:rPr>
        <w:t xml:space="preserve"> en bescherming en asiel. Verbeterde samenwerking op terugkeer en overname van irreguliere migranten is een cruciaal element van de overeenkomst, waarover </w:t>
      </w:r>
      <w:r w:rsidRPr="000D308F" w:rsidR="0060483B">
        <w:rPr>
          <w:rFonts w:ascii="Verdana" w:hAnsi="Verdana"/>
          <w:sz w:val="18"/>
          <w:szCs w:val="18"/>
        </w:rPr>
        <w:t>in aanvulling</w:t>
      </w:r>
      <w:r w:rsidRPr="000D308F">
        <w:rPr>
          <w:rFonts w:ascii="Verdana" w:hAnsi="Verdana"/>
          <w:sz w:val="18"/>
          <w:szCs w:val="18"/>
        </w:rPr>
        <w:t xml:space="preserve"> een annex met operationele uitwerking is opgenomen</w:t>
      </w:r>
      <w:r w:rsidRPr="000D308F" w:rsidR="001A0F4C">
        <w:rPr>
          <w:rFonts w:ascii="Verdana" w:hAnsi="Verdana"/>
          <w:sz w:val="18"/>
          <w:szCs w:val="18"/>
        </w:rPr>
        <w:t xml:space="preserve">. </w:t>
      </w:r>
      <w:r w:rsidRPr="000D308F">
        <w:rPr>
          <w:rFonts w:ascii="Verdana" w:hAnsi="Verdana"/>
          <w:sz w:val="18"/>
          <w:szCs w:val="18"/>
        </w:rPr>
        <w:t>In deze annex worden concrete afspraken gemaakt over onder andere geldige reisdocumenten en maximale reactietermijnen bij verzoeken tot terugkeer en overname van irreguliere migranten.</w:t>
      </w:r>
      <w:r w:rsidRPr="000D308F" w:rsidR="00595CD7">
        <w:rPr>
          <w:rFonts w:ascii="Verdana" w:hAnsi="Verdana"/>
          <w:sz w:val="18"/>
          <w:szCs w:val="18"/>
        </w:rPr>
        <w:t xml:space="preserve"> </w:t>
      </w:r>
      <w:r w:rsidRPr="000D308F" w:rsidR="00E028E9">
        <w:rPr>
          <w:rFonts w:ascii="Verdana" w:hAnsi="Verdana"/>
          <w:sz w:val="18"/>
          <w:szCs w:val="18"/>
        </w:rPr>
        <w:t>De Samoa-overeenkomst</w:t>
      </w:r>
      <w:r w:rsidRPr="000D308F" w:rsidR="001A0F4C">
        <w:rPr>
          <w:rFonts w:ascii="Verdana" w:hAnsi="Verdana"/>
          <w:sz w:val="18"/>
          <w:szCs w:val="18"/>
        </w:rPr>
        <w:t xml:space="preserve"> biedt</w:t>
      </w:r>
      <w:r w:rsidRPr="000D308F">
        <w:rPr>
          <w:rFonts w:ascii="Verdana" w:hAnsi="Verdana"/>
          <w:sz w:val="18"/>
          <w:szCs w:val="18"/>
        </w:rPr>
        <w:t xml:space="preserve"> </w:t>
      </w:r>
      <w:r w:rsidRPr="000D308F" w:rsidR="00595CD7">
        <w:rPr>
          <w:rFonts w:ascii="Verdana" w:hAnsi="Verdana"/>
          <w:sz w:val="18"/>
          <w:szCs w:val="18"/>
        </w:rPr>
        <w:t>daarnaast</w:t>
      </w:r>
      <w:r w:rsidRPr="000D308F" w:rsidR="007071F3">
        <w:rPr>
          <w:rFonts w:ascii="Verdana" w:hAnsi="Verdana"/>
          <w:sz w:val="18"/>
          <w:szCs w:val="18"/>
        </w:rPr>
        <w:t>, zoals hierboven</w:t>
      </w:r>
      <w:r w:rsidRPr="000D308F" w:rsidR="00C65861">
        <w:rPr>
          <w:rFonts w:ascii="Verdana" w:hAnsi="Verdana"/>
          <w:sz w:val="18"/>
          <w:szCs w:val="18"/>
        </w:rPr>
        <w:t xml:space="preserve"> en bij de toelichting van artikel 101</w:t>
      </w:r>
      <w:r w:rsidRPr="000D308F" w:rsidR="007071F3">
        <w:rPr>
          <w:rFonts w:ascii="Verdana" w:hAnsi="Verdana"/>
          <w:sz w:val="18"/>
          <w:szCs w:val="18"/>
        </w:rPr>
        <w:t xml:space="preserve"> aangegeven, </w:t>
      </w:r>
      <w:r w:rsidRPr="000D308F">
        <w:rPr>
          <w:rFonts w:ascii="Verdana" w:hAnsi="Verdana"/>
          <w:sz w:val="18"/>
          <w:szCs w:val="18"/>
        </w:rPr>
        <w:t>de mogelijkheid om passende</w:t>
      </w:r>
      <w:r w:rsidRPr="000D308F" w:rsidR="00BA0C23">
        <w:rPr>
          <w:rFonts w:ascii="Verdana" w:hAnsi="Verdana"/>
          <w:sz w:val="18"/>
          <w:szCs w:val="18"/>
        </w:rPr>
        <w:t xml:space="preserve"> en</w:t>
      </w:r>
      <w:r w:rsidRPr="000D308F">
        <w:rPr>
          <w:rFonts w:ascii="Verdana" w:hAnsi="Verdana"/>
          <w:sz w:val="18"/>
          <w:szCs w:val="18"/>
        </w:rPr>
        <w:t xml:space="preserve"> proportionele maatregelen te nemen bij niet-naleving van de </w:t>
      </w:r>
      <w:r w:rsidRPr="000D308F" w:rsidR="0071300D">
        <w:rPr>
          <w:rFonts w:ascii="Verdana" w:hAnsi="Verdana"/>
          <w:sz w:val="18"/>
          <w:szCs w:val="18"/>
        </w:rPr>
        <w:t xml:space="preserve">essentiële </w:t>
      </w:r>
      <w:r w:rsidRPr="000D308F">
        <w:rPr>
          <w:rFonts w:ascii="Verdana" w:hAnsi="Verdana"/>
          <w:sz w:val="18"/>
          <w:szCs w:val="18"/>
        </w:rPr>
        <w:t xml:space="preserve">beginselen uit het verdrag, </w:t>
      </w:r>
      <w:r w:rsidRPr="000D308F" w:rsidR="007071F3">
        <w:rPr>
          <w:rFonts w:ascii="Verdana" w:hAnsi="Verdana"/>
          <w:sz w:val="18"/>
          <w:szCs w:val="18"/>
        </w:rPr>
        <w:t xml:space="preserve">waaronder </w:t>
      </w:r>
      <w:r w:rsidRPr="000D308F">
        <w:rPr>
          <w:rFonts w:ascii="Verdana" w:hAnsi="Verdana"/>
          <w:sz w:val="18"/>
          <w:szCs w:val="18"/>
        </w:rPr>
        <w:t>op het gebied van migratie</w:t>
      </w:r>
      <w:r w:rsidRPr="000D308F" w:rsidR="007071F3">
        <w:rPr>
          <w:rFonts w:ascii="Verdana" w:hAnsi="Verdana"/>
          <w:sz w:val="18"/>
          <w:szCs w:val="18"/>
        </w:rPr>
        <w:t>. Hier</w:t>
      </w:r>
      <w:r w:rsidRPr="000D308F" w:rsidR="005C599B">
        <w:rPr>
          <w:rFonts w:ascii="Verdana" w:hAnsi="Verdana"/>
          <w:sz w:val="18"/>
          <w:szCs w:val="18"/>
        </w:rPr>
        <w:t>door</w:t>
      </w:r>
      <w:r w:rsidRPr="000D308F" w:rsidR="007071F3">
        <w:rPr>
          <w:rFonts w:ascii="Verdana" w:hAnsi="Verdana"/>
          <w:sz w:val="18"/>
          <w:szCs w:val="18"/>
        </w:rPr>
        <w:t xml:space="preserve"> is deze overeenkomst</w:t>
      </w:r>
      <w:r w:rsidRPr="000D308F" w:rsidR="00595CD7">
        <w:rPr>
          <w:rFonts w:ascii="Verdana" w:hAnsi="Verdana"/>
          <w:sz w:val="18"/>
          <w:szCs w:val="18"/>
        </w:rPr>
        <w:t xml:space="preserve"> ook een aanvulling op het gebied van migratiesamenwerking tussen de EU en de ACS-landen</w:t>
      </w:r>
      <w:r w:rsidRPr="000D308F" w:rsidR="007071F3">
        <w:rPr>
          <w:rFonts w:ascii="Verdana" w:hAnsi="Verdana"/>
          <w:sz w:val="18"/>
          <w:szCs w:val="18"/>
        </w:rPr>
        <w:t>.</w:t>
      </w:r>
    </w:p>
    <w:p w:rsidRPr="000D308F" w:rsidR="00C0481A" w:rsidP="00C0481A" w:rsidRDefault="00C0481A" w14:paraId="32E51535" w14:textId="77777777">
      <w:pPr>
        <w:rPr>
          <w:rFonts w:ascii="Verdana" w:hAnsi="Verdana"/>
          <w:i/>
          <w:iCs/>
          <w:sz w:val="18"/>
          <w:szCs w:val="18"/>
        </w:rPr>
      </w:pPr>
      <w:r w:rsidRPr="000D308F">
        <w:rPr>
          <w:rFonts w:ascii="Verdana" w:hAnsi="Verdana"/>
          <w:i/>
          <w:iCs/>
          <w:sz w:val="18"/>
          <w:szCs w:val="18"/>
        </w:rPr>
        <w:t>Klimaat, duurzame ontwikkeling en handel</w:t>
      </w:r>
    </w:p>
    <w:p w:rsidRPr="000D308F" w:rsidR="00912C26" w:rsidP="00912C26" w:rsidRDefault="00912C26" w14:paraId="5D8AF294" w14:textId="241184ED">
      <w:pPr>
        <w:rPr>
          <w:rFonts w:ascii="Verdana" w:hAnsi="Verdana"/>
          <w:sz w:val="18"/>
          <w:szCs w:val="18"/>
        </w:rPr>
      </w:pPr>
      <w:r w:rsidRPr="000D308F">
        <w:rPr>
          <w:rFonts w:ascii="Verdana" w:hAnsi="Verdana"/>
          <w:sz w:val="18"/>
          <w:szCs w:val="18"/>
        </w:rPr>
        <w:t>In de overeenkomst zijn</w:t>
      </w:r>
      <w:r w:rsidRPr="000D308F" w:rsidDel="00DC0438">
        <w:rPr>
          <w:rFonts w:ascii="Verdana" w:hAnsi="Verdana"/>
          <w:sz w:val="18"/>
          <w:szCs w:val="18"/>
        </w:rPr>
        <w:t xml:space="preserve"> </w:t>
      </w:r>
      <w:r w:rsidRPr="000D308F">
        <w:rPr>
          <w:rFonts w:ascii="Verdana" w:hAnsi="Verdana"/>
          <w:sz w:val="18"/>
          <w:szCs w:val="18"/>
        </w:rPr>
        <w:t>passages opgenomen over versterkte samenwerking op het gebied van klimaat en duurzame ontwikkeling waarbij de Duurzame Ontwikkelingsdoelen (</w:t>
      </w:r>
      <w:r w:rsidRPr="000D308F" w:rsidR="00084FB5">
        <w:rPr>
          <w:rFonts w:ascii="Verdana" w:hAnsi="Verdana"/>
          <w:sz w:val="18"/>
          <w:szCs w:val="18"/>
        </w:rPr>
        <w:t xml:space="preserve">hierna: </w:t>
      </w:r>
      <w:r w:rsidRPr="000D308F">
        <w:rPr>
          <w:rFonts w:ascii="Verdana" w:hAnsi="Verdana"/>
          <w:sz w:val="18"/>
          <w:szCs w:val="18"/>
        </w:rPr>
        <w:t>SDG</w:t>
      </w:r>
      <w:r w:rsidRPr="000D308F" w:rsidR="001A0F4C">
        <w:rPr>
          <w:rFonts w:ascii="Verdana" w:hAnsi="Verdana"/>
          <w:sz w:val="18"/>
          <w:szCs w:val="18"/>
        </w:rPr>
        <w:t>’</w:t>
      </w:r>
      <w:r w:rsidRPr="000D308F">
        <w:rPr>
          <w:rFonts w:ascii="Verdana" w:hAnsi="Verdana"/>
          <w:sz w:val="18"/>
          <w:szCs w:val="18"/>
        </w:rPr>
        <w:t xml:space="preserve">s) en </w:t>
      </w:r>
      <w:r w:rsidRPr="000D308F" w:rsidR="009B0428">
        <w:rPr>
          <w:rFonts w:ascii="Verdana" w:hAnsi="Verdana"/>
          <w:sz w:val="18"/>
          <w:szCs w:val="18"/>
        </w:rPr>
        <w:t xml:space="preserve">de </w:t>
      </w:r>
      <w:r w:rsidRPr="000D308F" w:rsidR="00E20519">
        <w:rPr>
          <w:rFonts w:ascii="Verdana" w:hAnsi="Verdana"/>
          <w:sz w:val="18"/>
          <w:szCs w:val="18"/>
        </w:rPr>
        <w:t xml:space="preserve">op 12 december 2015 te Parijs tot stand gekomen </w:t>
      </w:r>
      <w:r w:rsidRPr="000D308F" w:rsidR="003D2CC5">
        <w:rPr>
          <w:rFonts w:ascii="Verdana" w:hAnsi="Verdana"/>
          <w:sz w:val="18"/>
          <w:szCs w:val="18"/>
        </w:rPr>
        <w:t>O</w:t>
      </w:r>
      <w:r w:rsidRPr="000D308F" w:rsidR="005105A2">
        <w:rPr>
          <w:rFonts w:ascii="Verdana" w:hAnsi="Verdana"/>
          <w:sz w:val="18"/>
          <w:szCs w:val="18"/>
        </w:rPr>
        <w:t>vereenkomst</w:t>
      </w:r>
      <w:r w:rsidRPr="000D308F" w:rsidR="00E20519">
        <w:rPr>
          <w:rFonts w:ascii="Verdana" w:hAnsi="Verdana"/>
          <w:sz w:val="18"/>
          <w:szCs w:val="18"/>
        </w:rPr>
        <w:t xml:space="preserve"> van Parijs (</w:t>
      </w:r>
      <w:proofErr w:type="spellStart"/>
      <w:r w:rsidRPr="000D308F" w:rsidR="00E20519">
        <w:rPr>
          <w:rFonts w:ascii="Verdana" w:hAnsi="Verdana"/>
          <w:i/>
          <w:iCs/>
          <w:sz w:val="18"/>
          <w:szCs w:val="18"/>
        </w:rPr>
        <w:t>Trb</w:t>
      </w:r>
      <w:proofErr w:type="spellEnd"/>
      <w:r w:rsidRPr="000D308F" w:rsidR="00E20519">
        <w:rPr>
          <w:rFonts w:ascii="Verdana" w:hAnsi="Verdana"/>
          <w:i/>
          <w:iCs/>
          <w:sz w:val="18"/>
          <w:szCs w:val="18"/>
        </w:rPr>
        <w:t xml:space="preserve">. </w:t>
      </w:r>
      <w:r w:rsidRPr="000D308F" w:rsidR="00E20519">
        <w:rPr>
          <w:rFonts w:ascii="Verdana" w:hAnsi="Verdana"/>
          <w:sz w:val="18"/>
          <w:szCs w:val="18"/>
        </w:rPr>
        <w:t xml:space="preserve">2016, 94; hierna: </w:t>
      </w:r>
      <w:r w:rsidRPr="000D308F" w:rsidR="003D2CC5">
        <w:rPr>
          <w:rFonts w:ascii="Verdana" w:hAnsi="Verdana"/>
          <w:sz w:val="18"/>
          <w:szCs w:val="18"/>
        </w:rPr>
        <w:t>O</w:t>
      </w:r>
      <w:r w:rsidRPr="000D308F" w:rsidR="005105A2">
        <w:rPr>
          <w:rFonts w:ascii="Verdana" w:hAnsi="Verdana"/>
          <w:sz w:val="18"/>
          <w:szCs w:val="18"/>
        </w:rPr>
        <w:t>vereenkomst</w:t>
      </w:r>
      <w:r w:rsidRPr="000D308F" w:rsidR="00E20519">
        <w:rPr>
          <w:rFonts w:ascii="Verdana" w:hAnsi="Verdana"/>
          <w:sz w:val="18"/>
          <w:szCs w:val="18"/>
        </w:rPr>
        <w:t xml:space="preserve"> van Parijs) </w:t>
      </w:r>
      <w:r w:rsidRPr="000D308F">
        <w:rPr>
          <w:rFonts w:ascii="Verdana" w:hAnsi="Verdana"/>
          <w:sz w:val="18"/>
          <w:szCs w:val="18"/>
        </w:rPr>
        <w:t>leidend zijn. Het verdrag gaat onder andere in op de gevaren en negatieve gevolgen van klimaatverandering en verbindt partijen aan de inzet op klimaatactie gericht op adaptatie en mitigatie.</w:t>
      </w:r>
    </w:p>
    <w:p w:rsidRPr="000D308F" w:rsidR="00912C26" w:rsidP="00912C26" w:rsidRDefault="00E028E9" w14:paraId="3688FC18" w14:textId="3924443D">
      <w:pPr>
        <w:rPr>
          <w:rFonts w:ascii="Verdana" w:hAnsi="Verdana"/>
          <w:sz w:val="18"/>
          <w:szCs w:val="18"/>
        </w:rPr>
      </w:pPr>
      <w:r w:rsidRPr="000D308F">
        <w:rPr>
          <w:rFonts w:ascii="Verdana" w:hAnsi="Verdana"/>
          <w:sz w:val="18"/>
          <w:szCs w:val="18"/>
        </w:rPr>
        <w:t>De Samoa-overeenkomst</w:t>
      </w:r>
      <w:r w:rsidRPr="000D308F" w:rsidR="00912C26">
        <w:rPr>
          <w:rFonts w:ascii="Verdana" w:hAnsi="Verdana"/>
          <w:sz w:val="18"/>
          <w:szCs w:val="18"/>
        </w:rPr>
        <w:t xml:space="preserve"> richt zich daarnaast onder meer op het creëren van eerlijke banen en het versterken van de positie van gemarginaliseerde groepen, vrouwen en jongeren. Het nieuwe verdrag benoemt een aantal prioriteitssectoren voor samenwerking, waarin kansen liggen voor </w:t>
      </w:r>
      <w:r w:rsidRPr="000D308F" w:rsidR="001A0F4C">
        <w:rPr>
          <w:rFonts w:ascii="Verdana" w:hAnsi="Verdana"/>
          <w:sz w:val="18"/>
          <w:szCs w:val="18"/>
        </w:rPr>
        <w:t>waarde toevoeging</w:t>
      </w:r>
      <w:r w:rsidRPr="000D308F" w:rsidR="00912C26">
        <w:rPr>
          <w:rFonts w:ascii="Verdana" w:hAnsi="Verdana"/>
          <w:sz w:val="18"/>
          <w:szCs w:val="18"/>
        </w:rPr>
        <w:t xml:space="preserve"> en het creëren van fatsoenlijk werk. Naast samenwerking op het gebied van duurzame agrarische producten, is er aandacht voor de verdere ontwikkeling van dienstensectoren als duurzaam toerisme, duurzame energie, ICT en transport. Digitalisering van economieën is </w:t>
      </w:r>
      <w:r w:rsidRPr="000D308F" w:rsidR="006A3B81">
        <w:rPr>
          <w:rFonts w:ascii="Verdana" w:hAnsi="Verdana"/>
          <w:sz w:val="18"/>
          <w:szCs w:val="18"/>
        </w:rPr>
        <w:t xml:space="preserve">tevens </w:t>
      </w:r>
      <w:r w:rsidRPr="000D308F" w:rsidR="00912C26">
        <w:rPr>
          <w:rFonts w:ascii="Verdana" w:hAnsi="Verdana"/>
          <w:sz w:val="18"/>
          <w:szCs w:val="18"/>
        </w:rPr>
        <w:t>een aandachtsgebied binnen de overeenkomst.</w:t>
      </w:r>
    </w:p>
    <w:p w:rsidRPr="000D308F" w:rsidR="00912C26" w:rsidP="00912C26" w:rsidRDefault="00912C26" w14:paraId="403C06E0" w14:textId="3F5AA27D">
      <w:pPr>
        <w:rPr>
          <w:rFonts w:ascii="Verdana" w:hAnsi="Verdana"/>
          <w:sz w:val="18"/>
          <w:szCs w:val="18"/>
        </w:rPr>
      </w:pPr>
      <w:r w:rsidRPr="000D308F">
        <w:rPr>
          <w:rFonts w:ascii="Verdana" w:hAnsi="Verdana"/>
          <w:sz w:val="18"/>
          <w:szCs w:val="18"/>
        </w:rPr>
        <w:t xml:space="preserve">Handel wordt in de overeenkomst genoemd als middel om de ACS-landen verder te integreren in (sub-)regionale en mondiale waardenketens en om duurzame groei en ontwikkeling te bevorderen. </w:t>
      </w:r>
      <w:r w:rsidRPr="000D308F" w:rsidR="0060483B">
        <w:rPr>
          <w:rFonts w:ascii="Verdana" w:hAnsi="Verdana"/>
          <w:sz w:val="18"/>
          <w:szCs w:val="18"/>
        </w:rPr>
        <w:t xml:space="preserve">Tevens </w:t>
      </w:r>
      <w:r w:rsidRPr="000D308F" w:rsidR="00DC0438">
        <w:rPr>
          <w:rFonts w:ascii="Verdana" w:hAnsi="Verdana"/>
          <w:sz w:val="18"/>
          <w:szCs w:val="18"/>
        </w:rPr>
        <w:t xml:space="preserve">stelt de </w:t>
      </w:r>
      <w:r w:rsidRPr="000D308F" w:rsidR="00B40909">
        <w:rPr>
          <w:rFonts w:ascii="Verdana" w:hAnsi="Verdana"/>
          <w:sz w:val="18"/>
          <w:szCs w:val="18"/>
        </w:rPr>
        <w:t xml:space="preserve">tekst van de overeenkomst </w:t>
      </w:r>
      <w:r w:rsidRPr="000D308F" w:rsidR="00DC0438">
        <w:rPr>
          <w:rFonts w:ascii="Verdana" w:hAnsi="Verdana"/>
          <w:sz w:val="18"/>
          <w:szCs w:val="18"/>
        </w:rPr>
        <w:t xml:space="preserve">dat </w:t>
      </w:r>
      <w:r w:rsidRPr="000D308F">
        <w:rPr>
          <w:rFonts w:ascii="Verdana" w:hAnsi="Verdana"/>
          <w:sz w:val="18"/>
          <w:szCs w:val="18"/>
        </w:rPr>
        <w:t xml:space="preserve">de realisatie van de </w:t>
      </w:r>
      <w:proofErr w:type="spellStart"/>
      <w:r w:rsidRPr="000D308F">
        <w:rPr>
          <w:rFonts w:ascii="Verdana" w:hAnsi="Verdana"/>
          <w:i/>
          <w:iCs/>
          <w:sz w:val="18"/>
          <w:szCs w:val="18"/>
        </w:rPr>
        <w:t>African</w:t>
      </w:r>
      <w:proofErr w:type="spellEnd"/>
      <w:r w:rsidRPr="000D308F">
        <w:rPr>
          <w:rFonts w:ascii="Verdana" w:hAnsi="Verdana"/>
          <w:i/>
          <w:iCs/>
          <w:sz w:val="18"/>
          <w:szCs w:val="18"/>
        </w:rPr>
        <w:t xml:space="preserve"> </w:t>
      </w:r>
      <w:proofErr w:type="spellStart"/>
      <w:r w:rsidRPr="000D308F">
        <w:rPr>
          <w:rFonts w:ascii="Verdana" w:hAnsi="Verdana"/>
          <w:i/>
          <w:iCs/>
          <w:sz w:val="18"/>
          <w:szCs w:val="18"/>
        </w:rPr>
        <w:t>Continental</w:t>
      </w:r>
      <w:proofErr w:type="spellEnd"/>
      <w:r w:rsidRPr="000D308F">
        <w:rPr>
          <w:rFonts w:ascii="Verdana" w:hAnsi="Verdana"/>
          <w:i/>
          <w:iCs/>
          <w:sz w:val="18"/>
          <w:szCs w:val="18"/>
        </w:rPr>
        <w:t xml:space="preserve"> Free Trade Agreement</w:t>
      </w:r>
      <w:r w:rsidRPr="000D308F">
        <w:rPr>
          <w:rFonts w:ascii="Verdana" w:hAnsi="Verdana"/>
          <w:sz w:val="18"/>
          <w:szCs w:val="18"/>
        </w:rPr>
        <w:t xml:space="preserve"> (</w:t>
      </w:r>
      <w:proofErr w:type="spellStart"/>
      <w:r w:rsidRPr="000D308F">
        <w:rPr>
          <w:rFonts w:ascii="Verdana" w:hAnsi="Verdana"/>
          <w:sz w:val="18"/>
          <w:szCs w:val="18"/>
        </w:rPr>
        <w:t>AfCFTA</w:t>
      </w:r>
      <w:proofErr w:type="spellEnd"/>
      <w:r w:rsidRPr="000D308F">
        <w:rPr>
          <w:rFonts w:ascii="Verdana" w:hAnsi="Verdana"/>
          <w:sz w:val="18"/>
          <w:szCs w:val="18"/>
        </w:rPr>
        <w:t>) daaraan positief</w:t>
      </w:r>
      <w:r w:rsidRPr="000D308F" w:rsidR="00DC0438">
        <w:rPr>
          <w:rFonts w:ascii="Verdana" w:hAnsi="Verdana"/>
          <w:sz w:val="18"/>
          <w:szCs w:val="18"/>
        </w:rPr>
        <w:t xml:space="preserve"> kan</w:t>
      </w:r>
      <w:r w:rsidRPr="000D308F">
        <w:rPr>
          <w:rFonts w:ascii="Verdana" w:hAnsi="Verdana"/>
          <w:sz w:val="18"/>
          <w:szCs w:val="18"/>
        </w:rPr>
        <w:t xml:space="preserve"> bijdragen. </w:t>
      </w:r>
      <w:proofErr w:type="spellStart"/>
      <w:r w:rsidRPr="000D308F" w:rsidR="004A7C9A">
        <w:rPr>
          <w:rFonts w:ascii="Verdana" w:hAnsi="Verdana"/>
          <w:sz w:val="18"/>
          <w:szCs w:val="18"/>
        </w:rPr>
        <w:t>EPA’</w:t>
      </w:r>
      <w:r w:rsidRPr="000D308F" w:rsidR="00C63961">
        <w:rPr>
          <w:rFonts w:ascii="Verdana" w:hAnsi="Verdana"/>
          <w:sz w:val="18"/>
          <w:szCs w:val="18"/>
        </w:rPr>
        <w:t>s</w:t>
      </w:r>
      <w:proofErr w:type="spellEnd"/>
      <w:r w:rsidRPr="000D308F">
        <w:rPr>
          <w:rFonts w:ascii="Verdana" w:hAnsi="Verdana"/>
          <w:sz w:val="18"/>
          <w:szCs w:val="18"/>
        </w:rPr>
        <w:t xml:space="preserve"> blijven </w:t>
      </w:r>
      <w:r w:rsidRPr="000D308F" w:rsidR="006525CD">
        <w:rPr>
          <w:rFonts w:ascii="Verdana" w:hAnsi="Verdana"/>
          <w:sz w:val="18"/>
          <w:szCs w:val="18"/>
        </w:rPr>
        <w:t xml:space="preserve">echter </w:t>
      </w:r>
      <w:r w:rsidRPr="000D308F">
        <w:rPr>
          <w:rFonts w:ascii="Verdana" w:hAnsi="Verdana"/>
          <w:sz w:val="18"/>
          <w:szCs w:val="18"/>
        </w:rPr>
        <w:t>leidend in de handelsrelaties tussen de EU en de ACS-landen.</w:t>
      </w:r>
    </w:p>
    <w:p w:rsidR="00013792" w:rsidP="00912C26" w:rsidRDefault="00013792" w14:paraId="23C02EC4" w14:textId="77777777">
      <w:pPr>
        <w:rPr>
          <w:rFonts w:ascii="Verdana" w:hAnsi="Verdana" w:eastAsia="Times New Roman"/>
          <w:i/>
          <w:iCs/>
          <w:color w:val="000000"/>
          <w:sz w:val="18"/>
          <w:szCs w:val="18"/>
        </w:rPr>
      </w:pPr>
    </w:p>
    <w:p w:rsidRPr="000D308F" w:rsidR="00912C26" w:rsidP="00912C26" w:rsidRDefault="00912C26" w14:paraId="24C16327" w14:textId="3F831B6E">
      <w:pPr>
        <w:rPr>
          <w:rFonts w:ascii="Verdana" w:hAnsi="Verdana" w:eastAsia="Times New Roman"/>
          <w:i/>
          <w:iCs/>
          <w:color w:val="000000"/>
          <w:sz w:val="18"/>
          <w:szCs w:val="18"/>
        </w:rPr>
      </w:pPr>
      <w:r w:rsidRPr="000D308F">
        <w:rPr>
          <w:rFonts w:ascii="Verdana" w:hAnsi="Verdana" w:eastAsia="Times New Roman"/>
          <w:i/>
          <w:iCs/>
          <w:color w:val="000000"/>
          <w:sz w:val="18"/>
          <w:szCs w:val="18"/>
        </w:rPr>
        <w:lastRenderedPageBreak/>
        <w:t>Institutionele structuur, betrokkenheid derde landen en einddatum</w:t>
      </w:r>
    </w:p>
    <w:p w:rsidRPr="000D308F" w:rsidR="00912C26" w:rsidP="00912C26" w:rsidRDefault="00912C26" w14:paraId="2A058D10" w14:textId="105AA560">
      <w:pPr>
        <w:rPr>
          <w:rFonts w:ascii="Verdana" w:hAnsi="Verdana" w:eastAsia="Times New Roman"/>
          <w:color w:val="000000"/>
          <w:sz w:val="18"/>
          <w:szCs w:val="18"/>
        </w:rPr>
      </w:pPr>
      <w:r w:rsidRPr="000D308F">
        <w:rPr>
          <w:rFonts w:ascii="Verdana" w:hAnsi="Verdana" w:eastAsia="Times New Roman"/>
          <w:color w:val="000000"/>
          <w:sz w:val="18"/>
          <w:szCs w:val="18"/>
        </w:rPr>
        <w:t xml:space="preserve">De </w:t>
      </w:r>
      <w:r w:rsidRPr="000D308F" w:rsidR="00F50016">
        <w:rPr>
          <w:rFonts w:ascii="Verdana" w:hAnsi="Verdana" w:eastAsia="Times New Roman"/>
          <w:color w:val="000000"/>
          <w:sz w:val="18"/>
          <w:szCs w:val="18"/>
        </w:rPr>
        <w:t xml:space="preserve">Samoa-overeenkomst </w:t>
      </w:r>
      <w:r w:rsidRPr="000D308F">
        <w:rPr>
          <w:rFonts w:ascii="Verdana" w:hAnsi="Verdana" w:eastAsia="Times New Roman"/>
          <w:color w:val="000000"/>
          <w:sz w:val="18"/>
          <w:szCs w:val="18"/>
        </w:rPr>
        <w:t>laat een modernisering zien op het gebied van de institutionele structuur. Deze beweegt mee met de meer regionale benadering, waarbij het gewicht minder op de EU-ACS structuren ligt</w:t>
      </w:r>
      <w:r w:rsidRPr="000D308F" w:rsidR="00EC580A">
        <w:rPr>
          <w:rFonts w:ascii="Verdana" w:hAnsi="Verdana" w:eastAsia="Times New Roman"/>
          <w:color w:val="000000"/>
          <w:sz w:val="18"/>
          <w:szCs w:val="18"/>
        </w:rPr>
        <w:t>, waarbij alle regio’s tegelijkertijd werden benaderd</w:t>
      </w:r>
      <w:r w:rsidRPr="000D308F">
        <w:rPr>
          <w:rFonts w:ascii="Verdana" w:hAnsi="Verdana" w:eastAsia="Times New Roman"/>
          <w:color w:val="000000"/>
          <w:sz w:val="18"/>
          <w:szCs w:val="18"/>
        </w:rPr>
        <w:t>, en meer op de relatie tussen de EU en de drie afzonderlijke regio</w:t>
      </w:r>
      <w:r w:rsidRPr="000D308F" w:rsidR="00EC580A">
        <w:rPr>
          <w:rFonts w:ascii="Verdana" w:hAnsi="Verdana" w:eastAsia="Times New Roman"/>
          <w:color w:val="000000"/>
          <w:sz w:val="18"/>
          <w:szCs w:val="18"/>
        </w:rPr>
        <w:t>’</w:t>
      </w:r>
      <w:r w:rsidRPr="000D308F">
        <w:rPr>
          <w:rFonts w:ascii="Verdana" w:hAnsi="Verdana" w:eastAsia="Times New Roman"/>
          <w:color w:val="000000"/>
          <w:sz w:val="18"/>
          <w:szCs w:val="18"/>
        </w:rPr>
        <w:t>s</w:t>
      </w:r>
      <w:r w:rsidRPr="000D308F" w:rsidR="00EC580A">
        <w:rPr>
          <w:rFonts w:ascii="Verdana" w:hAnsi="Verdana" w:eastAsia="Times New Roman"/>
          <w:color w:val="000000"/>
          <w:sz w:val="18"/>
          <w:szCs w:val="18"/>
        </w:rPr>
        <w:t xml:space="preserve"> Afrika, </w:t>
      </w:r>
      <w:r w:rsidRPr="000D308F" w:rsidR="00FD47CB">
        <w:rPr>
          <w:rFonts w:ascii="Verdana" w:hAnsi="Verdana" w:eastAsia="Times New Roman"/>
          <w:color w:val="000000"/>
          <w:sz w:val="18"/>
          <w:szCs w:val="18"/>
        </w:rPr>
        <w:t xml:space="preserve">de </w:t>
      </w:r>
      <w:r w:rsidRPr="000D308F" w:rsidR="00EC580A">
        <w:rPr>
          <w:rFonts w:ascii="Verdana" w:hAnsi="Verdana" w:eastAsia="Times New Roman"/>
          <w:color w:val="000000"/>
          <w:sz w:val="18"/>
          <w:szCs w:val="18"/>
        </w:rPr>
        <w:t xml:space="preserve">Cariben en </w:t>
      </w:r>
      <w:r w:rsidRPr="000D308F" w:rsidR="00FD47CB">
        <w:rPr>
          <w:rFonts w:ascii="Verdana" w:hAnsi="Verdana" w:eastAsia="Times New Roman"/>
          <w:color w:val="000000"/>
          <w:sz w:val="18"/>
          <w:szCs w:val="18"/>
        </w:rPr>
        <w:t xml:space="preserve">de </w:t>
      </w:r>
      <w:r w:rsidRPr="000D308F" w:rsidR="00EC580A">
        <w:rPr>
          <w:rFonts w:ascii="Verdana" w:hAnsi="Verdana" w:eastAsia="Times New Roman"/>
          <w:color w:val="000000"/>
          <w:sz w:val="18"/>
          <w:szCs w:val="18"/>
        </w:rPr>
        <w:t>Stille Oceaan</w:t>
      </w:r>
      <w:r w:rsidRPr="000D308F">
        <w:rPr>
          <w:rFonts w:ascii="Verdana" w:hAnsi="Verdana" w:eastAsia="Times New Roman"/>
          <w:color w:val="000000"/>
          <w:sz w:val="18"/>
          <w:szCs w:val="18"/>
        </w:rPr>
        <w:t xml:space="preserve">. Zo worden regionale bijeenkomsten voorzien op ministerieel niveau en tussen parlementsleden uit de desbetreffende regio’s en vertegenwoordigers van het Europees </w:t>
      </w:r>
      <w:r w:rsidRPr="000D308F" w:rsidR="00610974">
        <w:rPr>
          <w:rFonts w:ascii="Verdana" w:hAnsi="Verdana" w:eastAsia="Times New Roman"/>
          <w:color w:val="000000"/>
          <w:sz w:val="18"/>
          <w:szCs w:val="18"/>
        </w:rPr>
        <w:t>Parlement</w:t>
      </w:r>
      <w:r w:rsidRPr="000D308F" w:rsidR="009F48AE">
        <w:rPr>
          <w:rFonts w:ascii="Verdana" w:hAnsi="Verdana" w:eastAsia="Times New Roman"/>
          <w:color w:val="000000"/>
          <w:sz w:val="18"/>
          <w:szCs w:val="18"/>
        </w:rPr>
        <w:t xml:space="preserve">. </w:t>
      </w:r>
      <w:r w:rsidRPr="000D308F" w:rsidR="0060483B">
        <w:rPr>
          <w:rFonts w:ascii="Verdana" w:hAnsi="Verdana" w:eastAsia="Times New Roman"/>
          <w:color w:val="000000"/>
          <w:sz w:val="18"/>
          <w:szCs w:val="18"/>
        </w:rPr>
        <w:t xml:space="preserve">Verder </w:t>
      </w:r>
      <w:r w:rsidRPr="000D308F">
        <w:rPr>
          <w:rFonts w:ascii="Verdana" w:hAnsi="Verdana" w:eastAsia="Times New Roman"/>
          <w:color w:val="000000"/>
          <w:sz w:val="18"/>
          <w:szCs w:val="18"/>
        </w:rPr>
        <w:t xml:space="preserve">wordt onder het </w:t>
      </w:r>
      <w:r w:rsidRPr="000D308F" w:rsidR="00881FCE">
        <w:rPr>
          <w:rFonts w:ascii="Verdana" w:hAnsi="Verdana" w:eastAsia="Times New Roman"/>
          <w:color w:val="000000"/>
          <w:sz w:val="18"/>
          <w:szCs w:val="18"/>
        </w:rPr>
        <w:t xml:space="preserve">Regionaal Protocol </w:t>
      </w:r>
      <w:r w:rsidRPr="000D308F">
        <w:rPr>
          <w:rFonts w:ascii="Verdana" w:hAnsi="Verdana" w:eastAsia="Times New Roman"/>
          <w:color w:val="000000"/>
          <w:sz w:val="18"/>
          <w:szCs w:val="18"/>
        </w:rPr>
        <w:t xml:space="preserve">Afrika regelmatig verwezen naar bestaande structuren onder de Afrikaanse Unie (AU). </w:t>
      </w:r>
      <w:r w:rsidRPr="000D308F" w:rsidR="00965E6E">
        <w:rPr>
          <w:rFonts w:ascii="Verdana" w:hAnsi="Verdana" w:eastAsia="Times New Roman"/>
          <w:color w:val="000000"/>
          <w:sz w:val="18"/>
          <w:szCs w:val="18"/>
        </w:rPr>
        <w:t xml:space="preserve">De </w:t>
      </w:r>
      <w:r w:rsidRPr="000D308F" w:rsidR="00B40909">
        <w:rPr>
          <w:rFonts w:ascii="Verdana" w:hAnsi="Verdana" w:eastAsia="Times New Roman"/>
          <w:color w:val="000000"/>
          <w:sz w:val="18"/>
          <w:szCs w:val="18"/>
        </w:rPr>
        <w:t xml:space="preserve">partijen bij de overeenkomst </w:t>
      </w:r>
      <w:r w:rsidRPr="000D308F" w:rsidR="00965E6E">
        <w:rPr>
          <w:rFonts w:ascii="Verdana" w:hAnsi="Verdana" w:eastAsia="Times New Roman"/>
          <w:color w:val="000000"/>
          <w:sz w:val="18"/>
          <w:szCs w:val="18"/>
        </w:rPr>
        <w:t xml:space="preserve">stellen tevens gezamenlijke instellingen op het niveau van de OACPS-leden en de EU in, waaronder </w:t>
      </w:r>
      <w:r w:rsidRPr="000D308F" w:rsidR="00B40909">
        <w:rPr>
          <w:rFonts w:ascii="Verdana" w:hAnsi="Verdana"/>
          <w:sz w:val="18"/>
          <w:szCs w:val="18"/>
        </w:rPr>
        <w:t>de OACPS-EU-Raad van Ministers, het OACPS-EU-Comité op het niveau van ambassadeurs of hoge ambtenaren</w:t>
      </w:r>
      <w:r w:rsidRPr="000D308F" w:rsidDel="00B359C6" w:rsidR="00B40909">
        <w:rPr>
          <w:rFonts w:ascii="Verdana" w:hAnsi="Verdana"/>
          <w:sz w:val="18"/>
          <w:szCs w:val="18"/>
        </w:rPr>
        <w:t xml:space="preserve"> </w:t>
      </w:r>
      <w:r w:rsidRPr="000D308F" w:rsidR="00B40909">
        <w:rPr>
          <w:rFonts w:ascii="Verdana" w:hAnsi="Verdana"/>
          <w:sz w:val="18"/>
          <w:szCs w:val="18"/>
        </w:rPr>
        <w:t>(OACPS-EU-</w:t>
      </w:r>
      <w:proofErr w:type="spellStart"/>
      <w:r w:rsidRPr="000D308F" w:rsidR="00B40909">
        <w:rPr>
          <w:rFonts w:ascii="Verdana" w:hAnsi="Verdana"/>
          <w:sz w:val="18"/>
          <w:szCs w:val="18"/>
        </w:rPr>
        <w:t>Alsoc</w:t>
      </w:r>
      <w:proofErr w:type="spellEnd"/>
      <w:r w:rsidRPr="000D308F" w:rsidR="00B40909">
        <w:rPr>
          <w:rFonts w:ascii="Verdana" w:hAnsi="Verdana"/>
          <w:sz w:val="18"/>
          <w:szCs w:val="18"/>
        </w:rPr>
        <w:t>) en de Paritaire Parlementaire Vergadering OACPS-EU</w:t>
      </w:r>
      <w:r w:rsidRPr="000D308F" w:rsidR="00965E6E">
        <w:rPr>
          <w:rFonts w:ascii="Verdana" w:hAnsi="Verdana" w:eastAsia="Times New Roman"/>
          <w:color w:val="000000"/>
          <w:sz w:val="18"/>
          <w:szCs w:val="18"/>
        </w:rPr>
        <w:t>.</w:t>
      </w:r>
    </w:p>
    <w:p w:rsidRPr="000D308F" w:rsidR="00912C26" w:rsidP="00912C26" w:rsidRDefault="00912C26" w14:paraId="581571B3" w14:textId="66BBF19C">
      <w:pPr>
        <w:rPr>
          <w:rFonts w:ascii="Verdana" w:hAnsi="Verdana" w:eastAsia="Times New Roman"/>
          <w:color w:val="000000"/>
          <w:sz w:val="18"/>
          <w:szCs w:val="18"/>
        </w:rPr>
      </w:pPr>
      <w:r w:rsidRPr="000D308F">
        <w:rPr>
          <w:rFonts w:ascii="Verdana" w:hAnsi="Verdana" w:eastAsia="Times New Roman"/>
          <w:color w:val="000000"/>
          <w:sz w:val="18"/>
          <w:szCs w:val="18"/>
        </w:rPr>
        <w:t>De overeenkomst legt vast dat actieve betrokkenheid van belanghebbenden, zoals het maatschappelijk middenveld, lokale autoriteiten en de private sector, voorzien is bij het verdrag. Hiertoe worden, waar relevant, mechanismen opgezet om deze betrokkenheid te bevorderen</w:t>
      </w:r>
      <w:r w:rsidRPr="000D308F" w:rsidR="00584913">
        <w:rPr>
          <w:rFonts w:ascii="Verdana" w:hAnsi="Verdana" w:eastAsia="Times New Roman"/>
          <w:color w:val="000000"/>
          <w:sz w:val="18"/>
          <w:szCs w:val="18"/>
        </w:rPr>
        <w:t xml:space="preserve">. </w:t>
      </w:r>
      <w:r w:rsidRPr="000D308F">
        <w:rPr>
          <w:rFonts w:ascii="Verdana" w:hAnsi="Verdana" w:eastAsia="Times New Roman"/>
          <w:color w:val="000000"/>
          <w:sz w:val="18"/>
          <w:szCs w:val="18"/>
        </w:rPr>
        <w:t>De overeenkomst gaat ook in op de mogelijkheden voor niet</w:t>
      </w:r>
      <w:r w:rsidRPr="000D308F" w:rsidR="00EC580A">
        <w:rPr>
          <w:rFonts w:ascii="Verdana" w:hAnsi="Verdana" w:eastAsia="Times New Roman"/>
          <w:color w:val="000000"/>
          <w:sz w:val="18"/>
          <w:szCs w:val="18"/>
        </w:rPr>
        <w:t>-</w:t>
      </w:r>
      <w:r w:rsidRPr="000D308F">
        <w:rPr>
          <w:rFonts w:ascii="Verdana" w:hAnsi="Verdana" w:eastAsia="Times New Roman"/>
          <w:color w:val="000000"/>
          <w:sz w:val="18"/>
          <w:szCs w:val="18"/>
        </w:rPr>
        <w:t xml:space="preserve">ACS-landen om betrokken te worden bij het verdrag. Zo kunnen niet-ACS landen partij worden bij het verdrag en wordt de mogelijkheid voor Afrikaanse landen die niet tot de ACS-landen behoren om betrokken te worden met het oog op regionale en continentale uitdagingen expliciet benoemd. Daarnaast kunnen derde landen en organisaties </w:t>
      </w:r>
      <w:r w:rsidRPr="000D308F" w:rsidR="00677728">
        <w:rPr>
          <w:rFonts w:ascii="Verdana" w:hAnsi="Verdana"/>
          <w:sz w:val="18"/>
          <w:szCs w:val="18"/>
        </w:rPr>
        <w:t xml:space="preserve">die de waarden en beginselen die aan de overeenkomst ten grondslag liggen onderschrijven en een toegevoegde waarde hebben bij het bevorderen van de specifieke doelstellingen en prioriteiten van het partnerschap </w:t>
      </w:r>
      <w:r w:rsidRPr="000D308F" w:rsidR="006E6291">
        <w:rPr>
          <w:rFonts w:ascii="Verdana" w:hAnsi="Verdana" w:eastAsia="Times New Roman"/>
          <w:color w:val="000000"/>
          <w:sz w:val="18"/>
          <w:szCs w:val="18"/>
        </w:rPr>
        <w:t>de status van waarnemer (</w:t>
      </w:r>
      <w:proofErr w:type="spellStart"/>
      <w:r w:rsidRPr="000D308F">
        <w:rPr>
          <w:rFonts w:ascii="Verdana" w:hAnsi="Verdana" w:eastAsia="Times New Roman"/>
          <w:i/>
          <w:iCs/>
          <w:color w:val="000000"/>
          <w:sz w:val="18"/>
          <w:szCs w:val="18"/>
        </w:rPr>
        <w:t>observer</w:t>
      </w:r>
      <w:proofErr w:type="spellEnd"/>
      <w:r w:rsidRPr="000D308F">
        <w:rPr>
          <w:rFonts w:ascii="Verdana" w:hAnsi="Verdana" w:eastAsia="Times New Roman"/>
          <w:i/>
          <w:iCs/>
          <w:color w:val="000000"/>
          <w:sz w:val="18"/>
          <w:szCs w:val="18"/>
        </w:rPr>
        <w:t xml:space="preserve"> status</w:t>
      </w:r>
      <w:r w:rsidRPr="000D308F" w:rsidR="006E6291">
        <w:rPr>
          <w:rFonts w:ascii="Verdana" w:hAnsi="Verdana" w:eastAsia="Times New Roman"/>
          <w:color w:val="000000"/>
          <w:sz w:val="18"/>
          <w:szCs w:val="18"/>
        </w:rPr>
        <w:t>)</w:t>
      </w:r>
      <w:r w:rsidRPr="000D308F">
        <w:rPr>
          <w:rFonts w:ascii="Verdana" w:hAnsi="Verdana" w:eastAsia="Times New Roman"/>
          <w:color w:val="000000"/>
          <w:sz w:val="18"/>
          <w:szCs w:val="18"/>
        </w:rPr>
        <w:t xml:space="preserve"> krijgen bij de opgezette instituties.</w:t>
      </w:r>
      <w:r w:rsidRPr="000D308F" w:rsidR="00677728">
        <w:rPr>
          <w:rFonts w:ascii="Verdana" w:hAnsi="Verdana"/>
          <w:sz w:val="18"/>
          <w:szCs w:val="18"/>
        </w:rPr>
        <w:t xml:space="preserve"> </w:t>
      </w:r>
      <w:r w:rsidRPr="000D308F" w:rsidR="00E028E9">
        <w:rPr>
          <w:rFonts w:ascii="Verdana" w:hAnsi="Verdana"/>
          <w:sz w:val="18"/>
          <w:szCs w:val="18"/>
        </w:rPr>
        <w:t xml:space="preserve">Derde landen, LGO als Aruba, </w:t>
      </w:r>
      <w:r w:rsidRPr="000D308F" w:rsidR="00610974">
        <w:rPr>
          <w:rFonts w:ascii="Verdana" w:hAnsi="Verdana"/>
          <w:sz w:val="18"/>
          <w:szCs w:val="18"/>
        </w:rPr>
        <w:t>Curaçao</w:t>
      </w:r>
      <w:r w:rsidRPr="000D308F" w:rsidR="00E028E9">
        <w:rPr>
          <w:rFonts w:ascii="Verdana" w:hAnsi="Verdana"/>
          <w:sz w:val="18"/>
          <w:szCs w:val="18"/>
        </w:rPr>
        <w:t xml:space="preserve"> en Sint Maarten</w:t>
      </w:r>
      <w:r w:rsidRPr="000D308F" w:rsidR="00677728">
        <w:rPr>
          <w:rFonts w:ascii="Verdana" w:hAnsi="Verdana"/>
          <w:sz w:val="18"/>
          <w:szCs w:val="18"/>
        </w:rPr>
        <w:t xml:space="preserve"> of organisatie</w:t>
      </w:r>
      <w:r w:rsidRPr="000D308F" w:rsidR="00E028E9">
        <w:rPr>
          <w:rFonts w:ascii="Verdana" w:hAnsi="Verdana"/>
          <w:sz w:val="18"/>
          <w:szCs w:val="18"/>
        </w:rPr>
        <w:t>s</w:t>
      </w:r>
      <w:r w:rsidRPr="000D308F" w:rsidR="00677728">
        <w:rPr>
          <w:rFonts w:ascii="Verdana" w:hAnsi="Verdana"/>
          <w:sz w:val="18"/>
          <w:szCs w:val="18"/>
        </w:rPr>
        <w:t xml:space="preserve"> met waarnemersstatus </w:t>
      </w:r>
      <w:r w:rsidRPr="000D308F" w:rsidR="00E028E9">
        <w:rPr>
          <w:rFonts w:ascii="Verdana" w:hAnsi="Verdana"/>
          <w:sz w:val="18"/>
          <w:szCs w:val="18"/>
        </w:rPr>
        <w:t>kunnen</w:t>
      </w:r>
      <w:r w:rsidRPr="000D308F" w:rsidR="00677728">
        <w:rPr>
          <w:rFonts w:ascii="Verdana" w:hAnsi="Verdana"/>
          <w:sz w:val="18"/>
          <w:szCs w:val="18"/>
        </w:rPr>
        <w:t xml:space="preserve"> niet deelnemen aan</w:t>
      </w:r>
      <w:r w:rsidRPr="000D308F" w:rsidR="00E028E9">
        <w:rPr>
          <w:rFonts w:ascii="Verdana" w:hAnsi="Verdana"/>
          <w:sz w:val="18"/>
          <w:szCs w:val="18"/>
        </w:rPr>
        <w:t xml:space="preserve"> de</w:t>
      </w:r>
      <w:r w:rsidRPr="000D308F" w:rsidR="00677728">
        <w:rPr>
          <w:rFonts w:ascii="Verdana" w:hAnsi="Verdana"/>
          <w:sz w:val="18"/>
          <w:szCs w:val="18"/>
        </w:rPr>
        <w:t xml:space="preserve"> stemming of besluitvorming in de door de overeenkomst</w:t>
      </w:r>
      <w:r w:rsidRPr="000D308F" w:rsidR="001D70BF">
        <w:rPr>
          <w:rFonts w:ascii="Verdana" w:hAnsi="Verdana"/>
          <w:sz w:val="18"/>
          <w:szCs w:val="18"/>
        </w:rPr>
        <w:t xml:space="preserve"> of protocollen</w:t>
      </w:r>
      <w:r w:rsidRPr="000D308F" w:rsidR="00677728">
        <w:rPr>
          <w:rFonts w:ascii="Verdana" w:hAnsi="Verdana"/>
          <w:sz w:val="18"/>
          <w:szCs w:val="18"/>
        </w:rPr>
        <w:t xml:space="preserve"> opgezette instituties, maar </w:t>
      </w:r>
      <w:r w:rsidRPr="000D308F" w:rsidR="00A95795">
        <w:rPr>
          <w:rFonts w:ascii="Verdana" w:hAnsi="Verdana"/>
          <w:sz w:val="18"/>
          <w:szCs w:val="18"/>
        </w:rPr>
        <w:t>word</w:t>
      </w:r>
      <w:r w:rsidRPr="000D308F" w:rsidR="00E028E9">
        <w:rPr>
          <w:rFonts w:ascii="Verdana" w:hAnsi="Verdana"/>
          <w:sz w:val="18"/>
          <w:szCs w:val="18"/>
        </w:rPr>
        <w:t>en</w:t>
      </w:r>
      <w:r w:rsidRPr="000D308F" w:rsidR="00A95795">
        <w:rPr>
          <w:rFonts w:ascii="Verdana" w:hAnsi="Verdana"/>
          <w:sz w:val="18"/>
          <w:szCs w:val="18"/>
        </w:rPr>
        <w:t xml:space="preserve">, in tegenstelling tot bij </w:t>
      </w:r>
      <w:r w:rsidRPr="000D308F" w:rsidR="000113B8">
        <w:rPr>
          <w:rFonts w:ascii="Verdana" w:hAnsi="Verdana"/>
          <w:sz w:val="18"/>
          <w:szCs w:val="18"/>
        </w:rPr>
        <w:t>de Cotonou-overeenkomst</w:t>
      </w:r>
      <w:r w:rsidRPr="000D308F" w:rsidR="00A95795">
        <w:rPr>
          <w:rFonts w:ascii="Verdana" w:hAnsi="Verdana"/>
          <w:sz w:val="18"/>
          <w:szCs w:val="18"/>
        </w:rPr>
        <w:t xml:space="preserve">, wel betrokken bij de besluitvorming </w:t>
      </w:r>
      <w:r w:rsidRPr="000D308F" w:rsidR="00E028E9">
        <w:rPr>
          <w:rFonts w:ascii="Verdana" w:hAnsi="Verdana"/>
          <w:sz w:val="18"/>
          <w:szCs w:val="18"/>
        </w:rPr>
        <w:t xml:space="preserve">hieromtrent </w:t>
      </w:r>
      <w:r w:rsidRPr="000D308F" w:rsidR="00A95795">
        <w:rPr>
          <w:rFonts w:ascii="Verdana" w:hAnsi="Verdana"/>
          <w:sz w:val="18"/>
          <w:szCs w:val="18"/>
        </w:rPr>
        <w:t>doordat zij in staat worden gesteld om deel te nemen aan de vergaderingen van deze instituties.</w:t>
      </w:r>
      <w:r w:rsidRPr="000D308F" w:rsidR="00CC11A5">
        <w:rPr>
          <w:rFonts w:ascii="Verdana" w:hAnsi="Verdana"/>
          <w:sz w:val="18"/>
          <w:szCs w:val="18"/>
        </w:rPr>
        <w:t xml:space="preserve"> </w:t>
      </w:r>
      <w:r w:rsidRPr="000D308F">
        <w:rPr>
          <w:rFonts w:ascii="Verdana" w:hAnsi="Verdana" w:eastAsia="Times New Roman"/>
          <w:color w:val="000000"/>
          <w:sz w:val="18"/>
          <w:szCs w:val="18"/>
        </w:rPr>
        <w:t xml:space="preserve">In de overeenkomst wordt </w:t>
      </w:r>
      <w:r w:rsidRPr="000D308F" w:rsidR="00677728">
        <w:rPr>
          <w:rFonts w:ascii="Verdana" w:hAnsi="Verdana" w:eastAsia="Times New Roman"/>
          <w:color w:val="000000"/>
          <w:sz w:val="18"/>
          <w:szCs w:val="18"/>
        </w:rPr>
        <w:t xml:space="preserve">verder </w:t>
      </w:r>
      <w:r w:rsidRPr="000D308F">
        <w:rPr>
          <w:rFonts w:ascii="Verdana" w:hAnsi="Verdana" w:eastAsia="Times New Roman"/>
          <w:color w:val="000000"/>
          <w:sz w:val="18"/>
          <w:szCs w:val="18"/>
        </w:rPr>
        <w:t xml:space="preserve">apart ingegaan op de status van de </w:t>
      </w:r>
      <w:r w:rsidRPr="000D308F" w:rsidR="00843DE1">
        <w:rPr>
          <w:rFonts w:ascii="Verdana" w:hAnsi="Verdana" w:eastAsia="Times New Roman"/>
          <w:color w:val="000000"/>
          <w:sz w:val="18"/>
          <w:szCs w:val="18"/>
        </w:rPr>
        <w:t>LGO</w:t>
      </w:r>
      <w:r w:rsidRPr="000D308F">
        <w:rPr>
          <w:rFonts w:ascii="Verdana" w:hAnsi="Verdana" w:eastAsia="Times New Roman"/>
          <w:color w:val="000000"/>
          <w:sz w:val="18"/>
          <w:szCs w:val="18"/>
        </w:rPr>
        <w:t xml:space="preserve"> en </w:t>
      </w:r>
      <w:r w:rsidRPr="000D308F">
        <w:rPr>
          <w:rFonts w:ascii="Verdana" w:hAnsi="Verdana" w:eastAsia="Times New Roman"/>
          <w:i/>
          <w:iCs/>
          <w:color w:val="000000"/>
          <w:sz w:val="18"/>
          <w:szCs w:val="18"/>
        </w:rPr>
        <w:t xml:space="preserve">Outermost </w:t>
      </w:r>
      <w:proofErr w:type="spellStart"/>
      <w:r w:rsidRPr="000D308F">
        <w:rPr>
          <w:rFonts w:ascii="Verdana" w:hAnsi="Verdana" w:eastAsia="Times New Roman"/>
          <w:i/>
          <w:iCs/>
          <w:color w:val="000000"/>
          <w:sz w:val="18"/>
          <w:szCs w:val="18"/>
        </w:rPr>
        <w:t>Regions</w:t>
      </w:r>
      <w:proofErr w:type="spellEnd"/>
      <w:r w:rsidRPr="000D308F">
        <w:rPr>
          <w:rFonts w:ascii="Verdana" w:hAnsi="Verdana" w:eastAsia="Times New Roman"/>
          <w:color w:val="000000"/>
          <w:sz w:val="18"/>
          <w:szCs w:val="18"/>
        </w:rPr>
        <w:t xml:space="preserve"> (OR) waarmee de banden versterkt zullen worden en</w:t>
      </w:r>
      <w:r w:rsidRPr="000D308F" w:rsidR="009B376A">
        <w:rPr>
          <w:rFonts w:ascii="Verdana" w:hAnsi="Verdana" w:eastAsia="Times New Roman"/>
          <w:color w:val="000000"/>
          <w:sz w:val="18"/>
          <w:szCs w:val="18"/>
        </w:rPr>
        <w:t xml:space="preserve"> wordt verder gespecificeerd</w:t>
      </w:r>
      <w:r w:rsidRPr="000D308F">
        <w:rPr>
          <w:rFonts w:ascii="Verdana" w:hAnsi="Verdana" w:eastAsia="Times New Roman"/>
          <w:color w:val="000000"/>
          <w:sz w:val="18"/>
          <w:szCs w:val="18"/>
        </w:rPr>
        <w:t xml:space="preserve"> welke </w:t>
      </w:r>
      <w:r w:rsidRPr="000D308F" w:rsidR="009B376A">
        <w:rPr>
          <w:rFonts w:ascii="Verdana" w:hAnsi="Verdana" w:eastAsia="Times New Roman"/>
          <w:color w:val="000000"/>
          <w:sz w:val="18"/>
          <w:szCs w:val="18"/>
        </w:rPr>
        <w:t xml:space="preserve">LGO en OR </w:t>
      </w:r>
      <w:r w:rsidRPr="000D308F">
        <w:rPr>
          <w:rFonts w:ascii="Verdana" w:hAnsi="Verdana" w:eastAsia="Times New Roman"/>
          <w:color w:val="000000"/>
          <w:sz w:val="18"/>
          <w:szCs w:val="18"/>
        </w:rPr>
        <w:t xml:space="preserve">een </w:t>
      </w:r>
      <w:r w:rsidRPr="000D308F" w:rsidR="00570A31">
        <w:rPr>
          <w:rFonts w:ascii="Verdana" w:hAnsi="Verdana" w:eastAsia="Times New Roman"/>
          <w:color w:val="000000"/>
          <w:sz w:val="18"/>
          <w:szCs w:val="18"/>
        </w:rPr>
        <w:t>waarnemersstatus</w:t>
      </w:r>
      <w:r w:rsidRPr="000D308F">
        <w:rPr>
          <w:rFonts w:ascii="Verdana" w:hAnsi="Verdana" w:eastAsia="Times New Roman"/>
          <w:color w:val="000000"/>
          <w:sz w:val="18"/>
          <w:szCs w:val="18"/>
        </w:rPr>
        <w:t xml:space="preserve"> krijgen in de regionale instituties.</w:t>
      </w:r>
    </w:p>
    <w:p w:rsidRPr="000D308F" w:rsidR="006305C2" w:rsidP="00EC4F1D" w:rsidRDefault="00E028E9" w14:paraId="3AA6299E" w14:textId="1F409530">
      <w:pPr>
        <w:rPr>
          <w:rFonts w:ascii="Verdana" w:hAnsi="Verdana"/>
          <w:sz w:val="18"/>
          <w:szCs w:val="18"/>
        </w:rPr>
      </w:pPr>
      <w:r w:rsidRPr="000D308F">
        <w:rPr>
          <w:rFonts w:ascii="Verdana" w:hAnsi="Verdana"/>
          <w:sz w:val="18"/>
          <w:szCs w:val="18"/>
        </w:rPr>
        <w:t>De Samoa-overeenkomst</w:t>
      </w:r>
      <w:r w:rsidRPr="000D308F" w:rsidR="00835D39">
        <w:rPr>
          <w:rFonts w:ascii="Verdana" w:hAnsi="Verdana"/>
          <w:sz w:val="18"/>
          <w:szCs w:val="18"/>
        </w:rPr>
        <w:t xml:space="preserve"> kent </w:t>
      </w:r>
      <w:r w:rsidRPr="000D308F" w:rsidR="006E6291">
        <w:rPr>
          <w:rFonts w:ascii="Verdana" w:hAnsi="Verdana"/>
          <w:sz w:val="18"/>
          <w:szCs w:val="18"/>
        </w:rPr>
        <w:t xml:space="preserve">een bepaling inzake </w:t>
      </w:r>
      <w:r w:rsidRPr="000D308F" w:rsidR="00835D39">
        <w:rPr>
          <w:rFonts w:ascii="Verdana" w:hAnsi="Verdana"/>
          <w:sz w:val="18"/>
          <w:szCs w:val="18"/>
        </w:rPr>
        <w:t>de geldigheidsduur</w:t>
      </w:r>
      <w:r w:rsidRPr="000D308F" w:rsidR="00CD35F6">
        <w:rPr>
          <w:rFonts w:ascii="Verdana" w:hAnsi="Verdana"/>
          <w:sz w:val="18"/>
          <w:szCs w:val="18"/>
        </w:rPr>
        <w:t xml:space="preserve"> (artikel 99)</w:t>
      </w:r>
      <w:r w:rsidRPr="000D308F" w:rsidR="00835D39">
        <w:rPr>
          <w:rFonts w:ascii="Verdana" w:hAnsi="Verdana"/>
          <w:sz w:val="18"/>
          <w:szCs w:val="18"/>
        </w:rPr>
        <w:t xml:space="preserve">. </w:t>
      </w:r>
      <w:r w:rsidRPr="000D308F" w:rsidR="006305C2">
        <w:rPr>
          <w:rFonts w:ascii="Verdana" w:hAnsi="Verdana"/>
          <w:sz w:val="18"/>
          <w:szCs w:val="18"/>
        </w:rPr>
        <w:t xml:space="preserve">De overeenkomst </w:t>
      </w:r>
      <w:r w:rsidRPr="000D308F" w:rsidR="006E6291">
        <w:rPr>
          <w:rFonts w:ascii="Verdana" w:hAnsi="Verdana"/>
          <w:sz w:val="18"/>
          <w:szCs w:val="18"/>
        </w:rPr>
        <w:t xml:space="preserve">zal </w:t>
      </w:r>
      <w:r w:rsidRPr="000D308F" w:rsidR="006305C2">
        <w:rPr>
          <w:rFonts w:ascii="Verdana" w:hAnsi="Verdana"/>
          <w:sz w:val="18"/>
          <w:szCs w:val="18"/>
        </w:rPr>
        <w:t>in eerste instantie voor twintig jaar</w:t>
      </w:r>
      <w:r w:rsidRPr="000D308F" w:rsidR="006E6291">
        <w:rPr>
          <w:rFonts w:ascii="Verdana" w:hAnsi="Verdana"/>
          <w:sz w:val="18"/>
          <w:szCs w:val="18"/>
        </w:rPr>
        <w:t xml:space="preserve"> van toepassing zijn</w:t>
      </w:r>
      <w:r w:rsidRPr="000D308F" w:rsidR="006305C2">
        <w:rPr>
          <w:rFonts w:ascii="Verdana" w:hAnsi="Verdana"/>
          <w:sz w:val="18"/>
          <w:szCs w:val="18"/>
        </w:rPr>
        <w:t xml:space="preserve"> nadat deze in werking is getreden</w:t>
      </w:r>
      <w:r w:rsidRPr="000D308F" w:rsidR="00916EC6">
        <w:rPr>
          <w:rFonts w:ascii="Verdana" w:hAnsi="Verdana"/>
          <w:sz w:val="18"/>
          <w:szCs w:val="18"/>
        </w:rPr>
        <w:t>. Drie</w:t>
      </w:r>
      <w:r w:rsidRPr="000D308F" w:rsidR="006305C2">
        <w:rPr>
          <w:rFonts w:ascii="Verdana" w:hAnsi="Verdana"/>
          <w:sz w:val="18"/>
          <w:szCs w:val="18"/>
        </w:rPr>
        <w:t xml:space="preserve"> jaar voor deze datum zal </w:t>
      </w:r>
      <w:r w:rsidRPr="000D308F" w:rsidR="00916EC6">
        <w:rPr>
          <w:rFonts w:ascii="Verdana" w:hAnsi="Verdana"/>
          <w:sz w:val="18"/>
          <w:szCs w:val="18"/>
        </w:rPr>
        <w:t>e</w:t>
      </w:r>
      <w:r w:rsidRPr="000D308F" w:rsidR="006305C2">
        <w:rPr>
          <w:rFonts w:ascii="Verdana" w:hAnsi="Verdana"/>
          <w:sz w:val="18"/>
          <w:szCs w:val="18"/>
        </w:rPr>
        <w:t>e</w:t>
      </w:r>
      <w:r w:rsidRPr="000D308F" w:rsidR="00916EC6">
        <w:rPr>
          <w:rFonts w:ascii="Verdana" w:hAnsi="Verdana"/>
          <w:sz w:val="18"/>
          <w:szCs w:val="18"/>
        </w:rPr>
        <w:t>n</w:t>
      </w:r>
      <w:r w:rsidRPr="000D308F" w:rsidR="006305C2">
        <w:rPr>
          <w:rFonts w:ascii="Verdana" w:hAnsi="Verdana"/>
          <w:sz w:val="18"/>
          <w:szCs w:val="18"/>
        </w:rPr>
        <w:t xml:space="preserve"> dialoog gestart worden over het vervolg of de afloop van het verdrag.</w:t>
      </w:r>
    </w:p>
    <w:p w:rsidRPr="000D308F" w:rsidR="009740D1" w:rsidP="00EC4F1D" w:rsidRDefault="00EC4F1D" w14:paraId="6B7FE2D2" w14:textId="0BA80372">
      <w:pPr>
        <w:rPr>
          <w:rFonts w:ascii="Verdana" w:hAnsi="Verdana"/>
          <w:sz w:val="18"/>
          <w:szCs w:val="18"/>
        </w:rPr>
      </w:pPr>
      <w:r w:rsidRPr="000D308F">
        <w:rPr>
          <w:rFonts w:ascii="Verdana" w:hAnsi="Verdana"/>
          <w:b/>
          <w:bCs/>
          <w:sz w:val="18"/>
          <w:szCs w:val="18"/>
        </w:rPr>
        <w:t>1.4 Beoordeling van de partnerschapsovereenkomst</w:t>
      </w:r>
    </w:p>
    <w:p w:rsidRPr="000D308F" w:rsidR="005E6DD4" w:rsidP="00EC4F1D" w:rsidRDefault="00C67F3F" w14:paraId="6144E40E" w14:textId="261EA6BA">
      <w:pPr>
        <w:rPr>
          <w:rFonts w:ascii="Verdana" w:hAnsi="Verdana"/>
          <w:sz w:val="18"/>
          <w:szCs w:val="18"/>
        </w:rPr>
      </w:pPr>
      <w:r w:rsidRPr="000D308F">
        <w:rPr>
          <w:rFonts w:ascii="Verdana" w:hAnsi="Verdana"/>
          <w:sz w:val="18"/>
          <w:szCs w:val="18"/>
        </w:rPr>
        <w:t xml:space="preserve">De regering ondersteunt de doelstellingen van </w:t>
      </w:r>
      <w:r w:rsidRPr="000D308F" w:rsidR="00E028E9">
        <w:rPr>
          <w:rFonts w:ascii="Verdana" w:hAnsi="Verdana"/>
          <w:sz w:val="18"/>
          <w:szCs w:val="18"/>
        </w:rPr>
        <w:t>de Samoa-overeenkomst</w:t>
      </w:r>
      <w:r w:rsidRPr="000D308F">
        <w:rPr>
          <w:rFonts w:ascii="Verdana" w:hAnsi="Verdana"/>
          <w:sz w:val="18"/>
          <w:szCs w:val="18"/>
        </w:rPr>
        <w:t>.</w:t>
      </w:r>
      <w:r w:rsidRPr="000D308F" w:rsidR="00FF4FDC">
        <w:rPr>
          <w:rStyle w:val="FootnoteReference"/>
          <w:rFonts w:ascii="Verdana" w:hAnsi="Verdana"/>
          <w:sz w:val="18"/>
          <w:szCs w:val="18"/>
        </w:rPr>
        <w:footnoteReference w:id="10"/>
      </w:r>
      <w:r w:rsidRPr="000D308F">
        <w:rPr>
          <w:rFonts w:ascii="Verdana" w:hAnsi="Verdana"/>
          <w:sz w:val="18"/>
          <w:szCs w:val="18"/>
        </w:rPr>
        <w:t xml:space="preserve"> De </w:t>
      </w:r>
      <w:r w:rsidRPr="000D308F" w:rsidR="005105A2">
        <w:rPr>
          <w:rFonts w:ascii="Verdana" w:hAnsi="Verdana"/>
          <w:sz w:val="18"/>
          <w:szCs w:val="18"/>
        </w:rPr>
        <w:t>overeenkomst</w:t>
      </w:r>
      <w:r w:rsidRPr="000D308F">
        <w:rPr>
          <w:rFonts w:ascii="Verdana" w:hAnsi="Verdana"/>
          <w:sz w:val="18"/>
          <w:szCs w:val="18"/>
        </w:rPr>
        <w:t xml:space="preserve"> zal het partnerschap tussen de EU en de ACS-landen versterken en de politieke en sectorale samenwerking intensiveren. </w:t>
      </w:r>
      <w:r w:rsidRPr="000D308F" w:rsidR="00710678">
        <w:rPr>
          <w:rFonts w:ascii="Verdana" w:hAnsi="Verdana"/>
          <w:sz w:val="18"/>
          <w:szCs w:val="18"/>
        </w:rPr>
        <w:t xml:space="preserve">De regering oordeelt dat de aandacht voor regionalisering, waarbij de inzet van de EU is toegespitst op specifieke regionale behoeften en uitdagingen, positief is. </w:t>
      </w:r>
      <w:r w:rsidRPr="000D308F" w:rsidR="000558DE">
        <w:rPr>
          <w:rFonts w:ascii="Verdana" w:hAnsi="Verdana"/>
          <w:sz w:val="18"/>
          <w:szCs w:val="18"/>
        </w:rPr>
        <w:t xml:space="preserve">De context in het Caribisch gebied verschilt immers aanzienlijk van de context in Afrika en de landen in de Stille Oceaan. </w:t>
      </w:r>
      <w:r w:rsidRPr="000D308F" w:rsidR="00402552">
        <w:rPr>
          <w:rFonts w:ascii="Verdana" w:hAnsi="Verdana"/>
          <w:sz w:val="18"/>
          <w:szCs w:val="18"/>
        </w:rPr>
        <w:t xml:space="preserve">De regering beoordeelt het verdrag per saldo in lijn met de Nederlandse inzet op het gebied van mensenrechten en SRGR. </w:t>
      </w:r>
    </w:p>
    <w:p w:rsidRPr="000D308F" w:rsidR="005E6DD4" w:rsidP="00EC4F1D" w:rsidRDefault="00C303E7" w14:paraId="0223E12E" w14:textId="14D9B252">
      <w:pPr>
        <w:rPr>
          <w:rFonts w:ascii="Verdana" w:hAnsi="Verdana"/>
          <w:sz w:val="18"/>
          <w:szCs w:val="18"/>
        </w:rPr>
      </w:pPr>
      <w:r w:rsidRPr="000D308F">
        <w:rPr>
          <w:rFonts w:ascii="Verdana" w:hAnsi="Verdana"/>
          <w:sz w:val="18"/>
          <w:szCs w:val="18"/>
        </w:rPr>
        <w:t xml:space="preserve">De regering beoordeelt de bepalingen op het gebied van migratie en mobiliteit positief en in lijn met de Nederlandse inzet. </w:t>
      </w:r>
      <w:r w:rsidRPr="000D308F" w:rsidR="005E6DD4">
        <w:rPr>
          <w:rFonts w:ascii="Verdana" w:hAnsi="Verdana"/>
          <w:sz w:val="18"/>
          <w:szCs w:val="18"/>
        </w:rPr>
        <w:t xml:space="preserve">De regering acht de verbeterde samenwerking op terugkeer en overname van irreguliere migranten een cruciaal onderdeel van de </w:t>
      </w:r>
      <w:r w:rsidRPr="000D308F" w:rsidR="005105A2">
        <w:rPr>
          <w:rFonts w:ascii="Verdana" w:hAnsi="Verdana"/>
          <w:sz w:val="18"/>
          <w:szCs w:val="18"/>
        </w:rPr>
        <w:t>overeenkomst</w:t>
      </w:r>
      <w:r w:rsidRPr="000D308F" w:rsidR="005E6DD4">
        <w:rPr>
          <w:rFonts w:ascii="Verdana" w:hAnsi="Verdana"/>
          <w:sz w:val="18"/>
          <w:szCs w:val="18"/>
        </w:rPr>
        <w:t>, waarover</w:t>
      </w:r>
      <w:r w:rsidRPr="000D308F" w:rsidDel="0060483B" w:rsidR="005E6DD4">
        <w:rPr>
          <w:rFonts w:ascii="Verdana" w:hAnsi="Verdana"/>
          <w:sz w:val="18"/>
          <w:szCs w:val="18"/>
        </w:rPr>
        <w:t xml:space="preserve"> </w:t>
      </w:r>
      <w:r w:rsidRPr="000D308F" w:rsidR="005E6DD4">
        <w:rPr>
          <w:rFonts w:ascii="Verdana" w:hAnsi="Verdana"/>
          <w:sz w:val="18"/>
          <w:szCs w:val="18"/>
        </w:rPr>
        <w:t xml:space="preserve">een Annex met operationele samenwerking is opgenomen in lijn met </w:t>
      </w:r>
      <w:r w:rsidRPr="000D308F" w:rsidR="00FC003A">
        <w:rPr>
          <w:rFonts w:ascii="Verdana" w:hAnsi="Verdana"/>
          <w:sz w:val="18"/>
          <w:szCs w:val="18"/>
        </w:rPr>
        <w:t xml:space="preserve">de </w:t>
      </w:r>
      <w:r w:rsidRPr="000D308F" w:rsidR="005E6DD4">
        <w:rPr>
          <w:rFonts w:ascii="Verdana" w:hAnsi="Verdana"/>
          <w:sz w:val="18"/>
          <w:szCs w:val="18"/>
        </w:rPr>
        <w:t>motie</w:t>
      </w:r>
      <w:r w:rsidRPr="000D308F" w:rsidR="00FC003A">
        <w:rPr>
          <w:rFonts w:ascii="Verdana" w:hAnsi="Verdana"/>
          <w:sz w:val="18"/>
          <w:szCs w:val="18"/>
        </w:rPr>
        <w:t xml:space="preserve"> van het lid</w:t>
      </w:r>
      <w:r w:rsidRPr="000D308F" w:rsidR="005E6DD4">
        <w:rPr>
          <w:rFonts w:ascii="Verdana" w:hAnsi="Verdana"/>
          <w:sz w:val="18"/>
          <w:szCs w:val="18"/>
        </w:rPr>
        <w:t xml:space="preserve"> Becker</w:t>
      </w:r>
      <w:r w:rsidRPr="000D308F" w:rsidR="00FC003A">
        <w:rPr>
          <w:rFonts w:ascii="Verdana" w:hAnsi="Verdana"/>
          <w:sz w:val="18"/>
          <w:szCs w:val="18"/>
        </w:rPr>
        <w:t xml:space="preserve"> van 22 februari 2018.</w:t>
      </w:r>
      <w:r w:rsidRPr="000D308F" w:rsidR="00FC003A">
        <w:rPr>
          <w:rStyle w:val="FootnoteReference"/>
          <w:rFonts w:ascii="Verdana" w:hAnsi="Verdana"/>
          <w:sz w:val="18"/>
          <w:szCs w:val="18"/>
        </w:rPr>
        <w:footnoteReference w:id="11"/>
      </w:r>
      <w:r w:rsidRPr="000D308F" w:rsidR="00FC003A">
        <w:rPr>
          <w:rFonts w:ascii="Verdana" w:hAnsi="Verdana"/>
          <w:sz w:val="18"/>
          <w:szCs w:val="18"/>
        </w:rPr>
        <w:t xml:space="preserve"> </w:t>
      </w:r>
      <w:r w:rsidRPr="000D308F" w:rsidR="0060483B">
        <w:rPr>
          <w:rFonts w:ascii="Verdana" w:hAnsi="Verdana"/>
          <w:sz w:val="18"/>
          <w:szCs w:val="18"/>
        </w:rPr>
        <w:t xml:space="preserve">Tevens </w:t>
      </w:r>
      <w:r w:rsidRPr="000D308F" w:rsidR="005E6DD4">
        <w:rPr>
          <w:rFonts w:ascii="Verdana" w:hAnsi="Verdana"/>
          <w:sz w:val="18"/>
          <w:szCs w:val="18"/>
        </w:rPr>
        <w:t>beoordeelt de regering de</w:t>
      </w:r>
      <w:r w:rsidRPr="000D308F" w:rsidR="00BD72A8">
        <w:rPr>
          <w:rFonts w:ascii="Verdana" w:hAnsi="Verdana"/>
          <w:sz w:val="18"/>
          <w:szCs w:val="18"/>
        </w:rPr>
        <w:t xml:space="preserve"> </w:t>
      </w:r>
      <w:r w:rsidRPr="000D308F" w:rsidR="005E6DD4">
        <w:rPr>
          <w:rFonts w:ascii="Verdana" w:hAnsi="Verdana"/>
          <w:sz w:val="18"/>
          <w:szCs w:val="18"/>
        </w:rPr>
        <w:t xml:space="preserve">mogelijkheden onder de nieuwe </w:t>
      </w:r>
      <w:r w:rsidRPr="000D308F" w:rsidR="005105A2">
        <w:rPr>
          <w:rFonts w:ascii="Verdana" w:hAnsi="Verdana"/>
          <w:sz w:val="18"/>
          <w:szCs w:val="18"/>
        </w:rPr>
        <w:t>overeenkomst</w:t>
      </w:r>
      <w:r w:rsidRPr="000D308F" w:rsidR="005E6DD4">
        <w:rPr>
          <w:rFonts w:ascii="Verdana" w:hAnsi="Verdana"/>
          <w:sz w:val="18"/>
          <w:szCs w:val="18"/>
        </w:rPr>
        <w:t xml:space="preserve"> om passende, proportionele maatregelen te nemen bij</w:t>
      </w:r>
      <w:r w:rsidRPr="000D308F" w:rsidR="004523C5">
        <w:rPr>
          <w:rFonts w:ascii="Verdana" w:hAnsi="Verdana"/>
          <w:sz w:val="18"/>
          <w:szCs w:val="18"/>
        </w:rPr>
        <w:t xml:space="preserve">, onder andere, </w:t>
      </w:r>
      <w:r w:rsidRPr="000D308F" w:rsidR="005E6DD4">
        <w:rPr>
          <w:rFonts w:ascii="Verdana" w:hAnsi="Verdana"/>
          <w:sz w:val="18"/>
          <w:szCs w:val="18"/>
        </w:rPr>
        <w:t xml:space="preserve">niet-naleving van de </w:t>
      </w:r>
      <w:r w:rsidRPr="000D308F" w:rsidR="005C2FB7">
        <w:rPr>
          <w:rFonts w:ascii="Verdana" w:hAnsi="Verdana"/>
          <w:sz w:val="18"/>
          <w:szCs w:val="18"/>
        </w:rPr>
        <w:t xml:space="preserve">essentiële </w:t>
      </w:r>
      <w:r w:rsidRPr="000D308F" w:rsidR="005E6DD4">
        <w:rPr>
          <w:rFonts w:ascii="Verdana" w:hAnsi="Verdana"/>
          <w:sz w:val="18"/>
          <w:szCs w:val="18"/>
        </w:rPr>
        <w:t>beginselen uit het verdrag, inclusief op het gebied van migratie</w:t>
      </w:r>
      <w:r w:rsidRPr="000D308F" w:rsidR="00BD72A8">
        <w:rPr>
          <w:rFonts w:ascii="Verdana" w:hAnsi="Verdana"/>
          <w:sz w:val="18"/>
          <w:szCs w:val="18"/>
        </w:rPr>
        <w:t>,</w:t>
      </w:r>
      <w:r w:rsidRPr="000D308F" w:rsidR="005E6DD4">
        <w:rPr>
          <w:rFonts w:ascii="Verdana" w:hAnsi="Verdana"/>
          <w:sz w:val="18"/>
          <w:szCs w:val="18"/>
        </w:rPr>
        <w:t xml:space="preserve"> in lijn met</w:t>
      </w:r>
      <w:r w:rsidRPr="000D308F" w:rsidR="00FC003A">
        <w:rPr>
          <w:rFonts w:ascii="Verdana" w:hAnsi="Verdana"/>
          <w:sz w:val="18"/>
          <w:szCs w:val="18"/>
        </w:rPr>
        <w:t xml:space="preserve"> de</w:t>
      </w:r>
      <w:r w:rsidRPr="000D308F" w:rsidR="005E6DD4">
        <w:rPr>
          <w:rFonts w:ascii="Verdana" w:hAnsi="Verdana"/>
          <w:sz w:val="18"/>
          <w:szCs w:val="18"/>
        </w:rPr>
        <w:t xml:space="preserve"> motie</w:t>
      </w:r>
      <w:r w:rsidRPr="000D308F" w:rsidR="00FC003A">
        <w:rPr>
          <w:rFonts w:ascii="Verdana" w:hAnsi="Verdana"/>
          <w:sz w:val="18"/>
          <w:szCs w:val="18"/>
        </w:rPr>
        <w:t xml:space="preserve"> van het lid</w:t>
      </w:r>
      <w:r w:rsidRPr="000D308F" w:rsidR="005E6DD4">
        <w:rPr>
          <w:rFonts w:ascii="Verdana" w:hAnsi="Verdana"/>
          <w:sz w:val="18"/>
          <w:szCs w:val="18"/>
        </w:rPr>
        <w:t xml:space="preserve"> </w:t>
      </w:r>
      <w:proofErr w:type="spellStart"/>
      <w:r w:rsidRPr="000D308F" w:rsidR="005E6DD4">
        <w:rPr>
          <w:rFonts w:ascii="Verdana" w:hAnsi="Verdana"/>
          <w:sz w:val="18"/>
          <w:szCs w:val="18"/>
        </w:rPr>
        <w:t>Weverling</w:t>
      </w:r>
      <w:proofErr w:type="spellEnd"/>
      <w:r w:rsidRPr="000D308F" w:rsidR="005E6DD4">
        <w:rPr>
          <w:rFonts w:ascii="Verdana" w:hAnsi="Verdana"/>
          <w:sz w:val="18"/>
          <w:szCs w:val="18"/>
        </w:rPr>
        <w:t xml:space="preserve"> </w:t>
      </w:r>
      <w:r w:rsidRPr="000D308F" w:rsidR="00FC003A">
        <w:rPr>
          <w:rFonts w:ascii="Verdana" w:hAnsi="Verdana"/>
          <w:sz w:val="18"/>
          <w:szCs w:val="18"/>
        </w:rPr>
        <w:t>van 2 december 2020</w:t>
      </w:r>
      <w:r w:rsidRPr="000D308F" w:rsidR="00FC003A">
        <w:rPr>
          <w:rStyle w:val="FootnoteReference"/>
          <w:rFonts w:ascii="Verdana" w:hAnsi="Verdana"/>
          <w:sz w:val="18"/>
          <w:szCs w:val="18"/>
        </w:rPr>
        <w:footnoteReference w:id="12"/>
      </w:r>
      <w:r w:rsidRPr="000D308F" w:rsidR="004523C5">
        <w:rPr>
          <w:rFonts w:ascii="Verdana" w:hAnsi="Verdana"/>
          <w:sz w:val="18"/>
          <w:szCs w:val="18"/>
        </w:rPr>
        <w:t xml:space="preserve">, </w:t>
      </w:r>
      <w:r w:rsidRPr="000D308F" w:rsidR="005E6DD4">
        <w:rPr>
          <w:rFonts w:ascii="Verdana" w:hAnsi="Verdana"/>
          <w:sz w:val="18"/>
          <w:szCs w:val="18"/>
        </w:rPr>
        <w:t xml:space="preserve">als positief. Dit is een belangrijke aanvulling </w:t>
      </w:r>
      <w:r w:rsidRPr="000D308F" w:rsidR="005E6DD4">
        <w:rPr>
          <w:rFonts w:ascii="Verdana" w:hAnsi="Verdana"/>
          <w:sz w:val="18"/>
          <w:szCs w:val="18"/>
        </w:rPr>
        <w:lastRenderedPageBreak/>
        <w:t xml:space="preserve">op het gebied van migratiesamenwerking tussen de EU en de ACS-landen. </w:t>
      </w:r>
      <w:r w:rsidRPr="000D308F" w:rsidR="00402552">
        <w:rPr>
          <w:rFonts w:ascii="Verdana" w:hAnsi="Verdana"/>
          <w:sz w:val="18"/>
          <w:szCs w:val="18"/>
        </w:rPr>
        <w:t xml:space="preserve">Ook acht de regering de geïntensiveerde inzet op versterking van </w:t>
      </w:r>
      <w:r w:rsidRPr="000D308F" w:rsidR="005E6DD4">
        <w:rPr>
          <w:rFonts w:ascii="Verdana" w:hAnsi="Verdana"/>
          <w:sz w:val="18"/>
          <w:szCs w:val="18"/>
        </w:rPr>
        <w:t xml:space="preserve">monitorings- en </w:t>
      </w:r>
      <w:r w:rsidRPr="000D308F" w:rsidR="00402552">
        <w:rPr>
          <w:rFonts w:ascii="Verdana" w:hAnsi="Verdana"/>
          <w:sz w:val="18"/>
          <w:szCs w:val="18"/>
        </w:rPr>
        <w:t xml:space="preserve">implementatiemechanismen van belang, met name waar het gaat om het systematisch niet nakomen van (terugkeer-)afspraken. </w:t>
      </w:r>
    </w:p>
    <w:p w:rsidRPr="000D308F" w:rsidR="00C303E7" w:rsidP="00EC4F1D" w:rsidRDefault="00C34C53" w14:paraId="03394425" w14:textId="0C3BE7C6">
      <w:pPr>
        <w:rPr>
          <w:rFonts w:ascii="Verdana" w:hAnsi="Verdana" w:eastAsia="Times New Roman"/>
          <w:color w:val="000000"/>
          <w:sz w:val="18"/>
          <w:szCs w:val="18"/>
        </w:rPr>
      </w:pPr>
      <w:r w:rsidRPr="000D308F">
        <w:rPr>
          <w:rFonts w:ascii="Verdana" w:hAnsi="Verdana" w:eastAsia="Times New Roman"/>
          <w:color w:val="000000"/>
          <w:sz w:val="18"/>
          <w:szCs w:val="18"/>
        </w:rPr>
        <w:t xml:space="preserve">De institutionele structuur is echter niet zodanig verlicht als de regering gewenst had en zoals beschreven in de inzet in het BNC-fiche over het </w:t>
      </w:r>
      <w:r w:rsidRPr="000D308F" w:rsidR="00120747">
        <w:rPr>
          <w:rFonts w:ascii="Verdana" w:hAnsi="Verdana" w:eastAsia="Times New Roman"/>
          <w:color w:val="000000"/>
          <w:sz w:val="18"/>
          <w:szCs w:val="18"/>
        </w:rPr>
        <w:t>EU-onderhandelingsmandaat</w:t>
      </w:r>
      <w:r w:rsidRPr="000D308F" w:rsidR="00465393">
        <w:rPr>
          <w:rFonts w:ascii="Verdana" w:hAnsi="Verdana" w:eastAsia="Times New Roman"/>
          <w:color w:val="000000"/>
          <w:sz w:val="18"/>
          <w:szCs w:val="18"/>
        </w:rPr>
        <w:t>.</w:t>
      </w:r>
      <w:r w:rsidRPr="000D308F" w:rsidR="00C63961">
        <w:rPr>
          <w:rStyle w:val="FootnoteReference"/>
          <w:rFonts w:ascii="Verdana" w:hAnsi="Verdana" w:eastAsia="Times New Roman"/>
          <w:color w:val="000000"/>
          <w:sz w:val="18"/>
          <w:szCs w:val="18"/>
        </w:rPr>
        <w:footnoteReference w:id="13"/>
      </w:r>
      <w:r w:rsidRPr="000D308F">
        <w:rPr>
          <w:rFonts w:ascii="Verdana" w:hAnsi="Verdana" w:eastAsia="Times New Roman"/>
          <w:color w:val="000000"/>
          <w:sz w:val="18"/>
          <w:szCs w:val="18"/>
        </w:rPr>
        <w:t xml:space="preserve"> Tegelijkertijd is de verschuiving naar de regionale protocollen in lijn met de Nederlandse wens goed zichtbaar en zijn veel institutionele structuren vrijblijvend en afhankelijk van de wensen van </w:t>
      </w:r>
      <w:r w:rsidRPr="000D308F" w:rsidR="00DF0C55">
        <w:rPr>
          <w:rFonts w:ascii="Verdana" w:hAnsi="Verdana" w:eastAsia="Times New Roman"/>
          <w:color w:val="000000"/>
          <w:sz w:val="18"/>
          <w:szCs w:val="18"/>
        </w:rPr>
        <w:t xml:space="preserve">de </w:t>
      </w:r>
      <w:r w:rsidRPr="000D308F">
        <w:rPr>
          <w:rFonts w:ascii="Verdana" w:hAnsi="Verdana" w:eastAsia="Times New Roman"/>
          <w:color w:val="000000"/>
          <w:sz w:val="18"/>
          <w:szCs w:val="18"/>
        </w:rPr>
        <w:t>partijen. De betrokkenheid van derde landen en organisaties bij de overeenkomst beoordeelt de regering niet als optimaal. De manier waarop derde landen partij kunnen worden en de betrokkenheid van Noord-Afrikaanse landen had wat Nederland betreft explicieter gekund. Daar staat tegenover dat de betrokkenheid van LGO</w:t>
      </w:r>
      <w:r w:rsidRPr="000D308F" w:rsidR="00DF0C55">
        <w:rPr>
          <w:rFonts w:ascii="Verdana" w:hAnsi="Verdana" w:eastAsia="Times New Roman"/>
          <w:color w:val="000000"/>
          <w:sz w:val="18"/>
          <w:szCs w:val="18"/>
        </w:rPr>
        <w:t xml:space="preserve"> bij de overeenkomst</w:t>
      </w:r>
      <w:r w:rsidRPr="000D308F" w:rsidR="00A95795">
        <w:rPr>
          <w:rFonts w:ascii="Verdana" w:hAnsi="Verdana" w:eastAsia="Times New Roman"/>
          <w:color w:val="000000"/>
          <w:sz w:val="18"/>
          <w:szCs w:val="18"/>
        </w:rPr>
        <w:t xml:space="preserve">, zoals </w:t>
      </w:r>
      <w:r w:rsidRPr="000D308F" w:rsidR="00DF0C55">
        <w:rPr>
          <w:rFonts w:ascii="Verdana" w:hAnsi="Verdana" w:eastAsia="Times New Roman"/>
          <w:color w:val="000000"/>
          <w:sz w:val="18"/>
          <w:szCs w:val="18"/>
        </w:rPr>
        <w:t>hiervoor is behandeld</w:t>
      </w:r>
      <w:r w:rsidRPr="000D308F" w:rsidR="00A95795">
        <w:rPr>
          <w:rFonts w:ascii="Verdana" w:hAnsi="Verdana" w:eastAsia="Times New Roman"/>
          <w:color w:val="000000"/>
          <w:sz w:val="18"/>
          <w:szCs w:val="18"/>
        </w:rPr>
        <w:t xml:space="preserve">, </w:t>
      </w:r>
      <w:r w:rsidRPr="000D308F">
        <w:rPr>
          <w:rFonts w:ascii="Verdana" w:hAnsi="Verdana" w:eastAsia="Times New Roman"/>
          <w:color w:val="000000"/>
          <w:sz w:val="18"/>
          <w:szCs w:val="18"/>
        </w:rPr>
        <w:t xml:space="preserve">middels </w:t>
      </w:r>
      <w:r w:rsidRPr="000D308F" w:rsidR="00DF0C55">
        <w:rPr>
          <w:rFonts w:ascii="Verdana" w:hAnsi="Verdana" w:eastAsia="Times New Roman"/>
          <w:color w:val="000000"/>
          <w:sz w:val="18"/>
          <w:szCs w:val="18"/>
        </w:rPr>
        <w:t xml:space="preserve">de </w:t>
      </w:r>
      <w:r w:rsidRPr="000D308F" w:rsidR="00570A31">
        <w:rPr>
          <w:rFonts w:ascii="Verdana" w:hAnsi="Verdana" w:eastAsia="Times New Roman"/>
          <w:color w:val="000000"/>
          <w:sz w:val="18"/>
          <w:szCs w:val="18"/>
        </w:rPr>
        <w:t xml:space="preserve">waarnemersstatus </w:t>
      </w:r>
      <w:r w:rsidRPr="000D308F">
        <w:rPr>
          <w:rFonts w:ascii="Verdana" w:hAnsi="Verdana" w:eastAsia="Times New Roman"/>
          <w:color w:val="000000"/>
          <w:sz w:val="18"/>
          <w:szCs w:val="18"/>
        </w:rPr>
        <w:t>expliciet</w:t>
      </w:r>
      <w:r w:rsidRPr="000D308F" w:rsidR="00DF0C55">
        <w:rPr>
          <w:rFonts w:ascii="Verdana" w:hAnsi="Verdana" w:eastAsia="Times New Roman"/>
          <w:color w:val="000000"/>
          <w:sz w:val="18"/>
          <w:szCs w:val="18"/>
        </w:rPr>
        <w:t xml:space="preserve"> in de overeenkomst</w:t>
      </w:r>
      <w:r w:rsidRPr="000D308F">
        <w:rPr>
          <w:rFonts w:ascii="Verdana" w:hAnsi="Verdana" w:eastAsia="Times New Roman"/>
          <w:color w:val="000000"/>
          <w:sz w:val="18"/>
          <w:szCs w:val="18"/>
        </w:rPr>
        <w:t xml:space="preserve"> </w:t>
      </w:r>
      <w:r w:rsidRPr="000D308F" w:rsidR="00DF0C55">
        <w:rPr>
          <w:rFonts w:ascii="Verdana" w:hAnsi="Verdana" w:eastAsia="Times New Roman"/>
          <w:color w:val="000000"/>
          <w:sz w:val="18"/>
          <w:szCs w:val="18"/>
        </w:rPr>
        <w:t>is opgenomen</w:t>
      </w:r>
      <w:r w:rsidRPr="000D308F" w:rsidR="00A95795">
        <w:rPr>
          <w:rFonts w:ascii="Verdana" w:hAnsi="Verdana" w:eastAsia="Times New Roman"/>
          <w:color w:val="000000"/>
          <w:sz w:val="18"/>
          <w:szCs w:val="18"/>
        </w:rPr>
        <w:t xml:space="preserve">. Naar het oordeel van de regering is dit een belangrijke </w:t>
      </w:r>
      <w:r w:rsidRPr="000D308F">
        <w:rPr>
          <w:rFonts w:ascii="Verdana" w:hAnsi="Verdana" w:eastAsia="Times New Roman"/>
          <w:color w:val="000000"/>
          <w:sz w:val="18"/>
          <w:szCs w:val="18"/>
        </w:rPr>
        <w:t xml:space="preserve">en nuttige aanvulling ten opzichte van </w:t>
      </w:r>
      <w:r w:rsidRPr="000D308F" w:rsidR="000113B8">
        <w:rPr>
          <w:rFonts w:ascii="Verdana" w:hAnsi="Verdana" w:eastAsia="Times New Roman"/>
          <w:color w:val="000000"/>
          <w:sz w:val="18"/>
          <w:szCs w:val="18"/>
        </w:rPr>
        <w:t>de Cotonou-overeenkomst</w:t>
      </w:r>
      <w:r w:rsidRPr="000D308F">
        <w:rPr>
          <w:rFonts w:ascii="Verdana" w:hAnsi="Verdana" w:eastAsia="Times New Roman"/>
          <w:color w:val="000000"/>
          <w:sz w:val="18"/>
          <w:szCs w:val="18"/>
        </w:rPr>
        <w:t>.</w:t>
      </w:r>
    </w:p>
    <w:p w:rsidRPr="000D308F" w:rsidR="00EC4F1D" w:rsidP="00EC4F1D" w:rsidRDefault="00EC4F1D" w14:paraId="6A2ECFD7" w14:textId="08195F43">
      <w:pPr>
        <w:rPr>
          <w:rFonts w:ascii="Verdana" w:hAnsi="Verdana"/>
          <w:b/>
          <w:bCs/>
          <w:sz w:val="18"/>
          <w:szCs w:val="18"/>
        </w:rPr>
      </w:pPr>
      <w:r w:rsidRPr="000D308F">
        <w:rPr>
          <w:rFonts w:ascii="Verdana" w:hAnsi="Verdana"/>
          <w:b/>
          <w:bCs/>
          <w:sz w:val="18"/>
          <w:szCs w:val="18"/>
        </w:rPr>
        <w:t xml:space="preserve">1.5 Aard van de partnerschapsovereenkomst </w:t>
      </w:r>
    </w:p>
    <w:p w:rsidRPr="000D308F" w:rsidR="00EC4F1D" w:rsidP="00EC4F1D" w:rsidRDefault="00067B44" w14:paraId="48AB5932" w14:textId="684CAA77">
      <w:pPr>
        <w:rPr>
          <w:rFonts w:ascii="Verdana" w:hAnsi="Verdana"/>
          <w:sz w:val="18"/>
          <w:szCs w:val="18"/>
        </w:rPr>
      </w:pPr>
      <w:r w:rsidRPr="000D308F">
        <w:rPr>
          <w:rFonts w:ascii="Verdana" w:hAnsi="Verdana"/>
          <w:sz w:val="18"/>
          <w:szCs w:val="18"/>
        </w:rPr>
        <w:t xml:space="preserve">De </w:t>
      </w:r>
      <w:r w:rsidRPr="000D308F" w:rsidR="0051699D">
        <w:rPr>
          <w:rFonts w:ascii="Verdana" w:hAnsi="Verdana"/>
          <w:sz w:val="18"/>
          <w:szCs w:val="18"/>
        </w:rPr>
        <w:t>Samoa-</w:t>
      </w:r>
      <w:r w:rsidRPr="000D308F" w:rsidR="005105A2">
        <w:rPr>
          <w:rFonts w:ascii="Verdana" w:hAnsi="Verdana"/>
          <w:sz w:val="18"/>
          <w:szCs w:val="18"/>
        </w:rPr>
        <w:t>overeenkomst</w:t>
      </w:r>
      <w:r w:rsidRPr="000D308F">
        <w:rPr>
          <w:rFonts w:ascii="Verdana" w:hAnsi="Verdana"/>
          <w:sz w:val="18"/>
          <w:szCs w:val="18"/>
        </w:rPr>
        <w:t xml:space="preserve"> heeft een gemengd karakter. Naast de Unie </w:t>
      </w:r>
      <w:r w:rsidRPr="000D308F" w:rsidR="00B668C0">
        <w:rPr>
          <w:rFonts w:ascii="Verdana" w:hAnsi="Verdana"/>
          <w:sz w:val="18"/>
          <w:szCs w:val="18"/>
        </w:rPr>
        <w:t xml:space="preserve">worden </w:t>
      </w:r>
      <w:r w:rsidRPr="000D308F">
        <w:rPr>
          <w:rFonts w:ascii="Verdana" w:hAnsi="Verdana"/>
          <w:sz w:val="18"/>
          <w:szCs w:val="18"/>
        </w:rPr>
        <w:t>daarom</w:t>
      </w:r>
      <w:r w:rsidRPr="000D308F" w:rsidDel="0060483B">
        <w:rPr>
          <w:rFonts w:ascii="Verdana" w:hAnsi="Verdana"/>
          <w:sz w:val="18"/>
          <w:szCs w:val="18"/>
        </w:rPr>
        <w:t xml:space="preserve"> </w:t>
      </w:r>
      <w:r w:rsidRPr="000D308F">
        <w:rPr>
          <w:rFonts w:ascii="Verdana" w:hAnsi="Verdana"/>
          <w:sz w:val="18"/>
          <w:szCs w:val="18"/>
        </w:rPr>
        <w:t xml:space="preserve">de EU-lidstaten partij bij de </w:t>
      </w:r>
      <w:r w:rsidRPr="000D308F" w:rsidR="005105A2">
        <w:rPr>
          <w:rFonts w:ascii="Verdana" w:hAnsi="Verdana"/>
          <w:sz w:val="18"/>
          <w:szCs w:val="18"/>
        </w:rPr>
        <w:t>overeenkomst</w:t>
      </w:r>
      <w:r w:rsidRPr="000D308F">
        <w:rPr>
          <w:rFonts w:ascii="Verdana" w:hAnsi="Verdana"/>
          <w:sz w:val="18"/>
          <w:szCs w:val="18"/>
        </w:rPr>
        <w:t xml:space="preserve">. De EU heeft enkel die bevoegdheden die door de </w:t>
      </w:r>
      <w:r w:rsidRPr="000D308F" w:rsidR="00CD4F1B">
        <w:rPr>
          <w:rFonts w:ascii="Verdana" w:hAnsi="Verdana"/>
          <w:sz w:val="18"/>
          <w:szCs w:val="18"/>
        </w:rPr>
        <w:t>EU-</w:t>
      </w:r>
      <w:r w:rsidRPr="000D308F">
        <w:rPr>
          <w:rFonts w:ascii="Verdana" w:hAnsi="Verdana"/>
          <w:sz w:val="18"/>
          <w:szCs w:val="18"/>
        </w:rPr>
        <w:t>lidstaten aan de EU zijn overgedragen in het</w:t>
      </w:r>
      <w:r w:rsidRPr="000D308F" w:rsidR="00BE6D75">
        <w:rPr>
          <w:rFonts w:ascii="Verdana" w:hAnsi="Verdana"/>
          <w:sz w:val="18"/>
          <w:szCs w:val="18"/>
        </w:rPr>
        <w:t xml:space="preserve"> op 13 december 2007 te Lissabon tot stand gekomen Verdrag van Lissabon tot wijziging van het Verdrag betreffende de Europese Unie en het Verdrag tot oprichting van de Europese Gemeenschap</w:t>
      </w:r>
      <w:r w:rsidRPr="000D308F">
        <w:rPr>
          <w:rFonts w:ascii="Verdana" w:hAnsi="Verdana"/>
          <w:sz w:val="18"/>
          <w:szCs w:val="18"/>
        </w:rPr>
        <w:t xml:space="preserve"> </w:t>
      </w:r>
      <w:r w:rsidRPr="000D308F" w:rsidR="00BE6D75">
        <w:rPr>
          <w:rFonts w:ascii="Verdana" w:hAnsi="Verdana"/>
          <w:sz w:val="18"/>
          <w:szCs w:val="18"/>
        </w:rPr>
        <w:t>(</w:t>
      </w:r>
      <w:proofErr w:type="spellStart"/>
      <w:r w:rsidRPr="000D308F" w:rsidR="00BE6D75">
        <w:rPr>
          <w:rFonts w:ascii="Verdana" w:hAnsi="Verdana"/>
          <w:i/>
          <w:iCs/>
          <w:sz w:val="18"/>
          <w:szCs w:val="18"/>
        </w:rPr>
        <w:t>Trb</w:t>
      </w:r>
      <w:proofErr w:type="spellEnd"/>
      <w:r w:rsidRPr="000D308F" w:rsidR="00BE6D75">
        <w:rPr>
          <w:rFonts w:ascii="Verdana" w:hAnsi="Verdana"/>
          <w:i/>
          <w:iCs/>
          <w:sz w:val="18"/>
          <w:szCs w:val="18"/>
        </w:rPr>
        <w:t xml:space="preserve">. </w:t>
      </w:r>
      <w:r w:rsidRPr="000D308F" w:rsidR="00BE6D75">
        <w:rPr>
          <w:rFonts w:ascii="Verdana" w:hAnsi="Verdana"/>
          <w:sz w:val="18"/>
          <w:szCs w:val="18"/>
        </w:rPr>
        <w:t>2008, 11)</w:t>
      </w:r>
      <w:r w:rsidRPr="000D308F">
        <w:rPr>
          <w:rFonts w:ascii="Verdana" w:hAnsi="Verdana"/>
          <w:sz w:val="18"/>
          <w:szCs w:val="18"/>
        </w:rPr>
        <w:t xml:space="preserve">. De artikelen 2 tot en met 6 van </w:t>
      </w:r>
      <w:r w:rsidRPr="000D308F" w:rsidR="00BE6D75">
        <w:rPr>
          <w:rFonts w:ascii="Verdana" w:hAnsi="Verdana"/>
          <w:sz w:val="18"/>
          <w:szCs w:val="18"/>
        </w:rPr>
        <w:t xml:space="preserve">het op 25 maart 1957 te Rome tot stand gekomen Verdrag betreffende de Werking van de Europese Unie </w:t>
      </w:r>
      <w:r w:rsidRPr="000D308F" w:rsidR="00BE6D75">
        <w:rPr>
          <w:rFonts w:ascii="Verdana" w:hAnsi="Verdana"/>
          <w:i/>
          <w:iCs/>
          <w:sz w:val="18"/>
          <w:szCs w:val="18"/>
        </w:rPr>
        <w:t>(</w:t>
      </w:r>
      <w:proofErr w:type="spellStart"/>
      <w:r w:rsidRPr="000D308F" w:rsidR="00BE6D75">
        <w:rPr>
          <w:rFonts w:ascii="Verdana" w:hAnsi="Verdana"/>
          <w:i/>
          <w:iCs/>
          <w:sz w:val="18"/>
          <w:szCs w:val="18"/>
        </w:rPr>
        <w:t>Trb</w:t>
      </w:r>
      <w:proofErr w:type="spellEnd"/>
      <w:r w:rsidRPr="000D308F" w:rsidR="00BE6D75">
        <w:rPr>
          <w:rFonts w:ascii="Verdana" w:hAnsi="Verdana"/>
          <w:i/>
          <w:iCs/>
          <w:sz w:val="18"/>
          <w:szCs w:val="18"/>
        </w:rPr>
        <w:t xml:space="preserve">. </w:t>
      </w:r>
      <w:r w:rsidRPr="000D308F" w:rsidR="00BE6D75">
        <w:rPr>
          <w:rFonts w:ascii="Verdana" w:hAnsi="Verdana"/>
          <w:sz w:val="18"/>
          <w:szCs w:val="18"/>
        </w:rPr>
        <w:t xml:space="preserve">1957, 91; </w:t>
      </w:r>
      <w:r w:rsidRPr="000D308F">
        <w:rPr>
          <w:rFonts w:ascii="Verdana" w:hAnsi="Verdana"/>
          <w:sz w:val="18"/>
          <w:szCs w:val="18"/>
        </w:rPr>
        <w:t xml:space="preserve">hierna: VWEU) bakenen de EU-bevoegdheden af. </w:t>
      </w:r>
    </w:p>
    <w:p w:rsidRPr="000D308F" w:rsidR="00067B44" w:rsidP="00EC4F1D" w:rsidRDefault="00B668C0" w14:paraId="5E32C1FB" w14:textId="60349615">
      <w:pPr>
        <w:rPr>
          <w:rFonts w:ascii="Verdana" w:hAnsi="Verdana"/>
          <w:sz w:val="18"/>
          <w:szCs w:val="18"/>
        </w:rPr>
      </w:pPr>
      <w:r w:rsidRPr="000D308F">
        <w:rPr>
          <w:rFonts w:ascii="Verdana" w:hAnsi="Verdana"/>
          <w:sz w:val="18"/>
          <w:szCs w:val="18"/>
        </w:rPr>
        <w:t xml:space="preserve">De </w:t>
      </w:r>
      <w:r w:rsidRPr="000D308F" w:rsidR="005105A2">
        <w:rPr>
          <w:rFonts w:ascii="Verdana" w:hAnsi="Verdana"/>
          <w:sz w:val="18"/>
          <w:szCs w:val="18"/>
        </w:rPr>
        <w:t>overeenkomst</w:t>
      </w:r>
      <w:r w:rsidRPr="000D308F">
        <w:rPr>
          <w:rFonts w:ascii="Verdana" w:hAnsi="Verdana"/>
          <w:sz w:val="18"/>
          <w:szCs w:val="18"/>
        </w:rPr>
        <w:t xml:space="preserve"> omvat een breed scala aan onderwerpen. Zo bevat de</w:t>
      </w:r>
      <w:r w:rsidRPr="000D308F" w:rsidR="005105A2">
        <w:rPr>
          <w:rFonts w:ascii="Verdana" w:hAnsi="Verdana"/>
          <w:sz w:val="18"/>
          <w:szCs w:val="18"/>
        </w:rPr>
        <w:t xml:space="preserve"> overeenkomst</w:t>
      </w:r>
      <w:r w:rsidRPr="000D308F" w:rsidDel="00B668C0" w:rsidR="00067B44">
        <w:rPr>
          <w:rFonts w:ascii="Verdana" w:hAnsi="Verdana"/>
          <w:sz w:val="18"/>
          <w:szCs w:val="18"/>
        </w:rPr>
        <w:t xml:space="preserve"> </w:t>
      </w:r>
      <w:r w:rsidRPr="000D308F" w:rsidR="00067B44">
        <w:rPr>
          <w:rFonts w:ascii="Verdana" w:hAnsi="Verdana"/>
          <w:sz w:val="18"/>
          <w:szCs w:val="18"/>
        </w:rPr>
        <w:t xml:space="preserve">onderwerpen die tot de exclusieve bevoegdheid van de EU behoren, zoals </w:t>
      </w:r>
      <w:r w:rsidRPr="000D308F" w:rsidR="00733184">
        <w:rPr>
          <w:rFonts w:ascii="Verdana" w:hAnsi="Verdana"/>
          <w:sz w:val="18"/>
          <w:szCs w:val="18"/>
        </w:rPr>
        <w:t>handel</w:t>
      </w:r>
      <w:r w:rsidRPr="000D308F" w:rsidR="00263794">
        <w:rPr>
          <w:rFonts w:ascii="Verdana" w:hAnsi="Verdana"/>
          <w:sz w:val="18"/>
          <w:szCs w:val="18"/>
        </w:rPr>
        <w:t xml:space="preserve"> (zie artikel </w:t>
      </w:r>
      <w:r w:rsidRPr="000D308F" w:rsidR="00733184">
        <w:rPr>
          <w:rFonts w:ascii="Verdana" w:hAnsi="Verdana"/>
          <w:sz w:val="18"/>
          <w:szCs w:val="18"/>
        </w:rPr>
        <w:t>3</w:t>
      </w:r>
      <w:r w:rsidRPr="000D308F" w:rsidR="00263794">
        <w:rPr>
          <w:rFonts w:ascii="Verdana" w:hAnsi="Verdana"/>
          <w:sz w:val="18"/>
          <w:szCs w:val="18"/>
        </w:rPr>
        <w:t xml:space="preserve"> VWEU)</w:t>
      </w:r>
      <w:r w:rsidRPr="000D308F" w:rsidR="00067B44">
        <w:rPr>
          <w:rFonts w:ascii="Verdana" w:hAnsi="Verdana"/>
          <w:sz w:val="18"/>
          <w:szCs w:val="18"/>
        </w:rPr>
        <w:t>. Een exclusieve bevoegdheid houdt in dat in het betreffende gebied enkel de EU regel</w:t>
      </w:r>
      <w:r w:rsidRPr="000D308F" w:rsidR="001B5D63">
        <w:rPr>
          <w:rFonts w:ascii="Verdana" w:hAnsi="Verdana"/>
          <w:sz w:val="18"/>
          <w:szCs w:val="18"/>
        </w:rPr>
        <w:t>-</w:t>
      </w:r>
      <w:r w:rsidRPr="000D308F" w:rsidR="007C264B">
        <w:rPr>
          <w:rFonts w:ascii="Verdana" w:hAnsi="Verdana"/>
          <w:sz w:val="18"/>
          <w:szCs w:val="18"/>
        </w:rPr>
        <w:t xml:space="preserve"> </w:t>
      </w:r>
      <w:r w:rsidRPr="000D308F" w:rsidR="00067B44">
        <w:rPr>
          <w:rFonts w:ascii="Verdana" w:hAnsi="Verdana"/>
          <w:sz w:val="18"/>
          <w:szCs w:val="18"/>
        </w:rPr>
        <w:t xml:space="preserve">stellend mag optreden. </w:t>
      </w:r>
      <w:r w:rsidRPr="000D308F" w:rsidR="00CD4F1B">
        <w:rPr>
          <w:rFonts w:ascii="Verdana" w:hAnsi="Verdana"/>
          <w:sz w:val="18"/>
          <w:szCs w:val="18"/>
        </w:rPr>
        <w:t>EU-l</w:t>
      </w:r>
      <w:r w:rsidRPr="000D308F" w:rsidR="00067B44">
        <w:rPr>
          <w:rFonts w:ascii="Verdana" w:hAnsi="Verdana"/>
          <w:sz w:val="18"/>
          <w:szCs w:val="18"/>
        </w:rPr>
        <w:t>idstaten mogen enkel regels stellen als die bevoegdheid aan hen is toegekend door de EU of ter implementatie van EU-regels.</w:t>
      </w:r>
      <w:r w:rsidRPr="000D308F" w:rsidR="00733184">
        <w:rPr>
          <w:rFonts w:ascii="Verdana" w:hAnsi="Verdana"/>
          <w:sz w:val="18"/>
          <w:szCs w:val="18"/>
        </w:rPr>
        <w:t xml:space="preserve"> Het gaat in deze met name om bepalingen in de artikelen 49 tot en met 53</w:t>
      </w:r>
      <w:r w:rsidRPr="000D308F">
        <w:rPr>
          <w:rFonts w:ascii="Verdana" w:hAnsi="Verdana"/>
          <w:sz w:val="18"/>
          <w:szCs w:val="18"/>
        </w:rPr>
        <w:t xml:space="preserve"> (handelssamenwerking)</w:t>
      </w:r>
      <w:r w:rsidRPr="000D308F" w:rsidR="00733184">
        <w:rPr>
          <w:rFonts w:ascii="Verdana" w:hAnsi="Verdana"/>
          <w:sz w:val="18"/>
          <w:szCs w:val="18"/>
        </w:rPr>
        <w:t>.</w:t>
      </w:r>
      <w:r w:rsidRPr="000D308F" w:rsidR="00F97A98">
        <w:rPr>
          <w:rStyle w:val="FootnoteReference"/>
          <w:rFonts w:ascii="Verdana" w:hAnsi="Verdana"/>
          <w:sz w:val="18"/>
          <w:szCs w:val="18"/>
        </w:rPr>
        <w:footnoteReference w:id="14"/>
      </w:r>
      <w:r w:rsidRPr="000D308F" w:rsidR="00733184">
        <w:rPr>
          <w:rFonts w:ascii="Verdana" w:hAnsi="Verdana"/>
          <w:sz w:val="18"/>
          <w:szCs w:val="18"/>
        </w:rPr>
        <w:t xml:space="preserve"> </w:t>
      </w:r>
    </w:p>
    <w:p w:rsidRPr="000D308F" w:rsidR="00FA73F2" w:rsidP="00FA73F2" w:rsidRDefault="00FA73F2" w14:paraId="396BF50B" w14:textId="5C6E9153">
      <w:pPr>
        <w:rPr>
          <w:rFonts w:ascii="Verdana" w:hAnsi="Verdana"/>
          <w:sz w:val="18"/>
          <w:szCs w:val="18"/>
        </w:rPr>
      </w:pPr>
      <w:r w:rsidRPr="000D308F">
        <w:rPr>
          <w:rFonts w:ascii="Verdana" w:hAnsi="Verdana"/>
          <w:sz w:val="18"/>
          <w:szCs w:val="18"/>
        </w:rPr>
        <w:t>De overeenkomst bevat</w:t>
      </w:r>
      <w:r w:rsidRPr="000D308F" w:rsidR="00335B46">
        <w:rPr>
          <w:rFonts w:ascii="Verdana" w:hAnsi="Verdana"/>
          <w:sz w:val="18"/>
          <w:szCs w:val="18"/>
        </w:rPr>
        <w:t xml:space="preserve"> ook</w:t>
      </w:r>
      <w:r w:rsidRPr="000D308F" w:rsidDel="0060483B">
        <w:rPr>
          <w:rFonts w:ascii="Verdana" w:hAnsi="Verdana"/>
          <w:sz w:val="18"/>
          <w:szCs w:val="18"/>
        </w:rPr>
        <w:t xml:space="preserve"> </w:t>
      </w:r>
      <w:r w:rsidRPr="000D308F">
        <w:rPr>
          <w:rFonts w:ascii="Verdana" w:hAnsi="Verdana"/>
          <w:sz w:val="18"/>
          <w:szCs w:val="18"/>
        </w:rPr>
        <w:t>bepalingen op het gebied van het gemeenschappelijk buitenlands en veiligheidsbeleid (GBVB). Voor het GBVB (artikel 2</w:t>
      </w:r>
      <w:r w:rsidRPr="000D308F" w:rsidR="00B76661">
        <w:rPr>
          <w:rFonts w:ascii="Verdana" w:hAnsi="Verdana"/>
          <w:sz w:val="18"/>
          <w:szCs w:val="18"/>
        </w:rPr>
        <w:t xml:space="preserve">, vierde lid, </w:t>
      </w:r>
      <w:r w:rsidRPr="000D308F">
        <w:rPr>
          <w:rFonts w:ascii="Verdana" w:hAnsi="Verdana"/>
          <w:sz w:val="18"/>
          <w:szCs w:val="18"/>
        </w:rPr>
        <w:t xml:space="preserve">VWEU) geldt dat de </w:t>
      </w:r>
      <w:r w:rsidRPr="000D308F" w:rsidR="00CD4F1B">
        <w:rPr>
          <w:rFonts w:ascii="Verdana" w:hAnsi="Verdana"/>
          <w:sz w:val="18"/>
          <w:szCs w:val="18"/>
        </w:rPr>
        <w:t>EU-</w:t>
      </w:r>
      <w:r w:rsidRPr="000D308F">
        <w:rPr>
          <w:rFonts w:ascii="Verdana" w:hAnsi="Verdana"/>
          <w:sz w:val="18"/>
          <w:szCs w:val="18"/>
        </w:rPr>
        <w:t xml:space="preserve">lidstaten bevoegd zijn om extern naast de Unie op te treden. Voor zover de EU een positie heeft ingenomen, dienen de </w:t>
      </w:r>
      <w:r w:rsidRPr="000D308F" w:rsidR="00CD4F1B">
        <w:rPr>
          <w:rFonts w:ascii="Verdana" w:hAnsi="Verdana"/>
          <w:sz w:val="18"/>
          <w:szCs w:val="18"/>
        </w:rPr>
        <w:t>EU-</w:t>
      </w:r>
      <w:r w:rsidRPr="000D308F">
        <w:rPr>
          <w:rFonts w:ascii="Verdana" w:hAnsi="Verdana"/>
          <w:sz w:val="18"/>
          <w:szCs w:val="18"/>
        </w:rPr>
        <w:t>lidstaten deze te respecteren. Het gaat dan met name om de bepalingen in deel II titel I (mensenrechten, democratie en goed bestuur), deel II titel II (vrede en veiligheid) en deel III (mondiale allianties en internationale samenwerking).</w:t>
      </w:r>
      <w:r w:rsidRPr="000D308F" w:rsidR="00F97A98">
        <w:rPr>
          <w:rStyle w:val="FootnoteReference"/>
          <w:rFonts w:ascii="Verdana" w:hAnsi="Verdana"/>
          <w:sz w:val="18"/>
          <w:szCs w:val="18"/>
        </w:rPr>
        <w:footnoteReference w:id="15"/>
      </w:r>
    </w:p>
    <w:p w:rsidRPr="000D308F" w:rsidR="00067B44" w:rsidP="00EC4F1D" w:rsidRDefault="00067B44" w14:paraId="2A05DDB4" w14:textId="6926CCA3">
      <w:pPr>
        <w:rPr>
          <w:rFonts w:ascii="Verdana" w:hAnsi="Verdana"/>
          <w:sz w:val="18"/>
          <w:szCs w:val="18"/>
        </w:rPr>
      </w:pPr>
      <w:r w:rsidRPr="000D308F">
        <w:rPr>
          <w:rFonts w:ascii="Verdana" w:hAnsi="Verdana"/>
          <w:sz w:val="18"/>
          <w:szCs w:val="18"/>
        </w:rPr>
        <w:t xml:space="preserve">De </w:t>
      </w:r>
      <w:r w:rsidRPr="000D308F" w:rsidR="005105A2">
        <w:rPr>
          <w:rFonts w:ascii="Verdana" w:hAnsi="Verdana"/>
          <w:sz w:val="18"/>
          <w:szCs w:val="18"/>
        </w:rPr>
        <w:t>overeenkomst</w:t>
      </w:r>
      <w:r w:rsidRPr="000D308F">
        <w:rPr>
          <w:rFonts w:ascii="Verdana" w:hAnsi="Verdana"/>
          <w:sz w:val="18"/>
          <w:szCs w:val="18"/>
        </w:rPr>
        <w:t xml:space="preserve"> bevat </w:t>
      </w:r>
      <w:r w:rsidRPr="000D308F" w:rsidR="00FA73F2">
        <w:rPr>
          <w:rFonts w:ascii="Verdana" w:hAnsi="Verdana"/>
          <w:sz w:val="18"/>
          <w:szCs w:val="18"/>
        </w:rPr>
        <w:t>bovendien</w:t>
      </w:r>
      <w:r w:rsidRPr="000D308F">
        <w:rPr>
          <w:rFonts w:ascii="Verdana" w:hAnsi="Verdana"/>
          <w:sz w:val="18"/>
          <w:szCs w:val="18"/>
        </w:rPr>
        <w:t xml:space="preserve"> onderwerpen die onder de gedeelde bevoegdheid van de EU en de </w:t>
      </w:r>
      <w:r w:rsidRPr="000D308F" w:rsidR="00CD4F1B">
        <w:rPr>
          <w:rFonts w:ascii="Verdana" w:hAnsi="Verdana"/>
          <w:sz w:val="18"/>
          <w:szCs w:val="18"/>
        </w:rPr>
        <w:t>EU-</w:t>
      </w:r>
      <w:r w:rsidRPr="000D308F">
        <w:rPr>
          <w:rFonts w:ascii="Verdana" w:hAnsi="Verdana"/>
          <w:sz w:val="18"/>
          <w:szCs w:val="18"/>
        </w:rPr>
        <w:t xml:space="preserve">lidstaten vallen (zie artikel 4 VWEU). Bij gedeelde bevoegdheden kunnen zowel de Unie als de </w:t>
      </w:r>
      <w:r w:rsidRPr="000D308F" w:rsidR="00CD4F1B">
        <w:rPr>
          <w:rFonts w:ascii="Verdana" w:hAnsi="Verdana"/>
          <w:sz w:val="18"/>
          <w:szCs w:val="18"/>
        </w:rPr>
        <w:t>EU-</w:t>
      </w:r>
      <w:r w:rsidRPr="000D308F">
        <w:rPr>
          <w:rFonts w:ascii="Verdana" w:hAnsi="Verdana"/>
          <w:sz w:val="18"/>
          <w:szCs w:val="18"/>
        </w:rPr>
        <w:t xml:space="preserve">lidstaten regel-stellend optreden. Artikel 2, tweede lid, VWEU schrijft echter voor dat de </w:t>
      </w:r>
      <w:r w:rsidRPr="000D308F" w:rsidR="00CD4F1B">
        <w:rPr>
          <w:rFonts w:ascii="Verdana" w:hAnsi="Verdana"/>
          <w:sz w:val="18"/>
          <w:szCs w:val="18"/>
        </w:rPr>
        <w:t>EU-</w:t>
      </w:r>
      <w:r w:rsidRPr="000D308F">
        <w:rPr>
          <w:rFonts w:ascii="Verdana" w:hAnsi="Verdana"/>
          <w:sz w:val="18"/>
          <w:szCs w:val="18"/>
        </w:rPr>
        <w:t xml:space="preserve">lidstaten hun bevoegdheid slechts kunnen uitoefenen voor zover de Unie haar bevoegdheid nog niet heeft uitgeoefend. Het gaat in </w:t>
      </w:r>
      <w:r w:rsidRPr="000D308F" w:rsidR="003202F7">
        <w:rPr>
          <w:rFonts w:ascii="Verdana" w:hAnsi="Verdana"/>
          <w:sz w:val="18"/>
          <w:szCs w:val="18"/>
        </w:rPr>
        <w:t xml:space="preserve">de </w:t>
      </w:r>
      <w:r w:rsidRPr="000D308F">
        <w:rPr>
          <w:rFonts w:ascii="Verdana" w:hAnsi="Verdana"/>
          <w:sz w:val="18"/>
          <w:szCs w:val="18"/>
        </w:rPr>
        <w:t xml:space="preserve">onderhavige </w:t>
      </w:r>
      <w:r w:rsidRPr="000D308F" w:rsidR="005105A2">
        <w:rPr>
          <w:rFonts w:ascii="Verdana" w:hAnsi="Verdana"/>
          <w:sz w:val="18"/>
          <w:szCs w:val="18"/>
        </w:rPr>
        <w:t>overeenkomst</w:t>
      </w:r>
      <w:r w:rsidRPr="000D308F">
        <w:rPr>
          <w:rFonts w:ascii="Verdana" w:hAnsi="Verdana"/>
          <w:sz w:val="18"/>
          <w:szCs w:val="18"/>
        </w:rPr>
        <w:t xml:space="preserve"> </w:t>
      </w:r>
      <w:r w:rsidRPr="000D308F" w:rsidR="00DB3B27">
        <w:rPr>
          <w:rFonts w:ascii="Verdana" w:hAnsi="Verdana"/>
          <w:sz w:val="18"/>
          <w:szCs w:val="18"/>
        </w:rPr>
        <w:t xml:space="preserve">bijvoorbeeld </w:t>
      </w:r>
      <w:r w:rsidRPr="000D308F">
        <w:rPr>
          <w:rFonts w:ascii="Verdana" w:hAnsi="Verdana"/>
          <w:sz w:val="18"/>
          <w:szCs w:val="18"/>
        </w:rPr>
        <w:t>om bepalingen in</w:t>
      </w:r>
      <w:r w:rsidRPr="000D308F" w:rsidDel="00636C7A">
        <w:rPr>
          <w:rFonts w:ascii="Verdana" w:hAnsi="Verdana"/>
          <w:sz w:val="18"/>
          <w:szCs w:val="18"/>
        </w:rPr>
        <w:t xml:space="preserve"> </w:t>
      </w:r>
      <w:r w:rsidRPr="000D308F" w:rsidR="00B668C0">
        <w:rPr>
          <w:rFonts w:ascii="Verdana" w:hAnsi="Verdana"/>
          <w:sz w:val="18"/>
          <w:szCs w:val="18"/>
        </w:rPr>
        <w:t>deel II titel V (milieuduurzaamheid en klimaatverandering) en titel VI (migratiemobiliteit</w:t>
      </w:r>
      <w:r w:rsidRPr="000D308F" w:rsidR="00F928E2">
        <w:rPr>
          <w:rFonts w:ascii="Verdana" w:hAnsi="Verdana"/>
          <w:sz w:val="18"/>
          <w:szCs w:val="18"/>
        </w:rPr>
        <w:t>)</w:t>
      </w:r>
      <w:r w:rsidRPr="000D308F">
        <w:rPr>
          <w:rFonts w:ascii="Verdana" w:hAnsi="Verdana"/>
          <w:sz w:val="18"/>
          <w:szCs w:val="18"/>
        </w:rPr>
        <w:t>.</w:t>
      </w:r>
      <w:r w:rsidRPr="000D308F" w:rsidR="00875249">
        <w:rPr>
          <w:rStyle w:val="FootnoteReference"/>
          <w:rFonts w:ascii="Verdana" w:hAnsi="Verdana"/>
          <w:sz w:val="18"/>
          <w:szCs w:val="18"/>
        </w:rPr>
        <w:footnoteReference w:id="16"/>
      </w:r>
      <w:r w:rsidRPr="000D308F" w:rsidR="00C71E33">
        <w:rPr>
          <w:rFonts w:ascii="Verdana" w:hAnsi="Verdana"/>
          <w:sz w:val="18"/>
          <w:szCs w:val="18"/>
        </w:rPr>
        <w:t xml:space="preserve"> </w:t>
      </w:r>
      <w:r w:rsidRPr="000D308F" w:rsidR="003202F7">
        <w:rPr>
          <w:rFonts w:ascii="Verdana" w:hAnsi="Verdana"/>
          <w:sz w:val="18"/>
          <w:szCs w:val="18"/>
        </w:rPr>
        <w:t xml:space="preserve">Hierbij dient echter wel aangetekend te worden dat telkens wanneer de Unie interne EU-wetgeving </w:t>
      </w:r>
      <w:r w:rsidRPr="000D308F" w:rsidR="003202F7">
        <w:rPr>
          <w:rFonts w:ascii="Verdana" w:hAnsi="Verdana"/>
          <w:sz w:val="18"/>
          <w:szCs w:val="18"/>
        </w:rPr>
        <w:lastRenderedPageBreak/>
        <w:t>vaststelt op basis van een gedeelde bevoegdheid, de Unie op grond van artikel 3, tweede lid, VWEU, onder andere exclusief bevoegd wordt om internationale overeenkomsten te sluiten op deze terreinen wanneer deze overeenkomsten die interne EU-wetgeving kunnen aantasten of de strekking daarvan kunnen wijzigen. De omvang en de uitoefening van EU-bevoegdheden is dus geen statisch gegeven, maar van rechtswege voortdurend in ontwikkeling.</w:t>
      </w:r>
    </w:p>
    <w:p w:rsidRPr="000D308F" w:rsidR="00067B44" w:rsidP="00EC4F1D" w:rsidRDefault="00067B44" w14:paraId="51521CF4" w14:textId="212C3306">
      <w:pPr>
        <w:rPr>
          <w:rFonts w:ascii="Verdana" w:hAnsi="Verdana"/>
          <w:sz w:val="18"/>
          <w:szCs w:val="18"/>
        </w:rPr>
      </w:pPr>
      <w:r w:rsidRPr="000D308F">
        <w:rPr>
          <w:rFonts w:ascii="Verdana" w:hAnsi="Verdana"/>
          <w:sz w:val="18"/>
          <w:szCs w:val="18"/>
        </w:rPr>
        <w:t xml:space="preserve">Daarnaast bevat de </w:t>
      </w:r>
      <w:r w:rsidRPr="000D308F" w:rsidR="005105A2">
        <w:rPr>
          <w:rFonts w:ascii="Verdana" w:hAnsi="Verdana"/>
          <w:sz w:val="18"/>
          <w:szCs w:val="18"/>
        </w:rPr>
        <w:t>overeenkomst</w:t>
      </w:r>
      <w:r w:rsidRPr="000D308F">
        <w:rPr>
          <w:rFonts w:ascii="Verdana" w:hAnsi="Verdana"/>
          <w:sz w:val="18"/>
          <w:szCs w:val="18"/>
        </w:rPr>
        <w:t xml:space="preserve"> bepalingen op gebieden die niet tot de </w:t>
      </w:r>
      <w:r w:rsidRPr="000D308F" w:rsidR="00B668C0">
        <w:rPr>
          <w:rFonts w:ascii="Verdana" w:hAnsi="Verdana"/>
          <w:sz w:val="18"/>
          <w:szCs w:val="18"/>
        </w:rPr>
        <w:t xml:space="preserve">hierboven genoemde </w:t>
      </w:r>
      <w:r w:rsidRPr="000D308F">
        <w:rPr>
          <w:rFonts w:ascii="Verdana" w:hAnsi="Verdana"/>
          <w:sz w:val="18"/>
          <w:szCs w:val="18"/>
        </w:rPr>
        <w:t xml:space="preserve">bevoegdheden van de Unie behoren. Het gaat dan bijvoorbeeld om parallelle bevoegdheden die de </w:t>
      </w:r>
      <w:r w:rsidRPr="000D308F" w:rsidR="00CD4F1B">
        <w:rPr>
          <w:rFonts w:ascii="Verdana" w:hAnsi="Verdana"/>
          <w:sz w:val="18"/>
          <w:szCs w:val="18"/>
        </w:rPr>
        <w:t>EU-</w:t>
      </w:r>
      <w:r w:rsidRPr="000D308F">
        <w:rPr>
          <w:rFonts w:ascii="Verdana" w:hAnsi="Verdana"/>
          <w:sz w:val="18"/>
          <w:szCs w:val="18"/>
        </w:rPr>
        <w:t xml:space="preserve">lidstaten en de EU gelijktijdig kunnen uitoefenen (zie artikel 4, derde </w:t>
      </w:r>
      <w:r w:rsidRPr="000D308F" w:rsidR="006D3050">
        <w:rPr>
          <w:rFonts w:ascii="Verdana" w:hAnsi="Verdana"/>
          <w:sz w:val="18"/>
          <w:szCs w:val="18"/>
        </w:rPr>
        <w:t xml:space="preserve">en vierde </w:t>
      </w:r>
      <w:r w:rsidRPr="000D308F">
        <w:rPr>
          <w:rFonts w:ascii="Verdana" w:hAnsi="Verdana"/>
          <w:sz w:val="18"/>
          <w:szCs w:val="18"/>
        </w:rPr>
        <w:t>lid, VWEU). In dit verband kan o.a. gewezen worden op artikel</w:t>
      </w:r>
      <w:r w:rsidRPr="000D308F" w:rsidR="006D3050">
        <w:rPr>
          <w:rFonts w:ascii="Verdana" w:hAnsi="Verdana"/>
          <w:sz w:val="18"/>
          <w:szCs w:val="18"/>
        </w:rPr>
        <w:t>en</w:t>
      </w:r>
      <w:r w:rsidRPr="000D308F" w:rsidR="00B668C0">
        <w:rPr>
          <w:rFonts w:ascii="Verdana" w:hAnsi="Verdana"/>
          <w:sz w:val="18"/>
          <w:szCs w:val="18"/>
        </w:rPr>
        <w:t xml:space="preserve"> 9 (ruimte- en </w:t>
      </w:r>
      <w:proofErr w:type="spellStart"/>
      <w:r w:rsidRPr="000D308F" w:rsidR="00B668C0">
        <w:rPr>
          <w:rFonts w:ascii="Verdana" w:hAnsi="Verdana"/>
          <w:sz w:val="18"/>
          <w:szCs w:val="18"/>
        </w:rPr>
        <w:t>geo</w:t>
      </w:r>
      <w:proofErr w:type="spellEnd"/>
      <w:r w:rsidRPr="000D308F" w:rsidR="00E60BA3">
        <w:rPr>
          <w:rFonts w:ascii="Verdana" w:hAnsi="Verdana"/>
          <w:sz w:val="18"/>
          <w:szCs w:val="18"/>
        </w:rPr>
        <w:t>-</w:t>
      </w:r>
      <w:r w:rsidRPr="000D308F" w:rsidR="00B668C0">
        <w:rPr>
          <w:rFonts w:ascii="Verdana" w:hAnsi="Verdana"/>
          <w:sz w:val="18"/>
          <w:szCs w:val="18"/>
        </w:rPr>
        <w:t>spatiale technologie)</w:t>
      </w:r>
      <w:r w:rsidRPr="000D308F" w:rsidR="00FA73F2">
        <w:rPr>
          <w:rFonts w:ascii="Verdana" w:hAnsi="Verdana"/>
          <w:sz w:val="18"/>
          <w:szCs w:val="18"/>
        </w:rPr>
        <w:t>,</w:t>
      </w:r>
      <w:r w:rsidRPr="000D308F" w:rsidR="00B668C0">
        <w:rPr>
          <w:rFonts w:ascii="Verdana" w:hAnsi="Verdana"/>
          <w:sz w:val="18"/>
          <w:szCs w:val="18"/>
        </w:rPr>
        <w:t xml:space="preserve"> 46 (wetenschap, technologie en innovatie) en 82 (internationale ontwikkelingssamenwerking)</w:t>
      </w:r>
      <w:r w:rsidRPr="000D308F" w:rsidR="00E60BA3">
        <w:rPr>
          <w:rFonts w:ascii="Verdana" w:hAnsi="Verdana"/>
          <w:sz w:val="18"/>
          <w:szCs w:val="18"/>
        </w:rPr>
        <w:t>.</w:t>
      </w:r>
      <w:r w:rsidRPr="000D308F" w:rsidR="00F97A98">
        <w:rPr>
          <w:rStyle w:val="FootnoteReference"/>
          <w:rFonts w:ascii="Verdana" w:hAnsi="Verdana"/>
          <w:sz w:val="18"/>
          <w:szCs w:val="18"/>
        </w:rPr>
        <w:footnoteReference w:id="17"/>
      </w:r>
    </w:p>
    <w:p w:rsidRPr="000D308F" w:rsidR="00EC4F1D" w:rsidP="00EC4F1D" w:rsidRDefault="00047A15" w14:paraId="5068344D" w14:textId="60331B74">
      <w:pPr>
        <w:rPr>
          <w:rFonts w:ascii="Verdana" w:hAnsi="Verdana"/>
          <w:sz w:val="18"/>
          <w:szCs w:val="18"/>
        </w:rPr>
      </w:pPr>
      <w:r w:rsidRPr="000D308F">
        <w:rPr>
          <w:rFonts w:ascii="Verdana" w:hAnsi="Verdana"/>
          <w:sz w:val="18"/>
          <w:szCs w:val="18"/>
        </w:rPr>
        <w:t xml:space="preserve">Voorts bevat de </w:t>
      </w:r>
      <w:r w:rsidRPr="000D308F" w:rsidR="005105A2">
        <w:rPr>
          <w:rFonts w:ascii="Verdana" w:hAnsi="Verdana"/>
          <w:sz w:val="18"/>
          <w:szCs w:val="18"/>
        </w:rPr>
        <w:t>overeenkomst</w:t>
      </w:r>
      <w:r w:rsidRPr="000D308F">
        <w:rPr>
          <w:rFonts w:ascii="Verdana" w:hAnsi="Verdana"/>
          <w:sz w:val="18"/>
          <w:szCs w:val="18"/>
        </w:rPr>
        <w:t xml:space="preserve"> ondersteunende, coördinerende of aanvullende bevoegdheden in de zin van artikel 6 VWEU. </w:t>
      </w:r>
      <w:r w:rsidRPr="000D308F" w:rsidR="00B668C0">
        <w:rPr>
          <w:rFonts w:ascii="Verdana" w:hAnsi="Verdana"/>
          <w:sz w:val="18"/>
          <w:szCs w:val="18"/>
        </w:rPr>
        <w:t>Het gaat dan bijvoorbeeld om bepalingen in artikel 30 (onderwijs) en artikel 39 (cultureel erfgoed en de creatieve sector).</w:t>
      </w:r>
      <w:r w:rsidRPr="000D308F" w:rsidR="00F97A98">
        <w:rPr>
          <w:rStyle w:val="FootnoteReference"/>
          <w:rFonts w:ascii="Verdana" w:hAnsi="Verdana"/>
          <w:sz w:val="18"/>
          <w:szCs w:val="18"/>
        </w:rPr>
        <w:footnoteReference w:id="18"/>
      </w:r>
    </w:p>
    <w:p w:rsidRPr="000D308F" w:rsidR="00EC4F1D" w:rsidP="00EC4F1D" w:rsidRDefault="00EC4F1D" w14:paraId="7A1409B5" w14:textId="7089AA3A">
      <w:pPr>
        <w:rPr>
          <w:rFonts w:ascii="Verdana" w:hAnsi="Verdana"/>
          <w:b/>
          <w:bCs/>
          <w:sz w:val="18"/>
          <w:szCs w:val="18"/>
        </w:rPr>
      </w:pPr>
      <w:r w:rsidRPr="000D308F">
        <w:rPr>
          <w:rFonts w:ascii="Verdana" w:hAnsi="Verdana"/>
          <w:b/>
          <w:bCs/>
          <w:sz w:val="18"/>
          <w:szCs w:val="18"/>
        </w:rPr>
        <w:t>1.6 Voorlopige toepassing</w:t>
      </w:r>
    </w:p>
    <w:p w:rsidRPr="000D308F" w:rsidR="007817A7" w:rsidP="00EC4F1D" w:rsidRDefault="00FC46BC" w14:paraId="1BFE6DC2" w14:textId="18C9F3FF">
      <w:pPr>
        <w:rPr>
          <w:rFonts w:ascii="Verdana" w:hAnsi="Verdana"/>
          <w:sz w:val="18"/>
          <w:szCs w:val="18"/>
        </w:rPr>
      </w:pPr>
      <w:r w:rsidRPr="000D308F">
        <w:rPr>
          <w:rFonts w:ascii="Verdana" w:hAnsi="Verdana"/>
          <w:sz w:val="18"/>
          <w:szCs w:val="18"/>
        </w:rPr>
        <w:t>Artikel 98</w:t>
      </w:r>
      <w:r w:rsidRPr="000D308F" w:rsidR="00321F26">
        <w:rPr>
          <w:rFonts w:ascii="Verdana" w:hAnsi="Verdana"/>
          <w:sz w:val="18"/>
          <w:szCs w:val="18"/>
        </w:rPr>
        <w:t>(4)</w:t>
      </w:r>
      <w:r w:rsidRPr="000D308F">
        <w:rPr>
          <w:rFonts w:ascii="Verdana" w:hAnsi="Verdana"/>
          <w:sz w:val="18"/>
          <w:szCs w:val="18"/>
        </w:rPr>
        <w:t xml:space="preserve"> van de </w:t>
      </w:r>
      <w:r w:rsidRPr="000D308F" w:rsidR="005105A2">
        <w:rPr>
          <w:rFonts w:ascii="Verdana" w:hAnsi="Verdana"/>
          <w:sz w:val="18"/>
          <w:szCs w:val="18"/>
        </w:rPr>
        <w:t>overeenkomst</w:t>
      </w:r>
      <w:r w:rsidRPr="000D308F">
        <w:rPr>
          <w:rFonts w:ascii="Verdana" w:hAnsi="Verdana"/>
          <w:sz w:val="18"/>
          <w:szCs w:val="18"/>
        </w:rPr>
        <w:t xml:space="preserve"> bepaalt dat de EU en de ACS-landen</w:t>
      </w:r>
      <w:r w:rsidRPr="000D308F" w:rsidR="007817A7">
        <w:rPr>
          <w:rFonts w:ascii="Verdana" w:hAnsi="Verdana"/>
          <w:sz w:val="18"/>
          <w:szCs w:val="18"/>
        </w:rPr>
        <w:t xml:space="preserve"> de </w:t>
      </w:r>
      <w:r w:rsidRPr="000D308F" w:rsidR="005105A2">
        <w:rPr>
          <w:rFonts w:ascii="Verdana" w:hAnsi="Verdana"/>
          <w:sz w:val="18"/>
          <w:szCs w:val="18"/>
        </w:rPr>
        <w:t>overeenkomst</w:t>
      </w:r>
      <w:r w:rsidRPr="000D308F" w:rsidR="007817A7">
        <w:rPr>
          <w:rFonts w:ascii="Verdana" w:hAnsi="Verdana"/>
          <w:sz w:val="18"/>
          <w:szCs w:val="18"/>
        </w:rPr>
        <w:t xml:space="preserve"> op voorlopige basis geheel of gedeeltelijk kunnen toepassen</w:t>
      </w:r>
      <w:r w:rsidRPr="000D308F">
        <w:rPr>
          <w:rFonts w:ascii="Verdana" w:hAnsi="Verdana"/>
          <w:sz w:val="18"/>
          <w:szCs w:val="18"/>
        </w:rPr>
        <w:t xml:space="preserve">. </w:t>
      </w:r>
      <w:r w:rsidRPr="000D308F" w:rsidR="007817A7">
        <w:rPr>
          <w:rFonts w:ascii="Verdana" w:hAnsi="Verdana"/>
          <w:sz w:val="18"/>
          <w:szCs w:val="18"/>
        </w:rPr>
        <w:t xml:space="preserve">Het besluit van de Raad tot ondertekening en voorlopige toepassing van de overeenkomst (8371/23) bepaalt welk deel van de overeenkomst voorlopig wordt toegepast. </w:t>
      </w:r>
    </w:p>
    <w:p w:rsidRPr="000D308F" w:rsidR="00EC4F1D" w:rsidP="00EC4F1D" w:rsidRDefault="002A2324" w14:paraId="7F38D1C7" w14:textId="0C59ECEE">
      <w:pPr>
        <w:rPr>
          <w:rFonts w:ascii="Verdana" w:hAnsi="Verdana"/>
          <w:sz w:val="18"/>
          <w:szCs w:val="18"/>
        </w:rPr>
      </w:pPr>
      <w:r w:rsidRPr="000D308F">
        <w:rPr>
          <w:rFonts w:ascii="Verdana" w:hAnsi="Verdana"/>
          <w:sz w:val="18"/>
          <w:szCs w:val="18"/>
        </w:rPr>
        <w:t xml:space="preserve">De voorlopige toepassing betreft een voorlopige toepassing door de EU en kan daarom </w:t>
      </w:r>
      <w:r w:rsidRPr="000D308F" w:rsidR="0060483B">
        <w:rPr>
          <w:rFonts w:ascii="Verdana" w:hAnsi="Verdana"/>
          <w:sz w:val="18"/>
          <w:szCs w:val="18"/>
        </w:rPr>
        <w:t>enkel</w:t>
      </w:r>
      <w:r w:rsidRPr="000D308F">
        <w:rPr>
          <w:rFonts w:ascii="Verdana" w:hAnsi="Verdana"/>
          <w:sz w:val="18"/>
          <w:szCs w:val="18"/>
        </w:rPr>
        <w:t xml:space="preserve"> op die onderdelen van de </w:t>
      </w:r>
      <w:r w:rsidRPr="000D308F" w:rsidR="005105A2">
        <w:rPr>
          <w:rFonts w:ascii="Verdana" w:hAnsi="Verdana"/>
          <w:sz w:val="18"/>
          <w:szCs w:val="18"/>
        </w:rPr>
        <w:t>overeenkomst</w:t>
      </w:r>
      <w:r w:rsidRPr="000D308F">
        <w:rPr>
          <w:rFonts w:ascii="Verdana" w:hAnsi="Verdana"/>
          <w:sz w:val="18"/>
          <w:szCs w:val="18"/>
        </w:rPr>
        <w:t xml:space="preserve"> zien die onder de EU-bevoegdheden vallen. </w:t>
      </w:r>
      <w:r w:rsidRPr="000D308F" w:rsidR="007B2C98">
        <w:rPr>
          <w:rFonts w:ascii="Verdana" w:hAnsi="Verdana"/>
          <w:sz w:val="18"/>
          <w:szCs w:val="18"/>
        </w:rPr>
        <w:t xml:space="preserve">Het karakter van een EU-bevoegdheid (exclusief, gedeeld, parallel, ondersteunend, GBVB) is daarbij niet beslissend. De voorlopige toepassing geeft geen indicatie welke bepalingen van de </w:t>
      </w:r>
      <w:r w:rsidRPr="000D308F" w:rsidR="005105A2">
        <w:rPr>
          <w:rFonts w:ascii="Verdana" w:hAnsi="Verdana"/>
          <w:sz w:val="18"/>
          <w:szCs w:val="18"/>
        </w:rPr>
        <w:t>overeenkomst</w:t>
      </w:r>
      <w:r w:rsidRPr="000D308F" w:rsidR="007B2C98">
        <w:rPr>
          <w:rFonts w:ascii="Verdana" w:hAnsi="Verdana"/>
          <w:sz w:val="18"/>
          <w:szCs w:val="18"/>
        </w:rPr>
        <w:t xml:space="preserve"> onder de exclusieve EU-bevoegdheden vallen. In Raadsbesluit 8371/23 wordt het precieze karakter van de desbetreffende bevoegdheden van de EU in het midden gelaten. </w:t>
      </w:r>
    </w:p>
    <w:p w:rsidRPr="000D308F" w:rsidR="002422C4" w:rsidP="00C7181D" w:rsidRDefault="002422C4" w14:paraId="42F892F7" w14:textId="404F849E">
      <w:pPr>
        <w:spacing w:line="240" w:lineRule="auto"/>
        <w:rPr>
          <w:rFonts w:ascii="Verdana" w:hAnsi="Verdana"/>
          <w:sz w:val="18"/>
          <w:szCs w:val="18"/>
        </w:rPr>
      </w:pPr>
      <w:r w:rsidRPr="000D308F">
        <w:rPr>
          <w:rFonts w:ascii="Verdana" w:hAnsi="Verdana"/>
          <w:sz w:val="18"/>
          <w:szCs w:val="18"/>
        </w:rPr>
        <w:t xml:space="preserve">Met ingang van </w:t>
      </w:r>
      <w:r w:rsidRPr="000D308F" w:rsidR="00D81994">
        <w:rPr>
          <w:rFonts w:ascii="Verdana" w:hAnsi="Verdana"/>
          <w:sz w:val="18"/>
          <w:szCs w:val="18"/>
        </w:rPr>
        <w:t>1 januari 2024</w:t>
      </w:r>
      <w:r w:rsidRPr="000D308F" w:rsidR="008D5B8D">
        <w:rPr>
          <w:rFonts w:ascii="Verdana" w:hAnsi="Verdana"/>
          <w:sz w:val="18"/>
          <w:szCs w:val="18"/>
        </w:rPr>
        <w:t xml:space="preserve"> </w:t>
      </w:r>
      <w:r w:rsidRPr="000D308F">
        <w:rPr>
          <w:rFonts w:ascii="Verdana" w:hAnsi="Verdana"/>
          <w:sz w:val="18"/>
          <w:szCs w:val="18"/>
        </w:rPr>
        <w:t>word</w:t>
      </w:r>
      <w:r w:rsidRPr="000D308F" w:rsidR="00321F26">
        <w:rPr>
          <w:rFonts w:ascii="Verdana" w:hAnsi="Verdana"/>
          <w:sz w:val="18"/>
          <w:szCs w:val="18"/>
        </w:rPr>
        <w:t xml:space="preserve">t de </w:t>
      </w:r>
      <w:r w:rsidRPr="000D308F" w:rsidR="005105A2">
        <w:rPr>
          <w:rFonts w:ascii="Verdana" w:hAnsi="Verdana"/>
          <w:sz w:val="18"/>
          <w:szCs w:val="18"/>
        </w:rPr>
        <w:t>overeenkomst</w:t>
      </w:r>
      <w:r w:rsidRPr="000D308F" w:rsidR="00F44AD1">
        <w:rPr>
          <w:rFonts w:ascii="Verdana" w:hAnsi="Verdana"/>
          <w:sz w:val="18"/>
          <w:szCs w:val="18"/>
        </w:rPr>
        <w:t xml:space="preserve"> </w:t>
      </w:r>
      <w:r w:rsidRPr="000D308F" w:rsidR="005B3591">
        <w:rPr>
          <w:rFonts w:ascii="Verdana" w:hAnsi="Verdana"/>
          <w:sz w:val="18"/>
          <w:szCs w:val="18"/>
        </w:rPr>
        <w:t xml:space="preserve">door de EU </w:t>
      </w:r>
      <w:r w:rsidRPr="000D308F" w:rsidR="00321F26">
        <w:rPr>
          <w:rFonts w:ascii="Verdana" w:hAnsi="Verdana"/>
          <w:sz w:val="18"/>
          <w:szCs w:val="18"/>
        </w:rPr>
        <w:t>voorlopig toegepast</w:t>
      </w:r>
      <w:r w:rsidRPr="000D308F" w:rsidR="005B3591">
        <w:rPr>
          <w:rFonts w:ascii="Verdana" w:hAnsi="Verdana"/>
          <w:sz w:val="18"/>
          <w:szCs w:val="18"/>
        </w:rPr>
        <w:t>,</w:t>
      </w:r>
      <w:r w:rsidRPr="000D308F" w:rsidR="00321F26">
        <w:rPr>
          <w:rFonts w:ascii="Verdana" w:hAnsi="Verdana"/>
          <w:sz w:val="18"/>
          <w:szCs w:val="18"/>
        </w:rPr>
        <w:t xml:space="preserve"> met uitzondering van de volgende onderdelen: </w:t>
      </w:r>
    </w:p>
    <w:p w:rsidRPr="000D308F" w:rsidR="002422C4" w:rsidP="00C7181D" w:rsidRDefault="009D24FB" w14:paraId="3D2402E3" w14:textId="50324474">
      <w:pPr>
        <w:spacing w:line="240" w:lineRule="auto"/>
        <w:rPr>
          <w:rFonts w:ascii="Verdana" w:hAnsi="Verdana"/>
          <w:sz w:val="18"/>
          <w:szCs w:val="18"/>
        </w:rPr>
      </w:pPr>
      <w:r w:rsidRPr="000D308F">
        <w:rPr>
          <w:rFonts w:ascii="Verdana" w:hAnsi="Verdana"/>
          <w:sz w:val="18"/>
          <w:szCs w:val="18"/>
        </w:rPr>
        <w:t>(a) In het Algemene Deel:</w:t>
      </w:r>
    </w:p>
    <w:p w:rsidRPr="000D308F" w:rsidR="009D24FB" w:rsidP="00C7181D" w:rsidRDefault="009D24FB" w14:paraId="1840A71E" w14:textId="292F140A">
      <w:pPr>
        <w:pStyle w:val="ListParagraph"/>
        <w:numPr>
          <w:ilvl w:val="0"/>
          <w:numId w:val="8"/>
        </w:numPr>
        <w:spacing w:line="240" w:lineRule="auto"/>
        <w:rPr>
          <w:rFonts w:ascii="Verdana" w:hAnsi="Verdana"/>
          <w:sz w:val="18"/>
          <w:szCs w:val="18"/>
        </w:rPr>
      </w:pPr>
      <w:r w:rsidRPr="000D308F">
        <w:rPr>
          <w:rFonts w:ascii="Verdana" w:hAnsi="Verdana"/>
          <w:sz w:val="18"/>
          <w:szCs w:val="18"/>
        </w:rPr>
        <w:t xml:space="preserve">Artikel 12(4) en (6), voor zover het gaat om de inning van belastinginkomsten; </w:t>
      </w:r>
    </w:p>
    <w:p w:rsidRPr="000D308F" w:rsidR="009D24FB" w:rsidP="00C7181D" w:rsidRDefault="009D24FB" w14:paraId="0357E253" w14:textId="504D149A">
      <w:pPr>
        <w:pStyle w:val="ListParagraph"/>
        <w:numPr>
          <w:ilvl w:val="0"/>
          <w:numId w:val="8"/>
        </w:numPr>
        <w:spacing w:line="240" w:lineRule="auto"/>
        <w:rPr>
          <w:rFonts w:ascii="Verdana" w:hAnsi="Verdana"/>
          <w:sz w:val="18"/>
          <w:szCs w:val="18"/>
        </w:rPr>
      </w:pPr>
      <w:r w:rsidRPr="000D308F">
        <w:rPr>
          <w:rFonts w:ascii="Verdana" w:hAnsi="Verdana"/>
          <w:sz w:val="18"/>
          <w:szCs w:val="18"/>
        </w:rPr>
        <w:t xml:space="preserve">Artikel 17(4), de laatste zin, voor zover het gaat om militaire uitgaven; </w:t>
      </w:r>
    </w:p>
    <w:p w:rsidRPr="000D308F" w:rsidR="009D24FB" w:rsidP="00C7181D" w:rsidRDefault="009D24FB" w14:paraId="5D923503" w14:textId="7862347F">
      <w:pPr>
        <w:pStyle w:val="ListParagraph"/>
        <w:numPr>
          <w:ilvl w:val="0"/>
          <w:numId w:val="8"/>
        </w:numPr>
        <w:spacing w:line="240" w:lineRule="auto"/>
        <w:rPr>
          <w:rFonts w:ascii="Verdana" w:hAnsi="Verdana"/>
          <w:sz w:val="18"/>
          <w:szCs w:val="18"/>
        </w:rPr>
      </w:pPr>
      <w:r w:rsidRPr="000D308F">
        <w:rPr>
          <w:rFonts w:ascii="Verdana" w:hAnsi="Verdana"/>
          <w:sz w:val="18"/>
          <w:szCs w:val="18"/>
        </w:rPr>
        <w:t xml:space="preserve">Artikel 22(2), de derde zin; </w:t>
      </w:r>
    </w:p>
    <w:p w:rsidRPr="000D308F" w:rsidR="009D24FB" w:rsidP="00C7181D" w:rsidRDefault="009D24FB" w14:paraId="4D088A08" w14:textId="7F4E0B54">
      <w:pPr>
        <w:pStyle w:val="ListParagraph"/>
        <w:numPr>
          <w:ilvl w:val="0"/>
          <w:numId w:val="8"/>
        </w:numPr>
        <w:spacing w:line="240" w:lineRule="auto"/>
        <w:rPr>
          <w:rFonts w:ascii="Verdana" w:hAnsi="Verdana"/>
          <w:sz w:val="18"/>
          <w:szCs w:val="18"/>
        </w:rPr>
      </w:pPr>
      <w:r w:rsidRPr="000D308F">
        <w:rPr>
          <w:rFonts w:ascii="Verdana" w:hAnsi="Verdana"/>
          <w:sz w:val="18"/>
          <w:szCs w:val="18"/>
        </w:rPr>
        <w:t xml:space="preserve">Artikel 29(2); </w:t>
      </w:r>
    </w:p>
    <w:p w:rsidRPr="000D308F" w:rsidR="009D24FB" w:rsidP="00C7181D" w:rsidRDefault="009D24FB" w14:paraId="5BA43BDB" w14:textId="061231B2">
      <w:pPr>
        <w:pStyle w:val="ListParagraph"/>
        <w:numPr>
          <w:ilvl w:val="0"/>
          <w:numId w:val="8"/>
        </w:numPr>
        <w:spacing w:line="240" w:lineRule="auto"/>
        <w:rPr>
          <w:rFonts w:ascii="Verdana" w:hAnsi="Verdana"/>
          <w:sz w:val="18"/>
          <w:szCs w:val="18"/>
        </w:rPr>
      </w:pPr>
      <w:r w:rsidRPr="000D308F">
        <w:rPr>
          <w:rFonts w:ascii="Verdana" w:hAnsi="Verdana"/>
          <w:sz w:val="18"/>
          <w:szCs w:val="18"/>
        </w:rPr>
        <w:t xml:space="preserve">Artikel 32(1), punt (b), en artikel 32(2), de laatste zin; </w:t>
      </w:r>
    </w:p>
    <w:p w:rsidRPr="000D308F" w:rsidR="004E3048" w:rsidP="00C7181D" w:rsidRDefault="004E3048" w14:paraId="2675541A" w14:textId="140F78FE">
      <w:pPr>
        <w:pStyle w:val="ListParagraph"/>
        <w:numPr>
          <w:ilvl w:val="0"/>
          <w:numId w:val="8"/>
        </w:numPr>
        <w:rPr>
          <w:rFonts w:ascii="Verdana" w:hAnsi="Verdana"/>
          <w:sz w:val="18"/>
          <w:szCs w:val="18"/>
        </w:rPr>
      </w:pPr>
      <w:r w:rsidRPr="000D308F">
        <w:rPr>
          <w:rFonts w:ascii="Verdana" w:hAnsi="Verdana"/>
          <w:sz w:val="18"/>
          <w:szCs w:val="18"/>
        </w:rPr>
        <w:t>Artikel 64(1), de laatste zin;</w:t>
      </w:r>
    </w:p>
    <w:p w:rsidRPr="000D308F" w:rsidR="004E3048" w:rsidP="00C7181D" w:rsidRDefault="004E3048" w14:paraId="7E283A70" w14:textId="39C277FE">
      <w:pPr>
        <w:pStyle w:val="ListParagraph"/>
        <w:numPr>
          <w:ilvl w:val="0"/>
          <w:numId w:val="8"/>
        </w:numPr>
        <w:rPr>
          <w:rFonts w:ascii="Verdana" w:hAnsi="Verdana"/>
          <w:sz w:val="18"/>
          <w:szCs w:val="18"/>
        </w:rPr>
      </w:pPr>
      <w:r w:rsidRPr="000D308F">
        <w:rPr>
          <w:rFonts w:ascii="Verdana" w:hAnsi="Verdana"/>
          <w:sz w:val="18"/>
          <w:szCs w:val="18"/>
        </w:rPr>
        <w:t>Artikel 67(2);</w:t>
      </w:r>
    </w:p>
    <w:p w:rsidRPr="000D308F" w:rsidR="004E3048" w:rsidP="00C7181D" w:rsidRDefault="004E3048" w14:paraId="7A30D3D6" w14:textId="41382B4D">
      <w:pPr>
        <w:pStyle w:val="ListParagraph"/>
        <w:numPr>
          <w:ilvl w:val="0"/>
          <w:numId w:val="8"/>
        </w:numPr>
        <w:rPr>
          <w:rFonts w:ascii="Verdana" w:hAnsi="Verdana"/>
          <w:sz w:val="18"/>
          <w:szCs w:val="18"/>
        </w:rPr>
      </w:pPr>
      <w:r w:rsidRPr="000D308F">
        <w:rPr>
          <w:rFonts w:ascii="Verdana" w:hAnsi="Verdana"/>
          <w:sz w:val="18"/>
          <w:szCs w:val="18"/>
        </w:rPr>
        <w:t>Artikel 85(1), de eerste zin, en artikel 85(4);</w:t>
      </w:r>
    </w:p>
    <w:p w:rsidRPr="000D308F" w:rsidR="00B72981" w:rsidP="00B72981" w:rsidRDefault="00B72981" w14:paraId="6D1C71D6" w14:textId="43A6095F">
      <w:pPr>
        <w:rPr>
          <w:rFonts w:ascii="Verdana" w:hAnsi="Verdana"/>
          <w:sz w:val="18"/>
          <w:szCs w:val="18"/>
        </w:rPr>
      </w:pPr>
      <w:r w:rsidRPr="000D308F">
        <w:rPr>
          <w:rFonts w:ascii="Verdana" w:hAnsi="Verdana"/>
          <w:sz w:val="18"/>
          <w:szCs w:val="18"/>
        </w:rPr>
        <w:t>(b) in het Regionaal Protocol Afrika:</w:t>
      </w:r>
    </w:p>
    <w:p w:rsidRPr="000D308F" w:rsidR="00B72981" w:rsidP="00C7181D" w:rsidRDefault="00B72981" w14:paraId="774822D4" w14:textId="5C45BB1F">
      <w:pPr>
        <w:pStyle w:val="ListParagraph"/>
        <w:numPr>
          <w:ilvl w:val="0"/>
          <w:numId w:val="8"/>
        </w:numPr>
        <w:rPr>
          <w:rFonts w:ascii="Verdana" w:hAnsi="Verdana"/>
          <w:sz w:val="18"/>
          <w:szCs w:val="18"/>
        </w:rPr>
      </w:pPr>
      <w:r w:rsidRPr="000D308F">
        <w:rPr>
          <w:rFonts w:ascii="Verdana" w:hAnsi="Verdana"/>
          <w:sz w:val="18"/>
          <w:szCs w:val="18"/>
        </w:rPr>
        <w:t>Artikel 9(1), de laatste zin;</w:t>
      </w:r>
    </w:p>
    <w:p w:rsidRPr="000D308F" w:rsidR="00B72981" w:rsidP="00C7181D" w:rsidRDefault="00B72981" w14:paraId="256D18ED" w14:textId="5777A514">
      <w:pPr>
        <w:pStyle w:val="ListParagraph"/>
        <w:numPr>
          <w:ilvl w:val="0"/>
          <w:numId w:val="8"/>
        </w:numPr>
        <w:rPr>
          <w:rFonts w:ascii="Verdana" w:hAnsi="Verdana"/>
          <w:sz w:val="18"/>
          <w:szCs w:val="18"/>
        </w:rPr>
      </w:pPr>
      <w:r w:rsidRPr="000D308F">
        <w:rPr>
          <w:rFonts w:ascii="Verdana" w:hAnsi="Verdana"/>
          <w:sz w:val="18"/>
          <w:szCs w:val="18"/>
        </w:rPr>
        <w:t>Artikel 58(5), de eerste zin;</w:t>
      </w:r>
    </w:p>
    <w:p w:rsidRPr="000D308F" w:rsidR="00B72981" w:rsidP="00C7181D" w:rsidRDefault="00B72981" w14:paraId="656203F4" w14:textId="2803D575">
      <w:pPr>
        <w:pStyle w:val="ListParagraph"/>
        <w:numPr>
          <w:ilvl w:val="0"/>
          <w:numId w:val="8"/>
        </w:numPr>
        <w:rPr>
          <w:rFonts w:ascii="Verdana" w:hAnsi="Verdana"/>
          <w:sz w:val="18"/>
          <w:szCs w:val="18"/>
        </w:rPr>
      </w:pPr>
      <w:r w:rsidRPr="000D308F">
        <w:rPr>
          <w:rFonts w:ascii="Verdana" w:hAnsi="Verdana"/>
          <w:sz w:val="18"/>
          <w:szCs w:val="18"/>
        </w:rPr>
        <w:t xml:space="preserve">Artikel 67(2), de laatste zin, en artikel 67(4), de laatste zin; </w:t>
      </w:r>
    </w:p>
    <w:p w:rsidRPr="000D308F" w:rsidR="00B72981" w:rsidP="00C7181D" w:rsidRDefault="00B72981" w14:paraId="7C3E88E5" w14:textId="56BFACB6">
      <w:pPr>
        <w:pStyle w:val="ListParagraph"/>
        <w:numPr>
          <w:ilvl w:val="0"/>
          <w:numId w:val="8"/>
        </w:numPr>
        <w:rPr>
          <w:rFonts w:ascii="Verdana" w:hAnsi="Verdana"/>
          <w:sz w:val="18"/>
          <w:szCs w:val="18"/>
        </w:rPr>
      </w:pPr>
      <w:r w:rsidRPr="000D308F">
        <w:rPr>
          <w:rFonts w:ascii="Verdana" w:hAnsi="Verdana"/>
          <w:sz w:val="18"/>
          <w:szCs w:val="18"/>
        </w:rPr>
        <w:t xml:space="preserve">Artikel 68(4), voor zover het gaat om </w:t>
      </w:r>
      <w:r w:rsidRPr="000D308F" w:rsidR="00F612AD">
        <w:rPr>
          <w:rFonts w:ascii="Verdana" w:hAnsi="Verdana"/>
          <w:sz w:val="18"/>
          <w:szCs w:val="18"/>
        </w:rPr>
        <w:t>penitentiaire</w:t>
      </w:r>
      <w:r w:rsidRPr="000D308F">
        <w:rPr>
          <w:rFonts w:ascii="Verdana" w:hAnsi="Verdana"/>
          <w:sz w:val="18"/>
          <w:szCs w:val="18"/>
        </w:rPr>
        <w:t xml:space="preserve"> systemen;</w:t>
      </w:r>
    </w:p>
    <w:p w:rsidRPr="000D308F" w:rsidR="00B72981" w:rsidP="00C7181D" w:rsidRDefault="00B72981" w14:paraId="0616B08E" w14:textId="28A19BFC">
      <w:pPr>
        <w:pStyle w:val="ListParagraph"/>
        <w:numPr>
          <w:ilvl w:val="0"/>
          <w:numId w:val="8"/>
        </w:numPr>
        <w:rPr>
          <w:rFonts w:ascii="Verdana" w:hAnsi="Verdana"/>
          <w:sz w:val="18"/>
          <w:szCs w:val="18"/>
        </w:rPr>
      </w:pPr>
      <w:r w:rsidRPr="000D308F">
        <w:rPr>
          <w:rFonts w:ascii="Verdana" w:hAnsi="Verdana"/>
          <w:sz w:val="18"/>
          <w:szCs w:val="18"/>
        </w:rPr>
        <w:t>Artikel 72(1), voor zover het gaat om beheer van overheidsschuld;</w:t>
      </w:r>
    </w:p>
    <w:p w:rsidRPr="000D308F" w:rsidR="00B72981" w:rsidP="00C7181D" w:rsidRDefault="00B72981" w14:paraId="6D7368F2" w14:textId="217C8CD1">
      <w:pPr>
        <w:pStyle w:val="ListParagraph"/>
        <w:numPr>
          <w:ilvl w:val="0"/>
          <w:numId w:val="8"/>
        </w:numPr>
        <w:rPr>
          <w:rFonts w:ascii="Verdana" w:hAnsi="Verdana"/>
          <w:sz w:val="18"/>
          <w:szCs w:val="18"/>
        </w:rPr>
      </w:pPr>
      <w:r w:rsidRPr="000D308F">
        <w:rPr>
          <w:rFonts w:ascii="Verdana" w:hAnsi="Verdana"/>
          <w:sz w:val="18"/>
          <w:szCs w:val="18"/>
        </w:rPr>
        <w:t>Artikel 76(2);</w:t>
      </w:r>
    </w:p>
    <w:p w:rsidRPr="000D308F" w:rsidR="00B72981" w:rsidP="00B72981" w:rsidRDefault="00B72981" w14:paraId="35C76D10" w14:textId="5960984D">
      <w:pPr>
        <w:rPr>
          <w:rFonts w:ascii="Verdana" w:hAnsi="Verdana"/>
          <w:sz w:val="18"/>
          <w:szCs w:val="18"/>
        </w:rPr>
      </w:pPr>
      <w:r w:rsidRPr="000D308F">
        <w:rPr>
          <w:rFonts w:ascii="Verdana" w:hAnsi="Verdana"/>
          <w:sz w:val="18"/>
          <w:szCs w:val="18"/>
        </w:rPr>
        <w:t>(c) in het Regionaal Protocol Caribisch Gebied:</w:t>
      </w:r>
    </w:p>
    <w:p w:rsidRPr="000D308F" w:rsidR="00B72981" w:rsidP="00C7181D" w:rsidRDefault="00B72981" w14:paraId="3EAFD79A" w14:textId="5F0ABDA5">
      <w:pPr>
        <w:pStyle w:val="ListParagraph"/>
        <w:numPr>
          <w:ilvl w:val="0"/>
          <w:numId w:val="8"/>
        </w:numPr>
        <w:rPr>
          <w:rFonts w:ascii="Verdana" w:hAnsi="Verdana"/>
          <w:sz w:val="18"/>
          <w:szCs w:val="18"/>
        </w:rPr>
      </w:pPr>
      <w:r w:rsidRPr="000D308F">
        <w:rPr>
          <w:rFonts w:ascii="Verdana" w:hAnsi="Verdana"/>
          <w:sz w:val="18"/>
          <w:szCs w:val="18"/>
        </w:rPr>
        <w:lastRenderedPageBreak/>
        <w:t>Artikel 33(4);</w:t>
      </w:r>
    </w:p>
    <w:p w:rsidRPr="000D308F" w:rsidR="00B72981" w:rsidP="00C7181D" w:rsidRDefault="00B72981" w14:paraId="7AEF1226" w14:textId="067A3141">
      <w:pPr>
        <w:pStyle w:val="ListParagraph"/>
        <w:numPr>
          <w:ilvl w:val="0"/>
          <w:numId w:val="8"/>
        </w:numPr>
        <w:rPr>
          <w:rFonts w:ascii="Verdana" w:hAnsi="Verdana"/>
          <w:sz w:val="18"/>
          <w:szCs w:val="18"/>
        </w:rPr>
      </w:pPr>
      <w:r w:rsidRPr="000D308F">
        <w:rPr>
          <w:rFonts w:ascii="Verdana" w:hAnsi="Verdana"/>
          <w:sz w:val="18"/>
          <w:szCs w:val="18"/>
        </w:rPr>
        <w:t>Artikel 34(2);</w:t>
      </w:r>
    </w:p>
    <w:p w:rsidRPr="000D308F" w:rsidR="00B72981" w:rsidP="00C7181D" w:rsidRDefault="00B72981" w14:paraId="40982887" w14:textId="1A0ACE73">
      <w:pPr>
        <w:pStyle w:val="ListParagraph"/>
        <w:numPr>
          <w:ilvl w:val="0"/>
          <w:numId w:val="8"/>
        </w:numPr>
        <w:rPr>
          <w:rFonts w:ascii="Verdana" w:hAnsi="Verdana"/>
          <w:sz w:val="18"/>
          <w:szCs w:val="18"/>
        </w:rPr>
      </w:pPr>
      <w:r w:rsidRPr="000D308F">
        <w:rPr>
          <w:rFonts w:ascii="Verdana" w:hAnsi="Verdana"/>
          <w:sz w:val="18"/>
          <w:szCs w:val="18"/>
        </w:rPr>
        <w:t>Artikel 35, voor zover het gaat om beheer van overheidsschuld;</w:t>
      </w:r>
    </w:p>
    <w:p w:rsidRPr="000D308F" w:rsidR="00B72981" w:rsidP="00C7181D" w:rsidRDefault="00B72981" w14:paraId="32C632BC" w14:textId="03053FCA">
      <w:pPr>
        <w:pStyle w:val="ListParagraph"/>
        <w:numPr>
          <w:ilvl w:val="0"/>
          <w:numId w:val="8"/>
        </w:numPr>
        <w:rPr>
          <w:rFonts w:ascii="Verdana" w:hAnsi="Verdana"/>
          <w:sz w:val="18"/>
          <w:szCs w:val="18"/>
        </w:rPr>
      </w:pPr>
      <w:r w:rsidRPr="000D308F">
        <w:rPr>
          <w:rFonts w:ascii="Verdana" w:hAnsi="Verdana"/>
          <w:sz w:val="18"/>
          <w:szCs w:val="18"/>
        </w:rPr>
        <w:t>Artikel 36(3), de eerste zin;</w:t>
      </w:r>
    </w:p>
    <w:p w:rsidRPr="000D308F" w:rsidR="00B72981" w:rsidP="00C7181D" w:rsidRDefault="00B72981" w14:paraId="37B3A403" w14:textId="1CD07ADB">
      <w:pPr>
        <w:pStyle w:val="ListParagraph"/>
        <w:numPr>
          <w:ilvl w:val="0"/>
          <w:numId w:val="8"/>
        </w:numPr>
        <w:rPr>
          <w:rFonts w:ascii="Verdana" w:hAnsi="Verdana"/>
          <w:sz w:val="18"/>
          <w:szCs w:val="18"/>
        </w:rPr>
      </w:pPr>
      <w:r w:rsidRPr="000D308F">
        <w:rPr>
          <w:rFonts w:ascii="Verdana" w:hAnsi="Verdana"/>
          <w:sz w:val="18"/>
          <w:szCs w:val="18"/>
        </w:rPr>
        <w:t>Artikel 51(5), de eerste zin;</w:t>
      </w:r>
    </w:p>
    <w:p w:rsidRPr="000D308F" w:rsidR="00B72981" w:rsidP="00B72981" w:rsidRDefault="00B72981" w14:paraId="5D61CCDC" w14:textId="2031C242">
      <w:pPr>
        <w:rPr>
          <w:rFonts w:ascii="Verdana" w:hAnsi="Verdana"/>
          <w:sz w:val="18"/>
          <w:szCs w:val="18"/>
        </w:rPr>
      </w:pPr>
      <w:r w:rsidRPr="000D308F">
        <w:rPr>
          <w:rFonts w:ascii="Verdana" w:hAnsi="Verdana"/>
          <w:sz w:val="18"/>
          <w:szCs w:val="18"/>
        </w:rPr>
        <w:t>(d) in het Regionaal Protocol Stille Oceaan:</w:t>
      </w:r>
    </w:p>
    <w:p w:rsidRPr="000D308F" w:rsidR="00B72981" w:rsidP="008A46D4" w:rsidRDefault="00B72981" w14:paraId="0BFCFDF3" w14:textId="42027A48">
      <w:pPr>
        <w:pStyle w:val="ListParagraph"/>
        <w:numPr>
          <w:ilvl w:val="0"/>
          <w:numId w:val="8"/>
        </w:numPr>
        <w:rPr>
          <w:rFonts w:ascii="Verdana" w:hAnsi="Verdana"/>
          <w:sz w:val="18"/>
          <w:szCs w:val="18"/>
        </w:rPr>
      </w:pPr>
      <w:r w:rsidRPr="000D308F">
        <w:rPr>
          <w:rFonts w:ascii="Verdana" w:hAnsi="Verdana"/>
          <w:sz w:val="18"/>
          <w:szCs w:val="18"/>
        </w:rPr>
        <w:t xml:space="preserve">Artikel 18; </w:t>
      </w:r>
    </w:p>
    <w:p w:rsidRPr="000D308F" w:rsidR="00B72981" w:rsidP="008A46D4" w:rsidRDefault="00B72981" w14:paraId="03A70795" w14:textId="242CDBBB">
      <w:pPr>
        <w:pStyle w:val="ListParagraph"/>
        <w:numPr>
          <w:ilvl w:val="0"/>
          <w:numId w:val="8"/>
        </w:numPr>
        <w:rPr>
          <w:rFonts w:ascii="Verdana" w:hAnsi="Verdana"/>
          <w:sz w:val="18"/>
          <w:szCs w:val="18"/>
        </w:rPr>
      </w:pPr>
      <w:r w:rsidRPr="000D308F">
        <w:rPr>
          <w:rFonts w:ascii="Verdana" w:hAnsi="Verdana"/>
          <w:sz w:val="18"/>
          <w:szCs w:val="18"/>
        </w:rPr>
        <w:t xml:space="preserve">Artikel 26(4), </w:t>
      </w:r>
      <w:r w:rsidRPr="000D308F" w:rsidR="00D377FE">
        <w:rPr>
          <w:rFonts w:ascii="Verdana" w:hAnsi="Verdana"/>
          <w:sz w:val="18"/>
          <w:szCs w:val="18"/>
        </w:rPr>
        <w:t>voor zover het gaat om een toename in routes en de frequentie van luchtdiensten;</w:t>
      </w:r>
      <w:r w:rsidRPr="000D308F">
        <w:rPr>
          <w:rFonts w:ascii="Verdana" w:hAnsi="Verdana"/>
          <w:sz w:val="18"/>
          <w:szCs w:val="18"/>
        </w:rPr>
        <w:t xml:space="preserve"> </w:t>
      </w:r>
    </w:p>
    <w:p w:rsidRPr="000D308F" w:rsidR="00B72981" w:rsidP="008A46D4" w:rsidRDefault="00B72981" w14:paraId="39DA8A5D" w14:textId="725B06BD">
      <w:pPr>
        <w:pStyle w:val="ListParagraph"/>
        <w:numPr>
          <w:ilvl w:val="0"/>
          <w:numId w:val="8"/>
        </w:numPr>
        <w:rPr>
          <w:rFonts w:ascii="Verdana" w:hAnsi="Verdana"/>
          <w:sz w:val="18"/>
          <w:szCs w:val="18"/>
        </w:rPr>
      </w:pPr>
      <w:r w:rsidRPr="000D308F">
        <w:rPr>
          <w:rFonts w:ascii="Verdana" w:hAnsi="Verdana"/>
          <w:sz w:val="18"/>
          <w:szCs w:val="18"/>
        </w:rPr>
        <w:t xml:space="preserve">Artikel 40(3), </w:t>
      </w:r>
      <w:r w:rsidRPr="000D308F" w:rsidR="00D377FE">
        <w:rPr>
          <w:rFonts w:ascii="Verdana" w:hAnsi="Verdana"/>
          <w:sz w:val="18"/>
          <w:szCs w:val="18"/>
        </w:rPr>
        <w:t>voor zover het gaat om penitentiaire systemen</w:t>
      </w:r>
      <w:r w:rsidRPr="000D308F">
        <w:rPr>
          <w:rFonts w:ascii="Verdana" w:hAnsi="Verdana"/>
          <w:sz w:val="18"/>
          <w:szCs w:val="18"/>
        </w:rPr>
        <w:t xml:space="preserve">; </w:t>
      </w:r>
    </w:p>
    <w:p w:rsidRPr="000D308F" w:rsidR="00B72981" w:rsidP="008A46D4" w:rsidRDefault="00B72981" w14:paraId="0FFAE436" w14:textId="119BB789">
      <w:pPr>
        <w:pStyle w:val="ListParagraph"/>
        <w:numPr>
          <w:ilvl w:val="0"/>
          <w:numId w:val="8"/>
        </w:numPr>
        <w:rPr>
          <w:rFonts w:ascii="Verdana" w:hAnsi="Verdana"/>
          <w:sz w:val="18"/>
          <w:szCs w:val="18"/>
        </w:rPr>
      </w:pPr>
      <w:r w:rsidRPr="000D308F">
        <w:rPr>
          <w:rFonts w:ascii="Verdana" w:hAnsi="Verdana"/>
          <w:sz w:val="18"/>
          <w:szCs w:val="18"/>
        </w:rPr>
        <w:t xml:space="preserve">Artikel 41(1), </w:t>
      </w:r>
      <w:r w:rsidRPr="000D308F" w:rsidR="00D377FE">
        <w:rPr>
          <w:rFonts w:ascii="Verdana" w:hAnsi="Verdana"/>
          <w:sz w:val="18"/>
          <w:szCs w:val="18"/>
        </w:rPr>
        <w:t>voor zover het gaat om beheer van overheidsschuld</w:t>
      </w:r>
      <w:r w:rsidRPr="000D308F">
        <w:rPr>
          <w:rFonts w:ascii="Verdana" w:hAnsi="Verdana"/>
          <w:sz w:val="18"/>
          <w:szCs w:val="18"/>
        </w:rPr>
        <w:t xml:space="preserve">. </w:t>
      </w:r>
    </w:p>
    <w:p w:rsidRPr="000D308F" w:rsidR="00C7181D" w:rsidP="00F11F18" w:rsidRDefault="00C7181D" w14:paraId="4A254A18" w14:textId="15C68B83">
      <w:pPr>
        <w:rPr>
          <w:rFonts w:ascii="Verdana" w:hAnsi="Verdana"/>
          <w:sz w:val="18"/>
          <w:szCs w:val="18"/>
        </w:rPr>
      </w:pPr>
      <w:r w:rsidRPr="000D308F">
        <w:rPr>
          <w:rFonts w:ascii="Verdana" w:hAnsi="Verdana"/>
          <w:sz w:val="18"/>
          <w:szCs w:val="18"/>
        </w:rPr>
        <w:t>Overig:</w:t>
      </w:r>
    </w:p>
    <w:p w:rsidRPr="000D308F" w:rsidR="00F11F18" w:rsidP="008A46D4" w:rsidRDefault="001F3C5E" w14:paraId="6A35275F" w14:textId="3061B1E6">
      <w:pPr>
        <w:pStyle w:val="ListParagraph"/>
        <w:numPr>
          <w:ilvl w:val="0"/>
          <w:numId w:val="8"/>
        </w:numPr>
        <w:rPr>
          <w:rFonts w:ascii="Verdana" w:hAnsi="Verdana"/>
          <w:sz w:val="18"/>
          <w:szCs w:val="18"/>
        </w:rPr>
      </w:pPr>
      <w:r w:rsidRPr="000D308F">
        <w:rPr>
          <w:rFonts w:ascii="Verdana" w:hAnsi="Verdana"/>
          <w:sz w:val="18"/>
          <w:szCs w:val="18"/>
        </w:rPr>
        <w:t>Bepalingen</w:t>
      </w:r>
      <w:r w:rsidRPr="000D308F" w:rsidR="00F11F18">
        <w:rPr>
          <w:rFonts w:ascii="Verdana" w:hAnsi="Verdana"/>
          <w:sz w:val="18"/>
          <w:szCs w:val="18"/>
        </w:rPr>
        <w:t xml:space="preserve"> met betrekking tot buitenlandse investeringen </w:t>
      </w:r>
      <w:r w:rsidRPr="000D308F">
        <w:rPr>
          <w:rFonts w:ascii="Verdana" w:hAnsi="Verdana"/>
          <w:sz w:val="18"/>
          <w:szCs w:val="18"/>
        </w:rPr>
        <w:t xml:space="preserve">worden </w:t>
      </w:r>
      <w:r w:rsidRPr="000D308F" w:rsidR="00F11F18">
        <w:rPr>
          <w:rFonts w:ascii="Verdana" w:hAnsi="Verdana"/>
          <w:sz w:val="18"/>
          <w:szCs w:val="18"/>
        </w:rPr>
        <w:t>niet voorlopig toegepast, voor zover ze betrekking hebben op portfolio-investeringen of enige andere vorm van niet-directe investeringen.</w:t>
      </w:r>
    </w:p>
    <w:p w:rsidRPr="000D308F" w:rsidR="00F11F18" w:rsidP="008A46D4" w:rsidRDefault="001F3C5E" w14:paraId="143452E3" w14:textId="3F3F8241">
      <w:pPr>
        <w:pStyle w:val="ListParagraph"/>
        <w:numPr>
          <w:ilvl w:val="0"/>
          <w:numId w:val="8"/>
        </w:numPr>
        <w:rPr>
          <w:rFonts w:ascii="Verdana" w:hAnsi="Verdana"/>
          <w:sz w:val="18"/>
          <w:szCs w:val="18"/>
        </w:rPr>
      </w:pPr>
      <w:r w:rsidRPr="000D308F">
        <w:rPr>
          <w:rFonts w:ascii="Verdana" w:hAnsi="Verdana"/>
          <w:sz w:val="18"/>
          <w:szCs w:val="18"/>
        </w:rPr>
        <w:t>D</w:t>
      </w:r>
      <w:r w:rsidRPr="000D308F" w:rsidR="00F11F18">
        <w:rPr>
          <w:rFonts w:ascii="Verdana" w:hAnsi="Verdana"/>
          <w:sz w:val="18"/>
          <w:szCs w:val="18"/>
        </w:rPr>
        <w:t xml:space="preserve">eel V van het algemene deel van de </w:t>
      </w:r>
      <w:r w:rsidRPr="000D308F" w:rsidR="005105A2">
        <w:rPr>
          <w:rFonts w:ascii="Verdana" w:hAnsi="Verdana"/>
          <w:sz w:val="18"/>
          <w:szCs w:val="18"/>
        </w:rPr>
        <w:t>overeenkomst</w:t>
      </w:r>
      <w:r w:rsidRPr="000D308F" w:rsidR="00F11F18">
        <w:rPr>
          <w:rFonts w:ascii="Verdana" w:hAnsi="Verdana"/>
          <w:sz w:val="18"/>
          <w:szCs w:val="18"/>
        </w:rPr>
        <w:t xml:space="preserve"> </w:t>
      </w:r>
      <w:r w:rsidRPr="000D308F">
        <w:rPr>
          <w:rFonts w:ascii="Verdana" w:hAnsi="Verdana"/>
          <w:sz w:val="18"/>
          <w:szCs w:val="18"/>
        </w:rPr>
        <w:t xml:space="preserve">wordt </w:t>
      </w:r>
      <w:r w:rsidRPr="000D308F" w:rsidR="00F11F18">
        <w:rPr>
          <w:rFonts w:ascii="Verdana" w:hAnsi="Verdana"/>
          <w:sz w:val="18"/>
          <w:szCs w:val="18"/>
        </w:rPr>
        <w:t xml:space="preserve">voorlopig toegepast voor zover de bepalingen van dat deel beperkt zijn tot het doel om de voorlopige toepassing van de </w:t>
      </w:r>
      <w:r w:rsidRPr="000D308F" w:rsidR="005105A2">
        <w:rPr>
          <w:rFonts w:ascii="Verdana" w:hAnsi="Verdana"/>
          <w:sz w:val="18"/>
          <w:szCs w:val="18"/>
        </w:rPr>
        <w:t>overeenkomst</w:t>
      </w:r>
      <w:r w:rsidRPr="000D308F" w:rsidR="00F11F18">
        <w:rPr>
          <w:rFonts w:ascii="Verdana" w:hAnsi="Verdana"/>
          <w:sz w:val="18"/>
          <w:szCs w:val="18"/>
        </w:rPr>
        <w:t xml:space="preserve"> zoals gedefinieerd in dit artikel te verzekeren.</w:t>
      </w:r>
    </w:p>
    <w:p w:rsidRPr="000D308F" w:rsidR="00D80190" w:rsidP="00EC4F1D" w:rsidRDefault="00D80190" w14:paraId="72BAB183" w14:textId="58E001A7">
      <w:pPr>
        <w:rPr>
          <w:rFonts w:ascii="Verdana" w:hAnsi="Verdana"/>
          <w:b/>
          <w:bCs/>
          <w:sz w:val="18"/>
          <w:szCs w:val="18"/>
        </w:rPr>
      </w:pPr>
      <w:r w:rsidRPr="000D308F">
        <w:rPr>
          <w:rFonts w:ascii="Verdana" w:hAnsi="Verdana"/>
          <w:b/>
          <w:bCs/>
          <w:sz w:val="18"/>
          <w:szCs w:val="18"/>
        </w:rPr>
        <w:t xml:space="preserve">1.7 Financiële gevolgen </w:t>
      </w:r>
    </w:p>
    <w:p w:rsidRPr="000D308F" w:rsidR="00346C07" w:rsidP="00D80190" w:rsidRDefault="009B4536" w14:paraId="2322418C" w14:textId="1EC28EA5">
      <w:pPr>
        <w:rPr>
          <w:rFonts w:ascii="Verdana" w:hAnsi="Verdana"/>
          <w:sz w:val="18"/>
          <w:szCs w:val="18"/>
        </w:rPr>
      </w:pPr>
      <w:r w:rsidRPr="000D308F">
        <w:rPr>
          <w:rFonts w:ascii="Verdana" w:hAnsi="Verdana"/>
          <w:sz w:val="18"/>
          <w:szCs w:val="18"/>
        </w:rPr>
        <w:t xml:space="preserve">Onder </w:t>
      </w:r>
      <w:r w:rsidRPr="000D308F" w:rsidR="00E028E9">
        <w:rPr>
          <w:rFonts w:ascii="Verdana" w:hAnsi="Verdana"/>
          <w:sz w:val="18"/>
          <w:szCs w:val="18"/>
        </w:rPr>
        <w:t>de Samoa-overeenkomst</w:t>
      </w:r>
      <w:r w:rsidRPr="000D308F">
        <w:rPr>
          <w:rFonts w:ascii="Verdana" w:hAnsi="Verdana"/>
          <w:sz w:val="18"/>
          <w:szCs w:val="18"/>
        </w:rPr>
        <w:t xml:space="preserve"> </w:t>
      </w:r>
      <w:r w:rsidRPr="000D308F" w:rsidR="008A15DD">
        <w:rPr>
          <w:rFonts w:ascii="Verdana" w:hAnsi="Verdana"/>
          <w:sz w:val="18"/>
          <w:szCs w:val="18"/>
        </w:rPr>
        <w:t xml:space="preserve">bestaat </w:t>
      </w:r>
      <w:r w:rsidRPr="000D308F">
        <w:rPr>
          <w:rFonts w:ascii="Verdana" w:hAnsi="Verdana"/>
          <w:sz w:val="18"/>
          <w:szCs w:val="18"/>
        </w:rPr>
        <w:t xml:space="preserve">geen directe koppeling meer tussen het verdrag en het </w:t>
      </w:r>
      <w:r w:rsidRPr="000D308F" w:rsidR="00120747">
        <w:rPr>
          <w:rFonts w:ascii="Verdana" w:hAnsi="Verdana"/>
          <w:sz w:val="18"/>
          <w:szCs w:val="18"/>
        </w:rPr>
        <w:t>EU-financieringsinstrumentarium</w:t>
      </w:r>
      <w:r w:rsidRPr="000D308F">
        <w:rPr>
          <w:rFonts w:ascii="Verdana" w:hAnsi="Verdana"/>
          <w:sz w:val="18"/>
          <w:szCs w:val="18"/>
        </w:rPr>
        <w:t xml:space="preserve">. Onder </w:t>
      </w:r>
      <w:r w:rsidRPr="000D308F" w:rsidR="000113B8">
        <w:rPr>
          <w:rFonts w:ascii="Verdana" w:hAnsi="Verdana"/>
          <w:sz w:val="18"/>
          <w:szCs w:val="18"/>
        </w:rPr>
        <w:t>de Cotonou-overeenkomst</w:t>
      </w:r>
      <w:r w:rsidRPr="000D308F">
        <w:rPr>
          <w:rFonts w:ascii="Verdana" w:hAnsi="Verdana"/>
          <w:sz w:val="18"/>
          <w:szCs w:val="18"/>
        </w:rPr>
        <w:t xml:space="preserve"> was het Europees Ontwikkelingsfonds (EOF) specifiek gereserveerd voor de ACS-landen. De relatie met de ACS-landen wordt onder het huidige Meerjarig Financieel Kader </w:t>
      </w:r>
      <w:r w:rsidRPr="000D308F" w:rsidR="00507EE5">
        <w:rPr>
          <w:rFonts w:ascii="Verdana" w:hAnsi="Verdana"/>
          <w:sz w:val="18"/>
          <w:szCs w:val="18"/>
        </w:rPr>
        <w:t>2021-2027</w:t>
      </w:r>
      <w:r w:rsidRPr="000D308F" w:rsidR="00084FB5">
        <w:rPr>
          <w:rFonts w:ascii="Verdana" w:hAnsi="Verdana"/>
          <w:sz w:val="18"/>
          <w:szCs w:val="18"/>
        </w:rPr>
        <w:t xml:space="preserve"> (MFK)</w:t>
      </w:r>
      <w:r w:rsidRPr="000D308F" w:rsidR="00507EE5">
        <w:rPr>
          <w:rFonts w:ascii="Verdana" w:hAnsi="Verdana"/>
          <w:sz w:val="18"/>
          <w:szCs w:val="18"/>
        </w:rPr>
        <w:t xml:space="preserve"> </w:t>
      </w:r>
      <w:r w:rsidRPr="000D308F">
        <w:rPr>
          <w:rFonts w:ascii="Verdana" w:hAnsi="Verdana"/>
          <w:sz w:val="18"/>
          <w:szCs w:val="18"/>
        </w:rPr>
        <w:t>gefinancierd uit het brede externe financieringsinstrument voor het Nabuurschap, Ontwikkeling en Internationale Samenwerking (NDICI)</w:t>
      </w:r>
      <w:r w:rsidRPr="000D308F" w:rsidR="00057B65">
        <w:rPr>
          <w:rFonts w:ascii="Verdana" w:hAnsi="Verdana"/>
          <w:sz w:val="18"/>
          <w:szCs w:val="18"/>
        </w:rPr>
        <w:t>,</w:t>
      </w:r>
      <w:r w:rsidRPr="000D308F" w:rsidR="00DE38C8">
        <w:rPr>
          <w:rStyle w:val="FootnoteReference"/>
          <w:rFonts w:ascii="Verdana" w:hAnsi="Verdana"/>
          <w:sz w:val="18"/>
          <w:szCs w:val="18"/>
        </w:rPr>
        <w:footnoteReference w:id="19"/>
      </w:r>
      <w:r w:rsidRPr="000D308F">
        <w:rPr>
          <w:rFonts w:ascii="Verdana" w:hAnsi="Verdana"/>
          <w:sz w:val="18"/>
          <w:szCs w:val="18"/>
        </w:rPr>
        <w:t xml:space="preserve"> zonder directe koppeling met </w:t>
      </w:r>
      <w:r w:rsidRPr="000D308F" w:rsidR="00E028E9">
        <w:rPr>
          <w:rFonts w:ascii="Verdana" w:hAnsi="Verdana"/>
          <w:sz w:val="18"/>
          <w:szCs w:val="18"/>
        </w:rPr>
        <w:t>de Samoa-overeenkomst</w:t>
      </w:r>
      <w:r w:rsidRPr="000D308F">
        <w:rPr>
          <w:rFonts w:ascii="Verdana" w:hAnsi="Verdana"/>
          <w:sz w:val="18"/>
          <w:szCs w:val="18"/>
        </w:rPr>
        <w:t xml:space="preserve">. </w:t>
      </w:r>
    </w:p>
    <w:p w:rsidRPr="000D308F" w:rsidR="00EC4F1D" w:rsidP="00EC4F1D" w:rsidRDefault="00EC4F1D" w14:paraId="01D5C8E5" w14:textId="41D4AD10">
      <w:pPr>
        <w:rPr>
          <w:rFonts w:ascii="Verdana" w:hAnsi="Verdana"/>
          <w:b/>
          <w:bCs/>
          <w:sz w:val="18"/>
          <w:szCs w:val="18"/>
        </w:rPr>
      </w:pPr>
      <w:r w:rsidRPr="000D308F">
        <w:rPr>
          <w:rFonts w:ascii="Verdana" w:hAnsi="Verdana"/>
          <w:b/>
          <w:bCs/>
          <w:sz w:val="18"/>
          <w:szCs w:val="18"/>
        </w:rPr>
        <w:t>2. Artikelsgewijze toelichting</w:t>
      </w:r>
    </w:p>
    <w:p w:rsidRPr="000D308F" w:rsidR="00EC4F1D" w:rsidP="00EC4F1D" w:rsidRDefault="00A32EEB" w14:paraId="7A59C95A" w14:textId="20A455A7">
      <w:pPr>
        <w:rPr>
          <w:rFonts w:ascii="Verdana" w:hAnsi="Verdana"/>
          <w:sz w:val="18"/>
          <w:szCs w:val="18"/>
        </w:rPr>
      </w:pPr>
      <w:r w:rsidRPr="000D308F">
        <w:rPr>
          <w:rFonts w:ascii="Verdana" w:hAnsi="Verdana"/>
          <w:sz w:val="18"/>
          <w:szCs w:val="18"/>
        </w:rPr>
        <w:t>Het</w:t>
      </w:r>
      <w:r w:rsidRPr="000D308F" w:rsidR="00F04CCC">
        <w:rPr>
          <w:rFonts w:ascii="Verdana" w:hAnsi="Verdana"/>
          <w:sz w:val="18"/>
          <w:szCs w:val="18"/>
        </w:rPr>
        <w:t xml:space="preserve"> algemene deel van </w:t>
      </w:r>
      <w:r w:rsidRPr="000D308F" w:rsidR="00E028E9">
        <w:rPr>
          <w:rFonts w:ascii="Verdana" w:hAnsi="Verdana"/>
          <w:sz w:val="18"/>
          <w:szCs w:val="18"/>
        </w:rPr>
        <w:t>de Samoa-overeenkomst</w:t>
      </w:r>
      <w:r w:rsidRPr="000D308F">
        <w:rPr>
          <w:rFonts w:ascii="Verdana" w:hAnsi="Verdana"/>
          <w:sz w:val="18"/>
          <w:szCs w:val="18"/>
        </w:rPr>
        <w:t xml:space="preserve"> bevat </w:t>
      </w:r>
      <w:r w:rsidRPr="000D308F" w:rsidR="00FF6095">
        <w:rPr>
          <w:rFonts w:ascii="Verdana" w:hAnsi="Verdana"/>
          <w:sz w:val="18"/>
          <w:szCs w:val="18"/>
        </w:rPr>
        <w:t>104</w:t>
      </w:r>
      <w:r w:rsidRPr="000D308F">
        <w:rPr>
          <w:rFonts w:ascii="Verdana" w:hAnsi="Verdana"/>
          <w:sz w:val="18"/>
          <w:szCs w:val="18"/>
        </w:rPr>
        <w:t xml:space="preserve"> artikelen. </w:t>
      </w:r>
      <w:r w:rsidRPr="000D308F" w:rsidR="005A29F1">
        <w:rPr>
          <w:rFonts w:ascii="Verdana" w:hAnsi="Verdana"/>
          <w:sz w:val="18"/>
          <w:szCs w:val="18"/>
        </w:rPr>
        <w:t>Het Regionaal Protocol Afrika bevat 79</w:t>
      </w:r>
      <w:r w:rsidRPr="000D308F" w:rsidR="00636C7A">
        <w:rPr>
          <w:rFonts w:ascii="Verdana" w:hAnsi="Verdana"/>
          <w:sz w:val="18"/>
          <w:szCs w:val="18"/>
        </w:rPr>
        <w:t xml:space="preserve"> </w:t>
      </w:r>
      <w:r w:rsidRPr="000D308F" w:rsidR="005A29F1">
        <w:rPr>
          <w:rFonts w:ascii="Verdana" w:hAnsi="Verdana"/>
          <w:sz w:val="18"/>
          <w:szCs w:val="18"/>
        </w:rPr>
        <w:t xml:space="preserve">artikelen. Het Regionaal Protocol Caribisch Gebied bevat 51 artikelen. Het Regionaal Protocol Stille Oceaan bevat 52 artikelen. </w:t>
      </w:r>
      <w:r w:rsidRPr="000D308F">
        <w:rPr>
          <w:rFonts w:ascii="Verdana" w:hAnsi="Verdana"/>
          <w:sz w:val="18"/>
          <w:szCs w:val="18"/>
        </w:rPr>
        <w:t xml:space="preserve">Hieronder volgt thematisch een toelichting met betrekking tot de betreffende artikelen. </w:t>
      </w:r>
    </w:p>
    <w:p w:rsidRPr="000D308F" w:rsidR="00274541" w:rsidP="00274541" w:rsidRDefault="00274541" w14:paraId="5678EDD1" w14:textId="6504F0EE">
      <w:pPr>
        <w:rPr>
          <w:rFonts w:ascii="Verdana" w:hAnsi="Verdana"/>
          <w:b/>
          <w:bCs/>
          <w:i/>
          <w:iCs/>
          <w:sz w:val="18"/>
          <w:szCs w:val="18"/>
        </w:rPr>
      </w:pPr>
      <w:r w:rsidRPr="000D308F">
        <w:rPr>
          <w:rFonts w:ascii="Verdana" w:hAnsi="Verdana"/>
          <w:b/>
          <w:bCs/>
          <w:i/>
          <w:iCs/>
          <w:sz w:val="18"/>
          <w:szCs w:val="18"/>
        </w:rPr>
        <w:t xml:space="preserve">Algemeen Deel </w:t>
      </w:r>
    </w:p>
    <w:p w:rsidRPr="000D308F" w:rsidR="001A7F16" w:rsidP="00EC4F1D" w:rsidRDefault="001A7F16" w14:paraId="5990EC41" w14:textId="115740AA">
      <w:pPr>
        <w:rPr>
          <w:rFonts w:ascii="Verdana" w:hAnsi="Verdana"/>
          <w:b/>
          <w:bCs/>
          <w:sz w:val="18"/>
          <w:szCs w:val="18"/>
        </w:rPr>
      </w:pPr>
      <w:bookmarkStart w:name="_Hlk143080697" w:id="1"/>
      <w:r w:rsidRPr="000D308F">
        <w:rPr>
          <w:rFonts w:ascii="Verdana" w:hAnsi="Verdana"/>
          <w:b/>
          <w:bCs/>
          <w:sz w:val="18"/>
          <w:szCs w:val="18"/>
        </w:rPr>
        <w:t xml:space="preserve">Deel I – Algemene bepalingen </w:t>
      </w:r>
      <w:r w:rsidRPr="000D308F" w:rsidR="00A8713D">
        <w:rPr>
          <w:rFonts w:ascii="Verdana" w:hAnsi="Verdana"/>
          <w:b/>
          <w:bCs/>
          <w:sz w:val="18"/>
          <w:szCs w:val="18"/>
        </w:rPr>
        <w:t>(artikelen 1 t/m 7)</w:t>
      </w:r>
    </w:p>
    <w:p w:rsidRPr="000D308F" w:rsidR="00F713A1" w:rsidP="00EC4F1D" w:rsidRDefault="00370B14" w14:paraId="33BD9B6A" w14:textId="0A2F0CB1">
      <w:pPr>
        <w:rPr>
          <w:rFonts w:ascii="Verdana" w:hAnsi="Verdana"/>
          <w:sz w:val="18"/>
          <w:szCs w:val="18"/>
        </w:rPr>
      </w:pPr>
      <w:r w:rsidRPr="000D308F">
        <w:rPr>
          <w:rFonts w:ascii="Verdana" w:hAnsi="Verdana"/>
          <w:sz w:val="18"/>
          <w:szCs w:val="18"/>
        </w:rPr>
        <w:t xml:space="preserve">De doelstellingen van de </w:t>
      </w:r>
      <w:r w:rsidRPr="000D308F" w:rsidR="005105A2">
        <w:rPr>
          <w:rFonts w:ascii="Verdana" w:hAnsi="Verdana"/>
          <w:sz w:val="18"/>
          <w:szCs w:val="18"/>
        </w:rPr>
        <w:t>overeenkomst</w:t>
      </w:r>
      <w:r w:rsidRPr="000D308F">
        <w:rPr>
          <w:rFonts w:ascii="Verdana" w:hAnsi="Verdana"/>
          <w:sz w:val="18"/>
          <w:szCs w:val="18"/>
        </w:rPr>
        <w:t xml:space="preserve"> zijn volgens artikel 1 het tot stand brengen van een versterkt politiek partnerschap tussen de EU en de ACS-landen, bijdragen aan de verwezenlijking van de SDG’s en de </w:t>
      </w:r>
      <w:r w:rsidRPr="000D308F" w:rsidR="001B5D63">
        <w:rPr>
          <w:rFonts w:ascii="Verdana" w:hAnsi="Verdana"/>
          <w:sz w:val="18"/>
          <w:szCs w:val="18"/>
        </w:rPr>
        <w:t>O</w:t>
      </w:r>
      <w:r w:rsidRPr="000D308F" w:rsidR="005105A2">
        <w:rPr>
          <w:rFonts w:ascii="Verdana" w:hAnsi="Verdana"/>
          <w:sz w:val="18"/>
          <w:szCs w:val="18"/>
        </w:rPr>
        <w:t>vereenkomst</w:t>
      </w:r>
      <w:r w:rsidRPr="000D308F">
        <w:rPr>
          <w:rFonts w:ascii="Verdana" w:hAnsi="Verdana"/>
          <w:sz w:val="18"/>
          <w:szCs w:val="18"/>
        </w:rPr>
        <w:t xml:space="preserve"> van Parijs, mensenrechten, rechtsstaat en democratie bevorderen, bedreigingen voor vrede en veiligheid aanpakken, menselijke en sociale ontwikkeling bevorderen, investeringen en handel bevorderen, het klimaat en milieu beschermen, en een evenwichtige aanpak van migratie in de praktijk brengen. In artikel 2 worden de algemene beginselen waarop de </w:t>
      </w:r>
      <w:r w:rsidRPr="000D308F" w:rsidR="005105A2">
        <w:rPr>
          <w:rFonts w:ascii="Verdana" w:hAnsi="Verdana"/>
          <w:sz w:val="18"/>
          <w:szCs w:val="18"/>
        </w:rPr>
        <w:t>overeenkomst</w:t>
      </w:r>
      <w:r w:rsidRPr="000D308F">
        <w:rPr>
          <w:rFonts w:ascii="Verdana" w:hAnsi="Verdana"/>
          <w:sz w:val="18"/>
          <w:szCs w:val="18"/>
        </w:rPr>
        <w:t xml:space="preserve"> </w:t>
      </w:r>
      <w:r w:rsidRPr="000D308F" w:rsidR="001A668A">
        <w:rPr>
          <w:rFonts w:ascii="Verdana" w:hAnsi="Verdana"/>
          <w:sz w:val="18"/>
          <w:szCs w:val="18"/>
        </w:rPr>
        <w:t xml:space="preserve">berust beschreven, waaronder gedeelde verantwoordelijkheid, solidariteit, wederkerigheid, respect, soevereine gelijkheid, en verantwoordingsplicht, daarbij rekening houdend met de verschillende behoeften van de partnerlanden. De partijen zullen volgens artikel 3 regelmatig een partnerschapsdialoog houden met het oog op de doeltreffende uitvoering van de </w:t>
      </w:r>
      <w:r w:rsidRPr="000D308F" w:rsidR="005105A2">
        <w:rPr>
          <w:rFonts w:ascii="Verdana" w:hAnsi="Verdana"/>
          <w:sz w:val="18"/>
          <w:szCs w:val="18"/>
        </w:rPr>
        <w:t>overeenkomst</w:t>
      </w:r>
      <w:r w:rsidRPr="000D308F" w:rsidR="001A668A">
        <w:rPr>
          <w:rFonts w:ascii="Verdana" w:hAnsi="Verdana"/>
          <w:sz w:val="18"/>
          <w:szCs w:val="18"/>
        </w:rPr>
        <w:t>. Daarbij wordt expliciet gestreefd naar beleidscoherentie</w:t>
      </w:r>
      <w:r w:rsidRPr="000D308F" w:rsidR="00F417BD">
        <w:rPr>
          <w:rFonts w:ascii="Verdana" w:hAnsi="Verdana"/>
          <w:sz w:val="18"/>
          <w:szCs w:val="18"/>
        </w:rPr>
        <w:t xml:space="preserve"> conform </w:t>
      </w:r>
      <w:r w:rsidRPr="000D308F" w:rsidR="001A668A">
        <w:rPr>
          <w:rFonts w:ascii="Verdana" w:hAnsi="Verdana"/>
          <w:sz w:val="18"/>
          <w:szCs w:val="18"/>
        </w:rPr>
        <w:t xml:space="preserve">artikel 4. </w:t>
      </w:r>
      <w:r w:rsidRPr="000D308F" w:rsidR="005E7C13">
        <w:rPr>
          <w:rFonts w:ascii="Verdana" w:hAnsi="Verdana"/>
          <w:sz w:val="18"/>
          <w:szCs w:val="18"/>
        </w:rPr>
        <w:t xml:space="preserve">In artikel 5 erkennen de partijen de verschillende actoren die een rol vervullen bij de uitvoering van de </w:t>
      </w:r>
      <w:r w:rsidRPr="000D308F" w:rsidR="005105A2">
        <w:rPr>
          <w:rFonts w:ascii="Verdana" w:hAnsi="Verdana"/>
          <w:sz w:val="18"/>
          <w:szCs w:val="18"/>
        </w:rPr>
        <w:t>overeenkomst</w:t>
      </w:r>
      <w:r w:rsidRPr="000D308F" w:rsidR="005E7C13">
        <w:rPr>
          <w:rFonts w:ascii="Verdana" w:hAnsi="Verdana"/>
          <w:sz w:val="18"/>
          <w:szCs w:val="18"/>
        </w:rPr>
        <w:t xml:space="preserve">, inclusief nationale regeringen, parlementen, lokale autoriteiten, internationale organisaties en overige belanghebbenden. </w:t>
      </w:r>
      <w:r w:rsidRPr="000D308F" w:rsidR="00A50CBE">
        <w:rPr>
          <w:rFonts w:ascii="Verdana" w:hAnsi="Verdana"/>
          <w:sz w:val="18"/>
          <w:szCs w:val="18"/>
        </w:rPr>
        <w:t xml:space="preserve">Artikel 6 onderschrijft het juridisch bindende karakter van de overeenkomst, inclusief de </w:t>
      </w:r>
      <w:r w:rsidRPr="000D308F" w:rsidR="00061676">
        <w:rPr>
          <w:rFonts w:ascii="Verdana" w:hAnsi="Verdana"/>
          <w:sz w:val="18"/>
          <w:szCs w:val="18"/>
        </w:rPr>
        <w:t>regionale protocollen</w:t>
      </w:r>
      <w:r w:rsidRPr="000D308F" w:rsidR="00A50CBE">
        <w:rPr>
          <w:rFonts w:ascii="Verdana" w:hAnsi="Verdana"/>
          <w:sz w:val="18"/>
          <w:szCs w:val="18"/>
        </w:rPr>
        <w:t xml:space="preserve">. Artikel 7 omschrijft de horizontale thema’s als basis voor actie op alle </w:t>
      </w:r>
      <w:r w:rsidRPr="000D308F" w:rsidR="00A50CBE">
        <w:rPr>
          <w:rFonts w:ascii="Verdana" w:hAnsi="Verdana"/>
          <w:sz w:val="18"/>
          <w:szCs w:val="18"/>
        </w:rPr>
        <w:lastRenderedPageBreak/>
        <w:t>samenwerkingsgebieden: mensenrechten, democratie, gendergelijkheid, vrede en veiligheid, milieubescherming, de strijd tegen klimaatverandering, cultuur en jongerenzaken.</w:t>
      </w:r>
    </w:p>
    <w:p w:rsidRPr="000D308F" w:rsidR="001A7F16" w:rsidP="00EC4F1D" w:rsidRDefault="001A7F16" w14:paraId="09058330" w14:textId="0A38F2CD">
      <w:pPr>
        <w:rPr>
          <w:rFonts w:ascii="Verdana" w:hAnsi="Verdana"/>
          <w:b/>
          <w:bCs/>
          <w:sz w:val="18"/>
          <w:szCs w:val="18"/>
        </w:rPr>
      </w:pPr>
      <w:r w:rsidRPr="000D308F">
        <w:rPr>
          <w:rFonts w:ascii="Verdana" w:hAnsi="Verdana"/>
          <w:b/>
          <w:bCs/>
          <w:sz w:val="18"/>
          <w:szCs w:val="18"/>
        </w:rPr>
        <w:t>Deel II – Strategische prioriteiten</w:t>
      </w:r>
    </w:p>
    <w:p w:rsidRPr="000D308F" w:rsidR="001A7F16" w:rsidP="00EC4F1D" w:rsidRDefault="001A7F16" w14:paraId="3F49F340" w14:textId="59A2B5D8">
      <w:pPr>
        <w:rPr>
          <w:rFonts w:ascii="Verdana" w:hAnsi="Verdana"/>
          <w:b/>
          <w:bCs/>
          <w:sz w:val="18"/>
          <w:szCs w:val="18"/>
        </w:rPr>
      </w:pPr>
      <w:r w:rsidRPr="000D308F">
        <w:rPr>
          <w:rFonts w:ascii="Verdana" w:hAnsi="Verdana"/>
          <w:b/>
          <w:bCs/>
          <w:sz w:val="18"/>
          <w:szCs w:val="18"/>
        </w:rPr>
        <w:t>Titel I – Mensenrechten, democratie en goed bestuur in mensgerichte en op rechten gebaseerde samenlevingen</w:t>
      </w:r>
      <w:r w:rsidRPr="000D308F" w:rsidR="00A8713D">
        <w:rPr>
          <w:rFonts w:ascii="Verdana" w:hAnsi="Verdana"/>
          <w:b/>
          <w:bCs/>
          <w:sz w:val="18"/>
          <w:szCs w:val="18"/>
        </w:rPr>
        <w:t xml:space="preserve"> (artikelen 8 t/m 15)</w:t>
      </w:r>
    </w:p>
    <w:p w:rsidRPr="000D308F" w:rsidR="00A8713D" w:rsidP="00EC4F1D" w:rsidRDefault="00B01A68" w14:paraId="5226FC15" w14:textId="4A069F98">
      <w:pPr>
        <w:rPr>
          <w:rFonts w:ascii="Verdana" w:hAnsi="Verdana"/>
          <w:sz w:val="18"/>
          <w:szCs w:val="18"/>
        </w:rPr>
      </w:pPr>
      <w:r w:rsidRPr="000D308F">
        <w:rPr>
          <w:rFonts w:ascii="Verdana" w:hAnsi="Verdana"/>
          <w:sz w:val="18"/>
          <w:szCs w:val="18"/>
        </w:rPr>
        <w:t xml:space="preserve">De artikelen 8 tot en met 15 benadrukken de inzet van </w:t>
      </w:r>
      <w:r w:rsidRPr="000D308F" w:rsidR="00882841">
        <w:rPr>
          <w:rFonts w:ascii="Verdana" w:hAnsi="Verdana"/>
          <w:sz w:val="18"/>
          <w:szCs w:val="18"/>
        </w:rPr>
        <w:t xml:space="preserve">de </w:t>
      </w:r>
      <w:r w:rsidRPr="000D308F">
        <w:rPr>
          <w:rFonts w:ascii="Verdana" w:hAnsi="Verdana"/>
          <w:sz w:val="18"/>
          <w:szCs w:val="18"/>
        </w:rPr>
        <w:t>partijen om mensenrechten, fundamentele vrijheden en democratische beginselen te bevorderen en beschermen overeenkomstig de Universele Verklaring van de Rechten van de Mens en internationaal recht</w:t>
      </w:r>
      <w:r w:rsidRPr="000D308F" w:rsidR="00702DDE">
        <w:rPr>
          <w:rFonts w:ascii="Verdana" w:hAnsi="Verdana"/>
          <w:sz w:val="18"/>
          <w:szCs w:val="18"/>
        </w:rPr>
        <w:t>, waaronder het internationaal humanitair recht</w:t>
      </w:r>
      <w:r w:rsidRPr="000D308F">
        <w:rPr>
          <w:rFonts w:ascii="Verdana" w:hAnsi="Verdana"/>
          <w:sz w:val="18"/>
          <w:szCs w:val="18"/>
        </w:rPr>
        <w:t xml:space="preserve">. Ook herbevestigen de partijen het belang van het versterken van de rechtsstaat en goed bestuur. </w:t>
      </w:r>
      <w:r w:rsidRPr="000D308F" w:rsidR="0097041D">
        <w:rPr>
          <w:rFonts w:ascii="Verdana" w:hAnsi="Verdana"/>
          <w:sz w:val="18"/>
          <w:szCs w:val="18"/>
        </w:rPr>
        <w:t xml:space="preserve">Daarnaast </w:t>
      </w:r>
      <w:r w:rsidRPr="000D308F" w:rsidR="00CE6090">
        <w:rPr>
          <w:rFonts w:ascii="Verdana" w:hAnsi="Verdana"/>
          <w:sz w:val="18"/>
          <w:szCs w:val="18"/>
        </w:rPr>
        <w:t xml:space="preserve">onderschrijven de partijen het belang van gendergelijkheid als motor voor duurzame ontwikkeling, inclusief het bestrijden van seksueel en gender gerelateerd geweld en discriminatie. De partijen verbinden zich ertoe te zorgen voor inclusieve en pluralistische samenlevingen en goed en openbaar bestuur. In artikel 14 en 15 onderschrijven de partijen het belang van goed functionerende statistische systemen en de bescherming van persoonsgegevens. </w:t>
      </w:r>
    </w:p>
    <w:bookmarkEnd w:id="1"/>
    <w:p w:rsidRPr="000D308F" w:rsidR="001A7F16" w:rsidP="00EC4F1D" w:rsidRDefault="001A7F16" w14:paraId="2FCCBC19" w14:textId="5FB86F88">
      <w:pPr>
        <w:rPr>
          <w:rFonts w:ascii="Verdana" w:hAnsi="Verdana"/>
          <w:b/>
          <w:bCs/>
          <w:sz w:val="18"/>
          <w:szCs w:val="18"/>
        </w:rPr>
      </w:pPr>
      <w:r w:rsidRPr="000D308F">
        <w:rPr>
          <w:rFonts w:ascii="Verdana" w:hAnsi="Verdana"/>
          <w:b/>
          <w:bCs/>
          <w:sz w:val="18"/>
          <w:szCs w:val="18"/>
        </w:rPr>
        <w:t>Titel II – Vrede en veiligheid</w:t>
      </w:r>
      <w:r w:rsidRPr="000D308F" w:rsidR="00A8713D">
        <w:rPr>
          <w:rFonts w:ascii="Verdana" w:hAnsi="Verdana"/>
          <w:b/>
          <w:bCs/>
          <w:sz w:val="18"/>
          <w:szCs w:val="18"/>
        </w:rPr>
        <w:t xml:space="preserve"> (artikelen 16 t/m 26)</w:t>
      </w:r>
    </w:p>
    <w:p w:rsidRPr="000D308F" w:rsidR="00471B2E" w:rsidP="00EC4F1D" w:rsidRDefault="00B6751A" w14:paraId="0E678FC2" w14:textId="0E975BFB">
      <w:pPr>
        <w:rPr>
          <w:rFonts w:ascii="Verdana" w:hAnsi="Verdana"/>
          <w:sz w:val="18"/>
          <w:szCs w:val="18"/>
        </w:rPr>
      </w:pPr>
      <w:bookmarkStart w:name="_Hlk144471008" w:id="2"/>
      <w:r w:rsidRPr="000D308F">
        <w:rPr>
          <w:rFonts w:ascii="Verdana" w:hAnsi="Verdana"/>
          <w:sz w:val="18"/>
          <w:szCs w:val="18"/>
        </w:rPr>
        <w:t>De artikelen 16 t</w:t>
      </w:r>
      <w:r w:rsidRPr="000D308F" w:rsidR="005707E7">
        <w:rPr>
          <w:rFonts w:ascii="Verdana" w:hAnsi="Verdana"/>
          <w:sz w:val="18"/>
          <w:szCs w:val="18"/>
        </w:rPr>
        <w:t>ot en met</w:t>
      </w:r>
      <w:r w:rsidRPr="000D308F">
        <w:rPr>
          <w:rFonts w:ascii="Verdana" w:hAnsi="Verdana"/>
          <w:sz w:val="18"/>
          <w:szCs w:val="18"/>
        </w:rPr>
        <w:t xml:space="preserve"> 26 zien op vrede en veiligheid. </w:t>
      </w:r>
      <w:r w:rsidRPr="000D308F" w:rsidR="005707E7">
        <w:rPr>
          <w:rFonts w:ascii="Verdana" w:hAnsi="Verdana"/>
          <w:sz w:val="18"/>
          <w:szCs w:val="18"/>
        </w:rPr>
        <w:t xml:space="preserve">De partijen streven een brede en geïntegreerde aanpak van conflicten en crises na, met inbegrip van situaties van instabiliteit (artikel 17). Daarbij is specifiek aandacht voor de onderliggende oorzaken van conflicten </w:t>
      </w:r>
      <w:r w:rsidRPr="000D308F" w:rsidR="002A1E4F">
        <w:rPr>
          <w:rFonts w:ascii="Verdana" w:hAnsi="Verdana"/>
          <w:sz w:val="18"/>
          <w:szCs w:val="18"/>
        </w:rPr>
        <w:t>en preventie (specifiek</w:t>
      </w:r>
      <w:r w:rsidRPr="000D308F" w:rsidR="005707E7">
        <w:rPr>
          <w:rFonts w:ascii="Verdana" w:hAnsi="Verdana"/>
          <w:sz w:val="18"/>
          <w:szCs w:val="18"/>
        </w:rPr>
        <w:t xml:space="preserve"> ten aanzien van het beheer van grondstoffen</w:t>
      </w:r>
      <w:r w:rsidRPr="000D308F" w:rsidR="002A1E4F">
        <w:rPr>
          <w:rFonts w:ascii="Verdana" w:hAnsi="Verdana"/>
          <w:sz w:val="18"/>
          <w:szCs w:val="18"/>
        </w:rPr>
        <w:t>)</w:t>
      </w:r>
      <w:r w:rsidRPr="000D308F" w:rsidR="005707E7">
        <w:rPr>
          <w:rFonts w:ascii="Verdana" w:hAnsi="Verdana"/>
          <w:sz w:val="18"/>
          <w:szCs w:val="18"/>
        </w:rPr>
        <w:t xml:space="preserve">, </w:t>
      </w:r>
      <w:r w:rsidRPr="000D308F" w:rsidR="002A1E4F">
        <w:rPr>
          <w:rFonts w:ascii="Verdana" w:hAnsi="Verdana"/>
          <w:sz w:val="18"/>
          <w:szCs w:val="18"/>
        </w:rPr>
        <w:t xml:space="preserve">inclusieve </w:t>
      </w:r>
      <w:r w:rsidRPr="000D308F" w:rsidR="005707E7">
        <w:rPr>
          <w:rFonts w:ascii="Verdana" w:hAnsi="Verdana"/>
          <w:sz w:val="18"/>
          <w:szCs w:val="18"/>
        </w:rPr>
        <w:t>bemiddeling, crisisbeheersing, vredes</w:t>
      </w:r>
      <w:r w:rsidRPr="000D308F" w:rsidR="002A1E4F">
        <w:rPr>
          <w:rFonts w:ascii="Verdana" w:hAnsi="Verdana"/>
          <w:sz w:val="18"/>
          <w:szCs w:val="18"/>
        </w:rPr>
        <w:t xml:space="preserve">handhaving en </w:t>
      </w:r>
      <w:r w:rsidRPr="000D308F" w:rsidR="005707E7">
        <w:rPr>
          <w:rFonts w:ascii="Verdana" w:hAnsi="Verdana"/>
          <w:sz w:val="18"/>
          <w:szCs w:val="18"/>
        </w:rPr>
        <w:t>overgangsjustitie.</w:t>
      </w:r>
      <w:r w:rsidRPr="000D308F" w:rsidR="002A1E4F">
        <w:rPr>
          <w:rFonts w:ascii="Verdana" w:hAnsi="Verdana"/>
          <w:sz w:val="18"/>
          <w:szCs w:val="18"/>
        </w:rPr>
        <w:t xml:space="preserve"> De partijen spreken tevens af samen te werken om </w:t>
      </w:r>
      <w:r w:rsidRPr="000D308F" w:rsidR="005707E7">
        <w:rPr>
          <w:rFonts w:ascii="Verdana" w:hAnsi="Verdana"/>
          <w:sz w:val="18"/>
          <w:szCs w:val="18"/>
        </w:rPr>
        <w:t>de proliferatie van massavernietigingswapens</w:t>
      </w:r>
      <w:r w:rsidRPr="000D308F" w:rsidR="002A1E4F">
        <w:rPr>
          <w:rFonts w:ascii="Verdana" w:hAnsi="Verdana"/>
          <w:sz w:val="18"/>
          <w:szCs w:val="18"/>
        </w:rPr>
        <w:t xml:space="preserve"> en de overbrengingsmiddelen daarvoor</w:t>
      </w:r>
      <w:r w:rsidRPr="000D308F" w:rsidR="005707E7">
        <w:rPr>
          <w:rFonts w:ascii="Verdana" w:hAnsi="Verdana"/>
          <w:sz w:val="18"/>
          <w:szCs w:val="18"/>
        </w:rPr>
        <w:t xml:space="preserve"> tegen </w:t>
      </w:r>
      <w:r w:rsidRPr="000D308F" w:rsidR="002A1E4F">
        <w:rPr>
          <w:rFonts w:ascii="Verdana" w:hAnsi="Verdana"/>
          <w:sz w:val="18"/>
          <w:szCs w:val="18"/>
        </w:rPr>
        <w:t xml:space="preserve">te gaan </w:t>
      </w:r>
      <w:r w:rsidRPr="000D308F" w:rsidR="005707E7">
        <w:rPr>
          <w:rFonts w:ascii="Verdana" w:hAnsi="Verdana"/>
          <w:sz w:val="18"/>
          <w:szCs w:val="18"/>
        </w:rPr>
        <w:t xml:space="preserve">(artikel </w:t>
      </w:r>
      <w:r w:rsidRPr="000D308F" w:rsidR="002A1E4F">
        <w:rPr>
          <w:rFonts w:ascii="Verdana" w:hAnsi="Verdana"/>
          <w:sz w:val="18"/>
          <w:szCs w:val="18"/>
        </w:rPr>
        <w:t>18</w:t>
      </w:r>
      <w:r w:rsidRPr="000D308F" w:rsidR="005707E7">
        <w:rPr>
          <w:rFonts w:ascii="Verdana" w:hAnsi="Verdana"/>
          <w:sz w:val="18"/>
          <w:szCs w:val="18"/>
        </w:rPr>
        <w:t>)</w:t>
      </w:r>
      <w:r w:rsidRPr="000D308F" w:rsidR="002A1E4F">
        <w:rPr>
          <w:rFonts w:ascii="Verdana" w:hAnsi="Verdana"/>
          <w:sz w:val="18"/>
          <w:szCs w:val="18"/>
        </w:rPr>
        <w:t xml:space="preserve">. Ook komen de partijen overeen samen op te treden tegen </w:t>
      </w:r>
      <w:r w:rsidRPr="000D308F" w:rsidR="005707E7">
        <w:rPr>
          <w:rFonts w:ascii="Verdana" w:hAnsi="Verdana"/>
          <w:sz w:val="18"/>
          <w:szCs w:val="18"/>
        </w:rPr>
        <w:t>alle ernstige misdrijven die de internationale gemeenschap aangaan</w:t>
      </w:r>
      <w:r w:rsidRPr="000D308F" w:rsidR="00471B2E">
        <w:rPr>
          <w:rFonts w:ascii="Verdana" w:hAnsi="Verdana"/>
          <w:sz w:val="18"/>
          <w:szCs w:val="18"/>
        </w:rPr>
        <w:t>, inclusief het verlenen van volledige medewerking aan nationale, regionale en internationale strafrechtelijke mechanismen waaronder het ICC</w:t>
      </w:r>
      <w:r w:rsidRPr="000D308F" w:rsidR="005707E7">
        <w:rPr>
          <w:rFonts w:ascii="Verdana" w:hAnsi="Verdana"/>
          <w:sz w:val="18"/>
          <w:szCs w:val="18"/>
        </w:rPr>
        <w:t xml:space="preserve"> (artikel </w:t>
      </w:r>
      <w:r w:rsidRPr="000D308F" w:rsidR="002A1E4F">
        <w:rPr>
          <w:rFonts w:ascii="Verdana" w:hAnsi="Verdana"/>
          <w:sz w:val="18"/>
          <w:szCs w:val="18"/>
        </w:rPr>
        <w:t>19</w:t>
      </w:r>
      <w:r w:rsidRPr="000D308F" w:rsidR="005707E7">
        <w:rPr>
          <w:rFonts w:ascii="Verdana" w:hAnsi="Verdana"/>
          <w:sz w:val="18"/>
          <w:szCs w:val="18"/>
        </w:rPr>
        <w:t xml:space="preserve">). </w:t>
      </w:r>
      <w:r w:rsidRPr="000D308F" w:rsidR="00471B2E">
        <w:rPr>
          <w:rFonts w:ascii="Verdana" w:hAnsi="Verdana"/>
          <w:sz w:val="18"/>
          <w:szCs w:val="18"/>
        </w:rPr>
        <w:t>De partijen worden daarbij aangemoedigd het Statuut van Rome</w:t>
      </w:r>
      <w:r w:rsidRPr="000D308F" w:rsidR="008845E8">
        <w:rPr>
          <w:rFonts w:ascii="Verdana" w:hAnsi="Verdana"/>
          <w:sz w:val="18"/>
          <w:szCs w:val="18"/>
        </w:rPr>
        <w:t xml:space="preserve"> </w:t>
      </w:r>
      <w:r w:rsidRPr="000D308F" w:rsidR="00471B2E">
        <w:rPr>
          <w:rFonts w:ascii="Verdana" w:hAnsi="Verdana"/>
          <w:sz w:val="18"/>
          <w:szCs w:val="18"/>
        </w:rPr>
        <w:t>te ratificeren en uit te voeren</w:t>
      </w:r>
      <w:r w:rsidRPr="000D308F" w:rsidR="00455CCD">
        <w:rPr>
          <w:rFonts w:ascii="Verdana" w:hAnsi="Verdana"/>
          <w:sz w:val="18"/>
          <w:szCs w:val="18"/>
        </w:rPr>
        <w:t xml:space="preserve"> en</w:t>
      </w:r>
      <w:r w:rsidRPr="000D308F" w:rsidR="005707E7">
        <w:rPr>
          <w:rFonts w:ascii="Verdana" w:hAnsi="Verdana"/>
          <w:sz w:val="18"/>
          <w:szCs w:val="18"/>
        </w:rPr>
        <w:t xml:space="preserve"> spreken</w:t>
      </w:r>
      <w:r w:rsidRPr="000D308F" w:rsidDel="00455CCD" w:rsidR="005707E7">
        <w:rPr>
          <w:rFonts w:ascii="Verdana" w:hAnsi="Verdana"/>
          <w:sz w:val="18"/>
          <w:szCs w:val="18"/>
        </w:rPr>
        <w:t xml:space="preserve"> </w:t>
      </w:r>
      <w:r w:rsidRPr="000D308F" w:rsidR="005707E7">
        <w:rPr>
          <w:rFonts w:ascii="Verdana" w:hAnsi="Verdana"/>
          <w:sz w:val="18"/>
          <w:szCs w:val="18"/>
        </w:rPr>
        <w:t xml:space="preserve">af nieuwe of toenemende bedreigingen voor de veiligheid, waaronder terrorisme en de financiering daarvan, gewelddadig extremisme, </w:t>
      </w:r>
      <w:r w:rsidRPr="000D308F" w:rsidR="00471B2E">
        <w:rPr>
          <w:rFonts w:ascii="Verdana" w:hAnsi="Verdana"/>
          <w:sz w:val="18"/>
          <w:szCs w:val="18"/>
        </w:rPr>
        <w:t xml:space="preserve">en </w:t>
      </w:r>
      <w:r w:rsidRPr="000D308F" w:rsidR="005707E7">
        <w:rPr>
          <w:rFonts w:ascii="Verdana" w:hAnsi="Verdana"/>
          <w:sz w:val="18"/>
          <w:szCs w:val="18"/>
        </w:rPr>
        <w:t>georganiseerde misdaad</w:t>
      </w:r>
      <w:r w:rsidRPr="000D308F" w:rsidR="00471B2E">
        <w:rPr>
          <w:rFonts w:ascii="Verdana" w:hAnsi="Verdana"/>
          <w:sz w:val="18"/>
          <w:szCs w:val="18"/>
        </w:rPr>
        <w:t xml:space="preserve"> te bestrijden (artikel 20 en 21). </w:t>
      </w:r>
      <w:r w:rsidRPr="000D308F" w:rsidR="00204281">
        <w:rPr>
          <w:rFonts w:ascii="Verdana" w:hAnsi="Verdana"/>
          <w:sz w:val="18"/>
          <w:szCs w:val="18"/>
        </w:rPr>
        <w:t xml:space="preserve">Verder </w:t>
      </w:r>
      <w:r w:rsidRPr="000D308F" w:rsidR="002B1FAD">
        <w:rPr>
          <w:rFonts w:ascii="Verdana" w:hAnsi="Verdana"/>
          <w:sz w:val="18"/>
          <w:szCs w:val="18"/>
        </w:rPr>
        <w:t xml:space="preserve">komen de partijen overeen de maritieme veiligheid te versterken, in overeenstemming </w:t>
      </w:r>
      <w:r w:rsidRPr="000D308F" w:rsidR="0097041D">
        <w:rPr>
          <w:rFonts w:ascii="Verdana" w:hAnsi="Verdana"/>
          <w:sz w:val="18"/>
          <w:szCs w:val="18"/>
        </w:rPr>
        <w:t xml:space="preserve">met het op 10 december 1982 te </w:t>
      </w:r>
      <w:proofErr w:type="spellStart"/>
      <w:r w:rsidRPr="000D308F" w:rsidR="0097041D">
        <w:rPr>
          <w:rFonts w:ascii="Verdana" w:hAnsi="Verdana"/>
          <w:sz w:val="18"/>
          <w:szCs w:val="18"/>
        </w:rPr>
        <w:t>Montego</w:t>
      </w:r>
      <w:proofErr w:type="spellEnd"/>
      <w:r w:rsidRPr="000D308F" w:rsidR="0097041D">
        <w:rPr>
          <w:rFonts w:ascii="Verdana" w:hAnsi="Verdana"/>
          <w:sz w:val="18"/>
          <w:szCs w:val="18"/>
        </w:rPr>
        <w:t xml:space="preserve"> Bay tot stand gekomen Verdrag van de Verenigde Naties inzake het recht van de zee </w:t>
      </w:r>
      <w:r w:rsidRPr="000D308F" w:rsidR="0097041D">
        <w:rPr>
          <w:rFonts w:ascii="Verdana" w:hAnsi="Verdana"/>
          <w:i/>
          <w:sz w:val="18"/>
          <w:szCs w:val="18"/>
        </w:rPr>
        <w:t>(</w:t>
      </w:r>
      <w:proofErr w:type="spellStart"/>
      <w:r w:rsidRPr="000D308F" w:rsidR="0097041D">
        <w:rPr>
          <w:rFonts w:ascii="Verdana" w:hAnsi="Verdana"/>
          <w:i/>
          <w:iCs/>
          <w:sz w:val="18"/>
          <w:szCs w:val="18"/>
        </w:rPr>
        <w:t>Trb</w:t>
      </w:r>
      <w:proofErr w:type="spellEnd"/>
      <w:r w:rsidRPr="000D308F" w:rsidR="0097041D">
        <w:rPr>
          <w:rFonts w:ascii="Verdana" w:hAnsi="Verdana"/>
          <w:i/>
          <w:iCs/>
          <w:sz w:val="18"/>
          <w:szCs w:val="18"/>
        </w:rPr>
        <w:t xml:space="preserve">. </w:t>
      </w:r>
      <w:r w:rsidRPr="000D308F" w:rsidR="0097041D">
        <w:rPr>
          <w:rFonts w:ascii="Verdana" w:hAnsi="Verdana"/>
          <w:sz w:val="18"/>
          <w:szCs w:val="18"/>
        </w:rPr>
        <w:t>1983, 83</w:t>
      </w:r>
      <w:r w:rsidRPr="000D308F" w:rsidR="00E20519">
        <w:rPr>
          <w:rFonts w:ascii="Verdana" w:hAnsi="Verdana"/>
          <w:sz w:val="18"/>
          <w:szCs w:val="18"/>
        </w:rPr>
        <w:t>; hierna: UNCLOS</w:t>
      </w:r>
      <w:r w:rsidRPr="000D308F" w:rsidR="0097041D">
        <w:rPr>
          <w:rFonts w:ascii="Verdana" w:hAnsi="Verdana"/>
          <w:sz w:val="18"/>
          <w:szCs w:val="18"/>
        </w:rPr>
        <w:t xml:space="preserve">) </w:t>
      </w:r>
      <w:r w:rsidRPr="000D308F" w:rsidR="002B1FAD">
        <w:rPr>
          <w:rFonts w:ascii="Verdana" w:hAnsi="Verdana"/>
          <w:i/>
          <w:iCs/>
          <w:sz w:val="18"/>
          <w:szCs w:val="18"/>
        </w:rPr>
        <w:t>(</w:t>
      </w:r>
      <w:r w:rsidRPr="000D308F" w:rsidR="002B1FAD">
        <w:rPr>
          <w:rFonts w:ascii="Verdana" w:hAnsi="Verdana"/>
          <w:sz w:val="18"/>
          <w:szCs w:val="18"/>
        </w:rPr>
        <w:t xml:space="preserve">artikel 22). </w:t>
      </w:r>
      <w:r w:rsidRPr="000D308F" w:rsidR="00BB348C">
        <w:rPr>
          <w:rFonts w:ascii="Verdana" w:hAnsi="Verdana"/>
          <w:sz w:val="18"/>
          <w:szCs w:val="18"/>
        </w:rPr>
        <w:t xml:space="preserve">Voorts </w:t>
      </w:r>
      <w:r w:rsidRPr="000D308F" w:rsidR="004621DE">
        <w:rPr>
          <w:rFonts w:ascii="Verdana" w:hAnsi="Verdana"/>
          <w:sz w:val="18"/>
          <w:szCs w:val="18"/>
        </w:rPr>
        <w:t>zullen de partijen de strijd tegen de illegale handel, accumulatie en ongecontroleerde verspreiding van handvuurwapens, lichte wapens en andere conventionele wapens en de munitie daarvoor opvoeren, in lijn met het</w:t>
      </w:r>
      <w:r w:rsidRPr="000D308F" w:rsidR="008A15DD">
        <w:rPr>
          <w:rFonts w:ascii="Verdana" w:hAnsi="Verdana"/>
          <w:sz w:val="18"/>
          <w:szCs w:val="18"/>
        </w:rPr>
        <w:t xml:space="preserve"> op 24 december 2014 te New York tot stand gekomen W</w:t>
      </w:r>
      <w:r w:rsidRPr="000D308F" w:rsidR="004621DE">
        <w:rPr>
          <w:rFonts w:ascii="Verdana" w:hAnsi="Verdana"/>
          <w:sz w:val="18"/>
          <w:szCs w:val="18"/>
        </w:rPr>
        <w:t>apenhandelsverdrag</w:t>
      </w:r>
      <w:r w:rsidRPr="000D308F" w:rsidR="008A15DD">
        <w:rPr>
          <w:rFonts w:ascii="Verdana" w:hAnsi="Verdana"/>
          <w:sz w:val="18"/>
          <w:szCs w:val="18"/>
        </w:rPr>
        <w:t xml:space="preserve"> (</w:t>
      </w:r>
      <w:proofErr w:type="spellStart"/>
      <w:r w:rsidRPr="000D308F" w:rsidR="008A15DD">
        <w:rPr>
          <w:rFonts w:ascii="Verdana" w:hAnsi="Verdana"/>
          <w:i/>
          <w:iCs/>
          <w:sz w:val="18"/>
          <w:szCs w:val="18"/>
        </w:rPr>
        <w:t>Trb</w:t>
      </w:r>
      <w:proofErr w:type="spellEnd"/>
      <w:r w:rsidRPr="000D308F" w:rsidR="008A15DD">
        <w:rPr>
          <w:rFonts w:ascii="Verdana" w:hAnsi="Verdana"/>
          <w:i/>
          <w:iCs/>
          <w:sz w:val="18"/>
          <w:szCs w:val="18"/>
        </w:rPr>
        <w:t xml:space="preserve">. </w:t>
      </w:r>
      <w:r w:rsidRPr="000D308F" w:rsidR="008A15DD">
        <w:rPr>
          <w:rFonts w:ascii="Verdana" w:hAnsi="Verdana"/>
          <w:sz w:val="18"/>
          <w:szCs w:val="18"/>
        </w:rPr>
        <w:t>2013, 143)</w:t>
      </w:r>
      <w:r w:rsidRPr="000D308F" w:rsidR="004621DE">
        <w:rPr>
          <w:rFonts w:ascii="Verdana" w:hAnsi="Verdana"/>
          <w:sz w:val="18"/>
          <w:szCs w:val="18"/>
        </w:rPr>
        <w:t xml:space="preserve"> en </w:t>
      </w:r>
      <w:r w:rsidRPr="000D308F" w:rsidR="008A15DD">
        <w:rPr>
          <w:rFonts w:ascii="Verdana" w:hAnsi="Verdana"/>
          <w:sz w:val="18"/>
          <w:szCs w:val="18"/>
        </w:rPr>
        <w:t xml:space="preserve">bepaalde </w:t>
      </w:r>
      <w:r w:rsidRPr="000D308F" w:rsidR="00120747">
        <w:rPr>
          <w:rFonts w:ascii="Verdana" w:hAnsi="Verdana"/>
          <w:sz w:val="18"/>
          <w:szCs w:val="18"/>
        </w:rPr>
        <w:t>resoluties</w:t>
      </w:r>
      <w:r w:rsidRPr="000D308F" w:rsidR="007861FD">
        <w:rPr>
          <w:rFonts w:ascii="Verdana" w:hAnsi="Verdana"/>
          <w:sz w:val="18"/>
          <w:szCs w:val="18"/>
        </w:rPr>
        <w:t xml:space="preserve"> van de Verenigde Naties</w:t>
      </w:r>
      <w:r w:rsidRPr="000D308F" w:rsidR="004621DE">
        <w:rPr>
          <w:rFonts w:ascii="Verdana" w:hAnsi="Verdana"/>
          <w:sz w:val="18"/>
          <w:szCs w:val="18"/>
        </w:rPr>
        <w:t xml:space="preserve"> (artikel 23). </w:t>
      </w:r>
      <w:r w:rsidRPr="000D308F" w:rsidR="001A0452">
        <w:rPr>
          <w:rFonts w:ascii="Verdana" w:hAnsi="Verdana"/>
          <w:sz w:val="18"/>
          <w:szCs w:val="18"/>
        </w:rPr>
        <w:t xml:space="preserve">Tevens </w:t>
      </w:r>
      <w:r w:rsidRPr="000D308F" w:rsidR="004621DE">
        <w:rPr>
          <w:rFonts w:ascii="Verdana" w:hAnsi="Verdana"/>
          <w:sz w:val="18"/>
          <w:szCs w:val="18"/>
        </w:rPr>
        <w:t xml:space="preserve">streven de partijen ernaar een geïntegreerde aanpak te hanteren ter voorkoming en bestrijding van illegale handel in drugs en psychoactieve stoffen (artikel 24). </w:t>
      </w:r>
      <w:r w:rsidRPr="000D308F" w:rsidR="001A0452">
        <w:rPr>
          <w:rFonts w:ascii="Verdana" w:hAnsi="Verdana"/>
          <w:sz w:val="18"/>
          <w:szCs w:val="18"/>
        </w:rPr>
        <w:t xml:space="preserve">Tot slot </w:t>
      </w:r>
      <w:r w:rsidRPr="000D308F" w:rsidR="004621DE">
        <w:rPr>
          <w:rFonts w:ascii="Verdana" w:hAnsi="Verdana"/>
          <w:sz w:val="18"/>
          <w:szCs w:val="18"/>
        </w:rPr>
        <w:t xml:space="preserve">wordt afgesproken de samenwerking op het gebied van cyberbeveiliging, cybercriminaliteit en rechtshandhaving te verstevigen (artikel 25 en 26). </w:t>
      </w:r>
    </w:p>
    <w:bookmarkEnd w:id="2"/>
    <w:p w:rsidRPr="000D308F" w:rsidR="001A7F16" w:rsidP="00EC4F1D" w:rsidRDefault="001A7F16" w14:paraId="5A2DAA65" w14:textId="7FF04463">
      <w:pPr>
        <w:rPr>
          <w:rFonts w:ascii="Verdana" w:hAnsi="Verdana"/>
          <w:b/>
          <w:bCs/>
          <w:sz w:val="18"/>
          <w:szCs w:val="18"/>
        </w:rPr>
      </w:pPr>
      <w:r w:rsidRPr="000D308F">
        <w:rPr>
          <w:rFonts w:ascii="Verdana" w:hAnsi="Verdana"/>
          <w:b/>
          <w:bCs/>
          <w:sz w:val="18"/>
          <w:szCs w:val="18"/>
        </w:rPr>
        <w:t>Titel III – Menselijke en sociale ontwikkeling</w:t>
      </w:r>
      <w:r w:rsidRPr="000D308F" w:rsidR="00A8713D">
        <w:rPr>
          <w:rFonts w:ascii="Verdana" w:hAnsi="Verdana"/>
          <w:b/>
          <w:bCs/>
          <w:sz w:val="18"/>
          <w:szCs w:val="18"/>
        </w:rPr>
        <w:t xml:space="preserve"> (artikelen 27 t/m 39)</w:t>
      </w:r>
    </w:p>
    <w:p w:rsidRPr="000D308F" w:rsidR="00A8713D" w:rsidP="00EC4F1D" w:rsidRDefault="00B675A6" w14:paraId="3F7C872C" w14:textId="563B6801">
      <w:pPr>
        <w:rPr>
          <w:rFonts w:ascii="Verdana" w:hAnsi="Verdana"/>
          <w:sz w:val="18"/>
          <w:szCs w:val="18"/>
        </w:rPr>
      </w:pPr>
      <w:r w:rsidRPr="000D308F">
        <w:rPr>
          <w:rFonts w:ascii="Verdana" w:hAnsi="Verdana"/>
          <w:sz w:val="18"/>
          <w:szCs w:val="18"/>
        </w:rPr>
        <w:t>De partijen herbevestigen hun vastberadenheid om samen te werken aan duurzame ontwikkeling, de uitbanning van armoede, het wegwerken van ongelijkheden en het bevorderen van sociale cohesie. De partijen komen overeen samen te werken om ervoor te zorgen dat iedereen over de nodige middelen beschikt om een waardig leven te leiden met een adequate levensstandaard, onder meer via passende sociale</w:t>
      </w:r>
      <w:r w:rsidRPr="000D308F" w:rsidR="00EE5023">
        <w:rPr>
          <w:rFonts w:ascii="Verdana" w:hAnsi="Verdana"/>
          <w:sz w:val="18"/>
          <w:szCs w:val="18"/>
        </w:rPr>
        <w:t xml:space="preserve"> </w:t>
      </w:r>
      <w:r w:rsidRPr="000D308F">
        <w:rPr>
          <w:rFonts w:ascii="Verdana" w:hAnsi="Verdana"/>
          <w:sz w:val="18"/>
          <w:szCs w:val="18"/>
        </w:rPr>
        <w:t xml:space="preserve">beschermingsstelsels en sociale diensten. Zij besteden daarbij bijzondere aandacht aan vrouwen en meisjes, jongeren, kinderen en de meest kwetsbare en kansarme personen. </w:t>
      </w:r>
      <w:r w:rsidRPr="000D308F" w:rsidR="00E65EA9">
        <w:rPr>
          <w:rFonts w:ascii="Verdana" w:hAnsi="Verdana"/>
          <w:sz w:val="18"/>
          <w:szCs w:val="18"/>
        </w:rPr>
        <w:t>T</w:t>
      </w:r>
      <w:r w:rsidRPr="000D308F" w:rsidR="00BB348C">
        <w:rPr>
          <w:rFonts w:ascii="Verdana" w:hAnsi="Verdana"/>
          <w:sz w:val="18"/>
          <w:szCs w:val="18"/>
        </w:rPr>
        <w:t xml:space="preserve">ot slot </w:t>
      </w:r>
      <w:r w:rsidRPr="000D308F">
        <w:rPr>
          <w:rFonts w:ascii="Verdana" w:hAnsi="Verdana"/>
          <w:sz w:val="18"/>
          <w:szCs w:val="18"/>
        </w:rPr>
        <w:t xml:space="preserve">komen de partijen overeen samen te werken om de problemen en kansen van de snelle bevolkingsgroei aan te pakken (artikel 27). </w:t>
      </w:r>
    </w:p>
    <w:p w:rsidRPr="000D308F" w:rsidR="00B675A6" w:rsidP="00EC4F1D" w:rsidRDefault="00B675A6" w14:paraId="258CD5D6" w14:textId="1A81E968">
      <w:pPr>
        <w:rPr>
          <w:rFonts w:ascii="Verdana" w:hAnsi="Verdana"/>
          <w:i/>
          <w:iCs/>
          <w:sz w:val="18"/>
          <w:szCs w:val="18"/>
        </w:rPr>
      </w:pPr>
      <w:r w:rsidRPr="000D308F">
        <w:rPr>
          <w:rFonts w:ascii="Verdana" w:hAnsi="Verdana"/>
          <w:i/>
          <w:iCs/>
          <w:sz w:val="18"/>
          <w:szCs w:val="18"/>
        </w:rPr>
        <w:t xml:space="preserve">Hoofdstuk 1 – Toegang tot sociale diensten </w:t>
      </w:r>
    </w:p>
    <w:p w:rsidRPr="000D308F" w:rsidR="00B675A6" w:rsidP="00EC4F1D" w:rsidRDefault="00B3027D" w14:paraId="04E40D6A" w14:textId="0B5A59B6">
      <w:pPr>
        <w:rPr>
          <w:rFonts w:ascii="Verdana" w:hAnsi="Verdana"/>
          <w:sz w:val="18"/>
          <w:szCs w:val="18"/>
        </w:rPr>
      </w:pPr>
      <w:r w:rsidRPr="000D308F">
        <w:rPr>
          <w:rFonts w:ascii="Verdana" w:hAnsi="Verdana"/>
          <w:sz w:val="18"/>
          <w:szCs w:val="18"/>
        </w:rPr>
        <w:t>Artikelen 28 tot en met 31 gaan achtereenvolgens in op de toegang tot sociale diensten. Zo streven d</w:t>
      </w:r>
      <w:r w:rsidRPr="000D308F" w:rsidR="00B675A6">
        <w:rPr>
          <w:rFonts w:ascii="Verdana" w:hAnsi="Verdana"/>
          <w:sz w:val="18"/>
          <w:szCs w:val="18"/>
        </w:rPr>
        <w:t xml:space="preserve">e partijen er conform artikel 28 naar dat iedereen gelijke toegang krijgt tot kwaliteitsvol onderwijs op alle niveaus, daarbij rekening houdend met het bestaan van genderkloven. Daarbij gaat bijzondere aandacht uit naar investeringen in wetenschap, technologie, ingenieurswetenschap </w:t>
      </w:r>
      <w:r w:rsidRPr="000D308F" w:rsidR="00B675A6">
        <w:rPr>
          <w:rFonts w:ascii="Verdana" w:hAnsi="Verdana"/>
          <w:sz w:val="18"/>
          <w:szCs w:val="18"/>
        </w:rPr>
        <w:lastRenderedPageBreak/>
        <w:t xml:space="preserve">en wiskunde. Ook spreken de partijen af hun inspanningen te intensiveren om ervoor te zorgen dat iedereen beschikt over de kennis, vaardigheden en capaciteiten om een betere levenskwaliteit te genieten, ten volle deel te nemen aan de samenleving, bij te dragen aan het economische en sociale welzijn van de gemeenschap en een actief aandeel in het democratische en culturele leven te kunnen verwerven. </w:t>
      </w:r>
      <w:r w:rsidRPr="000D308F" w:rsidR="003710D4">
        <w:rPr>
          <w:rFonts w:ascii="Verdana" w:hAnsi="Verdana"/>
          <w:sz w:val="18"/>
          <w:szCs w:val="18"/>
        </w:rPr>
        <w:t xml:space="preserve">Verder </w:t>
      </w:r>
      <w:r w:rsidRPr="000D308F" w:rsidR="00B675A6">
        <w:rPr>
          <w:rFonts w:ascii="Verdana" w:hAnsi="Verdana"/>
          <w:sz w:val="18"/>
          <w:szCs w:val="18"/>
        </w:rPr>
        <w:t xml:space="preserve">bevorderen de partijen veilige scholen en goed functionerende onderwijsstelsels die over toereikende middelen beschikken. </w:t>
      </w:r>
      <w:r w:rsidRPr="000D308F" w:rsidR="003710D4">
        <w:rPr>
          <w:rFonts w:ascii="Verdana" w:hAnsi="Verdana"/>
          <w:sz w:val="18"/>
          <w:szCs w:val="18"/>
        </w:rPr>
        <w:t xml:space="preserve">Voorts </w:t>
      </w:r>
      <w:r w:rsidRPr="000D308F" w:rsidR="00B675A6">
        <w:rPr>
          <w:rFonts w:ascii="Verdana" w:hAnsi="Verdana"/>
          <w:sz w:val="18"/>
          <w:szCs w:val="18"/>
        </w:rPr>
        <w:t xml:space="preserve">zullen de partijen samenwerken om de wederzijdse erkenning van kwalificaties in te stellen en de mobiliteit van studenten, personeel en academici tussen de landen in Afrika, het Caribisch gebied en de Stille Oceaan onderling en tussen deze landen en de EU te vergemakkelijken. </w:t>
      </w:r>
    </w:p>
    <w:p w:rsidRPr="000D308F" w:rsidR="002F5574" w:rsidP="00EC4F1D" w:rsidRDefault="00680DDE" w14:paraId="6F64831D" w14:textId="6835F536">
      <w:pPr>
        <w:rPr>
          <w:rFonts w:ascii="Verdana" w:hAnsi="Verdana"/>
          <w:sz w:val="18"/>
          <w:szCs w:val="18"/>
        </w:rPr>
      </w:pPr>
      <w:r w:rsidRPr="000D308F">
        <w:rPr>
          <w:rFonts w:ascii="Verdana" w:hAnsi="Verdana"/>
          <w:sz w:val="18"/>
          <w:szCs w:val="18"/>
        </w:rPr>
        <w:t>In artikel 29 wordt uiteengezet dat de</w:t>
      </w:r>
      <w:r w:rsidRPr="000D308F" w:rsidR="002F5574">
        <w:rPr>
          <w:rFonts w:ascii="Verdana" w:hAnsi="Verdana"/>
          <w:sz w:val="18"/>
          <w:szCs w:val="18"/>
        </w:rPr>
        <w:t xml:space="preserve"> partijen zich tevens</w:t>
      </w:r>
      <w:r w:rsidRPr="000D308F">
        <w:rPr>
          <w:rFonts w:ascii="Verdana" w:hAnsi="Verdana"/>
          <w:sz w:val="18"/>
          <w:szCs w:val="18"/>
        </w:rPr>
        <w:t xml:space="preserve"> zullen</w:t>
      </w:r>
      <w:r w:rsidRPr="000D308F" w:rsidR="002F5574">
        <w:rPr>
          <w:rFonts w:ascii="Verdana" w:hAnsi="Verdana"/>
          <w:sz w:val="18"/>
          <w:szCs w:val="18"/>
        </w:rPr>
        <w:t xml:space="preserve"> inzetten voor de bescherming en bevordering van het hoogst haalbare niveau van lichamelijke en geestelijke gezondheid voor iedereen via het versterken van de nationale gezondheidszorgstelsels</w:t>
      </w:r>
      <w:r w:rsidRPr="000D308F">
        <w:rPr>
          <w:rFonts w:ascii="Verdana" w:hAnsi="Verdana"/>
          <w:sz w:val="18"/>
          <w:szCs w:val="18"/>
        </w:rPr>
        <w:t>,</w:t>
      </w:r>
      <w:r w:rsidRPr="000D308F" w:rsidR="002F5574">
        <w:rPr>
          <w:rFonts w:ascii="Verdana" w:hAnsi="Verdana"/>
          <w:sz w:val="18"/>
          <w:szCs w:val="18"/>
        </w:rPr>
        <w:t xml:space="preserve"> onder meer door te voorzien in financieringsregelingen en middelen voor gezondheid, operationele infrastructuur, geschoolde gezondheidswerkers en passende technologieën en digitale instrumenten. </w:t>
      </w:r>
      <w:r w:rsidRPr="000D308F">
        <w:rPr>
          <w:rFonts w:ascii="Verdana" w:hAnsi="Verdana"/>
          <w:sz w:val="18"/>
          <w:szCs w:val="18"/>
        </w:rPr>
        <w:t>De partijen bevorderen universele toegang tot hoogwaardige diensten voor gezondheidszorg en veilige en betaalbare geneesmiddelen.</w:t>
      </w:r>
      <w:r w:rsidRPr="000D308F" w:rsidR="00A476F5">
        <w:rPr>
          <w:rFonts w:ascii="Verdana" w:hAnsi="Verdana"/>
          <w:sz w:val="18"/>
          <w:szCs w:val="18"/>
        </w:rPr>
        <w:t xml:space="preserve"> </w:t>
      </w:r>
      <w:r w:rsidRPr="000D308F" w:rsidR="003056D0">
        <w:rPr>
          <w:rFonts w:ascii="Verdana" w:hAnsi="Verdana"/>
          <w:sz w:val="18"/>
          <w:szCs w:val="18"/>
        </w:rPr>
        <w:t xml:space="preserve">Daarnaast </w:t>
      </w:r>
      <w:r w:rsidRPr="000D308F" w:rsidR="00A476F5">
        <w:rPr>
          <w:rFonts w:ascii="Verdana" w:hAnsi="Verdana"/>
          <w:sz w:val="18"/>
          <w:szCs w:val="18"/>
        </w:rPr>
        <w:t xml:space="preserve">zullen de partijen samenwerken om overdraagbare ziekten en andere grensoverschrijdende bedreigingen van de gezondheid te voorkomen en aan te pakken </w:t>
      </w:r>
      <w:r w:rsidRPr="000D308F" w:rsidR="003056D0">
        <w:rPr>
          <w:rFonts w:ascii="Verdana" w:hAnsi="Verdana"/>
          <w:sz w:val="18"/>
          <w:szCs w:val="18"/>
        </w:rPr>
        <w:t>en</w:t>
      </w:r>
      <w:r w:rsidRPr="000D308F" w:rsidR="00A476F5">
        <w:rPr>
          <w:rFonts w:ascii="Verdana" w:hAnsi="Verdana"/>
          <w:sz w:val="18"/>
          <w:szCs w:val="18"/>
        </w:rPr>
        <w:t xml:space="preserve"> werken de partijen samen bij de aanpak van mondiale gezondheidscrises. </w:t>
      </w:r>
      <w:r w:rsidRPr="000D308F" w:rsidR="0060483B">
        <w:rPr>
          <w:rFonts w:ascii="Verdana" w:hAnsi="Verdana"/>
          <w:sz w:val="18"/>
          <w:szCs w:val="18"/>
        </w:rPr>
        <w:t xml:space="preserve">Tot slot </w:t>
      </w:r>
      <w:r w:rsidRPr="000D308F" w:rsidR="00A476F5">
        <w:rPr>
          <w:rFonts w:ascii="Verdana" w:hAnsi="Verdana"/>
          <w:sz w:val="18"/>
          <w:szCs w:val="18"/>
        </w:rPr>
        <w:t>ondersteunen de partijen universele toegang tot voorzieningen en diensten op het gebied van seksuele en reproductieve gezondheid, onder meer in het kader van gezinsplanning, voorlichting en onder</w:t>
      </w:r>
      <w:r w:rsidRPr="000D308F" w:rsidR="006C7C08">
        <w:rPr>
          <w:rFonts w:ascii="Verdana" w:hAnsi="Verdana"/>
          <w:sz w:val="18"/>
          <w:szCs w:val="18"/>
        </w:rPr>
        <w:t>wijs</w:t>
      </w:r>
      <w:r w:rsidRPr="000D308F" w:rsidR="00A476F5">
        <w:rPr>
          <w:rFonts w:ascii="Verdana" w:hAnsi="Verdana"/>
          <w:sz w:val="18"/>
          <w:szCs w:val="18"/>
        </w:rPr>
        <w:t xml:space="preserve">, en de integratie van reproductieve gezondheid in nationale programma’s. </w:t>
      </w:r>
    </w:p>
    <w:p w:rsidRPr="000D308F" w:rsidR="00293B1D" w:rsidP="00EC4F1D" w:rsidRDefault="00293B1D" w14:paraId="050C00B7" w14:textId="306794B8">
      <w:pPr>
        <w:rPr>
          <w:rFonts w:ascii="Verdana" w:hAnsi="Verdana"/>
          <w:sz w:val="18"/>
          <w:szCs w:val="18"/>
        </w:rPr>
      </w:pPr>
      <w:r w:rsidRPr="000D308F">
        <w:rPr>
          <w:rFonts w:ascii="Verdana" w:hAnsi="Verdana"/>
          <w:sz w:val="18"/>
          <w:szCs w:val="18"/>
        </w:rPr>
        <w:t xml:space="preserve">In artikel 30 wordt beschreven hoe de partijen voedselzekerheid en betere voeding kunnen waarborgen, onder meer via het bevorderen van bestendige bronnen van levensonderhoud en veilige toegang tot land, water en andere hulpbronnen. Ook wordt afgesproken dat partijen de waardeketens van de voedselproductie aanpassen aan de klimaatverandering en variabiliteit. </w:t>
      </w:r>
      <w:r w:rsidRPr="000D308F" w:rsidR="0060483B">
        <w:rPr>
          <w:rFonts w:ascii="Verdana" w:hAnsi="Verdana"/>
          <w:sz w:val="18"/>
          <w:szCs w:val="18"/>
        </w:rPr>
        <w:t xml:space="preserve">Verder </w:t>
      </w:r>
      <w:r w:rsidRPr="000D308F">
        <w:rPr>
          <w:rFonts w:ascii="Verdana" w:hAnsi="Verdana"/>
          <w:sz w:val="18"/>
          <w:szCs w:val="18"/>
        </w:rPr>
        <w:t>streven de partijen ernaar iedereen toegang te bieden tot betaalbare, veilige, toereikende en voedzame voeding, de capaciteit voor gediversifieerde voedselproductie te vergroten en ondervoeding en hongersnood te voorkomen.</w:t>
      </w:r>
    </w:p>
    <w:p w:rsidRPr="000D308F" w:rsidR="00B675A6" w:rsidP="00EC4F1D" w:rsidRDefault="00BF680A" w14:paraId="17C9D0BD" w14:textId="367A8AB3">
      <w:pPr>
        <w:rPr>
          <w:rFonts w:ascii="Verdana" w:hAnsi="Verdana"/>
          <w:sz w:val="18"/>
          <w:szCs w:val="18"/>
        </w:rPr>
      </w:pPr>
      <w:r w:rsidRPr="000D308F">
        <w:rPr>
          <w:rFonts w:ascii="Verdana" w:hAnsi="Verdana"/>
          <w:sz w:val="18"/>
          <w:szCs w:val="18"/>
        </w:rPr>
        <w:t>In artikel 31 wordt afgesproken dat de partijen de universele toegang tot drinkwater, sanitaire voorzieningen, huisvesting en energievoorziening bevorderen. Daarbij gaat bijzondere aandacht uit naar de behoeften van vrouwen en meisjes</w:t>
      </w:r>
      <w:r w:rsidRPr="000D308F" w:rsidR="00F6320D">
        <w:rPr>
          <w:rFonts w:ascii="Verdana" w:hAnsi="Verdana"/>
          <w:sz w:val="18"/>
          <w:szCs w:val="18"/>
        </w:rPr>
        <w:t xml:space="preserve"> en kwetsbare groepen, zoals gehandicapten en inheemse bevolking.</w:t>
      </w:r>
    </w:p>
    <w:p w:rsidRPr="000D308F" w:rsidR="00983B1C" w:rsidP="00EC4F1D" w:rsidRDefault="00983B1C" w14:paraId="2190D4F8" w14:textId="70A8C047">
      <w:pPr>
        <w:rPr>
          <w:rFonts w:ascii="Verdana" w:hAnsi="Verdana"/>
          <w:i/>
          <w:iCs/>
          <w:sz w:val="18"/>
          <w:szCs w:val="18"/>
        </w:rPr>
      </w:pPr>
      <w:r w:rsidRPr="000D308F">
        <w:rPr>
          <w:rFonts w:ascii="Verdana" w:hAnsi="Verdana"/>
          <w:i/>
          <w:iCs/>
          <w:sz w:val="18"/>
          <w:szCs w:val="18"/>
        </w:rPr>
        <w:t xml:space="preserve">Hoofdstuk 2 – Ongelijkheid en sociale cohesie </w:t>
      </w:r>
    </w:p>
    <w:p w:rsidRPr="000D308F" w:rsidR="00983B1C" w:rsidP="00EC4F1D" w:rsidRDefault="003038BB" w14:paraId="14E55DB4" w14:textId="0690552D">
      <w:pPr>
        <w:rPr>
          <w:rFonts w:ascii="Verdana" w:hAnsi="Verdana"/>
          <w:sz w:val="18"/>
          <w:szCs w:val="18"/>
        </w:rPr>
      </w:pPr>
      <w:r w:rsidRPr="000D308F">
        <w:rPr>
          <w:rFonts w:ascii="Verdana" w:hAnsi="Verdana"/>
          <w:sz w:val="18"/>
          <w:szCs w:val="18"/>
        </w:rPr>
        <w:t>Artikel</w:t>
      </w:r>
      <w:r w:rsidRPr="000D308F" w:rsidR="000D4FD0">
        <w:rPr>
          <w:rFonts w:ascii="Verdana" w:hAnsi="Verdana"/>
          <w:sz w:val="18"/>
          <w:szCs w:val="18"/>
        </w:rPr>
        <w:t>en</w:t>
      </w:r>
      <w:r w:rsidRPr="000D308F">
        <w:rPr>
          <w:rFonts w:ascii="Verdana" w:hAnsi="Verdana"/>
          <w:sz w:val="18"/>
          <w:szCs w:val="18"/>
        </w:rPr>
        <w:t xml:space="preserve"> 32 en 33 gaan in op ongelijkheid en sociale cohesie. In artikel 3</w:t>
      </w:r>
      <w:r w:rsidRPr="000D308F" w:rsidR="00B70A05">
        <w:rPr>
          <w:rFonts w:ascii="Verdana" w:hAnsi="Verdana"/>
          <w:sz w:val="18"/>
          <w:szCs w:val="18"/>
        </w:rPr>
        <w:t>2</w:t>
      </w:r>
      <w:r w:rsidRPr="000D308F">
        <w:rPr>
          <w:rFonts w:ascii="Verdana" w:hAnsi="Verdana"/>
          <w:sz w:val="18"/>
          <w:szCs w:val="18"/>
        </w:rPr>
        <w:t xml:space="preserve"> wordt beschreven hoe de partijen </w:t>
      </w:r>
      <w:r w:rsidRPr="000D308F" w:rsidR="00120747">
        <w:rPr>
          <w:rFonts w:ascii="Verdana" w:hAnsi="Verdana"/>
          <w:sz w:val="18"/>
          <w:szCs w:val="18"/>
        </w:rPr>
        <w:t>ernaar</w:t>
      </w:r>
      <w:r w:rsidRPr="000D308F">
        <w:rPr>
          <w:rFonts w:ascii="Verdana" w:hAnsi="Verdana"/>
          <w:sz w:val="18"/>
          <w:szCs w:val="18"/>
        </w:rPr>
        <w:t xml:space="preserve"> zullen streven sociale cohesie te versterken, in het bijzonder voor personen die zich in een kwetsbare of gemarginaliseerde situatie bevinden. De partijen spreken af in te zetten op inclusief economisch beleid, een rechtvaardig fiscaal en loonbeleid, doeltreffend sociaal beleid, en werkgelegenheidsbeleid dat zich richt op productieve werkgelegenheid en waardig werk voor iedereen. Ook verbinden de partijen zich ertoe universele nationale stelsels voor sociale bescherming op te zetten. </w:t>
      </w:r>
      <w:r w:rsidRPr="000D308F" w:rsidR="003710D4">
        <w:rPr>
          <w:rFonts w:ascii="Verdana" w:hAnsi="Verdana"/>
          <w:sz w:val="18"/>
          <w:szCs w:val="18"/>
        </w:rPr>
        <w:t>Verder</w:t>
      </w:r>
      <w:r w:rsidRPr="000D308F" w:rsidR="0060483B">
        <w:rPr>
          <w:rFonts w:ascii="Verdana" w:hAnsi="Verdana"/>
          <w:sz w:val="18"/>
          <w:szCs w:val="18"/>
        </w:rPr>
        <w:t xml:space="preserve"> </w:t>
      </w:r>
      <w:r w:rsidRPr="000D308F">
        <w:rPr>
          <w:rFonts w:ascii="Verdana" w:hAnsi="Verdana"/>
          <w:sz w:val="18"/>
          <w:szCs w:val="18"/>
        </w:rPr>
        <w:t xml:space="preserve">bevorderen de partijen de rechten van personen met een handicap, onder meer door het </w:t>
      </w:r>
      <w:r w:rsidRPr="000D308F" w:rsidR="002E711A">
        <w:rPr>
          <w:rFonts w:ascii="Verdana" w:hAnsi="Verdana"/>
          <w:sz w:val="18"/>
          <w:szCs w:val="18"/>
        </w:rPr>
        <w:t xml:space="preserve">op 13 december 2006 te New York tot stand gekomen </w:t>
      </w:r>
      <w:r w:rsidRPr="000D308F">
        <w:rPr>
          <w:rFonts w:ascii="Verdana" w:hAnsi="Verdana"/>
          <w:sz w:val="18"/>
          <w:szCs w:val="18"/>
        </w:rPr>
        <w:t>V</w:t>
      </w:r>
      <w:r w:rsidRPr="000D308F" w:rsidR="007861FD">
        <w:rPr>
          <w:rFonts w:ascii="Verdana" w:hAnsi="Verdana"/>
          <w:sz w:val="18"/>
          <w:szCs w:val="18"/>
        </w:rPr>
        <w:t xml:space="preserve">erenigde Naties </w:t>
      </w:r>
      <w:r w:rsidRPr="000D308F">
        <w:rPr>
          <w:rFonts w:ascii="Verdana" w:hAnsi="Verdana"/>
          <w:sz w:val="18"/>
          <w:szCs w:val="18"/>
        </w:rPr>
        <w:t xml:space="preserve">Verdrag inzake de rechten van personen met een handicap </w:t>
      </w:r>
      <w:r w:rsidRPr="000D308F" w:rsidR="002E711A">
        <w:rPr>
          <w:rFonts w:ascii="Verdana" w:hAnsi="Verdana"/>
          <w:sz w:val="18"/>
          <w:szCs w:val="18"/>
        </w:rPr>
        <w:t>(</w:t>
      </w:r>
      <w:proofErr w:type="spellStart"/>
      <w:r w:rsidRPr="000D308F" w:rsidR="002E711A">
        <w:rPr>
          <w:rFonts w:ascii="Verdana" w:hAnsi="Verdana"/>
          <w:i/>
          <w:iCs/>
          <w:sz w:val="18"/>
          <w:szCs w:val="18"/>
        </w:rPr>
        <w:t>Trb</w:t>
      </w:r>
      <w:proofErr w:type="spellEnd"/>
      <w:r w:rsidRPr="000D308F" w:rsidR="002E711A">
        <w:rPr>
          <w:rFonts w:ascii="Verdana" w:hAnsi="Verdana"/>
          <w:i/>
          <w:iCs/>
          <w:sz w:val="18"/>
          <w:szCs w:val="18"/>
        </w:rPr>
        <w:t xml:space="preserve">. </w:t>
      </w:r>
      <w:r w:rsidRPr="000D308F" w:rsidR="002E711A">
        <w:rPr>
          <w:rFonts w:ascii="Verdana" w:hAnsi="Verdana"/>
          <w:sz w:val="18"/>
          <w:szCs w:val="18"/>
        </w:rPr>
        <w:t xml:space="preserve">2007, 169) </w:t>
      </w:r>
      <w:r w:rsidRPr="000D308F">
        <w:rPr>
          <w:rFonts w:ascii="Verdana" w:hAnsi="Verdana"/>
          <w:sz w:val="18"/>
          <w:szCs w:val="18"/>
        </w:rPr>
        <w:t xml:space="preserve">te ondertekenen, </w:t>
      </w:r>
      <w:r w:rsidRPr="000D308F" w:rsidR="002E711A">
        <w:rPr>
          <w:rFonts w:ascii="Verdana" w:hAnsi="Verdana"/>
          <w:sz w:val="18"/>
          <w:szCs w:val="18"/>
        </w:rPr>
        <w:t xml:space="preserve">te </w:t>
      </w:r>
      <w:r w:rsidRPr="000D308F">
        <w:rPr>
          <w:rFonts w:ascii="Verdana" w:hAnsi="Verdana"/>
          <w:sz w:val="18"/>
          <w:szCs w:val="18"/>
        </w:rPr>
        <w:t xml:space="preserve">ratificeren en uit te voeren. </w:t>
      </w:r>
    </w:p>
    <w:p w:rsidRPr="000D308F" w:rsidR="00D20099" w:rsidP="00EC4F1D" w:rsidRDefault="00D20099" w14:paraId="69F4B04A" w14:textId="354E8751">
      <w:pPr>
        <w:rPr>
          <w:rFonts w:ascii="Verdana" w:hAnsi="Verdana"/>
          <w:sz w:val="18"/>
          <w:szCs w:val="18"/>
        </w:rPr>
      </w:pPr>
      <w:r w:rsidRPr="000D308F">
        <w:rPr>
          <w:rFonts w:ascii="Verdana" w:hAnsi="Verdana"/>
          <w:sz w:val="18"/>
          <w:szCs w:val="18"/>
        </w:rPr>
        <w:t>In artikel 3</w:t>
      </w:r>
      <w:r w:rsidRPr="000D308F" w:rsidR="00B70A05">
        <w:rPr>
          <w:rFonts w:ascii="Verdana" w:hAnsi="Verdana"/>
          <w:sz w:val="18"/>
          <w:szCs w:val="18"/>
        </w:rPr>
        <w:t>3</w:t>
      </w:r>
      <w:r w:rsidRPr="000D308F">
        <w:rPr>
          <w:rFonts w:ascii="Verdana" w:hAnsi="Verdana"/>
          <w:sz w:val="18"/>
          <w:szCs w:val="18"/>
        </w:rPr>
        <w:t xml:space="preserve"> bevestigen de partijen hun streven naar waardig werk voor alle vrouwen en mannen, jongeren en personen met een handicap. Daartoe bevorderen zij de Agenda voor waardig werk als uiteengezet in de Verklaring van de Internationale Arbeidsorganisatie (IAO) uit 2008. </w:t>
      </w:r>
      <w:r w:rsidRPr="000D308F" w:rsidR="008032CA">
        <w:rPr>
          <w:rFonts w:ascii="Verdana" w:hAnsi="Verdana"/>
          <w:sz w:val="18"/>
          <w:szCs w:val="18"/>
        </w:rPr>
        <w:t xml:space="preserve">In die context </w:t>
      </w:r>
      <w:r w:rsidRPr="000D308F" w:rsidR="003F6AE1">
        <w:rPr>
          <w:rFonts w:ascii="Verdana" w:hAnsi="Verdana"/>
          <w:sz w:val="18"/>
          <w:szCs w:val="18"/>
        </w:rPr>
        <w:t xml:space="preserve">herbevestigen de partijen hun verplichtingen als IAO-leden en hun verbintenissen in het kader van de Verklaring van de IAO, onder andere inzake de vrijheid van vereniging en het recht op collectieve onderhandelingen, de afschaffing van dwangarbeid, het beëindigen van moderne slavernij en mensenhandel, de uitbanning van kinderarbeid, gelijke beloning en non-discriminatie. </w:t>
      </w:r>
      <w:r w:rsidRPr="000D308F" w:rsidR="003056D0">
        <w:rPr>
          <w:rFonts w:ascii="Verdana" w:hAnsi="Verdana"/>
          <w:sz w:val="18"/>
          <w:szCs w:val="18"/>
        </w:rPr>
        <w:t xml:space="preserve">Tot slot </w:t>
      </w:r>
      <w:r w:rsidRPr="000D308F" w:rsidR="00244D59">
        <w:rPr>
          <w:rFonts w:ascii="Verdana" w:hAnsi="Verdana"/>
          <w:sz w:val="18"/>
          <w:szCs w:val="18"/>
        </w:rPr>
        <w:t xml:space="preserve">committeren de partijen zich eraan een veilige en gezonde werkomgeving voor alle werknemers, zowel in de formele als in de informele economie, te bewerkstelligen. </w:t>
      </w:r>
    </w:p>
    <w:p w:rsidR="00013792" w:rsidP="00EC4F1D" w:rsidRDefault="00013792" w14:paraId="0364CE4B" w14:textId="77777777">
      <w:pPr>
        <w:rPr>
          <w:rFonts w:ascii="Verdana" w:hAnsi="Verdana"/>
          <w:i/>
          <w:iCs/>
          <w:sz w:val="18"/>
          <w:szCs w:val="18"/>
        </w:rPr>
      </w:pPr>
    </w:p>
    <w:p w:rsidRPr="000D308F" w:rsidR="00382681" w:rsidP="00EC4F1D" w:rsidRDefault="00382681" w14:paraId="50AD95F9" w14:textId="1ECEECF2">
      <w:pPr>
        <w:rPr>
          <w:rFonts w:ascii="Verdana" w:hAnsi="Verdana"/>
          <w:i/>
          <w:iCs/>
          <w:sz w:val="18"/>
          <w:szCs w:val="18"/>
        </w:rPr>
      </w:pPr>
      <w:r w:rsidRPr="000D308F">
        <w:rPr>
          <w:rFonts w:ascii="Verdana" w:hAnsi="Verdana"/>
          <w:i/>
          <w:iCs/>
          <w:sz w:val="18"/>
          <w:szCs w:val="18"/>
        </w:rPr>
        <w:lastRenderedPageBreak/>
        <w:t>Hoofdstuk 3 – Bevolking en ontwikkeling</w:t>
      </w:r>
    </w:p>
    <w:p w:rsidRPr="000D308F" w:rsidR="00A61E47" w:rsidP="00EC4F1D" w:rsidRDefault="00D11873" w14:paraId="3B0356C7" w14:textId="76440CBE">
      <w:pPr>
        <w:rPr>
          <w:rFonts w:ascii="Verdana" w:hAnsi="Verdana"/>
          <w:sz w:val="18"/>
          <w:szCs w:val="18"/>
        </w:rPr>
      </w:pPr>
      <w:r w:rsidRPr="000D308F">
        <w:rPr>
          <w:rFonts w:ascii="Verdana" w:hAnsi="Verdana"/>
          <w:sz w:val="18"/>
          <w:szCs w:val="18"/>
        </w:rPr>
        <w:t>Artikelen 34 tot en met 36 gaa</w:t>
      </w:r>
      <w:r w:rsidRPr="000D308F" w:rsidR="006C5EA8">
        <w:rPr>
          <w:rFonts w:ascii="Verdana" w:hAnsi="Verdana"/>
          <w:sz w:val="18"/>
          <w:szCs w:val="18"/>
        </w:rPr>
        <w:t>n</w:t>
      </w:r>
      <w:r w:rsidRPr="000D308F">
        <w:rPr>
          <w:rFonts w:ascii="Verdana" w:hAnsi="Verdana"/>
          <w:sz w:val="18"/>
          <w:szCs w:val="18"/>
        </w:rPr>
        <w:t xml:space="preserve"> in op </w:t>
      </w:r>
      <w:r w:rsidRPr="000D308F" w:rsidR="00E17C5E">
        <w:rPr>
          <w:rFonts w:ascii="Verdana" w:hAnsi="Verdana"/>
          <w:sz w:val="18"/>
          <w:szCs w:val="18"/>
        </w:rPr>
        <w:t xml:space="preserve">bevolking en ontwikkeling. </w:t>
      </w:r>
      <w:r w:rsidRPr="000D308F" w:rsidR="006C5EA8">
        <w:rPr>
          <w:rFonts w:ascii="Verdana" w:hAnsi="Verdana"/>
          <w:sz w:val="18"/>
          <w:szCs w:val="18"/>
        </w:rPr>
        <w:t>In artikel 34 erkennen de partijen de impact die bevolkingsgroei en demografische verschuivingen k</w:t>
      </w:r>
      <w:r w:rsidRPr="000D308F" w:rsidR="00F64052">
        <w:rPr>
          <w:rFonts w:ascii="Verdana" w:hAnsi="Verdana"/>
          <w:sz w:val="18"/>
          <w:szCs w:val="18"/>
        </w:rPr>
        <w:t>u</w:t>
      </w:r>
      <w:r w:rsidRPr="000D308F" w:rsidR="006C5EA8">
        <w:rPr>
          <w:rFonts w:ascii="Verdana" w:hAnsi="Verdana"/>
          <w:sz w:val="18"/>
          <w:szCs w:val="18"/>
        </w:rPr>
        <w:t>n</w:t>
      </w:r>
      <w:r w:rsidRPr="000D308F" w:rsidR="00F64052">
        <w:rPr>
          <w:rFonts w:ascii="Verdana" w:hAnsi="Verdana"/>
          <w:sz w:val="18"/>
          <w:szCs w:val="18"/>
        </w:rPr>
        <w:t>nen</w:t>
      </w:r>
      <w:r w:rsidRPr="000D308F" w:rsidR="006C5EA8">
        <w:rPr>
          <w:rFonts w:ascii="Verdana" w:hAnsi="Verdana"/>
          <w:sz w:val="18"/>
          <w:szCs w:val="18"/>
        </w:rPr>
        <w:t xml:space="preserve"> hebben op ontwikkeling en economische vooruitgang en wordt afgesproken samen te werken o</w:t>
      </w:r>
      <w:r w:rsidRPr="000D308F" w:rsidR="00F64052">
        <w:rPr>
          <w:rFonts w:ascii="Verdana" w:hAnsi="Verdana"/>
          <w:sz w:val="18"/>
          <w:szCs w:val="18"/>
        </w:rPr>
        <w:t>m</w:t>
      </w:r>
      <w:r w:rsidRPr="000D308F" w:rsidR="006C5EA8">
        <w:rPr>
          <w:rFonts w:ascii="Verdana" w:hAnsi="Verdana"/>
          <w:sz w:val="18"/>
          <w:szCs w:val="18"/>
        </w:rPr>
        <w:t xml:space="preserve"> de problemen zoveel mogelijk terug te dringen en de kansen optimaal te benutten. </w:t>
      </w:r>
      <w:r w:rsidRPr="000D308F" w:rsidR="003056D0">
        <w:rPr>
          <w:rFonts w:ascii="Verdana" w:hAnsi="Verdana"/>
          <w:sz w:val="18"/>
          <w:szCs w:val="18"/>
        </w:rPr>
        <w:t xml:space="preserve">De partijen </w:t>
      </w:r>
      <w:r w:rsidRPr="000D308F" w:rsidR="00C23B87">
        <w:rPr>
          <w:rFonts w:ascii="Verdana" w:hAnsi="Verdana"/>
          <w:sz w:val="18"/>
          <w:szCs w:val="18"/>
        </w:rPr>
        <w:t>zullen</w:t>
      </w:r>
      <w:r w:rsidRPr="000D308F" w:rsidR="00B661CB">
        <w:rPr>
          <w:rFonts w:ascii="Verdana" w:hAnsi="Verdana"/>
          <w:sz w:val="18"/>
          <w:szCs w:val="18"/>
        </w:rPr>
        <w:t xml:space="preserve"> </w:t>
      </w:r>
      <w:r w:rsidRPr="000D308F" w:rsidR="00C23B87">
        <w:rPr>
          <w:rFonts w:ascii="Verdana" w:hAnsi="Verdana"/>
          <w:sz w:val="18"/>
          <w:szCs w:val="18"/>
        </w:rPr>
        <w:t xml:space="preserve">demografische trends en prognoses integreren in hun beleidsmaatregelen en inclusieve en duurzame verstedelijking bevorderen door middel van doeltreffend stedelijk bestuur en doeltreffende stadsplanning. </w:t>
      </w:r>
      <w:r w:rsidRPr="000D308F" w:rsidR="00A61E47">
        <w:rPr>
          <w:rFonts w:ascii="Verdana" w:hAnsi="Verdana"/>
          <w:sz w:val="18"/>
          <w:szCs w:val="18"/>
        </w:rPr>
        <w:t xml:space="preserve">In artikel 35 komen de partijen overeen de actieve participatie van jongeren in de samenleving te bevorderen en de rechten en behoeften van meisjes en jongens te erkennen en vervullen. </w:t>
      </w:r>
      <w:r w:rsidRPr="000D308F" w:rsidR="00C0584A">
        <w:rPr>
          <w:rFonts w:ascii="Verdana" w:hAnsi="Verdana"/>
          <w:sz w:val="18"/>
          <w:szCs w:val="18"/>
        </w:rPr>
        <w:t xml:space="preserve">Artikel 36 beschrijft welke maatregelen de partijen zullen nemen om gendergelijkheid en de volledige emancipatie van vrouwen te borgen, onder meer door ervoor te zorgen dat vrouwen op gelijke voet recht hebben op economische en financiële middelen, toegang tot en eigendom van land en natuurlijke hulpbronnen, erfenissen en andere vormen van eigendom. Ook zullen de partijen maatregelen treffen om de deelname van vrouwen aan het politieke leven te vergroten. </w:t>
      </w:r>
      <w:r w:rsidRPr="000D308F" w:rsidR="00150F4E">
        <w:rPr>
          <w:rFonts w:ascii="Verdana" w:hAnsi="Verdana"/>
          <w:sz w:val="18"/>
          <w:szCs w:val="18"/>
        </w:rPr>
        <w:t>Tevens</w:t>
      </w:r>
      <w:r w:rsidRPr="000D308F" w:rsidDel="00F64052" w:rsidR="00C0584A">
        <w:rPr>
          <w:rFonts w:ascii="Verdana" w:hAnsi="Verdana"/>
          <w:sz w:val="18"/>
          <w:szCs w:val="18"/>
        </w:rPr>
        <w:t xml:space="preserve"> </w:t>
      </w:r>
      <w:r w:rsidRPr="000D308F" w:rsidR="00C0584A">
        <w:rPr>
          <w:rFonts w:ascii="Verdana" w:hAnsi="Verdana"/>
          <w:sz w:val="18"/>
          <w:szCs w:val="18"/>
        </w:rPr>
        <w:t xml:space="preserve">bevorderen de partijen de erkenning van onbetaalde zorg en huishoudelijk werk. </w:t>
      </w:r>
      <w:r w:rsidRPr="000D308F" w:rsidR="00150F4E">
        <w:rPr>
          <w:rFonts w:ascii="Verdana" w:hAnsi="Verdana"/>
          <w:sz w:val="18"/>
          <w:szCs w:val="18"/>
        </w:rPr>
        <w:t xml:space="preserve">Verder </w:t>
      </w:r>
      <w:r w:rsidRPr="000D308F" w:rsidR="00C0584A">
        <w:rPr>
          <w:rFonts w:ascii="Verdana" w:hAnsi="Verdana"/>
          <w:sz w:val="18"/>
          <w:szCs w:val="18"/>
        </w:rPr>
        <w:t xml:space="preserve">zetten de partijen zich in voor de uitvoering van de verklaring en het actieprogramma van </w:t>
      </w:r>
      <w:r w:rsidRPr="000D308F" w:rsidR="007410B5">
        <w:rPr>
          <w:rFonts w:ascii="Verdana" w:hAnsi="Verdana"/>
          <w:sz w:val="18"/>
          <w:szCs w:val="18"/>
        </w:rPr>
        <w:t xml:space="preserve">Beijing </w:t>
      </w:r>
      <w:r w:rsidRPr="000D308F" w:rsidR="00C0584A">
        <w:rPr>
          <w:rFonts w:ascii="Verdana" w:hAnsi="Verdana"/>
          <w:sz w:val="18"/>
          <w:szCs w:val="18"/>
        </w:rPr>
        <w:t xml:space="preserve">en het actieprogramma van de Internationale Conferentie over Bevolking en Ontwikkeling, inclusief ten aanzien van seksuele en reproductieve gezondheid en rechten. </w:t>
      </w:r>
      <w:r w:rsidRPr="000D308F" w:rsidR="00150F4E">
        <w:rPr>
          <w:rFonts w:ascii="Verdana" w:hAnsi="Verdana"/>
          <w:sz w:val="18"/>
          <w:szCs w:val="18"/>
        </w:rPr>
        <w:t xml:space="preserve">Tot slot </w:t>
      </w:r>
      <w:r w:rsidRPr="000D308F" w:rsidR="00185FF4">
        <w:rPr>
          <w:rFonts w:ascii="Verdana" w:hAnsi="Verdana"/>
          <w:sz w:val="18"/>
          <w:szCs w:val="18"/>
        </w:rPr>
        <w:t xml:space="preserve">zullen de partijen passende maatregelen nemen ter bevordering van menstruele gezondheid en hygiëne voor vrouwen en meisjes. </w:t>
      </w:r>
    </w:p>
    <w:p w:rsidRPr="000D308F" w:rsidR="00D1437B" w:rsidP="00EC4F1D" w:rsidRDefault="00D1437B" w14:paraId="4027F66E" w14:textId="06346684">
      <w:pPr>
        <w:rPr>
          <w:rFonts w:ascii="Verdana" w:hAnsi="Verdana"/>
          <w:i/>
          <w:iCs/>
          <w:sz w:val="18"/>
          <w:szCs w:val="18"/>
        </w:rPr>
      </w:pPr>
      <w:r w:rsidRPr="000D308F">
        <w:rPr>
          <w:rFonts w:ascii="Verdana" w:hAnsi="Verdana"/>
          <w:i/>
          <w:iCs/>
          <w:sz w:val="18"/>
          <w:szCs w:val="18"/>
        </w:rPr>
        <w:t>Hoofdstuk 4 – Cultuur</w:t>
      </w:r>
    </w:p>
    <w:p w:rsidRPr="000D308F" w:rsidR="00D1437B" w:rsidP="00EC4F1D" w:rsidRDefault="00D1437B" w14:paraId="751A55AC" w14:textId="2BA9CA10">
      <w:pPr>
        <w:rPr>
          <w:rFonts w:ascii="Verdana" w:hAnsi="Verdana"/>
          <w:sz w:val="18"/>
          <w:szCs w:val="18"/>
        </w:rPr>
      </w:pPr>
      <w:r w:rsidRPr="000D308F">
        <w:rPr>
          <w:rFonts w:ascii="Verdana" w:hAnsi="Verdana"/>
          <w:sz w:val="18"/>
          <w:szCs w:val="18"/>
        </w:rPr>
        <w:t xml:space="preserve">Artikelen 37 tot en met 39 gaan in op cultuur als essentieel onderdeel van duurzame ontwikkeling. </w:t>
      </w:r>
      <w:r w:rsidRPr="000D308F" w:rsidR="00734666">
        <w:rPr>
          <w:rFonts w:ascii="Verdana" w:hAnsi="Verdana"/>
          <w:sz w:val="18"/>
          <w:szCs w:val="18"/>
        </w:rPr>
        <w:t xml:space="preserve">De partijen verbinden zich er overeenkomstig artikel 37 toe in beleid een cultureel perspectief te integreren door rekening te houden met culturele kenmerking en lokale en inheemse kennissystemen. </w:t>
      </w:r>
      <w:r w:rsidRPr="000D308F" w:rsidR="003056D0">
        <w:rPr>
          <w:rFonts w:ascii="Verdana" w:hAnsi="Verdana"/>
          <w:sz w:val="18"/>
          <w:szCs w:val="18"/>
        </w:rPr>
        <w:t>P</w:t>
      </w:r>
      <w:r w:rsidRPr="000D308F" w:rsidR="00734666">
        <w:rPr>
          <w:rFonts w:ascii="Verdana" w:hAnsi="Verdana"/>
          <w:sz w:val="18"/>
          <w:szCs w:val="18"/>
        </w:rPr>
        <w:t xml:space="preserve">artijen </w:t>
      </w:r>
      <w:r w:rsidRPr="000D308F" w:rsidR="003056D0">
        <w:rPr>
          <w:rFonts w:ascii="Verdana" w:hAnsi="Verdana"/>
          <w:sz w:val="18"/>
          <w:szCs w:val="18"/>
        </w:rPr>
        <w:t xml:space="preserve">zullen </w:t>
      </w:r>
      <w:r w:rsidRPr="000D308F" w:rsidR="00734666">
        <w:rPr>
          <w:rFonts w:ascii="Verdana" w:hAnsi="Verdana"/>
          <w:sz w:val="18"/>
          <w:szCs w:val="18"/>
        </w:rPr>
        <w:t>de bijdrage van culturele actoren versterken</w:t>
      </w:r>
      <w:r w:rsidRPr="000D308F" w:rsidR="00150F4E">
        <w:rPr>
          <w:rFonts w:ascii="Verdana" w:hAnsi="Verdana"/>
          <w:sz w:val="18"/>
          <w:szCs w:val="18"/>
        </w:rPr>
        <w:t xml:space="preserve"> en</w:t>
      </w:r>
      <w:r w:rsidRPr="000D308F" w:rsidR="00734666">
        <w:rPr>
          <w:rFonts w:ascii="Verdana" w:hAnsi="Verdana"/>
          <w:sz w:val="18"/>
          <w:szCs w:val="18"/>
        </w:rPr>
        <w:t xml:space="preserve"> verbinden zij zich er in </w:t>
      </w:r>
      <w:r w:rsidRPr="000D308F" w:rsidR="00882841">
        <w:rPr>
          <w:rFonts w:ascii="Verdana" w:hAnsi="Verdana"/>
          <w:sz w:val="18"/>
          <w:szCs w:val="18"/>
        </w:rPr>
        <w:t xml:space="preserve">artikel </w:t>
      </w:r>
      <w:r w:rsidRPr="000D308F" w:rsidR="00734666">
        <w:rPr>
          <w:rFonts w:ascii="Verdana" w:hAnsi="Verdana"/>
          <w:sz w:val="18"/>
          <w:szCs w:val="18"/>
        </w:rPr>
        <w:t xml:space="preserve">38 toe de culturele rechten en vrijheid van artistieke expressie te beschermen en in stand te houden. </w:t>
      </w:r>
      <w:r w:rsidRPr="000D308F" w:rsidR="00AC14F9">
        <w:rPr>
          <w:rFonts w:ascii="Verdana" w:hAnsi="Verdana"/>
          <w:sz w:val="18"/>
          <w:szCs w:val="18"/>
        </w:rPr>
        <w:t xml:space="preserve">De partijen zullen het wederzijds begrip en de kennis van hun respectieve culturen versterken, met inachtneming van diversiteit, universele waarden en mensenrechten, onder meer via bevordering van interculturele dialoog. </w:t>
      </w:r>
      <w:r w:rsidRPr="000D308F" w:rsidR="000B3DDE">
        <w:rPr>
          <w:rFonts w:ascii="Verdana" w:hAnsi="Verdana"/>
          <w:sz w:val="18"/>
          <w:szCs w:val="18"/>
        </w:rPr>
        <w:t xml:space="preserve">Daarnaast </w:t>
      </w:r>
      <w:r w:rsidRPr="000D308F" w:rsidR="00347009">
        <w:rPr>
          <w:rFonts w:ascii="Verdana" w:hAnsi="Verdana"/>
          <w:sz w:val="18"/>
          <w:szCs w:val="18"/>
        </w:rPr>
        <w:t xml:space="preserve">erkennen de partijen dat cultuur een cruciale rol speelt bij het bewaren van vrede en nationale cohesie. Zij zullen daartoe de rol van cultuur bij het bereiken van duurzaam herstel en duurzame wederopbouw na crises serieus nemen. </w:t>
      </w:r>
      <w:r w:rsidRPr="000D308F" w:rsidR="000B3DDE">
        <w:rPr>
          <w:rFonts w:ascii="Verdana" w:hAnsi="Verdana"/>
          <w:sz w:val="18"/>
          <w:szCs w:val="18"/>
        </w:rPr>
        <w:t xml:space="preserve">Verder </w:t>
      </w:r>
      <w:r w:rsidRPr="000D308F" w:rsidR="0001640E">
        <w:rPr>
          <w:rFonts w:ascii="Verdana" w:hAnsi="Verdana"/>
          <w:sz w:val="18"/>
          <w:szCs w:val="18"/>
        </w:rPr>
        <w:t>streven de partijen ernaar materiaal en immaterieel cultureel erfgoed te beschermen, in overeenstemming met internationale normen en verdragen. Daarnaast zullen ze cultureel ondernemerschap ondersteunen en maatregelen nemen om de illegale invoer, uitvoer en overdracht van eigendom van cultuurgoederen te voorkomen (artikel 39).</w:t>
      </w:r>
    </w:p>
    <w:p w:rsidRPr="000D308F" w:rsidR="001A7F16" w:rsidP="00EC4F1D" w:rsidRDefault="001A7F16" w14:paraId="7FF37BCA" w14:textId="13A195BE">
      <w:pPr>
        <w:rPr>
          <w:rFonts w:ascii="Verdana" w:hAnsi="Verdana"/>
          <w:b/>
          <w:bCs/>
          <w:sz w:val="18"/>
          <w:szCs w:val="18"/>
        </w:rPr>
      </w:pPr>
      <w:r w:rsidRPr="000D308F">
        <w:rPr>
          <w:rFonts w:ascii="Verdana" w:hAnsi="Verdana"/>
          <w:b/>
          <w:bCs/>
          <w:sz w:val="18"/>
          <w:szCs w:val="18"/>
        </w:rPr>
        <w:t>Titel IV – Inclusieve duurzame economische groei en ontwikkeling</w:t>
      </w:r>
      <w:r w:rsidRPr="000D308F" w:rsidR="00A8713D">
        <w:rPr>
          <w:rFonts w:ascii="Verdana" w:hAnsi="Verdana"/>
          <w:b/>
          <w:bCs/>
          <w:sz w:val="18"/>
          <w:szCs w:val="18"/>
        </w:rPr>
        <w:t xml:space="preserve"> (artikelen 40 t/m 53)</w:t>
      </w:r>
    </w:p>
    <w:p w:rsidRPr="000D308F" w:rsidR="00A8713D" w:rsidP="00EC4F1D" w:rsidRDefault="006D5F9E" w14:paraId="38FA46D5" w14:textId="2BB9972A">
      <w:pPr>
        <w:rPr>
          <w:rFonts w:ascii="Verdana" w:hAnsi="Verdana"/>
          <w:sz w:val="18"/>
          <w:szCs w:val="18"/>
        </w:rPr>
      </w:pPr>
      <w:r w:rsidRPr="000D308F">
        <w:rPr>
          <w:rFonts w:ascii="Verdana" w:hAnsi="Verdana"/>
          <w:sz w:val="18"/>
          <w:szCs w:val="18"/>
        </w:rPr>
        <w:t>In artikel</w:t>
      </w:r>
      <w:r w:rsidRPr="000D308F" w:rsidR="00882841">
        <w:rPr>
          <w:rFonts w:ascii="Verdana" w:hAnsi="Verdana"/>
          <w:sz w:val="18"/>
          <w:szCs w:val="18"/>
        </w:rPr>
        <w:t>en</w:t>
      </w:r>
      <w:r w:rsidRPr="000D308F">
        <w:rPr>
          <w:rFonts w:ascii="Verdana" w:hAnsi="Verdana"/>
          <w:sz w:val="18"/>
          <w:szCs w:val="18"/>
        </w:rPr>
        <w:t xml:space="preserve"> 40 tot en met 53 wordt beschreven hoe de partijen zullen streven naar inclusieve duurzame economische groei en ontwikkeling, rekening houdend met hun respectieve ontwikkelingsniveaus. Zo zullen </w:t>
      </w:r>
      <w:r w:rsidRPr="000D308F" w:rsidR="00882841">
        <w:rPr>
          <w:rFonts w:ascii="Verdana" w:hAnsi="Verdana"/>
          <w:sz w:val="18"/>
          <w:szCs w:val="18"/>
        </w:rPr>
        <w:t xml:space="preserve">de </w:t>
      </w:r>
      <w:r w:rsidRPr="000D308F">
        <w:rPr>
          <w:rFonts w:ascii="Verdana" w:hAnsi="Verdana"/>
          <w:sz w:val="18"/>
          <w:szCs w:val="18"/>
        </w:rPr>
        <w:t>partijen maatregelen nemen om fatsoenlijke banen voor iedereen te creëren, de overgang naar emissiearme en hulpbron efficiënte economieën te ondersteunen en de sociaaleconomische emancipatie van gemarginaliseerde groepen, vrouwen en jongeren te ondersteunen</w:t>
      </w:r>
      <w:r w:rsidRPr="000D308F" w:rsidR="00B34EB4">
        <w:rPr>
          <w:rFonts w:ascii="Verdana" w:hAnsi="Verdana"/>
          <w:sz w:val="18"/>
          <w:szCs w:val="18"/>
        </w:rPr>
        <w:t>.</w:t>
      </w:r>
      <w:r w:rsidRPr="000D308F">
        <w:rPr>
          <w:rFonts w:ascii="Verdana" w:hAnsi="Verdana"/>
          <w:sz w:val="18"/>
          <w:szCs w:val="18"/>
        </w:rPr>
        <w:t xml:space="preserve"> Ook ondersteunen de partijen de ontwikkeling van de private sector, versterken de partijen hun handel, werken ze samen op het gebied van wetenschap, technologie, en innovatie en onderzoek</w:t>
      </w:r>
      <w:r w:rsidRPr="000D308F" w:rsidR="00732E14">
        <w:rPr>
          <w:rFonts w:ascii="Verdana" w:hAnsi="Verdana"/>
          <w:sz w:val="18"/>
          <w:szCs w:val="18"/>
        </w:rPr>
        <w:t xml:space="preserve"> en verbeteren ze de productie- en regelgevingscapaciteit. </w:t>
      </w:r>
      <w:r w:rsidRPr="000D308F" w:rsidR="00B34EB4">
        <w:rPr>
          <w:rFonts w:ascii="Verdana" w:hAnsi="Verdana"/>
          <w:sz w:val="18"/>
          <w:szCs w:val="18"/>
        </w:rPr>
        <w:t>De partijen spreken af de dialoog tussen de overheid en de private sector te bevorderen en zorgen voor eerbiediging en bescherming van mensenrechten en fundamentele arbeidsnormen</w:t>
      </w:r>
      <w:r w:rsidRPr="000D308F">
        <w:rPr>
          <w:rFonts w:ascii="Verdana" w:hAnsi="Verdana"/>
          <w:sz w:val="18"/>
          <w:szCs w:val="18"/>
        </w:rPr>
        <w:t xml:space="preserve"> </w:t>
      </w:r>
      <w:r w:rsidRPr="000D308F" w:rsidR="00B34EB4">
        <w:rPr>
          <w:rFonts w:ascii="Verdana" w:hAnsi="Verdana"/>
          <w:sz w:val="18"/>
          <w:szCs w:val="18"/>
        </w:rPr>
        <w:t>(artikel 40).</w:t>
      </w:r>
    </w:p>
    <w:p w:rsidRPr="000D308F" w:rsidR="0086764D" w:rsidP="00EC4F1D" w:rsidRDefault="0086764D" w14:paraId="2399C6BA" w14:textId="6033A77B">
      <w:pPr>
        <w:rPr>
          <w:rFonts w:ascii="Verdana" w:hAnsi="Verdana"/>
          <w:i/>
          <w:iCs/>
          <w:sz w:val="18"/>
          <w:szCs w:val="18"/>
        </w:rPr>
      </w:pPr>
      <w:r w:rsidRPr="000D308F">
        <w:rPr>
          <w:rFonts w:ascii="Verdana" w:hAnsi="Verdana"/>
          <w:i/>
          <w:iCs/>
          <w:sz w:val="18"/>
          <w:szCs w:val="18"/>
        </w:rPr>
        <w:t xml:space="preserve">Hoofdstuk 1 – Investeringen </w:t>
      </w:r>
    </w:p>
    <w:p w:rsidRPr="000D308F" w:rsidR="0086764D" w:rsidP="00EC4F1D" w:rsidRDefault="0086764D" w14:paraId="38AD0AE7" w14:textId="2A1DB216">
      <w:pPr>
        <w:rPr>
          <w:rFonts w:ascii="Verdana" w:hAnsi="Verdana"/>
          <w:sz w:val="18"/>
          <w:szCs w:val="18"/>
        </w:rPr>
      </w:pPr>
      <w:r w:rsidRPr="000D308F">
        <w:rPr>
          <w:rFonts w:ascii="Verdana" w:hAnsi="Verdana"/>
          <w:sz w:val="18"/>
          <w:szCs w:val="18"/>
        </w:rPr>
        <w:t xml:space="preserve">Artikel 41 en 42 beschrijven hoe de partijen duurzame en verantwoorde investeringen zullen mobiliseren, en dergelijke investeringen zullen bevorderen en beschermen. </w:t>
      </w:r>
      <w:r w:rsidRPr="000D308F" w:rsidR="007403A3">
        <w:rPr>
          <w:rFonts w:ascii="Verdana" w:hAnsi="Verdana"/>
          <w:sz w:val="18"/>
          <w:szCs w:val="18"/>
        </w:rPr>
        <w:t xml:space="preserve">Daartoe zullen ze een gunstig investeringsklimaat scheppen, onder meer via de nodige economische en institutionele hervormingen en beleidsmaatregelen en de vaststelling van gezonde financiële systemen. Daarbij wordt specifiek ingezet op het vergroten van toegang tot financiering door middel van technische bijstand, subsidies, garanties en innovatieve financiële instrumenten. Ook houden ze rekening met de noodzaak om tekortkomingen van de markt te verhelpen, eventueel via additionele </w:t>
      </w:r>
      <w:r w:rsidRPr="000D308F" w:rsidR="007403A3">
        <w:rPr>
          <w:rFonts w:ascii="Verdana" w:hAnsi="Verdana"/>
          <w:sz w:val="18"/>
          <w:szCs w:val="18"/>
        </w:rPr>
        <w:lastRenderedPageBreak/>
        <w:t xml:space="preserve">investeringen. De partijen komen overeen het regelgevingsklimaat en de kwaliteit en beschikbaarheid van financiële en niet-financiële diensten te verbeteren. </w:t>
      </w:r>
      <w:r w:rsidRPr="000D308F" w:rsidR="00F3035F">
        <w:rPr>
          <w:rFonts w:ascii="Verdana" w:hAnsi="Verdana"/>
          <w:sz w:val="18"/>
          <w:szCs w:val="18"/>
        </w:rPr>
        <w:t xml:space="preserve">De partijen spreken tevens af praktijken op het gebied van maatschappelijk verantwoord ondernemerschap en verantwoorde bedrijfsvoering te bevorderen. </w:t>
      </w:r>
      <w:r w:rsidRPr="000D308F" w:rsidR="00C048EC">
        <w:rPr>
          <w:rFonts w:ascii="Verdana" w:hAnsi="Verdana"/>
          <w:sz w:val="18"/>
          <w:szCs w:val="18"/>
        </w:rPr>
        <w:t xml:space="preserve">In artikel 42 wordt uiteengezet dat partijen investeringen zullen bevorderen door middel van wetgeving en beleidsmaatregelen die regelgevende en administratieve belemmeringen verminderen, transparantie vergroten en schadelijke concurrentie voorkomen. </w:t>
      </w:r>
      <w:r w:rsidRPr="000D308F" w:rsidR="003056D0">
        <w:rPr>
          <w:rFonts w:ascii="Verdana" w:hAnsi="Verdana"/>
          <w:sz w:val="18"/>
          <w:szCs w:val="18"/>
        </w:rPr>
        <w:t xml:space="preserve">Verder </w:t>
      </w:r>
      <w:r w:rsidRPr="000D308F" w:rsidR="00C048EC">
        <w:rPr>
          <w:rFonts w:ascii="Verdana" w:hAnsi="Verdana"/>
          <w:sz w:val="18"/>
          <w:szCs w:val="18"/>
        </w:rPr>
        <w:t>zullen de partijen samenwerken o</w:t>
      </w:r>
      <w:r w:rsidRPr="000D308F" w:rsidR="00C93C3B">
        <w:rPr>
          <w:rFonts w:ascii="Verdana" w:hAnsi="Verdana"/>
          <w:sz w:val="18"/>
          <w:szCs w:val="18"/>
        </w:rPr>
        <w:t>m</w:t>
      </w:r>
      <w:r w:rsidRPr="000D308F" w:rsidR="00C048EC">
        <w:rPr>
          <w:rFonts w:ascii="Verdana" w:hAnsi="Verdana"/>
          <w:sz w:val="18"/>
          <w:szCs w:val="18"/>
        </w:rPr>
        <w:t xml:space="preserve"> de toepassing van digitale instrumenten </w:t>
      </w:r>
      <w:r w:rsidRPr="000D308F" w:rsidR="00C93C3B">
        <w:rPr>
          <w:rFonts w:ascii="Verdana" w:hAnsi="Verdana"/>
          <w:sz w:val="18"/>
          <w:szCs w:val="18"/>
        </w:rPr>
        <w:t>voor het faciliteren van investeringen te bevorderen</w:t>
      </w:r>
      <w:r w:rsidRPr="000D308F" w:rsidR="000B3DDE">
        <w:rPr>
          <w:rFonts w:ascii="Verdana" w:hAnsi="Verdana"/>
          <w:sz w:val="18"/>
          <w:szCs w:val="18"/>
        </w:rPr>
        <w:t xml:space="preserve">, en </w:t>
      </w:r>
      <w:r w:rsidRPr="000D308F" w:rsidR="00CC6B7D">
        <w:rPr>
          <w:rFonts w:ascii="Verdana" w:hAnsi="Verdana"/>
          <w:sz w:val="18"/>
          <w:szCs w:val="18"/>
        </w:rPr>
        <w:t xml:space="preserve">spreken de partijen af zich in te zetten voor rechtszekerheid en adequate bescherming voor gedane investeringen. </w:t>
      </w:r>
      <w:r w:rsidRPr="000D308F" w:rsidR="00C17A07">
        <w:rPr>
          <w:rFonts w:ascii="Verdana" w:hAnsi="Verdana"/>
          <w:sz w:val="18"/>
          <w:szCs w:val="18"/>
        </w:rPr>
        <w:t xml:space="preserve">In dat verband bevestigen zij het belang om internationale investeringsovereenkomsten te sluiten. </w:t>
      </w:r>
      <w:r w:rsidRPr="000D308F" w:rsidR="000B3DDE">
        <w:rPr>
          <w:rFonts w:ascii="Verdana" w:hAnsi="Verdana"/>
          <w:sz w:val="18"/>
          <w:szCs w:val="18"/>
        </w:rPr>
        <w:t xml:space="preserve">Tot slot </w:t>
      </w:r>
      <w:r w:rsidRPr="000D308F" w:rsidR="009870B4">
        <w:rPr>
          <w:rFonts w:ascii="Verdana" w:hAnsi="Verdana"/>
          <w:sz w:val="18"/>
          <w:szCs w:val="18"/>
        </w:rPr>
        <w:t xml:space="preserve">versterken de partijen de capaciteit van openbare en private instellingen om investeringen te bevorderen en </w:t>
      </w:r>
      <w:proofErr w:type="spellStart"/>
      <w:r w:rsidRPr="000D308F" w:rsidR="009870B4">
        <w:rPr>
          <w:rFonts w:ascii="Verdana" w:hAnsi="Verdana"/>
          <w:sz w:val="18"/>
          <w:szCs w:val="18"/>
        </w:rPr>
        <w:t>investeringsgerelateerde</w:t>
      </w:r>
      <w:proofErr w:type="spellEnd"/>
      <w:r w:rsidRPr="000D308F" w:rsidR="009870B4">
        <w:rPr>
          <w:rFonts w:ascii="Verdana" w:hAnsi="Verdana"/>
          <w:sz w:val="18"/>
          <w:szCs w:val="18"/>
        </w:rPr>
        <w:t xml:space="preserve"> geschillen te kunnen behandelen. </w:t>
      </w:r>
    </w:p>
    <w:p w:rsidRPr="000D308F" w:rsidR="003A07E5" w:rsidP="00EC4F1D" w:rsidRDefault="003A07E5" w14:paraId="2250BE5F" w14:textId="6F0417BE">
      <w:pPr>
        <w:rPr>
          <w:rFonts w:ascii="Verdana" w:hAnsi="Verdana"/>
          <w:i/>
          <w:iCs/>
          <w:sz w:val="18"/>
          <w:szCs w:val="18"/>
        </w:rPr>
      </w:pPr>
      <w:r w:rsidRPr="000D308F">
        <w:rPr>
          <w:rFonts w:ascii="Verdana" w:hAnsi="Verdana"/>
          <w:i/>
          <w:iCs/>
          <w:sz w:val="18"/>
          <w:szCs w:val="18"/>
        </w:rPr>
        <w:t xml:space="preserve">Hoofdstuk 2 – Economische groei, diversificatie en industrialisering </w:t>
      </w:r>
    </w:p>
    <w:p w:rsidRPr="000D308F" w:rsidR="003A07E5" w:rsidP="00EC4F1D" w:rsidRDefault="003A07E5" w14:paraId="0B0FB62F" w14:textId="530FE3FF">
      <w:pPr>
        <w:rPr>
          <w:rFonts w:ascii="Verdana" w:hAnsi="Verdana"/>
          <w:sz w:val="18"/>
          <w:szCs w:val="18"/>
        </w:rPr>
      </w:pPr>
      <w:r w:rsidRPr="000D308F">
        <w:rPr>
          <w:rFonts w:ascii="Verdana" w:hAnsi="Verdana"/>
          <w:sz w:val="18"/>
          <w:szCs w:val="18"/>
        </w:rPr>
        <w:t>Artikelen 43 tot en met 45 gaan</w:t>
      </w:r>
      <w:r w:rsidRPr="000D308F" w:rsidR="00AB5F70">
        <w:rPr>
          <w:rFonts w:ascii="Verdana" w:hAnsi="Verdana"/>
          <w:sz w:val="18"/>
          <w:szCs w:val="18"/>
        </w:rPr>
        <w:t xml:space="preserve"> in</w:t>
      </w:r>
      <w:r w:rsidRPr="000D308F">
        <w:rPr>
          <w:rFonts w:ascii="Verdana" w:hAnsi="Verdana"/>
          <w:sz w:val="18"/>
          <w:szCs w:val="18"/>
        </w:rPr>
        <w:t xml:space="preserve"> op inclusieve en duurzame groei (</w:t>
      </w:r>
      <w:r w:rsidRPr="000D308F" w:rsidR="003151FE">
        <w:rPr>
          <w:rFonts w:ascii="Verdana" w:hAnsi="Verdana"/>
          <w:sz w:val="18"/>
          <w:szCs w:val="18"/>
        </w:rPr>
        <w:t xml:space="preserve">artikel </w:t>
      </w:r>
      <w:r w:rsidRPr="000D308F">
        <w:rPr>
          <w:rFonts w:ascii="Verdana" w:hAnsi="Verdana"/>
          <w:sz w:val="18"/>
          <w:szCs w:val="18"/>
        </w:rPr>
        <w:t>43), economische transformatie en industrialisering (</w:t>
      </w:r>
      <w:r w:rsidRPr="000D308F" w:rsidR="003151FE">
        <w:rPr>
          <w:rFonts w:ascii="Verdana" w:hAnsi="Verdana"/>
          <w:sz w:val="18"/>
          <w:szCs w:val="18"/>
        </w:rPr>
        <w:t xml:space="preserve">artikel </w:t>
      </w:r>
      <w:r w:rsidRPr="000D308F">
        <w:rPr>
          <w:rFonts w:ascii="Verdana" w:hAnsi="Verdana"/>
          <w:sz w:val="18"/>
          <w:szCs w:val="18"/>
        </w:rPr>
        <w:t>44), en de ontwikkeling van de private sector (</w:t>
      </w:r>
      <w:r w:rsidRPr="000D308F" w:rsidR="003151FE">
        <w:rPr>
          <w:rFonts w:ascii="Verdana" w:hAnsi="Verdana"/>
          <w:sz w:val="18"/>
          <w:szCs w:val="18"/>
        </w:rPr>
        <w:t xml:space="preserve">artikel </w:t>
      </w:r>
      <w:r w:rsidRPr="000D308F">
        <w:rPr>
          <w:rFonts w:ascii="Verdana" w:hAnsi="Verdana"/>
          <w:sz w:val="18"/>
          <w:szCs w:val="18"/>
        </w:rPr>
        <w:t xml:space="preserve">45). </w:t>
      </w:r>
      <w:r w:rsidRPr="000D308F" w:rsidR="00676EE0">
        <w:rPr>
          <w:rFonts w:ascii="Verdana" w:hAnsi="Verdana"/>
          <w:sz w:val="18"/>
          <w:szCs w:val="18"/>
        </w:rPr>
        <w:t xml:space="preserve">De partijen komen in artikel 43 overeen zich in te zetten voor werkgelegenheid en waardig werk voor iedereen. Zij besteden daarin bijzondere aandacht aan lokale micro-, kleine en middelgrote ondernemingen en het formaliseren van de informele economie. </w:t>
      </w:r>
      <w:r w:rsidRPr="000D308F" w:rsidR="000B3DDE">
        <w:rPr>
          <w:rFonts w:ascii="Verdana" w:hAnsi="Verdana"/>
          <w:sz w:val="18"/>
          <w:szCs w:val="18"/>
        </w:rPr>
        <w:t>De</w:t>
      </w:r>
      <w:r w:rsidRPr="000D308F" w:rsidR="00676EE0">
        <w:rPr>
          <w:rFonts w:ascii="Verdana" w:hAnsi="Verdana"/>
          <w:sz w:val="18"/>
          <w:szCs w:val="18"/>
        </w:rPr>
        <w:t xml:space="preserve"> partijen </w:t>
      </w:r>
      <w:r w:rsidRPr="000D308F" w:rsidR="000B3DDE">
        <w:rPr>
          <w:rFonts w:ascii="Verdana" w:hAnsi="Verdana"/>
          <w:sz w:val="18"/>
          <w:szCs w:val="18"/>
        </w:rPr>
        <w:t xml:space="preserve">zetten </w:t>
      </w:r>
      <w:r w:rsidRPr="000D308F" w:rsidR="00676EE0">
        <w:rPr>
          <w:rFonts w:ascii="Verdana" w:hAnsi="Verdana"/>
          <w:sz w:val="18"/>
          <w:szCs w:val="18"/>
        </w:rPr>
        <w:t>zich in voor de overgang naar een emissiearme en hulpbronefficiënte economie, inclusief goed beheer van verstedelijking. Ook zullen de partijen de sociale inclusie en emancipatie van met name vrouwen, jongeren en de meest kwetsbare groepen ondersteunen, onder meer via de eerbiediging van de IAO arbeids- en sociale normen</w:t>
      </w:r>
      <w:r w:rsidRPr="000D308F" w:rsidR="009F0084">
        <w:rPr>
          <w:rFonts w:ascii="Verdana" w:hAnsi="Verdana"/>
          <w:sz w:val="18"/>
          <w:szCs w:val="18"/>
        </w:rPr>
        <w:t xml:space="preserve"> en met inachtneming van de mogelijkheden tot een eerlijke rechtsgang. </w:t>
      </w:r>
      <w:r w:rsidRPr="000D308F" w:rsidR="00F25A7D">
        <w:rPr>
          <w:rFonts w:ascii="Verdana" w:hAnsi="Verdana"/>
          <w:sz w:val="18"/>
          <w:szCs w:val="18"/>
        </w:rPr>
        <w:t>In artikel 44 wordt beschreven hoe wordt ingezet op economische transformatie, waaronder industrialisering. Daarbij is onder meer aandacht voor diversificatie, het verbeteren van de productiviteit en het concurrentievermogen, technologische innovatie, efficiënte kapitaalmarkten en financiële systemen, digitalisering, gezond begrotings- en monetair beleid, technisch en beroepsonderwijs en onderzoek, en efficiënte en duurzame infrastructuur.</w:t>
      </w:r>
      <w:r w:rsidRPr="000D308F" w:rsidR="00EF244C">
        <w:rPr>
          <w:rFonts w:ascii="Verdana" w:hAnsi="Verdana"/>
          <w:sz w:val="18"/>
          <w:szCs w:val="18"/>
        </w:rPr>
        <w:t xml:space="preserve"> Daarbij worden een aantal prioritaire sector benoemd: landbouw en agro-industrie, veeteelt en leder, de blauwe economie, visserij, mijnbouw en winningsindustrieën, de culturele en creatieve sector, duurzaam toerisme, duurzame energie, ICT en vervoer. </w:t>
      </w:r>
      <w:r w:rsidRPr="000D308F" w:rsidR="000B3DDE">
        <w:rPr>
          <w:rFonts w:ascii="Verdana" w:hAnsi="Verdana"/>
          <w:sz w:val="18"/>
          <w:szCs w:val="18"/>
        </w:rPr>
        <w:t xml:space="preserve">Verder </w:t>
      </w:r>
      <w:r w:rsidRPr="000D308F" w:rsidR="00EF244C">
        <w:rPr>
          <w:rFonts w:ascii="Verdana" w:hAnsi="Verdana"/>
          <w:sz w:val="18"/>
          <w:szCs w:val="18"/>
        </w:rPr>
        <w:t xml:space="preserve">wordt afgesproken regelmatig ervaringen uit te wisselen over praktijken in de landbouwsector. </w:t>
      </w:r>
      <w:r w:rsidRPr="000D308F" w:rsidR="00956BCE">
        <w:rPr>
          <w:rFonts w:ascii="Verdana" w:hAnsi="Verdana"/>
          <w:sz w:val="18"/>
          <w:szCs w:val="18"/>
        </w:rPr>
        <w:t>In artikel 45 komen de partijen overeen in te zetten op het vergroten van ondernemerschap en concurrentievermogen van ondernemingen, met bijzondere aandacht voor micro-, kleine en middelgrote ondernemingen, de informele sector en de positie van jongeren en vrouwen. Dit wordt onder meer bereikt door regelmatige dialoog tussen de openbare en private sector</w:t>
      </w:r>
      <w:r w:rsidRPr="000D308F" w:rsidR="008257F3">
        <w:rPr>
          <w:rFonts w:ascii="Verdana" w:hAnsi="Verdana"/>
          <w:sz w:val="18"/>
          <w:szCs w:val="18"/>
        </w:rPr>
        <w:t>, maatregelen ten behoeve van</w:t>
      </w:r>
      <w:r w:rsidRPr="000D308F" w:rsidR="00956BCE">
        <w:rPr>
          <w:rFonts w:ascii="Verdana" w:hAnsi="Verdana"/>
          <w:sz w:val="18"/>
          <w:szCs w:val="18"/>
        </w:rPr>
        <w:t xml:space="preserve"> financiële inclusie</w:t>
      </w:r>
      <w:r w:rsidRPr="000D308F" w:rsidR="008257F3">
        <w:rPr>
          <w:rFonts w:ascii="Verdana" w:hAnsi="Verdana"/>
          <w:sz w:val="18"/>
          <w:szCs w:val="18"/>
        </w:rPr>
        <w:t xml:space="preserve"> en de inzet van publiek-private partnerschappen</w:t>
      </w:r>
      <w:r w:rsidRPr="000D308F" w:rsidR="00956BCE">
        <w:rPr>
          <w:rFonts w:ascii="Verdana" w:hAnsi="Verdana"/>
          <w:sz w:val="18"/>
          <w:szCs w:val="18"/>
        </w:rPr>
        <w:t xml:space="preserve">. </w:t>
      </w:r>
    </w:p>
    <w:p w:rsidRPr="000D308F" w:rsidR="00735D47" w:rsidP="00EC4F1D" w:rsidRDefault="00735D47" w14:paraId="11E1A6B9" w14:textId="5E8AE6D2">
      <w:pPr>
        <w:rPr>
          <w:rFonts w:ascii="Verdana" w:hAnsi="Verdana"/>
          <w:i/>
          <w:iCs/>
          <w:sz w:val="18"/>
          <w:szCs w:val="18"/>
        </w:rPr>
      </w:pPr>
      <w:r w:rsidRPr="000D308F">
        <w:rPr>
          <w:rFonts w:ascii="Verdana" w:hAnsi="Verdana"/>
          <w:i/>
          <w:iCs/>
          <w:sz w:val="18"/>
          <w:szCs w:val="18"/>
        </w:rPr>
        <w:t>Hoofdstuk 3 – Wetenschap, technologie, innovatie en onderzoek</w:t>
      </w:r>
    </w:p>
    <w:p w:rsidRPr="000D308F" w:rsidR="00735D47" w:rsidP="00EC4F1D" w:rsidRDefault="00457BFE" w14:paraId="11C5DEDC" w14:textId="7F524A68">
      <w:pPr>
        <w:rPr>
          <w:rFonts w:ascii="Verdana" w:hAnsi="Verdana"/>
          <w:sz w:val="18"/>
          <w:szCs w:val="18"/>
        </w:rPr>
      </w:pPr>
      <w:r w:rsidRPr="000D308F">
        <w:rPr>
          <w:rFonts w:ascii="Verdana" w:hAnsi="Verdana"/>
          <w:sz w:val="18"/>
          <w:szCs w:val="18"/>
        </w:rPr>
        <w:t xml:space="preserve">Artikelen 46 tot en met 48 gaan achtereenvolgens in op wetenschap, technologie en innovatie, onderzoek en ontwikkeling, en ICT en de digitale economie. </w:t>
      </w:r>
      <w:r w:rsidRPr="000D308F" w:rsidR="00B1203C">
        <w:rPr>
          <w:rFonts w:ascii="Verdana" w:hAnsi="Verdana"/>
          <w:sz w:val="18"/>
          <w:szCs w:val="18"/>
        </w:rPr>
        <w:t>De partijen erkennen de rol van wetenschap, technologie en innovatie voor kennisuitbreiding en duurzame ontwikkeling (artikel 46). Ze werken toe naar de ontwikkeling van kennismaatschappijen. Ze verkennen nieuwe financieringsmogelijkheden, mits de intellectuele-eigendomsrechten op passende wijze worden beschermd, en bevorderen inheemse, traditionele en lokale kennis. De partijen stimuleren investeringen in nieuwe (schone) technologieën en hernieuwbare energie</w:t>
      </w:r>
      <w:r w:rsidRPr="000D308F" w:rsidR="000B3DDE">
        <w:rPr>
          <w:rFonts w:ascii="Verdana" w:hAnsi="Verdana"/>
          <w:sz w:val="18"/>
          <w:szCs w:val="18"/>
        </w:rPr>
        <w:t>, en</w:t>
      </w:r>
      <w:r w:rsidRPr="000D308F" w:rsidR="00B1203C">
        <w:rPr>
          <w:rFonts w:ascii="Verdana" w:hAnsi="Verdana"/>
          <w:sz w:val="18"/>
          <w:szCs w:val="18"/>
        </w:rPr>
        <w:t xml:space="preserve"> waarborgen cyberbeveiliging en bescherming van persoonsgegevens. De effecten van disruptieve technologie, waaronder kunstmatige intelligentie, worden tevens in acht genomen. </w:t>
      </w:r>
      <w:r w:rsidRPr="000D308F" w:rsidR="00592233">
        <w:rPr>
          <w:rFonts w:ascii="Verdana" w:hAnsi="Verdana"/>
          <w:sz w:val="18"/>
          <w:szCs w:val="18"/>
        </w:rPr>
        <w:t xml:space="preserve">Ook spreken de partijen af samen te werken in civiele ruimteactiviteiten. </w:t>
      </w:r>
      <w:r w:rsidRPr="000D308F" w:rsidR="00215374">
        <w:rPr>
          <w:rFonts w:ascii="Verdana" w:hAnsi="Verdana"/>
          <w:sz w:val="18"/>
          <w:szCs w:val="18"/>
        </w:rPr>
        <w:t xml:space="preserve">In artikel 47 wordt het belang van onderzoek en ontwikkeling beschreven. Daartoe spreken partijen af in te zetten op kennisoverdracht, en partnerschappen tussen bedrijfsleven, de academische wereld en de publieke- en private sector met </w:t>
      </w:r>
      <w:r w:rsidRPr="000D308F" w:rsidR="00F64052">
        <w:rPr>
          <w:rFonts w:ascii="Verdana" w:hAnsi="Verdana"/>
          <w:sz w:val="18"/>
          <w:szCs w:val="18"/>
        </w:rPr>
        <w:t>als</w:t>
      </w:r>
      <w:r w:rsidRPr="000D308F" w:rsidR="000B3DDE">
        <w:rPr>
          <w:rFonts w:ascii="Verdana" w:hAnsi="Verdana"/>
          <w:sz w:val="18"/>
          <w:szCs w:val="18"/>
        </w:rPr>
        <w:t xml:space="preserve"> </w:t>
      </w:r>
      <w:r w:rsidRPr="000D308F" w:rsidR="00215374">
        <w:rPr>
          <w:rFonts w:ascii="Verdana" w:hAnsi="Verdana"/>
          <w:sz w:val="18"/>
          <w:szCs w:val="18"/>
        </w:rPr>
        <w:t xml:space="preserve">doel gemeenschappelijke uitdagingen gezamenlijk aan te pakken. </w:t>
      </w:r>
      <w:r w:rsidRPr="000D308F" w:rsidR="00A21E02">
        <w:rPr>
          <w:rFonts w:ascii="Verdana" w:hAnsi="Verdana"/>
          <w:sz w:val="18"/>
          <w:szCs w:val="18"/>
        </w:rPr>
        <w:t xml:space="preserve">Artikel 48 onderschrijft de intentie om de digitale kloof te verkleinen, bijvoorbeeld door toegang tot ICT, e-handel en e-banking, en digitalisering te bevorderen. </w:t>
      </w:r>
    </w:p>
    <w:p w:rsidRPr="000D308F" w:rsidR="007175EB" w:rsidP="00EC4F1D" w:rsidRDefault="001971CD" w14:paraId="4EFF49D9" w14:textId="4F45F12A">
      <w:pPr>
        <w:rPr>
          <w:rFonts w:ascii="Verdana" w:hAnsi="Verdana"/>
          <w:i/>
          <w:iCs/>
          <w:sz w:val="18"/>
          <w:szCs w:val="18"/>
        </w:rPr>
      </w:pPr>
      <w:r w:rsidRPr="000D308F">
        <w:rPr>
          <w:rFonts w:ascii="Verdana" w:hAnsi="Verdana"/>
          <w:i/>
          <w:iCs/>
          <w:sz w:val="18"/>
          <w:szCs w:val="18"/>
        </w:rPr>
        <w:t xml:space="preserve">Hoofdstuk 4 – Handelssamenwerking </w:t>
      </w:r>
    </w:p>
    <w:p w:rsidRPr="000D308F" w:rsidR="00681FF6" w:rsidP="00EC4F1D" w:rsidRDefault="001971CD" w14:paraId="70A5926E" w14:textId="5982A9C8">
      <w:pPr>
        <w:rPr>
          <w:rFonts w:ascii="Verdana" w:hAnsi="Verdana"/>
          <w:sz w:val="18"/>
          <w:szCs w:val="18"/>
        </w:rPr>
      </w:pPr>
      <w:r w:rsidRPr="000D308F">
        <w:rPr>
          <w:rFonts w:ascii="Verdana" w:hAnsi="Verdana"/>
          <w:sz w:val="18"/>
          <w:szCs w:val="18"/>
        </w:rPr>
        <w:t xml:space="preserve">Artikelen 49 tot en met 53 gaan in op de handelssamenwerking tussen de EU en de ACS-leden. </w:t>
      </w:r>
      <w:r w:rsidRPr="000D308F" w:rsidR="00376959">
        <w:rPr>
          <w:rFonts w:ascii="Verdana" w:hAnsi="Verdana"/>
          <w:sz w:val="18"/>
          <w:szCs w:val="18"/>
        </w:rPr>
        <w:t xml:space="preserve">Artikel 49 stipuleert dat sociale en economische ontwikkeling en milieubescherming onderling </w:t>
      </w:r>
      <w:r w:rsidRPr="000D308F" w:rsidR="00376959">
        <w:rPr>
          <w:rFonts w:ascii="Verdana" w:hAnsi="Verdana"/>
          <w:sz w:val="18"/>
          <w:szCs w:val="18"/>
        </w:rPr>
        <w:lastRenderedPageBreak/>
        <w:t xml:space="preserve">afhankelijk zijn en elkaar versterken. </w:t>
      </w:r>
      <w:r w:rsidRPr="000D308F" w:rsidR="005256AC">
        <w:rPr>
          <w:rFonts w:ascii="Verdana" w:hAnsi="Verdana"/>
          <w:sz w:val="18"/>
          <w:szCs w:val="18"/>
        </w:rPr>
        <w:t xml:space="preserve">Partijen </w:t>
      </w:r>
      <w:r w:rsidRPr="000D308F" w:rsidR="00376959">
        <w:rPr>
          <w:rFonts w:ascii="Verdana" w:hAnsi="Verdana"/>
          <w:sz w:val="18"/>
          <w:szCs w:val="18"/>
        </w:rPr>
        <w:t>herbevestig</w:t>
      </w:r>
      <w:r w:rsidRPr="000D308F" w:rsidR="005256AC">
        <w:rPr>
          <w:rFonts w:ascii="Verdana" w:hAnsi="Verdana"/>
          <w:sz w:val="18"/>
          <w:szCs w:val="18"/>
        </w:rPr>
        <w:t>en</w:t>
      </w:r>
      <w:r w:rsidRPr="000D308F" w:rsidR="00376959">
        <w:rPr>
          <w:rFonts w:ascii="Verdana" w:hAnsi="Verdana"/>
          <w:sz w:val="18"/>
          <w:szCs w:val="18"/>
        </w:rPr>
        <w:t xml:space="preserve"> de inzet</w:t>
      </w:r>
      <w:r w:rsidRPr="000D308F" w:rsidDel="005256AC" w:rsidR="00376959">
        <w:rPr>
          <w:rFonts w:ascii="Verdana" w:hAnsi="Verdana"/>
          <w:sz w:val="18"/>
          <w:szCs w:val="18"/>
        </w:rPr>
        <w:t xml:space="preserve"> </w:t>
      </w:r>
      <w:r w:rsidRPr="000D308F" w:rsidR="00376959">
        <w:rPr>
          <w:rFonts w:ascii="Verdana" w:hAnsi="Verdana"/>
          <w:sz w:val="18"/>
          <w:szCs w:val="18"/>
        </w:rPr>
        <w:t xml:space="preserve">om de integratie van duurzame ontwikkelingen in hun handelsbetrekkingen te versterken om duurzame groei te versterken en de mondiale </w:t>
      </w:r>
      <w:r w:rsidRPr="000D308F" w:rsidR="00120747">
        <w:rPr>
          <w:rFonts w:ascii="Verdana" w:hAnsi="Verdana"/>
          <w:sz w:val="18"/>
          <w:szCs w:val="18"/>
        </w:rPr>
        <w:t>SDG-doelen</w:t>
      </w:r>
      <w:r w:rsidRPr="000D308F" w:rsidR="00376959">
        <w:rPr>
          <w:rFonts w:ascii="Verdana" w:hAnsi="Verdana"/>
          <w:sz w:val="18"/>
          <w:szCs w:val="18"/>
        </w:rPr>
        <w:t xml:space="preserve"> te verwezenlijken. In artikel 50 </w:t>
      </w:r>
      <w:r w:rsidRPr="000D308F" w:rsidR="00F106A3">
        <w:rPr>
          <w:rFonts w:ascii="Verdana" w:hAnsi="Verdana"/>
          <w:sz w:val="18"/>
          <w:szCs w:val="18"/>
        </w:rPr>
        <w:t xml:space="preserve">bouwen de partijen voort op de verwezenlijking van </w:t>
      </w:r>
      <w:r w:rsidRPr="000D308F" w:rsidR="000113B8">
        <w:rPr>
          <w:rFonts w:ascii="Verdana" w:hAnsi="Verdana"/>
          <w:sz w:val="18"/>
          <w:szCs w:val="18"/>
        </w:rPr>
        <w:t>de Cotonou-overeenkomst</w:t>
      </w:r>
      <w:r w:rsidRPr="000D308F" w:rsidR="00F106A3">
        <w:rPr>
          <w:rFonts w:ascii="Verdana" w:hAnsi="Verdana"/>
          <w:sz w:val="18"/>
          <w:szCs w:val="18"/>
        </w:rPr>
        <w:t xml:space="preserve"> in de context van hun handelsbetrekkingen en onderstrepen het belang van handel door de af te spreken de handelsstromen te intensiveren en diversifiëren. De handelssamenwerking wordt overeengekomen in overeenstemming met het op de regels gebaseerde multilaterale handelsstelsel en afgestemd op de verplichtingen die partijen zijn aangegaan in het kader van de Wereldhandelsorganisatie (WTO).</w:t>
      </w:r>
      <w:r w:rsidRPr="000D308F" w:rsidR="00B16731">
        <w:rPr>
          <w:rFonts w:ascii="Verdana" w:hAnsi="Verdana"/>
          <w:sz w:val="18"/>
          <w:szCs w:val="18"/>
        </w:rPr>
        <w:t xml:space="preserve"> </w:t>
      </w:r>
    </w:p>
    <w:p w:rsidRPr="000D308F" w:rsidR="001971CD" w:rsidP="00EC4F1D" w:rsidRDefault="00B16731" w14:paraId="4941CA39" w14:textId="04B84BCE">
      <w:pPr>
        <w:rPr>
          <w:rFonts w:ascii="Verdana" w:hAnsi="Verdana"/>
          <w:sz w:val="18"/>
          <w:szCs w:val="18"/>
        </w:rPr>
      </w:pPr>
      <w:r w:rsidRPr="000D308F">
        <w:rPr>
          <w:rFonts w:ascii="Verdana" w:hAnsi="Verdana"/>
          <w:sz w:val="18"/>
          <w:szCs w:val="18"/>
        </w:rPr>
        <w:t>Partijen zijn het er in artikel 51 over eens dat de handel in diensten een krachtige motor is voor de groei en ontwikkeling van hun economieën en verbinden zich ertoe daarin samen te werken en de bestaande samenwerking te versterken. Daarbij wordt samengewerkt om belemmeringen voor handel in diensten aan te pakken om de markttoegang te vergemakkelijken en handel te bevorderen. Voort</w:t>
      </w:r>
      <w:r w:rsidRPr="000D308F" w:rsidR="003C5D66">
        <w:rPr>
          <w:rFonts w:ascii="Verdana" w:hAnsi="Verdana"/>
          <w:sz w:val="18"/>
          <w:szCs w:val="18"/>
        </w:rPr>
        <w:t>s</w:t>
      </w:r>
      <w:r w:rsidRPr="000D308F">
        <w:rPr>
          <w:rFonts w:ascii="Verdana" w:hAnsi="Verdana"/>
          <w:sz w:val="18"/>
          <w:szCs w:val="18"/>
        </w:rPr>
        <w:t xml:space="preserve"> erkennen partijen in artikel 52 het toenemende belang van niet-tarifaire maatregel</w:t>
      </w:r>
      <w:r w:rsidRPr="000D308F" w:rsidR="00F64052">
        <w:rPr>
          <w:rFonts w:ascii="Verdana" w:hAnsi="Verdana"/>
          <w:sz w:val="18"/>
          <w:szCs w:val="18"/>
        </w:rPr>
        <w:t>en</w:t>
      </w:r>
      <w:r w:rsidRPr="000D308F">
        <w:rPr>
          <w:rFonts w:ascii="Verdana" w:hAnsi="Verdana"/>
          <w:sz w:val="18"/>
          <w:szCs w:val="18"/>
        </w:rPr>
        <w:t xml:space="preserve"> in de handel naarmate tarifaire belemmeringen wegvallen. In </w:t>
      </w:r>
      <w:r w:rsidRPr="000D308F" w:rsidR="00681FF6">
        <w:rPr>
          <w:rFonts w:ascii="Verdana" w:hAnsi="Verdana"/>
          <w:sz w:val="18"/>
          <w:szCs w:val="18"/>
        </w:rPr>
        <w:t>dat</w:t>
      </w:r>
      <w:r w:rsidRPr="000D308F">
        <w:rPr>
          <w:rFonts w:ascii="Verdana" w:hAnsi="Verdana"/>
          <w:sz w:val="18"/>
          <w:szCs w:val="18"/>
        </w:rPr>
        <w:t xml:space="preserve"> kader </w:t>
      </w:r>
      <w:r w:rsidRPr="000D308F" w:rsidR="00681FF6">
        <w:rPr>
          <w:rFonts w:ascii="Verdana" w:hAnsi="Verdana"/>
          <w:sz w:val="18"/>
          <w:szCs w:val="18"/>
        </w:rPr>
        <w:t xml:space="preserve">erkennen partijen de noodzaak voor samenwerking om handel tussen de EU en OACPS-leden en tussen OACPS-leden onderling te vergemakkelijken. Ook spreken partijen af samen te werken op het gebied van normering en certificering van goederen, herbevestigen het recht van elk partij om sanitaire en fytosanitaire maatregelen vast te stellen of handhaven en herbevestigen het belang van, in lijn met artikel 7 van de </w:t>
      </w:r>
      <w:r w:rsidRPr="000D308F" w:rsidR="006B7552">
        <w:rPr>
          <w:rFonts w:ascii="Verdana" w:hAnsi="Verdana"/>
          <w:sz w:val="18"/>
          <w:szCs w:val="18"/>
        </w:rPr>
        <w:t>Overeenkomst tot oprichting van de Wereldhandelsorganisatie</w:t>
      </w:r>
      <w:r w:rsidRPr="000D308F" w:rsidR="006B7552">
        <w:rPr>
          <w:rStyle w:val="FootnoteReference"/>
          <w:rFonts w:ascii="Verdana" w:hAnsi="Verdana"/>
          <w:sz w:val="18"/>
          <w:szCs w:val="18"/>
        </w:rPr>
        <w:footnoteReference w:id="20"/>
      </w:r>
      <w:r w:rsidRPr="000D308F" w:rsidR="00681FF6">
        <w:rPr>
          <w:rFonts w:ascii="Verdana" w:hAnsi="Verdana"/>
          <w:sz w:val="18"/>
          <w:szCs w:val="18"/>
        </w:rPr>
        <w:t>, de bescherming en handhaving van de intellectuele-eigendomsrechten.</w:t>
      </w:r>
      <w:r w:rsidRPr="000D308F">
        <w:rPr>
          <w:rFonts w:ascii="Verdana" w:hAnsi="Verdana"/>
          <w:sz w:val="18"/>
          <w:szCs w:val="18"/>
        </w:rPr>
        <w:t xml:space="preserve"> </w:t>
      </w:r>
      <w:r w:rsidRPr="000D308F" w:rsidR="002F325F">
        <w:rPr>
          <w:rFonts w:ascii="Verdana" w:hAnsi="Verdana"/>
          <w:sz w:val="18"/>
          <w:szCs w:val="18"/>
        </w:rPr>
        <w:t>Daarnaast</w:t>
      </w:r>
      <w:r w:rsidRPr="000D308F" w:rsidDel="003C5D66" w:rsidR="002F325F">
        <w:rPr>
          <w:rFonts w:ascii="Verdana" w:hAnsi="Verdana"/>
          <w:sz w:val="18"/>
          <w:szCs w:val="18"/>
        </w:rPr>
        <w:t xml:space="preserve"> </w:t>
      </w:r>
      <w:r w:rsidRPr="000D308F" w:rsidR="002F325F">
        <w:rPr>
          <w:rFonts w:ascii="Verdana" w:hAnsi="Verdana"/>
          <w:sz w:val="18"/>
          <w:szCs w:val="18"/>
        </w:rPr>
        <w:t xml:space="preserve">spreken partijen af de samenwerking te intensiveren voor transparante internationale grondstoffenmarkten en erkennen het belang van transparante overheidsopdrachten voor economische ontwikkeling en industrialisering. </w:t>
      </w:r>
    </w:p>
    <w:p w:rsidRPr="000D308F" w:rsidR="002F325F" w:rsidP="00EC4F1D" w:rsidRDefault="002F325F" w14:paraId="5A1EC620" w14:textId="4494A9B5">
      <w:pPr>
        <w:rPr>
          <w:rFonts w:ascii="Verdana" w:hAnsi="Verdana"/>
          <w:sz w:val="18"/>
          <w:szCs w:val="18"/>
        </w:rPr>
      </w:pPr>
      <w:r w:rsidRPr="000D308F">
        <w:rPr>
          <w:rFonts w:ascii="Verdana" w:hAnsi="Verdana"/>
          <w:sz w:val="18"/>
          <w:szCs w:val="18"/>
        </w:rPr>
        <w:t>Tot slot erkennen partijen het belang van het verlagen van de handelskosten om inclusieve en duurzame groei in hun economieën te bewerkstelligen en spreken af daarop samen te werken.</w:t>
      </w:r>
    </w:p>
    <w:p w:rsidRPr="000D308F" w:rsidR="001A7F16" w:rsidP="00EC4F1D" w:rsidRDefault="001A7F16" w14:paraId="701868D9" w14:textId="5E535E4D">
      <w:pPr>
        <w:rPr>
          <w:rFonts w:ascii="Verdana" w:hAnsi="Verdana"/>
          <w:b/>
          <w:bCs/>
          <w:sz w:val="18"/>
          <w:szCs w:val="18"/>
        </w:rPr>
      </w:pPr>
      <w:r w:rsidRPr="000D308F">
        <w:rPr>
          <w:rFonts w:ascii="Verdana" w:hAnsi="Verdana"/>
          <w:b/>
          <w:bCs/>
          <w:sz w:val="18"/>
          <w:szCs w:val="18"/>
        </w:rPr>
        <w:t>Titel V – Milieuduurzaamheid en klimaatverandering</w:t>
      </w:r>
      <w:r w:rsidRPr="000D308F" w:rsidR="00A8713D">
        <w:rPr>
          <w:rFonts w:ascii="Verdana" w:hAnsi="Verdana"/>
          <w:b/>
          <w:bCs/>
          <w:sz w:val="18"/>
          <w:szCs w:val="18"/>
        </w:rPr>
        <w:t xml:space="preserve"> (artikelen 54 t/m 61)</w:t>
      </w:r>
    </w:p>
    <w:p w:rsidRPr="000D308F" w:rsidR="00A8713D" w:rsidP="00EC4F1D" w:rsidRDefault="00C0060C" w14:paraId="3F558B03" w14:textId="5C0734D6">
      <w:pPr>
        <w:rPr>
          <w:rFonts w:ascii="Verdana" w:hAnsi="Verdana"/>
          <w:sz w:val="18"/>
          <w:szCs w:val="18"/>
        </w:rPr>
      </w:pPr>
      <w:r w:rsidRPr="000D308F">
        <w:rPr>
          <w:rFonts w:ascii="Verdana" w:hAnsi="Verdana"/>
          <w:sz w:val="18"/>
          <w:szCs w:val="18"/>
        </w:rPr>
        <w:t xml:space="preserve">Artikelen 54 tot en met 61 gaan achtereenvolgens in op milieuduurzaamheid en klimaatverandering. </w:t>
      </w:r>
      <w:r w:rsidRPr="000D308F" w:rsidR="00C24ED4">
        <w:rPr>
          <w:rFonts w:ascii="Verdana" w:hAnsi="Verdana"/>
          <w:sz w:val="18"/>
          <w:szCs w:val="18"/>
        </w:rPr>
        <w:t xml:space="preserve">Artikel 54 gaat in op de ernstige gevolgen die milieuaantasting, niet-duurzaam gebruik van hulpbronnen en klimaatverandering kunnen hebben. In dat verband bevestigen de partijen de noodzaak van een hoog niveau van milieubescherming, een doeltreffende instandhouding en duurzaam beheer van natuurlijke hulpbronnen, inclusief biologische diversiteit en ambitieuze maatregelen om de negatieve gevolgen van klimaatverandering te beperken. Ook spreken de partijen af milieuduurzaamheid, de strijd tegen klimaatverandering en het streven naar ecologisch duurzame groei te integreren in alle beleidsmaatregelen en investeringen. </w:t>
      </w:r>
      <w:r w:rsidRPr="000D308F" w:rsidR="00FE69DF">
        <w:rPr>
          <w:rFonts w:ascii="Verdana" w:hAnsi="Verdana"/>
          <w:sz w:val="18"/>
          <w:szCs w:val="18"/>
        </w:rPr>
        <w:t>De</w:t>
      </w:r>
      <w:r w:rsidRPr="000D308F" w:rsidR="00C24ED4">
        <w:rPr>
          <w:rFonts w:ascii="Verdana" w:hAnsi="Verdana"/>
          <w:sz w:val="18"/>
          <w:szCs w:val="18"/>
        </w:rPr>
        <w:t xml:space="preserve"> partijen </w:t>
      </w:r>
      <w:r w:rsidRPr="000D308F" w:rsidR="00FE69DF">
        <w:rPr>
          <w:rFonts w:ascii="Verdana" w:hAnsi="Verdana"/>
          <w:sz w:val="18"/>
          <w:szCs w:val="18"/>
        </w:rPr>
        <w:t xml:space="preserve">zullen </w:t>
      </w:r>
      <w:r w:rsidRPr="000D308F" w:rsidR="00C24ED4">
        <w:rPr>
          <w:rFonts w:ascii="Verdana" w:hAnsi="Verdana"/>
          <w:sz w:val="18"/>
          <w:szCs w:val="18"/>
        </w:rPr>
        <w:t xml:space="preserve">internationale samenwerking op deze terreinen bevorderen en de multilaterale milieuovereenkomsten waarbij zij partij zijn daadwerkelijk uitvoeren. </w:t>
      </w:r>
      <w:r w:rsidRPr="000D308F" w:rsidR="00FE69DF">
        <w:rPr>
          <w:rFonts w:ascii="Verdana" w:hAnsi="Verdana"/>
          <w:sz w:val="18"/>
          <w:szCs w:val="18"/>
        </w:rPr>
        <w:t xml:space="preserve">Hierbij </w:t>
      </w:r>
      <w:r w:rsidRPr="000D308F" w:rsidR="00197E6E">
        <w:rPr>
          <w:rFonts w:ascii="Verdana" w:hAnsi="Verdana"/>
          <w:sz w:val="18"/>
          <w:szCs w:val="18"/>
        </w:rPr>
        <w:t>is speciale aandacht voor de</w:t>
      </w:r>
      <w:r w:rsidRPr="000D308F" w:rsidR="00B04832">
        <w:rPr>
          <w:rFonts w:ascii="Verdana" w:hAnsi="Verdana"/>
          <w:sz w:val="18"/>
          <w:szCs w:val="18"/>
        </w:rPr>
        <w:t xml:space="preserve"> meest</w:t>
      </w:r>
      <w:r w:rsidRPr="000D308F" w:rsidR="00197E6E">
        <w:rPr>
          <w:rFonts w:ascii="Verdana" w:hAnsi="Verdana"/>
          <w:sz w:val="18"/>
          <w:szCs w:val="18"/>
        </w:rPr>
        <w:t xml:space="preserve"> kwetsbare bevolkingsgroepen</w:t>
      </w:r>
      <w:r w:rsidRPr="000D308F" w:rsidR="00B04832">
        <w:rPr>
          <w:rFonts w:ascii="Verdana" w:hAnsi="Verdana"/>
          <w:sz w:val="18"/>
          <w:szCs w:val="18"/>
        </w:rPr>
        <w:t xml:space="preserve"> en landen. </w:t>
      </w:r>
    </w:p>
    <w:p w:rsidRPr="000D308F" w:rsidR="00386513" w:rsidP="00EC4F1D" w:rsidRDefault="00386513" w14:paraId="6C4AAD13" w14:textId="369CACD5">
      <w:pPr>
        <w:rPr>
          <w:rFonts w:ascii="Verdana" w:hAnsi="Verdana"/>
          <w:i/>
          <w:iCs/>
          <w:sz w:val="18"/>
          <w:szCs w:val="18"/>
        </w:rPr>
      </w:pPr>
      <w:r w:rsidRPr="000D308F">
        <w:rPr>
          <w:rFonts w:ascii="Verdana" w:hAnsi="Verdana"/>
          <w:i/>
          <w:iCs/>
          <w:sz w:val="18"/>
          <w:szCs w:val="18"/>
        </w:rPr>
        <w:t>Hoofdstuk 1 – Milieuduurzaamheid</w:t>
      </w:r>
    </w:p>
    <w:p w:rsidRPr="000D308F" w:rsidR="00386513" w:rsidP="00EC4F1D" w:rsidRDefault="00386513" w14:paraId="0E600158" w14:textId="48913473">
      <w:pPr>
        <w:rPr>
          <w:rFonts w:ascii="Verdana" w:hAnsi="Verdana"/>
          <w:sz w:val="18"/>
          <w:szCs w:val="18"/>
        </w:rPr>
      </w:pPr>
      <w:r w:rsidRPr="000D308F">
        <w:rPr>
          <w:rFonts w:ascii="Verdana" w:hAnsi="Verdana"/>
          <w:sz w:val="18"/>
          <w:szCs w:val="18"/>
        </w:rPr>
        <w:t xml:space="preserve">Artikel 55 gaat in op het streven van de partijen om het milieu te beschermen. Zo zullen de partijen maatregelen bevorderen op het gebied van biodiversiteit, natuurlijke ecosystemen, luchtkwaliteit, waterkwaliteit, waterschaarste en droogte, afvalbeheer, industriële verontreiniging en chemische stoffen. </w:t>
      </w:r>
      <w:r w:rsidRPr="000D308F" w:rsidR="00FE69DF">
        <w:rPr>
          <w:rFonts w:ascii="Verdana" w:hAnsi="Verdana"/>
          <w:sz w:val="18"/>
          <w:szCs w:val="18"/>
        </w:rPr>
        <w:t>D</w:t>
      </w:r>
      <w:r w:rsidRPr="000D308F" w:rsidR="001D73FC">
        <w:rPr>
          <w:rFonts w:ascii="Verdana" w:hAnsi="Verdana"/>
          <w:sz w:val="18"/>
          <w:szCs w:val="18"/>
        </w:rPr>
        <w:t>e partijen</w:t>
      </w:r>
      <w:r w:rsidRPr="000D308F" w:rsidR="00FE69DF">
        <w:rPr>
          <w:rFonts w:ascii="Verdana" w:hAnsi="Verdana"/>
          <w:sz w:val="18"/>
          <w:szCs w:val="18"/>
        </w:rPr>
        <w:t xml:space="preserve"> ondersteunen</w:t>
      </w:r>
      <w:r w:rsidRPr="000D308F" w:rsidR="001D73FC">
        <w:rPr>
          <w:rFonts w:ascii="Verdana" w:hAnsi="Verdana"/>
          <w:sz w:val="18"/>
          <w:szCs w:val="18"/>
        </w:rPr>
        <w:t xml:space="preserve"> het duurzame beheer van natuurlijke hulpbronnen en bevorderen ze maatregelen om een einde te maken aan de handel in beschermde dier- en plantensoorten en/of illegale producten. </w:t>
      </w:r>
      <w:r w:rsidRPr="000D308F" w:rsidR="00FE69DF">
        <w:rPr>
          <w:rFonts w:ascii="Verdana" w:hAnsi="Verdana"/>
          <w:sz w:val="18"/>
          <w:szCs w:val="18"/>
        </w:rPr>
        <w:t>De</w:t>
      </w:r>
      <w:r w:rsidRPr="000D308F" w:rsidR="00A63AAD">
        <w:rPr>
          <w:rFonts w:ascii="Verdana" w:hAnsi="Verdana"/>
          <w:sz w:val="18"/>
          <w:szCs w:val="18"/>
        </w:rPr>
        <w:t xml:space="preserve"> partijen</w:t>
      </w:r>
      <w:r w:rsidRPr="000D308F" w:rsidR="00FE69DF">
        <w:rPr>
          <w:rFonts w:ascii="Verdana" w:hAnsi="Verdana"/>
          <w:sz w:val="18"/>
          <w:szCs w:val="18"/>
        </w:rPr>
        <w:t xml:space="preserve"> spreken</w:t>
      </w:r>
      <w:r w:rsidRPr="000D308F" w:rsidR="00A63AAD">
        <w:rPr>
          <w:rFonts w:ascii="Verdana" w:hAnsi="Verdana"/>
          <w:sz w:val="18"/>
          <w:szCs w:val="18"/>
        </w:rPr>
        <w:t xml:space="preserve"> af biodiversiteitsbelangen mee te nemen in alle relevante instrumenten en strategieën</w:t>
      </w:r>
      <w:r w:rsidRPr="000D308F" w:rsidR="00166CEF">
        <w:rPr>
          <w:rFonts w:ascii="Verdana" w:hAnsi="Verdana"/>
          <w:sz w:val="18"/>
          <w:szCs w:val="18"/>
        </w:rPr>
        <w:t xml:space="preserve"> en de </w:t>
      </w:r>
      <w:proofErr w:type="spellStart"/>
      <w:r w:rsidRPr="000D308F" w:rsidR="00166CEF">
        <w:rPr>
          <w:rFonts w:ascii="Verdana" w:hAnsi="Verdana"/>
          <w:i/>
          <w:iCs/>
          <w:sz w:val="18"/>
          <w:szCs w:val="18"/>
        </w:rPr>
        <w:t>governance</w:t>
      </w:r>
      <w:proofErr w:type="spellEnd"/>
      <w:r w:rsidRPr="000D308F" w:rsidR="00166CEF">
        <w:rPr>
          <w:rFonts w:ascii="Verdana" w:hAnsi="Verdana"/>
          <w:sz w:val="18"/>
          <w:szCs w:val="18"/>
        </w:rPr>
        <w:t xml:space="preserve"> van beschermde gebieden te verbeteren. </w:t>
      </w:r>
      <w:r w:rsidRPr="000D308F" w:rsidR="0001306C">
        <w:rPr>
          <w:rFonts w:ascii="Verdana" w:hAnsi="Verdana"/>
          <w:sz w:val="18"/>
          <w:szCs w:val="18"/>
        </w:rPr>
        <w:t xml:space="preserve">De partijen bevorderen de instandhouding en het herstel van alle ecosystemen, met inbegrip van bossen. </w:t>
      </w:r>
      <w:r w:rsidRPr="000D308F" w:rsidR="0077327C">
        <w:rPr>
          <w:rFonts w:ascii="Verdana" w:hAnsi="Verdana"/>
          <w:sz w:val="18"/>
          <w:szCs w:val="18"/>
        </w:rPr>
        <w:t xml:space="preserve">Verder </w:t>
      </w:r>
      <w:r w:rsidRPr="000D308F" w:rsidR="0001306C">
        <w:rPr>
          <w:rFonts w:ascii="Verdana" w:hAnsi="Verdana"/>
          <w:sz w:val="18"/>
          <w:szCs w:val="18"/>
        </w:rPr>
        <w:t xml:space="preserve">zetten de partijen zich in voor de bestrijding van woestijnvorming, bodemdegradatie en droogte. Tevens wordt afgesproken dat partijen zich in zullen zetten voor gelijke toegang tot en verdeling van voordelen van het gebruik van genetische rijkdommen. </w:t>
      </w:r>
      <w:r w:rsidRPr="000D308F" w:rsidR="00A62EE9">
        <w:rPr>
          <w:rFonts w:ascii="Verdana" w:hAnsi="Verdana"/>
          <w:sz w:val="18"/>
          <w:szCs w:val="18"/>
        </w:rPr>
        <w:t xml:space="preserve">Tot </w:t>
      </w:r>
      <w:r w:rsidRPr="000D308F" w:rsidR="00A62EE9">
        <w:rPr>
          <w:rFonts w:ascii="Verdana" w:hAnsi="Verdana"/>
          <w:sz w:val="18"/>
          <w:szCs w:val="18"/>
        </w:rPr>
        <w:lastRenderedPageBreak/>
        <w:t xml:space="preserve">slot zullen de partijen de kringloopeconomie en duurzame consumptie- en productiepraktijken stimuleren. </w:t>
      </w:r>
    </w:p>
    <w:p w:rsidRPr="000D308F" w:rsidR="00FA6BBB" w:rsidP="00EC4F1D" w:rsidRDefault="00FA6BBB" w14:paraId="46A5B04F" w14:textId="1EE012D9">
      <w:pPr>
        <w:rPr>
          <w:rFonts w:ascii="Verdana" w:hAnsi="Verdana"/>
          <w:i/>
          <w:iCs/>
          <w:sz w:val="18"/>
          <w:szCs w:val="18"/>
        </w:rPr>
      </w:pPr>
      <w:r w:rsidRPr="000D308F">
        <w:rPr>
          <w:rFonts w:ascii="Verdana" w:hAnsi="Verdana"/>
          <w:i/>
          <w:iCs/>
          <w:sz w:val="18"/>
          <w:szCs w:val="18"/>
        </w:rPr>
        <w:t xml:space="preserve">Hoofdstuk 2 – Oceanen, zeeën en mariene hulpbronnen </w:t>
      </w:r>
    </w:p>
    <w:p w:rsidRPr="000D308F" w:rsidR="000D3908" w:rsidP="00EC4F1D" w:rsidRDefault="00267371" w14:paraId="5507AFD8" w14:textId="6FA75B66">
      <w:pPr>
        <w:rPr>
          <w:rFonts w:ascii="Verdana" w:hAnsi="Verdana"/>
          <w:sz w:val="18"/>
          <w:szCs w:val="18"/>
        </w:rPr>
      </w:pPr>
      <w:r w:rsidRPr="000D308F">
        <w:rPr>
          <w:rFonts w:ascii="Verdana" w:hAnsi="Verdana"/>
          <w:sz w:val="18"/>
          <w:szCs w:val="18"/>
        </w:rPr>
        <w:t>In artikel 56 wordt beschreven hoe de partijen oceaan</w:t>
      </w:r>
      <w:r w:rsidRPr="000D308F" w:rsidR="00E20519">
        <w:rPr>
          <w:rFonts w:ascii="Verdana" w:hAnsi="Verdana"/>
          <w:sz w:val="18"/>
          <w:szCs w:val="18"/>
        </w:rPr>
        <w:t xml:space="preserve"> </w:t>
      </w:r>
      <w:proofErr w:type="spellStart"/>
      <w:r w:rsidRPr="000D308F">
        <w:rPr>
          <w:rFonts w:ascii="Verdana" w:hAnsi="Verdana"/>
          <w:i/>
          <w:sz w:val="18"/>
          <w:szCs w:val="18"/>
        </w:rPr>
        <w:t>governance</w:t>
      </w:r>
      <w:proofErr w:type="spellEnd"/>
      <w:r w:rsidRPr="000D308F">
        <w:rPr>
          <w:rFonts w:ascii="Verdana" w:hAnsi="Verdana"/>
          <w:sz w:val="18"/>
          <w:szCs w:val="18"/>
        </w:rPr>
        <w:t xml:space="preserve"> zullen versterken en wordt </w:t>
      </w:r>
      <w:r w:rsidRPr="000D308F" w:rsidR="00E20519">
        <w:rPr>
          <w:rFonts w:ascii="Verdana" w:hAnsi="Verdana"/>
          <w:sz w:val="18"/>
          <w:szCs w:val="18"/>
        </w:rPr>
        <w:t xml:space="preserve">UNCLOS </w:t>
      </w:r>
      <w:r w:rsidRPr="000D308F">
        <w:rPr>
          <w:rFonts w:ascii="Verdana" w:hAnsi="Verdana"/>
          <w:sz w:val="18"/>
          <w:szCs w:val="18"/>
        </w:rPr>
        <w:t>als basis voor nationale, regionale en wereldwijde maatregelen en samenwerking in de mariene en maritieme sectoren herbevestigd. Ook zal duurzaam visserijbeheer worden bevorderd, onder meer door illegale visserij te bestr</w:t>
      </w:r>
      <w:r w:rsidRPr="000D308F" w:rsidR="0045590B">
        <w:rPr>
          <w:rFonts w:ascii="Verdana" w:hAnsi="Verdana"/>
          <w:sz w:val="18"/>
          <w:szCs w:val="18"/>
        </w:rPr>
        <w:t>ij</w:t>
      </w:r>
      <w:r w:rsidRPr="000D308F">
        <w:rPr>
          <w:rFonts w:ascii="Verdana" w:hAnsi="Verdana"/>
          <w:sz w:val="18"/>
          <w:szCs w:val="18"/>
        </w:rPr>
        <w:t xml:space="preserve">den en samen te werken met regionale visserijorganisaties. </w:t>
      </w:r>
      <w:r w:rsidRPr="000D308F" w:rsidR="00E20519">
        <w:rPr>
          <w:rFonts w:ascii="Verdana" w:hAnsi="Verdana"/>
          <w:sz w:val="18"/>
          <w:szCs w:val="18"/>
        </w:rPr>
        <w:t>Partijen zetten</w:t>
      </w:r>
      <w:r w:rsidRPr="000D308F" w:rsidDel="00E20519" w:rsidR="008D1820">
        <w:rPr>
          <w:rFonts w:ascii="Verdana" w:hAnsi="Verdana"/>
          <w:sz w:val="18"/>
          <w:szCs w:val="18"/>
        </w:rPr>
        <w:t xml:space="preserve"> zi</w:t>
      </w:r>
      <w:r w:rsidRPr="000D308F" w:rsidR="008D1820">
        <w:rPr>
          <w:rFonts w:ascii="Verdana" w:hAnsi="Verdana"/>
          <w:sz w:val="18"/>
          <w:szCs w:val="18"/>
        </w:rPr>
        <w:t>ch in voor de duurzame ontwikkeling van een blauwe economie</w:t>
      </w:r>
      <w:r w:rsidRPr="000D308F" w:rsidR="00302F03">
        <w:rPr>
          <w:rFonts w:ascii="Verdana" w:hAnsi="Verdana"/>
          <w:sz w:val="18"/>
          <w:szCs w:val="18"/>
        </w:rPr>
        <w:t>, met afdoende aandacht voor sociale rechtvaardigheid en de bescherming van mariene ecosystemen.</w:t>
      </w:r>
      <w:r w:rsidRPr="000D308F" w:rsidR="005A081E">
        <w:rPr>
          <w:rFonts w:ascii="Verdana" w:hAnsi="Verdana"/>
          <w:sz w:val="18"/>
          <w:szCs w:val="18"/>
        </w:rPr>
        <w:t xml:space="preserve"> De partijen zullen</w:t>
      </w:r>
      <w:r w:rsidRPr="000D308F" w:rsidR="00E20519">
        <w:rPr>
          <w:rFonts w:ascii="Verdana" w:hAnsi="Verdana"/>
          <w:sz w:val="18"/>
          <w:szCs w:val="18"/>
        </w:rPr>
        <w:t xml:space="preserve"> verder</w:t>
      </w:r>
      <w:r w:rsidRPr="000D308F" w:rsidR="005A081E">
        <w:rPr>
          <w:rFonts w:ascii="Verdana" w:hAnsi="Verdana"/>
          <w:sz w:val="18"/>
          <w:szCs w:val="18"/>
        </w:rPr>
        <w:t xml:space="preserve"> regelmatig dialoog voeren over alle aspecten van oceaan</w:t>
      </w:r>
      <w:r w:rsidRPr="000D308F" w:rsidR="00E20519">
        <w:rPr>
          <w:rFonts w:ascii="Verdana" w:hAnsi="Verdana"/>
          <w:sz w:val="18"/>
          <w:szCs w:val="18"/>
        </w:rPr>
        <w:t xml:space="preserve"> </w:t>
      </w:r>
      <w:proofErr w:type="spellStart"/>
      <w:r w:rsidRPr="000D308F" w:rsidR="005A081E">
        <w:rPr>
          <w:rFonts w:ascii="Verdana" w:hAnsi="Verdana"/>
          <w:i/>
          <w:sz w:val="18"/>
          <w:szCs w:val="18"/>
        </w:rPr>
        <w:t>governance</w:t>
      </w:r>
      <w:proofErr w:type="spellEnd"/>
      <w:r w:rsidRPr="000D308F" w:rsidR="005A081E">
        <w:rPr>
          <w:rFonts w:ascii="Verdana" w:hAnsi="Verdana"/>
          <w:sz w:val="18"/>
          <w:szCs w:val="18"/>
        </w:rPr>
        <w:t xml:space="preserve">, inclusief over de stijging van de zeespiegel, diepzeemijnbouw, visserij en verontreiniging van de zee. </w:t>
      </w:r>
    </w:p>
    <w:p w:rsidRPr="000D308F" w:rsidR="000D3908" w:rsidP="00EC4F1D" w:rsidRDefault="000D3908" w14:paraId="3943501A" w14:textId="44F80F1D">
      <w:pPr>
        <w:rPr>
          <w:rFonts w:ascii="Verdana" w:hAnsi="Verdana"/>
          <w:i/>
          <w:iCs/>
          <w:sz w:val="18"/>
          <w:szCs w:val="18"/>
        </w:rPr>
      </w:pPr>
      <w:r w:rsidRPr="000D308F">
        <w:rPr>
          <w:rFonts w:ascii="Verdana" w:hAnsi="Verdana"/>
          <w:i/>
          <w:iCs/>
          <w:sz w:val="18"/>
          <w:szCs w:val="18"/>
        </w:rPr>
        <w:t>Hoofdstuk 3 – Klimaatverandering</w:t>
      </w:r>
    </w:p>
    <w:p w:rsidRPr="000D308F" w:rsidR="00302F03" w:rsidP="00EC4F1D" w:rsidRDefault="002E684F" w14:paraId="4CA95AB0" w14:textId="08977009">
      <w:pPr>
        <w:rPr>
          <w:rFonts w:ascii="Verdana" w:hAnsi="Verdana"/>
          <w:sz w:val="18"/>
          <w:szCs w:val="18"/>
        </w:rPr>
      </w:pPr>
      <w:r w:rsidRPr="000D308F">
        <w:rPr>
          <w:rFonts w:ascii="Verdana" w:hAnsi="Verdana"/>
          <w:sz w:val="18"/>
          <w:szCs w:val="18"/>
        </w:rPr>
        <w:t xml:space="preserve">De partijen bevestigen </w:t>
      </w:r>
      <w:r w:rsidRPr="000D308F" w:rsidR="00592F98">
        <w:rPr>
          <w:rFonts w:ascii="Verdana" w:hAnsi="Verdana"/>
          <w:sz w:val="18"/>
          <w:szCs w:val="18"/>
        </w:rPr>
        <w:t xml:space="preserve">in artikel 57 </w:t>
      </w:r>
      <w:r w:rsidRPr="000D308F">
        <w:rPr>
          <w:rFonts w:ascii="Verdana" w:hAnsi="Verdana"/>
          <w:sz w:val="18"/>
          <w:szCs w:val="18"/>
        </w:rPr>
        <w:t xml:space="preserve">hun toezegging om klimaatverandering te voorkomen, de gevolgen ervan aan te pakken, en op internationaal, regionaal, interregionaal en nationaal niveau samen te werken. Ook zeggen de partijen toe het </w:t>
      </w:r>
      <w:r w:rsidRPr="000D308F" w:rsidR="00E20519">
        <w:rPr>
          <w:rFonts w:ascii="Verdana" w:hAnsi="Verdana"/>
          <w:sz w:val="18"/>
          <w:szCs w:val="18"/>
        </w:rPr>
        <w:t xml:space="preserve">op 9 mei 1992 te New York tot stand gekomen </w:t>
      </w:r>
      <w:r w:rsidRPr="000D308F">
        <w:rPr>
          <w:rFonts w:ascii="Verdana" w:hAnsi="Verdana"/>
          <w:sz w:val="18"/>
          <w:szCs w:val="18"/>
        </w:rPr>
        <w:t>Raamverdrag van de V</w:t>
      </w:r>
      <w:r w:rsidRPr="000D308F" w:rsidR="00E20519">
        <w:rPr>
          <w:rFonts w:ascii="Verdana" w:hAnsi="Verdana"/>
          <w:sz w:val="18"/>
          <w:szCs w:val="18"/>
        </w:rPr>
        <w:t xml:space="preserve">erenigde </w:t>
      </w:r>
      <w:r w:rsidRPr="000D308F">
        <w:rPr>
          <w:rFonts w:ascii="Verdana" w:hAnsi="Verdana"/>
          <w:sz w:val="18"/>
          <w:szCs w:val="18"/>
        </w:rPr>
        <w:t>N</w:t>
      </w:r>
      <w:r w:rsidRPr="000D308F" w:rsidR="00E20519">
        <w:rPr>
          <w:rFonts w:ascii="Verdana" w:hAnsi="Verdana"/>
          <w:sz w:val="18"/>
          <w:szCs w:val="18"/>
        </w:rPr>
        <w:t>aties</w:t>
      </w:r>
      <w:r w:rsidRPr="000D308F">
        <w:rPr>
          <w:rFonts w:ascii="Verdana" w:hAnsi="Verdana"/>
          <w:sz w:val="18"/>
          <w:szCs w:val="18"/>
        </w:rPr>
        <w:t xml:space="preserve"> inzake klimaatverandering</w:t>
      </w:r>
      <w:r w:rsidRPr="000D308F" w:rsidR="00E20519">
        <w:rPr>
          <w:rFonts w:ascii="Verdana" w:hAnsi="Verdana"/>
          <w:sz w:val="18"/>
          <w:szCs w:val="18"/>
        </w:rPr>
        <w:t xml:space="preserve"> (</w:t>
      </w:r>
      <w:proofErr w:type="spellStart"/>
      <w:r w:rsidRPr="000D308F" w:rsidR="00E20519">
        <w:rPr>
          <w:rFonts w:ascii="Verdana" w:hAnsi="Verdana"/>
          <w:i/>
          <w:iCs/>
          <w:sz w:val="18"/>
          <w:szCs w:val="18"/>
        </w:rPr>
        <w:t>Trb</w:t>
      </w:r>
      <w:proofErr w:type="spellEnd"/>
      <w:r w:rsidRPr="000D308F" w:rsidR="00E20519">
        <w:rPr>
          <w:rFonts w:ascii="Verdana" w:hAnsi="Verdana"/>
          <w:i/>
          <w:iCs/>
          <w:sz w:val="18"/>
          <w:szCs w:val="18"/>
        </w:rPr>
        <w:t xml:space="preserve">. </w:t>
      </w:r>
      <w:r w:rsidRPr="000D308F" w:rsidR="00E20519">
        <w:rPr>
          <w:rFonts w:ascii="Verdana" w:hAnsi="Verdana"/>
          <w:sz w:val="18"/>
          <w:szCs w:val="18"/>
        </w:rPr>
        <w:t>1992, 189)</w:t>
      </w:r>
      <w:r w:rsidRPr="000D308F">
        <w:rPr>
          <w:rFonts w:ascii="Verdana" w:hAnsi="Verdana"/>
          <w:sz w:val="18"/>
          <w:szCs w:val="18"/>
        </w:rPr>
        <w:t xml:space="preserve"> en de </w:t>
      </w:r>
      <w:r w:rsidRPr="000D308F" w:rsidR="006F4BF8">
        <w:rPr>
          <w:rFonts w:ascii="Verdana" w:hAnsi="Verdana"/>
          <w:sz w:val="18"/>
          <w:szCs w:val="18"/>
        </w:rPr>
        <w:t>O</w:t>
      </w:r>
      <w:r w:rsidRPr="000D308F" w:rsidR="005105A2">
        <w:rPr>
          <w:rFonts w:ascii="Verdana" w:hAnsi="Verdana"/>
          <w:sz w:val="18"/>
          <w:szCs w:val="18"/>
        </w:rPr>
        <w:t>vereenkomst</w:t>
      </w:r>
      <w:r w:rsidRPr="000D308F">
        <w:rPr>
          <w:rFonts w:ascii="Verdana" w:hAnsi="Verdana"/>
          <w:sz w:val="18"/>
          <w:szCs w:val="18"/>
        </w:rPr>
        <w:t xml:space="preserve"> van Parijs effectief uit te voeren. </w:t>
      </w:r>
      <w:r w:rsidRPr="000D308F" w:rsidR="00FD6827">
        <w:rPr>
          <w:rFonts w:ascii="Verdana" w:hAnsi="Verdana"/>
          <w:sz w:val="18"/>
          <w:szCs w:val="18"/>
        </w:rPr>
        <w:t xml:space="preserve">De partijen verbinden zich ertoe de algemene doelstelling te verwezenlijken om de stijging van de gemiddelde temperatuur wereldwijd ruim onder de 2 graden Celsius te houden ten opzichte van het pre-industriële niveau en ernaar te streven de temperatuurstijging te beperken tot 1.5 graden Celsius. </w:t>
      </w:r>
      <w:r w:rsidRPr="000D308F" w:rsidR="00ED0E57">
        <w:rPr>
          <w:rFonts w:ascii="Verdana" w:hAnsi="Verdana"/>
          <w:sz w:val="18"/>
          <w:szCs w:val="18"/>
        </w:rPr>
        <w:t xml:space="preserve">In artikel 58 komen de partijen overeen klimaatmaatregelen te nemen om adaptatie en mitigatie aan te pakken en te zorgen voor uitvoeringsmiddelen daarvoor, zich richtend op de meest kwetsbare landen, waaronder de kleine eilandstaten, laaggelegen kuststaten en de minst ontwikkelde landen. </w:t>
      </w:r>
      <w:r w:rsidRPr="000D308F" w:rsidR="0077327C">
        <w:rPr>
          <w:rFonts w:ascii="Verdana" w:hAnsi="Verdana"/>
          <w:sz w:val="18"/>
          <w:szCs w:val="18"/>
        </w:rPr>
        <w:t xml:space="preserve">Verder </w:t>
      </w:r>
      <w:r w:rsidRPr="000D308F" w:rsidR="00ED0E57">
        <w:rPr>
          <w:rFonts w:ascii="Verdana" w:hAnsi="Verdana"/>
          <w:sz w:val="18"/>
          <w:szCs w:val="18"/>
        </w:rPr>
        <w:t>komen de partijen overeen hun nationaal bepaalde bijdragen uit te voeren en lange</w:t>
      </w:r>
      <w:r w:rsidRPr="000D308F" w:rsidR="00120747">
        <w:rPr>
          <w:rFonts w:ascii="Verdana" w:hAnsi="Verdana"/>
          <w:sz w:val="18"/>
          <w:szCs w:val="18"/>
        </w:rPr>
        <w:t>termijnstrategieën</w:t>
      </w:r>
      <w:r w:rsidRPr="000D308F" w:rsidR="00ED0E57">
        <w:rPr>
          <w:rFonts w:ascii="Verdana" w:hAnsi="Verdana"/>
          <w:sz w:val="18"/>
          <w:szCs w:val="18"/>
        </w:rPr>
        <w:t xml:space="preserve"> te formuleren om de in de </w:t>
      </w:r>
      <w:r w:rsidRPr="000D308F" w:rsidR="006F4BF8">
        <w:rPr>
          <w:rFonts w:ascii="Verdana" w:hAnsi="Verdana"/>
          <w:sz w:val="18"/>
          <w:szCs w:val="18"/>
        </w:rPr>
        <w:t>O</w:t>
      </w:r>
      <w:r w:rsidRPr="000D308F" w:rsidR="005105A2">
        <w:rPr>
          <w:rFonts w:ascii="Verdana" w:hAnsi="Verdana"/>
          <w:sz w:val="18"/>
          <w:szCs w:val="18"/>
        </w:rPr>
        <w:t>vereenkomst</w:t>
      </w:r>
      <w:r w:rsidRPr="000D308F" w:rsidR="00ED0E57">
        <w:rPr>
          <w:rFonts w:ascii="Verdana" w:hAnsi="Verdana"/>
          <w:sz w:val="18"/>
          <w:szCs w:val="18"/>
        </w:rPr>
        <w:t xml:space="preserve"> van Parijs opgenomen temperatuurdoelstelling te bereiken. </w:t>
      </w:r>
      <w:r w:rsidRPr="000D308F" w:rsidR="0077327C">
        <w:rPr>
          <w:rFonts w:ascii="Verdana" w:hAnsi="Verdana"/>
          <w:sz w:val="18"/>
          <w:szCs w:val="18"/>
        </w:rPr>
        <w:t xml:space="preserve">Tevens </w:t>
      </w:r>
      <w:r w:rsidRPr="000D308F" w:rsidR="0083187D">
        <w:rPr>
          <w:rFonts w:ascii="Verdana" w:hAnsi="Verdana"/>
          <w:sz w:val="18"/>
          <w:szCs w:val="18"/>
        </w:rPr>
        <w:t xml:space="preserve">zullen ze zich inzetten voor de planning en uitvoering van nationale adaptatieplannen. </w:t>
      </w:r>
      <w:r w:rsidRPr="000D308F" w:rsidR="0077327C">
        <w:rPr>
          <w:rFonts w:ascii="Verdana" w:hAnsi="Verdana"/>
          <w:sz w:val="18"/>
          <w:szCs w:val="18"/>
        </w:rPr>
        <w:t xml:space="preserve">Tot slot </w:t>
      </w:r>
      <w:r w:rsidRPr="000D308F" w:rsidR="000A4E4D">
        <w:rPr>
          <w:rFonts w:ascii="Verdana" w:hAnsi="Verdana"/>
          <w:sz w:val="18"/>
          <w:szCs w:val="18"/>
        </w:rPr>
        <w:t xml:space="preserve">erkennen de partijen in 59 de bedreiging die klimaatverandering en milieuaantasting vormen voor vrede en veiligheid en ontwikkelen strategieën hiertoe. </w:t>
      </w:r>
    </w:p>
    <w:p w:rsidRPr="000D308F" w:rsidR="00F75C8F" w:rsidP="00EC4F1D" w:rsidRDefault="00F75C8F" w14:paraId="5DC36361" w14:textId="0B8AF3B3">
      <w:pPr>
        <w:rPr>
          <w:rFonts w:ascii="Verdana" w:hAnsi="Verdana"/>
          <w:i/>
          <w:iCs/>
          <w:sz w:val="18"/>
          <w:szCs w:val="18"/>
        </w:rPr>
      </w:pPr>
      <w:r w:rsidRPr="000D308F">
        <w:rPr>
          <w:rFonts w:ascii="Verdana" w:hAnsi="Verdana"/>
          <w:i/>
          <w:iCs/>
          <w:sz w:val="18"/>
          <w:szCs w:val="18"/>
        </w:rPr>
        <w:t xml:space="preserve">Hoofstuk 4 – Natuurrampen </w:t>
      </w:r>
    </w:p>
    <w:p w:rsidRPr="000D308F" w:rsidR="00F75C8F" w:rsidP="00EC4F1D" w:rsidRDefault="00CA5AC7" w14:paraId="6CB3C0FD" w14:textId="53E00602">
      <w:pPr>
        <w:rPr>
          <w:rFonts w:ascii="Verdana" w:hAnsi="Verdana"/>
          <w:sz w:val="18"/>
          <w:szCs w:val="18"/>
        </w:rPr>
      </w:pPr>
      <w:r w:rsidRPr="000D308F">
        <w:rPr>
          <w:rFonts w:ascii="Verdana" w:hAnsi="Verdana"/>
          <w:sz w:val="18"/>
          <w:szCs w:val="18"/>
        </w:rPr>
        <w:t xml:space="preserve">Artikelen 60 en 61 gaan in op de mogelijke gevolgen en mitigatie van natuurrampen, inclusief tsunami’s, aardbevingen, vulkaanuitbarstingen, cyclonen, orkanen, overstromingen en droogte. </w:t>
      </w:r>
      <w:r w:rsidRPr="000D308F" w:rsidR="00340AD0">
        <w:rPr>
          <w:rFonts w:ascii="Verdana" w:hAnsi="Verdana"/>
          <w:sz w:val="18"/>
          <w:szCs w:val="18"/>
        </w:rPr>
        <w:t xml:space="preserve">Zo spreken de partijen af maatregelen te nemen in het kader van rampenbestendigheid en </w:t>
      </w:r>
      <w:proofErr w:type="spellStart"/>
      <w:r w:rsidRPr="000D308F" w:rsidR="00340AD0">
        <w:rPr>
          <w:rFonts w:ascii="Verdana" w:hAnsi="Verdana"/>
          <w:sz w:val="18"/>
          <w:szCs w:val="18"/>
        </w:rPr>
        <w:t>rampenrisicovermindering</w:t>
      </w:r>
      <w:proofErr w:type="spellEnd"/>
      <w:r w:rsidRPr="000D308F" w:rsidR="00340AD0">
        <w:rPr>
          <w:rFonts w:ascii="Verdana" w:hAnsi="Verdana"/>
          <w:sz w:val="18"/>
          <w:szCs w:val="18"/>
        </w:rPr>
        <w:t xml:space="preserve">. Dit wordt gedaan middels een geïntegreerde </w:t>
      </w:r>
      <w:proofErr w:type="spellStart"/>
      <w:r w:rsidRPr="000D308F" w:rsidR="00340AD0">
        <w:rPr>
          <w:rFonts w:ascii="Verdana" w:hAnsi="Verdana"/>
          <w:sz w:val="18"/>
          <w:szCs w:val="18"/>
        </w:rPr>
        <w:t>multirisicobenadering</w:t>
      </w:r>
      <w:proofErr w:type="spellEnd"/>
      <w:r w:rsidRPr="000D308F" w:rsidR="00340AD0">
        <w:rPr>
          <w:rFonts w:ascii="Verdana" w:hAnsi="Verdana"/>
          <w:sz w:val="18"/>
          <w:szCs w:val="18"/>
        </w:rPr>
        <w:t xml:space="preserve">. Artikel 61 beschrijft welke acties prioritair zijn bij rampenrespons, onder meer doeltreffende communicatiestrategieën, noodhulp en rehabilitatie. Daarbij dient afdoende koppeling te zijn tussen </w:t>
      </w:r>
      <w:r w:rsidRPr="000D308F" w:rsidR="00702DDE">
        <w:rPr>
          <w:rFonts w:ascii="Verdana" w:hAnsi="Verdana"/>
          <w:sz w:val="18"/>
          <w:szCs w:val="18"/>
        </w:rPr>
        <w:t xml:space="preserve">humanitaire </w:t>
      </w:r>
      <w:r w:rsidRPr="000D308F" w:rsidR="00340AD0">
        <w:rPr>
          <w:rFonts w:ascii="Verdana" w:hAnsi="Verdana"/>
          <w:sz w:val="18"/>
          <w:szCs w:val="18"/>
        </w:rPr>
        <w:t xml:space="preserve">verplichting op korte termijn en duurzaam herstel op langere termijn. </w:t>
      </w:r>
    </w:p>
    <w:p w:rsidRPr="000D308F" w:rsidR="000347A4" w:rsidP="00EC4F1D" w:rsidRDefault="001A7F16" w14:paraId="0E5311A4" w14:textId="58134E7C">
      <w:pPr>
        <w:rPr>
          <w:rFonts w:ascii="Verdana" w:hAnsi="Verdana"/>
          <w:b/>
          <w:bCs/>
          <w:sz w:val="18"/>
          <w:szCs w:val="18"/>
        </w:rPr>
      </w:pPr>
      <w:r w:rsidRPr="000D308F">
        <w:rPr>
          <w:rFonts w:ascii="Verdana" w:hAnsi="Verdana"/>
          <w:b/>
          <w:bCs/>
          <w:sz w:val="18"/>
          <w:szCs w:val="18"/>
        </w:rPr>
        <w:t>Titel VI – Migratie en mobiliteit</w:t>
      </w:r>
      <w:r w:rsidRPr="000D308F" w:rsidR="00A8713D">
        <w:rPr>
          <w:rFonts w:ascii="Verdana" w:hAnsi="Verdana"/>
          <w:b/>
          <w:bCs/>
          <w:sz w:val="18"/>
          <w:szCs w:val="18"/>
        </w:rPr>
        <w:t xml:space="preserve"> (artikelen 62 t/m </w:t>
      </w:r>
      <w:r w:rsidRPr="000D308F" w:rsidR="000347A4">
        <w:rPr>
          <w:rFonts w:ascii="Verdana" w:hAnsi="Verdana"/>
          <w:b/>
          <w:bCs/>
          <w:sz w:val="18"/>
          <w:szCs w:val="18"/>
        </w:rPr>
        <w:t>76)</w:t>
      </w:r>
    </w:p>
    <w:p w:rsidRPr="000D308F" w:rsidR="002829BB" w:rsidP="00EC4F1D" w:rsidRDefault="004F6053" w14:paraId="401A6C09" w14:textId="77777777">
      <w:pPr>
        <w:rPr>
          <w:rFonts w:ascii="Verdana" w:hAnsi="Verdana"/>
          <w:sz w:val="18"/>
          <w:szCs w:val="18"/>
        </w:rPr>
      </w:pPr>
      <w:r w:rsidRPr="000D308F">
        <w:rPr>
          <w:rFonts w:ascii="Verdana" w:hAnsi="Verdana"/>
          <w:sz w:val="18"/>
          <w:szCs w:val="18"/>
        </w:rPr>
        <w:t>Artikelen 62 tot en met 76 beschrijven de samenwerking tussen de partijen op migratie en mobiliteit.</w:t>
      </w:r>
      <w:r w:rsidRPr="000D308F" w:rsidR="00910B11">
        <w:rPr>
          <w:rFonts w:ascii="Verdana" w:hAnsi="Verdana"/>
          <w:sz w:val="18"/>
          <w:szCs w:val="18"/>
        </w:rPr>
        <w:t xml:space="preserve"> </w:t>
      </w:r>
    </w:p>
    <w:p w:rsidRPr="000D308F" w:rsidR="002829BB" w:rsidP="00EC4F1D" w:rsidRDefault="002829BB" w14:paraId="1F88B698" w14:textId="5C2C324D">
      <w:pPr>
        <w:rPr>
          <w:rFonts w:ascii="Verdana" w:hAnsi="Verdana"/>
          <w:i/>
          <w:iCs/>
          <w:sz w:val="18"/>
          <w:szCs w:val="18"/>
        </w:rPr>
      </w:pPr>
      <w:r w:rsidRPr="000D308F">
        <w:rPr>
          <w:rFonts w:ascii="Verdana" w:hAnsi="Verdana"/>
          <w:i/>
          <w:iCs/>
          <w:sz w:val="18"/>
          <w:szCs w:val="18"/>
        </w:rPr>
        <w:t>Hoofdstuk 1 – Legale migratie en mobiliteit</w:t>
      </w:r>
    </w:p>
    <w:p w:rsidRPr="000D308F" w:rsidR="002829BB" w:rsidP="00EC4F1D" w:rsidRDefault="00910B11" w14:paraId="48E4A515" w14:textId="203B6D3A">
      <w:pPr>
        <w:rPr>
          <w:rFonts w:ascii="Verdana" w:hAnsi="Verdana"/>
          <w:sz w:val="18"/>
          <w:szCs w:val="18"/>
        </w:rPr>
      </w:pPr>
      <w:r w:rsidRPr="000D308F">
        <w:rPr>
          <w:rFonts w:ascii="Verdana" w:hAnsi="Verdana"/>
          <w:sz w:val="18"/>
          <w:szCs w:val="18"/>
        </w:rPr>
        <w:t>Artikel 62 onderstreept</w:t>
      </w:r>
      <w:r w:rsidRPr="000D308F" w:rsidR="004F6053">
        <w:rPr>
          <w:rFonts w:ascii="Verdana" w:hAnsi="Verdana"/>
          <w:sz w:val="18"/>
          <w:szCs w:val="18"/>
        </w:rPr>
        <w:t xml:space="preserve"> een brede, pragmatische en evenwichtige benadering </w:t>
      </w:r>
      <w:r w:rsidRPr="000D308F" w:rsidR="00B427EC">
        <w:rPr>
          <w:rFonts w:ascii="Verdana" w:hAnsi="Verdana"/>
          <w:sz w:val="18"/>
          <w:szCs w:val="18"/>
        </w:rPr>
        <w:t>van migratie en mobiliteit</w:t>
      </w:r>
      <w:r w:rsidRPr="000D308F">
        <w:rPr>
          <w:rFonts w:ascii="Verdana" w:hAnsi="Verdana"/>
          <w:sz w:val="18"/>
          <w:szCs w:val="18"/>
        </w:rPr>
        <w:t>. In artikel 63 streven de partijen ernaar, rekening houdend met de nationale prioriteiten en behoeften de vruchten te plukken van veilige ordentelijke en reguliere migratie en mobiliteit.</w:t>
      </w:r>
      <w:r w:rsidRPr="000D308F" w:rsidR="00570F7A">
        <w:rPr>
          <w:rFonts w:ascii="Verdana" w:hAnsi="Verdana"/>
          <w:sz w:val="18"/>
          <w:szCs w:val="18"/>
        </w:rPr>
        <w:t xml:space="preserve"> </w:t>
      </w:r>
      <w:r w:rsidRPr="000D308F" w:rsidR="00023A85">
        <w:rPr>
          <w:rFonts w:ascii="Verdana" w:hAnsi="Verdana"/>
          <w:sz w:val="18"/>
          <w:szCs w:val="18"/>
        </w:rPr>
        <w:t>In dat kader</w:t>
      </w:r>
      <w:r w:rsidRPr="000D308F" w:rsidR="006C7C08">
        <w:rPr>
          <w:rFonts w:ascii="Verdana" w:hAnsi="Verdana"/>
          <w:sz w:val="18"/>
          <w:szCs w:val="18"/>
        </w:rPr>
        <w:t xml:space="preserve"> beschouwen partijen</w:t>
      </w:r>
      <w:r w:rsidRPr="000D308F" w:rsidR="006C7C08">
        <w:t xml:space="preserve"> </w:t>
      </w:r>
      <w:r w:rsidRPr="000D308F" w:rsidR="006C7C08">
        <w:rPr>
          <w:rFonts w:ascii="Verdana" w:hAnsi="Verdana"/>
          <w:sz w:val="18"/>
          <w:szCs w:val="18"/>
        </w:rPr>
        <w:t xml:space="preserve">circulaire migratie als een middel om groei en ontwikkeling in de landen van herkomst en bestemming te bevorderen. Daartoe nemen zij regelingen voor circulaire migratie in overweging en voeren zij de rechtskaders uit voor het faciliteren van de terugkeerprocedures van onderdanen van een lidstaat van de </w:t>
      </w:r>
      <w:r w:rsidRPr="000D308F" w:rsidR="00023A85">
        <w:rPr>
          <w:rFonts w:ascii="Verdana" w:hAnsi="Verdana"/>
          <w:sz w:val="18"/>
          <w:szCs w:val="18"/>
        </w:rPr>
        <w:t>EU</w:t>
      </w:r>
      <w:r w:rsidRPr="000D308F" w:rsidR="006C7C08">
        <w:rPr>
          <w:rFonts w:ascii="Verdana" w:hAnsi="Verdana"/>
          <w:sz w:val="18"/>
          <w:szCs w:val="18"/>
        </w:rPr>
        <w:t xml:space="preserve"> of van een OACPS-lid die legaal verblijven op, respectievelijk, het grondgebied van de OACPS-leden of het grondgebied van de </w:t>
      </w:r>
      <w:r w:rsidRPr="000D308F" w:rsidR="00CD4F1B">
        <w:rPr>
          <w:rFonts w:ascii="Verdana" w:hAnsi="Verdana"/>
          <w:sz w:val="18"/>
          <w:szCs w:val="18"/>
        </w:rPr>
        <w:t>EU-lidstaten</w:t>
      </w:r>
      <w:r w:rsidRPr="000D308F" w:rsidR="006C7C08">
        <w:rPr>
          <w:rFonts w:ascii="Verdana" w:hAnsi="Verdana"/>
          <w:sz w:val="18"/>
          <w:szCs w:val="18"/>
        </w:rPr>
        <w:t xml:space="preserve"> en verbeteren die waar nodig</w:t>
      </w:r>
      <w:r w:rsidRPr="000D308F" w:rsidR="00023A85">
        <w:rPr>
          <w:rFonts w:ascii="Verdana" w:hAnsi="Verdana"/>
          <w:sz w:val="18"/>
          <w:szCs w:val="18"/>
        </w:rPr>
        <w:t>.</w:t>
      </w:r>
      <w:r w:rsidRPr="000D308F" w:rsidR="00023A85">
        <w:rPr>
          <w:rStyle w:val="CommentReference"/>
          <w:rFonts w:ascii="Verdana" w:hAnsi="Verdana"/>
          <w:sz w:val="18"/>
          <w:szCs w:val="18"/>
        </w:rPr>
        <w:t xml:space="preserve"> </w:t>
      </w:r>
      <w:r w:rsidRPr="000D308F" w:rsidR="00570F7A">
        <w:rPr>
          <w:rFonts w:ascii="Verdana" w:hAnsi="Verdana"/>
          <w:sz w:val="18"/>
          <w:szCs w:val="18"/>
        </w:rPr>
        <w:t>Aansluitend benadrukt artikel 64 de voortzetting van inspanningen voor</w:t>
      </w:r>
      <w:r w:rsidRPr="000D308F" w:rsidR="00B427EC">
        <w:rPr>
          <w:rFonts w:ascii="Verdana" w:hAnsi="Verdana"/>
          <w:sz w:val="18"/>
          <w:szCs w:val="18"/>
        </w:rPr>
        <w:t xml:space="preserve"> </w:t>
      </w:r>
      <w:r w:rsidRPr="000D308F" w:rsidR="00570F7A">
        <w:rPr>
          <w:rFonts w:ascii="Verdana" w:hAnsi="Verdana"/>
          <w:sz w:val="18"/>
          <w:szCs w:val="18"/>
        </w:rPr>
        <w:t>de vaststelling van een effectief integratiebeleid voor personen die legaal op hun grondgebied verblijven</w:t>
      </w:r>
      <w:r w:rsidRPr="000D308F" w:rsidR="00B427EC">
        <w:rPr>
          <w:rFonts w:ascii="Verdana" w:hAnsi="Verdana"/>
          <w:sz w:val="18"/>
          <w:szCs w:val="18"/>
        </w:rPr>
        <w:t xml:space="preserve">. </w:t>
      </w:r>
    </w:p>
    <w:p w:rsidRPr="000D308F" w:rsidR="002829BB" w:rsidP="00EC4F1D" w:rsidRDefault="002829BB" w14:paraId="0A67180D" w14:textId="7B606CC1">
      <w:pPr>
        <w:rPr>
          <w:rFonts w:ascii="Verdana" w:hAnsi="Verdana"/>
          <w:i/>
          <w:iCs/>
          <w:sz w:val="18"/>
          <w:szCs w:val="18"/>
        </w:rPr>
      </w:pPr>
      <w:r w:rsidRPr="000D308F">
        <w:rPr>
          <w:rFonts w:ascii="Verdana" w:hAnsi="Verdana"/>
          <w:i/>
          <w:iCs/>
          <w:sz w:val="18"/>
          <w:szCs w:val="18"/>
        </w:rPr>
        <w:lastRenderedPageBreak/>
        <w:t>Hoofdstuk 2 – Migratie en ontwikkeling</w:t>
      </w:r>
    </w:p>
    <w:p w:rsidRPr="000D308F" w:rsidR="00E46136" w:rsidP="00EC4F1D" w:rsidRDefault="00B427EC" w14:paraId="4283BC96" w14:textId="22DA0D82">
      <w:pPr>
        <w:rPr>
          <w:rFonts w:ascii="Verdana" w:hAnsi="Verdana"/>
          <w:sz w:val="18"/>
          <w:szCs w:val="18"/>
        </w:rPr>
      </w:pPr>
      <w:r w:rsidRPr="000D308F">
        <w:rPr>
          <w:rFonts w:ascii="Verdana" w:hAnsi="Verdana"/>
          <w:sz w:val="18"/>
          <w:szCs w:val="18"/>
        </w:rPr>
        <w:t>Artikelen 65 en 66 markeren dat goed beheerde migratie een bron van welvaart, innovatie en duurzame ontwikkeling kan zijn en onderstrepen het belang van bijdragen aan ontwikkeling, ook</w:t>
      </w:r>
      <w:r w:rsidRPr="000D308F" w:rsidR="00636C7A">
        <w:rPr>
          <w:rFonts w:ascii="Verdana" w:hAnsi="Verdana"/>
          <w:sz w:val="18"/>
          <w:szCs w:val="18"/>
        </w:rPr>
        <w:t xml:space="preserve"> </w:t>
      </w:r>
      <w:r w:rsidRPr="000D308F">
        <w:rPr>
          <w:rFonts w:ascii="Verdana" w:hAnsi="Verdana"/>
          <w:sz w:val="18"/>
          <w:szCs w:val="18"/>
        </w:rPr>
        <w:t xml:space="preserve">via de betekenisvolle rol van de diaspora, van de landen van herkomst. </w:t>
      </w:r>
      <w:r w:rsidRPr="000D308F" w:rsidR="00367F46">
        <w:rPr>
          <w:rFonts w:ascii="Verdana" w:hAnsi="Verdana"/>
          <w:sz w:val="18"/>
          <w:szCs w:val="18"/>
        </w:rPr>
        <w:t>In artikel 67 streven partijen overdrachten van overmakingen te bevorderen met als doel productieve binnenlandse investeringen te bevorderen. Artikel 68 erkent het belang van Zuid-Zuid migratie, markeert risico’s en kansen en bevestig</w:t>
      </w:r>
      <w:r w:rsidRPr="000D308F" w:rsidR="00F64052">
        <w:rPr>
          <w:rFonts w:ascii="Verdana" w:hAnsi="Verdana"/>
          <w:sz w:val="18"/>
          <w:szCs w:val="18"/>
        </w:rPr>
        <w:t>t</w:t>
      </w:r>
      <w:r w:rsidRPr="000D308F" w:rsidR="00367F46">
        <w:rPr>
          <w:rFonts w:ascii="Verdana" w:hAnsi="Verdana"/>
          <w:sz w:val="18"/>
          <w:szCs w:val="18"/>
        </w:rPr>
        <w:t xml:space="preserve"> ondersteuning van beleid en acties ter bevordering van socio-economische ontwikkelingen in landen van herkomst, doorvoer en bestemming ter mitigatie van de risico’s. Tot slot </w:t>
      </w:r>
      <w:r w:rsidRPr="000D308F" w:rsidR="002829BB">
        <w:rPr>
          <w:rFonts w:ascii="Verdana" w:hAnsi="Verdana"/>
          <w:sz w:val="18"/>
          <w:szCs w:val="18"/>
        </w:rPr>
        <w:t>spreken partijen in</w:t>
      </w:r>
      <w:r w:rsidRPr="000D308F" w:rsidR="00367F46">
        <w:rPr>
          <w:rFonts w:ascii="Verdana" w:hAnsi="Verdana"/>
          <w:sz w:val="18"/>
          <w:szCs w:val="18"/>
        </w:rPr>
        <w:t xml:space="preserve"> artikel </w:t>
      </w:r>
      <w:r w:rsidRPr="000D308F" w:rsidR="002829BB">
        <w:rPr>
          <w:rFonts w:ascii="Verdana" w:hAnsi="Verdana"/>
          <w:sz w:val="18"/>
          <w:szCs w:val="18"/>
        </w:rPr>
        <w:t xml:space="preserve">69 af rekening houden met het verband tussen migratie/ontheemding en klimaatverandering en maatregelen te nemen voor mitigatie, adaptatie en om in de behoeften van ontheemden te voorzien. </w:t>
      </w:r>
    </w:p>
    <w:p w:rsidRPr="000D308F" w:rsidR="00E46136" w:rsidP="00EC4F1D" w:rsidRDefault="00E46136" w14:paraId="48C5FA93" w14:textId="77777777">
      <w:pPr>
        <w:rPr>
          <w:rFonts w:ascii="Verdana" w:hAnsi="Verdana"/>
          <w:i/>
          <w:iCs/>
          <w:sz w:val="18"/>
          <w:szCs w:val="18"/>
        </w:rPr>
      </w:pPr>
      <w:r w:rsidRPr="000D308F">
        <w:rPr>
          <w:rFonts w:ascii="Verdana" w:hAnsi="Verdana"/>
          <w:i/>
          <w:iCs/>
          <w:sz w:val="18"/>
          <w:szCs w:val="18"/>
        </w:rPr>
        <w:t>Hoofdstuk 3 – Irreguliere migratie</w:t>
      </w:r>
    </w:p>
    <w:p w:rsidRPr="000D308F" w:rsidR="00531947" w:rsidP="00EC4F1D" w:rsidRDefault="00E46136" w14:paraId="65C3A8AD" w14:textId="738E2A85">
      <w:pPr>
        <w:rPr>
          <w:rFonts w:ascii="Verdana" w:hAnsi="Verdana"/>
          <w:sz w:val="18"/>
          <w:szCs w:val="18"/>
        </w:rPr>
      </w:pPr>
      <w:r w:rsidRPr="000D308F">
        <w:rPr>
          <w:rFonts w:ascii="Verdana" w:hAnsi="Verdana"/>
          <w:sz w:val="18"/>
          <w:szCs w:val="18"/>
        </w:rPr>
        <w:t xml:space="preserve">In artikel 70 erkennen </w:t>
      </w:r>
      <w:r w:rsidRPr="000D308F" w:rsidR="00E7320F">
        <w:rPr>
          <w:rFonts w:ascii="Verdana" w:hAnsi="Verdana"/>
          <w:sz w:val="18"/>
          <w:szCs w:val="18"/>
        </w:rPr>
        <w:t xml:space="preserve">partijen </w:t>
      </w:r>
      <w:r w:rsidRPr="000D308F">
        <w:rPr>
          <w:rFonts w:ascii="Verdana" w:hAnsi="Verdana"/>
          <w:sz w:val="18"/>
          <w:szCs w:val="18"/>
        </w:rPr>
        <w:t xml:space="preserve">de toegenomen risico’s voor migranten om mensenrechtenschendingen </w:t>
      </w:r>
      <w:r w:rsidRPr="000D308F" w:rsidR="006A2DCA">
        <w:rPr>
          <w:rFonts w:ascii="Verdana" w:hAnsi="Verdana"/>
          <w:sz w:val="18"/>
          <w:szCs w:val="18"/>
        </w:rPr>
        <w:t>te ervaren, slachtoffer te worden van mensenhandel en misbruik en de negatieve gevolgen van irreguliere migratie voor landen van herkomst doorreis en bestemming. In dat kader spreken partijen af</w:t>
      </w:r>
      <w:r w:rsidRPr="000D308F" w:rsidR="00E7320F">
        <w:rPr>
          <w:rFonts w:ascii="Verdana" w:hAnsi="Verdana"/>
          <w:sz w:val="18"/>
          <w:szCs w:val="18"/>
        </w:rPr>
        <w:t xml:space="preserve"> maatregelen te nemen</w:t>
      </w:r>
      <w:r w:rsidRPr="000D308F">
        <w:rPr>
          <w:rFonts w:ascii="Verdana" w:hAnsi="Verdana"/>
          <w:sz w:val="18"/>
          <w:szCs w:val="18"/>
        </w:rPr>
        <w:t>, bevestigen</w:t>
      </w:r>
      <w:r w:rsidRPr="000D308F" w:rsidR="002829BB">
        <w:rPr>
          <w:rFonts w:ascii="Verdana" w:hAnsi="Verdana"/>
          <w:sz w:val="18"/>
          <w:szCs w:val="18"/>
        </w:rPr>
        <w:t xml:space="preserve"> </w:t>
      </w:r>
      <w:r w:rsidRPr="000D308F">
        <w:rPr>
          <w:rFonts w:ascii="Verdana" w:hAnsi="Verdana"/>
          <w:sz w:val="18"/>
          <w:szCs w:val="18"/>
        </w:rPr>
        <w:t xml:space="preserve">hun vastberadenheid </w:t>
      </w:r>
      <w:r w:rsidRPr="000D308F" w:rsidR="008422E3">
        <w:rPr>
          <w:rFonts w:ascii="Verdana" w:hAnsi="Verdana"/>
          <w:sz w:val="18"/>
          <w:szCs w:val="18"/>
        </w:rPr>
        <w:t xml:space="preserve">om de </w:t>
      </w:r>
      <w:r w:rsidRPr="000D308F">
        <w:rPr>
          <w:rFonts w:ascii="Verdana" w:hAnsi="Verdana"/>
          <w:sz w:val="18"/>
          <w:szCs w:val="18"/>
        </w:rPr>
        <w:t>onderliggende oorzaken van irregulier</w:t>
      </w:r>
      <w:r w:rsidRPr="000D308F" w:rsidR="00702DDE">
        <w:rPr>
          <w:rFonts w:ascii="Verdana" w:hAnsi="Verdana"/>
          <w:sz w:val="18"/>
          <w:szCs w:val="18"/>
        </w:rPr>
        <w:t>e</w:t>
      </w:r>
      <w:r w:rsidRPr="000D308F">
        <w:rPr>
          <w:rFonts w:ascii="Verdana" w:hAnsi="Verdana"/>
          <w:sz w:val="18"/>
          <w:szCs w:val="18"/>
        </w:rPr>
        <w:t xml:space="preserve"> migratie en gedwongen ontheemding aan te pakken en adequaat op te reageren.</w:t>
      </w:r>
      <w:r w:rsidRPr="000D308F" w:rsidR="002829BB">
        <w:rPr>
          <w:rFonts w:ascii="Verdana" w:hAnsi="Verdana"/>
          <w:sz w:val="18"/>
          <w:szCs w:val="18"/>
        </w:rPr>
        <w:t xml:space="preserve"> </w:t>
      </w:r>
      <w:r w:rsidRPr="000D308F" w:rsidR="005E530E">
        <w:rPr>
          <w:rFonts w:ascii="Verdana" w:hAnsi="Verdana"/>
          <w:sz w:val="18"/>
          <w:szCs w:val="18"/>
        </w:rPr>
        <w:t>Tot slot</w:t>
      </w:r>
      <w:r w:rsidRPr="000D308F" w:rsidR="00550AF0">
        <w:rPr>
          <w:rFonts w:ascii="Verdana" w:hAnsi="Verdana"/>
          <w:sz w:val="18"/>
          <w:szCs w:val="18"/>
        </w:rPr>
        <w:t xml:space="preserve"> spreken partijen in artikelen 71 en 72 af gezamenlijke inspanningen te intensiveren tegen migrantensmokkel-gerelateerde grensoverschrijdende criminaliteit en mensenhandel</w:t>
      </w:r>
      <w:r w:rsidRPr="000D308F" w:rsidR="006A2DCA">
        <w:rPr>
          <w:rFonts w:ascii="Verdana" w:hAnsi="Verdana"/>
          <w:sz w:val="18"/>
          <w:szCs w:val="18"/>
        </w:rPr>
        <w:t xml:space="preserve"> en</w:t>
      </w:r>
      <w:r w:rsidRPr="000D308F" w:rsidR="00550AF0">
        <w:rPr>
          <w:rFonts w:ascii="Verdana" w:hAnsi="Verdana"/>
          <w:sz w:val="18"/>
          <w:szCs w:val="18"/>
        </w:rPr>
        <w:t xml:space="preserve"> </w:t>
      </w:r>
      <w:r w:rsidRPr="000D308F" w:rsidR="004149FA">
        <w:rPr>
          <w:rFonts w:ascii="Verdana" w:hAnsi="Verdana"/>
          <w:sz w:val="18"/>
          <w:szCs w:val="18"/>
        </w:rPr>
        <w:t xml:space="preserve">committeren </w:t>
      </w:r>
      <w:r w:rsidRPr="000D308F" w:rsidR="006A2DCA">
        <w:rPr>
          <w:rFonts w:ascii="Verdana" w:hAnsi="Verdana"/>
          <w:sz w:val="18"/>
          <w:szCs w:val="18"/>
        </w:rPr>
        <w:t>in artikel 73</w:t>
      </w:r>
      <w:r w:rsidRPr="000D308F" w:rsidR="004149FA">
        <w:rPr>
          <w:rFonts w:ascii="Verdana" w:hAnsi="Verdana"/>
          <w:sz w:val="18"/>
          <w:szCs w:val="18"/>
        </w:rPr>
        <w:t xml:space="preserve"> tot het bevorderen en ondersteunen van geïntegreerd grensbeheer.</w:t>
      </w:r>
    </w:p>
    <w:p w:rsidRPr="000D308F" w:rsidR="004149FA" w:rsidP="00EC4F1D" w:rsidRDefault="004149FA" w14:paraId="3A505F17" w14:textId="6262076C">
      <w:pPr>
        <w:rPr>
          <w:rFonts w:ascii="Verdana" w:hAnsi="Verdana"/>
          <w:i/>
          <w:iCs/>
          <w:sz w:val="18"/>
          <w:szCs w:val="18"/>
        </w:rPr>
      </w:pPr>
      <w:r w:rsidRPr="000D308F">
        <w:rPr>
          <w:rFonts w:ascii="Verdana" w:hAnsi="Verdana"/>
          <w:i/>
          <w:iCs/>
          <w:sz w:val="18"/>
          <w:szCs w:val="18"/>
        </w:rPr>
        <w:t>Hoofdstuk 4 – Terugkeer, overname en re-integratie</w:t>
      </w:r>
    </w:p>
    <w:p w:rsidRPr="000D308F" w:rsidR="006A2DCA" w:rsidP="00EC4F1D" w:rsidRDefault="00023A85" w14:paraId="67352C13" w14:textId="2FC8428B">
      <w:pPr>
        <w:rPr>
          <w:rFonts w:ascii="Verdana" w:hAnsi="Verdana"/>
          <w:sz w:val="18"/>
          <w:szCs w:val="18"/>
        </w:rPr>
      </w:pPr>
      <w:r w:rsidRPr="000D308F">
        <w:rPr>
          <w:rFonts w:ascii="Verdana" w:hAnsi="Verdana"/>
          <w:sz w:val="18"/>
          <w:szCs w:val="18"/>
        </w:rPr>
        <w:t>In a</w:t>
      </w:r>
      <w:r w:rsidRPr="000D308F" w:rsidR="000912D1">
        <w:rPr>
          <w:rFonts w:ascii="Verdana" w:hAnsi="Verdana"/>
          <w:sz w:val="18"/>
          <w:szCs w:val="18"/>
        </w:rPr>
        <w:t>rtikel</w:t>
      </w:r>
      <w:r w:rsidRPr="000D308F" w:rsidR="005E530E">
        <w:rPr>
          <w:rFonts w:ascii="Verdana" w:hAnsi="Verdana"/>
          <w:sz w:val="18"/>
          <w:szCs w:val="18"/>
        </w:rPr>
        <w:t xml:space="preserve"> 74</w:t>
      </w:r>
      <w:r w:rsidRPr="000D308F" w:rsidR="00BD16DB">
        <w:rPr>
          <w:rFonts w:ascii="Verdana" w:hAnsi="Verdana"/>
          <w:sz w:val="18"/>
          <w:szCs w:val="18"/>
        </w:rPr>
        <w:t xml:space="preserve"> </w:t>
      </w:r>
      <w:r w:rsidRPr="000D308F" w:rsidR="005E530E">
        <w:rPr>
          <w:rFonts w:ascii="Verdana" w:hAnsi="Verdana"/>
          <w:sz w:val="18"/>
          <w:szCs w:val="18"/>
        </w:rPr>
        <w:t>herbevestig</w:t>
      </w:r>
      <w:r w:rsidRPr="000D308F" w:rsidR="00BD16DB">
        <w:rPr>
          <w:rFonts w:ascii="Verdana" w:hAnsi="Verdana"/>
          <w:sz w:val="18"/>
          <w:szCs w:val="18"/>
        </w:rPr>
        <w:t>en</w:t>
      </w:r>
      <w:r w:rsidRPr="000D308F" w:rsidR="005E530E">
        <w:rPr>
          <w:rFonts w:ascii="Verdana" w:hAnsi="Verdana"/>
          <w:sz w:val="18"/>
          <w:szCs w:val="18"/>
        </w:rPr>
        <w:t xml:space="preserve"> </w:t>
      </w:r>
      <w:r w:rsidRPr="000D308F" w:rsidR="00F64052">
        <w:rPr>
          <w:rFonts w:ascii="Verdana" w:hAnsi="Verdana"/>
          <w:sz w:val="18"/>
          <w:szCs w:val="18"/>
        </w:rPr>
        <w:t xml:space="preserve">de partijen </w:t>
      </w:r>
      <w:r w:rsidRPr="000D308F" w:rsidR="005E530E">
        <w:rPr>
          <w:rFonts w:ascii="Verdana" w:hAnsi="Verdana"/>
          <w:sz w:val="18"/>
          <w:szCs w:val="18"/>
        </w:rPr>
        <w:t xml:space="preserve">het recht illegaal verblijvende migranten terug </w:t>
      </w:r>
      <w:r w:rsidRPr="000D308F" w:rsidR="000912D1">
        <w:rPr>
          <w:rFonts w:ascii="Verdana" w:hAnsi="Verdana"/>
          <w:sz w:val="18"/>
          <w:szCs w:val="18"/>
        </w:rPr>
        <w:t xml:space="preserve">te sturen </w:t>
      </w:r>
      <w:r w:rsidRPr="000D308F" w:rsidR="005E530E">
        <w:rPr>
          <w:rFonts w:ascii="Verdana" w:hAnsi="Verdana"/>
          <w:sz w:val="18"/>
          <w:szCs w:val="18"/>
        </w:rPr>
        <w:t xml:space="preserve">en </w:t>
      </w:r>
      <w:r w:rsidRPr="000D308F" w:rsidR="000912D1">
        <w:rPr>
          <w:rFonts w:ascii="Verdana" w:hAnsi="Verdana"/>
          <w:sz w:val="18"/>
          <w:szCs w:val="18"/>
        </w:rPr>
        <w:t xml:space="preserve">de wettelijke verplichting van elk EU-lidstaat en OACP-lid hun eigen onderdanen die illegaal verblijven op grondgebied van OACP-leden of EU-lidstaten over te nemen zonder voorwaarden of andere formaliteiten dan </w:t>
      </w:r>
      <w:r w:rsidRPr="000D308F" w:rsidR="00F64052">
        <w:rPr>
          <w:rFonts w:ascii="Verdana" w:hAnsi="Verdana"/>
          <w:sz w:val="18"/>
          <w:szCs w:val="18"/>
        </w:rPr>
        <w:t xml:space="preserve">het </w:t>
      </w:r>
      <w:r w:rsidRPr="000D308F" w:rsidR="00BD16DB">
        <w:rPr>
          <w:rFonts w:ascii="Verdana" w:hAnsi="Verdana"/>
          <w:sz w:val="18"/>
          <w:szCs w:val="18"/>
        </w:rPr>
        <w:t>in bijlage I uiteengezette proces</w:t>
      </w:r>
      <w:r w:rsidRPr="000D308F" w:rsidR="005B0461">
        <w:rPr>
          <w:rFonts w:ascii="Verdana" w:hAnsi="Verdana"/>
          <w:sz w:val="18"/>
          <w:szCs w:val="18"/>
        </w:rPr>
        <w:t>. Ook komen partijen overeen middels regelmatige partnerschapsdialogen toezicht te houden op de uitvoering van deze verplichtingen</w:t>
      </w:r>
      <w:r w:rsidRPr="000D308F" w:rsidR="00A0635D">
        <w:rPr>
          <w:rFonts w:ascii="Verdana" w:hAnsi="Verdana"/>
          <w:sz w:val="18"/>
          <w:szCs w:val="18"/>
        </w:rPr>
        <w:t>. In artikel 75 spreken partijen af manieren te onderzoeken om samen te werken ter bevordering van vrijwillige terugkeer en duurzame re-integratie van vrijwillig teruggekeerde personen.</w:t>
      </w:r>
    </w:p>
    <w:p w:rsidRPr="000D308F" w:rsidR="002829BB" w:rsidP="00EC4F1D" w:rsidRDefault="005B0461" w14:paraId="27B73EA9" w14:textId="514F46A2">
      <w:pPr>
        <w:rPr>
          <w:rFonts w:ascii="Verdana" w:hAnsi="Verdana"/>
          <w:sz w:val="18"/>
          <w:szCs w:val="18"/>
        </w:rPr>
      </w:pPr>
      <w:r w:rsidRPr="000D308F">
        <w:rPr>
          <w:rFonts w:ascii="Verdana" w:hAnsi="Verdana"/>
          <w:sz w:val="18"/>
          <w:szCs w:val="18"/>
        </w:rPr>
        <w:t>Artikel 76 verbindt de partijen de bescherming en waardigheid van vluchtelingen en andere ontheemden in overeenstemming met het internationaal recht (</w:t>
      </w:r>
      <w:r w:rsidRPr="000D308F" w:rsidR="00A87051">
        <w:rPr>
          <w:rFonts w:ascii="Verdana" w:hAnsi="Verdana"/>
          <w:sz w:val="18"/>
          <w:szCs w:val="18"/>
        </w:rPr>
        <w:t xml:space="preserve">inclusief </w:t>
      </w:r>
      <w:r w:rsidRPr="000D308F">
        <w:rPr>
          <w:rFonts w:ascii="Verdana" w:hAnsi="Verdana"/>
          <w:sz w:val="18"/>
          <w:szCs w:val="18"/>
        </w:rPr>
        <w:t>inzake de mensenrechten</w:t>
      </w:r>
      <w:r w:rsidRPr="000D308F" w:rsidR="00702DDE">
        <w:rPr>
          <w:rFonts w:ascii="Verdana" w:hAnsi="Verdana"/>
          <w:sz w:val="18"/>
          <w:szCs w:val="18"/>
        </w:rPr>
        <w:t xml:space="preserve"> en het humanitair recht</w:t>
      </w:r>
      <w:r w:rsidRPr="000D308F">
        <w:rPr>
          <w:rFonts w:ascii="Verdana" w:hAnsi="Verdana"/>
          <w:sz w:val="18"/>
          <w:szCs w:val="18"/>
        </w:rPr>
        <w:t>) te</w:t>
      </w:r>
      <w:r w:rsidRPr="000D308F" w:rsidR="004D0E06">
        <w:rPr>
          <w:rFonts w:ascii="Verdana" w:hAnsi="Verdana"/>
          <w:sz w:val="18"/>
          <w:szCs w:val="18"/>
        </w:rPr>
        <w:t xml:space="preserve"> </w:t>
      </w:r>
      <w:r w:rsidRPr="000D308F">
        <w:rPr>
          <w:rFonts w:ascii="Verdana" w:hAnsi="Verdana"/>
          <w:sz w:val="18"/>
          <w:szCs w:val="18"/>
        </w:rPr>
        <w:t xml:space="preserve">versterken. </w:t>
      </w:r>
    </w:p>
    <w:p w:rsidRPr="000D308F" w:rsidR="001A7F16" w:rsidP="00EC4F1D" w:rsidRDefault="001A7F16" w14:paraId="5846F71C" w14:textId="32A7CB6B">
      <w:pPr>
        <w:rPr>
          <w:rFonts w:ascii="Verdana" w:hAnsi="Verdana"/>
          <w:b/>
          <w:bCs/>
          <w:sz w:val="18"/>
          <w:szCs w:val="18"/>
        </w:rPr>
      </w:pPr>
      <w:r w:rsidRPr="000D308F">
        <w:rPr>
          <w:rFonts w:ascii="Verdana" w:hAnsi="Verdana"/>
          <w:b/>
          <w:bCs/>
          <w:sz w:val="18"/>
          <w:szCs w:val="18"/>
        </w:rPr>
        <w:t>Deel III – Mondiale allianties en internationale samenwerking</w:t>
      </w:r>
      <w:r w:rsidRPr="000D308F" w:rsidR="000347A4">
        <w:rPr>
          <w:rFonts w:ascii="Verdana" w:hAnsi="Verdana"/>
          <w:b/>
          <w:bCs/>
          <w:sz w:val="18"/>
          <w:szCs w:val="18"/>
        </w:rPr>
        <w:t xml:space="preserve"> (artikelen 77 t/m 8</w:t>
      </w:r>
      <w:r w:rsidRPr="000D308F" w:rsidR="00FF6095">
        <w:rPr>
          <w:rFonts w:ascii="Verdana" w:hAnsi="Verdana"/>
          <w:b/>
          <w:bCs/>
          <w:sz w:val="18"/>
          <w:szCs w:val="18"/>
        </w:rPr>
        <w:t>0</w:t>
      </w:r>
      <w:r w:rsidRPr="000D308F" w:rsidR="000347A4">
        <w:rPr>
          <w:rFonts w:ascii="Verdana" w:hAnsi="Verdana"/>
          <w:b/>
          <w:bCs/>
          <w:sz w:val="18"/>
          <w:szCs w:val="18"/>
        </w:rPr>
        <w:t>)</w:t>
      </w:r>
    </w:p>
    <w:p w:rsidRPr="000D308F" w:rsidR="007A7CE9" w:rsidP="00EC4F1D" w:rsidRDefault="00797E18" w14:paraId="5B12E604" w14:textId="4AF4B400">
      <w:pPr>
        <w:rPr>
          <w:rFonts w:ascii="Verdana" w:hAnsi="Verdana"/>
          <w:sz w:val="18"/>
          <w:szCs w:val="18"/>
        </w:rPr>
      </w:pPr>
      <w:r w:rsidRPr="000D308F">
        <w:rPr>
          <w:rFonts w:ascii="Verdana" w:hAnsi="Verdana"/>
          <w:sz w:val="18"/>
          <w:szCs w:val="18"/>
        </w:rPr>
        <w:t xml:space="preserve">De partijen bevestigen in artikel 77 het belang van internationale samenwerking ten behoeve van de instandhouding en versterking van het multilaterale systeem. In artikel 78 wordt uiteengezet hoe de partijen zich zullen inzetten voor de op regels gebaseerde wereldorde, onder meer door middel van de ratificatie en toetreding tot internationale verdragen en overeenkomsten, de hervorming en modernisering van multilaterale instellingen en het verdiepen van de </w:t>
      </w:r>
      <w:proofErr w:type="spellStart"/>
      <w:r w:rsidRPr="000D308F">
        <w:rPr>
          <w:rFonts w:ascii="Verdana" w:hAnsi="Verdana"/>
          <w:sz w:val="18"/>
          <w:szCs w:val="18"/>
        </w:rPr>
        <w:t>multistakeholderbenadering</w:t>
      </w:r>
      <w:proofErr w:type="spellEnd"/>
      <w:r w:rsidRPr="000D308F">
        <w:rPr>
          <w:rFonts w:ascii="Verdana" w:hAnsi="Verdana"/>
          <w:sz w:val="18"/>
          <w:szCs w:val="18"/>
        </w:rPr>
        <w:t xml:space="preserve"> van multilateralisme. </w:t>
      </w:r>
      <w:r w:rsidRPr="000D308F" w:rsidR="004D6181">
        <w:rPr>
          <w:rFonts w:ascii="Verdana" w:hAnsi="Verdana"/>
          <w:sz w:val="18"/>
          <w:szCs w:val="18"/>
        </w:rPr>
        <w:t xml:space="preserve">Ook zullen de partijen ernaar streven gezamenlijke resoluties en verklaringen aan te nemen op basis van gemeenschappelijke belangen, wederzijds respect en gelijkheid. </w:t>
      </w:r>
      <w:r w:rsidRPr="000D308F" w:rsidR="00212FD9">
        <w:rPr>
          <w:rFonts w:ascii="Verdana" w:hAnsi="Verdana"/>
          <w:sz w:val="18"/>
          <w:szCs w:val="18"/>
        </w:rPr>
        <w:t xml:space="preserve">Verder </w:t>
      </w:r>
      <w:r w:rsidRPr="000D308F" w:rsidR="004D6181">
        <w:rPr>
          <w:rFonts w:ascii="Verdana" w:hAnsi="Verdana"/>
          <w:sz w:val="18"/>
          <w:szCs w:val="18"/>
        </w:rPr>
        <w:t>zullen de partijen operationele regelingen vaststellen voor doeltreffende samenwerking en coördinatie op internationaal niveau</w:t>
      </w:r>
      <w:r w:rsidRPr="000D308F" w:rsidR="00791A5A">
        <w:rPr>
          <w:rFonts w:ascii="Verdana" w:hAnsi="Verdana"/>
          <w:sz w:val="18"/>
          <w:szCs w:val="18"/>
        </w:rPr>
        <w:t>, onder andere middels ministeriele bijeenkomsten tussen de EU en de ACS-leden</w:t>
      </w:r>
      <w:r w:rsidRPr="000D308F" w:rsidR="004D6181">
        <w:rPr>
          <w:rFonts w:ascii="Verdana" w:hAnsi="Verdana"/>
          <w:sz w:val="18"/>
          <w:szCs w:val="18"/>
        </w:rPr>
        <w:t xml:space="preserve"> (artikel 79). Tot slot </w:t>
      </w:r>
      <w:r w:rsidRPr="000D308F" w:rsidR="00B64F97">
        <w:rPr>
          <w:rFonts w:ascii="Verdana" w:hAnsi="Verdana"/>
          <w:sz w:val="18"/>
          <w:szCs w:val="18"/>
        </w:rPr>
        <w:t xml:space="preserve">worden in artikel 80 de gebieden voor internationale actie beschreven overeenkomstig deel II van de </w:t>
      </w:r>
      <w:r w:rsidRPr="000D308F" w:rsidR="005105A2">
        <w:rPr>
          <w:rFonts w:ascii="Verdana" w:hAnsi="Verdana"/>
          <w:sz w:val="18"/>
          <w:szCs w:val="18"/>
        </w:rPr>
        <w:t>overeenkomst</w:t>
      </w:r>
      <w:r w:rsidRPr="000D308F" w:rsidR="00B64F97">
        <w:rPr>
          <w:rFonts w:ascii="Verdana" w:hAnsi="Verdana"/>
          <w:sz w:val="18"/>
          <w:szCs w:val="18"/>
        </w:rPr>
        <w:t>.</w:t>
      </w:r>
    </w:p>
    <w:p w:rsidRPr="000D308F" w:rsidR="001A7F16" w:rsidP="00EC4F1D" w:rsidRDefault="001A7F16" w14:paraId="707F0E50" w14:textId="7ADFFB81">
      <w:pPr>
        <w:rPr>
          <w:rFonts w:ascii="Verdana" w:hAnsi="Verdana"/>
          <w:b/>
          <w:bCs/>
          <w:sz w:val="18"/>
          <w:szCs w:val="18"/>
        </w:rPr>
      </w:pPr>
      <w:r w:rsidRPr="000D308F">
        <w:rPr>
          <w:rFonts w:ascii="Verdana" w:hAnsi="Verdana"/>
          <w:b/>
          <w:bCs/>
          <w:sz w:val="18"/>
          <w:szCs w:val="18"/>
        </w:rPr>
        <w:t>Deel IV – Middelen voor samenwerking en uitvoering</w:t>
      </w:r>
      <w:r w:rsidRPr="000D308F" w:rsidR="00FF6095">
        <w:rPr>
          <w:rFonts w:ascii="Verdana" w:hAnsi="Verdana"/>
          <w:b/>
          <w:bCs/>
          <w:sz w:val="18"/>
          <w:szCs w:val="18"/>
        </w:rPr>
        <w:t xml:space="preserve"> (artikelen 81 t/m 85)</w:t>
      </w:r>
    </w:p>
    <w:p w:rsidRPr="000D308F" w:rsidR="00FF6095" w:rsidP="00EC4F1D" w:rsidRDefault="003A6A01" w14:paraId="40EF37A6" w14:textId="1B674A87">
      <w:pPr>
        <w:rPr>
          <w:rFonts w:ascii="Verdana" w:hAnsi="Verdana"/>
          <w:b/>
          <w:bCs/>
          <w:sz w:val="18"/>
          <w:szCs w:val="18"/>
        </w:rPr>
      </w:pPr>
      <w:r w:rsidRPr="000D308F">
        <w:rPr>
          <w:rFonts w:ascii="Verdana" w:hAnsi="Verdana"/>
          <w:sz w:val="18"/>
          <w:szCs w:val="18"/>
        </w:rPr>
        <w:t xml:space="preserve">Artikelen 81 tot en met 85 gaan in op de middelen voor samenwerking en uitvoering onder gesloten </w:t>
      </w:r>
      <w:r w:rsidRPr="000D308F" w:rsidR="005105A2">
        <w:rPr>
          <w:rFonts w:ascii="Verdana" w:hAnsi="Verdana"/>
          <w:sz w:val="18"/>
          <w:szCs w:val="18"/>
        </w:rPr>
        <w:t>overeenkomst</w:t>
      </w:r>
      <w:r w:rsidRPr="000D308F">
        <w:rPr>
          <w:rFonts w:ascii="Verdana" w:hAnsi="Verdana"/>
          <w:sz w:val="18"/>
          <w:szCs w:val="18"/>
        </w:rPr>
        <w:t xml:space="preserve">. In artikel 81 komen de partijen overeen zowel financiële als niet-financiële middelen te mobiliseren om deze </w:t>
      </w:r>
      <w:r w:rsidRPr="000D308F" w:rsidR="005105A2">
        <w:rPr>
          <w:rFonts w:ascii="Verdana" w:hAnsi="Verdana"/>
          <w:sz w:val="18"/>
          <w:szCs w:val="18"/>
        </w:rPr>
        <w:t>overeenkomst</w:t>
      </w:r>
      <w:r w:rsidRPr="000D308F">
        <w:rPr>
          <w:rFonts w:ascii="Verdana" w:hAnsi="Verdana"/>
          <w:sz w:val="18"/>
          <w:szCs w:val="18"/>
        </w:rPr>
        <w:t xml:space="preserve"> te implementeren in overeenstemming met het beginsel “</w:t>
      </w:r>
      <w:proofErr w:type="spellStart"/>
      <w:r w:rsidRPr="000D308F">
        <w:rPr>
          <w:rFonts w:ascii="Verdana" w:hAnsi="Verdana"/>
          <w:i/>
          <w:iCs/>
          <w:sz w:val="18"/>
          <w:szCs w:val="18"/>
        </w:rPr>
        <w:t>leaving</w:t>
      </w:r>
      <w:proofErr w:type="spellEnd"/>
      <w:r w:rsidRPr="000D308F">
        <w:rPr>
          <w:rFonts w:ascii="Verdana" w:hAnsi="Verdana"/>
          <w:i/>
          <w:iCs/>
          <w:sz w:val="18"/>
          <w:szCs w:val="18"/>
        </w:rPr>
        <w:t xml:space="preserve"> no </w:t>
      </w:r>
      <w:proofErr w:type="spellStart"/>
      <w:r w:rsidRPr="000D308F">
        <w:rPr>
          <w:rFonts w:ascii="Verdana" w:hAnsi="Verdana"/>
          <w:i/>
          <w:iCs/>
          <w:sz w:val="18"/>
          <w:szCs w:val="18"/>
        </w:rPr>
        <w:t>one</w:t>
      </w:r>
      <w:proofErr w:type="spellEnd"/>
      <w:r w:rsidRPr="000D308F">
        <w:rPr>
          <w:rFonts w:ascii="Verdana" w:hAnsi="Verdana"/>
          <w:i/>
          <w:iCs/>
          <w:sz w:val="18"/>
          <w:szCs w:val="18"/>
        </w:rPr>
        <w:t xml:space="preserve"> </w:t>
      </w:r>
      <w:proofErr w:type="spellStart"/>
      <w:r w:rsidRPr="000D308F">
        <w:rPr>
          <w:rFonts w:ascii="Verdana" w:hAnsi="Verdana"/>
          <w:i/>
          <w:iCs/>
          <w:sz w:val="18"/>
          <w:szCs w:val="18"/>
        </w:rPr>
        <w:t>behind</w:t>
      </w:r>
      <w:proofErr w:type="spellEnd"/>
      <w:r w:rsidRPr="000D308F">
        <w:rPr>
          <w:rFonts w:ascii="Verdana" w:hAnsi="Verdana"/>
          <w:sz w:val="18"/>
          <w:szCs w:val="18"/>
        </w:rPr>
        <w:t xml:space="preserve">”. </w:t>
      </w:r>
      <w:r w:rsidRPr="000D308F" w:rsidR="00BD3F7F">
        <w:rPr>
          <w:rFonts w:ascii="Verdana" w:hAnsi="Verdana"/>
          <w:sz w:val="18"/>
          <w:szCs w:val="18"/>
        </w:rPr>
        <w:t>In dat kader</w:t>
      </w:r>
      <w:r w:rsidRPr="000D308F">
        <w:rPr>
          <w:rFonts w:ascii="Verdana" w:hAnsi="Verdana"/>
          <w:sz w:val="18"/>
          <w:szCs w:val="18"/>
        </w:rPr>
        <w:t xml:space="preserve"> erkennen zij het belang van de financiering van ontwikkeling die essentieel is om de Agenda 2030 en de </w:t>
      </w:r>
      <w:r w:rsidRPr="000D308F" w:rsidR="006F4BF8">
        <w:rPr>
          <w:rFonts w:ascii="Verdana" w:hAnsi="Verdana"/>
          <w:sz w:val="18"/>
          <w:szCs w:val="18"/>
        </w:rPr>
        <w:t>O</w:t>
      </w:r>
      <w:r w:rsidRPr="000D308F" w:rsidR="005105A2">
        <w:rPr>
          <w:rFonts w:ascii="Verdana" w:hAnsi="Verdana"/>
          <w:sz w:val="18"/>
          <w:szCs w:val="18"/>
        </w:rPr>
        <w:t>vereenkomst</w:t>
      </w:r>
      <w:r w:rsidRPr="000D308F">
        <w:rPr>
          <w:rFonts w:ascii="Verdana" w:hAnsi="Verdana"/>
          <w:sz w:val="18"/>
          <w:szCs w:val="18"/>
        </w:rPr>
        <w:t xml:space="preserve"> van Parijs uit te voeren. </w:t>
      </w:r>
      <w:r w:rsidRPr="000D308F" w:rsidR="00BD3F7F">
        <w:rPr>
          <w:rFonts w:ascii="Verdana" w:hAnsi="Verdana"/>
          <w:sz w:val="18"/>
          <w:szCs w:val="18"/>
        </w:rPr>
        <w:t>P</w:t>
      </w:r>
      <w:r w:rsidRPr="000D308F">
        <w:rPr>
          <w:rFonts w:ascii="Verdana" w:hAnsi="Verdana"/>
          <w:sz w:val="18"/>
          <w:szCs w:val="18"/>
        </w:rPr>
        <w:t xml:space="preserve">artijen </w:t>
      </w:r>
      <w:r w:rsidRPr="000D308F" w:rsidR="00BD3F7F">
        <w:rPr>
          <w:rFonts w:ascii="Verdana" w:hAnsi="Verdana"/>
          <w:sz w:val="18"/>
          <w:szCs w:val="18"/>
        </w:rPr>
        <w:t xml:space="preserve">komen </w:t>
      </w:r>
      <w:r w:rsidRPr="000D308F">
        <w:rPr>
          <w:rFonts w:ascii="Verdana" w:hAnsi="Verdana"/>
          <w:sz w:val="18"/>
          <w:szCs w:val="18"/>
        </w:rPr>
        <w:t xml:space="preserve">overeen dat de middelen voor samenwerking gediversifieerd dienen te zijn en de </w:t>
      </w:r>
      <w:r w:rsidRPr="000D308F">
        <w:rPr>
          <w:rFonts w:ascii="Verdana" w:hAnsi="Verdana"/>
          <w:sz w:val="18"/>
          <w:szCs w:val="18"/>
        </w:rPr>
        <w:lastRenderedPageBreak/>
        <w:t xml:space="preserve">beginselen inzake doeltreffende ontwikkelingshulp gerespecteerd dienen te worden. </w:t>
      </w:r>
      <w:r w:rsidRPr="000D308F" w:rsidR="00C05749">
        <w:rPr>
          <w:rFonts w:ascii="Verdana" w:hAnsi="Verdana"/>
          <w:sz w:val="18"/>
          <w:szCs w:val="18"/>
        </w:rPr>
        <w:t xml:space="preserve">In artikel 82 herbevestigt de EU haar politieke wil om de middelen voor ontwikkelingssamenwerking te verhogen met het oog op de verwezenlijking van duurzame ontwikkeling. </w:t>
      </w:r>
      <w:r w:rsidRPr="000D308F" w:rsidR="00BD3F7F">
        <w:rPr>
          <w:rFonts w:ascii="Verdana" w:hAnsi="Verdana"/>
          <w:sz w:val="18"/>
          <w:szCs w:val="18"/>
        </w:rPr>
        <w:t xml:space="preserve">Voorts </w:t>
      </w:r>
      <w:r w:rsidRPr="000D308F" w:rsidR="00C05749">
        <w:rPr>
          <w:rFonts w:ascii="Verdana" w:hAnsi="Verdana"/>
          <w:sz w:val="18"/>
          <w:szCs w:val="18"/>
        </w:rPr>
        <w:t xml:space="preserve">komen de partijen overeen dat bij de toewijzing van middelen prioriteit gegeven moet worden aan de meest behoeftige landen. De EU mobiliseert daarbij middelen voor de ondersteuning van programma’s in staten in Afrika, het Caribisch gebied en het gebied van de Stille Oceaan waarbij deze samenwerking verschillende vormen kan aannemen (bijvoorbeeld technische samenwerking, capaciteitsopbouw of </w:t>
      </w:r>
      <w:proofErr w:type="spellStart"/>
      <w:r w:rsidRPr="000D308F" w:rsidR="00C05749">
        <w:rPr>
          <w:rFonts w:ascii="Verdana" w:hAnsi="Verdana"/>
          <w:sz w:val="18"/>
          <w:szCs w:val="18"/>
        </w:rPr>
        <w:t>driehoeksregelingen</w:t>
      </w:r>
      <w:proofErr w:type="spellEnd"/>
      <w:r w:rsidRPr="000D308F" w:rsidR="00C05749">
        <w:rPr>
          <w:rFonts w:ascii="Verdana" w:hAnsi="Verdana"/>
          <w:sz w:val="18"/>
          <w:szCs w:val="18"/>
        </w:rPr>
        <w:t xml:space="preserve">) en kan worden verleend via verschillende soorten financiering en procedures (bijvoorbeeld begrotingssteun, begrotingsgaranties en </w:t>
      </w:r>
      <w:proofErr w:type="spellStart"/>
      <w:r w:rsidRPr="000D308F" w:rsidR="00C05749">
        <w:rPr>
          <w:rFonts w:ascii="Verdana" w:hAnsi="Verdana"/>
          <w:sz w:val="18"/>
          <w:szCs w:val="18"/>
        </w:rPr>
        <w:t>blendingsverrichtingen</w:t>
      </w:r>
      <w:proofErr w:type="spellEnd"/>
      <w:r w:rsidRPr="000D308F" w:rsidR="00C05749">
        <w:rPr>
          <w:rFonts w:ascii="Verdana" w:hAnsi="Verdana"/>
          <w:sz w:val="18"/>
          <w:szCs w:val="18"/>
        </w:rPr>
        <w:t xml:space="preserve">). </w:t>
      </w:r>
      <w:r w:rsidRPr="000D308F" w:rsidR="00BD3F7F">
        <w:rPr>
          <w:rFonts w:ascii="Verdana" w:hAnsi="Verdana"/>
          <w:sz w:val="18"/>
          <w:szCs w:val="18"/>
        </w:rPr>
        <w:t>Daarnaast</w:t>
      </w:r>
      <w:r w:rsidRPr="000D308F" w:rsidR="00C05749">
        <w:rPr>
          <w:rFonts w:ascii="Verdana" w:hAnsi="Verdana"/>
          <w:sz w:val="18"/>
          <w:szCs w:val="18"/>
        </w:rPr>
        <w:t xml:space="preserve"> verbinden de EU en de verder gevorderde ACS-leden zich ertoe nieuwe vormen van samenwerking te ontwikkelen, waaronder innovatieve financiële </w:t>
      </w:r>
      <w:r w:rsidRPr="000D308F" w:rsidR="007444FA">
        <w:rPr>
          <w:rFonts w:ascii="Verdana" w:hAnsi="Verdana"/>
          <w:sz w:val="18"/>
          <w:szCs w:val="18"/>
        </w:rPr>
        <w:t>instrumenten</w:t>
      </w:r>
      <w:r w:rsidRPr="000D308F" w:rsidR="00C05749">
        <w:rPr>
          <w:rFonts w:ascii="Verdana" w:hAnsi="Verdana"/>
          <w:sz w:val="18"/>
          <w:szCs w:val="18"/>
        </w:rPr>
        <w:t xml:space="preserve"> en cofinanciering</w:t>
      </w:r>
      <w:r w:rsidRPr="000D308F" w:rsidR="00BD3F7F">
        <w:rPr>
          <w:rFonts w:ascii="Verdana" w:hAnsi="Verdana"/>
          <w:sz w:val="18"/>
          <w:szCs w:val="18"/>
        </w:rPr>
        <w:t xml:space="preserve"> en</w:t>
      </w:r>
      <w:r w:rsidRPr="000D308F" w:rsidR="00C05749">
        <w:rPr>
          <w:rFonts w:ascii="Verdana" w:hAnsi="Verdana"/>
          <w:sz w:val="18"/>
          <w:szCs w:val="18"/>
        </w:rPr>
        <w:t xml:space="preserve"> komen de partijen overeen onder welke criteria begrotingssteun verleend kan worden (zie </w:t>
      </w:r>
      <w:r w:rsidRPr="000D308F" w:rsidR="00F64052">
        <w:rPr>
          <w:rFonts w:ascii="Verdana" w:hAnsi="Verdana"/>
          <w:sz w:val="18"/>
          <w:szCs w:val="18"/>
        </w:rPr>
        <w:t>a</w:t>
      </w:r>
      <w:r w:rsidRPr="000D308F" w:rsidR="00C05749">
        <w:rPr>
          <w:rFonts w:ascii="Verdana" w:hAnsi="Verdana"/>
          <w:sz w:val="18"/>
          <w:szCs w:val="18"/>
        </w:rPr>
        <w:t xml:space="preserve">rtikel 82, </w:t>
      </w:r>
      <w:r w:rsidRPr="000D308F" w:rsidR="00B76661">
        <w:rPr>
          <w:rFonts w:ascii="Verdana" w:hAnsi="Verdana"/>
          <w:sz w:val="18"/>
          <w:szCs w:val="18"/>
        </w:rPr>
        <w:t>zevende lid</w:t>
      </w:r>
      <w:r w:rsidRPr="000D308F" w:rsidR="00C05749">
        <w:rPr>
          <w:rFonts w:ascii="Verdana" w:hAnsi="Verdana"/>
          <w:sz w:val="18"/>
          <w:szCs w:val="18"/>
        </w:rPr>
        <w:t xml:space="preserve">). </w:t>
      </w:r>
      <w:r w:rsidRPr="000D308F" w:rsidR="00CB0B1A">
        <w:rPr>
          <w:rFonts w:ascii="Verdana" w:hAnsi="Verdana"/>
          <w:sz w:val="18"/>
          <w:szCs w:val="18"/>
        </w:rPr>
        <w:t xml:space="preserve">Ook spreken de partijen af de voorspelbaarheid en veiligheid van de middelenstromen te bevorderen en de programmering te baseren op een vroegtijdige en inclusieve dialoog tussen de EU, de ACS-leden en overige stakeholders. </w:t>
      </w:r>
      <w:r w:rsidRPr="000D308F" w:rsidR="00BD3F7F">
        <w:rPr>
          <w:rFonts w:ascii="Verdana" w:hAnsi="Verdana"/>
          <w:sz w:val="18"/>
          <w:szCs w:val="18"/>
        </w:rPr>
        <w:t>Daarnaast</w:t>
      </w:r>
      <w:r w:rsidRPr="000D308F" w:rsidR="002B7E94">
        <w:rPr>
          <w:rFonts w:ascii="Verdana" w:hAnsi="Verdana"/>
          <w:sz w:val="18"/>
          <w:szCs w:val="18"/>
        </w:rPr>
        <w:t xml:space="preserve"> wordt afgesproken dat er de mogelijkheid bestaat voor een evaluatie van het beheer en de impact van de financiële middelen om de doeltreffendheid van de programmering te verbeteren. </w:t>
      </w:r>
      <w:r w:rsidRPr="000D308F" w:rsidR="00367250">
        <w:rPr>
          <w:rFonts w:ascii="Verdana" w:hAnsi="Verdana"/>
          <w:sz w:val="18"/>
          <w:szCs w:val="18"/>
        </w:rPr>
        <w:t xml:space="preserve">In artikel 83 herbevestigen de ACS-leden dat zij zich zullen inzetten voor de mobilisatie van binnenlandse middelen, onder meer via het genereren van meer binnenlandse private stromen en handel. </w:t>
      </w:r>
      <w:r w:rsidRPr="000D308F" w:rsidR="00BD3F7F">
        <w:rPr>
          <w:rFonts w:ascii="Verdana" w:hAnsi="Verdana"/>
          <w:sz w:val="18"/>
          <w:szCs w:val="18"/>
        </w:rPr>
        <w:t>D</w:t>
      </w:r>
      <w:r w:rsidRPr="000D308F" w:rsidR="00367250">
        <w:rPr>
          <w:rFonts w:ascii="Verdana" w:hAnsi="Verdana"/>
          <w:sz w:val="18"/>
          <w:szCs w:val="18"/>
        </w:rPr>
        <w:t xml:space="preserve">e ACS-leden </w:t>
      </w:r>
      <w:r w:rsidRPr="000D308F" w:rsidR="00BD3F7F">
        <w:rPr>
          <w:rFonts w:ascii="Verdana" w:hAnsi="Verdana"/>
          <w:sz w:val="18"/>
          <w:szCs w:val="18"/>
        </w:rPr>
        <w:t xml:space="preserve">zullen </w:t>
      </w:r>
      <w:r w:rsidRPr="000D308F" w:rsidR="00367250">
        <w:rPr>
          <w:rFonts w:ascii="Verdana" w:hAnsi="Verdana"/>
          <w:sz w:val="18"/>
          <w:szCs w:val="18"/>
        </w:rPr>
        <w:t>streven naar het verbeteren van de inning van inkomsten door middel van gemoderniseerde belastingstelsels, een beter belastingbeleid, efficiëntere belastinginni</w:t>
      </w:r>
      <w:r w:rsidRPr="000D308F" w:rsidR="00C41C32">
        <w:rPr>
          <w:rFonts w:ascii="Verdana" w:hAnsi="Verdana"/>
          <w:sz w:val="18"/>
          <w:szCs w:val="18"/>
        </w:rPr>
        <w:t>n</w:t>
      </w:r>
      <w:r w:rsidRPr="000D308F" w:rsidR="00367250">
        <w:rPr>
          <w:rFonts w:ascii="Verdana" w:hAnsi="Verdana"/>
          <w:sz w:val="18"/>
          <w:szCs w:val="18"/>
        </w:rPr>
        <w:t xml:space="preserve">g en een versterkte en hervormde belastingadministratie. </w:t>
      </w:r>
      <w:r w:rsidRPr="000D308F" w:rsidR="00BD3F7F">
        <w:rPr>
          <w:rFonts w:ascii="Verdana" w:hAnsi="Verdana"/>
          <w:sz w:val="18"/>
          <w:szCs w:val="18"/>
        </w:rPr>
        <w:t>In dat kader</w:t>
      </w:r>
      <w:r w:rsidRPr="000D308F" w:rsidR="00367250">
        <w:rPr>
          <w:rFonts w:ascii="Verdana" w:hAnsi="Verdana"/>
          <w:sz w:val="18"/>
          <w:szCs w:val="18"/>
        </w:rPr>
        <w:t xml:space="preserve"> zullen de ACS-leden streven de belastinggrondslag te verbreden en zich te blijven inspannen om de informele sector in de formele economie te integreren.</w:t>
      </w:r>
      <w:r w:rsidRPr="000D308F" w:rsidR="0047336F">
        <w:rPr>
          <w:rFonts w:ascii="Verdana" w:hAnsi="Verdana"/>
          <w:sz w:val="18"/>
          <w:szCs w:val="18"/>
        </w:rPr>
        <w:t xml:space="preserve"> </w:t>
      </w:r>
      <w:r w:rsidRPr="000D308F" w:rsidR="00BD3F7F">
        <w:rPr>
          <w:rFonts w:ascii="Verdana" w:hAnsi="Verdana"/>
          <w:sz w:val="18"/>
          <w:szCs w:val="18"/>
        </w:rPr>
        <w:t>In die context</w:t>
      </w:r>
      <w:r w:rsidRPr="000D308F" w:rsidR="0047336F">
        <w:rPr>
          <w:rFonts w:ascii="Verdana" w:hAnsi="Verdana"/>
          <w:sz w:val="18"/>
          <w:szCs w:val="18"/>
        </w:rPr>
        <w:t xml:space="preserve"> spreken de partijen af hun inspanning op het gebied van de bestrijding van illegale geldstromen op te voeren en samen te werken voor de terugvordering van verloren activa en kapitaal. </w:t>
      </w:r>
      <w:r w:rsidRPr="000D308F" w:rsidR="0060483B">
        <w:rPr>
          <w:rFonts w:ascii="Verdana" w:hAnsi="Verdana"/>
          <w:sz w:val="18"/>
          <w:szCs w:val="18"/>
        </w:rPr>
        <w:t xml:space="preserve">Verder </w:t>
      </w:r>
      <w:r w:rsidRPr="000D308F" w:rsidR="0047336F">
        <w:rPr>
          <w:rFonts w:ascii="Verdana" w:hAnsi="Verdana"/>
          <w:sz w:val="18"/>
          <w:szCs w:val="18"/>
        </w:rPr>
        <w:t xml:space="preserve">bevorderen </w:t>
      </w:r>
      <w:r w:rsidRPr="000D308F" w:rsidR="003015D0">
        <w:rPr>
          <w:rFonts w:ascii="Verdana" w:hAnsi="Verdana"/>
          <w:sz w:val="18"/>
          <w:szCs w:val="18"/>
        </w:rPr>
        <w:t xml:space="preserve">partijen </w:t>
      </w:r>
      <w:r w:rsidRPr="000D308F" w:rsidR="0047336F">
        <w:rPr>
          <w:rFonts w:ascii="Verdana" w:hAnsi="Verdana"/>
          <w:sz w:val="18"/>
          <w:szCs w:val="18"/>
        </w:rPr>
        <w:t>maatregelen om schadelijke belastingpraktijken aan te pakken</w:t>
      </w:r>
      <w:r w:rsidRPr="000D308F" w:rsidR="00DA525D">
        <w:rPr>
          <w:rFonts w:ascii="Verdana" w:hAnsi="Verdana"/>
          <w:sz w:val="18"/>
          <w:szCs w:val="18"/>
        </w:rPr>
        <w:t xml:space="preserve"> en spreken ze af samen te werken in internationale fora op het gebied van belastingaangelegenheden. </w:t>
      </w:r>
      <w:r w:rsidRPr="000D308F" w:rsidR="00E85119">
        <w:rPr>
          <w:rFonts w:ascii="Verdana" w:hAnsi="Verdana"/>
          <w:sz w:val="18"/>
          <w:szCs w:val="18"/>
        </w:rPr>
        <w:t xml:space="preserve">In artikel 84 spreken de partijen af beleid te ontwikkelen en versterken om duurzame en verantwoorde investeringen te mobiliseren, de private sector aan te moedigen om als partner aan het ontwikkelingsproces deel te nemen en te investeren in duurzame ontwikkeling. </w:t>
      </w:r>
      <w:r w:rsidRPr="000D308F" w:rsidR="00927FFE">
        <w:rPr>
          <w:rFonts w:ascii="Verdana" w:hAnsi="Verdana"/>
          <w:sz w:val="18"/>
          <w:szCs w:val="18"/>
        </w:rPr>
        <w:t xml:space="preserve">Hiervoor streven de partijen ernaar gebruik te maken van een combinatie van subsidies en leningen en van garanties als hefbomen om private financiering aan te trekken. </w:t>
      </w:r>
      <w:r w:rsidRPr="000D308F" w:rsidR="00BD3F7F">
        <w:rPr>
          <w:rFonts w:ascii="Verdana" w:hAnsi="Verdana"/>
          <w:sz w:val="18"/>
          <w:szCs w:val="18"/>
        </w:rPr>
        <w:t>Voorts</w:t>
      </w:r>
      <w:r w:rsidRPr="000D308F" w:rsidR="00927FFE">
        <w:rPr>
          <w:rFonts w:ascii="Verdana" w:hAnsi="Verdana"/>
          <w:sz w:val="18"/>
          <w:szCs w:val="18"/>
        </w:rPr>
        <w:t xml:space="preserve"> zetten de partijen zich in voor goedkope, snelle en veilige geldovermakingen. </w:t>
      </w:r>
      <w:r w:rsidRPr="000D308F" w:rsidR="005F22D0">
        <w:rPr>
          <w:rFonts w:ascii="Verdana" w:hAnsi="Verdana"/>
          <w:sz w:val="18"/>
          <w:szCs w:val="18"/>
        </w:rPr>
        <w:t xml:space="preserve">In artikel 85 committeren de partijen zich ertoe schulden op lange termijn houdbaar te maken door middel van effectief schuldbeheer en schuldstrategieën. </w:t>
      </w:r>
      <w:r w:rsidRPr="000D308F" w:rsidR="00BD3F7F">
        <w:rPr>
          <w:rFonts w:ascii="Verdana" w:hAnsi="Verdana"/>
          <w:sz w:val="18"/>
          <w:szCs w:val="18"/>
        </w:rPr>
        <w:t>Tot slot</w:t>
      </w:r>
      <w:r w:rsidRPr="000D308F" w:rsidR="0030213C">
        <w:rPr>
          <w:rFonts w:ascii="Verdana" w:hAnsi="Verdana"/>
          <w:sz w:val="18"/>
          <w:szCs w:val="18"/>
        </w:rPr>
        <w:t xml:space="preserve"> komen de partijen overeen waar passend een bijdrage te leveren aan internationaal goedgekeurde initiatieven inzake schuldverlichting om de rente</w:t>
      </w:r>
      <w:r w:rsidRPr="000D308F" w:rsidR="00C824FF">
        <w:rPr>
          <w:rFonts w:ascii="Verdana" w:hAnsi="Verdana"/>
          <w:sz w:val="18"/>
          <w:szCs w:val="18"/>
        </w:rPr>
        <w:t>-</w:t>
      </w:r>
      <w:r w:rsidRPr="000D308F" w:rsidR="0030213C">
        <w:rPr>
          <w:rFonts w:ascii="Verdana" w:hAnsi="Verdana"/>
          <w:sz w:val="18"/>
          <w:szCs w:val="18"/>
        </w:rPr>
        <w:t xml:space="preserve">aflossingslast van de ACS-leden te verlichten. </w:t>
      </w:r>
    </w:p>
    <w:p w:rsidRPr="000D308F" w:rsidR="001A7F16" w:rsidP="00EC4F1D" w:rsidRDefault="001A7F16" w14:paraId="17B4C00E" w14:textId="22F89ED6">
      <w:pPr>
        <w:rPr>
          <w:rFonts w:ascii="Verdana" w:hAnsi="Verdana"/>
          <w:b/>
          <w:bCs/>
          <w:sz w:val="18"/>
          <w:szCs w:val="18"/>
        </w:rPr>
      </w:pPr>
      <w:r w:rsidRPr="000D308F">
        <w:rPr>
          <w:rFonts w:ascii="Verdana" w:hAnsi="Verdana"/>
          <w:b/>
          <w:bCs/>
          <w:sz w:val="18"/>
          <w:szCs w:val="18"/>
        </w:rPr>
        <w:t>Deel V – Institutioneel kader</w:t>
      </w:r>
      <w:r w:rsidRPr="000D308F" w:rsidR="00FF6095">
        <w:rPr>
          <w:rFonts w:ascii="Verdana" w:hAnsi="Verdana"/>
          <w:b/>
          <w:bCs/>
          <w:sz w:val="18"/>
          <w:szCs w:val="18"/>
        </w:rPr>
        <w:t xml:space="preserve"> (artikelen 86 t/m 95)</w:t>
      </w:r>
    </w:p>
    <w:p w:rsidRPr="000D308F" w:rsidR="00B359C6" w:rsidP="00EC4F1D" w:rsidRDefault="003A6518" w14:paraId="67BFD6C0" w14:textId="5603E257">
      <w:pPr>
        <w:rPr>
          <w:rFonts w:ascii="Verdana" w:hAnsi="Verdana"/>
          <w:sz w:val="18"/>
          <w:szCs w:val="18"/>
        </w:rPr>
      </w:pPr>
      <w:r w:rsidRPr="000D308F">
        <w:rPr>
          <w:rFonts w:ascii="Verdana" w:hAnsi="Verdana"/>
          <w:sz w:val="18"/>
          <w:szCs w:val="18"/>
        </w:rPr>
        <w:t xml:space="preserve">De partijen besluiten conform artikel 86 tot de oprichting van de volgende gezamenlijke instellingen: de OACPS-EU-Raad van Ministers, </w:t>
      </w:r>
      <w:r w:rsidRPr="000D308F" w:rsidR="003151FE">
        <w:rPr>
          <w:rFonts w:ascii="Verdana" w:hAnsi="Verdana"/>
          <w:sz w:val="18"/>
          <w:szCs w:val="18"/>
        </w:rPr>
        <w:t xml:space="preserve">het </w:t>
      </w:r>
      <w:r w:rsidRPr="000D308F" w:rsidR="00B359C6">
        <w:rPr>
          <w:rFonts w:ascii="Verdana" w:hAnsi="Verdana"/>
          <w:sz w:val="18"/>
          <w:szCs w:val="18"/>
        </w:rPr>
        <w:t>OACPS-EU-Comité op het niveau van ambassadeurs of hoge ambtenaren</w:t>
      </w:r>
      <w:r w:rsidRPr="000D308F" w:rsidDel="00B359C6" w:rsidR="00B359C6">
        <w:rPr>
          <w:rFonts w:ascii="Verdana" w:hAnsi="Verdana"/>
          <w:sz w:val="18"/>
          <w:szCs w:val="18"/>
        </w:rPr>
        <w:t xml:space="preserve"> </w:t>
      </w:r>
      <w:r w:rsidRPr="000D308F">
        <w:rPr>
          <w:rFonts w:ascii="Verdana" w:hAnsi="Verdana"/>
          <w:sz w:val="18"/>
          <w:szCs w:val="18"/>
        </w:rPr>
        <w:t>(OACPS-EU-</w:t>
      </w:r>
      <w:proofErr w:type="spellStart"/>
      <w:r w:rsidRPr="000D308F">
        <w:rPr>
          <w:rFonts w:ascii="Verdana" w:hAnsi="Verdana"/>
          <w:sz w:val="18"/>
          <w:szCs w:val="18"/>
        </w:rPr>
        <w:t>Alsoc</w:t>
      </w:r>
      <w:proofErr w:type="spellEnd"/>
      <w:r w:rsidRPr="000D308F">
        <w:rPr>
          <w:rFonts w:ascii="Verdana" w:hAnsi="Verdana"/>
          <w:sz w:val="18"/>
          <w:szCs w:val="18"/>
        </w:rPr>
        <w:t>) en de Paritaire Parlementaire Vergadering OACPS-EU.</w:t>
      </w:r>
      <w:r w:rsidRPr="000D308F" w:rsidR="00FC0B03">
        <w:rPr>
          <w:rFonts w:ascii="Verdana" w:hAnsi="Verdana"/>
          <w:sz w:val="18"/>
          <w:szCs w:val="18"/>
        </w:rPr>
        <w:t xml:space="preserve"> De partijen kunnen tevens bijeenkomen op het niveau van staatshoofden en regeringsleiders op basis van een onderling overeengekomen kalender en agenda (artikel 87).</w:t>
      </w:r>
      <w:r w:rsidRPr="000D308F">
        <w:rPr>
          <w:rFonts w:ascii="Verdana" w:hAnsi="Verdana"/>
          <w:sz w:val="18"/>
          <w:szCs w:val="18"/>
        </w:rPr>
        <w:t xml:space="preserve"> </w:t>
      </w:r>
      <w:r w:rsidRPr="000D308F" w:rsidR="00015267">
        <w:rPr>
          <w:rFonts w:ascii="Verdana" w:hAnsi="Verdana"/>
          <w:sz w:val="18"/>
          <w:szCs w:val="18"/>
        </w:rPr>
        <w:t xml:space="preserve">Hieronder volgt een toelichting inzake de </w:t>
      </w:r>
      <w:r w:rsidRPr="000D308F" w:rsidR="00FC0B03">
        <w:rPr>
          <w:rFonts w:ascii="Verdana" w:hAnsi="Verdana"/>
          <w:sz w:val="18"/>
          <w:szCs w:val="18"/>
        </w:rPr>
        <w:t>vorm en taken</w:t>
      </w:r>
      <w:r w:rsidRPr="000D308F" w:rsidR="00015267">
        <w:rPr>
          <w:rFonts w:ascii="Verdana" w:hAnsi="Verdana"/>
          <w:sz w:val="18"/>
          <w:szCs w:val="18"/>
        </w:rPr>
        <w:t xml:space="preserve"> van </w:t>
      </w:r>
      <w:r w:rsidRPr="000D308F" w:rsidR="00FC0B03">
        <w:rPr>
          <w:rFonts w:ascii="Verdana" w:hAnsi="Verdana"/>
          <w:sz w:val="18"/>
          <w:szCs w:val="18"/>
        </w:rPr>
        <w:t>de gezamenlijke instellingen</w:t>
      </w:r>
      <w:r w:rsidRPr="000D308F" w:rsidR="00015267">
        <w:rPr>
          <w:rFonts w:ascii="Verdana" w:hAnsi="Verdana"/>
          <w:sz w:val="18"/>
          <w:szCs w:val="18"/>
        </w:rPr>
        <w:t>.</w:t>
      </w:r>
      <w:r w:rsidRPr="000D308F" w:rsidR="00015267">
        <w:rPr>
          <w:rFonts w:ascii="Verdana" w:hAnsi="Verdana"/>
          <w:sz w:val="18"/>
          <w:szCs w:val="18"/>
        </w:rPr>
        <w:br/>
      </w:r>
      <w:r w:rsidRPr="000D308F" w:rsidR="00015267">
        <w:rPr>
          <w:rFonts w:ascii="Verdana" w:hAnsi="Verdana"/>
          <w:sz w:val="18"/>
          <w:szCs w:val="18"/>
        </w:rPr>
        <w:br/>
      </w:r>
      <w:r w:rsidRPr="000D308F" w:rsidR="00015267">
        <w:rPr>
          <w:rFonts w:ascii="Verdana" w:hAnsi="Verdana"/>
          <w:i/>
          <w:iCs/>
          <w:sz w:val="18"/>
          <w:szCs w:val="18"/>
        </w:rPr>
        <w:t>OACPS-EU-Raad van Ministers (artikel 88)</w:t>
      </w:r>
      <w:r w:rsidRPr="000D308F" w:rsidR="00015267">
        <w:rPr>
          <w:rFonts w:ascii="Verdana" w:hAnsi="Verdana"/>
          <w:sz w:val="18"/>
          <w:szCs w:val="18"/>
        </w:rPr>
        <w:br/>
        <w:t xml:space="preserve">De OACPS-EU-Raad van Ministers bestaat uit een vertegenwoordiger van elk OACPS-lid op ministerieel niveau, enerzijds, en vertegenwoordigers van de </w:t>
      </w:r>
      <w:r w:rsidRPr="000D308F" w:rsidR="00045AD6">
        <w:rPr>
          <w:rFonts w:ascii="Verdana" w:hAnsi="Verdana"/>
          <w:sz w:val="18"/>
          <w:szCs w:val="18"/>
        </w:rPr>
        <w:t>EU</w:t>
      </w:r>
      <w:r w:rsidRPr="000D308F" w:rsidR="00015267">
        <w:rPr>
          <w:rFonts w:ascii="Verdana" w:hAnsi="Verdana"/>
          <w:sz w:val="18"/>
          <w:szCs w:val="18"/>
        </w:rPr>
        <w:t xml:space="preserve"> en van haar lidstaten op ministerieel niveau, anderzijds (eerste lid). De raad wordt voorgezeten door een voorzitter die door de OACPS-leden is benoemd, enerzijds, en een voorzitter die door de EU is benoemd, anderzijds. De</w:t>
      </w:r>
      <w:r w:rsidRPr="000D308F" w:rsidR="00B359C6">
        <w:rPr>
          <w:rFonts w:ascii="Verdana" w:hAnsi="Verdana"/>
          <w:sz w:val="18"/>
          <w:szCs w:val="18"/>
        </w:rPr>
        <w:t>ze raad</w:t>
      </w:r>
      <w:r w:rsidRPr="000D308F" w:rsidR="00015267">
        <w:rPr>
          <w:rFonts w:ascii="Verdana" w:hAnsi="Verdana"/>
          <w:sz w:val="18"/>
          <w:szCs w:val="18"/>
        </w:rPr>
        <w:t xml:space="preserve"> komt in beginsel om de drie jaar bijeen (tweede lid) en kan </w:t>
      </w:r>
      <w:r w:rsidRPr="000D308F" w:rsidR="00B359C6">
        <w:rPr>
          <w:rFonts w:ascii="Verdana" w:hAnsi="Verdana"/>
          <w:sz w:val="18"/>
          <w:szCs w:val="18"/>
        </w:rPr>
        <w:t xml:space="preserve">comités en werkgroepen oprichten om specifieke kwesties doeltreffender en efficiënter te behandelen, zoals kwesties op het gebied van handel en ontwikkelingsfinanciering (derde lid). </w:t>
      </w:r>
      <w:r w:rsidRPr="000D308F" w:rsidR="0051699D">
        <w:rPr>
          <w:rFonts w:ascii="Verdana" w:hAnsi="Verdana"/>
          <w:sz w:val="18"/>
          <w:szCs w:val="18"/>
        </w:rPr>
        <w:t xml:space="preserve">Deze raad heeft als taken om </w:t>
      </w:r>
      <w:r w:rsidRPr="000D308F" w:rsidR="00B359C6">
        <w:rPr>
          <w:rFonts w:ascii="Verdana" w:hAnsi="Verdana"/>
          <w:sz w:val="18"/>
          <w:szCs w:val="18"/>
        </w:rPr>
        <w:t>(vierde lid): a) strategische politieke sturing</w:t>
      </w:r>
      <w:r w:rsidRPr="000D308F" w:rsidR="0051699D">
        <w:rPr>
          <w:rFonts w:ascii="Verdana" w:hAnsi="Verdana"/>
          <w:sz w:val="18"/>
          <w:szCs w:val="18"/>
        </w:rPr>
        <w:t xml:space="preserve"> te</w:t>
      </w:r>
      <w:r w:rsidRPr="000D308F" w:rsidR="00B359C6">
        <w:rPr>
          <w:rFonts w:ascii="Verdana" w:hAnsi="Verdana"/>
          <w:sz w:val="18"/>
          <w:szCs w:val="18"/>
        </w:rPr>
        <w:t xml:space="preserve"> geven; b) toezicht</w:t>
      </w:r>
      <w:r w:rsidRPr="000D308F" w:rsidR="0051699D">
        <w:rPr>
          <w:rFonts w:ascii="Verdana" w:hAnsi="Verdana"/>
          <w:sz w:val="18"/>
          <w:szCs w:val="18"/>
        </w:rPr>
        <w:t xml:space="preserve"> te houden</w:t>
      </w:r>
      <w:r w:rsidRPr="000D308F" w:rsidR="00B359C6">
        <w:rPr>
          <w:rFonts w:ascii="Verdana" w:hAnsi="Verdana"/>
          <w:sz w:val="18"/>
          <w:szCs w:val="18"/>
        </w:rPr>
        <w:t xml:space="preserve"> op de effectieve en consistente uitvoering van het verdrag; c) beleidsrichtsnoeren </w:t>
      </w:r>
      <w:r w:rsidRPr="000D308F" w:rsidR="0051699D">
        <w:rPr>
          <w:rFonts w:ascii="Verdana" w:hAnsi="Verdana"/>
          <w:sz w:val="18"/>
          <w:szCs w:val="18"/>
        </w:rPr>
        <w:t>vast te stellen</w:t>
      </w:r>
      <w:r w:rsidRPr="000D308F" w:rsidR="00B359C6">
        <w:rPr>
          <w:rFonts w:ascii="Verdana" w:hAnsi="Verdana"/>
          <w:sz w:val="18"/>
          <w:szCs w:val="18"/>
        </w:rPr>
        <w:t xml:space="preserve"> en besluiten</w:t>
      </w:r>
      <w:r w:rsidRPr="000D308F" w:rsidR="0051699D">
        <w:rPr>
          <w:rFonts w:ascii="Verdana" w:hAnsi="Verdana"/>
          <w:sz w:val="18"/>
          <w:szCs w:val="18"/>
        </w:rPr>
        <w:t xml:space="preserve"> te</w:t>
      </w:r>
      <w:r w:rsidRPr="000D308F" w:rsidR="00B359C6">
        <w:rPr>
          <w:rFonts w:ascii="Verdana" w:hAnsi="Verdana"/>
          <w:sz w:val="18"/>
          <w:szCs w:val="18"/>
        </w:rPr>
        <w:t xml:space="preserve"> nemen om uitvoering te geven aan specifieke aspecten die nodig zijn voor de uitvoering van de bepalingen van het verdrag, en; d) gemeenschappelijke standpunten </w:t>
      </w:r>
      <w:r w:rsidRPr="000D308F" w:rsidR="0051699D">
        <w:rPr>
          <w:rFonts w:ascii="Verdana" w:hAnsi="Verdana"/>
          <w:sz w:val="18"/>
          <w:szCs w:val="18"/>
        </w:rPr>
        <w:t xml:space="preserve">vast te </w:t>
      </w:r>
      <w:r w:rsidRPr="000D308F" w:rsidR="0051699D">
        <w:rPr>
          <w:rFonts w:ascii="Verdana" w:hAnsi="Verdana"/>
          <w:sz w:val="18"/>
          <w:szCs w:val="18"/>
        </w:rPr>
        <w:lastRenderedPageBreak/>
        <w:t>stellen</w:t>
      </w:r>
      <w:r w:rsidRPr="000D308F" w:rsidR="00B359C6">
        <w:rPr>
          <w:rFonts w:ascii="Verdana" w:hAnsi="Verdana"/>
          <w:sz w:val="18"/>
          <w:szCs w:val="18"/>
        </w:rPr>
        <w:t xml:space="preserve"> en overeenstemming </w:t>
      </w:r>
      <w:r w:rsidRPr="000D308F" w:rsidR="0051699D">
        <w:rPr>
          <w:rFonts w:ascii="Verdana" w:hAnsi="Verdana"/>
          <w:sz w:val="18"/>
          <w:szCs w:val="18"/>
        </w:rPr>
        <w:t xml:space="preserve">te </w:t>
      </w:r>
      <w:r w:rsidRPr="000D308F" w:rsidR="00B359C6">
        <w:rPr>
          <w:rFonts w:ascii="Verdana" w:hAnsi="Verdana"/>
          <w:sz w:val="18"/>
          <w:szCs w:val="18"/>
        </w:rPr>
        <w:t xml:space="preserve">bereiken over gezamenlijke acties inzake internationale samenwerking, en de coördinatie in internationale organisaties en fora </w:t>
      </w:r>
      <w:r w:rsidRPr="000D308F" w:rsidR="0051699D">
        <w:rPr>
          <w:rFonts w:ascii="Verdana" w:hAnsi="Verdana"/>
          <w:sz w:val="18"/>
          <w:szCs w:val="18"/>
        </w:rPr>
        <w:t xml:space="preserve">te </w:t>
      </w:r>
      <w:r w:rsidRPr="000D308F" w:rsidR="00B359C6">
        <w:rPr>
          <w:rFonts w:ascii="Verdana" w:hAnsi="Verdana"/>
          <w:sz w:val="18"/>
          <w:szCs w:val="18"/>
        </w:rPr>
        <w:t>vergemakkelijken. De OACPS-EU-Raad van Ministers neemt</w:t>
      </w:r>
      <w:r w:rsidRPr="000D308F" w:rsidR="00C70133">
        <w:rPr>
          <w:rFonts w:ascii="Verdana" w:hAnsi="Verdana"/>
          <w:sz w:val="18"/>
          <w:szCs w:val="18"/>
        </w:rPr>
        <w:t xml:space="preserve"> in onderlinge overeenstemming</w:t>
      </w:r>
      <w:r w:rsidRPr="000D308F" w:rsidR="00B359C6">
        <w:rPr>
          <w:rFonts w:ascii="Verdana" w:hAnsi="Verdana"/>
          <w:sz w:val="18"/>
          <w:szCs w:val="18"/>
        </w:rPr>
        <w:t xml:space="preserve"> bindende besluiten voor alle partijen of doet aanbevelingen inzake zijn taken (vijfde lid). </w:t>
      </w:r>
    </w:p>
    <w:p w:rsidRPr="000D308F" w:rsidR="00B359C6" w:rsidP="00EC4F1D" w:rsidRDefault="00B359C6" w14:paraId="6BF9E316" w14:textId="04F4837D">
      <w:pPr>
        <w:rPr>
          <w:rFonts w:ascii="Verdana" w:hAnsi="Verdana"/>
          <w:i/>
          <w:iCs/>
          <w:sz w:val="18"/>
          <w:szCs w:val="18"/>
        </w:rPr>
      </w:pPr>
      <w:r w:rsidRPr="000D308F">
        <w:rPr>
          <w:rFonts w:ascii="Verdana" w:hAnsi="Verdana"/>
          <w:i/>
          <w:iCs/>
          <w:sz w:val="18"/>
          <w:szCs w:val="18"/>
        </w:rPr>
        <w:t>OACPS-EU-Comité op het niveau van ambassadeurs of hoge ambtenaren</w:t>
      </w:r>
      <w:r w:rsidRPr="000D308F" w:rsidDel="00B359C6">
        <w:rPr>
          <w:rFonts w:ascii="Verdana" w:hAnsi="Verdana"/>
          <w:i/>
          <w:iCs/>
          <w:sz w:val="18"/>
          <w:szCs w:val="18"/>
        </w:rPr>
        <w:t xml:space="preserve"> </w:t>
      </w:r>
      <w:r w:rsidRPr="000D308F">
        <w:rPr>
          <w:rFonts w:ascii="Verdana" w:hAnsi="Verdana"/>
          <w:i/>
          <w:iCs/>
          <w:sz w:val="18"/>
          <w:szCs w:val="18"/>
        </w:rPr>
        <w:t>(artikel 89)</w:t>
      </w:r>
    </w:p>
    <w:p w:rsidRPr="000D308F" w:rsidR="00B359C6" w:rsidP="00EC4F1D" w:rsidRDefault="00B359C6" w14:paraId="71E0801E" w14:textId="7C788FAB">
      <w:pPr>
        <w:rPr>
          <w:rFonts w:ascii="Verdana" w:hAnsi="Verdana"/>
          <w:sz w:val="18"/>
          <w:szCs w:val="18"/>
        </w:rPr>
      </w:pPr>
      <w:r w:rsidRPr="000D308F">
        <w:rPr>
          <w:rFonts w:ascii="Verdana" w:hAnsi="Verdana"/>
          <w:sz w:val="18"/>
          <w:szCs w:val="18"/>
        </w:rPr>
        <w:t xml:space="preserve">Dit Comité bestaat uit een vertegenwoordiger van elk OACPS-lid op het niveau van ambassadeurs of hoge ambtenaren en de secretaris-generaal van de OACPS, ambtshalve, enerzijds, en vertegenwoordigers van de </w:t>
      </w:r>
      <w:r w:rsidRPr="000D308F" w:rsidR="00045AD6">
        <w:rPr>
          <w:rFonts w:ascii="Verdana" w:hAnsi="Verdana"/>
          <w:sz w:val="18"/>
          <w:szCs w:val="18"/>
        </w:rPr>
        <w:t>EU</w:t>
      </w:r>
      <w:r w:rsidRPr="000D308F">
        <w:rPr>
          <w:rFonts w:ascii="Verdana" w:hAnsi="Verdana"/>
          <w:sz w:val="18"/>
          <w:szCs w:val="18"/>
        </w:rPr>
        <w:t xml:space="preserve"> en van haar lidstaten op het niveau van ambassadeurs of hoge ambtenaren, anderzijds (eerste lid). Het comité bereidt de bijeenkomsten van de OACPS-EU-Raad van Ministers voor en staat deze bij in de vervulling van zijn taken,</w:t>
      </w:r>
      <w:r w:rsidRPr="000D308F">
        <w:t xml:space="preserve"> </w:t>
      </w:r>
      <w:r w:rsidRPr="000D308F">
        <w:rPr>
          <w:rFonts w:ascii="Verdana" w:hAnsi="Verdana"/>
          <w:sz w:val="18"/>
          <w:szCs w:val="18"/>
        </w:rPr>
        <w:t xml:space="preserve">en het voert alle opdrachten uit waarmee het door de OACPS-EU-Raad van Ministers is belast (tweede lid). </w:t>
      </w:r>
      <w:r w:rsidRPr="000D308F" w:rsidR="00FC0B03">
        <w:rPr>
          <w:rFonts w:ascii="Verdana" w:hAnsi="Verdana"/>
          <w:sz w:val="18"/>
          <w:szCs w:val="18"/>
        </w:rPr>
        <w:br/>
      </w:r>
      <w:r w:rsidRPr="000D308F" w:rsidR="00015267">
        <w:rPr>
          <w:rFonts w:ascii="Verdana" w:hAnsi="Verdana"/>
          <w:sz w:val="18"/>
          <w:szCs w:val="18"/>
        </w:rPr>
        <w:br/>
      </w:r>
      <w:r w:rsidRPr="000D308F">
        <w:rPr>
          <w:rFonts w:ascii="Verdana" w:hAnsi="Verdana"/>
          <w:i/>
          <w:iCs/>
          <w:sz w:val="18"/>
          <w:szCs w:val="18"/>
        </w:rPr>
        <w:t>Paritaire Parlementaire Vergadering OACPS-EU (artikel 90)</w:t>
      </w:r>
    </w:p>
    <w:p w:rsidRPr="000D308F" w:rsidR="00FC0B03" w:rsidP="00EC4F1D" w:rsidRDefault="00B359C6" w14:paraId="34E8649C" w14:textId="0A176E88">
      <w:pPr>
        <w:rPr>
          <w:rFonts w:ascii="Verdana" w:hAnsi="Verdana"/>
          <w:sz w:val="18"/>
          <w:szCs w:val="18"/>
        </w:rPr>
      </w:pPr>
      <w:r w:rsidRPr="000D308F">
        <w:rPr>
          <w:rFonts w:ascii="Verdana" w:hAnsi="Verdana"/>
          <w:sz w:val="18"/>
          <w:szCs w:val="18"/>
        </w:rPr>
        <w:t xml:space="preserve">Deze vergadering is een raadgevend lichaam en bestaat uit </w:t>
      </w:r>
      <w:r w:rsidRPr="000D308F" w:rsidR="00FC0B03">
        <w:rPr>
          <w:rFonts w:ascii="Verdana" w:hAnsi="Verdana"/>
          <w:sz w:val="18"/>
          <w:szCs w:val="18"/>
        </w:rPr>
        <w:t xml:space="preserve">elk lid van de drie Regionale Parlementaire Vergaderingen (eerste lid). Het lichaam komt eenmaal per jaar bijeen en wordt gezamenlijk voorgezeten door een lid van het Europees Parlement en een parlementslid van de OACPS-leden, die volgens hun respectieve procedures worden benoemd. Dit lichaam heeft de volgende taken (tweede lid): a) resoluties aannemen en aanbevelingen doen met het oog op de verwezenlijking van de doelstellingen van deze </w:t>
      </w:r>
      <w:r w:rsidRPr="000D308F" w:rsidR="00BD7DD8">
        <w:rPr>
          <w:rFonts w:ascii="Verdana" w:hAnsi="Verdana"/>
          <w:sz w:val="18"/>
          <w:szCs w:val="18"/>
        </w:rPr>
        <w:t>o</w:t>
      </w:r>
      <w:r w:rsidRPr="000D308F" w:rsidR="00FC0B03">
        <w:rPr>
          <w:rFonts w:ascii="Verdana" w:hAnsi="Verdana"/>
          <w:sz w:val="18"/>
          <w:szCs w:val="18"/>
        </w:rPr>
        <w:t xml:space="preserve">vereenkomst, en; b) democratische processen bevorderen, de samenwerking tussen parlementen stimuleren en het begrip tussen de volkeren van de OACPS-leden en die van de </w:t>
      </w:r>
      <w:r w:rsidRPr="000D308F" w:rsidR="00045AD6">
        <w:rPr>
          <w:rFonts w:ascii="Verdana" w:hAnsi="Verdana"/>
          <w:sz w:val="18"/>
          <w:szCs w:val="18"/>
        </w:rPr>
        <w:t>EU</w:t>
      </w:r>
      <w:r w:rsidRPr="000D308F" w:rsidR="00FC0B03">
        <w:rPr>
          <w:rFonts w:ascii="Verdana" w:hAnsi="Verdana"/>
          <w:sz w:val="18"/>
          <w:szCs w:val="18"/>
        </w:rPr>
        <w:t xml:space="preserve"> bevorderen.</w:t>
      </w:r>
    </w:p>
    <w:p w:rsidRPr="000D308F" w:rsidR="00D70E5F" w:rsidP="00CA4CC4" w:rsidRDefault="00FC0B03" w14:paraId="65739546" w14:textId="21139FC7">
      <w:pPr>
        <w:rPr>
          <w:rFonts w:ascii="Verdana" w:hAnsi="Verdana"/>
          <w:sz w:val="18"/>
          <w:szCs w:val="18"/>
        </w:rPr>
      </w:pPr>
      <w:r w:rsidRPr="000D308F">
        <w:rPr>
          <w:rFonts w:ascii="Verdana" w:hAnsi="Verdana"/>
          <w:sz w:val="18"/>
          <w:szCs w:val="18"/>
        </w:rPr>
        <w:t xml:space="preserve">De partijen bij de regionale protocollen stellen ook </w:t>
      </w:r>
      <w:r w:rsidRPr="000D308F" w:rsidR="00CA4CC4">
        <w:rPr>
          <w:rFonts w:ascii="Verdana" w:hAnsi="Verdana"/>
          <w:sz w:val="18"/>
          <w:szCs w:val="18"/>
        </w:rPr>
        <w:t>Regionale</w:t>
      </w:r>
      <w:r w:rsidRPr="000D308F">
        <w:rPr>
          <w:rFonts w:ascii="Verdana" w:hAnsi="Verdana"/>
          <w:sz w:val="18"/>
          <w:szCs w:val="18"/>
        </w:rPr>
        <w:t xml:space="preserve"> Rad</w:t>
      </w:r>
      <w:r w:rsidRPr="000D308F" w:rsidR="00CA4CC4">
        <w:rPr>
          <w:rFonts w:ascii="Verdana" w:hAnsi="Verdana"/>
          <w:sz w:val="18"/>
          <w:szCs w:val="18"/>
        </w:rPr>
        <w:t>en</w:t>
      </w:r>
      <w:r w:rsidRPr="000D308F">
        <w:rPr>
          <w:rFonts w:ascii="Verdana" w:hAnsi="Verdana"/>
          <w:sz w:val="18"/>
          <w:szCs w:val="18"/>
        </w:rPr>
        <w:t xml:space="preserve"> van Ministers</w:t>
      </w:r>
      <w:r w:rsidRPr="000D308F" w:rsidR="00CA4CC4">
        <w:rPr>
          <w:rFonts w:ascii="Verdana" w:hAnsi="Verdana"/>
          <w:sz w:val="18"/>
          <w:szCs w:val="18"/>
        </w:rPr>
        <w:t xml:space="preserve"> (artikel 92)</w:t>
      </w:r>
      <w:r w:rsidRPr="000D308F">
        <w:rPr>
          <w:rFonts w:ascii="Verdana" w:hAnsi="Verdana"/>
          <w:sz w:val="18"/>
          <w:szCs w:val="18"/>
        </w:rPr>
        <w:t xml:space="preserve">, </w:t>
      </w:r>
      <w:r w:rsidRPr="000D308F" w:rsidR="00CA4CC4">
        <w:rPr>
          <w:rFonts w:ascii="Verdana" w:hAnsi="Verdana"/>
          <w:sz w:val="18"/>
          <w:szCs w:val="18"/>
        </w:rPr>
        <w:t xml:space="preserve">Regionale </w:t>
      </w:r>
      <w:r w:rsidRPr="000D308F">
        <w:rPr>
          <w:rFonts w:ascii="Verdana" w:hAnsi="Verdana"/>
          <w:sz w:val="18"/>
          <w:szCs w:val="18"/>
        </w:rPr>
        <w:t>Gemengd</w:t>
      </w:r>
      <w:r w:rsidRPr="000D308F" w:rsidR="00CA4CC4">
        <w:rPr>
          <w:rFonts w:ascii="Verdana" w:hAnsi="Verdana"/>
          <w:sz w:val="18"/>
          <w:szCs w:val="18"/>
        </w:rPr>
        <w:t>e</w:t>
      </w:r>
      <w:r w:rsidRPr="000D308F">
        <w:rPr>
          <w:rFonts w:ascii="Verdana" w:hAnsi="Verdana"/>
          <w:sz w:val="18"/>
          <w:szCs w:val="18"/>
        </w:rPr>
        <w:t xml:space="preserve"> Comité</w:t>
      </w:r>
      <w:r w:rsidRPr="000D308F" w:rsidR="00CA4CC4">
        <w:rPr>
          <w:rFonts w:ascii="Verdana" w:hAnsi="Verdana"/>
          <w:sz w:val="18"/>
          <w:szCs w:val="18"/>
        </w:rPr>
        <w:t>s (artikel 93)</w:t>
      </w:r>
      <w:r w:rsidRPr="000D308F">
        <w:rPr>
          <w:rFonts w:ascii="Verdana" w:hAnsi="Verdana"/>
          <w:sz w:val="18"/>
          <w:szCs w:val="18"/>
        </w:rPr>
        <w:t xml:space="preserve"> en </w:t>
      </w:r>
      <w:r w:rsidRPr="000D308F" w:rsidR="00CA4CC4">
        <w:rPr>
          <w:rFonts w:ascii="Verdana" w:hAnsi="Verdana"/>
          <w:sz w:val="18"/>
          <w:szCs w:val="18"/>
        </w:rPr>
        <w:t>Regionale</w:t>
      </w:r>
      <w:r w:rsidRPr="000D308F">
        <w:rPr>
          <w:rFonts w:ascii="Verdana" w:hAnsi="Verdana"/>
          <w:sz w:val="18"/>
          <w:szCs w:val="18"/>
        </w:rPr>
        <w:t xml:space="preserve"> Parlementaire Vergadering</w:t>
      </w:r>
      <w:r w:rsidRPr="000D308F" w:rsidR="00CA4CC4">
        <w:rPr>
          <w:rFonts w:ascii="Verdana" w:hAnsi="Verdana"/>
          <w:sz w:val="18"/>
          <w:szCs w:val="18"/>
        </w:rPr>
        <w:t>en (artikel 94)</w:t>
      </w:r>
      <w:r w:rsidRPr="000D308F">
        <w:rPr>
          <w:rFonts w:ascii="Verdana" w:hAnsi="Verdana"/>
          <w:sz w:val="18"/>
          <w:szCs w:val="18"/>
        </w:rPr>
        <w:t xml:space="preserve"> in als gezamenlijke instellingen voor elk van de </w:t>
      </w:r>
      <w:r w:rsidRPr="000D308F" w:rsidR="00663E18">
        <w:rPr>
          <w:rFonts w:ascii="Verdana" w:hAnsi="Verdana"/>
          <w:sz w:val="18"/>
          <w:szCs w:val="18"/>
        </w:rPr>
        <w:t>regionale protocollen</w:t>
      </w:r>
      <w:r w:rsidRPr="000D308F">
        <w:rPr>
          <w:rFonts w:ascii="Verdana" w:hAnsi="Verdana"/>
          <w:sz w:val="18"/>
          <w:szCs w:val="18"/>
        </w:rPr>
        <w:t>. Ook kunnen de partijen bij elk regionaal protocol besluiten bijeen te komen op het niveau van staatshoofden en regeringsleiders (artikel 91).</w:t>
      </w:r>
      <w:r w:rsidRPr="000D308F" w:rsidR="003A6518">
        <w:rPr>
          <w:rFonts w:ascii="Verdana" w:hAnsi="Verdana"/>
          <w:sz w:val="18"/>
          <w:szCs w:val="18"/>
        </w:rPr>
        <w:t xml:space="preserve"> </w:t>
      </w:r>
    </w:p>
    <w:p w:rsidRPr="000D308F" w:rsidR="00FF6095" w:rsidP="00CA4CC4" w:rsidRDefault="003A6518" w14:paraId="52AA4ADB" w14:textId="63588EDE">
      <w:pPr>
        <w:rPr>
          <w:rFonts w:ascii="Verdana" w:hAnsi="Verdana"/>
          <w:b/>
          <w:bCs/>
          <w:sz w:val="18"/>
          <w:szCs w:val="18"/>
        </w:rPr>
      </w:pPr>
      <w:r w:rsidRPr="000D308F">
        <w:rPr>
          <w:rFonts w:ascii="Verdana" w:hAnsi="Verdana"/>
          <w:sz w:val="18"/>
          <w:szCs w:val="18"/>
        </w:rPr>
        <w:t xml:space="preserve">Artikel 95 onderkent </w:t>
      </w:r>
      <w:r w:rsidRPr="000D308F" w:rsidR="00CA4CC4">
        <w:rPr>
          <w:rFonts w:ascii="Verdana" w:hAnsi="Verdana"/>
          <w:sz w:val="18"/>
          <w:szCs w:val="18"/>
        </w:rPr>
        <w:t>verder het</w:t>
      </w:r>
      <w:r w:rsidRPr="000D308F">
        <w:rPr>
          <w:rFonts w:ascii="Verdana" w:hAnsi="Verdana"/>
          <w:sz w:val="18"/>
          <w:szCs w:val="18"/>
        </w:rPr>
        <w:t xml:space="preserve"> belang van betrokkenheid van belanghebbenden bij de uitvoering van de </w:t>
      </w:r>
      <w:r w:rsidRPr="000D308F" w:rsidR="005105A2">
        <w:rPr>
          <w:rFonts w:ascii="Verdana" w:hAnsi="Verdana"/>
          <w:sz w:val="18"/>
          <w:szCs w:val="18"/>
        </w:rPr>
        <w:t>overeenkomst</w:t>
      </w:r>
      <w:r w:rsidRPr="000D308F">
        <w:rPr>
          <w:rFonts w:ascii="Verdana" w:hAnsi="Verdana"/>
          <w:sz w:val="18"/>
          <w:szCs w:val="18"/>
        </w:rPr>
        <w:t xml:space="preserve">, onder </w:t>
      </w:r>
      <w:r w:rsidRPr="000D308F" w:rsidR="00D70E5F">
        <w:rPr>
          <w:rFonts w:ascii="Verdana" w:hAnsi="Verdana"/>
          <w:sz w:val="18"/>
          <w:szCs w:val="18"/>
        </w:rPr>
        <w:t xml:space="preserve">meer </w:t>
      </w:r>
      <w:r w:rsidRPr="000D308F">
        <w:rPr>
          <w:rFonts w:ascii="Verdana" w:hAnsi="Verdana"/>
          <w:sz w:val="18"/>
          <w:szCs w:val="18"/>
        </w:rPr>
        <w:t xml:space="preserve">middels gestructureerd overleg. </w:t>
      </w:r>
    </w:p>
    <w:p w:rsidRPr="000D308F" w:rsidR="001A7F16" w:rsidP="00EC4F1D" w:rsidRDefault="001A7F16" w14:paraId="52AAE7AA" w14:textId="20468054">
      <w:pPr>
        <w:rPr>
          <w:rFonts w:ascii="Verdana" w:hAnsi="Verdana"/>
          <w:b/>
          <w:bCs/>
          <w:sz w:val="18"/>
          <w:szCs w:val="18"/>
        </w:rPr>
      </w:pPr>
      <w:r w:rsidRPr="000D308F">
        <w:rPr>
          <w:rFonts w:ascii="Verdana" w:hAnsi="Verdana"/>
          <w:b/>
          <w:bCs/>
          <w:sz w:val="18"/>
          <w:szCs w:val="18"/>
        </w:rPr>
        <w:t xml:space="preserve">Deel VI – Slotbepalingen </w:t>
      </w:r>
      <w:r w:rsidRPr="000D308F" w:rsidR="00FF6095">
        <w:rPr>
          <w:rFonts w:ascii="Verdana" w:hAnsi="Verdana"/>
          <w:b/>
          <w:bCs/>
          <w:sz w:val="18"/>
          <w:szCs w:val="18"/>
        </w:rPr>
        <w:t>(artikelen 96 t/m 104)</w:t>
      </w:r>
    </w:p>
    <w:p w:rsidRPr="000D308F" w:rsidR="000F48F9" w:rsidP="00EC4F1D" w:rsidRDefault="00A70692" w14:paraId="1C7FCD0A" w14:textId="2332853C">
      <w:pPr>
        <w:rPr>
          <w:rFonts w:ascii="Verdana" w:hAnsi="Verdana"/>
          <w:i/>
          <w:iCs/>
          <w:sz w:val="18"/>
          <w:szCs w:val="18"/>
        </w:rPr>
      </w:pPr>
      <w:r w:rsidRPr="000D308F">
        <w:rPr>
          <w:rFonts w:ascii="Verdana" w:hAnsi="Verdana"/>
          <w:sz w:val="18"/>
          <w:szCs w:val="18"/>
        </w:rPr>
        <w:t xml:space="preserve">De </w:t>
      </w:r>
      <w:r w:rsidRPr="000D308F" w:rsidR="005105A2">
        <w:rPr>
          <w:rFonts w:ascii="Verdana" w:hAnsi="Verdana"/>
          <w:sz w:val="18"/>
          <w:szCs w:val="18"/>
        </w:rPr>
        <w:t>overeenkomst</w:t>
      </w:r>
      <w:r w:rsidRPr="000D308F">
        <w:rPr>
          <w:rFonts w:ascii="Verdana" w:hAnsi="Verdana"/>
          <w:sz w:val="18"/>
          <w:szCs w:val="18"/>
        </w:rPr>
        <w:t xml:space="preserve"> bevat gebruikelijke bepalingen omtrent de territoriale toepassing (artikel 96), andere overeenkomsten of regelingen (artikel 97), de inwerkingtreding en voorlopige toepassing (artikel 98), geldigheidsduur en herziening (artikel 99), opzegging (artikel 100), geschillenbeslechting en nakoming van verplichtingen (artikel 101), toetreding (artikel 102), waarnemersstatus (artikel 103) en de authentieke teksten van de </w:t>
      </w:r>
      <w:r w:rsidRPr="000D308F" w:rsidR="005105A2">
        <w:rPr>
          <w:rFonts w:ascii="Verdana" w:hAnsi="Verdana"/>
          <w:sz w:val="18"/>
          <w:szCs w:val="18"/>
        </w:rPr>
        <w:t>overeenkomst</w:t>
      </w:r>
      <w:r w:rsidRPr="000D308F">
        <w:rPr>
          <w:rFonts w:ascii="Verdana" w:hAnsi="Verdana"/>
          <w:sz w:val="18"/>
          <w:szCs w:val="18"/>
        </w:rPr>
        <w:t xml:space="preserve"> (artikel 104).</w:t>
      </w:r>
      <w:r w:rsidRPr="000D308F" w:rsidR="004066E7">
        <w:rPr>
          <w:rFonts w:ascii="Verdana" w:hAnsi="Verdana"/>
          <w:sz w:val="18"/>
          <w:szCs w:val="18"/>
        </w:rPr>
        <w:t xml:space="preserve"> Artikelen 99 en 101 zullen hieronder nader toegelicht worden.</w:t>
      </w:r>
      <w:r w:rsidRPr="000D308F" w:rsidR="004066E7">
        <w:rPr>
          <w:rFonts w:ascii="Verdana" w:hAnsi="Verdana"/>
          <w:sz w:val="18"/>
          <w:szCs w:val="18"/>
        </w:rPr>
        <w:br/>
      </w:r>
      <w:r w:rsidRPr="000D308F" w:rsidR="004066E7">
        <w:rPr>
          <w:rFonts w:ascii="Verdana" w:hAnsi="Verdana"/>
          <w:sz w:val="18"/>
          <w:szCs w:val="18"/>
        </w:rPr>
        <w:br/>
      </w:r>
      <w:r w:rsidRPr="000D308F" w:rsidR="004066E7">
        <w:rPr>
          <w:rFonts w:ascii="Verdana" w:hAnsi="Verdana"/>
          <w:i/>
          <w:iCs/>
          <w:sz w:val="18"/>
          <w:szCs w:val="18"/>
        </w:rPr>
        <w:t>Geldigheidsduur en herziening (artikel 99)</w:t>
      </w:r>
    </w:p>
    <w:p w:rsidRPr="000D308F" w:rsidR="00AB1C08" w:rsidP="00AB1C08" w:rsidRDefault="00F36212" w14:paraId="7A6B7D42" w14:textId="77777777">
      <w:pPr>
        <w:rPr>
          <w:rFonts w:ascii="Verdana" w:hAnsi="Verdana"/>
          <w:sz w:val="18"/>
          <w:szCs w:val="18"/>
        </w:rPr>
      </w:pPr>
      <w:r w:rsidRPr="000D308F">
        <w:rPr>
          <w:rFonts w:ascii="Verdana" w:hAnsi="Verdana"/>
          <w:sz w:val="18"/>
          <w:szCs w:val="18"/>
        </w:rPr>
        <w:t>Tussentijdse wijzigingen</w:t>
      </w:r>
      <w:r w:rsidRPr="000D308F" w:rsidR="005F65BD">
        <w:rPr>
          <w:rFonts w:ascii="Verdana" w:hAnsi="Verdana"/>
          <w:sz w:val="18"/>
          <w:szCs w:val="18"/>
        </w:rPr>
        <w:t xml:space="preserve"> van de overeenkomst </w:t>
      </w:r>
      <w:r w:rsidRPr="000D308F">
        <w:rPr>
          <w:rFonts w:ascii="Verdana" w:hAnsi="Verdana"/>
          <w:sz w:val="18"/>
          <w:szCs w:val="18"/>
        </w:rPr>
        <w:t>zijn</w:t>
      </w:r>
      <w:r w:rsidRPr="000D308F" w:rsidR="005F65BD">
        <w:rPr>
          <w:rFonts w:ascii="Verdana" w:hAnsi="Verdana"/>
          <w:sz w:val="18"/>
          <w:szCs w:val="18"/>
        </w:rPr>
        <w:t xml:space="preserve"> mogelijk conform de gebruikelijke interne verdragswijzigingsprocedures van partijen. Voor de EU betekent dit dat de procedure, zoals neergelegd in artikel 218 VWEU, moet worden gevolgd. Voor Nederland betekent dit dat het parlement de wijziging </w:t>
      </w:r>
      <w:r w:rsidRPr="000D308F" w:rsidR="00967A6E">
        <w:rPr>
          <w:rFonts w:ascii="Verdana" w:hAnsi="Verdana"/>
          <w:sz w:val="18"/>
          <w:szCs w:val="18"/>
        </w:rPr>
        <w:t xml:space="preserve">van de overeenkomst moet goedkeuren. </w:t>
      </w:r>
      <w:r w:rsidRPr="000D308F" w:rsidR="005F65BD">
        <w:rPr>
          <w:rFonts w:ascii="Verdana" w:hAnsi="Verdana"/>
          <w:sz w:val="18"/>
          <w:szCs w:val="18"/>
        </w:rPr>
        <w:t xml:space="preserve">In </w:t>
      </w:r>
      <w:r w:rsidRPr="000D308F" w:rsidR="00C70133">
        <w:rPr>
          <w:rFonts w:ascii="Verdana" w:hAnsi="Verdana"/>
          <w:sz w:val="18"/>
          <w:szCs w:val="18"/>
        </w:rPr>
        <w:t>aanvulling daarop</w:t>
      </w:r>
      <w:r w:rsidRPr="000D308F" w:rsidR="005F65BD">
        <w:rPr>
          <w:rFonts w:ascii="Verdana" w:hAnsi="Verdana"/>
          <w:sz w:val="18"/>
          <w:szCs w:val="18"/>
        </w:rPr>
        <w:t xml:space="preserve"> bepaalt artikel 99 dat de partijen bij het verdrag uiterlijk zes maanden voorafgaand aan de desbetreffende bijeenkomst van de OACPS-EU-Raad van Ministers voorstellen tot wijziging van de overeenkomst (tweede lid) indienen bij de OACPS-EU-Raad van Ministers. </w:t>
      </w:r>
      <w:r w:rsidRPr="000D308F" w:rsidR="00AB1C08">
        <w:rPr>
          <w:rFonts w:ascii="Verdana" w:hAnsi="Verdana"/>
          <w:sz w:val="18"/>
          <w:szCs w:val="18"/>
        </w:rPr>
        <w:t xml:space="preserve">De wijzigingen dienen dan te worden goedgekeurd door de OACPS-EU-Raad van Ministers en treden met inachtneming van artikel 98 in werking. </w:t>
      </w:r>
    </w:p>
    <w:p w:rsidRPr="000D308F" w:rsidR="00AB1C08" w:rsidP="005F65BD" w:rsidRDefault="00967A6E" w14:paraId="0A03B4CB" w14:textId="53BFBA45">
      <w:pPr>
        <w:rPr>
          <w:rFonts w:ascii="Verdana" w:hAnsi="Verdana"/>
          <w:sz w:val="18"/>
          <w:szCs w:val="18"/>
        </w:rPr>
      </w:pPr>
      <w:r w:rsidRPr="000D308F">
        <w:rPr>
          <w:rFonts w:ascii="Verdana" w:hAnsi="Verdana"/>
          <w:sz w:val="18"/>
          <w:szCs w:val="18"/>
        </w:rPr>
        <w:t xml:space="preserve">Wat betreft </w:t>
      </w:r>
      <w:r w:rsidRPr="000D308F" w:rsidR="00224336">
        <w:rPr>
          <w:rFonts w:ascii="Verdana" w:hAnsi="Verdana"/>
          <w:sz w:val="18"/>
          <w:szCs w:val="18"/>
        </w:rPr>
        <w:t>de</w:t>
      </w:r>
      <w:r w:rsidRPr="000D308F">
        <w:rPr>
          <w:rFonts w:ascii="Verdana" w:hAnsi="Verdana"/>
          <w:sz w:val="18"/>
          <w:szCs w:val="18"/>
        </w:rPr>
        <w:t xml:space="preserve"> bijlagen bij de overeenkomst</w:t>
      </w:r>
      <w:r w:rsidRPr="000D308F" w:rsidR="00AB1C08">
        <w:rPr>
          <w:rFonts w:ascii="Verdana" w:hAnsi="Verdana"/>
          <w:sz w:val="18"/>
          <w:szCs w:val="18"/>
        </w:rPr>
        <w:t xml:space="preserve">, kunnen partijen uiterlijk zes maanden voorafgaand aan de bijeenkomst van de OACPS-EU-Raad van Ministers voorstellen tot wijziging van de bijlagen bij de </w:t>
      </w:r>
      <w:r w:rsidRPr="000D308F" w:rsidR="006B7552">
        <w:rPr>
          <w:rFonts w:ascii="Verdana" w:hAnsi="Verdana"/>
          <w:sz w:val="18"/>
          <w:szCs w:val="18"/>
        </w:rPr>
        <w:t>o</w:t>
      </w:r>
      <w:r w:rsidRPr="000D308F" w:rsidR="00AB1C08">
        <w:rPr>
          <w:rFonts w:ascii="Verdana" w:hAnsi="Verdana"/>
          <w:sz w:val="18"/>
          <w:szCs w:val="18"/>
        </w:rPr>
        <w:t xml:space="preserve">vereenkomst indienen bij de OACPS-EU-Raad van Ministers (artikel 99, vierde lid). De wijzigingen </w:t>
      </w:r>
      <w:r w:rsidRPr="000D308F" w:rsidR="000D22B7">
        <w:rPr>
          <w:rFonts w:ascii="Verdana" w:hAnsi="Verdana"/>
          <w:sz w:val="18"/>
          <w:szCs w:val="18"/>
        </w:rPr>
        <w:t xml:space="preserve">dienen </w:t>
      </w:r>
      <w:r w:rsidRPr="000D308F" w:rsidR="00AB1C08">
        <w:rPr>
          <w:rFonts w:ascii="Verdana" w:hAnsi="Verdana"/>
          <w:sz w:val="18"/>
          <w:szCs w:val="18"/>
        </w:rPr>
        <w:t xml:space="preserve">vervolgens </w:t>
      </w:r>
      <w:r w:rsidRPr="000D308F" w:rsidR="000D22B7">
        <w:rPr>
          <w:rFonts w:ascii="Verdana" w:hAnsi="Verdana"/>
          <w:sz w:val="18"/>
          <w:szCs w:val="18"/>
        </w:rPr>
        <w:t xml:space="preserve">te worden </w:t>
      </w:r>
      <w:r w:rsidRPr="000D308F" w:rsidR="00AB1C08">
        <w:rPr>
          <w:rFonts w:ascii="Verdana" w:hAnsi="Verdana"/>
          <w:sz w:val="18"/>
          <w:szCs w:val="18"/>
        </w:rPr>
        <w:t xml:space="preserve">goedgekeurd door de OACPS-EU-Raad van Ministers, alvorens zij in werking kunnen treden. </w:t>
      </w:r>
    </w:p>
    <w:p w:rsidRPr="000D308F" w:rsidR="005F65BD" w:rsidP="005F65BD" w:rsidRDefault="00AB1C08" w14:paraId="380D7AA9" w14:textId="5E42F42E">
      <w:pPr>
        <w:rPr>
          <w:rFonts w:ascii="Verdana" w:hAnsi="Verdana"/>
          <w:sz w:val="18"/>
          <w:szCs w:val="18"/>
        </w:rPr>
      </w:pPr>
      <w:r w:rsidRPr="000D308F">
        <w:rPr>
          <w:rFonts w:ascii="Verdana" w:hAnsi="Verdana"/>
          <w:sz w:val="18"/>
          <w:szCs w:val="18"/>
        </w:rPr>
        <w:lastRenderedPageBreak/>
        <w:t>De</w:t>
      </w:r>
      <w:r w:rsidRPr="000D308F" w:rsidR="00967A6E">
        <w:rPr>
          <w:rFonts w:ascii="Verdana" w:hAnsi="Verdana"/>
          <w:sz w:val="18"/>
          <w:szCs w:val="18"/>
        </w:rPr>
        <w:t xml:space="preserve"> regionale protocollen bij de overeenkomst </w:t>
      </w:r>
      <w:r w:rsidRPr="000D308F">
        <w:rPr>
          <w:rFonts w:ascii="Verdana" w:hAnsi="Verdana"/>
          <w:sz w:val="18"/>
          <w:szCs w:val="18"/>
        </w:rPr>
        <w:t>kunnen via voorstellen tot wijzigingen uiterlijk 120 dagen voorafgaand aan de bijeenkomst van de respectieve Regionale Raad van Ministers door de respectieve partijen</w:t>
      </w:r>
      <w:r w:rsidRPr="000D308F" w:rsidR="00224336">
        <w:rPr>
          <w:rFonts w:ascii="Verdana" w:hAnsi="Verdana"/>
          <w:sz w:val="18"/>
          <w:szCs w:val="18"/>
        </w:rPr>
        <w:t xml:space="preserve"> worden</w:t>
      </w:r>
      <w:r w:rsidRPr="000D308F">
        <w:rPr>
          <w:rFonts w:ascii="Verdana" w:hAnsi="Verdana"/>
          <w:sz w:val="18"/>
          <w:szCs w:val="18"/>
        </w:rPr>
        <w:t xml:space="preserve"> ingediend bij de respectieve Regionale Raad van Ministers en bij de OACPS-EU-Raad van Ministers (artikel 99, vijfde lid). Wijzigingen worden door de respectieve Regionale Raad van Ministers aangenomen en onmiddellijk ter kennis gebracht van de OACPS-EU-Raad van Ministers, die binnen 120 dagen na de datum van kennisgeving zijn goedkeuring kan verlenen, onder meer door middel van een schriftelijke procedure of delegatie van bevoegdheden aan het </w:t>
      </w:r>
      <w:proofErr w:type="spellStart"/>
      <w:r w:rsidRPr="000D308F">
        <w:rPr>
          <w:rFonts w:ascii="Verdana" w:hAnsi="Verdana"/>
          <w:sz w:val="18"/>
          <w:szCs w:val="18"/>
        </w:rPr>
        <w:t>Alsoc</w:t>
      </w:r>
      <w:proofErr w:type="spellEnd"/>
      <w:r w:rsidRPr="000D308F">
        <w:rPr>
          <w:rFonts w:ascii="Verdana" w:hAnsi="Verdana"/>
          <w:sz w:val="18"/>
          <w:szCs w:val="18"/>
        </w:rPr>
        <w:t xml:space="preserve">. De OACPS-EU-Raad van Ministers kan weigeren zijn goedkeuring te hechten aan een wijziging die niet in overeenstemming met deze </w:t>
      </w:r>
      <w:r w:rsidRPr="000D308F" w:rsidR="006B7552">
        <w:rPr>
          <w:rFonts w:ascii="Verdana" w:hAnsi="Verdana"/>
          <w:sz w:val="18"/>
          <w:szCs w:val="18"/>
        </w:rPr>
        <w:t>o</w:t>
      </w:r>
      <w:r w:rsidRPr="000D308F">
        <w:rPr>
          <w:rFonts w:ascii="Verdana" w:hAnsi="Verdana"/>
          <w:sz w:val="18"/>
          <w:szCs w:val="18"/>
        </w:rPr>
        <w:t>vereenkomst wordt geacht, en stelt de betrokken Regionale Raad van Ministers in kennis van de redenen voor de weigering. Het ontbreken van een weigering van goedkeuring binnen 120 dagen na de datum van kennisgeving wordt beschouwd als goedkeuring. Het gewijzigde Regionale Protocol treedt</w:t>
      </w:r>
      <w:r w:rsidRPr="000D308F" w:rsidR="0085490F">
        <w:rPr>
          <w:rFonts w:ascii="Verdana" w:hAnsi="Verdana"/>
          <w:sz w:val="18"/>
          <w:szCs w:val="18"/>
        </w:rPr>
        <w:t xml:space="preserve"> gelijk</w:t>
      </w:r>
      <w:r w:rsidRPr="000D308F">
        <w:rPr>
          <w:rFonts w:ascii="Verdana" w:hAnsi="Verdana"/>
          <w:sz w:val="18"/>
          <w:szCs w:val="18"/>
        </w:rPr>
        <w:t xml:space="preserve"> in werking op de eerste dag van de tweede maand na de datum van goedkeuring.</w:t>
      </w:r>
    </w:p>
    <w:p w:rsidRPr="000D308F" w:rsidR="004066E7" w:rsidP="005F65BD" w:rsidRDefault="004066E7" w14:paraId="1644C5E4" w14:textId="5452F1A5">
      <w:pPr>
        <w:rPr>
          <w:rFonts w:ascii="Verdana" w:hAnsi="Verdana"/>
          <w:i/>
          <w:iCs/>
          <w:sz w:val="18"/>
          <w:szCs w:val="18"/>
        </w:rPr>
      </w:pPr>
      <w:r w:rsidRPr="000D308F">
        <w:rPr>
          <w:rFonts w:ascii="Verdana" w:hAnsi="Verdana"/>
          <w:i/>
          <w:iCs/>
          <w:sz w:val="18"/>
          <w:szCs w:val="18"/>
        </w:rPr>
        <w:t>Geschillenbeslechting en nakoming van verplichtingen (artikel 101)</w:t>
      </w:r>
    </w:p>
    <w:p w:rsidRPr="000D308F" w:rsidR="004066E7" w:rsidP="004066E7" w:rsidRDefault="004066E7" w14:paraId="46B9767B" w14:textId="77777777">
      <w:pPr>
        <w:rPr>
          <w:rFonts w:ascii="Verdana" w:hAnsi="Verdana"/>
          <w:sz w:val="18"/>
          <w:szCs w:val="18"/>
        </w:rPr>
      </w:pPr>
      <w:r w:rsidRPr="000D308F">
        <w:rPr>
          <w:rFonts w:ascii="Verdana" w:hAnsi="Verdana"/>
          <w:sz w:val="18"/>
          <w:szCs w:val="18"/>
        </w:rPr>
        <w:t xml:space="preserve">In het bijzonder spreken partijen in artikel 101 af om alle algemene en bijzondere maatregelen te treffen die vereist zijn om aan de verplichtingen uit het verdrag te voldoen. Zij spreken onder het eerste lid af meningsverschillen en geschillen over de toepassing van het verdrag, en vragen over de uitlegging daarvan, overeenkomstig artikel 101 op te lossen. In het tweede lid van artikel 101 spreken zij, onverminderd leden 3 tot en met 9 en artikel 74, vierde lid, af dat elke vraag die ziet op de interpretatie van het verdrag kan worden opgelost door middel van overleg in de OACPS-EU-Raad van Ministers of, met instemming van de partijen, door een speciaal </w:t>
      </w:r>
      <w:proofErr w:type="spellStart"/>
      <w:r w:rsidRPr="000D308F">
        <w:rPr>
          <w:rFonts w:ascii="Verdana" w:hAnsi="Verdana"/>
          <w:sz w:val="18"/>
          <w:szCs w:val="18"/>
        </w:rPr>
        <w:t>subcomité</w:t>
      </w:r>
      <w:proofErr w:type="spellEnd"/>
      <w:r w:rsidRPr="000D308F">
        <w:rPr>
          <w:rFonts w:ascii="Verdana" w:hAnsi="Verdana"/>
          <w:sz w:val="18"/>
          <w:szCs w:val="18"/>
        </w:rPr>
        <w:t xml:space="preserve"> of een ander passend mechanisme dat verslag uitbrengt aan de OACPS-EU-Raad van Ministers. Partijen spreken in dat verband af de relevante informatie de voor onderzoek benodigde informatie te verstrekken. Onder het vierde lid spreken partijen verder af onderlinge meningsverschillen binnen het kader van de partnerschapsdialoog te behandelen, om zo overleg, als bedoeld in het vijfde en zesde lid, te voorkomen. </w:t>
      </w:r>
    </w:p>
    <w:p w:rsidRPr="000D308F" w:rsidR="004066E7" w:rsidP="004066E7" w:rsidRDefault="004066E7" w14:paraId="54032ADE" w14:textId="77777777">
      <w:pPr>
        <w:rPr>
          <w:rFonts w:ascii="Verdana" w:hAnsi="Verdana"/>
          <w:sz w:val="18"/>
          <w:szCs w:val="18"/>
        </w:rPr>
      </w:pPr>
      <w:r w:rsidRPr="000D308F">
        <w:rPr>
          <w:rFonts w:ascii="Verdana" w:hAnsi="Verdana"/>
          <w:sz w:val="18"/>
          <w:szCs w:val="18"/>
        </w:rPr>
        <w:t xml:space="preserve">Indien dit overleg dus geen vruchten afwerpt, kunnen partijen van het vijfde en zesde lid van dit artikel gebruik maken. Ingevolge het vijfde lid van artikel 101 kan een partij (“kennisgevende Partij”), indien zij van oordeel is dat sprake is van het nalaten van enige verplichting onder het verdrag door een andere partij (“betrokken Partij”), de desbetreffende partij daarvan in kennis stellen met het oog op het vinden van een wederzijds aanvaardbare oplossing. Hierbij verstrekt de kennisgevende partij alle relevante informatie die nodig is voor een onderzoek en dient het onderzoek binnen 90 dagen na de kennisgeving plaats te vinden. Bij het ontbreken van een oplossing binnen dit tijdskader treden partijen in gestructureerd en systematisch overleg. Wanneer binnen 120 dagen na de eerste kennisgeving de partijen er nog steeds niet uit zijn, kan de kennisgevende partij maatregelen nemen die evenredig zijn aan de niet-nakoming van de specifieke verplichting. </w:t>
      </w:r>
    </w:p>
    <w:p w:rsidRPr="000D308F" w:rsidR="004066E7" w:rsidP="004066E7" w:rsidRDefault="004066E7" w14:paraId="18906CDA" w14:textId="2E363B41">
      <w:pPr>
        <w:rPr>
          <w:rFonts w:ascii="Verdana" w:hAnsi="Verdana"/>
          <w:sz w:val="18"/>
          <w:szCs w:val="18"/>
        </w:rPr>
      </w:pPr>
      <w:r w:rsidRPr="000D308F">
        <w:rPr>
          <w:rFonts w:ascii="Verdana" w:hAnsi="Verdana"/>
          <w:sz w:val="18"/>
          <w:szCs w:val="18"/>
        </w:rPr>
        <w:t xml:space="preserve">Bij een </w:t>
      </w:r>
      <w:r w:rsidRPr="000D308F" w:rsidR="005F03D3">
        <w:rPr>
          <w:rFonts w:ascii="Verdana" w:hAnsi="Verdana"/>
          <w:sz w:val="18"/>
          <w:szCs w:val="18"/>
        </w:rPr>
        <w:t xml:space="preserve">door een verdragspartij </w:t>
      </w:r>
      <w:r w:rsidRPr="000D308F">
        <w:rPr>
          <w:rFonts w:ascii="Verdana" w:hAnsi="Verdana"/>
          <w:sz w:val="18"/>
          <w:szCs w:val="18"/>
        </w:rPr>
        <w:t xml:space="preserve">vermeende schending </w:t>
      </w:r>
      <w:r w:rsidRPr="000D308F" w:rsidR="005F03D3">
        <w:rPr>
          <w:rFonts w:ascii="Verdana" w:hAnsi="Verdana"/>
          <w:sz w:val="18"/>
          <w:szCs w:val="18"/>
        </w:rPr>
        <w:t xml:space="preserve">door een andere partij </w:t>
      </w:r>
      <w:r w:rsidRPr="000D308F">
        <w:rPr>
          <w:rFonts w:ascii="Verdana" w:hAnsi="Verdana"/>
          <w:sz w:val="18"/>
          <w:szCs w:val="18"/>
        </w:rPr>
        <w:t>van essentiële elementen van de overeenkomst, zoals bedoeld in artikelen 9 en 18 van de overeenkomst, of bij gevallen van corruptie (artikel 12), stelt de kennisgevende partij – onverminderd het vijfde lid en ingevolge het zesde lid - de betrokken partij daarvan in kennis en verstrekt zij alle relevante informatie die vereist is voor een onderzoek, om binnen 60 dagen na de kennisgeving een gezamenlijke oplossing te vinden. Bij instemming van partijen, en bij het ontbreken van een oplossing, wordt een Bijzonder Gemengd Comité betrokken. Dit comité bestaat uit een gelijk aantal vertegenwoordigers van de EU en de OACPS-leden en verleent advies over de nakoming van verplichtingen en verleent in voorkomend geval bijstand</w:t>
      </w:r>
      <w:r w:rsidRPr="000D308F" w:rsidR="005F03D3">
        <w:rPr>
          <w:rFonts w:ascii="Verdana" w:hAnsi="Verdana"/>
          <w:sz w:val="18"/>
          <w:szCs w:val="18"/>
        </w:rPr>
        <w:t>, zodat de betrokken Partij de nodige maatregelen neemt om aan de verplichtingen uit het verdrag te voldoen</w:t>
      </w:r>
      <w:r w:rsidRPr="000D308F">
        <w:rPr>
          <w:rFonts w:ascii="Verdana" w:hAnsi="Verdana"/>
          <w:sz w:val="18"/>
          <w:szCs w:val="18"/>
        </w:rPr>
        <w:t>.</w:t>
      </w:r>
      <w:r w:rsidRPr="000D308F" w:rsidR="005F03D3">
        <w:rPr>
          <w:rFonts w:ascii="Verdana" w:hAnsi="Verdana"/>
          <w:sz w:val="18"/>
          <w:szCs w:val="18"/>
        </w:rPr>
        <w:t xml:space="preserve"> De betrokken Partij blijft daarbij als enige verantwoordelijk voor de naleving van haar verdragsverplichtingen.</w:t>
      </w:r>
      <w:r w:rsidRPr="000D308F">
        <w:rPr>
          <w:rFonts w:ascii="Verdana" w:hAnsi="Verdana"/>
          <w:sz w:val="18"/>
          <w:szCs w:val="18"/>
        </w:rPr>
        <w:t xml:space="preserve"> Bij het ontbreken van een aanvaardbare oplossing binnen 90 dagen na de oorspronkelijke kennisgeving kan de kennisgevende partij “passende maatregelen” nemen. </w:t>
      </w:r>
    </w:p>
    <w:p w:rsidRPr="000D308F" w:rsidR="00242BFB" w:rsidP="005F65BD" w:rsidRDefault="004066E7" w14:paraId="15C785E3" w14:textId="53E4B2FD">
      <w:pPr>
        <w:rPr>
          <w:rFonts w:ascii="Verdana" w:hAnsi="Verdana"/>
          <w:sz w:val="18"/>
          <w:szCs w:val="18"/>
        </w:rPr>
      </w:pPr>
      <w:r w:rsidRPr="000D308F">
        <w:rPr>
          <w:rFonts w:ascii="Verdana" w:hAnsi="Verdana"/>
          <w:sz w:val="18"/>
          <w:szCs w:val="18"/>
        </w:rPr>
        <w:t xml:space="preserve">In het geval een van de partijen van oordeel is dat sprake is van een bijzonder ernstige en flagrante schending door een partij van de in artikel 9 en 18 bedoelde essentiële elementen, ook </w:t>
      </w:r>
      <w:r w:rsidRPr="000D308F">
        <w:rPr>
          <w:rFonts w:ascii="Verdana" w:hAnsi="Verdana"/>
          <w:sz w:val="18"/>
          <w:szCs w:val="18"/>
        </w:rPr>
        <w:lastRenderedPageBreak/>
        <w:t>wel gekenmerkt als “bijzonder dringende gevallen”</w:t>
      </w:r>
      <w:r w:rsidRPr="000D308F" w:rsidR="000C7C4C">
        <w:rPr>
          <w:rStyle w:val="FootnoteReference"/>
          <w:rFonts w:ascii="Verdana" w:hAnsi="Verdana"/>
          <w:sz w:val="18"/>
          <w:szCs w:val="18"/>
        </w:rPr>
        <w:t xml:space="preserve"> </w:t>
      </w:r>
      <w:r w:rsidRPr="000D308F" w:rsidR="000C7C4C">
        <w:rPr>
          <w:rStyle w:val="FootnoteReference"/>
          <w:rFonts w:ascii="Verdana" w:hAnsi="Verdana"/>
          <w:sz w:val="18"/>
          <w:szCs w:val="18"/>
        </w:rPr>
        <w:footnoteReference w:id="21"/>
      </w:r>
      <w:r w:rsidRPr="000D308F">
        <w:rPr>
          <w:rFonts w:ascii="Verdana" w:hAnsi="Verdana"/>
          <w:sz w:val="18"/>
          <w:szCs w:val="18"/>
        </w:rPr>
        <w:t>, kan een kennisgevende partij – ingevolge het zevende lid - met onmiddellijke ingang passende maatregelen nemen</w:t>
      </w:r>
      <w:r w:rsidRPr="000D308F" w:rsidR="005F03D3">
        <w:rPr>
          <w:rFonts w:ascii="Verdana" w:hAnsi="Verdana"/>
          <w:sz w:val="18"/>
          <w:szCs w:val="18"/>
        </w:rPr>
        <w:t>, zonder voorafgaand overleg</w:t>
      </w:r>
      <w:r w:rsidRPr="000D308F">
        <w:rPr>
          <w:rFonts w:ascii="Verdana" w:hAnsi="Verdana"/>
          <w:sz w:val="18"/>
          <w:szCs w:val="18"/>
        </w:rPr>
        <w:t>.</w:t>
      </w:r>
    </w:p>
    <w:p w:rsidRPr="000D308F" w:rsidR="00AF1233" w:rsidP="005F65BD" w:rsidRDefault="00242BFB" w14:paraId="32AE6A25" w14:textId="3654F436">
      <w:pPr>
        <w:rPr>
          <w:rFonts w:ascii="Verdana" w:hAnsi="Verdana"/>
          <w:sz w:val="18"/>
          <w:szCs w:val="18"/>
        </w:rPr>
      </w:pPr>
      <w:r w:rsidRPr="000D308F">
        <w:rPr>
          <w:rFonts w:ascii="Verdana" w:hAnsi="Verdana"/>
          <w:sz w:val="18"/>
          <w:szCs w:val="18"/>
        </w:rPr>
        <w:t>De passende maatregelen, die worden genoemd in het zesde en zevende lid, dienen</w:t>
      </w:r>
      <w:r w:rsidRPr="000D308F" w:rsidR="005F03D3">
        <w:rPr>
          <w:rFonts w:ascii="Verdana" w:hAnsi="Verdana"/>
          <w:sz w:val="18"/>
          <w:szCs w:val="18"/>
        </w:rPr>
        <w:t>, ingevolge het achtste lid,</w:t>
      </w:r>
      <w:r w:rsidRPr="000D308F">
        <w:rPr>
          <w:rFonts w:ascii="Verdana" w:hAnsi="Verdana"/>
          <w:sz w:val="18"/>
          <w:szCs w:val="18"/>
        </w:rPr>
        <w:t xml:space="preserve"> te worden genomen met de volledige inachtneming van internationaal recht en dienen in verhouding te staan tot de geschonden verplichting van het verdrag. Hierbij wordt voorrang gegeven aan maatregelen die de overeenkomst het minst verstoren</w:t>
      </w:r>
      <w:r w:rsidRPr="000D308F" w:rsidR="002B6DA0">
        <w:rPr>
          <w:rFonts w:ascii="Verdana" w:hAnsi="Verdana"/>
          <w:sz w:val="18"/>
          <w:szCs w:val="18"/>
        </w:rPr>
        <w:t xml:space="preserve"> en hieronder kunnen in </w:t>
      </w:r>
      <w:r w:rsidRPr="000D308F">
        <w:rPr>
          <w:rFonts w:ascii="Verdana" w:hAnsi="Verdana"/>
          <w:sz w:val="18"/>
          <w:szCs w:val="18"/>
        </w:rPr>
        <w:t xml:space="preserve">elk geval de volledige of gedeeltelijke opschorting </w:t>
      </w:r>
      <w:r w:rsidRPr="000D308F" w:rsidR="002B6DA0">
        <w:rPr>
          <w:rFonts w:ascii="Verdana" w:hAnsi="Verdana"/>
          <w:sz w:val="18"/>
          <w:szCs w:val="18"/>
        </w:rPr>
        <w:t>gerekend worden</w:t>
      </w:r>
      <w:r w:rsidRPr="000D308F">
        <w:rPr>
          <w:rFonts w:ascii="Verdana" w:hAnsi="Verdana"/>
          <w:sz w:val="18"/>
          <w:szCs w:val="18"/>
        </w:rPr>
        <w:t xml:space="preserve">. Na het nemen van de maatregelen, kan op verzoek van een van de partijen overleg worden gepleegd om de situatie grondig te onderzoeken en oplossingen te vinden die de intrekking van maatregelen mogelijk maken. De partijen komen daarnaast overeen dat het overleg moet plaatsvinden op het niveau en in de vorm die het gunstigst worden geacht om tot een wederzijds aanvaardbare oplossing te komen (negende lid). </w:t>
      </w:r>
      <w:r w:rsidRPr="000D308F" w:rsidR="009F6D06">
        <w:rPr>
          <w:rFonts w:ascii="Verdana" w:hAnsi="Verdana"/>
          <w:sz w:val="18"/>
          <w:szCs w:val="18"/>
        </w:rPr>
        <w:t xml:space="preserve">Hoewel de aard van de passende maatregelen op voorhand niet in te vullen valt, zou het, </w:t>
      </w:r>
      <w:r w:rsidRPr="000D308F" w:rsidR="00B02A77">
        <w:rPr>
          <w:rFonts w:ascii="Verdana" w:hAnsi="Verdana"/>
          <w:sz w:val="18"/>
          <w:szCs w:val="18"/>
        </w:rPr>
        <w:t xml:space="preserve">in </w:t>
      </w:r>
      <w:r w:rsidRPr="000D308F" w:rsidR="009F6D06">
        <w:rPr>
          <w:rFonts w:ascii="Verdana" w:hAnsi="Verdana"/>
          <w:sz w:val="18"/>
          <w:szCs w:val="18"/>
        </w:rPr>
        <w:t xml:space="preserve">het </w:t>
      </w:r>
      <w:r w:rsidRPr="000D308F" w:rsidR="00A5092D">
        <w:rPr>
          <w:rFonts w:ascii="Verdana" w:hAnsi="Verdana"/>
          <w:sz w:val="18"/>
          <w:szCs w:val="18"/>
        </w:rPr>
        <w:t xml:space="preserve">(uiterste) </w:t>
      </w:r>
      <w:r w:rsidRPr="000D308F" w:rsidR="009F6D06">
        <w:rPr>
          <w:rFonts w:ascii="Verdana" w:hAnsi="Verdana"/>
          <w:sz w:val="18"/>
          <w:szCs w:val="18"/>
        </w:rPr>
        <w:t>geval een dergelijke</w:t>
      </w:r>
      <w:r w:rsidRPr="000D308F" w:rsidR="00BE19AC">
        <w:rPr>
          <w:rFonts w:ascii="Verdana" w:hAnsi="Verdana"/>
          <w:sz w:val="18"/>
          <w:szCs w:val="18"/>
        </w:rPr>
        <w:t xml:space="preserve"> </w:t>
      </w:r>
      <w:r w:rsidRPr="000D308F" w:rsidR="009F6D06">
        <w:rPr>
          <w:rFonts w:ascii="Verdana" w:hAnsi="Verdana"/>
          <w:sz w:val="18"/>
          <w:szCs w:val="18"/>
        </w:rPr>
        <w:t>situatie zich voordoet, denkbaar kunnen zijn dat</w:t>
      </w:r>
      <w:r w:rsidRPr="000D308F" w:rsidR="00BA7467">
        <w:rPr>
          <w:rFonts w:ascii="Verdana" w:hAnsi="Verdana"/>
          <w:sz w:val="18"/>
          <w:szCs w:val="18"/>
        </w:rPr>
        <w:t>,</w:t>
      </w:r>
      <w:r w:rsidRPr="000D308F" w:rsidR="00BE19AC">
        <w:rPr>
          <w:rFonts w:ascii="Verdana" w:hAnsi="Verdana"/>
          <w:sz w:val="18"/>
          <w:szCs w:val="18"/>
        </w:rPr>
        <w:t xml:space="preserve"> bijvoorbeeld</w:t>
      </w:r>
      <w:r w:rsidRPr="000D308F" w:rsidR="00BA7467">
        <w:rPr>
          <w:rFonts w:ascii="Verdana" w:hAnsi="Verdana"/>
          <w:sz w:val="18"/>
          <w:szCs w:val="18"/>
        </w:rPr>
        <w:t>,</w:t>
      </w:r>
      <w:r w:rsidRPr="000D308F" w:rsidR="009F6D06">
        <w:rPr>
          <w:rFonts w:ascii="Verdana" w:hAnsi="Verdana"/>
          <w:sz w:val="18"/>
          <w:szCs w:val="18"/>
        </w:rPr>
        <w:t xml:space="preserve"> opschorting van steun</w:t>
      </w:r>
      <w:r w:rsidRPr="000D308F" w:rsidR="004B1A75">
        <w:rPr>
          <w:rFonts w:ascii="Verdana" w:hAnsi="Verdana"/>
          <w:sz w:val="18"/>
          <w:szCs w:val="18"/>
        </w:rPr>
        <w:t xml:space="preserve"> door de EU</w:t>
      </w:r>
      <w:r w:rsidRPr="000D308F" w:rsidR="009F6D06">
        <w:rPr>
          <w:rFonts w:ascii="Verdana" w:hAnsi="Verdana"/>
          <w:sz w:val="18"/>
          <w:szCs w:val="18"/>
        </w:rPr>
        <w:t xml:space="preserve">, zoals </w:t>
      </w:r>
      <w:r w:rsidRPr="000D308F" w:rsidR="00CC4D2C">
        <w:rPr>
          <w:rFonts w:ascii="Verdana" w:hAnsi="Verdana"/>
          <w:sz w:val="18"/>
          <w:szCs w:val="18"/>
        </w:rPr>
        <w:t xml:space="preserve">bijvoorbeeld </w:t>
      </w:r>
      <w:r w:rsidRPr="000D308F" w:rsidR="009F6D06">
        <w:rPr>
          <w:rFonts w:ascii="Verdana" w:hAnsi="Verdana"/>
          <w:sz w:val="18"/>
          <w:szCs w:val="18"/>
        </w:rPr>
        <w:t xml:space="preserve">onder </w:t>
      </w:r>
      <w:r w:rsidRPr="000D308F" w:rsidR="004B1A75">
        <w:rPr>
          <w:rFonts w:ascii="Verdana" w:hAnsi="Verdana"/>
          <w:sz w:val="18"/>
          <w:szCs w:val="18"/>
        </w:rPr>
        <w:t>de Cotonou-overeenkomst in 2016 bij Burundi</w:t>
      </w:r>
      <w:r w:rsidRPr="000D308F" w:rsidR="00BA7467">
        <w:rPr>
          <w:rFonts w:ascii="Verdana" w:hAnsi="Verdana"/>
          <w:sz w:val="18"/>
          <w:szCs w:val="18"/>
        </w:rPr>
        <w:t xml:space="preserve"> na overlegprocedures</w:t>
      </w:r>
      <w:r w:rsidRPr="000D308F" w:rsidR="004B1A75">
        <w:rPr>
          <w:rFonts w:ascii="Verdana" w:hAnsi="Verdana"/>
          <w:sz w:val="18"/>
          <w:szCs w:val="18"/>
        </w:rPr>
        <w:t xml:space="preserve"> heeft plaatsgevonden</w:t>
      </w:r>
      <w:r w:rsidRPr="000D308F" w:rsidR="004B1A75">
        <w:rPr>
          <w:rStyle w:val="FootnoteReference"/>
          <w:rFonts w:ascii="Verdana" w:hAnsi="Verdana"/>
          <w:sz w:val="18"/>
          <w:szCs w:val="18"/>
        </w:rPr>
        <w:footnoteReference w:id="22"/>
      </w:r>
      <w:r w:rsidRPr="000D308F" w:rsidR="00BE19AC">
        <w:rPr>
          <w:rFonts w:ascii="Verdana" w:hAnsi="Verdana"/>
          <w:sz w:val="18"/>
          <w:szCs w:val="18"/>
        </w:rPr>
        <w:t>, of opschorting van samenwerking met een bepaalde verdragspartij</w:t>
      </w:r>
      <w:r w:rsidRPr="000D308F" w:rsidR="00E50E57">
        <w:rPr>
          <w:rFonts w:ascii="Verdana" w:hAnsi="Verdana"/>
          <w:sz w:val="18"/>
          <w:szCs w:val="18"/>
        </w:rPr>
        <w:t xml:space="preserve"> en het</w:t>
      </w:r>
      <w:r w:rsidRPr="000D308F" w:rsidR="00BA7467">
        <w:rPr>
          <w:rFonts w:ascii="Verdana" w:hAnsi="Verdana"/>
          <w:sz w:val="18"/>
          <w:szCs w:val="18"/>
        </w:rPr>
        <w:t xml:space="preserve"> daarbij</w:t>
      </w:r>
      <w:r w:rsidRPr="000D308F" w:rsidR="00E50E57">
        <w:rPr>
          <w:rFonts w:ascii="Verdana" w:hAnsi="Verdana"/>
          <w:sz w:val="18"/>
          <w:szCs w:val="18"/>
        </w:rPr>
        <w:t xml:space="preserve"> </w:t>
      </w:r>
      <w:r w:rsidRPr="000D308F" w:rsidR="0002168D">
        <w:rPr>
          <w:rFonts w:ascii="Verdana" w:hAnsi="Verdana"/>
          <w:sz w:val="18"/>
          <w:szCs w:val="18"/>
        </w:rPr>
        <w:t>aangaan van een versterkte politieke dialoog met een</w:t>
      </w:r>
      <w:r w:rsidRPr="000D308F" w:rsidR="00E50E57">
        <w:rPr>
          <w:rFonts w:ascii="Verdana" w:hAnsi="Verdana"/>
          <w:sz w:val="18"/>
          <w:szCs w:val="18"/>
        </w:rPr>
        <w:t xml:space="preserve"> evaluatietraject</w:t>
      </w:r>
      <w:r w:rsidRPr="000D308F" w:rsidR="00BE19AC">
        <w:rPr>
          <w:rStyle w:val="FootnoteReference"/>
          <w:rFonts w:ascii="Verdana" w:hAnsi="Verdana"/>
          <w:sz w:val="18"/>
          <w:szCs w:val="18"/>
        </w:rPr>
        <w:footnoteReference w:id="23"/>
      </w:r>
      <w:r w:rsidRPr="000D308F" w:rsidR="00BE19AC">
        <w:rPr>
          <w:rFonts w:ascii="Verdana" w:hAnsi="Verdana"/>
          <w:sz w:val="18"/>
          <w:szCs w:val="18"/>
        </w:rPr>
        <w:t xml:space="preserve">, </w:t>
      </w:r>
      <w:r w:rsidRPr="000D308F" w:rsidR="0002168D">
        <w:rPr>
          <w:rFonts w:ascii="Verdana" w:hAnsi="Verdana"/>
          <w:sz w:val="18"/>
          <w:szCs w:val="18"/>
        </w:rPr>
        <w:t>tot de mogelijkheden behoren.</w:t>
      </w:r>
      <w:r w:rsidRPr="000D308F" w:rsidR="00AF1233">
        <w:rPr>
          <w:rFonts w:ascii="Verdana" w:hAnsi="Verdana"/>
          <w:sz w:val="18"/>
          <w:szCs w:val="18"/>
        </w:rPr>
        <w:br/>
      </w:r>
      <w:r w:rsidRPr="000D308F" w:rsidR="004066E7">
        <w:rPr>
          <w:rFonts w:ascii="Verdana" w:hAnsi="Verdana"/>
          <w:sz w:val="18"/>
          <w:szCs w:val="18"/>
        </w:rPr>
        <w:br/>
      </w:r>
      <w:r w:rsidRPr="000D308F" w:rsidR="002B6DA0">
        <w:rPr>
          <w:rFonts w:ascii="Verdana" w:hAnsi="Verdana"/>
          <w:sz w:val="18"/>
          <w:szCs w:val="18"/>
        </w:rPr>
        <w:t>Ten slotte</w:t>
      </w:r>
      <w:r w:rsidRPr="000D308F" w:rsidR="007C6A6F">
        <w:rPr>
          <w:rFonts w:ascii="Verdana" w:hAnsi="Verdana"/>
          <w:sz w:val="18"/>
          <w:szCs w:val="18"/>
        </w:rPr>
        <w:t xml:space="preserve"> merkt de regering op dat d</w:t>
      </w:r>
      <w:r w:rsidRPr="000D308F" w:rsidR="004523C5">
        <w:rPr>
          <w:rFonts w:ascii="Verdana" w:hAnsi="Verdana"/>
          <w:sz w:val="18"/>
          <w:szCs w:val="18"/>
        </w:rPr>
        <w:t>e g</w:t>
      </w:r>
      <w:r w:rsidRPr="000D308F" w:rsidR="004066E7">
        <w:rPr>
          <w:rFonts w:ascii="Verdana" w:hAnsi="Verdana"/>
          <w:sz w:val="18"/>
          <w:szCs w:val="18"/>
        </w:rPr>
        <w:t>eschillenregeling</w:t>
      </w:r>
      <w:r w:rsidRPr="000D308F" w:rsidR="004523C5">
        <w:rPr>
          <w:rFonts w:ascii="Verdana" w:hAnsi="Verdana"/>
          <w:sz w:val="18"/>
          <w:szCs w:val="18"/>
        </w:rPr>
        <w:t xml:space="preserve"> in artikel 101 van de onderhavige overeenkomst </w:t>
      </w:r>
      <w:r w:rsidRPr="000D308F" w:rsidR="007C6A6F">
        <w:rPr>
          <w:rFonts w:ascii="Verdana" w:hAnsi="Verdana"/>
          <w:sz w:val="18"/>
          <w:szCs w:val="18"/>
        </w:rPr>
        <w:t xml:space="preserve">verschilt </w:t>
      </w:r>
      <w:r w:rsidRPr="000D308F" w:rsidR="004523C5">
        <w:rPr>
          <w:rFonts w:ascii="Verdana" w:hAnsi="Verdana"/>
          <w:sz w:val="18"/>
          <w:szCs w:val="18"/>
        </w:rPr>
        <w:t xml:space="preserve">met die van artikel 98 van de Overeenkomst van Cotonou. </w:t>
      </w:r>
      <w:r w:rsidRPr="000D308F" w:rsidR="004066E7">
        <w:rPr>
          <w:rFonts w:ascii="Verdana" w:hAnsi="Verdana"/>
          <w:sz w:val="18"/>
          <w:szCs w:val="18"/>
        </w:rPr>
        <w:t xml:space="preserve">In de Overeenkomst van Cotonou (artikel 98) bestond namelijk de mogelijkheid tot arbitrage tussen partijen, in het geval de Raad van Ministers bij dat verdrag niet tot een oplossing voor het geschil kon komen. </w:t>
      </w:r>
      <w:r w:rsidRPr="000D308F" w:rsidR="00FA2B91">
        <w:rPr>
          <w:rFonts w:ascii="Verdana" w:hAnsi="Verdana"/>
          <w:sz w:val="18"/>
          <w:szCs w:val="18"/>
        </w:rPr>
        <w:t>In</w:t>
      </w:r>
      <w:r w:rsidRPr="000D308F" w:rsidR="004066E7">
        <w:rPr>
          <w:rFonts w:ascii="Verdana" w:hAnsi="Verdana"/>
          <w:sz w:val="18"/>
          <w:szCs w:val="18"/>
        </w:rPr>
        <w:t xml:space="preserve"> de Samoa-overeenkomst </w:t>
      </w:r>
      <w:r w:rsidRPr="000D308F" w:rsidR="00FA2B91">
        <w:rPr>
          <w:rFonts w:ascii="Verdana" w:hAnsi="Verdana"/>
          <w:sz w:val="18"/>
          <w:szCs w:val="18"/>
        </w:rPr>
        <w:t xml:space="preserve">is </w:t>
      </w:r>
      <w:r w:rsidRPr="000D308F" w:rsidR="004066E7">
        <w:rPr>
          <w:rFonts w:ascii="Verdana" w:hAnsi="Verdana"/>
          <w:sz w:val="18"/>
          <w:szCs w:val="18"/>
        </w:rPr>
        <w:t xml:space="preserve">gekozen voor een </w:t>
      </w:r>
      <w:r w:rsidRPr="000D308F" w:rsidR="007C6A6F">
        <w:rPr>
          <w:rFonts w:ascii="Verdana" w:hAnsi="Verdana"/>
          <w:sz w:val="18"/>
          <w:szCs w:val="18"/>
        </w:rPr>
        <w:t>gedetailleerde</w:t>
      </w:r>
      <w:r w:rsidRPr="000D308F" w:rsidR="004066E7">
        <w:rPr>
          <w:rFonts w:ascii="Verdana" w:hAnsi="Verdana"/>
          <w:sz w:val="18"/>
          <w:szCs w:val="18"/>
        </w:rPr>
        <w:t xml:space="preserve"> geschilbeslechtingprocedure.</w:t>
      </w:r>
      <w:r w:rsidRPr="000D308F" w:rsidR="002B6DA0">
        <w:rPr>
          <w:rFonts w:ascii="Verdana" w:hAnsi="Verdana"/>
          <w:sz w:val="18"/>
          <w:szCs w:val="18"/>
        </w:rPr>
        <w:t xml:space="preserve"> In dat kader merkt de regering ook op dat d</w:t>
      </w:r>
      <w:r w:rsidRPr="000D308F" w:rsidR="007E4C2A">
        <w:rPr>
          <w:rFonts w:ascii="Verdana" w:hAnsi="Verdana"/>
          <w:sz w:val="18"/>
          <w:szCs w:val="18"/>
        </w:rPr>
        <w:t>e</w:t>
      </w:r>
      <w:r w:rsidRPr="000D308F" w:rsidR="00AF1233">
        <w:rPr>
          <w:rFonts w:ascii="Verdana" w:hAnsi="Verdana"/>
          <w:sz w:val="18"/>
          <w:szCs w:val="18"/>
        </w:rPr>
        <w:t xml:space="preserve"> Europese Commissie </w:t>
      </w:r>
      <w:r w:rsidRPr="000D308F" w:rsidR="007E4C2A">
        <w:rPr>
          <w:rFonts w:ascii="Verdana" w:hAnsi="Verdana"/>
          <w:sz w:val="18"/>
          <w:szCs w:val="18"/>
        </w:rPr>
        <w:t xml:space="preserve">werkt </w:t>
      </w:r>
      <w:r w:rsidRPr="000D308F" w:rsidR="00AF1233">
        <w:rPr>
          <w:rFonts w:ascii="Verdana" w:hAnsi="Verdana"/>
          <w:sz w:val="18"/>
          <w:szCs w:val="18"/>
        </w:rPr>
        <w:t>aan een voorstel voor de nadere uitwerking van artikel 101</w:t>
      </w:r>
      <w:r w:rsidRPr="000D308F" w:rsidR="00346A29">
        <w:rPr>
          <w:rFonts w:ascii="Verdana" w:hAnsi="Verdana"/>
          <w:sz w:val="18"/>
          <w:szCs w:val="18"/>
        </w:rPr>
        <w:t xml:space="preserve">. </w:t>
      </w:r>
      <w:r w:rsidRPr="000D308F" w:rsidR="00AF1233">
        <w:rPr>
          <w:rFonts w:ascii="Verdana" w:hAnsi="Verdana"/>
          <w:sz w:val="18"/>
          <w:szCs w:val="18"/>
        </w:rPr>
        <w:t>Het voorstel van de Europese Commissie hieromtrent zal, naar verwachting, in 2026 aan de Raad ter besluitvorming worden voorgelegd.</w:t>
      </w:r>
      <w:r w:rsidRPr="000D308F" w:rsidR="00A24DEC">
        <w:rPr>
          <w:rFonts w:ascii="Verdana" w:hAnsi="Verdana"/>
          <w:sz w:val="18"/>
          <w:szCs w:val="18"/>
        </w:rPr>
        <w:t xml:space="preserve"> De regering zal pas na besluitvorming in de Raad zijn standpunt omtrent de invulling van dit artikel namens Nederland kunnen innemen. Desalniettemin neemt de regering zich voor </w:t>
      </w:r>
      <w:r w:rsidRPr="000D308F" w:rsidR="00346A29">
        <w:rPr>
          <w:rFonts w:ascii="Verdana" w:hAnsi="Verdana"/>
          <w:sz w:val="18"/>
          <w:szCs w:val="18"/>
        </w:rPr>
        <w:t>om bij de invulling van dit artikel in te zetten op</w:t>
      </w:r>
      <w:r w:rsidRPr="000D308F" w:rsidR="002B6DA0">
        <w:rPr>
          <w:rFonts w:ascii="Verdana" w:hAnsi="Verdana"/>
          <w:sz w:val="18"/>
          <w:szCs w:val="18"/>
        </w:rPr>
        <w:t xml:space="preserve"> de</w:t>
      </w:r>
      <w:r w:rsidRPr="000D308F" w:rsidR="00346A29">
        <w:rPr>
          <w:rFonts w:ascii="Verdana" w:hAnsi="Verdana"/>
          <w:sz w:val="18"/>
          <w:szCs w:val="18"/>
        </w:rPr>
        <w:t xml:space="preserve"> gelijkwaardige relatie </w:t>
      </w:r>
      <w:r w:rsidRPr="000D308F" w:rsidR="002B6DA0">
        <w:rPr>
          <w:rFonts w:ascii="Verdana" w:hAnsi="Verdana"/>
          <w:sz w:val="18"/>
          <w:szCs w:val="18"/>
        </w:rPr>
        <w:t xml:space="preserve">tussen </w:t>
      </w:r>
      <w:r w:rsidRPr="000D308F" w:rsidR="00346A29">
        <w:rPr>
          <w:rFonts w:ascii="Verdana" w:hAnsi="Verdana"/>
          <w:sz w:val="18"/>
          <w:szCs w:val="18"/>
        </w:rPr>
        <w:t>de verdragspartijen en</w:t>
      </w:r>
      <w:r w:rsidRPr="000D308F" w:rsidR="002B6DA0">
        <w:rPr>
          <w:rFonts w:ascii="Verdana" w:hAnsi="Verdana"/>
          <w:sz w:val="18"/>
          <w:szCs w:val="18"/>
        </w:rPr>
        <w:t xml:space="preserve"> hecht de regering</w:t>
      </w:r>
      <w:r w:rsidRPr="000D308F" w:rsidR="00246001">
        <w:rPr>
          <w:rFonts w:ascii="Verdana" w:hAnsi="Verdana"/>
          <w:sz w:val="18"/>
          <w:szCs w:val="18"/>
        </w:rPr>
        <w:t xml:space="preserve"> hierbij</w:t>
      </w:r>
      <w:r w:rsidRPr="000D308F" w:rsidR="00551A8A">
        <w:rPr>
          <w:rFonts w:ascii="Verdana" w:hAnsi="Verdana"/>
          <w:sz w:val="18"/>
          <w:szCs w:val="18"/>
        </w:rPr>
        <w:t xml:space="preserve"> </w:t>
      </w:r>
      <w:r w:rsidRPr="000D308F" w:rsidR="002B6DA0">
        <w:rPr>
          <w:rFonts w:ascii="Verdana" w:hAnsi="Verdana"/>
          <w:sz w:val="18"/>
          <w:szCs w:val="18"/>
        </w:rPr>
        <w:t xml:space="preserve">aan </w:t>
      </w:r>
      <w:r w:rsidRPr="000D308F" w:rsidR="00246001">
        <w:rPr>
          <w:rFonts w:ascii="Verdana" w:hAnsi="Verdana"/>
          <w:sz w:val="18"/>
          <w:szCs w:val="18"/>
        </w:rPr>
        <w:t>proportionaliteit</w:t>
      </w:r>
      <w:r w:rsidRPr="000D308F" w:rsidR="00551A8A">
        <w:rPr>
          <w:rFonts w:ascii="Verdana" w:hAnsi="Verdana"/>
          <w:sz w:val="18"/>
          <w:szCs w:val="18"/>
        </w:rPr>
        <w:t xml:space="preserve"> van de maatregelen</w:t>
      </w:r>
      <w:r w:rsidRPr="000D308F" w:rsidR="00246001">
        <w:rPr>
          <w:rFonts w:ascii="Verdana" w:hAnsi="Verdana"/>
          <w:sz w:val="18"/>
          <w:szCs w:val="18"/>
        </w:rPr>
        <w:t xml:space="preserve"> en eerbiediging</w:t>
      </w:r>
      <w:r w:rsidRPr="000D308F" w:rsidR="002B6DA0">
        <w:rPr>
          <w:rFonts w:ascii="Verdana" w:hAnsi="Verdana"/>
          <w:sz w:val="18"/>
          <w:szCs w:val="18"/>
        </w:rPr>
        <w:t xml:space="preserve"> van</w:t>
      </w:r>
      <w:r w:rsidRPr="000D308F" w:rsidR="00246001">
        <w:rPr>
          <w:rFonts w:ascii="Verdana" w:hAnsi="Verdana"/>
          <w:sz w:val="18"/>
          <w:szCs w:val="18"/>
        </w:rPr>
        <w:t xml:space="preserve"> het</w:t>
      </w:r>
      <w:r w:rsidRPr="000D308F" w:rsidR="002B6DA0">
        <w:rPr>
          <w:rFonts w:ascii="Verdana" w:hAnsi="Verdana"/>
          <w:sz w:val="18"/>
          <w:szCs w:val="18"/>
        </w:rPr>
        <w:t xml:space="preserve"> internationaal recht</w:t>
      </w:r>
      <w:r w:rsidRPr="000D308F" w:rsidR="00246001">
        <w:rPr>
          <w:rFonts w:ascii="Verdana" w:hAnsi="Verdana"/>
          <w:sz w:val="18"/>
          <w:szCs w:val="18"/>
        </w:rPr>
        <w:t>.</w:t>
      </w:r>
      <w:r w:rsidRPr="000D308F" w:rsidR="00246001">
        <w:rPr>
          <w:rFonts w:ascii="Verdana" w:hAnsi="Verdana"/>
          <w:sz w:val="18"/>
          <w:szCs w:val="18"/>
        </w:rPr>
        <w:br/>
      </w:r>
    </w:p>
    <w:p w:rsidRPr="000D308F" w:rsidR="00274541" w:rsidP="00EC4F1D" w:rsidRDefault="00274541" w14:paraId="4C938E9D" w14:textId="77777777">
      <w:pPr>
        <w:rPr>
          <w:rFonts w:ascii="Verdana" w:hAnsi="Verdana"/>
          <w:b/>
          <w:bCs/>
          <w:i/>
          <w:iCs/>
          <w:sz w:val="18"/>
          <w:szCs w:val="18"/>
        </w:rPr>
      </w:pPr>
      <w:r w:rsidRPr="000D308F">
        <w:rPr>
          <w:rFonts w:ascii="Verdana" w:hAnsi="Verdana"/>
          <w:b/>
          <w:bCs/>
          <w:i/>
          <w:iCs/>
          <w:sz w:val="18"/>
          <w:szCs w:val="18"/>
        </w:rPr>
        <w:t>Het Regionaal Protocol Afrika</w:t>
      </w:r>
    </w:p>
    <w:p w:rsidRPr="000D308F" w:rsidR="00274541" w:rsidP="00EC4F1D" w:rsidRDefault="00084ED8" w14:paraId="6210419E" w14:textId="3B360FE2">
      <w:pPr>
        <w:rPr>
          <w:rFonts w:ascii="Verdana" w:hAnsi="Verdana"/>
          <w:b/>
          <w:bCs/>
          <w:sz w:val="18"/>
          <w:szCs w:val="18"/>
        </w:rPr>
      </w:pPr>
      <w:r w:rsidRPr="000D308F">
        <w:rPr>
          <w:rFonts w:ascii="Verdana" w:hAnsi="Verdana"/>
          <w:b/>
          <w:bCs/>
          <w:sz w:val="18"/>
          <w:szCs w:val="18"/>
        </w:rPr>
        <w:t>Deel I – Samenwerkingskader</w:t>
      </w:r>
      <w:r w:rsidRPr="000D308F" w:rsidR="00AD5B19">
        <w:rPr>
          <w:rFonts w:ascii="Verdana" w:hAnsi="Verdana"/>
          <w:b/>
          <w:bCs/>
          <w:sz w:val="18"/>
          <w:szCs w:val="18"/>
        </w:rPr>
        <w:t xml:space="preserve"> (artikelen 1 t/m 6)</w:t>
      </w:r>
    </w:p>
    <w:p w:rsidRPr="000D308F" w:rsidR="00084ED8" w:rsidP="00EC4F1D" w:rsidRDefault="00033A45" w14:paraId="1B08E299" w14:textId="651E8C80">
      <w:pPr>
        <w:rPr>
          <w:rFonts w:ascii="Verdana" w:hAnsi="Verdana"/>
          <w:i/>
          <w:iCs/>
          <w:sz w:val="18"/>
          <w:szCs w:val="18"/>
        </w:rPr>
      </w:pPr>
      <w:r w:rsidRPr="000D308F">
        <w:rPr>
          <w:rFonts w:ascii="Verdana" w:hAnsi="Verdana"/>
          <w:i/>
          <w:iCs/>
          <w:sz w:val="18"/>
          <w:szCs w:val="18"/>
        </w:rPr>
        <w:t xml:space="preserve">Hoofdstuk 1 – Aard en toepassingsgebied </w:t>
      </w:r>
    </w:p>
    <w:p w:rsidRPr="000D308F" w:rsidR="00033A45" w:rsidP="00EC4F1D" w:rsidRDefault="009D7DA6" w14:paraId="31F9C6BD" w14:textId="3003FDC7">
      <w:pPr>
        <w:rPr>
          <w:rFonts w:ascii="Verdana" w:hAnsi="Verdana"/>
          <w:sz w:val="18"/>
          <w:szCs w:val="18"/>
        </w:rPr>
      </w:pPr>
      <w:bookmarkStart w:name="_Hlk144458085" w:id="3"/>
      <w:r w:rsidRPr="000D308F">
        <w:rPr>
          <w:rFonts w:ascii="Verdana" w:hAnsi="Verdana"/>
          <w:sz w:val="18"/>
          <w:szCs w:val="18"/>
        </w:rPr>
        <w:t>Artikel 1 stipuleert dat</w:t>
      </w:r>
      <w:r w:rsidRPr="000D308F" w:rsidR="00103D2F">
        <w:rPr>
          <w:rFonts w:ascii="Verdana" w:hAnsi="Verdana"/>
          <w:sz w:val="18"/>
          <w:szCs w:val="18"/>
        </w:rPr>
        <w:t xml:space="preserve"> in dit</w:t>
      </w:r>
      <w:r w:rsidRPr="000D308F" w:rsidR="00C923C0">
        <w:rPr>
          <w:rFonts w:ascii="Verdana" w:hAnsi="Verdana"/>
          <w:sz w:val="18"/>
          <w:szCs w:val="18"/>
        </w:rPr>
        <w:t xml:space="preserve"> regionaal</w:t>
      </w:r>
      <w:r w:rsidRPr="000D308F" w:rsidR="00103D2F">
        <w:rPr>
          <w:rFonts w:ascii="Verdana" w:hAnsi="Verdana"/>
          <w:sz w:val="18"/>
          <w:szCs w:val="18"/>
        </w:rPr>
        <w:t xml:space="preserve"> protocol onder</w:t>
      </w:r>
      <w:r w:rsidRPr="000D308F" w:rsidDel="00636C7A">
        <w:rPr>
          <w:rFonts w:ascii="Verdana" w:hAnsi="Verdana"/>
          <w:sz w:val="18"/>
          <w:szCs w:val="18"/>
        </w:rPr>
        <w:t xml:space="preserve"> </w:t>
      </w:r>
      <w:r w:rsidRPr="000D308F" w:rsidR="00103D2F">
        <w:rPr>
          <w:rFonts w:ascii="Verdana" w:hAnsi="Verdana"/>
          <w:sz w:val="18"/>
          <w:szCs w:val="18"/>
        </w:rPr>
        <w:t>“</w:t>
      </w:r>
      <w:r w:rsidRPr="000D308F">
        <w:rPr>
          <w:rFonts w:ascii="Verdana" w:hAnsi="Verdana"/>
          <w:sz w:val="18"/>
          <w:szCs w:val="18"/>
        </w:rPr>
        <w:t>partijen</w:t>
      </w:r>
      <w:r w:rsidRPr="000D308F" w:rsidR="00103D2F">
        <w:rPr>
          <w:rFonts w:ascii="Verdana" w:hAnsi="Verdana"/>
          <w:sz w:val="18"/>
          <w:szCs w:val="18"/>
        </w:rPr>
        <w:t xml:space="preserve">” de gebonden partijen conform artikel 6 van het algemene deel wordt verstaan met bijbehorende verantwoordelijkheden op </w:t>
      </w:r>
      <w:r w:rsidRPr="000D308F" w:rsidR="00103D2F">
        <w:rPr>
          <w:rFonts w:ascii="Verdana" w:hAnsi="Verdana"/>
          <w:sz w:val="18"/>
          <w:szCs w:val="18"/>
        </w:rPr>
        <w:lastRenderedPageBreak/>
        <w:t xml:space="preserve">nationaal, regionaal en internationaal niveau. </w:t>
      </w:r>
      <w:bookmarkEnd w:id="3"/>
      <w:r w:rsidRPr="000D308F" w:rsidR="00103D2F">
        <w:rPr>
          <w:rFonts w:ascii="Verdana" w:hAnsi="Verdana"/>
          <w:sz w:val="18"/>
          <w:szCs w:val="18"/>
        </w:rPr>
        <w:t xml:space="preserve">In artikel 2 markeren de partijen specifieke maatregelen te nemen in de deel 2 gespecifieerde strategische prioriteit en komen overeen met wederzijdse instemming andere actieterreinen en samenwerkingsgebieden </w:t>
      </w:r>
      <w:r w:rsidRPr="000D308F" w:rsidR="00C923C0">
        <w:rPr>
          <w:rFonts w:ascii="Verdana" w:hAnsi="Verdana"/>
          <w:sz w:val="18"/>
          <w:szCs w:val="18"/>
        </w:rPr>
        <w:t xml:space="preserve">aan </w:t>
      </w:r>
      <w:r w:rsidRPr="000D308F" w:rsidR="00103D2F">
        <w:rPr>
          <w:rFonts w:ascii="Verdana" w:hAnsi="Verdana"/>
          <w:sz w:val="18"/>
          <w:szCs w:val="18"/>
        </w:rPr>
        <w:t xml:space="preserve">te kunnen </w:t>
      </w:r>
      <w:r w:rsidRPr="000D308F" w:rsidR="00C923C0">
        <w:rPr>
          <w:rFonts w:ascii="Verdana" w:hAnsi="Verdana"/>
          <w:sz w:val="18"/>
          <w:szCs w:val="18"/>
        </w:rPr>
        <w:t>gaan</w:t>
      </w:r>
      <w:r w:rsidRPr="000D308F" w:rsidR="00103D2F">
        <w:rPr>
          <w:rFonts w:ascii="Verdana" w:hAnsi="Verdana"/>
          <w:sz w:val="18"/>
          <w:szCs w:val="18"/>
        </w:rPr>
        <w:t xml:space="preserve">. In artikel 3 komen partijen overeen </w:t>
      </w:r>
      <w:r w:rsidRPr="000D308F" w:rsidR="00A01F32">
        <w:rPr>
          <w:rFonts w:ascii="Verdana" w:hAnsi="Verdana"/>
          <w:sz w:val="18"/>
          <w:szCs w:val="18"/>
        </w:rPr>
        <w:t xml:space="preserve">strategische banden tussen Afrika en de </w:t>
      </w:r>
      <w:r w:rsidRPr="000D308F" w:rsidR="005C181D">
        <w:rPr>
          <w:rFonts w:ascii="Verdana" w:hAnsi="Verdana"/>
          <w:sz w:val="18"/>
          <w:szCs w:val="18"/>
        </w:rPr>
        <w:t>EU</w:t>
      </w:r>
      <w:r w:rsidRPr="000D308F" w:rsidR="00A01F32">
        <w:rPr>
          <w:rFonts w:ascii="Verdana" w:hAnsi="Verdana"/>
          <w:sz w:val="18"/>
          <w:szCs w:val="18"/>
        </w:rPr>
        <w:t xml:space="preserve"> te bevorderen en </w:t>
      </w:r>
      <w:r w:rsidRPr="000D308F" w:rsidR="00312E32">
        <w:rPr>
          <w:rFonts w:ascii="Verdana" w:hAnsi="Verdana"/>
          <w:sz w:val="18"/>
          <w:szCs w:val="18"/>
        </w:rPr>
        <w:t>regionale en continentale integratie in Afrika te ondersteunen</w:t>
      </w:r>
      <w:r w:rsidRPr="000D308F" w:rsidR="00A01F32">
        <w:rPr>
          <w:rFonts w:ascii="Verdana" w:hAnsi="Verdana"/>
          <w:sz w:val="18"/>
          <w:szCs w:val="18"/>
        </w:rPr>
        <w:t xml:space="preserve">. Ondersteuning van continentale integratie in Afrika geschied </w:t>
      </w:r>
      <w:r w:rsidRPr="000D308F" w:rsidR="00962D16">
        <w:rPr>
          <w:rFonts w:ascii="Verdana" w:hAnsi="Verdana"/>
          <w:sz w:val="18"/>
          <w:szCs w:val="18"/>
        </w:rPr>
        <w:t>in lijn</w:t>
      </w:r>
      <w:r w:rsidRPr="000D308F" w:rsidR="00A01F32">
        <w:rPr>
          <w:rFonts w:ascii="Verdana" w:hAnsi="Verdana"/>
          <w:sz w:val="18"/>
          <w:szCs w:val="18"/>
        </w:rPr>
        <w:t xml:space="preserve"> </w:t>
      </w:r>
      <w:r w:rsidRPr="000D308F" w:rsidR="00962D16">
        <w:rPr>
          <w:rFonts w:ascii="Verdana" w:hAnsi="Verdana"/>
          <w:sz w:val="18"/>
          <w:szCs w:val="18"/>
        </w:rPr>
        <w:t xml:space="preserve">met </w:t>
      </w:r>
      <w:r w:rsidRPr="000D308F" w:rsidR="00A01F32">
        <w:rPr>
          <w:rFonts w:ascii="Verdana" w:hAnsi="Verdana"/>
          <w:sz w:val="18"/>
          <w:szCs w:val="18"/>
        </w:rPr>
        <w:t>de doelstellingen van de Agenda 2063 van de AU</w:t>
      </w:r>
      <w:r w:rsidRPr="000D308F" w:rsidR="00962D16">
        <w:rPr>
          <w:rFonts w:ascii="Verdana" w:hAnsi="Verdana"/>
          <w:sz w:val="18"/>
          <w:szCs w:val="18"/>
        </w:rPr>
        <w:t>, de uitvoering van het Verdrag tot oprichting van de Afrikaanse Economische Gemeenschap</w:t>
      </w:r>
      <w:r w:rsidRPr="000D308F" w:rsidR="006B7552">
        <w:rPr>
          <w:rStyle w:val="FootnoteReference"/>
          <w:rFonts w:ascii="Verdana" w:hAnsi="Verdana"/>
          <w:sz w:val="18"/>
          <w:szCs w:val="18"/>
        </w:rPr>
        <w:footnoteReference w:id="24"/>
      </w:r>
      <w:r w:rsidRPr="000D308F" w:rsidR="00962D16">
        <w:rPr>
          <w:rFonts w:ascii="Verdana" w:hAnsi="Verdana"/>
          <w:sz w:val="18"/>
          <w:szCs w:val="18"/>
        </w:rPr>
        <w:t xml:space="preserve">, de </w:t>
      </w:r>
      <w:r w:rsidRPr="000D308F" w:rsidR="006B7552">
        <w:rPr>
          <w:rFonts w:ascii="Verdana" w:hAnsi="Verdana"/>
          <w:sz w:val="18"/>
          <w:szCs w:val="18"/>
        </w:rPr>
        <w:t xml:space="preserve">Overeenkomst </w:t>
      </w:r>
      <w:r w:rsidRPr="000D308F" w:rsidR="00962D16">
        <w:rPr>
          <w:rFonts w:ascii="Verdana" w:hAnsi="Verdana"/>
          <w:sz w:val="18"/>
          <w:szCs w:val="18"/>
        </w:rPr>
        <w:t xml:space="preserve">tot oprichting van de Afrikaanse </w:t>
      </w:r>
      <w:r w:rsidRPr="000D308F" w:rsidR="006B7552">
        <w:rPr>
          <w:rFonts w:ascii="Verdana" w:hAnsi="Verdana"/>
          <w:sz w:val="18"/>
          <w:szCs w:val="18"/>
        </w:rPr>
        <w:t>Continentale Vrijhandelsruimte</w:t>
      </w:r>
      <w:r w:rsidRPr="000D308F" w:rsidR="006B7552">
        <w:rPr>
          <w:rStyle w:val="FootnoteReference"/>
          <w:rFonts w:ascii="Verdana" w:hAnsi="Verdana"/>
          <w:sz w:val="18"/>
          <w:szCs w:val="18"/>
        </w:rPr>
        <w:footnoteReference w:id="25"/>
      </w:r>
      <w:r w:rsidRPr="000D308F" w:rsidR="00962D16">
        <w:rPr>
          <w:rFonts w:ascii="Verdana" w:hAnsi="Verdana"/>
          <w:sz w:val="18"/>
          <w:szCs w:val="18"/>
        </w:rPr>
        <w:t>, de Afrikaanse vredes- en veiligheidsarchitectuur (APSA) en de Afrikaanse beschermingsarchitectuur (AGA)</w:t>
      </w:r>
      <w:r w:rsidRPr="000D308F" w:rsidR="00312E32">
        <w:rPr>
          <w:rFonts w:ascii="Verdana" w:hAnsi="Verdana"/>
          <w:sz w:val="18"/>
          <w:szCs w:val="18"/>
        </w:rPr>
        <w:t xml:space="preserve">. </w:t>
      </w:r>
      <w:r w:rsidRPr="000D308F" w:rsidR="004A1F04">
        <w:rPr>
          <w:rFonts w:ascii="Verdana" w:hAnsi="Verdana"/>
          <w:sz w:val="18"/>
          <w:szCs w:val="18"/>
        </w:rPr>
        <w:t>Tot slot komen partijen</w:t>
      </w:r>
      <w:r w:rsidRPr="000D308F" w:rsidR="008F7B44">
        <w:rPr>
          <w:rFonts w:ascii="Verdana" w:hAnsi="Verdana"/>
          <w:sz w:val="18"/>
          <w:szCs w:val="18"/>
        </w:rPr>
        <w:t xml:space="preserve"> </w:t>
      </w:r>
      <w:r w:rsidRPr="000D308F" w:rsidR="004A1F04">
        <w:rPr>
          <w:rFonts w:ascii="Verdana" w:hAnsi="Verdana"/>
          <w:sz w:val="18"/>
          <w:szCs w:val="18"/>
        </w:rPr>
        <w:t xml:space="preserve">overeen zorg te dragen voor samenhang en complementariteit tussen dit </w:t>
      </w:r>
      <w:r w:rsidRPr="000D308F" w:rsidR="00881FCE">
        <w:rPr>
          <w:rFonts w:ascii="Verdana" w:hAnsi="Verdana"/>
          <w:sz w:val="18"/>
          <w:szCs w:val="18"/>
        </w:rPr>
        <w:t xml:space="preserve">protocol </w:t>
      </w:r>
      <w:r w:rsidRPr="000D308F" w:rsidR="004A1F04">
        <w:rPr>
          <w:rFonts w:ascii="Verdana" w:hAnsi="Verdana"/>
          <w:sz w:val="18"/>
          <w:szCs w:val="18"/>
        </w:rPr>
        <w:t>en het partnerschap tussen beide continenten (topontmoetingen van de AU en de EU en bijbehorende slotdocumenten)</w:t>
      </w:r>
      <w:r w:rsidRPr="000D308F" w:rsidR="00431323">
        <w:rPr>
          <w:rFonts w:ascii="Verdana" w:hAnsi="Verdana"/>
          <w:sz w:val="18"/>
          <w:szCs w:val="18"/>
        </w:rPr>
        <w:t xml:space="preserve"> en de bevordering van regionale samenwerking met de LG</w:t>
      </w:r>
      <w:r w:rsidRPr="000D308F" w:rsidR="006B7552">
        <w:rPr>
          <w:rFonts w:ascii="Verdana" w:hAnsi="Verdana"/>
          <w:sz w:val="18"/>
          <w:szCs w:val="18"/>
        </w:rPr>
        <w:t>O</w:t>
      </w:r>
      <w:r w:rsidRPr="000D308F" w:rsidR="00431323">
        <w:rPr>
          <w:rFonts w:ascii="Verdana" w:hAnsi="Verdana"/>
          <w:sz w:val="18"/>
          <w:szCs w:val="18"/>
        </w:rPr>
        <w:t>.</w:t>
      </w:r>
    </w:p>
    <w:p w:rsidRPr="000D308F" w:rsidR="00AD5B19" w:rsidP="00EC4F1D" w:rsidRDefault="00AD5B19" w14:paraId="2FD20A05" w14:textId="1A25A373">
      <w:pPr>
        <w:rPr>
          <w:rFonts w:ascii="Verdana" w:hAnsi="Verdana"/>
          <w:i/>
          <w:iCs/>
          <w:sz w:val="18"/>
          <w:szCs w:val="18"/>
        </w:rPr>
      </w:pPr>
      <w:r w:rsidRPr="000D308F">
        <w:rPr>
          <w:rFonts w:ascii="Verdana" w:hAnsi="Verdana"/>
          <w:i/>
          <w:iCs/>
          <w:sz w:val="18"/>
          <w:szCs w:val="18"/>
        </w:rPr>
        <w:t>Hoofdstuk 2 – Actoren en Processen</w:t>
      </w:r>
    </w:p>
    <w:p w:rsidRPr="000D308F" w:rsidR="00AD5B19" w:rsidP="00EC4F1D" w:rsidRDefault="00401003" w14:paraId="76E99313" w14:textId="4998F096">
      <w:pPr>
        <w:rPr>
          <w:rFonts w:ascii="Verdana" w:hAnsi="Verdana"/>
          <w:sz w:val="18"/>
          <w:szCs w:val="18"/>
        </w:rPr>
      </w:pPr>
      <w:r w:rsidRPr="000D308F">
        <w:rPr>
          <w:rFonts w:ascii="Verdana" w:hAnsi="Verdana"/>
          <w:sz w:val="18"/>
          <w:szCs w:val="18"/>
        </w:rPr>
        <w:t>In Artikel 4 worden de institutionele bepalingen vastgelegd. Bij dit protocol worden opgericht: a) de Raad van Ministers Afrika-EU, b) het Gemengd Comité Afrika-EU en c) de Parlementaire Vergadering Afrika-EU. In de samenwerking wordt rekening gehouden met de strategische en politieke sturing van de topontmoetingen tussen de AU en de EU. Verder wordt afgesproken, overeenkomstig artikel 5</w:t>
      </w:r>
      <w:r w:rsidRPr="000D308F" w:rsidR="00B76661">
        <w:rPr>
          <w:rFonts w:ascii="Verdana" w:hAnsi="Verdana"/>
          <w:sz w:val="18"/>
          <w:szCs w:val="18"/>
        </w:rPr>
        <w:t xml:space="preserve">, derde lid, </w:t>
      </w:r>
      <w:r w:rsidRPr="000D308F" w:rsidR="00B37126">
        <w:rPr>
          <w:rFonts w:ascii="Verdana" w:hAnsi="Verdana"/>
          <w:sz w:val="18"/>
          <w:szCs w:val="18"/>
        </w:rPr>
        <w:t>en artikel 99</w:t>
      </w:r>
      <w:r w:rsidRPr="000D308F" w:rsidR="00B76661">
        <w:rPr>
          <w:rFonts w:ascii="Verdana" w:hAnsi="Verdana"/>
          <w:sz w:val="18"/>
          <w:szCs w:val="18"/>
        </w:rPr>
        <w:t>, vijfde lid,</w:t>
      </w:r>
      <w:r w:rsidRPr="000D308F">
        <w:rPr>
          <w:rFonts w:ascii="Verdana" w:hAnsi="Verdana"/>
          <w:sz w:val="18"/>
          <w:szCs w:val="18"/>
        </w:rPr>
        <w:t xml:space="preserve"> van het algemene deel van deze </w:t>
      </w:r>
      <w:r w:rsidRPr="000D308F" w:rsidR="005105A2">
        <w:rPr>
          <w:rFonts w:ascii="Verdana" w:hAnsi="Verdana"/>
          <w:sz w:val="18"/>
          <w:szCs w:val="18"/>
        </w:rPr>
        <w:t>overeenkomst</w:t>
      </w:r>
      <w:r w:rsidRPr="000D308F" w:rsidR="00B37126">
        <w:rPr>
          <w:rFonts w:ascii="Verdana" w:hAnsi="Verdana"/>
          <w:sz w:val="18"/>
          <w:szCs w:val="18"/>
        </w:rPr>
        <w:t>,</w:t>
      </w:r>
      <w:r w:rsidRPr="000D308F">
        <w:rPr>
          <w:rFonts w:ascii="Verdana" w:hAnsi="Verdana"/>
          <w:sz w:val="18"/>
          <w:szCs w:val="18"/>
        </w:rPr>
        <w:t xml:space="preserve"> </w:t>
      </w:r>
      <w:r w:rsidRPr="000D308F" w:rsidR="00B37126">
        <w:rPr>
          <w:rFonts w:ascii="Verdana" w:hAnsi="Verdana"/>
          <w:sz w:val="18"/>
          <w:szCs w:val="18"/>
        </w:rPr>
        <w:t xml:space="preserve">respectievelijk </w:t>
      </w:r>
      <w:r w:rsidRPr="000D308F">
        <w:rPr>
          <w:rFonts w:ascii="Verdana" w:hAnsi="Verdana"/>
          <w:sz w:val="18"/>
          <w:szCs w:val="18"/>
        </w:rPr>
        <w:t>mechanismen op te zetten voor raadpleging van belanghebbenden</w:t>
      </w:r>
      <w:r w:rsidRPr="000D308F" w:rsidR="00B37126">
        <w:rPr>
          <w:rFonts w:ascii="Verdana" w:hAnsi="Verdana"/>
          <w:sz w:val="18"/>
          <w:szCs w:val="18"/>
        </w:rPr>
        <w:t xml:space="preserve"> en uitvoering en monitoring</w:t>
      </w:r>
      <w:r w:rsidRPr="000D308F">
        <w:rPr>
          <w:rFonts w:ascii="Verdana" w:hAnsi="Verdana"/>
          <w:sz w:val="18"/>
          <w:szCs w:val="18"/>
        </w:rPr>
        <w:t>.</w:t>
      </w:r>
    </w:p>
    <w:p w:rsidRPr="000D308F" w:rsidR="0050583A" w:rsidP="00EC4F1D" w:rsidRDefault="00084ED8" w14:paraId="3BABC278" w14:textId="77777777">
      <w:pPr>
        <w:rPr>
          <w:rFonts w:ascii="Verdana" w:hAnsi="Verdana"/>
          <w:b/>
          <w:bCs/>
          <w:sz w:val="18"/>
          <w:szCs w:val="18"/>
        </w:rPr>
      </w:pPr>
      <w:r w:rsidRPr="000D308F">
        <w:rPr>
          <w:rFonts w:ascii="Verdana" w:hAnsi="Verdana"/>
          <w:b/>
          <w:bCs/>
          <w:sz w:val="18"/>
          <w:szCs w:val="18"/>
        </w:rPr>
        <w:t>Deel II – Belangrijke samenwerkingsgebieden</w:t>
      </w:r>
      <w:r w:rsidRPr="000D308F" w:rsidR="00AD5B19">
        <w:rPr>
          <w:rFonts w:ascii="Verdana" w:hAnsi="Verdana"/>
          <w:b/>
          <w:bCs/>
          <w:sz w:val="18"/>
          <w:szCs w:val="18"/>
        </w:rPr>
        <w:t xml:space="preserve"> </w:t>
      </w:r>
    </w:p>
    <w:p w:rsidRPr="000D308F" w:rsidR="00084ED8" w:rsidP="00EC4F1D" w:rsidRDefault="00084ED8" w14:paraId="3D3C0E4C" w14:textId="71F0BDBC">
      <w:pPr>
        <w:rPr>
          <w:rFonts w:ascii="Verdana" w:hAnsi="Verdana"/>
          <w:b/>
          <w:bCs/>
          <w:sz w:val="18"/>
          <w:szCs w:val="18"/>
        </w:rPr>
      </w:pPr>
      <w:r w:rsidRPr="000D308F">
        <w:rPr>
          <w:rFonts w:ascii="Verdana" w:hAnsi="Verdana"/>
          <w:b/>
          <w:bCs/>
          <w:sz w:val="18"/>
          <w:szCs w:val="18"/>
        </w:rPr>
        <w:t>Titel I – Inclusieve duurzame economische groei en ontwikkeling</w:t>
      </w:r>
      <w:r w:rsidRPr="000D308F" w:rsidR="00AD5B19">
        <w:rPr>
          <w:rFonts w:ascii="Verdana" w:hAnsi="Verdana"/>
          <w:b/>
          <w:bCs/>
          <w:sz w:val="18"/>
          <w:szCs w:val="18"/>
        </w:rPr>
        <w:t xml:space="preserve"> </w:t>
      </w:r>
      <w:r w:rsidRPr="000D308F" w:rsidR="00AF2677">
        <w:rPr>
          <w:rFonts w:ascii="Verdana" w:hAnsi="Verdana"/>
          <w:b/>
          <w:bCs/>
          <w:sz w:val="18"/>
          <w:szCs w:val="18"/>
        </w:rPr>
        <w:t>(artikelen 7 t/m 29)</w:t>
      </w:r>
    </w:p>
    <w:p w:rsidRPr="000D308F" w:rsidR="0003370B" w:rsidP="00AF2677" w:rsidRDefault="0003370B" w14:paraId="7F9AA3C3" w14:textId="099101A2">
      <w:pPr>
        <w:rPr>
          <w:rFonts w:ascii="Verdana" w:hAnsi="Verdana"/>
          <w:sz w:val="18"/>
          <w:szCs w:val="18"/>
        </w:rPr>
      </w:pPr>
      <w:r w:rsidRPr="000D308F">
        <w:rPr>
          <w:rFonts w:ascii="Verdana" w:hAnsi="Verdana"/>
          <w:sz w:val="18"/>
          <w:szCs w:val="18"/>
        </w:rPr>
        <w:t>In Titel I zetten partijen zich in voor de bevordering van</w:t>
      </w:r>
      <w:r w:rsidRPr="000D308F" w:rsidR="00625A3A">
        <w:rPr>
          <w:rFonts w:ascii="Verdana" w:hAnsi="Verdana"/>
          <w:sz w:val="18"/>
          <w:szCs w:val="18"/>
        </w:rPr>
        <w:t xml:space="preserve"> a)</w:t>
      </w:r>
      <w:r w:rsidRPr="000D308F">
        <w:rPr>
          <w:rFonts w:ascii="Verdana" w:hAnsi="Verdana"/>
          <w:sz w:val="18"/>
          <w:szCs w:val="18"/>
        </w:rPr>
        <w:t xml:space="preserve"> inclusieve duurzame economische groei en ontwikkeling met nadruk op structurele economische transformatie en diversificatie</w:t>
      </w:r>
      <w:r w:rsidRPr="000D308F" w:rsidR="00625A3A">
        <w:rPr>
          <w:rFonts w:ascii="Verdana" w:hAnsi="Verdana"/>
          <w:sz w:val="18"/>
          <w:szCs w:val="18"/>
        </w:rPr>
        <w:t>; b)</w:t>
      </w:r>
      <w:r w:rsidRPr="000D308F">
        <w:rPr>
          <w:rFonts w:ascii="Verdana" w:hAnsi="Verdana"/>
          <w:sz w:val="18"/>
          <w:szCs w:val="18"/>
        </w:rPr>
        <w:t xml:space="preserve"> investeringen in een ondernemersklimaat dat bevorderlijk is voor grote investeringsstromen en private sector ontwikkeling</w:t>
      </w:r>
      <w:r w:rsidRPr="000D308F" w:rsidR="00625A3A">
        <w:rPr>
          <w:rFonts w:ascii="Verdana" w:hAnsi="Verdana"/>
          <w:sz w:val="18"/>
          <w:szCs w:val="18"/>
        </w:rPr>
        <w:t>; c)</w:t>
      </w:r>
      <w:r w:rsidRPr="000D308F">
        <w:rPr>
          <w:rFonts w:ascii="Verdana" w:hAnsi="Verdana"/>
          <w:sz w:val="18"/>
          <w:szCs w:val="18"/>
        </w:rPr>
        <w:t xml:space="preserve"> bijdragen aan klimaatmitigatie en adaptatie</w:t>
      </w:r>
      <w:r w:rsidRPr="000D308F" w:rsidR="006A0B09">
        <w:rPr>
          <w:rFonts w:ascii="Verdana" w:hAnsi="Verdana"/>
          <w:sz w:val="18"/>
          <w:szCs w:val="18"/>
        </w:rPr>
        <w:t>;</w:t>
      </w:r>
      <w:r w:rsidRPr="000D308F" w:rsidR="00625A3A">
        <w:rPr>
          <w:rFonts w:ascii="Verdana" w:hAnsi="Verdana"/>
          <w:sz w:val="18"/>
          <w:szCs w:val="18"/>
        </w:rPr>
        <w:t xml:space="preserve"> d)</w:t>
      </w:r>
      <w:r w:rsidRPr="000D308F">
        <w:rPr>
          <w:rFonts w:ascii="Verdana" w:hAnsi="Verdana"/>
          <w:sz w:val="18"/>
          <w:szCs w:val="18"/>
        </w:rPr>
        <w:t xml:space="preserve"> een inzet op sleutelsectoren die bijdragen aan regionale en mondiale integratie van waarde</w:t>
      </w:r>
      <w:r w:rsidRPr="000D308F" w:rsidR="00A45EEC">
        <w:rPr>
          <w:rFonts w:ascii="Verdana" w:hAnsi="Verdana"/>
          <w:sz w:val="18"/>
          <w:szCs w:val="18"/>
        </w:rPr>
        <w:t>n</w:t>
      </w:r>
      <w:r w:rsidRPr="000D308F">
        <w:rPr>
          <w:rFonts w:ascii="Verdana" w:hAnsi="Verdana"/>
          <w:sz w:val="18"/>
          <w:szCs w:val="18"/>
        </w:rPr>
        <w:t>ketens met hoge toegevoegde waarde</w:t>
      </w:r>
      <w:r w:rsidRPr="000D308F" w:rsidR="004A7C9A">
        <w:rPr>
          <w:rFonts w:ascii="Verdana" w:hAnsi="Verdana"/>
          <w:sz w:val="18"/>
          <w:szCs w:val="18"/>
        </w:rPr>
        <w:t>;</w:t>
      </w:r>
      <w:r w:rsidRPr="000D308F">
        <w:rPr>
          <w:rFonts w:ascii="Verdana" w:hAnsi="Verdana"/>
          <w:sz w:val="18"/>
          <w:szCs w:val="18"/>
        </w:rPr>
        <w:t xml:space="preserve"> en</w:t>
      </w:r>
      <w:r w:rsidRPr="000D308F" w:rsidR="00625A3A">
        <w:rPr>
          <w:rFonts w:ascii="Verdana" w:hAnsi="Verdana"/>
          <w:sz w:val="18"/>
          <w:szCs w:val="18"/>
        </w:rPr>
        <w:t xml:space="preserve"> e)</w:t>
      </w:r>
      <w:r w:rsidRPr="000D308F">
        <w:rPr>
          <w:rFonts w:ascii="Verdana" w:hAnsi="Verdana"/>
          <w:sz w:val="18"/>
          <w:szCs w:val="18"/>
        </w:rPr>
        <w:t xml:space="preserve"> inclusie van vrouwen en jongeren (artikel 7). </w:t>
      </w:r>
    </w:p>
    <w:p w:rsidRPr="000D308F" w:rsidR="00AF2677" w:rsidP="00AF2677" w:rsidRDefault="00AF2677" w14:paraId="13121C8B" w14:textId="6FC96C99">
      <w:pPr>
        <w:rPr>
          <w:rFonts w:ascii="Verdana" w:hAnsi="Verdana"/>
          <w:i/>
          <w:iCs/>
          <w:sz w:val="18"/>
          <w:szCs w:val="18"/>
        </w:rPr>
      </w:pPr>
      <w:r w:rsidRPr="000D308F">
        <w:rPr>
          <w:rFonts w:ascii="Verdana" w:hAnsi="Verdana"/>
          <w:i/>
          <w:iCs/>
          <w:sz w:val="18"/>
          <w:szCs w:val="18"/>
        </w:rPr>
        <w:t>Hoofdstuk 1 – Economische transformatie</w:t>
      </w:r>
      <w:r w:rsidRPr="000D308F" w:rsidR="00627625">
        <w:rPr>
          <w:rFonts w:ascii="Verdana" w:hAnsi="Verdana"/>
          <w:i/>
          <w:iCs/>
          <w:sz w:val="18"/>
          <w:szCs w:val="18"/>
        </w:rPr>
        <w:t xml:space="preserve"> </w:t>
      </w:r>
    </w:p>
    <w:p w:rsidRPr="000D308F" w:rsidR="00947997" w:rsidP="00AF2677" w:rsidRDefault="002E06CB" w14:paraId="5EB55233" w14:textId="05AC7E4F">
      <w:pPr>
        <w:rPr>
          <w:rFonts w:ascii="Verdana" w:hAnsi="Verdana"/>
          <w:sz w:val="18"/>
          <w:szCs w:val="18"/>
        </w:rPr>
      </w:pPr>
      <w:r w:rsidRPr="000D308F">
        <w:rPr>
          <w:rFonts w:ascii="Verdana" w:hAnsi="Verdana"/>
          <w:sz w:val="18"/>
          <w:szCs w:val="18"/>
        </w:rPr>
        <w:t xml:space="preserve">In Artikel 8 spreken partijen af </w:t>
      </w:r>
      <w:r w:rsidRPr="000D308F" w:rsidR="00560C33">
        <w:rPr>
          <w:rFonts w:ascii="Verdana" w:hAnsi="Verdana"/>
          <w:sz w:val="18"/>
          <w:szCs w:val="18"/>
        </w:rPr>
        <w:t>het</w:t>
      </w:r>
      <w:r w:rsidRPr="000D308F">
        <w:rPr>
          <w:rFonts w:ascii="Verdana" w:hAnsi="Verdana"/>
          <w:sz w:val="18"/>
          <w:szCs w:val="18"/>
        </w:rPr>
        <w:t xml:space="preserve"> economisch bestuur te verbeteren ten einde ruimte te creëren voor investeringsgroei, werkgelegenheid</w:t>
      </w:r>
      <w:r w:rsidRPr="000D308F" w:rsidR="004A55D6">
        <w:rPr>
          <w:rFonts w:ascii="Verdana" w:hAnsi="Verdana"/>
          <w:sz w:val="18"/>
          <w:szCs w:val="18"/>
        </w:rPr>
        <w:t>,</w:t>
      </w:r>
      <w:r w:rsidRPr="000D308F">
        <w:rPr>
          <w:rFonts w:ascii="Verdana" w:hAnsi="Verdana"/>
          <w:sz w:val="18"/>
          <w:szCs w:val="18"/>
        </w:rPr>
        <w:t xml:space="preserve"> private sector ontwikkeling en ter bestendiging van de opvangcapaciteit van economische schokken. </w:t>
      </w:r>
      <w:r w:rsidRPr="000D308F" w:rsidR="00560C33">
        <w:rPr>
          <w:rFonts w:ascii="Verdana" w:hAnsi="Verdana"/>
          <w:sz w:val="18"/>
          <w:szCs w:val="18"/>
        </w:rPr>
        <w:t xml:space="preserve">In artikel 9 versterken </w:t>
      </w:r>
      <w:r w:rsidRPr="000D308F" w:rsidR="00627625">
        <w:rPr>
          <w:rFonts w:ascii="Verdana" w:hAnsi="Verdana"/>
          <w:sz w:val="18"/>
          <w:szCs w:val="18"/>
        </w:rPr>
        <w:t>de partijen het menselijk kapitaal en vaardigheden om aan de huidige en toekomstige behoeften van de arbeidsmarkt te voldoen en arbeidsproductiviteit te verhogen. Daarbij wordt door</w:t>
      </w:r>
      <w:r w:rsidRPr="000D308F" w:rsidR="00F80027">
        <w:rPr>
          <w:rFonts w:ascii="Verdana" w:hAnsi="Verdana"/>
          <w:sz w:val="18"/>
          <w:szCs w:val="18"/>
        </w:rPr>
        <w:t xml:space="preserve"> </w:t>
      </w:r>
      <w:r w:rsidRPr="000D308F" w:rsidR="00627625">
        <w:rPr>
          <w:rFonts w:ascii="Verdana" w:hAnsi="Verdana"/>
          <w:sz w:val="18"/>
          <w:szCs w:val="18"/>
        </w:rPr>
        <w:t>middel van partnerschappen met de private sector vraag</w:t>
      </w:r>
      <w:r w:rsidRPr="000D308F" w:rsidR="004A7C9A">
        <w:rPr>
          <w:rFonts w:ascii="Verdana" w:hAnsi="Verdana"/>
          <w:sz w:val="18"/>
          <w:szCs w:val="18"/>
        </w:rPr>
        <w:t>-</w:t>
      </w:r>
      <w:r w:rsidRPr="000D308F" w:rsidR="00627625">
        <w:rPr>
          <w:rFonts w:ascii="Verdana" w:hAnsi="Verdana"/>
          <w:sz w:val="18"/>
          <w:szCs w:val="18"/>
        </w:rPr>
        <w:t>gestuurde onderwijsstelsels bevorderd.</w:t>
      </w:r>
      <w:r w:rsidRPr="000D308F" w:rsidR="00560C33">
        <w:rPr>
          <w:rFonts w:ascii="Verdana" w:hAnsi="Verdana"/>
          <w:sz w:val="18"/>
          <w:szCs w:val="18"/>
        </w:rPr>
        <w:t xml:space="preserve"> </w:t>
      </w:r>
    </w:p>
    <w:p w:rsidRPr="000D308F" w:rsidR="00AF2677" w:rsidP="00AF2677" w:rsidRDefault="00627625" w14:paraId="38DDBE9D" w14:textId="0B529412">
      <w:pPr>
        <w:rPr>
          <w:rFonts w:ascii="Verdana" w:hAnsi="Verdana"/>
          <w:sz w:val="18"/>
          <w:szCs w:val="18"/>
        </w:rPr>
      </w:pPr>
      <w:r w:rsidRPr="000D308F">
        <w:rPr>
          <w:rFonts w:ascii="Verdana" w:hAnsi="Verdana"/>
          <w:sz w:val="18"/>
          <w:szCs w:val="18"/>
        </w:rPr>
        <w:t>Voorts spreken partijen af</w:t>
      </w:r>
      <w:r w:rsidRPr="000D308F" w:rsidR="00E86586">
        <w:rPr>
          <w:rFonts w:ascii="Verdana" w:hAnsi="Verdana"/>
          <w:sz w:val="18"/>
          <w:szCs w:val="18"/>
        </w:rPr>
        <w:t>:</w:t>
      </w:r>
      <w:r w:rsidRPr="000D308F">
        <w:rPr>
          <w:rFonts w:ascii="Verdana" w:hAnsi="Verdana"/>
          <w:sz w:val="18"/>
          <w:szCs w:val="18"/>
        </w:rPr>
        <w:t xml:space="preserve"> </w:t>
      </w:r>
      <w:r w:rsidRPr="000D308F" w:rsidR="00E273AF">
        <w:rPr>
          <w:rFonts w:ascii="Verdana" w:hAnsi="Verdana"/>
          <w:sz w:val="18"/>
          <w:szCs w:val="18"/>
        </w:rPr>
        <w:t xml:space="preserve">om </w:t>
      </w:r>
      <w:r w:rsidRPr="000D308F">
        <w:rPr>
          <w:rFonts w:ascii="Verdana" w:hAnsi="Verdana"/>
          <w:sz w:val="18"/>
          <w:szCs w:val="18"/>
        </w:rPr>
        <w:t>nationale en regionale regelgevingskaders te verbeteren voor het ondernemings- en investeringsklimaat (artikel 10)</w:t>
      </w:r>
      <w:r w:rsidRPr="000D308F" w:rsidR="00E273AF">
        <w:rPr>
          <w:rFonts w:ascii="Verdana" w:hAnsi="Verdana"/>
          <w:sz w:val="18"/>
          <w:szCs w:val="18"/>
        </w:rPr>
        <w:t>;</w:t>
      </w:r>
      <w:r w:rsidRPr="000D308F">
        <w:rPr>
          <w:rFonts w:ascii="Verdana" w:hAnsi="Verdana"/>
          <w:sz w:val="18"/>
          <w:szCs w:val="18"/>
        </w:rPr>
        <w:t xml:space="preserve"> </w:t>
      </w:r>
      <w:r w:rsidRPr="000D308F" w:rsidR="00E86586">
        <w:rPr>
          <w:rFonts w:ascii="Verdana" w:hAnsi="Verdana"/>
          <w:sz w:val="18"/>
          <w:szCs w:val="18"/>
        </w:rPr>
        <w:t xml:space="preserve">om de </w:t>
      </w:r>
      <w:r w:rsidRPr="000D308F">
        <w:rPr>
          <w:rFonts w:ascii="Verdana" w:hAnsi="Verdana"/>
          <w:sz w:val="18"/>
          <w:szCs w:val="18"/>
        </w:rPr>
        <w:t>on</w:t>
      </w:r>
      <w:r w:rsidRPr="000D308F" w:rsidR="006953E1">
        <w:rPr>
          <w:rFonts w:ascii="Verdana" w:hAnsi="Verdana"/>
          <w:sz w:val="18"/>
          <w:szCs w:val="18"/>
        </w:rPr>
        <w:t>twikkeling van duurzame en veerkrachtige (digitale) infrastructuren te ondersteunen (artikel 11)</w:t>
      </w:r>
      <w:r w:rsidRPr="000D308F" w:rsidR="00E273AF">
        <w:rPr>
          <w:rFonts w:ascii="Verdana" w:hAnsi="Verdana"/>
          <w:sz w:val="18"/>
          <w:szCs w:val="18"/>
        </w:rPr>
        <w:t>;</w:t>
      </w:r>
      <w:r w:rsidRPr="000D308F" w:rsidR="006953E1">
        <w:rPr>
          <w:rFonts w:ascii="Verdana" w:hAnsi="Verdana"/>
          <w:sz w:val="18"/>
          <w:szCs w:val="18"/>
        </w:rPr>
        <w:t xml:space="preserve"> </w:t>
      </w:r>
      <w:r w:rsidRPr="000D308F" w:rsidR="00E86586">
        <w:rPr>
          <w:rFonts w:ascii="Verdana" w:hAnsi="Verdana"/>
          <w:sz w:val="18"/>
          <w:szCs w:val="18"/>
        </w:rPr>
        <w:t xml:space="preserve">om </w:t>
      </w:r>
      <w:r w:rsidRPr="000D308F" w:rsidR="006953E1">
        <w:rPr>
          <w:rFonts w:ascii="Verdana" w:hAnsi="Verdana"/>
          <w:sz w:val="18"/>
          <w:szCs w:val="18"/>
        </w:rPr>
        <w:t>de samenwerking te versterken op het gebied van intellectuele-eigendomsrechten (artikel 12)</w:t>
      </w:r>
      <w:r w:rsidRPr="000D308F" w:rsidR="00E273AF">
        <w:rPr>
          <w:rFonts w:ascii="Verdana" w:hAnsi="Verdana"/>
          <w:sz w:val="18"/>
          <w:szCs w:val="18"/>
        </w:rPr>
        <w:t>;</w:t>
      </w:r>
      <w:r w:rsidRPr="000D308F" w:rsidR="006953E1">
        <w:rPr>
          <w:rFonts w:ascii="Verdana" w:hAnsi="Verdana"/>
          <w:sz w:val="18"/>
          <w:szCs w:val="18"/>
        </w:rPr>
        <w:t xml:space="preserve"> </w:t>
      </w:r>
      <w:r w:rsidRPr="000D308F" w:rsidR="00E86586">
        <w:rPr>
          <w:rFonts w:ascii="Verdana" w:hAnsi="Verdana"/>
          <w:sz w:val="18"/>
          <w:szCs w:val="18"/>
        </w:rPr>
        <w:t xml:space="preserve">om </w:t>
      </w:r>
      <w:r w:rsidRPr="000D308F" w:rsidR="006953E1">
        <w:rPr>
          <w:rFonts w:ascii="Verdana" w:hAnsi="Verdana"/>
          <w:sz w:val="18"/>
          <w:szCs w:val="18"/>
        </w:rPr>
        <w:t>samen te werken om duurzame en verantwoorde investeringen uit binnenlandse en buitenlandse bronnen te ontsluiten</w:t>
      </w:r>
      <w:r w:rsidRPr="000D308F" w:rsidR="00E273AF">
        <w:rPr>
          <w:rFonts w:ascii="Verdana" w:hAnsi="Verdana"/>
          <w:sz w:val="18"/>
          <w:szCs w:val="18"/>
        </w:rPr>
        <w:t xml:space="preserve"> en maatschappelijk verantwoord ondernemerschap te bevorderen</w:t>
      </w:r>
      <w:r w:rsidRPr="000D308F">
        <w:rPr>
          <w:rFonts w:ascii="Verdana" w:hAnsi="Verdana"/>
          <w:sz w:val="18"/>
          <w:szCs w:val="18"/>
        </w:rPr>
        <w:t xml:space="preserve"> </w:t>
      </w:r>
      <w:r w:rsidRPr="000D308F" w:rsidR="006953E1">
        <w:rPr>
          <w:rFonts w:ascii="Verdana" w:hAnsi="Verdana"/>
          <w:sz w:val="18"/>
          <w:szCs w:val="18"/>
        </w:rPr>
        <w:t>(artikel 13)</w:t>
      </w:r>
      <w:r w:rsidRPr="000D308F" w:rsidR="00E273AF">
        <w:rPr>
          <w:rFonts w:ascii="Verdana" w:hAnsi="Verdana"/>
          <w:sz w:val="18"/>
          <w:szCs w:val="18"/>
        </w:rPr>
        <w:t>;</w:t>
      </w:r>
      <w:r w:rsidRPr="000D308F" w:rsidR="006953E1">
        <w:rPr>
          <w:rFonts w:ascii="Verdana" w:hAnsi="Verdana"/>
          <w:sz w:val="18"/>
          <w:szCs w:val="18"/>
        </w:rPr>
        <w:t xml:space="preserve"> </w:t>
      </w:r>
      <w:r w:rsidRPr="000D308F" w:rsidR="00947997">
        <w:rPr>
          <w:rFonts w:ascii="Verdana" w:hAnsi="Verdana"/>
          <w:sz w:val="18"/>
          <w:szCs w:val="18"/>
        </w:rPr>
        <w:t>middels innovatie en technologische ontwikkeling</w:t>
      </w:r>
      <w:r w:rsidRPr="000D308F">
        <w:rPr>
          <w:rFonts w:ascii="Verdana" w:hAnsi="Verdana"/>
          <w:sz w:val="18"/>
          <w:szCs w:val="18"/>
        </w:rPr>
        <w:t xml:space="preserve"> </w:t>
      </w:r>
      <w:r w:rsidRPr="000D308F" w:rsidR="00947997">
        <w:rPr>
          <w:rFonts w:ascii="Verdana" w:hAnsi="Verdana"/>
          <w:sz w:val="18"/>
          <w:szCs w:val="18"/>
        </w:rPr>
        <w:t>inclusieve en duurzame industrialisering in Afrika te bevorderen (artikel 14);</w:t>
      </w:r>
      <w:r w:rsidRPr="000D308F" w:rsidR="00E86586">
        <w:rPr>
          <w:rFonts w:ascii="Verdana" w:hAnsi="Verdana"/>
          <w:sz w:val="18"/>
          <w:szCs w:val="18"/>
        </w:rPr>
        <w:t xml:space="preserve"> om</w:t>
      </w:r>
      <w:r w:rsidRPr="000D308F" w:rsidR="00947997">
        <w:rPr>
          <w:rFonts w:ascii="Verdana" w:hAnsi="Verdana"/>
          <w:sz w:val="18"/>
          <w:szCs w:val="18"/>
        </w:rPr>
        <w:t xml:space="preserve"> de private sector te ontwikkelen als aanjager van duurzame ontwikkeling (artikel 15);</w:t>
      </w:r>
      <w:r w:rsidRPr="000D308F" w:rsidR="005F3B7A">
        <w:rPr>
          <w:rFonts w:ascii="Verdana" w:hAnsi="Verdana"/>
          <w:sz w:val="18"/>
          <w:szCs w:val="18"/>
        </w:rPr>
        <w:t xml:space="preserve"> in overeenstemming met de bepalingen van de WTO en voortbouwend op de </w:t>
      </w:r>
      <w:proofErr w:type="spellStart"/>
      <w:r w:rsidRPr="000D308F" w:rsidR="005F3B7A">
        <w:rPr>
          <w:rFonts w:ascii="Verdana" w:hAnsi="Verdana"/>
          <w:sz w:val="18"/>
          <w:szCs w:val="18"/>
        </w:rPr>
        <w:t>EPA’s</w:t>
      </w:r>
      <w:proofErr w:type="spellEnd"/>
      <w:r w:rsidRPr="000D308F" w:rsidR="005F3B7A">
        <w:rPr>
          <w:rFonts w:ascii="Verdana" w:hAnsi="Verdana"/>
          <w:sz w:val="18"/>
          <w:szCs w:val="18"/>
        </w:rPr>
        <w:t xml:space="preserve"> handelssamenwerking te bevorderen</w:t>
      </w:r>
      <w:r w:rsidRPr="000D308F" w:rsidR="00E86586">
        <w:rPr>
          <w:rFonts w:ascii="Verdana" w:hAnsi="Verdana"/>
          <w:sz w:val="18"/>
          <w:szCs w:val="18"/>
        </w:rPr>
        <w:t>,</w:t>
      </w:r>
      <w:r w:rsidRPr="000D308F" w:rsidR="005F3B7A">
        <w:rPr>
          <w:rFonts w:ascii="Verdana" w:hAnsi="Verdana"/>
          <w:sz w:val="18"/>
          <w:szCs w:val="18"/>
        </w:rPr>
        <w:t xml:space="preserve"> en de uitvoering van de Afrikaanse continentale vrijhandelszone te ondersteunen (artikel 16).</w:t>
      </w:r>
      <w:r w:rsidRPr="000D308F" w:rsidR="00947997">
        <w:rPr>
          <w:rFonts w:ascii="Verdana" w:hAnsi="Verdana"/>
          <w:sz w:val="18"/>
          <w:szCs w:val="18"/>
        </w:rPr>
        <w:t xml:space="preserve"> </w:t>
      </w:r>
    </w:p>
    <w:p w:rsidR="00013792" w:rsidP="00AF2677" w:rsidRDefault="00013792" w14:paraId="48B0B923" w14:textId="77777777">
      <w:pPr>
        <w:rPr>
          <w:rFonts w:ascii="Verdana" w:hAnsi="Verdana"/>
          <w:i/>
          <w:iCs/>
          <w:sz w:val="18"/>
          <w:szCs w:val="18"/>
        </w:rPr>
      </w:pPr>
    </w:p>
    <w:p w:rsidRPr="000D308F" w:rsidR="00AF2677" w:rsidP="00AF2677" w:rsidRDefault="00AF2677" w14:paraId="2DE656C4" w14:textId="4D4AC692">
      <w:pPr>
        <w:rPr>
          <w:rFonts w:ascii="Verdana" w:hAnsi="Verdana"/>
          <w:i/>
          <w:iCs/>
          <w:sz w:val="18"/>
          <w:szCs w:val="18"/>
        </w:rPr>
      </w:pPr>
      <w:r w:rsidRPr="000D308F">
        <w:rPr>
          <w:rFonts w:ascii="Verdana" w:hAnsi="Verdana"/>
          <w:i/>
          <w:iCs/>
          <w:sz w:val="18"/>
          <w:szCs w:val="18"/>
        </w:rPr>
        <w:lastRenderedPageBreak/>
        <w:t>Hoofdstuk 2 – Belangrijke sectoren</w:t>
      </w:r>
      <w:r w:rsidRPr="000D308F" w:rsidR="00627625">
        <w:rPr>
          <w:rFonts w:ascii="Verdana" w:hAnsi="Verdana"/>
          <w:i/>
          <w:iCs/>
          <w:sz w:val="18"/>
          <w:szCs w:val="18"/>
        </w:rPr>
        <w:t xml:space="preserve"> </w:t>
      </w:r>
    </w:p>
    <w:p w:rsidRPr="000D308F" w:rsidR="00AF2677" w:rsidP="00AF2677" w:rsidRDefault="0012538E" w14:paraId="789B6CD9" w14:textId="065BCE3D">
      <w:pPr>
        <w:rPr>
          <w:rFonts w:ascii="Verdana" w:hAnsi="Verdana"/>
          <w:sz w:val="18"/>
          <w:szCs w:val="18"/>
        </w:rPr>
      </w:pPr>
      <w:r w:rsidRPr="000D308F">
        <w:rPr>
          <w:rFonts w:ascii="Verdana" w:hAnsi="Verdana"/>
          <w:sz w:val="18"/>
          <w:szCs w:val="18"/>
        </w:rPr>
        <w:t xml:space="preserve">In </w:t>
      </w:r>
      <w:r w:rsidRPr="000D308F" w:rsidR="00CE3CA6">
        <w:rPr>
          <w:rFonts w:ascii="Verdana" w:hAnsi="Verdana"/>
          <w:sz w:val="18"/>
          <w:szCs w:val="18"/>
        </w:rPr>
        <w:t xml:space="preserve">Artikelen 17 tot en met 26 </w:t>
      </w:r>
      <w:r w:rsidRPr="000D308F" w:rsidR="00F37C95">
        <w:rPr>
          <w:rFonts w:ascii="Verdana" w:hAnsi="Verdana"/>
          <w:sz w:val="18"/>
          <w:szCs w:val="18"/>
        </w:rPr>
        <w:t xml:space="preserve">spreken </w:t>
      </w:r>
      <w:r w:rsidRPr="000D308F" w:rsidR="0097072C">
        <w:rPr>
          <w:rFonts w:ascii="Verdana" w:hAnsi="Verdana"/>
          <w:sz w:val="18"/>
          <w:szCs w:val="18"/>
        </w:rPr>
        <w:t>de</w:t>
      </w:r>
      <w:r w:rsidRPr="000D308F" w:rsidR="00F37C95">
        <w:rPr>
          <w:rFonts w:ascii="Verdana" w:hAnsi="Verdana"/>
          <w:sz w:val="18"/>
          <w:szCs w:val="18"/>
        </w:rPr>
        <w:t xml:space="preserve"> partijen </w:t>
      </w:r>
      <w:r w:rsidRPr="000D308F" w:rsidR="00CE3CA6">
        <w:rPr>
          <w:rFonts w:ascii="Verdana" w:hAnsi="Verdana"/>
          <w:sz w:val="18"/>
          <w:szCs w:val="18"/>
        </w:rPr>
        <w:t>af</w:t>
      </w:r>
      <w:r w:rsidRPr="000D308F" w:rsidR="00F37C95">
        <w:rPr>
          <w:rFonts w:ascii="Verdana" w:hAnsi="Verdana"/>
          <w:sz w:val="18"/>
          <w:szCs w:val="18"/>
        </w:rPr>
        <w:t xml:space="preserve"> samen te werken</w:t>
      </w:r>
      <w:r w:rsidRPr="000D308F">
        <w:rPr>
          <w:rFonts w:ascii="Verdana" w:hAnsi="Verdana"/>
          <w:sz w:val="18"/>
          <w:szCs w:val="18"/>
        </w:rPr>
        <w:t xml:space="preserve"> of de samenwerking te intensiveren</w:t>
      </w:r>
      <w:r w:rsidRPr="000D308F" w:rsidR="00CE3CA6">
        <w:rPr>
          <w:rFonts w:ascii="Verdana" w:hAnsi="Verdana"/>
          <w:sz w:val="18"/>
          <w:szCs w:val="18"/>
        </w:rPr>
        <w:t xml:space="preserve"> in </w:t>
      </w:r>
      <w:r w:rsidRPr="000D308F" w:rsidR="00F37C95">
        <w:rPr>
          <w:rFonts w:ascii="Verdana" w:hAnsi="Verdana"/>
          <w:sz w:val="18"/>
          <w:szCs w:val="18"/>
        </w:rPr>
        <w:t xml:space="preserve">de volgende </w:t>
      </w:r>
      <w:r w:rsidRPr="000D308F" w:rsidR="00CE3CA6">
        <w:rPr>
          <w:rFonts w:ascii="Verdana" w:hAnsi="Verdana"/>
          <w:sz w:val="18"/>
          <w:szCs w:val="18"/>
        </w:rPr>
        <w:t>belangrijke sectoren</w:t>
      </w:r>
      <w:r w:rsidRPr="000D308F" w:rsidR="00F37C95">
        <w:rPr>
          <w:rFonts w:ascii="Verdana" w:hAnsi="Verdana"/>
          <w:sz w:val="18"/>
          <w:szCs w:val="18"/>
        </w:rPr>
        <w:t xml:space="preserve">: landbouw (artikel 17), veestapel en leder (artikel 18), de blauwe economie en visserij (artikel 19), winningsindustrieën en verwerking (artikel 20), </w:t>
      </w:r>
      <w:r w:rsidRPr="000D308F" w:rsidR="00201393">
        <w:rPr>
          <w:rFonts w:ascii="Verdana" w:hAnsi="Verdana"/>
          <w:sz w:val="18"/>
          <w:szCs w:val="18"/>
        </w:rPr>
        <w:t xml:space="preserve">de </w:t>
      </w:r>
      <w:r w:rsidRPr="000D308F" w:rsidR="00F37C95">
        <w:rPr>
          <w:rFonts w:ascii="Verdana" w:hAnsi="Verdana"/>
          <w:sz w:val="18"/>
          <w:szCs w:val="18"/>
        </w:rPr>
        <w:t>maakindustrie (artikel 21), diensten (artikel 22), vervoer (artikel 23), duurzame energie (artikel</w:t>
      </w:r>
      <w:r w:rsidRPr="000D308F">
        <w:rPr>
          <w:rFonts w:ascii="Verdana" w:hAnsi="Verdana"/>
          <w:sz w:val="18"/>
          <w:szCs w:val="18"/>
        </w:rPr>
        <w:t xml:space="preserve"> </w:t>
      </w:r>
      <w:r w:rsidRPr="000D308F" w:rsidR="00F37C95">
        <w:rPr>
          <w:rFonts w:ascii="Verdana" w:hAnsi="Verdana"/>
          <w:sz w:val="18"/>
          <w:szCs w:val="18"/>
        </w:rPr>
        <w:t>24),</w:t>
      </w:r>
      <w:r w:rsidRPr="000D308F">
        <w:rPr>
          <w:rFonts w:ascii="Verdana" w:hAnsi="Verdana"/>
          <w:sz w:val="18"/>
          <w:szCs w:val="18"/>
        </w:rPr>
        <w:t xml:space="preserve"> ICT en de digitale economie (artikel 25)</w:t>
      </w:r>
      <w:r w:rsidRPr="000D308F" w:rsidR="0085302B">
        <w:rPr>
          <w:rFonts w:ascii="Verdana" w:hAnsi="Verdana"/>
          <w:sz w:val="18"/>
          <w:szCs w:val="18"/>
        </w:rPr>
        <w:t>,</w:t>
      </w:r>
      <w:r w:rsidRPr="000D308F">
        <w:rPr>
          <w:rFonts w:ascii="Verdana" w:hAnsi="Verdana"/>
          <w:sz w:val="18"/>
          <w:szCs w:val="18"/>
        </w:rPr>
        <w:t xml:space="preserve"> en toerisme (artikel 26).</w:t>
      </w:r>
    </w:p>
    <w:p w:rsidRPr="000D308F" w:rsidR="00AF2677" w:rsidP="00AF2677" w:rsidRDefault="00AF2677" w14:paraId="7DABC441" w14:textId="4219F83B">
      <w:pPr>
        <w:rPr>
          <w:rFonts w:ascii="Verdana" w:hAnsi="Verdana"/>
          <w:i/>
          <w:iCs/>
          <w:sz w:val="18"/>
          <w:szCs w:val="18"/>
        </w:rPr>
      </w:pPr>
      <w:r w:rsidRPr="000D308F">
        <w:rPr>
          <w:rFonts w:ascii="Verdana" w:hAnsi="Verdana"/>
          <w:i/>
          <w:iCs/>
          <w:sz w:val="18"/>
          <w:szCs w:val="18"/>
        </w:rPr>
        <w:t>Hoofdstuk 3 – Wetenschap, technologische ontwikkeling, onderzoek en innovatie</w:t>
      </w:r>
      <w:r w:rsidRPr="000D308F" w:rsidR="005F3B7A">
        <w:rPr>
          <w:rFonts w:ascii="Verdana" w:hAnsi="Verdana"/>
          <w:i/>
          <w:iCs/>
          <w:sz w:val="18"/>
          <w:szCs w:val="18"/>
        </w:rPr>
        <w:t xml:space="preserve"> </w:t>
      </w:r>
    </w:p>
    <w:p w:rsidRPr="000D308F" w:rsidR="00084ED8" w:rsidP="00EC4F1D" w:rsidRDefault="0051223D" w14:paraId="2C19460B" w14:textId="47AF5902">
      <w:pPr>
        <w:rPr>
          <w:rFonts w:ascii="Verdana" w:hAnsi="Verdana"/>
          <w:sz w:val="18"/>
          <w:szCs w:val="18"/>
        </w:rPr>
      </w:pPr>
      <w:r w:rsidRPr="000D308F">
        <w:rPr>
          <w:rFonts w:ascii="Verdana" w:hAnsi="Verdana"/>
          <w:sz w:val="18"/>
          <w:szCs w:val="18"/>
        </w:rPr>
        <w:t xml:space="preserve">In hoofdstuk 3 spreken </w:t>
      </w:r>
      <w:r w:rsidRPr="000D308F" w:rsidR="00326F29">
        <w:rPr>
          <w:rFonts w:ascii="Verdana" w:hAnsi="Verdana"/>
          <w:sz w:val="18"/>
          <w:szCs w:val="18"/>
        </w:rPr>
        <w:t xml:space="preserve">de </w:t>
      </w:r>
      <w:r w:rsidRPr="000D308F">
        <w:rPr>
          <w:rFonts w:ascii="Verdana" w:hAnsi="Verdana"/>
          <w:sz w:val="18"/>
          <w:szCs w:val="18"/>
        </w:rPr>
        <w:t>partijen af de samenwerking te versterken op het gebied van wetenschap en technologie tot wederzijds voordeel, met als doel sociale en economische ontwikkeling te bevorderen (artikel 27).</w:t>
      </w:r>
      <w:r w:rsidRPr="000D308F" w:rsidR="00347D90">
        <w:rPr>
          <w:rFonts w:ascii="Verdana" w:hAnsi="Verdana"/>
          <w:sz w:val="18"/>
          <w:szCs w:val="18"/>
        </w:rPr>
        <w:t xml:space="preserve"> </w:t>
      </w:r>
      <w:r w:rsidRPr="000D308F">
        <w:rPr>
          <w:rFonts w:ascii="Verdana" w:hAnsi="Verdana"/>
          <w:sz w:val="18"/>
          <w:szCs w:val="18"/>
        </w:rPr>
        <w:t>Daartoe is overeengekomen middelen vrij te maken</w:t>
      </w:r>
      <w:r w:rsidRPr="000D308F" w:rsidR="00347D90">
        <w:rPr>
          <w:rFonts w:ascii="Verdana" w:hAnsi="Verdana"/>
          <w:sz w:val="18"/>
          <w:szCs w:val="18"/>
        </w:rPr>
        <w:t xml:space="preserve"> voor onderzoeks- en innovatieactiviteiten</w:t>
      </w:r>
      <w:r w:rsidRPr="000D308F">
        <w:rPr>
          <w:rFonts w:ascii="Verdana" w:hAnsi="Verdana"/>
          <w:sz w:val="18"/>
          <w:szCs w:val="18"/>
        </w:rPr>
        <w:t xml:space="preserve"> (artikel 28)</w:t>
      </w:r>
      <w:r w:rsidRPr="000D308F" w:rsidR="00347D90">
        <w:rPr>
          <w:rFonts w:ascii="Verdana" w:hAnsi="Verdana"/>
          <w:sz w:val="18"/>
          <w:szCs w:val="18"/>
        </w:rPr>
        <w:t xml:space="preserve"> en de potentiële voordelen van ruimte- en </w:t>
      </w:r>
      <w:proofErr w:type="spellStart"/>
      <w:r w:rsidRPr="000D308F" w:rsidR="00347D90">
        <w:rPr>
          <w:rFonts w:ascii="Verdana" w:hAnsi="Verdana"/>
          <w:sz w:val="18"/>
          <w:szCs w:val="18"/>
        </w:rPr>
        <w:t>geo</w:t>
      </w:r>
      <w:proofErr w:type="spellEnd"/>
      <w:r w:rsidRPr="000D308F" w:rsidR="00326F29">
        <w:rPr>
          <w:rFonts w:ascii="Verdana" w:hAnsi="Verdana"/>
          <w:sz w:val="18"/>
          <w:szCs w:val="18"/>
        </w:rPr>
        <w:t>-</w:t>
      </w:r>
      <w:r w:rsidRPr="000D308F" w:rsidR="00347D90">
        <w:rPr>
          <w:rFonts w:ascii="Verdana" w:hAnsi="Verdana"/>
          <w:sz w:val="18"/>
          <w:szCs w:val="18"/>
        </w:rPr>
        <w:t>spatiale technologie te benutten (artikel 29).</w:t>
      </w:r>
    </w:p>
    <w:p w:rsidRPr="000D308F" w:rsidR="00084ED8" w:rsidP="00EC4F1D" w:rsidRDefault="00084ED8" w14:paraId="336FA6FE" w14:textId="5B3C125F">
      <w:pPr>
        <w:rPr>
          <w:rFonts w:ascii="Verdana" w:hAnsi="Verdana"/>
          <w:b/>
          <w:bCs/>
          <w:sz w:val="18"/>
          <w:szCs w:val="18"/>
        </w:rPr>
      </w:pPr>
      <w:r w:rsidRPr="000D308F">
        <w:rPr>
          <w:rFonts w:ascii="Verdana" w:hAnsi="Verdana"/>
          <w:b/>
          <w:bCs/>
          <w:sz w:val="18"/>
          <w:szCs w:val="18"/>
        </w:rPr>
        <w:t>Titel II – Menselijke en sociale ontwikkeling</w:t>
      </w:r>
      <w:r w:rsidRPr="000D308F" w:rsidR="00AF2677">
        <w:rPr>
          <w:rFonts w:ascii="Verdana" w:hAnsi="Verdana"/>
          <w:b/>
          <w:bCs/>
          <w:sz w:val="18"/>
          <w:szCs w:val="18"/>
        </w:rPr>
        <w:t xml:space="preserve"> (artikelen 30 t/m 42)</w:t>
      </w:r>
    </w:p>
    <w:p w:rsidRPr="000D308F" w:rsidR="0068165E" w:rsidP="00EC4F1D" w:rsidRDefault="0068165E" w14:paraId="68DA6EF4" w14:textId="6EC01DC0">
      <w:pPr>
        <w:rPr>
          <w:rFonts w:ascii="Verdana" w:hAnsi="Verdana"/>
          <w:sz w:val="18"/>
          <w:szCs w:val="18"/>
        </w:rPr>
      </w:pPr>
      <w:r w:rsidRPr="000D308F">
        <w:rPr>
          <w:rFonts w:ascii="Verdana" w:hAnsi="Verdana"/>
          <w:sz w:val="18"/>
          <w:szCs w:val="18"/>
        </w:rPr>
        <w:t xml:space="preserve">In titel II streven partijen ernaar armoede in al haar vormen uiterlijk </w:t>
      </w:r>
      <w:r w:rsidRPr="000D308F" w:rsidR="001858E1">
        <w:rPr>
          <w:rFonts w:ascii="Verdana" w:hAnsi="Verdana"/>
          <w:sz w:val="18"/>
          <w:szCs w:val="18"/>
        </w:rPr>
        <w:t>in</w:t>
      </w:r>
      <w:r w:rsidRPr="000D308F">
        <w:rPr>
          <w:rFonts w:ascii="Verdana" w:hAnsi="Verdana"/>
          <w:sz w:val="18"/>
          <w:szCs w:val="18"/>
        </w:rPr>
        <w:t xml:space="preserve"> 2030 uit te bannen, ongelijkheid te bestrijden, </w:t>
      </w:r>
      <w:r w:rsidRPr="000D308F" w:rsidR="001858E1">
        <w:rPr>
          <w:rFonts w:ascii="Verdana" w:hAnsi="Verdana"/>
          <w:sz w:val="18"/>
          <w:szCs w:val="18"/>
        </w:rPr>
        <w:t xml:space="preserve">en </w:t>
      </w:r>
      <w:r w:rsidRPr="000D308F">
        <w:rPr>
          <w:rFonts w:ascii="Verdana" w:hAnsi="Verdana"/>
          <w:sz w:val="18"/>
          <w:szCs w:val="18"/>
        </w:rPr>
        <w:t xml:space="preserve">gendergelijkheid te verwezenlijken (artikel 30). </w:t>
      </w:r>
    </w:p>
    <w:p w:rsidRPr="000D308F" w:rsidR="00844146" w:rsidP="00EC4F1D" w:rsidRDefault="00AF2677" w14:paraId="11AB9161" w14:textId="77777777">
      <w:pPr>
        <w:rPr>
          <w:rFonts w:ascii="Verdana" w:hAnsi="Verdana"/>
          <w:i/>
          <w:iCs/>
          <w:sz w:val="18"/>
          <w:szCs w:val="18"/>
        </w:rPr>
      </w:pPr>
      <w:r w:rsidRPr="000D308F">
        <w:rPr>
          <w:rFonts w:ascii="Verdana" w:hAnsi="Verdana"/>
          <w:i/>
          <w:iCs/>
          <w:sz w:val="18"/>
          <w:szCs w:val="18"/>
        </w:rPr>
        <w:t>Hoofdstuk 1 – Menselijke ontwikkeling</w:t>
      </w:r>
    </w:p>
    <w:p w:rsidRPr="000D308F" w:rsidR="009C0C90" w:rsidP="00EC4F1D" w:rsidRDefault="00844146" w14:paraId="0CEF1D45" w14:textId="3DD01E73">
      <w:pPr>
        <w:rPr>
          <w:rFonts w:ascii="Verdana" w:hAnsi="Verdana"/>
          <w:i/>
          <w:iCs/>
          <w:sz w:val="18"/>
          <w:szCs w:val="18"/>
        </w:rPr>
      </w:pPr>
      <w:r w:rsidRPr="000D308F">
        <w:rPr>
          <w:rFonts w:ascii="Verdana" w:hAnsi="Verdana"/>
          <w:sz w:val="18"/>
          <w:szCs w:val="18"/>
        </w:rPr>
        <w:t xml:space="preserve">In </w:t>
      </w:r>
      <w:r w:rsidRPr="000D308F" w:rsidR="009C0C90">
        <w:rPr>
          <w:rFonts w:ascii="Verdana" w:hAnsi="Verdana"/>
          <w:sz w:val="18"/>
          <w:szCs w:val="18"/>
        </w:rPr>
        <w:t xml:space="preserve">respectievelijk </w:t>
      </w:r>
      <w:r w:rsidRPr="000D308F" w:rsidR="0068165E">
        <w:rPr>
          <w:rFonts w:ascii="Verdana" w:hAnsi="Verdana"/>
          <w:sz w:val="18"/>
          <w:szCs w:val="18"/>
        </w:rPr>
        <w:t>artikel</w:t>
      </w:r>
      <w:r w:rsidRPr="000D308F">
        <w:rPr>
          <w:rFonts w:ascii="Verdana" w:hAnsi="Verdana"/>
          <w:sz w:val="18"/>
          <w:szCs w:val="18"/>
        </w:rPr>
        <w:t>en</w:t>
      </w:r>
      <w:r w:rsidRPr="000D308F" w:rsidR="0068165E">
        <w:rPr>
          <w:rFonts w:ascii="Verdana" w:hAnsi="Verdana"/>
          <w:sz w:val="18"/>
          <w:szCs w:val="18"/>
        </w:rPr>
        <w:t xml:space="preserve"> 31</w:t>
      </w:r>
      <w:r w:rsidRPr="000D308F">
        <w:rPr>
          <w:rFonts w:ascii="Verdana" w:hAnsi="Verdana"/>
          <w:sz w:val="18"/>
          <w:szCs w:val="18"/>
        </w:rPr>
        <w:t xml:space="preserve"> en 32</w:t>
      </w:r>
      <w:r w:rsidRPr="000D308F" w:rsidR="0068165E">
        <w:rPr>
          <w:rFonts w:ascii="Verdana" w:hAnsi="Verdana"/>
          <w:sz w:val="18"/>
          <w:szCs w:val="18"/>
        </w:rPr>
        <w:t xml:space="preserve"> streven partijen naar universele, inclusieve en billijke toegang tot kwaliteitsonderwijs</w:t>
      </w:r>
      <w:r w:rsidRPr="000D308F">
        <w:rPr>
          <w:rFonts w:ascii="Verdana" w:hAnsi="Verdana"/>
          <w:sz w:val="18"/>
          <w:szCs w:val="18"/>
        </w:rPr>
        <w:t xml:space="preserve"> en gezondheidszorg</w:t>
      </w:r>
      <w:r w:rsidRPr="000D308F" w:rsidR="0068165E">
        <w:rPr>
          <w:rFonts w:ascii="Verdana" w:hAnsi="Verdana"/>
          <w:sz w:val="18"/>
          <w:szCs w:val="18"/>
        </w:rPr>
        <w:t xml:space="preserve"> op alle niveaus.</w:t>
      </w:r>
      <w:r w:rsidRPr="000D308F" w:rsidR="00565F4B">
        <w:rPr>
          <w:rFonts w:ascii="Verdana" w:hAnsi="Verdana"/>
          <w:sz w:val="18"/>
          <w:szCs w:val="18"/>
        </w:rPr>
        <w:t xml:space="preserve"> Artikel 33 markeert het streven naar </w:t>
      </w:r>
      <w:r w:rsidRPr="000D308F" w:rsidR="009C0C90">
        <w:rPr>
          <w:rFonts w:ascii="Verdana" w:hAnsi="Verdana"/>
          <w:sz w:val="18"/>
          <w:szCs w:val="18"/>
        </w:rPr>
        <w:t>universele toegang tot een moderne leefbare woonomgeving met hoogwaardige (sanitaire) basisvoorzieningen.</w:t>
      </w:r>
      <w:r w:rsidRPr="000D308F" w:rsidR="00654B7D">
        <w:rPr>
          <w:rFonts w:ascii="Verdana" w:hAnsi="Verdana"/>
          <w:sz w:val="18"/>
          <w:szCs w:val="18"/>
        </w:rPr>
        <w:t xml:space="preserve"> In Artikel 34 committeren partijen zich tot het verbeteren van voedselzekerheid en betere voeding ten einde hongersnoden en andere voedselcrises uit te bannen</w:t>
      </w:r>
      <w:r w:rsidRPr="000D308F" w:rsidR="00702DDE">
        <w:rPr>
          <w:rFonts w:ascii="Verdana" w:hAnsi="Verdana"/>
          <w:sz w:val="18"/>
          <w:szCs w:val="18"/>
        </w:rPr>
        <w:t>, onder meer door aan te sturen op sterke coördinatie tussen humanitaire hulp en duurzame ontwikkelingssamenwerking</w:t>
      </w:r>
      <w:r w:rsidRPr="000D308F" w:rsidR="00654B7D">
        <w:rPr>
          <w:rFonts w:ascii="Verdana" w:hAnsi="Verdana"/>
          <w:sz w:val="18"/>
          <w:szCs w:val="18"/>
        </w:rPr>
        <w:t xml:space="preserve">. </w:t>
      </w:r>
    </w:p>
    <w:p w:rsidRPr="000D308F" w:rsidR="00AF2677" w:rsidP="00EC4F1D" w:rsidRDefault="00AF2677" w14:paraId="156D9487" w14:textId="3D15EB42">
      <w:pPr>
        <w:rPr>
          <w:rFonts w:ascii="Verdana" w:hAnsi="Verdana"/>
          <w:i/>
          <w:iCs/>
          <w:sz w:val="18"/>
          <w:szCs w:val="18"/>
        </w:rPr>
      </w:pPr>
      <w:r w:rsidRPr="000D308F">
        <w:rPr>
          <w:rFonts w:ascii="Verdana" w:hAnsi="Verdana"/>
          <w:i/>
          <w:iCs/>
          <w:sz w:val="18"/>
          <w:szCs w:val="18"/>
        </w:rPr>
        <w:t>Hoofdstuk 2 – Ongelijkheid en sociale cohesie</w:t>
      </w:r>
    </w:p>
    <w:p w:rsidRPr="000D308F" w:rsidR="00AF2677" w:rsidP="00EC4F1D" w:rsidRDefault="009C6B59" w14:paraId="3B026949" w14:textId="7F7F11A6">
      <w:pPr>
        <w:rPr>
          <w:rFonts w:ascii="Verdana" w:hAnsi="Verdana"/>
          <w:sz w:val="18"/>
          <w:szCs w:val="18"/>
        </w:rPr>
      </w:pPr>
      <w:r w:rsidRPr="000D308F">
        <w:rPr>
          <w:rFonts w:ascii="Verdana" w:hAnsi="Verdana"/>
          <w:sz w:val="18"/>
          <w:szCs w:val="18"/>
        </w:rPr>
        <w:t>In artikel 35 spreken partijen af beleid en stelsels ter bestrijding van armoede en ongelijkheid te ontwikkelen, bevorderen en uit te voeren. Daarbij ondersteunen de partijen de ontwikkeling van beleid gericht op het scheppen van volledige, productieve en waardige werkgelegenheid (artikel 36). Ook binden de partijen zich aan de doeltreffende uitvoering van het V</w:t>
      </w:r>
      <w:r w:rsidRPr="000D308F" w:rsidR="007861FD">
        <w:rPr>
          <w:rFonts w:ascii="Verdana" w:hAnsi="Verdana"/>
          <w:sz w:val="18"/>
          <w:szCs w:val="18"/>
        </w:rPr>
        <w:t xml:space="preserve">erenigde Naties </w:t>
      </w:r>
      <w:r w:rsidRPr="000D308F">
        <w:rPr>
          <w:rFonts w:ascii="Verdana" w:hAnsi="Verdana"/>
          <w:sz w:val="18"/>
          <w:szCs w:val="18"/>
        </w:rPr>
        <w:t>Verdrag inzake de rechten en personen met een handicap (artikel 37).</w:t>
      </w:r>
      <w:r w:rsidRPr="000D308F" w:rsidR="006D69E3">
        <w:rPr>
          <w:rFonts w:ascii="Verdana" w:hAnsi="Verdana"/>
          <w:sz w:val="18"/>
          <w:szCs w:val="18"/>
        </w:rPr>
        <w:t xml:space="preserve"> Tot slot heeft artikel 38 betrekking tot cultuur, sport en interpersoonlijke contacten en binden partijen zich tot het ondersteunen, ontwikkelen en verspreiden ervan.</w:t>
      </w:r>
    </w:p>
    <w:p w:rsidRPr="000D308F" w:rsidR="00AF2677" w:rsidP="00EC4F1D" w:rsidRDefault="00AF2677" w14:paraId="3EE9BBA8" w14:textId="12868F54">
      <w:pPr>
        <w:rPr>
          <w:rFonts w:ascii="Verdana" w:hAnsi="Verdana"/>
          <w:i/>
          <w:iCs/>
          <w:sz w:val="18"/>
          <w:szCs w:val="18"/>
        </w:rPr>
      </w:pPr>
      <w:r w:rsidRPr="000D308F">
        <w:rPr>
          <w:rFonts w:ascii="Verdana" w:hAnsi="Verdana"/>
          <w:i/>
          <w:iCs/>
          <w:sz w:val="18"/>
          <w:szCs w:val="18"/>
        </w:rPr>
        <w:t>Hoofdstuk 3 – Bevolking en ontwikkeling</w:t>
      </w:r>
    </w:p>
    <w:p w:rsidRPr="000D308F" w:rsidR="00084ED8" w:rsidP="00EC4F1D" w:rsidRDefault="006D69E3" w14:paraId="22C79E0D" w14:textId="48D503EA">
      <w:pPr>
        <w:rPr>
          <w:rFonts w:ascii="Verdana" w:hAnsi="Verdana"/>
          <w:sz w:val="18"/>
          <w:szCs w:val="18"/>
        </w:rPr>
      </w:pPr>
      <w:r w:rsidRPr="000D308F">
        <w:rPr>
          <w:rFonts w:ascii="Verdana" w:hAnsi="Verdana"/>
          <w:sz w:val="18"/>
          <w:szCs w:val="18"/>
        </w:rPr>
        <w:t>In hoofdstuk 3 erkennen de partijen de noodzaak</w:t>
      </w:r>
      <w:r w:rsidRPr="000D308F" w:rsidR="00450BFD">
        <w:rPr>
          <w:rFonts w:ascii="Verdana" w:hAnsi="Verdana"/>
          <w:sz w:val="18"/>
          <w:szCs w:val="18"/>
        </w:rPr>
        <w:t xml:space="preserve"> om</w:t>
      </w:r>
      <w:r w:rsidRPr="000D308F">
        <w:rPr>
          <w:rFonts w:ascii="Verdana" w:hAnsi="Verdana"/>
          <w:sz w:val="18"/>
          <w:szCs w:val="18"/>
        </w:rPr>
        <w:t xml:space="preserve"> kansen en obstakels van demografische veranderingen voor toekomstige generaties te beheren (artikel 39). In dat kader versterken partijen in artikel 40 de samenwerking op gendergelijkheid en de versterking van de positie van vrouwen.</w:t>
      </w:r>
      <w:r w:rsidRPr="000D308F" w:rsidR="00761F2F">
        <w:rPr>
          <w:rFonts w:ascii="Verdana" w:hAnsi="Verdana"/>
          <w:sz w:val="18"/>
          <w:szCs w:val="18"/>
        </w:rPr>
        <w:t xml:space="preserve"> Om dat te bereiken zetten partijen zich in voor de volledige en doeltreffende uitvoering van de Verklaring en Actieprogramma van </w:t>
      </w:r>
      <w:r w:rsidRPr="000D308F" w:rsidR="00201393">
        <w:rPr>
          <w:rFonts w:ascii="Verdana" w:hAnsi="Verdana"/>
          <w:sz w:val="18"/>
          <w:szCs w:val="18"/>
        </w:rPr>
        <w:t xml:space="preserve">Beijing </w:t>
      </w:r>
      <w:r w:rsidRPr="000D308F" w:rsidR="00761F2F">
        <w:rPr>
          <w:rFonts w:ascii="Verdana" w:hAnsi="Verdana"/>
          <w:sz w:val="18"/>
          <w:szCs w:val="18"/>
        </w:rPr>
        <w:t xml:space="preserve">en het Actieprogramma van de Internationale Conferentie over Bevolking en Ontwikkeling en de resultaten van de toetsingsconferenties daarvan. Voorst spreken partijen </w:t>
      </w:r>
      <w:r w:rsidRPr="000D308F" w:rsidR="00450BFD">
        <w:rPr>
          <w:rFonts w:ascii="Verdana" w:hAnsi="Verdana"/>
          <w:sz w:val="18"/>
          <w:szCs w:val="18"/>
        </w:rPr>
        <w:t xml:space="preserve">af </w:t>
      </w:r>
      <w:r w:rsidRPr="000D308F" w:rsidR="00761F2F">
        <w:rPr>
          <w:rFonts w:ascii="Verdana" w:hAnsi="Verdana"/>
          <w:sz w:val="18"/>
          <w:szCs w:val="18"/>
        </w:rPr>
        <w:t>ondernemerschap bij jongeren te ondersteunen en verbinden zich ertoe zorg te dragen voor duurzame werkgelegenheid voor</w:t>
      </w:r>
      <w:r w:rsidRPr="000D308F" w:rsidR="005762B9">
        <w:rPr>
          <w:rFonts w:ascii="Verdana" w:hAnsi="Verdana"/>
          <w:sz w:val="18"/>
          <w:szCs w:val="18"/>
        </w:rPr>
        <w:t>,</w:t>
      </w:r>
      <w:r w:rsidRPr="000D308F" w:rsidR="00761F2F">
        <w:rPr>
          <w:rFonts w:ascii="Verdana" w:hAnsi="Verdana"/>
          <w:sz w:val="18"/>
          <w:szCs w:val="18"/>
        </w:rPr>
        <w:t xml:space="preserve"> en inclusie van</w:t>
      </w:r>
      <w:r w:rsidRPr="000D308F" w:rsidR="005762B9">
        <w:rPr>
          <w:rFonts w:ascii="Verdana" w:hAnsi="Verdana"/>
          <w:sz w:val="18"/>
          <w:szCs w:val="18"/>
        </w:rPr>
        <w:t>,</w:t>
      </w:r>
      <w:r w:rsidRPr="000D308F" w:rsidR="00761F2F">
        <w:rPr>
          <w:rFonts w:ascii="Verdana" w:hAnsi="Verdana"/>
          <w:sz w:val="18"/>
          <w:szCs w:val="18"/>
        </w:rPr>
        <w:t xml:space="preserve"> jongeren (artikel 41)</w:t>
      </w:r>
      <w:r w:rsidRPr="000D308F" w:rsidR="00896A0A">
        <w:rPr>
          <w:rFonts w:ascii="Verdana" w:hAnsi="Verdana"/>
          <w:sz w:val="18"/>
          <w:szCs w:val="18"/>
        </w:rPr>
        <w:t>. Tot slot spreken partijen in artikel 42 af duurzame stedelijke groei en evenwichtige territoriale ontwikkeling van plattelandseconomieën en -gemeenschappen te bevorderen</w:t>
      </w:r>
      <w:r w:rsidRPr="000D308F" w:rsidR="00636C7A">
        <w:rPr>
          <w:rFonts w:ascii="Verdana" w:hAnsi="Verdana"/>
          <w:sz w:val="18"/>
          <w:szCs w:val="18"/>
        </w:rPr>
        <w:t>.</w:t>
      </w:r>
    </w:p>
    <w:p w:rsidRPr="000D308F" w:rsidR="00E81AC1" w:rsidP="00E81AC1" w:rsidRDefault="00084ED8" w14:paraId="4E0B9B0C" w14:textId="5C630D21">
      <w:pPr>
        <w:rPr>
          <w:rFonts w:ascii="Verdana" w:hAnsi="Verdana"/>
          <w:b/>
          <w:bCs/>
          <w:sz w:val="18"/>
          <w:szCs w:val="18"/>
        </w:rPr>
      </w:pPr>
      <w:r w:rsidRPr="000D308F">
        <w:rPr>
          <w:rFonts w:ascii="Verdana" w:hAnsi="Verdana"/>
          <w:b/>
          <w:bCs/>
          <w:sz w:val="18"/>
          <w:szCs w:val="18"/>
        </w:rPr>
        <w:t>Titel III – Milieu, beheer van natuurlijke hulpbronnen en klimaatverandering</w:t>
      </w:r>
      <w:r w:rsidRPr="000D308F" w:rsidR="00E81AC1">
        <w:rPr>
          <w:rFonts w:ascii="Verdana" w:hAnsi="Verdana"/>
          <w:b/>
          <w:bCs/>
          <w:sz w:val="18"/>
          <w:szCs w:val="18"/>
        </w:rPr>
        <w:t xml:space="preserve"> (artikelen 43 t/m 53)</w:t>
      </w:r>
    </w:p>
    <w:p w:rsidRPr="000D308F" w:rsidR="004B72A8" w:rsidP="00EC4F1D" w:rsidRDefault="004B72A8" w14:paraId="7553AAAB" w14:textId="2C637337">
      <w:pPr>
        <w:rPr>
          <w:rFonts w:ascii="Verdana" w:hAnsi="Verdana"/>
          <w:sz w:val="18"/>
          <w:szCs w:val="18"/>
        </w:rPr>
      </w:pPr>
      <w:r w:rsidRPr="000D308F">
        <w:rPr>
          <w:rFonts w:ascii="Verdana" w:hAnsi="Verdana"/>
          <w:sz w:val="18"/>
          <w:szCs w:val="18"/>
        </w:rPr>
        <w:t xml:space="preserve">De artikelen 43 tot en met 53 hebben betrekking tot de afspraken over het klimaat en het milieu. Deze titel begint met artikel 43 waarin is opgenomen dat de partijen ambitieuze maatregelen nemen om de klimaatverandering te matigen en zich eraan aan te passen, de kwaliteit van het milieu te beschermen en te verbeteren, te streven naar duurzaam gebruik en beheer van natuurlijke hulpbronnen, klimaatveerkracht op te bouwen en de aantasting van het milieu om te buigen. </w:t>
      </w:r>
    </w:p>
    <w:p w:rsidRPr="000D308F" w:rsidR="00084ED8" w:rsidP="00EC4F1D" w:rsidRDefault="00E81AC1" w14:paraId="4B58920B" w14:textId="11A15557">
      <w:pPr>
        <w:rPr>
          <w:rFonts w:ascii="Verdana" w:hAnsi="Verdana"/>
          <w:i/>
          <w:iCs/>
          <w:sz w:val="18"/>
          <w:szCs w:val="18"/>
        </w:rPr>
      </w:pPr>
      <w:r w:rsidRPr="000D308F">
        <w:rPr>
          <w:rFonts w:ascii="Verdana" w:hAnsi="Verdana"/>
          <w:i/>
          <w:iCs/>
          <w:sz w:val="18"/>
          <w:szCs w:val="18"/>
        </w:rPr>
        <w:lastRenderedPageBreak/>
        <w:t>Hoofdstuk 1 – Milieuduurzaamheid en beheer van natuurlijke hulpbronnen</w:t>
      </w:r>
    </w:p>
    <w:p w:rsidRPr="000D308F" w:rsidR="00E81AC1" w:rsidP="00EC4F1D" w:rsidRDefault="004B72A8" w14:paraId="5D24F52F" w14:textId="22D444CE">
      <w:pPr>
        <w:rPr>
          <w:rFonts w:ascii="Verdana" w:hAnsi="Verdana"/>
          <w:sz w:val="18"/>
          <w:szCs w:val="18"/>
        </w:rPr>
      </w:pPr>
      <w:r w:rsidRPr="000D308F">
        <w:rPr>
          <w:rFonts w:ascii="Verdana" w:hAnsi="Verdana"/>
          <w:sz w:val="18"/>
          <w:szCs w:val="18"/>
        </w:rPr>
        <w:t xml:space="preserve">In hoofdstuk 1 spreken </w:t>
      </w:r>
      <w:r w:rsidRPr="000D308F" w:rsidR="006B0C62">
        <w:rPr>
          <w:rFonts w:ascii="Verdana" w:hAnsi="Verdana"/>
          <w:sz w:val="18"/>
          <w:szCs w:val="18"/>
        </w:rPr>
        <w:t xml:space="preserve">de </w:t>
      </w:r>
      <w:r w:rsidRPr="000D308F">
        <w:rPr>
          <w:rFonts w:ascii="Verdana" w:hAnsi="Verdana"/>
          <w:sz w:val="18"/>
          <w:szCs w:val="18"/>
        </w:rPr>
        <w:t xml:space="preserve">partijen </w:t>
      </w:r>
      <w:r w:rsidRPr="000D308F" w:rsidR="00B639AE">
        <w:rPr>
          <w:rFonts w:ascii="Verdana" w:hAnsi="Verdana"/>
          <w:sz w:val="18"/>
          <w:szCs w:val="18"/>
        </w:rPr>
        <w:t>af</w:t>
      </w:r>
      <w:r w:rsidRPr="000D308F" w:rsidR="006B0C62">
        <w:rPr>
          <w:rFonts w:ascii="Verdana" w:hAnsi="Verdana"/>
          <w:sz w:val="18"/>
          <w:szCs w:val="18"/>
        </w:rPr>
        <w:t xml:space="preserve"> om</w:t>
      </w:r>
      <w:r w:rsidRPr="000D308F" w:rsidR="00B639AE">
        <w:rPr>
          <w:rFonts w:ascii="Verdana" w:hAnsi="Verdana"/>
          <w:sz w:val="18"/>
          <w:szCs w:val="18"/>
        </w:rPr>
        <w:t xml:space="preserve"> a) </w:t>
      </w:r>
      <w:r w:rsidRPr="000D308F">
        <w:rPr>
          <w:rFonts w:ascii="Verdana" w:hAnsi="Verdana"/>
          <w:sz w:val="18"/>
          <w:szCs w:val="18"/>
        </w:rPr>
        <w:t>samen te werken aan de instandhouding, bescherming en herstel van biodiversiteit en ecosystemen (artikel 44); b) te streven naar een circulaire economie door het voorkomen of beperken van de productie van afval bij de bron</w:t>
      </w:r>
      <w:r w:rsidRPr="000D308F" w:rsidR="0059048E">
        <w:rPr>
          <w:rFonts w:ascii="Verdana" w:hAnsi="Verdana"/>
          <w:sz w:val="18"/>
          <w:szCs w:val="18"/>
        </w:rPr>
        <w:t xml:space="preserve"> en ontwerp</w:t>
      </w:r>
      <w:r w:rsidRPr="000D308F" w:rsidR="00C57674">
        <w:rPr>
          <w:rFonts w:ascii="Verdana" w:hAnsi="Verdana"/>
          <w:sz w:val="18"/>
          <w:szCs w:val="18"/>
        </w:rPr>
        <w:t xml:space="preserve"> (artikel 45)</w:t>
      </w:r>
      <w:r w:rsidRPr="000D308F" w:rsidR="0059048E">
        <w:rPr>
          <w:rFonts w:ascii="Verdana" w:hAnsi="Verdana"/>
          <w:sz w:val="18"/>
          <w:szCs w:val="18"/>
        </w:rPr>
        <w:t>; c)</w:t>
      </w:r>
      <w:r w:rsidRPr="000D308F" w:rsidR="00C57674">
        <w:rPr>
          <w:rFonts w:ascii="Verdana" w:hAnsi="Verdana"/>
          <w:sz w:val="18"/>
          <w:szCs w:val="18"/>
        </w:rPr>
        <w:t xml:space="preserve"> om oceaan</w:t>
      </w:r>
      <w:r w:rsidRPr="000D308F" w:rsidR="008871C5">
        <w:rPr>
          <w:rFonts w:ascii="Verdana" w:hAnsi="Verdana"/>
          <w:sz w:val="18"/>
          <w:szCs w:val="18"/>
        </w:rPr>
        <w:t xml:space="preserve"> </w:t>
      </w:r>
      <w:proofErr w:type="spellStart"/>
      <w:r w:rsidRPr="000D308F" w:rsidR="00C57674">
        <w:rPr>
          <w:rFonts w:ascii="Verdana" w:hAnsi="Verdana"/>
          <w:i/>
          <w:iCs/>
          <w:sz w:val="18"/>
          <w:szCs w:val="18"/>
        </w:rPr>
        <w:t>governance</w:t>
      </w:r>
      <w:proofErr w:type="spellEnd"/>
      <w:r w:rsidRPr="000D308F" w:rsidR="00C57674">
        <w:rPr>
          <w:rFonts w:ascii="Verdana" w:hAnsi="Verdana"/>
          <w:sz w:val="18"/>
          <w:szCs w:val="18"/>
        </w:rPr>
        <w:t xml:space="preserve"> te versterken in overeenstemming met </w:t>
      </w:r>
      <w:r w:rsidRPr="000D308F" w:rsidR="00FF3AE9">
        <w:rPr>
          <w:rFonts w:ascii="Verdana" w:hAnsi="Verdana"/>
          <w:sz w:val="18"/>
          <w:szCs w:val="18"/>
        </w:rPr>
        <w:t>UNCLOS</w:t>
      </w:r>
      <w:r w:rsidRPr="000D308F" w:rsidR="00C57674">
        <w:rPr>
          <w:rFonts w:ascii="Verdana" w:hAnsi="Verdana"/>
          <w:sz w:val="18"/>
          <w:szCs w:val="18"/>
        </w:rPr>
        <w:t xml:space="preserve"> (artikel 46); d) samen te werken aan duurzaam landbeheer en het voorkomen van bodemdegradatie (artikel 47); e) duurzaam bosbeheer te bevorderen (artikel 48); f) het behoud </w:t>
      </w:r>
      <w:r w:rsidRPr="000D308F" w:rsidR="00FF3AE9">
        <w:rPr>
          <w:rFonts w:ascii="Verdana" w:hAnsi="Verdana"/>
          <w:sz w:val="18"/>
          <w:szCs w:val="18"/>
        </w:rPr>
        <w:t>ter plaatse</w:t>
      </w:r>
      <w:r w:rsidRPr="000D308F" w:rsidR="00C57674">
        <w:rPr>
          <w:rFonts w:ascii="Verdana" w:hAnsi="Verdana"/>
          <w:sz w:val="18"/>
          <w:szCs w:val="18"/>
        </w:rPr>
        <w:t xml:space="preserve"> van de belangrijkste Afrikaanse landschappen en de daarin in het wild levende dieren te ondersteunen (artikel 49); </w:t>
      </w:r>
      <w:r w:rsidRPr="000D308F" w:rsidR="006F4545">
        <w:rPr>
          <w:rFonts w:ascii="Verdana" w:hAnsi="Verdana"/>
          <w:sz w:val="18"/>
          <w:szCs w:val="18"/>
        </w:rPr>
        <w:t>en f) geïntegreerd beheer van de watervoorraden te bevorderen (artikel 50).</w:t>
      </w:r>
    </w:p>
    <w:p w:rsidRPr="000D308F" w:rsidR="00E81AC1" w:rsidP="00EC4F1D" w:rsidRDefault="00E81AC1" w14:paraId="13B80699" w14:textId="3D9DA93C">
      <w:pPr>
        <w:rPr>
          <w:rFonts w:ascii="Verdana" w:hAnsi="Verdana"/>
          <w:i/>
          <w:iCs/>
          <w:sz w:val="18"/>
          <w:szCs w:val="18"/>
        </w:rPr>
      </w:pPr>
      <w:r w:rsidRPr="000D308F">
        <w:rPr>
          <w:rFonts w:ascii="Verdana" w:hAnsi="Verdana"/>
          <w:i/>
          <w:iCs/>
          <w:sz w:val="18"/>
          <w:szCs w:val="18"/>
        </w:rPr>
        <w:t>Hoofdstuk 2 – Klimaatverandering en natuurrampen</w:t>
      </w:r>
    </w:p>
    <w:p w:rsidRPr="000D308F" w:rsidR="006F4545" w:rsidP="006F4545" w:rsidRDefault="006F4545" w14:paraId="34BDDE8A" w14:textId="3E2B2914">
      <w:pPr>
        <w:rPr>
          <w:rFonts w:ascii="Verdana" w:hAnsi="Verdana"/>
          <w:sz w:val="18"/>
          <w:szCs w:val="18"/>
        </w:rPr>
      </w:pPr>
      <w:r w:rsidRPr="000D308F">
        <w:rPr>
          <w:rFonts w:ascii="Verdana" w:hAnsi="Verdana"/>
          <w:sz w:val="18"/>
          <w:szCs w:val="18"/>
        </w:rPr>
        <w:t>In Hoofdstuk twee, artikel 51</w:t>
      </w:r>
      <w:r w:rsidRPr="000D308F" w:rsidR="00431A56">
        <w:rPr>
          <w:rFonts w:ascii="Verdana" w:hAnsi="Verdana"/>
          <w:sz w:val="18"/>
          <w:szCs w:val="18"/>
        </w:rPr>
        <w:t>,</w:t>
      </w:r>
      <w:r w:rsidRPr="000D308F">
        <w:rPr>
          <w:rFonts w:ascii="Verdana" w:hAnsi="Verdana"/>
          <w:sz w:val="18"/>
          <w:szCs w:val="18"/>
        </w:rPr>
        <w:t xml:space="preserve"> streven partijen omvattende en inclusieve activiteiten te ontplooien om daarmee de volledige uitvoering van het Raamverdrag van de </w:t>
      </w:r>
      <w:r w:rsidRPr="000D308F" w:rsidR="007861FD">
        <w:rPr>
          <w:rFonts w:ascii="Verdana" w:hAnsi="Verdana"/>
          <w:sz w:val="18"/>
          <w:szCs w:val="18"/>
        </w:rPr>
        <w:t xml:space="preserve">Verenigde Naties </w:t>
      </w:r>
      <w:r w:rsidRPr="000D308F">
        <w:rPr>
          <w:rFonts w:ascii="Verdana" w:hAnsi="Verdana"/>
          <w:sz w:val="18"/>
          <w:szCs w:val="18"/>
        </w:rPr>
        <w:t xml:space="preserve">inzake klimaatverandering en de in het kader van dat Raamverdrag </w:t>
      </w:r>
      <w:r w:rsidRPr="000D308F" w:rsidR="0071716A">
        <w:rPr>
          <w:rFonts w:ascii="Verdana" w:hAnsi="Verdana"/>
          <w:sz w:val="18"/>
          <w:szCs w:val="18"/>
        </w:rPr>
        <w:t xml:space="preserve">de </w:t>
      </w:r>
      <w:r w:rsidRPr="000D308F" w:rsidR="006F4BF8">
        <w:rPr>
          <w:rFonts w:ascii="Verdana" w:hAnsi="Verdana"/>
          <w:sz w:val="18"/>
          <w:szCs w:val="18"/>
        </w:rPr>
        <w:t>O</w:t>
      </w:r>
      <w:r w:rsidRPr="000D308F" w:rsidR="005105A2">
        <w:rPr>
          <w:rFonts w:ascii="Verdana" w:hAnsi="Verdana"/>
          <w:sz w:val="18"/>
          <w:szCs w:val="18"/>
        </w:rPr>
        <w:t>vereenkomst</w:t>
      </w:r>
      <w:r w:rsidRPr="000D308F" w:rsidR="0071716A">
        <w:rPr>
          <w:rFonts w:ascii="Verdana" w:hAnsi="Verdana"/>
          <w:sz w:val="18"/>
          <w:szCs w:val="18"/>
        </w:rPr>
        <w:t xml:space="preserve"> van</w:t>
      </w:r>
      <w:r w:rsidRPr="000D308F">
        <w:rPr>
          <w:rFonts w:ascii="Verdana" w:hAnsi="Verdana"/>
          <w:sz w:val="18"/>
          <w:szCs w:val="18"/>
        </w:rPr>
        <w:t xml:space="preserve"> Parijs te versnellen en multilaterale maatregelen tegen klimaatverandering te ondersteunen.</w:t>
      </w:r>
      <w:r w:rsidRPr="000D308F" w:rsidR="007F2630">
        <w:rPr>
          <w:rFonts w:ascii="Verdana" w:hAnsi="Verdana"/>
          <w:sz w:val="18"/>
          <w:szCs w:val="18"/>
        </w:rPr>
        <w:t xml:space="preserve"> In dat kader spreken partijen af in lijn met het Protocol van Montreal</w:t>
      </w:r>
      <w:r w:rsidRPr="000D308F" w:rsidR="00881FCE">
        <w:rPr>
          <w:rStyle w:val="FootnoteReference"/>
          <w:rFonts w:ascii="Verdana" w:hAnsi="Verdana"/>
          <w:sz w:val="18"/>
          <w:szCs w:val="18"/>
        </w:rPr>
        <w:footnoteReference w:id="26"/>
      </w:r>
      <w:r w:rsidRPr="000D308F" w:rsidR="007F2630">
        <w:rPr>
          <w:rFonts w:ascii="Verdana" w:hAnsi="Verdana"/>
          <w:sz w:val="18"/>
          <w:szCs w:val="18"/>
        </w:rPr>
        <w:t xml:space="preserve"> een ambitieuze </w:t>
      </w:r>
      <w:r w:rsidRPr="000D308F" w:rsidR="00FB2EB5">
        <w:rPr>
          <w:rFonts w:ascii="Verdana" w:hAnsi="Verdana"/>
          <w:sz w:val="18"/>
          <w:szCs w:val="18"/>
        </w:rPr>
        <w:t>uit</w:t>
      </w:r>
      <w:r w:rsidRPr="000D308F" w:rsidR="007F2630">
        <w:rPr>
          <w:rFonts w:ascii="Verdana" w:hAnsi="Verdana"/>
          <w:sz w:val="18"/>
          <w:szCs w:val="18"/>
        </w:rPr>
        <w:t>fasering van fluorkoolwaterstoffen te bevorderen.</w:t>
      </w:r>
    </w:p>
    <w:p w:rsidRPr="000D308F" w:rsidR="00084ED8" w:rsidP="00EC4F1D" w:rsidRDefault="007F2630" w14:paraId="0C25E9A8" w14:textId="6E3CFD88">
      <w:pPr>
        <w:rPr>
          <w:rFonts w:ascii="Verdana" w:hAnsi="Verdana"/>
          <w:sz w:val="18"/>
          <w:szCs w:val="18"/>
        </w:rPr>
      </w:pPr>
      <w:r w:rsidRPr="000D308F">
        <w:rPr>
          <w:rFonts w:ascii="Verdana" w:hAnsi="Verdana"/>
          <w:sz w:val="18"/>
          <w:szCs w:val="18"/>
        </w:rPr>
        <w:t xml:space="preserve">In artikel 52 spreken partijen af droogte en woestijnvorming te bestrijden door, onder andere, een versnelling van de vooruitgang naar de uitvoering van het </w:t>
      </w:r>
      <w:r w:rsidRPr="000D308F" w:rsidR="0071716A">
        <w:rPr>
          <w:rFonts w:ascii="Verdana" w:hAnsi="Verdana"/>
          <w:sz w:val="18"/>
          <w:szCs w:val="18"/>
        </w:rPr>
        <w:t>op 14 oktober 1994 te Parijs tot stand gekomen Verdrag van de Verenigde Naties ter bestrijding van woestijnvorming in de landen die te kampen hebben met ernstige droogte en/of woestijnvorming, in het bijzonder in Afrika (</w:t>
      </w:r>
      <w:proofErr w:type="spellStart"/>
      <w:r w:rsidRPr="000D308F" w:rsidR="0071716A">
        <w:rPr>
          <w:rFonts w:ascii="Verdana" w:hAnsi="Verdana"/>
          <w:i/>
          <w:iCs/>
          <w:sz w:val="18"/>
          <w:szCs w:val="18"/>
        </w:rPr>
        <w:t>Trb</w:t>
      </w:r>
      <w:proofErr w:type="spellEnd"/>
      <w:r w:rsidRPr="000D308F" w:rsidR="0071716A">
        <w:rPr>
          <w:rFonts w:ascii="Verdana" w:hAnsi="Verdana"/>
          <w:i/>
          <w:iCs/>
          <w:sz w:val="18"/>
          <w:szCs w:val="18"/>
        </w:rPr>
        <w:t xml:space="preserve">. </w:t>
      </w:r>
      <w:r w:rsidRPr="000D308F" w:rsidR="0071716A">
        <w:rPr>
          <w:rFonts w:ascii="Verdana" w:hAnsi="Verdana"/>
          <w:sz w:val="18"/>
          <w:szCs w:val="18"/>
        </w:rPr>
        <w:t>1995, 41)</w:t>
      </w:r>
      <w:r w:rsidRPr="000D308F">
        <w:rPr>
          <w:rFonts w:ascii="Verdana" w:hAnsi="Verdana"/>
          <w:sz w:val="18"/>
          <w:szCs w:val="18"/>
        </w:rPr>
        <w:t xml:space="preserve"> en het </w:t>
      </w:r>
      <w:r w:rsidRPr="000D308F">
        <w:rPr>
          <w:rFonts w:ascii="Verdana" w:hAnsi="Verdana"/>
          <w:i/>
          <w:sz w:val="18"/>
          <w:szCs w:val="18"/>
        </w:rPr>
        <w:t>Great Green Wall</w:t>
      </w:r>
      <w:r w:rsidRPr="000D308F">
        <w:rPr>
          <w:rFonts w:ascii="Verdana" w:hAnsi="Verdana"/>
          <w:sz w:val="18"/>
          <w:szCs w:val="18"/>
        </w:rPr>
        <w:t>-initiatief</w:t>
      </w:r>
      <w:r w:rsidRPr="000D308F" w:rsidR="008E13EF">
        <w:rPr>
          <w:rFonts w:ascii="Verdana" w:hAnsi="Verdana"/>
          <w:sz w:val="18"/>
          <w:szCs w:val="18"/>
        </w:rPr>
        <w:t>.</w:t>
      </w:r>
      <w:r w:rsidRPr="000D308F" w:rsidDel="00636C7A">
        <w:rPr>
          <w:rFonts w:ascii="Verdana" w:hAnsi="Verdana"/>
          <w:sz w:val="18"/>
          <w:szCs w:val="18"/>
        </w:rPr>
        <w:t xml:space="preserve"> </w:t>
      </w:r>
      <w:r w:rsidRPr="000D308F" w:rsidR="006F4545">
        <w:rPr>
          <w:rFonts w:ascii="Verdana" w:hAnsi="Verdana"/>
          <w:sz w:val="18"/>
          <w:szCs w:val="18"/>
        </w:rPr>
        <w:t>Artikel 53 markeert afspraken over de weerbaarheid ten aanzien van natuurrampen en integrale rampenbeheersing, overeenkomstig het kader van Sendai voor rampen</w:t>
      </w:r>
      <w:r w:rsidRPr="000D308F" w:rsidR="00BE522D">
        <w:rPr>
          <w:rFonts w:ascii="Verdana" w:hAnsi="Verdana"/>
          <w:sz w:val="18"/>
          <w:szCs w:val="18"/>
        </w:rPr>
        <w:t>-</w:t>
      </w:r>
      <w:r w:rsidRPr="000D308F" w:rsidR="006F4545">
        <w:rPr>
          <w:rFonts w:ascii="Verdana" w:hAnsi="Verdana"/>
          <w:sz w:val="18"/>
          <w:szCs w:val="18"/>
        </w:rPr>
        <w:t>risicovermindering 2015-2030</w:t>
      </w:r>
      <w:r w:rsidRPr="000D308F" w:rsidR="00FF3AE9">
        <w:rPr>
          <w:rFonts w:ascii="Verdana" w:hAnsi="Verdana"/>
          <w:sz w:val="18"/>
          <w:szCs w:val="18"/>
        </w:rPr>
        <w:t>.</w:t>
      </w:r>
    </w:p>
    <w:p w:rsidRPr="000D308F" w:rsidR="00E81AC1" w:rsidP="00E81AC1" w:rsidRDefault="00084ED8" w14:paraId="35233E0A" w14:textId="236B8C32">
      <w:pPr>
        <w:rPr>
          <w:rFonts w:ascii="Verdana" w:hAnsi="Verdana"/>
          <w:b/>
          <w:bCs/>
          <w:sz w:val="18"/>
          <w:szCs w:val="18"/>
        </w:rPr>
      </w:pPr>
      <w:r w:rsidRPr="000D308F">
        <w:rPr>
          <w:rFonts w:ascii="Verdana" w:hAnsi="Verdana"/>
          <w:b/>
          <w:bCs/>
          <w:sz w:val="18"/>
          <w:szCs w:val="18"/>
        </w:rPr>
        <w:t>Titel IV – Vrede en veiligheid</w:t>
      </w:r>
      <w:r w:rsidRPr="000D308F" w:rsidR="00E81AC1">
        <w:rPr>
          <w:rFonts w:ascii="Verdana" w:hAnsi="Verdana"/>
          <w:b/>
          <w:bCs/>
          <w:sz w:val="18"/>
          <w:szCs w:val="18"/>
        </w:rPr>
        <w:t xml:space="preserve"> (artikelen 54 t/m </w:t>
      </w:r>
      <w:r w:rsidRPr="000D308F" w:rsidR="00A3559A">
        <w:rPr>
          <w:rFonts w:ascii="Verdana" w:hAnsi="Verdana"/>
          <w:b/>
          <w:bCs/>
          <w:sz w:val="18"/>
          <w:szCs w:val="18"/>
        </w:rPr>
        <w:t>63</w:t>
      </w:r>
      <w:r w:rsidRPr="000D308F" w:rsidR="00E81AC1">
        <w:rPr>
          <w:rFonts w:ascii="Verdana" w:hAnsi="Verdana"/>
          <w:b/>
          <w:bCs/>
          <w:sz w:val="18"/>
          <w:szCs w:val="18"/>
        </w:rPr>
        <w:t>)</w:t>
      </w:r>
    </w:p>
    <w:p w:rsidRPr="000D308F" w:rsidR="00084ED8" w:rsidP="00EC4F1D" w:rsidRDefault="008E13EF" w14:paraId="4915E592" w14:textId="42E5CDF4">
      <w:pPr>
        <w:rPr>
          <w:rFonts w:ascii="Verdana" w:hAnsi="Verdana"/>
          <w:sz w:val="18"/>
          <w:szCs w:val="18"/>
        </w:rPr>
      </w:pPr>
      <w:r w:rsidRPr="000D308F">
        <w:rPr>
          <w:rFonts w:ascii="Verdana" w:hAnsi="Verdana"/>
          <w:sz w:val="18"/>
          <w:szCs w:val="18"/>
        </w:rPr>
        <w:t xml:space="preserve">In Titel IV spreken partijen </w:t>
      </w:r>
      <w:r w:rsidRPr="000D308F" w:rsidR="00FB2EB5">
        <w:rPr>
          <w:rFonts w:ascii="Verdana" w:hAnsi="Verdana"/>
          <w:sz w:val="18"/>
          <w:szCs w:val="18"/>
        </w:rPr>
        <w:t>af</w:t>
      </w:r>
      <w:r w:rsidRPr="000D308F">
        <w:rPr>
          <w:rFonts w:ascii="Verdana" w:hAnsi="Verdana"/>
          <w:sz w:val="18"/>
          <w:szCs w:val="18"/>
        </w:rPr>
        <w:t xml:space="preserve"> de handhaving van vrede en veiligheid in Afrika en Europa de samenwerking op alle niveaus te bevorderen (artikel 54). De bevordering wordt op regionaal en multilateraal niveau bewerkstelligd (artikel 55)</w:t>
      </w:r>
      <w:r w:rsidRPr="000D308F" w:rsidR="00D60494">
        <w:rPr>
          <w:rFonts w:ascii="Verdana" w:hAnsi="Verdana"/>
          <w:sz w:val="18"/>
          <w:szCs w:val="18"/>
        </w:rPr>
        <w:t xml:space="preserve"> en initiatieven en mechanismen ter voorkoming en vreedzame oplossing van conflicten en crises worden ondersteund (artikel 56).</w:t>
      </w:r>
      <w:r w:rsidRPr="000D308F" w:rsidR="00410062">
        <w:rPr>
          <w:rFonts w:ascii="Verdana" w:hAnsi="Verdana"/>
          <w:sz w:val="18"/>
          <w:szCs w:val="18"/>
        </w:rPr>
        <w:t xml:space="preserve"> In artikel 57 spreken de partijen af samen te werken om terrorisme, gewelddadig extremisme en radicalisering te voorkomen en bestrijden. In dat kader werken de partijen samen aan de uitvoering van alle relevante resoluties van de</w:t>
      </w:r>
      <w:r w:rsidRPr="000D308F" w:rsidR="007861FD">
        <w:rPr>
          <w:rFonts w:ascii="Verdana" w:hAnsi="Verdana"/>
          <w:sz w:val="18"/>
          <w:szCs w:val="18"/>
        </w:rPr>
        <w:t xml:space="preserve"> </w:t>
      </w:r>
      <w:r w:rsidRPr="000D308F" w:rsidR="00410062">
        <w:rPr>
          <w:rFonts w:ascii="Verdana" w:hAnsi="Verdana"/>
          <w:sz w:val="18"/>
          <w:szCs w:val="18"/>
        </w:rPr>
        <w:t>Veiligheidsraad</w:t>
      </w:r>
      <w:r w:rsidRPr="000D308F" w:rsidR="007861FD">
        <w:rPr>
          <w:rFonts w:ascii="Verdana" w:hAnsi="Verdana"/>
          <w:sz w:val="18"/>
          <w:szCs w:val="18"/>
        </w:rPr>
        <w:t xml:space="preserve"> van de Verenigde Naties</w:t>
      </w:r>
      <w:r w:rsidRPr="000D308F" w:rsidR="00410062">
        <w:rPr>
          <w:rFonts w:ascii="Verdana" w:hAnsi="Verdana"/>
          <w:sz w:val="18"/>
          <w:szCs w:val="18"/>
        </w:rPr>
        <w:t xml:space="preserve">, de Algemene Vergadering van de </w:t>
      </w:r>
      <w:r w:rsidRPr="000D308F" w:rsidR="007861FD">
        <w:rPr>
          <w:rFonts w:ascii="Verdana" w:hAnsi="Verdana"/>
          <w:sz w:val="18"/>
          <w:szCs w:val="18"/>
        </w:rPr>
        <w:t xml:space="preserve">Verenigde Naties </w:t>
      </w:r>
      <w:r w:rsidRPr="000D308F" w:rsidR="00410062">
        <w:rPr>
          <w:rFonts w:ascii="Verdana" w:hAnsi="Verdana"/>
          <w:sz w:val="18"/>
          <w:szCs w:val="18"/>
        </w:rPr>
        <w:t>en van internationale verdragen en instrumenten.</w:t>
      </w:r>
      <w:r w:rsidRPr="000D308F" w:rsidR="00772F62">
        <w:rPr>
          <w:rFonts w:ascii="Verdana" w:hAnsi="Verdana"/>
          <w:sz w:val="18"/>
          <w:szCs w:val="18"/>
        </w:rPr>
        <w:t xml:space="preserve"> Voorts maken partijen afspraken a) voor de bestrijding van alle vormen van georganiseerde misdaad (artikel 58); b) om wetgeving en maatregelen te ontwikkelen en uit te voeren in het kader van cyberbeveiliging en tegen cybercriminaliteit (artikel 60); c) voor de versteking van een evenwichtige, </w:t>
      </w:r>
      <w:r w:rsidRPr="000D308F" w:rsidR="00CB15E6">
        <w:rPr>
          <w:rFonts w:ascii="Verdana" w:hAnsi="Verdana"/>
          <w:sz w:val="18"/>
          <w:szCs w:val="18"/>
        </w:rPr>
        <w:t>geïntegreerde</w:t>
      </w:r>
      <w:r w:rsidRPr="000D308F" w:rsidR="00772F62">
        <w:rPr>
          <w:rFonts w:ascii="Verdana" w:hAnsi="Verdana"/>
          <w:sz w:val="18"/>
          <w:szCs w:val="18"/>
        </w:rPr>
        <w:t xml:space="preserve"> en empirisch onderbouwde aanpak van hun drugsbeleid</w:t>
      </w:r>
      <w:r w:rsidRPr="000D308F" w:rsidR="006576A9">
        <w:rPr>
          <w:rFonts w:ascii="Verdana" w:hAnsi="Verdana"/>
          <w:sz w:val="18"/>
          <w:szCs w:val="18"/>
        </w:rPr>
        <w:t xml:space="preserve"> (artikel 61)</w:t>
      </w:r>
      <w:r w:rsidRPr="000D308F" w:rsidR="00772F62">
        <w:rPr>
          <w:rFonts w:ascii="Verdana" w:hAnsi="Verdana"/>
          <w:sz w:val="18"/>
          <w:szCs w:val="18"/>
        </w:rPr>
        <w:t>; d) op alle niveaus initiatieven te ontplooien ter bevordering van maritieme veiligheid</w:t>
      </w:r>
      <w:r w:rsidRPr="000D308F" w:rsidR="006576A9">
        <w:rPr>
          <w:rFonts w:ascii="Verdana" w:hAnsi="Verdana"/>
          <w:sz w:val="18"/>
          <w:szCs w:val="18"/>
        </w:rPr>
        <w:t xml:space="preserve"> (artikel 62)</w:t>
      </w:r>
      <w:r w:rsidRPr="000D308F" w:rsidR="00772F62">
        <w:rPr>
          <w:rFonts w:ascii="Verdana" w:hAnsi="Verdana"/>
          <w:sz w:val="18"/>
          <w:szCs w:val="18"/>
        </w:rPr>
        <w:t xml:space="preserve">; </w:t>
      </w:r>
      <w:r w:rsidRPr="000D308F" w:rsidR="004973BB">
        <w:rPr>
          <w:rFonts w:ascii="Verdana" w:hAnsi="Verdana"/>
          <w:sz w:val="18"/>
          <w:szCs w:val="18"/>
        </w:rPr>
        <w:t xml:space="preserve">en </w:t>
      </w:r>
      <w:r w:rsidRPr="000D308F" w:rsidR="00772F62">
        <w:rPr>
          <w:rFonts w:ascii="Verdana" w:hAnsi="Verdana"/>
          <w:sz w:val="18"/>
          <w:szCs w:val="18"/>
        </w:rPr>
        <w:t>e) samenwerking te versterken inzake rechtshandhaving</w:t>
      </w:r>
      <w:r w:rsidRPr="000D308F" w:rsidR="006576A9">
        <w:rPr>
          <w:rFonts w:ascii="Verdana" w:hAnsi="Verdana"/>
          <w:sz w:val="18"/>
          <w:szCs w:val="18"/>
        </w:rPr>
        <w:t xml:space="preserve"> (artikel 63)</w:t>
      </w:r>
      <w:r w:rsidRPr="000D308F" w:rsidR="00772F62">
        <w:rPr>
          <w:rFonts w:ascii="Verdana" w:hAnsi="Verdana"/>
          <w:sz w:val="18"/>
          <w:szCs w:val="18"/>
        </w:rPr>
        <w:t xml:space="preserve">. </w:t>
      </w:r>
    </w:p>
    <w:p w:rsidRPr="000D308F" w:rsidR="00084ED8" w:rsidP="00EC4F1D" w:rsidRDefault="00084ED8" w14:paraId="7B108686" w14:textId="04F348B3">
      <w:pPr>
        <w:rPr>
          <w:rFonts w:ascii="Verdana" w:hAnsi="Verdana"/>
          <w:b/>
          <w:bCs/>
          <w:sz w:val="18"/>
          <w:szCs w:val="18"/>
        </w:rPr>
      </w:pPr>
      <w:r w:rsidRPr="000D308F">
        <w:rPr>
          <w:rFonts w:ascii="Verdana" w:hAnsi="Verdana"/>
          <w:b/>
          <w:bCs/>
          <w:sz w:val="18"/>
          <w:szCs w:val="18"/>
        </w:rPr>
        <w:t>Titel V – Mensenrechten, democratie en goed bestuur</w:t>
      </w:r>
      <w:r w:rsidRPr="000D308F" w:rsidR="00A3559A">
        <w:rPr>
          <w:rFonts w:ascii="Verdana" w:hAnsi="Verdana"/>
          <w:b/>
          <w:bCs/>
          <w:sz w:val="18"/>
          <w:szCs w:val="18"/>
        </w:rPr>
        <w:t xml:space="preserve"> (artikelen 64 t/m 72)</w:t>
      </w:r>
    </w:p>
    <w:p w:rsidRPr="000D308F" w:rsidR="00084ED8" w:rsidP="00EC4F1D" w:rsidRDefault="00CB15E6" w14:paraId="32ECE481" w14:textId="372904E6">
      <w:pPr>
        <w:rPr>
          <w:rFonts w:ascii="Verdana" w:hAnsi="Verdana"/>
          <w:sz w:val="18"/>
          <w:szCs w:val="18"/>
        </w:rPr>
      </w:pPr>
      <w:r w:rsidRPr="000D308F">
        <w:rPr>
          <w:rFonts w:ascii="Verdana" w:hAnsi="Verdana"/>
          <w:sz w:val="18"/>
          <w:szCs w:val="18"/>
        </w:rPr>
        <w:t>In Titel V maken partijen afspraken aangaande mensenrechten, democratie en goed bestuur</w:t>
      </w:r>
      <w:r w:rsidRPr="000D308F" w:rsidR="000E1972">
        <w:rPr>
          <w:rFonts w:ascii="Verdana" w:hAnsi="Verdana"/>
          <w:sz w:val="18"/>
          <w:szCs w:val="18"/>
        </w:rPr>
        <w:t xml:space="preserve"> (artikel 64)</w:t>
      </w:r>
      <w:r w:rsidRPr="000D308F">
        <w:rPr>
          <w:rFonts w:ascii="Verdana" w:hAnsi="Verdana"/>
          <w:sz w:val="18"/>
          <w:szCs w:val="18"/>
        </w:rPr>
        <w:t>.</w:t>
      </w:r>
      <w:r w:rsidRPr="000D308F" w:rsidR="000E1972">
        <w:rPr>
          <w:rFonts w:ascii="Verdana" w:hAnsi="Verdana"/>
          <w:sz w:val="18"/>
          <w:szCs w:val="18"/>
        </w:rPr>
        <w:t xml:space="preserve"> In a</w:t>
      </w:r>
      <w:r w:rsidRPr="000D308F">
        <w:rPr>
          <w:rFonts w:ascii="Verdana" w:hAnsi="Verdana"/>
          <w:sz w:val="18"/>
          <w:szCs w:val="18"/>
        </w:rPr>
        <w:t xml:space="preserve">rtikel </w:t>
      </w:r>
      <w:r w:rsidRPr="000D308F" w:rsidR="000E1972">
        <w:rPr>
          <w:rFonts w:ascii="Verdana" w:hAnsi="Verdana"/>
          <w:sz w:val="18"/>
          <w:szCs w:val="18"/>
        </w:rPr>
        <w:t xml:space="preserve">65 committeren partijen zich eraan zorg te dragen voor de vaststelling en uitvoering van wetgeving die bijdraagt tot de bescherming, bevordering en verwezenlijking van mensenrechten. Artikel 66 waarborgt de gelijkheid voor de wet en gelijke toegang tot de rechter, met bescherming en ten bate van iedereen. In dat kader zorgen partijen ervoor dat het genderperspectief systematisch wordt geïntegreerd in alle beleidsdomeinen en programma’s ten einde de volwaardige participatie en rechten van vrouwen en meisjes te bewerkstelligen. In </w:t>
      </w:r>
      <w:r w:rsidRPr="000D308F" w:rsidR="00F64052">
        <w:rPr>
          <w:rFonts w:ascii="Verdana" w:hAnsi="Verdana"/>
          <w:sz w:val="18"/>
          <w:szCs w:val="18"/>
        </w:rPr>
        <w:t>a</w:t>
      </w:r>
      <w:r w:rsidRPr="000D308F" w:rsidR="000E1972">
        <w:rPr>
          <w:rFonts w:ascii="Verdana" w:hAnsi="Verdana"/>
          <w:sz w:val="18"/>
          <w:szCs w:val="18"/>
        </w:rPr>
        <w:t>rtikel 67 spreken partijen af de universele waarden en beginselen van de democratie te bevorderen en versterken. Daartoe spreken partijen af samen te werken bij de consolidering van de rechtsstaat</w:t>
      </w:r>
      <w:r w:rsidRPr="000D308F" w:rsidR="0052126E">
        <w:rPr>
          <w:rFonts w:ascii="Verdana" w:hAnsi="Verdana"/>
          <w:sz w:val="18"/>
          <w:szCs w:val="18"/>
        </w:rPr>
        <w:t xml:space="preserve"> en</w:t>
      </w:r>
      <w:r w:rsidRPr="000D308F" w:rsidR="000E1972">
        <w:rPr>
          <w:rFonts w:ascii="Verdana" w:hAnsi="Verdana"/>
          <w:sz w:val="18"/>
          <w:szCs w:val="18"/>
        </w:rPr>
        <w:t xml:space="preserve"> de versterking van instellingen op alle niveaus op het gebied van rechtsbedeling</w:t>
      </w:r>
      <w:r w:rsidRPr="000D308F" w:rsidR="0052126E">
        <w:rPr>
          <w:rFonts w:ascii="Verdana" w:hAnsi="Verdana"/>
          <w:sz w:val="18"/>
          <w:szCs w:val="18"/>
        </w:rPr>
        <w:t xml:space="preserve"> (artikel 68) en inspanningen om goed bestuur te consolideren te ondersteunen (artikel 69)</w:t>
      </w:r>
      <w:r w:rsidRPr="000D308F" w:rsidR="000E1972">
        <w:rPr>
          <w:rFonts w:ascii="Verdana" w:hAnsi="Verdana"/>
          <w:sz w:val="18"/>
          <w:szCs w:val="18"/>
        </w:rPr>
        <w:t xml:space="preserve">. </w:t>
      </w:r>
    </w:p>
    <w:p w:rsidRPr="000D308F" w:rsidR="0052126E" w:rsidP="00EC4F1D" w:rsidRDefault="0052126E" w14:paraId="15AECAFF" w14:textId="051ADBC4">
      <w:pPr>
        <w:rPr>
          <w:rFonts w:ascii="Verdana" w:hAnsi="Verdana"/>
          <w:sz w:val="18"/>
          <w:szCs w:val="18"/>
        </w:rPr>
      </w:pPr>
      <w:r w:rsidRPr="000D308F">
        <w:rPr>
          <w:rFonts w:ascii="Verdana" w:hAnsi="Verdana"/>
          <w:sz w:val="18"/>
          <w:szCs w:val="18"/>
        </w:rPr>
        <w:lastRenderedPageBreak/>
        <w:t>Voorts werken partijen aan capaciteitsopbouw bij overheidsdiensten voor het ontwerpen en uitvoeren van beleid, de verlening van onpartijdige openbare dienstverlening en het promoten van het Afrikaans Handvest inzake statistiek. Daarbij waarborgen partijen een hoog niveau van bescherming</w:t>
      </w:r>
      <w:r w:rsidRPr="000D308F" w:rsidR="00422AB0">
        <w:rPr>
          <w:rFonts w:ascii="Verdana" w:hAnsi="Verdana"/>
          <w:sz w:val="18"/>
          <w:szCs w:val="18"/>
        </w:rPr>
        <w:t xml:space="preserve"> van persoonsgegevens</w:t>
      </w:r>
      <w:r w:rsidRPr="000D308F">
        <w:rPr>
          <w:rFonts w:ascii="Verdana" w:hAnsi="Verdana"/>
          <w:sz w:val="18"/>
          <w:szCs w:val="18"/>
        </w:rPr>
        <w:t xml:space="preserve"> (artikel 70).</w:t>
      </w:r>
      <w:r w:rsidRPr="000D308F" w:rsidR="00422AB0">
        <w:rPr>
          <w:rFonts w:ascii="Verdana" w:hAnsi="Verdana"/>
          <w:sz w:val="18"/>
          <w:szCs w:val="18"/>
        </w:rPr>
        <w:t xml:space="preserve"> In artikel 71 maken partijen afspraken omtrent corruptiebestrijding via de uitvoering en bevordering van relevante internationale normen en instrumenten, waaronder het</w:t>
      </w:r>
      <w:r w:rsidRPr="000D308F" w:rsidR="0071716A">
        <w:rPr>
          <w:rFonts w:ascii="Verdana" w:hAnsi="Verdana"/>
          <w:sz w:val="18"/>
          <w:szCs w:val="18"/>
        </w:rPr>
        <w:t xml:space="preserve"> op 31 oktober 2003 te New York tot stand gekomen Verdrag van de Verenigde Naties tegen </w:t>
      </w:r>
      <w:r w:rsidRPr="000D308F" w:rsidDel="0071716A" w:rsidR="00422AB0">
        <w:rPr>
          <w:rFonts w:ascii="Verdana" w:hAnsi="Verdana"/>
          <w:sz w:val="18"/>
          <w:szCs w:val="18"/>
        </w:rPr>
        <w:t>corruptie</w:t>
      </w:r>
      <w:r w:rsidRPr="000D308F" w:rsidR="00422AB0">
        <w:rPr>
          <w:rFonts w:ascii="Verdana" w:hAnsi="Verdana"/>
          <w:sz w:val="18"/>
          <w:szCs w:val="18"/>
        </w:rPr>
        <w:t>. Tot slot spreken partijen in artikel 72 af goed financieel bestuur te bevorderen.</w:t>
      </w:r>
    </w:p>
    <w:p w:rsidRPr="000D308F" w:rsidR="00084ED8" w:rsidP="00EC4F1D" w:rsidRDefault="00084ED8" w14:paraId="579739CF" w14:textId="73D0C5F8">
      <w:pPr>
        <w:rPr>
          <w:rFonts w:ascii="Verdana" w:hAnsi="Verdana"/>
          <w:b/>
          <w:bCs/>
          <w:sz w:val="18"/>
          <w:szCs w:val="18"/>
        </w:rPr>
      </w:pPr>
      <w:r w:rsidRPr="000D308F">
        <w:rPr>
          <w:rFonts w:ascii="Verdana" w:hAnsi="Verdana"/>
          <w:b/>
          <w:bCs/>
          <w:sz w:val="18"/>
          <w:szCs w:val="18"/>
        </w:rPr>
        <w:t xml:space="preserve">Titel VI – Migratie en mobiliteit </w:t>
      </w:r>
      <w:r w:rsidRPr="000D308F" w:rsidR="00A3559A">
        <w:rPr>
          <w:rFonts w:ascii="Verdana" w:hAnsi="Verdana"/>
          <w:b/>
          <w:bCs/>
          <w:sz w:val="18"/>
          <w:szCs w:val="18"/>
        </w:rPr>
        <w:t>(artikelen 73 t/m 79)</w:t>
      </w:r>
    </w:p>
    <w:p w:rsidRPr="000D308F" w:rsidR="00084ED8" w:rsidP="00EC4F1D" w:rsidRDefault="00400FC6" w14:paraId="193B3B30" w14:textId="726DA4AC">
      <w:pPr>
        <w:rPr>
          <w:rFonts w:ascii="Verdana" w:hAnsi="Verdana"/>
          <w:sz w:val="18"/>
          <w:szCs w:val="18"/>
        </w:rPr>
      </w:pPr>
      <w:r w:rsidRPr="000D308F">
        <w:rPr>
          <w:rFonts w:ascii="Verdana" w:hAnsi="Verdana"/>
          <w:sz w:val="18"/>
          <w:szCs w:val="18"/>
        </w:rPr>
        <w:t xml:space="preserve">Titel VI omvat afspraken over migratie en </w:t>
      </w:r>
      <w:r w:rsidRPr="000D308F" w:rsidR="0071716A">
        <w:rPr>
          <w:rFonts w:ascii="Verdana" w:hAnsi="Verdana"/>
          <w:sz w:val="18"/>
          <w:szCs w:val="18"/>
        </w:rPr>
        <w:t>mobiliteit</w:t>
      </w:r>
      <w:r w:rsidRPr="000D308F">
        <w:rPr>
          <w:rFonts w:ascii="Verdana" w:hAnsi="Verdana"/>
          <w:sz w:val="18"/>
          <w:szCs w:val="18"/>
        </w:rPr>
        <w:t xml:space="preserve">. Partijen kiezen ervoor samen te werken aan een brede en evenwichtige aanpak van migratie met erkenning van de verwevenheid van Afrikaanse en Europese belangen inzake migratie (artikel 73). Artikel 74 markeert, in het kader van legale migratie en mobiliteit, het streven naar de overdracht en uitwisseling van kennis te verbeteren en bezoeken voor zakelijke en investeringsdoelen te vergemakkelijken. Ook wordt het belang van intra-Afrikaanse mobiliteit door de partijen erkend en afgesproken </w:t>
      </w:r>
      <w:r w:rsidRPr="000D308F" w:rsidR="0073453C">
        <w:rPr>
          <w:rFonts w:ascii="Verdana" w:hAnsi="Verdana"/>
          <w:sz w:val="18"/>
          <w:szCs w:val="18"/>
        </w:rPr>
        <w:t>intra-Afrikaanse</w:t>
      </w:r>
      <w:r w:rsidRPr="000D308F">
        <w:rPr>
          <w:rFonts w:ascii="Verdana" w:hAnsi="Verdana"/>
          <w:sz w:val="18"/>
          <w:szCs w:val="18"/>
        </w:rPr>
        <w:t xml:space="preserve"> samenwerking daarop</w:t>
      </w:r>
      <w:r w:rsidRPr="000D308F" w:rsidR="0073453C">
        <w:rPr>
          <w:rFonts w:ascii="Verdana" w:hAnsi="Verdana"/>
          <w:sz w:val="18"/>
          <w:szCs w:val="18"/>
        </w:rPr>
        <w:t xml:space="preserve"> verder te ondersteunen</w:t>
      </w:r>
      <w:r w:rsidRPr="000D308F">
        <w:rPr>
          <w:rFonts w:ascii="Verdana" w:hAnsi="Verdana"/>
          <w:sz w:val="18"/>
          <w:szCs w:val="18"/>
        </w:rPr>
        <w:t xml:space="preserve"> (artikel 75)</w:t>
      </w:r>
      <w:r w:rsidRPr="000D308F" w:rsidR="0073453C">
        <w:rPr>
          <w:rFonts w:ascii="Verdana" w:hAnsi="Verdana"/>
          <w:sz w:val="18"/>
          <w:szCs w:val="18"/>
        </w:rPr>
        <w:t>. In artikel 76 spreken de partijen samen te werken voor de stimulering en ondersteuning van betrokkenheid van de diaspora door hun investeringen en bedrijfsactiviteiten te bevorderen als middel om lokale ontwikkeling en ondernemerschap in landen van herkomst. Tot slot maken partijen afspraken over a) irreguliere migratie, mensensmokkel en mensenhandel (artikel 77); b) terugkeer, overname en re-integratie (artikel 78); en c) bescherming en asiel (artikel 79).</w:t>
      </w:r>
    </w:p>
    <w:p w:rsidRPr="000D308F" w:rsidR="00274541" w:rsidP="00EC4F1D" w:rsidRDefault="00274541" w14:paraId="644EB218" w14:textId="77777777">
      <w:pPr>
        <w:rPr>
          <w:rFonts w:ascii="Verdana" w:hAnsi="Verdana"/>
          <w:b/>
          <w:bCs/>
          <w:i/>
          <w:iCs/>
          <w:sz w:val="18"/>
          <w:szCs w:val="18"/>
        </w:rPr>
      </w:pPr>
      <w:bookmarkStart w:name="_Hlk179535059" w:id="4"/>
      <w:r w:rsidRPr="000D308F">
        <w:rPr>
          <w:rFonts w:ascii="Verdana" w:hAnsi="Verdana"/>
          <w:b/>
          <w:bCs/>
          <w:i/>
          <w:iCs/>
          <w:sz w:val="18"/>
          <w:szCs w:val="18"/>
        </w:rPr>
        <w:t xml:space="preserve">Het Regionaal Protocol Caribisch Gebied </w:t>
      </w:r>
    </w:p>
    <w:p w:rsidRPr="000D308F" w:rsidR="0023236D" w:rsidP="0023236D" w:rsidRDefault="0023236D" w14:paraId="7F468D2B" w14:textId="26B3E9A5">
      <w:pPr>
        <w:rPr>
          <w:rFonts w:ascii="Verdana" w:hAnsi="Verdana"/>
          <w:sz w:val="18"/>
          <w:szCs w:val="18"/>
          <w:u w:val="single"/>
        </w:rPr>
      </w:pPr>
      <w:r w:rsidRPr="000D308F">
        <w:rPr>
          <w:rFonts w:ascii="Verdana" w:hAnsi="Verdana"/>
          <w:sz w:val="18"/>
          <w:szCs w:val="18"/>
          <w:u w:val="single"/>
        </w:rPr>
        <w:t xml:space="preserve">Hoofdstuk 1 – </w:t>
      </w:r>
      <w:r w:rsidRPr="000D308F" w:rsidR="0011520E">
        <w:rPr>
          <w:rFonts w:ascii="Verdana" w:hAnsi="Verdana"/>
          <w:sz w:val="18"/>
          <w:szCs w:val="18"/>
          <w:u w:val="single"/>
        </w:rPr>
        <w:t xml:space="preserve">Aard </w:t>
      </w:r>
      <w:r w:rsidRPr="000D308F">
        <w:rPr>
          <w:rFonts w:ascii="Verdana" w:hAnsi="Verdana"/>
          <w:sz w:val="18"/>
          <w:szCs w:val="18"/>
          <w:u w:val="single"/>
        </w:rPr>
        <w:t xml:space="preserve">en toepassingsgebied </w:t>
      </w:r>
      <w:r w:rsidRPr="000D308F">
        <w:rPr>
          <w:rFonts w:ascii="Verdana" w:hAnsi="Verdana"/>
          <w:sz w:val="18"/>
          <w:szCs w:val="18"/>
          <w:u w:val="single"/>
        </w:rPr>
        <w:br/>
      </w:r>
      <w:r w:rsidRPr="000D308F">
        <w:rPr>
          <w:rFonts w:ascii="Verdana" w:hAnsi="Verdana"/>
          <w:sz w:val="18"/>
          <w:szCs w:val="18"/>
          <w:u w:val="single"/>
        </w:rPr>
        <w:br/>
      </w:r>
      <w:r w:rsidRPr="000D308F">
        <w:rPr>
          <w:rFonts w:ascii="Verdana" w:hAnsi="Verdana"/>
          <w:sz w:val="18"/>
          <w:szCs w:val="18"/>
        </w:rPr>
        <w:t>Artikel 1 stipuleert dat in dit regionaal protocol onder</w:t>
      </w:r>
      <w:r w:rsidRPr="000D308F" w:rsidDel="00636C7A">
        <w:rPr>
          <w:rFonts w:ascii="Verdana" w:hAnsi="Verdana"/>
          <w:sz w:val="18"/>
          <w:szCs w:val="18"/>
        </w:rPr>
        <w:t xml:space="preserve"> </w:t>
      </w:r>
      <w:r w:rsidRPr="000D308F">
        <w:rPr>
          <w:rFonts w:ascii="Verdana" w:hAnsi="Verdana"/>
          <w:sz w:val="18"/>
          <w:szCs w:val="18"/>
        </w:rPr>
        <w:t xml:space="preserve">“partijen” de gebonden partijen conform artikel 6 van het algemene deel wordt verstaan met bijbehorende verantwoordelijkheden op nationaal, regionaal en internationaal niveau. De partijen zijn overeengekomen dat dit </w:t>
      </w:r>
      <w:r w:rsidRPr="000D308F" w:rsidR="0011520E">
        <w:rPr>
          <w:rFonts w:ascii="Verdana" w:hAnsi="Verdana"/>
          <w:sz w:val="18"/>
          <w:szCs w:val="18"/>
        </w:rPr>
        <w:t xml:space="preserve">protocol </w:t>
      </w:r>
      <w:r w:rsidRPr="000D308F">
        <w:rPr>
          <w:rFonts w:ascii="Verdana" w:hAnsi="Verdana"/>
          <w:sz w:val="18"/>
          <w:szCs w:val="18"/>
        </w:rPr>
        <w:t xml:space="preserve">in aanvulling op het algemene deel wordt uitgevoerd op basis van de beginselen van wederzijds respect en verantwoordingsplicht, gelijkheid en gedeelde verantwoordelijkheid. In artikel 2 </w:t>
      </w:r>
      <w:r w:rsidRPr="000D308F" w:rsidR="00381D21">
        <w:rPr>
          <w:rFonts w:ascii="Verdana" w:hAnsi="Verdana"/>
          <w:sz w:val="18"/>
          <w:szCs w:val="18"/>
        </w:rPr>
        <w:t xml:space="preserve">worden de strategische prioriteiten </w:t>
      </w:r>
      <w:r w:rsidRPr="000D308F" w:rsidR="007375C7">
        <w:rPr>
          <w:rFonts w:ascii="Verdana" w:hAnsi="Verdana"/>
          <w:sz w:val="18"/>
          <w:szCs w:val="18"/>
        </w:rPr>
        <w:t xml:space="preserve">van het </w:t>
      </w:r>
      <w:r w:rsidRPr="000D308F" w:rsidR="00881FCE">
        <w:rPr>
          <w:rFonts w:ascii="Verdana" w:hAnsi="Verdana"/>
          <w:sz w:val="18"/>
          <w:szCs w:val="18"/>
        </w:rPr>
        <w:t xml:space="preserve">protocol </w:t>
      </w:r>
      <w:r w:rsidRPr="000D308F" w:rsidR="007375C7">
        <w:rPr>
          <w:rFonts w:ascii="Verdana" w:hAnsi="Verdana"/>
          <w:sz w:val="18"/>
          <w:szCs w:val="18"/>
        </w:rPr>
        <w:t xml:space="preserve">uiteengezet. Daarbij besteden de partijen </w:t>
      </w:r>
      <w:r w:rsidRPr="000D308F" w:rsidDel="00381D21">
        <w:rPr>
          <w:rFonts w:ascii="Verdana" w:hAnsi="Verdana"/>
          <w:sz w:val="18"/>
          <w:szCs w:val="18"/>
        </w:rPr>
        <w:t>bijzondere</w:t>
      </w:r>
      <w:r w:rsidRPr="000D308F">
        <w:rPr>
          <w:rFonts w:ascii="Verdana" w:hAnsi="Verdana"/>
          <w:sz w:val="18"/>
          <w:szCs w:val="18"/>
        </w:rPr>
        <w:t xml:space="preserve"> aandacht aan Haïti, </w:t>
      </w:r>
      <w:r w:rsidRPr="000D308F" w:rsidDel="009075E1">
        <w:rPr>
          <w:rFonts w:ascii="Verdana" w:hAnsi="Verdana"/>
          <w:sz w:val="18"/>
          <w:szCs w:val="18"/>
        </w:rPr>
        <w:t>om de structurele zwakheden van het land aan te pakken en tegelijkertijd de consolidatie van zijn instellingen te ondersteunen, het bestuur te verbeteren en armoede en sociale ongelijkheid</w:t>
      </w:r>
      <w:r w:rsidRPr="000D308F" w:rsidR="0011520E">
        <w:rPr>
          <w:rFonts w:ascii="Verdana" w:hAnsi="Verdana"/>
          <w:sz w:val="18"/>
          <w:szCs w:val="18"/>
        </w:rPr>
        <w:t xml:space="preserve"> aldaar</w:t>
      </w:r>
      <w:r w:rsidRPr="000D308F" w:rsidDel="009075E1">
        <w:rPr>
          <w:rFonts w:ascii="Verdana" w:hAnsi="Verdana"/>
          <w:sz w:val="18"/>
          <w:szCs w:val="18"/>
        </w:rPr>
        <w:t xml:space="preserve"> terug te dringen</w:t>
      </w:r>
      <w:r w:rsidRPr="000D308F">
        <w:rPr>
          <w:rFonts w:ascii="Verdana" w:hAnsi="Verdana"/>
          <w:sz w:val="18"/>
          <w:szCs w:val="18"/>
        </w:rPr>
        <w:t xml:space="preserve">. In artikel 3 bevestigen de </w:t>
      </w:r>
      <w:r w:rsidRPr="000D308F" w:rsidR="00867C80">
        <w:rPr>
          <w:rFonts w:ascii="Verdana" w:hAnsi="Verdana"/>
          <w:sz w:val="18"/>
          <w:szCs w:val="18"/>
        </w:rPr>
        <w:t>p</w:t>
      </w:r>
      <w:r w:rsidRPr="000D308F">
        <w:rPr>
          <w:rFonts w:ascii="Verdana" w:hAnsi="Verdana"/>
          <w:sz w:val="18"/>
          <w:szCs w:val="18"/>
        </w:rPr>
        <w:t xml:space="preserve">artijen opnieuw hun gehechtheid aan multilateralisme. In artikel 4 komen de </w:t>
      </w:r>
      <w:r w:rsidRPr="000D308F" w:rsidR="00867C80">
        <w:rPr>
          <w:rFonts w:ascii="Verdana" w:hAnsi="Verdana"/>
          <w:sz w:val="18"/>
          <w:szCs w:val="18"/>
        </w:rPr>
        <w:t>p</w:t>
      </w:r>
      <w:r w:rsidRPr="000D308F">
        <w:rPr>
          <w:rFonts w:ascii="Verdana" w:hAnsi="Verdana"/>
          <w:sz w:val="18"/>
          <w:szCs w:val="18"/>
        </w:rPr>
        <w:t xml:space="preserve">artijen overeen dat zij de regionale integratie en samenwerking in het Caribisch gebied </w:t>
      </w:r>
      <w:r w:rsidRPr="000D308F" w:rsidR="007375C7">
        <w:rPr>
          <w:rFonts w:ascii="Verdana" w:hAnsi="Verdana"/>
          <w:sz w:val="18"/>
          <w:szCs w:val="18"/>
        </w:rPr>
        <w:t xml:space="preserve">zullen </w:t>
      </w:r>
      <w:r w:rsidRPr="000D308F">
        <w:rPr>
          <w:rFonts w:ascii="Verdana" w:hAnsi="Verdana"/>
          <w:sz w:val="18"/>
          <w:szCs w:val="18"/>
        </w:rPr>
        <w:t xml:space="preserve">bevorderen. </w:t>
      </w:r>
    </w:p>
    <w:p w:rsidRPr="000D308F" w:rsidR="0023236D" w:rsidP="0023236D" w:rsidRDefault="0023236D" w14:paraId="50A2B96F" w14:textId="5F17375B">
      <w:pPr>
        <w:rPr>
          <w:rFonts w:ascii="Verdana" w:hAnsi="Verdana"/>
          <w:b/>
          <w:bCs/>
          <w:sz w:val="18"/>
          <w:szCs w:val="18"/>
        </w:rPr>
      </w:pPr>
      <w:r w:rsidRPr="000D308F">
        <w:rPr>
          <w:rFonts w:ascii="Verdana" w:hAnsi="Verdana"/>
          <w:sz w:val="18"/>
          <w:szCs w:val="18"/>
          <w:u w:val="single"/>
        </w:rPr>
        <w:t xml:space="preserve">Hoofdstuk 2 – </w:t>
      </w:r>
      <w:r w:rsidRPr="000D308F" w:rsidR="0011520E">
        <w:rPr>
          <w:rFonts w:ascii="Verdana" w:hAnsi="Verdana"/>
          <w:sz w:val="18"/>
          <w:szCs w:val="18"/>
          <w:u w:val="single"/>
        </w:rPr>
        <w:t xml:space="preserve">Actoren </w:t>
      </w:r>
      <w:r w:rsidRPr="000D308F">
        <w:rPr>
          <w:rFonts w:ascii="Verdana" w:hAnsi="Verdana"/>
          <w:sz w:val="18"/>
          <w:szCs w:val="18"/>
          <w:u w:val="single"/>
        </w:rPr>
        <w:t xml:space="preserve">en processen </w:t>
      </w:r>
    </w:p>
    <w:p w:rsidRPr="000D308F" w:rsidR="0023236D" w:rsidP="0023236D" w:rsidRDefault="0023236D" w14:paraId="0DB0B942" w14:textId="39F9EDFC">
      <w:pPr>
        <w:rPr>
          <w:rFonts w:ascii="Verdana" w:hAnsi="Verdana"/>
          <w:b/>
          <w:bCs/>
          <w:sz w:val="18"/>
          <w:szCs w:val="18"/>
        </w:rPr>
      </w:pPr>
      <w:r w:rsidRPr="000D308F">
        <w:rPr>
          <w:rFonts w:ascii="Verdana" w:hAnsi="Verdana"/>
          <w:sz w:val="18"/>
          <w:szCs w:val="18"/>
        </w:rPr>
        <w:t xml:space="preserve">Artikel 5 omschrijft de bij dit </w:t>
      </w:r>
      <w:r w:rsidRPr="000D308F" w:rsidR="00881FCE">
        <w:rPr>
          <w:rFonts w:ascii="Verdana" w:hAnsi="Verdana"/>
          <w:sz w:val="18"/>
          <w:szCs w:val="18"/>
        </w:rPr>
        <w:t xml:space="preserve">protocol </w:t>
      </w:r>
      <w:r w:rsidRPr="000D308F">
        <w:rPr>
          <w:rFonts w:ascii="Verdana" w:hAnsi="Verdana"/>
          <w:sz w:val="18"/>
          <w:szCs w:val="18"/>
        </w:rPr>
        <w:t xml:space="preserve">opgerichte instellingen. Deze zijn </w:t>
      </w:r>
      <w:r w:rsidRPr="000D308F" w:rsidR="00342112">
        <w:rPr>
          <w:rFonts w:ascii="Verdana" w:hAnsi="Verdana"/>
          <w:sz w:val="18"/>
          <w:szCs w:val="18"/>
        </w:rPr>
        <w:t>achtereenvolgens</w:t>
      </w:r>
      <w:r w:rsidRPr="000D308F">
        <w:rPr>
          <w:rFonts w:ascii="Verdana" w:hAnsi="Verdana"/>
          <w:sz w:val="18"/>
          <w:szCs w:val="18"/>
        </w:rPr>
        <w:t xml:space="preserve"> de Raad van Ministers Caribisch gebied–EU</w:t>
      </w:r>
      <w:r w:rsidRPr="000D308F" w:rsidR="00342112">
        <w:rPr>
          <w:rFonts w:ascii="Verdana" w:hAnsi="Verdana"/>
          <w:sz w:val="18"/>
          <w:szCs w:val="18"/>
        </w:rPr>
        <w:t>,</w:t>
      </w:r>
      <w:r w:rsidRPr="000D308F">
        <w:rPr>
          <w:rFonts w:ascii="Verdana" w:hAnsi="Verdana"/>
          <w:sz w:val="18"/>
          <w:szCs w:val="18"/>
        </w:rPr>
        <w:t xml:space="preserve"> het Gemengd Comité Caribisch gebied–EU</w:t>
      </w:r>
      <w:r w:rsidRPr="000D308F" w:rsidR="00342112">
        <w:rPr>
          <w:rFonts w:ascii="Verdana" w:hAnsi="Verdana"/>
          <w:sz w:val="18"/>
          <w:szCs w:val="18"/>
        </w:rPr>
        <w:t>,</w:t>
      </w:r>
      <w:r w:rsidRPr="000D308F">
        <w:rPr>
          <w:rFonts w:ascii="Verdana" w:hAnsi="Verdana"/>
          <w:sz w:val="18"/>
          <w:szCs w:val="18"/>
        </w:rPr>
        <w:t xml:space="preserve"> </w:t>
      </w:r>
      <w:r w:rsidRPr="000D308F" w:rsidR="00342112">
        <w:rPr>
          <w:rFonts w:ascii="Verdana" w:hAnsi="Verdana"/>
          <w:sz w:val="18"/>
          <w:szCs w:val="18"/>
        </w:rPr>
        <w:t>en</w:t>
      </w:r>
      <w:r w:rsidRPr="000D308F">
        <w:rPr>
          <w:rFonts w:ascii="Verdana" w:hAnsi="Verdana"/>
          <w:sz w:val="18"/>
          <w:szCs w:val="18"/>
        </w:rPr>
        <w:t xml:space="preserve"> de Parlementaire Vergadering Caribisch gebied-EU. De</w:t>
      </w:r>
      <w:r w:rsidRPr="000D308F" w:rsidR="00867C80">
        <w:rPr>
          <w:rFonts w:ascii="Verdana" w:hAnsi="Verdana"/>
          <w:sz w:val="18"/>
          <w:szCs w:val="18"/>
        </w:rPr>
        <w:t xml:space="preserve"> p</w:t>
      </w:r>
      <w:r w:rsidRPr="000D308F">
        <w:rPr>
          <w:rFonts w:ascii="Verdana" w:hAnsi="Verdana"/>
          <w:sz w:val="18"/>
          <w:szCs w:val="18"/>
        </w:rPr>
        <w:t xml:space="preserve">artijen kunnen daarnaast besluiten </w:t>
      </w:r>
      <w:r w:rsidRPr="000D308F" w:rsidR="00342112">
        <w:rPr>
          <w:rFonts w:ascii="Verdana" w:hAnsi="Verdana"/>
          <w:sz w:val="18"/>
          <w:szCs w:val="18"/>
        </w:rPr>
        <w:t xml:space="preserve">om </w:t>
      </w:r>
      <w:r w:rsidRPr="000D308F">
        <w:rPr>
          <w:rFonts w:ascii="Verdana" w:hAnsi="Verdana"/>
          <w:sz w:val="18"/>
          <w:szCs w:val="18"/>
        </w:rPr>
        <w:t>op het niveau van staatshoofden en regeringsleiders bijeen te komen. Artikel 7</w:t>
      </w:r>
      <w:r w:rsidRPr="000D308F" w:rsidR="00FA71F2">
        <w:rPr>
          <w:rFonts w:ascii="Verdana" w:hAnsi="Verdana"/>
          <w:sz w:val="18"/>
          <w:szCs w:val="18"/>
        </w:rPr>
        <w:t xml:space="preserve"> legt vast</w:t>
      </w:r>
      <w:r w:rsidRPr="000D308F">
        <w:rPr>
          <w:rFonts w:ascii="Verdana" w:hAnsi="Verdana"/>
          <w:sz w:val="18"/>
          <w:szCs w:val="18"/>
        </w:rPr>
        <w:t xml:space="preserve"> dat de </w:t>
      </w:r>
      <w:r w:rsidRPr="000D308F" w:rsidR="00867C80">
        <w:rPr>
          <w:rFonts w:ascii="Verdana" w:hAnsi="Verdana"/>
          <w:sz w:val="18"/>
          <w:szCs w:val="18"/>
        </w:rPr>
        <w:t>p</w:t>
      </w:r>
      <w:r w:rsidRPr="000D308F">
        <w:rPr>
          <w:rFonts w:ascii="Verdana" w:hAnsi="Verdana"/>
          <w:sz w:val="18"/>
          <w:szCs w:val="18"/>
        </w:rPr>
        <w:t xml:space="preserve">artijen overleg- en dialoogmechanismen </w:t>
      </w:r>
      <w:r w:rsidRPr="000D308F" w:rsidR="00FA71F2">
        <w:rPr>
          <w:rFonts w:ascii="Verdana" w:hAnsi="Verdana"/>
          <w:sz w:val="18"/>
          <w:szCs w:val="18"/>
        </w:rPr>
        <w:t xml:space="preserve">moeten </w:t>
      </w:r>
      <w:r w:rsidRPr="000D308F">
        <w:rPr>
          <w:rFonts w:ascii="Verdana" w:hAnsi="Verdana"/>
          <w:sz w:val="18"/>
          <w:szCs w:val="18"/>
        </w:rPr>
        <w:t>instellen met belanghebbend</w:t>
      </w:r>
      <w:r w:rsidRPr="000D308F" w:rsidR="00FA71F2">
        <w:rPr>
          <w:rFonts w:ascii="Verdana" w:hAnsi="Verdana"/>
          <w:sz w:val="18"/>
          <w:szCs w:val="18"/>
        </w:rPr>
        <w:t xml:space="preserve">en </w:t>
      </w:r>
      <w:r w:rsidRPr="000D308F" w:rsidR="00342112">
        <w:rPr>
          <w:rFonts w:ascii="Verdana" w:hAnsi="Verdana"/>
          <w:sz w:val="18"/>
          <w:szCs w:val="18"/>
        </w:rPr>
        <w:t xml:space="preserve">voor </w:t>
      </w:r>
      <w:r w:rsidRPr="000D308F">
        <w:rPr>
          <w:rFonts w:ascii="Verdana" w:hAnsi="Verdana"/>
          <w:sz w:val="18"/>
          <w:szCs w:val="18"/>
        </w:rPr>
        <w:t xml:space="preserve">de uitvoering van dit </w:t>
      </w:r>
      <w:r w:rsidRPr="000D308F" w:rsidR="00881FCE">
        <w:rPr>
          <w:rFonts w:ascii="Verdana" w:hAnsi="Verdana"/>
          <w:sz w:val="18"/>
          <w:szCs w:val="18"/>
        </w:rPr>
        <w:t>protocol</w:t>
      </w:r>
      <w:r w:rsidRPr="000D308F">
        <w:rPr>
          <w:rFonts w:ascii="Verdana" w:hAnsi="Verdana"/>
          <w:sz w:val="18"/>
          <w:szCs w:val="18"/>
        </w:rPr>
        <w:t xml:space="preserve">. In artikel 8 staat beschreven dat de </w:t>
      </w:r>
      <w:r w:rsidRPr="000D308F" w:rsidR="00867C80">
        <w:rPr>
          <w:rFonts w:ascii="Verdana" w:hAnsi="Verdana"/>
          <w:sz w:val="18"/>
          <w:szCs w:val="18"/>
        </w:rPr>
        <w:t>p</w:t>
      </w:r>
      <w:r w:rsidRPr="000D308F">
        <w:rPr>
          <w:rFonts w:ascii="Verdana" w:hAnsi="Verdana"/>
          <w:sz w:val="18"/>
          <w:szCs w:val="18"/>
        </w:rPr>
        <w:t>artijen hun</w:t>
      </w:r>
      <w:r w:rsidRPr="000D308F" w:rsidDel="00FA71F2">
        <w:rPr>
          <w:rFonts w:ascii="Verdana" w:hAnsi="Verdana"/>
          <w:sz w:val="18"/>
          <w:szCs w:val="18"/>
        </w:rPr>
        <w:t xml:space="preserve"> </w:t>
      </w:r>
      <w:r w:rsidRPr="000D308F" w:rsidR="00FA71F2">
        <w:rPr>
          <w:rFonts w:ascii="Verdana" w:hAnsi="Verdana"/>
          <w:sz w:val="18"/>
          <w:szCs w:val="18"/>
        </w:rPr>
        <w:t xml:space="preserve">verplichtingen </w:t>
      </w:r>
      <w:r w:rsidRPr="000D308F">
        <w:rPr>
          <w:rFonts w:ascii="Verdana" w:hAnsi="Verdana"/>
          <w:sz w:val="18"/>
          <w:szCs w:val="18"/>
        </w:rPr>
        <w:t>op het meest geschikte niveau</w:t>
      </w:r>
      <w:r w:rsidRPr="000D308F" w:rsidR="00FA71F2">
        <w:rPr>
          <w:rFonts w:ascii="Verdana" w:hAnsi="Verdana"/>
          <w:sz w:val="18"/>
          <w:szCs w:val="18"/>
        </w:rPr>
        <w:t xml:space="preserve"> moeten nakomen.</w:t>
      </w:r>
      <w:r w:rsidRPr="000D308F">
        <w:rPr>
          <w:rFonts w:ascii="Verdana" w:hAnsi="Verdana"/>
          <w:sz w:val="18"/>
          <w:szCs w:val="18"/>
        </w:rPr>
        <w:t xml:space="preserve"> </w:t>
      </w:r>
    </w:p>
    <w:p w:rsidRPr="000D308F" w:rsidR="0023236D" w:rsidP="0023236D" w:rsidRDefault="0023236D" w14:paraId="4FBFDBF6" w14:textId="77777777">
      <w:pPr>
        <w:rPr>
          <w:rFonts w:ascii="Verdana" w:hAnsi="Verdana"/>
          <w:b/>
          <w:bCs/>
          <w:sz w:val="18"/>
          <w:szCs w:val="18"/>
        </w:rPr>
      </w:pPr>
      <w:r w:rsidRPr="000D308F">
        <w:rPr>
          <w:rFonts w:ascii="Verdana" w:hAnsi="Verdana"/>
          <w:b/>
          <w:bCs/>
          <w:sz w:val="18"/>
          <w:szCs w:val="18"/>
        </w:rPr>
        <w:t>Deel II – Belangrijke samenwerkingsgebieden</w:t>
      </w:r>
    </w:p>
    <w:p w:rsidRPr="000D308F" w:rsidR="0023236D" w:rsidP="0023236D" w:rsidRDefault="0023236D" w14:paraId="0E66550C" w14:textId="29046DBB">
      <w:pPr>
        <w:rPr>
          <w:rFonts w:ascii="Verdana" w:hAnsi="Verdana"/>
          <w:sz w:val="18"/>
          <w:szCs w:val="18"/>
          <w:u w:val="single"/>
        </w:rPr>
      </w:pPr>
      <w:r w:rsidRPr="000D308F">
        <w:rPr>
          <w:rFonts w:ascii="Verdana" w:hAnsi="Verdana"/>
          <w:b/>
          <w:bCs/>
          <w:sz w:val="18"/>
          <w:szCs w:val="18"/>
        </w:rPr>
        <w:t>Titel I – Inclusieve duurzame economische groei en ontwikkeling</w:t>
      </w:r>
      <w:r w:rsidRPr="000D308F" w:rsidR="00346EEB">
        <w:rPr>
          <w:rFonts w:ascii="Verdana" w:hAnsi="Verdana"/>
          <w:b/>
          <w:bCs/>
          <w:sz w:val="18"/>
          <w:szCs w:val="18"/>
        </w:rPr>
        <w:t xml:space="preserve"> (artikelen </w:t>
      </w:r>
      <w:r w:rsidRPr="000D308F" w:rsidR="00BE1371">
        <w:rPr>
          <w:rFonts w:ascii="Verdana" w:hAnsi="Verdana"/>
          <w:b/>
          <w:bCs/>
          <w:sz w:val="18"/>
          <w:szCs w:val="18"/>
        </w:rPr>
        <w:t>9 t/m 24</w:t>
      </w:r>
      <w:r w:rsidRPr="000D308F" w:rsidR="00346EEB">
        <w:rPr>
          <w:rFonts w:ascii="Verdana" w:hAnsi="Verdana"/>
          <w:b/>
          <w:bCs/>
          <w:sz w:val="18"/>
          <w:szCs w:val="18"/>
        </w:rPr>
        <w:t xml:space="preserve">) </w:t>
      </w:r>
      <w:r w:rsidRPr="000D308F">
        <w:rPr>
          <w:rFonts w:ascii="Verdana" w:hAnsi="Verdana"/>
          <w:b/>
          <w:bCs/>
          <w:sz w:val="18"/>
          <w:szCs w:val="18"/>
        </w:rPr>
        <w:br/>
      </w:r>
      <w:r w:rsidRPr="000D308F">
        <w:rPr>
          <w:rFonts w:ascii="Verdana" w:hAnsi="Verdana"/>
          <w:b/>
          <w:bCs/>
          <w:sz w:val="18"/>
          <w:szCs w:val="18"/>
        </w:rPr>
        <w:br/>
      </w:r>
      <w:r w:rsidRPr="000D308F">
        <w:rPr>
          <w:rFonts w:ascii="Verdana" w:hAnsi="Verdana"/>
          <w:sz w:val="18"/>
          <w:szCs w:val="18"/>
          <w:u w:val="single"/>
        </w:rPr>
        <w:t>Hoofdstuk 1 – Algemeen Economisch kader</w:t>
      </w:r>
    </w:p>
    <w:p w:rsidRPr="000D308F" w:rsidR="0023236D" w:rsidP="0023236D" w:rsidRDefault="0023236D" w14:paraId="06D95753" w14:textId="2A5B7296">
      <w:pPr>
        <w:rPr>
          <w:rFonts w:ascii="Verdana" w:hAnsi="Verdana"/>
          <w:sz w:val="18"/>
          <w:szCs w:val="18"/>
          <w:u w:val="single"/>
        </w:rPr>
      </w:pPr>
      <w:r w:rsidRPr="000D308F">
        <w:rPr>
          <w:rFonts w:ascii="Verdana" w:hAnsi="Verdana"/>
          <w:sz w:val="18"/>
          <w:szCs w:val="18"/>
        </w:rPr>
        <w:t>Art</w:t>
      </w:r>
      <w:r w:rsidRPr="000D308F" w:rsidR="00F64052">
        <w:rPr>
          <w:rFonts w:ascii="Verdana" w:hAnsi="Verdana"/>
          <w:sz w:val="18"/>
          <w:szCs w:val="18"/>
        </w:rPr>
        <w:t>ikel</w:t>
      </w:r>
      <w:r w:rsidRPr="000D308F">
        <w:rPr>
          <w:rFonts w:ascii="Verdana" w:hAnsi="Verdana"/>
          <w:sz w:val="18"/>
          <w:szCs w:val="18"/>
        </w:rPr>
        <w:t xml:space="preserve"> 10 regelt dat de verdragspartijen de macro-economische en financiële stabiliteit versterken, en komen overeen dat zij regionale economische integratie en samenwerking in het Caribisch gebied steunen</w:t>
      </w:r>
      <w:r w:rsidRPr="000D308F" w:rsidR="00D36032">
        <w:rPr>
          <w:rFonts w:ascii="Verdana" w:hAnsi="Verdana"/>
          <w:sz w:val="18"/>
          <w:szCs w:val="18"/>
        </w:rPr>
        <w:t>. Daarbij is specifiek aandacht voor</w:t>
      </w:r>
      <w:r w:rsidRPr="000D308F" w:rsidDel="009075E1">
        <w:rPr>
          <w:rFonts w:ascii="Verdana" w:hAnsi="Verdana"/>
          <w:sz w:val="18"/>
          <w:szCs w:val="18"/>
        </w:rPr>
        <w:t xml:space="preserve"> energie, vervoer, water en sanitaire voorzieningen en digitale connectiviteit</w:t>
      </w:r>
      <w:r w:rsidRPr="000D308F">
        <w:rPr>
          <w:rFonts w:ascii="Verdana" w:hAnsi="Verdana"/>
          <w:sz w:val="18"/>
          <w:szCs w:val="18"/>
        </w:rPr>
        <w:t>. Art</w:t>
      </w:r>
      <w:r w:rsidRPr="000D308F" w:rsidR="00F64052">
        <w:rPr>
          <w:rFonts w:ascii="Verdana" w:hAnsi="Verdana"/>
          <w:sz w:val="18"/>
          <w:szCs w:val="18"/>
        </w:rPr>
        <w:t>ikel</w:t>
      </w:r>
      <w:r w:rsidRPr="000D308F">
        <w:rPr>
          <w:rFonts w:ascii="Verdana" w:hAnsi="Verdana"/>
          <w:sz w:val="18"/>
          <w:szCs w:val="18"/>
        </w:rPr>
        <w:t xml:space="preserve"> 11 stelt dat de </w:t>
      </w:r>
      <w:r w:rsidRPr="000D308F" w:rsidR="00867C80">
        <w:rPr>
          <w:rFonts w:ascii="Verdana" w:hAnsi="Verdana"/>
          <w:sz w:val="18"/>
          <w:szCs w:val="18"/>
        </w:rPr>
        <w:t>p</w:t>
      </w:r>
      <w:r w:rsidRPr="000D308F">
        <w:rPr>
          <w:rFonts w:ascii="Verdana" w:hAnsi="Verdana"/>
          <w:sz w:val="18"/>
          <w:szCs w:val="18"/>
        </w:rPr>
        <w:t>artijen zich ertoe verbinden publieke en private investeringen te stimuleren. Artikel 12 schrijft voor dat de partijen de ontwikkeling van de private sector en duurzame industrialisering ondersteunen</w:t>
      </w:r>
      <w:r w:rsidRPr="000D308F" w:rsidR="00D36032">
        <w:rPr>
          <w:rFonts w:ascii="Verdana" w:hAnsi="Verdana"/>
          <w:sz w:val="18"/>
          <w:szCs w:val="18"/>
        </w:rPr>
        <w:t>.</w:t>
      </w:r>
      <w:r w:rsidRPr="000D308F" w:rsidDel="00A012C6">
        <w:rPr>
          <w:rFonts w:ascii="Verdana" w:hAnsi="Verdana"/>
          <w:sz w:val="18"/>
          <w:szCs w:val="18"/>
        </w:rPr>
        <w:t xml:space="preserve"> </w:t>
      </w:r>
      <w:r w:rsidRPr="000D308F">
        <w:rPr>
          <w:rFonts w:ascii="Verdana" w:hAnsi="Verdana"/>
          <w:sz w:val="18"/>
          <w:szCs w:val="18"/>
        </w:rPr>
        <w:t xml:space="preserve">Artikel 13 heeft als </w:t>
      </w:r>
      <w:r w:rsidRPr="000D308F">
        <w:rPr>
          <w:rFonts w:ascii="Verdana" w:hAnsi="Verdana"/>
          <w:sz w:val="18"/>
          <w:szCs w:val="18"/>
        </w:rPr>
        <w:lastRenderedPageBreak/>
        <w:t>doelstelling om regionale integratie en samenwerkingsprocessen in het Caribisch gebied te versterken, onder meer door versterkte handelsfacilitering en harmonisatie van de regelgeving</w:t>
      </w:r>
      <w:r w:rsidRPr="000D308F" w:rsidR="002C32E5">
        <w:rPr>
          <w:rFonts w:ascii="Verdana" w:hAnsi="Verdana"/>
          <w:sz w:val="18"/>
          <w:szCs w:val="18"/>
        </w:rPr>
        <w:t>.</w:t>
      </w:r>
      <w:r w:rsidRPr="000D308F">
        <w:rPr>
          <w:rFonts w:ascii="Verdana" w:hAnsi="Verdana"/>
          <w:sz w:val="18"/>
          <w:szCs w:val="18"/>
        </w:rPr>
        <w:t xml:space="preserve"> </w:t>
      </w:r>
      <w:r w:rsidRPr="000D308F">
        <w:rPr>
          <w:rFonts w:ascii="Verdana" w:hAnsi="Verdana"/>
          <w:sz w:val="18"/>
          <w:szCs w:val="18"/>
        </w:rPr>
        <w:br/>
      </w:r>
      <w:r w:rsidRPr="000D308F">
        <w:rPr>
          <w:rFonts w:ascii="Verdana" w:hAnsi="Verdana"/>
          <w:sz w:val="18"/>
          <w:szCs w:val="18"/>
        </w:rPr>
        <w:br/>
      </w:r>
      <w:r w:rsidRPr="000D308F">
        <w:rPr>
          <w:rFonts w:ascii="Verdana" w:hAnsi="Verdana"/>
          <w:sz w:val="18"/>
          <w:szCs w:val="18"/>
          <w:u w:val="single"/>
        </w:rPr>
        <w:t xml:space="preserve">Hoofdstuk 2 – Prioritaire economische sectoren </w:t>
      </w:r>
    </w:p>
    <w:p w:rsidRPr="000D308F" w:rsidR="00E06745" w:rsidP="0023236D" w:rsidRDefault="0023236D" w14:paraId="39EFC2CD" w14:textId="77777777">
      <w:pPr>
        <w:rPr>
          <w:rFonts w:ascii="Verdana" w:hAnsi="Verdana"/>
          <w:sz w:val="18"/>
          <w:szCs w:val="18"/>
        </w:rPr>
      </w:pPr>
      <w:r w:rsidRPr="000D308F">
        <w:rPr>
          <w:rFonts w:ascii="Verdana" w:hAnsi="Verdana"/>
          <w:sz w:val="18"/>
          <w:szCs w:val="18"/>
        </w:rPr>
        <w:t xml:space="preserve">De artikelen 14 tot en met 24 hebben betrekking op prioritaire economische sectoren. </w:t>
      </w:r>
      <w:r w:rsidRPr="000D308F" w:rsidR="0047544C">
        <w:rPr>
          <w:rFonts w:ascii="Verdana" w:hAnsi="Verdana"/>
          <w:sz w:val="18"/>
          <w:szCs w:val="18"/>
        </w:rPr>
        <w:t>De</w:t>
      </w:r>
      <w:r w:rsidRPr="000D308F">
        <w:rPr>
          <w:rFonts w:ascii="Verdana" w:hAnsi="Verdana"/>
          <w:sz w:val="18"/>
          <w:szCs w:val="18"/>
        </w:rPr>
        <w:t xml:space="preserve"> partijen </w:t>
      </w:r>
      <w:r w:rsidRPr="000D308F" w:rsidR="00D23A7D">
        <w:rPr>
          <w:rFonts w:ascii="Verdana" w:hAnsi="Verdana"/>
          <w:sz w:val="18"/>
          <w:szCs w:val="18"/>
        </w:rPr>
        <w:t>streven naar</w:t>
      </w:r>
      <w:r w:rsidRPr="000D308F">
        <w:rPr>
          <w:rFonts w:ascii="Verdana" w:hAnsi="Verdana"/>
          <w:sz w:val="18"/>
          <w:szCs w:val="18"/>
        </w:rPr>
        <w:t xml:space="preserve"> het versterken van de regelgevings- en productiecapaciteit van belangrijke sub</w:t>
      </w:r>
      <w:r w:rsidRPr="000D308F" w:rsidR="0047544C">
        <w:rPr>
          <w:rFonts w:ascii="Verdana" w:hAnsi="Verdana"/>
          <w:sz w:val="18"/>
          <w:szCs w:val="18"/>
        </w:rPr>
        <w:t>-</w:t>
      </w:r>
      <w:r w:rsidRPr="000D308F">
        <w:rPr>
          <w:rFonts w:ascii="Verdana" w:hAnsi="Verdana"/>
          <w:sz w:val="18"/>
          <w:szCs w:val="18"/>
        </w:rPr>
        <w:t xml:space="preserve">sectoren in de dienstverlening. De </w:t>
      </w:r>
      <w:r w:rsidRPr="000D308F" w:rsidR="00867C80">
        <w:rPr>
          <w:rFonts w:ascii="Verdana" w:hAnsi="Verdana"/>
          <w:sz w:val="18"/>
          <w:szCs w:val="18"/>
        </w:rPr>
        <w:t>p</w:t>
      </w:r>
      <w:r w:rsidRPr="000D308F">
        <w:rPr>
          <w:rFonts w:ascii="Verdana" w:hAnsi="Verdana"/>
          <w:sz w:val="18"/>
          <w:szCs w:val="18"/>
        </w:rPr>
        <w:t>artijen besteden hierbij bijzondere aandacht aan professionele diensten, diensten op het gebied van gegevensverwerking, de recreatieve sector, de culturele en de creatieve sector, sport en onderwijs, en financiële, communicatie-, audiovisuele, vervoers-, milieu- en toeristische diensten (artikel 14). Daarbij is ook specifiek aandacht voor de ontwikkeling van duurzame en innovatieve blauwe economieën</w:t>
      </w:r>
      <w:r w:rsidRPr="000D308F" w:rsidDel="002A1848">
        <w:rPr>
          <w:rFonts w:ascii="Verdana" w:hAnsi="Verdana"/>
          <w:sz w:val="18"/>
          <w:szCs w:val="18"/>
        </w:rPr>
        <w:t>. De partijen komen overeen om samen de ontwikkeling van duurzame visserij te bevorderen</w:t>
      </w:r>
      <w:r w:rsidRPr="000D308F">
        <w:rPr>
          <w:rFonts w:ascii="Verdana" w:hAnsi="Verdana"/>
          <w:sz w:val="18"/>
          <w:szCs w:val="18"/>
        </w:rPr>
        <w:t xml:space="preserve"> (artikel 15). De partijen werken ook samen om duurzame landbouwproductie en -productiviteit te verhogen en te diversifiëren met het oog op het vergroten van de voedselzekerheid en voeding.</w:t>
      </w:r>
      <w:r w:rsidRPr="000D308F" w:rsidDel="00165D7F">
        <w:rPr>
          <w:rFonts w:ascii="Verdana" w:hAnsi="Verdana"/>
          <w:sz w:val="18"/>
          <w:szCs w:val="18"/>
        </w:rPr>
        <w:t xml:space="preserve"> </w:t>
      </w:r>
      <w:r w:rsidRPr="000D308F">
        <w:rPr>
          <w:rFonts w:ascii="Verdana" w:hAnsi="Verdana"/>
          <w:sz w:val="18"/>
          <w:szCs w:val="18"/>
        </w:rPr>
        <w:t xml:space="preserve">Verder </w:t>
      </w:r>
      <w:r w:rsidRPr="000D308F" w:rsidR="00E06745">
        <w:rPr>
          <w:rFonts w:ascii="Verdana" w:hAnsi="Verdana"/>
          <w:sz w:val="18"/>
          <w:szCs w:val="18"/>
        </w:rPr>
        <w:t>zetten</w:t>
      </w:r>
      <w:r w:rsidRPr="000D308F">
        <w:rPr>
          <w:rFonts w:ascii="Verdana" w:hAnsi="Verdana"/>
          <w:sz w:val="18"/>
          <w:szCs w:val="18"/>
        </w:rPr>
        <w:t xml:space="preserve"> de partijen </w:t>
      </w:r>
      <w:r w:rsidRPr="000D308F" w:rsidR="00E06745">
        <w:rPr>
          <w:rFonts w:ascii="Verdana" w:hAnsi="Verdana"/>
          <w:sz w:val="18"/>
          <w:szCs w:val="18"/>
        </w:rPr>
        <w:t>zich in voor</w:t>
      </w:r>
      <w:r w:rsidRPr="000D308F">
        <w:rPr>
          <w:rFonts w:ascii="Verdana" w:hAnsi="Verdana"/>
          <w:sz w:val="18"/>
          <w:szCs w:val="18"/>
        </w:rPr>
        <w:t xml:space="preserve"> eerlijke en niet-discriminerende toegang tot duurzame winning van, en handel in, mineralen en grondstoffen</w:t>
      </w:r>
      <w:r w:rsidRPr="000D308F" w:rsidDel="00165D7F">
        <w:rPr>
          <w:rFonts w:ascii="Verdana" w:hAnsi="Verdana"/>
          <w:sz w:val="18"/>
          <w:szCs w:val="18"/>
        </w:rPr>
        <w:t xml:space="preserve"> </w:t>
      </w:r>
      <w:r w:rsidRPr="000D308F">
        <w:rPr>
          <w:rFonts w:ascii="Verdana" w:hAnsi="Verdana"/>
          <w:sz w:val="18"/>
          <w:szCs w:val="18"/>
        </w:rPr>
        <w:t xml:space="preserve">(artikel 17). </w:t>
      </w:r>
      <w:r w:rsidRPr="000D308F" w:rsidR="00E06745">
        <w:rPr>
          <w:rFonts w:ascii="Verdana" w:hAnsi="Verdana"/>
          <w:sz w:val="18"/>
          <w:szCs w:val="18"/>
        </w:rPr>
        <w:t>In</w:t>
      </w:r>
      <w:r w:rsidRPr="000D308F">
        <w:rPr>
          <w:rFonts w:ascii="Verdana" w:hAnsi="Verdana"/>
          <w:sz w:val="18"/>
          <w:szCs w:val="18"/>
        </w:rPr>
        <w:t xml:space="preserve"> artikel 18</w:t>
      </w:r>
      <w:r w:rsidRPr="000D308F" w:rsidR="00E06745">
        <w:rPr>
          <w:rFonts w:ascii="Verdana" w:hAnsi="Verdana"/>
          <w:sz w:val="18"/>
          <w:szCs w:val="18"/>
        </w:rPr>
        <w:t xml:space="preserve"> spreken de partijen af </w:t>
      </w:r>
      <w:r w:rsidRPr="000D308F">
        <w:rPr>
          <w:rFonts w:ascii="Verdana" w:hAnsi="Verdana"/>
          <w:sz w:val="18"/>
          <w:szCs w:val="18"/>
        </w:rPr>
        <w:t>de energiezekerheid te versterken</w:t>
      </w:r>
      <w:r w:rsidRPr="000D308F" w:rsidR="00E06745">
        <w:rPr>
          <w:rFonts w:ascii="Verdana" w:hAnsi="Verdana"/>
          <w:sz w:val="18"/>
          <w:szCs w:val="18"/>
        </w:rPr>
        <w:t xml:space="preserve">. </w:t>
      </w:r>
    </w:p>
    <w:p w:rsidRPr="000D308F" w:rsidR="0023236D" w:rsidP="0023236D" w:rsidRDefault="0023236D" w14:paraId="389AF75F" w14:textId="77777777">
      <w:pPr>
        <w:rPr>
          <w:rFonts w:ascii="Verdana" w:hAnsi="Verdana"/>
          <w:sz w:val="18"/>
          <w:szCs w:val="18"/>
        </w:rPr>
      </w:pPr>
      <w:r w:rsidRPr="000D308F">
        <w:rPr>
          <w:rFonts w:ascii="Verdana" w:hAnsi="Verdana"/>
          <w:sz w:val="18"/>
          <w:szCs w:val="18"/>
        </w:rPr>
        <w:t xml:space="preserve">De </w:t>
      </w:r>
      <w:r w:rsidRPr="000D308F" w:rsidR="00E72248">
        <w:rPr>
          <w:rFonts w:ascii="Verdana" w:hAnsi="Verdana"/>
          <w:sz w:val="18"/>
          <w:szCs w:val="18"/>
        </w:rPr>
        <w:t>p</w:t>
      </w:r>
      <w:r w:rsidRPr="000D308F">
        <w:rPr>
          <w:rFonts w:ascii="Verdana" w:hAnsi="Verdana"/>
          <w:sz w:val="18"/>
          <w:szCs w:val="18"/>
        </w:rPr>
        <w:t xml:space="preserve">artijen </w:t>
      </w:r>
      <w:r w:rsidRPr="000D308F" w:rsidR="00E72248">
        <w:rPr>
          <w:rFonts w:ascii="Verdana" w:hAnsi="Verdana"/>
          <w:sz w:val="18"/>
          <w:szCs w:val="18"/>
        </w:rPr>
        <w:t>spreken</w:t>
      </w:r>
      <w:r w:rsidRPr="000D308F">
        <w:rPr>
          <w:rFonts w:ascii="Verdana" w:hAnsi="Verdana"/>
          <w:sz w:val="18"/>
          <w:szCs w:val="18"/>
        </w:rPr>
        <w:t xml:space="preserve"> in artikel 19 </w:t>
      </w:r>
      <w:r w:rsidRPr="000D308F" w:rsidR="00E72248">
        <w:rPr>
          <w:rFonts w:ascii="Verdana" w:hAnsi="Verdana"/>
          <w:sz w:val="18"/>
          <w:szCs w:val="18"/>
        </w:rPr>
        <w:t>af</w:t>
      </w:r>
      <w:r w:rsidRPr="000D308F">
        <w:rPr>
          <w:rFonts w:ascii="Verdana" w:hAnsi="Verdana"/>
          <w:sz w:val="18"/>
          <w:szCs w:val="18"/>
        </w:rPr>
        <w:t xml:space="preserve"> om digitale infrastructuur op een veerkrachtige en duurzame manier te verbeteren. Ook verbeteren de </w:t>
      </w:r>
      <w:r w:rsidRPr="000D308F" w:rsidDel="00803D47">
        <w:rPr>
          <w:rFonts w:ascii="Verdana" w:hAnsi="Verdana"/>
          <w:sz w:val="18"/>
          <w:szCs w:val="18"/>
        </w:rPr>
        <w:t>p</w:t>
      </w:r>
      <w:r w:rsidRPr="000D308F">
        <w:rPr>
          <w:rFonts w:ascii="Verdana" w:hAnsi="Verdana"/>
          <w:sz w:val="18"/>
          <w:szCs w:val="18"/>
        </w:rPr>
        <w:t>artijen de toegang tot open, betaalbare, veilige en betrouwbare breedbandconnectiviteit</w:t>
      </w:r>
      <w:r w:rsidRPr="000D308F" w:rsidR="00803D47">
        <w:rPr>
          <w:rFonts w:ascii="Verdana" w:hAnsi="Verdana"/>
          <w:sz w:val="18"/>
          <w:szCs w:val="18"/>
        </w:rPr>
        <w:t>.</w:t>
      </w:r>
      <w:r w:rsidRPr="000D308F" w:rsidDel="00803D47">
        <w:rPr>
          <w:rFonts w:ascii="Verdana" w:hAnsi="Verdana"/>
          <w:sz w:val="18"/>
          <w:szCs w:val="18"/>
        </w:rPr>
        <w:t xml:space="preserve"> </w:t>
      </w:r>
      <w:r w:rsidRPr="000D308F">
        <w:rPr>
          <w:rFonts w:ascii="Verdana" w:hAnsi="Verdana"/>
          <w:sz w:val="18"/>
          <w:szCs w:val="18"/>
        </w:rPr>
        <w:t xml:space="preserve">Ook werken </w:t>
      </w:r>
      <w:r w:rsidRPr="000D308F" w:rsidR="00F64052">
        <w:rPr>
          <w:rFonts w:ascii="Verdana" w:hAnsi="Verdana"/>
          <w:sz w:val="18"/>
          <w:szCs w:val="18"/>
        </w:rPr>
        <w:t>d</w:t>
      </w:r>
      <w:r w:rsidRPr="000D308F">
        <w:rPr>
          <w:rFonts w:ascii="Verdana" w:hAnsi="Verdana"/>
          <w:sz w:val="18"/>
          <w:szCs w:val="18"/>
        </w:rPr>
        <w:t xml:space="preserve">e </w:t>
      </w:r>
      <w:r w:rsidRPr="000D308F" w:rsidR="00F64052">
        <w:rPr>
          <w:rFonts w:ascii="Verdana" w:hAnsi="Verdana"/>
          <w:sz w:val="18"/>
          <w:szCs w:val="18"/>
        </w:rPr>
        <w:t>p</w:t>
      </w:r>
      <w:r w:rsidRPr="000D308F">
        <w:rPr>
          <w:rFonts w:ascii="Verdana" w:hAnsi="Verdana"/>
          <w:sz w:val="18"/>
          <w:szCs w:val="18"/>
        </w:rPr>
        <w:t xml:space="preserve">artijen samen om toerisme te bevorderen (artikel 20). Artikel 21 gaat </w:t>
      </w:r>
      <w:r w:rsidRPr="000D308F" w:rsidR="00643A55">
        <w:rPr>
          <w:rFonts w:ascii="Verdana" w:hAnsi="Verdana"/>
          <w:sz w:val="18"/>
          <w:szCs w:val="18"/>
        </w:rPr>
        <w:t>in op de</w:t>
      </w:r>
      <w:r w:rsidRPr="000D308F">
        <w:rPr>
          <w:rFonts w:ascii="Verdana" w:hAnsi="Verdana"/>
          <w:sz w:val="18"/>
          <w:szCs w:val="18"/>
        </w:rPr>
        <w:t xml:space="preserve"> samenwerking op het gebied van wetenschap, onderzoek, innovatie en technologische ontwikkelingen. </w:t>
      </w:r>
      <w:r w:rsidRPr="000D308F" w:rsidR="009075E1">
        <w:rPr>
          <w:rFonts w:ascii="Verdana" w:hAnsi="Verdana"/>
          <w:sz w:val="18"/>
          <w:szCs w:val="18"/>
        </w:rPr>
        <w:t>H</w:t>
      </w:r>
      <w:r w:rsidRPr="000D308F">
        <w:rPr>
          <w:rFonts w:ascii="Verdana" w:hAnsi="Verdana"/>
          <w:sz w:val="18"/>
          <w:szCs w:val="18"/>
        </w:rPr>
        <w:t>ierbij</w:t>
      </w:r>
      <w:r w:rsidRPr="000D308F" w:rsidR="009075E1">
        <w:rPr>
          <w:rFonts w:ascii="Verdana" w:hAnsi="Verdana"/>
          <w:sz w:val="18"/>
          <w:szCs w:val="18"/>
        </w:rPr>
        <w:t xml:space="preserve"> </w:t>
      </w:r>
      <w:r w:rsidRPr="000D308F" w:rsidR="00643A55">
        <w:rPr>
          <w:rFonts w:ascii="Verdana" w:hAnsi="Verdana"/>
          <w:sz w:val="18"/>
          <w:szCs w:val="18"/>
        </w:rPr>
        <w:t>komen de</w:t>
      </w:r>
      <w:r w:rsidRPr="000D308F" w:rsidDel="009075E1">
        <w:rPr>
          <w:rFonts w:ascii="Verdana" w:hAnsi="Verdana"/>
          <w:sz w:val="18"/>
          <w:szCs w:val="18"/>
        </w:rPr>
        <w:t xml:space="preserve"> partijen </w:t>
      </w:r>
      <w:r w:rsidRPr="000D308F" w:rsidR="00643A55">
        <w:rPr>
          <w:rFonts w:ascii="Verdana" w:hAnsi="Verdana"/>
          <w:sz w:val="18"/>
          <w:szCs w:val="18"/>
        </w:rPr>
        <w:t>tevens</w:t>
      </w:r>
      <w:r w:rsidRPr="000D308F">
        <w:rPr>
          <w:rFonts w:ascii="Verdana" w:hAnsi="Verdana"/>
          <w:sz w:val="18"/>
          <w:szCs w:val="18"/>
        </w:rPr>
        <w:t xml:space="preserve"> overeen om samen te werken op het gebied </w:t>
      </w:r>
      <w:r w:rsidRPr="000D308F" w:rsidR="00643A55">
        <w:rPr>
          <w:rFonts w:ascii="Verdana" w:hAnsi="Verdana"/>
          <w:sz w:val="18"/>
          <w:szCs w:val="18"/>
        </w:rPr>
        <w:t xml:space="preserve">van </w:t>
      </w:r>
      <w:r w:rsidRPr="000D308F">
        <w:rPr>
          <w:rFonts w:ascii="Verdana" w:hAnsi="Verdana"/>
          <w:sz w:val="18"/>
          <w:szCs w:val="18"/>
        </w:rPr>
        <w:t xml:space="preserve">civiele ruimtevaartactiviteiten. </w:t>
      </w:r>
      <w:r w:rsidRPr="000D308F" w:rsidR="009075E1">
        <w:rPr>
          <w:rFonts w:ascii="Verdana" w:hAnsi="Verdana"/>
          <w:sz w:val="18"/>
          <w:szCs w:val="18"/>
        </w:rPr>
        <w:t>A</w:t>
      </w:r>
      <w:r w:rsidRPr="000D308F">
        <w:rPr>
          <w:rFonts w:ascii="Verdana" w:hAnsi="Verdana"/>
          <w:sz w:val="18"/>
          <w:szCs w:val="18"/>
        </w:rPr>
        <w:t>rtikel 22</w:t>
      </w:r>
      <w:r w:rsidRPr="000D308F" w:rsidDel="009075E1">
        <w:rPr>
          <w:rFonts w:ascii="Verdana" w:hAnsi="Verdana"/>
          <w:sz w:val="18"/>
          <w:szCs w:val="18"/>
        </w:rPr>
        <w:t xml:space="preserve"> </w:t>
      </w:r>
      <w:r w:rsidRPr="000D308F" w:rsidR="009075E1">
        <w:rPr>
          <w:rFonts w:ascii="Verdana" w:hAnsi="Verdana"/>
          <w:sz w:val="18"/>
          <w:szCs w:val="18"/>
        </w:rPr>
        <w:t xml:space="preserve">stelt dat </w:t>
      </w:r>
      <w:r w:rsidRPr="000D308F">
        <w:rPr>
          <w:rFonts w:ascii="Verdana" w:hAnsi="Verdana"/>
          <w:sz w:val="18"/>
          <w:szCs w:val="18"/>
        </w:rPr>
        <w:t xml:space="preserve">de culturele en creatieve sector als aanjager van duurzame sociale en economische ontwikkeling en fatsoenlijke banen </w:t>
      </w:r>
      <w:r w:rsidRPr="000D308F" w:rsidR="00643A55">
        <w:rPr>
          <w:rFonts w:ascii="Verdana" w:hAnsi="Verdana"/>
          <w:sz w:val="18"/>
          <w:szCs w:val="18"/>
        </w:rPr>
        <w:t>geldt</w:t>
      </w:r>
      <w:r w:rsidRPr="000D308F">
        <w:rPr>
          <w:rFonts w:ascii="Verdana" w:hAnsi="Verdana"/>
          <w:sz w:val="18"/>
          <w:szCs w:val="18"/>
        </w:rPr>
        <w:t xml:space="preserve">. </w:t>
      </w:r>
      <w:r w:rsidRPr="000D308F" w:rsidR="00795F66">
        <w:rPr>
          <w:rFonts w:ascii="Verdana" w:hAnsi="Verdana"/>
          <w:sz w:val="18"/>
          <w:szCs w:val="18"/>
        </w:rPr>
        <w:t>In artikel 23 regelt de b</w:t>
      </w:r>
      <w:r w:rsidRPr="000D308F">
        <w:rPr>
          <w:rFonts w:ascii="Verdana" w:hAnsi="Verdana"/>
          <w:sz w:val="18"/>
          <w:szCs w:val="18"/>
        </w:rPr>
        <w:t xml:space="preserve">evordering van de maakindustrie om meer toegevoegde waarde tot stand te brengen, met name bij de uitvoer van hoogtechnologische producten. </w:t>
      </w:r>
      <w:r w:rsidRPr="000D308F" w:rsidR="00736D29">
        <w:rPr>
          <w:rFonts w:ascii="Verdana" w:hAnsi="Verdana"/>
          <w:sz w:val="18"/>
          <w:szCs w:val="18"/>
        </w:rPr>
        <w:t>Artikel 24 stipuleert de noodzaak</w:t>
      </w:r>
      <w:r w:rsidRPr="000D308F">
        <w:rPr>
          <w:rFonts w:ascii="Verdana" w:hAnsi="Verdana"/>
          <w:sz w:val="18"/>
          <w:szCs w:val="18"/>
        </w:rPr>
        <w:t xml:space="preserve"> van een op regels gebaseerde internationale zakelijke en financiële dienstsector in het Caribisch gebied</w:t>
      </w:r>
      <w:r w:rsidRPr="000D308F" w:rsidDel="00803D47">
        <w:rPr>
          <w:rFonts w:ascii="Verdana" w:hAnsi="Verdana"/>
          <w:sz w:val="18"/>
          <w:szCs w:val="18"/>
        </w:rPr>
        <w:t xml:space="preserve">. </w:t>
      </w:r>
    </w:p>
    <w:p w:rsidRPr="000D308F" w:rsidR="001D7C8B" w:rsidP="006528A5" w:rsidRDefault="0023236D" w14:paraId="049AA356" w14:textId="2C10BB79">
      <w:pPr>
        <w:rPr>
          <w:rFonts w:ascii="Verdana" w:hAnsi="Verdana"/>
          <w:sz w:val="18"/>
          <w:szCs w:val="18"/>
        </w:rPr>
      </w:pPr>
      <w:r w:rsidRPr="000D308F">
        <w:rPr>
          <w:rFonts w:ascii="Verdana" w:hAnsi="Verdana"/>
          <w:b/>
          <w:bCs/>
          <w:sz w:val="18"/>
          <w:szCs w:val="18"/>
        </w:rPr>
        <w:t>Titel II – Milieuduurzaamheid, klimaatverandering en duurzaam beheer van natuurlijke hulpbronnen</w:t>
      </w:r>
      <w:r w:rsidRPr="000D308F" w:rsidR="00346EEB">
        <w:rPr>
          <w:rFonts w:ascii="Verdana" w:hAnsi="Verdana"/>
          <w:b/>
          <w:bCs/>
          <w:sz w:val="18"/>
          <w:szCs w:val="18"/>
        </w:rPr>
        <w:t xml:space="preserve"> (artikelen </w:t>
      </w:r>
      <w:r w:rsidRPr="000D308F" w:rsidR="00BE1371">
        <w:rPr>
          <w:rFonts w:ascii="Verdana" w:hAnsi="Verdana"/>
          <w:b/>
          <w:bCs/>
          <w:sz w:val="18"/>
          <w:szCs w:val="18"/>
        </w:rPr>
        <w:t>25</w:t>
      </w:r>
      <w:r w:rsidRPr="000D308F" w:rsidR="00346EEB">
        <w:rPr>
          <w:rFonts w:ascii="Verdana" w:hAnsi="Verdana"/>
          <w:b/>
          <w:bCs/>
          <w:sz w:val="18"/>
          <w:szCs w:val="18"/>
        </w:rPr>
        <w:t xml:space="preserve"> t/m</w:t>
      </w:r>
      <w:r w:rsidRPr="000D308F" w:rsidR="00BE1371">
        <w:rPr>
          <w:rFonts w:ascii="Verdana" w:hAnsi="Verdana"/>
          <w:b/>
          <w:bCs/>
          <w:sz w:val="18"/>
          <w:szCs w:val="18"/>
        </w:rPr>
        <w:t xml:space="preserve"> 30</w:t>
      </w:r>
      <w:r w:rsidRPr="000D308F" w:rsidR="00346EEB">
        <w:rPr>
          <w:rFonts w:ascii="Verdana" w:hAnsi="Verdana"/>
          <w:b/>
          <w:bCs/>
          <w:sz w:val="18"/>
          <w:szCs w:val="18"/>
        </w:rPr>
        <w:t xml:space="preserve">) </w:t>
      </w:r>
    </w:p>
    <w:p w:rsidRPr="000D308F" w:rsidR="005A200F" w:rsidP="0023236D" w:rsidRDefault="0023236D" w14:paraId="034F8900" w14:textId="593225F8">
      <w:pPr>
        <w:rPr>
          <w:rFonts w:ascii="Verdana" w:hAnsi="Verdana"/>
          <w:sz w:val="18"/>
          <w:szCs w:val="18"/>
        </w:rPr>
      </w:pPr>
      <w:r w:rsidRPr="000D308F">
        <w:rPr>
          <w:rFonts w:ascii="Verdana" w:hAnsi="Verdana"/>
          <w:sz w:val="18"/>
          <w:szCs w:val="18"/>
        </w:rPr>
        <w:t xml:space="preserve">De artikelen 25 tot en met 30 </w:t>
      </w:r>
      <w:r w:rsidRPr="000D308F" w:rsidR="009075E1">
        <w:rPr>
          <w:rFonts w:ascii="Verdana" w:hAnsi="Verdana"/>
          <w:sz w:val="18"/>
          <w:szCs w:val="18"/>
        </w:rPr>
        <w:t xml:space="preserve">gaan </w:t>
      </w:r>
      <w:r w:rsidRPr="000D308F">
        <w:rPr>
          <w:rFonts w:ascii="Verdana" w:hAnsi="Verdana"/>
          <w:sz w:val="18"/>
          <w:szCs w:val="18"/>
        </w:rPr>
        <w:t>over klimaat</w:t>
      </w:r>
      <w:r w:rsidRPr="000D308F" w:rsidR="009465B2">
        <w:rPr>
          <w:rFonts w:ascii="Verdana" w:hAnsi="Verdana"/>
          <w:sz w:val="18"/>
          <w:szCs w:val="18"/>
        </w:rPr>
        <w:t xml:space="preserve">. </w:t>
      </w:r>
      <w:r w:rsidRPr="000D308F" w:rsidR="009075E1">
        <w:rPr>
          <w:rFonts w:ascii="Verdana" w:hAnsi="Verdana"/>
          <w:sz w:val="18"/>
          <w:szCs w:val="18"/>
        </w:rPr>
        <w:t xml:space="preserve">In </w:t>
      </w:r>
      <w:r w:rsidRPr="000D308F">
        <w:rPr>
          <w:rFonts w:ascii="Verdana" w:hAnsi="Verdana"/>
          <w:sz w:val="18"/>
          <w:szCs w:val="18"/>
        </w:rPr>
        <w:t xml:space="preserve">artikel 25 </w:t>
      </w:r>
      <w:r w:rsidRPr="000D308F" w:rsidR="009465B2">
        <w:rPr>
          <w:rFonts w:ascii="Verdana" w:hAnsi="Verdana"/>
          <w:sz w:val="18"/>
          <w:szCs w:val="18"/>
        </w:rPr>
        <w:t>erkennen</w:t>
      </w:r>
      <w:r w:rsidRPr="000D308F">
        <w:rPr>
          <w:rFonts w:ascii="Verdana" w:hAnsi="Verdana"/>
          <w:sz w:val="18"/>
          <w:szCs w:val="18"/>
        </w:rPr>
        <w:t xml:space="preserve"> de partijen de existentiële bedreiging voor de getroffen landen en de gevolgen voor de bestaansmiddelen die het lange</w:t>
      </w:r>
      <w:r w:rsidRPr="000D308F" w:rsidR="009465B2">
        <w:rPr>
          <w:rFonts w:ascii="Verdana" w:hAnsi="Verdana"/>
          <w:sz w:val="18"/>
          <w:szCs w:val="18"/>
        </w:rPr>
        <w:t>-</w:t>
      </w:r>
      <w:r w:rsidRPr="000D308F">
        <w:rPr>
          <w:rFonts w:ascii="Verdana" w:hAnsi="Verdana"/>
          <w:sz w:val="18"/>
          <w:szCs w:val="18"/>
        </w:rPr>
        <w:t xml:space="preserve">termijnkarakter van de uitdagingen op het gebied van klimaat en milieuduurzaamheid vormen. </w:t>
      </w:r>
      <w:r w:rsidRPr="000D308F" w:rsidR="009465B2">
        <w:rPr>
          <w:rFonts w:ascii="Verdana" w:hAnsi="Verdana"/>
          <w:sz w:val="18"/>
          <w:szCs w:val="18"/>
        </w:rPr>
        <w:t xml:space="preserve">De partijen zullen ambitieuze maatregelen nemen om klimaatverandering te matigen, de kwaliteit van het milieu te beschermen en te streven naar duurzaam gebruik en beheer van natuurlijke hulpbronnen. De partijen zullen </w:t>
      </w:r>
      <w:r w:rsidRPr="000D308F">
        <w:rPr>
          <w:rFonts w:ascii="Verdana" w:hAnsi="Verdana"/>
          <w:sz w:val="18"/>
          <w:szCs w:val="18"/>
        </w:rPr>
        <w:t>streven naar Zuid-Zuid- en trilaterale samenwerking.</w:t>
      </w:r>
      <w:r w:rsidRPr="000D308F" w:rsidR="00105FAD">
        <w:rPr>
          <w:rFonts w:ascii="Verdana" w:hAnsi="Verdana"/>
          <w:sz w:val="18"/>
          <w:szCs w:val="18"/>
        </w:rPr>
        <w:t xml:space="preserve"> I</w:t>
      </w:r>
      <w:r w:rsidRPr="000D308F">
        <w:rPr>
          <w:rFonts w:ascii="Verdana" w:hAnsi="Verdana"/>
          <w:sz w:val="18"/>
          <w:szCs w:val="18"/>
        </w:rPr>
        <w:t xml:space="preserve">n artikel 26 </w:t>
      </w:r>
      <w:r w:rsidRPr="000D308F" w:rsidR="00105FAD">
        <w:rPr>
          <w:rFonts w:ascii="Verdana" w:hAnsi="Verdana"/>
          <w:sz w:val="18"/>
          <w:szCs w:val="18"/>
        </w:rPr>
        <w:t xml:space="preserve">wordt </w:t>
      </w:r>
      <w:r w:rsidRPr="000D308F">
        <w:rPr>
          <w:rFonts w:ascii="Verdana" w:hAnsi="Verdana"/>
          <w:sz w:val="18"/>
          <w:szCs w:val="18"/>
        </w:rPr>
        <w:t xml:space="preserve">geformuleerd dat de </w:t>
      </w:r>
      <w:r w:rsidRPr="000D308F" w:rsidR="00867C80">
        <w:rPr>
          <w:rFonts w:ascii="Verdana" w:hAnsi="Verdana"/>
          <w:sz w:val="18"/>
          <w:szCs w:val="18"/>
        </w:rPr>
        <w:t>p</w:t>
      </w:r>
      <w:r w:rsidRPr="000D308F">
        <w:rPr>
          <w:rFonts w:ascii="Verdana" w:hAnsi="Verdana"/>
          <w:sz w:val="18"/>
          <w:szCs w:val="18"/>
        </w:rPr>
        <w:t xml:space="preserve">artijen omvattende en inclusieve activiteiten </w:t>
      </w:r>
      <w:r w:rsidRPr="000D308F" w:rsidR="00105FAD">
        <w:rPr>
          <w:rFonts w:ascii="Verdana" w:hAnsi="Verdana"/>
          <w:sz w:val="18"/>
          <w:szCs w:val="18"/>
        </w:rPr>
        <w:t>zullen ontplooien</w:t>
      </w:r>
      <w:r w:rsidRPr="000D308F">
        <w:rPr>
          <w:rFonts w:ascii="Verdana" w:hAnsi="Verdana"/>
          <w:sz w:val="18"/>
          <w:szCs w:val="18"/>
        </w:rPr>
        <w:t xml:space="preserve"> om daarmee de volledige uitvoering van het Raamverdrag van de </w:t>
      </w:r>
      <w:r w:rsidRPr="000D308F" w:rsidR="007861FD">
        <w:rPr>
          <w:rFonts w:ascii="Verdana" w:hAnsi="Verdana"/>
          <w:sz w:val="18"/>
          <w:szCs w:val="18"/>
        </w:rPr>
        <w:t xml:space="preserve">Verenigde Naties </w:t>
      </w:r>
      <w:r w:rsidRPr="000D308F">
        <w:rPr>
          <w:rFonts w:ascii="Verdana" w:hAnsi="Verdana"/>
          <w:sz w:val="18"/>
          <w:szCs w:val="18"/>
        </w:rPr>
        <w:t xml:space="preserve">inzake klimaatverandering en de in het kader van dat Raamverdrag aangenomen </w:t>
      </w:r>
      <w:r w:rsidRPr="000D308F" w:rsidR="006F4BF8">
        <w:rPr>
          <w:rFonts w:ascii="Verdana" w:hAnsi="Verdana"/>
          <w:sz w:val="18"/>
          <w:szCs w:val="18"/>
        </w:rPr>
        <w:t>O</w:t>
      </w:r>
      <w:r w:rsidRPr="000D308F" w:rsidR="005105A2">
        <w:rPr>
          <w:rFonts w:ascii="Verdana" w:hAnsi="Verdana"/>
          <w:sz w:val="18"/>
          <w:szCs w:val="18"/>
        </w:rPr>
        <w:t>vereenkomst</w:t>
      </w:r>
      <w:r w:rsidRPr="000D308F" w:rsidR="006F6B6D">
        <w:rPr>
          <w:rFonts w:ascii="Verdana" w:hAnsi="Verdana"/>
          <w:sz w:val="18"/>
          <w:szCs w:val="18"/>
        </w:rPr>
        <w:t xml:space="preserve"> </w:t>
      </w:r>
      <w:r w:rsidRPr="000D308F">
        <w:rPr>
          <w:rFonts w:ascii="Verdana" w:hAnsi="Verdana"/>
          <w:sz w:val="18"/>
          <w:szCs w:val="18"/>
        </w:rPr>
        <w:t xml:space="preserve">van Parijs te versnellen en multilaterale maatregelen tegen klimaatverandering te ondersteunen. </w:t>
      </w:r>
      <w:r w:rsidRPr="000D308F" w:rsidR="00105FAD">
        <w:rPr>
          <w:rFonts w:ascii="Verdana" w:hAnsi="Verdana"/>
          <w:sz w:val="18"/>
          <w:szCs w:val="18"/>
        </w:rPr>
        <w:t>A</w:t>
      </w:r>
      <w:r w:rsidRPr="000D308F">
        <w:rPr>
          <w:rFonts w:ascii="Verdana" w:hAnsi="Verdana"/>
          <w:sz w:val="18"/>
          <w:szCs w:val="18"/>
        </w:rPr>
        <w:t xml:space="preserve">rtikel 27 </w:t>
      </w:r>
      <w:r w:rsidRPr="000D308F" w:rsidR="00105FAD">
        <w:rPr>
          <w:rFonts w:ascii="Verdana" w:hAnsi="Verdana"/>
          <w:sz w:val="18"/>
          <w:szCs w:val="18"/>
        </w:rPr>
        <w:t xml:space="preserve">heeft </w:t>
      </w:r>
      <w:r w:rsidRPr="000D308F">
        <w:rPr>
          <w:rFonts w:ascii="Verdana" w:hAnsi="Verdana"/>
          <w:sz w:val="18"/>
          <w:szCs w:val="18"/>
        </w:rPr>
        <w:t xml:space="preserve">betrekking op biodiversiteit, ecosystemen en natuurlijke hulpbronnen. Artikel 28 heeft gevolglijk betrekking </w:t>
      </w:r>
      <w:r w:rsidRPr="000D308F" w:rsidR="00105FAD">
        <w:rPr>
          <w:rFonts w:ascii="Verdana" w:hAnsi="Verdana"/>
          <w:sz w:val="18"/>
          <w:szCs w:val="18"/>
        </w:rPr>
        <w:t xml:space="preserve">op </w:t>
      </w:r>
      <w:r w:rsidRPr="000D308F">
        <w:rPr>
          <w:rFonts w:ascii="Verdana" w:hAnsi="Verdana"/>
          <w:sz w:val="18"/>
          <w:szCs w:val="18"/>
        </w:rPr>
        <w:t xml:space="preserve">bepalingen omtrent bossen. Complementair aan de </w:t>
      </w:r>
      <w:r w:rsidRPr="000D308F" w:rsidR="006F6B6D">
        <w:rPr>
          <w:rFonts w:ascii="Verdana" w:hAnsi="Verdana"/>
          <w:sz w:val="18"/>
          <w:szCs w:val="18"/>
        </w:rPr>
        <w:t>UNCLOS</w:t>
      </w:r>
      <w:r w:rsidRPr="000D308F">
        <w:rPr>
          <w:rFonts w:ascii="Verdana" w:hAnsi="Verdana"/>
          <w:sz w:val="18"/>
          <w:szCs w:val="18"/>
        </w:rPr>
        <w:t>, heeft artikel 29 betrekking op oceaan</w:t>
      </w:r>
      <w:r w:rsidRPr="000D308F" w:rsidR="006F6B6D">
        <w:rPr>
          <w:rFonts w:ascii="Verdana" w:hAnsi="Verdana"/>
          <w:sz w:val="18"/>
          <w:szCs w:val="18"/>
        </w:rPr>
        <w:t xml:space="preserve"> </w:t>
      </w:r>
      <w:proofErr w:type="spellStart"/>
      <w:r w:rsidRPr="000D308F">
        <w:rPr>
          <w:rFonts w:ascii="Verdana" w:hAnsi="Verdana"/>
          <w:i/>
          <w:iCs/>
          <w:sz w:val="18"/>
          <w:szCs w:val="18"/>
        </w:rPr>
        <w:t>governance</w:t>
      </w:r>
      <w:proofErr w:type="spellEnd"/>
      <w:r w:rsidRPr="000D308F">
        <w:rPr>
          <w:rFonts w:ascii="Verdana" w:hAnsi="Verdana"/>
          <w:sz w:val="18"/>
          <w:szCs w:val="18"/>
        </w:rPr>
        <w:t>. Titel II eindigt met afspraken over de weerbaarheid ten aanzien van natuurrampen en integrale rampenbeheersing</w:t>
      </w:r>
      <w:r w:rsidRPr="000D308F" w:rsidR="00105FAD">
        <w:rPr>
          <w:rFonts w:ascii="Verdana" w:hAnsi="Verdana"/>
          <w:sz w:val="18"/>
          <w:szCs w:val="18"/>
        </w:rPr>
        <w:t xml:space="preserve">. </w:t>
      </w:r>
    </w:p>
    <w:p w:rsidRPr="000D308F" w:rsidR="0023236D" w:rsidP="0023236D" w:rsidRDefault="0023236D" w14:paraId="01998608" w14:textId="33A2B03B">
      <w:pPr>
        <w:rPr>
          <w:rFonts w:ascii="Verdana" w:hAnsi="Verdana"/>
          <w:b/>
          <w:bCs/>
          <w:sz w:val="18"/>
          <w:szCs w:val="18"/>
        </w:rPr>
      </w:pPr>
      <w:r w:rsidRPr="000D308F">
        <w:rPr>
          <w:rFonts w:ascii="Verdana" w:hAnsi="Verdana"/>
          <w:b/>
          <w:bCs/>
          <w:sz w:val="18"/>
          <w:szCs w:val="18"/>
        </w:rPr>
        <w:t>Titel III – Mensenrechten, goed bestuur, vrede en veiligheid</w:t>
      </w:r>
      <w:r w:rsidRPr="000D308F" w:rsidR="007A29F1">
        <w:rPr>
          <w:rFonts w:ascii="Verdana" w:hAnsi="Verdana"/>
          <w:b/>
          <w:bCs/>
          <w:sz w:val="18"/>
          <w:szCs w:val="18"/>
        </w:rPr>
        <w:t xml:space="preserve"> (artikelen </w:t>
      </w:r>
      <w:r w:rsidRPr="000D308F" w:rsidR="00BE1371">
        <w:rPr>
          <w:rFonts w:ascii="Verdana" w:hAnsi="Verdana"/>
          <w:b/>
          <w:bCs/>
          <w:sz w:val="18"/>
          <w:szCs w:val="18"/>
        </w:rPr>
        <w:t>31</w:t>
      </w:r>
      <w:r w:rsidRPr="000D308F" w:rsidR="007A29F1">
        <w:rPr>
          <w:rFonts w:ascii="Verdana" w:hAnsi="Verdana"/>
          <w:b/>
          <w:bCs/>
          <w:sz w:val="18"/>
          <w:szCs w:val="18"/>
        </w:rPr>
        <w:t xml:space="preserve"> t/</w:t>
      </w:r>
      <w:r w:rsidRPr="000D308F" w:rsidR="00BE1371">
        <w:rPr>
          <w:rFonts w:ascii="Verdana" w:hAnsi="Verdana"/>
          <w:b/>
          <w:bCs/>
          <w:sz w:val="18"/>
          <w:szCs w:val="18"/>
        </w:rPr>
        <w:t>m 40</w:t>
      </w:r>
      <w:r w:rsidRPr="000D308F" w:rsidR="007A29F1">
        <w:rPr>
          <w:rFonts w:ascii="Verdana" w:hAnsi="Verdana"/>
          <w:b/>
          <w:bCs/>
          <w:sz w:val="18"/>
          <w:szCs w:val="18"/>
        </w:rPr>
        <w:t>)</w:t>
      </w:r>
    </w:p>
    <w:p w:rsidRPr="000D308F" w:rsidR="00A06879" w:rsidP="0023236D" w:rsidRDefault="005A200F" w14:paraId="681B9BFA" w14:textId="3498723C">
      <w:pPr>
        <w:rPr>
          <w:rFonts w:ascii="Verdana" w:hAnsi="Verdana"/>
          <w:sz w:val="18"/>
          <w:szCs w:val="18"/>
        </w:rPr>
      </w:pPr>
      <w:r w:rsidRPr="000D308F">
        <w:rPr>
          <w:rFonts w:ascii="Verdana" w:hAnsi="Verdana"/>
          <w:sz w:val="18"/>
          <w:szCs w:val="18"/>
        </w:rPr>
        <w:t>A</w:t>
      </w:r>
      <w:r w:rsidRPr="000D308F" w:rsidR="0023236D">
        <w:rPr>
          <w:rFonts w:ascii="Verdana" w:hAnsi="Verdana"/>
          <w:sz w:val="18"/>
          <w:szCs w:val="18"/>
        </w:rPr>
        <w:t xml:space="preserve">rtikel 31 </w:t>
      </w:r>
      <w:r w:rsidRPr="000D308F">
        <w:rPr>
          <w:rFonts w:ascii="Verdana" w:hAnsi="Verdana"/>
          <w:sz w:val="18"/>
          <w:szCs w:val="18"/>
        </w:rPr>
        <w:t>stelt</w:t>
      </w:r>
      <w:r w:rsidRPr="000D308F" w:rsidR="0023236D">
        <w:rPr>
          <w:rFonts w:ascii="Verdana" w:hAnsi="Verdana"/>
          <w:sz w:val="18"/>
          <w:szCs w:val="18"/>
        </w:rPr>
        <w:t xml:space="preserve"> dat de </w:t>
      </w:r>
      <w:r w:rsidRPr="000D308F" w:rsidR="00867C80">
        <w:rPr>
          <w:rFonts w:ascii="Verdana" w:hAnsi="Verdana"/>
          <w:sz w:val="18"/>
          <w:szCs w:val="18"/>
        </w:rPr>
        <w:t>p</w:t>
      </w:r>
      <w:r w:rsidRPr="000D308F" w:rsidR="0023236D">
        <w:rPr>
          <w:rFonts w:ascii="Verdana" w:hAnsi="Verdana"/>
          <w:sz w:val="18"/>
          <w:szCs w:val="18"/>
        </w:rPr>
        <w:t xml:space="preserve">artijen </w:t>
      </w:r>
      <w:r w:rsidRPr="000D308F">
        <w:rPr>
          <w:rFonts w:ascii="Verdana" w:hAnsi="Verdana"/>
          <w:sz w:val="18"/>
          <w:szCs w:val="18"/>
        </w:rPr>
        <w:t xml:space="preserve">zullen </w:t>
      </w:r>
      <w:r w:rsidRPr="000D308F" w:rsidR="0023236D">
        <w:rPr>
          <w:rFonts w:ascii="Verdana" w:hAnsi="Verdana"/>
          <w:sz w:val="18"/>
          <w:szCs w:val="18"/>
        </w:rPr>
        <w:t>samenwerk</w:t>
      </w:r>
      <w:r w:rsidRPr="000D308F">
        <w:rPr>
          <w:rFonts w:ascii="Verdana" w:hAnsi="Verdana"/>
          <w:sz w:val="18"/>
          <w:szCs w:val="18"/>
        </w:rPr>
        <w:t xml:space="preserve">en </w:t>
      </w:r>
      <w:r w:rsidRPr="000D308F" w:rsidR="001F6F1D">
        <w:rPr>
          <w:rFonts w:ascii="Verdana" w:hAnsi="Verdana"/>
          <w:sz w:val="18"/>
          <w:szCs w:val="18"/>
        </w:rPr>
        <w:t>op het gebied van</w:t>
      </w:r>
      <w:r w:rsidRPr="000D308F" w:rsidR="0023236D">
        <w:rPr>
          <w:rFonts w:ascii="Verdana" w:hAnsi="Verdana"/>
          <w:sz w:val="18"/>
          <w:szCs w:val="18"/>
        </w:rPr>
        <w:t xml:space="preserve"> veiligheid </w:t>
      </w:r>
      <w:r w:rsidRPr="000D308F">
        <w:rPr>
          <w:rFonts w:ascii="Verdana" w:hAnsi="Verdana"/>
          <w:sz w:val="18"/>
          <w:szCs w:val="18"/>
        </w:rPr>
        <w:t>om</w:t>
      </w:r>
      <w:r w:rsidRPr="000D308F" w:rsidR="0023236D">
        <w:rPr>
          <w:rFonts w:ascii="Verdana" w:hAnsi="Verdana"/>
          <w:sz w:val="18"/>
          <w:szCs w:val="18"/>
        </w:rPr>
        <w:t xml:space="preserve"> vreedzame en veerkrachtige samenlevingen tot stand te brengen.</w:t>
      </w:r>
      <w:r w:rsidRPr="000D308F" w:rsidDel="001F6F1D" w:rsidR="0023236D">
        <w:rPr>
          <w:rFonts w:ascii="Verdana" w:hAnsi="Verdana"/>
          <w:sz w:val="18"/>
          <w:szCs w:val="18"/>
        </w:rPr>
        <w:t xml:space="preserve"> </w:t>
      </w:r>
      <w:r w:rsidRPr="000D308F" w:rsidR="0023236D">
        <w:rPr>
          <w:rFonts w:ascii="Verdana" w:hAnsi="Verdana"/>
          <w:sz w:val="18"/>
          <w:szCs w:val="18"/>
        </w:rPr>
        <w:t xml:space="preserve">In de artikelen </w:t>
      </w:r>
      <w:r w:rsidRPr="000D308F">
        <w:rPr>
          <w:rFonts w:ascii="Verdana" w:hAnsi="Verdana"/>
          <w:sz w:val="18"/>
          <w:szCs w:val="18"/>
        </w:rPr>
        <w:t>32 t/m 35</w:t>
      </w:r>
      <w:r w:rsidRPr="000D308F" w:rsidR="0023236D">
        <w:rPr>
          <w:rFonts w:ascii="Verdana" w:hAnsi="Verdana"/>
          <w:sz w:val="18"/>
          <w:szCs w:val="18"/>
        </w:rPr>
        <w:t xml:space="preserve"> wordt respectievelijk ingegaan op afspraken rondom mensenrechten (artikel 32), de rechtstaat en justitie (artikel 33), goed bestuur (artikel 34), overheidsfinanciën en goed financieel </w:t>
      </w:r>
      <w:r w:rsidRPr="000D308F" w:rsidR="00F64052">
        <w:rPr>
          <w:rFonts w:ascii="Verdana" w:hAnsi="Verdana"/>
          <w:sz w:val="18"/>
          <w:szCs w:val="18"/>
        </w:rPr>
        <w:t xml:space="preserve">bestuur </w:t>
      </w:r>
      <w:r w:rsidRPr="000D308F" w:rsidR="0023236D">
        <w:rPr>
          <w:rFonts w:ascii="Verdana" w:hAnsi="Verdana"/>
          <w:sz w:val="18"/>
          <w:szCs w:val="18"/>
        </w:rPr>
        <w:t xml:space="preserve">(artikel 35). </w:t>
      </w:r>
      <w:r w:rsidRPr="000D308F" w:rsidR="0023236D">
        <w:rPr>
          <w:rFonts w:ascii="Verdana" w:hAnsi="Verdana"/>
          <w:sz w:val="18"/>
          <w:szCs w:val="18"/>
        </w:rPr>
        <w:br/>
      </w:r>
      <w:r w:rsidRPr="000D308F" w:rsidR="0023236D">
        <w:rPr>
          <w:rFonts w:ascii="Verdana" w:hAnsi="Verdana"/>
          <w:sz w:val="18"/>
          <w:szCs w:val="18"/>
        </w:rPr>
        <w:br/>
      </w:r>
      <w:r w:rsidRPr="000D308F" w:rsidR="006E580D">
        <w:rPr>
          <w:rFonts w:ascii="Verdana" w:hAnsi="Verdana"/>
          <w:sz w:val="18"/>
          <w:szCs w:val="18"/>
        </w:rPr>
        <w:t>In a</w:t>
      </w:r>
      <w:r w:rsidRPr="000D308F" w:rsidR="0023236D">
        <w:rPr>
          <w:rFonts w:ascii="Verdana" w:hAnsi="Verdana"/>
          <w:sz w:val="18"/>
          <w:szCs w:val="18"/>
        </w:rPr>
        <w:t xml:space="preserve">rtikel 36 </w:t>
      </w:r>
      <w:r w:rsidRPr="000D308F" w:rsidR="006E580D">
        <w:rPr>
          <w:rFonts w:ascii="Verdana" w:hAnsi="Verdana"/>
          <w:sz w:val="18"/>
          <w:szCs w:val="18"/>
        </w:rPr>
        <w:t>komen</w:t>
      </w:r>
      <w:r w:rsidRPr="000D308F" w:rsidDel="00451D9B" w:rsidR="0023236D">
        <w:rPr>
          <w:rFonts w:ascii="Verdana" w:hAnsi="Verdana"/>
          <w:sz w:val="18"/>
          <w:szCs w:val="18"/>
        </w:rPr>
        <w:t xml:space="preserve"> de partijen </w:t>
      </w:r>
      <w:r w:rsidRPr="000D308F" w:rsidR="006E580D">
        <w:rPr>
          <w:rFonts w:ascii="Verdana" w:hAnsi="Verdana"/>
          <w:sz w:val="18"/>
          <w:szCs w:val="18"/>
        </w:rPr>
        <w:t>overeen te</w:t>
      </w:r>
      <w:r w:rsidRPr="000D308F" w:rsidDel="00451D9B" w:rsidR="00FF278F">
        <w:rPr>
          <w:rFonts w:ascii="Verdana" w:hAnsi="Verdana"/>
          <w:sz w:val="18"/>
          <w:szCs w:val="18"/>
        </w:rPr>
        <w:t xml:space="preserve"> </w:t>
      </w:r>
      <w:r w:rsidRPr="000D308F" w:rsidDel="00451D9B" w:rsidR="0023236D">
        <w:rPr>
          <w:rFonts w:ascii="Verdana" w:hAnsi="Verdana"/>
          <w:sz w:val="18"/>
          <w:szCs w:val="18"/>
        </w:rPr>
        <w:t xml:space="preserve">streven naar </w:t>
      </w:r>
      <w:r w:rsidRPr="000D308F" w:rsidR="0023236D">
        <w:rPr>
          <w:rFonts w:ascii="Verdana" w:hAnsi="Verdana"/>
          <w:sz w:val="18"/>
          <w:szCs w:val="18"/>
        </w:rPr>
        <w:t>een geïntegreerde aanpak die gericht is op het voorkomen en verminderen van criminaliteitsrisico’s en het bevorderen van initiatieven op het gebied van verzoening, rehabilitatie en re-integratie. In artikel 37</w:t>
      </w:r>
      <w:r w:rsidRPr="000D308F" w:rsidDel="00451D9B" w:rsidR="0023236D">
        <w:rPr>
          <w:rFonts w:ascii="Verdana" w:hAnsi="Verdana"/>
          <w:sz w:val="18"/>
          <w:szCs w:val="18"/>
        </w:rPr>
        <w:t xml:space="preserve"> </w:t>
      </w:r>
      <w:r w:rsidRPr="000D308F" w:rsidR="00451D9B">
        <w:rPr>
          <w:rFonts w:ascii="Verdana" w:hAnsi="Verdana"/>
          <w:sz w:val="18"/>
          <w:szCs w:val="18"/>
        </w:rPr>
        <w:t xml:space="preserve">is </w:t>
      </w:r>
      <w:r w:rsidRPr="000D308F" w:rsidR="0023236D">
        <w:rPr>
          <w:rFonts w:ascii="Verdana" w:hAnsi="Verdana"/>
          <w:sz w:val="18"/>
          <w:szCs w:val="18"/>
        </w:rPr>
        <w:t xml:space="preserve">de aanpak van georganiseerde misdaad centraal </w:t>
      </w:r>
      <w:r w:rsidRPr="000D308F" w:rsidR="00451D9B">
        <w:rPr>
          <w:rFonts w:ascii="Verdana" w:hAnsi="Verdana"/>
          <w:sz w:val="18"/>
          <w:szCs w:val="18"/>
        </w:rPr>
        <w:t xml:space="preserve">geregeld </w:t>
      </w:r>
      <w:r w:rsidRPr="000D308F" w:rsidR="0023236D">
        <w:rPr>
          <w:rFonts w:ascii="Verdana" w:hAnsi="Verdana"/>
          <w:sz w:val="18"/>
          <w:szCs w:val="18"/>
        </w:rPr>
        <w:t xml:space="preserve">en in artikel 38 </w:t>
      </w:r>
      <w:r w:rsidRPr="000D308F" w:rsidR="00451D9B">
        <w:rPr>
          <w:rFonts w:ascii="Verdana" w:hAnsi="Verdana"/>
          <w:sz w:val="18"/>
          <w:szCs w:val="18"/>
        </w:rPr>
        <w:t xml:space="preserve">respectievelijk </w:t>
      </w:r>
      <w:r w:rsidRPr="000D308F" w:rsidR="0023236D">
        <w:rPr>
          <w:rFonts w:ascii="Verdana" w:hAnsi="Verdana"/>
          <w:sz w:val="18"/>
          <w:szCs w:val="18"/>
        </w:rPr>
        <w:t xml:space="preserve">de aanpak van illegale drugs. Samenwerking op het gebied van rechtshandhaving en geïntegreerd grensbeheer is geregeld in artikel 39. </w:t>
      </w:r>
      <w:r w:rsidRPr="000D308F" w:rsidR="006E580D">
        <w:rPr>
          <w:rFonts w:ascii="Verdana" w:hAnsi="Verdana"/>
          <w:sz w:val="18"/>
          <w:szCs w:val="18"/>
        </w:rPr>
        <w:t>Artikel 40 heeft</w:t>
      </w:r>
      <w:r w:rsidRPr="000D308F" w:rsidR="00FF278F">
        <w:rPr>
          <w:rFonts w:ascii="Verdana" w:hAnsi="Verdana"/>
          <w:sz w:val="18"/>
          <w:szCs w:val="18"/>
        </w:rPr>
        <w:t xml:space="preserve"> </w:t>
      </w:r>
      <w:r w:rsidRPr="000D308F" w:rsidR="0023236D">
        <w:rPr>
          <w:rFonts w:ascii="Verdana" w:hAnsi="Verdana"/>
          <w:sz w:val="18"/>
          <w:szCs w:val="18"/>
        </w:rPr>
        <w:t xml:space="preserve">betrekking op de veiligheid en beveiliging van de zee- en </w:t>
      </w:r>
      <w:r w:rsidRPr="000D308F" w:rsidR="0023236D">
        <w:rPr>
          <w:rFonts w:ascii="Verdana" w:hAnsi="Verdana"/>
          <w:sz w:val="18"/>
          <w:szCs w:val="18"/>
        </w:rPr>
        <w:lastRenderedPageBreak/>
        <w:t xml:space="preserve">luchtvaart. </w:t>
      </w:r>
      <w:r w:rsidRPr="000D308F" w:rsidR="0023236D">
        <w:rPr>
          <w:rFonts w:ascii="Verdana" w:hAnsi="Verdana"/>
          <w:sz w:val="18"/>
          <w:szCs w:val="18"/>
        </w:rPr>
        <w:br/>
      </w:r>
      <w:r w:rsidRPr="000D308F" w:rsidR="0023236D">
        <w:rPr>
          <w:rFonts w:ascii="Verdana" w:hAnsi="Verdana"/>
          <w:sz w:val="18"/>
          <w:szCs w:val="18"/>
        </w:rPr>
        <w:br/>
      </w:r>
      <w:r w:rsidRPr="000D308F" w:rsidR="0023236D">
        <w:rPr>
          <w:rFonts w:ascii="Verdana" w:hAnsi="Verdana"/>
          <w:b/>
          <w:bCs/>
          <w:sz w:val="18"/>
          <w:szCs w:val="18"/>
        </w:rPr>
        <w:t>Titel IV – Menselijke ontwikkeling, sociale cohesie en mobiliteit</w:t>
      </w:r>
      <w:r w:rsidRPr="000D308F" w:rsidR="007A29F1">
        <w:rPr>
          <w:rFonts w:ascii="Verdana" w:hAnsi="Verdana"/>
          <w:b/>
          <w:bCs/>
          <w:sz w:val="18"/>
          <w:szCs w:val="18"/>
        </w:rPr>
        <w:t xml:space="preserve"> (artikelen </w:t>
      </w:r>
      <w:r w:rsidRPr="000D308F" w:rsidR="00BE1371">
        <w:rPr>
          <w:rFonts w:ascii="Verdana" w:hAnsi="Verdana"/>
          <w:b/>
          <w:bCs/>
          <w:sz w:val="18"/>
          <w:szCs w:val="18"/>
        </w:rPr>
        <w:t xml:space="preserve">41 </w:t>
      </w:r>
      <w:r w:rsidRPr="000D308F" w:rsidR="007A29F1">
        <w:rPr>
          <w:rFonts w:ascii="Verdana" w:hAnsi="Verdana"/>
          <w:b/>
          <w:bCs/>
          <w:sz w:val="18"/>
          <w:szCs w:val="18"/>
        </w:rPr>
        <w:t xml:space="preserve">t/m </w:t>
      </w:r>
      <w:r w:rsidRPr="000D308F" w:rsidR="00BE1371">
        <w:rPr>
          <w:rFonts w:ascii="Verdana" w:hAnsi="Verdana"/>
          <w:b/>
          <w:bCs/>
          <w:sz w:val="18"/>
          <w:szCs w:val="18"/>
        </w:rPr>
        <w:t>51</w:t>
      </w:r>
      <w:r w:rsidRPr="000D308F" w:rsidR="007A29F1">
        <w:rPr>
          <w:rFonts w:ascii="Verdana" w:hAnsi="Verdana"/>
          <w:b/>
          <w:bCs/>
          <w:sz w:val="18"/>
          <w:szCs w:val="18"/>
        </w:rPr>
        <w:t>)</w:t>
      </w:r>
      <w:r w:rsidRPr="000D308F" w:rsidR="0023236D">
        <w:rPr>
          <w:rFonts w:ascii="Verdana" w:hAnsi="Verdana"/>
          <w:sz w:val="18"/>
          <w:szCs w:val="18"/>
        </w:rPr>
        <w:br/>
      </w:r>
      <w:r w:rsidRPr="000D308F" w:rsidR="0023236D">
        <w:rPr>
          <w:rFonts w:ascii="Verdana" w:hAnsi="Verdana"/>
          <w:sz w:val="18"/>
          <w:szCs w:val="18"/>
        </w:rPr>
        <w:br/>
        <w:t xml:space="preserve">Titel IV omvat de artikelen 41 tot 51, waarin uiting wordt gegeven aan bepalingen omtrent menselijke ontwikkeling, sociale cohesie en mobiliteit. </w:t>
      </w:r>
      <w:r w:rsidRPr="000D308F" w:rsidR="00493EAA">
        <w:rPr>
          <w:rFonts w:ascii="Verdana" w:hAnsi="Verdana"/>
          <w:sz w:val="18"/>
          <w:szCs w:val="18"/>
        </w:rPr>
        <w:t xml:space="preserve">In </w:t>
      </w:r>
      <w:r w:rsidRPr="000D308F" w:rsidR="0023236D">
        <w:rPr>
          <w:rFonts w:ascii="Verdana" w:hAnsi="Verdana"/>
          <w:sz w:val="18"/>
          <w:szCs w:val="18"/>
        </w:rPr>
        <w:t xml:space="preserve">artikel 41 </w:t>
      </w:r>
      <w:r w:rsidRPr="000D308F" w:rsidR="00493EAA">
        <w:rPr>
          <w:rFonts w:ascii="Verdana" w:hAnsi="Verdana"/>
          <w:sz w:val="18"/>
          <w:szCs w:val="18"/>
        </w:rPr>
        <w:t xml:space="preserve">is </w:t>
      </w:r>
      <w:r w:rsidRPr="000D308F" w:rsidR="0023236D">
        <w:rPr>
          <w:rFonts w:ascii="Verdana" w:hAnsi="Verdana"/>
          <w:sz w:val="18"/>
          <w:szCs w:val="18"/>
        </w:rPr>
        <w:t>bepaal</w:t>
      </w:r>
      <w:r w:rsidRPr="000D308F" w:rsidR="00FF278F">
        <w:rPr>
          <w:rFonts w:ascii="Verdana" w:hAnsi="Verdana"/>
          <w:sz w:val="18"/>
          <w:szCs w:val="18"/>
        </w:rPr>
        <w:t>d</w:t>
      </w:r>
      <w:r w:rsidRPr="000D308F" w:rsidDel="00493EAA" w:rsidR="0023236D">
        <w:rPr>
          <w:rFonts w:ascii="Verdana" w:hAnsi="Verdana"/>
          <w:sz w:val="18"/>
          <w:szCs w:val="18"/>
        </w:rPr>
        <w:t xml:space="preserve"> </w:t>
      </w:r>
      <w:r w:rsidRPr="000D308F" w:rsidR="0023236D">
        <w:rPr>
          <w:rFonts w:ascii="Verdana" w:hAnsi="Verdana"/>
          <w:sz w:val="18"/>
          <w:szCs w:val="18"/>
        </w:rPr>
        <w:t xml:space="preserve">dat </w:t>
      </w:r>
      <w:r w:rsidRPr="000D308F" w:rsidDel="00493EAA" w:rsidR="0023236D">
        <w:rPr>
          <w:rFonts w:ascii="Verdana" w:hAnsi="Verdana"/>
          <w:sz w:val="18"/>
          <w:szCs w:val="18"/>
        </w:rPr>
        <w:t xml:space="preserve">de </w:t>
      </w:r>
      <w:r w:rsidRPr="000D308F" w:rsidR="0023236D">
        <w:rPr>
          <w:rFonts w:ascii="Verdana" w:hAnsi="Verdana"/>
          <w:sz w:val="18"/>
          <w:szCs w:val="18"/>
        </w:rPr>
        <w:t xml:space="preserve">partijen vastbesloten zijn armoede in </w:t>
      </w:r>
      <w:r w:rsidRPr="000D308F" w:rsidR="00FF278F">
        <w:rPr>
          <w:rFonts w:ascii="Verdana" w:hAnsi="Verdana"/>
          <w:sz w:val="18"/>
          <w:szCs w:val="18"/>
        </w:rPr>
        <w:t>alle</w:t>
      </w:r>
      <w:r w:rsidRPr="000D308F" w:rsidR="0023236D">
        <w:rPr>
          <w:rFonts w:ascii="Verdana" w:hAnsi="Verdana"/>
          <w:sz w:val="18"/>
          <w:szCs w:val="18"/>
        </w:rPr>
        <w:t xml:space="preserve"> vormen uit te bannen</w:t>
      </w:r>
      <w:r w:rsidRPr="000D308F" w:rsidDel="00FF278F" w:rsidR="0023236D">
        <w:rPr>
          <w:rFonts w:ascii="Verdana" w:hAnsi="Verdana"/>
          <w:sz w:val="18"/>
          <w:szCs w:val="18"/>
        </w:rPr>
        <w:t xml:space="preserve"> </w:t>
      </w:r>
      <w:r w:rsidRPr="000D308F" w:rsidR="00FF278F">
        <w:rPr>
          <w:rFonts w:ascii="Verdana" w:hAnsi="Verdana"/>
          <w:sz w:val="18"/>
          <w:szCs w:val="18"/>
        </w:rPr>
        <w:t xml:space="preserve">voor </w:t>
      </w:r>
      <w:r w:rsidRPr="000D308F" w:rsidR="0023236D">
        <w:rPr>
          <w:rFonts w:ascii="Verdana" w:hAnsi="Verdana"/>
          <w:sz w:val="18"/>
          <w:szCs w:val="18"/>
        </w:rPr>
        <w:t>2030, ongelijkheid doeltreffend aan te pakken, gendergelijkheid te bewerkstelligen en de positie van vrouwen en jongeren te versterken</w:t>
      </w:r>
      <w:r w:rsidRPr="000D308F" w:rsidR="00493EAA">
        <w:rPr>
          <w:rFonts w:ascii="Verdana" w:hAnsi="Verdana"/>
          <w:sz w:val="18"/>
          <w:szCs w:val="18"/>
        </w:rPr>
        <w:t>.</w:t>
      </w:r>
      <w:r w:rsidRPr="000D308F" w:rsidR="0023236D">
        <w:rPr>
          <w:rFonts w:ascii="Verdana" w:hAnsi="Verdana"/>
          <w:sz w:val="18"/>
          <w:szCs w:val="18"/>
        </w:rPr>
        <w:t xml:space="preserve"> </w:t>
      </w:r>
      <w:r w:rsidRPr="000D308F" w:rsidR="00493EAA">
        <w:rPr>
          <w:rFonts w:ascii="Verdana" w:hAnsi="Verdana"/>
          <w:sz w:val="18"/>
          <w:szCs w:val="18"/>
        </w:rPr>
        <w:t>A</w:t>
      </w:r>
      <w:r w:rsidRPr="000D308F" w:rsidR="0023236D">
        <w:rPr>
          <w:rFonts w:ascii="Verdana" w:hAnsi="Verdana"/>
          <w:sz w:val="18"/>
          <w:szCs w:val="18"/>
        </w:rPr>
        <w:t xml:space="preserve">rtikel 42 </w:t>
      </w:r>
      <w:r w:rsidRPr="000D308F" w:rsidR="00493EAA">
        <w:rPr>
          <w:rFonts w:ascii="Verdana" w:hAnsi="Verdana"/>
          <w:sz w:val="18"/>
          <w:szCs w:val="18"/>
        </w:rPr>
        <w:t xml:space="preserve">heeft </w:t>
      </w:r>
      <w:r w:rsidRPr="000D308F" w:rsidR="0023236D">
        <w:rPr>
          <w:rFonts w:ascii="Verdana" w:hAnsi="Verdana"/>
          <w:sz w:val="18"/>
          <w:szCs w:val="18"/>
        </w:rPr>
        <w:t>betrekking op onderwijs. Artikel 43 bevat bepalingen over gezondheidszorg. In artikel 44 zijn de partijen overeengekomen dat zij</w:t>
      </w:r>
      <w:r w:rsidRPr="000D308F" w:rsidR="00CA2E17">
        <w:rPr>
          <w:rFonts w:ascii="Verdana" w:hAnsi="Verdana"/>
          <w:sz w:val="18"/>
          <w:szCs w:val="18"/>
        </w:rPr>
        <w:t xml:space="preserve"> </w:t>
      </w:r>
      <w:r w:rsidRPr="000D308F" w:rsidR="0023236D">
        <w:rPr>
          <w:rFonts w:ascii="Verdana" w:hAnsi="Verdana"/>
          <w:sz w:val="18"/>
          <w:szCs w:val="18"/>
        </w:rPr>
        <w:t>de universele toegang tot fatsoenlijke, veilige en betaalbare huisvesting ondersteunen, met bijzondere nadruk op kwetsbare en gemarginaliseerde personen</w:t>
      </w:r>
      <w:r w:rsidRPr="000D308F" w:rsidR="00CA2E17">
        <w:rPr>
          <w:rFonts w:ascii="Verdana" w:hAnsi="Verdana"/>
          <w:sz w:val="18"/>
          <w:szCs w:val="18"/>
        </w:rPr>
        <w:t>.</w:t>
      </w:r>
      <w:r w:rsidRPr="000D308F" w:rsidDel="008D6C29" w:rsidR="0023236D">
        <w:rPr>
          <w:rFonts w:ascii="Verdana" w:hAnsi="Verdana"/>
          <w:sz w:val="18"/>
          <w:szCs w:val="18"/>
        </w:rPr>
        <w:t xml:space="preserve"> </w:t>
      </w:r>
      <w:r w:rsidRPr="000D308F" w:rsidR="0023236D">
        <w:rPr>
          <w:rFonts w:ascii="Verdana" w:hAnsi="Verdana"/>
          <w:sz w:val="18"/>
          <w:szCs w:val="18"/>
        </w:rPr>
        <w:t xml:space="preserve">Artikel 45 gaat respectievelijk over duurzame stedelijke en plattelandsontwikkeling, met bijzondere aandacht voor transparante en gereguleerde landaankoop en eigendomsrechten, duurzame stedelijke mobiliteit en slimme en veilige steden. </w:t>
      </w:r>
      <w:r w:rsidRPr="000D308F" w:rsidR="00CA2E17">
        <w:rPr>
          <w:rFonts w:ascii="Verdana" w:hAnsi="Verdana"/>
          <w:sz w:val="18"/>
          <w:szCs w:val="18"/>
        </w:rPr>
        <w:t>De p</w:t>
      </w:r>
      <w:r w:rsidRPr="000D308F" w:rsidR="0023236D">
        <w:rPr>
          <w:rFonts w:ascii="Verdana" w:hAnsi="Verdana"/>
          <w:sz w:val="18"/>
          <w:szCs w:val="18"/>
        </w:rPr>
        <w:t xml:space="preserve">artijen zijn in artikel 46 overeengekomen dat iedereen toegang </w:t>
      </w:r>
      <w:r w:rsidRPr="000D308F" w:rsidR="00FF278F">
        <w:rPr>
          <w:rFonts w:ascii="Verdana" w:hAnsi="Verdana"/>
          <w:sz w:val="18"/>
          <w:szCs w:val="18"/>
        </w:rPr>
        <w:t xml:space="preserve">dient te hebben </w:t>
      </w:r>
      <w:r w:rsidRPr="000D308F" w:rsidR="0023236D">
        <w:rPr>
          <w:rFonts w:ascii="Verdana" w:hAnsi="Verdana"/>
          <w:sz w:val="18"/>
          <w:szCs w:val="18"/>
        </w:rPr>
        <w:t xml:space="preserve">tot voldoende, betaalbare, veilige en voedzame levensmiddelen, </w:t>
      </w:r>
      <w:r w:rsidRPr="000D308F" w:rsidR="00FF278F">
        <w:rPr>
          <w:rFonts w:ascii="Verdana" w:hAnsi="Verdana"/>
          <w:sz w:val="18"/>
          <w:szCs w:val="18"/>
        </w:rPr>
        <w:t xml:space="preserve">om </w:t>
      </w:r>
      <w:r w:rsidRPr="000D308F" w:rsidR="0023236D">
        <w:rPr>
          <w:rFonts w:ascii="Verdana" w:hAnsi="Verdana"/>
          <w:sz w:val="18"/>
          <w:szCs w:val="18"/>
        </w:rPr>
        <w:t>een einde te maken aan alle vormen van ondervoeding en voedselcrises te voorkomen. Artikel 47</w:t>
      </w:r>
      <w:r w:rsidRPr="000D308F" w:rsidDel="008A7BE5" w:rsidR="0023236D">
        <w:rPr>
          <w:rFonts w:ascii="Verdana" w:hAnsi="Verdana"/>
          <w:sz w:val="18"/>
          <w:szCs w:val="18"/>
        </w:rPr>
        <w:t xml:space="preserve"> </w:t>
      </w:r>
      <w:r w:rsidRPr="000D308F" w:rsidR="0023236D">
        <w:rPr>
          <w:rFonts w:ascii="Verdana" w:hAnsi="Verdana"/>
          <w:sz w:val="18"/>
          <w:szCs w:val="18"/>
        </w:rPr>
        <w:t>heeft betrekking op gelijkheid, sociale bescherming en waardig werk. Artikel 48 gaat in het bijzonder in op gendergelijkheid en versterking van de positie van vrouwen en meisjes, met inachtneming van alle relevante internationale overeenkomsten</w:t>
      </w:r>
      <w:r w:rsidRPr="000D308F" w:rsidR="008A7BE5">
        <w:rPr>
          <w:rFonts w:ascii="Verdana" w:hAnsi="Verdana"/>
          <w:sz w:val="18"/>
          <w:szCs w:val="18"/>
        </w:rPr>
        <w:t>.</w:t>
      </w:r>
      <w:r w:rsidRPr="000D308F" w:rsidR="0023236D">
        <w:rPr>
          <w:rFonts w:ascii="Verdana" w:hAnsi="Verdana"/>
          <w:sz w:val="18"/>
          <w:szCs w:val="18"/>
        </w:rPr>
        <w:t xml:space="preserve"> De </w:t>
      </w:r>
      <w:r w:rsidRPr="000D308F" w:rsidR="004A2F01">
        <w:rPr>
          <w:rFonts w:ascii="Verdana" w:hAnsi="Verdana"/>
          <w:sz w:val="18"/>
          <w:szCs w:val="18"/>
        </w:rPr>
        <w:t>p</w:t>
      </w:r>
      <w:r w:rsidRPr="000D308F" w:rsidR="0023236D">
        <w:rPr>
          <w:rFonts w:ascii="Verdana" w:hAnsi="Verdana"/>
          <w:sz w:val="18"/>
          <w:szCs w:val="18"/>
        </w:rPr>
        <w:t xml:space="preserve">artijen </w:t>
      </w:r>
      <w:r w:rsidRPr="000D308F" w:rsidR="00CE73D1">
        <w:rPr>
          <w:rFonts w:ascii="Verdana" w:hAnsi="Verdana"/>
          <w:sz w:val="18"/>
          <w:szCs w:val="18"/>
        </w:rPr>
        <w:t>zullen tevens</w:t>
      </w:r>
      <w:r w:rsidRPr="000D308F" w:rsidR="0023236D">
        <w:rPr>
          <w:rFonts w:ascii="Verdana" w:hAnsi="Verdana"/>
          <w:sz w:val="18"/>
          <w:szCs w:val="18"/>
        </w:rPr>
        <w:t xml:space="preserve"> gericht beleid </w:t>
      </w:r>
      <w:r w:rsidRPr="000D308F" w:rsidR="00CE73D1">
        <w:rPr>
          <w:rFonts w:ascii="Verdana" w:hAnsi="Verdana"/>
          <w:sz w:val="18"/>
          <w:szCs w:val="18"/>
        </w:rPr>
        <w:t>ontwikkelen</w:t>
      </w:r>
      <w:r w:rsidRPr="000D308F" w:rsidR="0023236D">
        <w:rPr>
          <w:rFonts w:ascii="Verdana" w:hAnsi="Verdana"/>
          <w:sz w:val="18"/>
          <w:szCs w:val="18"/>
        </w:rPr>
        <w:t xml:space="preserve"> ter versterking van de positie van jongeren en faciliteren hun betrokkenheid bij het politieke, sociale, maatschappelijke en economische leven (artikel 49). Daarbij bevorderen de partijen sport en lichamelijke opvoeding als motor voor duurzame ontwikkeling, gezondheid en welzijn, sociale inclusie, non-discriminatie en bevordering van de mensenrechten (artikel 50).</w:t>
      </w:r>
      <w:r w:rsidRPr="000D308F" w:rsidR="0023236D">
        <w:rPr>
          <w:rFonts w:ascii="Verdana" w:hAnsi="Verdana"/>
          <w:sz w:val="18"/>
          <w:szCs w:val="18"/>
        </w:rPr>
        <w:br/>
      </w:r>
      <w:r w:rsidRPr="000D308F" w:rsidR="0023236D">
        <w:rPr>
          <w:rFonts w:ascii="Verdana" w:hAnsi="Verdana"/>
          <w:sz w:val="18"/>
          <w:szCs w:val="18"/>
        </w:rPr>
        <w:br/>
      </w:r>
      <w:r w:rsidRPr="000D308F" w:rsidR="002259B7">
        <w:rPr>
          <w:rFonts w:ascii="Verdana" w:hAnsi="Verdana"/>
          <w:sz w:val="18"/>
          <w:szCs w:val="18"/>
        </w:rPr>
        <w:t>In</w:t>
      </w:r>
      <w:r w:rsidRPr="000D308F" w:rsidR="00EE38A5">
        <w:rPr>
          <w:rFonts w:ascii="Verdana" w:hAnsi="Verdana"/>
          <w:sz w:val="18"/>
          <w:szCs w:val="18"/>
        </w:rPr>
        <w:t xml:space="preserve"> artikel 51</w:t>
      </w:r>
      <w:r w:rsidRPr="000D308F" w:rsidDel="00EE38A5" w:rsidR="0023236D">
        <w:rPr>
          <w:rFonts w:ascii="Verdana" w:hAnsi="Verdana"/>
          <w:sz w:val="18"/>
          <w:szCs w:val="18"/>
        </w:rPr>
        <w:t xml:space="preserve"> </w:t>
      </w:r>
      <w:r w:rsidRPr="000D308F" w:rsidR="0023236D">
        <w:rPr>
          <w:rFonts w:ascii="Verdana" w:hAnsi="Verdana"/>
          <w:sz w:val="18"/>
          <w:szCs w:val="18"/>
        </w:rPr>
        <w:t xml:space="preserve">erkennen </w:t>
      </w:r>
      <w:r w:rsidRPr="000D308F" w:rsidR="002259B7">
        <w:rPr>
          <w:rFonts w:ascii="Verdana" w:hAnsi="Verdana"/>
          <w:sz w:val="18"/>
          <w:szCs w:val="18"/>
        </w:rPr>
        <w:t xml:space="preserve">de </w:t>
      </w:r>
      <w:r w:rsidRPr="000D308F" w:rsidR="005B2972">
        <w:rPr>
          <w:rFonts w:ascii="Verdana" w:hAnsi="Verdana"/>
          <w:sz w:val="18"/>
          <w:szCs w:val="18"/>
        </w:rPr>
        <w:t>partijen</w:t>
      </w:r>
      <w:r w:rsidRPr="000D308F" w:rsidR="0023236D">
        <w:rPr>
          <w:rFonts w:ascii="Verdana" w:hAnsi="Verdana"/>
          <w:sz w:val="18"/>
          <w:szCs w:val="18"/>
        </w:rPr>
        <w:t xml:space="preserve"> de bijdrage van legaal verblijvende migranten en hun diaspora</w:t>
      </w:r>
      <w:r w:rsidRPr="000D308F" w:rsidDel="00EE38A5" w:rsidR="0023236D">
        <w:rPr>
          <w:rFonts w:ascii="Verdana" w:hAnsi="Verdana"/>
          <w:sz w:val="18"/>
          <w:szCs w:val="18"/>
        </w:rPr>
        <w:t xml:space="preserve"> aan het economische, sociale, politieke en culturele leven van hun gastlanden</w:t>
      </w:r>
      <w:r w:rsidRPr="000D308F" w:rsidDel="00EE38A5" w:rsidR="005B2972">
        <w:rPr>
          <w:rFonts w:ascii="Verdana" w:hAnsi="Verdana"/>
          <w:sz w:val="18"/>
          <w:szCs w:val="18"/>
        </w:rPr>
        <w:t xml:space="preserve"> en stipuleren de</w:t>
      </w:r>
      <w:r w:rsidRPr="000D308F" w:rsidDel="00EE38A5" w:rsidR="0023236D">
        <w:rPr>
          <w:rFonts w:ascii="Verdana" w:hAnsi="Verdana"/>
          <w:sz w:val="18"/>
          <w:szCs w:val="18"/>
        </w:rPr>
        <w:t xml:space="preserve"> overweg</w:t>
      </w:r>
      <w:r w:rsidRPr="000D308F" w:rsidDel="00EE38A5" w:rsidR="005B2972">
        <w:rPr>
          <w:rFonts w:ascii="Verdana" w:hAnsi="Verdana"/>
          <w:sz w:val="18"/>
          <w:szCs w:val="18"/>
        </w:rPr>
        <w:t>ing</w:t>
      </w:r>
      <w:r w:rsidRPr="000D308F" w:rsidDel="00EE38A5" w:rsidR="0023236D">
        <w:rPr>
          <w:rFonts w:ascii="Verdana" w:hAnsi="Verdana"/>
          <w:sz w:val="18"/>
          <w:szCs w:val="18"/>
        </w:rPr>
        <w:t xml:space="preserve"> regelingen voor circulaire migratie te ontwikkelen en implementeren</w:t>
      </w:r>
      <w:r w:rsidRPr="000D308F" w:rsidR="002259B7">
        <w:rPr>
          <w:rFonts w:ascii="Verdana" w:hAnsi="Verdana"/>
          <w:sz w:val="18"/>
          <w:szCs w:val="18"/>
        </w:rPr>
        <w:t>.</w:t>
      </w:r>
    </w:p>
    <w:bookmarkEnd w:id="4"/>
    <w:p w:rsidRPr="000D308F" w:rsidR="005A29F1" w:rsidP="00EC4F1D" w:rsidRDefault="00274541" w14:paraId="4639B2EA" w14:textId="182E4C65">
      <w:pPr>
        <w:rPr>
          <w:rFonts w:ascii="Verdana" w:hAnsi="Verdana"/>
          <w:b/>
          <w:bCs/>
          <w:i/>
          <w:iCs/>
          <w:sz w:val="18"/>
          <w:szCs w:val="18"/>
        </w:rPr>
      </w:pPr>
      <w:r w:rsidRPr="000D308F">
        <w:rPr>
          <w:rFonts w:ascii="Verdana" w:hAnsi="Verdana"/>
          <w:b/>
          <w:bCs/>
          <w:i/>
          <w:iCs/>
          <w:sz w:val="18"/>
          <w:szCs w:val="18"/>
        </w:rPr>
        <w:t>Het Regionaal Protocol Stille Oceaan</w:t>
      </w:r>
    </w:p>
    <w:p w:rsidRPr="000D308F" w:rsidR="00084ED8" w:rsidP="00084ED8" w:rsidRDefault="00084ED8" w14:paraId="4C89504C" w14:textId="77777777">
      <w:pPr>
        <w:rPr>
          <w:rFonts w:ascii="Verdana" w:hAnsi="Verdana"/>
          <w:b/>
          <w:bCs/>
          <w:sz w:val="18"/>
          <w:szCs w:val="18"/>
        </w:rPr>
      </w:pPr>
      <w:r w:rsidRPr="000D308F">
        <w:rPr>
          <w:rFonts w:ascii="Verdana" w:hAnsi="Verdana"/>
          <w:b/>
          <w:bCs/>
          <w:sz w:val="18"/>
          <w:szCs w:val="18"/>
        </w:rPr>
        <w:t>Deel I – Samenwerkingskader</w:t>
      </w:r>
    </w:p>
    <w:p w:rsidRPr="000D308F" w:rsidR="00EB55C7" w:rsidP="00EB55C7" w:rsidRDefault="00EB55C7" w14:paraId="7CBA4FBC" w14:textId="0F213604">
      <w:pPr>
        <w:rPr>
          <w:rFonts w:ascii="Verdana" w:hAnsi="Verdana"/>
          <w:sz w:val="18"/>
          <w:szCs w:val="18"/>
          <w:u w:val="single"/>
        </w:rPr>
      </w:pPr>
      <w:r w:rsidRPr="000D308F">
        <w:rPr>
          <w:rFonts w:ascii="Verdana" w:hAnsi="Verdana"/>
          <w:sz w:val="18"/>
          <w:szCs w:val="18"/>
          <w:u w:val="single"/>
        </w:rPr>
        <w:t>Hoofdstuk 1 aard en toepassing</w:t>
      </w:r>
    </w:p>
    <w:p w:rsidRPr="000D308F" w:rsidR="00EB55C7" w:rsidP="00EB55C7" w:rsidRDefault="00EB55C7" w14:paraId="0FC39F8B" w14:textId="0C25A090">
      <w:pPr>
        <w:rPr>
          <w:rFonts w:ascii="Verdana" w:hAnsi="Verdana"/>
          <w:sz w:val="18"/>
          <w:szCs w:val="18"/>
          <w:u w:val="single"/>
        </w:rPr>
      </w:pPr>
      <w:r w:rsidRPr="000D308F">
        <w:rPr>
          <w:rFonts w:ascii="Verdana" w:hAnsi="Verdana"/>
          <w:sz w:val="18"/>
          <w:szCs w:val="18"/>
        </w:rPr>
        <w:t>Artikel 1 stipuleert dat in dit protocol onder</w:t>
      </w:r>
      <w:r w:rsidRPr="000D308F" w:rsidDel="00636C7A">
        <w:rPr>
          <w:rFonts w:ascii="Verdana" w:hAnsi="Verdana"/>
          <w:sz w:val="18"/>
          <w:szCs w:val="18"/>
        </w:rPr>
        <w:t xml:space="preserve"> </w:t>
      </w:r>
      <w:r w:rsidRPr="000D308F">
        <w:rPr>
          <w:rFonts w:ascii="Verdana" w:hAnsi="Verdana"/>
          <w:sz w:val="18"/>
          <w:szCs w:val="18"/>
        </w:rPr>
        <w:t xml:space="preserve">“partijen” de gebonden partijen conform artikel 6 van het algemene deel wordt verstaan. De partijen zijn overeengekomen dat dit </w:t>
      </w:r>
      <w:r w:rsidRPr="000D308F" w:rsidR="007861FD">
        <w:rPr>
          <w:rFonts w:ascii="Verdana" w:hAnsi="Verdana"/>
          <w:sz w:val="18"/>
          <w:szCs w:val="18"/>
        </w:rPr>
        <w:t xml:space="preserve">protocol </w:t>
      </w:r>
      <w:r w:rsidRPr="000D308F">
        <w:rPr>
          <w:rFonts w:ascii="Verdana" w:hAnsi="Verdana"/>
          <w:sz w:val="18"/>
          <w:szCs w:val="18"/>
        </w:rPr>
        <w:t xml:space="preserve">in aanvulling op het algemene deel wordt uitgevoerd met het oog op de bevordering van gedeelde waarden, gemeenschappelijke belangen, verantwoordelijkheden en verplichtingen. De </w:t>
      </w:r>
      <w:r w:rsidRPr="000D308F" w:rsidR="004A2F01">
        <w:rPr>
          <w:rFonts w:ascii="Verdana" w:hAnsi="Verdana"/>
          <w:sz w:val="18"/>
          <w:szCs w:val="18"/>
        </w:rPr>
        <w:t>p</w:t>
      </w:r>
      <w:r w:rsidRPr="000D308F">
        <w:rPr>
          <w:rFonts w:ascii="Verdana" w:hAnsi="Verdana"/>
          <w:sz w:val="18"/>
          <w:szCs w:val="18"/>
        </w:rPr>
        <w:t>artijen streven er daarbij naar om</w:t>
      </w:r>
      <w:r w:rsidRPr="000D308F" w:rsidR="007861FD">
        <w:rPr>
          <w:rFonts w:ascii="Verdana" w:hAnsi="Verdana"/>
          <w:sz w:val="18"/>
          <w:szCs w:val="18"/>
        </w:rPr>
        <w:t xml:space="preserve"> </w:t>
      </w:r>
      <w:r w:rsidRPr="000D308F">
        <w:rPr>
          <w:rFonts w:ascii="Verdana" w:hAnsi="Verdana"/>
          <w:sz w:val="18"/>
          <w:szCs w:val="18"/>
        </w:rPr>
        <w:t xml:space="preserve">door middel van partnerschapsdialogen strategische coalities af te sluiten voor een aantal mondiale kwesties, </w:t>
      </w:r>
      <w:r w:rsidRPr="000D308F" w:rsidR="00F10ED5">
        <w:rPr>
          <w:rFonts w:ascii="Verdana" w:hAnsi="Verdana"/>
          <w:sz w:val="18"/>
          <w:szCs w:val="18"/>
        </w:rPr>
        <w:t>onder andere inzake</w:t>
      </w:r>
      <w:r w:rsidRPr="000D308F">
        <w:rPr>
          <w:rFonts w:ascii="Verdana" w:hAnsi="Verdana"/>
          <w:sz w:val="18"/>
          <w:szCs w:val="18"/>
        </w:rPr>
        <w:t xml:space="preserve"> klimaatverandering, oceaan</w:t>
      </w:r>
      <w:r w:rsidRPr="000D308F" w:rsidR="008871C5">
        <w:rPr>
          <w:rFonts w:ascii="Verdana" w:hAnsi="Verdana"/>
          <w:sz w:val="18"/>
          <w:szCs w:val="18"/>
        </w:rPr>
        <w:t xml:space="preserve"> </w:t>
      </w:r>
      <w:proofErr w:type="spellStart"/>
      <w:r w:rsidRPr="000D308F">
        <w:rPr>
          <w:rFonts w:ascii="Verdana" w:hAnsi="Verdana"/>
          <w:i/>
          <w:iCs/>
          <w:sz w:val="18"/>
          <w:szCs w:val="18"/>
        </w:rPr>
        <w:t>governance</w:t>
      </w:r>
      <w:proofErr w:type="spellEnd"/>
      <w:r w:rsidRPr="000D308F">
        <w:rPr>
          <w:rFonts w:ascii="Verdana" w:hAnsi="Verdana"/>
          <w:sz w:val="18"/>
          <w:szCs w:val="18"/>
        </w:rPr>
        <w:t>, biodiversiteit, inclusieve en duurzame economische ontwikkeling, mensenrechten en kwesties in verband met vrede en veiligheid (artikel 2).</w:t>
      </w:r>
      <w:r w:rsidRPr="000D308F">
        <w:rPr>
          <w:rFonts w:ascii="Verdana" w:hAnsi="Verdana"/>
          <w:sz w:val="18"/>
          <w:szCs w:val="18"/>
        </w:rPr>
        <w:br/>
      </w:r>
      <w:r w:rsidRPr="000D308F">
        <w:rPr>
          <w:rFonts w:ascii="Verdana" w:hAnsi="Verdana"/>
          <w:sz w:val="18"/>
          <w:szCs w:val="18"/>
        </w:rPr>
        <w:br/>
        <w:t>In artikel 3 herbevestigen de partijen opnieuw het brede en omvattende karakter van dit prot</w:t>
      </w:r>
      <w:r w:rsidRPr="000D308F" w:rsidR="004F1284">
        <w:rPr>
          <w:rFonts w:ascii="Verdana" w:hAnsi="Verdana"/>
          <w:sz w:val="18"/>
          <w:szCs w:val="18"/>
        </w:rPr>
        <w:t>o</w:t>
      </w:r>
      <w:r w:rsidRPr="000D308F">
        <w:rPr>
          <w:rFonts w:ascii="Verdana" w:hAnsi="Verdana"/>
          <w:sz w:val="18"/>
          <w:szCs w:val="18"/>
        </w:rPr>
        <w:t xml:space="preserve">col. De strategische prioriteiten in dit protocol zijn </w:t>
      </w:r>
      <w:r w:rsidRPr="000D308F" w:rsidDel="004C61F9">
        <w:rPr>
          <w:rFonts w:ascii="Verdana" w:hAnsi="Verdana"/>
          <w:sz w:val="18"/>
          <w:szCs w:val="18"/>
        </w:rPr>
        <w:t xml:space="preserve">het versterken van politieke partnerschappen, het verdiepen en verduurzamen van economische activiteiten, het nastreven en verbeteren van de ecologische duurzaamheid </w:t>
      </w:r>
      <w:r w:rsidRPr="000D308F" w:rsidR="00FE7463">
        <w:rPr>
          <w:rFonts w:ascii="Verdana" w:hAnsi="Verdana"/>
          <w:sz w:val="18"/>
          <w:szCs w:val="18"/>
        </w:rPr>
        <w:t xml:space="preserve">en </w:t>
      </w:r>
      <w:r w:rsidRPr="000D308F" w:rsidDel="004C61F9">
        <w:rPr>
          <w:rFonts w:ascii="Verdana" w:hAnsi="Verdana"/>
          <w:sz w:val="18"/>
          <w:szCs w:val="18"/>
        </w:rPr>
        <w:t xml:space="preserve">klimaatveerkracht, het opbouwen van inclusieve, vreedzame en veilige samenlevingen </w:t>
      </w:r>
      <w:r w:rsidRPr="000D308F" w:rsidR="00FE7463">
        <w:rPr>
          <w:rFonts w:ascii="Verdana" w:hAnsi="Verdana"/>
          <w:sz w:val="18"/>
          <w:szCs w:val="18"/>
        </w:rPr>
        <w:t>en</w:t>
      </w:r>
      <w:r w:rsidRPr="000D308F" w:rsidDel="004C61F9">
        <w:rPr>
          <w:rFonts w:ascii="Verdana" w:hAnsi="Verdana"/>
          <w:sz w:val="18"/>
          <w:szCs w:val="18"/>
        </w:rPr>
        <w:t xml:space="preserve"> het investeren in menselijke en sociale ontwikkeling. </w:t>
      </w:r>
      <w:r w:rsidRPr="000D308F" w:rsidDel="004C61F9">
        <w:rPr>
          <w:rFonts w:ascii="Verdana" w:hAnsi="Verdana"/>
          <w:sz w:val="18"/>
          <w:szCs w:val="18"/>
        </w:rPr>
        <w:br/>
      </w:r>
      <w:r w:rsidRPr="000D308F">
        <w:rPr>
          <w:rFonts w:ascii="Verdana" w:hAnsi="Verdana"/>
          <w:sz w:val="18"/>
          <w:szCs w:val="18"/>
        </w:rPr>
        <w:br/>
        <w:t xml:space="preserve">De </w:t>
      </w:r>
      <w:r w:rsidRPr="000D308F" w:rsidR="004A2F01">
        <w:rPr>
          <w:rFonts w:ascii="Verdana" w:hAnsi="Verdana"/>
          <w:sz w:val="18"/>
          <w:szCs w:val="18"/>
        </w:rPr>
        <w:t>p</w:t>
      </w:r>
      <w:r w:rsidRPr="000D308F">
        <w:rPr>
          <w:rFonts w:ascii="Verdana" w:hAnsi="Verdana"/>
          <w:sz w:val="18"/>
          <w:szCs w:val="18"/>
        </w:rPr>
        <w:t xml:space="preserve">artijen ondersteunen in </w:t>
      </w:r>
      <w:r w:rsidRPr="000D308F" w:rsidR="00F64052">
        <w:rPr>
          <w:rFonts w:ascii="Verdana" w:hAnsi="Verdana"/>
          <w:sz w:val="18"/>
          <w:szCs w:val="18"/>
        </w:rPr>
        <w:t>artikel 4</w:t>
      </w:r>
      <w:r w:rsidRPr="000D308F">
        <w:rPr>
          <w:rFonts w:ascii="Verdana" w:hAnsi="Verdana"/>
          <w:sz w:val="18"/>
          <w:szCs w:val="18"/>
        </w:rPr>
        <w:t xml:space="preserve"> het proces van regionale integratie en samenwerking in de Stille Oceaan. In aanvulling </w:t>
      </w:r>
      <w:r w:rsidRPr="000D308F" w:rsidR="00631368">
        <w:rPr>
          <w:rFonts w:ascii="Verdana" w:hAnsi="Verdana"/>
          <w:sz w:val="18"/>
          <w:szCs w:val="18"/>
        </w:rPr>
        <w:t>zullen de partijen</w:t>
      </w:r>
      <w:r w:rsidRPr="000D308F">
        <w:rPr>
          <w:rFonts w:ascii="Verdana" w:hAnsi="Verdana"/>
          <w:sz w:val="18"/>
          <w:szCs w:val="18"/>
        </w:rPr>
        <w:t xml:space="preserve"> Zuid-Zuid- en </w:t>
      </w:r>
      <w:r w:rsidRPr="000D308F" w:rsidR="000B654A">
        <w:rPr>
          <w:rFonts w:ascii="Verdana" w:hAnsi="Verdana"/>
          <w:sz w:val="18"/>
          <w:szCs w:val="18"/>
        </w:rPr>
        <w:t>driehoek-samenwerking</w:t>
      </w:r>
      <w:r w:rsidRPr="000D308F">
        <w:rPr>
          <w:rFonts w:ascii="Verdana" w:hAnsi="Verdana"/>
          <w:sz w:val="18"/>
          <w:szCs w:val="18"/>
        </w:rPr>
        <w:t xml:space="preserve"> bevorderen.</w:t>
      </w:r>
      <w:r w:rsidRPr="000D308F">
        <w:rPr>
          <w:rFonts w:ascii="Verdana" w:hAnsi="Verdana"/>
          <w:sz w:val="18"/>
          <w:szCs w:val="18"/>
        </w:rPr>
        <w:br/>
      </w:r>
      <w:r w:rsidRPr="000D308F">
        <w:rPr>
          <w:rFonts w:ascii="Verdana" w:hAnsi="Verdana"/>
          <w:sz w:val="18"/>
          <w:szCs w:val="18"/>
        </w:rPr>
        <w:br/>
      </w:r>
      <w:r w:rsidRPr="000D308F">
        <w:rPr>
          <w:rFonts w:ascii="Verdana" w:hAnsi="Verdana"/>
          <w:sz w:val="18"/>
          <w:szCs w:val="18"/>
          <w:u w:val="single"/>
        </w:rPr>
        <w:t>Hoofdstuk 2 actoren en processen</w:t>
      </w:r>
    </w:p>
    <w:p w:rsidRPr="000D308F" w:rsidR="00084ED8" w:rsidP="00EB55C7" w:rsidRDefault="00FE2CFD" w14:paraId="4ADA5F5B" w14:textId="62E28D04">
      <w:pPr>
        <w:rPr>
          <w:rFonts w:ascii="Verdana" w:hAnsi="Verdana"/>
          <w:sz w:val="18"/>
          <w:szCs w:val="18"/>
        </w:rPr>
      </w:pPr>
      <w:r w:rsidRPr="000D308F">
        <w:rPr>
          <w:rFonts w:ascii="Verdana" w:hAnsi="Verdana"/>
          <w:sz w:val="18"/>
          <w:szCs w:val="18"/>
        </w:rPr>
        <w:t>A</w:t>
      </w:r>
      <w:r w:rsidRPr="000D308F" w:rsidR="00EB55C7">
        <w:rPr>
          <w:rFonts w:ascii="Verdana" w:hAnsi="Verdana"/>
          <w:sz w:val="18"/>
          <w:szCs w:val="18"/>
        </w:rPr>
        <w:t xml:space="preserve">rtikel 5 </w:t>
      </w:r>
      <w:r w:rsidRPr="000D308F">
        <w:rPr>
          <w:rFonts w:ascii="Verdana" w:hAnsi="Verdana"/>
          <w:sz w:val="18"/>
          <w:szCs w:val="18"/>
        </w:rPr>
        <w:t>zet</w:t>
      </w:r>
      <w:r w:rsidRPr="000D308F" w:rsidR="00EB55C7">
        <w:rPr>
          <w:rFonts w:ascii="Verdana" w:hAnsi="Verdana"/>
          <w:sz w:val="18"/>
          <w:szCs w:val="18"/>
        </w:rPr>
        <w:t xml:space="preserve"> de verschillende gezamenlijke instellingen van dit protocol uiteen. Deze zijn als volgt: a) de Raad van Ministers Stille Oceaan-EU; b) het Gemengd Comité Stille Oceaan-EU; c) de Parlementaire Vergadering Stille Oceaan-EU. De partijen kunnen daarbij besluiten te vergaderen op het niveau van de staatshoofden of regeringsleiders. Ook </w:t>
      </w:r>
      <w:r w:rsidRPr="000D308F">
        <w:rPr>
          <w:rFonts w:ascii="Verdana" w:hAnsi="Verdana"/>
          <w:sz w:val="18"/>
          <w:szCs w:val="18"/>
        </w:rPr>
        <w:t>komen</w:t>
      </w:r>
      <w:r w:rsidRPr="000D308F" w:rsidR="00EB55C7">
        <w:rPr>
          <w:rFonts w:ascii="Verdana" w:hAnsi="Verdana"/>
          <w:sz w:val="18"/>
          <w:szCs w:val="18"/>
        </w:rPr>
        <w:t xml:space="preserve"> de partijen overeen de banden aan</w:t>
      </w:r>
      <w:r w:rsidRPr="000D308F">
        <w:rPr>
          <w:rFonts w:ascii="Verdana" w:hAnsi="Verdana"/>
          <w:sz w:val="18"/>
          <w:szCs w:val="18"/>
        </w:rPr>
        <w:t xml:space="preserve"> te </w:t>
      </w:r>
      <w:r w:rsidRPr="000D308F" w:rsidR="00EB55C7">
        <w:rPr>
          <w:rFonts w:ascii="Verdana" w:hAnsi="Verdana"/>
          <w:sz w:val="18"/>
          <w:szCs w:val="18"/>
        </w:rPr>
        <w:t xml:space="preserve">halen tussen de met de </w:t>
      </w:r>
      <w:r w:rsidRPr="000D308F" w:rsidR="006B7552">
        <w:rPr>
          <w:rFonts w:ascii="Verdana" w:hAnsi="Verdana"/>
          <w:sz w:val="18"/>
          <w:szCs w:val="18"/>
        </w:rPr>
        <w:t>LGO</w:t>
      </w:r>
      <w:r w:rsidRPr="000D308F" w:rsidR="00EB55C7">
        <w:rPr>
          <w:rFonts w:ascii="Verdana" w:hAnsi="Verdana"/>
          <w:sz w:val="18"/>
          <w:szCs w:val="18"/>
        </w:rPr>
        <w:t xml:space="preserve"> en de OACPS-leden in de Stille Oceaan (artikel 6). Artikel 7 </w:t>
      </w:r>
      <w:r w:rsidRPr="000D308F" w:rsidR="00EB55C7">
        <w:rPr>
          <w:rFonts w:ascii="Verdana" w:hAnsi="Verdana"/>
          <w:sz w:val="18"/>
          <w:szCs w:val="18"/>
        </w:rPr>
        <w:lastRenderedPageBreak/>
        <w:t xml:space="preserve">schrijft voor dat de </w:t>
      </w:r>
      <w:r w:rsidRPr="000D308F" w:rsidR="004A2F01">
        <w:rPr>
          <w:rFonts w:ascii="Verdana" w:hAnsi="Verdana"/>
          <w:sz w:val="18"/>
          <w:szCs w:val="18"/>
        </w:rPr>
        <w:t>p</w:t>
      </w:r>
      <w:r w:rsidRPr="000D308F" w:rsidR="00EB55C7">
        <w:rPr>
          <w:rFonts w:ascii="Verdana" w:hAnsi="Verdana"/>
          <w:sz w:val="18"/>
          <w:szCs w:val="18"/>
        </w:rPr>
        <w:t xml:space="preserve">artijen overleg- en dialoogmechanismen instellen met alle relevante </w:t>
      </w:r>
      <w:r w:rsidRPr="000D308F" w:rsidR="00125FB0">
        <w:rPr>
          <w:rFonts w:ascii="Verdana" w:hAnsi="Verdana"/>
          <w:sz w:val="18"/>
          <w:szCs w:val="18"/>
        </w:rPr>
        <w:t>belanghebbenden</w:t>
      </w:r>
      <w:r w:rsidRPr="000D308F" w:rsidR="00EB55C7">
        <w:rPr>
          <w:rFonts w:ascii="Verdana" w:hAnsi="Verdana"/>
          <w:sz w:val="18"/>
          <w:szCs w:val="18"/>
        </w:rPr>
        <w:t xml:space="preserve"> om hen op de hoogte te houden van</w:t>
      </w:r>
      <w:r w:rsidRPr="000D308F">
        <w:rPr>
          <w:rFonts w:ascii="Verdana" w:hAnsi="Verdana"/>
          <w:sz w:val="18"/>
          <w:szCs w:val="18"/>
        </w:rPr>
        <w:t>,</w:t>
      </w:r>
      <w:r w:rsidRPr="000D308F" w:rsidR="00EB55C7">
        <w:rPr>
          <w:rFonts w:ascii="Verdana" w:hAnsi="Verdana"/>
          <w:sz w:val="18"/>
          <w:szCs w:val="18"/>
        </w:rPr>
        <w:t xml:space="preserve"> en input te verzamelen voor</w:t>
      </w:r>
      <w:r w:rsidRPr="000D308F">
        <w:rPr>
          <w:rFonts w:ascii="Verdana" w:hAnsi="Verdana"/>
          <w:sz w:val="18"/>
          <w:szCs w:val="18"/>
        </w:rPr>
        <w:t>,</w:t>
      </w:r>
      <w:r w:rsidRPr="000D308F" w:rsidR="00EB55C7">
        <w:rPr>
          <w:rFonts w:ascii="Verdana" w:hAnsi="Verdana"/>
          <w:sz w:val="18"/>
          <w:szCs w:val="18"/>
        </w:rPr>
        <w:t xml:space="preserve"> de doeltreffende uitvoering van dit </w:t>
      </w:r>
      <w:r w:rsidRPr="000D308F" w:rsidR="00B40909">
        <w:rPr>
          <w:rFonts w:ascii="Verdana" w:hAnsi="Verdana"/>
          <w:sz w:val="18"/>
          <w:szCs w:val="18"/>
        </w:rPr>
        <w:t>p</w:t>
      </w:r>
      <w:r w:rsidRPr="000D308F" w:rsidR="00EB55C7">
        <w:rPr>
          <w:rFonts w:ascii="Verdana" w:hAnsi="Verdana"/>
          <w:sz w:val="18"/>
          <w:szCs w:val="18"/>
        </w:rPr>
        <w:t>rotocol</w:t>
      </w:r>
      <w:r w:rsidRPr="000D308F">
        <w:rPr>
          <w:rFonts w:ascii="Verdana" w:hAnsi="Verdana"/>
          <w:sz w:val="18"/>
          <w:szCs w:val="18"/>
        </w:rPr>
        <w:t>.</w:t>
      </w:r>
      <w:r w:rsidRPr="000D308F" w:rsidR="00EB55C7">
        <w:rPr>
          <w:rFonts w:ascii="Verdana" w:hAnsi="Verdana"/>
          <w:sz w:val="18"/>
          <w:szCs w:val="18"/>
        </w:rPr>
        <w:t xml:space="preserve"> </w:t>
      </w:r>
      <w:r w:rsidRPr="000D308F" w:rsidR="00EB55C7">
        <w:rPr>
          <w:rFonts w:ascii="Verdana" w:hAnsi="Verdana"/>
          <w:sz w:val="18"/>
          <w:szCs w:val="18"/>
        </w:rPr>
        <w:br/>
      </w:r>
      <w:r w:rsidRPr="000D308F" w:rsidR="00EB55C7">
        <w:rPr>
          <w:rFonts w:ascii="Verdana" w:hAnsi="Verdana"/>
          <w:sz w:val="18"/>
          <w:szCs w:val="18"/>
        </w:rPr>
        <w:br/>
      </w:r>
      <w:r w:rsidRPr="000D308F" w:rsidR="00E777D6">
        <w:rPr>
          <w:rFonts w:ascii="Verdana" w:hAnsi="Verdana"/>
          <w:sz w:val="18"/>
          <w:szCs w:val="18"/>
        </w:rPr>
        <w:t>A</w:t>
      </w:r>
      <w:r w:rsidRPr="000D308F" w:rsidR="00BA5D0B">
        <w:rPr>
          <w:rFonts w:ascii="Verdana" w:hAnsi="Verdana"/>
          <w:sz w:val="18"/>
          <w:szCs w:val="18"/>
        </w:rPr>
        <w:t xml:space="preserve">rtikel 8 </w:t>
      </w:r>
      <w:r w:rsidRPr="000D308F" w:rsidR="00E777D6">
        <w:rPr>
          <w:rFonts w:ascii="Verdana" w:hAnsi="Verdana"/>
          <w:sz w:val="18"/>
          <w:szCs w:val="18"/>
        </w:rPr>
        <w:t>stelt</w:t>
      </w:r>
      <w:r w:rsidRPr="000D308F" w:rsidR="00BA5D0B">
        <w:rPr>
          <w:rFonts w:ascii="Verdana" w:hAnsi="Verdana"/>
          <w:sz w:val="18"/>
          <w:szCs w:val="18"/>
        </w:rPr>
        <w:t xml:space="preserve"> dat de </w:t>
      </w:r>
      <w:r w:rsidRPr="000D308F" w:rsidR="004A2F01">
        <w:rPr>
          <w:rFonts w:ascii="Verdana" w:hAnsi="Verdana"/>
          <w:sz w:val="18"/>
          <w:szCs w:val="18"/>
        </w:rPr>
        <w:t>p</w:t>
      </w:r>
      <w:r w:rsidRPr="000D308F" w:rsidR="00BA5D0B">
        <w:rPr>
          <w:rFonts w:ascii="Verdana" w:hAnsi="Verdana"/>
          <w:sz w:val="18"/>
          <w:szCs w:val="18"/>
        </w:rPr>
        <w:t xml:space="preserve">artijen hun verbintenissen uitvoeren op het meest geschikte niveau, in overeenstemming met hun respectieve strategische en beleidskaders. De </w:t>
      </w:r>
      <w:r w:rsidRPr="000D308F" w:rsidR="004A2F01">
        <w:rPr>
          <w:rFonts w:ascii="Verdana" w:hAnsi="Verdana"/>
          <w:sz w:val="18"/>
          <w:szCs w:val="18"/>
        </w:rPr>
        <w:t>p</w:t>
      </w:r>
      <w:r w:rsidRPr="000D308F" w:rsidR="00BA5D0B">
        <w:rPr>
          <w:rFonts w:ascii="Verdana" w:hAnsi="Verdana"/>
          <w:sz w:val="18"/>
          <w:szCs w:val="18"/>
        </w:rPr>
        <w:t xml:space="preserve">artijen monitoren dit </w:t>
      </w:r>
      <w:r w:rsidRPr="000D308F" w:rsidR="007861FD">
        <w:rPr>
          <w:rFonts w:ascii="Verdana" w:hAnsi="Verdana"/>
          <w:sz w:val="18"/>
          <w:szCs w:val="18"/>
        </w:rPr>
        <w:t xml:space="preserve">protocol </w:t>
      </w:r>
      <w:r w:rsidRPr="000D308F" w:rsidR="00BA5D0B">
        <w:rPr>
          <w:rFonts w:ascii="Verdana" w:hAnsi="Verdana"/>
          <w:sz w:val="18"/>
          <w:szCs w:val="18"/>
        </w:rPr>
        <w:t>om ervoor te zorgen dat de acties en maatregelen doeltreffend en doelmatig worden uitgevoerd</w:t>
      </w:r>
      <w:r w:rsidRPr="000D308F" w:rsidR="00F6421A">
        <w:rPr>
          <w:rFonts w:ascii="Verdana" w:hAnsi="Verdana"/>
          <w:sz w:val="18"/>
          <w:szCs w:val="18"/>
        </w:rPr>
        <w:t>.</w:t>
      </w:r>
      <w:r w:rsidRPr="000D308F" w:rsidR="00BA5D0B">
        <w:rPr>
          <w:rFonts w:ascii="Verdana" w:hAnsi="Verdana"/>
          <w:sz w:val="18"/>
          <w:szCs w:val="18"/>
        </w:rPr>
        <w:t xml:space="preserve"> </w:t>
      </w:r>
      <w:r w:rsidRPr="000D308F" w:rsidR="00F6421A">
        <w:rPr>
          <w:rFonts w:ascii="Verdana" w:hAnsi="Verdana"/>
          <w:sz w:val="18"/>
          <w:szCs w:val="18"/>
        </w:rPr>
        <w:t>De partijen</w:t>
      </w:r>
      <w:r w:rsidRPr="000D308F" w:rsidDel="00F6421A" w:rsidR="00BA5D0B">
        <w:rPr>
          <w:rFonts w:ascii="Verdana" w:hAnsi="Verdana"/>
          <w:sz w:val="18"/>
          <w:szCs w:val="18"/>
        </w:rPr>
        <w:t xml:space="preserve"> </w:t>
      </w:r>
      <w:r w:rsidRPr="000D308F" w:rsidR="00BA5D0B">
        <w:rPr>
          <w:rFonts w:ascii="Verdana" w:hAnsi="Verdana"/>
          <w:sz w:val="18"/>
          <w:szCs w:val="18"/>
        </w:rPr>
        <w:t xml:space="preserve">kunnen het </w:t>
      </w:r>
      <w:r w:rsidRPr="000D308F" w:rsidR="00B40909">
        <w:rPr>
          <w:rFonts w:ascii="Verdana" w:hAnsi="Verdana"/>
          <w:sz w:val="18"/>
          <w:szCs w:val="18"/>
        </w:rPr>
        <w:t xml:space="preserve">protocol </w:t>
      </w:r>
      <w:r w:rsidRPr="000D308F" w:rsidR="00BA5D0B">
        <w:rPr>
          <w:rFonts w:ascii="Verdana" w:hAnsi="Verdana"/>
          <w:sz w:val="18"/>
          <w:szCs w:val="18"/>
        </w:rPr>
        <w:t xml:space="preserve">aanpassen aan veranderende omstandigheden en het toepassingsgebied van de samenwerking uitbreiden, overeenkomstig de procedure van artikel 99, </w:t>
      </w:r>
      <w:r w:rsidRPr="000D308F" w:rsidR="00B76661">
        <w:rPr>
          <w:rFonts w:ascii="Verdana" w:hAnsi="Verdana"/>
          <w:sz w:val="18"/>
          <w:szCs w:val="18"/>
        </w:rPr>
        <w:t>vijfde lid</w:t>
      </w:r>
      <w:r w:rsidRPr="000D308F" w:rsidR="00BA5D0B">
        <w:rPr>
          <w:rFonts w:ascii="Verdana" w:hAnsi="Verdana"/>
          <w:sz w:val="18"/>
          <w:szCs w:val="18"/>
        </w:rPr>
        <w:t xml:space="preserve">, van het algemene deel van deze </w:t>
      </w:r>
      <w:r w:rsidRPr="000D308F" w:rsidR="005105A2">
        <w:rPr>
          <w:rFonts w:ascii="Verdana" w:hAnsi="Verdana"/>
          <w:sz w:val="18"/>
          <w:szCs w:val="18"/>
        </w:rPr>
        <w:t>overeenkomst</w:t>
      </w:r>
      <w:r w:rsidRPr="000D308F" w:rsidR="00BA5D0B">
        <w:rPr>
          <w:rFonts w:ascii="Verdana" w:hAnsi="Verdana"/>
          <w:sz w:val="18"/>
          <w:szCs w:val="18"/>
        </w:rPr>
        <w:t>.</w:t>
      </w:r>
    </w:p>
    <w:p w:rsidRPr="000D308F" w:rsidR="00084ED8" w:rsidP="00084ED8" w:rsidRDefault="00084ED8" w14:paraId="41F31F09" w14:textId="0249948E">
      <w:pPr>
        <w:rPr>
          <w:rFonts w:ascii="Verdana" w:hAnsi="Verdana"/>
          <w:b/>
          <w:bCs/>
          <w:sz w:val="18"/>
          <w:szCs w:val="18"/>
        </w:rPr>
      </w:pPr>
      <w:r w:rsidRPr="000D308F">
        <w:rPr>
          <w:rFonts w:ascii="Verdana" w:hAnsi="Verdana"/>
          <w:b/>
          <w:bCs/>
          <w:sz w:val="18"/>
          <w:szCs w:val="18"/>
        </w:rPr>
        <w:t>Deel II – Belangrijke samenwerkingsgebieden</w:t>
      </w:r>
    </w:p>
    <w:p w:rsidRPr="000D308F" w:rsidR="00405B85" w:rsidP="00084ED8" w:rsidRDefault="00084ED8" w14:paraId="498AC825" w14:textId="4E20F068">
      <w:pPr>
        <w:rPr>
          <w:rFonts w:ascii="Verdana" w:hAnsi="Verdana"/>
          <w:sz w:val="18"/>
          <w:szCs w:val="18"/>
        </w:rPr>
      </w:pPr>
      <w:r w:rsidRPr="000D308F">
        <w:rPr>
          <w:rFonts w:ascii="Verdana" w:hAnsi="Verdana"/>
          <w:b/>
          <w:bCs/>
          <w:sz w:val="18"/>
          <w:szCs w:val="18"/>
        </w:rPr>
        <w:t>Titel I – Milieuduurzaamheid en klimaatverandering</w:t>
      </w:r>
      <w:r w:rsidRPr="000D308F" w:rsidR="007A29F1">
        <w:rPr>
          <w:rFonts w:ascii="Verdana" w:hAnsi="Verdana"/>
          <w:b/>
          <w:bCs/>
          <w:sz w:val="18"/>
          <w:szCs w:val="18"/>
        </w:rPr>
        <w:t xml:space="preserve"> (artikele</w:t>
      </w:r>
      <w:r w:rsidRPr="000D308F" w:rsidR="00566844">
        <w:rPr>
          <w:rFonts w:ascii="Verdana" w:hAnsi="Verdana"/>
          <w:b/>
          <w:bCs/>
          <w:sz w:val="18"/>
          <w:szCs w:val="18"/>
        </w:rPr>
        <w:t>n 9</w:t>
      </w:r>
      <w:r w:rsidRPr="000D308F" w:rsidR="007A29F1">
        <w:rPr>
          <w:rFonts w:ascii="Verdana" w:hAnsi="Verdana"/>
          <w:b/>
          <w:bCs/>
          <w:sz w:val="18"/>
          <w:szCs w:val="18"/>
        </w:rPr>
        <w:t xml:space="preserve"> t/m</w:t>
      </w:r>
      <w:r w:rsidRPr="000D308F" w:rsidR="00566844">
        <w:rPr>
          <w:rFonts w:ascii="Verdana" w:hAnsi="Verdana"/>
          <w:b/>
          <w:bCs/>
          <w:sz w:val="18"/>
          <w:szCs w:val="18"/>
        </w:rPr>
        <w:t xml:space="preserve"> </w:t>
      </w:r>
      <w:r w:rsidRPr="000D308F" w:rsidR="001445DF">
        <w:rPr>
          <w:rFonts w:ascii="Verdana" w:hAnsi="Verdana"/>
          <w:b/>
          <w:bCs/>
          <w:sz w:val="18"/>
          <w:szCs w:val="18"/>
        </w:rPr>
        <w:t>13</w:t>
      </w:r>
      <w:r w:rsidRPr="000D308F" w:rsidR="007A29F1">
        <w:rPr>
          <w:rFonts w:ascii="Verdana" w:hAnsi="Verdana"/>
          <w:b/>
          <w:bCs/>
          <w:sz w:val="18"/>
          <w:szCs w:val="18"/>
        </w:rPr>
        <w:t xml:space="preserve">) </w:t>
      </w:r>
      <w:r w:rsidRPr="000D308F" w:rsidR="00F637F3">
        <w:rPr>
          <w:rFonts w:ascii="Verdana" w:hAnsi="Verdana"/>
          <w:b/>
          <w:bCs/>
          <w:sz w:val="18"/>
          <w:szCs w:val="18"/>
        </w:rPr>
        <w:br/>
      </w:r>
      <w:r w:rsidRPr="000D308F" w:rsidR="00F637F3">
        <w:rPr>
          <w:rFonts w:ascii="Verdana" w:hAnsi="Verdana"/>
          <w:b/>
          <w:bCs/>
          <w:sz w:val="18"/>
          <w:szCs w:val="18"/>
        </w:rPr>
        <w:br/>
      </w:r>
      <w:r w:rsidRPr="000D308F" w:rsidR="00F637F3">
        <w:rPr>
          <w:rFonts w:ascii="Verdana" w:hAnsi="Verdana"/>
          <w:sz w:val="18"/>
          <w:szCs w:val="18"/>
        </w:rPr>
        <w:t xml:space="preserve">De artikelen 9 tot en met 12 hebben betrekking </w:t>
      </w:r>
      <w:r w:rsidRPr="000D308F" w:rsidR="005156A3">
        <w:rPr>
          <w:rFonts w:ascii="Verdana" w:hAnsi="Verdana"/>
          <w:sz w:val="18"/>
          <w:szCs w:val="18"/>
        </w:rPr>
        <w:t xml:space="preserve">op </w:t>
      </w:r>
      <w:r w:rsidRPr="000D308F" w:rsidR="00F637F3">
        <w:rPr>
          <w:rFonts w:ascii="Verdana" w:hAnsi="Verdana"/>
          <w:sz w:val="18"/>
          <w:szCs w:val="18"/>
        </w:rPr>
        <w:t xml:space="preserve">milieuduurzaamheid en klimaatverandering. </w:t>
      </w:r>
      <w:r w:rsidRPr="000D308F" w:rsidR="00ED01C1">
        <w:rPr>
          <w:rFonts w:ascii="Verdana" w:hAnsi="Verdana"/>
          <w:sz w:val="18"/>
          <w:szCs w:val="18"/>
        </w:rPr>
        <w:t xml:space="preserve">In </w:t>
      </w:r>
      <w:r w:rsidRPr="000D308F" w:rsidR="00F637F3">
        <w:rPr>
          <w:rFonts w:ascii="Verdana" w:hAnsi="Verdana"/>
          <w:sz w:val="18"/>
          <w:szCs w:val="18"/>
        </w:rPr>
        <w:t xml:space="preserve">artikel </w:t>
      </w:r>
      <w:r w:rsidRPr="000D308F" w:rsidR="006449A1">
        <w:rPr>
          <w:rFonts w:ascii="Verdana" w:hAnsi="Verdana"/>
          <w:sz w:val="18"/>
          <w:szCs w:val="18"/>
        </w:rPr>
        <w:t>9</w:t>
      </w:r>
      <w:r w:rsidRPr="000D308F" w:rsidR="00F637F3">
        <w:rPr>
          <w:rFonts w:ascii="Verdana" w:hAnsi="Verdana"/>
          <w:sz w:val="18"/>
          <w:szCs w:val="18"/>
        </w:rPr>
        <w:t xml:space="preserve"> </w:t>
      </w:r>
      <w:r w:rsidRPr="000D308F" w:rsidR="00ED01C1">
        <w:rPr>
          <w:rFonts w:ascii="Verdana" w:hAnsi="Verdana"/>
          <w:sz w:val="18"/>
          <w:szCs w:val="18"/>
        </w:rPr>
        <w:t xml:space="preserve">worden </w:t>
      </w:r>
      <w:r w:rsidRPr="000D308F" w:rsidR="00695AA9">
        <w:rPr>
          <w:rFonts w:ascii="Verdana" w:hAnsi="Verdana"/>
          <w:sz w:val="18"/>
          <w:szCs w:val="18"/>
        </w:rPr>
        <w:t xml:space="preserve">de verschillende </w:t>
      </w:r>
      <w:r w:rsidRPr="000D308F" w:rsidR="006449A1">
        <w:rPr>
          <w:rFonts w:ascii="Verdana" w:hAnsi="Verdana"/>
          <w:sz w:val="18"/>
          <w:szCs w:val="18"/>
        </w:rPr>
        <w:t>bedreiging</w:t>
      </w:r>
      <w:r w:rsidRPr="000D308F" w:rsidR="00695AA9">
        <w:rPr>
          <w:rFonts w:ascii="Verdana" w:hAnsi="Verdana"/>
          <w:sz w:val="18"/>
          <w:szCs w:val="18"/>
        </w:rPr>
        <w:t xml:space="preserve">en </w:t>
      </w:r>
      <w:r w:rsidRPr="000D308F" w:rsidR="00ED01C1">
        <w:rPr>
          <w:rFonts w:ascii="Verdana" w:hAnsi="Verdana"/>
          <w:sz w:val="18"/>
          <w:szCs w:val="18"/>
        </w:rPr>
        <w:t>uiteengezet</w:t>
      </w:r>
      <w:r w:rsidRPr="000D308F" w:rsidDel="00695AA9" w:rsidR="006449A1">
        <w:rPr>
          <w:rFonts w:ascii="Verdana" w:hAnsi="Verdana"/>
          <w:sz w:val="18"/>
          <w:szCs w:val="18"/>
        </w:rPr>
        <w:t xml:space="preserve"> en </w:t>
      </w:r>
      <w:r w:rsidRPr="000D308F" w:rsidR="00ED01C1">
        <w:rPr>
          <w:rFonts w:ascii="Verdana" w:hAnsi="Verdana"/>
          <w:sz w:val="18"/>
          <w:szCs w:val="18"/>
        </w:rPr>
        <w:t>spreken de partijen af</w:t>
      </w:r>
      <w:r w:rsidRPr="000D308F" w:rsidDel="00695AA9" w:rsidR="006449A1">
        <w:rPr>
          <w:rFonts w:ascii="Verdana" w:hAnsi="Verdana"/>
          <w:sz w:val="18"/>
          <w:szCs w:val="18"/>
        </w:rPr>
        <w:t xml:space="preserve"> ernaar </w:t>
      </w:r>
      <w:r w:rsidRPr="000D308F" w:rsidR="00ED01C1">
        <w:rPr>
          <w:rFonts w:ascii="Verdana" w:hAnsi="Verdana"/>
          <w:sz w:val="18"/>
          <w:szCs w:val="18"/>
        </w:rPr>
        <w:t xml:space="preserve">te </w:t>
      </w:r>
      <w:r w:rsidRPr="000D308F" w:rsidDel="00695AA9" w:rsidR="006449A1">
        <w:rPr>
          <w:rFonts w:ascii="Verdana" w:hAnsi="Verdana"/>
          <w:sz w:val="18"/>
          <w:szCs w:val="18"/>
        </w:rPr>
        <w:t>streven klimaatveerkracht op te bouwen en de aantasting van het milieu om te buigen.</w:t>
      </w:r>
      <w:r w:rsidRPr="000D308F" w:rsidDel="00695AA9" w:rsidR="009D3395">
        <w:rPr>
          <w:rFonts w:ascii="Verdana" w:hAnsi="Verdana"/>
          <w:sz w:val="18"/>
          <w:szCs w:val="18"/>
        </w:rPr>
        <w:t xml:space="preserve"> </w:t>
      </w:r>
      <w:r w:rsidRPr="000D308F" w:rsidR="00ED01C1">
        <w:rPr>
          <w:rFonts w:ascii="Verdana" w:hAnsi="Verdana"/>
          <w:sz w:val="18"/>
          <w:szCs w:val="18"/>
        </w:rPr>
        <w:t xml:space="preserve">Artikel </w:t>
      </w:r>
      <w:r w:rsidRPr="000D308F" w:rsidR="009D3395">
        <w:rPr>
          <w:rFonts w:ascii="Verdana" w:hAnsi="Verdana"/>
          <w:sz w:val="18"/>
          <w:szCs w:val="18"/>
        </w:rPr>
        <w:t xml:space="preserve">10 </w:t>
      </w:r>
      <w:r w:rsidRPr="000D308F" w:rsidR="00ED01C1">
        <w:rPr>
          <w:rFonts w:ascii="Verdana" w:hAnsi="Verdana"/>
          <w:sz w:val="18"/>
          <w:szCs w:val="18"/>
        </w:rPr>
        <w:t>gaat in op</w:t>
      </w:r>
      <w:r w:rsidRPr="000D308F" w:rsidR="00695AA9">
        <w:rPr>
          <w:rFonts w:ascii="Verdana" w:hAnsi="Verdana"/>
          <w:sz w:val="18"/>
          <w:szCs w:val="18"/>
        </w:rPr>
        <w:t xml:space="preserve"> de</w:t>
      </w:r>
      <w:r w:rsidRPr="000D308F" w:rsidR="009D3395">
        <w:rPr>
          <w:rFonts w:ascii="Verdana" w:hAnsi="Verdana"/>
          <w:sz w:val="18"/>
          <w:szCs w:val="18"/>
        </w:rPr>
        <w:t xml:space="preserve"> internationale klimaatafspraken. In dat verband komen de </w:t>
      </w:r>
      <w:r w:rsidRPr="000D308F" w:rsidR="004A2F01">
        <w:rPr>
          <w:rFonts w:ascii="Verdana" w:hAnsi="Verdana"/>
          <w:sz w:val="18"/>
          <w:szCs w:val="18"/>
        </w:rPr>
        <w:t>p</w:t>
      </w:r>
      <w:r w:rsidRPr="000D308F" w:rsidR="009D3395">
        <w:rPr>
          <w:rFonts w:ascii="Verdana" w:hAnsi="Verdana"/>
          <w:sz w:val="18"/>
          <w:szCs w:val="18"/>
        </w:rPr>
        <w:t>artijen overeen bij te dragen</w:t>
      </w:r>
      <w:r w:rsidRPr="000D308F" w:rsidDel="005156A3" w:rsidR="009D3395">
        <w:rPr>
          <w:rFonts w:ascii="Verdana" w:hAnsi="Verdana"/>
          <w:sz w:val="18"/>
          <w:szCs w:val="18"/>
        </w:rPr>
        <w:t xml:space="preserve"> </w:t>
      </w:r>
      <w:r w:rsidRPr="000D308F" w:rsidR="005156A3">
        <w:rPr>
          <w:rFonts w:ascii="Verdana" w:hAnsi="Verdana"/>
          <w:sz w:val="18"/>
          <w:szCs w:val="18"/>
        </w:rPr>
        <w:t xml:space="preserve">aan </w:t>
      </w:r>
      <w:r w:rsidRPr="000D308F" w:rsidR="009D3395">
        <w:rPr>
          <w:rFonts w:ascii="Verdana" w:hAnsi="Verdana"/>
          <w:sz w:val="18"/>
          <w:szCs w:val="18"/>
        </w:rPr>
        <w:t>een mondiale emissiereductie</w:t>
      </w:r>
      <w:r w:rsidRPr="000D308F" w:rsidDel="00695AA9" w:rsidR="008021AA">
        <w:rPr>
          <w:rFonts w:ascii="Verdana" w:hAnsi="Verdana"/>
          <w:sz w:val="18"/>
          <w:szCs w:val="18"/>
        </w:rPr>
        <w:t xml:space="preserve"> en bevestigen zij opnieuw hun doelstelling om tegen 2050 klimaatneutraliteit te verwezenlijken</w:t>
      </w:r>
      <w:r w:rsidRPr="000D308F" w:rsidDel="00695AA9" w:rsidR="009D3395">
        <w:rPr>
          <w:rFonts w:ascii="Verdana" w:hAnsi="Verdana"/>
          <w:sz w:val="18"/>
          <w:szCs w:val="18"/>
        </w:rPr>
        <w:t>.</w:t>
      </w:r>
      <w:r w:rsidRPr="000D308F" w:rsidR="00ED01C1">
        <w:rPr>
          <w:rFonts w:ascii="Verdana" w:hAnsi="Verdana"/>
          <w:sz w:val="18"/>
          <w:szCs w:val="18"/>
        </w:rPr>
        <w:t xml:space="preserve"> </w:t>
      </w:r>
      <w:r w:rsidRPr="000D308F" w:rsidR="00C87BCE">
        <w:rPr>
          <w:rFonts w:ascii="Verdana" w:hAnsi="Verdana"/>
          <w:sz w:val="18"/>
          <w:szCs w:val="18"/>
        </w:rPr>
        <w:t xml:space="preserve">De </w:t>
      </w:r>
      <w:r w:rsidRPr="000D308F" w:rsidR="00695AA9">
        <w:rPr>
          <w:rFonts w:ascii="Verdana" w:hAnsi="Verdana"/>
          <w:sz w:val="18"/>
          <w:szCs w:val="18"/>
        </w:rPr>
        <w:t>partijen</w:t>
      </w:r>
      <w:r w:rsidRPr="000D308F" w:rsidR="00C87BCE">
        <w:rPr>
          <w:rFonts w:ascii="Verdana" w:hAnsi="Verdana"/>
          <w:sz w:val="18"/>
          <w:szCs w:val="18"/>
        </w:rPr>
        <w:t xml:space="preserve"> zullen</w:t>
      </w:r>
      <w:r w:rsidRPr="000D308F" w:rsidR="00695AA9">
        <w:rPr>
          <w:rFonts w:ascii="Verdana" w:hAnsi="Verdana"/>
          <w:sz w:val="18"/>
          <w:szCs w:val="18"/>
        </w:rPr>
        <w:t xml:space="preserve"> </w:t>
      </w:r>
      <w:r w:rsidRPr="000D308F" w:rsidR="00F97805">
        <w:rPr>
          <w:rFonts w:ascii="Verdana" w:hAnsi="Verdana"/>
          <w:sz w:val="18"/>
          <w:szCs w:val="18"/>
        </w:rPr>
        <w:t xml:space="preserve">de ontwikkeling van langetermijnstrategieën die erop gericht zijn biodiversiteit in de nationale en regionale kaders in de Stille Oceaan </w:t>
      </w:r>
      <w:r w:rsidRPr="000D308F" w:rsidR="00B35161">
        <w:rPr>
          <w:rFonts w:ascii="Verdana" w:hAnsi="Verdana"/>
          <w:sz w:val="18"/>
          <w:szCs w:val="18"/>
        </w:rPr>
        <w:t>standa</w:t>
      </w:r>
      <w:r w:rsidRPr="000D308F" w:rsidR="00FF278F">
        <w:rPr>
          <w:rFonts w:ascii="Verdana" w:hAnsi="Verdana"/>
          <w:sz w:val="18"/>
          <w:szCs w:val="18"/>
        </w:rPr>
        <w:t>a</w:t>
      </w:r>
      <w:r w:rsidRPr="000D308F" w:rsidR="00B35161">
        <w:rPr>
          <w:rFonts w:ascii="Verdana" w:hAnsi="Verdana"/>
          <w:sz w:val="18"/>
          <w:szCs w:val="18"/>
        </w:rPr>
        <w:t xml:space="preserve">rdiseren </w:t>
      </w:r>
      <w:r w:rsidRPr="000D308F" w:rsidR="00F41C92">
        <w:rPr>
          <w:rFonts w:ascii="Verdana" w:hAnsi="Verdana"/>
          <w:sz w:val="18"/>
          <w:szCs w:val="18"/>
        </w:rPr>
        <w:t xml:space="preserve">en de besluitvorming met informatie </w:t>
      </w:r>
      <w:r w:rsidRPr="000D308F" w:rsidR="00F17E4D">
        <w:rPr>
          <w:rFonts w:ascii="Verdana" w:hAnsi="Verdana"/>
          <w:sz w:val="18"/>
          <w:szCs w:val="18"/>
        </w:rPr>
        <w:t>ondersteunen</w:t>
      </w:r>
      <w:r w:rsidRPr="000D308F" w:rsidR="00C87BCE">
        <w:rPr>
          <w:rFonts w:ascii="Verdana" w:hAnsi="Verdana"/>
          <w:sz w:val="18"/>
          <w:szCs w:val="18"/>
        </w:rPr>
        <w:t xml:space="preserve"> (artikel 11).</w:t>
      </w:r>
      <w:r w:rsidRPr="000D308F" w:rsidDel="007A29F1" w:rsidR="006B394A">
        <w:rPr>
          <w:rFonts w:ascii="Verdana" w:hAnsi="Verdana"/>
          <w:sz w:val="18"/>
          <w:szCs w:val="18"/>
        </w:rPr>
        <w:t xml:space="preserve"> </w:t>
      </w:r>
      <w:r w:rsidRPr="000D308F" w:rsidR="006B394A">
        <w:rPr>
          <w:rFonts w:ascii="Verdana" w:hAnsi="Verdana"/>
          <w:sz w:val="18"/>
          <w:szCs w:val="18"/>
        </w:rPr>
        <w:t xml:space="preserve">In artikel 12 staan bepalingen opgenomen voor wat betreft de weerbaarheid ten aanzien van rampen. </w:t>
      </w:r>
      <w:r w:rsidRPr="000D308F" w:rsidR="006B394A">
        <w:rPr>
          <w:rFonts w:ascii="Verdana" w:hAnsi="Verdana"/>
          <w:sz w:val="18"/>
          <w:szCs w:val="18"/>
        </w:rPr>
        <w:br/>
      </w:r>
      <w:r w:rsidRPr="000D308F" w:rsidR="00637FD2">
        <w:rPr>
          <w:rFonts w:ascii="Verdana" w:hAnsi="Verdana"/>
          <w:sz w:val="18"/>
          <w:szCs w:val="18"/>
        </w:rPr>
        <w:br/>
      </w:r>
      <w:r w:rsidRPr="000D308F" w:rsidR="00637FD2">
        <w:rPr>
          <w:rFonts w:ascii="Verdana" w:hAnsi="Verdana"/>
          <w:b/>
          <w:bCs/>
          <w:sz w:val="18"/>
          <w:szCs w:val="18"/>
        </w:rPr>
        <w:t>Titel II – Inclusieve en duurzame economische ontwikkeling</w:t>
      </w:r>
      <w:r w:rsidRPr="000D308F" w:rsidR="007A29F1">
        <w:rPr>
          <w:rFonts w:ascii="Verdana" w:hAnsi="Verdana"/>
          <w:b/>
          <w:bCs/>
          <w:sz w:val="18"/>
          <w:szCs w:val="18"/>
        </w:rPr>
        <w:t xml:space="preserve"> (artikelen</w:t>
      </w:r>
      <w:r w:rsidRPr="000D308F" w:rsidR="00711E6F">
        <w:rPr>
          <w:rFonts w:ascii="Verdana" w:hAnsi="Verdana"/>
          <w:b/>
          <w:bCs/>
          <w:sz w:val="18"/>
          <w:szCs w:val="18"/>
        </w:rPr>
        <w:t xml:space="preserve"> 13 </w:t>
      </w:r>
      <w:r w:rsidRPr="000D308F" w:rsidR="007A29F1">
        <w:rPr>
          <w:rFonts w:ascii="Verdana" w:hAnsi="Verdana"/>
          <w:b/>
          <w:bCs/>
          <w:sz w:val="18"/>
          <w:szCs w:val="18"/>
        </w:rPr>
        <w:t>t/m</w:t>
      </w:r>
      <w:r w:rsidRPr="000D308F" w:rsidR="00711E6F">
        <w:rPr>
          <w:rFonts w:ascii="Verdana" w:hAnsi="Verdana"/>
          <w:b/>
          <w:bCs/>
          <w:sz w:val="18"/>
          <w:szCs w:val="18"/>
        </w:rPr>
        <w:t xml:space="preserve"> 28</w:t>
      </w:r>
      <w:r w:rsidRPr="000D308F" w:rsidR="007A29F1">
        <w:rPr>
          <w:rFonts w:ascii="Verdana" w:hAnsi="Verdana"/>
          <w:b/>
          <w:bCs/>
          <w:sz w:val="18"/>
          <w:szCs w:val="18"/>
        </w:rPr>
        <w:t xml:space="preserve">) </w:t>
      </w:r>
      <w:r w:rsidRPr="000D308F" w:rsidR="00637FD2">
        <w:rPr>
          <w:rFonts w:ascii="Verdana" w:hAnsi="Verdana"/>
          <w:sz w:val="18"/>
          <w:szCs w:val="18"/>
        </w:rPr>
        <w:br/>
      </w:r>
      <w:r w:rsidRPr="000D308F" w:rsidR="006B394A">
        <w:rPr>
          <w:rFonts w:ascii="Verdana" w:hAnsi="Verdana"/>
          <w:sz w:val="18"/>
          <w:szCs w:val="18"/>
        </w:rPr>
        <w:br/>
        <w:t xml:space="preserve">Afspraken met betrekking tot inclusieve en duurzame economische ontwikkelingen staan </w:t>
      </w:r>
      <w:r w:rsidRPr="000D308F" w:rsidR="00D742CB">
        <w:rPr>
          <w:rFonts w:ascii="Verdana" w:hAnsi="Verdana"/>
          <w:sz w:val="18"/>
          <w:szCs w:val="18"/>
        </w:rPr>
        <w:t>op</w:t>
      </w:r>
      <w:r w:rsidRPr="000D308F" w:rsidR="00B35161">
        <w:rPr>
          <w:rFonts w:ascii="Verdana" w:hAnsi="Verdana"/>
          <w:sz w:val="18"/>
          <w:szCs w:val="18"/>
        </w:rPr>
        <w:t>g</w:t>
      </w:r>
      <w:r w:rsidRPr="000D308F" w:rsidR="00D742CB">
        <w:rPr>
          <w:rFonts w:ascii="Verdana" w:hAnsi="Verdana"/>
          <w:sz w:val="18"/>
          <w:szCs w:val="18"/>
        </w:rPr>
        <w:t>enomen</w:t>
      </w:r>
      <w:r w:rsidRPr="000D308F" w:rsidR="006B394A">
        <w:rPr>
          <w:rFonts w:ascii="Verdana" w:hAnsi="Verdana"/>
          <w:sz w:val="18"/>
          <w:szCs w:val="18"/>
        </w:rPr>
        <w:t xml:space="preserve"> in de artikelen 13 tot en met 28. </w:t>
      </w:r>
      <w:r w:rsidRPr="000D308F" w:rsidR="008B3612">
        <w:rPr>
          <w:rFonts w:ascii="Verdana" w:hAnsi="Verdana"/>
          <w:sz w:val="18"/>
          <w:szCs w:val="18"/>
        </w:rPr>
        <w:t>In artikel 13 komen de partijen overeen geïntegreerde strategieën op</w:t>
      </w:r>
      <w:r w:rsidRPr="000D308F" w:rsidR="00BC26B2">
        <w:rPr>
          <w:rFonts w:ascii="Verdana" w:hAnsi="Verdana"/>
          <w:sz w:val="18"/>
          <w:szCs w:val="18"/>
        </w:rPr>
        <w:t xml:space="preserve"> te </w:t>
      </w:r>
      <w:r w:rsidRPr="000D308F" w:rsidR="008B3612">
        <w:rPr>
          <w:rFonts w:ascii="Verdana" w:hAnsi="Verdana"/>
          <w:sz w:val="18"/>
          <w:szCs w:val="18"/>
        </w:rPr>
        <w:t>zetten en hervormingen door</w:t>
      </w:r>
      <w:r w:rsidRPr="000D308F" w:rsidR="00BC26B2">
        <w:rPr>
          <w:rFonts w:ascii="Verdana" w:hAnsi="Verdana"/>
          <w:sz w:val="18"/>
          <w:szCs w:val="18"/>
        </w:rPr>
        <w:t xml:space="preserve"> te </w:t>
      </w:r>
      <w:r w:rsidRPr="000D308F" w:rsidR="008B3612">
        <w:rPr>
          <w:rFonts w:ascii="Verdana" w:hAnsi="Verdana"/>
          <w:sz w:val="18"/>
          <w:szCs w:val="18"/>
        </w:rPr>
        <w:t>voeren teneinde veerkrachtige en gediversifieerde economieën op te bouwen</w:t>
      </w:r>
      <w:r w:rsidRPr="000D308F" w:rsidR="00BC26B2">
        <w:rPr>
          <w:rFonts w:ascii="Verdana" w:hAnsi="Verdana"/>
          <w:sz w:val="18"/>
          <w:szCs w:val="18"/>
        </w:rPr>
        <w:t xml:space="preserve">. In </w:t>
      </w:r>
      <w:r w:rsidRPr="000D308F" w:rsidR="008B3612">
        <w:rPr>
          <w:rFonts w:ascii="Verdana" w:hAnsi="Verdana"/>
          <w:sz w:val="18"/>
          <w:szCs w:val="18"/>
        </w:rPr>
        <w:t xml:space="preserve">artikel 14 </w:t>
      </w:r>
      <w:r w:rsidRPr="000D308F" w:rsidR="00BC26B2">
        <w:rPr>
          <w:rFonts w:ascii="Verdana" w:hAnsi="Verdana"/>
          <w:sz w:val="18"/>
          <w:szCs w:val="18"/>
        </w:rPr>
        <w:t>maken</w:t>
      </w:r>
      <w:r w:rsidRPr="000D308F" w:rsidR="00126875">
        <w:rPr>
          <w:rFonts w:ascii="Verdana" w:hAnsi="Verdana"/>
          <w:sz w:val="18"/>
          <w:szCs w:val="18"/>
        </w:rPr>
        <w:t xml:space="preserve"> de partijen </w:t>
      </w:r>
      <w:r w:rsidRPr="000D308F" w:rsidR="00BC26B2">
        <w:rPr>
          <w:rFonts w:ascii="Verdana" w:hAnsi="Verdana"/>
          <w:sz w:val="18"/>
          <w:szCs w:val="18"/>
        </w:rPr>
        <w:t xml:space="preserve">afspraken </w:t>
      </w:r>
      <w:r w:rsidRPr="000D308F" w:rsidR="00126875">
        <w:rPr>
          <w:rFonts w:ascii="Verdana" w:hAnsi="Verdana"/>
          <w:sz w:val="18"/>
          <w:szCs w:val="18"/>
        </w:rPr>
        <w:t xml:space="preserve">om </w:t>
      </w:r>
      <w:r w:rsidRPr="000D308F" w:rsidR="008B3612">
        <w:rPr>
          <w:rFonts w:ascii="Verdana" w:hAnsi="Verdana"/>
          <w:sz w:val="18"/>
          <w:szCs w:val="18"/>
        </w:rPr>
        <w:t>economische ontwikkeling</w:t>
      </w:r>
      <w:r w:rsidRPr="000D308F" w:rsidR="00126875">
        <w:rPr>
          <w:rFonts w:ascii="Verdana" w:hAnsi="Verdana"/>
          <w:sz w:val="18"/>
          <w:szCs w:val="18"/>
        </w:rPr>
        <w:t xml:space="preserve"> te bevorderen.</w:t>
      </w:r>
      <w:r w:rsidRPr="000D308F" w:rsidDel="00F23477" w:rsidR="00126875">
        <w:rPr>
          <w:rFonts w:ascii="Verdana" w:hAnsi="Verdana"/>
          <w:sz w:val="18"/>
          <w:szCs w:val="18"/>
        </w:rPr>
        <w:t xml:space="preserve"> Dit</w:t>
      </w:r>
      <w:r w:rsidRPr="000D308F" w:rsidDel="00F23477" w:rsidR="005474CF">
        <w:rPr>
          <w:rFonts w:ascii="Verdana" w:hAnsi="Verdana"/>
          <w:sz w:val="18"/>
          <w:szCs w:val="18"/>
        </w:rPr>
        <w:t xml:space="preserve"> streven wordt</w:t>
      </w:r>
      <w:r w:rsidRPr="000D308F" w:rsidDel="00F23477" w:rsidR="00126875">
        <w:rPr>
          <w:rFonts w:ascii="Verdana" w:hAnsi="Verdana"/>
          <w:sz w:val="18"/>
          <w:szCs w:val="18"/>
        </w:rPr>
        <w:t xml:space="preserve"> prioritair </w:t>
      </w:r>
      <w:r w:rsidRPr="000D308F" w:rsidDel="00F23477" w:rsidR="005474CF">
        <w:rPr>
          <w:rFonts w:ascii="Verdana" w:hAnsi="Verdana"/>
          <w:sz w:val="18"/>
          <w:szCs w:val="18"/>
        </w:rPr>
        <w:t xml:space="preserve">bewerkstelligd </w:t>
      </w:r>
      <w:r w:rsidRPr="000D308F" w:rsidDel="00F23477" w:rsidR="00126875">
        <w:rPr>
          <w:rFonts w:ascii="Verdana" w:hAnsi="Verdana"/>
          <w:sz w:val="18"/>
          <w:szCs w:val="18"/>
        </w:rPr>
        <w:t>door middel van diversificatie, technologische vernieuwing en innovatie, en maatregelen voor de verbetering van de macro-economische stabiliteit en de stabiliteit van de financiële sector</w:t>
      </w:r>
      <w:r w:rsidRPr="000D308F" w:rsidR="00BC26B2">
        <w:rPr>
          <w:rFonts w:ascii="Verdana" w:hAnsi="Verdana"/>
          <w:sz w:val="18"/>
          <w:szCs w:val="18"/>
        </w:rPr>
        <w:t xml:space="preserve">. </w:t>
      </w:r>
      <w:r w:rsidRPr="000D308F" w:rsidR="00EF6180">
        <w:rPr>
          <w:rFonts w:ascii="Verdana" w:hAnsi="Verdana"/>
          <w:sz w:val="18"/>
          <w:szCs w:val="18"/>
        </w:rPr>
        <w:t>Bepalingen over investeringen</w:t>
      </w:r>
      <w:r w:rsidRPr="000D308F" w:rsidR="00BC26B2">
        <w:rPr>
          <w:rFonts w:ascii="Verdana" w:hAnsi="Verdana"/>
          <w:sz w:val="18"/>
          <w:szCs w:val="18"/>
        </w:rPr>
        <w:t xml:space="preserve"> en</w:t>
      </w:r>
      <w:r w:rsidRPr="000D308F" w:rsidR="00EF6180">
        <w:rPr>
          <w:rFonts w:ascii="Verdana" w:hAnsi="Verdana"/>
          <w:sz w:val="18"/>
          <w:szCs w:val="18"/>
        </w:rPr>
        <w:t xml:space="preserve"> de ontwikkeling van de private sector komen aan bod in artikel 15</w:t>
      </w:r>
      <w:r w:rsidRPr="000D308F" w:rsidR="00BC26B2">
        <w:rPr>
          <w:rFonts w:ascii="Verdana" w:hAnsi="Verdana"/>
          <w:sz w:val="18"/>
          <w:szCs w:val="18"/>
        </w:rPr>
        <w:t xml:space="preserve"> en 16</w:t>
      </w:r>
      <w:r w:rsidRPr="000D308F" w:rsidR="00EF6180">
        <w:rPr>
          <w:rFonts w:ascii="Verdana" w:hAnsi="Verdana"/>
          <w:sz w:val="18"/>
          <w:szCs w:val="18"/>
        </w:rPr>
        <w:t>.</w:t>
      </w:r>
      <w:r w:rsidRPr="000D308F" w:rsidR="000B5C94">
        <w:rPr>
          <w:rFonts w:ascii="Verdana" w:hAnsi="Verdana"/>
          <w:sz w:val="18"/>
          <w:szCs w:val="18"/>
        </w:rPr>
        <w:t xml:space="preserve"> Artikel 17 gaat </w:t>
      </w:r>
      <w:r w:rsidRPr="000D308F" w:rsidR="00405B85">
        <w:rPr>
          <w:rFonts w:ascii="Verdana" w:hAnsi="Verdana"/>
          <w:sz w:val="18"/>
          <w:szCs w:val="18"/>
        </w:rPr>
        <w:t>in op</w:t>
      </w:r>
      <w:r w:rsidRPr="000D308F" w:rsidR="000B5C94">
        <w:rPr>
          <w:rFonts w:ascii="Verdana" w:hAnsi="Verdana"/>
          <w:sz w:val="18"/>
          <w:szCs w:val="18"/>
        </w:rPr>
        <w:t xml:space="preserve"> de samenwerking op het gebied van wetenschap, technologie, innovatie en onderzoek. Het belang van overmakingen als een belangrijke bron voor inclusieve en duurzame ontwikkeling </w:t>
      </w:r>
      <w:r w:rsidRPr="000D308F" w:rsidR="00F64052">
        <w:rPr>
          <w:rFonts w:ascii="Verdana" w:hAnsi="Verdana"/>
          <w:sz w:val="18"/>
          <w:szCs w:val="18"/>
        </w:rPr>
        <w:t xml:space="preserve">wordt erkend </w:t>
      </w:r>
      <w:r w:rsidRPr="000D308F" w:rsidR="000B5C94">
        <w:rPr>
          <w:rFonts w:ascii="Verdana" w:hAnsi="Verdana"/>
          <w:sz w:val="18"/>
          <w:szCs w:val="18"/>
        </w:rPr>
        <w:t xml:space="preserve">in artikel 18. In dat kader </w:t>
      </w:r>
      <w:r w:rsidRPr="000D308F" w:rsidR="00F64052">
        <w:rPr>
          <w:rFonts w:ascii="Verdana" w:hAnsi="Verdana"/>
          <w:sz w:val="18"/>
          <w:szCs w:val="18"/>
        </w:rPr>
        <w:t xml:space="preserve">streven </w:t>
      </w:r>
      <w:r w:rsidRPr="000D308F" w:rsidDel="00F64052" w:rsidR="000B5C94">
        <w:rPr>
          <w:rFonts w:ascii="Verdana" w:hAnsi="Verdana"/>
          <w:sz w:val="18"/>
          <w:szCs w:val="18"/>
        </w:rPr>
        <w:t xml:space="preserve">de partijen </w:t>
      </w:r>
      <w:r w:rsidRPr="000D308F" w:rsidR="000B5C94">
        <w:rPr>
          <w:rFonts w:ascii="Verdana" w:hAnsi="Verdana"/>
          <w:sz w:val="18"/>
          <w:szCs w:val="18"/>
        </w:rPr>
        <w:t xml:space="preserve">ernaar tegen 2030 de transactiekosten bij overmakingen te verlagen tot minder dan 3% en transactieroutes met kosten van meer dan 5% te elimineren. </w:t>
      </w:r>
    </w:p>
    <w:p w:rsidRPr="000D308F" w:rsidR="00084ED8" w:rsidP="00084ED8" w:rsidRDefault="005156A3" w14:paraId="484DADD9" w14:textId="5936CBD8">
      <w:pPr>
        <w:rPr>
          <w:rFonts w:ascii="Verdana" w:hAnsi="Verdana"/>
          <w:sz w:val="18"/>
          <w:szCs w:val="18"/>
        </w:rPr>
      </w:pPr>
      <w:r w:rsidRPr="000D308F">
        <w:rPr>
          <w:rFonts w:ascii="Verdana" w:hAnsi="Verdana"/>
          <w:sz w:val="18"/>
          <w:szCs w:val="18"/>
        </w:rPr>
        <w:t>Het</w:t>
      </w:r>
      <w:r w:rsidRPr="000D308F" w:rsidR="00637FD2">
        <w:rPr>
          <w:rFonts w:ascii="Verdana" w:hAnsi="Verdana"/>
          <w:sz w:val="18"/>
          <w:szCs w:val="18"/>
        </w:rPr>
        <w:t xml:space="preserve"> tweede hoofdstuk </w:t>
      </w:r>
      <w:r w:rsidRPr="000D308F">
        <w:rPr>
          <w:rFonts w:ascii="Verdana" w:hAnsi="Verdana"/>
          <w:sz w:val="18"/>
          <w:szCs w:val="18"/>
        </w:rPr>
        <w:t xml:space="preserve">betreft </w:t>
      </w:r>
      <w:r w:rsidRPr="000D308F" w:rsidR="00637FD2">
        <w:rPr>
          <w:rFonts w:ascii="Verdana" w:hAnsi="Verdana"/>
          <w:sz w:val="18"/>
          <w:szCs w:val="18"/>
        </w:rPr>
        <w:t>handelssamenwerking.</w:t>
      </w:r>
      <w:r w:rsidRPr="000D308F" w:rsidR="00281E4B">
        <w:rPr>
          <w:rFonts w:ascii="Verdana" w:hAnsi="Verdana"/>
          <w:sz w:val="18"/>
          <w:szCs w:val="18"/>
        </w:rPr>
        <w:t xml:space="preserve"> </w:t>
      </w:r>
      <w:r w:rsidRPr="000D308F" w:rsidR="00637FD2">
        <w:rPr>
          <w:rFonts w:ascii="Verdana" w:hAnsi="Verdana"/>
          <w:sz w:val="18"/>
          <w:szCs w:val="18"/>
        </w:rPr>
        <w:t xml:space="preserve">In dit hoofdstuk komen handelsintegratie (artikel 19), handelscapaciteit (artikel 20) en diensten (artikel 21) aan bod. In het derde </w:t>
      </w:r>
      <w:r w:rsidRPr="000D308F" w:rsidR="00880896">
        <w:rPr>
          <w:rFonts w:ascii="Verdana" w:hAnsi="Verdana"/>
          <w:sz w:val="18"/>
          <w:szCs w:val="18"/>
        </w:rPr>
        <w:t xml:space="preserve">hoofdstuk </w:t>
      </w:r>
      <w:r w:rsidRPr="000D308F">
        <w:rPr>
          <w:rFonts w:ascii="Verdana" w:hAnsi="Verdana"/>
          <w:sz w:val="18"/>
          <w:szCs w:val="18"/>
        </w:rPr>
        <w:t xml:space="preserve">worden </w:t>
      </w:r>
      <w:r w:rsidRPr="000D308F" w:rsidR="00637FD2">
        <w:rPr>
          <w:rFonts w:ascii="Verdana" w:hAnsi="Verdana"/>
          <w:sz w:val="18"/>
          <w:szCs w:val="18"/>
        </w:rPr>
        <w:t xml:space="preserve">de belangrijke sectoren </w:t>
      </w:r>
      <w:r w:rsidRPr="000D308F">
        <w:rPr>
          <w:rFonts w:ascii="Verdana" w:hAnsi="Verdana"/>
          <w:sz w:val="18"/>
          <w:szCs w:val="18"/>
        </w:rPr>
        <w:t>behandeld</w:t>
      </w:r>
      <w:r w:rsidRPr="000D308F" w:rsidR="00637FD2">
        <w:rPr>
          <w:rFonts w:ascii="Verdana" w:hAnsi="Verdana"/>
          <w:sz w:val="18"/>
          <w:szCs w:val="18"/>
        </w:rPr>
        <w:t>. Dit zijn respectievelijk de blauwe economie (artikel 22), landbouw (artikel 23), toerisme (artikel 24), duurzame energie (artikel 25), connectiviteit (artikel 26), winningsindustrieën (artikel 27) en bosbouw (artikel 28).</w:t>
      </w:r>
    </w:p>
    <w:p w:rsidRPr="000D308F" w:rsidR="00AF00DD" w:rsidP="00084ED8" w:rsidRDefault="00084ED8" w14:paraId="0F1FCAAF" w14:textId="0571112B">
      <w:pPr>
        <w:rPr>
          <w:rFonts w:ascii="Verdana" w:hAnsi="Verdana"/>
          <w:sz w:val="18"/>
          <w:szCs w:val="18"/>
        </w:rPr>
      </w:pPr>
      <w:r w:rsidRPr="000D308F">
        <w:rPr>
          <w:rFonts w:ascii="Verdana" w:hAnsi="Verdana"/>
          <w:b/>
          <w:bCs/>
          <w:sz w:val="18"/>
          <w:szCs w:val="18"/>
        </w:rPr>
        <w:t xml:space="preserve">Titel III – Oceanen, zeeën en visserij </w:t>
      </w:r>
      <w:r w:rsidRPr="000D308F" w:rsidR="00D52C84">
        <w:rPr>
          <w:rFonts w:ascii="Verdana" w:hAnsi="Verdana"/>
          <w:b/>
          <w:bCs/>
          <w:sz w:val="18"/>
          <w:szCs w:val="18"/>
        </w:rPr>
        <w:t>(artikele</w:t>
      </w:r>
      <w:r w:rsidRPr="000D308F" w:rsidR="00D76ED7">
        <w:rPr>
          <w:rFonts w:ascii="Verdana" w:hAnsi="Verdana"/>
          <w:b/>
          <w:bCs/>
          <w:sz w:val="18"/>
          <w:szCs w:val="18"/>
        </w:rPr>
        <w:t>n</w:t>
      </w:r>
      <w:r w:rsidRPr="000D308F" w:rsidR="00D52C84">
        <w:rPr>
          <w:rFonts w:ascii="Verdana" w:hAnsi="Verdana"/>
          <w:b/>
          <w:bCs/>
          <w:sz w:val="18"/>
          <w:szCs w:val="18"/>
        </w:rPr>
        <w:t xml:space="preserve"> 29 t/m 3</w:t>
      </w:r>
      <w:r w:rsidRPr="000D308F" w:rsidR="00FE344D">
        <w:rPr>
          <w:rFonts w:ascii="Verdana" w:hAnsi="Verdana"/>
          <w:b/>
          <w:bCs/>
          <w:sz w:val="18"/>
          <w:szCs w:val="18"/>
        </w:rPr>
        <w:t>4</w:t>
      </w:r>
      <w:r w:rsidRPr="000D308F" w:rsidR="00D52C84">
        <w:rPr>
          <w:rFonts w:ascii="Verdana" w:hAnsi="Verdana"/>
          <w:b/>
          <w:bCs/>
          <w:sz w:val="18"/>
          <w:szCs w:val="18"/>
        </w:rPr>
        <w:t>)</w:t>
      </w:r>
      <w:r w:rsidRPr="000D308F" w:rsidR="00637FD2">
        <w:rPr>
          <w:rFonts w:ascii="Verdana" w:hAnsi="Verdana"/>
          <w:b/>
          <w:bCs/>
          <w:sz w:val="18"/>
          <w:szCs w:val="18"/>
        </w:rPr>
        <w:br/>
      </w:r>
      <w:r w:rsidRPr="000D308F" w:rsidR="00637FD2">
        <w:rPr>
          <w:rFonts w:ascii="Verdana" w:hAnsi="Verdana"/>
          <w:b/>
          <w:bCs/>
          <w:sz w:val="18"/>
          <w:szCs w:val="18"/>
        </w:rPr>
        <w:br/>
      </w:r>
      <w:r w:rsidRPr="000D308F" w:rsidR="00637FD2">
        <w:rPr>
          <w:rFonts w:ascii="Verdana" w:hAnsi="Verdana"/>
          <w:sz w:val="18"/>
          <w:szCs w:val="18"/>
        </w:rPr>
        <w:t>Deze titel vangt aan met artikel 29 waarin de partijen de essentiële rol van de oceanen voor het leven op aarde, duurzame ontwikkeling en de inkomstenbronnen van bevolkingsgroepen erkennen.</w:t>
      </w:r>
      <w:r w:rsidRPr="000D308F" w:rsidDel="009418BD" w:rsidR="00637FD2">
        <w:rPr>
          <w:rFonts w:ascii="Verdana" w:hAnsi="Verdana"/>
          <w:sz w:val="18"/>
          <w:szCs w:val="18"/>
        </w:rPr>
        <w:t xml:space="preserve"> De partijen komen in </w:t>
      </w:r>
      <w:r w:rsidRPr="000D308F" w:rsidDel="00526561" w:rsidR="00637FD2">
        <w:rPr>
          <w:rFonts w:ascii="Verdana" w:hAnsi="Verdana"/>
          <w:sz w:val="18"/>
          <w:szCs w:val="18"/>
        </w:rPr>
        <w:t xml:space="preserve">dit </w:t>
      </w:r>
      <w:r w:rsidRPr="000D308F" w:rsidDel="009418BD" w:rsidR="00637FD2">
        <w:rPr>
          <w:rFonts w:ascii="Verdana" w:hAnsi="Verdana"/>
          <w:sz w:val="18"/>
          <w:szCs w:val="18"/>
        </w:rPr>
        <w:t>artikel overeen dat</w:t>
      </w:r>
      <w:r w:rsidRPr="000D308F" w:rsidDel="009418BD" w:rsidR="00637FD2">
        <w:rPr>
          <w:rFonts w:ascii="Times New Roman" w:hAnsi="Times New Roman" w:cs="Times New Roman"/>
          <w:color w:val="000000"/>
          <w:sz w:val="23"/>
          <w:szCs w:val="23"/>
        </w:rPr>
        <w:t xml:space="preserve"> </w:t>
      </w:r>
      <w:r w:rsidRPr="000D308F" w:rsidDel="009418BD" w:rsidR="00637FD2">
        <w:rPr>
          <w:rFonts w:ascii="Verdana" w:hAnsi="Verdana"/>
          <w:sz w:val="18"/>
          <w:szCs w:val="18"/>
        </w:rPr>
        <w:t xml:space="preserve">zij hun inspanningen </w:t>
      </w:r>
      <w:r w:rsidRPr="000D308F" w:rsidDel="009418BD" w:rsidR="005844D4">
        <w:rPr>
          <w:rFonts w:ascii="Verdana" w:hAnsi="Verdana"/>
          <w:sz w:val="18"/>
          <w:szCs w:val="18"/>
        </w:rPr>
        <w:t>opvoeren</w:t>
      </w:r>
      <w:r w:rsidRPr="000D308F" w:rsidDel="009418BD" w:rsidR="00637FD2">
        <w:rPr>
          <w:rFonts w:ascii="Verdana" w:hAnsi="Verdana"/>
          <w:sz w:val="18"/>
          <w:szCs w:val="18"/>
        </w:rPr>
        <w:t xml:space="preserve"> om de oceanen en de zeeën te beschermen tegen de negatieve gevolgen van verschillende vormen van druk</w:t>
      </w:r>
      <w:r w:rsidRPr="000D308F" w:rsidR="00347AF8">
        <w:rPr>
          <w:rFonts w:ascii="Verdana" w:hAnsi="Verdana"/>
          <w:sz w:val="18"/>
          <w:szCs w:val="18"/>
        </w:rPr>
        <w:t xml:space="preserve">. </w:t>
      </w:r>
      <w:r w:rsidRPr="000D308F" w:rsidR="00347AF8">
        <w:rPr>
          <w:rFonts w:ascii="Verdana" w:hAnsi="Verdana"/>
          <w:sz w:val="18"/>
          <w:szCs w:val="18"/>
        </w:rPr>
        <w:br/>
      </w:r>
      <w:r w:rsidRPr="000D308F" w:rsidR="00347AF8">
        <w:rPr>
          <w:rFonts w:ascii="Verdana" w:hAnsi="Verdana"/>
          <w:sz w:val="18"/>
          <w:szCs w:val="18"/>
        </w:rPr>
        <w:br/>
        <w:t>Het eerste hoofdstuk onder deze titel heeft betrekking op oceaan</w:t>
      </w:r>
      <w:r w:rsidRPr="000D308F" w:rsidR="005156A3">
        <w:rPr>
          <w:rFonts w:ascii="Verdana" w:hAnsi="Verdana"/>
          <w:sz w:val="18"/>
          <w:szCs w:val="18"/>
        </w:rPr>
        <w:t xml:space="preserve"> </w:t>
      </w:r>
      <w:proofErr w:type="spellStart"/>
      <w:r w:rsidRPr="000D308F" w:rsidR="00347AF8">
        <w:rPr>
          <w:rFonts w:ascii="Verdana" w:hAnsi="Verdana"/>
          <w:i/>
          <w:iCs/>
          <w:sz w:val="18"/>
          <w:szCs w:val="18"/>
        </w:rPr>
        <w:t>governance</w:t>
      </w:r>
      <w:proofErr w:type="spellEnd"/>
      <w:r w:rsidRPr="000D308F" w:rsidR="00347AF8">
        <w:rPr>
          <w:rFonts w:ascii="Verdana" w:hAnsi="Verdana"/>
          <w:sz w:val="18"/>
          <w:szCs w:val="18"/>
        </w:rPr>
        <w:t xml:space="preserve"> en wordt nader uitgewerkt in artikel 30 (duurzame oceanen) en artikel 31 (biodiversiteit van gebieden voorbij de grenzen van de nationale rechtsmacht). </w:t>
      </w:r>
      <w:r w:rsidRPr="000D308F" w:rsidR="00602F21">
        <w:rPr>
          <w:rFonts w:ascii="Verdana" w:hAnsi="Verdana"/>
          <w:sz w:val="18"/>
          <w:szCs w:val="18"/>
        </w:rPr>
        <w:t xml:space="preserve">In artikel 32 </w:t>
      </w:r>
      <w:r w:rsidRPr="000D308F" w:rsidR="00AF00DD">
        <w:rPr>
          <w:rFonts w:ascii="Verdana" w:hAnsi="Verdana"/>
          <w:sz w:val="18"/>
          <w:szCs w:val="18"/>
        </w:rPr>
        <w:t xml:space="preserve">spreken de </w:t>
      </w:r>
      <w:r w:rsidRPr="000D308F" w:rsidR="00602F21">
        <w:rPr>
          <w:rFonts w:ascii="Verdana" w:hAnsi="Verdana"/>
          <w:sz w:val="18"/>
          <w:szCs w:val="18"/>
        </w:rPr>
        <w:t xml:space="preserve">partijen onder meer af om samen te werken om de instandhouding en het duurzame beheer en gebruik van visbestanden te garanderen. </w:t>
      </w:r>
      <w:r w:rsidRPr="000D308F" w:rsidR="00AF00DD">
        <w:rPr>
          <w:rFonts w:ascii="Verdana" w:hAnsi="Verdana"/>
          <w:sz w:val="18"/>
          <w:szCs w:val="18"/>
        </w:rPr>
        <w:t>Ook zullen</w:t>
      </w:r>
      <w:r w:rsidRPr="000D308F" w:rsidDel="00222DCB" w:rsidR="00602F21">
        <w:rPr>
          <w:rFonts w:ascii="Verdana" w:hAnsi="Verdana"/>
          <w:sz w:val="18"/>
          <w:szCs w:val="18"/>
        </w:rPr>
        <w:t xml:space="preserve"> de partijen beleidsmaatregelen uit</w:t>
      </w:r>
      <w:r w:rsidRPr="000D308F" w:rsidDel="00222DCB" w:rsidR="00EA5DC4">
        <w:rPr>
          <w:rFonts w:ascii="Verdana" w:hAnsi="Verdana"/>
          <w:sz w:val="18"/>
          <w:szCs w:val="18"/>
        </w:rPr>
        <w:t xml:space="preserve">voeren om producten uit illegale, </w:t>
      </w:r>
      <w:proofErr w:type="spellStart"/>
      <w:r w:rsidRPr="000D308F" w:rsidDel="00222DCB" w:rsidR="00EA5DC4">
        <w:rPr>
          <w:rFonts w:ascii="Verdana" w:hAnsi="Verdana"/>
          <w:sz w:val="18"/>
          <w:szCs w:val="18"/>
        </w:rPr>
        <w:t>ongemelde</w:t>
      </w:r>
      <w:proofErr w:type="spellEnd"/>
      <w:r w:rsidRPr="000D308F" w:rsidDel="00222DCB" w:rsidR="00EA5DC4">
        <w:rPr>
          <w:rFonts w:ascii="Verdana" w:hAnsi="Verdana"/>
          <w:sz w:val="18"/>
          <w:szCs w:val="18"/>
        </w:rPr>
        <w:t xml:space="preserve"> en ongereglementeerde visserij uit handelsstromen te weren</w:t>
      </w:r>
      <w:r w:rsidRPr="000D308F" w:rsidR="00AF00DD">
        <w:rPr>
          <w:rFonts w:ascii="Verdana" w:hAnsi="Verdana"/>
          <w:sz w:val="18"/>
          <w:szCs w:val="18"/>
        </w:rPr>
        <w:t xml:space="preserve"> (artikel 33). </w:t>
      </w:r>
    </w:p>
    <w:p w:rsidRPr="000D308F" w:rsidR="00084ED8" w:rsidP="00084ED8" w:rsidRDefault="00DA7A09" w14:paraId="4415E5FE" w14:textId="58D1B50E">
      <w:pPr>
        <w:rPr>
          <w:rFonts w:ascii="Verdana" w:hAnsi="Verdana"/>
          <w:b/>
          <w:sz w:val="18"/>
          <w:szCs w:val="18"/>
        </w:rPr>
      </w:pPr>
      <w:r w:rsidRPr="000D308F">
        <w:rPr>
          <w:rFonts w:ascii="Verdana" w:hAnsi="Verdana"/>
          <w:sz w:val="18"/>
          <w:szCs w:val="18"/>
        </w:rPr>
        <w:lastRenderedPageBreak/>
        <w:t xml:space="preserve">Ook </w:t>
      </w:r>
      <w:r w:rsidRPr="000D308F" w:rsidR="00AF00DD">
        <w:rPr>
          <w:rFonts w:ascii="Verdana" w:hAnsi="Verdana"/>
          <w:sz w:val="18"/>
          <w:szCs w:val="18"/>
        </w:rPr>
        <w:t>komen de</w:t>
      </w:r>
      <w:r w:rsidRPr="000D308F">
        <w:rPr>
          <w:rFonts w:ascii="Verdana" w:hAnsi="Verdana"/>
          <w:sz w:val="18"/>
          <w:szCs w:val="18"/>
        </w:rPr>
        <w:t xml:space="preserve"> partijen overeen de nodige maatregelen te nemen om bepaalde vormen van visserijsubsidies die bijdragen tot overcapaciteit en overbevissing</w:t>
      </w:r>
      <w:r w:rsidRPr="000D308F" w:rsidDel="00222DCB">
        <w:rPr>
          <w:rFonts w:ascii="Verdana" w:hAnsi="Verdana"/>
          <w:sz w:val="18"/>
          <w:szCs w:val="18"/>
        </w:rPr>
        <w:t xml:space="preserve"> </w:t>
      </w:r>
      <w:r w:rsidRPr="000D308F">
        <w:rPr>
          <w:rFonts w:ascii="Verdana" w:hAnsi="Verdana"/>
          <w:sz w:val="18"/>
          <w:szCs w:val="18"/>
        </w:rPr>
        <w:t>te verbieden</w:t>
      </w:r>
      <w:r w:rsidRPr="000D308F" w:rsidR="00AF00DD">
        <w:rPr>
          <w:rFonts w:ascii="Verdana" w:hAnsi="Verdana"/>
          <w:sz w:val="18"/>
          <w:szCs w:val="18"/>
        </w:rPr>
        <w:t xml:space="preserve"> erkennen de partijen</w:t>
      </w:r>
      <w:r w:rsidRPr="000D308F" w:rsidDel="00222DCB">
        <w:rPr>
          <w:rFonts w:ascii="Verdana" w:hAnsi="Verdana"/>
          <w:sz w:val="18"/>
          <w:szCs w:val="18"/>
        </w:rPr>
        <w:t xml:space="preserve"> dat een passende en doeltreffende speciale en gedifferentieerde behandeling van de ontwikkelingslanden en minst ontwikkelde landen in de Stille Oceaan integraal deel moet uitmaken van de onderhandelingen over visserijsubsidies van de WTO</w:t>
      </w:r>
      <w:r w:rsidRPr="000D308F">
        <w:rPr>
          <w:rFonts w:ascii="Verdana" w:hAnsi="Verdana"/>
          <w:sz w:val="18"/>
          <w:szCs w:val="18"/>
        </w:rPr>
        <w:t xml:space="preserve"> (artikel 34).</w:t>
      </w:r>
    </w:p>
    <w:p w:rsidRPr="000D308F" w:rsidR="00084ED8" w:rsidP="00084ED8" w:rsidRDefault="00084ED8" w14:paraId="38D8036B" w14:textId="2FE0DC0A">
      <w:pPr>
        <w:rPr>
          <w:rFonts w:ascii="Verdana" w:hAnsi="Verdana"/>
          <w:b/>
          <w:bCs/>
          <w:sz w:val="18"/>
          <w:szCs w:val="18"/>
        </w:rPr>
      </w:pPr>
      <w:r w:rsidRPr="000D308F">
        <w:rPr>
          <w:rFonts w:ascii="Verdana" w:hAnsi="Verdana"/>
          <w:b/>
          <w:bCs/>
          <w:sz w:val="18"/>
          <w:szCs w:val="18"/>
        </w:rPr>
        <w:t>Titel IV – Veiligheid, mensenrechten, democratie en goed bestuur</w:t>
      </w:r>
      <w:r w:rsidRPr="000D308F" w:rsidR="00FE344D">
        <w:rPr>
          <w:rFonts w:ascii="Verdana" w:hAnsi="Verdana"/>
          <w:b/>
          <w:bCs/>
          <w:sz w:val="18"/>
          <w:szCs w:val="18"/>
        </w:rPr>
        <w:t xml:space="preserve"> (artikelen 35 t/m 41)</w:t>
      </w:r>
    </w:p>
    <w:p w:rsidRPr="000D308F" w:rsidR="00AE6A8D" w:rsidP="00084ED8" w:rsidRDefault="00CE03B3" w14:paraId="774A0272" w14:textId="57F3C00A">
      <w:pPr>
        <w:rPr>
          <w:rFonts w:ascii="Verdana" w:hAnsi="Verdana"/>
          <w:sz w:val="18"/>
          <w:szCs w:val="18"/>
        </w:rPr>
      </w:pPr>
      <w:r w:rsidRPr="000D308F">
        <w:rPr>
          <w:rFonts w:ascii="Verdana" w:hAnsi="Verdana"/>
          <w:sz w:val="18"/>
          <w:szCs w:val="18"/>
        </w:rPr>
        <w:t xml:space="preserve">De </w:t>
      </w:r>
      <w:r w:rsidRPr="000D308F" w:rsidR="004A2F01">
        <w:rPr>
          <w:rFonts w:ascii="Verdana" w:hAnsi="Verdana"/>
          <w:sz w:val="18"/>
          <w:szCs w:val="18"/>
        </w:rPr>
        <w:t>p</w:t>
      </w:r>
      <w:r w:rsidRPr="000D308F">
        <w:rPr>
          <w:rFonts w:ascii="Verdana" w:hAnsi="Verdana"/>
          <w:sz w:val="18"/>
          <w:szCs w:val="18"/>
        </w:rPr>
        <w:t>artijen werken samen aan het opbouwen van een vreedzame en veerkrachtige maatschappij,</w:t>
      </w:r>
      <w:r w:rsidRPr="000D308F" w:rsidR="00B661CB">
        <w:rPr>
          <w:rFonts w:ascii="Verdana" w:hAnsi="Verdana"/>
          <w:sz w:val="18"/>
          <w:szCs w:val="18"/>
        </w:rPr>
        <w:t xml:space="preserve"> </w:t>
      </w:r>
      <w:r w:rsidRPr="000D308F" w:rsidR="00BF3414">
        <w:rPr>
          <w:rFonts w:ascii="Verdana" w:hAnsi="Verdana"/>
          <w:sz w:val="18"/>
          <w:szCs w:val="18"/>
        </w:rPr>
        <w:t xml:space="preserve">het </w:t>
      </w:r>
      <w:r w:rsidRPr="000D308F">
        <w:rPr>
          <w:rFonts w:ascii="Verdana" w:hAnsi="Verdana"/>
          <w:sz w:val="18"/>
          <w:szCs w:val="18"/>
        </w:rPr>
        <w:t xml:space="preserve">bevorderen en behartigen </w:t>
      </w:r>
      <w:r w:rsidRPr="000D308F" w:rsidR="00580FD4">
        <w:rPr>
          <w:rFonts w:ascii="Verdana" w:hAnsi="Verdana"/>
          <w:sz w:val="18"/>
          <w:szCs w:val="18"/>
        </w:rPr>
        <w:t>van</w:t>
      </w:r>
      <w:r w:rsidRPr="000D308F">
        <w:rPr>
          <w:rFonts w:ascii="Verdana" w:hAnsi="Verdana"/>
          <w:sz w:val="18"/>
          <w:szCs w:val="18"/>
        </w:rPr>
        <w:t xml:space="preserve"> mensenrechten, en </w:t>
      </w:r>
      <w:r w:rsidRPr="000D308F" w:rsidR="00BF3414">
        <w:rPr>
          <w:rFonts w:ascii="Verdana" w:hAnsi="Verdana"/>
          <w:sz w:val="18"/>
          <w:szCs w:val="18"/>
        </w:rPr>
        <w:t xml:space="preserve">het </w:t>
      </w:r>
      <w:r w:rsidRPr="000D308F">
        <w:rPr>
          <w:rFonts w:ascii="Verdana" w:hAnsi="Verdana"/>
          <w:sz w:val="18"/>
          <w:szCs w:val="18"/>
        </w:rPr>
        <w:t xml:space="preserve">versterken </w:t>
      </w:r>
      <w:r w:rsidRPr="000D308F" w:rsidR="00BF3414">
        <w:rPr>
          <w:rFonts w:ascii="Verdana" w:hAnsi="Verdana"/>
          <w:sz w:val="18"/>
          <w:szCs w:val="18"/>
        </w:rPr>
        <w:t xml:space="preserve">van </w:t>
      </w:r>
      <w:r w:rsidRPr="000D308F">
        <w:rPr>
          <w:rFonts w:ascii="Verdana" w:hAnsi="Verdana"/>
          <w:sz w:val="18"/>
          <w:szCs w:val="18"/>
        </w:rPr>
        <w:t>democratische beginselen</w:t>
      </w:r>
      <w:r w:rsidRPr="000D308F" w:rsidDel="00BF3414">
        <w:rPr>
          <w:rFonts w:ascii="Verdana" w:hAnsi="Verdana"/>
          <w:sz w:val="18"/>
          <w:szCs w:val="18"/>
        </w:rPr>
        <w:t xml:space="preserve"> en goed bestuur</w:t>
      </w:r>
      <w:r w:rsidRPr="000D308F" w:rsidR="00580FD4">
        <w:rPr>
          <w:rFonts w:ascii="Verdana" w:hAnsi="Verdana"/>
          <w:sz w:val="18"/>
          <w:szCs w:val="18"/>
        </w:rPr>
        <w:t>. Ze</w:t>
      </w:r>
      <w:r w:rsidRPr="000D308F" w:rsidDel="00BF3414">
        <w:rPr>
          <w:rFonts w:ascii="Verdana" w:hAnsi="Verdana"/>
          <w:sz w:val="18"/>
          <w:szCs w:val="18"/>
        </w:rPr>
        <w:t xml:space="preserve"> zetten </w:t>
      </w:r>
      <w:r w:rsidRPr="000D308F" w:rsidR="00580FD4">
        <w:rPr>
          <w:rFonts w:ascii="Verdana" w:hAnsi="Verdana"/>
          <w:sz w:val="18"/>
          <w:szCs w:val="18"/>
        </w:rPr>
        <w:t>tevens</w:t>
      </w:r>
      <w:r w:rsidRPr="000D308F" w:rsidDel="00BF3414">
        <w:rPr>
          <w:rFonts w:ascii="Verdana" w:hAnsi="Verdana"/>
          <w:sz w:val="18"/>
          <w:szCs w:val="18"/>
        </w:rPr>
        <w:t xml:space="preserve"> stappen inzake goed belastingbeheer, de strijd tegen corruptie, fraude en witwassen. </w:t>
      </w:r>
      <w:r w:rsidRPr="000D308F" w:rsidR="007861FD">
        <w:rPr>
          <w:rFonts w:ascii="Verdana" w:hAnsi="Verdana"/>
          <w:sz w:val="18"/>
          <w:szCs w:val="18"/>
        </w:rPr>
        <w:t>Partijen</w:t>
      </w:r>
      <w:r w:rsidRPr="000D308F" w:rsidDel="00BF3414" w:rsidR="007861FD">
        <w:rPr>
          <w:rFonts w:ascii="Verdana" w:hAnsi="Verdana"/>
          <w:sz w:val="18"/>
          <w:szCs w:val="18"/>
        </w:rPr>
        <w:t xml:space="preserve"> </w:t>
      </w:r>
      <w:r w:rsidRPr="000D308F" w:rsidDel="00BF3414">
        <w:rPr>
          <w:rFonts w:ascii="Verdana" w:hAnsi="Verdana"/>
          <w:sz w:val="18"/>
          <w:szCs w:val="18"/>
        </w:rPr>
        <w:t>pakken nieuwe of zich uitbreidende bedreigingen voor de veiligheid aan, waaronder terrorisme, bedreigingen voor de cyberveiligheid en alle vormen van grensoverschrijdende georganiseerde misdaad, met name in verband met maritieme veiligheid, cybermisdaad, menselijke veiligheid en milieuveiligheid</w:t>
      </w:r>
      <w:r w:rsidRPr="000D308F" w:rsidR="00C51B10">
        <w:rPr>
          <w:rFonts w:ascii="Verdana" w:hAnsi="Verdana"/>
          <w:sz w:val="18"/>
          <w:szCs w:val="18"/>
        </w:rPr>
        <w:t>.</w:t>
      </w:r>
      <w:r w:rsidRPr="000D308F" w:rsidDel="00BF3414">
        <w:rPr>
          <w:rFonts w:ascii="Verdana" w:hAnsi="Verdana"/>
          <w:sz w:val="18"/>
          <w:szCs w:val="18"/>
        </w:rPr>
        <w:t xml:space="preserve"> Zij streven ernaar om, waar het passend is overeenkomstig bestaande internationale verplichtingen, de werkzaamheden van mensenrechtenmechanismen in relevante kwesties te faciliteren, onder meer die van de Hoge Commissaris van de </w:t>
      </w:r>
      <w:r w:rsidRPr="000D308F" w:rsidDel="00BF3414" w:rsidR="007861FD">
        <w:rPr>
          <w:rFonts w:ascii="Verdana" w:hAnsi="Verdana"/>
          <w:sz w:val="18"/>
          <w:szCs w:val="18"/>
        </w:rPr>
        <w:t>V</w:t>
      </w:r>
      <w:r w:rsidRPr="000D308F" w:rsidR="007861FD">
        <w:rPr>
          <w:rFonts w:ascii="Verdana" w:hAnsi="Verdana"/>
          <w:sz w:val="18"/>
          <w:szCs w:val="18"/>
        </w:rPr>
        <w:t>erenigde Naties</w:t>
      </w:r>
      <w:r w:rsidRPr="000D308F" w:rsidDel="00BF3414" w:rsidR="007861FD">
        <w:rPr>
          <w:rFonts w:ascii="Verdana" w:hAnsi="Verdana"/>
          <w:sz w:val="18"/>
          <w:szCs w:val="18"/>
        </w:rPr>
        <w:t xml:space="preserve"> </w:t>
      </w:r>
      <w:r w:rsidRPr="000D308F" w:rsidDel="00BF3414">
        <w:rPr>
          <w:rFonts w:ascii="Verdana" w:hAnsi="Verdana"/>
          <w:sz w:val="18"/>
          <w:szCs w:val="18"/>
        </w:rPr>
        <w:t xml:space="preserve">voor de </w:t>
      </w:r>
      <w:r w:rsidRPr="000D308F" w:rsidR="007861FD">
        <w:rPr>
          <w:rFonts w:ascii="Verdana" w:hAnsi="Verdana"/>
          <w:sz w:val="18"/>
          <w:szCs w:val="18"/>
        </w:rPr>
        <w:t>M</w:t>
      </w:r>
      <w:r w:rsidRPr="000D308F" w:rsidDel="00BF3414" w:rsidR="007861FD">
        <w:rPr>
          <w:rFonts w:ascii="Verdana" w:hAnsi="Verdana"/>
          <w:sz w:val="18"/>
          <w:szCs w:val="18"/>
        </w:rPr>
        <w:t xml:space="preserve">ensenrechten </w:t>
      </w:r>
      <w:r w:rsidRPr="000D308F" w:rsidDel="00BF3414">
        <w:rPr>
          <w:rFonts w:ascii="Verdana" w:hAnsi="Verdana"/>
          <w:sz w:val="18"/>
          <w:szCs w:val="18"/>
        </w:rPr>
        <w:t xml:space="preserve">(artikel 35). </w:t>
      </w:r>
      <w:r w:rsidRPr="000D308F" w:rsidR="0050098F">
        <w:rPr>
          <w:rFonts w:ascii="Verdana" w:hAnsi="Verdana"/>
          <w:sz w:val="18"/>
          <w:szCs w:val="18"/>
        </w:rPr>
        <w:t>De p</w:t>
      </w:r>
      <w:r w:rsidRPr="000D308F">
        <w:rPr>
          <w:rFonts w:ascii="Verdana" w:hAnsi="Verdana"/>
          <w:sz w:val="18"/>
          <w:szCs w:val="18"/>
        </w:rPr>
        <w:t xml:space="preserve">artijen </w:t>
      </w:r>
      <w:r w:rsidRPr="000D308F" w:rsidR="0050098F">
        <w:rPr>
          <w:rFonts w:ascii="Verdana" w:hAnsi="Verdana"/>
          <w:sz w:val="18"/>
          <w:szCs w:val="18"/>
        </w:rPr>
        <w:t>zullen tevens</w:t>
      </w:r>
      <w:r w:rsidRPr="000D308F">
        <w:rPr>
          <w:rFonts w:ascii="Verdana" w:hAnsi="Verdana"/>
          <w:sz w:val="18"/>
          <w:szCs w:val="18"/>
        </w:rPr>
        <w:t xml:space="preserve"> samenwerken om vrede, veiligheid en recht te garanderen</w:t>
      </w:r>
      <w:r w:rsidRPr="000D308F" w:rsidR="00A03921">
        <w:rPr>
          <w:rFonts w:ascii="Verdana" w:hAnsi="Verdana"/>
          <w:sz w:val="18"/>
          <w:szCs w:val="18"/>
        </w:rPr>
        <w:t xml:space="preserve"> door de bescherming, bevordering en behartiging van de mensenrechten, goed bestuur, versterkte menselijke veiligheid, milieuveiligheid, conflictpreventie en vredesopbouw</w:t>
      </w:r>
      <w:r w:rsidRPr="000D308F" w:rsidR="0050098F">
        <w:rPr>
          <w:rFonts w:ascii="Verdana" w:hAnsi="Verdana"/>
          <w:sz w:val="18"/>
          <w:szCs w:val="18"/>
        </w:rPr>
        <w:t xml:space="preserve"> (artikel 36)</w:t>
      </w:r>
      <w:r w:rsidRPr="000D308F" w:rsidR="00A03921">
        <w:rPr>
          <w:rFonts w:ascii="Verdana" w:hAnsi="Verdana"/>
          <w:sz w:val="18"/>
          <w:szCs w:val="18"/>
        </w:rPr>
        <w:t xml:space="preserve">. In artikel 37 zijn bepalingen opgenomen om georganiseerde misdaad te bestrijden. </w:t>
      </w:r>
      <w:r w:rsidRPr="000D308F" w:rsidR="00E77283">
        <w:rPr>
          <w:rFonts w:ascii="Verdana" w:hAnsi="Verdana"/>
          <w:sz w:val="18"/>
          <w:szCs w:val="18"/>
        </w:rPr>
        <w:br/>
      </w:r>
      <w:r w:rsidRPr="000D308F" w:rsidR="00E77283">
        <w:rPr>
          <w:rFonts w:ascii="Verdana" w:hAnsi="Verdana"/>
          <w:sz w:val="18"/>
          <w:szCs w:val="18"/>
        </w:rPr>
        <w:br/>
      </w:r>
      <w:r w:rsidRPr="000D308F" w:rsidR="00FB7DB3">
        <w:rPr>
          <w:rFonts w:ascii="Verdana" w:hAnsi="Verdana"/>
          <w:sz w:val="18"/>
          <w:szCs w:val="18"/>
        </w:rPr>
        <w:t xml:space="preserve">De partijen </w:t>
      </w:r>
      <w:r w:rsidRPr="000D308F" w:rsidR="00BF011F">
        <w:rPr>
          <w:rFonts w:ascii="Verdana" w:hAnsi="Verdana"/>
          <w:sz w:val="18"/>
          <w:szCs w:val="18"/>
        </w:rPr>
        <w:t>komen overeen alle mensenrechten, ongeacht of het burgerrechten, politieke, economische, sociale of culturele rechten betreft, te eerbiedigen, te beschermen, te behartigen en te bevorderen</w:t>
      </w:r>
      <w:r w:rsidRPr="000D308F" w:rsidR="00794F3F">
        <w:rPr>
          <w:rFonts w:ascii="Verdana" w:hAnsi="Verdana"/>
          <w:sz w:val="18"/>
          <w:szCs w:val="18"/>
        </w:rPr>
        <w:t xml:space="preserve"> (artikel 38).</w:t>
      </w:r>
      <w:r w:rsidRPr="000D308F" w:rsidDel="00BF0128" w:rsidR="00BF011F">
        <w:rPr>
          <w:rFonts w:ascii="Verdana" w:hAnsi="Verdana"/>
          <w:sz w:val="18"/>
          <w:szCs w:val="18"/>
        </w:rPr>
        <w:t xml:space="preserve"> </w:t>
      </w:r>
      <w:r w:rsidRPr="000D308F" w:rsidR="00BF011F">
        <w:rPr>
          <w:rFonts w:ascii="Verdana" w:hAnsi="Verdana"/>
          <w:sz w:val="18"/>
          <w:szCs w:val="18"/>
        </w:rPr>
        <w:t>De partijen komen verder overeen dat zij alle vormen van racisme, discriminatie</w:t>
      </w:r>
      <w:r w:rsidRPr="000D308F" w:rsidR="00BA6E42">
        <w:rPr>
          <w:rFonts w:ascii="Verdana" w:hAnsi="Verdana"/>
          <w:sz w:val="18"/>
          <w:szCs w:val="18"/>
        </w:rPr>
        <w:t xml:space="preserve"> en</w:t>
      </w:r>
      <w:r w:rsidRPr="000D308F" w:rsidR="00BF011F">
        <w:rPr>
          <w:rFonts w:ascii="Verdana" w:hAnsi="Verdana"/>
          <w:sz w:val="18"/>
          <w:szCs w:val="18"/>
        </w:rPr>
        <w:t xml:space="preserve"> </w:t>
      </w:r>
      <w:proofErr w:type="spellStart"/>
      <w:r w:rsidRPr="000D308F" w:rsidR="00BF011F">
        <w:rPr>
          <w:rFonts w:ascii="Verdana" w:hAnsi="Verdana"/>
          <w:sz w:val="18"/>
          <w:szCs w:val="18"/>
        </w:rPr>
        <w:t>gendergebaseerde</w:t>
      </w:r>
      <w:proofErr w:type="spellEnd"/>
      <w:r w:rsidRPr="000D308F" w:rsidR="00BF011F">
        <w:rPr>
          <w:rFonts w:ascii="Verdana" w:hAnsi="Verdana"/>
          <w:sz w:val="18"/>
          <w:szCs w:val="18"/>
        </w:rPr>
        <w:t xml:space="preserve"> discriminatie aanpakken, ook als deze tot uiting komt in </w:t>
      </w:r>
      <w:proofErr w:type="spellStart"/>
      <w:r w:rsidRPr="000D308F" w:rsidR="00BF011F">
        <w:rPr>
          <w:rFonts w:ascii="Verdana" w:hAnsi="Verdana"/>
          <w:sz w:val="18"/>
          <w:szCs w:val="18"/>
        </w:rPr>
        <w:t>gendergerelateerd</w:t>
      </w:r>
      <w:proofErr w:type="spellEnd"/>
      <w:r w:rsidRPr="000D308F" w:rsidR="00BF011F">
        <w:rPr>
          <w:rFonts w:ascii="Verdana" w:hAnsi="Verdana"/>
          <w:sz w:val="18"/>
          <w:szCs w:val="18"/>
        </w:rPr>
        <w:t xml:space="preserve"> geweld, mensenhandel, specifiek van vrouwen </w:t>
      </w:r>
      <w:r w:rsidRPr="000D308F" w:rsidR="00BA6E42">
        <w:rPr>
          <w:rFonts w:ascii="Verdana" w:hAnsi="Verdana"/>
          <w:sz w:val="18"/>
          <w:szCs w:val="18"/>
        </w:rPr>
        <w:t xml:space="preserve">en meisjes met het oog op seksuele uitbuiting, haatuitingen en haatmisdrijven, alsmede van vreemdelingenhaat en daarmee verband houdende onverdraagzaamheid. </w:t>
      </w:r>
      <w:r w:rsidRPr="000D308F" w:rsidR="00BA1530">
        <w:rPr>
          <w:rFonts w:ascii="Verdana" w:hAnsi="Verdana"/>
          <w:sz w:val="18"/>
          <w:szCs w:val="18"/>
        </w:rPr>
        <w:t>In ar</w:t>
      </w:r>
      <w:r w:rsidRPr="000D308F" w:rsidR="00E654EC">
        <w:rPr>
          <w:rFonts w:ascii="Verdana" w:hAnsi="Verdana"/>
          <w:sz w:val="18"/>
          <w:szCs w:val="18"/>
        </w:rPr>
        <w:t>tikel 39 staan bepalingen over de waarborging van democratie en goed bestuur. De partijen houden in dat kader onder andere</w:t>
      </w:r>
      <w:r w:rsidRPr="000D308F" w:rsidR="00BA1530">
        <w:rPr>
          <w:rFonts w:ascii="Verdana" w:hAnsi="Verdana"/>
          <w:sz w:val="18"/>
          <w:szCs w:val="18"/>
        </w:rPr>
        <w:t xml:space="preserve"> </w:t>
      </w:r>
      <w:r w:rsidRPr="000D308F" w:rsidR="00E654EC">
        <w:rPr>
          <w:rFonts w:ascii="Verdana" w:hAnsi="Verdana"/>
          <w:sz w:val="18"/>
          <w:szCs w:val="18"/>
        </w:rPr>
        <w:t>democratische processen en instellingen in stand overeenkomstig internationaal erkende beginselen en nationale wettelijke kaders</w:t>
      </w:r>
      <w:r w:rsidRPr="000D308F" w:rsidR="00794F3F">
        <w:rPr>
          <w:rFonts w:ascii="Verdana" w:hAnsi="Verdana"/>
          <w:sz w:val="18"/>
          <w:szCs w:val="18"/>
        </w:rPr>
        <w:t>.</w:t>
      </w:r>
      <w:r w:rsidRPr="000D308F" w:rsidDel="00751496" w:rsidR="00F3372C">
        <w:rPr>
          <w:rFonts w:ascii="Verdana" w:hAnsi="Verdana"/>
          <w:sz w:val="18"/>
          <w:szCs w:val="18"/>
        </w:rPr>
        <w:t xml:space="preserve"> </w:t>
      </w:r>
      <w:r w:rsidRPr="000D308F" w:rsidR="00B35161">
        <w:rPr>
          <w:rFonts w:ascii="Verdana" w:hAnsi="Verdana"/>
          <w:sz w:val="18"/>
          <w:szCs w:val="18"/>
        </w:rPr>
        <w:t xml:space="preserve">In artikel 40 is </w:t>
      </w:r>
      <w:r w:rsidRPr="000D308F" w:rsidR="00FB5835">
        <w:rPr>
          <w:rFonts w:ascii="Verdana" w:hAnsi="Verdana"/>
          <w:sz w:val="18"/>
          <w:szCs w:val="18"/>
        </w:rPr>
        <w:t xml:space="preserve">bepaald </w:t>
      </w:r>
      <w:r w:rsidRPr="000D308F" w:rsidR="00B35161">
        <w:rPr>
          <w:rFonts w:ascii="Verdana" w:hAnsi="Verdana"/>
          <w:sz w:val="18"/>
          <w:szCs w:val="18"/>
        </w:rPr>
        <w:t>dat de partijen de wet eerbiedigen en samenwerken aan het bevorderen van de rechtsstaat</w:t>
      </w:r>
      <w:r w:rsidRPr="000D308F" w:rsidR="00F3372C">
        <w:rPr>
          <w:rFonts w:ascii="Verdana" w:hAnsi="Verdana"/>
          <w:sz w:val="18"/>
          <w:szCs w:val="18"/>
        </w:rPr>
        <w:t xml:space="preserve">. </w:t>
      </w:r>
      <w:r w:rsidRPr="000D308F" w:rsidR="00794F3F">
        <w:rPr>
          <w:rFonts w:ascii="Verdana" w:hAnsi="Verdana"/>
          <w:sz w:val="18"/>
          <w:szCs w:val="18"/>
        </w:rPr>
        <w:t>Ar</w:t>
      </w:r>
      <w:r w:rsidRPr="000D308F" w:rsidR="00AE6A8D">
        <w:rPr>
          <w:rFonts w:ascii="Verdana" w:hAnsi="Verdana"/>
          <w:sz w:val="18"/>
          <w:szCs w:val="18"/>
        </w:rPr>
        <w:t xml:space="preserve">tikel 41 gaat </w:t>
      </w:r>
      <w:r w:rsidRPr="000D308F" w:rsidR="00794F3F">
        <w:rPr>
          <w:rFonts w:ascii="Verdana" w:hAnsi="Verdana"/>
          <w:sz w:val="18"/>
          <w:szCs w:val="18"/>
        </w:rPr>
        <w:t>in</w:t>
      </w:r>
      <w:r w:rsidRPr="000D308F" w:rsidR="00AE6A8D">
        <w:rPr>
          <w:rFonts w:ascii="Verdana" w:hAnsi="Verdana"/>
          <w:sz w:val="18"/>
          <w:szCs w:val="18"/>
        </w:rPr>
        <w:t xml:space="preserve"> </w:t>
      </w:r>
      <w:r w:rsidRPr="000D308F" w:rsidR="00FB5835">
        <w:rPr>
          <w:rFonts w:ascii="Verdana" w:hAnsi="Verdana"/>
          <w:sz w:val="18"/>
          <w:szCs w:val="18"/>
        </w:rPr>
        <w:t xml:space="preserve">op </w:t>
      </w:r>
      <w:r w:rsidRPr="000D308F" w:rsidR="00AE6A8D">
        <w:rPr>
          <w:rFonts w:ascii="Verdana" w:hAnsi="Verdana"/>
          <w:sz w:val="18"/>
          <w:szCs w:val="18"/>
        </w:rPr>
        <w:t xml:space="preserve">goed financieel bestuur. </w:t>
      </w:r>
    </w:p>
    <w:p w:rsidRPr="000D308F" w:rsidR="00084ED8" w:rsidP="00084ED8" w:rsidRDefault="00084ED8" w14:paraId="67224F0C" w14:textId="7EB789CD">
      <w:pPr>
        <w:rPr>
          <w:rFonts w:ascii="Verdana" w:hAnsi="Verdana"/>
          <w:b/>
          <w:bCs/>
          <w:sz w:val="18"/>
          <w:szCs w:val="18"/>
        </w:rPr>
      </w:pPr>
      <w:r w:rsidRPr="000D308F">
        <w:rPr>
          <w:rFonts w:ascii="Verdana" w:hAnsi="Verdana"/>
          <w:b/>
          <w:bCs/>
          <w:sz w:val="18"/>
          <w:szCs w:val="18"/>
        </w:rPr>
        <w:t xml:space="preserve">Titel V – Menselijke en sociale ontwikkeling </w:t>
      </w:r>
      <w:r w:rsidRPr="000D308F" w:rsidR="003F1067">
        <w:rPr>
          <w:rFonts w:ascii="Verdana" w:hAnsi="Verdana"/>
          <w:b/>
          <w:bCs/>
          <w:sz w:val="18"/>
          <w:szCs w:val="18"/>
        </w:rPr>
        <w:t xml:space="preserve">(artikelen </w:t>
      </w:r>
      <w:r w:rsidRPr="000D308F" w:rsidR="00FE344D">
        <w:rPr>
          <w:rFonts w:ascii="Verdana" w:hAnsi="Verdana"/>
          <w:b/>
          <w:bCs/>
          <w:sz w:val="18"/>
          <w:szCs w:val="18"/>
        </w:rPr>
        <w:t>42</w:t>
      </w:r>
      <w:r w:rsidRPr="000D308F" w:rsidR="003F1067">
        <w:rPr>
          <w:rFonts w:ascii="Verdana" w:hAnsi="Verdana"/>
          <w:b/>
          <w:bCs/>
          <w:sz w:val="18"/>
          <w:szCs w:val="18"/>
        </w:rPr>
        <w:t xml:space="preserve"> t/m </w:t>
      </w:r>
      <w:r w:rsidRPr="000D308F" w:rsidR="00FE344D">
        <w:rPr>
          <w:rFonts w:ascii="Verdana" w:hAnsi="Verdana"/>
          <w:b/>
          <w:bCs/>
          <w:sz w:val="18"/>
          <w:szCs w:val="18"/>
        </w:rPr>
        <w:t>52</w:t>
      </w:r>
      <w:r w:rsidRPr="000D308F" w:rsidR="003F1067">
        <w:rPr>
          <w:rFonts w:ascii="Verdana" w:hAnsi="Verdana"/>
          <w:b/>
          <w:bCs/>
          <w:sz w:val="18"/>
          <w:szCs w:val="18"/>
        </w:rPr>
        <w:t>)</w:t>
      </w:r>
    </w:p>
    <w:p w:rsidRPr="000D308F" w:rsidR="00274541" w:rsidP="00EC4F1D" w:rsidRDefault="00AE6A8D" w14:paraId="758EEB9A" w14:textId="44C4CA57">
      <w:pPr>
        <w:rPr>
          <w:rFonts w:ascii="Verdana" w:hAnsi="Verdana"/>
          <w:sz w:val="18"/>
          <w:szCs w:val="18"/>
        </w:rPr>
      </w:pPr>
      <w:r w:rsidRPr="000D308F">
        <w:rPr>
          <w:rFonts w:ascii="Verdana" w:hAnsi="Verdana"/>
          <w:sz w:val="18"/>
          <w:szCs w:val="18"/>
        </w:rPr>
        <w:t>In artikel 42 is opgenomen dat de partijen vastbesloten zijn om armoede in al haar vormen tegen 2030 uit te roeien, de menselijke en sociale ontwikkeling te stimuleren</w:t>
      </w:r>
      <w:r w:rsidRPr="000D308F" w:rsidDel="008079FA">
        <w:rPr>
          <w:rFonts w:ascii="Verdana" w:hAnsi="Verdana"/>
          <w:sz w:val="18"/>
          <w:szCs w:val="18"/>
        </w:rPr>
        <w:t xml:space="preserve">, ongelijkheid doeltreffend te bestrijden, gendergelijkheid en de versterking van de positie van vrouwen en jongeren te bevorderen, ervoor te zorgen dat elkeen de noodzakelijke middelen heeft om een waardig leven te leiden, de voorwaarden te scheppen voor de doeltreffende participatie van mensen aan het democratische leven en hun actieve bijdrage tot duurzame economische groei. </w:t>
      </w:r>
      <w:r w:rsidRPr="000D308F">
        <w:rPr>
          <w:rFonts w:ascii="Verdana" w:hAnsi="Verdana"/>
          <w:sz w:val="18"/>
          <w:szCs w:val="18"/>
        </w:rPr>
        <w:t>Zij</w:t>
      </w:r>
      <w:r w:rsidRPr="000D308F" w:rsidDel="008079FA">
        <w:rPr>
          <w:rFonts w:ascii="Verdana" w:hAnsi="Verdana"/>
          <w:sz w:val="18"/>
          <w:szCs w:val="18"/>
        </w:rPr>
        <w:t xml:space="preserve"> bevorderen </w:t>
      </w:r>
      <w:r w:rsidRPr="000D308F" w:rsidR="00DC39A4">
        <w:rPr>
          <w:rFonts w:ascii="Verdana" w:hAnsi="Verdana"/>
          <w:sz w:val="18"/>
          <w:szCs w:val="18"/>
        </w:rPr>
        <w:t>voorts</w:t>
      </w:r>
      <w:r w:rsidRPr="000D308F" w:rsidDel="008079FA">
        <w:rPr>
          <w:rFonts w:ascii="Verdana" w:hAnsi="Verdana"/>
          <w:sz w:val="18"/>
          <w:szCs w:val="18"/>
        </w:rPr>
        <w:t xml:space="preserve"> cultuur en sport als motoren voor duurzame menselijke en sociale ontwikkeling en inclusieve economische groei</w:t>
      </w:r>
      <w:r w:rsidRPr="000D308F">
        <w:rPr>
          <w:rFonts w:ascii="Verdana" w:hAnsi="Verdana"/>
          <w:sz w:val="18"/>
          <w:szCs w:val="18"/>
        </w:rPr>
        <w:t xml:space="preserve">. Artikel 43 </w:t>
      </w:r>
      <w:r w:rsidRPr="000D308F" w:rsidR="00CE0EF0">
        <w:rPr>
          <w:rFonts w:ascii="Verdana" w:hAnsi="Verdana"/>
          <w:sz w:val="18"/>
          <w:szCs w:val="18"/>
        </w:rPr>
        <w:t>t/m 52 gaan achtereenvolgens</w:t>
      </w:r>
      <w:r w:rsidRPr="000D308F">
        <w:rPr>
          <w:rFonts w:ascii="Verdana" w:hAnsi="Verdana"/>
          <w:sz w:val="18"/>
          <w:szCs w:val="18"/>
        </w:rPr>
        <w:t xml:space="preserve"> over onderwijs</w:t>
      </w:r>
      <w:r w:rsidRPr="000D308F" w:rsidR="00CE0EF0">
        <w:rPr>
          <w:rFonts w:ascii="Verdana" w:hAnsi="Verdana"/>
          <w:sz w:val="18"/>
          <w:szCs w:val="18"/>
        </w:rPr>
        <w:t xml:space="preserve"> (artikel 43), g</w:t>
      </w:r>
      <w:r w:rsidRPr="000D308F">
        <w:rPr>
          <w:rFonts w:ascii="Verdana" w:hAnsi="Verdana"/>
          <w:sz w:val="18"/>
          <w:szCs w:val="18"/>
        </w:rPr>
        <w:t xml:space="preserve">ezondheid </w:t>
      </w:r>
      <w:r w:rsidRPr="000D308F" w:rsidR="00CE0EF0">
        <w:rPr>
          <w:rFonts w:ascii="Verdana" w:hAnsi="Verdana"/>
          <w:sz w:val="18"/>
          <w:szCs w:val="18"/>
        </w:rPr>
        <w:t>(</w:t>
      </w:r>
      <w:r w:rsidRPr="000D308F">
        <w:rPr>
          <w:rFonts w:ascii="Verdana" w:hAnsi="Verdana"/>
          <w:sz w:val="18"/>
          <w:szCs w:val="18"/>
        </w:rPr>
        <w:t>artikel 44</w:t>
      </w:r>
      <w:r w:rsidRPr="000D308F" w:rsidR="00CE0EF0">
        <w:rPr>
          <w:rFonts w:ascii="Verdana" w:hAnsi="Verdana"/>
          <w:sz w:val="18"/>
          <w:szCs w:val="18"/>
        </w:rPr>
        <w:t>), w</w:t>
      </w:r>
      <w:r w:rsidRPr="000D308F">
        <w:rPr>
          <w:rFonts w:ascii="Verdana" w:hAnsi="Verdana"/>
          <w:sz w:val="18"/>
          <w:szCs w:val="18"/>
        </w:rPr>
        <w:t xml:space="preserve">ater en sanitaire voorzieningen </w:t>
      </w:r>
      <w:r w:rsidRPr="000D308F" w:rsidR="00CE0EF0">
        <w:rPr>
          <w:rFonts w:ascii="Verdana" w:hAnsi="Verdana"/>
          <w:sz w:val="18"/>
          <w:szCs w:val="18"/>
        </w:rPr>
        <w:t>(</w:t>
      </w:r>
      <w:r w:rsidRPr="000D308F">
        <w:rPr>
          <w:rFonts w:ascii="Verdana" w:hAnsi="Verdana"/>
          <w:sz w:val="18"/>
          <w:szCs w:val="18"/>
        </w:rPr>
        <w:t>artikel 45</w:t>
      </w:r>
      <w:r w:rsidRPr="000D308F" w:rsidR="00CE0EF0">
        <w:rPr>
          <w:rFonts w:ascii="Verdana" w:hAnsi="Verdana"/>
          <w:sz w:val="18"/>
          <w:szCs w:val="18"/>
        </w:rPr>
        <w:t>),</w:t>
      </w:r>
      <w:r w:rsidRPr="000D308F" w:rsidR="00047956">
        <w:rPr>
          <w:rFonts w:ascii="Verdana" w:hAnsi="Verdana"/>
          <w:sz w:val="18"/>
          <w:szCs w:val="18"/>
        </w:rPr>
        <w:t xml:space="preserve"> huisvesting</w:t>
      </w:r>
      <w:r w:rsidRPr="000D308F" w:rsidR="00CE0EF0">
        <w:rPr>
          <w:rFonts w:ascii="Verdana" w:hAnsi="Verdana"/>
          <w:sz w:val="18"/>
          <w:szCs w:val="18"/>
        </w:rPr>
        <w:t xml:space="preserve"> (artikel 46), v</w:t>
      </w:r>
      <w:r w:rsidRPr="000D308F" w:rsidR="00047956">
        <w:rPr>
          <w:rFonts w:ascii="Verdana" w:hAnsi="Verdana"/>
          <w:sz w:val="18"/>
          <w:szCs w:val="18"/>
        </w:rPr>
        <w:t xml:space="preserve">oedselzekerheid en betere voeding </w:t>
      </w:r>
      <w:r w:rsidRPr="000D308F" w:rsidR="00CE0EF0">
        <w:rPr>
          <w:rFonts w:ascii="Verdana" w:hAnsi="Verdana"/>
          <w:sz w:val="18"/>
          <w:szCs w:val="18"/>
        </w:rPr>
        <w:t>(</w:t>
      </w:r>
      <w:r w:rsidRPr="000D308F" w:rsidR="00047956">
        <w:rPr>
          <w:rFonts w:ascii="Verdana" w:hAnsi="Verdana"/>
          <w:sz w:val="18"/>
          <w:szCs w:val="18"/>
        </w:rPr>
        <w:t>artikel 47</w:t>
      </w:r>
      <w:r w:rsidRPr="000D308F" w:rsidR="00CE0EF0">
        <w:rPr>
          <w:rFonts w:ascii="Verdana" w:hAnsi="Verdana"/>
          <w:sz w:val="18"/>
          <w:szCs w:val="18"/>
        </w:rPr>
        <w:t xml:space="preserve">), </w:t>
      </w:r>
      <w:r w:rsidRPr="000D308F" w:rsidR="00047956">
        <w:rPr>
          <w:rFonts w:ascii="Verdana" w:hAnsi="Verdana"/>
          <w:sz w:val="18"/>
          <w:szCs w:val="18"/>
        </w:rPr>
        <w:t>sociale bescherming</w:t>
      </w:r>
      <w:r w:rsidRPr="000D308F" w:rsidR="00CE0EF0">
        <w:rPr>
          <w:rFonts w:ascii="Verdana" w:hAnsi="Verdana"/>
          <w:sz w:val="18"/>
          <w:szCs w:val="18"/>
        </w:rPr>
        <w:t xml:space="preserve"> (artikel </w:t>
      </w:r>
      <w:r w:rsidRPr="000D308F" w:rsidR="00047956">
        <w:rPr>
          <w:rFonts w:ascii="Verdana" w:hAnsi="Verdana"/>
          <w:sz w:val="18"/>
          <w:szCs w:val="18"/>
        </w:rPr>
        <w:t>48</w:t>
      </w:r>
      <w:r w:rsidRPr="000D308F" w:rsidR="00CE0EF0">
        <w:rPr>
          <w:rFonts w:ascii="Verdana" w:hAnsi="Verdana"/>
          <w:sz w:val="18"/>
          <w:szCs w:val="18"/>
        </w:rPr>
        <w:t>),</w:t>
      </w:r>
      <w:r w:rsidRPr="000D308F" w:rsidR="00047956">
        <w:rPr>
          <w:rFonts w:ascii="Verdana" w:hAnsi="Verdana"/>
          <w:sz w:val="18"/>
          <w:szCs w:val="18"/>
        </w:rPr>
        <w:t xml:space="preserve"> gendergelijkheid en de versterking van de positie van vrouwen en meisjes </w:t>
      </w:r>
      <w:r w:rsidRPr="000D308F" w:rsidR="00CE0EF0">
        <w:rPr>
          <w:rFonts w:ascii="Verdana" w:hAnsi="Verdana"/>
          <w:sz w:val="18"/>
          <w:szCs w:val="18"/>
        </w:rPr>
        <w:t>(artikel 49), j</w:t>
      </w:r>
      <w:r w:rsidRPr="000D308F" w:rsidR="00047956">
        <w:rPr>
          <w:rFonts w:ascii="Verdana" w:hAnsi="Verdana"/>
          <w:sz w:val="18"/>
          <w:szCs w:val="18"/>
        </w:rPr>
        <w:t>ongeren</w:t>
      </w:r>
      <w:r w:rsidRPr="000D308F" w:rsidR="00CE0EF0">
        <w:rPr>
          <w:rFonts w:ascii="Verdana" w:hAnsi="Verdana"/>
          <w:sz w:val="18"/>
          <w:szCs w:val="18"/>
        </w:rPr>
        <w:t xml:space="preserve"> (</w:t>
      </w:r>
      <w:r w:rsidRPr="000D308F" w:rsidR="00047956">
        <w:rPr>
          <w:rFonts w:ascii="Verdana" w:hAnsi="Verdana"/>
          <w:sz w:val="18"/>
          <w:szCs w:val="18"/>
        </w:rPr>
        <w:t>artikel 50</w:t>
      </w:r>
      <w:r w:rsidRPr="000D308F" w:rsidR="00CE0EF0">
        <w:rPr>
          <w:rFonts w:ascii="Verdana" w:hAnsi="Verdana"/>
          <w:sz w:val="18"/>
          <w:szCs w:val="18"/>
        </w:rPr>
        <w:t>),</w:t>
      </w:r>
      <w:r w:rsidRPr="000D308F" w:rsidR="00047956">
        <w:rPr>
          <w:rFonts w:ascii="Verdana" w:hAnsi="Verdana"/>
          <w:sz w:val="18"/>
          <w:szCs w:val="18"/>
        </w:rPr>
        <w:t xml:space="preserve"> personen met een handicap</w:t>
      </w:r>
      <w:r w:rsidRPr="000D308F" w:rsidR="00CE0EF0">
        <w:rPr>
          <w:rFonts w:ascii="Verdana" w:hAnsi="Verdana"/>
          <w:sz w:val="18"/>
          <w:szCs w:val="18"/>
        </w:rPr>
        <w:t xml:space="preserve"> (artikel 51),</w:t>
      </w:r>
      <w:r w:rsidRPr="000D308F" w:rsidR="00047956">
        <w:rPr>
          <w:rFonts w:ascii="Verdana" w:hAnsi="Verdana"/>
          <w:sz w:val="18"/>
          <w:szCs w:val="18"/>
        </w:rPr>
        <w:t xml:space="preserve"> cultuur, sport en interpersoonlijke contacten</w:t>
      </w:r>
      <w:r w:rsidRPr="000D308F" w:rsidR="00CE0EF0">
        <w:rPr>
          <w:rFonts w:ascii="Verdana" w:hAnsi="Verdana"/>
          <w:sz w:val="18"/>
          <w:szCs w:val="18"/>
        </w:rPr>
        <w:t xml:space="preserve"> (artikel 52). </w:t>
      </w:r>
    </w:p>
    <w:p w:rsidRPr="000D308F" w:rsidR="001A7F16" w:rsidP="00EC4F1D" w:rsidRDefault="001A7F16" w14:paraId="1FC9222C" w14:textId="57C6396C">
      <w:pPr>
        <w:rPr>
          <w:rFonts w:ascii="Verdana" w:hAnsi="Verdana"/>
          <w:b/>
          <w:bCs/>
          <w:sz w:val="18"/>
          <w:szCs w:val="18"/>
        </w:rPr>
      </w:pPr>
      <w:r w:rsidRPr="000D308F">
        <w:rPr>
          <w:rFonts w:ascii="Verdana" w:hAnsi="Verdana"/>
          <w:b/>
          <w:bCs/>
          <w:sz w:val="18"/>
          <w:szCs w:val="18"/>
        </w:rPr>
        <w:t xml:space="preserve">3. </w:t>
      </w:r>
      <w:r w:rsidRPr="000D308F" w:rsidR="00D64A81">
        <w:rPr>
          <w:rFonts w:ascii="Verdana" w:hAnsi="Verdana"/>
          <w:b/>
          <w:bCs/>
          <w:sz w:val="18"/>
          <w:szCs w:val="18"/>
        </w:rPr>
        <w:t>B</w:t>
      </w:r>
      <w:r w:rsidRPr="000D308F">
        <w:rPr>
          <w:rFonts w:ascii="Verdana" w:hAnsi="Verdana"/>
          <w:b/>
          <w:bCs/>
          <w:sz w:val="18"/>
          <w:szCs w:val="18"/>
        </w:rPr>
        <w:t xml:space="preserve">ijlagen </w:t>
      </w:r>
    </w:p>
    <w:p w:rsidRPr="000D308F" w:rsidR="00DD688B" w:rsidP="008C26EB" w:rsidRDefault="00DD688B" w14:paraId="39A2113C" w14:textId="79BEFD82">
      <w:pPr>
        <w:rPr>
          <w:rFonts w:ascii="Verdana" w:hAnsi="Verdana"/>
          <w:i/>
          <w:iCs/>
          <w:sz w:val="18"/>
          <w:szCs w:val="18"/>
        </w:rPr>
      </w:pPr>
      <w:r w:rsidRPr="000D308F">
        <w:rPr>
          <w:rFonts w:ascii="Verdana" w:hAnsi="Verdana"/>
          <w:i/>
          <w:iCs/>
          <w:sz w:val="18"/>
          <w:szCs w:val="18"/>
        </w:rPr>
        <w:t>Bijlage I: Terugkeer- en overnameprocedures</w:t>
      </w:r>
    </w:p>
    <w:p w:rsidRPr="000D308F" w:rsidR="007258D8" w:rsidP="008C26EB" w:rsidRDefault="004B041E" w14:paraId="12FB412B" w14:textId="2F106CF9">
      <w:pPr>
        <w:rPr>
          <w:rFonts w:ascii="Verdana" w:hAnsi="Verdana"/>
          <w:sz w:val="18"/>
          <w:szCs w:val="18"/>
        </w:rPr>
      </w:pPr>
      <w:r w:rsidRPr="000D308F">
        <w:rPr>
          <w:rFonts w:ascii="Verdana" w:hAnsi="Verdana"/>
          <w:sz w:val="18"/>
          <w:szCs w:val="18"/>
        </w:rPr>
        <w:t>In a</w:t>
      </w:r>
      <w:r w:rsidRPr="000D308F" w:rsidR="00BD5927">
        <w:rPr>
          <w:rFonts w:ascii="Verdana" w:hAnsi="Verdana"/>
          <w:sz w:val="18"/>
          <w:szCs w:val="18"/>
        </w:rPr>
        <w:t>rtikelen 1 t/m</w:t>
      </w:r>
      <w:r w:rsidRPr="000D308F">
        <w:rPr>
          <w:rFonts w:ascii="Verdana" w:hAnsi="Verdana"/>
          <w:sz w:val="18"/>
          <w:szCs w:val="18"/>
        </w:rPr>
        <w:t xml:space="preserve"> </w:t>
      </w:r>
      <w:r w:rsidRPr="000D308F" w:rsidR="00BD5927">
        <w:rPr>
          <w:rFonts w:ascii="Verdana" w:hAnsi="Verdana"/>
          <w:sz w:val="18"/>
          <w:szCs w:val="18"/>
        </w:rPr>
        <w:t xml:space="preserve">5 </w:t>
      </w:r>
      <w:r w:rsidRPr="000D308F">
        <w:rPr>
          <w:rFonts w:ascii="Verdana" w:hAnsi="Verdana"/>
          <w:sz w:val="18"/>
          <w:szCs w:val="18"/>
        </w:rPr>
        <w:t>beschrijven partijen</w:t>
      </w:r>
      <w:r w:rsidRPr="000D308F" w:rsidR="00BD5927">
        <w:rPr>
          <w:rFonts w:ascii="Verdana" w:hAnsi="Verdana"/>
          <w:sz w:val="18"/>
          <w:szCs w:val="18"/>
        </w:rPr>
        <w:t xml:space="preserve"> de terugkeer- en overnameprocedures</w:t>
      </w:r>
      <w:r w:rsidRPr="000D308F">
        <w:rPr>
          <w:rFonts w:ascii="Verdana" w:hAnsi="Verdana"/>
          <w:sz w:val="18"/>
          <w:szCs w:val="18"/>
        </w:rPr>
        <w:t>.</w:t>
      </w:r>
      <w:r w:rsidRPr="000D308F" w:rsidR="00BD5927">
        <w:rPr>
          <w:rFonts w:ascii="Verdana" w:hAnsi="Verdana"/>
          <w:sz w:val="18"/>
          <w:szCs w:val="18"/>
        </w:rPr>
        <w:t xml:space="preserve"> </w:t>
      </w:r>
      <w:r w:rsidRPr="000D308F" w:rsidR="007258D8">
        <w:rPr>
          <w:rFonts w:ascii="Verdana" w:hAnsi="Verdana"/>
          <w:sz w:val="18"/>
          <w:szCs w:val="18"/>
        </w:rPr>
        <w:t xml:space="preserve">De definities die gebruikt worden in de bijlage staan opgenomen in artikel 1. De terugkeer en overname van personen die niet in het bezit zijn van een geldig reisdocument is vervolgens geregeld in artikel 2. De vervoersmiddelen voor terugkeer staan </w:t>
      </w:r>
      <w:r w:rsidRPr="000D308F" w:rsidR="001F13F9">
        <w:rPr>
          <w:rFonts w:ascii="Verdana" w:hAnsi="Verdana"/>
          <w:sz w:val="18"/>
          <w:szCs w:val="18"/>
        </w:rPr>
        <w:t xml:space="preserve">vervolgens </w:t>
      </w:r>
      <w:r w:rsidRPr="000D308F" w:rsidR="007258D8">
        <w:rPr>
          <w:rFonts w:ascii="Verdana" w:hAnsi="Verdana"/>
          <w:sz w:val="18"/>
          <w:szCs w:val="18"/>
        </w:rPr>
        <w:t xml:space="preserve">gestipuleerd in artikel 3. De terugkeer van niet begeleide minderjarigen komt aan bod in artikel 4. </w:t>
      </w:r>
      <w:r w:rsidRPr="000D308F" w:rsidR="001F13F9">
        <w:rPr>
          <w:rFonts w:ascii="Verdana" w:hAnsi="Verdana"/>
          <w:sz w:val="18"/>
          <w:szCs w:val="18"/>
        </w:rPr>
        <w:t>En tot slot worden i</w:t>
      </w:r>
      <w:r w:rsidRPr="000D308F" w:rsidR="007258D8">
        <w:rPr>
          <w:rFonts w:ascii="Verdana" w:hAnsi="Verdana"/>
          <w:sz w:val="18"/>
          <w:szCs w:val="18"/>
        </w:rPr>
        <w:t xml:space="preserve">n artikel 5 de bilaterale overeenkomsten </w:t>
      </w:r>
      <w:r w:rsidRPr="000D308F" w:rsidR="00045AD6">
        <w:rPr>
          <w:rFonts w:ascii="Verdana" w:hAnsi="Verdana"/>
          <w:sz w:val="18"/>
          <w:szCs w:val="18"/>
        </w:rPr>
        <w:t xml:space="preserve">en </w:t>
      </w:r>
      <w:r w:rsidRPr="000D308F" w:rsidR="007258D8">
        <w:rPr>
          <w:rFonts w:ascii="Verdana" w:hAnsi="Verdana"/>
          <w:sz w:val="18"/>
          <w:szCs w:val="18"/>
        </w:rPr>
        <w:t>regelingen behandeld.</w:t>
      </w:r>
    </w:p>
    <w:p w:rsidRPr="000D308F" w:rsidR="00B5724B" w:rsidP="008C26EB" w:rsidRDefault="00DD688B" w14:paraId="3777E316" w14:textId="243152F7">
      <w:pPr>
        <w:rPr>
          <w:rFonts w:ascii="Verdana" w:hAnsi="Verdana"/>
          <w:i/>
          <w:iCs/>
          <w:sz w:val="18"/>
          <w:szCs w:val="18"/>
        </w:rPr>
      </w:pPr>
      <w:r w:rsidRPr="000D308F">
        <w:rPr>
          <w:rFonts w:ascii="Verdana" w:hAnsi="Verdana"/>
          <w:i/>
          <w:iCs/>
          <w:sz w:val="18"/>
          <w:szCs w:val="18"/>
        </w:rPr>
        <w:lastRenderedPageBreak/>
        <w:t>Bijlage II: Operaties van de Europese Investeringsbank</w:t>
      </w:r>
    </w:p>
    <w:p w:rsidRPr="000D308F" w:rsidR="00DD688B" w:rsidP="008C26EB" w:rsidRDefault="001B55A1" w14:paraId="4B3CA48E" w14:textId="1348A4A6">
      <w:pPr>
        <w:rPr>
          <w:rFonts w:ascii="Verdana" w:hAnsi="Verdana"/>
          <w:sz w:val="18"/>
          <w:szCs w:val="18"/>
        </w:rPr>
      </w:pPr>
      <w:r w:rsidRPr="000D308F">
        <w:rPr>
          <w:rFonts w:ascii="Verdana" w:hAnsi="Verdana"/>
          <w:sz w:val="18"/>
          <w:szCs w:val="18"/>
        </w:rPr>
        <w:t>Artikel</w:t>
      </w:r>
      <w:r w:rsidRPr="000D308F" w:rsidR="001B1EA6">
        <w:rPr>
          <w:rFonts w:ascii="Verdana" w:hAnsi="Verdana"/>
          <w:sz w:val="18"/>
          <w:szCs w:val="18"/>
        </w:rPr>
        <w:t>en</w:t>
      </w:r>
      <w:r w:rsidRPr="000D308F">
        <w:rPr>
          <w:rFonts w:ascii="Verdana" w:hAnsi="Verdana"/>
          <w:sz w:val="18"/>
          <w:szCs w:val="18"/>
        </w:rPr>
        <w:t xml:space="preserve"> 1</w:t>
      </w:r>
      <w:r w:rsidRPr="000D308F" w:rsidR="001B1EA6">
        <w:rPr>
          <w:rFonts w:ascii="Verdana" w:hAnsi="Verdana"/>
          <w:sz w:val="18"/>
          <w:szCs w:val="18"/>
        </w:rPr>
        <w:t xml:space="preserve"> t/m 4 gaan achtereenvolgens in op de r</w:t>
      </w:r>
      <w:r w:rsidRPr="000D308F">
        <w:rPr>
          <w:rFonts w:ascii="Verdana" w:hAnsi="Verdana"/>
          <w:sz w:val="18"/>
          <w:szCs w:val="18"/>
        </w:rPr>
        <w:t>echtspersoonlijkheid en status</w:t>
      </w:r>
      <w:r w:rsidRPr="000D308F" w:rsidR="001B1EA6">
        <w:rPr>
          <w:rFonts w:ascii="Verdana" w:hAnsi="Verdana"/>
          <w:sz w:val="18"/>
          <w:szCs w:val="18"/>
        </w:rPr>
        <w:t xml:space="preserve"> van de </w:t>
      </w:r>
      <w:r w:rsidRPr="000D308F" w:rsidR="00B717E1">
        <w:rPr>
          <w:rFonts w:ascii="Verdana" w:hAnsi="Verdana"/>
          <w:sz w:val="18"/>
          <w:szCs w:val="18"/>
        </w:rPr>
        <w:t>Europese Investeringsbank</w:t>
      </w:r>
      <w:r w:rsidRPr="000D308F" w:rsidDel="00B717E1" w:rsidR="00B717E1">
        <w:rPr>
          <w:rFonts w:ascii="Verdana" w:hAnsi="Verdana"/>
          <w:sz w:val="18"/>
          <w:szCs w:val="18"/>
        </w:rPr>
        <w:t xml:space="preserve"> </w:t>
      </w:r>
      <w:r w:rsidRPr="000D308F" w:rsidR="001B1EA6">
        <w:rPr>
          <w:rFonts w:ascii="Verdana" w:hAnsi="Verdana"/>
          <w:sz w:val="18"/>
          <w:szCs w:val="18"/>
        </w:rPr>
        <w:t xml:space="preserve">(artikel 1), de regeling voor banken en de financiële sector (artikel 2), afspraken over valuta (artikel 3) en de erkenning van arresten van rechtbanken (artikel 4). </w:t>
      </w:r>
    </w:p>
    <w:p w:rsidRPr="000D308F" w:rsidR="00EC4F1D" w:rsidP="00EC4F1D" w:rsidRDefault="001A7F16" w14:paraId="3E231B6B" w14:textId="694F4778">
      <w:pPr>
        <w:rPr>
          <w:rFonts w:ascii="Verdana" w:hAnsi="Verdana"/>
          <w:b/>
          <w:bCs/>
          <w:sz w:val="18"/>
          <w:szCs w:val="18"/>
        </w:rPr>
      </w:pPr>
      <w:r w:rsidRPr="000D308F">
        <w:rPr>
          <w:rFonts w:ascii="Verdana" w:hAnsi="Verdana"/>
          <w:b/>
          <w:bCs/>
          <w:sz w:val="18"/>
          <w:szCs w:val="18"/>
        </w:rPr>
        <w:t>4</w:t>
      </w:r>
      <w:r w:rsidRPr="000D308F" w:rsidR="00EC4F1D">
        <w:rPr>
          <w:rFonts w:ascii="Verdana" w:hAnsi="Verdana"/>
          <w:b/>
          <w:bCs/>
          <w:sz w:val="18"/>
          <w:szCs w:val="18"/>
        </w:rPr>
        <w:t>. Een ieder verbindende bepalingen</w:t>
      </w:r>
      <w:r w:rsidRPr="000D308F" w:rsidR="00F713A1">
        <w:rPr>
          <w:rFonts w:ascii="Verdana" w:hAnsi="Verdana"/>
          <w:b/>
          <w:bCs/>
          <w:sz w:val="18"/>
          <w:szCs w:val="18"/>
        </w:rPr>
        <w:t xml:space="preserve"> </w:t>
      </w:r>
    </w:p>
    <w:p w:rsidRPr="000D308F" w:rsidR="00D80A7A" w:rsidP="00624934" w:rsidRDefault="00624934" w14:paraId="13F5E589" w14:textId="18C52CA0">
      <w:pPr>
        <w:rPr>
          <w:rFonts w:ascii="Verdana" w:hAnsi="Verdana"/>
          <w:sz w:val="18"/>
          <w:szCs w:val="18"/>
        </w:rPr>
      </w:pPr>
      <w:r w:rsidRPr="000D308F">
        <w:rPr>
          <w:rFonts w:ascii="Verdana" w:hAnsi="Verdana"/>
          <w:sz w:val="18"/>
          <w:szCs w:val="18"/>
        </w:rPr>
        <w:t>Naar het oordeel van de regering bevat het verdrag geen een ieder verbindende bepalingen in de zin van de artikelen 93 en 94 van de Grondwet, die aan rechtssubjecten rechtstreeks rechten toekennen of plichten opleggen.</w:t>
      </w:r>
    </w:p>
    <w:p w:rsidRPr="000D308F" w:rsidR="00EC4F1D" w:rsidP="00EC4F1D" w:rsidRDefault="001A7F16" w14:paraId="29660484" w14:textId="4DB4165E">
      <w:pPr>
        <w:rPr>
          <w:rFonts w:ascii="Verdana" w:hAnsi="Verdana"/>
          <w:b/>
          <w:bCs/>
          <w:sz w:val="18"/>
          <w:szCs w:val="18"/>
        </w:rPr>
      </w:pPr>
      <w:r w:rsidRPr="000D308F">
        <w:rPr>
          <w:rFonts w:ascii="Verdana" w:hAnsi="Verdana"/>
          <w:b/>
          <w:bCs/>
          <w:sz w:val="18"/>
          <w:szCs w:val="18"/>
        </w:rPr>
        <w:t>5</w:t>
      </w:r>
      <w:r w:rsidRPr="000D308F" w:rsidR="00EC4F1D">
        <w:rPr>
          <w:rFonts w:ascii="Verdana" w:hAnsi="Verdana"/>
          <w:b/>
          <w:bCs/>
          <w:sz w:val="18"/>
          <w:szCs w:val="18"/>
        </w:rPr>
        <w:t xml:space="preserve">. </w:t>
      </w:r>
      <w:proofErr w:type="spellStart"/>
      <w:r w:rsidRPr="000D308F" w:rsidR="00EC4F1D">
        <w:rPr>
          <w:rFonts w:ascii="Verdana" w:hAnsi="Verdana"/>
          <w:b/>
          <w:bCs/>
          <w:sz w:val="18"/>
          <w:szCs w:val="18"/>
        </w:rPr>
        <w:t>Koninkrijk</w:t>
      </w:r>
      <w:r w:rsidRPr="000D308F" w:rsidR="008B0124">
        <w:rPr>
          <w:rFonts w:ascii="Verdana" w:hAnsi="Verdana"/>
          <w:b/>
          <w:bCs/>
          <w:sz w:val="18"/>
          <w:szCs w:val="18"/>
        </w:rPr>
        <w:t>s</w:t>
      </w:r>
      <w:r w:rsidRPr="000D308F" w:rsidR="00EC4F1D">
        <w:rPr>
          <w:rFonts w:ascii="Verdana" w:hAnsi="Verdana"/>
          <w:b/>
          <w:bCs/>
          <w:sz w:val="18"/>
          <w:szCs w:val="18"/>
        </w:rPr>
        <w:t>positie</w:t>
      </w:r>
      <w:proofErr w:type="spellEnd"/>
    </w:p>
    <w:p w:rsidRPr="000D308F" w:rsidR="00C80646" w:rsidP="00EC4F1D" w:rsidRDefault="00624934" w14:paraId="5DFAD772" w14:textId="7559F54B">
      <w:pPr>
        <w:rPr>
          <w:rFonts w:ascii="Verdana" w:hAnsi="Verdana"/>
          <w:sz w:val="18"/>
          <w:szCs w:val="18"/>
        </w:rPr>
      </w:pPr>
      <w:r w:rsidRPr="000D308F">
        <w:rPr>
          <w:rFonts w:ascii="Verdana" w:hAnsi="Verdana"/>
          <w:sz w:val="18"/>
          <w:szCs w:val="18"/>
        </w:rPr>
        <w:t xml:space="preserve">Evenals de eerdere samenwerkingsverdragen van de </w:t>
      </w:r>
      <w:r w:rsidRPr="000D308F" w:rsidR="002075C6">
        <w:rPr>
          <w:rFonts w:ascii="Verdana" w:hAnsi="Verdana"/>
          <w:sz w:val="18"/>
          <w:szCs w:val="18"/>
        </w:rPr>
        <w:t>EU</w:t>
      </w:r>
      <w:r w:rsidRPr="000D308F">
        <w:rPr>
          <w:rFonts w:ascii="Verdana" w:hAnsi="Verdana"/>
          <w:sz w:val="18"/>
          <w:szCs w:val="18"/>
        </w:rPr>
        <w:t xml:space="preserve"> met derde landen zal het onderhavige verdrag voor wat het Koninkrijk der Nederlanden betreft, alleen voor het Europese deel van Nederland</w:t>
      </w:r>
      <w:r w:rsidRPr="000D308F" w:rsidR="00AF566B">
        <w:rPr>
          <w:rFonts w:ascii="Verdana" w:hAnsi="Verdana"/>
          <w:sz w:val="18"/>
          <w:szCs w:val="18"/>
        </w:rPr>
        <w:t xml:space="preserve"> </w:t>
      </w:r>
      <w:r w:rsidRPr="000D308F" w:rsidR="00C80646">
        <w:rPr>
          <w:rFonts w:ascii="Verdana" w:hAnsi="Verdana"/>
          <w:sz w:val="18"/>
          <w:szCs w:val="18"/>
        </w:rPr>
        <w:t xml:space="preserve">kunnen </w:t>
      </w:r>
      <w:r w:rsidRPr="000D308F">
        <w:rPr>
          <w:rFonts w:ascii="Verdana" w:hAnsi="Verdana"/>
          <w:sz w:val="18"/>
          <w:szCs w:val="18"/>
        </w:rPr>
        <w:t>gelden.</w:t>
      </w:r>
      <w:r w:rsidRPr="000D308F" w:rsidR="007A2F16">
        <w:rPr>
          <w:rFonts w:ascii="Verdana" w:hAnsi="Verdana"/>
          <w:sz w:val="18"/>
          <w:szCs w:val="18"/>
        </w:rPr>
        <w:t xml:space="preserve"> </w:t>
      </w:r>
      <w:r w:rsidRPr="000D308F" w:rsidR="002C7085">
        <w:rPr>
          <w:rFonts w:ascii="Verdana" w:hAnsi="Verdana"/>
          <w:sz w:val="18"/>
          <w:szCs w:val="18"/>
        </w:rPr>
        <w:t xml:space="preserve">Dit vloeit voort uit artikel </w:t>
      </w:r>
      <w:r w:rsidRPr="000D308F" w:rsidR="003168A1">
        <w:rPr>
          <w:rFonts w:ascii="Verdana" w:hAnsi="Verdana"/>
          <w:sz w:val="18"/>
          <w:szCs w:val="18"/>
        </w:rPr>
        <w:t>52, tweede lid van het op 7 februari 1992 te Maastricht tot stand gekomen Verdrag betreffende de Europese Unie (</w:t>
      </w:r>
      <w:proofErr w:type="spellStart"/>
      <w:r w:rsidRPr="000D308F" w:rsidR="003168A1">
        <w:rPr>
          <w:rFonts w:ascii="Verdana" w:hAnsi="Verdana"/>
          <w:i/>
          <w:iCs/>
          <w:sz w:val="18"/>
          <w:szCs w:val="18"/>
        </w:rPr>
        <w:t>Trb</w:t>
      </w:r>
      <w:proofErr w:type="spellEnd"/>
      <w:r w:rsidRPr="000D308F" w:rsidR="003168A1">
        <w:rPr>
          <w:rFonts w:ascii="Verdana" w:hAnsi="Verdana"/>
          <w:i/>
          <w:iCs/>
          <w:sz w:val="18"/>
          <w:szCs w:val="18"/>
        </w:rPr>
        <w:t xml:space="preserve">. </w:t>
      </w:r>
      <w:r w:rsidRPr="000D308F" w:rsidR="003168A1">
        <w:rPr>
          <w:rFonts w:ascii="Verdana" w:hAnsi="Verdana"/>
          <w:sz w:val="18"/>
          <w:szCs w:val="18"/>
        </w:rPr>
        <w:t xml:space="preserve">1992, 74; hierna: ‘VEU’) </w:t>
      </w:r>
      <w:r w:rsidRPr="000D308F" w:rsidR="003168A1">
        <w:rPr>
          <w:rFonts w:ascii="Verdana" w:hAnsi="Verdana"/>
          <w:i/>
          <w:iCs/>
          <w:sz w:val="18"/>
          <w:szCs w:val="18"/>
        </w:rPr>
        <w:t xml:space="preserve">jo. </w:t>
      </w:r>
      <w:r w:rsidRPr="000D308F" w:rsidR="003168A1">
        <w:rPr>
          <w:rFonts w:ascii="Verdana" w:hAnsi="Verdana"/>
          <w:sz w:val="18"/>
          <w:szCs w:val="18"/>
        </w:rPr>
        <w:t xml:space="preserve">Artikel 355 VWEU en de omstandigheid dat deze verdragen alleen voor Europees Nederland zijn bekrachtigd. </w:t>
      </w:r>
      <w:r w:rsidRPr="000D308F" w:rsidR="004B32E4">
        <w:rPr>
          <w:rFonts w:ascii="Verdana" w:hAnsi="Verdana"/>
          <w:sz w:val="18"/>
          <w:szCs w:val="18"/>
        </w:rPr>
        <w:t>De overeenkomst</w:t>
      </w:r>
      <w:r w:rsidRPr="000D308F" w:rsidR="007A2F16">
        <w:rPr>
          <w:rFonts w:ascii="Verdana" w:hAnsi="Verdana"/>
          <w:sz w:val="18"/>
          <w:szCs w:val="18"/>
        </w:rPr>
        <w:t xml:space="preserve"> zal </w:t>
      </w:r>
      <w:r w:rsidRPr="000D308F" w:rsidR="00D80A7A">
        <w:rPr>
          <w:rFonts w:ascii="Verdana" w:hAnsi="Verdana"/>
          <w:sz w:val="18"/>
          <w:szCs w:val="18"/>
        </w:rPr>
        <w:t xml:space="preserve">derhalve </w:t>
      </w:r>
      <w:r w:rsidRPr="000D308F" w:rsidR="007A2F16">
        <w:rPr>
          <w:rFonts w:ascii="Verdana" w:hAnsi="Verdana"/>
          <w:sz w:val="18"/>
          <w:szCs w:val="18"/>
        </w:rPr>
        <w:t xml:space="preserve">niet </w:t>
      </w:r>
      <w:r w:rsidRPr="000D308F" w:rsidR="003E083A">
        <w:rPr>
          <w:rFonts w:ascii="Verdana" w:hAnsi="Verdana"/>
          <w:sz w:val="18"/>
          <w:szCs w:val="18"/>
        </w:rPr>
        <w:t xml:space="preserve">kunnen </w:t>
      </w:r>
      <w:r w:rsidRPr="000D308F" w:rsidR="00E10A6B">
        <w:rPr>
          <w:rFonts w:ascii="Verdana" w:hAnsi="Verdana"/>
          <w:sz w:val="18"/>
          <w:szCs w:val="18"/>
        </w:rPr>
        <w:t xml:space="preserve">gelden (ook wel: ‘medegelden’) </w:t>
      </w:r>
      <w:r w:rsidRPr="000D308F" w:rsidR="007A2F16">
        <w:rPr>
          <w:rFonts w:ascii="Verdana" w:hAnsi="Verdana"/>
          <w:sz w:val="18"/>
          <w:szCs w:val="18"/>
        </w:rPr>
        <w:t>voor Aruba, Curaçao en Sint Maarten</w:t>
      </w:r>
      <w:r w:rsidRPr="000D308F" w:rsidR="00D20832">
        <w:rPr>
          <w:rFonts w:ascii="Verdana" w:hAnsi="Verdana"/>
          <w:sz w:val="18"/>
          <w:szCs w:val="18"/>
        </w:rPr>
        <w:t xml:space="preserve"> (hierna: ‘de </w:t>
      </w:r>
      <w:r w:rsidRPr="000D308F" w:rsidR="008B0124">
        <w:rPr>
          <w:rFonts w:ascii="Verdana" w:hAnsi="Verdana"/>
          <w:sz w:val="18"/>
          <w:szCs w:val="18"/>
        </w:rPr>
        <w:t>CAS</w:t>
      </w:r>
      <w:r w:rsidRPr="000D308F" w:rsidR="00D20832">
        <w:rPr>
          <w:rFonts w:ascii="Verdana" w:hAnsi="Verdana"/>
          <w:sz w:val="18"/>
          <w:szCs w:val="18"/>
        </w:rPr>
        <w:t>-landen’)</w:t>
      </w:r>
      <w:r w:rsidRPr="000D308F" w:rsidR="00C80646">
        <w:rPr>
          <w:rFonts w:ascii="Verdana" w:hAnsi="Verdana"/>
          <w:sz w:val="18"/>
          <w:szCs w:val="18"/>
        </w:rPr>
        <w:t>, en</w:t>
      </w:r>
      <w:r w:rsidRPr="000D308F" w:rsidR="007A77A2">
        <w:rPr>
          <w:rFonts w:ascii="Verdana" w:hAnsi="Verdana"/>
          <w:sz w:val="18"/>
          <w:szCs w:val="18"/>
        </w:rPr>
        <w:t xml:space="preserve"> evenmin voor</w:t>
      </w:r>
      <w:r w:rsidRPr="000D308F" w:rsidR="00C80646">
        <w:rPr>
          <w:rFonts w:ascii="Verdana" w:hAnsi="Verdana"/>
          <w:sz w:val="18"/>
          <w:szCs w:val="18"/>
        </w:rPr>
        <w:t xml:space="preserve"> Bonaire, Sint-Eustatius en Saba (hierna: ‘de BES-eilanden’)</w:t>
      </w:r>
      <w:r w:rsidRPr="000D308F" w:rsidR="004A4E76">
        <w:rPr>
          <w:rFonts w:ascii="Verdana" w:hAnsi="Verdana"/>
          <w:sz w:val="18"/>
          <w:szCs w:val="18"/>
        </w:rPr>
        <w:t xml:space="preserve">. </w:t>
      </w:r>
      <w:r w:rsidRPr="000D308F" w:rsidR="00CE7473">
        <w:rPr>
          <w:rFonts w:ascii="Verdana" w:hAnsi="Verdana"/>
          <w:sz w:val="18"/>
          <w:szCs w:val="18"/>
        </w:rPr>
        <w:t xml:space="preserve">De </w:t>
      </w:r>
      <w:r w:rsidRPr="000D308F" w:rsidR="008B0124">
        <w:rPr>
          <w:rFonts w:ascii="Verdana" w:hAnsi="Verdana"/>
          <w:sz w:val="18"/>
          <w:szCs w:val="18"/>
        </w:rPr>
        <w:t>CAS</w:t>
      </w:r>
      <w:r w:rsidRPr="000D308F" w:rsidR="00CE7473">
        <w:rPr>
          <w:rFonts w:ascii="Verdana" w:hAnsi="Verdana"/>
          <w:sz w:val="18"/>
          <w:szCs w:val="18"/>
        </w:rPr>
        <w:t>-landen en de BES-eilanden genieten – ingevolge artikelen 52 VEU en 355</w:t>
      </w:r>
      <w:r w:rsidRPr="000D308F" w:rsidR="00E66B09">
        <w:rPr>
          <w:rFonts w:ascii="Verdana" w:hAnsi="Verdana"/>
          <w:sz w:val="18"/>
          <w:szCs w:val="18"/>
        </w:rPr>
        <w:t>, tweede lid,</w:t>
      </w:r>
      <w:r w:rsidRPr="000D308F" w:rsidR="00CE7473">
        <w:rPr>
          <w:rFonts w:ascii="Verdana" w:hAnsi="Verdana"/>
          <w:sz w:val="18"/>
          <w:szCs w:val="18"/>
        </w:rPr>
        <w:t xml:space="preserve"> VWEU </w:t>
      </w:r>
      <w:r w:rsidRPr="000D308F" w:rsidR="00CE7473">
        <w:rPr>
          <w:rFonts w:ascii="Verdana" w:hAnsi="Verdana"/>
          <w:i/>
          <w:iCs/>
          <w:sz w:val="18"/>
          <w:szCs w:val="18"/>
        </w:rPr>
        <w:t>jo.</w:t>
      </w:r>
      <w:r w:rsidRPr="000D308F" w:rsidR="00CE7473">
        <w:rPr>
          <w:rFonts w:ascii="Verdana" w:hAnsi="Verdana"/>
          <w:sz w:val="18"/>
          <w:szCs w:val="18"/>
        </w:rPr>
        <w:t xml:space="preserve"> Besluit 2021/1764 van de Raad van 5 oktober 2021</w:t>
      </w:r>
      <w:r w:rsidRPr="000D308F" w:rsidR="00244CA2">
        <w:rPr>
          <w:rStyle w:val="FootnoteReference"/>
          <w:rFonts w:ascii="Verdana" w:hAnsi="Verdana"/>
          <w:sz w:val="18"/>
          <w:szCs w:val="18"/>
        </w:rPr>
        <w:footnoteReference w:id="27"/>
      </w:r>
      <w:r w:rsidRPr="000D308F" w:rsidR="00CE7473">
        <w:rPr>
          <w:rFonts w:ascii="Verdana" w:hAnsi="Verdana"/>
          <w:i/>
          <w:iCs/>
          <w:sz w:val="18"/>
          <w:szCs w:val="18"/>
        </w:rPr>
        <w:t xml:space="preserve"> </w:t>
      </w:r>
      <w:r w:rsidRPr="000D308F" w:rsidR="00CE7473">
        <w:rPr>
          <w:rFonts w:ascii="Verdana" w:hAnsi="Verdana"/>
          <w:sz w:val="18"/>
          <w:szCs w:val="18"/>
        </w:rPr>
        <w:t xml:space="preserve">– wel de status van </w:t>
      </w:r>
      <w:r w:rsidRPr="000D308F" w:rsidR="00CE7473">
        <w:rPr>
          <w:rFonts w:ascii="Verdana" w:hAnsi="Verdana"/>
          <w:i/>
          <w:iCs/>
          <w:sz w:val="18"/>
          <w:szCs w:val="18"/>
        </w:rPr>
        <w:t xml:space="preserve">Landen en Gebieden Overzee </w:t>
      </w:r>
      <w:r w:rsidRPr="000D308F" w:rsidR="00CE7473">
        <w:rPr>
          <w:rFonts w:ascii="Verdana" w:hAnsi="Verdana"/>
          <w:sz w:val="18"/>
          <w:szCs w:val="18"/>
        </w:rPr>
        <w:t>(hierna: ‘LGO’)</w:t>
      </w:r>
      <w:r w:rsidRPr="000D308F" w:rsidR="00694A25">
        <w:rPr>
          <w:rFonts w:ascii="Verdana" w:hAnsi="Verdana"/>
          <w:sz w:val="18"/>
          <w:szCs w:val="18"/>
        </w:rPr>
        <w:t>.</w:t>
      </w:r>
    </w:p>
    <w:p w:rsidRPr="000D308F" w:rsidR="008A08FE" w:rsidP="00365196" w:rsidRDefault="008B0124" w14:paraId="651F7C81" w14:textId="552603D7">
      <w:pPr>
        <w:spacing w:after="0" w:line="240" w:lineRule="auto"/>
        <w:rPr>
          <w:rFonts w:ascii="Verdana" w:hAnsi="Verdana"/>
          <w:sz w:val="18"/>
          <w:szCs w:val="18"/>
        </w:rPr>
      </w:pPr>
      <w:r w:rsidRPr="000D308F">
        <w:rPr>
          <w:rFonts w:ascii="Verdana" w:hAnsi="Verdana"/>
          <w:sz w:val="18"/>
          <w:szCs w:val="18"/>
        </w:rPr>
        <w:t xml:space="preserve">Wegens de status die de CAS-landen genieten als LGO en </w:t>
      </w:r>
      <w:r w:rsidRPr="000D308F" w:rsidR="004652FD">
        <w:rPr>
          <w:rFonts w:ascii="Verdana" w:hAnsi="Verdana"/>
          <w:sz w:val="18"/>
          <w:szCs w:val="18"/>
        </w:rPr>
        <w:t>de</w:t>
      </w:r>
      <w:r w:rsidRPr="000D308F">
        <w:rPr>
          <w:rFonts w:ascii="Verdana" w:hAnsi="Verdana"/>
          <w:sz w:val="18"/>
          <w:szCs w:val="18"/>
        </w:rPr>
        <w:t xml:space="preserve"> rol van waarnemer in de instellingen van het Regionaal Protocol Caribisch Gebied die artikel 6, tweede lid, van dat protocol aan LGO in het Caribisch gebied toebedeelt, </w:t>
      </w:r>
      <w:r w:rsidRPr="000D308F" w:rsidR="00AF1233">
        <w:rPr>
          <w:rFonts w:ascii="Verdana" w:hAnsi="Verdana" w:eastAsia="Calibri" w:cs="Times New Roman"/>
          <w:sz w:val="18"/>
          <w:szCs w:val="18"/>
        </w:rPr>
        <w:t>zijn de regeringen van Aruba, Curaçao en Sint Maarten</w:t>
      </w:r>
      <w:r w:rsidRPr="000D308F" w:rsidR="007E4C2A">
        <w:rPr>
          <w:rFonts w:ascii="Verdana" w:hAnsi="Verdana" w:eastAsia="Calibri" w:cs="Times New Roman"/>
          <w:sz w:val="18"/>
          <w:szCs w:val="18"/>
        </w:rPr>
        <w:t>,</w:t>
      </w:r>
      <w:r w:rsidRPr="000D308F" w:rsidR="003E1BC2">
        <w:rPr>
          <w:rFonts w:ascii="Verdana" w:hAnsi="Verdana" w:eastAsia="Calibri" w:cs="Times New Roman"/>
          <w:sz w:val="18"/>
          <w:szCs w:val="18"/>
        </w:rPr>
        <w:t xml:space="preserve"> samen</w:t>
      </w:r>
      <w:r w:rsidRPr="000D308F" w:rsidR="007E4C2A">
        <w:rPr>
          <w:rFonts w:ascii="Verdana" w:hAnsi="Verdana" w:eastAsia="Calibri" w:cs="Times New Roman"/>
          <w:sz w:val="18"/>
          <w:szCs w:val="18"/>
        </w:rPr>
        <w:t xml:space="preserve"> met de Nederlandse regering, </w:t>
      </w:r>
      <w:r w:rsidRPr="000D308F" w:rsidR="00AF1233">
        <w:rPr>
          <w:rFonts w:ascii="Verdana" w:hAnsi="Verdana" w:eastAsia="Calibri" w:cs="Times New Roman"/>
          <w:sz w:val="18"/>
          <w:szCs w:val="18"/>
        </w:rPr>
        <w:t xml:space="preserve">van mening dat het onderhavige verdrag hun Landen </w:t>
      </w:r>
      <w:r w:rsidRPr="000D308F" w:rsidR="003E083A">
        <w:rPr>
          <w:rFonts w:ascii="Verdana" w:hAnsi="Verdana" w:eastAsia="Calibri" w:cs="Times New Roman"/>
          <w:sz w:val="18"/>
          <w:szCs w:val="18"/>
        </w:rPr>
        <w:t>‘</w:t>
      </w:r>
      <w:r w:rsidRPr="000D308F" w:rsidR="00AF1233">
        <w:rPr>
          <w:rFonts w:ascii="Verdana" w:hAnsi="Verdana" w:eastAsia="Calibri" w:cs="Times New Roman"/>
          <w:sz w:val="18"/>
          <w:szCs w:val="18"/>
        </w:rPr>
        <w:t>anderszins raakt</w:t>
      </w:r>
      <w:r w:rsidRPr="000D308F" w:rsidR="003E083A">
        <w:rPr>
          <w:rFonts w:ascii="Verdana" w:hAnsi="Verdana" w:eastAsia="Calibri" w:cs="Times New Roman"/>
          <w:sz w:val="18"/>
          <w:szCs w:val="18"/>
        </w:rPr>
        <w:t>’</w:t>
      </w:r>
      <w:r w:rsidRPr="000D308F" w:rsidR="00AF1233">
        <w:rPr>
          <w:rFonts w:ascii="Verdana" w:hAnsi="Verdana" w:eastAsia="Calibri" w:cs="Times New Roman"/>
          <w:sz w:val="18"/>
          <w:szCs w:val="18"/>
        </w:rPr>
        <w:t xml:space="preserve"> </w:t>
      </w:r>
      <w:r w:rsidRPr="000D308F" w:rsidR="007A2F16">
        <w:rPr>
          <w:rFonts w:ascii="Verdana" w:hAnsi="Verdana"/>
          <w:sz w:val="18"/>
          <w:szCs w:val="18"/>
        </w:rPr>
        <w:t>in de zin van</w:t>
      </w:r>
      <w:r w:rsidRPr="000D308F" w:rsidR="00404401">
        <w:rPr>
          <w:rFonts w:ascii="Verdana" w:hAnsi="Verdana"/>
          <w:sz w:val="18"/>
          <w:szCs w:val="18"/>
        </w:rPr>
        <w:t xml:space="preserve"> artikel 11, derde lid, van het Statuut voor het Koninkrijk der Nederlanden</w:t>
      </w:r>
      <w:r w:rsidRPr="000D308F" w:rsidR="00E8738A">
        <w:rPr>
          <w:rFonts w:ascii="Verdana" w:hAnsi="Verdana"/>
          <w:sz w:val="18"/>
          <w:szCs w:val="18"/>
        </w:rPr>
        <w:t xml:space="preserve"> (hierna: ‘het Statuut’)</w:t>
      </w:r>
      <w:r w:rsidRPr="000D308F" w:rsidR="00404401">
        <w:rPr>
          <w:rFonts w:ascii="Verdana" w:hAnsi="Verdana"/>
          <w:sz w:val="18"/>
          <w:szCs w:val="18"/>
        </w:rPr>
        <w:t xml:space="preserve"> en</w:t>
      </w:r>
      <w:r w:rsidRPr="000D308F" w:rsidR="007A2F16">
        <w:rPr>
          <w:rFonts w:ascii="Verdana" w:hAnsi="Verdana"/>
          <w:sz w:val="18"/>
          <w:szCs w:val="18"/>
        </w:rPr>
        <w:t xml:space="preserve"> artikel 2, derde lid, van de Rijkswet goedkeuring </w:t>
      </w:r>
      <w:r w:rsidRPr="000D308F" w:rsidR="00D30DA9">
        <w:rPr>
          <w:rFonts w:ascii="Verdana" w:hAnsi="Verdana"/>
          <w:sz w:val="18"/>
          <w:szCs w:val="18"/>
        </w:rPr>
        <w:t xml:space="preserve">en bekendmaking </w:t>
      </w:r>
      <w:r w:rsidRPr="000D308F" w:rsidR="007A2F16">
        <w:rPr>
          <w:rFonts w:ascii="Verdana" w:hAnsi="Verdana"/>
          <w:sz w:val="18"/>
          <w:szCs w:val="18"/>
        </w:rPr>
        <w:t>verdragen</w:t>
      </w:r>
      <w:r w:rsidRPr="000D308F" w:rsidR="00F947D5">
        <w:rPr>
          <w:rFonts w:ascii="Verdana" w:hAnsi="Verdana"/>
          <w:sz w:val="18"/>
          <w:szCs w:val="18"/>
        </w:rPr>
        <w:t>.</w:t>
      </w:r>
      <w:r w:rsidRPr="000D308F" w:rsidR="003E083A">
        <w:rPr>
          <w:rFonts w:ascii="Verdana" w:hAnsi="Verdana"/>
          <w:sz w:val="18"/>
          <w:szCs w:val="18"/>
        </w:rPr>
        <w:t xml:space="preserve"> </w:t>
      </w:r>
      <w:r w:rsidRPr="000D308F" w:rsidR="004652FD">
        <w:rPr>
          <w:rFonts w:ascii="Verdana" w:hAnsi="Verdana"/>
          <w:sz w:val="18"/>
          <w:szCs w:val="18"/>
        </w:rPr>
        <w:t xml:space="preserve">Dit betekent dat, alhoewel het verdrag niet voor de CAS-landen kan </w:t>
      </w:r>
      <w:r w:rsidRPr="000D308F" w:rsidR="006C6CD8">
        <w:rPr>
          <w:rFonts w:ascii="Verdana" w:hAnsi="Verdana"/>
          <w:sz w:val="18"/>
          <w:szCs w:val="18"/>
        </w:rPr>
        <w:t>mede</w:t>
      </w:r>
      <w:r w:rsidRPr="000D308F" w:rsidR="004652FD">
        <w:rPr>
          <w:rFonts w:ascii="Verdana" w:hAnsi="Verdana"/>
          <w:sz w:val="18"/>
          <w:szCs w:val="18"/>
        </w:rPr>
        <w:t xml:space="preserve">gelden, zij wel </w:t>
      </w:r>
      <w:r w:rsidRPr="000D308F" w:rsidR="00E10A6B">
        <w:rPr>
          <w:rFonts w:ascii="Verdana" w:hAnsi="Verdana"/>
          <w:sz w:val="18"/>
          <w:szCs w:val="18"/>
        </w:rPr>
        <w:t xml:space="preserve">door de </w:t>
      </w:r>
      <w:r w:rsidRPr="000D308F" w:rsidR="00383132">
        <w:rPr>
          <w:rFonts w:ascii="Verdana" w:hAnsi="Verdana"/>
          <w:sz w:val="18"/>
          <w:szCs w:val="18"/>
        </w:rPr>
        <w:t>werking van</w:t>
      </w:r>
      <w:r w:rsidRPr="000D308F" w:rsidR="00E10A6B">
        <w:rPr>
          <w:rFonts w:ascii="Verdana" w:hAnsi="Verdana"/>
          <w:sz w:val="18"/>
          <w:szCs w:val="18"/>
        </w:rPr>
        <w:t xml:space="preserve"> het verdrag </w:t>
      </w:r>
      <w:r w:rsidRPr="000D308F" w:rsidR="00D85EE3">
        <w:rPr>
          <w:rFonts w:ascii="Verdana" w:hAnsi="Verdana"/>
          <w:sz w:val="18"/>
          <w:szCs w:val="18"/>
        </w:rPr>
        <w:t xml:space="preserve">anderszins </w:t>
      </w:r>
      <w:r w:rsidRPr="000D308F" w:rsidR="00E10A6B">
        <w:rPr>
          <w:rFonts w:ascii="Verdana" w:hAnsi="Verdana"/>
          <w:sz w:val="18"/>
          <w:szCs w:val="18"/>
        </w:rPr>
        <w:t xml:space="preserve">in hun belangen worden geraakt (artikel 11, derde lid, </w:t>
      </w:r>
      <w:r w:rsidRPr="000D308F" w:rsidR="0031442D">
        <w:rPr>
          <w:rFonts w:ascii="Verdana" w:hAnsi="Verdana"/>
          <w:sz w:val="18"/>
          <w:szCs w:val="18"/>
        </w:rPr>
        <w:t xml:space="preserve">van het </w:t>
      </w:r>
      <w:r w:rsidRPr="000D308F" w:rsidR="00E10A6B">
        <w:rPr>
          <w:rFonts w:ascii="Verdana" w:hAnsi="Verdana"/>
          <w:sz w:val="18"/>
          <w:szCs w:val="18"/>
        </w:rPr>
        <w:t>Statuut).</w:t>
      </w:r>
      <w:r w:rsidRPr="000D308F" w:rsidR="003E083A">
        <w:rPr>
          <w:rFonts w:ascii="Verdana" w:hAnsi="Verdana"/>
          <w:sz w:val="18"/>
          <w:szCs w:val="18"/>
        </w:rPr>
        <w:t xml:space="preserve"> </w:t>
      </w:r>
      <w:r w:rsidRPr="000D308F" w:rsidR="003E083A">
        <w:rPr>
          <w:rFonts w:ascii="Verdana" w:hAnsi="Verdana"/>
          <w:sz w:val="18"/>
          <w:szCs w:val="18"/>
        </w:rPr>
        <w:br/>
      </w:r>
      <w:r w:rsidRPr="000D308F" w:rsidR="00187224">
        <w:rPr>
          <w:rFonts w:ascii="Verdana" w:hAnsi="Verdana"/>
          <w:sz w:val="18"/>
          <w:szCs w:val="18"/>
        </w:rPr>
        <w:br/>
      </w:r>
      <w:r w:rsidRPr="000D308F" w:rsidR="005904D2">
        <w:rPr>
          <w:rFonts w:ascii="Verdana" w:hAnsi="Verdana"/>
          <w:sz w:val="18"/>
          <w:szCs w:val="18"/>
        </w:rPr>
        <w:t xml:space="preserve">Bij </w:t>
      </w:r>
      <w:r w:rsidRPr="000D308F" w:rsidR="003E083A">
        <w:rPr>
          <w:rFonts w:ascii="Verdana" w:hAnsi="Verdana"/>
          <w:sz w:val="18"/>
          <w:szCs w:val="18"/>
        </w:rPr>
        <w:t>het</w:t>
      </w:r>
      <w:r w:rsidRPr="000D308F" w:rsidR="00E10A6B">
        <w:rPr>
          <w:rFonts w:ascii="Verdana" w:hAnsi="Verdana"/>
          <w:sz w:val="18"/>
          <w:szCs w:val="18"/>
        </w:rPr>
        <w:t xml:space="preserve"> oordeel</w:t>
      </w:r>
      <w:r w:rsidRPr="000D308F" w:rsidR="00534CD8">
        <w:rPr>
          <w:rFonts w:ascii="Verdana" w:hAnsi="Verdana"/>
          <w:sz w:val="18"/>
          <w:szCs w:val="18"/>
        </w:rPr>
        <w:t xml:space="preserve"> dat de CAS-landen</w:t>
      </w:r>
      <w:r w:rsidRPr="000D308F" w:rsidR="003E083A">
        <w:rPr>
          <w:rFonts w:ascii="Verdana" w:hAnsi="Verdana"/>
          <w:sz w:val="18"/>
          <w:szCs w:val="18"/>
        </w:rPr>
        <w:t xml:space="preserve"> </w:t>
      </w:r>
      <w:r w:rsidRPr="000D308F" w:rsidR="00534CD8">
        <w:rPr>
          <w:rFonts w:ascii="Verdana" w:hAnsi="Verdana"/>
          <w:sz w:val="18"/>
          <w:szCs w:val="18"/>
        </w:rPr>
        <w:t xml:space="preserve">door dit verdrag anderszins worden geraakt </w:t>
      </w:r>
      <w:r w:rsidRPr="000D308F" w:rsidR="000E3BBA">
        <w:rPr>
          <w:rFonts w:ascii="Verdana" w:hAnsi="Verdana"/>
          <w:sz w:val="18"/>
          <w:szCs w:val="18"/>
        </w:rPr>
        <w:t xml:space="preserve">staat de </w:t>
      </w:r>
      <w:r w:rsidRPr="000D308F" w:rsidR="00D30DA9">
        <w:rPr>
          <w:rFonts w:ascii="Verdana" w:hAnsi="Verdana"/>
          <w:sz w:val="18"/>
          <w:szCs w:val="18"/>
        </w:rPr>
        <w:t xml:space="preserve">strekking </w:t>
      </w:r>
      <w:r w:rsidRPr="000D308F" w:rsidR="000E3BBA">
        <w:rPr>
          <w:rFonts w:ascii="Verdana" w:hAnsi="Verdana"/>
          <w:sz w:val="18"/>
          <w:szCs w:val="18"/>
        </w:rPr>
        <w:t xml:space="preserve"> van</w:t>
      </w:r>
      <w:r w:rsidRPr="000D308F" w:rsidR="0027319D">
        <w:rPr>
          <w:rFonts w:ascii="Verdana" w:hAnsi="Verdana"/>
          <w:sz w:val="18"/>
          <w:szCs w:val="18"/>
        </w:rPr>
        <w:t xml:space="preserve"> artikel 6, eerste lid, van het Regionaal Protocol Caribisch Gebied</w:t>
      </w:r>
      <w:r w:rsidRPr="000D308F" w:rsidR="000E3BBA">
        <w:rPr>
          <w:rFonts w:ascii="Verdana" w:hAnsi="Verdana"/>
          <w:sz w:val="18"/>
          <w:szCs w:val="18"/>
        </w:rPr>
        <w:t>, centraal. In</w:t>
      </w:r>
      <w:r w:rsidRPr="000D308F" w:rsidR="0027319D">
        <w:rPr>
          <w:rFonts w:ascii="Verdana" w:hAnsi="Verdana"/>
          <w:sz w:val="18"/>
          <w:szCs w:val="18"/>
        </w:rPr>
        <w:t xml:space="preserve"> dat artikel </w:t>
      </w:r>
      <w:r w:rsidRPr="000D308F" w:rsidR="000E3BBA">
        <w:rPr>
          <w:rFonts w:ascii="Verdana" w:hAnsi="Verdana"/>
          <w:sz w:val="18"/>
          <w:szCs w:val="18"/>
        </w:rPr>
        <w:t xml:space="preserve">spreken </w:t>
      </w:r>
      <w:r w:rsidRPr="000D308F" w:rsidR="00534CD8">
        <w:rPr>
          <w:rFonts w:ascii="Verdana" w:hAnsi="Verdana"/>
          <w:sz w:val="18"/>
          <w:szCs w:val="18"/>
        </w:rPr>
        <w:t>verdrags</w:t>
      </w:r>
      <w:r w:rsidRPr="000D308F" w:rsidR="000E3BBA">
        <w:rPr>
          <w:rFonts w:ascii="Verdana" w:hAnsi="Verdana"/>
          <w:sz w:val="18"/>
          <w:szCs w:val="18"/>
        </w:rPr>
        <w:t>partijen namelijk af</w:t>
      </w:r>
      <w:r w:rsidRPr="000D308F" w:rsidR="005904D2">
        <w:rPr>
          <w:rFonts w:ascii="Verdana" w:hAnsi="Verdana"/>
          <w:sz w:val="18"/>
          <w:szCs w:val="18"/>
        </w:rPr>
        <w:t xml:space="preserve"> </w:t>
      </w:r>
      <w:r w:rsidRPr="000D308F" w:rsidR="006B1C0C">
        <w:rPr>
          <w:rFonts w:ascii="Verdana" w:hAnsi="Verdana"/>
          <w:sz w:val="18"/>
          <w:szCs w:val="18"/>
        </w:rPr>
        <w:t xml:space="preserve">om de </w:t>
      </w:r>
      <w:r w:rsidRPr="000D308F" w:rsidR="00E66B09">
        <w:rPr>
          <w:rFonts w:ascii="Verdana" w:hAnsi="Verdana"/>
          <w:sz w:val="18"/>
          <w:szCs w:val="18"/>
        </w:rPr>
        <w:t>‘</w:t>
      </w:r>
      <w:r w:rsidRPr="000D308F" w:rsidR="006B1C0C">
        <w:rPr>
          <w:rFonts w:ascii="Verdana" w:hAnsi="Verdana"/>
          <w:sz w:val="18"/>
          <w:szCs w:val="18"/>
        </w:rPr>
        <w:t xml:space="preserve">nauwe historische, economische, culturele en persoonlijke banden’ tussen de OACPS-leden in de Cariben en de LGO en </w:t>
      </w:r>
      <w:proofErr w:type="spellStart"/>
      <w:r w:rsidRPr="000D308F" w:rsidR="006B1C0C">
        <w:rPr>
          <w:rFonts w:ascii="Verdana" w:hAnsi="Verdana"/>
          <w:sz w:val="18"/>
          <w:szCs w:val="18"/>
        </w:rPr>
        <w:t>ultraperifere</w:t>
      </w:r>
      <w:proofErr w:type="spellEnd"/>
      <w:r w:rsidRPr="000D308F" w:rsidR="006B1C0C">
        <w:rPr>
          <w:rFonts w:ascii="Verdana" w:hAnsi="Verdana"/>
          <w:sz w:val="18"/>
          <w:szCs w:val="18"/>
        </w:rPr>
        <w:t xml:space="preserve"> gebieden van de EU te versterken en processen voor regionale integratie en economische samenwerking te faciliteren. </w:t>
      </w:r>
      <w:r w:rsidRPr="000D308F" w:rsidR="000E3BBA">
        <w:rPr>
          <w:rFonts w:ascii="Verdana" w:hAnsi="Verdana"/>
          <w:sz w:val="18"/>
          <w:szCs w:val="18"/>
        </w:rPr>
        <w:t xml:space="preserve">Deze wens tot versterking van deze banden wordt eveneens in het protocol uitgedragen door de bepalingen die zijn gewijd aan het </w:t>
      </w:r>
      <w:r w:rsidRPr="000D308F" w:rsidR="000E3BBA">
        <w:rPr>
          <w:rFonts w:ascii="Verdana" w:hAnsi="Verdana"/>
          <w:color w:val="211D1F"/>
          <w:sz w:val="18"/>
          <w:szCs w:val="18"/>
        </w:rPr>
        <w:t>bevorderen van de handelssamenwerking</w:t>
      </w:r>
      <w:r w:rsidRPr="000D308F" w:rsidR="007E4C2A">
        <w:rPr>
          <w:rFonts w:ascii="Verdana" w:hAnsi="Verdana"/>
          <w:color w:val="211D1F"/>
          <w:sz w:val="18"/>
          <w:szCs w:val="18"/>
        </w:rPr>
        <w:t xml:space="preserve"> </w:t>
      </w:r>
      <w:r w:rsidRPr="000D308F" w:rsidR="000E3BBA">
        <w:rPr>
          <w:rFonts w:ascii="Verdana" w:hAnsi="Verdana"/>
          <w:color w:val="211D1F"/>
          <w:sz w:val="18"/>
          <w:szCs w:val="18"/>
        </w:rPr>
        <w:t>binnen het ruimere Caribische gebied, met inbegrip van de LGO</w:t>
      </w:r>
      <w:r w:rsidRPr="000D308F" w:rsidR="007E4C2A">
        <w:rPr>
          <w:rFonts w:ascii="Verdana" w:hAnsi="Verdana"/>
          <w:color w:val="211D1F"/>
          <w:sz w:val="18"/>
          <w:szCs w:val="18"/>
        </w:rPr>
        <w:t xml:space="preserve"> en andere gebieden, als middel om inclusieve en duurzame ontwikkeling te bevorderen</w:t>
      </w:r>
      <w:r w:rsidRPr="000D308F" w:rsidR="000E3BBA">
        <w:rPr>
          <w:rFonts w:ascii="Verdana" w:hAnsi="Verdana"/>
          <w:color w:val="211D1F"/>
          <w:sz w:val="18"/>
          <w:szCs w:val="18"/>
        </w:rPr>
        <w:t xml:space="preserve"> (artikel 13, derde lid, van het </w:t>
      </w:r>
      <w:r w:rsidRPr="000D308F" w:rsidR="000E3BBA">
        <w:rPr>
          <w:rFonts w:ascii="Verdana" w:hAnsi="Verdana"/>
          <w:sz w:val="18"/>
          <w:szCs w:val="18"/>
        </w:rPr>
        <w:t>Regionaal Protocol Caribisch Gebied</w:t>
      </w:r>
      <w:r w:rsidRPr="000D308F" w:rsidR="000E3BBA">
        <w:rPr>
          <w:rFonts w:ascii="Verdana" w:hAnsi="Verdana"/>
          <w:color w:val="211D1F"/>
          <w:sz w:val="18"/>
          <w:szCs w:val="18"/>
        </w:rPr>
        <w:t xml:space="preserve">), </w:t>
      </w:r>
      <w:r w:rsidRPr="000D308F" w:rsidR="007E4C2A">
        <w:rPr>
          <w:rFonts w:ascii="Verdana" w:hAnsi="Verdana"/>
          <w:color w:val="211D1F"/>
          <w:sz w:val="18"/>
          <w:szCs w:val="18"/>
        </w:rPr>
        <w:t>alsook de bepaling die ziet op</w:t>
      </w:r>
      <w:r w:rsidRPr="000D308F" w:rsidR="000E3BBA">
        <w:rPr>
          <w:rFonts w:ascii="Verdana" w:hAnsi="Verdana"/>
          <w:color w:val="211D1F"/>
          <w:sz w:val="18"/>
          <w:szCs w:val="18"/>
        </w:rPr>
        <w:t xml:space="preserve"> het bevorderen van mobiliteit en verblijven van korte duur, waarbij rekening wordt gehouden met de specifieke situatie van de LGO, met erkenning van hun fysieke nabijheid en hun economische en culturele banden en andere samenwerkingsgebieden (artikel 51, </w:t>
      </w:r>
      <w:r w:rsidRPr="000D308F" w:rsidR="007E4C2A">
        <w:rPr>
          <w:rFonts w:ascii="Verdana" w:hAnsi="Verdana"/>
          <w:color w:val="211D1F"/>
          <w:sz w:val="18"/>
          <w:szCs w:val="18"/>
        </w:rPr>
        <w:t>tweede</w:t>
      </w:r>
      <w:r w:rsidRPr="000D308F" w:rsidR="000E3BBA">
        <w:rPr>
          <w:rFonts w:ascii="Verdana" w:hAnsi="Verdana"/>
          <w:color w:val="211D1F"/>
          <w:sz w:val="18"/>
          <w:szCs w:val="18"/>
        </w:rPr>
        <w:t xml:space="preserve"> lid, van het </w:t>
      </w:r>
      <w:r w:rsidRPr="000D308F" w:rsidR="000E3BBA">
        <w:rPr>
          <w:rFonts w:ascii="Verdana" w:hAnsi="Verdana"/>
          <w:sz w:val="18"/>
          <w:szCs w:val="18"/>
        </w:rPr>
        <w:t>Regionaal Protocol Caribisch Gebied)</w:t>
      </w:r>
      <w:r w:rsidRPr="000D308F" w:rsidR="000E3BBA">
        <w:rPr>
          <w:rFonts w:ascii="Verdana" w:hAnsi="Verdana"/>
          <w:color w:val="211D1F"/>
          <w:sz w:val="18"/>
          <w:szCs w:val="18"/>
        </w:rPr>
        <w:t xml:space="preserve">. </w:t>
      </w:r>
      <w:r w:rsidRPr="000D308F" w:rsidR="006A7BD2">
        <w:rPr>
          <w:rFonts w:ascii="Verdana" w:hAnsi="Verdana"/>
          <w:color w:val="211D1F"/>
          <w:sz w:val="18"/>
          <w:szCs w:val="18"/>
        </w:rPr>
        <w:t xml:space="preserve">Het </w:t>
      </w:r>
      <w:r w:rsidRPr="000D308F" w:rsidR="006A7BD2">
        <w:rPr>
          <w:rFonts w:ascii="Verdana" w:hAnsi="Verdana"/>
          <w:sz w:val="18"/>
          <w:szCs w:val="18"/>
        </w:rPr>
        <w:t xml:space="preserve">Regionaal Protocol Caribisch Gebied is daarmee in lijn met de doelstelling van het LGO-associatieregime van artikel 198 VWEU en Besluit 2021/1764 van de Raad van 5 oktober 2021, te weten het strategisch partnerschap tussen de EU en haar LGO te vernieuwen en te versterken op basis van de drie pijlers politiek, handel en samenwerking. Dit maakt dan ook </w:t>
      </w:r>
      <w:r w:rsidRPr="000D308F" w:rsidR="00AF1233">
        <w:rPr>
          <w:rFonts w:ascii="Verdana" w:hAnsi="Verdana"/>
          <w:sz w:val="18"/>
          <w:szCs w:val="18"/>
        </w:rPr>
        <w:t xml:space="preserve">dat de regering van oordeel is </w:t>
      </w:r>
      <w:r w:rsidRPr="000D308F" w:rsidR="006A7BD2">
        <w:rPr>
          <w:rFonts w:ascii="Verdana" w:hAnsi="Verdana"/>
          <w:sz w:val="18"/>
          <w:szCs w:val="18"/>
        </w:rPr>
        <w:t>dat</w:t>
      </w:r>
      <w:r w:rsidRPr="000D308F" w:rsidR="00AF1233">
        <w:rPr>
          <w:rFonts w:ascii="Verdana" w:hAnsi="Verdana"/>
          <w:sz w:val="18"/>
          <w:szCs w:val="18"/>
        </w:rPr>
        <w:t xml:space="preserve"> </w:t>
      </w:r>
      <w:r w:rsidRPr="000D308F" w:rsidR="006A7BD2">
        <w:rPr>
          <w:rFonts w:ascii="Verdana" w:hAnsi="Verdana"/>
          <w:sz w:val="18"/>
          <w:szCs w:val="18"/>
        </w:rPr>
        <w:t>de BES-eilanden</w:t>
      </w:r>
      <w:r w:rsidRPr="000D308F" w:rsidR="000008D5">
        <w:rPr>
          <w:rFonts w:ascii="Verdana" w:hAnsi="Verdana"/>
          <w:sz w:val="18"/>
          <w:szCs w:val="18"/>
        </w:rPr>
        <w:t>, op diezelfde gronden,</w:t>
      </w:r>
      <w:r w:rsidRPr="000D308F" w:rsidR="006A7BD2">
        <w:rPr>
          <w:rFonts w:ascii="Verdana" w:hAnsi="Verdana"/>
          <w:sz w:val="18"/>
          <w:szCs w:val="18"/>
        </w:rPr>
        <w:t xml:space="preserve"> ook </w:t>
      </w:r>
      <w:r w:rsidRPr="000D308F" w:rsidR="0031523D">
        <w:rPr>
          <w:rFonts w:ascii="Verdana" w:hAnsi="Verdana"/>
          <w:sz w:val="18"/>
          <w:szCs w:val="18"/>
        </w:rPr>
        <w:t>in hun belangen worden geraakt</w:t>
      </w:r>
      <w:r w:rsidRPr="000D308F" w:rsidR="006A7BD2">
        <w:rPr>
          <w:rFonts w:ascii="Verdana" w:hAnsi="Verdana"/>
          <w:sz w:val="18"/>
          <w:szCs w:val="18"/>
        </w:rPr>
        <w:t>, aangezien zij, evenals de CAS-landen, de status van LGO genieten en daarmee ook de eerdergenoemde rol van waarnemer op zich kunnen nemen.</w:t>
      </w:r>
      <w:r w:rsidRPr="000D308F" w:rsidR="0031442D">
        <w:rPr>
          <w:rFonts w:ascii="Verdana" w:hAnsi="Verdana"/>
          <w:sz w:val="18"/>
          <w:szCs w:val="18"/>
        </w:rPr>
        <w:t xml:space="preserve"> </w:t>
      </w:r>
      <w:r w:rsidRPr="000D308F" w:rsidR="000D308F">
        <w:rPr>
          <w:rFonts w:ascii="Verdana" w:hAnsi="Verdana"/>
          <w:sz w:val="18"/>
          <w:szCs w:val="18"/>
        </w:rPr>
        <w:br/>
      </w:r>
      <w:r w:rsidRPr="000D308F" w:rsidR="00117B4B">
        <w:rPr>
          <w:rFonts w:ascii="Verdana" w:hAnsi="Verdana"/>
          <w:sz w:val="18"/>
          <w:szCs w:val="18"/>
        </w:rPr>
        <w:br/>
      </w:r>
      <w:r w:rsidRPr="000D308F" w:rsidR="00E06C5F">
        <w:rPr>
          <w:rFonts w:ascii="Verdana" w:hAnsi="Verdana"/>
          <w:sz w:val="18"/>
          <w:szCs w:val="18"/>
        </w:rPr>
        <w:t xml:space="preserve">Alhoewel </w:t>
      </w:r>
      <w:r w:rsidRPr="000D308F" w:rsidR="005904D2">
        <w:rPr>
          <w:rFonts w:ascii="Verdana" w:hAnsi="Verdana"/>
          <w:sz w:val="18"/>
          <w:szCs w:val="18"/>
        </w:rPr>
        <w:t>de</w:t>
      </w:r>
      <w:r w:rsidRPr="000D308F" w:rsidR="006A7BD2">
        <w:rPr>
          <w:rFonts w:ascii="Verdana" w:hAnsi="Verdana"/>
          <w:sz w:val="18"/>
          <w:szCs w:val="18"/>
        </w:rPr>
        <w:t>ze</w:t>
      </w:r>
      <w:r w:rsidRPr="000D308F" w:rsidR="005904D2">
        <w:rPr>
          <w:rFonts w:ascii="Verdana" w:hAnsi="Verdana"/>
          <w:sz w:val="18"/>
          <w:szCs w:val="18"/>
        </w:rPr>
        <w:t xml:space="preserve"> waarnemersstatus geen stemrecht of initiatiefrecht aan de </w:t>
      </w:r>
      <w:r w:rsidRPr="000D308F" w:rsidR="00816C0E">
        <w:rPr>
          <w:rFonts w:ascii="Verdana" w:hAnsi="Verdana"/>
          <w:sz w:val="18"/>
          <w:szCs w:val="18"/>
        </w:rPr>
        <w:t>CAS</w:t>
      </w:r>
      <w:r w:rsidRPr="000D308F" w:rsidR="005904D2">
        <w:rPr>
          <w:rFonts w:ascii="Verdana" w:hAnsi="Verdana"/>
          <w:sz w:val="18"/>
          <w:szCs w:val="18"/>
        </w:rPr>
        <w:t>-landen en BES-eilanden toebedeelt</w:t>
      </w:r>
      <w:r w:rsidRPr="000D308F" w:rsidR="00CE41A5">
        <w:rPr>
          <w:rFonts w:ascii="Verdana" w:hAnsi="Verdana"/>
          <w:sz w:val="18"/>
          <w:szCs w:val="18"/>
        </w:rPr>
        <w:t xml:space="preserve">, en </w:t>
      </w:r>
      <w:r w:rsidRPr="000D308F" w:rsidR="0031442D">
        <w:rPr>
          <w:rFonts w:ascii="Verdana" w:hAnsi="Verdana"/>
          <w:sz w:val="18"/>
          <w:szCs w:val="18"/>
        </w:rPr>
        <w:t xml:space="preserve">het Protocol </w:t>
      </w:r>
      <w:r w:rsidRPr="000D308F" w:rsidR="00ED5DD9">
        <w:rPr>
          <w:rFonts w:ascii="Verdana" w:hAnsi="Verdana"/>
          <w:sz w:val="18"/>
          <w:szCs w:val="18"/>
        </w:rPr>
        <w:t xml:space="preserve">ook </w:t>
      </w:r>
      <w:r w:rsidRPr="000D308F" w:rsidR="00CE41A5">
        <w:rPr>
          <w:rFonts w:ascii="Verdana" w:hAnsi="Verdana"/>
          <w:sz w:val="18"/>
          <w:szCs w:val="18"/>
        </w:rPr>
        <w:t>daarmee</w:t>
      </w:r>
      <w:r w:rsidRPr="000D308F" w:rsidR="00ED5DD9">
        <w:rPr>
          <w:rFonts w:ascii="Verdana" w:hAnsi="Verdana"/>
          <w:sz w:val="18"/>
          <w:szCs w:val="18"/>
        </w:rPr>
        <w:t xml:space="preserve"> dus</w:t>
      </w:r>
      <w:r w:rsidRPr="000D308F" w:rsidR="00CE41A5">
        <w:rPr>
          <w:rFonts w:ascii="Verdana" w:hAnsi="Verdana"/>
          <w:sz w:val="18"/>
          <w:szCs w:val="18"/>
        </w:rPr>
        <w:t xml:space="preserve"> geen gewichtige gevolgen voor </w:t>
      </w:r>
      <w:r w:rsidRPr="000D308F" w:rsidR="0034137B">
        <w:rPr>
          <w:rFonts w:ascii="Verdana" w:hAnsi="Verdana"/>
          <w:sz w:val="18"/>
          <w:szCs w:val="18"/>
        </w:rPr>
        <w:t>de</w:t>
      </w:r>
      <w:r w:rsidRPr="000D308F" w:rsidR="00CE41A5">
        <w:rPr>
          <w:rFonts w:ascii="Verdana" w:hAnsi="Verdana"/>
          <w:sz w:val="18"/>
          <w:szCs w:val="18"/>
        </w:rPr>
        <w:t xml:space="preserve"> belangen</w:t>
      </w:r>
      <w:r w:rsidRPr="000D308F" w:rsidR="0034137B">
        <w:rPr>
          <w:rFonts w:ascii="Verdana" w:hAnsi="Verdana"/>
          <w:sz w:val="18"/>
          <w:szCs w:val="18"/>
        </w:rPr>
        <w:t xml:space="preserve"> van de CAS-landen</w:t>
      </w:r>
      <w:r w:rsidRPr="000D308F" w:rsidR="00CE41A5">
        <w:rPr>
          <w:rFonts w:ascii="Verdana" w:hAnsi="Verdana"/>
          <w:sz w:val="18"/>
          <w:szCs w:val="18"/>
        </w:rPr>
        <w:t xml:space="preserve"> </w:t>
      </w:r>
      <w:r w:rsidRPr="000D308F" w:rsidR="0031442D">
        <w:rPr>
          <w:rFonts w:ascii="Verdana" w:hAnsi="Verdana"/>
          <w:sz w:val="18"/>
          <w:szCs w:val="18"/>
        </w:rPr>
        <w:t xml:space="preserve">(en BES-eilanden) </w:t>
      </w:r>
      <w:r w:rsidRPr="000D308F" w:rsidR="00CE41A5">
        <w:rPr>
          <w:rFonts w:ascii="Verdana" w:hAnsi="Verdana"/>
          <w:sz w:val="18"/>
          <w:szCs w:val="18"/>
        </w:rPr>
        <w:t xml:space="preserve">met zich meebrengt omdat er </w:t>
      </w:r>
      <w:bookmarkStart w:name="_Hlk190357098" w:id="5"/>
      <w:r w:rsidRPr="000D308F" w:rsidR="00CE41A5">
        <w:rPr>
          <w:rFonts w:ascii="Verdana" w:hAnsi="Verdana"/>
          <w:sz w:val="18"/>
          <w:szCs w:val="18"/>
        </w:rPr>
        <w:t xml:space="preserve">geen formele rol in de </w:t>
      </w:r>
      <w:r w:rsidRPr="000D308F" w:rsidR="00CE41A5">
        <w:rPr>
          <w:rFonts w:ascii="Verdana" w:hAnsi="Verdana"/>
          <w:sz w:val="18"/>
          <w:szCs w:val="18"/>
        </w:rPr>
        <w:lastRenderedPageBreak/>
        <w:t xml:space="preserve">besluitvorming van de instituties </w:t>
      </w:r>
      <w:bookmarkEnd w:id="5"/>
      <w:r w:rsidRPr="000D308F" w:rsidR="00CE41A5">
        <w:rPr>
          <w:rFonts w:ascii="Verdana" w:hAnsi="Verdana"/>
          <w:sz w:val="18"/>
          <w:szCs w:val="18"/>
        </w:rPr>
        <w:t xml:space="preserve">onder dit protocol aan </w:t>
      </w:r>
      <w:r w:rsidRPr="000D308F" w:rsidR="00B979B4">
        <w:rPr>
          <w:rFonts w:ascii="Verdana" w:hAnsi="Verdana"/>
          <w:sz w:val="18"/>
          <w:szCs w:val="18"/>
        </w:rPr>
        <w:t>hen</w:t>
      </w:r>
      <w:r w:rsidRPr="000D308F" w:rsidR="00CE41A5">
        <w:rPr>
          <w:rFonts w:ascii="Verdana" w:hAnsi="Verdana"/>
          <w:sz w:val="18"/>
          <w:szCs w:val="18"/>
        </w:rPr>
        <w:t xml:space="preserve"> wordt toebedeeld</w:t>
      </w:r>
      <w:r w:rsidRPr="000D308F" w:rsidR="0031442D">
        <w:rPr>
          <w:rFonts w:ascii="Verdana" w:hAnsi="Verdana"/>
          <w:sz w:val="18"/>
          <w:szCs w:val="18"/>
        </w:rPr>
        <w:t>,</w:t>
      </w:r>
      <w:r w:rsidRPr="000D308F" w:rsidR="005904D2">
        <w:rPr>
          <w:rFonts w:ascii="Verdana" w:hAnsi="Verdana"/>
          <w:sz w:val="18"/>
          <w:szCs w:val="18"/>
        </w:rPr>
        <w:t xml:space="preserve"> stelt het </w:t>
      </w:r>
      <w:r w:rsidRPr="000D308F" w:rsidR="00BB7D3D">
        <w:rPr>
          <w:rFonts w:ascii="Verdana" w:hAnsi="Verdana"/>
          <w:sz w:val="18"/>
          <w:szCs w:val="18"/>
        </w:rPr>
        <w:t xml:space="preserve">in beginsel </w:t>
      </w:r>
      <w:r w:rsidRPr="000D308F" w:rsidR="00D82AD6">
        <w:rPr>
          <w:rFonts w:ascii="Verdana" w:hAnsi="Verdana"/>
          <w:sz w:val="18"/>
          <w:szCs w:val="18"/>
        </w:rPr>
        <w:t xml:space="preserve">de </w:t>
      </w:r>
      <w:r w:rsidRPr="000D308F" w:rsidR="005904D2">
        <w:rPr>
          <w:rFonts w:ascii="Verdana" w:hAnsi="Verdana"/>
          <w:sz w:val="18"/>
          <w:szCs w:val="18"/>
        </w:rPr>
        <w:t>vertegenwoordigers van de LGO wel in staat om</w:t>
      </w:r>
      <w:r w:rsidRPr="000D308F" w:rsidR="00BB7D3D">
        <w:rPr>
          <w:rFonts w:ascii="Verdana" w:hAnsi="Verdana"/>
          <w:sz w:val="18"/>
          <w:szCs w:val="18"/>
        </w:rPr>
        <w:t xml:space="preserve"> op uitnodiging</w:t>
      </w:r>
      <w:r w:rsidRPr="000D308F" w:rsidR="005904D2">
        <w:rPr>
          <w:rFonts w:ascii="Verdana" w:hAnsi="Verdana"/>
          <w:sz w:val="18"/>
          <w:szCs w:val="18"/>
        </w:rPr>
        <w:t xml:space="preserve"> te spreken tijdens vergaderingen van de instellingen bij dit protocol, te weten de Raad van Ministers Caribisch gebied–EU, het Gemengd Comité Caribisch gebied–EU en de Parlementaire Vergadering Caribisch gebied-EU.</w:t>
      </w:r>
      <w:r w:rsidRPr="000D308F" w:rsidR="00E76EA4">
        <w:rPr>
          <w:rFonts w:ascii="Verdana" w:hAnsi="Verdana"/>
          <w:sz w:val="18"/>
          <w:szCs w:val="18"/>
        </w:rPr>
        <w:t xml:space="preserve"> Dit staat onder meer beschreven in artikel 88, tweede lid, van de Samoa-overeenkomst</w:t>
      </w:r>
      <w:r w:rsidRPr="000D308F" w:rsidR="00940749">
        <w:rPr>
          <w:rFonts w:ascii="Verdana" w:hAnsi="Verdana"/>
          <w:sz w:val="18"/>
          <w:szCs w:val="18"/>
        </w:rPr>
        <w:t xml:space="preserve">, artikel 7, tweede lid, onder c, van </w:t>
      </w:r>
      <w:r w:rsidRPr="000D308F" w:rsidR="00DA036D">
        <w:rPr>
          <w:rFonts w:ascii="Verdana" w:hAnsi="Verdana"/>
          <w:sz w:val="18"/>
          <w:szCs w:val="18"/>
        </w:rPr>
        <w:t>het reglement van orde</w:t>
      </w:r>
      <w:r w:rsidRPr="000D308F" w:rsidR="00940749">
        <w:rPr>
          <w:rFonts w:ascii="Verdana" w:hAnsi="Verdana"/>
          <w:sz w:val="18"/>
          <w:szCs w:val="18"/>
        </w:rPr>
        <w:t xml:space="preserve"> van de OACPS-EU-Raad van Ministers en artikel 8, tweede lid, van </w:t>
      </w:r>
      <w:r w:rsidRPr="000D308F" w:rsidR="00365196">
        <w:rPr>
          <w:rFonts w:ascii="Verdana" w:hAnsi="Verdana"/>
          <w:sz w:val="18"/>
          <w:szCs w:val="18"/>
        </w:rPr>
        <w:t xml:space="preserve">het reglement van orde </w:t>
      </w:r>
      <w:r w:rsidRPr="000D308F" w:rsidR="00940749">
        <w:rPr>
          <w:rFonts w:ascii="Verdana" w:hAnsi="Verdana"/>
          <w:sz w:val="18"/>
          <w:szCs w:val="18"/>
        </w:rPr>
        <w:t>van de Raad van Ministers Caribisch gebied–EU</w:t>
      </w:r>
      <w:r w:rsidRPr="000D308F" w:rsidR="00365196">
        <w:rPr>
          <w:rFonts w:ascii="Verdana" w:hAnsi="Verdana"/>
          <w:sz w:val="18"/>
          <w:szCs w:val="18"/>
        </w:rPr>
        <w:t>, artikel 8, tweede lid, van het reglement van orde van het Gemengd Comité Caribisch gebied–EU en artikel 7, tweede lid, onder c, van het reglement van orde van het OACPS-EU-Comité op het niveau van ambassadeurs of hoge ambtenaren</w:t>
      </w:r>
      <w:r w:rsidRPr="000D308F" w:rsidDel="00B359C6" w:rsidR="00365196">
        <w:rPr>
          <w:rFonts w:ascii="Verdana" w:hAnsi="Verdana"/>
          <w:sz w:val="18"/>
          <w:szCs w:val="18"/>
        </w:rPr>
        <w:t xml:space="preserve"> </w:t>
      </w:r>
      <w:r w:rsidRPr="000D308F" w:rsidR="00365196">
        <w:rPr>
          <w:rFonts w:ascii="Verdana" w:hAnsi="Verdana"/>
          <w:sz w:val="18"/>
          <w:szCs w:val="18"/>
        </w:rPr>
        <w:t>(OACPS-EU-</w:t>
      </w:r>
      <w:proofErr w:type="spellStart"/>
      <w:r w:rsidRPr="000D308F" w:rsidR="00365196">
        <w:rPr>
          <w:rFonts w:ascii="Verdana" w:hAnsi="Verdana"/>
          <w:sz w:val="18"/>
          <w:szCs w:val="18"/>
        </w:rPr>
        <w:t>Alsoc</w:t>
      </w:r>
      <w:proofErr w:type="spellEnd"/>
      <w:r w:rsidRPr="000D308F" w:rsidR="00365196">
        <w:rPr>
          <w:rFonts w:ascii="Verdana" w:hAnsi="Verdana"/>
          <w:sz w:val="18"/>
          <w:szCs w:val="18"/>
        </w:rPr>
        <w:t>)</w:t>
      </w:r>
      <w:r w:rsidRPr="000D308F" w:rsidR="00940749">
        <w:rPr>
          <w:rFonts w:ascii="Verdana" w:hAnsi="Verdana"/>
          <w:sz w:val="18"/>
          <w:szCs w:val="18"/>
        </w:rPr>
        <w:t>.</w:t>
      </w:r>
      <w:r w:rsidRPr="000D308F" w:rsidR="00940749">
        <w:rPr>
          <w:rStyle w:val="FootnoteReference"/>
          <w:rFonts w:ascii="Verdana" w:hAnsi="Verdana"/>
          <w:sz w:val="18"/>
          <w:szCs w:val="18"/>
        </w:rPr>
        <w:footnoteReference w:id="28"/>
      </w:r>
      <w:r w:rsidRPr="000D308F" w:rsidR="00365196">
        <w:rPr>
          <w:rFonts w:ascii="Verdana" w:hAnsi="Verdana"/>
          <w:sz w:val="18"/>
          <w:szCs w:val="18"/>
        </w:rPr>
        <w:t xml:space="preserve"> Wat betreft bevoegdheden</w:t>
      </w:r>
      <w:r w:rsidRPr="000D308F" w:rsidR="008A08FE">
        <w:rPr>
          <w:rStyle w:val="FootnoteReference"/>
          <w:rFonts w:ascii="Verdana" w:hAnsi="Verdana"/>
          <w:sz w:val="18"/>
          <w:szCs w:val="18"/>
        </w:rPr>
        <w:footnoteReference w:id="29"/>
      </w:r>
      <w:r w:rsidRPr="000D308F" w:rsidR="00FA4E14">
        <w:rPr>
          <w:rFonts w:ascii="Verdana" w:hAnsi="Verdana"/>
          <w:sz w:val="18"/>
          <w:szCs w:val="18"/>
        </w:rPr>
        <w:t xml:space="preserve"> is het aannemelijk dat</w:t>
      </w:r>
      <w:r w:rsidRPr="000D308F" w:rsidR="00365196">
        <w:rPr>
          <w:rFonts w:ascii="Verdana" w:hAnsi="Verdana"/>
          <w:sz w:val="18"/>
          <w:szCs w:val="18"/>
        </w:rPr>
        <w:t xml:space="preserve"> </w:t>
      </w:r>
      <w:r w:rsidRPr="000D308F" w:rsidR="008A08FE">
        <w:rPr>
          <w:rFonts w:ascii="Verdana" w:hAnsi="Verdana"/>
          <w:sz w:val="18"/>
          <w:szCs w:val="18"/>
        </w:rPr>
        <w:t xml:space="preserve">waarnemers niet </w:t>
      </w:r>
      <w:r w:rsidRPr="000D308F" w:rsidR="00FA4E14">
        <w:rPr>
          <w:rFonts w:ascii="Verdana" w:hAnsi="Verdana"/>
          <w:sz w:val="18"/>
          <w:szCs w:val="18"/>
        </w:rPr>
        <w:t xml:space="preserve">mogen </w:t>
      </w:r>
      <w:r w:rsidRPr="000D308F" w:rsidR="008A08FE">
        <w:rPr>
          <w:rFonts w:ascii="Verdana" w:hAnsi="Verdana"/>
          <w:sz w:val="18"/>
          <w:szCs w:val="18"/>
        </w:rPr>
        <w:t>stemmen tijdens vergaderingen van de onder dit protocol opgerichte instanties. Verder mogen zij</w:t>
      </w:r>
      <w:r w:rsidRPr="000D308F" w:rsidR="00FA4E14">
        <w:rPr>
          <w:rFonts w:ascii="Verdana" w:hAnsi="Verdana"/>
          <w:sz w:val="18"/>
          <w:szCs w:val="18"/>
        </w:rPr>
        <w:t xml:space="preserve"> naar alle waarschijnlijkheid</w:t>
      </w:r>
      <w:r w:rsidRPr="000D308F" w:rsidR="008A08FE">
        <w:rPr>
          <w:rFonts w:ascii="Verdana" w:hAnsi="Verdana"/>
          <w:sz w:val="18"/>
          <w:szCs w:val="18"/>
        </w:rPr>
        <w:t xml:space="preserve"> </w:t>
      </w:r>
      <w:r w:rsidRPr="000D308F" w:rsidR="00FA4E14">
        <w:rPr>
          <w:rFonts w:ascii="Verdana" w:hAnsi="Verdana"/>
          <w:sz w:val="18"/>
          <w:szCs w:val="18"/>
        </w:rPr>
        <w:t>evenmin</w:t>
      </w:r>
      <w:r w:rsidRPr="000D308F" w:rsidR="008A08FE">
        <w:rPr>
          <w:rFonts w:ascii="Verdana" w:hAnsi="Verdana"/>
          <w:sz w:val="18"/>
          <w:szCs w:val="18"/>
        </w:rPr>
        <w:t xml:space="preserve"> het woord voeren tijdens deze vergaderingen, tenzij zij daartoe worden uitgenodigd door een van de (co-)voorzitter(s) van een van de relevante instellingen onder dit protocol. </w:t>
      </w:r>
      <w:r w:rsidRPr="000D308F" w:rsidR="00FA4E14">
        <w:rPr>
          <w:rFonts w:ascii="Verdana" w:hAnsi="Verdana"/>
          <w:sz w:val="18"/>
          <w:szCs w:val="18"/>
        </w:rPr>
        <w:t xml:space="preserve">Daarenboven mogen zij waarschijnlijk </w:t>
      </w:r>
      <w:r w:rsidRPr="000D308F" w:rsidR="008A08FE">
        <w:rPr>
          <w:rFonts w:ascii="Verdana" w:hAnsi="Verdana"/>
          <w:sz w:val="18"/>
          <w:szCs w:val="18"/>
        </w:rPr>
        <w:t>wel niet-vertrouwelijke informatie en documenten van het Secretariaat ontvangen ten behoeve van deze vergaderingen.</w:t>
      </w:r>
    </w:p>
    <w:p w:rsidRPr="000D308F" w:rsidR="005904D2" w:rsidP="005904D2" w:rsidRDefault="005904D2" w14:paraId="2CF4978E" w14:textId="501C5A88">
      <w:pPr>
        <w:rPr>
          <w:rFonts w:ascii="Verdana" w:hAnsi="Verdana"/>
          <w:sz w:val="18"/>
          <w:szCs w:val="18"/>
        </w:rPr>
      </w:pPr>
      <w:r w:rsidRPr="000D308F">
        <w:rPr>
          <w:rFonts w:ascii="Verdana" w:hAnsi="Verdana"/>
          <w:sz w:val="18"/>
          <w:szCs w:val="18"/>
        </w:rPr>
        <w:br/>
      </w:r>
      <w:r w:rsidRPr="000D308F">
        <w:rPr>
          <w:rFonts w:ascii="Verdana" w:hAnsi="Verdana"/>
          <w:sz w:val="18"/>
          <w:szCs w:val="18"/>
        </w:rPr>
        <w:br/>
        <w:t>De Minister van Buitenlandse Zaken,</w:t>
      </w:r>
    </w:p>
    <w:p w:rsidRPr="008C26EB" w:rsidR="008D5B8D" w:rsidP="000D308F" w:rsidRDefault="008D5B8D" w14:paraId="63C39CE2" w14:textId="4DF89222">
      <w:pPr>
        <w:rPr>
          <w:rFonts w:ascii="Verdana" w:hAnsi="Verdana"/>
          <w:i/>
          <w:iCs/>
          <w:sz w:val="18"/>
          <w:szCs w:val="18"/>
        </w:rPr>
      </w:pPr>
    </w:p>
    <w:sectPr w:rsidRPr="008C26EB" w:rsidR="008D5B8D">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9F9C0" w14:textId="77777777" w:rsidR="003C072D" w:rsidRDefault="003C072D" w:rsidP="00353DC1">
      <w:pPr>
        <w:spacing w:after="0" w:line="240" w:lineRule="auto"/>
      </w:pPr>
      <w:r>
        <w:separator/>
      </w:r>
    </w:p>
  </w:endnote>
  <w:endnote w:type="continuationSeparator" w:id="0">
    <w:p w14:paraId="6CECCA4C" w14:textId="77777777" w:rsidR="003C072D" w:rsidRDefault="003C072D" w:rsidP="00353DC1">
      <w:pPr>
        <w:spacing w:after="0" w:line="240" w:lineRule="auto"/>
      </w:pPr>
      <w:r>
        <w:continuationSeparator/>
      </w:r>
    </w:p>
  </w:endnote>
  <w:endnote w:type="continuationNotice" w:id="1">
    <w:p w14:paraId="1A76CB83" w14:textId="77777777" w:rsidR="003C072D" w:rsidRDefault="003C07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752485"/>
      <w:docPartObj>
        <w:docPartGallery w:val="Page Numbers (Bottom of Page)"/>
        <w:docPartUnique/>
      </w:docPartObj>
    </w:sdtPr>
    <w:sdtEndPr/>
    <w:sdtContent>
      <w:p w14:paraId="3872A526" w14:textId="469940A1" w:rsidR="00681D43" w:rsidRDefault="00681D43">
        <w:pPr>
          <w:pStyle w:val="Footer"/>
          <w:jc w:val="right"/>
        </w:pPr>
        <w:r>
          <w:fldChar w:fldCharType="begin"/>
        </w:r>
        <w:r>
          <w:instrText>PAGE   \* MERGEFORMAT</w:instrText>
        </w:r>
        <w:r>
          <w:fldChar w:fldCharType="separate"/>
        </w:r>
        <w:r>
          <w:t>2</w:t>
        </w:r>
        <w:r>
          <w:fldChar w:fldCharType="end"/>
        </w:r>
      </w:p>
    </w:sdtContent>
  </w:sdt>
  <w:p w14:paraId="3F3463A9" w14:textId="77777777" w:rsidR="00681D43" w:rsidRDefault="00681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5D4B7" w14:textId="77777777" w:rsidR="003C072D" w:rsidRDefault="003C072D" w:rsidP="00353DC1">
      <w:pPr>
        <w:spacing w:after="0" w:line="240" w:lineRule="auto"/>
      </w:pPr>
      <w:r>
        <w:separator/>
      </w:r>
    </w:p>
  </w:footnote>
  <w:footnote w:type="continuationSeparator" w:id="0">
    <w:p w14:paraId="14A6C48F" w14:textId="77777777" w:rsidR="003C072D" w:rsidRDefault="003C072D" w:rsidP="00353DC1">
      <w:pPr>
        <w:spacing w:after="0" w:line="240" w:lineRule="auto"/>
      </w:pPr>
      <w:r>
        <w:continuationSeparator/>
      </w:r>
    </w:p>
  </w:footnote>
  <w:footnote w:type="continuationNotice" w:id="1">
    <w:p w14:paraId="1D34986C" w14:textId="77777777" w:rsidR="003C072D" w:rsidRDefault="003C072D">
      <w:pPr>
        <w:spacing w:after="0" w:line="240" w:lineRule="auto"/>
      </w:pPr>
    </w:p>
  </w:footnote>
  <w:footnote w:id="2">
    <w:p w14:paraId="02BD7A4C" w14:textId="5D7F8754" w:rsidR="00747B96" w:rsidRPr="008C26EB" w:rsidRDefault="00747B96">
      <w:pPr>
        <w:pStyle w:val="FootnoteText"/>
        <w:rPr>
          <w:rFonts w:ascii="Verdana" w:hAnsi="Verdana"/>
          <w:sz w:val="16"/>
          <w:szCs w:val="16"/>
        </w:rPr>
      </w:pPr>
      <w:r w:rsidRPr="008C26EB">
        <w:rPr>
          <w:rStyle w:val="FootnoteReference"/>
          <w:rFonts w:ascii="Verdana" w:hAnsi="Verdana"/>
          <w:sz w:val="16"/>
          <w:szCs w:val="16"/>
        </w:rPr>
        <w:footnoteRef/>
      </w:r>
      <w:r w:rsidRPr="008C26EB">
        <w:rPr>
          <w:rFonts w:ascii="Verdana" w:hAnsi="Verdana"/>
          <w:sz w:val="16"/>
          <w:szCs w:val="16"/>
        </w:rPr>
        <w:t xml:space="preserve"> De op 20 juli 1969 te Yaoundé tot stand gekomen Handelsovereenkomst tussen de Europese Economische Gemeenschap en de Geassocieerde Afrikaanse Staten en Madagaskar</w:t>
      </w:r>
      <w:r w:rsidRPr="00747B96">
        <w:rPr>
          <w:rFonts w:ascii="Verdana" w:hAnsi="Verdana"/>
          <w:sz w:val="16"/>
          <w:szCs w:val="16"/>
        </w:rPr>
        <w:t>.</w:t>
      </w:r>
    </w:p>
  </w:footnote>
  <w:footnote w:id="3">
    <w:p w14:paraId="4E438910" w14:textId="617896C8" w:rsidR="00747B96" w:rsidRPr="00747B96" w:rsidRDefault="00747B96">
      <w:pPr>
        <w:pStyle w:val="FootnoteText"/>
      </w:pPr>
      <w:r w:rsidRPr="008C26EB">
        <w:rPr>
          <w:rStyle w:val="FootnoteReference"/>
          <w:rFonts w:ascii="Verdana" w:hAnsi="Verdana"/>
          <w:sz w:val="16"/>
          <w:szCs w:val="16"/>
        </w:rPr>
        <w:footnoteRef/>
      </w:r>
      <w:r w:rsidRPr="008C26EB">
        <w:rPr>
          <w:rFonts w:ascii="Verdana" w:hAnsi="Verdana"/>
          <w:sz w:val="16"/>
          <w:szCs w:val="16"/>
        </w:rPr>
        <w:t xml:space="preserve"> De op 28 februari 1975 te Lomé tot stand gekomen Overeenkomst tussen de Europese Economische Gemeenschap en haar lidstaten, enerzijds, en de leden van de organisatie van staten in Afrika, het Caribisch gebied en de Stille Oceaan</w:t>
      </w:r>
      <w:r>
        <w:rPr>
          <w:rFonts w:ascii="Verdana" w:hAnsi="Verdana"/>
          <w:sz w:val="16"/>
          <w:szCs w:val="16"/>
        </w:rPr>
        <w:t>, anderzijds (</w:t>
      </w:r>
      <w:proofErr w:type="spellStart"/>
      <w:r>
        <w:rPr>
          <w:rFonts w:ascii="Verdana" w:hAnsi="Verdana"/>
          <w:i/>
          <w:iCs/>
          <w:sz w:val="16"/>
          <w:szCs w:val="16"/>
        </w:rPr>
        <w:t>Trb</w:t>
      </w:r>
      <w:proofErr w:type="spellEnd"/>
      <w:r>
        <w:rPr>
          <w:rFonts w:ascii="Verdana" w:hAnsi="Verdana"/>
          <w:i/>
          <w:iCs/>
          <w:sz w:val="16"/>
          <w:szCs w:val="16"/>
        </w:rPr>
        <w:t xml:space="preserve">. </w:t>
      </w:r>
      <w:r>
        <w:rPr>
          <w:rFonts w:ascii="Verdana" w:hAnsi="Verdana"/>
          <w:sz w:val="16"/>
          <w:szCs w:val="16"/>
        </w:rPr>
        <w:t xml:space="preserve">1975, 110). Deze overeenkomst staat ook bekend als de “ASC-EEG-overeenkomst van </w:t>
      </w:r>
      <w:r w:rsidRPr="00885BF5">
        <w:rPr>
          <w:rFonts w:ascii="Verdana" w:hAnsi="Verdana"/>
          <w:sz w:val="16"/>
          <w:szCs w:val="16"/>
        </w:rPr>
        <w:t>Lomé</w:t>
      </w:r>
      <w:r>
        <w:rPr>
          <w:rFonts w:ascii="Verdana" w:hAnsi="Verdana"/>
          <w:sz w:val="16"/>
          <w:szCs w:val="16"/>
        </w:rPr>
        <w:t>”.</w:t>
      </w:r>
    </w:p>
  </w:footnote>
  <w:footnote w:id="4">
    <w:p w14:paraId="5AE9F14A" w14:textId="6EC32691" w:rsidR="00353DC1" w:rsidRPr="008C26EB" w:rsidRDefault="00353DC1">
      <w:pPr>
        <w:pStyle w:val="FootnoteText"/>
        <w:rPr>
          <w:rFonts w:ascii="Verdana" w:hAnsi="Verdana"/>
          <w:sz w:val="16"/>
          <w:szCs w:val="16"/>
        </w:rPr>
      </w:pPr>
      <w:r w:rsidRPr="008C26EB">
        <w:rPr>
          <w:rStyle w:val="FootnoteReference"/>
          <w:rFonts w:ascii="Verdana" w:hAnsi="Verdana"/>
          <w:sz w:val="16"/>
          <w:szCs w:val="16"/>
        </w:rPr>
        <w:footnoteRef/>
      </w:r>
      <w:r w:rsidRPr="008C26EB">
        <w:rPr>
          <w:rFonts w:ascii="Verdana" w:hAnsi="Verdana"/>
          <w:sz w:val="16"/>
          <w:szCs w:val="16"/>
        </w:rPr>
        <w:t xml:space="preserve"> Bij</w:t>
      </w:r>
      <w:r w:rsidR="003A3A08" w:rsidRPr="008C26EB">
        <w:rPr>
          <w:rFonts w:ascii="Verdana" w:hAnsi="Verdana"/>
          <w:sz w:val="16"/>
          <w:szCs w:val="16"/>
        </w:rPr>
        <w:t xml:space="preserve"> de</w:t>
      </w:r>
      <w:r w:rsidRPr="008C26EB">
        <w:rPr>
          <w:rFonts w:ascii="Verdana" w:hAnsi="Verdana"/>
          <w:sz w:val="16"/>
          <w:szCs w:val="16"/>
        </w:rPr>
        <w:t xml:space="preserve"> ondertekening van </w:t>
      </w:r>
      <w:r w:rsidR="000113B8">
        <w:rPr>
          <w:rFonts w:ascii="Verdana" w:hAnsi="Verdana"/>
          <w:sz w:val="16"/>
          <w:szCs w:val="16"/>
        </w:rPr>
        <w:t>de Cotonou-overeenkomst</w:t>
      </w:r>
      <w:r w:rsidR="00D97139">
        <w:rPr>
          <w:rFonts w:ascii="Verdana" w:hAnsi="Verdana"/>
          <w:sz w:val="16"/>
          <w:szCs w:val="16"/>
        </w:rPr>
        <w:t xml:space="preserve"> </w:t>
      </w:r>
      <w:r w:rsidRPr="008C26EB">
        <w:rPr>
          <w:rFonts w:ascii="Verdana" w:hAnsi="Verdana"/>
          <w:sz w:val="16"/>
          <w:szCs w:val="16"/>
        </w:rPr>
        <w:t>bestond de ACS uit 77 lidstaten. Later traden Cuba (2000) en Oost-Timor (2003) toe tot de ACS-groep.</w:t>
      </w:r>
    </w:p>
  </w:footnote>
  <w:footnote w:id="5">
    <w:p w14:paraId="5B95300B" w14:textId="4FAB7EB0" w:rsidR="003573C8" w:rsidRPr="008C26EB" w:rsidRDefault="003573C8" w:rsidP="003573C8">
      <w:pPr>
        <w:pStyle w:val="FootnoteText"/>
        <w:rPr>
          <w:rFonts w:ascii="Verdana" w:hAnsi="Verdana"/>
          <w:sz w:val="16"/>
          <w:szCs w:val="16"/>
        </w:rPr>
      </w:pPr>
      <w:r w:rsidRPr="008C26EB">
        <w:rPr>
          <w:rStyle w:val="FootnoteReference"/>
          <w:rFonts w:ascii="Verdana" w:hAnsi="Verdana"/>
          <w:sz w:val="16"/>
          <w:szCs w:val="16"/>
        </w:rPr>
        <w:footnoteRef/>
      </w:r>
      <w:r w:rsidRPr="008C26EB">
        <w:rPr>
          <w:rFonts w:ascii="Verdana" w:hAnsi="Verdana"/>
          <w:sz w:val="16"/>
          <w:szCs w:val="16"/>
        </w:rPr>
        <w:t xml:space="preserve"> </w:t>
      </w:r>
      <w:bookmarkStart w:id="0" w:name="_Hlk147492502"/>
      <w:r w:rsidRPr="008C26EB">
        <w:rPr>
          <w:rFonts w:ascii="Verdana" w:hAnsi="Verdana"/>
          <w:sz w:val="16"/>
          <w:szCs w:val="16"/>
        </w:rPr>
        <w:t xml:space="preserve">Zie </w:t>
      </w:r>
      <w:r w:rsidR="00120747" w:rsidRPr="00120747">
        <w:rPr>
          <w:rFonts w:ascii="Verdana" w:hAnsi="Verdana"/>
          <w:sz w:val="16"/>
          <w:szCs w:val="16"/>
        </w:rPr>
        <w:t>BNC-fiche</w:t>
      </w:r>
      <w:r w:rsidRPr="008C26EB">
        <w:rPr>
          <w:rFonts w:ascii="Verdana" w:hAnsi="Verdana"/>
          <w:sz w:val="16"/>
          <w:szCs w:val="16"/>
        </w:rPr>
        <w:t>: Aanbeveling onderhandelingsmandaat voor een toekomstig partnerschap tussen de EU en de ACS-landen (</w:t>
      </w:r>
      <w:r w:rsidR="00100178" w:rsidRPr="008C26EB">
        <w:rPr>
          <w:rFonts w:ascii="Verdana" w:hAnsi="Verdana"/>
          <w:sz w:val="16"/>
          <w:szCs w:val="16"/>
        </w:rPr>
        <w:t>P</w:t>
      </w:r>
      <w:r w:rsidRPr="008C26EB">
        <w:rPr>
          <w:rFonts w:ascii="Verdana" w:hAnsi="Verdana"/>
          <w:sz w:val="16"/>
          <w:szCs w:val="16"/>
        </w:rPr>
        <w:t>ost-Cotonou) d.d. 24 januari 2018 (Kamerstuk</w:t>
      </w:r>
      <w:r w:rsidR="005B3384">
        <w:rPr>
          <w:rFonts w:ascii="Verdana" w:hAnsi="Verdana"/>
          <w:sz w:val="16"/>
          <w:szCs w:val="16"/>
        </w:rPr>
        <w:t>ken II 2017/2018,</w:t>
      </w:r>
      <w:r w:rsidRPr="008C26EB">
        <w:rPr>
          <w:rFonts w:ascii="Verdana" w:hAnsi="Verdana"/>
          <w:sz w:val="16"/>
          <w:szCs w:val="16"/>
        </w:rPr>
        <w:t xml:space="preserve"> 22112, nr. 2469)</w:t>
      </w:r>
      <w:bookmarkEnd w:id="0"/>
      <w:r w:rsidR="00C82FB6" w:rsidRPr="008C26EB">
        <w:rPr>
          <w:rFonts w:ascii="Verdana" w:hAnsi="Verdana"/>
          <w:sz w:val="16"/>
          <w:szCs w:val="16"/>
        </w:rPr>
        <w:t>.</w:t>
      </w:r>
    </w:p>
  </w:footnote>
  <w:footnote w:id="6">
    <w:p w14:paraId="649741B5" w14:textId="65B4610A" w:rsidR="00486F5D" w:rsidRPr="00486F5D" w:rsidRDefault="00486F5D">
      <w:pPr>
        <w:pStyle w:val="FootnoteText"/>
      </w:pPr>
      <w:r w:rsidRPr="008C26EB">
        <w:rPr>
          <w:rStyle w:val="FootnoteReference"/>
          <w:rFonts w:ascii="Verdana" w:hAnsi="Verdana"/>
          <w:sz w:val="16"/>
          <w:szCs w:val="16"/>
        </w:rPr>
        <w:footnoteRef/>
      </w:r>
      <w:r w:rsidRPr="008C26EB">
        <w:rPr>
          <w:rFonts w:ascii="Verdana" w:hAnsi="Verdana"/>
          <w:sz w:val="16"/>
          <w:szCs w:val="16"/>
        </w:rPr>
        <w:t xml:space="preserve"> Zie Kabinetsappreciatie </w:t>
      </w:r>
      <w:r w:rsidR="00C63961" w:rsidRPr="008C26EB">
        <w:rPr>
          <w:rFonts w:ascii="Verdana" w:hAnsi="Verdana"/>
          <w:sz w:val="16"/>
          <w:szCs w:val="16"/>
        </w:rPr>
        <w:t>Post</w:t>
      </w:r>
      <w:r w:rsidRPr="008C26EB">
        <w:rPr>
          <w:rFonts w:ascii="Verdana" w:hAnsi="Verdana"/>
          <w:sz w:val="16"/>
          <w:szCs w:val="16"/>
        </w:rPr>
        <w:t>-Cotonou</w:t>
      </w:r>
      <w:r w:rsidR="00BF636C">
        <w:rPr>
          <w:rFonts w:ascii="Verdana" w:hAnsi="Verdana"/>
          <w:sz w:val="16"/>
          <w:szCs w:val="16"/>
        </w:rPr>
        <w:t>-</w:t>
      </w:r>
      <w:r w:rsidRPr="008C26EB">
        <w:rPr>
          <w:rFonts w:ascii="Verdana" w:hAnsi="Verdana"/>
          <w:sz w:val="16"/>
          <w:szCs w:val="16"/>
        </w:rPr>
        <w:t>verdrag d.d. 2 juni 2021 (</w:t>
      </w:r>
      <w:r w:rsidR="005B3384" w:rsidRPr="00885BF5">
        <w:rPr>
          <w:rFonts w:ascii="Verdana" w:hAnsi="Verdana"/>
          <w:sz w:val="16"/>
          <w:szCs w:val="16"/>
        </w:rPr>
        <w:t>Kamerstuk</w:t>
      </w:r>
      <w:r w:rsidR="005B3384">
        <w:rPr>
          <w:rFonts w:ascii="Verdana" w:hAnsi="Verdana"/>
          <w:sz w:val="16"/>
          <w:szCs w:val="16"/>
        </w:rPr>
        <w:t xml:space="preserve">ken II 2020/2021, </w:t>
      </w:r>
      <w:r w:rsidRPr="008C26EB">
        <w:rPr>
          <w:rFonts w:ascii="Verdana" w:hAnsi="Verdana"/>
          <w:sz w:val="16"/>
          <w:szCs w:val="16"/>
        </w:rPr>
        <w:t>22112, nr. 3136)</w:t>
      </w:r>
      <w:r w:rsidR="00C82FB6" w:rsidRPr="008C26EB">
        <w:rPr>
          <w:rFonts w:ascii="Verdana" w:hAnsi="Verdana"/>
          <w:sz w:val="16"/>
          <w:szCs w:val="16"/>
        </w:rPr>
        <w:t>.</w:t>
      </w:r>
    </w:p>
  </w:footnote>
  <w:footnote w:id="7">
    <w:p w14:paraId="355F1788" w14:textId="344D336C" w:rsidR="005457DD" w:rsidRPr="008C26EB" w:rsidRDefault="005457DD">
      <w:pPr>
        <w:pStyle w:val="FootnoteText"/>
        <w:rPr>
          <w:rFonts w:ascii="Verdana" w:hAnsi="Verdana"/>
          <w:sz w:val="16"/>
          <w:szCs w:val="16"/>
        </w:rPr>
      </w:pPr>
      <w:r w:rsidRPr="008C26EB">
        <w:rPr>
          <w:rStyle w:val="FootnoteReference"/>
          <w:rFonts w:ascii="Verdana" w:hAnsi="Verdana"/>
          <w:sz w:val="16"/>
          <w:szCs w:val="16"/>
        </w:rPr>
        <w:footnoteRef/>
      </w:r>
      <w:r w:rsidRPr="008C26EB">
        <w:rPr>
          <w:rFonts w:ascii="Verdana" w:hAnsi="Verdana"/>
          <w:sz w:val="16"/>
          <w:szCs w:val="16"/>
        </w:rPr>
        <w:t xml:space="preserve"> De Ministerraad stemde op 9 juni 2023 in met </w:t>
      </w:r>
      <w:r w:rsidR="00C82FB6">
        <w:rPr>
          <w:rFonts w:ascii="Verdana" w:hAnsi="Verdana"/>
          <w:sz w:val="16"/>
          <w:szCs w:val="16"/>
        </w:rPr>
        <w:t>de sluiting</w:t>
      </w:r>
      <w:r w:rsidR="00C82FB6" w:rsidRPr="008C26EB">
        <w:rPr>
          <w:rFonts w:ascii="Verdana" w:hAnsi="Verdana"/>
          <w:sz w:val="16"/>
          <w:szCs w:val="16"/>
        </w:rPr>
        <w:t xml:space="preserve"> </w:t>
      </w:r>
      <w:r w:rsidRPr="008C26EB">
        <w:rPr>
          <w:rFonts w:ascii="Verdana" w:hAnsi="Verdana"/>
          <w:sz w:val="16"/>
          <w:szCs w:val="16"/>
        </w:rPr>
        <w:t xml:space="preserve">van </w:t>
      </w:r>
      <w:r w:rsidR="00E028E9">
        <w:rPr>
          <w:rFonts w:ascii="Verdana" w:hAnsi="Verdana"/>
          <w:sz w:val="16"/>
          <w:szCs w:val="16"/>
        </w:rPr>
        <w:t>de Samoa-overeenkomst</w:t>
      </w:r>
      <w:r w:rsidRPr="008C26EB">
        <w:rPr>
          <w:rFonts w:ascii="Verdana" w:hAnsi="Verdana"/>
          <w:sz w:val="16"/>
          <w:szCs w:val="16"/>
        </w:rPr>
        <w:t xml:space="preserve"> namens Nederland. </w:t>
      </w:r>
    </w:p>
  </w:footnote>
  <w:footnote w:id="8">
    <w:p w14:paraId="30AB5DF0" w14:textId="1044BFF9" w:rsidR="0009203C" w:rsidRPr="008C26EB" w:rsidRDefault="0009203C">
      <w:pPr>
        <w:pStyle w:val="FootnoteText"/>
        <w:rPr>
          <w:rFonts w:ascii="Verdana" w:hAnsi="Verdana"/>
        </w:rPr>
      </w:pPr>
      <w:r w:rsidRPr="008C26EB">
        <w:rPr>
          <w:rStyle w:val="FootnoteReference"/>
          <w:rFonts w:ascii="Verdana" w:hAnsi="Verdana"/>
          <w:sz w:val="16"/>
          <w:szCs w:val="16"/>
        </w:rPr>
        <w:footnoteRef/>
      </w:r>
      <w:r w:rsidRPr="008C26EB">
        <w:rPr>
          <w:rFonts w:ascii="Verdana" w:hAnsi="Verdana"/>
          <w:sz w:val="16"/>
          <w:szCs w:val="16"/>
        </w:rPr>
        <w:t xml:space="preserve"> In de </w:t>
      </w:r>
      <w:r>
        <w:rPr>
          <w:rFonts w:ascii="Verdana" w:hAnsi="Verdana"/>
          <w:sz w:val="16"/>
          <w:szCs w:val="16"/>
        </w:rPr>
        <w:t xml:space="preserve">onderhandelingsfase droeg </w:t>
      </w:r>
      <w:r w:rsidR="00E028E9">
        <w:rPr>
          <w:rFonts w:ascii="Verdana" w:hAnsi="Verdana"/>
          <w:sz w:val="16"/>
          <w:szCs w:val="16"/>
        </w:rPr>
        <w:t>de Samoa-overeenkomst</w:t>
      </w:r>
      <w:r>
        <w:rPr>
          <w:rFonts w:ascii="Verdana" w:hAnsi="Verdana"/>
          <w:sz w:val="16"/>
          <w:szCs w:val="16"/>
        </w:rPr>
        <w:t xml:space="preserve"> nog de naam: Post-Cotonou</w:t>
      </w:r>
      <w:r w:rsidR="00BF636C">
        <w:rPr>
          <w:rFonts w:ascii="Verdana" w:hAnsi="Verdana"/>
          <w:sz w:val="16"/>
          <w:szCs w:val="16"/>
        </w:rPr>
        <w:t>-</w:t>
      </w:r>
      <w:r>
        <w:rPr>
          <w:rFonts w:ascii="Verdana" w:hAnsi="Verdana"/>
          <w:sz w:val="16"/>
          <w:szCs w:val="16"/>
        </w:rPr>
        <w:t>verdrag</w:t>
      </w:r>
      <w:r w:rsidR="00BF636C">
        <w:rPr>
          <w:rFonts w:ascii="Verdana" w:hAnsi="Verdana"/>
          <w:sz w:val="16"/>
          <w:szCs w:val="16"/>
        </w:rPr>
        <w:t xml:space="preserve"> of Post-Cotonou-overeenkomst</w:t>
      </w:r>
      <w:r>
        <w:rPr>
          <w:rFonts w:ascii="Verdana" w:hAnsi="Verdana"/>
          <w:sz w:val="16"/>
          <w:szCs w:val="16"/>
        </w:rPr>
        <w:t xml:space="preserve">. </w:t>
      </w:r>
      <w:r w:rsidR="00D95D8B">
        <w:rPr>
          <w:rFonts w:ascii="Verdana" w:hAnsi="Verdana"/>
          <w:sz w:val="16"/>
          <w:szCs w:val="16"/>
        </w:rPr>
        <w:t xml:space="preserve">Bij besluit </w:t>
      </w:r>
      <w:r w:rsidR="00D95D8B" w:rsidRPr="00A1576E">
        <w:rPr>
          <w:rFonts w:ascii="Verdana" w:hAnsi="Verdana"/>
          <w:sz w:val="16"/>
          <w:szCs w:val="16"/>
        </w:rPr>
        <w:t xml:space="preserve">van </w:t>
      </w:r>
      <w:r w:rsidR="00A1576E" w:rsidRPr="00A1576E">
        <w:rPr>
          <w:rFonts w:ascii="Verdana" w:hAnsi="Verdana"/>
          <w:sz w:val="16"/>
          <w:szCs w:val="16"/>
        </w:rPr>
        <w:t xml:space="preserve">13 oktober 2023 </w:t>
      </w:r>
      <w:r w:rsidR="00D95D8B" w:rsidRPr="00A1576E">
        <w:rPr>
          <w:rFonts w:ascii="Verdana" w:hAnsi="Verdana"/>
          <w:sz w:val="16"/>
          <w:szCs w:val="16"/>
        </w:rPr>
        <w:t>van het ASC-EU Comité van Ambassadeurs is</w:t>
      </w:r>
      <w:r w:rsidR="00D95D8B">
        <w:rPr>
          <w:rFonts w:ascii="Verdana" w:hAnsi="Verdana"/>
          <w:sz w:val="16"/>
          <w:szCs w:val="16"/>
        </w:rPr>
        <w:t xml:space="preserve"> besloten om </w:t>
      </w:r>
      <w:r w:rsidR="00E34B8A">
        <w:rPr>
          <w:rFonts w:ascii="Verdana" w:hAnsi="Verdana"/>
          <w:sz w:val="16"/>
          <w:szCs w:val="16"/>
        </w:rPr>
        <w:t>Overeenkomst</w:t>
      </w:r>
      <w:r w:rsidR="00BF636C">
        <w:rPr>
          <w:rFonts w:ascii="Verdana" w:hAnsi="Verdana"/>
          <w:sz w:val="16"/>
          <w:szCs w:val="16"/>
        </w:rPr>
        <w:t xml:space="preserve"> van Samoa</w:t>
      </w:r>
      <w:r w:rsidR="00E34B8A">
        <w:rPr>
          <w:rFonts w:ascii="Verdana" w:hAnsi="Verdana"/>
          <w:sz w:val="16"/>
          <w:szCs w:val="16"/>
        </w:rPr>
        <w:t xml:space="preserve"> (“Samoa Agreement”)</w:t>
      </w:r>
      <w:r w:rsidR="00E5654B">
        <w:rPr>
          <w:rFonts w:ascii="Verdana" w:hAnsi="Verdana"/>
          <w:sz w:val="16"/>
          <w:szCs w:val="16"/>
        </w:rPr>
        <w:t xml:space="preserve"> als (informele) naam aan de overeenkomst toe te kennen.</w:t>
      </w:r>
      <w:r w:rsidR="00D95D8B">
        <w:rPr>
          <w:rFonts w:ascii="Verdana" w:hAnsi="Verdana"/>
          <w:sz w:val="16"/>
          <w:szCs w:val="16"/>
        </w:rPr>
        <w:t xml:space="preserve"> </w:t>
      </w:r>
    </w:p>
  </w:footnote>
  <w:footnote w:id="9">
    <w:p w14:paraId="6D2E65F9" w14:textId="7D74C218" w:rsidR="007115F5" w:rsidRPr="007115F5" w:rsidRDefault="007115F5">
      <w:pPr>
        <w:pStyle w:val="FootnoteText"/>
      </w:pPr>
      <w:r w:rsidRPr="008C26EB">
        <w:rPr>
          <w:rStyle w:val="FootnoteReference"/>
          <w:rFonts w:ascii="Verdana" w:hAnsi="Verdana"/>
          <w:sz w:val="16"/>
          <w:szCs w:val="16"/>
        </w:rPr>
        <w:footnoteRef/>
      </w:r>
      <w:r w:rsidRPr="008C26EB">
        <w:rPr>
          <w:rFonts w:ascii="Verdana" w:hAnsi="Verdana"/>
          <w:sz w:val="16"/>
          <w:szCs w:val="16"/>
        </w:rPr>
        <w:t xml:space="preserve"> </w:t>
      </w:r>
      <w:r w:rsidR="00E028E9">
        <w:rPr>
          <w:rFonts w:ascii="Verdana" w:hAnsi="Verdana"/>
          <w:sz w:val="16"/>
          <w:szCs w:val="16"/>
        </w:rPr>
        <w:t>De Samoa-overeenkomst</w:t>
      </w:r>
      <w:r w:rsidRPr="008C26EB">
        <w:rPr>
          <w:rFonts w:ascii="Verdana" w:hAnsi="Verdana"/>
          <w:sz w:val="16"/>
          <w:szCs w:val="16"/>
        </w:rPr>
        <w:t xml:space="preserve"> zal voor dezelfde ACS-landen gelden als</w:t>
      </w:r>
      <w:r w:rsidR="00A23252" w:rsidRPr="008C26EB">
        <w:rPr>
          <w:rFonts w:ascii="Verdana" w:hAnsi="Verdana"/>
          <w:sz w:val="16"/>
          <w:szCs w:val="16"/>
        </w:rPr>
        <w:t xml:space="preserve"> de landen</w:t>
      </w:r>
      <w:r w:rsidRPr="008C26EB">
        <w:rPr>
          <w:rFonts w:ascii="Verdana" w:hAnsi="Verdana"/>
          <w:sz w:val="16"/>
          <w:szCs w:val="16"/>
        </w:rPr>
        <w:t xml:space="preserve"> waarvoor </w:t>
      </w:r>
      <w:r w:rsidR="008845E8">
        <w:rPr>
          <w:rFonts w:ascii="Verdana" w:hAnsi="Verdana"/>
          <w:sz w:val="16"/>
          <w:szCs w:val="16"/>
        </w:rPr>
        <w:t>de</w:t>
      </w:r>
      <w:r w:rsidR="008845E8" w:rsidRPr="008C26EB">
        <w:rPr>
          <w:rFonts w:ascii="Verdana" w:hAnsi="Verdana"/>
          <w:sz w:val="16"/>
          <w:szCs w:val="16"/>
        </w:rPr>
        <w:t xml:space="preserve"> </w:t>
      </w:r>
      <w:r w:rsidRPr="008C26EB">
        <w:rPr>
          <w:rFonts w:ascii="Verdana" w:hAnsi="Verdana"/>
          <w:sz w:val="16"/>
          <w:szCs w:val="16"/>
        </w:rPr>
        <w:t>Cotonou</w:t>
      </w:r>
      <w:r w:rsidR="002D3758">
        <w:rPr>
          <w:rFonts w:ascii="Verdana" w:hAnsi="Verdana"/>
          <w:sz w:val="16"/>
          <w:szCs w:val="16"/>
        </w:rPr>
        <w:t>-</w:t>
      </w:r>
      <w:r w:rsidR="008845E8">
        <w:rPr>
          <w:rFonts w:ascii="Verdana" w:hAnsi="Verdana"/>
          <w:sz w:val="16"/>
          <w:szCs w:val="16"/>
        </w:rPr>
        <w:t>overeenkomst</w:t>
      </w:r>
      <w:r w:rsidRPr="008C26EB">
        <w:rPr>
          <w:rFonts w:ascii="Verdana" w:hAnsi="Verdana"/>
          <w:sz w:val="16"/>
          <w:szCs w:val="16"/>
        </w:rPr>
        <w:t xml:space="preserve"> gold</w:t>
      </w:r>
      <w:r w:rsidR="004B3F48">
        <w:rPr>
          <w:rFonts w:ascii="Verdana" w:hAnsi="Verdana"/>
          <w:sz w:val="16"/>
          <w:szCs w:val="16"/>
        </w:rPr>
        <w:t xml:space="preserve">, </w:t>
      </w:r>
      <w:r w:rsidRPr="008C26EB">
        <w:rPr>
          <w:rFonts w:ascii="Verdana" w:hAnsi="Verdana"/>
          <w:sz w:val="16"/>
          <w:szCs w:val="16"/>
        </w:rPr>
        <w:t xml:space="preserve">met uitzondering </w:t>
      </w:r>
      <w:r w:rsidR="004B3F48">
        <w:rPr>
          <w:rFonts w:ascii="Verdana" w:hAnsi="Verdana"/>
          <w:sz w:val="16"/>
          <w:szCs w:val="16"/>
        </w:rPr>
        <w:t>van</w:t>
      </w:r>
      <w:r w:rsidR="00C82FB6">
        <w:rPr>
          <w:rFonts w:ascii="Verdana" w:hAnsi="Verdana"/>
          <w:sz w:val="16"/>
          <w:szCs w:val="16"/>
        </w:rPr>
        <w:t xml:space="preserve"> enkele landen. De</w:t>
      </w:r>
      <w:r w:rsidRPr="008C26EB">
        <w:rPr>
          <w:rFonts w:ascii="Verdana" w:hAnsi="Verdana"/>
          <w:sz w:val="16"/>
          <w:szCs w:val="16"/>
        </w:rPr>
        <w:t xml:space="preserve"> procedure voor de toetreding van Zuid-Sudan tot de ACS-landen is </w:t>
      </w:r>
      <w:r w:rsidR="00C82FB6">
        <w:rPr>
          <w:rFonts w:ascii="Verdana" w:hAnsi="Verdana"/>
          <w:sz w:val="16"/>
          <w:szCs w:val="16"/>
        </w:rPr>
        <w:t xml:space="preserve">namelijk </w:t>
      </w:r>
      <w:r w:rsidRPr="008C26EB">
        <w:rPr>
          <w:rFonts w:ascii="Verdana" w:hAnsi="Verdana"/>
          <w:sz w:val="16"/>
          <w:szCs w:val="16"/>
        </w:rPr>
        <w:t xml:space="preserve">nog niet afgerond. Het verdrag zal derhalve vanaf toetreding voor Zuid-Soedan van kracht worden. </w:t>
      </w:r>
      <w:r w:rsidR="00C82FB6">
        <w:rPr>
          <w:rFonts w:ascii="Verdana" w:hAnsi="Verdana"/>
          <w:sz w:val="16"/>
          <w:szCs w:val="16"/>
        </w:rPr>
        <w:t>Daarnaast heeft Z</w:t>
      </w:r>
      <w:r w:rsidRPr="008C26EB">
        <w:rPr>
          <w:rFonts w:ascii="Verdana" w:hAnsi="Verdana"/>
          <w:sz w:val="16"/>
          <w:szCs w:val="16"/>
        </w:rPr>
        <w:t xml:space="preserve">uid-Afrika besloten de ACS-landen per 2 september 2022 te verlaten en zal </w:t>
      </w:r>
      <w:r w:rsidR="00C82FB6">
        <w:rPr>
          <w:rFonts w:ascii="Verdana" w:hAnsi="Verdana"/>
          <w:sz w:val="16"/>
          <w:szCs w:val="16"/>
        </w:rPr>
        <w:t xml:space="preserve">daarom </w:t>
      </w:r>
      <w:r w:rsidRPr="008C26EB">
        <w:rPr>
          <w:rFonts w:ascii="Verdana" w:hAnsi="Verdana"/>
          <w:sz w:val="16"/>
          <w:szCs w:val="16"/>
        </w:rPr>
        <w:t>niet deelnemen aan het nieuwe verdrag. Op 10 december 2022 werden de Maldiven volwaardig lid van de ACS-landen, waardoor het verdrag ook voor de Maldiven zal gelden.</w:t>
      </w:r>
    </w:p>
  </w:footnote>
  <w:footnote w:id="10">
    <w:p w14:paraId="531A14AB" w14:textId="0346FF25" w:rsidR="00FF4FDC" w:rsidRPr="008C26EB" w:rsidRDefault="00FF4FDC">
      <w:pPr>
        <w:pStyle w:val="FootnoteText"/>
        <w:rPr>
          <w:rFonts w:ascii="Verdana" w:hAnsi="Verdana"/>
          <w:sz w:val="16"/>
          <w:szCs w:val="16"/>
        </w:rPr>
      </w:pPr>
      <w:r w:rsidRPr="008C26EB">
        <w:rPr>
          <w:rStyle w:val="FootnoteReference"/>
          <w:rFonts w:ascii="Verdana" w:hAnsi="Verdana"/>
          <w:sz w:val="16"/>
          <w:szCs w:val="16"/>
        </w:rPr>
        <w:footnoteRef/>
      </w:r>
      <w:r w:rsidRPr="008C26EB">
        <w:rPr>
          <w:rFonts w:ascii="Verdana" w:hAnsi="Verdana"/>
          <w:sz w:val="16"/>
          <w:szCs w:val="16"/>
        </w:rPr>
        <w:t xml:space="preserve"> Zie Kabinetsappreciatie Post-Cotonou verdrag d.d. 2 juni 2021 (</w:t>
      </w:r>
      <w:r w:rsidR="005B3384" w:rsidRPr="00885BF5">
        <w:rPr>
          <w:rFonts w:ascii="Verdana" w:hAnsi="Verdana"/>
          <w:sz w:val="16"/>
          <w:szCs w:val="16"/>
        </w:rPr>
        <w:t>Kamerstuk</w:t>
      </w:r>
      <w:r w:rsidR="005B3384">
        <w:rPr>
          <w:rFonts w:ascii="Verdana" w:hAnsi="Verdana"/>
          <w:sz w:val="16"/>
          <w:szCs w:val="16"/>
        </w:rPr>
        <w:t xml:space="preserve">ken II 2020/2021, </w:t>
      </w:r>
      <w:r w:rsidR="005B3384" w:rsidRPr="00885BF5">
        <w:rPr>
          <w:rFonts w:ascii="Verdana" w:hAnsi="Verdana"/>
          <w:sz w:val="16"/>
          <w:szCs w:val="16"/>
        </w:rPr>
        <w:t>22112, nr. 3136</w:t>
      </w:r>
      <w:r w:rsidRPr="008C26EB">
        <w:rPr>
          <w:rFonts w:ascii="Verdana" w:hAnsi="Verdana"/>
          <w:sz w:val="16"/>
          <w:szCs w:val="16"/>
        </w:rPr>
        <w:t>)</w:t>
      </w:r>
      <w:r w:rsidR="00C82FB6" w:rsidRPr="008C26EB">
        <w:rPr>
          <w:rFonts w:ascii="Verdana" w:hAnsi="Verdana"/>
          <w:sz w:val="16"/>
          <w:szCs w:val="16"/>
        </w:rPr>
        <w:t>.</w:t>
      </w:r>
    </w:p>
  </w:footnote>
  <w:footnote w:id="11">
    <w:p w14:paraId="295E9801" w14:textId="51CE8A15" w:rsidR="00FC003A" w:rsidRPr="008C26EB" w:rsidRDefault="00FC003A">
      <w:pPr>
        <w:pStyle w:val="FootnoteText"/>
        <w:rPr>
          <w:rFonts w:ascii="Verdana" w:hAnsi="Verdana"/>
          <w:sz w:val="16"/>
          <w:szCs w:val="16"/>
        </w:rPr>
      </w:pPr>
      <w:r w:rsidRPr="008C26EB">
        <w:rPr>
          <w:rStyle w:val="FootnoteReference"/>
          <w:rFonts w:ascii="Verdana" w:hAnsi="Verdana"/>
          <w:sz w:val="16"/>
          <w:szCs w:val="16"/>
        </w:rPr>
        <w:footnoteRef/>
      </w:r>
      <w:r w:rsidRPr="008C26EB">
        <w:rPr>
          <w:rFonts w:ascii="Verdana" w:hAnsi="Verdana"/>
          <w:sz w:val="16"/>
          <w:szCs w:val="16"/>
        </w:rPr>
        <w:t xml:space="preserve"> Kamerstukken II</w:t>
      </w:r>
      <w:r>
        <w:rPr>
          <w:rFonts w:ascii="Verdana" w:hAnsi="Verdana"/>
          <w:sz w:val="16"/>
          <w:szCs w:val="16"/>
        </w:rPr>
        <w:t xml:space="preserve"> 2017/2018,</w:t>
      </w:r>
      <w:r w:rsidRPr="008C26EB">
        <w:rPr>
          <w:rFonts w:ascii="Verdana" w:hAnsi="Verdana"/>
          <w:sz w:val="16"/>
          <w:szCs w:val="16"/>
        </w:rPr>
        <w:t xml:space="preserve"> 21</w:t>
      </w:r>
      <w:r>
        <w:rPr>
          <w:rFonts w:ascii="Verdana" w:hAnsi="Verdana"/>
          <w:sz w:val="16"/>
          <w:szCs w:val="16"/>
        </w:rPr>
        <w:t xml:space="preserve"> </w:t>
      </w:r>
      <w:r w:rsidRPr="008C26EB">
        <w:rPr>
          <w:rFonts w:ascii="Verdana" w:hAnsi="Verdana"/>
          <w:sz w:val="16"/>
          <w:szCs w:val="16"/>
        </w:rPr>
        <w:t>501</w:t>
      </w:r>
      <w:r>
        <w:rPr>
          <w:rFonts w:ascii="Verdana" w:hAnsi="Verdana"/>
          <w:sz w:val="16"/>
          <w:szCs w:val="16"/>
        </w:rPr>
        <w:t>-</w:t>
      </w:r>
      <w:r w:rsidRPr="008C26EB">
        <w:rPr>
          <w:rFonts w:ascii="Verdana" w:hAnsi="Verdana"/>
          <w:sz w:val="16"/>
          <w:szCs w:val="16"/>
        </w:rPr>
        <w:t>04, nr. 208.</w:t>
      </w:r>
    </w:p>
  </w:footnote>
  <w:footnote w:id="12">
    <w:p w14:paraId="3AF5DE95" w14:textId="35639E49" w:rsidR="00FC003A" w:rsidRPr="00FC003A" w:rsidRDefault="00FC003A">
      <w:pPr>
        <w:pStyle w:val="FootnoteText"/>
      </w:pPr>
      <w:r w:rsidRPr="008C26EB">
        <w:rPr>
          <w:rStyle w:val="FootnoteReference"/>
          <w:rFonts w:ascii="Verdana" w:hAnsi="Verdana"/>
          <w:sz w:val="16"/>
          <w:szCs w:val="16"/>
        </w:rPr>
        <w:footnoteRef/>
      </w:r>
      <w:r w:rsidRPr="008C26EB">
        <w:rPr>
          <w:rFonts w:ascii="Verdana" w:hAnsi="Verdana"/>
          <w:sz w:val="16"/>
          <w:szCs w:val="16"/>
        </w:rPr>
        <w:t xml:space="preserve"> Kamerstukken II</w:t>
      </w:r>
      <w:r>
        <w:rPr>
          <w:rFonts w:ascii="Verdana" w:hAnsi="Verdana"/>
          <w:sz w:val="16"/>
          <w:szCs w:val="16"/>
        </w:rPr>
        <w:t xml:space="preserve"> 2020/2021,</w:t>
      </w:r>
      <w:r w:rsidRPr="008C26EB">
        <w:rPr>
          <w:rFonts w:ascii="Verdana" w:hAnsi="Verdana"/>
          <w:sz w:val="16"/>
          <w:szCs w:val="16"/>
        </w:rPr>
        <w:t xml:space="preserve"> 35570</w:t>
      </w:r>
      <w:r>
        <w:rPr>
          <w:rFonts w:ascii="Verdana" w:hAnsi="Verdana"/>
          <w:sz w:val="16"/>
          <w:szCs w:val="16"/>
        </w:rPr>
        <w:t>-</w:t>
      </w:r>
      <w:r w:rsidRPr="008C26EB">
        <w:rPr>
          <w:rFonts w:ascii="Verdana" w:hAnsi="Verdana"/>
          <w:sz w:val="16"/>
          <w:szCs w:val="16"/>
        </w:rPr>
        <w:t>17, nr</w:t>
      </w:r>
      <w:r>
        <w:rPr>
          <w:rFonts w:ascii="Verdana" w:hAnsi="Verdana"/>
          <w:sz w:val="16"/>
          <w:szCs w:val="16"/>
        </w:rPr>
        <w:t>.</w:t>
      </w:r>
      <w:r w:rsidRPr="008C26EB">
        <w:rPr>
          <w:rFonts w:ascii="Verdana" w:hAnsi="Verdana"/>
          <w:sz w:val="16"/>
          <w:szCs w:val="16"/>
        </w:rPr>
        <w:t xml:space="preserve"> 15.</w:t>
      </w:r>
    </w:p>
  </w:footnote>
  <w:footnote w:id="13">
    <w:p w14:paraId="5BE78564" w14:textId="631450E8" w:rsidR="00C63961" w:rsidRPr="00C63961" w:rsidRDefault="00C63961">
      <w:pPr>
        <w:pStyle w:val="FootnoteText"/>
      </w:pPr>
      <w:r w:rsidRPr="008C26EB">
        <w:rPr>
          <w:rStyle w:val="FootnoteReference"/>
          <w:rFonts w:ascii="Verdana" w:hAnsi="Verdana"/>
          <w:sz w:val="16"/>
          <w:szCs w:val="16"/>
        </w:rPr>
        <w:footnoteRef/>
      </w:r>
      <w:r w:rsidRPr="008C26EB">
        <w:rPr>
          <w:rFonts w:ascii="Verdana" w:hAnsi="Verdana"/>
          <w:sz w:val="16"/>
          <w:szCs w:val="16"/>
        </w:rPr>
        <w:t xml:space="preserve"> Zie </w:t>
      </w:r>
      <w:r w:rsidR="00120747" w:rsidRPr="00120747">
        <w:rPr>
          <w:rFonts w:ascii="Verdana" w:hAnsi="Verdana"/>
          <w:sz w:val="16"/>
          <w:szCs w:val="16"/>
        </w:rPr>
        <w:t>BNC-fiche</w:t>
      </w:r>
      <w:r w:rsidRPr="008C26EB">
        <w:rPr>
          <w:rFonts w:ascii="Verdana" w:hAnsi="Verdana"/>
          <w:sz w:val="16"/>
          <w:szCs w:val="16"/>
        </w:rPr>
        <w:t>: Aanbeveling onderhandelingsmandaat voor een toekomstig partnerschap tussen de EU en de ACS-landen (</w:t>
      </w:r>
      <w:r w:rsidR="00100178" w:rsidRPr="008C26EB">
        <w:rPr>
          <w:rFonts w:ascii="Verdana" w:hAnsi="Verdana"/>
          <w:sz w:val="16"/>
          <w:szCs w:val="16"/>
        </w:rPr>
        <w:t>P</w:t>
      </w:r>
      <w:r w:rsidRPr="008C26EB">
        <w:rPr>
          <w:rFonts w:ascii="Verdana" w:hAnsi="Verdana"/>
          <w:sz w:val="16"/>
          <w:szCs w:val="16"/>
        </w:rPr>
        <w:t>ost-Cotonou) d.d. 24 januari 2018 (</w:t>
      </w:r>
      <w:r w:rsidR="005B3384" w:rsidRPr="00885BF5">
        <w:rPr>
          <w:rFonts w:ascii="Verdana" w:hAnsi="Verdana"/>
          <w:sz w:val="16"/>
          <w:szCs w:val="16"/>
        </w:rPr>
        <w:t>Kamerstuk</w:t>
      </w:r>
      <w:r w:rsidR="005B3384">
        <w:rPr>
          <w:rFonts w:ascii="Verdana" w:hAnsi="Verdana"/>
          <w:sz w:val="16"/>
          <w:szCs w:val="16"/>
        </w:rPr>
        <w:t>ken II 2017/2018,</w:t>
      </w:r>
      <w:r w:rsidR="005B3384" w:rsidRPr="00885BF5">
        <w:rPr>
          <w:rFonts w:ascii="Verdana" w:hAnsi="Verdana"/>
          <w:sz w:val="16"/>
          <w:szCs w:val="16"/>
        </w:rPr>
        <w:t xml:space="preserve"> 22112, nr. 2469</w:t>
      </w:r>
      <w:r w:rsidRPr="008C26EB">
        <w:rPr>
          <w:rFonts w:ascii="Verdana" w:hAnsi="Verdana"/>
          <w:sz w:val="16"/>
          <w:szCs w:val="16"/>
        </w:rPr>
        <w:t>)</w:t>
      </w:r>
      <w:r w:rsidR="00C82FB6" w:rsidRPr="008C26EB">
        <w:rPr>
          <w:rFonts w:ascii="Verdana" w:hAnsi="Verdana"/>
          <w:sz w:val="16"/>
          <w:szCs w:val="16"/>
        </w:rPr>
        <w:t>.</w:t>
      </w:r>
    </w:p>
  </w:footnote>
  <w:footnote w:id="14">
    <w:p w14:paraId="7E2D622B" w14:textId="15DEDCE5" w:rsidR="00F97A98" w:rsidRPr="008C26EB" w:rsidRDefault="00F97A98">
      <w:pPr>
        <w:pStyle w:val="FootnoteText"/>
        <w:rPr>
          <w:rFonts w:ascii="Verdana" w:hAnsi="Verdana"/>
          <w:sz w:val="16"/>
          <w:szCs w:val="16"/>
        </w:rPr>
      </w:pPr>
      <w:r w:rsidRPr="008C26EB">
        <w:rPr>
          <w:rStyle w:val="FootnoteReference"/>
          <w:rFonts w:ascii="Verdana" w:hAnsi="Verdana"/>
          <w:sz w:val="16"/>
          <w:szCs w:val="16"/>
        </w:rPr>
        <w:footnoteRef/>
      </w:r>
      <w:r w:rsidRPr="008C26EB">
        <w:rPr>
          <w:rFonts w:ascii="Verdana" w:hAnsi="Verdana"/>
          <w:sz w:val="16"/>
          <w:szCs w:val="16"/>
        </w:rPr>
        <w:t xml:space="preserve"> Voor</w:t>
      </w:r>
      <w:r w:rsidR="00C74BD5" w:rsidRPr="008C26EB">
        <w:rPr>
          <w:rFonts w:ascii="Verdana" w:hAnsi="Verdana"/>
          <w:sz w:val="16"/>
          <w:szCs w:val="16"/>
        </w:rPr>
        <w:t xml:space="preserve"> de regionale protocollen kan in dit verband worden gewezen op </w:t>
      </w:r>
      <w:r w:rsidR="008F1EA6" w:rsidRPr="008C26EB">
        <w:rPr>
          <w:rFonts w:ascii="Verdana" w:hAnsi="Verdana"/>
          <w:sz w:val="16"/>
          <w:szCs w:val="16"/>
        </w:rPr>
        <w:t xml:space="preserve">bepalingen in </w:t>
      </w:r>
      <w:r w:rsidR="00C74BD5" w:rsidRPr="008C26EB">
        <w:rPr>
          <w:rFonts w:ascii="Verdana" w:hAnsi="Verdana"/>
          <w:sz w:val="16"/>
          <w:szCs w:val="16"/>
        </w:rPr>
        <w:t>bijvoorbeeld artikel 16 (handelssamenwerking) van</w:t>
      </w:r>
      <w:r w:rsidRPr="008C26EB">
        <w:rPr>
          <w:rFonts w:ascii="Verdana" w:hAnsi="Verdana"/>
          <w:sz w:val="16"/>
          <w:szCs w:val="16"/>
        </w:rPr>
        <w:t xml:space="preserve"> het </w:t>
      </w:r>
      <w:r w:rsidR="00881FCE">
        <w:rPr>
          <w:rFonts w:ascii="Verdana" w:hAnsi="Verdana"/>
          <w:sz w:val="16"/>
          <w:szCs w:val="16"/>
        </w:rPr>
        <w:t>R</w:t>
      </w:r>
      <w:r w:rsidR="00881FCE" w:rsidRPr="008C26EB">
        <w:rPr>
          <w:rFonts w:ascii="Verdana" w:hAnsi="Verdana"/>
          <w:sz w:val="16"/>
          <w:szCs w:val="16"/>
        </w:rPr>
        <w:t xml:space="preserve">egionaal </w:t>
      </w:r>
      <w:r w:rsidR="00881FCE">
        <w:rPr>
          <w:rFonts w:ascii="Verdana" w:hAnsi="Verdana"/>
          <w:sz w:val="16"/>
          <w:szCs w:val="16"/>
        </w:rPr>
        <w:t>P</w:t>
      </w:r>
      <w:r w:rsidR="00881FCE" w:rsidRPr="008C26EB">
        <w:rPr>
          <w:rFonts w:ascii="Verdana" w:hAnsi="Verdana"/>
          <w:sz w:val="16"/>
          <w:szCs w:val="16"/>
        </w:rPr>
        <w:t xml:space="preserve">rotocol </w:t>
      </w:r>
      <w:r w:rsidRPr="008C26EB">
        <w:rPr>
          <w:rFonts w:ascii="Verdana" w:hAnsi="Verdana"/>
          <w:sz w:val="16"/>
          <w:szCs w:val="16"/>
        </w:rPr>
        <w:t>Afrika</w:t>
      </w:r>
      <w:r w:rsidR="00C74BD5" w:rsidRPr="008C26EB">
        <w:rPr>
          <w:rFonts w:ascii="Verdana" w:hAnsi="Verdana"/>
          <w:sz w:val="16"/>
          <w:szCs w:val="16"/>
        </w:rPr>
        <w:t xml:space="preserve">, artikel 13 (handelssamenwerking) van het </w:t>
      </w:r>
      <w:r w:rsidR="00881FCE">
        <w:rPr>
          <w:rFonts w:ascii="Verdana" w:hAnsi="Verdana"/>
          <w:sz w:val="16"/>
          <w:szCs w:val="16"/>
        </w:rPr>
        <w:t>R</w:t>
      </w:r>
      <w:r w:rsidR="00881FCE" w:rsidRPr="008C26EB">
        <w:rPr>
          <w:rFonts w:ascii="Verdana" w:hAnsi="Verdana"/>
          <w:sz w:val="16"/>
          <w:szCs w:val="16"/>
        </w:rPr>
        <w:t xml:space="preserve">egionaal </w:t>
      </w:r>
      <w:r w:rsidR="00881FCE">
        <w:rPr>
          <w:rFonts w:ascii="Verdana" w:hAnsi="Verdana"/>
          <w:sz w:val="16"/>
          <w:szCs w:val="16"/>
        </w:rPr>
        <w:t>P</w:t>
      </w:r>
      <w:r w:rsidR="00881FCE" w:rsidRPr="008C26EB">
        <w:rPr>
          <w:rFonts w:ascii="Verdana" w:hAnsi="Verdana"/>
          <w:sz w:val="16"/>
          <w:szCs w:val="16"/>
        </w:rPr>
        <w:t xml:space="preserve">rotocol </w:t>
      </w:r>
      <w:r w:rsidR="00C74BD5" w:rsidRPr="008C26EB">
        <w:rPr>
          <w:rFonts w:ascii="Verdana" w:hAnsi="Verdana"/>
          <w:sz w:val="16"/>
          <w:szCs w:val="16"/>
        </w:rPr>
        <w:t xml:space="preserve">Caribisch gebied en artikel 19 (handelsintegratie) van het </w:t>
      </w:r>
      <w:r w:rsidR="00881FCE">
        <w:rPr>
          <w:rFonts w:ascii="Verdana" w:hAnsi="Verdana"/>
          <w:sz w:val="16"/>
          <w:szCs w:val="16"/>
        </w:rPr>
        <w:t>R</w:t>
      </w:r>
      <w:r w:rsidR="00881FCE" w:rsidRPr="008C26EB">
        <w:rPr>
          <w:rFonts w:ascii="Verdana" w:hAnsi="Verdana"/>
          <w:sz w:val="16"/>
          <w:szCs w:val="16"/>
        </w:rPr>
        <w:t xml:space="preserve">egionaal </w:t>
      </w:r>
      <w:r w:rsidR="00881FCE">
        <w:rPr>
          <w:rFonts w:ascii="Verdana" w:hAnsi="Verdana"/>
          <w:sz w:val="16"/>
          <w:szCs w:val="16"/>
        </w:rPr>
        <w:t>P</w:t>
      </w:r>
      <w:r w:rsidR="00881FCE" w:rsidRPr="008C26EB">
        <w:rPr>
          <w:rFonts w:ascii="Verdana" w:hAnsi="Verdana"/>
          <w:sz w:val="16"/>
          <w:szCs w:val="16"/>
        </w:rPr>
        <w:t xml:space="preserve">rotocol </w:t>
      </w:r>
      <w:r w:rsidR="00C74BD5" w:rsidRPr="008C26EB">
        <w:rPr>
          <w:rFonts w:ascii="Verdana" w:hAnsi="Verdana"/>
          <w:sz w:val="16"/>
          <w:szCs w:val="16"/>
        </w:rPr>
        <w:t>Stille Oceaan.</w:t>
      </w:r>
    </w:p>
  </w:footnote>
  <w:footnote w:id="15">
    <w:p w14:paraId="37B52C5C" w14:textId="798BA8BC" w:rsidR="00F97A98" w:rsidRPr="008C26EB" w:rsidRDefault="00F97A98">
      <w:pPr>
        <w:pStyle w:val="FootnoteText"/>
        <w:rPr>
          <w:rFonts w:ascii="Verdana" w:hAnsi="Verdana"/>
          <w:sz w:val="16"/>
          <w:szCs w:val="16"/>
        </w:rPr>
      </w:pPr>
      <w:r w:rsidRPr="008C26EB">
        <w:rPr>
          <w:rFonts w:ascii="Verdana" w:hAnsi="Verdana"/>
          <w:sz w:val="16"/>
          <w:szCs w:val="16"/>
          <w:vertAlign w:val="superscript"/>
        </w:rPr>
        <w:footnoteRef/>
      </w:r>
      <w:r w:rsidRPr="008C26EB">
        <w:rPr>
          <w:rFonts w:ascii="Verdana" w:hAnsi="Verdana"/>
          <w:sz w:val="16"/>
          <w:szCs w:val="16"/>
          <w:vertAlign w:val="superscript"/>
        </w:rPr>
        <w:t xml:space="preserve"> </w:t>
      </w:r>
      <w:r w:rsidR="00C74BD5" w:rsidRPr="008C26EB">
        <w:rPr>
          <w:rFonts w:ascii="Verdana" w:hAnsi="Verdana"/>
          <w:sz w:val="16"/>
          <w:szCs w:val="16"/>
        </w:rPr>
        <w:t xml:space="preserve">Voor de regionale protocollen gaat het met name om bepalingen in </w:t>
      </w:r>
      <w:r w:rsidR="00DA4126" w:rsidRPr="008C26EB">
        <w:rPr>
          <w:rFonts w:ascii="Verdana" w:hAnsi="Verdana"/>
          <w:sz w:val="16"/>
          <w:szCs w:val="16"/>
        </w:rPr>
        <w:t xml:space="preserve">deel II </w:t>
      </w:r>
      <w:r w:rsidR="00C74BD5" w:rsidRPr="008C26EB">
        <w:rPr>
          <w:rFonts w:ascii="Verdana" w:hAnsi="Verdana"/>
          <w:sz w:val="16"/>
          <w:szCs w:val="16"/>
        </w:rPr>
        <w:t xml:space="preserve">titel IV (vrede en veiligheid) en titel V </w:t>
      </w:r>
      <w:r w:rsidR="00681FBE" w:rsidRPr="008C26EB">
        <w:rPr>
          <w:rFonts w:ascii="Verdana" w:hAnsi="Verdana"/>
          <w:sz w:val="16"/>
          <w:szCs w:val="16"/>
        </w:rPr>
        <w:t>(mensenrechten, democratie en goed bestuur)</w:t>
      </w:r>
      <w:r w:rsidR="00C74BD5" w:rsidRPr="008C26EB">
        <w:rPr>
          <w:rFonts w:ascii="Verdana" w:hAnsi="Verdana"/>
          <w:sz w:val="16"/>
          <w:szCs w:val="16"/>
        </w:rPr>
        <w:t xml:space="preserve"> van het </w:t>
      </w:r>
      <w:r w:rsidR="00881FCE">
        <w:rPr>
          <w:rFonts w:ascii="Verdana" w:hAnsi="Verdana"/>
          <w:sz w:val="16"/>
          <w:szCs w:val="16"/>
        </w:rPr>
        <w:t>R</w:t>
      </w:r>
      <w:r w:rsidR="00881FCE" w:rsidRPr="008C26EB">
        <w:rPr>
          <w:rFonts w:ascii="Verdana" w:hAnsi="Verdana"/>
          <w:sz w:val="16"/>
          <w:szCs w:val="16"/>
        </w:rPr>
        <w:t xml:space="preserve">egionaal </w:t>
      </w:r>
      <w:r w:rsidR="00881FCE">
        <w:rPr>
          <w:rFonts w:ascii="Verdana" w:hAnsi="Verdana"/>
          <w:sz w:val="16"/>
          <w:szCs w:val="16"/>
        </w:rPr>
        <w:t>P</w:t>
      </w:r>
      <w:r w:rsidR="00881FCE" w:rsidRPr="008C26EB">
        <w:rPr>
          <w:rFonts w:ascii="Verdana" w:hAnsi="Verdana"/>
          <w:sz w:val="16"/>
          <w:szCs w:val="16"/>
        </w:rPr>
        <w:t xml:space="preserve">rotocol </w:t>
      </w:r>
      <w:r w:rsidR="00C74BD5" w:rsidRPr="008C26EB">
        <w:rPr>
          <w:rFonts w:ascii="Verdana" w:hAnsi="Verdana"/>
          <w:sz w:val="16"/>
          <w:szCs w:val="16"/>
        </w:rPr>
        <w:t xml:space="preserve">Afrika, bepalingen in </w:t>
      </w:r>
      <w:r w:rsidR="00DA4126" w:rsidRPr="008C26EB">
        <w:rPr>
          <w:rFonts w:ascii="Verdana" w:hAnsi="Verdana"/>
          <w:sz w:val="16"/>
          <w:szCs w:val="16"/>
        </w:rPr>
        <w:t>deel II</w:t>
      </w:r>
      <w:r w:rsidR="00C74BD5" w:rsidRPr="008C26EB">
        <w:rPr>
          <w:rFonts w:ascii="Verdana" w:hAnsi="Verdana"/>
          <w:sz w:val="16"/>
          <w:szCs w:val="16"/>
        </w:rPr>
        <w:t xml:space="preserve"> titel III (mensenrechten, goed bestuur, vrede en veiligheid) van het </w:t>
      </w:r>
      <w:r w:rsidR="00881FCE">
        <w:rPr>
          <w:rFonts w:ascii="Verdana" w:hAnsi="Verdana"/>
          <w:sz w:val="16"/>
          <w:szCs w:val="16"/>
        </w:rPr>
        <w:t>R</w:t>
      </w:r>
      <w:r w:rsidR="00881FCE" w:rsidRPr="008C26EB">
        <w:rPr>
          <w:rFonts w:ascii="Verdana" w:hAnsi="Verdana"/>
          <w:sz w:val="16"/>
          <w:szCs w:val="16"/>
        </w:rPr>
        <w:t xml:space="preserve">egionaal </w:t>
      </w:r>
      <w:r w:rsidR="00881FCE">
        <w:rPr>
          <w:rFonts w:ascii="Verdana" w:hAnsi="Verdana"/>
          <w:sz w:val="16"/>
          <w:szCs w:val="16"/>
        </w:rPr>
        <w:t>P</w:t>
      </w:r>
      <w:r w:rsidR="00881FCE" w:rsidRPr="008C26EB">
        <w:rPr>
          <w:rFonts w:ascii="Verdana" w:hAnsi="Verdana"/>
          <w:sz w:val="16"/>
          <w:szCs w:val="16"/>
        </w:rPr>
        <w:t xml:space="preserve">rotocol </w:t>
      </w:r>
      <w:r w:rsidR="00681FBE" w:rsidRPr="008C26EB">
        <w:rPr>
          <w:rFonts w:ascii="Verdana" w:hAnsi="Verdana"/>
          <w:sz w:val="16"/>
          <w:szCs w:val="16"/>
        </w:rPr>
        <w:t>Caribisch Gebied</w:t>
      </w:r>
      <w:r w:rsidR="00C74BD5" w:rsidRPr="008C26EB">
        <w:rPr>
          <w:rFonts w:ascii="Verdana" w:hAnsi="Verdana"/>
          <w:sz w:val="16"/>
          <w:szCs w:val="16"/>
        </w:rPr>
        <w:t xml:space="preserve">, en bepalingen in </w:t>
      </w:r>
      <w:r w:rsidR="00DA4126" w:rsidRPr="008C26EB">
        <w:rPr>
          <w:rFonts w:ascii="Verdana" w:hAnsi="Verdana"/>
          <w:sz w:val="16"/>
          <w:szCs w:val="16"/>
        </w:rPr>
        <w:t>deel II</w:t>
      </w:r>
      <w:r w:rsidR="00C74BD5" w:rsidRPr="008C26EB">
        <w:rPr>
          <w:rFonts w:ascii="Verdana" w:hAnsi="Verdana"/>
          <w:sz w:val="16"/>
          <w:szCs w:val="16"/>
        </w:rPr>
        <w:t xml:space="preserve"> titel IV (veiligheid, mensenrechten, democratie en goed bestuur) van het </w:t>
      </w:r>
      <w:r w:rsidR="00881FCE">
        <w:rPr>
          <w:rFonts w:ascii="Verdana" w:hAnsi="Verdana"/>
          <w:sz w:val="16"/>
          <w:szCs w:val="16"/>
        </w:rPr>
        <w:t>R</w:t>
      </w:r>
      <w:r w:rsidR="00881FCE" w:rsidRPr="008C26EB">
        <w:rPr>
          <w:rFonts w:ascii="Verdana" w:hAnsi="Verdana"/>
          <w:sz w:val="16"/>
          <w:szCs w:val="16"/>
        </w:rPr>
        <w:t xml:space="preserve">egionaal </w:t>
      </w:r>
      <w:r w:rsidR="00881FCE">
        <w:rPr>
          <w:rFonts w:ascii="Verdana" w:hAnsi="Verdana"/>
          <w:sz w:val="16"/>
          <w:szCs w:val="16"/>
        </w:rPr>
        <w:t>P</w:t>
      </w:r>
      <w:r w:rsidR="00881FCE" w:rsidRPr="008C26EB">
        <w:rPr>
          <w:rFonts w:ascii="Verdana" w:hAnsi="Verdana"/>
          <w:sz w:val="16"/>
          <w:szCs w:val="16"/>
        </w:rPr>
        <w:t xml:space="preserve">rotocol </w:t>
      </w:r>
      <w:r w:rsidR="004F216A" w:rsidRPr="008C26EB">
        <w:rPr>
          <w:rFonts w:ascii="Verdana" w:hAnsi="Verdana"/>
          <w:sz w:val="16"/>
          <w:szCs w:val="16"/>
        </w:rPr>
        <w:t>Stille Oceaan</w:t>
      </w:r>
      <w:r w:rsidR="00C74BD5" w:rsidRPr="008C26EB">
        <w:rPr>
          <w:rFonts w:ascii="Verdana" w:hAnsi="Verdana"/>
          <w:sz w:val="16"/>
          <w:szCs w:val="16"/>
        </w:rPr>
        <w:t>.</w:t>
      </w:r>
    </w:p>
  </w:footnote>
  <w:footnote w:id="16">
    <w:p w14:paraId="50E84EAE" w14:textId="5380A6FE" w:rsidR="00875249" w:rsidRPr="008C26EB" w:rsidRDefault="00875249">
      <w:pPr>
        <w:pStyle w:val="FootnoteText"/>
        <w:rPr>
          <w:rFonts w:ascii="Verdana" w:hAnsi="Verdana"/>
          <w:sz w:val="16"/>
          <w:szCs w:val="16"/>
        </w:rPr>
      </w:pPr>
      <w:r w:rsidRPr="008C26EB">
        <w:rPr>
          <w:rStyle w:val="FootnoteReference"/>
          <w:rFonts w:ascii="Verdana" w:hAnsi="Verdana"/>
          <w:sz w:val="16"/>
          <w:szCs w:val="16"/>
        </w:rPr>
        <w:footnoteRef/>
      </w:r>
      <w:r w:rsidRPr="008C26EB">
        <w:rPr>
          <w:rFonts w:ascii="Verdana" w:hAnsi="Verdana"/>
          <w:sz w:val="16"/>
          <w:szCs w:val="16"/>
        </w:rPr>
        <w:t xml:space="preserve"> Voor de regionale protocollen kan in dit verband worden gewezen op bepalingen in </w:t>
      </w:r>
      <w:r w:rsidR="00DA4126" w:rsidRPr="008C26EB">
        <w:rPr>
          <w:rFonts w:ascii="Verdana" w:hAnsi="Verdana"/>
          <w:sz w:val="16"/>
          <w:szCs w:val="16"/>
        </w:rPr>
        <w:t>deel II</w:t>
      </w:r>
      <w:r w:rsidRPr="008C26EB">
        <w:rPr>
          <w:rFonts w:ascii="Verdana" w:hAnsi="Verdana"/>
          <w:sz w:val="16"/>
          <w:szCs w:val="16"/>
        </w:rPr>
        <w:t xml:space="preserve"> titel III (milieu, beheer van natuurlijke hulpbronnen en klimaatverandering) en titel VI (migratie en mobiliteit) van het </w:t>
      </w:r>
      <w:r w:rsidR="00881FCE">
        <w:rPr>
          <w:rFonts w:ascii="Verdana" w:hAnsi="Verdana"/>
          <w:sz w:val="16"/>
          <w:szCs w:val="16"/>
        </w:rPr>
        <w:t>R</w:t>
      </w:r>
      <w:r w:rsidR="00881FCE" w:rsidRPr="008C26EB">
        <w:rPr>
          <w:rFonts w:ascii="Verdana" w:hAnsi="Verdana"/>
          <w:sz w:val="16"/>
          <w:szCs w:val="16"/>
        </w:rPr>
        <w:t xml:space="preserve">egionaal </w:t>
      </w:r>
      <w:r w:rsidR="00881FCE">
        <w:rPr>
          <w:rFonts w:ascii="Verdana" w:hAnsi="Verdana"/>
          <w:sz w:val="16"/>
          <w:szCs w:val="16"/>
        </w:rPr>
        <w:t>P</w:t>
      </w:r>
      <w:r w:rsidR="00881FCE" w:rsidRPr="008C26EB">
        <w:rPr>
          <w:rFonts w:ascii="Verdana" w:hAnsi="Verdana"/>
          <w:sz w:val="16"/>
          <w:szCs w:val="16"/>
        </w:rPr>
        <w:t xml:space="preserve">rotocol </w:t>
      </w:r>
      <w:r w:rsidRPr="008C26EB">
        <w:rPr>
          <w:rFonts w:ascii="Verdana" w:hAnsi="Verdana"/>
          <w:sz w:val="16"/>
          <w:szCs w:val="16"/>
        </w:rPr>
        <w:t xml:space="preserve">Afrika, bepalingen in </w:t>
      </w:r>
      <w:r w:rsidR="00DA4126" w:rsidRPr="008C26EB">
        <w:rPr>
          <w:rFonts w:ascii="Verdana" w:hAnsi="Verdana"/>
          <w:sz w:val="16"/>
          <w:szCs w:val="16"/>
        </w:rPr>
        <w:t>deel II</w:t>
      </w:r>
      <w:r w:rsidRPr="008C26EB">
        <w:rPr>
          <w:rFonts w:ascii="Verdana" w:hAnsi="Verdana"/>
          <w:sz w:val="16"/>
          <w:szCs w:val="16"/>
        </w:rPr>
        <w:t xml:space="preserve"> titel II (milieuduurzaamheid, klimaatverandering en duurzaam beheer van natuurlijke hulpbronnen) en in artikel 51 (migratie, mobiliteit en ontwikkeling) van het </w:t>
      </w:r>
      <w:r w:rsidR="00881FCE">
        <w:rPr>
          <w:rFonts w:ascii="Verdana" w:hAnsi="Verdana"/>
          <w:sz w:val="16"/>
          <w:szCs w:val="16"/>
        </w:rPr>
        <w:t>R</w:t>
      </w:r>
      <w:r w:rsidR="00881FCE" w:rsidRPr="008C26EB">
        <w:rPr>
          <w:rFonts w:ascii="Verdana" w:hAnsi="Verdana"/>
          <w:sz w:val="16"/>
          <w:szCs w:val="16"/>
        </w:rPr>
        <w:t xml:space="preserve">egionaal </w:t>
      </w:r>
      <w:r w:rsidR="00881FCE">
        <w:rPr>
          <w:rFonts w:ascii="Verdana" w:hAnsi="Verdana"/>
          <w:sz w:val="16"/>
          <w:szCs w:val="16"/>
        </w:rPr>
        <w:t>P</w:t>
      </w:r>
      <w:r w:rsidR="00881FCE" w:rsidRPr="008C26EB">
        <w:rPr>
          <w:rFonts w:ascii="Verdana" w:hAnsi="Verdana"/>
          <w:sz w:val="16"/>
          <w:szCs w:val="16"/>
        </w:rPr>
        <w:t xml:space="preserve">rotocol </w:t>
      </w:r>
      <w:r w:rsidRPr="008C26EB">
        <w:rPr>
          <w:rFonts w:ascii="Verdana" w:hAnsi="Verdana"/>
          <w:sz w:val="16"/>
          <w:szCs w:val="16"/>
        </w:rPr>
        <w:t xml:space="preserve">Caribisch gebied en bepalingen in deel II titel I (milieuduurzaamheid en klimaatverandering) van het </w:t>
      </w:r>
      <w:r w:rsidR="00881FCE">
        <w:rPr>
          <w:rFonts w:ascii="Verdana" w:hAnsi="Verdana"/>
          <w:sz w:val="16"/>
          <w:szCs w:val="16"/>
        </w:rPr>
        <w:t>R</w:t>
      </w:r>
      <w:r w:rsidR="00881FCE" w:rsidRPr="008C26EB">
        <w:rPr>
          <w:rFonts w:ascii="Verdana" w:hAnsi="Verdana"/>
          <w:sz w:val="16"/>
          <w:szCs w:val="16"/>
        </w:rPr>
        <w:t xml:space="preserve">egionaal </w:t>
      </w:r>
      <w:r w:rsidR="00881FCE">
        <w:rPr>
          <w:rFonts w:ascii="Verdana" w:hAnsi="Verdana"/>
          <w:sz w:val="16"/>
          <w:szCs w:val="16"/>
        </w:rPr>
        <w:t>P</w:t>
      </w:r>
      <w:r w:rsidR="00881FCE" w:rsidRPr="008C26EB">
        <w:rPr>
          <w:rFonts w:ascii="Verdana" w:hAnsi="Verdana"/>
          <w:sz w:val="16"/>
          <w:szCs w:val="16"/>
        </w:rPr>
        <w:t xml:space="preserve">rotocol </w:t>
      </w:r>
      <w:r w:rsidRPr="008C26EB">
        <w:rPr>
          <w:rFonts w:ascii="Verdana" w:hAnsi="Verdana"/>
          <w:sz w:val="16"/>
          <w:szCs w:val="16"/>
        </w:rPr>
        <w:t>Caribisch gebied.</w:t>
      </w:r>
    </w:p>
  </w:footnote>
  <w:footnote w:id="17">
    <w:p w14:paraId="030F7A5D" w14:textId="337FB44C" w:rsidR="00F97A98" w:rsidRPr="008C26EB" w:rsidRDefault="00F97A98">
      <w:pPr>
        <w:pStyle w:val="FootnoteText"/>
        <w:rPr>
          <w:rFonts w:ascii="Verdana" w:hAnsi="Verdana"/>
          <w:sz w:val="16"/>
          <w:szCs w:val="16"/>
        </w:rPr>
      </w:pPr>
      <w:r w:rsidRPr="008C26EB">
        <w:rPr>
          <w:rStyle w:val="FootnoteReference"/>
          <w:rFonts w:ascii="Verdana" w:hAnsi="Verdana"/>
          <w:sz w:val="16"/>
          <w:szCs w:val="16"/>
        </w:rPr>
        <w:footnoteRef/>
      </w:r>
      <w:r w:rsidRPr="008C26EB">
        <w:rPr>
          <w:rFonts w:ascii="Verdana" w:hAnsi="Verdana"/>
          <w:sz w:val="16"/>
          <w:szCs w:val="16"/>
        </w:rPr>
        <w:t xml:space="preserve"> </w:t>
      </w:r>
      <w:r w:rsidR="00C74BD5" w:rsidRPr="008C26EB">
        <w:rPr>
          <w:rFonts w:ascii="Verdana" w:hAnsi="Verdana"/>
          <w:sz w:val="16"/>
          <w:szCs w:val="16"/>
        </w:rPr>
        <w:t xml:space="preserve">Voor de regionale protocollen gaat het dan bijvoorbeeld om bepalingen in </w:t>
      </w:r>
      <w:r w:rsidRPr="008C26EB">
        <w:rPr>
          <w:rFonts w:ascii="Verdana" w:hAnsi="Verdana"/>
          <w:sz w:val="16"/>
          <w:szCs w:val="16"/>
        </w:rPr>
        <w:t xml:space="preserve">artikel 27 (wetenschap en technologische ontwikkeling) en artikel 29 (ruimte- en </w:t>
      </w:r>
      <w:proofErr w:type="spellStart"/>
      <w:r w:rsidRPr="008C26EB">
        <w:rPr>
          <w:rFonts w:ascii="Verdana" w:hAnsi="Verdana"/>
          <w:sz w:val="16"/>
          <w:szCs w:val="16"/>
        </w:rPr>
        <w:t>geo</w:t>
      </w:r>
      <w:proofErr w:type="spellEnd"/>
      <w:r w:rsidR="00084B8E">
        <w:rPr>
          <w:rFonts w:ascii="Verdana" w:hAnsi="Verdana"/>
          <w:sz w:val="16"/>
          <w:szCs w:val="16"/>
        </w:rPr>
        <w:t>-</w:t>
      </w:r>
      <w:r w:rsidRPr="008C26EB">
        <w:rPr>
          <w:rFonts w:ascii="Verdana" w:hAnsi="Verdana"/>
          <w:sz w:val="16"/>
          <w:szCs w:val="16"/>
        </w:rPr>
        <w:t>spatiale technologie)</w:t>
      </w:r>
      <w:r w:rsidR="00C74BD5" w:rsidRPr="008C26EB">
        <w:rPr>
          <w:rFonts w:ascii="Verdana" w:hAnsi="Verdana"/>
          <w:sz w:val="16"/>
          <w:szCs w:val="16"/>
        </w:rPr>
        <w:t xml:space="preserve"> van het </w:t>
      </w:r>
      <w:r w:rsidR="00881FCE">
        <w:rPr>
          <w:rFonts w:ascii="Verdana" w:hAnsi="Verdana"/>
          <w:sz w:val="16"/>
          <w:szCs w:val="16"/>
        </w:rPr>
        <w:t>R</w:t>
      </w:r>
      <w:r w:rsidR="00881FCE" w:rsidRPr="008C26EB">
        <w:rPr>
          <w:rFonts w:ascii="Verdana" w:hAnsi="Verdana"/>
          <w:sz w:val="16"/>
          <w:szCs w:val="16"/>
        </w:rPr>
        <w:t xml:space="preserve">egionaal </w:t>
      </w:r>
      <w:r w:rsidR="00881FCE">
        <w:rPr>
          <w:rFonts w:ascii="Verdana" w:hAnsi="Verdana"/>
          <w:sz w:val="16"/>
          <w:szCs w:val="16"/>
        </w:rPr>
        <w:t>P</w:t>
      </w:r>
      <w:r w:rsidR="00881FCE" w:rsidRPr="008C26EB">
        <w:rPr>
          <w:rFonts w:ascii="Verdana" w:hAnsi="Verdana"/>
          <w:sz w:val="16"/>
          <w:szCs w:val="16"/>
        </w:rPr>
        <w:t xml:space="preserve">rotocol </w:t>
      </w:r>
      <w:r w:rsidR="00C74BD5" w:rsidRPr="008C26EB">
        <w:rPr>
          <w:rFonts w:ascii="Verdana" w:hAnsi="Verdana"/>
          <w:sz w:val="16"/>
          <w:szCs w:val="16"/>
        </w:rPr>
        <w:t>Afrika,</w:t>
      </w:r>
      <w:r w:rsidRPr="008C26EB">
        <w:rPr>
          <w:rFonts w:ascii="Verdana" w:hAnsi="Verdana"/>
          <w:sz w:val="16"/>
          <w:szCs w:val="16"/>
        </w:rPr>
        <w:t xml:space="preserve"> </w:t>
      </w:r>
      <w:r w:rsidR="004F216A" w:rsidRPr="008C26EB">
        <w:rPr>
          <w:rFonts w:ascii="Verdana" w:hAnsi="Verdana"/>
          <w:sz w:val="16"/>
          <w:szCs w:val="16"/>
        </w:rPr>
        <w:t>bepalingen in artikel 21 (onderzoek, innovatie en technologie)</w:t>
      </w:r>
      <w:r w:rsidR="00C74BD5" w:rsidRPr="008C26EB">
        <w:rPr>
          <w:rFonts w:ascii="Verdana" w:hAnsi="Verdana"/>
          <w:sz w:val="16"/>
          <w:szCs w:val="16"/>
        </w:rPr>
        <w:t xml:space="preserve"> van het </w:t>
      </w:r>
      <w:r w:rsidR="00881FCE">
        <w:rPr>
          <w:rFonts w:ascii="Verdana" w:hAnsi="Verdana"/>
          <w:sz w:val="16"/>
          <w:szCs w:val="16"/>
        </w:rPr>
        <w:t>R</w:t>
      </w:r>
      <w:r w:rsidR="00881FCE" w:rsidRPr="008C26EB">
        <w:rPr>
          <w:rFonts w:ascii="Verdana" w:hAnsi="Verdana"/>
          <w:sz w:val="16"/>
          <w:szCs w:val="16"/>
        </w:rPr>
        <w:t xml:space="preserve">egionaal </w:t>
      </w:r>
      <w:r w:rsidR="00881FCE">
        <w:rPr>
          <w:rFonts w:ascii="Verdana" w:hAnsi="Verdana"/>
          <w:sz w:val="16"/>
          <w:szCs w:val="16"/>
        </w:rPr>
        <w:t>P</w:t>
      </w:r>
      <w:r w:rsidR="00881FCE" w:rsidRPr="008C26EB">
        <w:rPr>
          <w:rFonts w:ascii="Verdana" w:hAnsi="Verdana"/>
          <w:sz w:val="16"/>
          <w:szCs w:val="16"/>
        </w:rPr>
        <w:t xml:space="preserve">rotocol </w:t>
      </w:r>
      <w:r w:rsidR="00C74BD5" w:rsidRPr="008C26EB">
        <w:rPr>
          <w:rFonts w:ascii="Verdana" w:hAnsi="Verdana"/>
          <w:sz w:val="16"/>
          <w:szCs w:val="16"/>
        </w:rPr>
        <w:t xml:space="preserve">Caribisch gebied en bepalingen </w:t>
      </w:r>
      <w:r w:rsidR="004F216A" w:rsidRPr="008C26EB">
        <w:rPr>
          <w:rFonts w:ascii="Verdana" w:hAnsi="Verdana"/>
          <w:sz w:val="16"/>
          <w:szCs w:val="16"/>
        </w:rPr>
        <w:t>in artikel 17 (</w:t>
      </w:r>
      <w:r w:rsidR="00810548" w:rsidRPr="008C26EB">
        <w:rPr>
          <w:rFonts w:ascii="Verdana" w:hAnsi="Verdana"/>
          <w:sz w:val="16"/>
          <w:szCs w:val="16"/>
        </w:rPr>
        <w:t>w</w:t>
      </w:r>
      <w:r w:rsidR="004F216A" w:rsidRPr="008C26EB">
        <w:rPr>
          <w:rFonts w:ascii="Verdana" w:hAnsi="Verdana"/>
          <w:sz w:val="16"/>
          <w:szCs w:val="16"/>
        </w:rPr>
        <w:t>etenschap, technologie, innovatie en onderzoek)</w:t>
      </w:r>
      <w:r w:rsidR="00C74BD5" w:rsidRPr="008C26EB">
        <w:rPr>
          <w:rFonts w:ascii="Verdana" w:hAnsi="Verdana"/>
          <w:sz w:val="16"/>
          <w:szCs w:val="16"/>
        </w:rPr>
        <w:t xml:space="preserve"> van het </w:t>
      </w:r>
      <w:r w:rsidR="00881FCE">
        <w:rPr>
          <w:rFonts w:ascii="Verdana" w:hAnsi="Verdana"/>
          <w:sz w:val="16"/>
          <w:szCs w:val="16"/>
        </w:rPr>
        <w:t>R</w:t>
      </w:r>
      <w:r w:rsidR="00881FCE" w:rsidRPr="008C26EB">
        <w:rPr>
          <w:rFonts w:ascii="Verdana" w:hAnsi="Verdana"/>
          <w:sz w:val="16"/>
          <w:szCs w:val="16"/>
        </w:rPr>
        <w:t xml:space="preserve">egionaal </w:t>
      </w:r>
      <w:r w:rsidR="00881FCE">
        <w:rPr>
          <w:rFonts w:ascii="Verdana" w:hAnsi="Verdana"/>
          <w:sz w:val="16"/>
          <w:szCs w:val="16"/>
        </w:rPr>
        <w:t>P</w:t>
      </w:r>
      <w:r w:rsidR="00881FCE" w:rsidRPr="008C26EB">
        <w:rPr>
          <w:rFonts w:ascii="Verdana" w:hAnsi="Verdana"/>
          <w:sz w:val="16"/>
          <w:szCs w:val="16"/>
        </w:rPr>
        <w:t xml:space="preserve">rotocol </w:t>
      </w:r>
      <w:r w:rsidR="00C74BD5" w:rsidRPr="008C26EB">
        <w:rPr>
          <w:rFonts w:ascii="Verdana" w:hAnsi="Verdana"/>
          <w:sz w:val="16"/>
          <w:szCs w:val="16"/>
        </w:rPr>
        <w:t xml:space="preserve">Stille Oceaan. </w:t>
      </w:r>
    </w:p>
  </w:footnote>
  <w:footnote w:id="18">
    <w:p w14:paraId="7C69F9A6" w14:textId="7AA34292" w:rsidR="00F97A98" w:rsidRPr="00F97A98" w:rsidRDefault="00F97A98">
      <w:pPr>
        <w:pStyle w:val="FootnoteText"/>
      </w:pPr>
      <w:r w:rsidRPr="008C26EB">
        <w:rPr>
          <w:rStyle w:val="FootnoteReference"/>
          <w:rFonts w:ascii="Verdana" w:hAnsi="Verdana"/>
          <w:sz w:val="16"/>
          <w:szCs w:val="16"/>
        </w:rPr>
        <w:footnoteRef/>
      </w:r>
      <w:r w:rsidRPr="008C26EB">
        <w:rPr>
          <w:rFonts w:ascii="Verdana" w:hAnsi="Verdana"/>
          <w:sz w:val="16"/>
          <w:szCs w:val="16"/>
        </w:rPr>
        <w:t xml:space="preserve"> </w:t>
      </w:r>
      <w:r w:rsidR="00C74BD5" w:rsidRPr="008C26EB">
        <w:rPr>
          <w:rFonts w:ascii="Verdana" w:hAnsi="Verdana"/>
          <w:sz w:val="16"/>
          <w:szCs w:val="16"/>
        </w:rPr>
        <w:t xml:space="preserve">Voor de regionale protocollen kan in dit verband bijvoorbeeld worden gewezen op </w:t>
      </w:r>
      <w:r w:rsidR="00810548" w:rsidRPr="008C26EB">
        <w:rPr>
          <w:rFonts w:ascii="Verdana" w:hAnsi="Verdana"/>
          <w:sz w:val="16"/>
          <w:szCs w:val="16"/>
        </w:rPr>
        <w:t xml:space="preserve">bepalingen in </w:t>
      </w:r>
      <w:r w:rsidRPr="008C26EB">
        <w:rPr>
          <w:rFonts w:ascii="Verdana" w:hAnsi="Verdana"/>
          <w:sz w:val="16"/>
          <w:szCs w:val="16"/>
        </w:rPr>
        <w:t>artikel 26 (toerisme) en artikel 31</w:t>
      </w:r>
      <w:r w:rsidR="00810548" w:rsidRPr="008C26EB">
        <w:rPr>
          <w:rFonts w:ascii="Verdana" w:hAnsi="Verdana"/>
          <w:sz w:val="16"/>
          <w:szCs w:val="16"/>
        </w:rPr>
        <w:t xml:space="preserve"> (onderwijs</w:t>
      </w:r>
      <w:r w:rsidRPr="008C26EB">
        <w:rPr>
          <w:rFonts w:ascii="Verdana" w:hAnsi="Verdana"/>
          <w:sz w:val="16"/>
          <w:szCs w:val="16"/>
        </w:rPr>
        <w:t>)</w:t>
      </w:r>
      <w:r w:rsidR="00C74BD5" w:rsidRPr="008C26EB">
        <w:rPr>
          <w:rFonts w:ascii="Verdana" w:hAnsi="Verdana"/>
          <w:sz w:val="16"/>
          <w:szCs w:val="16"/>
        </w:rPr>
        <w:t xml:space="preserve"> van het </w:t>
      </w:r>
      <w:r w:rsidR="00881FCE">
        <w:rPr>
          <w:rFonts w:ascii="Verdana" w:hAnsi="Verdana"/>
          <w:sz w:val="16"/>
          <w:szCs w:val="16"/>
        </w:rPr>
        <w:t>R</w:t>
      </w:r>
      <w:r w:rsidR="00881FCE" w:rsidRPr="008C26EB">
        <w:rPr>
          <w:rFonts w:ascii="Verdana" w:hAnsi="Verdana"/>
          <w:sz w:val="16"/>
          <w:szCs w:val="16"/>
        </w:rPr>
        <w:t xml:space="preserve">egionaal </w:t>
      </w:r>
      <w:r w:rsidR="00C74BD5" w:rsidRPr="008C26EB">
        <w:rPr>
          <w:rFonts w:ascii="Verdana" w:hAnsi="Verdana"/>
          <w:sz w:val="16"/>
          <w:szCs w:val="16"/>
        </w:rPr>
        <w:t xml:space="preserve">Protocol Afrika, </w:t>
      </w:r>
      <w:r w:rsidR="00681FBE" w:rsidRPr="008C26EB">
        <w:rPr>
          <w:rFonts w:ascii="Verdana" w:hAnsi="Verdana"/>
          <w:sz w:val="16"/>
          <w:szCs w:val="16"/>
        </w:rPr>
        <w:t>artikel 20 (toerisme) en artikel 22 (culturele en creatieve sector)</w:t>
      </w:r>
      <w:r w:rsidR="00C74BD5" w:rsidRPr="008C26EB">
        <w:rPr>
          <w:rFonts w:ascii="Verdana" w:hAnsi="Verdana"/>
          <w:sz w:val="16"/>
          <w:szCs w:val="16"/>
        </w:rPr>
        <w:t xml:space="preserve"> van het </w:t>
      </w:r>
      <w:r w:rsidR="00881FCE">
        <w:rPr>
          <w:rFonts w:ascii="Verdana" w:hAnsi="Verdana"/>
          <w:sz w:val="16"/>
          <w:szCs w:val="16"/>
        </w:rPr>
        <w:t>R</w:t>
      </w:r>
      <w:r w:rsidR="00881FCE" w:rsidRPr="008C26EB">
        <w:rPr>
          <w:rFonts w:ascii="Verdana" w:hAnsi="Verdana"/>
          <w:sz w:val="16"/>
          <w:szCs w:val="16"/>
        </w:rPr>
        <w:t xml:space="preserve">egionaal </w:t>
      </w:r>
      <w:r w:rsidR="00681FBE" w:rsidRPr="008C26EB">
        <w:rPr>
          <w:rFonts w:ascii="Verdana" w:hAnsi="Verdana"/>
          <w:sz w:val="16"/>
          <w:szCs w:val="16"/>
        </w:rPr>
        <w:t>Protocol Caribisch gebied</w:t>
      </w:r>
      <w:r w:rsidR="00C74BD5" w:rsidRPr="008C26EB">
        <w:rPr>
          <w:rFonts w:ascii="Verdana" w:hAnsi="Verdana"/>
          <w:sz w:val="16"/>
          <w:szCs w:val="16"/>
        </w:rPr>
        <w:t xml:space="preserve"> en artikel 43 (onderwijs) en artikel 52 (cultuur, sport en interpersoonlijke contacten) van het </w:t>
      </w:r>
      <w:r w:rsidR="00881FCE">
        <w:rPr>
          <w:rFonts w:ascii="Verdana" w:hAnsi="Verdana"/>
          <w:sz w:val="16"/>
          <w:szCs w:val="16"/>
        </w:rPr>
        <w:t>R</w:t>
      </w:r>
      <w:r w:rsidR="00881FCE" w:rsidRPr="008C26EB">
        <w:rPr>
          <w:rFonts w:ascii="Verdana" w:hAnsi="Verdana"/>
          <w:sz w:val="16"/>
          <w:szCs w:val="16"/>
        </w:rPr>
        <w:t xml:space="preserve">egionaal </w:t>
      </w:r>
      <w:r w:rsidR="00881FCE">
        <w:rPr>
          <w:rFonts w:ascii="Verdana" w:hAnsi="Verdana"/>
          <w:sz w:val="16"/>
          <w:szCs w:val="16"/>
        </w:rPr>
        <w:t>P</w:t>
      </w:r>
      <w:r w:rsidR="00881FCE" w:rsidRPr="008C26EB">
        <w:rPr>
          <w:rFonts w:ascii="Verdana" w:hAnsi="Verdana"/>
          <w:sz w:val="16"/>
          <w:szCs w:val="16"/>
        </w:rPr>
        <w:t xml:space="preserve">rotocol </w:t>
      </w:r>
      <w:r w:rsidR="00C74BD5" w:rsidRPr="008C26EB">
        <w:rPr>
          <w:rFonts w:ascii="Verdana" w:hAnsi="Verdana"/>
          <w:sz w:val="16"/>
          <w:szCs w:val="16"/>
        </w:rPr>
        <w:t xml:space="preserve">Stille Oceaan. </w:t>
      </w:r>
    </w:p>
  </w:footnote>
  <w:footnote w:id="19">
    <w:p w14:paraId="4529457E" w14:textId="0B0EDEC8" w:rsidR="00DE38C8" w:rsidRPr="008C26EB" w:rsidRDefault="00DE38C8">
      <w:pPr>
        <w:pStyle w:val="FootnoteText"/>
        <w:rPr>
          <w:rFonts w:ascii="Verdana" w:hAnsi="Verdana"/>
          <w:sz w:val="16"/>
          <w:szCs w:val="16"/>
        </w:rPr>
      </w:pPr>
      <w:r w:rsidRPr="008C26EB">
        <w:rPr>
          <w:rStyle w:val="FootnoteReference"/>
          <w:rFonts w:ascii="Verdana" w:hAnsi="Verdana"/>
          <w:sz w:val="16"/>
          <w:szCs w:val="16"/>
        </w:rPr>
        <w:footnoteRef/>
      </w:r>
      <w:r w:rsidRPr="008C26EB">
        <w:rPr>
          <w:rFonts w:ascii="Verdana" w:hAnsi="Verdana"/>
          <w:sz w:val="16"/>
          <w:szCs w:val="16"/>
        </w:rPr>
        <w:t xml:space="preserve"> Zie Kabinetsappreciatie Instrument voor nabuurschapsbeleid, ontwikkeling en internationale samenwerking (NDICI) d.d. 26 april 2021 (Kamerstuk</w:t>
      </w:r>
      <w:r w:rsidR="005B3384">
        <w:rPr>
          <w:rFonts w:ascii="Verdana" w:hAnsi="Verdana"/>
          <w:sz w:val="16"/>
          <w:szCs w:val="16"/>
        </w:rPr>
        <w:t>ken II 2020/2021,</w:t>
      </w:r>
      <w:r w:rsidRPr="008C26EB">
        <w:rPr>
          <w:rFonts w:ascii="Verdana" w:hAnsi="Verdana"/>
          <w:sz w:val="16"/>
          <w:szCs w:val="16"/>
        </w:rPr>
        <w:t xml:space="preserve"> 22112, nr. 3101).</w:t>
      </w:r>
    </w:p>
  </w:footnote>
  <w:footnote w:id="20">
    <w:p w14:paraId="47C70251" w14:textId="6786BB14" w:rsidR="006B7552" w:rsidRPr="008C26EB" w:rsidRDefault="006B7552">
      <w:pPr>
        <w:pStyle w:val="FootnoteText"/>
        <w:rPr>
          <w:rFonts w:ascii="Verdana" w:hAnsi="Verdana"/>
        </w:rPr>
      </w:pPr>
      <w:r w:rsidRPr="008C26EB">
        <w:rPr>
          <w:rStyle w:val="FootnoteReference"/>
          <w:rFonts w:ascii="Verdana" w:hAnsi="Verdana"/>
          <w:sz w:val="16"/>
          <w:szCs w:val="16"/>
        </w:rPr>
        <w:footnoteRef/>
      </w:r>
      <w:r w:rsidRPr="008C26EB">
        <w:rPr>
          <w:rFonts w:ascii="Verdana" w:hAnsi="Verdana"/>
          <w:sz w:val="16"/>
          <w:szCs w:val="16"/>
        </w:rPr>
        <w:t xml:space="preserve"> De op 15 april 1994 te Marrakesh tot stand gekomen Overeenkomst tot oprichting van de Wereldhandelsorganisatie (</w:t>
      </w:r>
      <w:proofErr w:type="spellStart"/>
      <w:r w:rsidRPr="008C26EB">
        <w:rPr>
          <w:rFonts w:ascii="Verdana" w:hAnsi="Verdana"/>
          <w:i/>
          <w:iCs/>
          <w:sz w:val="16"/>
          <w:szCs w:val="16"/>
        </w:rPr>
        <w:t>Trb</w:t>
      </w:r>
      <w:proofErr w:type="spellEnd"/>
      <w:r w:rsidRPr="008C26EB">
        <w:rPr>
          <w:rFonts w:ascii="Verdana" w:hAnsi="Verdana"/>
          <w:i/>
          <w:iCs/>
          <w:sz w:val="16"/>
          <w:szCs w:val="16"/>
        </w:rPr>
        <w:t xml:space="preserve">. </w:t>
      </w:r>
      <w:r w:rsidR="00F50016" w:rsidRPr="008C26EB">
        <w:rPr>
          <w:rFonts w:ascii="Verdana" w:hAnsi="Verdana"/>
          <w:sz w:val="16"/>
          <w:szCs w:val="16"/>
        </w:rPr>
        <w:t>1994, 235).</w:t>
      </w:r>
    </w:p>
  </w:footnote>
  <w:footnote w:id="21">
    <w:p w14:paraId="5147A4B6" w14:textId="60E54A7A" w:rsidR="000C7C4C" w:rsidRPr="00501FA6" w:rsidRDefault="000C7C4C" w:rsidP="000C7C4C">
      <w:pPr>
        <w:pStyle w:val="FootnoteText"/>
        <w:rPr>
          <w:rFonts w:ascii="Verdana" w:hAnsi="Verdana"/>
          <w:sz w:val="16"/>
          <w:szCs w:val="16"/>
        </w:rPr>
      </w:pPr>
      <w:r w:rsidRPr="00501FA6">
        <w:rPr>
          <w:rStyle w:val="FootnoteReference"/>
          <w:rFonts w:ascii="Verdana" w:hAnsi="Verdana"/>
          <w:sz w:val="16"/>
          <w:szCs w:val="16"/>
        </w:rPr>
        <w:footnoteRef/>
      </w:r>
      <w:r w:rsidRPr="00501FA6">
        <w:rPr>
          <w:rFonts w:ascii="Verdana" w:hAnsi="Verdana"/>
          <w:sz w:val="16"/>
          <w:szCs w:val="16"/>
        </w:rPr>
        <w:t xml:space="preserve"> Een denkbaar voorbeeld van een ernstige schending </w:t>
      </w:r>
      <w:r>
        <w:rPr>
          <w:rFonts w:ascii="Verdana" w:hAnsi="Verdana"/>
          <w:sz w:val="16"/>
          <w:szCs w:val="16"/>
        </w:rPr>
        <w:t xml:space="preserve">zou een </w:t>
      </w:r>
      <w:r w:rsidRPr="006D1826">
        <w:rPr>
          <w:rFonts w:ascii="Verdana" w:hAnsi="Verdana"/>
          <w:sz w:val="16"/>
          <w:szCs w:val="16"/>
        </w:rPr>
        <w:t>schending van de mensenrechten en fundamentele vrijheden</w:t>
      </w:r>
      <w:r>
        <w:rPr>
          <w:rFonts w:ascii="Verdana" w:hAnsi="Verdana"/>
          <w:sz w:val="16"/>
          <w:szCs w:val="16"/>
        </w:rPr>
        <w:t xml:space="preserve"> door een verdragspartij kunnen betreffen die daarmee een inbreuk vormt op de </w:t>
      </w:r>
      <w:r w:rsidRPr="006D1826">
        <w:rPr>
          <w:rFonts w:ascii="Verdana" w:hAnsi="Verdana"/>
          <w:sz w:val="16"/>
          <w:szCs w:val="16"/>
        </w:rPr>
        <w:t>essentiële elementen</w:t>
      </w:r>
      <w:r>
        <w:rPr>
          <w:rFonts w:ascii="Verdana" w:hAnsi="Verdana"/>
          <w:sz w:val="16"/>
          <w:szCs w:val="16"/>
        </w:rPr>
        <w:t xml:space="preserve"> van het verdrag. Deze situatie </w:t>
      </w:r>
      <w:r w:rsidR="00A5092D">
        <w:rPr>
          <w:rFonts w:ascii="Verdana" w:hAnsi="Verdana"/>
          <w:sz w:val="16"/>
          <w:szCs w:val="16"/>
        </w:rPr>
        <w:t>speelde ook</w:t>
      </w:r>
      <w:r>
        <w:rPr>
          <w:rFonts w:ascii="Verdana" w:hAnsi="Verdana"/>
          <w:sz w:val="16"/>
          <w:szCs w:val="16"/>
        </w:rPr>
        <w:t xml:space="preserve"> bij de Cotonou-overeenkomst. Zie in dat verband voetnoot 22. </w:t>
      </w:r>
    </w:p>
  </w:footnote>
  <w:footnote w:id="22">
    <w:p w14:paraId="18BD8EFE" w14:textId="7FDFB5D5" w:rsidR="004B1A75" w:rsidRPr="00547AA8" w:rsidRDefault="004B1A75" w:rsidP="004B1A75">
      <w:pPr>
        <w:pStyle w:val="FootnoteText"/>
        <w:rPr>
          <w:rFonts w:ascii="Verdana" w:hAnsi="Verdana"/>
        </w:rPr>
      </w:pPr>
      <w:r w:rsidRPr="00547AA8">
        <w:rPr>
          <w:rStyle w:val="FootnoteReference"/>
          <w:rFonts w:ascii="Verdana" w:hAnsi="Verdana"/>
          <w:sz w:val="16"/>
          <w:szCs w:val="16"/>
        </w:rPr>
        <w:footnoteRef/>
      </w:r>
      <w:r w:rsidRPr="00547AA8">
        <w:rPr>
          <w:rFonts w:ascii="Verdana" w:hAnsi="Verdana"/>
          <w:sz w:val="16"/>
          <w:szCs w:val="16"/>
        </w:rPr>
        <w:t xml:space="preserve"> </w:t>
      </w:r>
      <w:r w:rsidRPr="004B1A75">
        <w:rPr>
          <w:rFonts w:ascii="Verdana" w:hAnsi="Verdana"/>
          <w:sz w:val="16"/>
          <w:szCs w:val="16"/>
        </w:rPr>
        <w:t xml:space="preserve">Besluit (EU) </w:t>
      </w:r>
      <w:r>
        <w:rPr>
          <w:rFonts w:ascii="Verdana" w:hAnsi="Verdana"/>
          <w:sz w:val="16"/>
          <w:szCs w:val="16"/>
        </w:rPr>
        <w:t>2016/934</w:t>
      </w:r>
      <w:r w:rsidRPr="004B1A75">
        <w:rPr>
          <w:rFonts w:ascii="Verdana" w:hAnsi="Verdana"/>
          <w:sz w:val="16"/>
          <w:szCs w:val="16"/>
        </w:rPr>
        <w:t xml:space="preserve"> van de Raad van </w:t>
      </w:r>
      <w:r>
        <w:rPr>
          <w:rFonts w:ascii="Verdana" w:hAnsi="Verdana"/>
          <w:sz w:val="16"/>
          <w:szCs w:val="16"/>
        </w:rPr>
        <w:t>14 maart 2016</w:t>
      </w:r>
      <w:r w:rsidRPr="004B1A75">
        <w:rPr>
          <w:rFonts w:ascii="Verdana" w:hAnsi="Verdana"/>
          <w:sz w:val="16"/>
          <w:szCs w:val="16"/>
        </w:rPr>
        <w:t xml:space="preserve"> betreffende de afsluiting van het overleg met de Republiek Burundi krachtens artikel 96 van de Partnerschapsovereenkomst tussen de leden van de groep van Staten in Afrika, het Caribisch gebied en de Stille Oceaan, enerzijds, en de Europese Gemeenschap en haar lidstaten, anderzijds (</w:t>
      </w:r>
      <w:proofErr w:type="spellStart"/>
      <w:r w:rsidRPr="004B1A75">
        <w:rPr>
          <w:rFonts w:ascii="Verdana" w:hAnsi="Verdana"/>
          <w:sz w:val="16"/>
          <w:szCs w:val="16"/>
        </w:rPr>
        <w:t>PbEU</w:t>
      </w:r>
      <w:proofErr w:type="spellEnd"/>
      <w:r w:rsidRPr="004B1A75">
        <w:rPr>
          <w:rFonts w:ascii="Verdana" w:hAnsi="Verdana"/>
          <w:sz w:val="16"/>
          <w:szCs w:val="16"/>
        </w:rPr>
        <w:t xml:space="preserve"> 20</w:t>
      </w:r>
      <w:r>
        <w:rPr>
          <w:rFonts w:ascii="Verdana" w:hAnsi="Verdana"/>
          <w:sz w:val="16"/>
          <w:szCs w:val="16"/>
        </w:rPr>
        <w:t>16</w:t>
      </w:r>
      <w:r w:rsidRPr="004B1A75">
        <w:rPr>
          <w:rFonts w:ascii="Verdana" w:hAnsi="Verdana"/>
          <w:sz w:val="16"/>
          <w:szCs w:val="16"/>
        </w:rPr>
        <w:t xml:space="preserve">, L </w:t>
      </w:r>
      <w:r>
        <w:rPr>
          <w:rFonts w:ascii="Verdana" w:hAnsi="Verdana"/>
          <w:sz w:val="16"/>
          <w:szCs w:val="16"/>
        </w:rPr>
        <w:t>73</w:t>
      </w:r>
      <w:r w:rsidRPr="004B1A75">
        <w:rPr>
          <w:rFonts w:ascii="Verdana" w:hAnsi="Verdana"/>
          <w:sz w:val="16"/>
          <w:szCs w:val="16"/>
        </w:rPr>
        <w:t>/</w:t>
      </w:r>
      <w:r>
        <w:rPr>
          <w:rFonts w:ascii="Verdana" w:hAnsi="Verdana"/>
          <w:sz w:val="16"/>
          <w:szCs w:val="16"/>
        </w:rPr>
        <w:t>90</w:t>
      </w:r>
      <w:r w:rsidRPr="004B1A75">
        <w:rPr>
          <w:rFonts w:ascii="Verdana" w:hAnsi="Verdana"/>
          <w:sz w:val="16"/>
          <w:szCs w:val="16"/>
        </w:rPr>
        <w:t>).</w:t>
      </w:r>
    </w:p>
  </w:footnote>
  <w:footnote w:id="23">
    <w:p w14:paraId="5284720E" w14:textId="49DB4882" w:rsidR="00BE19AC" w:rsidRPr="00547AA8" w:rsidRDefault="00BE19AC" w:rsidP="00E50E57">
      <w:pPr>
        <w:pStyle w:val="FootnoteText"/>
        <w:rPr>
          <w:rFonts w:ascii="Verdana" w:hAnsi="Verdana"/>
        </w:rPr>
      </w:pPr>
      <w:r w:rsidRPr="00547AA8">
        <w:rPr>
          <w:rStyle w:val="FootnoteReference"/>
          <w:rFonts w:ascii="Verdana" w:hAnsi="Verdana"/>
          <w:sz w:val="16"/>
          <w:szCs w:val="16"/>
        </w:rPr>
        <w:footnoteRef/>
      </w:r>
      <w:r w:rsidRPr="00547AA8">
        <w:rPr>
          <w:rFonts w:ascii="Verdana" w:hAnsi="Verdana"/>
          <w:sz w:val="16"/>
          <w:szCs w:val="16"/>
        </w:rPr>
        <w:t xml:space="preserve"> </w:t>
      </w:r>
      <w:r w:rsidR="00E50E57" w:rsidRPr="00547AA8">
        <w:rPr>
          <w:rFonts w:ascii="Verdana" w:hAnsi="Verdana"/>
          <w:sz w:val="16"/>
          <w:szCs w:val="16"/>
        </w:rPr>
        <w:t>I</w:t>
      </w:r>
      <w:r w:rsidRPr="00547AA8">
        <w:rPr>
          <w:rFonts w:ascii="Verdana" w:hAnsi="Verdana"/>
          <w:sz w:val="16"/>
          <w:szCs w:val="16"/>
        </w:rPr>
        <w:t xml:space="preserve">n 2004 </w:t>
      </w:r>
      <w:r w:rsidR="00E50E57" w:rsidRPr="00547AA8">
        <w:rPr>
          <w:rFonts w:ascii="Verdana" w:hAnsi="Verdana"/>
          <w:sz w:val="16"/>
          <w:szCs w:val="16"/>
        </w:rPr>
        <w:t xml:space="preserve">is </w:t>
      </w:r>
      <w:r w:rsidRPr="00547AA8">
        <w:rPr>
          <w:rFonts w:ascii="Verdana" w:hAnsi="Verdana"/>
          <w:sz w:val="16"/>
          <w:szCs w:val="16"/>
        </w:rPr>
        <w:t>de samenwerking tussen de EU en Togo</w:t>
      </w:r>
      <w:r w:rsidR="00F83B6F">
        <w:rPr>
          <w:rFonts w:ascii="Verdana" w:hAnsi="Verdana"/>
          <w:sz w:val="16"/>
          <w:szCs w:val="16"/>
        </w:rPr>
        <w:t xml:space="preserve"> opgeschort geweest na de in artikel 96 van de Cotonou-overeenkomst bedoelde overlegprocedure</w:t>
      </w:r>
      <w:r w:rsidR="000F13B4">
        <w:rPr>
          <w:rFonts w:ascii="Verdana" w:hAnsi="Verdana"/>
          <w:sz w:val="16"/>
          <w:szCs w:val="16"/>
        </w:rPr>
        <w:t xml:space="preserve"> omdat er naar het oordeel van de EU in Togo destijds sprake was van “een </w:t>
      </w:r>
      <w:r w:rsidR="000F13B4" w:rsidRPr="000F13B4">
        <w:rPr>
          <w:rFonts w:ascii="Verdana" w:hAnsi="Verdana"/>
          <w:sz w:val="16"/>
          <w:szCs w:val="16"/>
        </w:rPr>
        <w:t>democratische tekort en de schending van de mensenrechten en de fundamentele vrijheden</w:t>
      </w:r>
      <w:r w:rsidR="000F13B4">
        <w:rPr>
          <w:rFonts w:ascii="Verdana" w:hAnsi="Verdana"/>
          <w:sz w:val="16"/>
          <w:szCs w:val="16"/>
        </w:rPr>
        <w:t xml:space="preserve">” </w:t>
      </w:r>
      <w:r w:rsidR="00F83B6F">
        <w:rPr>
          <w:rFonts w:ascii="Verdana" w:hAnsi="Verdana"/>
          <w:sz w:val="16"/>
          <w:szCs w:val="16"/>
        </w:rPr>
        <w:t xml:space="preserve">. </w:t>
      </w:r>
      <w:r w:rsidRPr="00547AA8">
        <w:rPr>
          <w:rFonts w:ascii="Verdana" w:hAnsi="Verdana"/>
          <w:sz w:val="16"/>
          <w:szCs w:val="16"/>
        </w:rPr>
        <w:t>Tijdens d</w:t>
      </w:r>
      <w:r w:rsidR="00F83B6F">
        <w:rPr>
          <w:rFonts w:ascii="Verdana" w:hAnsi="Verdana"/>
          <w:sz w:val="16"/>
          <w:szCs w:val="16"/>
        </w:rPr>
        <w:t>it overleg</w:t>
      </w:r>
      <w:r w:rsidRPr="00547AA8">
        <w:rPr>
          <w:rFonts w:ascii="Verdana" w:hAnsi="Verdana"/>
          <w:sz w:val="16"/>
          <w:szCs w:val="16"/>
        </w:rPr>
        <w:t xml:space="preserve"> zijn destijds afspraken gemaakt met de Togolese overheid aangaande democratie en mensenrechten</w:t>
      </w:r>
      <w:r w:rsidR="00F83B6F">
        <w:rPr>
          <w:rFonts w:ascii="Verdana" w:hAnsi="Verdana"/>
          <w:sz w:val="16"/>
          <w:szCs w:val="16"/>
        </w:rPr>
        <w:t>. De destijds door Togo genomen acties hieromtrent werden door de EU niet voldoende bevonden, waarna onder dat verdrag “gepaste maatregelen” werden genomen. Dit betrof, onder meer, een versterkte politieke dialoog en een evaluatietraject.</w:t>
      </w:r>
      <w:r w:rsidR="00E50E57" w:rsidRPr="00547AA8">
        <w:rPr>
          <w:rFonts w:ascii="Verdana" w:hAnsi="Verdana"/>
          <w:sz w:val="16"/>
          <w:szCs w:val="16"/>
        </w:rPr>
        <w:t xml:space="preserve"> Zie in dat kader: </w:t>
      </w:r>
      <w:r w:rsidR="00F83B6F">
        <w:rPr>
          <w:rFonts w:ascii="Verdana" w:hAnsi="Verdana"/>
          <w:sz w:val="16"/>
          <w:szCs w:val="16"/>
        </w:rPr>
        <w:t xml:space="preserve">Besluit 2004/793/EG van de Raad van 15 november 2004 </w:t>
      </w:r>
      <w:r w:rsidR="00F83B6F" w:rsidRPr="00087F7E">
        <w:rPr>
          <w:rFonts w:ascii="Verdana" w:hAnsi="Verdana"/>
          <w:sz w:val="16"/>
          <w:szCs w:val="16"/>
        </w:rPr>
        <w:t>houdende afsluiting van het overleg met de Republiek Togo krachtens artikel 96 van de Overeenkomst van Cotonou</w:t>
      </w:r>
      <w:r w:rsidR="00F83B6F">
        <w:rPr>
          <w:rFonts w:ascii="Verdana" w:hAnsi="Verdana"/>
          <w:sz w:val="16"/>
          <w:szCs w:val="16"/>
        </w:rPr>
        <w:t xml:space="preserve"> (</w:t>
      </w:r>
      <w:proofErr w:type="spellStart"/>
      <w:r w:rsidR="00F83B6F">
        <w:rPr>
          <w:rFonts w:ascii="Verdana" w:hAnsi="Verdana"/>
          <w:sz w:val="16"/>
          <w:szCs w:val="16"/>
        </w:rPr>
        <w:t>PbEU</w:t>
      </w:r>
      <w:proofErr w:type="spellEnd"/>
      <w:r w:rsidR="00F83B6F">
        <w:rPr>
          <w:rFonts w:ascii="Verdana" w:hAnsi="Verdana"/>
          <w:sz w:val="16"/>
          <w:szCs w:val="16"/>
        </w:rPr>
        <w:t xml:space="preserve"> 2004, L 349/17) en </w:t>
      </w:r>
      <w:r w:rsidR="00E50E57">
        <w:rPr>
          <w:rFonts w:ascii="Verdana" w:hAnsi="Verdana"/>
          <w:sz w:val="16"/>
          <w:szCs w:val="16"/>
        </w:rPr>
        <w:t xml:space="preserve">Brief van de Staatssecretaris van Buitenlandse Zaken; </w:t>
      </w:r>
      <w:r w:rsidR="00E50E57" w:rsidRPr="00E50E57">
        <w:rPr>
          <w:rFonts w:ascii="Verdana" w:hAnsi="Verdana"/>
          <w:sz w:val="16"/>
          <w:szCs w:val="16"/>
        </w:rPr>
        <w:t>Nieuwe Commissievoorstellen en initiatieven</w:t>
      </w:r>
      <w:r w:rsidR="00E50E57">
        <w:rPr>
          <w:rFonts w:ascii="Verdana" w:hAnsi="Verdana"/>
          <w:sz w:val="16"/>
          <w:szCs w:val="16"/>
        </w:rPr>
        <w:t xml:space="preserve"> </w:t>
      </w:r>
      <w:r w:rsidR="00E50E57" w:rsidRPr="00E50E57">
        <w:rPr>
          <w:rFonts w:ascii="Verdana" w:hAnsi="Verdana"/>
          <w:sz w:val="16"/>
          <w:szCs w:val="16"/>
        </w:rPr>
        <w:t>van de lidstaten van de Europese Unie</w:t>
      </w:r>
      <w:r w:rsidR="00E50E57">
        <w:rPr>
          <w:rFonts w:ascii="Verdana" w:hAnsi="Verdana"/>
          <w:sz w:val="16"/>
          <w:szCs w:val="16"/>
        </w:rPr>
        <w:t xml:space="preserve"> </w:t>
      </w:r>
      <w:r w:rsidR="00E50E57" w:rsidRPr="00E50E57">
        <w:rPr>
          <w:rFonts w:ascii="Verdana" w:hAnsi="Verdana"/>
          <w:sz w:val="16"/>
          <w:szCs w:val="16"/>
        </w:rPr>
        <w:t>(</w:t>
      </w:r>
      <w:r w:rsidR="00E50E57" w:rsidRPr="00547AA8">
        <w:rPr>
          <w:rFonts w:ascii="Verdana" w:hAnsi="Verdana"/>
          <w:i/>
          <w:iCs/>
          <w:sz w:val="16"/>
          <w:szCs w:val="16"/>
        </w:rPr>
        <w:t>Kamerstukken II</w:t>
      </w:r>
      <w:r w:rsidR="00E50E57" w:rsidRPr="00E50E57">
        <w:rPr>
          <w:rFonts w:ascii="Verdana" w:hAnsi="Verdana"/>
          <w:sz w:val="16"/>
          <w:szCs w:val="16"/>
        </w:rPr>
        <w:t xml:space="preserve"> </w:t>
      </w:r>
      <w:r w:rsidR="00E50E57">
        <w:rPr>
          <w:rFonts w:ascii="Verdana" w:hAnsi="Verdana"/>
          <w:sz w:val="16"/>
          <w:szCs w:val="16"/>
        </w:rPr>
        <w:t>2004/2005</w:t>
      </w:r>
      <w:r w:rsidR="00E50E57" w:rsidRPr="00E50E57">
        <w:rPr>
          <w:rFonts w:ascii="Verdana" w:hAnsi="Verdana"/>
          <w:sz w:val="16"/>
          <w:szCs w:val="16"/>
        </w:rPr>
        <w:t xml:space="preserve">, </w:t>
      </w:r>
      <w:r w:rsidR="00E50E57">
        <w:rPr>
          <w:rFonts w:ascii="Verdana" w:hAnsi="Verdana"/>
          <w:sz w:val="16"/>
          <w:szCs w:val="16"/>
        </w:rPr>
        <w:t>22 112, nr. 339</w:t>
      </w:r>
      <w:r w:rsidR="00E50E57" w:rsidRPr="00E50E57">
        <w:rPr>
          <w:rFonts w:ascii="Verdana" w:hAnsi="Verdana"/>
          <w:sz w:val="16"/>
          <w:szCs w:val="16"/>
        </w:rPr>
        <w:t>)</w:t>
      </w:r>
      <w:r w:rsidR="00F83B6F">
        <w:rPr>
          <w:rFonts w:ascii="Verdana" w:hAnsi="Verdana"/>
          <w:sz w:val="16"/>
          <w:szCs w:val="16"/>
        </w:rPr>
        <w:t>.</w:t>
      </w:r>
    </w:p>
  </w:footnote>
  <w:footnote w:id="24">
    <w:p w14:paraId="136D1399" w14:textId="221B5597" w:rsidR="006B7552" w:rsidRPr="008C26EB" w:rsidRDefault="006B7552">
      <w:pPr>
        <w:pStyle w:val="FootnoteText"/>
        <w:rPr>
          <w:rFonts w:ascii="Verdana" w:hAnsi="Verdana"/>
          <w:sz w:val="16"/>
          <w:szCs w:val="16"/>
        </w:rPr>
      </w:pPr>
      <w:r w:rsidRPr="008C26EB">
        <w:rPr>
          <w:rStyle w:val="FootnoteReference"/>
          <w:rFonts w:ascii="Verdana" w:hAnsi="Verdana"/>
          <w:sz w:val="16"/>
          <w:szCs w:val="16"/>
        </w:rPr>
        <w:footnoteRef/>
      </w:r>
      <w:r w:rsidRPr="008C26EB">
        <w:rPr>
          <w:rFonts w:ascii="Verdana" w:hAnsi="Verdana"/>
          <w:sz w:val="16"/>
          <w:szCs w:val="16"/>
        </w:rPr>
        <w:t xml:space="preserve"> Het op 3 juni 1991 te Abuja tot stand gekomen Verdrag inzake de oprichting van de Afrikaanse Economische Gemeenschap.</w:t>
      </w:r>
    </w:p>
  </w:footnote>
  <w:footnote w:id="25">
    <w:p w14:paraId="2E1F8E43" w14:textId="356ADDAE" w:rsidR="006B7552" w:rsidRPr="008C26EB" w:rsidRDefault="006B7552">
      <w:pPr>
        <w:pStyle w:val="FootnoteText"/>
        <w:rPr>
          <w:rFonts w:ascii="Verdana" w:hAnsi="Verdana"/>
          <w:sz w:val="16"/>
          <w:szCs w:val="16"/>
        </w:rPr>
      </w:pPr>
      <w:r w:rsidRPr="008C26EB">
        <w:rPr>
          <w:rStyle w:val="FootnoteReference"/>
          <w:rFonts w:ascii="Verdana" w:hAnsi="Verdana"/>
          <w:sz w:val="16"/>
          <w:szCs w:val="16"/>
        </w:rPr>
        <w:footnoteRef/>
      </w:r>
      <w:r w:rsidRPr="008C26EB">
        <w:rPr>
          <w:rFonts w:ascii="Verdana" w:hAnsi="Verdana"/>
          <w:sz w:val="16"/>
          <w:szCs w:val="16"/>
        </w:rPr>
        <w:t xml:space="preserve"> De op 21 maart 2018 te Kigali tot stand gekomen Overeenkomst tot oprichting van de Afrikaanse Continentale Vrijhandelsruimte.</w:t>
      </w:r>
    </w:p>
  </w:footnote>
  <w:footnote w:id="26">
    <w:p w14:paraId="2257BE60" w14:textId="0A4A9A0E" w:rsidR="00881FCE" w:rsidRPr="008C26EB" w:rsidRDefault="00881FCE">
      <w:pPr>
        <w:pStyle w:val="FootnoteText"/>
        <w:rPr>
          <w:rFonts w:ascii="Verdana" w:hAnsi="Verdana"/>
        </w:rPr>
      </w:pPr>
      <w:r w:rsidRPr="008C26EB">
        <w:rPr>
          <w:rStyle w:val="FootnoteReference"/>
          <w:rFonts w:ascii="Verdana" w:hAnsi="Verdana"/>
          <w:sz w:val="16"/>
          <w:szCs w:val="16"/>
        </w:rPr>
        <w:footnoteRef/>
      </w:r>
      <w:r w:rsidRPr="008C26EB">
        <w:rPr>
          <w:rFonts w:ascii="Verdana" w:hAnsi="Verdana"/>
          <w:sz w:val="16"/>
          <w:szCs w:val="16"/>
        </w:rPr>
        <w:t xml:space="preserve"> Het op 16 september 1987 te Montreal tot stand gekomen Protocol van Montreal betreffende stoffen die de ozonlaag afbreken (</w:t>
      </w:r>
      <w:proofErr w:type="spellStart"/>
      <w:r w:rsidRPr="008C26EB">
        <w:rPr>
          <w:rFonts w:ascii="Verdana" w:hAnsi="Verdana"/>
          <w:i/>
          <w:iCs/>
          <w:sz w:val="16"/>
          <w:szCs w:val="16"/>
        </w:rPr>
        <w:t>Trb</w:t>
      </w:r>
      <w:proofErr w:type="spellEnd"/>
      <w:r w:rsidRPr="008C26EB">
        <w:rPr>
          <w:rFonts w:ascii="Verdana" w:hAnsi="Verdana"/>
          <w:i/>
          <w:iCs/>
          <w:sz w:val="16"/>
          <w:szCs w:val="16"/>
        </w:rPr>
        <w:t xml:space="preserve">. </w:t>
      </w:r>
      <w:r w:rsidRPr="008C26EB">
        <w:rPr>
          <w:rFonts w:ascii="Verdana" w:hAnsi="Verdana"/>
          <w:sz w:val="16"/>
          <w:szCs w:val="16"/>
        </w:rPr>
        <w:t>1988, 11).</w:t>
      </w:r>
    </w:p>
  </w:footnote>
  <w:footnote w:id="27">
    <w:p w14:paraId="026382EA" w14:textId="1249CBCB" w:rsidR="00244CA2" w:rsidRPr="00547AA8" w:rsidRDefault="00244CA2">
      <w:pPr>
        <w:pStyle w:val="FootnoteText"/>
        <w:rPr>
          <w:rFonts w:ascii="Verdana" w:hAnsi="Verdana"/>
        </w:rPr>
      </w:pPr>
      <w:r w:rsidRPr="00547AA8">
        <w:rPr>
          <w:rStyle w:val="FootnoteReference"/>
          <w:rFonts w:ascii="Verdana" w:hAnsi="Verdana"/>
          <w:sz w:val="16"/>
          <w:szCs w:val="16"/>
        </w:rPr>
        <w:footnoteRef/>
      </w:r>
      <w:r w:rsidRPr="00547AA8">
        <w:rPr>
          <w:rFonts w:ascii="Verdana" w:hAnsi="Verdana"/>
          <w:sz w:val="16"/>
          <w:szCs w:val="16"/>
        </w:rPr>
        <w:t xml:space="preserve"> Besluit (EU) 2021/1764 van de Raad van 5 oktober 2021 inzake de associatie van de landen en gebieden overzee met de Europese Unie, met inbegrip van de betrekkingen tussen de Europese Unie enerzijds en Groenland en het Koninkrijk Denemarken anderzijds (Besluit betreffende de LGO-associatie, met inbegrip van Groenland) (</w:t>
      </w:r>
      <w:proofErr w:type="spellStart"/>
      <w:r w:rsidRPr="00547AA8">
        <w:rPr>
          <w:rFonts w:ascii="Verdana" w:hAnsi="Verdana"/>
          <w:sz w:val="16"/>
          <w:szCs w:val="16"/>
        </w:rPr>
        <w:t>PbEU</w:t>
      </w:r>
      <w:proofErr w:type="spellEnd"/>
      <w:r w:rsidRPr="00547AA8">
        <w:rPr>
          <w:rFonts w:ascii="Verdana" w:hAnsi="Verdana"/>
          <w:sz w:val="16"/>
          <w:szCs w:val="16"/>
        </w:rPr>
        <w:t xml:space="preserve"> 2021, L 355/6).</w:t>
      </w:r>
    </w:p>
  </w:footnote>
  <w:footnote w:id="28">
    <w:p w14:paraId="114641F6" w14:textId="630ACAF6" w:rsidR="00940749" w:rsidRPr="000D308F" w:rsidRDefault="00940749" w:rsidP="003D5D2D">
      <w:pPr>
        <w:pStyle w:val="FootnoteText"/>
        <w:rPr>
          <w:rFonts w:ascii="Verdana" w:hAnsi="Verdana"/>
          <w:sz w:val="16"/>
          <w:szCs w:val="16"/>
        </w:rPr>
      </w:pPr>
      <w:r w:rsidRPr="000D308F">
        <w:rPr>
          <w:rStyle w:val="FootnoteReference"/>
          <w:rFonts w:ascii="Verdana" w:hAnsi="Verdana"/>
          <w:sz w:val="16"/>
          <w:szCs w:val="16"/>
        </w:rPr>
        <w:footnoteRef/>
      </w:r>
      <w:r w:rsidR="005256E4" w:rsidRPr="000D308F">
        <w:rPr>
          <w:rFonts w:ascii="Verdana" w:hAnsi="Verdana"/>
          <w:sz w:val="16"/>
          <w:szCs w:val="16"/>
        </w:rPr>
        <w:t xml:space="preserve"> </w:t>
      </w:r>
      <w:r w:rsidR="003D5D2D" w:rsidRPr="000D308F">
        <w:rPr>
          <w:rFonts w:ascii="Verdana" w:hAnsi="Verdana"/>
          <w:sz w:val="16"/>
          <w:szCs w:val="16"/>
        </w:rPr>
        <w:t>De</w:t>
      </w:r>
      <w:r w:rsidR="005256E4" w:rsidRPr="000D308F">
        <w:rPr>
          <w:rFonts w:ascii="Verdana" w:hAnsi="Verdana"/>
          <w:sz w:val="16"/>
          <w:szCs w:val="16"/>
        </w:rPr>
        <w:t xml:space="preserve"> procedureg</w:t>
      </w:r>
      <w:r w:rsidRPr="000D308F">
        <w:rPr>
          <w:rFonts w:ascii="Verdana" w:hAnsi="Verdana"/>
          <w:sz w:val="16"/>
          <w:szCs w:val="16"/>
        </w:rPr>
        <w:t xml:space="preserve">els </w:t>
      </w:r>
      <w:r w:rsidR="005256E4" w:rsidRPr="000D308F">
        <w:rPr>
          <w:rFonts w:ascii="Verdana" w:hAnsi="Verdana"/>
          <w:sz w:val="16"/>
          <w:szCs w:val="16"/>
        </w:rPr>
        <w:t>(</w:t>
      </w:r>
      <w:r w:rsidRPr="000D308F">
        <w:rPr>
          <w:rFonts w:ascii="Verdana" w:hAnsi="Verdana"/>
          <w:i/>
          <w:iCs/>
          <w:sz w:val="16"/>
          <w:szCs w:val="16"/>
        </w:rPr>
        <w:t>Rules of Procedure</w:t>
      </w:r>
      <w:r w:rsidR="005256E4" w:rsidRPr="000D308F">
        <w:rPr>
          <w:rFonts w:ascii="Verdana" w:hAnsi="Verdana"/>
          <w:sz w:val="16"/>
          <w:szCs w:val="16"/>
        </w:rPr>
        <w:t>)</w:t>
      </w:r>
      <w:r w:rsidRPr="000D308F">
        <w:rPr>
          <w:rFonts w:ascii="Verdana" w:hAnsi="Verdana"/>
          <w:i/>
          <w:iCs/>
          <w:sz w:val="16"/>
          <w:szCs w:val="16"/>
        </w:rPr>
        <w:t xml:space="preserve"> </w:t>
      </w:r>
      <w:r w:rsidRPr="000D308F">
        <w:rPr>
          <w:rFonts w:ascii="Verdana" w:hAnsi="Verdana"/>
          <w:sz w:val="16"/>
          <w:szCs w:val="16"/>
        </w:rPr>
        <w:t>van de</w:t>
      </w:r>
      <w:r w:rsidR="003D5D2D" w:rsidRPr="000D308F">
        <w:rPr>
          <w:rFonts w:ascii="Verdana" w:hAnsi="Verdana"/>
          <w:sz w:val="16"/>
          <w:szCs w:val="16"/>
        </w:rPr>
        <w:t xml:space="preserve"> bij dit verdrag betrokken instellingen zullen, na besluitvorming in de Raad,</w:t>
      </w:r>
      <w:r w:rsidR="00FA4E14" w:rsidRPr="000D308F">
        <w:rPr>
          <w:rFonts w:ascii="Verdana" w:hAnsi="Verdana"/>
          <w:sz w:val="16"/>
          <w:szCs w:val="16"/>
        </w:rPr>
        <w:t xml:space="preserve"> te zijner tijd</w:t>
      </w:r>
      <w:r w:rsidR="003D5D2D" w:rsidRPr="000D308F">
        <w:rPr>
          <w:rFonts w:ascii="Verdana" w:hAnsi="Verdana"/>
          <w:sz w:val="16"/>
          <w:szCs w:val="16"/>
        </w:rPr>
        <w:t xml:space="preserve"> worden gepubliceerd in het Publicatieblad van de Europese Unie.</w:t>
      </w:r>
    </w:p>
  </w:footnote>
  <w:footnote w:id="29">
    <w:p w14:paraId="5265E844" w14:textId="0C528856" w:rsidR="008A08FE" w:rsidRPr="008A08FE" w:rsidRDefault="008A08FE">
      <w:pPr>
        <w:pStyle w:val="FootnoteText"/>
      </w:pPr>
      <w:r w:rsidRPr="000D308F">
        <w:rPr>
          <w:rStyle w:val="FootnoteReference"/>
          <w:rFonts w:ascii="Verdana" w:hAnsi="Verdana"/>
          <w:sz w:val="16"/>
          <w:szCs w:val="16"/>
        </w:rPr>
        <w:footnoteRef/>
      </w:r>
      <w:r w:rsidRPr="000D308F">
        <w:rPr>
          <w:rFonts w:ascii="Verdana" w:hAnsi="Verdana"/>
          <w:sz w:val="16"/>
          <w:szCs w:val="16"/>
        </w:rPr>
        <w:t xml:space="preserve"> Zie in het kader van de bevoegdheden van de waarnemers bijvoorbeeld artikel 7, vierde lid, van het reglement van orde van het OACPS-EU-Comité op het niveau van ambassadeurs of hoge ambtenaren</w:t>
      </w:r>
      <w:r w:rsidRPr="000D308F" w:rsidDel="00B359C6">
        <w:rPr>
          <w:rFonts w:ascii="Verdana" w:hAnsi="Verdana"/>
          <w:sz w:val="16"/>
          <w:szCs w:val="16"/>
        </w:rPr>
        <w:t xml:space="preserve"> </w:t>
      </w:r>
      <w:r w:rsidRPr="000D308F">
        <w:rPr>
          <w:rFonts w:ascii="Verdana" w:hAnsi="Verdana"/>
          <w:sz w:val="16"/>
          <w:szCs w:val="16"/>
        </w:rPr>
        <w:t>(OACPS-EU-</w:t>
      </w:r>
      <w:proofErr w:type="spellStart"/>
      <w:r w:rsidRPr="000D308F">
        <w:rPr>
          <w:rFonts w:ascii="Verdana" w:hAnsi="Verdana"/>
          <w:sz w:val="16"/>
          <w:szCs w:val="16"/>
        </w:rPr>
        <w:t>Alsoc</w:t>
      </w:r>
      <w:proofErr w:type="spellEnd"/>
      <w:r w:rsidRPr="000D308F">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E85"/>
    <w:multiLevelType w:val="hybridMultilevel"/>
    <w:tmpl w:val="6F688B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011CA"/>
    <w:multiLevelType w:val="hybridMultilevel"/>
    <w:tmpl w:val="A62A4C50"/>
    <w:lvl w:ilvl="0" w:tplc="DEB0BDB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C3721F"/>
    <w:multiLevelType w:val="hybridMultilevel"/>
    <w:tmpl w:val="4B545B7C"/>
    <w:lvl w:ilvl="0" w:tplc="E64C985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7B4617"/>
    <w:multiLevelType w:val="hybridMultilevel"/>
    <w:tmpl w:val="5B54113C"/>
    <w:lvl w:ilvl="0" w:tplc="5AF60408">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AC0A8E"/>
    <w:multiLevelType w:val="hybridMultilevel"/>
    <w:tmpl w:val="FF700CA2"/>
    <w:lvl w:ilvl="0" w:tplc="DEB0BDB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425AED"/>
    <w:multiLevelType w:val="hybridMultilevel"/>
    <w:tmpl w:val="E1FAC0F0"/>
    <w:lvl w:ilvl="0" w:tplc="DEB0BDB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FF50C6"/>
    <w:multiLevelType w:val="hybridMultilevel"/>
    <w:tmpl w:val="FF7E115C"/>
    <w:lvl w:ilvl="0" w:tplc="5AF60408">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747649"/>
    <w:multiLevelType w:val="hybridMultilevel"/>
    <w:tmpl w:val="EC9C9ED2"/>
    <w:lvl w:ilvl="0" w:tplc="5AF60408">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89296335">
    <w:abstractNumId w:val="0"/>
  </w:num>
  <w:num w:numId="2" w16cid:durableId="1806464200">
    <w:abstractNumId w:val="7"/>
  </w:num>
  <w:num w:numId="3" w16cid:durableId="1890799763">
    <w:abstractNumId w:val="6"/>
  </w:num>
  <w:num w:numId="4" w16cid:durableId="588394179">
    <w:abstractNumId w:val="3"/>
  </w:num>
  <w:num w:numId="5" w16cid:durableId="1692954940">
    <w:abstractNumId w:val="2"/>
  </w:num>
  <w:num w:numId="6" w16cid:durableId="1615207780">
    <w:abstractNumId w:val="4"/>
  </w:num>
  <w:num w:numId="7" w16cid:durableId="953025031">
    <w:abstractNumId w:val="5"/>
  </w:num>
  <w:num w:numId="8" w16cid:durableId="1222208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71B"/>
    <w:rsid w:val="000008D5"/>
    <w:rsid w:val="00001CDD"/>
    <w:rsid w:val="000036A6"/>
    <w:rsid w:val="00007E45"/>
    <w:rsid w:val="0001103D"/>
    <w:rsid w:val="000113B8"/>
    <w:rsid w:val="0001173B"/>
    <w:rsid w:val="000126CC"/>
    <w:rsid w:val="0001306C"/>
    <w:rsid w:val="00013792"/>
    <w:rsid w:val="00015267"/>
    <w:rsid w:val="0001640E"/>
    <w:rsid w:val="00017CE6"/>
    <w:rsid w:val="0002168D"/>
    <w:rsid w:val="00022917"/>
    <w:rsid w:val="000233B9"/>
    <w:rsid w:val="000238DD"/>
    <w:rsid w:val="00023A85"/>
    <w:rsid w:val="00031857"/>
    <w:rsid w:val="00032CCA"/>
    <w:rsid w:val="0003370B"/>
    <w:rsid w:val="00033A45"/>
    <w:rsid w:val="000347A4"/>
    <w:rsid w:val="000369BD"/>
    <w:rsid w:val="00037A2A"/>
    <w:rsid w:val="000449FA"/>
    <w:rsid w:val="00045AD6"/>
    <w:rsid w:val="00045D6C"/>
    <w:rsid w:val="00047956"/>
    <w:rsid w:val="00047A15"/>
    <w:rsid w:val="000502EA"/>
    <w:rsid w:val="000524F6"/>
    <w:rsid w:val="000543D4"/>
    <w:rsid w:val="00054730"/>
    <w:rsid w:val="000558DE"/>
    <w:rsid w:val="00056082"/>
    <w:rsid w:val="000578F0"/>
    <w:rsid w:val="00057B65"/>
    <w:rsid w:val="00061598"/>
    <w:rsid w:val="00061676"/>
    <w:rsid w:val="00067B44"/>
    <w:rsid w:val="00070744"/>
    <w:rsid w:val="00072316"/>
    <w:rsid w:val="00074C6E"/>
    <w:rsid w:val="00077D14"/>
    <w:rsid w:val="00084B8E"/>
    <w:rsid w:val="00084E8E"/>
    <w:rsid w:val="00084ED8"/>
    <w:rsid w:val="00084FB5"/>
    <w:rsid w:val="000876C9"/>
    <w:rsid w:val="00087F7E"/>
    <w:rsid w:val="000912D1"/>
    <w:rsid w:val="0009203C"/>
    <w:rsid w:val="000933F5"/>
    <w:rsid w:val="00093B59"/>
    <w:rsid w:val="00097B5C"/>
    <w:rsid w:val="000A331C"/>
    <w:rsid w:val="000A4739"/>
    <w:rsid w:val="000A4E4D"/>
    <w:rsid w:val="000B0470"/>
    <w:rsid w:val="000B3DDE"/>
    <w:rsid w:val="000B5C94"/>
    <w:rsid w:val="000B654A"/>
    <w:rsid w:val="000C2BF0"/>
    <w:rsid w:val="000C3486"/>
    <w:rsid w:val="000C7C4C"/>
    <w:rsid w:val="000D18F8"/>
    <w:rsid w:val="000D22B7"/>
    <w:rsid w:val="000D2594"/>
    <w:rsid w:val="000D308F"/>
    <w:rsid w:val="000D3908"/>
    <w:rsid w:val="000D4FD0"/>
    <w:rsid w:val="000E1972"/>
    <w:rsid w:val="000E33D0"/>
    <w:rsid w:val="000E34D9"/>
    <w:rsid w:val="000E3BBA"/>
    <w:rsid w:val="000E55FD"/>
    <w:rsid w:val="000F13B4"/>
    <w:rsid w:val="000F2352"/>
    <w:rsid w:val="000F2BC1"/>
    <w:rsid w:val="000F48F9"/>
    <w:rsid w:val="00100178"/>
    <w:rsid w:val="0010109C"/>
    <w:rsid w:val="00101824"/>
    <w:rsid w:val="00103D2F"/>
    <w:rsid w:val="00105FAD"/>
    <w:rsid w:val="001077BF"/>
    <w:rsid w:val="0011174A"/>
    <w:rsid w:val="001142CB"/>
    <w:rsid w:val="0011520E"/>
    <w:rsid w:val="00117B4B"/>
    <w:rsid w:val="00120747"/>
    <w:rsid w:val="00122E20"/>
    <w:rsid w:val="001242BF"/>
    <w:rsid w:val="0012538E"/>
    <w:rsid w:val="00125FB0"/>
    <w:rsid w:val="00126875"/>
    <w:rsid w:val="0012747F"/>
    <w:rsid w:val="00127A30"/>
    <w:rsid w:val="00131CBC"/>
    <w:rsid w:val="001325EF"/>
    <w:rsid w:val="00132983"/>
    <w:rsid w:val="00133E66"/>
    <w:rsid w:val="001346EB"/>
    <w:rsid w:val="00134E17"/>
    <w:rsid w:val="00136ABA"/>
    <w:rsid w:val="0014455F"/>
    <w:rsid w:val="001445DF"/>
    <w:rsid w:val="00150F4E"/>
    <w:rsid w:val="001578D0"/>
    <w:rsid w:val="00165C6C"/>
    <w:rsid w:val="00165D7F"/>
    <w:rsid w:val="00166611"/>
    <w:rsid w:val="00166CEF"/>
    <w:rsid w:val="00172081"/>
    <w:rsid w:val="001818DC"/>
    <w:rsid w:val="0018214F"/>
    <w:rsid w:val="0018278B"/>
    <w:rsid w:val="001858E1"/>
    <w:rsid w:val="00185FF4"/>
    <w:rsid w:val="00187224"/>
    <w:rsid w:val="00191EF6"/>
    <w:rsid w:val="001923DD"/>
    <w:rsid w:val="001971CD"/>
    <w:rsid w:val="00197E6E"/>
    <w:rsid w:val="001A0452"/>
    <w:rsid w:val="001A0F4C"/>
    <w:rsid w:val="001A281C"/>
    <w:rsid w:val="001A4CCF"/>
    <w:rsid w:val="001A540E"/>
    <w:rsid w:val="001A5753"/>
    <w:rsid w:val="001A5809"/>
    <w:rsid w:val="001A668A"/>
    <w:rsid w:val="001A7F16"/>
    <w:rsid w:val="001B1EA6"/>
    <w:rsid w:val="001B55A1"/>
    <w:rsid w:val="001B5A9C"/>
    <w:rsid w:val="001B5D63"/>
    <w:rsid w:val="001B70CE"/>
    <w:rsid w:val="001C3ADF"/>
    <w:rsid w:val="001D2E06"/>
    <w:rsid w:val="001D57AB"/>
    <w:rsid w:val="001D70BF"/>
    <w:rsid w:val="001D73FC"/>
    <w:rsid w:val="001D7C8B"/>
    <w:rsid w:val="001E10D0"/>
    <w:rsid w:val="001E178D"/>
    <w:rsid w:val="001E5193"/>
    <w:rsid w:val="001F13F9"/>
    <w:rsid w:val="001F3A40"/>
    <w:rsid w:val="001F3C5E"/>
    <w:rsid w:val="001F6F1D"/>
    <w:rsid w:val="00201393"/>
    <w:rsid w:val="00201E51"/>
    <w:rsid w:val="00204281"/>
    <w:rsid w:val="00204DA2"/>
    <w:rsid w:val="002075C6"/>
    <w:rsid w:val="0021198F"/>
    <w:rsid w:val="00212FD9"/>
    <w:rsid w:val="00215374"/>
    <w:rsid w:val="00216B19"/>
    <w:rsid w:val="00222DCB"/>
    <w:rsid w:val="00224336"/>
    <w:rsid w:val="00225387"/>
    <w:rsid w:val="002259B7"/>
    <w:rsid w:val="00225EEE"/>
    <w:rsid w:val="00227AFA"/>
    <w:rsid w:val="0023236D"/>
    <w:rsid w:val="00235F76"/>
    <w:rsid w:val="002370DD"/>
    <w:rsid w:val="00240254"/>
    <w:rsid w:val="002422C4"/>
    <w:rsid w:val="00242BFB"/>
    <w:rsid w:val="00244CA2"/>
    <w:rsid w:val="00244D59"/>
    <w:rsid w:val="00246001"/>
    <w:rsid w:val="002609EC"/>
    <w:rsid w:val="00261A34"/>
    <w:rsid w:val="00261A7E"/>
    <w:rsid w:val="002621F6"/>
    <w:rsid w:val="00263794"/>
    <w:rsid w:val="00266804"/>
    <w:rsid w:val="00267371"/>
    <w:rsid w:val="00267745"/>
    <w:rsid w:val="002701D3"/>
    <w:rsid w:val="0027319D"/>
    <w:rsid w:val="002734CA"/>
    <w:rsid w:val="00274541"/>
    <w:rsid w:val="00281765"/>
    <w:rsid w:val="00281E4B"/>
    <w:rsid w:val="002829BB"/>
    <w:rsid w:val="00286707"/>
    <w:rsid w:val="00290264"/>
    <w:rsid w:val="002925AE"/>
    <w:rsid w:val="00293341"/>
    <w:rsid w:val="00293477"/>
    <w:rsid w:val="00293B1D"/>
    <w:rsid w:val="0029758C"/>
    <w:rsid w:val="002A0429"/>
    <w:rsid w:val="002A1848"/>
    <w:rsid w:val="002A1E4F"/>
    <w:rsid w:val="002A2324"/>
    <w:rsid w:val="002A565B"/>
    <w:rsid w:val="002B1FAD"/>
    <w:rsid w:val="002B283D"/>
    <w:rsid w:val="002B5446"/>
    <w:rsid w:val="002B5BD8"/>
    <w:rsid w:val="002B6DA0"/>
    <w:rsid w:val="002B7E94"/>
    <w:rsid w:val="002C2A86"/>
    <w:rsid w:val="002C32E5"/>
    <w:rsid w:val="002C3E86"/>
    <w:rsid w:val="002C4916"/>
    <w:rsid w:val="002C4952"/>
    <w:rsid w:val="002C6030"/>
    <w:rsid w:val="002C7085"/>
    <w:rsid w:val="002C715C"/>
    <w:rsid w:val="002D3758"/>
    <w:rsid w:val="002E06CB"/>
    <w:rsid w:val="002E0CAC"/>
    <w:rsid w:val="002E4A12"/>
    <w:rsid w:val="002E527F"/>
    <w:rsid w:val="002E684F"/>
    <w:rsid w:val="002E711A"/>
    <w:rsid w:val="002F019D"/>
    <w:rsid w:val="002F325F"/>
    <w:rsid w:val="002F35A1"/>
    <w:rsid w:val="002F5574"/>
    <w:rsid w:val="003015D0"/>
    <w:rsid w:val="0030213C"/>
    <w:rsid w:val="003022C4"/>
    <w:rsid w:val="003029A4"/>
    <w:rsid w:val="00302F03"/>
    <w:rsid w:val="003038BB"/>
    <w:rsid w:val="003047B9"/>
    <w:rsid w:val="003056D0"/>
    <w:rsid w:val="00306A24"/>
    <w:rsid w:val="00307205"/>
    <w:rsid w:val="00310A90"/>
    <w:rsid w:val="00312E32"/>
    <w:rsid w:val="0031442D"/>
    <w:rsid w:val="003151FE"/>
    <w:rsid w:val="0031523D"/>
    <w:rsid w:val="003168A1"/>
    <w:rsid w:val="00317662"/>
    <w:rsid w:val="003176C6"/>
    <w:rsid w:val="003202F7"/>
    <w:rsid w:val="00321F26"/>
    <w:rsid w:val="00326F29"/>
    <w:rsid w:val="00327C48"/>
    <w:rsid w:val="00331260"/>
    <w:rsid w:val="003325D7"/>
    <w:rsid w:val="00335B46"/>
    <w:rsid w:val="003360B2"/>
    <w:rsid w:val="00336D21"/>
    <w:rsid w:val="00337304"/>
    <w:rsid w:val="00340AD0"/>
    <w:rsid w:val="0034137B"/>
    <w:rsid w:val="00342112"/>
    <w:rsid w:val="003431BB"/>
    <w:rsid w:val="0034484C"/>
    <w:rsid w:val="00346A29"/>
    <w:rsid w:val="00346C07"/>
    <w:rsid w:val="00346EEB"/>
    <w:rsid w:val="00347009"/>
    <w:rsid w:val="00347AF8"/>
    <w:rsid w:val="00347D90"/>
    <w:rsid w:val="00351B15"/>
    <w:rsid w:val="00353DC1"/>
    <w:rsid w:val="00355DA7"/>
    <w:rsid w:val="003573C8"/>
    <w:rsid w:val="00357677"/>
    <w:rsid w:val="0036133B"/>
    <w:rsid w:val="00364874"/>
    <w:rsid w:val="00365196"/>
    <w:rsid w:val="00365A21"/>
    <w:rsid w:val="003670E5"/>
    <w:rsid w:val="00367250"/>
    <w:rsid w:val="00367F46"/>
    <w:rsid w:val="00367FC7"/>
    <w:rsid w:val="00370B14"/>
    <w:rsid w:val="003710D4"/>
    <w:rsid w:val="0037454A"/>
    <w:rsid w:val="00376959"/>
    <w:rsid w:val="00381D21"/>
    <w:rsid w:val="00382681"/>
    <w:rsid w:val="00383132"/>
    <w:rsid w:val="003840B0"/>
    <w:rsid w:val="00386513"/>
    <w:rsid w:val="0039422A"/>
    <w:rsid w:val="003A0324"/>
    <w:rsid w:val="003A07E5"/>
    <w:rsid w:val="003A0826"/>
    <w:rsid w:val="003A3586"/>
    <w:rsid w:val="003A3A08"/>
    <w:rsid w:val="003A6518"/>
    <w:rsid w:val="003A6A01"/>
    <w:rsid w:val="003B3DE5"/>
    <w:rsid w:val="003C072D"/>
    <w:rsid w:val="003C5771"/>
    <w:rsid w:val="003C5D66"/>
    <w:rsid w:val="003D2CC5"/>
    <w:rsid w:val="003D5D2D"/>
    <w:rsid w:val="003D67E4"/>
    <w:rsid w:val="003E083A"/>
    <w:rsid w:val="003E190F"/>
    <w:rsid w:val="003E1BC2"/>
    <w:rsid w:val="003E6A0F"/>
    <w:rsid w:val="003E7E21"/>
    <w:rsid w:val="003F00D1"/>
    <w:rsid w:val="003F0757"/>
    <w:rsid w:val="003F1067"/>
    <w:rsid w:val="003F6AE1"/>
    <w:rsid w:val="00400131"/>
    <w:rsid w:val="00400FC6"/>
    <w:rsid w:val="00400FFF"/>
    <w:rsid w:val="00401003"/>
    <w:rsid w:val="00402552"/>
    <w:rsid w:val="00403361"/>
    <w:rsid w:val="00403D40"/>
    <w:rsid w:val="00403E9B"/>
    <w:rsid w:val="00404401"/>
    <w:rsid w:val="00405B85"/>
    <w:rsid w:val="004066E7"/>
    <w:rsid w:val="00410062"/>
    <w:rsid w:val="004108A3"/>
    <w:rsid w:val="0041466F"/>
    <w:rsid w:val="004147D8"/>
    <w:rsid w:val="004149FA"/>
    <w:rsid w:val="004225F4"/>
    <w:rsid w:val="00422AB0"/>
    <w:rsid w:val="0042454B"/>
    <w:rsid w:val="00431323"/>
    <w:rsid w:val="00431A56"/>
    <w:rsid w:val="0043405C"/>
    <w:rsid w:val="004348BE"/>
    <w:rsid w:val="00435B26"/>
    <w:rsid w:val="004376B4"/>
    <w:rsid w:val="00440030"/>
    <w:rsid w:val="00447C2D"/>
    <w:rsid w:val="00450BFD"/>
    <w:rsid w:val="00451D9B"/>
    <w:rsid w:val="004523C5"/>
    <w:rsid w:val="0045590B"/>
    <w:rsid w:val="00455CCD"/>
    <w:rsid w:val="0045785A"/>
    <w:rsid w:val="00457BFE"/>
    <w:rsid w:val="00460CBA"/>
    <w:rsid w:val="004612FE"/>
    <w:rsid w:val="004621DE"/>
    <w:rsid w:val="004652FD"/>
    <w:rsid w:val="00465393"/>
    <w:rsid w:val="00467708"/>
    <w:rsid w:val="00471B2E"/>
    <w:rsid w:val="00471E1B"/>
    <w:rsid w:val="00471F7E"/>
    <w:rsid w:val="0047336F"/>
    <w:rsid w:val="004739AE"/>
    <w:rsid w:val="00473FB4"/>
    <w:rsid w:val="0047544C"/>
    <w:rsid w:val="00475B97"/>
    <w:rsid w:val="00484EE7"/>
    <w:rsid w:val="00486F5D"/>
    <w:rsid w:val="00490198"/>
    <w:rsid w:val="00493EAA"/>
    <w:rsid w:val="00496006"/>
    <w:rsid w:val="004973BB"/>
    <w:rsid w:val="004A1F04"/>
    <w:rsid w:val="004A2F01"/>
    <w:rsid w:val="004A3728"/>
    <w:rsid w:val="004A3969"/>
    <w:rsid w:val="004A4E76"/>
    <w:rsid w:val="004A5337"/>
    <w:rsid w:val="004A53D0"/>
    <w:rsid w:val="004A55D6"/>
    <w:rsid w:val="004A7C9A"/>
    <w:rsid w:val="004A7F31"/>
    <w:rsid w:val="004B041E"/>
    <w:rsid w:val="004B1A75"/>
    <w:rsid w:val="004B32E4"/>
    <w:rsid w:val="004B3CA8"/>
    <w:rsid w:val="004B3F48"/>
    <w:rsid w:val="004B72A8"/>
    <w:rsid w:val="004B7A35"/>
    <w:rsid w:val="004C2EDF"/>
    <w:rsid w:val="004C61F9"/>
    <w:rsid w:val="004D0E06"/>
    <w:rsid w:val="004D467E"/>
    <w:rsid w:val="004D6181"/>
    <w:rsid w:val="004D6B46"/>
    <w:rsid w:val="004E02B0"/>
    <w:rsid w:val="004E2F5F"/>
    <w:rsid w:val="004E3048"/>
    <w:rsid w:val="004E7544"/>
    <w:rsid w:val="004F1284"/>
    <w:rsid w:val="004F1D14"/>
    <w:rsid w:val="004F216A"/>
    <w:rsid w:val="004F3DD0"/>
    <w:rsid w:val="004F6053"/>
    <w:rsid w:val="004F758D"/>
    <w:rsid w:val="0050098F"/>
    <w:rsid w:val="0050583A"/>
    <w:rsid w:val="00507EE5"/>
    <w:rsid w:val="005105A2"/>
    <w:rsid w:val="00511E0E"/>
    <w:rsid w:val="0051223D"/>
    <w:rsid w:val="005156A3"/>
    <w:rsid w:val="00515F5B"/>
    <w:rsid w:val="0051699D"/>
    <w:rsid w:val="0051734D"/>
    <w:rsid w:val="005179E5"/>
    <w:rsid w:val="0052126E"/>
    <w:rsid w:val="005214EE"/>
    <w:rsid w:val="005256AC"/>
    <w:rsid w:val="005256E4"/>
    <w:rsid w:val="00526561"/>
    <w:rsid w:val="005303AD"/>
    <w:rsid w:val="00531947"/>
    <w:rsid w:val="0053204B"/>
    <w:rsid w:val="00534289"/>
    <w:rsid w:val="00534CD8"/>
    <w:rsid w:val="00537B82"/>
    <w:rsid w:val="005448B6"/>
    <w:rsid w:val="00544FBF"/>
    <w:rsid w:val="005457DD"/>
    <w:rsid w:val="005474A1"/>
    <w:rsid w:val="005474CF"/>
    <w:rsid w:val="0054788E"/>
    <w:rsid w:val="00547AA8"/>
    <w:rsid w:val="005503EC"/>
    <w:rsid w:val="00550AF0"/>
    <w:rsid w:val="00551A8A"/>
    <w:rsid w:val="005536E7"/>
    <w:rsid w:val="00554C4F"/>
    <w:rsid w:val="0056021F"/>
    <w:rsid w:val="00560C33"/>
    <w:rsid w:val="005643AD"/>
    <w:rsid w:val="00565F4B"/>
    <w:rsid w:val="00566844"/>
    <w:rsid w:val="005707E7"/>
    <w:rsid w:val="00570A31"/>
    <w:rsid w:val="00570F7A"/>
    <w:rsid w:val="00572103"/>
    <w:rsid w:val="00572AAF"/>
    <w:rsid w:val="00572D71"/>
    <w:rsid w:val="00573C0C"/>
    <w:rsid w:val="00574898"/>
    <w:rsid w:val="005762B9"/>
    <w:rsid w:val="00580FD4"/>
    <w:rsid w:val="0058141A"/>
    <w:rsid w:val="005844D4"/>
    <w:rsid w:val="00584913"/>
    <w:rsid w:val="0059034F"/>
    <w:rsid w:val="0059048E"/>
    <w:rsid w:val="005904D2"/>
    <w:rsid w:val="00591E53"/>
    <w:rsid w:val="00592233"/>
    <w:rsid w:val="00592F98"/>
    <w:rsid w:val="00595CD7"/>
    <w:rsid w:val="005A07AD"/>
    <w:rsid w:val="005A081E"/>
    <w:rsid w:val="005A083F"/>
    <w:rsid w:val="005A200F"/>
    <w:rsid w:val="005A29F1"/>
    <w:rsid w:val="005A60F9"/>
    <w:rsid w:val="005B0461"/>
    <w:rsid w:val="005B0D69"/>
    <w:rsid w:val="005B2972"/>
    <w:rsid w:val="005B2D7A"/>
    <w:rsid w:val="005B3384"/>
    <w:rsid w:val="005B3591"/>
    <w:rsid w:val="005B5795"/>
    <w:rsid w:val="005B6319"/>
    <w:rsid w:val="005C181D"/>
    <w:rsid w:val="005C2FB7"/>
    <w:rsid w:val="005C5637"/>
    <w:rsid w:val="005C599B"/>
    <w:rsid w:val="005D301B"/>
    <w:rsid w:val="005D30FC"/>
    <w:rsid w:val="005D403E"/>
    <w:rsid w:val="005E05D4"/>
    <w:rsid w:val="005E4068"/>
    <w:rsid w:val="005E530E"/>
    <w:rsid w:val="005E533B"/>
    <w:rsid w:val="005E6DD4"/>
    <w:rsid w:val="005E7C13"/>
    <w:rsid w:val="005F03D3"/>
    <w:rsid w:val="005F157C"/>
    <w:rsid w:val="005F22D0"/>
    <w:rsid w:val="005F2943"/>
    <w:rsid w:val="005F3B7A"/>
    <w:rsid w:val="005F65BD"/>
    <w:rsid w:val="00602F21"/>
    <w:rsid w:val="00602FD3"/>
    <w:rsid w:val="006032B7"/>
    <w:rsid w:val="0060354D"/>
    <w:rsid w:val="0060483B"/>
    <w:rsid w:val="00605395"/>
    <w:rsid w:val="0060633F"/>
    <w:rsid w:val="00610543"/>
    <w:rsid w:val="0061062F"/>
    <w:rsid w:val="00610974"/>
    <w:rsid w:val="00611A6F"/>
    <w:rsid w:val="00613292"/>
    <w:rsid w:val="0061343F"/>
    <w:rsid w:val="00616B46"/>
    <w:rsid w:val="00624079"/>
    <w:rsid w:val="006245FF"/>
    <w:rsid w:val="00624934"/>
    <w:rsid w:val="006258AA"/>
    <w:rsid w:val="00625A3A"/>
    <w:rsid w:val="00627625"/>
    <w:rsid w:val="006305C2"/>
    <w:rsid w:val="0063112A"/>
    <w:rsid w:val="00631368"/>
    <w:rsid w:val="00636C7A"/>
    <w:rsid w:val="00637FD2"/>
    <w:rsid w:val="00643A55"/>
    <w:rsid w:val="00644061"/>
    <w:rsid w:val="00644947"/>
    <w:rsid w:val="006449A1"/>
    <w:rsid w:val="006457E7"/>
    <w:rsid w:val="006525CD"/>
    <w:rsid w:val="006528A5"/>
    <w:rsid w:val="00654B7D"/>
    <w:rsid w:val="0065515D"/>
    <w:rsid w:val="00655634"/>
    <w:rsid w:val="006576A9"/>
    <w:rsid w:val="00661291"/>
    <w:rsid w:val="0066189F"/>
    <w:rsid w:val="00662130"/>
    <w:rsid w:val="00663E18"/>
    <w:rsid w:val="006766F1"/>
    <w:rsid w:val="00676EE0"/>
    <w:rsid w:val="00677728"/>
    <w:rsid w:val="00680DDE"/>
    <w:rsid w:val="0068165E"/>
    <w:rsid w:val="00681D43"/>
    <w:rsid w:val="00681FBE"/>
    <w:rsid w:val="00681FF6"/>
    <w:rsid w:val="00683415"/>
    <w:rsid w:val="00687069"/>
    <w:rsid w:val="00690EEE"/>
    <w:rsid w:val="00692DFB"/>
    <w:rsid w:val="0069419C"/>
    <w:rsid w:val="00694A25"/>
    <w:rsid w:val="006953E1"/>
    <w:rsid w:val="00695AA9"/>
    <w:rsid w:val="006A0543"/>
    <w:rsid w:val="006A0B09"/>
    <w:rsid w:val="006A2DCA"/>
    <w:rsid w:val="006A3B81"/>
    <w:rsid w:val="006A5D08"/>
    <w:rsid w:val="006A6E99"/>
    <w:rsid w:val="006A7BD2"/>
    <w:rsid w:val="006A7E57"/>
    <w:rsid w:val="006B0BA0"/>
    <w:rsid w:val="006B0C62"/>
    <w:rsid w:val="006B1C0C"/>
    <w:rsid w:val="006B35D4"/>
    <w:rsid w:val="006B394A"/>
    <w:rsid w:val="006B51D4"/>
    <w:rsid w:val="006B55C3"/>
    <w:rsid w:val="006B7552"/>
    <w:rsid w:val="006C098C"/>
    <w:rsid w:val="006C23D2"/>
    <w:rsid w:val="006C5977"/>
    <w:rsid w:val="006C5EA8"/>
    <w:rsid w:val="006C65BB"/>
    <w:rsid w:val="006C6CD8"/>
    <w:rsid w:val="006C7C08"/>
    <w:rsid w:val="006D037B"/>
    <w:rsid w:val="006D1826"/>
    <w:rsid w:val="006D1E31"/>
    <w:rsid w:val="006D3050"/>
    <w:rsid w:val="006D54F0"/>
    <w:rsid w:val="006D5F9E"/>
    <w:rsid w:val="006D682F"/>
    <w:rsid w:val="006D69E3"/>
    <w:rsid w:val="006E3F53"/>
    <w:rsid w:val="006E580D"/>
    <w:rsid w:val="006E6291"/>
    <w:rsid w:val="006F4545"/>
    <w:rsid w:val="006F4BF8"/>
    <w:rsid w:val="006F626C"/>
    <w:rsid w:val="006F6B6D"/>
    <w:rsid w:val="007005D0"/>
    <w:rsid w:val="00702DDE"/>
    <w:rsid w:val="007034A5"/>
    <w:rsid w:val="0070430E"/>
    <w:rsid w:val="00705FCF"/>
    <w:rsid w:val="00706C7F"/>
    <w:rsid w:val="007071F3"/>
    <w:rsid w:val="00707234"/>
    <w:rsid w:val="00710678"/>
    <w:rsid w:val="00710CD4"/>
    <w:rsid w:val="007115F5"/>
    <w:rsid w:val="00711E6F"/>
    <w:rsid w:val="0071300D"/>
    <w:rsid w:val="007135F8"/>
    <w:rsid w:val="00715D19"/>
    <w:rsid w:val="0071716A"/>
    <w:rsid w:val="007175EB"/>
    <w:rsid w:val="00721EC1"/>
    <w:rsid w:val="00724A55"/>
    <w:rsid w:val="007258D8"/>
    <w:rsid w:val="00730056"/>
    <w:rsid w:val="00730B98"/>
    <w:rsid w:val="00731BC9"/>
    <w:rsid w:val="00731BCB"/>
    <w:rsid w:val="00732009"/>
    <w:rsid w:val="00732E14"/>
    <w:rsid w:val="00733184"/>
    <w:rsid w:val="0073453C"/>
    <w:rsid w:val="00734666"/>
    <w:rsid w:val="00735400"/>
    <w:rsid w:val="00735D47"/>
    <w:rsid w:val="00736D29"/>
    <w:rsid w:val="007375C7"/>
    <w:rsid w:val="007403A3"/>
    <w:rsid w:val="007410B5"/>
    <w:rsid w:val="0074271C"/>
    <w:rsid w:val="007444FA"/>
    <w:rsid w:val="00747B96"/>
    <w:rsid w:val="00747E85"/>
    <w:rsid w:val="00751496"/>
    <w:rsid w:val="007576B1"/>
    <w:rsid w:val="0076050F"/>
    <w:rsid w:val="00761F2F"/>
    <w:rsid w:val="0076393A"/>
    <w:rsid w:val="00772C57"/>
    <w:rsid w:val="00772F62"/>
    <w:rsid w:val="0077327C"/>
    <w:rsid w:val="007817A7"/>
    <w:rsid w:val="007824B7"/>
    <w:rsid w:val="00782B4B"/>
    <w:rsid w:val="00783250"/>
    <w:rsid w:val="00783596"/>
    <w:rsid w:val="007861FD"/>
    <w:rsid w:val="007903BD"/>
    <w:rsid w:val="00791A5A"/>
    <w:rsid w:val="007935E6"/>
    <w:rsid w:val="00794F3F"/>
    <w:rsid w:val="00795F66"/>
    <w:rsid w:val="00797E18"/>
    <w:rsid w:val="007A29F1"/>
    <w:rsid w:val="007A2F16"/>
    <w:rsid w:val="007A64F8"/>
    <w:rsid w:val="007A77A2"/>
    <w:rsid w:val="007A7CE9"/>
    <w:rsid w:val="007B03EE"/>
    <w:rsid w:val="007B29D7"/>
    <w:rsid w:val="007B2C98"/>
    <w:rsid w:val="007C0875"/>
    <w:rsid w:val="007C264B"/>
    <w:rsid w:val="007C6A6F"/>
    <w:rsid w:val="007D4265"/>
    <w:rsid w:val="007D4D94"/>
    <w:rsid w:val="007D591A"/>
    <w:rsid w:val="007D680E"/>
    <w:rsid w:val="007E4C2A"/>
    <w:rsid w:val="007F054F"/>
    <w:rsid w:val="007F2630"/>
    <w:rsid w:val="007F2C4D"/>
    <w:rsid w:val="007F3173"/>
    <w:rsid w:val="007F55DD"/>
    <w:rsid w:val="007F71CB"/>
    <w:rsid w:val="00800324"/>
    <w:rsid w:val="008021AA"/>
    <w:rsid w:val="008032CA"/>
    <w:rsid w:val="00803D47"/>
    <w:rsid w:val="00805BC9"/>
    <w:rsid w:val="008060FE"/>
    <w:rsid w:val="00806CAD"/>
    <w:rsid w:val="00806EA5"/>
    <w:rsid w:val="008079FA"/>
    <w:rsid w:val="00810548"/>
    <w:rsid w:val="008110CE"/>
    <w:rsid w:val="00813947"/>
    <w:rsid w:val="00816C0E"/>
    <w:rsid w:val="00817C65"/>
    <w:rsid w:val="00823523"/>
    <w:rsid w:val="008257F3"/>
    <w:rsid w:val="0083187D"/>
    <w:rsid w:val="00832EC3"/>
    <w:rsid w:val="008357D8"/>
    <w:rsid w:val="00835D39"/>
    <w:rsid w:val="00837DAE"/>
    <w:rsid w:val="008422E3"/>
    <w:rsid w:val="00843B1A"/>
    <w:rsid w:val="00843DE1"/>
    <w:rsid w:val="00844146"/>
    <w:rsid w:val="00845203"/>
    <w:rsid w:val="0085302B"/>
    <w:rsid w:val="0085490F"/>
    <w:rsid w:val="00854949"/>
    <w:rsid w:val="00855631"/>
    <w:rsid w:val="00864B13"/>
    <w:rsid w:val="00864DCC"/>
    <w:rsid w:val="00866DDC"/>
    <w:rsid w:val="0086764D"/>
    <w:rsid w:val="00867C80"/>
    <w:rsid w:val="00875249"/>
    <w:rsid w:val="008759F7"/>
    <w:rsid w:val="00877843"/>
    <w:rsid w:val="00880896"/>
    <w:rsid w:val="00880E2E"/>
    <w:rsid w:val="00881F4E"/>
    <w:rsid w:val="00881FCE"/>
    <w:rsid w:val="00882841"/>
    <w:rsid w:val="008845E8"/>
    <w:rsid w:val="008871C5"/>
    <w:rsid w:val="008910F2"/>
    <w:rsid w:val="00892AE5"/>
    <w:rsid w:val="00896A0A"/>
    <w:rsid w:val="00897221"/>
    <w:rsid w:val="008A08FE"/>
    <w:rsid w:val="008A15DD"/>
    <w:rsid w:val="008A46D4"/>
    <w:rsid w:val="008A7BE5"/>
    <w:rsid w:val="008B0124"/>
    <w:rsid w:val="008B3612"/>
    <w:rsid w:val="008B4705"/>
    <w:rsid w:val="008B4A37"/>
    <w:rsid w:val="008B4C31"/>
    <w:rsid w:val="008B6D34"/>
    <w:rsid w:val="008C18F3"/>
    <w:rsid w:val="008C26EB"/>
    <w:rsid w:val="008D1496"/>
    <w:rsid w:val="008D16FC"/>
    <w:rsid w:val="008D1820"/>
    <w:rsid w:val="008D1FC1"/>
    <w:rsid w:val="008D37BB"/>
    <w:rsid w:val="008D5B8D"/>
    <w:rsid w:val="008D6C29"/>
    <w:rsid w:val="008E13EF"/>
    <w:rsid w:val="008E7FCD"/>
    <w:rsid w:val="008F1EA6"/>
    <w:rsid w:val="008F25C5"/>
    <w:rsid w:val="008F2AC1"/>
    <w:rsid w:val="008F3BBF"/>
    <w:rsid w:val="008F791C"/>
    <w:rsid w:val="008F7B44"/>
    <w:rsid w:val="00901E18"/>
    <w:rsid w:val="00903042"/>
    <w:rsid w:val="00903FBC"/>
    <w:rsid w:val="00906DF6"/>
    <w:rsid w:val="009075E1"/>
    <w:rsid w:val="00910B11"/>
    <w:rsid w:val="00912C26"/>
    <w:rsid w:val="00915F3F"/>
    <w:rsid w:val="00916EC6"/>
    <w:rsid w:val="00922967"/>
    <w:rsid w:val="00924B9A"/>
    <w:rsid w:val="009266AD"/>
    <w:rsid w:val="00927FFE"/>
    <w:rsid w:val="009375B6"/>
    <w:rsid w:val="009379AB"/>
    <w:rsid w:val="00940749"/>
    <w:rsid w:val="00940EB6"/>
    <w:rsid w:val="009418BD"/>
    <w:rsid w:val="00942A1B"/>
    <w:rsid w:val="00945265"/>
    <w:rsid w:val="00945D82"/>
    <w:rsid w:val="009465B2"/>
    <w:rsid w:val="009475DD"/>
    <w:rsid w:val="009477EF"/>
    <w:rsid w:val="00947997"/>
    <w:rsid w:val="0095073E"/>
    <w:rsid w:val="009510E3"/>
    <w:rsid w:val="00953328"/>
    <w:rsid w:val="00956BCE"/>
    <w:rsid w:val="00962D16"/>
    <w:rsid w:val="00965E6E"/>
    <w:rsid w:val="0096755A"/>
    <w:rsid w:val="00967900"/>
    <w:rsid w:val="00967A6E"/>
    <w:rsid w:val="0097040A"/>
    <w:rsid w:val="0097041D"/>
    <w:rsid w:val="0097072C"/>
    <w:rsid w:val="009740D1"/>
    <w:rsid w:val="00975426"/>
    <w:rsid w:val="009807C5"/>
    <w:rsid w:val="00980ECB"/>
    <w:rsid w:val="00983B1C"/>
    <w:rsid w:val="00983E79"/>
    <w:rsid w:val="009870B4"/>
    <w:rsid w:val="00993889"/>
    <w:rsid w:val="00996206"/>
    <w:rsid w:val="00997FE6"/>
    <w:rsid w:val="009A0F46"/>
    <w:rsid w:val="009A4CCB"/>
    <w:rsid w:val="009B0428"/>
    <w:rsid w:val="009B376A"/>
    <w:rsid w:val="009B4536"/>
    <w:rsid w:val="009C08E3"/>
    <w:rsid w:val="009C0C90"/>
    <w:rsid w:val="009C2302"/>
    <w:rsid w:val="009C3AFE"/>
    <w:rsid w:val="009C62DC"/>
    <w:rsid w:val="009C6B59"/>
    <w:rsid w:val="009C7F7C"/>
    <w:rsid w:val="009D029C"/>
    <w:rsid w:val="009D24FB"/>
    <w:rsid w:val="009D2E73"/>
    <w:rsid w:val="009D3395"/>
    <w:rsid w:val="009D3913"/>
    <w:rsid w:val="009D5C15"/>
    <w:rsid w:val="009D6355"/>
    <w:rsid w:val="009D7DA6"/>
    <w:rsid w:val="009E092A"/>
    <w:rsid w:val="009E20C9"/>
    <w:rsid w:val="009E42E1"/>
    <w:rsid w:val="009E51E1"/>
    <w:rsid w:val="009E6BD0"/>
    <w:rsid w:val="009F0084"/>
    <w:rsid w:val="009F08FC"/>
    <w:rsid w:val="009F48AE"/>
    <w:rsid w:val="009F5DA2"/>
    <w:rsid w:val="009F6D06"/>
    <w:rsid w:val="00A012C6"/>
    <w:rsid w:val="00A01F32"/>
    <w:rsid w:val="00A03921"/>
    <w:rsid w:val="00A03CC3"/>
    <w:rsid w:val="00A0635D"/>
    <w:rsid w:val="00A06635"/>
    <w:rsid w:val="00A06879"/>
    <w:rsid w:val="00A1576E"/>
    <w:rsid w:val="00A16B0B"/>
    <w:rsid w:val="00A2158E"/>
    <w:rsid w:val="00A21C3C"/>
    <w:rsid w:val="00A21E02"/>
    <w:rsid w:val="00A23252"/>
    <w:rsid w:val="00A24DEC"/>
    <w:rsid w:val="00A2598C"/>
    <w:rsid w:val="00A25E52"/>
    <w:rsid w:val="00A27CB3"/>
    <w:rsid w:val="00A30896"/>
    <w:rsid w:val="00A32EEB"/>
    <w:rsid w:val="00A3559A"/>
    <w:rsid w:val="00A42D11"/>
    <w:rsid w:val="00A437F2"/>
    <w:rsid w:val="00A45EEC"/>
    <w:rsid w:val="00A476F5"/>
    <w:rsid w:val="00A5092D"/>
    <w:rsid w:val="00A50CBE"/>
    <w:rsid w:val="00A55BC8"/>
    <w:rsid w:val="00A60CB9"/>
    <w:rsid w:val="00A61213"/>
    <w:rsid w:val="00A61E47"/>
    <w:rsid w:val="00A62EE9"/>
    <w:rsid w:val="00A63AAD"/>
    <w:rsid w:val="00A70692"/>
    <w:rsid w:val="00A721BE"/>
    <w:rsid w:val="00A724FE"/>
    <w:rsid w:val="00A733EA"/>
    <w:rsid w:val="00A73832"/>
    <w:rsid w:val="00A856F7"/>
    <w:rsid w:val="00A85A2F"/>
    <w:rsid w:val="00A87051"/>
    <w:rsid w:val="00A8713D"/>
    <w:rsid w:val="00A87DB4"/>
    <w:rsid w:val="00A9399B"/>
    <w:rsid w:val="00A94174"/>
    <w:rsid w:val="00A95795"/>
    <w:rsid w:val="00AA5D8C"/>
    <w:rsid w:val="00AA621A"/>
    <w:rsid w:val="00AB1023"/>
    <w:rsid w:val="00AB1C08"/>
    <w:rsid w:val="00AB5F70"/>
    <w:rsid w:val="00AC14F9"/>
    <w:rsid w:val="00AC1CBE"/>
    <w:rsid w:val="00AC2183"/>
    <w:rsid w:val="00AC2391"/>
    <w:rsid w:val="00AC38DD"/>
    <w:rsid w:val="00AC6957"/>
    <w:rsid w:val="00AC70AB"/>
    <w:rsid w:val="00AC75EF"/>
    <w:rsid w:val="00AD01AE"/>
    <w:rsid w:val="00AD5B19"/>
    <w:rsid w:val="00AE4006"/>
    <w:rsid w:val="00AE47C5"/>
    <w:rsid w:val="00AE6A8D"/>
    <w:rsid w:val="00AE7867"/>
    <w:rsid w:val="00AF00DD"/>
    <w:rsid w:val="00AF0D99"/>
    <w:rsid w:val="00AF1233"/>
    <w:rsid w:val="00AF2677"/>
    <w:rsid w:val="00AF566B"/>
    <w:rsid w:val="00B00D6A"/>
    <w:rsid w:val="00B01A68"/>
    <w:rsid w:val="00B02A77"/>
    <w:rsid w:val="00B0337C"/>
    <w:rsid w:val="00B03C83"/>
    <w:rsid w:val="00B04832"/>
    <w:rsid w:val="00B1203C"/>
    <w:rsid w:val="00B16731"/>
    <w:rsid w:val="00B16F97"/>
    <w:rsid w:val="00B172BF"/>
    <w:rsid w:val="00B23F06"/>
    <w:rsid w:val="00B24654"/>
    <w:rsid w:val="00B24C3C"/>
    <w:rsid w:val="00B25D1E"/>
    <w:rsid w:val="00B26BC2"/>
    <w:rsid w:val="00B27058"/>
    <w:rsid w:val="00B3027D"/>
    <w:rsid w:val="00B32C28"/>
    <w:rsid w:val="00B34EB4"/>
    <w:rsid w:val="00B35161"/>
    <w:rsid w:val="00B35652"/>
    <w:rsid w:val="00B359C6"/>
    <w:rsid w:val="00B37126"/>
    <w:rsid w:val="00B40909"/>
    <w:rsid w:val="00B40F89"/>
    <w:rsid w:val="00B427EC"/>
    <w:rsid w:val="00B430BA"/>
    <w:rsid w:val="00B501EB"/>
    <w:rsid w:val="00B537BA"/>
    <w:rsid w:val="00B538E9"/>
    <w:rsid w:val="00B5724B"/>
    <w:rsid w:val="00B6176F"/>
    <w:rsid w:val="00B639AE"/>
    <w:rsid w:val="00B64F97"/>
    <w:rsid w:val="00B65061"/>
    <w:rsid w:val="00B661CB"/>
    <w:rsid w:val="00B668C0"/>
    <w:rsid w:val="00B669BC"/>
    <w:rsid w:val="00B6751A"/>
    <w:rsid w:val="00B675A6"/>
    <w:rsid w:val="00B70A05"/>
    <w:rsid w:val="00B717E1"/>
    <w:rsid w:val="00B72981"/>
    <w:rsid w:val="00B75802"/>
    <w:rsid w:val="00B76661"/>
    <w:rsid w:val="00B803B8"/>
    <w:rsid w:val="00B8096C"/>
    <w:rsid w:val="00B8198D"/>
    <w:rsid w:val="00B82A53"/>
    <w:rsid w:val="00B86603"/>
    <w:rsid w:val="00B8775C"/>
    <w:rsid w:val="00B905B4"/>
    <w:rsid w:val="00B91315"/>
    <w:rsid w:val="00B91726"/>
    <w:rsid w:val="00B978BB"/>
    <w:rsid w:val="00B979B4"/>
    <w:rsid w:val="00BA0C23"/>
    <w:rsid w:val="00BA1530"/>
    <w:rsid w:val="00BA4220"/>
    <w:rsid w:val="00BA5D0B"/>
    <w:rsid w:val="00BA6E42"/>
    <w:rsid w:val="00BA6F47"/>
    <w:rsid w:val="00BA7467"/>
    <w:rsid w:val="00BB10D9"/>
    <w:rsid w:val="00BB2DDA"/>
    <w:rsid w:val="00BB348C"/>
    <w:rsid w:val="00BB377E"/>
    <w:rsid w:val="00BB7D3D"/>
    <w:rsid w:val="00BC26B2"/>
    <w:rsid w:val="00BC4D79"/>
    <w:rsid w:val="00BC533A"/>
    <w:rsid w:val="00BC5972"/>
    <w:rsid w:val="00BD10A7"/>
    <w:rsid w:val="00BD1234"/>
    <w:rsid w:val="00BD16DB"/>
    <w:rsid w:val="00BD29F8"/>
    <w:rsid w:val="00BD2C7E"/>
    <w:rsid w:val="00BD3973"/>
    <w:rsid w:val="00BD3F7F"/>
    <w:rsid w:val="00BD458A"/>
    <w:rsid w:val="00BD5927"/>
    <w:rsid w:val="00BD674C"/>
    <w:rsid w:val="00BD6769"/>
    <w:rsid w:val="00BD72A8"/>
    <w:rsid w:val="00BD7DD8"/>
    <w:rsid w:val="00BE0C36"/>
    <w:rsid w:val="00BE1371"/>
    <w:rsid w:val="00BE19AC"/>
    <w:rsid w:val="00BE2F3D"/>
    <w:rsid w:val="00BE522D"/>
    <w:rsid w:val="00BE5A6D"/>
    <w:rsid w:val="00BE6722"/>
    <w:rsid w:val="00BE6D75"/>
    <w:rsid w:val="00BF011F"/>
    <w:rsid w:val="00BF0128"/>
    <w:rsid w:val="00BF0963"/>
    <w:rsid w:val="00BF3414"/>
    <w:rsid w:val="00BF38B9"/>
    <w:rsid w:val="00BF4E12"/>
    <w:rsid w:val="00BF636C"/>
    <w:rsid w:val="00BF680A"/>
    <w:rsid w:val="00C0060C"/>
    <w:rsid w:val="00C007CF"/>
    <w:rsid w:val="00C02FCD"/>
    <w:rsid w:val="00C0481A"/>
    <w:rsid w:val="00C048EC"/>
    <w:rsid w:val="00C05749"/>
    <w:rsid w:val="00C0584A"/>
    <w:rsid w:val="00C06F7C"/>
    <w:rsid w:val="00C121D3"/>
    <w:rsid w:val="00C14555"/>
    <w:rsid w:val="00C17A07"/>
    <w:rsid w:val="00C17C70"/>
    <w:rsid w:val="00C20636"/>
    <w:rsid w:val="00C23B87"/>
    <w:rsid w:val="00C24ED4"/>
    <w:rsid w:val="00C303E7"/>
    <w:rsid w:val="00C3052A"/>
    <w:rsid w:val="00C31294"/>
    <w:rsid w:val="00C31F48"/>
    <w:rsid w:val="00C34C53"/>
    <w:rsid w:val="00C415C7"/>
    <w:rsid w:val="00C41627"/>
    <w:rsid w:val="00C41C32"/>
    <w:rsid w:val="00C42AF1"/>
    <w:rsid w:val="00C51475"/>
    <w:rsid w:val="00C51B10"/>
    <w:rsid w:val="00C5388F"/>
    <w:rsid w:val="00C57674"/>
    <w:rsid w:val="00C63961"/>
    <w:rsid w:val="00C65861"/>
    <w:rsid w:val="00C67F3F"/>
    <w:rsid w:val="00C70133"/>
    <w:rsid w:val="00C7181D"/>
    <w:rsid w:val="00C71E33"/>
    <w:rsid w:val="00C7296C"/>
    <w:rsid w:val="00C73C4C"/>
    <w:rsid w:val="00C73FA8"/>
    <w:rsid w:val="00C74BD5"/>
    <w:rsid w:val="00C77EF9"/>
    <w:rsid w:val="00C80646"/>
    <w:rsid w:val="00C824FF"/>
    <w:rsid w:val="00C82BDC"/>
    <w:rsid w:val="00C82FB6"/>
    <w:rsid w:val="00C843D4"/>
    <w:rsid w:val="00C871EA"/>
    <w:rsid w:val="00C87BCE"/>
    <w:rsid w:val="00C87FD4"/>
    <w:rsid w:val="00C90ABB"/>
    <w:rsid w:val="00C923C0"/>
    <w:rsid w:val="00C939B2"/>
    <w:rsid w:val="00C93C3B"/>
    <w:rsid w:val="00C95087"/>
    <w:rsid w:val="00CA2D8F"/>
    <w:rsid w:val="00CA2E17"/>
    <w:rsid w:val="00CA4CC4"/>
    <w:rsid w:val="00CA51A5"/>
    <w:rsid w:val="00CA569C"/>
    <w:rsid w:val="00CA5AC7"/>
    <w:rsid w:val="00CA6891"/>
    <w:rsid w:val="00CA6BA3"/>
    <w:rsid w:val="00CA7DDE"/>
    <w:rsid w:val="00CB0B1A"/>
    <w:rsid w:val="00CB15E6"/>
    <w:rsid w:val="00CB2190"/>
    <w:rsid w:val="00CB3AC3"/>
    <w:rsid w:val="00CB3BB0"/>
    <w:rsid w:val="00CC11A5"/>
    <w:rsid w:val="00CC3659"/>
    <w:rsid w:val="00CC3B82"/>
    <w:rsid w:val="00CC4D2C"/>
    <w:rsid w:val="00CC6B7D"/>
    <w:rsid w:val="00CC7B22"/>
    <w:rsid w:val="00CD21B3"/>
    <w:rsid w:val="00CD35F6"/>
    <w:rsid w:val="00CD4899"/>
    <w:rsid w:val="00CD4F1B"/>
    <w:rsid w:val="00CE03B3"/>
    <w:rsid w:val="00CE0EF0"/>
    <w:rsid w:val="00CE1367"/>
    <w:rsid w:val="00CE3CA6"/>
    <w:rsid w:val="00CE41A5"/>
    <w:rsid w:val="00CE5B40"/>
    <w:rsid w:val="00CE6090"/>
    <w:rsid w:val="00CE73D1"/>
    <w:rsid w:val="00CE7473"/>
    <w:rsid w:val="00CF2522"/>
    <w:rsid w:val="00CF54FA"/>
    <w:rsid w:val="00CF59CB"/>
    <w:rsid w:val="00CF6CCB"/>
    <w:rsid w:val="00D051DE"/>
    <w:rsid w:val="00D10CDA"/>
    <w:rsid w:val="00D11873"/>
    <w:rsid w:val="00D11895"/>
    <w:rsid w:val="00D125A7"/>
    <w:rsid w:val="00D1437B"/>
    <w:rsid w:val="00D1691C"/>
    <w:rsid w:val="00D20099"/>
    <w:rsid w:val="00D20832"/>
    <w:rsid w:val="00D209D6"/>
    <w:rsid w:val="00D211E8"/>
    <w:rsid w:val="00D23A7D"/>
    <w:rsid w:val="00D30DA9"/>
    <w:rsid w:val="00D354D4"/>
    <w:rsid w:val="00D36032"/>
    <w:rsid w:val="00D377FE"/>
    <w:rsid w:val="00D42FA8"/>
    <w:rsid w:val="00D52AD1"/>
    <w:rsid w:val="00D52C84"/>
    <w:rsid w:val="00D55DC9"/>
    <w:rsid w:val="00D60494"/>
    <w:rsid w:val="00D62AD3"/>
    <w:rsid w:val="00D64A81"/>
    <w:rsid w:val="00D70E5F"/>
    <w:rsid w:val="00D742CB"/>
    <w:rsid w:val="00D76ED7"/>
    <w:rsid w:val="00D80190"/>
    <w:rsid w:val="00D80308"/>
    <w:rsid w:val="00D80A7A"/>
    <w:rsid w:val="00D81994"/>
    <w:rsid w:val="00D82AD6"/>
    <w:rsid w:val="00D85EE3"/>
    <w:rsid w:val="00D871FC"/>
    <w:rsid w:val="00D91068"/>
    <w:rsid w:val="00D9224D"/>
    <w:rsid w:val="00D95D8B"/>
    <w:rsid w:val="00D97139"/>
    <w:rsid w:val="00D97B20"/>
    <w:rsid w:val="00DA036D"/>
    <w:rsid w:val="00DA3490"/>
    <w:rsid w:val="00DA4126"/>
    <w:rsid w:val="00DA4297"/>
    <w:rsid w:val="00DA48D1"/>
    <w:rsid w:val="00DA525D"/>
    <w:rsid w:val="00DA7A09"/>
    <w:rsid w:val="00DB36C3"/>
    <w:rsid w:val="00DB3B27"/>
    <w:rsid w:val="00DB7B04"/>
    <w:rsid w:val="00DC0438"/>
    <w:rsid w:val="00DC0F99"/>
    <w:rsid w:val="00DC39A4"/>
    <w:rsid w:val="00DC4581"/>
    <w:rsid w:val="00DD688B"/>
    <w:rsid w:val="00DD785B"/>
    <w:rsid w:val="00DE38C8"/>
    <w:rsid w:val="00DE65B8"/>
    <w:rsid w:val="00DF0A17"/>
    <w:rsid w:val="00DF0C55"/>
    <w:rsid w:val="00DF41E7"/>
    <w:rsid w:val="00E028E9"/>
    <w:rsid w:val="00E05B56"/>
    <w:rsid w:val="00E06745"/>
    <w:rsid w:val="00E06C5F"/>
    <w:rsid w:val="00E1071B"/>
    <w:rsid w:val="00E10A6B"/>
    <w:rsid w:val="00E10CEA"/>
    <w:rsid w:val="00E120FA"/>
    <w:rsid w:val="00E12868"/>
    <w:rsid w:val="00E132CF"/>
    <w:rsid w:val="00E13D9F"/>
    <w:rsid w:val="00E16A53"/>
    <w:rsid w:val="00E17C5E"/>
    <w:rsid w:val="00E20519"/>
    <w:rsid w:val="00E26766"/>
    <w:rsid w:val="00E273AF"/>
    <w:rsid w:val="00E34B8A"/>
    <w:rsid w:val="00E35316"/>
    <w:rsid w:val="00E370EC"/>
    <w:rsid w:val="00E3735C"/>
    <w:rsid w:val="00E46136"/>
    <w:rsid w:val="00E46DB4"/>
    <w:rsid w:val="00E4707F"/>
    <w:rsid w:val="00E50A85"/>
    <w:rsid w:val="00E50E57"/>
    <w:rsid w:val="00E51E05"/>
    <w:rsid w:val="00E55425"/>
    <w:rsid w:val="00E5610E"/>
    <w:rsid w:val="00E564FD"/>
    <w:rsid w:val="00E5654B"/>
    <w:rsid w:val="00E60BA3"/>
    <w:rsid w:val="00E632A7"/>
    <w:rsid w:val="00E640A8"/>
    <w:rsid w:val="00E654EC"/>
    <w:rsid w:val="00E656EB"/>
    <w:rsid w:val="00E65EA9"/>
    <w:rsid w:val="00E66B09"/>
    <w:rsid w:val="00E70202"/>
    <w:rsid w:val="00E71AFD"/>
    <w:rsid w:val="00E72248"/>
    <w:rsid w:val="00E723FD"/>
    <w:rsid w:val="00E730EF"/>
    <w:rsid w:val="00E7320F"/>
    <w:rsid w:val="00E7372C"/>
    <w:rsid w:val="00E76EA4"/>
    <w:rsid w:val="00E77283"/>
    <w:rsid w:val="00E777D6"/>
    <w:rsid w:val="00E81AC1"/>
    <w:rsid w:val="00E8382D"/>
    <w:rsid w:val="00E85119"/>
    <w:rsid w:val="00E86586"/>
    <w:rsid w:val="00E8738A"/>
    <w:rsid w:val="00EA3D7F"/>
    <w:rsid w:val="00EA5A78"/>
    <w:rsid w:val="00EA5DC4"/>
    <w:rsid w:val="00EB1244"/>
    <w:rsid w:val="00EB3551"/>
    <w:rsid w:val="00EB44B9"/>
    <w:rsid w:val="00EB55C7"/>
    <w:rsid w:val="00EB69E3"/>
    <w:rsid w:val="00EB73E7"/>
    <w:rsid w:val="00EB77E6"/>
    <w:rsid w:val="00EC092B"/>
    <w:rsid w:val="00EC2F78"/>
    <w:rsid w:val="00EC429A"/>
    <w:rsid w:val="00EC4F1D"/>
    <w:rsid w:val="00EC580A"/>
    <w:rsid w:val="00EC66F0"/>
    <w:rsid w:val="00EC76E4"/>
    <w:rsid w:val="00ED01C1"/>
    <w:rsid w:val="00ED0E57"/>
    <w:rsid w:val="00ED0ECD"/>
    <w:rsid w:val="00ED440E"/>
    <w:rsid w:val="00ED57FA"/>
    <w:rsid w:val="00ED58A9"/>
    <w:rsid w:val="00ED5DD9"/>
    <w:rsid w:val="00EE05EC"/>
    <w:rsid w:val="00EE38A5"/>
    <w:rsid w:val="00EE3CA4"/>
    <w:rsid w:val="00EE4804"/>
    <w:rsid w:val="00EE5023"/>
    <w:rsid w:val="00EE6167"/>
    <w:rsid w:val="00EE619F"/>
    <w:rsid w:val="00EE6761"/>
    <w:rsid w:val="00EF03E2"/>
    <w:rsid w:val="00EF09F6"/>
    <w:rsid w:val="00EF12BC"/>
    <w:rsid w:val="00EF244C"/>
    <w:rsid w:val="00EF3AAE"/>
    <w:rsid w:val="00EF4CC3"/>
    <w:rsid w:val="00EF6180"/>
    <w:rsid w:val="00EF6822"/>
    <w:rsid w:val="00EF6BEC"/>
    <w:rsid w:val="00F0252B"/>
    <w:rsid w:val="00F04CCC"/>
    <w:rsid w:val="00F106A3"/>
    <w:rsid w:val="00F10ED5"/>
    <w:rsid w:val="00F11F18"/>
    <w:rsid w:val="00F12B3F"/>
    <w:rsid w:val="00F141D4"/>
    <w:rsid w:val="00F14BF5"/>
    <w:rsid w:val="00F17E4D"/>
    <w:rsid w:val="00F23477"/>
    <w:rsid w:val="00F25A7D"/>
    <w:rsid w:val="00F3035F"/>
    <w:rsid w:val="00F32776"/>
    <w:rsid w:val="00F32C4F"/>
    <w:rsid w:val="00F3372C"/>
    <w:rsid w:val="00F346F5"/>
    <w:rsid w:val="00F36212"/>
    <w:rsid w:val="00F36DF9"/>
    <w:rsid w:val="00F37C95"/>
    <w:rsid w:val="00F417BD"/>
    <w:rsid w:val="00F41C92"/>
    <w:rsid w:val="00F41D92"/>
    <w:rsid w:val="00F427F9"/>
    <w:rsid w:val="00F44AD1"/>
    <w:rsid w:val="00F4520C"/>
    <w:rsid w:val="00F45228"/>
    <w:rsid w:val="00F45C20"/>
    <w:rsid w:val="00F50016"/>
    <w:rsid w:val="00F530F6"/>
    <w:rsid w:val="00F55278"/>
    <w:rsid w:val="00F558DD"/>
    <w:rsid w:val="00F612AD"/>
    <w:rsid w:val="00F62AFE"/>
    <w:rsid w:val="00F6320D"/>
    <w:rsid w:val="00F63424"/>
    <w:rsid w:val="00F637F3"/>
    <w:rsid w:val="00F64052"/>
    <w:rsid w:val="00F6421A"/>
    <w:rsid w:val="00F713A1"/>
    <w:rsid w:val="00F726DB"/>
    <w:rsid w:val="00F72DAF"/>
    <w:rsid w:val="00F731D5"/>
    <w:rsid w:val="00F75C8F"/>
    <w:rsid w:val="00F764BB"/>
    <w:rsid w:val="00F76937"/>
    <w:rsid w:val="00F80027"/>
    <w:rsid w:val="00F822A0"/>
    <w:rsid w:val="00F83B6F"/>
    <w:rsid w:val="00F876E4"/>
    <w:rsid w:val="00F87B7E"/>
    <w:rsid w:val="00F91C0B"/>
    <w:rsid w:val="00F928E2"/>
    <w:rsid w:val="00F9334C"/>
    <w:rsid w:val="00F9445C"/>
    <w:rsid w:val="00F947D5"/>
    <w:rsid w:val="00F9545C"/>
    <w:rsid w:val="00F97805"/>
    <w:rsid w:val="00F97A98"/>
    <w:rsid w:val="00FA14A8"/>
    <w:rsid w:val="00FA1E6F"/>
    <w:rsid w:val="00FA24C0"/>
    <w:rsid w:val="00FA2B91"/>
    <w:rsid w:val="00FA34AD"/>
    <w:rsid w:val="00FA42BF"/>
    <w:rsid w:val="00FA4E14"/>
    <w:rsid w:val="00FA6251"/>
    <w:rsid w:val="00FA6BBB"/>
    <w:rsid w:val="00FA6CB3"/>
    <w:rsid w:val="00FA71F2"/>
    <w:rsid w:val="00FA73F2"/>
    <w:rsid w:val="00FB07C6"/>
    <w:rsid w:val="00FB2DFF"/>
    <w:rsid w:val="00FB2EB5"/>
    <w:rsid w:val="00FB34AF"/>
    <w:rsid w:val="00FB5835"/>
    <w:rsid w:val="00FB705E"/>
    <w:rsid w:val="00FB7DB3"/>
    <w:rsid w:val="00FC003A"/>
    <w:rsid w:val="00FC0B03"/>
    <w:rsid w:val="00FC46BC"/>
    <w:rsid w:val="00FC49F7"/>
    <w:rsid w:val="00FC7252"/>
    <w:rsid w:val="00FD1FC2"/>
    <w:rsid w:val="00FD22B3"/>
    <w:rsid w:val="00FD2967"/>
    <w:rsid w:val="00FD47CB"/>
    <w:rsid w:val="00FD6827"/>
    <w:rsid w:val="00FE12E6"/>
    <w:rsid w:val="00FE2CFD"/>
    <w:rsid w:val="00FE3123"/>
    <w:rsid w:val="00FE344D"/>
    <w:rsid w:val="00FE4249"/>
    <w:rsid w:val="00FE45ED"/>
    <w:rsid w:val="00FE5B9C"/>
    <w:rsid w:val="00FE69DF"/>
    <w:rsid w:val="00FE72F8"/>
    <w:rsid w:val="00FE7463"/>
    <w:rsid w:val="00FF03A0"/>
    <w:rsid w:val="00FF17A5"/>
    <w:rsid w:val="00FF278F"/>
    <w:rsid w:val="00FF3AE9"/>
    <w:rsid w:val="00FF417A"/>
    <w:rsid w:val="00FF4FDC"/>
    <w:rsid w:val="00FF60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ACD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0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F1D"/>
    <w:pPr>
      <w:ind w:left="720"/>
      <w:contextualSpacing/>
    </w:pPr>
  </w:style>
  <w:style w:type="paragraph" w:styleId="FootnoteText">
    <w:name w:val="footnote text"/>
    <w:basedOn w:val="Normal"/>
    <w:link w:val="FootnoteTextChar"/>
    <w:uiPriority w:val="99"/>
    <w:unhideWhenUsed/>
    <w:rsid w:val="00353DC1"/>
    <w:pPr>
      <w:spacing w:after="0" w:line="240" w:lineRule="auto"/>
    </w:pPr>
    <w:rPr>
      <w:sz w:val="20"/>
      <w:szCs w:val="20"/>
    </w:rPr>
  </w:style>
  <w:style w:type="character" w:customStyle="1" w:styleId="FootnoteTextChar">
    <w:name w:val="Footnote Text Char"/>
    <w:basedOn w:val="DefaultParagraphFont"/>
    <w:link w:val="FootnoteText"/>
    <w:uiPriority w:val="99"/>
    <w:rsid w:val="00353DC1"/>
    <w:rPr>
      <w:sz w:val="20"/>
      <w:szCs w:val="20"/>
    </w:rPr>
  </w:style>
  <w:style w:type="character" w:styleId="FootnoteReference">
    <w:name w:val="footnote reference"/>
    <w:basedOn w:val="DefaultParagraphFont"/>
    <w:uiPriority w:val="99"/>
    <w:semiHidden/>
    <w:unhideWhenUsed/>
    <w:rsid w:val="00353DC1"/>
    <w:rPr>
      <w:vertAlign w:val="superscript"/>
    </w:rPr>
  </w:style>
  <w:style w:type="character" w:styleId="CommentReference">
    <w:name w:val="annotation reference"/>
    <w:basedOn w:val="DefaultParagraphFont"/>
    <w:uiPriority w:val="99"/>
    <w:semiHidden/>
    <w:unhideWhenUsed/>
    <w:rsid w:val="00132983"/>
    <w:rPr>
      <w:sz w:val="16"/>
      <w:szCs w:val="16"/>
    </w:rPr>
  </w:style>
  <w:style w:type="paragraph" w:styleId="CommentText">
    <w:name w:val="annotation text"/>
    <w:basedOn w:val="Normal"/>
    <w:link w:val="CommentTextChar"/>
    <w:uiPriority w:val="99"/>
    <w:unhideWhenUsed/>
    <w:rsid w:val="00132983"/>
    <w:pPr>
      <w:spacing w:line="240" w:lineRule="auto"/>
    </w:pPr>
    <w:rPr>
      <w:sz w:val="20"/>
      <w:szCs w:val="20"/>
    </w:rPr>
  </w:style>
  <w:style w:type="character" w:customStyle="1" w:styleId="CommentTextChar">
    <w:name w:val="Comment Text Char"/>
    <w:basedOn w:val="DefaultParagraphFont"/>
    <w:link w:val="CommentText"/>
    <w:uiPriority w:val="99"/>
    <w:rsid w:val="00132983"/>
    <w:rPr>
      <w:sz w:val="20"/>
      <w:szCs w:val="20"/>
    </w:rPr>
  </w:style>
  <w:style w:type="paragraph" w:styleId="CommentSubject">
    <w:name w:val="annotation subject"/>
    <w:basedOn w:val="CommentText"/>
    <w:next w:val="CommentText"/>
    <w:link w:val="CommentSubjectChar"/>
    <w:uiPriority w:val="99"/>
    <w:semiHidden/>
    <w:unhideWhenUsed/>
    <w:rsid w:val="00132983"/>
    <w:rPr>
      <w:b/>
      <w:bCs/>
    </w:rPr>
  </w:style>
  <w:style w:type="character" w:customStyle="1" w:styleId="CommentSubjectChar">
    <w:name w:val="Comment Subject Char"/>
    <w:basedOn w:val="CommentTextChar"/>
    <w:link w:val="CommentSubject"/>
    <w:uiPriority w:val="99"/>
    <w:semiHidden/>
    <w:rsid w:val="00132983"/>
    <w:rPr>
      <w:b/>
      <w:bCs/>
      <w:sz w:val="20"/>
      <w:szCs w:val="20"/>
    </w:rPr>
  </w:style>
  <w:style w:type="paragraph" w:styleId="NormalWeb">
    <w:name w:val="Normal (Web)"/>
    <w:basedOn w:val="Normal"/>
    <w:uiPriority w:val="99"/>
    <w:semiHidden/>
    <w:unhideWhenUsed/>
    <w:rsid w:val="00D52AD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eading1Char">
    <w:name w:val="Heading 1 Char"/>
    <w:basedOn w:val="DefaultParagraphFont"/>
    <w:link w:val="Heading1"/>
    <w:uiPriority w:val="9"/>
    <w:rsid w:val="004F605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F6053"/>
    <w:pPr>
      <w:outlineLvl w:val="9"/>
    </w:pPr>
    <w:rPr>
      <w:lang w:val="en-US"/>
    </w:rPr>
  </w:style>
  <w:style w:type="paragraph" w:styleId="Revision">
    <w:name w:val="Revision"/>
    <w:hidden/>
    <w:uiPriority w:val="99"/>
    <w:semiHidden/>
    <w:rsid w:val="004F6053"/>
    <w:pPr>
      <w:spacing w:after="0" w:line="240" w:lineRule="auto"/>
    </w:pPr>
  </w:style>
  <w:style w:type="paragraph" w:styleId="Header">
    <w:name w:val="header"/>
    <w:basedOn w:val="Normal"/>
    <w:link w:val="HeaderChar"/>
    <w:uiPriority w:val="99"/>
    <w:unhideWhenUsed/>
    <w:rsid w:val="00072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316"/>
  </w:style>
  <w:style w:type="paragraph" w:styleId="Footer">
    <w:name w:val="footer"/>
    <w:basedOn w:val="Normal"/>
    <w:link w:val="FooterChar"/>
    <w:uiPriority w:val="99"/>
    <w:unhideWhenUsed/>
    <w:rsid w:val="00072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316"/>
  </w:style>
  <w:style w:type="paragraph" w:styleId="HTMLPreformatted">
    <w:name w:val="HTML Preformatted"/>
    <w:basedOn w:val="Normal"/>
    <w:link w:val="HTMLPreformattedChar"/>
    <w:uiPriority w:val="99"/>
    <w:semiHidden/>
    <w:unhideWhenUsed/>
    <w:rsid w:val="006528A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528A5"/>
    <w:rPr>
      <w:rFonts w:ascii="Consolas" w:hAnsi="Consolas"/>
      <w:sz w:val="20"/>
      <w:szCs w:val="20"/>
    </w:rPr>
  </w:style>
  <w:style w:type="character" w:styleId="Hyperlink">
    <w:name w:val="Hyperlink"/>
    <w:basedOn w:val="DefaultParagraphFont"/>
    <w:uiPriority w:val="99"/>
    <w:unhideWhenUsed/>
    <w:rsid w:val="00FB705E"/>
    <w:rPr>
      <w:color w:val="0563C1" w:themeColor="hyperlink"/>
      <w:u w:val="single"/>
    </w:rPr>
  </w:style>
  <w:style w:type="character" w:styleId="UnresolvedMention">
    <w:name w:val="Unresolved Mention"/>
    <w:basedOn w:val="DefaultParagraphFont"/>
    <w:uiPriority w:val="99"/>
    <w:semiHidden/>
    <w:unhideWhenUsed/>
    <w:rsid w:val="00FB705E"/>
    <w:rPr>
      <w:color w:val="605E5C"/>
      <w:shd w:val="clear" w:color="auto" w:fill="E1DFDD"/>
    </w:rPr>
  </w:style>
  <w:style w:type="character" w:customStyle="1" w:styleId="cf01">
    <w:name w:val="cf01"/>
    <w:basedOn w:val="DefaultParagraphFont"/>
    <w:rsid w:val="008B4C31"/>
    <w:rPr>
      <w:rFonts w:ascii="Segoe UI" w:hAnsi="Segoe UI" w:cs="Segoe UI" w:hint="default"/>
      <w:sz w:val="18"/>
      <w:szCs w:val="18"/>
    </w:rPr>
  </w:style>
  <w:style w:type="character" w:styleId="Strong">
    <w:name w:val="Strong"/>
    <w:basedOn w:val="DefaultParagraphFont"/>
    <w:uiPriority w:val="22"/>
    <w:qFormat/>
    <w:rsid w:val="00E71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3480">
      <w:bodyDiv w:val="1"/>
      <w:marLeft w:val="0"/>
      <w:marRight w:val="0"/>
      <w:marTop w:val="0"/>
      <w:marBottom w:val="0"/>
      <w:divBdr>
        <w:top w:val="none" w:sz="0" w:space="0" w:color="auto"/>
        <w:left w:val="none" w:sz="0" w:space="0" w:color="auto"/>
        <w:bottom w:val="none" w:sz="0" w:space="0" w:color="auto"/>
        <w:right w:val="none" w:sz="0" w:space="0" w:color="auto"/>
      </w:divBdr>
    </w:div>
    <w:div w:id="170728427">
      <w:bodyDiv w:val="1"/>
      <w:marLeft w:val="0"/>
      <w:marRight w:val="0"/>
      <w:marTop w:val="0"/>
      <w:marBottom w:val="0"/>
      <w:divBdr>
        <w:top w:val="none" w:sz="0" w:space="0" w:color="auto"/>
        <w:left w:val="none" w:sz="0" w:space="0" w:color="auto"/>
        <w:bottom w:val="none" w:sz="0" w:space="0" w:color="auto"/>
        <w:right w:val="none" w:sz="0" w:space="0" w:color="auto"/>
      </w:divBdr>
    </w:div>
    <w:div w:id="424958366">
      <w:bodyDiv w:val="1"/>
      <w:marLeft w:val="0"/>
      <w:marRight w:val="0"/>
      <w:marTop w:val="0"/>
      <w:marBottom w:val="0"/>
      <w:divBdr>
        <w:top w:val="none" w:sz="0" w:space="0" w:color="auto"/>
        <w:left w:val="none" w:sz="0" w:space="0" w:color="auto"/>
        <w:bottom w:val="none" w:sz="0" w:space="0" w:color="auto"/>
        <w:right w:val="none" w:sz="0" w:space="0" w:color="auto"/>
      </w:divBdr>
    </w:div>
    <w:div w:id="703142179">
      <w:bodyDiv w:val="1"/>
      <w:marLeft w:val="0"/>
      <w:marRight w:val="0"/>
      <w:marTop w:val="0"/>
      <w:marBottom w:val="0"/>
      <w:divBdr>
        <w:top w:val="none" w:sz="0" w:space="0" w:color="auto"/>
        <w:left w:val="none" w:sz="0" w:space="0" w:color="auto"/>
        <w:bottom w:val="none" w:sz="0" w:space="0" w:color="auto"/>
        <w:right w:val="none" w:sz="0" w:space="0" w:color="auto"/>
      </w:divBdr>
    </w:div>
    <w:div w:id="736515987">
      <w:bodyDiv w:val="1"/>
      <w:marLeft w:val="0"/>
      <w:marRight w:val="0"/>
      <w:marTop w:val="0"/>
      <w:marBottom w:val="0"/>
      <w:divBdr>
        <w:top w:val="none" w:sz="0" w:space="0" w:color="auto"/>
        <w:left w:val="none" w:sz="0" w:space="0" w:color="auto"/>
        <w:bottom w:val="none" w:sz="0" w:space="0" w:color="auto"/>
        <w:right w:val="none" w:sz="0" w:space="0" w:color="auto"/>
      </w:divBdr>
    </w:div>
    <w:div w:id="897397859">
      <w:bodyDiv w:val="1"/>
      <w:marLeft w:val="0"/>
      <w:marRight w:val="0"/>
      <w:marTop w:val="0"/>
      <w:marBottom w:val="0"/>
      <w:divBdr>
        <w:top w:val="none" w:sz="0" w:space="0" w:color="auto"/>
        <w:left w:val="none" w:sz="0" w:space="0" w:color="auto"/>
        <w:bottom w:val="none" w:sz="0" w:space="0" w:color="auto"/>
        <w:right w:val="none" w:sz="0" w:space="0" w:color="auto"/>
      </w:divBdr>
    </w:div>
    <w:div w:id="932055355">
      <w:bodyDiv w:val="1"/>
      <w:marLeft w:val="0"/>
      <w:marRight w:val="0"/>
      <w:marTop w:val="0"/>
      <w:marBottom w:val="0"/>
      <w:divBdr>
        <w:top w:val="none" w:sz="0" w:space="0" w:color="auto"/>
        <w:left w:val="none" w:sz="0" w:space="0" w:color="auto"/>
        <w:bottom w:val="none" w:sz="0" w:space="0" w:color="auto"/>
        <w:right w:val="none" w:sz="0" w:space="0" w:color="auto"/>
      </w:divBdr>
    </w:div>
    <w:div w:id="1000306180">
      <w:bodyDiv w:val="1"/>
      <w:marLeft w:val="0"/>
      <w:marRight w:val="0"/>
      <w:marTop w:val="0"/>
      <w:marBottom w:val="0"/>
      <w:divBdr>
        <w:top w:val="none" w:sz="0" w:space="0" w:color="auto"/>
        <w:left w:val="none" w:sz="0" w:space="0" w:color="auto"/>
        <w:bottom w:val="none" w:sz="0" w:space="0" w:color="auto"/>
        <w:right w:val="none" w:sz="0" w:space="0" w:color="auto"/>
      </w:divBdr>
    </w:div>
    <w:div w:id="1096486056">
      <w:bodyDiv w:val="1"/>
      <w:marLeft w:val="0"/>
      <w:marRight w:val="0"/>
      <w:marTop w:val="0"/>
      <w:marBottom w:val="0"/>
      <w:divBdr>
        <w:top w:val="none" w:sz="0" w:space="0" w:color="auto"/>
        <w:left w:val="none" w:sz="0" w:space="0" w:color="auto"/>
        <w:bottom w:val="none" w:sz="0" w:space="0" w:color="auto"/>
        <w:right w:val="none" w:sz="0" w:space="0" w:color="auto"/>
      </w:divBdr>
    </w:div>
    <w:div w:id="1114984469">
      <w:bodyDiv w:val="1"/>
      <w:marLeft w:val="0"/>
      <w:marRight w:val="0"/>
      <w:marTop w:val="0"/>
      <w:marBottom w:val="0"/>
      <w:divBdr>
        <w:top w:val="none" w:sz="0" w:space="0" w:color="auto"/>
        <w:left w:val="none" w:sz="0" w:space="0" w:color="auto"/>
        <w:bottom w:val="none" w:sz="0" w:space="0" w:color="auto"/>
        <w:right w:val="none" w:sz="0" w:space="0" w:color="auto"/>
      </w:divBdr>
    </w:div>
    <w:div w:id="1194147448">
      <w:bodyDiv w:val="1"/>
      <w:marLeft w:val="0"/>
      <w:marRight w:val="0"/>
      <w:marTop w:val="0"/>
      <w:marBottom w:val="0"/>
      <w:divBdr>
        <w:top w:val="none" w:sz="0" w:space="0" w:color="auto"/>
        <w:left w:val="none" w:sz="0" w:space="0" w:color="auto"/>
        <w:bottom w:val="none" w:sz="0" w:space="0" w:color="auto"/>
        <w:right w:val="none" w:sz="0" w:space="0" w:color="auto"/>
      </w:divBdr>
    </w:div>
    <w:div w:id="1569267578">
      <w:bodyDiv w:val="1"/>
      <w:marLeft w:val="0"/>
      <w:marRight w:val="0"/>
      <w:marTop w:val="0"/>
      <w:marBottom w:val="0"/>
      <w:divBdr>
        <w:top w:val="none" w:sz="0" w:space="0" w:color="auto"/>
        <w:left w:val="none" w:sz="0" w:space="0" w:color="auto"/>
        <w:bottom w:val="none" w:sz="0" w:space="0" w:color="auto"/>
        <w:right w:val="none" w:sz="0" w:space="0" w:color="auto"/>
      </w:divBdr>
    </w:div>
    <w:div w:id="1756628400">
      <w:bodyDiv w:val="1"/>
      <w:marLeft w:val="0"/>
      <w:marRight w:val="0"/>
      <w:marTop w:val="0"/>
      <w:marBottom w:val="0"/>
      <w:divBdr>
        <w:top w:val="none" w:sz="0" w:space="0" w:color="auto"/>
        <w:left w:val="none" w:sz="0" w:space="0" w:color="auto"/>
        <w:bottom w:val="none" w:sz="0" w:space="0" w:color="auto"/>
        <w:right w:val="none" w:sz="0" w:space="0" w:color="auto"/>
      </w:divBdr>
    </w:div>
    <w:div w:id="1764762542">
      <w:bodyDiv w:val="1"/>
      <w:marLeft w:val="0"/>
      <w:marRight w:val="0"/>
      <w:marTop w:val="0"/>
      <w:marBottom w:val="0"/>
      <w:divBdr>
        <w:top w:val="none" w:sz="0" w:space="0" w:color="auto"/>
        <w:left w:val="none" w:sz="0" w:space="0" w:color="auto"/>
        <w:bottom w:val="none" w:sz="0" w:space="0" w:color="auto"/>
        <w:right w:val="none" w:sz="0" w:space="0" w:color="auto"/>
      </w:divBdr>
    </w:div>
    <w:div w:id="1774322169">
      <w:bodyDiv w:val="1"/>
      <w:marLeft w:val="0"/>
      <w:marRight w:val="0"/>
      <w:marTop w:val="0"/>
      <w:marBottom w:val="0"/>
      <w:divBdr>
        <w:top w:val="none" w:sz="0" w:space="0" w:color="auto"/>
        <w:left w:val="none" w:sz="0" w:space="0" w:color="auto"/>
        <w:bottom w:val="none" w:sz="0" w:space="0" w:color="auto"/>
        <w:right w:val="none" w:sz="0" w:space="0" w:color="auto"/>
      </w:divBdr>
    </w:div>
    <w:div w:id="1785809723">
      <w:bodyDiv w:val="1"/>
      <w:marLeft w:val="0"/>
      <w:marRight w:val="0"/>
      <w:marTop w:val="0"/>
      <w:marBottom w:val="0"/>
      <w:divBdr>
        <w:top w:val="none" w:sz="0" w:space="0" w:color="auto"/>
        <w:left w:val="none" w:sz="0" w:space="0" w:color="auto"/>
        <w:bottom w:val="none" w:sz="0" w:space="0" w:color="auto"/>
        <w:right w:val="none" w:sz="0" w:space="0" w:color="auto"/>
      </w:divBdr>
    </w:div>
    <w:div w:id="1948847035">
      <w:bodyDiv w:val="1"/>
      <w:marLeft w:val="0"/>
      <w:marRight w:val="0"/>
      <w:marTop w:val="0"/>
      <w:marBottom w:val="0"/>
      <w:divBdr>
        <w:top w:val="none" w:sz="0" w:space="0" w:color="auto"/>
        <w:left w:val="none" w:sz="0" w:space="0" w:color="auto"/>
        <w:bottom w:val="none" w:sz="0" w:space="0" w:color="auto"/>
        <w:right w:val="none" w:sz="0" w:space="0" w:color="auto"/>
      </w:divBdr>
      <w:divsChild>
        <w:div w:id="1651591583">
          <w:marLeft w:val="0"/>
          <w:marRight w:val="0"/>
          <w:marTop w:val="60"/>
          <w:marBottom w:val="255"/>
          <w:divBdr>
            <w:top w:val="none" w:sz="0" w:space="0" w:color="auto"/>
            <w:left w:val="none" w:sz="0" w:space="0" w:color="auto"/>
            <w:bottom w:val="none" w:sz="0" w:space="0" w:color="auto"/>
            <w:right w:val="none" w:sz="0" w:space="0" w:color="auto"/>
          </w:divBdr>
          <w:divsChild>
            <w:div w:id="51660751">
              <w:marLeft w:val="0"/>
              <w:marRight w:val="240"/>
              <w:marTop w:val="0"/>
              <w:marBottom w:val="0"/>
              <w:divBdr>
                <w:top w:val="none" w:sz="0" w:space="0" w:color="auto"/>
                <w:left w:val="none" w:sz="0" w:space="0" w:color="auto"/>
                <w:bottom w:val="none" w:sz="0" w:space="0" w:color="auto"/>
                <w:right w:val="none" w:sz="0" w:space="0" w:color="auto"/>
              </w:divBdr>
              <w:divsChild>
                <w:div w:id="385177910">
                  <w:marLeft w:val="0"/>
                  <w:marRight w:val="0"/>
                  <w:marTop w:val="0"/>
                  <w:marBottom w:val="0"/>
                  <w:divBdr>
                    <w:top w:val="none" w:sz="0" w:space="0" w:color="auto"/>
                    <w:left w:val="none" w:sz="0" w:space="0" w:color="auto"/>
                    <w:bottom w:val="none" w:sz="0" w:space="0" w:color="auto"/>
                    <w:right w:val="none" w:sz="0" w:space="0" w:color="auto"/>
                  </w:divBdr>
                  <w:divsChild>
                    <w:div w:id="1733001155">
                      <w:marLeft w:val="0"/>
                      <w:marRight w:val="0"/>
                      <w:marTop w:val="0"/>
                      <w:marBottom w:val="0"/>
                      <w:divBdr>
                        <w:top w:val="none" w:sz="0" w:space="0" w:color="auto"/>
                        <w:left w:val="none" w:sz="0" w:space="0" w:color="auto"/>
                        <w:bottom w:val="none" w:sz="0" w:space="0" w:color="auto"/>
                        <w:right w:val="none" w:sz="0" w:space="0" w:color="auto"/>
                      </w:divBdr>
                      <w:divsChild>
                        <w:div w:id="1025448988">
                          <w:marLeft w:val="0"/>
                          <w:marRight w:val="0"/>
                          <w:marTop w:val="0"/>
                          <w:marBottom w:val="0"/>
                          <w:divBdr>
                            <w:top w:val="none" w:sz="0" w:space="0" w:color="auto"/>
                            <w:left w:val="none" w:sz="0" w:space="0" w:color="auto"/>
                            <w:bottom w:val="none" w:sz="0" w:space="0" w:color="auto"/>
                            <w:right w:val="none" w:sz="0" w:space="0" w:color="auto"/>
                          </w:divBdr>
                          <w:divsChild>
                            <w:div w:id="1888252637">
                              <w:marLeft w:val="0"/>
                              <w:marRight w:val="0"/>
                              <w:marTop w:val="0"/>
                              <w:marBottom w:val="0"/>
                              <w:divBdr>
                                <w:top w:val="none" w:sz="0" w:space="0" w:color="auto"/>
                                <w:left w:val="none" w:sz="0" w:space="0" w:color="auto"/>
                                <w:bottom w:val="none" w:sz="0" w:space="0" w:color="auto"/>
                                <w:right w:val="none" w:sz="0" w:space="0" w:color="auto"/>
                              </w:divBdr>
                              <w:divsChild>
                                <w:div w:id="1840583264">
                                  <w:marLeft w:val="0"/>
                                  <w:marRight w:val="0"/>
                                  <w:marTop w:val="0"/>
                                  <w:marBottom w:val="0"/>
                                  <w:divBdr>
                                    <w:top w:val="none" w:sz="0" w:space="0" w:color="auto"/>
                                    <w:left w:val="none" w:sz="0" w:space="0" w:color="auto"/>
                                    <w:bottom w:val="none" w:sz="0" w:space="0" w:color="auto"/>
                                    <w:right w:val="none" w:sz="0" w:space="0" w:color="auto"/>
                                  </w:divBdr>
                                  <w:divsChild>
                                    <w:div w:id="35469111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496791">
      <w:bodyDiv w:val="1"/>
      <w:marLeft w:val="0"/>
      <w:marRight w:val="0"/>
      <w:marTop w:val="0"/>
      <w:marBottom w:val="0"/>
      <w:divBdr>
        <w:top w:val="none" w:sz="0" w:space="0" w:color="auto"/>
        <w:left w:val="none" w:sz="0" w:space="0" w:color="auto"/>
        <w:bottom w:val="none" w:sz="0" w:space="0" w:color="auto"/>
        <w:right w:val="none" w:sz="0" w:space="0" w:color="auto"/>
      </w:divBdr>
    </w:div>
    <w:div w:id="213066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17659</ap:Words>
  <ap:Characters>97125</ap:Characters>
  <ap:DocSecurity>0</ap:DocSecurity>
  <ap:Lines>809</ap:Lines>
  <ap:Paragraphs>229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114555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2025-11-17T12:55:00.0000000Z</dcterms:created>
  <dcterms:modified xsi:type="dcterms:W3CDTF">2025-11-17T12:55:00.0000000Z</dcterms:modified>
  <version/>
  <category/>
</coreProperties>
</file>