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B935D5" w14:paraId="545D446B" w14:textId="77777777">
      <w:r w:rsidRPr="00B935D5">
        <w:t xml:space="preserve">Tijdens </w:t>
      </w:r>
      <w:r w:rsidR="001E3699">
        <w:t>het debat “</w:t>
      </w:r>
      <w:r w:rsidR="007B53A4">
        <w:t>V</w:t>
      </w:r>
      <w:r w:rsidR="001E3699">
        <w:t xml:space="preserve">aststelling van de </w:t>
      </w:r>
      <w:r w:rsidR="007D5973">
        <w:t>begrotingsstaat</w:t>
      </w:r>
      <w:r w:rsidR="001E3699">
        <w:t xml:space="preserve"> van het Ministerie van Buitenlandse Zaken voor het jaar 2025” op 21 november 2024</w:t>
      </w:r>
      <w:r w:rsidR="003A7AE6">
        <w:t xml:space="preserve"> </w:t>
      </w:r>
      <w:r w:rsidRPr="00B935D5">
        <w:t xml:space="preserve">heeft uw Kamer de motie </w:t>
      </w:r>
      <w:r w:rsidR="007B53A4">
        <w:t xml:space="preserve">van de leden </w:t>
      </w:r>
      <w:r>
        <w:t xml:space="preserve">Koekkoek (Volt) en </w:t>
      </w:r>
      <w:r w:rsidR="007B53A4">
        <w:t>V</w:t>
      </w:r>
      <w:r>
        <w:t>an der Burg (VVD)</w:t>
      </w:r>
      <w:r w:rsidRPr="00B935D5">
        <w:t xml:space="preserve"> aangenomen waarin de regering wordt verzocht om </w:t>
      </w:r>
      <w:r>
        <w:t>in overleg te gaan met collega’s in Estland en te onderzoeken welke mogelijkheden er zijn om een soortgelijke data-ambassade te creëren voor Nederland.</w:t>
      </w:r>
      <w:r>
        <w:rPr>
          <w:rStyle w:val="FootnoteReference"/>
        </w:rPr>
        <w:footnoteReference w:id="2"/>
      </w:r>
      <w:r>
        <w:t xml:space="preserve"> </w:t>
      </w:r>
      <w:r w:rsidRPr="00B935D5">
        <w:t>Met deze brief geef ik u aan op welke wijze het kabinet aan de motie uitvoering geeft.</w:t>
      </w:r>
    </w:p>
    <w:p w:rsidR="00B935D5" w14:paraId="1916A7CC" w14:textId="77777777"/>
    <w:p w:rsidRPr="002932BD" w:rsidR="0061473D" w14:paraId="152FF84E" w14:textId="77777777">
      <w:pPr>
        <w:rPr>
          <w:vertAlign w:val="superscript"/>
        </w:rPr>
      </w:pPr>
      <w:r>
        <w:t xml:space="preserve">Er is overleg geweest met </w:t>
      </w:r>
      <w:r w:rsidR="00543E76">
        <w:t xml:space="preserve">het CIO Office van de </w:t>
      </w:r>
      <w:r w:rsidR="00650CD7">
        <w:t>Estse overheid</w:t>
      </w:r>
      <w:r>
        <w:t xml:space="preserve"> om </w:t>
      </w:r>
      <w:r w:rsidR="00650CD7">
        <w:t>inzicht te krijgen in de</w:t>
      </w:r>
      <w:r w:rsidR="00356B1E">
        <w:t xml:space="preserve"> Estse data-ambassade, welk doel </w:t>
      </w:r>
      <w:r w:rsidR="00650CD7">
        <w:t xml:space="preserve">deze </w:t>
      </w:r>
      <w:r w:rsidR="00356B1E">
        <w:t>dient</w:t>
      </w:r>
      <w:r w:rsidR="00EF3EE0">
        <w:t>,</w:t>
      </w:r>
      <w:r w:rsidR="00356B1E">
        <w:t xml:space="preserve"> en </w:t>
      </w:r>
      <w:r>
        <w:t xml:space="preserve">hoe en op grond van </w:t>
      </w:r>
      <w:r>
        <w:t>welke</w:t>
      </w:r>
      <w:r>
        <w:t xml:space="preserve"> overwegingen er besloten is tot het inrichten van de </w:t>
      </w:r>
      <w:r w:rsidR="00650CD7">
        <w:t>data-</w:t>
      </w:r>
      <w:r>
        <w:t xml:space="preserve">ambassade in Luxemburg. </w:t>
      </w:r>
      <w:r w:rsidR="00CB3EC7">
        <w:t>Tevens</w:t>
      </w:r>
      <w:r w:rsidR="00CB3EC7">
        <w:t xml:space="preserve"> is er </w:t>
      </w:r>
      <w:r w:rsidR="004F2CBE">
        <w:t xml:space="preserve">recent een bezoek geweest aan </w:t>
      </w:r>
      <w:r w:rsidR="00CB3EC7">
        <w:t>de overheid in Luxemburg</w:t>
      </w:r>
      <w:r w:rsidR="00650CD7">
        <w:t xml:space="preserve">, waar gesprekken zijn gevoerd inzake de </w:t>
      </w:r>
      <w:r w:rsidR="002875EF">
        <w:t>data</w:t>
      </w:r>
      <w:r w:rsidR="00650CD7">
        <w:t>-</w:t>
      </w:r>
      <w:r w:rsidR="00572851">
        <w:t>ambassade</w:t>
      </w:r>
      <w:r w:rsidR="00BE272D">
        <w:t>, waarbij tevens</w:t>
      </w:r>
      <w:r w:rsidR="00572851">
        <w:t xml:space="preserve"> het betrokken</w:t>
      </w:r>
      <w:r w:rsidR="002875EF">
        <w:t xml:space="preserve"> datacenter</w:t>
      </w:r>
      <w:r w:rsidR="00572851">
        <w:t xml:space="preserve"> </w:t>
      </w:r>
      <w:r w:rsidR="00BE272D">
        <w:t xml:space="preserve">is </w:t>
      </w:r>
      <w:r w:rsidR="00572851">
        <w:t>bezocht</w:t>
      </w:r>
      <w:r w:rsidR="002875EF">
        <w:t>.</w:t>
      </w:r>
      <w:r>
        <w:rPr>
          <w:rStyle w:val="FootnoteReference"/>
        </w:rPr>
        <w:footnoteReference w:id="3"/>
      </w:r>
      <w:r w:rsidR="002875EF">
        <w:t xml:space="preserve"> </w:t>
      </w:r>
    </w:p>
    <w:p w:rsidR="000027E9" w:rsidP="007D5973" w14:paraId="6C558ED7" w14:textId="77777777">
      <w:pPr>
        <w:pStyle w:val="Heading2"/>
      </w:pPr>
      <w:r>
        <w:t>Data</w:t>
      </w:r>
      <w:r w:rsidR="00650CD7">
        <w:t>-a</w:t>
      </w:r>
      <w:r>
        <w:t>mbassade in Luxemburg</w:t>
      </w:r>
    </w:p>
    <w:p w:rsidR="000027E9" w14:paraId="2955CB63" w14:textId="77777777">
      <w:r>
        <w:t>Estland heeft een uitwijkomgeving gerealiseerd in Luxemburg</w:t>
      </w:r>
      <w:r w:rsidR="00356B1E">
        <w:t xml:space="preserve"> om </w:t>
      </w:r>
      <w:r w:rsidR="00243A18">
        <w:t xml:space="preserve">de </w:t>
      </w:r>
      <w:r w:rsidR="007D5DC8">
        <w:t xml:space="preserve">integriteit en beschikbaarheid van basisregistraties en de </w:t>
      </w:r>
      <w:r w:rsidR="00356B1E">
        <w:t xml:space="preserve">continuïteit van </w:t>
      </w:r>
      <w:r w:rsidR="007D5DC8">
        <w:t xml:space="preserve">kritische </w:t>
      </w:r>
      <w:r w:rsidR="00356B1E">
        <w:t xml:space="preserve">overheidsdiensten beter te </w:t>
      </w:r>
      <w:r w:rsidR="00243A18">
        <w:t xml:space="preserve">(kunnen blijven) </w:t>
      </w:r>
      <w:r w:rsidR="00356B1E">
        <w:t>waarborgen</w:t>
      </w:r>
      <w:r>
        <w:t>.</w:t>
      </w:r>
      <w:r>
        <w:rPr>
          <w:rStyle w:val="FootnoteReference"/>
        </w:rPr>
        <w:footnoteReference w:id="4"/>
      </w:r>
      <w:r>
        <w:t xml:space="preserve"> In een datacenter in Luxemburg is een </w:t>
      </w:r>
      <w:r w:rsidR="00BE272D">
        <w:t>IT-</w:t>
      </w:r>
      <w:r>
        <w:t>omgeving ingericht met servers en dataopslag</w:t>
      </w:r>
      <w:r w:rsidR="00E97087">
        <w:t>,</w:t>
      </w:r>
      <w:r>
        <w:t xml:space="preserve"> waarmee </w:t>
      </w:r>
      <w:r w:rsidRPr="00E97087">
        <w:t xml:space="preserve">Estland in staat is de meest kritische </w:t>
      </w:r>
      <w:r w:rsidR="007D5DC8">
        <w:t xml:space="preserve">data veilig te stellen en </w:t>
      </w:r>
      <w:r w:rsidR="002875EF">
        <w:t xml:space="preserve">de </w:t>
      </w:r>
      <w:r w:rsidR="00BE272D">
        <w:t xml:space="preserve">continuïteit van de </w:t>
      </w:r>
      <w:r w:rsidR="002875EF">
        <w:t>meest</w:t>
      </w:r>
      <w:r w:rsidR="00BE272D">
        <w:t>e</w:t>
      </w:r>
      <w:r w:rsidR="007D5DC8">
        <w:t xml:space="preserve"> </w:t>
      </w:r>
      <w:r w:rsidRPr="00E97087">
        <w:t xml:space="preserve">overheidsprocessen te </w:t>
      </w:r>
      <w:r w:rsidR="00BE272D">
        <w:t>waarborgen</w:t>
      </w:r>
      <w:r>
        <w:t xml:space="preserve"> </w:t>
      </w:r>
      <w:r w:rsidR="00BE272D">
        <w:t>indien</w:t>
      </w:r>
      <w:r w:rsidR="00BE272D">
        <w:t xml:space="preserve"> </w:t>
      </w:r>
      <w:r>
        <w:t>de datacenters in Estland niet meer functioneren.</w:t>
      </w:r>
      <w:r w:rsidR="00356B1E">
        <w:t xml:space="preserve"> </w:t>
      </w:r>
      <w:r w:rsidRPr="000027E9">
        <w:t>De data</w:t>
      </w:r>
      <w:r w:rsidR="00E97087">
        <w:t xml:space="preserve"> die</w:t>
      </w:r>
      <w:r w:rsidRPr="000027E9">
        <w:t xml:space="preserve"> in Luxemburg </w:t>
      </w:r>
      <w:r w:rsidR="00E97087">
        <w:t xml:space="preserve">is opgeslagen betreft de belangrijkste basisregistraties en een overzicht van wet- en regelgeving. Deze </w:t>
      </w:r>
      <w:r w:rsidRPr="000027E9">
        <w:t>worden regelmatig bijgewerkt, zo</w:t>
      </w:r>
      <w:r>
        <w:t xml:space="preserve">dat </w:t>
      </w:r>
      <w:r w:rsidR="00BE272D">
        <w:t xml:space="preserve">Estland </w:t>
      </w:r>
      <w:r>
        <w:t>in geval van nood</w:t>
      </w:r>
      <w:r w:rsidR="00E97087">
        <w:t xml:space="preserve"> kan beschikken over up-to-date data</w:t>
      </w:r>
      <w:r w:rsidR="005B755E">
        <w:t>.</w:t>
      </w:r>
    </w:p>
    <w:p w:rsidR="00B935D5" w14:paraId="5B68636A" w14:textId="77777777"/>
    <w:p w:rsidR="000027E9" w14:paraId="4EBABA2A" w14:textId="77777777">
      <w:r>
        <w:t xml:space="preserve">Uniek voor de data-ambassade </w:t>
      </w:r>
      <w:r>
        <w:t>is dat Estland en Luxemburg een verdrag getekend hebben, waarmee Luxemburg de systemen en data van Estland, aanwezig in het Luxemburgse datacenter, zal behandelen als ware het onderdeel van de Est</w:t>
      </w:r>
      <w:r w:rsidR="00D45343">
        <w:t>se</w:t>
      </w:r>
      <w:r>
        <w:t xml:space="preserve"> ambassade. </w:t>
      </w:r>
      <w:r>
        <w:t>Conform</w:t>
      </w:r>
      <w:r>
        <w:t xml:space="preserve"> het Verdrag van Wenen </w:t>
      </w:r>
      <w:r>
        <w:t>zal</w:t>
      </w:r>
      <w:r>
        <w:t xml:space="preserve"> Luxemburg </w:t>
      </w:r>
      <w:r>
        <w:t xml:space="preserve">de geheimhouding eerbiedigen en </w:t>
      </w:r>
      <w:r>
        <w:t>niets doen om de adequate werking te blokkeren</w:t>
      </w:r>
      <w:r>
        <w:t>.</w:t>
      </w:r>
      <w:r>
        <w:t xml:space="preserve"> </w:t>
      </w:r>
      <w:r>
        <w:t xml:space="preserve">In </w:t>
      </w:r>
      <w:r>
        <w:t xml:space="preserve">het geval van verstoring van de Luxemburgse infrastructuur zal Estland prioriteit krijgen </w:t>
      </w:r>
      <w:r w:rsidR="00D45343">
        <w:t>om de diensten te herstellen.</w:t>
      </w:r>
      <w:r w:rsidR="008A768C">
        <w:t xml:space="preserve"> Zo behoudt Estland zeggenschap over de diensten en de informatie.</w:t>
      </w:r>
    </w:p>
    <w:p w:rsidR="000027E9" w:rsidP="0048316F" w14:paraId="6C84C33C" w14:textId="77777777">
      <w:pPr>
        <w:pStyle w:val="Heading2"/>
      </w:pPr>
      <w:r>
        <w:t>Achtergrond noodzaak tot een buitenlandse uitwijkomgeving</w:t>
      </w:r>
    </w:p>
    <w:p w:rsidR="00994888" w14:paraId="3C42B6CE" w14:textId="77777777">
      <w:r>
        <w:t xml:space="preserve">Estland </w:t>
      </w:r>
      <w:r w:rsidR="00E00C0E">
        <w:t xml:space="preserve">is de meest </w:t>
      </w:r>
      <w:r w:rsidR="00411ADA">
        <w:t>o</w:t>
      </w:r>
      <w:r w:rsidR="00E00C0E">
        <w:t xml:space="preserve">ostelijke van de Baltische staten </w:t>
      </w:r>
      <w:r w:rsidR="00411ADA">
        <w:t>en grenst direct aan Rusland</w:t>
      </w:r>
      <w:r w:rsidR="00BE272D">
        <w:t xml:space="preserve">, waarbij </w:t>
      </w:r>
      <w:r w:rsidR="00D45343">
        <w:t xml:space="preserve">Estland een verleden </w:t>
      </w:r>
      <w:r w:rsidR="00BE272D">
        <w:t xml:space="preserve">heeft </w:t>
      </w:r>
      <w:r w:rsidR="00D45343">
        <w:t>van Russische agressie en bezetting. Daarnaast heeft Estland in 2007 een zware cyberaanval ondergaan</w:t>
      </w:r>
      <w:r w:rsidR="00F06256">
        <w:t xml:space="preserve">, </w:t>
      </w:r>
      <w:r w:rsidR="00DD5162">
        <w:t>die wordt gelinkt aan spanning tussen Estland en Rusland</w:t>
      </w:r>
      <w:r w:rsidR="00BE272D">
        <w:t>.</w:t>
      </w:r>
      <w:r>
        <w:rPr>
          <w:rStyle w:val="FootnoteReference"/>
        </w:rPr>
        <w:footnoteReference w:id="5"/>
      </w:r>
      <w:r w:rsidR="00DD5162">
        <w:t xml:space="preserve"> </w:t>
      </w:r>
      <w:r w:rsidR="007D5DC8">
        <w:t>V</w:t>
      </w:r>
      <w:r w:rsidR="00D45343">
        <w:t>eel officiële overheidswebsites waren niet bereikbaar door geavanceerde DD</w:t>
      </w:r>
      <w:r w:rsidR="00B935D5">
        <w:t>o</w:t>
      </w:r>
      <w:r w:rsidR="00D45343">
        <w:t>S</w:t>
      </w:r>
      <w:r w:rsidR="00B935D5">
        <w:t>-</w:t>
      </w:r>
      <w:r w:rsidR="00D45343">
        <w:t>aanvallen.</w:t>
      </w:r>
    </w:p>
    <w:p w:rsidR="00243A18" w14:paraId="666BC6CA" w14:textId="77777777"/>
    <w:p w:rsidR="008B0138" w14:paraId="4FB617F0" w14:textId="77777777">
      <w:r>
        <w:t>D</w:t>
      </w:r>
      <w:r w:rsidR="00D96145">
        <w:t xml:space="preserve">e geografische </w:t>
      </w:r>
      <w:r w:rsidR="00360494">
        <w:t>ligging</w:t>
      </w:r>
      <w:r w:rsidR="00D96145">
        <w:t xml:space="preserve"> en dreiging</w:t>
      </w:r>
      <w:r>
        <w:t xml:space="preserve"> was in het verleden de aanleiding voor Estland om kopieën van basisregistraties in het buitenland veilig te stellen door deze naar Est</w:t>
      </w:r>
      <w:r w:rsidR="00D45343">
        <w:t>se</w:t>
      </w:r>
      <w:r>
        <w:t xml:space="preserve"> ambassades te sturen. </w:t>
      </w:r>
      <w:r w:rsidR="00962C18">
        <w:t xml:space="preserve">Om de gevolgen van een mogelijke herhaling van een dergelijke </w:t>
      </w:r>
      <w:r w:rsidR="00BE272D">
        <w:t>DDoS-</w:t>
      </w:r>
      <w:r w:rsidR="00962C18">
        <w:t>aanval te mitigeren, besteed Estland ook veel aandacht aan het verbeteren van de beschikbaarheid en weerbaarheid van de overheids</w:t>
      </w:r>
      <w:r w:rsidR="00185605">
        <w:t>-</w:t>
      </w:r>
      <w:r w:rsidR="00962C18">
        <w:t xml:space="preserve">IT infrastructuur in Estland. </w:t>
      </w:r>
      <w:r w:rsidR="00CD0984">
        <w:t>De moderne, gedistribueerde infrastructuur op basis van cloud</w:t>
      </w:r>
      <w:r w:rsidR="00BE6DA3">
        <w:t xml:space="preserve"> </w:t>
      </w:r>
      <w:r w:rsidR="00CD0984">
        <w:t xml:space="preserve">technologie en verbeteringen in </w:t>
      </w:r>
      <w:r w:rsidR="00185605">
        <w:t xml:space="preserve">het monitoren en weerstaan van aanvallen, hebben </w:t>
      </w:r>
      <w:r w:rsidR="00185605">
        <w:t>er voor</w:t>
      </w:r>
      <w:r w:rsidR="00185605">
        <w:t xml:space="preserve"> gezorgd dat meer recente aanvallen vrijwel geen uitval van diensten veroorzaakten.</w:t>
      </w:r>
    </w:p>
    <w:p w:rsidRPr="008B0138" w:rsidR="008B0138" w:rsidP="008B3227" w14:paraId="17C122E3" w14:textId="77777777">
      <w:pPr>
        <w:pStyle w:val="Heading2"/>
        <w:keepNext/>
      </w:pPr>
      <w:r>
        <w:t>Noodzaak</w:t>
      </w:r>
      <w:r>
        <w:t xml:space="preserve"> uitwijkomgeving </w:t>
      </w:r>
    </w:p>
    <w:p w:rsidR="002875EF" w14:paraId="676429FE" w14:textId="77777777">
      <w:r>
        <w:t xml:space="preserve">Door de verbeteringen in </w:t>
      </w:r>
      <w:r w:rsidR="00BE272D">
        <w:t xml:space="preserve">de </w:t>
      </w:r>
      <w:r>
        <w:t xml:space="preserve">cyberweerbaarheid van de Estse overheid en samenleving, is er tot op heden geen noodzaak geweest de data-ambassade in Luxemburg daadwerkelijk te gebruiken. Als noodvoorziening blijft deze wel van belang, allereerst voor het </w:t>
      </w:r>
      <w:r>
        <w:t>veilig stellen</w:t>
      </w:r>
      <w:r>
        <w:t xml:space="preserve"> van basisregistraties om ongeoorloofde wijziging daarvan te voorkomen en essentiële overheidsprocessen, ook tijdens een noodsituatie</w:t>
      </w:r>
      <w:r w:rsidR="009C6BE8">
        <w:t>,</w:t>
      </w:r>
      <w:r>
        <w:t xml:space="preserve"> te kunnen voortzetten.</w:t>
      </w:r>
      <w:r w:rsidR="002D03E3">
        <w:t xml:space="preserve"> </w:t>
      </w:r>
    </w:p>
    <w:p w:rsidRPr="005B755E" w:rsidR="002875EF" w:rsidP="009754A8" w14:paraId="08ABD2B6" w14:textId="77777777">
      <w:pPr>
        <w:pStyle w:val="Heading2"/>
        <w:keepNext/>
      </w:pPr>
      <w:r>
        <w:t>De Nederlandse situatie</w:t>
      </w:r>
    </w:p>
    <w:p w:rsidR="002875EF" w:rsidP="002875EF" w14:paraId="42BF5700" w14:textId="77777777">
      <w:r>
        <w:t xml:space="preserve">Het huidige dreigingsbeeld voor een fysieke aanval op Nederland is een andere dan die voor Estland. De buurlanden van Nederland zijn sterke bondgenoten. Het risico van een inval door een vijandelijke mogendheid is dan ook vele malen kleiner. Een van de belangrijkste redenen van Estland tot het opzetten van een data-ambassade is het veiligstellen van een aantal basisregistraties in geval van een fysieke inval en bezetting. Dat risico is kleiner voor Nederland. </w:t>
      </w:r>
    </w:p>
    <w:p w:rsidR="002875EF" w:rsidP="002875EF" w14:paraId="41796E65" w14:textId="77777777">
      <w:r>
        <w:t xml:space="preserve">Het risico van een sabotageactie of een cyberaanval tegen de Nederlandse internetinfrastructuur is wel aanwezig. Nederland als transportland, ook voor de logistieke voorzieningen ten behoeve van de NAVO, kan mogelijk een doelwit worden. Het verschil in geografische ligging geeft Nederland andere mogelijkheden om te zorgen voor continuïteit van dienstverlening en het bewaken van de integriteit en beschikbaarheid van de data in de basisregistraties. Rijksorganisaties nemen al maatregelen om de </w:t>
      </w:r>
      <w:r w:rsidR="005C4CA0">
        <w:t xml:space="preserve">weerbaarheid tegen cyberaanvallen te verbeteren en de </w:t>
      </w:r>
      <w:r>
        <w:t>beschikbaarheid van belangrijke gegevens veilig te stellen.</w:t>
      </w:r>
    </w:p>
    <w:p w:rsidR="002875EF" w:rsidP="002875EF" w14:paraId="6A8CF8E6" w14:textId="77777777"/>
    <w:p w:rsidR="002875EF" w:rsidP="002875EF" w14:paraId="3D357216" w14:textId="77777777">
      <w:r>
        <w:t xml:space="preserve">Momenteel hebben we te maken met </w:t>
      </w:r>
      <w:r w:rsidR="00BE272D">
        <w:t xml:space="preserve">een </w:t>
      </w:r>
      <w:r>
        <w:t>verhoogde</w:t>
      </w:r>
      <w:bookmarkStart w:name="_Hlk210057421" w:id="0"/>
      <w:r w:rsidR="005C4CA0">
        <w:t xml:space="preserve"> dreiging</w:t>
      </w:r>
      <w:r>
        <w:t xml:space="preserve">. </w:t>
      </w:r>
      <w:bookmarkEnd w:id="0"/>
      <w:r>
        <w:t xml:space="preserve">Om de impact van uitval, gerichte cyberaanvallen of sabotageacties te weerstaan, is het van belang om de uitwijkmogelijkheden van kritische systemen van de overheid te verbeteren. Dit is daarom een belangrijke prioriteit </w:t>
      </w:r>
      <w:r w:rsidR="00570156">
        <w:t xml:space="preserve">binnen </w:t>
      </w:r>
      <w:r>
        <w:t>de Nederlandse Digitaliseringsstrategie</w:t>
      </w:r>
      <w:r w:rsidR="00BE272D">
        <w:t>.</w:t>
      </w:r>
      <w:r>
        <w:rPr>
          <w:rStyle w:val="FootnoteReference"/>
        </w:rPr>
        <w:footnoteReference w:id="6"/>
      </w:r>
      <w:r>
        <w:t xml:space="preserve"> De digitale weerbaarheid en autonomie van de overheid, </w:t>
      </w:r>
      <w:r>
        <w:t>ook in tijden van crisis, behoeft versterking</w:t>
      </w:r>
      <w:r w:rsidR="00BE272D">
        <w:t>.</w:t>
      </w:r>
      <w:r>
        <w:rPr>
          <w:rStyle w:val="FootnoteReference"/>
        </w:rPr>
        <w:footnoteReference w:id="7"/>
      </w:r>
      <w:r w:rsidRPr="00A10A9F" w:rsidR="00A10A9F">
        <w:rPr>
          <w:vertAlign w:val="superscript"/>
        </w:rPr>
        <w:t>,</w:t>
      </w:r>
      <w:r>
        <w:rPr>
          <w:rStyle w:val="FootnoteReference"/>
        </w:rPr>
        <w:footnoteReference w:id="8"/>
      </w:r>
      <w:r w:rsidRPr="003A7AE6">
        <w:t xml:space="preserve"> Op basis van de realisatie van een </w:t>
      </w:r>
      <w:r w:rsidRPr="003A7AE6">
        <w:t>overheidsbrede</w:t>
      </w:r>
      <w:r w:rsidRPr="003A7AE6">
        <w:t xml:space="preserve">, gecoördineerde aanpak voor cyberveiligheid, </w:t>
      </w:r>
      <w:r w:rsidR="00937434">
        <w:t>word</w:t>
      </w:r>
      <w:r w:rsidR="00581297">
        <w:t xml:space="preserve">t een beter inzicht in kritieke </w:t>
      </w:r>
      <w:r w:rsidR="00BE6DA3">
        <w:t>dienstverlening</w:t>
      </w:r>
      <w:r w:rsidR="00581297">
        <w:t xml:space="preserve"> </w:t>
      </w:r>
      <w:r w:rsidR="00BE6DA3">
        <w:t>gecreëerd</w:t>
      </w:r>
      <w:r w:rsidR="00581297">
        <w:t xml:space="preserve">. De </w:t>
      </w:r>
      <w:r w:rsidR="00BE6DA3">
        <w:t>continuïteit</w:t>
      </w:r>
      <w:r w:rsidR="00581297">
        <w:t xml:space="preserve"> van de kritieke dienstverlening, onder normale en </w:t>
      </w:r>
      <w:r w:rsidR="00BE6DA3">
        <w:t>ongunstige</w:t>
      </w:r>
      <w:r w:rsidR="00581297">
        <w:t xml:space="preserve"> </w:t>
      </w:r>
      <w:r w:rsidR="00BE6DA3">
        <w:t>omstandigheden</w:t>
      </w:r>
      <w:r w:rsidR="009C6BE8">
        <w:t>,</w:t>
      </w:r>
      <w:r w:rsidR="00581297">
        <w:t xml:space="preserve"> wordt verbeterd. Als onderdeel daarvan wordt bekeken of</w:t>
      </w:r>
      <w:r w:rsidR="0080665C">
        <w:t xml:space="preserve"> </w:t>
      </w:r>
      <w:r w:rsidR="00581297">
        <w:t xml:space="preserve">en voor welke data en diensten er een </w:t>
      </w:r>
      <w:r>
        <w:t>noodzaak van een uitwijkoptie op geografische afstand van Nederland</w:t>
      </w:r>
      <w:r w:rsidR="00581297">
        <w:t xml:space="preserve"> is</w:t>
      </w:r>
      <w:r w:rsidR="0080665C">
        <w:t>.</w:t>
      </w:r>
      <w:r>
        <w:t xml:space="preserve"> Dat kan dan bijvoorbeeld meegenomen worden in onder meer het ontwerp van </w:t>
      </w:r>
      <w:r w:rsidR="00FE279C">
        <w:t>een eigen</w:t>
      </w:r>
      <w:r>
        <w:t xml:space="preserve"> </w:t>
      </w:r>
      <w:r w:rsidR="00BE272D">
        <w:t>overheidsbrede</w:t>
      </w:r>
      <w:r w:rsidR="00BE272D">
        <w:t xml:space="preserve"> soevereine </w:t>
      </w:r>
      <w:r>
        <w:t>cloud</w:t>
      </w:r>
      <w:r>
        <w:t>.</w:t>
      </w:r>
      <w:r>
        <w:rPr>
          <w:rStyle w:val="FootnoteReference"/>
        </w:rPr>
        <w:footnoteReference w:id="9"/>
      </w:r>
      <w:r>
        <w:t xml:space="preserve"> Door het verbeteren van de onderlinge uitwijkmogelijkheden, kunnen de risico’s van uitval door bijvoorbeeld een sabotage- of cyberaanval worden gemitigeerd en kan gebruik worden gemaakt van de geografische spreiding van de datacenters van de Nederlandse overheid.</w:t>
      </w:r>
    </w:p>
    <w:p w:rsidR="002875EF" w:rsidP="002875EF" w14:paraId="46668A5D" w14:textId="77777777"/>
    <w:p w:rsidR="002875EF" w:rsidP="002875EF" w14:paraId="66D6D97D" w14:textId="77777777">
      <w:r>
        <w:t>De meerwaarde voor Nederland om dit in het buitenland te doen is minder dan de Estse situatie, gezien de verschillen in geografische ligging, geopolitieke dreigingen en risico-inschatting.</w:t>
      </w:r>
      <w:r w:rsidR="00FE279C">
        <w:t xml:space="preserve"> </w:t>
      </w:r>
      <w:r>
        <w:t xml:space="preserve">Onderdelen van de Rijksoverheid, m.n. Defensie en organisaties in het veiligheidsdomein, kiezen </w:t>
      </w:r>
      <w:r w:rsidR="0063424F">
        <w:t>wel</w:t>
      </w:r>
      <w:r>
        <w:t xml:space="preserve"> al voor een gespreide implementatie van hun digitale </w:t>
      </w:r>
      <w:r w:rsidR="0063424F">
        <w:t>dienstverlening</w:t>
      </w:r>
      <w:r>
        <w:t>.</w:t>
      </w:r>
    </w:p>
    <w:p w:rsidR="002875EF" w:rsidP="002875EF" w14:paraId="5B628A18" w14:textId="77777777"/>
    <w:p w:rsidR="002875EF" w:rsidP="002875EF" w14:paraId="6E5893F5" w14:textId="77777777">
      <w:r>
        <w:t xml:space="preserve">In een latere fase </w:t>
      </w:r>
      <w:r w:rsidR="00581297">
        <w:t>wordt</w:t>
      </w:r>
      <w:r>
        <w:t xml:space="preserve"> beoordeeld of het voor specifieke kritische processen gewenst is om </w:t>
      </w:r>
      <w:r>
        <w:t>tevens</w:t>
      </w:r>
      <w:r>
        <w:t xml:space="preserve"> een uitwijkmogelijkheid buiten Nederland te realiseren. Een dergelijke locatie zal een ander risicoprofiel dan Nederland moeten hebben en ook op grotere afstand moeten liggen dan Luxemburg. In deze analyse zal ook moeten worden meegenomen of een dergelijke faciliteit gecombineerd kan worden met de data-ambassadestructuur, inclusief verwijzing naar het Verdrag van Wenen, zoals overeengekomen tussen Estland en Luxemburg.</w:t>
      </w:r>
    </w:p>
    <w:p w:rsidR="002875EF" w14:paraId="573104A8" w14:textId="77777777"/>
    <w:p w:rsidR="00FE279C" w:rsidP="003D5F51" w14:paraId="0E8C752E" w14:textId="77777777">
      <w:pPr>
        <w:keepNext/>
      </w:pPr>
    </w:p>
    <w:p w:rsidRPr="007F1AEA" w:rsidR="00FE6B7F" w:rsidP="003D5F51" w14:paraId="3D781883" w14:textId="77777777">
      <w:pPr>
        <w:keepNext/>
        <w:rPr>
          <w:i/>
          <w:iCs/>
        </w:rPr>
      </w:pPr>
      <w:r>
        <w:t xml:space="preserve">De Staatssecretaris van Binnenlandse Zaken en Koninkrijksrelaties,  </w:t>
      </w:r>
      <w:r w:rsidR="007F1AEA">
        <w:br/>
      </w:r>
      <w:r w:rsidRPr="007F1AEA">
        <w:rPr>
          <w:i/>
          <w:iCs/>
        </w:rPr>
        <w:t>Herstel Groningen, Koninkrijksrelaties en Digitalisering,</w:t>
      </w:r>
    </w:p>
    <w:p w:rsidR="00FE6B7F" w:rsidP="003D5F51" w14:paraId="43513946" w14:textId="77777777">
      <w:pPr>
        <w:keepNext/>
      </w:pPr>
    </w:p>
    <w:p w:rsidR="00FE6B7F" w:rsidP="003D5F51" w14:paraId="1E0F0A8C" w14:textId="77777777">
      <w:pPr>
        <w:keepNext/>
      </w:pPr>
    </w:p>
    <w:p w:rsidR="00FE6B7F" w:rsidP="003D5F51" w14:paraId="421467B7" w14:textId="77777777">
      <w:pPr>
        <w:keepNext/>
      </w:pPr>
    </w:p>
    <w:p w:rsidR="00FE6B7F" w:rsidP="003D5F51" w14:paraId="23DB9C91" w14:textId="77777777">
      <w:pPr>
        <w:keepNext/>
      </w:pPr>
    </w:p>
    <w:p w:rsidR="00FE6B7F" w:rsidP="003D5F51" w14:paraId="3B122C49" w14:textId="77777777">
      <w:pPr>
        <w:keepNext/>
      </w:pPr>
      <w:r>
        <w:t>Eddie van Marum</w:t>
      </w:r>
    </w:p>
    <w:p w:rsidRPr="000027E9" w:rsidR="000F02A3" w:rsidP="003D5F51" w14:paraId="4339BC8B" w14:textId="77777777">
      <w:pPr>
        <w:keepNext/>
        <w:spacing w:line="240" w:lineRule="auto"/>
      </w:pPr>
    </w:p>
    <w:sectPr>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4888" w14:paraId="6E73CD35"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305C5" w14:paraId="0A7368A0" w14:textId="77777777">
      <w:pPr>
        <w:spacing w:line="240" w:lineRule="auto"/>
      </w:pPr>
      <w:r>
        <w:separator/>
      </w:r>
    </w:p>
  </w:footnote>
  <w:footnote w:type="continuationSeparator" w:id="1">
    <w:p w:rsidR="006305C5" w14:paraId="6B4CB250" w14:textId="77777777">
      <w:pPr>
        <w:spacing w:line="240" w:lineRule="auto"/>
      </w:pPr>
      <w:r>
        <w:continuationSeparator/>
      </w:r>
    </w:p>
  </w:footnote>
  <w:footnote w:id="2">
    <w:p w:rsidR="00B935D5" w:rsidRPr="007B53A4" w:rsidP="00B935D5" w14:paraId="1E5F7DD1" w14:textId="77777777">
      <w:pPr>
        <w:pStyle w:val="FootnoteText"/>
        <w:rPr>
          <w:sz w:val="16"/>
          <w:szCs w:val="16"/>
        </w:rPr>
      </w:pPr>
      <w:r w:rsidRPr="007B53A4">
        <w:rPr>
          <w:rStyle w:val="FootnoteReference"/>
          <w:sz w:val="16"/>
          <w:szCs w:val="16"/>
        </w:rPr>
        <w:footnoteRef/>
      </w:r>
      <w:r w:rsidRPr="007B53A4">
        <w:rPr>
          <w:sz w:val="16"/>
          <w:szCs w:val="16"/>
        </w:rPr>
        <w:t xml:space="preserve"> </w:t>
      </w:r>
      <w:r w:rsidRPr="007B53A4" w:rsidR="0048316F">
        <w:rPr>
          <w:sz w:val="16"/>
          <w:szCs w:val="16"/>
        </w:rPr>
        <w:t>Kamerstukken II 2024/25, 36 600</w:t>
      </w:r>
      <w:r w:rsidRPr="007B53A4" w:rsidR="005F7691">
        <w:rPr>
          <w:sz w:val="16"/>
          <w:szCs w:val="16"/>
        </w:rPr>
        <w:t xml:space="preserve">-V, </w:t>
      </w:r>
      <w:r w:rsidRPr="007B53A4" w:rsidR="005F7691">
        <w:rPr>
          <w:sz w:val="16"/>
          <w:szCs w:val="16"/>
        </w:rPr>
        <w:t>nr</w:t>
      </w:r>
      <w:r w:rsidRPr="007B53A4" w:rsidR="005F7691">
        <w:rPr>
          <w:sz w:val="16"/>
          <w:szCs w:val="16"/>
        </w:rPr>
        <w:t xml:space="preserve"> 50.</w:t>
      </w:r>
    </w:p>
  </w:footnote>
  <w:footnote w:id="3">
    <w:p w:rsidR="002932BD" w:rsidRPr="007B53A4" w:rsidP="002932BD" w14:paraId="506A7538" w14:textId="77777777">
      <w:pPr>
        <w:pStyle w:val="FootnoteText"/>
        <w:rPr>
          <w:sz w:val="16"/>
          <w:szCs w:val="16"/>
        </w:rPr>
      </w:pPr>
      <w:r w:rsidRPr="007B53A4">
        <w:rPr>
          <w:sz w:val="16"/>
          <w:szCs w:val="16"/>
          <w:vertAlign w:val="superscript"/>
        </w:rPr>
        <w:footnoteRef/>
      </w:r>
      <w:r w:rsidRPr="007B53A4">
        <w:rPr>
          <w:sz w:val="16"/>
          <w:szCs w:val="16"/>
        </w:rPr>
        <w:t xml:space="preserve"> Inmiddels maakt naast Estland ook Monaco gebruik van een data-ambassade in Luxemburg</w:t>
      </w:r>
    </w:p>
  </w:footnote>
  <w:footnote w:id="4">
    <w:p w:rsidR="007F1AEA" w:rsidRPr="00BE6DA3" w:rsidP="007F1AEA" w14:paraId="1F1FCB53" w14:textId="77777777">
      <w:pPr>
        <w:pStyle w:val="FootnoteText"/>
        <w:rPr>
          <w:i/>
          <w:iCs/>
          <w:sz w:val="16"/>
          <w:szCs w:val="16"/>
        </w:rPr>
      </w:pPr>
      <w:r w:rsidRPr="007B53A4">
        <w:rPr>
          <w:sz w:val="16"/>
          <w:szCs w:val="16"/>
          <w:vertAlign w:val="superscript"/>
        </w:rPr>
        <w:footnoteRef/>
      </w:r>
      <w:r w:rsidRPr="007B53A4">
        <w:rPr>
          <w:sz w:val="16"/>
          <w:szCs w:val="16"/>
        </w:rPr>
        <w:t xml:space="preserve"> </w:t>
      </w:r>
      <w:r w:rsidRPr="007B53A4">
        <w:rPr>
          <w:sz w:val="16"/>
          <w:szCs w:val="16"/>
        </w:rPr>
        <w:t>https://e-estonia.com/wp-content/uploads/factsheet_data_embassy.pdf</w:t>
      </w:r>
    </w:p>
  </w:footnote>
  <w:footnote w:id="5">
    <w:p w:rsidR="00DD5162" w:rsidRPr="009C6BE8" w14:paraId="21C7EACC" w14:textId="77777777">
      <w:pPr>
        <w:pStyle w:val="FootnoteText"/>
        <w:rPr>
          <w:sz w:val="16"/>
          <w:szCs w:val="16"/>
        </w:rPr>
      </w:pPr>
      <w:r w:rsidRPr="009C6BE8">
        <w:rPr>
          <w:rStyle w:val="FootnoteReference"/>
          <w:sz w:val="16"/>
          <w:szCs w:val="16"/>
        </w:rPr>
        <w:footnoteRef/>
      </w:r>
      <w:r w:rsidRPr="009C6BE8">
        <w:rPr>
          <w:sz w:val="16"/>
          <w:szCs w:val="16"/>
        </w:rPr>
        <w:t xml:space="preserve"> </w:t>
      </w:r>
      <w:hyperlink r:id="rId1" w:history="1">
        <w:r w:rsidRPr="009C6BE8" w:rsidR="00B36391">
          <w:rPr>
            <w:rStyle w:val="Hyperlink"/>
            <w:sz w:val="16"/>
            <w:szCs w:val="16"/>
          </w:rPr>
          <w:t xml:space="preserve">Cyberaanvallen: dit gebeurt er bij sabotage | </w:t>
        </w:r>
        <w:r w:rsidRPr="009C6BE8" w:rsidR="00B36391">
          <w:rPr>
            <w:rStyle w:val="Hyperlink"/>
            <w:sz w:val="16"/>
            <w:szCs w:val="16"/>
          </w:rPr>
          <w:t>Rathenau</w:t>
        </w:r>
        <w:r w:rsidRPr="009C6BE8" w:rsidR="00B36391">
          <w:rPr>
            <w:rStyle w:val="Hyperlink"/>
            <w:sz w:val="16"/>
            <w:szCs w:val="16"/>
          </w:rPr>
          <w:t xml:space="preserve"> Instituut</w:t>
        </w:r>
      </w:hyperlink>
    </w:p>
  </w:footnote>
  <w:footnote w:id="6">
    <w:p w:rsidR="002875EF" w:rsidRPr="00BE272D" w:rsidP="002875EF" w14:paraId="0D875E11" w14:textId="77777777">
      <w:pPr>
        <w:pStyle w:val="FootnoteText"/>
        <w:rPr>
          <w:i/>
          <w:iCs/>
          <w:sz w:val="16"/>
          <w:szCs w:val="16"/>
        </w:rPr>
      </w:pPr>
      <w:r w:rsidRPr="009C6BE8">
        <w:rPr>
          <w:rStyle w:val="FootnoteReference"/>
          <w:sz w:val="16"/>
          <w:szCs w:val="16"/>
        </w:rPr>
        <w:footnoteRef/>
      </w:r>
      <w:r w:rsidRPr="009C6BE8">
        <w:rPr>
          <w:sz w:val="16"/>
          <w:szCs w:val="16"/>
        </w:rPr>
        <w:t xml:space="preserve"> Kamerstukken II 2024/2025, 26643-1366</w:t>
      </w:r>
    </w:p>
  </w:footnote>
  <w:footnote w:id="7">
    <w:p w:rsidR="002875EF" w:rsidRPr="0080665C" w:rsidP="002875EF" w14:paraId="1D30705E" w14:textId="77777777">
      <w:pPr>
        <w:pStyle w:val="FootnoteText"/>
        <w:rPr>
          <w:sz w:val="16"/>
          <w:szCs w:val="16"/>
        </w:rPr>
      </w:pPr>
      <w:r w:rsidRPr="0080665C">
        <w:rPr>
          <w:rStyle w:val="FootnoteReference"/>
          <w:sz w:val="16"/>
          <w:szCs w:val="16"/>
        </w:rPr>
        <w:footnoteRef/>
      </w:r>
      <w:r w:rsidRPr="0080665C">
        <w:rPr>
          <w:sz w:val="16"/>
          <w:szCs w:val="16"/>
        </w:rPr>
        <w:t xml:space="preserve"> Zie ook “Digitale Kroonjuwelen – Gegevens, documenten en registraties van Nationaal Belang, 6 juni 2023</w:t>
      </w:r>
    </w:p>
  </w:footnote>
  <w:footnote w:id="8">
    <w:p w:rsidR="005C4CA0" w:rsidRPr="0080665C" w14:paraId="665396D8" w14:textId="77777777">
      <w:pPr>
        <w:pStyle w:val="FootnoteText"/>
        <w:rPr>
          <w:sz w:val="16"/>
          <w:szCs w:val="16"/>
        </w:rPr>
      </w:pPr>
      <w:r w:rsidRPr="0080665C">
        <w:rPr>
          <w:sz w:val="16"/>
          <w:szCs w:val="16"/>
          <w:vertAlign w:val="superscript"/>
        </w:rPr>
        <w:footnoteRef/>
      </w:r>
      <w:r w:rsidRPr="0080665C">
        <w:rPr>
          <w:sz w:val="16"/>
          <w:szCs w:val="16"/>
          <w:vertAlign w:val="superscript"/>
        </w:rPr>
        <w:t xml:space="preserve"> </w:t>
      </w:r>
      <w:r w:rsidRPr="0080665C">
        <w:rPr>
          <w:sz w:val="16"/>
          <w:szCs w:val="16"/>
        </w:rPr>
        <w:t xml:space="preserve">Zie ook de Kamerbrief “Weerbaarheid tegen militaire </w:t>
      </w:r>
      <w:r w:rsidRPr="0080665C" w:rsidR="00A10A9F">
        <w:rPr>
          <w:sz w:val="16"/>
          <w:szCs w:val="16"/>
        </w:rPr>
        <w:t>e</w:t>
      </w:r>
      <w:r w:rsidRPr="0080665C">
        <w:rPr>
          <w:sz w:val="16"/>
          <w:szCs w:val="16"/>
        </w:rPr>
        <w:t xml:space="preserve">n hybride dreigingen”, </w:t>
      </w:r>
      <w:r w:rsidRPr="0080665C" w:rsidR="00A10A9F">
        <w:rPr>
          <w:sz w:val="16"/>
          <w:szCs w:val="16"/>
        </w:rPr>
        <w:t>K</w:t>
      </w:r>
      <w:r w:rsidRPr="0080665C">
        <w:rPr>
          <w:sz w:val="16"/>
          <w:szCs w:val="16"/>
        </w:rPr>
        <w:t>amerstukken</w:t>
      </w:r>
      <w:r w:rsidRPr="0080665C" w:rsidR="00A10A9F">
        <w:rPr>
          <w:sz w:val="16"/>
          <w:szCs w:val="16"/>
        </w:rPr>
        <w:t xml:space="preserve"> II</w:t>
      </w:r>
      <w:r w:rsidRPr="0080665C">
        <w:rPr>
          <w:sz w:val="16"/>
          <w:szCs w:val="16"/>
        </w:rPr>
        <w:t xml:space="preserve"> </w:t>
      </w:r>
      <w:r w:rsidRPr="0080665C" w:rsidR="00A10A9F">
        <w:rPr>
          <w:sz w:val="16"/>
          <w:szCs w:val="16"/>
        </w:rPr>
        <w:t>2024/2025, 30 821, nr. 249</w:t>
      </w:r>
    </w:p>
  </w:footnote>
  <w:footnote w:id="9">
    <w:p w:rsidR="002875EF" w:rsidRPr="003A7AE6" w:rsidP="002875EF" w14:paraId="2FCECE5C" w14:textId="77777777">
      <w:pPr>
        <w:pStyle w:val="FootnoteText"/>
      </w:pPr>
      <w:r w:rsidRPr="0080665C">
        <w:rPr>
          <w:rStyle w:val="FootnoteReference"/>
          <w:sz w:val="16"/>
          <w:szCs w:val="16"/>
        </w:rPr>
        <w:footnoteRef/>
      </w:r>
      <w:r w:rsidRPr="0080665C">
        <w:rPr>
          <w:sz w:val="16"/>
          <w:szCs w:val="16"/>
        </w:rPr>
        <w:t xml:space="preserve"> Kamerstukken II 2024/25, 26 643, nr. 1316.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4888" w14:paraId="6F022A27"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2D2CDD"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2D2CDD" w14:paraId="51F5CACE"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94888" w14:textId="77777777">
                          <w:pPr>
                            <w:pStyle w:val="Referentiegegevensbold"/>
                          </w:pPr>
                          <w:r>
                            <w:t>DG Digitalisering &amp; Overheidsorganisatie</w:t>
                          </w:r>
                        </w:p>
                        <w:p w:rsidR="00994888" w:rsidRPr="005B755E" w14:textId="77777777">
                          <w:pPr>
                            <w:pStyle w:val="Referentiegegevens"/>
                          </w:pPr>
                          <w:r w:rsidRPr="005B755E">
                            <w:t>DGDOO-CIO-</w:t>
                          </w:r>
                          <w:r w:rsidRPr="005B755E" w:rsidR="00E97087">
                            <w:t>IB &amp; P</w:t>
                          </w:r>
                        </w:p>
                        <w:p w:rsidR="00994888" w:rsidRPr="005B755E" w14:textId="77777777">
                          <w:pPr>
                            <w:pStyle w:val="WitregelW2"/>
                          </w:pPr>
                        </w:p>
                        <w:p w:rsidR="00994888" w14:textId="77777777">
                          <w:pPr>
                            <w:pStyle w:val="Referentiegegevensbold"/>
                          </w:pPr>
                          <w:r>
                            <w:t>Datum</w:t>
                          </w:r>
                        </w:p>
                        <w:p w:rsidR="00994888" w:rsidRPr="00EF3EE0" w14:textId="77777777">
                          <w:pPr>
                            <w:pStyle w:val="Referentiegegevens"/>
                            <w:rPr>
                              <w:color w:val="FFFFFF" w:themeColor="background1"/>
                            </w:rPr>
                          </w:pPr>
                          <w:sdt>
                            <w:sdtPr>
                              <w:rPr>
                                <w:color w:val="FFFFFF" w:themeColor="background1"/>
                              </w:rPr>
                              <w:id w:val="-1846087115"/>
                              <w:date w:fullDate="2025-09-29T00:00:00Z">
                                <w:dateFormat w:val="d MMMM yyyy"/>
                                <w:lid w:val="nl"/>
                                <w:storeMappedDataAs w:val="dateTime"/>
                                <w:calendar w:val="gregorian"/>
                              </w:date>
                            </w:sdtPr>
                            <w:sdtContent>
                              <w:r w:rsidRPr="00EF3EE0" w:rsidR="002751D2">
                                <w:rPr>
                                  <w:color w:val="FFFFFF" w:themeColor="background1"/>
                                  <w:lang w:val="nl"/>
                                </w:rPr>
                                <w:t>29 september 2025</w:t>
                              </w:r>
                            </w:sdtContent>
                          </w:sdt>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994888" w14:paraId="7C7EFBA3" w14:textId="77777777">
                    <w:pPr>
                      <w:pStyle w:val="Referentiegegevensbold"/>
                    </w:pPr>
                    <w:r>
                      <w:t>DG Digitalisering &amp; Overheidsorganisatie</w:t>
                    </w:r>
                  </w:p>
                  <w:p w:rsidR="00994888" w:rsidRPr="005B755E" w14:paraId="2E88A51C" w14:textId="77777777">
                    <w:pPr>
                      <w:pStyle w:val="Referentiegegevens"/>
                    </w:pPr>
                    <w:r w:rsidRPr="005B755E">
                      <w:t>DGDOO-CIO-</w:t>
                    </w:r>
                    <w:r w:rsidRPr="005B755E" w:rsidR="00E97087">
                      <w:t>IB &amp; P</w:t>
                    </w:r>
                  </w:p>
                  <w:p w:rsidR="00994888" w:rsidRPr="005B755E" w14:paraId="4B32F79E" w14:textId="77777777">
                    <w:pPr>
                      <w:pStyle w:val="WitregelW2"/>
                    </w:pPr>
                  </w:p>
                  <w:p w:rsidR="00994888" w14:paraId="7D523712" w14:textId="77777777">
                    <w:pPr>
                      <w:pStyle w:val="Referentiegegevensbold"/>
                    </w:pPr>
                    <w:r>
                      <w:t>Datum</w:t>
                    </w:r>
                  </w:p>
                  <w:p w:rsidR="00994888" w:rsidRPr="00EF3EE0" w14:paraId="5617A31A" w14:textId="77777777">
                    <w:pPr>
                      <w:pStyle w:val="Referentiegegevens"/>
                      <w:rPr>
                        <w:color w:val="FFFFFF" w:themeColor="background1"/>
                      </w:rPr>
                    </w:pPr>
                    <w:sdt>
                      <w:sdtPr>
                        <w:rPr>
                          <w:color w:val="FFFFFF" w:themeColor="background1"/>
                        </w:rPr>
                        <w:id w:val="2028519103"/>
                        <w:date w:fullDate="2025-09-29T00:00:00Z">
                          <w:dateFormat w:val="d MMMM yyyy"/>
                          <w:lid w:val="nl"/>
                          <w:storeMappedDataAs w:val="dateTime"/>
                          <w:calendar w:val="gregorian"/>
                        </w:date>
                      </w:sdtPr>
                      <w:sdtContent>
                        <w:r w:rsidRPr="00EF3EE0" w:rsidR="002751D2">
                          <w:rPr>
                            <w:color w:val="FFFFFF" w:themeColor="background1"/>
                            <w:lang w:val="nl"/>
                          </w:rPr>
                          <w:t>29 september 2025</w:t>
                        </w:r>
                      </w:sdtContent>
                    </w:sdt>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D2CDD"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2D2CDD" w14:paraId="15676074"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CB575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CB5757" w14:paraId="2D65729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4888" w14:paraId="349D20AB"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994888" w14:textId="77777777">
                          <w:pPr>
                            <w:spacing w:line="240" w:lineRule="auto"/>
                          </w:pPr>
                          <w:r>
                            <w:rPr>
                              <w:noProof/>
                            </w:rPr>
                            <w:drawing>
                              <wp:inline distT="0" distB="0" distL="0" distR="0">
                                <wp:extent cx="467995" cy="1583865"/>
                                <wp:effectExtent l="0" t="0" r="0" b="0"/>
                                <wp:docPr id="152201871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52201871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994888" w14:paraId="7FE70CC5"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994888" w14:textId="77777777">
                          <w:pPr>
                            <w:spacing w:line="240" w:lineRule="auto"/>
                          </w:pPr>
                          <w:r>
                            <w:rPr>
                              <w:noProof/>
                            </w:rPr>
                            <w:drawing>
                              <wp:inline distT="0" distB="0" distL="0" distR="0">
                                <wp:extent cx="2339975" cy="1582834"/>
                                <wp:effectExtent l="0" t="0" r="0" b="0"/>
                                <wp:docPr id="83113715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3113715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994888" w14:paraId="3E1D8EA0"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94888"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994888" w14:paraId="74BBBF42"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994888" w14:textId="77777777">
                          <w:r>
                            <w:t>Aan</w:t>
                          </w:r>
                          <w:r w:rsidR="002D2CDD">
                            <w:t xml:space="preserve"> de Voorzitter van de Tweede Kamer der Staten-Generaal</w:t>
                          </w:r>
                        </w:p>
                        <w:p w:rsidR="00994888" w14:textId="77777777">
                          <w:r>
                            <w:t>Postbus 20018</w:t>
                          </w:r>
                        </w:p>
                        <w:p w:rsidR="00994888" w14:textId="77777777">
                          <w:r>
                            <w:t>2500 EA</w:t>
                          </w:r>
                          <w:r w:rsidR="002D2CDD">
                            <w:t xml:space="preserve">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994888" w14:paraId="1A60FBA3" w14:textId="77777777">
                    <w:r>
                      <w:t>Aan</w:t>
                    </w:r>
                    <w:r w:rsidR="002D2CDD">
                      <w:t xml:space="preserve"> de Voorzitter van de Tweede Kamer der Staten-Generaal</w:t>
                    </w:r>
                  </w:p>
                  <w:p w:rsidR="00994888" w14:paraId="15A26E30" w14:textId="77777777">
                    <w:r>
                      <w:t>Postbus 20018</w:t>
                    </w:r>
                  </w:p>
                  <w:p w:rsidR="00994888" w14:paraId="1369F657" w14:textId="77777777">
                    <w:r>
                      <w:t>2500 EA</w:t>
                    </w:r>
                    <w:r w:rsidR="002D2CDD">
                      <w:t xml:space="preserve">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3355340</wp:posOffset>
              </wp:positionV>
              <wp:extent cx="4787900" cy="56070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60705"/>
                      </a:xfrm>
                      <a:prstGeom prst="rect">
                        <a:avLst/>
                      </a:prstGeom>
                      <a:noFill/>
                    </wps:spPr>
                    <wps:txbx>
                      <w:txbxContent>
                        <w:tbl>
                          <w:tblPr>
                            <w:tblW w:w="0" w:type="auto"/>
                            <w:tblInd w:w="-120" w:type="dxa"/>
                            <w:tblLayout w:type="fixed"/>
                            <w:tblLook w:val="07E0"/>
                          </w:tblPr>
                          <w:tblGrid>
                            <w:gridCol w:w="1140"/>
                            <w:gridCol w:w="5918"/>
                          </w:tblGrid>
                          <w:tr w14:paraId="4D0816CB" w14:textId="77777777">
                            <w:tblPrEx>
                              <w:tblW w:w="0" w:type="auto"/>
                              <w:tblInd w:w="-120" w:type="dxa"/>
                              <w:tblLayout w:type="fixed"/>
                              <w:tblLook w:val="07E0"/>
                            </w:tblPrEx>
                            <w:trPr>
                              <w:trHeight w:val="240"/>
                            </w:trPr>
                            <w:tc>
                              <w:tcPr>
                                <w:tcW w:w="1140" w:type="dxa"/>
                              </w:tcPr>
                              <w:p w:rsidR="00994888" w14:textId="77777777">
                                <w:r>
                                  <w:t>Datum</w:t>
                                </w:r>
                              </w:p>
                            </w:tc>
                            <w:tc>
                              <w:tcPr>
                                <w:tcW w:w="5918" w:type="dxa"/>
                              </w:tcPr>
                              <w:p w:rsidR="00994888" w14:textId="7A67FEE0">
                                <w:r w:rsidRPr="00B225CC">
                                  <w:rPr>
                                    <w:color w:val="000000" w:themeColor="text1"/>
                                    <w:lang w:val="nl"/>
                                  </w:rPr>
                                  <w:t>17 november</w:t>
                                </w:r>
                                <w:r>
                                  <w:rPr>
                                    <w:color w:val="000000" w:themeColor="text1"/>
                                    <w:lang w:val="nl"/>
                                  </w:rPr>
                                  <w:t xml:space="preserve"> 2025</w:t>
                                </w:r>
                              </w:p>
                            </w:tc>
                          </w:tr>
                          <w:tr w14:paraId="5B969276" w14:textId="77777777">
                            <w:tblPrEx>
                              <w:tblW w:w="0" w:type="auto"/>
                              <w:tblInd w:w="-120" w:type="dxa"/>
                              <w:tblLayout w:type="fixed"/>
                              <w:tblLook w:val="07E0"/>
                            </w:tblPrEx>
                            <w:trPr>
                              <w:trHeight w:val="240"/>
                            </w:trPr>
                            <w:tc>
                              <w:tcPr>
                                <w:tcW w:w="1140" w:type="dxa"/>
                              </w:tcPr>
                              <w:p w:rsidR="00994888" w14:textId="77777777">
                                <w:bookmarkStart w:id="1" w:name="_Hlk214260028"/>
                                <w:r>
                                  <w:t>Betreft</w:t>
                                </w:r>
                              </w:p>
                            </w:tc>
                            <w:tc>
                              <w:tcPr>
                                <w:tcW w:w="5918" w:type="dxa"/>
                              </w:tcPr>
                              <w:p w:rsidR="00994888" w14:textId="77777777">
                                <w:r>
                                  <w:t xml:space="preserve">Opvolging </w:t>
                                </w:r>
                                <w:r w:rsidR="002D2CDD">
                                  <w:t xml:space="preserve">motie van de leden Koekkoek en </w:t>
                                </w:r>
                                <w:r w:rsidR="007B53A4">
                                  <w:t>V</w:t>
                                </w:r>
                                <w:r w:rsidR="002D2CDD">
                                  <w:t>an der Burg</w:t>
                                </w:r>
                                <w:r w:rsidR="007B53A4">
                                  <w:t xml:space="preserve"> over de mogelijkheden voor een Nederlandse data-ambassade</w:t>
                                </w:r>
                              </w:p>
                            </w:tc>
                          </w:tr>
                          <w:bookmarkEnd w:id="1"/>
                        </w:tbl>
                        <w:p w:rsidR="002D2CDD"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4.15pt;margin-top:264.2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4D0816CA" w14:textId="77777777">
                      <w:tblPrEx>
                        <w:tblW w:w="0" w:type="auto"/>
                        <w:tblInd w:w="-120" w:type="dxa"/>
                        <w:tblLayout w:type="fixed"/>
                        <w:tblLook w:val="07E0"/>
                      </w:tblPrEx>
                      <w:trPr>
                        <w:trHeight w:val="240"/>
                      </w:trPr>
                      <w:tc>
                        <w:tcPr>
                          <w:tcW w:w="1140" w:type="dxa"/>
                        </w:tcPr>
                        <w:p w:rsidR="00994888" w14:paraId="49D19495" w14:textId="77777777">
                          <w:r>
                            <w:t>Datum</w:t>
                          </w:r>
                        </w:p>
                      </w:tc>
                      <w:tc>
                        <w:tcPr>
                          <w:tcW w:w="5918" w:type="dxa"/>
                        </w:tcPr>
                        <w:p w:rsidR="00994888" w14:paraId="083DFC63" w14:textId="7A67FEE0">
                          <w:r w:rsidRPr="00B225CC">
                            <w:rPr>
                              <w:color w:val="000000" w:themeColor="text1"/>
                              <w:lang w:val="nl"/>
                            </w:rPr>
                            <w:t>17 november</w:t>
                          </w:r>
                          <w:r>
                            <w:rPr>
                              <w:color w:val="000000" w:themeColor="text1"/>
                              <w:lang w:val="nl"/>
                            </w:rPr>
                            <w:t xml:space="preserve"> 2025</w:t>
                          </w:r>
                        </w:p>
                      </w:tc>
                    </w:tr>
                    <w:tr w14:paraId="5B969275" w14:textId="77777777">
                      <w:tblPrEx>
                        <w:tblW w:w="0" w:type="auto"/>
                        <w:tblInd w:w="-120" w:type="dxa"/>
                        <w:tblLayout w:type="fixed"/>
                        <w:tblLook w:val="07E0"/>
                      </w:tblPrEx>
                      <w:trPr>
                        <w:trHeight w:val="240"/>
                      </w:trPr>
                      <w:tc>
                        <w:tcPr>
                          <w:tcW w:w="1140" w:type="dxa"/>
                        </w:tcPr>
                        <w:p w:rsidR="00994888" w14:paraId="4A5F1F65" w14:textId="77777777">
                          <w:bookmarkStart w:id="1" w:name="_Hlk214260028"/>
                          <w:r>
                            <w:t>Betreft</w:t>
                          </w:r>
                        </w:p>
                      </w:tc>
                      <w:tc>
                        <w:tcPr>
                          <w:tcW w:w="5918" w:type="dxa"/>
                        </w:tcPr>
                        <w:p w:rsidR="00994888" w14:paraId="3E4441A1" w14:textId="77777777">
                          <w:r>
                            <w:t xml:space="preserve">Opvolging </w:t>
                          </w:r>
                          <w:r w:rsidR="002D2CDD">
                            <w:t xml:space="preserve">motie van de leden Koekkoek en </w:t>
                          </w:r>
                          <w:r w:rsidR="007B53A4">
                            <w:t>V</w:t>
                          </w:r>
                          <w:r w:rsidR="002D2CDD">
                            <w:t>an der Burg</w:t>
                          </w:r>
                          <w:r w:rsidR="007B53A4">
                            <w:t xml:space="preserve"> over de mogelijkheden voor een Nederlandse data-ambassade</w:t>
                          </w:r>
                        </w:p>
                      </w:tc>
                    </w:tr>
                    <w:bookmarkEnd w:id="1"/>
                  </w:tbl>
                  <w:p w:rsidR="002D2CDD" w14:paraId="3A7D6B98"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94888" w14:textId="77777777">
                          <w:pPr>
                            <w:pStyle w:val="Referentiegegevensbold"/>
                          </w:pPr>
                          <w:r>
                            <w:t>DG Digitalisering &amp; Overheidsorganisatie</w:t>
                          </w:r>
                        </w:p>
                        <w:p w:rsidR="00994888" w14:textId="77777777">
                          <w:pPr>
                            <w:pStyle w:val="Referentiegegevens"/>
                          </w:pPr>
                          <w:r>
                            <w:t>DGDOO-CIO-I</w:t>
                          </w:r>
                          <w:r w:rsidR="0061473D">
                            <w:t>B &amp; P</w:t>
                          </w:r>
                        </w:p>
                        <w:p w:rsidR="00994888" w14:textId="77777777">
                          <w:pPr>
                            <w:pStyle w:val="WitregelW1"/>
                          </w:pPr>
                        </w:p>
                        <w:p w:rsidR="00994888" w14:textId="77777777">
                          <w:pPr>
                            <w:pStyle w:val="Referentiegegevens"/>
                          </w:pPr>
                          <w:r>
                            <w:t>Turfmarkt 147</w:t>
                          </w:r>
                        </w:p>
                        <w:p w:rsidR="00994888" w14:textId="77777777">
                          <w:pPr>
                            <w:pStyle w:val="Referentiegegevens"/>
                          </w:pPr>
                          <w:r>
                            <w:t>2511 DP Den Haag</w:t>
                          </w:r>
                        </w:p>
                        <w:p w:rsidR="00994888" w14:textId="77777777">
                          <w:pPr>
                            <w:pStyle w:val="Referentiegegevens"/>
                          </w:pPr>
                          <w:r>
                            <w:t>Nederland</w:t>
                          </w:r>
                        </w:p>
                        <w:p w:rsidR="00B225CC" w:rsidP="00B225CC" w14:textId="77777777"/>
                        <w:p w:rsidR="00B225CC" w:rsidRPr="00B225CC" w:rsidP="00B225CC" w14:textId="73036069">
                          <w:pPr>
                            <w:rPr>
                              <w:b/>
                              <w:bCs/>
                              <w:sz w:val="13"/>
                              <w:szCs w:val="13"/>
                            </w:rPr>
                          </w:pPr>
                          <w:r w:rsidRPr="00B225CC">
                            <w:rPr>
                              <w:b/>
                              <w:bCs/>
                              <w:sz w:val="13"/>
                              <w:szCs w:val="13"/>
                            </w:rPr>
                            <w:t>Ons kenmerk</w:t>
                          </w:r>
                        </w:p>
                        <w:p w:rsidR="00B225CC" w:rsidRPr="00B225CC" w:rsidP="00B225CC" w14:textId="4B6D3D68">
                          <w:pPr>
                            <w:rPr>
                              <w:sz w:val="13"/>
                              <w:szCs w:val="13"/>
                            </w:rPr>
                          </w:pPr>
                          <w:r w:rsidRPr="00B225CC">
                            <w:rPr>
                              <w:sz w:val="13"/>
                              <w:szCs w:val="13"/>
                            </w:rPr>
                            <w:t>2025-0000606364</w:t>
                          </w:r>
                        </w:p>
                        <w:p w:rsidR="00994888" w14:textId="77777777">
                          <w:pPr>
                            <w:pStyle w:val="WitregelW2"/>
                          </w:pPr>
                        </w:p>
                        <w:p w:rsidR="00994888" w14:textId="77777777">
                          <w:pPr>
                            <w:pStyle w:val="Referentiegegevensbold"/>
                          </w:pPr>
                          <w:r>
                            <w:t>Uw referentie</w:t>
                          </w:r>
                        </w:p>
                        <w:p w:rsidR="00994888" w14:textId="77777777">
                          <w:pPr>
                            <w:pStyle w:val="Referentiegegevens"/>
                          </w:pPr>
                          <w:r>
                            <w:t>36 600</w:t>
                          </w:r>
                          <w:r w:rsidR="006D4B45">
                            <w:t xml:space="preserve"> V50</w:t>
                          </w:r>
                        </w:p>
                        <w:p w:rsidR="00994888" w14:textId="77777777">
                          <w:pPr>
                            <w:pStyle w:val="WitregelW1"/>
                          </w:pPr>
                        </w:p>
                        <w:p w:rsidR="00994888"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994888" w14:paraId="1A337310" w14:textId="77777777">
                    <w:pPr>
                      <w:pStyle w:val="Referentiegegevensbold"/>
                    </w:pPr>
                    <w:r>
                      <w:t>DG Digitalisering &amp; Overheidsorganisatie</w:t>
                    </w:r>
                  </w:p>
                  <w:p w:rsidR="00994888" w14:paraId="42D1F75E" w14:textId="77777777">
                    <w:pPr>
                      <w:pStyle w:val="Referentiegegevens"/>
                    </w:pPr>
                    <w:r>
                      <w:t>DGDOO-CIO-I</w:t>
                    </w:r>
                    <w:r w:rsidR="0061473D">
                      <w:t>B &amp; P</w:t>
                    </w:r>
                  </w:p>
                  <w:p w:rsidR="00994888" w14:paraId="0C0BA0BA" w14:textId="77777777">
                    <w:pPr>
                      <w:pStyle w:val="WitregelW1"/>
                    </w:pPr>
                  </w:p>
                  <w:p w:rsidR="00994888" w14:paraId="3521AF4D" w14:textId="77777777">
                    <w:pPr>
                      <w:pStyle w:val="Referentiegegevens"/>
                    </w:pPr>
                    <w:r>
                      <w:t>Turfmarkt 147</w:t>
                    </w:r>
                  </w:p>
                  <w:p w:rsidR="00994888" w14:paraId="684EEB7F" w14:textId="77777777">
                    <w:pPr>
                      <w:pStyle w:val="Referentiegegevens"/>
                    </w:pPr>
                    <w:r>
                      <w:t>2511 DP Den Haag</w:t>
                    </w:r>
                  </w:p>
                  <w:p w:rsidR="00994888" w14:paraId="36AD4EC3" w14:textId="77777777">
                    <w:pPr>
                      <w:pStyle w:val="Referentiegegevens"/>
                    </w:pPr>
                    <w:r>
                      <w:t>Nederland</w:t>
                    </w:r>
                  </w:p>
                  <w:p w:rsidR="00B225CC" w:rsidP="00B225CC" w14:paraId="493E94D2" w14:textId="77777777"/>
                  <w:p w:rsidR="00B225CC" w:rsidRPr="00B225CC" w:rsidP="00B225CC" w14:paraId="324A5B4F" w14:textId="73036069">
                    <w:pPr>
                      <w:rPr>
                        <w:b/>
                        <w:bCs/>
                        <w:sz w:val="13"/>
                        <w:szCs w:val="13"/>
                      </w:rPr>
                    </w:pPr>
                    <w:r w:rsidRPr="00B225CC">
                      <w:rPr>
                        <w:b/>
                        <w:bCs/>
                        <w:sz w:val="13"/>
                        <w:szCs w:val="13"/>
                      </w:rPr>
                      <w:t>Ons kenmerk</w:t>
                    </w:r>
                  </w:p>
                  <w:p w:rsidR="00B225CC" w:rsidRPr="00B225CC" w:rsidP="00B225CC" w14:paraId="21CE0D1E" w14:textId="4B6D3D68">
                    <w:pPr>
                      <w:rPr>
                        <w:sz w:val="13"/>
                        <w:szCs w:val="13"/>
                      </w:rPr>
                    </w:pPr>
                    <w:r w:rsidRPr="00B225CC">
                      <w:rPr>
                        <w:sz w:val="13"/>
                        <w:szCs w:val="13"/>
                      </w:rPr>
                      <w:t>2025-0000606364</w:t>
                    </w:r>
                  </w:p>
                  <w:p w:rsidR="00994888" w14:paraId="31B370B3" w14:textId="77777777">
                    <w:pPr>
                      <w:pStyle w:val="WitregelW2"/>
                    </w:pPr>
                  </w:p>
                  <w:p w:rsidR="00994888" w14:paraId="4BF73F0B" w14:textId="77777777">
                    <w:pPr>
                      <w:pStyle w:val="Referentiegegevensbold"/>
                    </w:pPr>
                    <w:r>
                      <w:t>Uw referentie</w:t>
                    </w:r>
                  </w:p>
                  <w:p w:rsidR="00994888" w14:paraId="673A75CA" w14:textId="77777777">
                    <w:pPr>
                      <w:pStyle w:val="Referentiegegevens"/>
                    </w:pPr>
                    <w:r>
                      <w:t>36 600</w:t>
                    </w:r>
                    <w:r w:rsidR="006D4B45">
                      <w:t xml:space="preserve"> V50</w:t>
                    </w:r>
                  </w:p>
                  <w:p w:rsidR="00994888" w14:paraId="48C5BCB2" w14:textId="77777777">
                    <w:pPr>
                      <w:pStyle w:val="WitregelW1"/>
                    </w:pPr>
                  </w:p>
                  <w:p w:rsidR="00994888" w14:paraId="64E4CB3C"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B575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CB5757" w14:paraId="4777F1C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D2CDD"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2D2CDD" w14:paraId="35847639"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7B65CC9"/>
    <w:multiLevelType w:val="multilevel"/>
    <w:tmpl w:val="446589E9"/>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0901C67D"/>
    <w:multiLevelType w:val="multilevel"/>
    <w:tmpl w:val="0EDC679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2871D964"/>
    <w:multiLevelType w:val="multilevel"/>
    <w:tmpl w:val="51AECFD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7BEA2269"/>
    <w:multiLevelType w:val="hybridMultilevel"/>
    <w:tmpl w:val="873475D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
    <w:nsid w:val="7DD6806A"/>
    <w:multiLevelType w:val="multilevel"/>
    <w:tmpl w:val="C7708C1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020350456">
    <w:abstractNumId w:val="1"/>
  </w:num>
  <w:num w:numId="2" w16cid:durableId="1752969333">
    <w:abstractNumId w:val="2"/>
  </w:num>
  <w:num w:numId="3" w16cid:durableId="246378627">
    <w:abstractNumId w:val="0"/>
  </w:num>
  <w:num w:numId="4" w16cid:durableId="898324532">
    <w:abstractNumId w:val="4"/>
  </w:num>
  <w:num w:numId="5" w16cid:durableId="571621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888"/>
    <w:rsid w:val="00000671"/>
    <w:rsid w:val="000027E9"/>
    <w:rsid w:val="00002F4B"/>
    <w:rsid w:val="00011525"/>
    <w:rsid w:val="0002706D"/>
    <w:rsid w:val="00027F34"/>
    <w:rsid w:val="00040420"/>
    <w:rsid w:val="000467F1"/>
    <w:rsid w:val="00060145"/>
    <w:rsid w:val="0008094B"/>
    <w:rsid w:val="000D1043"/>
    <w:rsid w:val="000D283C"/>
    <w:rsid w:val="000E7DA8"/>
    <w:rsid w:val="000F02A3"/>
    <w:rsid w:val="000F2278"/>
    <w:rsid w:val="00122B0F"/>
    <w:rsid w:val="00127936"/>
    <w:rsid w:val="00136936"/>
    <w:rsid w:val="001374A2"/>
    <w:rsid w:val="00145C58"/>
    <w:rsid w:val="001553AD"/>
    <w:rsid w:val="00181758"/>
    <w:rsid w:val="00185605"/>
    <w:rsid w:val="00185F03"/>
    <w:rsid w:val="001C4450"/>
    <w:rsid w:val="001C4C10"/>
    <w:rsid w:val="001D0CB8"/>
    <w:rsid w:val="001E3699"/>
    <w:rsid w:val="001F4214"/>
    <w:rsid w:val="00207909"/>
    <w:rsid w:val="002204D9"/>
    <w:rsid w:val="0022401A"/>
    <w:rsid w:val="00243A18"/>
    <w:rsid w:val="00247344"/>
    <w:rsid w:val="002751D2"/>
    <w:rsid w:val="002875EF"/>
    <w:rsid w:val="00292D7C"/>
    <w:rsid w:val="002932BD"/>
    <w:rsid w:val="002B2D0C"/>
    <w:rsid w:val="002D03E3"/>
    <w:rsid w:val="002D2CDD"/>
    <w:rsid w:val="0031598E"/>
    <w:rsid w:val="003416CA"/>
    <w:rsid w:val="0035063F"/>
    <w:rsid w:val="00356B1E"/>
    <w:rsid w:val="00360494"/>
    <w:rsid w:val="00374703"/>
    <w:rsid w:val="003A7AE6"/>
    <w:rsid w:val="003B1B89"/>
    <w:rsid w:val="003D5F51"/>
    <w:rsid w:val="003D7FD2"/>
    <w:rsid w:val="003E5BCB"/>
    <w:rsid w:val="003F0BDF"/>
    <w:rsid w:val="00405EEB"/>
    <w:rsid w:val="00411ADA"/>
    <w:rsid w:val="00416B59"/>
    <w:rsid w:val="004246AE"/>
    <w:rsid w:val="00440B81"/>
    <w:rsid w:val="00480ECF"/>
    <w:rsid w:val="00481BE1"/>
    <w:rsid w:val="0048316F"/>
    <w:rsid w:val="00485AAC"/>
    <w:rsid w:val="0048637D"/>
    <w:rsid w:val="004A40C3"/>
    <w:rsid w:val="004B0CE9"/>
    <w:rsid w:val="004B33B7"/>
    <w:rsid w:val="004D019C"/>
    <w:rsid w:val="004E4B5B"/>
    <w:rsid w:val="004E68FC"/>
    <w:rsid w:val="004F2CBE"/>
    <w:rsid w:val="00513AF4"/>
    <w:rsid w:val="0051419B"/>
    <w:rsid w:val="00516E55"/>
    <w:rsid w:val="005317FF"/>
    <w:rsid w:val="00543E76"/>
    <w:rsid w:val="00547255"/>
    <w:rsid w:val="00570156"/>
    <w:rsid w:val="00572851"/>
    <w:rsid w:val="00576394"/>
    <w:rsid w:val="00581297"/>
    <w:rsid w:val="00587C16"/>
    <w:rsid w:val="005A5D77"/>
    <w:rsid w:val="005B755E"/>
    <w:rsid w:val="005C4CA0"/>
    <w:rsid w:val="005F7691"/>
    <w:rsid w:val="006034B7"/>
    <w:rsid w:val="0061473D"/>
    <w:rsid w:val="006305C5"/>
    <w:rsid w:val="0063424F"/>
    <w:rsid w:val="00645413"/>
    <w:rsid w:val="00650CD7"/>
    <w:rsid w:val="00662EE2"/>
    <w:rsid w:val="006A3A09"/>
    <w:rsid w:val="006C2C64"/>
    <w:rsid w:val="006D4B45"/>
    <w:rsid w:val="00722C51"/>
    <w:rsid w:val="00781051"/>
    <w:rsid w:val="00787C5C"/>
    <w:rsid w:val="007B53A4"/>
    <w:rsid w:val="007B60F1"/>
    <w:rsid w:val="007B6979"/>
    <w:rsid w:val="007D5840"/>
    <w:rsid w:val="007D5973"/>
    <w:rsid w:val="007D5DC8"/>
    <w:rsid w:val="007E3648"/>
    <w:rsid w:val="007E57EB"/>
    <w:rsid w:val="007F1AEA"/>
    <w:rsid w:val="0080665C"/>
    <w:rsid w:val="00817C46"/>
    <w:rsid w:val="008459CC"/>
    <w:rsid w:val="00874DD3"/>
    <w:rsid w:val="008832C3"/>
    <w:rsid w:val="008A768C"/>
    <w:rsid w:val="008B0138"/>
    <w:rsid w:val="008B3227"/>
    <w:rsid w:val="008B3337"/>
    <w:rsid w:val="008B3A53"/>
    <w:rsid w:val="008C07DE"/>
    <w:rsid w:val="008C6CFD"/>
    <w:rsid w:val="00904E7C"/>
    <w:rsid w:val="00927967"/>
    <w:rsid w:val="009346C8"/>
    <w:rsid w:val="009364D7"/>
    <w:rsid w:val="00937434"/>
    <w:rsid w:val="0096051B"/>
    <w:rsid w:val="00962C18"/>
    <w:rsid w:val="009754A8"/>
    <w:rsid w:val="00990A98"/>
    <w:rsid w:val="00994888"/>
    <w:rsid w:val="009B7264"/>
    <w:rsid w:val="009C1D5B"/>
    <w:rsid w:val="009C6BE8"/>
    <w:rsid w:val="009E1798"/>
    <w:rsid w:val="009E6C4A"/>
    <w:rsid w:val="009F187A"/>
    <w:rsid w:val="009F3DE2"/>
    <w:rsid w:val="00A10A9F"/>
    <w:rsid w:val="00A2368F"/>
    <w:rsid w:val="00A44A86"/>
    <w:rsid w:val="00A7043D"/>
    <w:rsid w:val="00AA00AC"/>
    <w:rsid w:val="00AA5CCA"/>
    <w:rsid w:val="00AA7040"/>
    <w:rsid w:val="00AB3B9E"/>
    <w:rsid w:val="00AB56EC"/>
    <w:rsid w:val="00AD059A"/>
    <w:rsid w:val="00AF3279"/>
    <w:rsid w:val="00B225CC"/>
    <w:rsid w:val="00B36391"/>
    <w:rsid w:val="00B41CCD"/>
    <w:rsid w:val="00B5157F"/>
    <w:rsid w:val="00B519A3"/>
    <w:rsid w:val="00B52E21"/>
    <w:rsid w:val="00B560AD"/>
    <w:rsid w:val="00B929D3"/>
    <w:rsid w:val="00B935D5"/>
    <w:rsid w:val="00BB5130"/>
    <w:rsid w:val="00BE272D"/>
    <w:rsid w:val="00BE6DA3"/>
    <w:rsid w:val="00C27BCD"/>
    <w:rsid w:val="00C77657"/>
    <w:rsid w:val="00C77892"/>
    <w:rsid w:val="00C9791A"/>
    <w:rsid w:val="00CB3EC7"/>
    <w:rsid w:val="00CB5757"/>
    <w:rsid w:val="00CB6E44"/>
    <w:rsid w:val="00CD0984"/>
    <w:rsid w:val="00CD2485"/>
    <w:rsid w:val="00D01F90"/>
    <w:rsid w:val="00D36B6F"/>
    <w:rsid w:val="00D427AD"/>
    <w:rsid w:val="00D42F44"/>
    <w:rsid w:val="00D45343"/>
    <w:rsid w:val="00D553C2"/>
    <w:rsid w:val="00D6238C"/>
    <w:rsid w:val="00D848C3"/>
    <w:rsid w:val="00D93AF0"/>
    <w:rsid w:val="00D95440"/>
    <w:rsid w:val="00D96145"/>
    <w:rsid w:val="00DA7919"/>
    <w:rsid w:val="00DC2C08"/>
    <w:rsid w:val="00DD024F"/>
    <w:rsid w:val="00DD40C0"/>
    <w:rsid w:val="00DD5162"/>
    <w:rsid w:val="00E00C0E"/>
    <w:rsid w:val="00E1569E"/>
    <w:rsid w:val="00E201AC"/>
    <w:rsid w:val="00E36298"/>
    <w:rsid w:val="00E53033"/>
    <w:rsid w:val="00E5775B"/>
    <w:rsid w:val="00E6725B"/>
    <w:rsid w:val="00E72636"/>
    <w:rsid w:val="00E75CA1"/>
    <w:rsid w:val="00E868A0"/>
    <w:rsid w:val="00E97087"/>
    <w:rsid w:val="00EF3EE0"/>
    <w:rsid w:val="00F052DF"/>
    <w:rsid w:val="00F06256"/>
    <w:rsid w:val="00F11BDB"/>
    <w:rsid w:val="00F13592"/>
    <w:rsid w:val="00F15258"/>
    <w:rsid w:val="00F2474A"/>
    <w:rsid w:val="00F42D28"/>
    <w:rsid w:val="00F6617A"/>
    <w:rsid w:val="00FA45C5"/>
    <w:rsid w:val="00FD135F"/>
    <w:rsid w:val="00FE279C"/>
    <w:rsid w:val="00FE6B7F"/>
    <w:rsid w:val="00FF1A53"/>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D84B878"/>
  <w15:docId w15:val="{1E0F9508-11BC-4A96-B467-6536D4934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2D2CDD"/>
    <w:pPr>
      <w:tabs>
        <w:tab w:val="center" w:pos="4536"/>
        <w:tab w:val="right" w:pos="9072"/>
      </w:tabs>
      <w:spacing w:line="240" w:lineRule="auto"/>
    </w:pPr>
  </w:style>
  <w:style w:type="character" w:customStyle="1" w:styleId="KoptekstChar">
    <w:name w:val="Koptekst Char"/>
    <w:basedOn w:val="DefaultParagraphFont"/>
    <w:link w:val="Header"/>
    <w:uiPriority w:val="99"/>
    <w:rsid w:val="002D2CDD"/>
    <w:rPr>
      <w:rFonts w:ascii="Verdana" w:hAnsi="Verdana"/>
      <w:color w:val="000000"/>
      <w:sz w:val="18"/>
      <w:szCs w:val="18"/>
    </w:rPr>
  </w:style>
  <w:style w:type="paragraph" w:styleId="Footer">
    <w:name w:val="footer"/>
    <w:basedOn w:val="Normal"/>
    <w:link w:val="VoettekstChar"/>
    <w:uiPriority w:val="99"/>
    <w:unhideWhenUsed/>
    <w:rsid w:val="002D2CDD"/>
    <w:pPr>
      <w:tabs>
        <w:tab w:val="center" w:pos="4536"/>
        <w:tab w:val="right" w:pos="9072"/>
      </w:tabs>
      <w:spacing w:line="240" w:lineRule="auto"/>
    </w:pPr>
  </w:style>
  <w:style w:type="character" w:customStyle="1" w:styleId="VoettekstChar">
    <w:name w:val="Voettekst Char"/>
    <w:basedOn w:val="DefaultParagraphFont"/>
    <w:link w:val="Footer"/>
    <w:uiPriority w:val="99"/>
    <w:rsid w:val="002D2CDD"/>
    <w:rPr>
      <w:rFonts w:ascii="Verdana" w:hAnsi="Verdana"/>
      <w:color w:val="000000"/>
      <w:sz w:val="18"/>
      <w:szCs w:val="18"/>
    </w:rPr>
  </w:style>
  <w:style w:type="character" w:styleId="CommentReference">
    <w:name w:val="annotation reference"/>
    <w:basedOn w:val="DefaultParagraphFont"/>
    <w:uiPriority w:val="99"/>
    <w:semiHidden/>
    <w:unhideWhenUsed/>
    <w:rsid w:val="00DD024F"/>
    <w:rPr>
      <w:sz w:val="16"/>
      <w:szCs w:val="16"/>
    </w:rPr>
  </w:style>
  <w:style w:type="paragraph" w:styleId="CommentText">
    <w:name w:val="annotation text"/>
    <w:basedOn w:val="Normal"/>
    <w:link w:val="TekstopmerkingChar"/>
    <w:uiPriority w:val="99"/>
    <w:unhideWhenUsed/>
    <w:rsid w:val="00DD024F"/>
    <w:pPr>
      <w:spacing w:line="240" w:lineRule="auto"/>
    </w:pPr>
    <w:rPr>
      <w:sz w:val="20"/>
      <w:szCs w:val="20"/>
    </w:rPr>
  </w:style>
  <w:style w:type="character" w:customStyle="1" w:styleId="TekstopmerkingChar">
    <w:name w:val="Tekst opmerking Char"/>
    <w:basedOn w:val="DefaultParagraphFont"/>
    <w:link w:val="CommentText"/>
    <w:uiPriority w:val="99"/>
    <w:rsid w:val="00DD024F"/>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DD024F"/>
    <w:rPr>
      <w:b/>
      <w:bCs/>
    </w:rPr>
  </w:style>
  <w:style w:type="character" w:customStyle="1" w:styleId="OnderwerpvanopmerkingChar">
    <w:name w:val="Onderwerp van opmerking Char"/>
    <w:basedOn w:val="TekstopmerkingChar"/>
    <w:link w:val="CommentSubject"/>
    <w:uiPriority w:val="99"/>
    <w:semiHidden/>
    <w:rsid w:val="00DD024F"/>
    <w:rPr>
      <w:rFonts w:ascii="Verdana" w:hAnsi="Verdana"/>
      <w:b/>
      <w:bCs/>
      <w:color w:val="000000"/>
    </w:rPr>
  </w:style>
  <w:style w:type="paragraph" w:styleId="Revision">
    <w:name w:val="Revision"/>
    <w:hidden/>
    <w:uiPriority w:val="99"/>
    <w:semiHidden/>
    <w:rsid w:val="00356B1E"/>
    <w:pPr>
      <w:autoSpaceDN/>
      <w:textAlignment w:val="auto"/>
    </w:pPr>
    <w:rPr>
      <w:rFonts w:ascii="Verdana" w:hAnsi="Verdana"/>
      <w:color w:val="000000"/>
      <w:sz w:val="18"/>
      <w:szCs w:val="18"/>
    </w:rPr>
  </w:style>
  <w:style w:type="paragraph" w:styleId="FootnoteText">
    <w:name w:val="footnote text"/>
    <w:basedOn w:val="Normal"/>
    <w:link w:val="VoetnoottekstChar"/>
    <w:uiPriority w:val="99"/>
    <w:semiHidden/>
    <w:unhideWhenUsed/>
    <w:rsid w:val="00243A18"/>
    <w:pPr>
      <w:spacing w:line="240" w:lineRule="auto"/>
    </w:pPr>
    <w:rPr>
      <w:sz w:val="20"/>
      <w:szCs w:val="20"/>
    </w:rPr>
  </w:style>
  <w:style w:type="character" w:customStyle="1" w:styleId="VoetnoottekstChar">
    <w:name w:val="Voetnoottekst Char"/>
    <w:basedOn w:val="DefaultParagraphFont"/>
    <w:link w:val="FootnoteText"/>
    <w:uiPriority w:val="99"/>
    <w:semiHidden/>
    <w:rsid w:val="00243A18"/>
    <w:rPr>
      <w:rFonts w:ascii="Verdana" w:hAnsi="Verdana"/>
      <w:color w:val="000000"/>
    </w:rPr>
  </w:style>
  <w:style w:type="character" w:styleId="FootnoteReference">
    <w:name w:val="footnote reference"/>
    <w:basedOn w:val="DefaultParagraphFont"/>
    <w:uiPriority w:val="99"/>
    <w:semiHidden/>
    <w:unhideWhenUsed/>
    <w:rsid w:val="00243A18"/>
    <w:rPr>
      <w:vertAlign w:val="superscript"/>
    </w:rPr>
  </w:style>
  <w:style w:type="character" w:styleId="UnresolvedMention">
    <w:name w:val="Unresolved Mention"/>
    <w:basedOn w:val="DefaultParagraphFont"/>
    <w:uiPriority w:val="99"/>
    <w:semiHidden/>
    <w:unhideWhenUsed/>
    <w:rsid w:val="003604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athenau.nl/nl/digitalisering/cyberspace-zonder-conflict/cyberaanvallen-dit-gebeurt-er-bij-sabotage"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1096</ap:Words>
  <ap:Characters>6028</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Brief - opvolging Motie van de leden Koekkoek en van der Burg</vt:lpstr>
    </vt:vector>
  </ap:TitlesOfParts>
  <ap:LinksUpToDate>false</ap:LinksUpToDate>
  <ap:CharactersWithSpaces>7110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2025-11-17T07:16:00.0000000Z</dcterms:created>
  <dcterms:modified xsi:type="dcterms:W3CDTF">2025-11-17T07:23:00.0000000Z</dcterms:modified>
  <dc:creator/>
  <lastModifiedBy/>
  <dc:description>------------------------</dc:description>
  <dc:subject/>
  <keywords/>
  <version/>
  <category/>
</coreProperties>
</file>