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2601337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41DE3" w:rsidR="00CB3578" w:rsidP="00B41DE3" w:rsidRDefault="00B41DE3" w14:paraId="02236180" w14:textId="163FB5AE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B41DE3">
              <w:rPr>
                <w:rFonts w:ascii="Times New Roman" w:hAnsi="Times New Roman" w:cs="Times New Roman"/>
                <w:b w:val="0"/>
                <w:bCs w:val="0"/>
              </w:rPr>
              <w:t>Bijgewerkt t/m nr. 1</w:t>
            </w:r>
            <w:r w:rsidR="0088219B">
              <w:rPr>
                <w:rFonts w:ascii="Times New Roman" w:hAnsi="Times New Roman" w:cs="Times New Roman"/>
                <w:b w:val="0"/>
                <w:bCs w:val="0"/>
              </w:rPr>
              <w:t>3</w:t>
            </w:r>
            <w:r w:rsidRPr="00B41DE3">
              <w:rPr>
                <w:rFonts w:ascii="Times New Roman" w:hAnsi="Times New Roman" w:cs="Times New Roman"/>
                <w:b w:val="0"/>
                <w:bCs w:val="0"/>
              </w:rPr>
              <w:t xml:space="preserve"> (</w:t>
            </w:r>
            <w:r w:rsidR="0088219B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Pr="0088219B" w:rsidR="0088219B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e</w:t>
            </w:r>
            <w:r w:rsidR="0088219B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B41DE3">
              <w:rPr>
                <w:rFonts w:ascii="Times New Roman" w:hAnsi="Times New Roman" w:cs="Times New Roman"/>
                <w:b w:val="0"/>
                <w:bCs w:val="0"/>
              </w:rPr>
              <w:t xml:space="preserve">NvW d.d. </w:t>
            </w:r>
            <w:r w:rsidR="0088219B">
              <w:rPr>
                <w:rFonts w:ascii="Times New Roman" w:hAnsi="Times New Roman" w:cs="Times New Roman"/>
                <w:b w:val="0"/>
                <w:bCs w:val="0"/>
              </w:rPr>
              <w:t>21</w:t>
            </w:r>
            <w:r w:rsidRPr="00B41DE3">
              <w:rPr>
                <w:rFonts w:ascii="Times New Roman" w:hAnsi="Times New Roman" w:cs="Times New Roman"/>
                <w:b w:val="0"/>
                <w:bCs w:val="0"/>
              </w:rPr>
              <w:t xml:space="preserve"> november 2025)</w:t>
            </w:r>
          </w:p>
        </w:tc>
      </w:tr>
      <w:tr w:rsidRPr="002168F4" w:rsidR="00CB3578" w:rsidTr="00A11E73" w14:paraId="57F46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CDE2C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782975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676B9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23242A" w:rsidRDefault="00E56D70" w14:paraId="5751164D" w14:textId="5EB3E1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36 125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2A201D" w:rsidRDefault="0023242A" w14:paraId="5CD16063" w14:textId="56A38778">
            <w:pPr>
              <w:rPr>
                <w:rFonts w:ascii="Times New Roman" w:hAnsi="Times New Roman"/>
                <w:b/>
                <w:sz w:val="24"/>
              </w:rPr>
            </w:pPr>
            <w:r w:rsidRPr="0023242A">
              <w:rPr>
                <w:rFonts w:ascii="Times New Roman" w:hAnsi="Times New Roman"/>
                <w:b/>
                <w:sz w:val="24"/>
              </w:rPr>
              <w:t xml:space="preserve">Voorstel van wet van het lid </w:t>
            </w:r>
            <w:r w:rsidR="002A201D">
              <w:rPr>
                <w:rFonts w:ascii="Times New Roman" w:hAnsi="Times New Roman"/>
                <w:b/>
                <w:sz w:val="24"/>
              </w:rPr>
              <w:t>Sneller</w:t>
            </w:r>
            <w:r w:rsidRPr="0023242A">
              <w:rPr>
                <w:rFonts w:ascii="Times New Roman" w:hAnsi="Times New Roman"/>
                <w:b/>
                <w:sz w:val="24"/>
              </w:rPr>
              <w:t xml:space="preserve"> tot wijziging van de Wet op de rechterlijke organisatie in verband met het laten vervallen van de bijzondere aanwijzingsbevoegd</w:t>
            </w:r>
            <w:r w:rsidR="002A201D">
              <w:rPr>
                <w:rFonts w:ascii="Times New Roman" w:hAnsi="Times New Roman"/>
                <w:b/>
                <w:sz w:val="24"/>
              </w:rPr>
              <w:t>heid</w:t>
            </w:r>
            <w:r w:rsidRPr="0023242A">
              <w:rPr>
                <w:rFonts w:ascii="Times New Roman" w:hAnsi="Times New Roman"/>
                <w:b/>
                <w:sz w:val="24"/>
              </w:rPr>
              <w:t xml:space="preserve"> van de minister met betrekking tot de uitoefening van de taken en bevoegdheden van het openbaar ministerie en enkele daarmee verband houdende wijzigingen (Wet verval bijzondere aanwijzingsbevoegd</w:t>
            </w:r>
            <w:r w:rsidR="002A201D">
              <w:rPr>
                <w:rFonts w:ascii="Times New Roman" w:hAnsi="Times New Roman"/>
                <w:b/>
                <w:sz w:val="24"/>
              </w:rPr>
              <w:t>heid</w:t>
            </w:r>
            <w:r w:rsidRPr="0023242A">
              <w:rPr>
                <w:rFonts w:ascii="Times New Roman" w:hAnsi="Times New Roman"/>
                <w:b/>
                <w:sz w:val="24"/>
              </w:rPr>
              <w:t xml:space="preserve"> openbaar ministerie)</w:t>
            </w:r>
          </w:p>
        </w:tc>
      </w:tr>
      <w:tr w:rsidRPr="002168F4" w:rsidR="00CB3578" w:rsidTr="00A11E73" w14:paraId="49AFD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6670D4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74B0C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A228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AD14B5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A4452A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FA5D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B179D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59B3DF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1B104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9534C1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9C2E8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F1293" w:rsidR="0023242A" w:rsidP="0023242A" w:rsidRDefault="0023242A" w14:paraId="2F0B27F9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Wij Willem-Alexander, bij de gratie Gods, Koning der Nederlanden, Prins van Oranje-Nassau, enz. enz. enz.</w:t>
      </w:r>
    </w:p>
    <w:p w:rsidRPr="002F1293" w:rsidR="0023242A" w:rsidP="0023242A" w:rsidRDefault="0023242A" w14:paraId="5A0937A0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2EA7C97F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Allen, die deze zullen zien of horen lezen, saluut! doen te weten:</w:t>
      </w:r>
    </w:p>
    <w:p w:rsidRPr="002F1293" w:rsidR="0023242A" w:rsidP="002A201D" w:rsidRDefault="0023242A" w14:paraId="75E9D4D7" w14:textId="5CB0D26D">
      <w:pPr>
        <w:pStyle w:val="Geenafstand"/>
        <w:ind w:firstLine="284"/>
        <w:rPr>
          <w:rFonts w:asciiTheme="majorBidi" w:hAnsiTheme="majorBidi" w:cstheme="majorBidi"/>
          <w:sz w:val="24"/>
          <w:szCs w:val="24"/>
        </w:rPr>
      </w:pPr>
      <w:r w:rsidRPr="002F1293">
        <w:rPr>
          <w:rFonts w:asciiTheme="majorBidi" w:hAnsiTheme="majorBidi" w:cstheme="majorBidi"/>
          <w:sz w:val="24"/>
          <w:szCs w:val="24"/>
        </w:rPr>
        <w:t>Alzo Wij in overweging genomen hebben dat het wenselijk is de bijzondere aanwijzingsbevoegd</w:t>
      </w:r>
      <w:r w:rsidR="002A201D">
        <w:rPr>
          <w:rFonts w:asciiTheme="majorBidi" w:hAnsiTheme="majorBidi" w:cstheme="majorBidi"/>
          <w:sz w:val="24"/>
          <w:szCs w:val="24"/>
        </w:rPr>
        <w:t>heid</w:t>
      </w:r>
      <w:r w:rsidRPr="002F1293">
        <w:rPr>
          <w:rFonts w:asciiTheme="majorBidi" w:hAnsiTheme="majorBidi" w:cstheme="majorBidi"/>
          <w:sz w:val="24"/>
          <w:szCs w:val="24"/>
        </w:rPr>
        <w:t xml:space="preserve"> van de minister met betrekking tot de uitoefening van de taken en bevoegdheden van het openbaar ministerie te laten vervallen en in verband daarmee de inlichtingenp</w:t>
      </w:r>
      <w:r>
        <w:rPr>
          <w:rFonts w:asciiTheme="majorBidi" w:hAnsiTheme="majorBidi" w:cstheme="majorBidi"/>
          <w:sz w:val="24"/>
          <w:szCs w:val="24"/>
        </w:rPr>
        <w:t>lichten van het C</w:t>
      </w:r>
      <w:r w:rsidRPr="002F1293">
        <w:rPr>
          <w:rFonts w:asciiTheme="majorBidi" w:hAnsiTheme="majorBidi" w:cstheme="majorBidi"/>
          <w:sz w:val="24"/>
          <w:szCs w:val="24"/>
        </w:rPr>
        <w:t>ollege van procureurs-generaal jegens de minister te beperken</w:t>
      </w:r>
      <w:r>
        <w:rPr>
          <w:rFonts w:asciiTheme="majorBidi" w:hAnsiTheme="majorBidi" w:cstheme="majorBidi"/>
          <w:sz w:val="24"/>
          <w:szCs w:val="24"/>
        </w:rPr>
        <w:t>, alsmede</w:t>
      </w:r>
      <w:r w:rsidRPr="002F1293">
        <w:rPr>
          <w:rFonts w:asciiTheme="majorBidi" w:hAnsiTheme="majorBidi" w:cstheme="majorBidi"/>
          <w:sz w:val="24"/>
          <w:szCs w:val="24"/>
        </w:rPr>
        <w:t xml:space="preserve"> wettelijk vast te leggen dat </w:t>
      </w:r>
      <w:r>
        <w:rPr>
          <w:rFonts w:asciiTheme="majorBidi" w:hAnsiTheme="majorBidi" w:cstheme="majorBidi"/>
          <w:sz w:val="24"/>
          <w:szCs w:val="24"/>
        </w:rPr>
        <w:t>de uitoefening van de taken en bevoegdheden van het openbaar ministerie in een concreet geval geschiedt zonder ondergeschiktheid aan de minister</w:t>
      </w:r>
      <w:r w:rsidRPr="002F1293">
        <w:rPr>
          <w:rFonts w:asciiTheme="majorBidi" w:hAnsiTheme="majorBidi" w:cstheme="majorBidi"/>
          <w:sz w:val="24"/>
          <w:szCs w:val="24"/>
        </w:rPr>
        <w:t>;</w:t>
      </w:r>
    </w:p>
    <w:p w:rsidRPr="002F1293" w:rsidR="0023242A" w:rsidP="0023242A" w:rsidRDefault="0023242A" w14:paraId="269735CA" w14:textId="77777777">
      <w:pPr>
        <w:pStyle w:val="Geenafstand"/>
        <w:ind w:firstLine="284"/>
        <w:rPr>
          <w:rFonts w:asciiTheme="majorBidi" w:hAnsiTheme="majorBidi" w:cstheme="majorBidi"/>
          <w:sz w:val="24"/>
          <w:szCs w:val="24"/>
        </w:rPr>
      </w:pPr>
      <w:r w:rsidRPr="002F1293">
        <w:rPr>
          <w:rFonts w:asciiTheme="majorBidi" w:hAnsiTheme="majorBidi" w:cstheme="majorBidi"/>
          <w:sz w:val="24"/>
          <w:szCs w:val="24"/>
        </w:rPr>
        <w:t>Zo is het, dat Wij, de Afdeling advisering van de Raad van State gehoord, en met gemeen overleg der Staten</w:t>
      </w:r>
      <w:r w:rsidRPr="002F1293">
        <w:rPr>
          <w:rFonts w:asciiTheme="majorBidi" w:hAnsiTheme="majorBidi" w:cstheme="majorBidi"/>
          <w:sz w:val="24"/>
          <w:szCs w:val="24"/>
        </w:rPr>
        <w:noBreakHyphen/>
        <w:t>Generaal, hebben goedgevonden en verstaan, gelijk Wij goedvinden en verstaan bij deze:</w:t>
      </w:r>
    </w:p>
    <w:p w:rsidRPr="002F1293" w:rsidR="0023242A" w:rsidP="0023242A" w:rsidRDefault="0023242A" w14:paraId="11F75FA0" w14:textId="77777777">
      <w:pPr>
        <w:widowControl w:val="0"/>
        <w:rPr>
          <w:rFonts w:asciiTheme="majorBidi" w:hAnsiTheme="majorBidi" w:cstheme="majorBidi"/>
          <w:sz w:val="24"/>
        </w:rPr>
      </w:pPr>
    </w:p>
    <w:p w:rsidR="0023242A" w:rsidP="0023242A" w:rsidRDefault="0023242A" w14:paraId="5A1C3D6A" w14:textId="77777777">
      <w:pPr>
        <w:widowControl w:val="0"/>
        <w:rPr>
          <w:rFonts w:asciiTheme="majorBidi" w:hAnsiTheme="majorBidi" w:cstheme="majorBidi"/>
          <w:b/>
          <w:sz w:val="24"/>
        </w:rPr>
      </w:pPr>
    </w:p>
    <w:p w:rsidRPr="002F1293" w:rsidR="0023242A" w:rsidP="0023242A" w:rsidRDefault="0023242A" w14:paraId="086CDF82" w14:textId="77777777">
      <w:pPr>
        <w:widowControl w:val="0"/>
        <w:rPr>
          <w:rFonts w:asciiTheme="majorBidi" w:hAnsiTheme="majorBidi" w:cstheme="majorBidi"/>
          <w:b/>
          <w:sz w:val="24"/>
        </w:rPr>
      </w:pPr>
      <w:r w:rsidRPr="002F1293">
        <w:rPr>
          <w:rFonts w:asciiTheme="majorBidi" w:hAnsiTheme="majorBidi" w:cstheme="majorBidi"/>
          <w:b/>
          <w:sz w:val="24"/>
        </w:rPr>
        <w:t>ARTIKEL I</w:t>
      </w:r>
    </w:p>
    <w:p w:rsidRPr="002F1293" w:rsidR="0023242A" w:rsidP="0023242A" w:rsidRDefault="0023242A" w14:paraId="53C72317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199A1149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De Wet op de rechterlijke organisatie wordt als volgt gewijzigd:</w:t>
      </w:r>
    </w:p>
    <w:p w:rsidRPr="002F1293" w:rsidR="0023242A" w:rsidP="0023242A" w:rsidRDefault="0023242A" w14:paraId="4695CE86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7C20BC93" w14:textId="77777777">
      <w:pPr>
        <w:widowControl w:val="0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A</w:t>
      </w:r>
    </w:p>
    <w:p w:rsidRPr="002F1293" w:rsidR="0023242A" w:rsidP="0023242A" w:rsidRDefault="0023242A" w14:paraId="0EEF41B3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0BB831E5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In artikel 127 vervalt “en bijzondere”</w:t>
      </w:r>
      <w:r>
        <w:rPr>
          <w:rFonts w:asciiTheme="majorBidi" w:hAnsiTheme="majorBidi" w:cstheme="majorBidi"/>
          <w:sz w:val="24"/>
        </w:rPr>
        <w:t>.</w:t>
      </w:r>
    </w:p>
    <w:p w:rsidRPr="002F1293" w:rsidR="0023242A" w:rsidP="0023242A" w:rsidRDefault="0023242A" w14:paraId="345EC4B5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32AD152B" w14:textId="77777777">
      <w:pPr>
        <w:widowControl w:val="0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B</w:t>
      </w:r>
    </w:p>
    <w:p w:rsidRPr="002F1293" w:rsidR="0023242A" w:rsidP="0023242A" w:rsidRDefault="0023242A" w14:paraId="3511DC0D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0933B8DD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Artikel 128 komt te luiden:</w:t>
      </w:r>
    </w:p>
    <w:p w:rsidRPr="002F1293" w:rsidR="0023242A" w:rsidP="0023242A" w:rsidRDefault="0023242A" w14:paraId="2047BD78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7B3C6D7F" w14:textId="77777777">
      <w:pPr>
        <w:widowControl w:val="0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b/>
          <w:bCs/>
          <w:sz w:val="24"/>
        </w:rPr>
        <w:t>Artikel 128</w:t>
      </w:r>
    </w:p>
    <w:p w:rsidRPr="002F1293" w:rsidR="0023242A" w:rsidP="0023242A" w:rsidRDefault="0023242A" w14:paraId="58419739" w14:textId="77777777">
      <w:pPr>
        <w:widowControl w:val="0"/>
        <w:rPr>
          <w:rFonts w:asciiTheme="majorBidi" w:hAnsiTheme="majorBidi" w:cstheme="majorBidi"/>
          <w:sz w:val="24"/>
        </w:rPr>
      </w:pPr>
    </w:p>
    <w:p w:rsidRPr="00463D36" w:rsidR="00C4357A" w:rsidP="00F46D41" w:rsidRDefault="0023242A" w14:paraId="48AC9FDF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463D36">
        <w:rPr>
          <w:rFonts w:asciiTheme="majorBidi" w:hAnsiTheme="majorBidi" w:cstheme="majorBidi"/>
          <w:sz w:val="24"/>
        </w:rPr>
        <w:t>De uitoefening van de taken en bevoegdheden van het openbaar ministerie in een concreet geval geschiedt zonder ondergeschiktheid aan Onze Minister.</w:t>
      </w:r>
    </w:p>
    <w:p w:rsidRPr="00463D36" w:rsidR="0023242A" w:rsidP="00463D36" w:rsidRDefault="0023242A" w14:paraId="675349BC" w14:textId="25CA9F8F">
      <w:pPr>
        <w:widowControl w:val="0"/>
        <w:ind w:left="284"/>
        <w:rPr>
          <w:rFonts w:asciiTheme="majorBidi" w:hAnsiTheme="majorBidi" w:cstheme="majorBidi"/>
          <w:sz w:val="24"/>
        </w:rPr>
      </w:pPr>
    </w:p>
    <w:p w:rsidRPr="00956412" w:rsidR="00956412" w:rsidP="00956412" w:rsidRDefault="00956412" w14:paraId="62AF8DBF" w14:textId="77777777">
      <w:pPr>
        <w:widowControl w:val="0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C</w:t>
      </w:r>
    </w:p>
    <w:p w:rsidRPr="00956412" w:rsidR="00956412" w:rsidP="00956412" w:rsidRDefault="00956412" w14:paraId="03DDBB12" w14:textId="77777777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</w:p>
    <w:p w:rsidRPr="00956412" w:rsidR="00956412" w:rsidP="00956412" w:rsidRDefault="00956412" w14:paraId="6C5E5D7B" w14:textId="223C36BF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Artikel 129 wordt als volgt gewijzigd:</w:t>
      </w:r>
    </w:p>
    <w:p w:rsidRPr="00956412" w:rsidR="00956412" w:rsidP="00956412" w:rsidRDefault="00956412" w14:paraId="7B351D82" w14:textId="77777777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</w:p>
    <w:p w:rsidRPr="00956412" w:rsidR="00956412" w:rsidP="00956412" w:rsidRDefault="00956412" w14:paraId="3FB9FEBC" w14:textId="7B0D02EB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1. Aan het eerste lid wordt een zin toegevoegd, luidende: De inlichtingen zien niet op een concreet geval, tenzij:</w:t>
      </w:r>
    </w:p>
    <w:p w:rsidRPr="00956412" w:rsidR="00956412" w:rsidP="00956412" w:rsidRDefault="00956412" w14:paraId="5D6E4B89" w14:textId="3D35E0CA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a. uit enig wettelijk voorschrift anders voortvloeit;</w:t>
      </w:r>
    </w:p>
    <w:p w:rsidRPr="00956412" w:rsidR="00956412" w:rsidP="00956412" w:rsidRDefault="00956412" w14:paraId="6B54AD6B" w14:textId="56FD831E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b. de inlichtingen betrekking hebben op de opsporing of vervolging van een strafbaar feit ter zake waarvan:</w:t>
      </w:r>
    </w:p>
    <w:p w:rsidRPr="00956412" w:rsidR="00956412" w:rsidP="008F5D52" w:rsidRDefault="00956412" w14:paraId="2A8DDC3B" w14:textId="569BF8A7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 xml:space="preserve">1º. door de officier van justitie een beslissing tot niet vervolging of niet verdere vervolging is genomen; of </w:t>
      </w:r>
    </w:p>
    <w:p w:rsidRPr="00956412" w:rsidR="00956412" w:rsidP="008F5D52" w:rsidRDefault="00956412" w14:paraId="1F468EBD" w14:textId="389F07F1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2º. een onherroepelijk geworden strafbeschikking is uitgevaardigd; of</w:t>
      </w:r>
    </w:p>
    <w:p w:rsidRPr="00956412" w:rsidR="00956412" w:rsidP="008F5D52" w:rsidRDefault="00956412" w14:paraId="70DEB130" w14:textId="48008A42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c. de inlichtingen betrekking hebben op een zaak ten aanzien waarvan een in kracht van gewijsde gegane rechterlijke einduitspraak is gedaan.</w:t>
      </w:r>
    </w:p>
    <w:p w:rsidRPr="00956412" w:rsidR="00956412" w:rsidP="00956412" w:rsidRDefault="00956412" w14:paraId="2A40780C" w14:textId="5965975D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</w:p>
    <w:p w:rsidRPr="00956412" w:rsidR="00956412" w:rsidP="00956412" w:rsidRDefault="00956412" w14:paraId="064A36B6" w14:textId="57C4DA6B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2. Onder vernummering van het tweede lid tot derde lid wordt een lid ingevoegd, luidende:</w:t>
      </w:r>
    </w:p>
    <w:p w:rsidRPr="00956412" w:rsidR="00956412" w:rsidP="00956412" w:rsidRDefault="00956412" w14:paraId="68218921" w14:textId="1B7F8CC3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2. Het eerste lid laat onverlet dat het College Onze Minister alle inlichtingen kan verstrekken die het College geraden acht.</w:t>
      </w:r>
    </w:p>
    <w:p w:rsidRPr="00956412" w:rsidR="00956412" w:rsidP="00956412" w:rsidRDefault="00956412" w14:paraId="6996ACD9" w14:textId="77777777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</w:p>
    <w:p w:rsidRPr="00956412" w:rsidR="00956412" w:rsidP="00956412" w:rsidRDefault="00956412" w14:paraId="5471F652" w14:textId="26C6CCD8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3. Er wordt een lid toegevoegd, luidende:</w:t>
      </w:r>
    </w:p>
    <w:p w:rsidRPr="00956412" w:rsidR="00956412" w:rsidP="00956412" w:rsidRDefault="00956412" w14:paraId="33037A70" w14:textId="33AD5416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956412">
        <w:rPr>
          <w:rFonts w:asciiTheme="majorBidi" w:hAnsiTheme="majorBidi" w:cstheme="majorBidi"/>
          <w:bCs/>
          <w:sz w:val="24"/>
        </w:rPr>
        <w:t>4. Het derde lid laat onverlet dat de leden van het openbaar ministerie het College alle inlichtingen kunnen verstrekken die zij geraden achten.</w:t>
      </w:r>
    </w:p>
    <w:p w:rsidR="0023242A" w:rsidP="0023242A" w:rsidRDefault="0023242A" w14:paraId="56CEF9AE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</w:p>
    <w:p w:rsidR="0023242A" w:rsidP="0023242A" w:rsidRDefault="0023242A" w14:paraId="5D4D6109" w14:textId="77777777">
      <w:pPr>
        <w:widowControl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D</w:t>
      </w:r>
    </w:p>
    <w:p w:rsidR="0023242A" w:rsidP="0023242A" w:rsidRDefault="0023242A" w14:paraId="7C909019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50F51C9F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Artikel 131, vijfde lid, vervalt.</w:t>
      </w:r>
    </w:p>
    <w:p w:rsidRPr="00502E10" w:rsidR="0023242A" w:rsidP="0023242A" w:rsidRDefault="0023242A" w14:paraId="53F5F299" w14:textId="77777777">
      <w:pPr>
        <w:widowControl w:val="0"/>
        <w:rPr>
          <w:rFonts w:asciiTheme="majorBidi" w:hAnsiTheme="majorBidi" w:cstheme="majorBidi"/>
          <w:bCs/>
          <w:i/>
          <w:iCs/>
          <w:sz w:val="24"/>
        </w:rPr>
      </w:pPr>
    </w:p>
    <w:p w:rsidR="0023242A" w:rsidP="0023242A" w:rsidRDefault="0023242A" w14:paraId="1D68BE03" w14:textId="77777777">
      <w:pPr>
        <w:widowControl w:val="0"/>
        <w:rPr>
          <w:rFonts w:asciiTheme="majorBidi" w:hAnsiTheme="majorBidi" w:cstheme="majorBidi"/>
          <w:b/>
          <w:sz w:val="24"/>
        </w:rPr>
      </w:pPr>
    </w:p>
    <w:p w:rsidRPr="002F1293" w:rsidR="0023242A" w:rsidP="0023242A" w:rsidRDefault="0023242A" w14:paraId="564E382E" w14:textId="77777777">
      <w:pPr>
        <w:widowControl w:val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ARTIKEL II</w:t>
      </w:r>
    </w:p>
    <w:p w:rsidRPr="002F1293" w:rsidR="0023242A" w:rsidP="0023242A" w:rsidRDefault="0023242A" w14:paraId="11CE144E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29EDB4C7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 xml:space="preserve">Deze wet treedt in werking op een bij koninklijk besluit te bepalen tijdstip. </w:t>
      </w:r>
    </w:p>
    <w:p w:rsidRPr="002F1293" w:rsidR="0023242A" w:rsidP="0023242A" w:rsidRDefault="0023242A" w14:paraId="1F3CF1DD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00176E46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1DEE35BE" w14:textId="77777777">
      <w:pPr>
        <w:widowControl w:val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ARTIKEL III</w:t>
      </w:r>
      <w:r w:rsidRPr="002F1293">
        <w:rPr>
          <w:rFonts w:asciiTheme="majorBidi" w:hAnsiTheme="majorBidi" w:cstheme="majorBidi"/>
          <w:b/>
          <w:sz w:val="24"/>
        </w:rPr>
        <w:t xml:space="preserve"> </w:t>
      </w:r>
    </w:p>
    <w:p w:rsidRPr="002F1293" w:rsidR="0023242A" w:rsidP="0023242A" w:rsidRDefault="0023242A" w14:paraId="56908A59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A201D" w:rsidRDefault="0023242A" w14:paraId="02185506" w14:textId="4E180F1B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Deze wet wordt aangehaald als: Wet verval bijzondere aanwijzingsbevoegdhe</w:t>
      </w:r>
      <w:r w:rsidR="002A201D">
        <w:rPr>
          <w:rFonts w:asciiTheme="majorBidi" w:hAnsiTheme="majorBidi" w:cstheme="majorBidi"/>
          <w:sz w:val="24"/>
        </w:rPr>
        <w:t>i</w:t>
      </w:r>
      <w:r w:rsidRPr="002F1293">
        <w:rPr>
          <w:rFonts w:asciiTheme="majorBidi" w:hAnsiTheme="majorBidi" w:cstheme="majorBidi"/>
          <w:sz w:val="24"/>
        </w:rPr>
        <w:t>d openbaar ministerie</w:t>
      </w:r>
      <w:r>
        <w:rPr>
          <w:rFonts w:asciiTheme="majorBidi" w:hAnsiTheme="majorBidi" w:cstheme="majorBidi"/>
          <w:sz w:val="24"/>
        </w:rPr>
        <w:t>.</w:t>
      </w:r>
      <w:r w:rsidRPr="002F1293">
        <w:rPr>
          <w:rFonts w:asciiTheme="majorBidi" w:hAnsiTheme="majorBidi" w:cstheme="majorBidi"/>
          <w:sz w:val="24"/>
        </w:rPr>
        <w:t xml:space="preserve"> </w:t>
      </w:r>
    </w:p>
    <w:p w:rsidRPr="002F1293" w:rsidR="0023242A" w:rsidP="0023242A" w:rsidRDefault="0023242A" w14:paraId="7A826EBD" w14:textId="77777777">
      <w:pPr>
        <w:widowControl w:val="0"/>
        <w:rPr>
          <w:rFonts w:asciiTheme="majorBidi" w:hAnsiTheme="majorBidi" w:cstheme="majorBidi"/>
          <w:b/>
          <w:sz w:val="24"/>
        </w:rPr>
      </w:pPr>
    </w:p>
    <w:p w:rsidRPr="002F1293" w:rsidR="0023242A" w:rsidP="0023242A" w:rsidRDefault="0023242A" w14:paraId="78DF4544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2871352B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F1293" w:rsidR="0023242A" w:rsidP="0023242A" w:rsidRDefault="0023242A" w14:paraId="1A118904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2DC2227D" w14:textId="77777777">
      <w:pPr>
        <w:widowControl w:val="0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Gegeven</w:t>
      </w:r>
    </w:p>
    <w:p w:rsidRPr="002F1293" w:rsidR="0023242A" w:rsidP="0023242A" w:rsidRDefault="0023242A" w14:paraId="0BB1EC8E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43CCC094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2104C210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4E95A08D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5D3D18AA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0BE80AA0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5FEC5FEF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0A293C6D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6AFFEAF3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76E565CF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De Minister van Justitie en Veiligheid,</w:t>
      </w:r>
    </w:p>
    <w:p w:rsidR="0023242A" w:rsidP="0023242A" w:rsidRDefault="0023242A" w14:paraId="597FA804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115D7800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49D1439C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7C1B8691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47067325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5D7C1FB1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7DD8AD8D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7C86FBC5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6175B704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Pr="00E7115B" w:rsidR="0023242A" w:rsidP="0023242A" w:rsidRDefault="0023242A" w14:paraId="7BFAF76E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De Minister voor Rechtsbescherming,</w:t>
      </w:r>
    </w:p>
    <w:p w:rsidRPr="002168F4" w:rsidR="00CB3578" w:rsidP="00A11E73" w:rsidRDefault="00CB3578" w14:paraId="65F33523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D57A" w14:textId="77777777" w:rsidR="0023242A" w:rsidRDefault="0023242A">
      <w:pPr>
        <w:spacing w:line="20" w:lineRule="exact"/>
      </w:pPr>
    </w:p>
  </w:endnote>
  <w:endnote w:type="continuationSeparator" w:id="0">
    <w:p w14:paraId="44461AB5" w14:textId="77777777" w:rsidR="0023242A" w:rsidRDefault="0023242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75794DD" w14:textId="77777777" w:rsidR="0023242A" w:rsidRDefault="0023242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E82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FA4DB23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E77E" w14:textId="72F2F642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56D7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08C9A1B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E9BC" w14:textId="77777777" w:rsidR="0023242A" w:rsidRDefault="0023242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8EA2A45" w14:textId="77777777" w:rsidR="0023242A" w:rsidRDefault="0023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794"/>
    <w:multiLevelType w:val="hybridMultilevel"/>
    <w:tmpl w:val="AC42E830"/>
    <w:lvl w:ilvl="0" w:tplc="12687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2548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2A"/>
    <w:rsid w:val="00012DBE"/>
    <w:rsid w:val="000A1D81"/>
    <w:rsid w:val="000B0897"/>
    <w:rsid w:val="00111ED3"/>
    <w:rsid w:val="001272E4"/>
    <w:rsid w:val="001C190E"/>
    <w:rsid w:val="002168F4"/>
    <w:rsid w:val="0023242A"/>
    <w:rsid w:val="002A201D"/>
    <w:rsid w:val="002A727C"/>
    <w:rsid w:val="002F045B"/>
    <w:rsid w:val="0038561B"/>
    <w:rsid w:val="00463D36"/>
    <w:rsid w:val="005C31D6"/>
    <w:rsid w:val="005D2707"/>
    <w:rsid w:val="00606255"/>
    <w:rsid w:val="006B607A"/>
    <w:rsid w:val="00793676"/>
    <w:rsid w:val="007D451C"/>
    <w:rsid w:val="00800575"/>
    <w:rsid w:val="00807621"/>
    <w:rsid w:val="00826224"/>
    <w:rsid w:val="0088219B"/>
    <w:rsid w:val="008F5D52"/>
    <w:rsid w:val="00930A23"/>
    <w:rsid w:val="00956412"/>
    <w:rsid w:val="009805DE"/>
    <w:rsid w:val="009C7354"/>
    <w:rsid w:val="009E6D7F"/>
    <w:rsid w:val="00A07C4D"/>
    <w:rsid w:val="00A11E73"/>
    <w:rsid w:val="00A2521E"/>
    <w:rsid w:val="00A26403"/>
    <w:rsid w:val="00AE436A"/>
    <w:rsid w:val="00B41DE3"/>
    <w:rsid w:val="00B54477"/>
    <w:rsid w:val="00C135B1"/>
    <w:rsid w:val="00C4357A"/>
    <w:rsid w:val="00C92DF8"/>
    <w:rsid w:val="00C943FA"/>
    <w:rsid w:val="00CB3578"/>
    <w:rsid w:val="00D20AFA"/>
    <w:rsid w:val="00D55648"/>
    <w:rsid w:val="00DD3D38"/>
    <w:rsid w:val="00E16443"/>
    <w:rsid w:val="00E36EE9"/>
    <w:rsid w:val="00E56D70"/>
    <w:rsid w:val="00EA3BE3"/>
    <w:rsid w:val="00F13442"/>
    <w:rsid w:val="00F25AE9"/>
    <w:rsid w:val="00F46D41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1C9BD"/>
  <w15:docId w15:val="{6067EE94-2841-4B12-A05B-1B0FB4D1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semiHidden/>
    <w:unhideWhenUsed/>
    <w:rsid w:val="0023242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3242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3242A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324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3242A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23242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3242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3242A"/>
    <w:rPr>
      <w:rFonts w:ascii="Verdana" w:eastAsiaTheme="minorHAnsi" w:hAnsi="Verdana" w:cstheme="minorBidi"/>
      <w:noProof/>
      <w:sz w:val="18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C4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491</ap:Words>
  <ap:Characters>2805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2025-11-14T12:22:00.0000000Z</dcterms:created>
  <dcterms:modified xsi:type="dcterms:W3CDTF">2025-11-21T13:13:00.0000000Z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