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373DD" w:rsidR="00CB3578" w:rsidTr="00F13442" w14:paraId="1E25312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2026E" w:rsidR="0082026E" w:rsidP="004474D9" w:rsidRDefault="0082026E" w14:paraId="57BCEE6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2026E">
              <w:rPr>
                <w:rFonts w:ascii="Times New Roman" w:hAnsi="Times New Roman"/>
              </w:rPr>
              <w:t>De Tweede Kamer der Staten-</w:t>
            </w:r>
            <w:r w:rsidRPr="0082026E">
              <w:rPr>
                <w:rFonts w:ascii="Times New Roman" w:hAnsi="Times New Roman"/>
              </w:rPr>
              <w:fldChar w:fldCharType="begin"/>
            </w:r>
            <w:r w:rsidRPr="0082026E">
              <w:rPr>
                <w:rFonts w:ascii="Times New Roman" w:hAnsi="Times New Roman"/>
              </w:rPr>
              <w:instrText xml:space="preserve">PRIVATE </w:instrText>
            </w:r>
            <w:r w:rsidRPr="0082026E">
              <w:rPr>
                <w:rFonts w:ascii="Times New Roman" w:hAnsi="Times New Roman"/>
              </w:rPr>
              <w:fldChar w:fldCharType="end"/>
            </w:r>
          </w:p>
          <w:p w:rsidRPr="0082026E" w:rsidR="0082026E" w:rsidP="004474D9" w:rsidRDefault="0082026E" w14:paraId="06128A3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2026E">
              <w:rPr>
                <w:rFonts w:ascii="Times New Roman" w:hAnsi="Times New Roman"/>
              </w:rPr>
              <w:t>Generaal zendt bijgaand door</w:t>
            </w:r>
          </w:p>
          <w:p w:rsidRPr="0082026E" w:rsidR="0082026E" w:rsidP="004474D9" w:rsidRDefault="0082026E" w14:paraId="104CF4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2026E">
              <w:rPr>
                <w:rFonts w:ascii="Times New Roman" w:hAnsi="Times New Roman"/>
              </w:rPr>
              <w:t>haar aangenomen wetsvoorstel</w:t>
            </w:r>
          </w:p>
          <w:p w:rsidRPr="0082026E" w:rsidR="0082026E" w:rsidP="004474D9" w:rsidRDefault="0082026E" w14:paraId="7341971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2026E">
              <w:rPr>
                <w:rFonts w:ascii="Times New Roman" w:hAnsi="Times New Roman"/>
              </w:rPr>
              <w:t>aan de Eerste Kamer.</w:t>
            </w:r>
          </w:p>
          <w:p w:rsidRPr="0082026E" w:rsidR="0082026E" w:rsidP="004474D9" w:rsidRDefault="0082026E" w14:paraId="364EB85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0502605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2026E">
              <w:rPr>
                <w:rFonts w:ascii="Times New Roman" w:hAnsi="Times New Roman"/>
              </w:rPr>
              <w:t>De Voorzitter,</w:t>
            </w:r>
          </w:p>
          <w:p w:rsidRPr="0082026E" w:rsidR="0082026E" w:rsidP="004474D9" w:rsidRDefault="0082026E" w14:paraId="4736735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0EF3E85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3E24FE4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2C3B341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7649674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790D3A8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0B8C595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224C2CE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2026E" w:rsidR="0082026E" w:rsidP="004474D9" w:rsidRDefault="0082026E" w14:paraId="5F639300" w14:textId="77777777">
            <w:pPr>
              <w:rPr>
                <w:rFonts w:ascii="Times New Roman" w:hAnsi="Times New Roman"/>
              </w:rPr>
            </w:pPr>
          </w:p>
          <w:p w:rsidRPr="000373DD" w:rsidR="00CB3578" w:rsidP="0082026E" w:rsidRDefault="0082026E" w14:paraId="4F30CC94" w14:textId="13066E05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0373DD" w:rsidR="00CB3578" w:rsidTr="00A11E73" w14:paraId="626DB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3DC0B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BB4CE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0373DD" w:rsidR="0082026E" w:rsidTr="006F2855" w14:paraId="41DAB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73DD" w:rsidR="0082026E" w:rsidP="000D5BC4" w:rsidRDefault="0082026E" w14:paraId="4A8DED70" w14:textId="6B3E331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Wijziging van de begrotingsstaten van het Ministerie van </w:t>
            </w:r>
            <w:r>
              <w:rPr>
                <w:rFonts w:ascii="Times New Roman" w:hAnsi="Times New Roman" w:eastAsia="Arial Unicode MS"/>
                <w:b/>
                <w:kern w:val="3"/>
                <w:sz w:val="24"/>
              </w:rPr>
              <w:t>Asiel en Migratie</w:t>
            </w: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 </w:t>
            </w:r>
            <w:r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(XX) </w:t>
            </w: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>voor het jaar 2025 (wijziging samenhangende met de Voorjaarsnota)</w:t>
            </w:r>
          </w:p>
        </w:tc>
      </w:tr>
      <w:tr w:rsidRPr="000373DD" w:rsidR="00CB3578" w:rsidTr="00A11E73" w14:paraId="551B9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EDA81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FA34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2F6B5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E18948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30079EF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82026E" w:rsidTr="00137AE2" w14:paraId="499EA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73DD" w:rsidR="0082026E" w:rsidRDefault="0082026E" w14:paraId="0A32602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373DD" w:rsidR="00CB3578" w:rsidTr="00A11E73" w14:paraId="4853A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P="00D55648" w:rsidRDefault="00CB3578" w14:paraId="66BFBAD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64706E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373DD" w:rsidR="00893A27" w:rsidP="000373DD" w:rsidRDefault="00893A27" w14:paraId="09D976E9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0373DD" w:rsidR="00893A27" w:rsidP="000373DD" w:rsidRDefault="00893A27" w14:paraId="3B40A57C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6B38B2E" w14:textId="1578181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0373DD" w:rsidR="00893A27" w:rsidP="000373DD" w:rsidRDefault="00893A27" w14:paraId="60EF48F0" w14:textId="0A9FAA4E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departementale begrotingsstaat </w:t>
      </w:r>
      <w:r w:rsidRPr="00D1594F" w:rsidR="00D1594F">
        <w:rPr>
          <w:rFonts w:ascii="Times New Roman" w:hAnsi="Times New Roman" w:cs="Times New Roman"/>
          <w:sz w:val="24"/>
          <w:szCs w:val="24"/>
        </w:rPr>
        <w:t>van het Ministerie van Asiel en Migratie (XX) en van de begrotingsstaat inzake het agentschap van dit ministerie, alle voor het jaar 2025</w:t>
      </w:r>
      <w:r w:rsidRPr="000373DD">
        <w:rPr>
          <w:rFonts w:ascii="Times New Roman" w:hAnsi="Times New Roman" w:cs="Times New Roman"/>
          <w:sz w:val="24"/>
          <w:szCs w:val="24"/>
        </w:rPr>
        <w:t>;</w:t>
      </w:r>
    </w:p>
    <w:p w:rsidRPr="000373DD" w:rsidR="00893A27" w:rsidP="000373DD" w:rsidRDefault="00893A27" w14:paraId="56CE0850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0373DD" w:rsidR="00893A27" w:rsidP="000373DD" w:rsidRDefault="00893A27" w14:paraId="436E4D10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2" w:rsidP="000373DD" w:rsidRDefault="008D7AB2" w14:paraId="3339BEB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1</w:t>
      </w:r>
    </w:p>
    <w:p w:rsidRPr="000373DD" w:rsidR="000373DD" w:rsidP="000373DD" w:rsidRDefault="000373DD" w14:paraId="5C041D7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4956765B" w14:textId="0E5178B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departementale begrotingsstaat voor het jaar 2025 wordt gewijzigd, zoals blijkt uit de desbetreffende bij deze wet behorende staat.</w:t>
      </w:r>
    </w:p>
    <w:p w:rsidR="000373DD" w:rsidP="000373DD" w:rsidRDefault="000373DD" w14:paraId="3539C71A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15074EE9" w14:textId="2077F68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2</w:t>
      </w:r>
    </w:p>
    <w:p w:rsidR="000373DD" w:rsidP="000373DD" w:rsidRDefault="000373DD" w14:paraId="3BC23AB4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1594F" w:rsidP="000373DD" w:rsidRDefault="00D1594F" w14:paraId="6531670E" w14:textId="3D84AB92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594F">
        <w:rPr>
          <w:rFonts w:ascii="Times New Roman" w:hAnsi="Times New Roman" w:cs="Times New Roman"/>
          <w:sz w:val="24"/>
          <w:szCs w:val="24"/>
        </w:rPr>
        <w:t xml:space="preserve">De begrotingsstaat inzake het agentschap Immigratie- en </w:t>
      </w:r>
      <w:proofErr w:type="spellStart"/>
      <w:r w:rsidRPr="00D1594F">
        <w:rPr>
          <w:rFonts w:ascii="Times New Roman" w:hAnsi="Times New Roman" w:cs="Times New Roman"/>
          <w:sz w:val="24"/>
          <w:szCs w:val="24"/>
        </w:rPr>
        <w:t>Natura-lisatiedienst</w:t>
      </w:r>
      <w:proofErr w:type="spellEnd"/>
      <w:r w:rsidRPr="00D1594F">
        <w:rPr>
          <w:rFonts w:ascii="Times New Roman" w:hAnsi="Times New Roman" w:cs="Times New Roman"/>
          <w:sz w:val="24"/>
          <w:szCs w:val="24"/>
        </w:rPr>
        <w:t xml:space="preserve"> (IND) voor het jaar 2025 wordt gewijzigd, zoals blijkt uit de desbetreffende bij deze wet behorende staat.</w:t>
      </w:r>
    </w:p>
    <w:p w:rsidR="00D1594F" w:rsidP="000373DD" w:rsidRDefault="00D1594F" w14:paraId="72418683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1594F" w:rsidR="00D1594F" w:rsidP="000373DD" w:rsidRDefault="00D1594F" w14:paraId="6DBE44C9" w14:textId="45CD6EAA">
      <w:pPr>
        <w:pStyle w:val="p-artikel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1594F">
        <w:rPr>
          <w:rFonts w:ascii="Times New Roman" w:hAnsi="Times New Roman" w:cs="Times New Roman"/>
          <w:b/>
          <w:bCs/>
          <w:sz w:val="24"/>
          <w:szCs w:val="24"/>
        </w:rPr>
        <w:t>Artikel 3</w:t>
      </w:r>
    </w:p>
    <w:p w:rsidR="00D1594F" w:rsidP="000373DD" w:rsidRDefault="00D1594F" w14:paraId="304B4221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23591A7" w14:textId="2526B2F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0373DD" w:rsidP="000373DD" w:rsidRDefault="000373DD" w14:paraId="531FBC9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2" w:rsidP="000373DD" w:rsidRDefault="008D7AB2" w14:paraId="7C21736E" w14:textId="31472DE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Artikel </w:t>
      </w:r>
      <w:r w:rsidR="00D1594F">
        <w:rPr>
          <w:rFonts w:ascii="Times New Roman" w:hAnsi="Times New Roman" w:cs="Times New Roman"/>
          <w:sz w:val="24"/>
          <w:szCs w:val="24"/>
        </w:rPr>
        <w:t>4</w:t>
      </w:r>
    </w:p>
    <w:p w:rsidRPr="000373DD" w:rsidR="00BF04DE" w:rsidP="000373DD" w:rsidRDefault="00BF04DE" w14:paraId="3B5A7CD2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A5632E8" w14:textId="49C7F47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Pr="000373DD" w:rsidR="00893A27" w:rsidP="000373DD" w:rsidRDefault="00893A27" w14:paraId="1C18AEB0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5EEBB9B2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DD9A68E" w14:textId="79F2491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373DD" w:rsidR="00893A27" w:rsidP="000373DD" w:rsidRDefault="00893A27" w14:paraId="21D78F93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br/>
        <w:t>Gegeven</w:t>
      </w:r>
    </w:p>
    <w:p w:rsidRPr="000373DD" w:rsidR="00893A27" w:rsidP="00893A27" w:rsidRDefault="00893A27" w14:paraId="65ABB9DD" w14:textId="77777777">
      <w:pPr>
        <w:rPr>
          <w:rFonts w:ascii="Times New Roman" w:hAnsi="Times New Roman"/>
          <w:sz w:val="24"/>
        </w:rPr>
      </w:pPr>
    </w:p>
    <w:p w:rsidRPr="000373DD" w:rsidR="00893A27" w:rsidP="00893A27" w:rsidRDefault="00893A27" w14:paraId="08064DB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B9CEC5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E31771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181A4DE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462BF76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0F72019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8CA8A9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125AE5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4E05E0A" w14:textId="13037964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De Minister van </w:t>
      </w:r>
      <w:r w:rsidR="00D1594F">
        <w:rPr>
          <w:rFonts w:ascii="Times New Roman" w:hAnsi="Times New Roman" w:cs="Times New Roman"/>
          <w:sz w:val="24"/>
          <w:szCs w:val="24"/>
        </w:rPr>
        <w:t>Asiel en Migratie</w:t>
      </w:r>
      <w:r w:rsidRPr="000373DD">
        <w:rPr>
          <w:rFonts w:ascii="Times New Roman" w:hAnsi="Times New Roman" w:cs="Times New Roman"/>
          <w:sz w:val="24"/>
          <w:szCs w:val="24"/>
        </w:rPr>
        <w:t>,</w:t>
      </w:r>
    </w:p>
    <w:p w:rsidRPr="000373DD" w:rsidR="00872728" w:rsidP="00872728" w:rsidRDefault="00872728" w14:paraId="745FB1EA" w14:textId="77777777">
      <w:pPr>
        <w:rPr>
          <w:rFonts w:ascii="Times New Roman" w:hAnsi="Times New Roman"/>
          <w:sz w:val="24"/>
        </w:rPr>
      </w:pPr>
    </w:p>
    <w:p w:rsidRPr="000373DD" w:rsidR="00872728" w:rsidP="00872728" w:rsidRDefault="00872728" w14:paraId="163963A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72728" w:rsidP="00872728" w:rsidRDefault="00872728" w14:paraId="32B1E5D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72728" w:rsidP="00872728" w:rsidRDefault="00872728" w14:paraId="6DCB954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72728" w:rsidP="00872728" w:rsidRDefault="00872728" w14:paraId="362B217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72728" w:rsidP="00872728" w:rsidRDefault="00872728" w14:paraId="2FAF5CC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72728" w:rsidP="00872728" w:rsidRDefault="00872728" w14:paraId="7587C90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72728" w:rsidP="00872728" w:rsidRDefault="00872728" w14:paraId="753850A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72728" w:rsidP="00872728" w:rsidRDefault="00872728" w14:paraId="0C7C318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72728" w:rsidP="00872728" w:rsidRDefault="00872728" w14:paraId="1383D2F2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De Minister van </w:t>
      </w:r>
      <w:r>
        <w:rPr>
          <w:rFonts w:ascii="Times New Roman" w:hAnsi="Times New Roman" w:cs="Times New Roman"/>
          <w:sz w:val="24"/>
          <w:szCs w:val="24"/>
        </w:rPr>
        <w:t>Asiel en Migratie</w:t>
      </w:r>
      <w:r w:rsidRPr="000373DD">
        <w:rPr>
          <w:rFonts w:ascii="Times New Roman" w:hAnsi="Times New Roman" w:cs="Times New Roman"/>
          <w:sz w:val="24"/>
          <w:szCs w:val="24"/>
        </w:rPr>
        <w:t>,</w:t>
      </w:r>
    </w:p>
    <w:p w:rsidR="004646E7" w:rsidRDefault="004646E7" w14:paraId="5E848970" w14:textId="230228D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1974"/>
        <w:gridCol w:w="1188"/>
        <w:gridCol w:w="1052"/>
        <w:gridCol w:w="1072"/>
        <w:gridCol w:w="1188"/>
        <w:gridCol w:w="1021"/>
        <w:gridCol w:w="1074"/>
      </w:tblGrid>
      <w:tr w:rsidR="004646E7" w:rsidTr="004646E7" w14:paraId="476A4D2B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4646E7" w:rsidP="003B28D0" w:rsidRDefault="004646E7" w14:paraId="3AA42D4A" w14:textId="77777777">
            <w:pPr>
              <w:pStyle w:val="kio2-table-title"/>
            </w:pPr>
            <w:r>
              <w:lastRenderedPageBreak/>
              <w:t>Wijziging begrotingsstaat van het Ministerie van Asiel en Migratie (XX) voor het jaar 2025 (Eerste suppletoire begroting) (bedragen x € 1.000)</w:t>
            </w:r>
          </w:p>
        </w:tc>
      </w:tr>
      <w:tr w:rsidR="004646E7" w:rsidTr="004646E7" w14:paraId="200416F9" w14:textId="77777777">
        <w:trPr>
          <w:tblHeader/>
        </w:trPr>
        <w:tc>
          <w:tcPr>
            <w:tcW w:w="276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4646E7" w:rsidP="003B28D0" w:rsidRDefault="004646E7" w14:paraId="541F49EE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1088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4F640B19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1826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4C0A9D8A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1809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4E4AA0B5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4646E7" w:rsidTr="004646E7" w14:paraId="4AD33988" w14:textId="77777777">
        <w:trPr>
          <w:tblHeader/>
        </w:trPr>
        <w:tc>
          <w:tcPr>
            <w:tcW w:w="27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4646E7" w:rsidP="003B28D0" w:rsidRDefault="004646E7" w14:paraId="57F2126A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8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7CB9630A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6F198478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40FBE9F4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1B4B00F2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27700C72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109A44AA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6E7" w:rsidP="003B28D0" w:rsidRDefault="004646E7" w14:paraId="0948D9AB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</w:tr>
      <w:tr w:rsidR="004646E7" w:rsidTr="004646E7" w14:paraId="01B182D4" w14:textId="77777777">
        <w:tc>
          <w:tcPr>
            <w:tcW w:w="27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2452EA0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1BE8DD4C" w14:textId="77777777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F7E5C6A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9.490.898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DAC2400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9.480.898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FEDF782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12.826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73CF218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‒ 520.096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8206194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‒ 513.539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D4C42F5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9.000</w:t>
            </w:r>
          </w:p>
        </w:tc>
      </w:tr>
      <w:tr w:rsidR="004646E7" w:rsidTr="004646E7" w14:paraId="3DFDD0FE" w14:textId="77777777">
        <w:tc>
          <w:tcPr>
            <w:tcW w:w="27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11F4BFF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575C62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240432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65C04D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333246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5C08F50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5EAE38A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5CBF9D2E" w14:textId="77777777">
            <w:pPr>
              <w:pStyle w:val="p-table"/>
              <w:rPr>
                <w:sz w:val="17"/>
              </w:rPr>
            </w:pPr>
          </w:p>
        </w:tc>
      </w:tr>
      <w:tr w:rsidR="004646E7" w:rsidTr="004646E7" w14:paraId="6982206C" w14:textId="77777777">
        <w:tc>
          <w:tcPr>
            <w:tcW w:w="27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4D476D9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84471C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Beleidsartikelen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4CEC2E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B17F44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1042CC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835A87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D8D2B4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BC256A0" w14:textId="77777777">
            <w:pPr>
              <w:pStyle w:val="p-table"/>
              <w:rPr>
                <w:sz w:val="17"/>
              </w:rPr>
            </w:pPr>
          </w:p>
        </w:tc>
      </w:tr>
      <w:tr w:rsidR="004646E7" w:rsidTr="004646E7" w14:paraId="372A3A3D" w14:textId="77777777">
        <w:tc>
          <w:tcPr>
            <w:tcW w:w="27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4022C97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10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1196D7B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Asiel en Migratie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62DE048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9.490.898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A61B89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9.480.898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11F26B9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12.826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1C17574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795.662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67B1DB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789.105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C2F21A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9.000</w:t>
            </w:r>
          </w:p>
        </w:tc>
      </w:tr>
      <w:tr w:rsidR="004646E7" w:rsidTr="004646E7" w14:paraId="40D15782" w14:textId="77777777">
        <w:tc>
          <w:tcPr>
            <w:tcW w:w="27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6A090FB2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10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8AC223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 kerndepartement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EA8754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1FA94AD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CA9E12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5C30032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33.245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8F551B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33.245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64CF14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4646E7" w:rsidTr="004646E7" w14:paraId="30810CEB" w14:textId="77777777">
        <w:tc>
          <w:tcPr>
            <w:tcW w:w="27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3A16F5D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10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1DE1E3E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DF070C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C24538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68A5EB1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037B06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242.321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3777FB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242.321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A6A711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893A27" w:rsidP="00893A27" w:rsidRDefault="00893A27" w14:paraId="24E6441C" w14:textId="77777777">
      <w:pPr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295"/>
        <w:gridCol w:w="1295"/>
        <w:gridCol w:w="1277"/>
        <w:gridCol w:w="1228"/>
        <w:gridCol w:w="1228"/>
        <w:gridCol w:w="1221"/>
      </w:tblGrid>
      <w:tr w:rsidR="004646E7" w:rsidTr="004646E7" w14:paraId="1AD29B5A" w14:textId="77777777">
        <w:trPr>
          <w:tblHeader/>
        </w:trPr>
        <w:tc>
          <w:tcPr>
            <w:tcW w:w="5000" w:type="pct"/>
            <w:gridSpan w:val="7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4646E7" w:rsidP="003B28D0" w:rsidRDefault="004646E7" w14:paraId="0B035B4F" w14:textId="77777777">
            <w:pPr>
              <w:pStyle w:val="kio2-table-title"/>
            </w:pPr>
            <w:r>
              <w:t>Wijziging begrotingsstaat inzake agentschap voor het jaar 2025 (Eerste suppletoire begroting) (bedragen x € 1.000)</w:t>
            </w:r>
          </w:p>
        </w:tc>
      </w:tr>
      <w:tr w:rsidR="004646E7" w:rsidTr="004646E7" w14:paraId="763CDD22" w14:textId="77777777">
        <w:trPr>
          <w:tblHeader/>
        </w:trPr>
        <w:tc>
          <w:tcPr>
            <w:tcW w:w="84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4646E7" w:rsidP="003B28D0" w:rsidRDefault="004646E7" w14:paraId="1C9E8146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Naam</w:t>
            </w:r>
          </w:p>
        </w:tc>
        <w:tc>
          <w:tcPr>
            <w:tcW w:w="213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6E7" w:rsidP="003B28D0" w:rsidRDefault="004646E7" w14:paraId="07D2090A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 2025</w:t>
            </w:r>
          </w:p>
        </w:tc>
        <w:tc>
          <w:tcPr>
            <w:tcW w:w="202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6E7" w:rsidP="003B28D0" w:rsidRDefault="004646E7" w14:paraId="1FB1775D" w14:textId="77777777">
            <w:pPr>
              <w:pStyle w:val="p-table"/>
            </w:pPr>
            <w:r>
              <w:rPr>
                <w:color w:val="000000"/>
                <w:sz w:val="17"/>
              </w:rPr>
              <w:t>Mutaties 1</w:t>
            </w:r>
            <w:r>
              <w:rPr>
                <w:color w:val="000000"/>
                <w:sz w:val="17"/>
                <w:vertAlign w:val="superscript"/>
              </w:rPr>
              <w:t>e</w:t>
            </w:r>
            <w:r>
              <w:rPr>
                <w:color w:val="000000"/>
                <w:sz w:val="17"/>
              </w:rPr>
              <w:t xml:space="preserve"> suppletoire begroting</w:t>
            </w:r>
          </w:p>
        </w:tc>
      </w:tr>
      <w:tr w:rsidR="004646E7" w:rsidTr="004646E7" w14:paraId="15C95DC0" w14:textId="77777777">
        <w:tc>
          <w:tcPr>
            <w:tcW w:w="8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17FC63F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8935232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Baten</w:t>
            </w: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56C517BD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Lasten</w:t>
            </w:r>
          </w:p>
        </w:tc>
        <w:tc>
          <w:tcPr>
            <w:tcW w:w="7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622C83C0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Saldo baten en lasten</w:t>
            </w: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60C751A3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Baten</w:t>
            </w: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5993C1D7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Lasten</w:t>
            </w:r>
          </w:p>
        </w:tc>
        <w:tc>
          <w:tcPr>
            <w:tcW w:w="6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148036F7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Saldo baten en lasten</w:t>
            </w:r>
          </w:p>
        </w:tc>
      </w:tr>
      <w:tr w:rsidR="004646E7" w:rsidTr="004646E7" w14:paraId="655C4794" w14:textId="77777777">
        <w:tc>
          <w:tcPr>
            <w:tcW w:w="841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691E552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Immigratie en Naturalisatiedienst (IND)</w:t>
            </w:r>
          </w:p>
        </w:tc>
        <w:tc>
          <w:tcPr>
            <w:tcW w:w="71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4BB6BC0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926.372</w:t>
            </w:r>
          </w:p>
        </w:tc>
        <w:tc>
          <w:tcPr>
            <w:tcW w:w="71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3C5804C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926.372</w:t>
            </w:r>
          </w:p>
        </w:tc>
        <w:tc>
          <w:tcPr>
            <w:tcW w:w="70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17BB1A0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7FE28E6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54.644</w:t>
            </w:r>
          </w:p>
        </w:tc>
        <w:tc>
          <w:tcPr>
            <w:tcW w:w="6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317DFC0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54.644</w:t>
            </w:r>
          </w:p>
        </w:tc>
        <w:tc>
          <w:tcPr>
            <w:tcW w:w="6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493A871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4646E7" w:rsidTr="004646E7" w14:paraId="5240D1BD" w14:textId="77777777">
        <w:tc>
          <w:tcPr>
            <w:tcW w:w="8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2032DFA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5ABA7F7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FB9508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7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353F3E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06C0FE7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4EE3C3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6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2892442" w14:textId="77777777">
            <w:pPr>
              <w:pStyle w:val="p-table"/>
              <w:rPr>
                <w:sz w:val="17"/>
              </w:rPr>
            </w:pPr>
          </w:p>
        </w:tc>
      </w:tr>
      <w:tr w:rsidR="004646E7" w:rsidTr="004646E7" w14:paraId="08C41972" w14:textId="77777777">
        <w:tc>
          <w:tcPr>
            <w:tcW w:w="8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1BBB30BB" w14:textId="77777777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77492D1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926.372</w:t>
            </w: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4D534C7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926.372</w:t>
            </w:r>
          </w:p>
        </w:tc>
        <w:tc>
          <w:tcPr>
            <w:tcW w:w="7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0FA9DA0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021E4C7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54.644</w:t>
            </w: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5F67FF6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54.644</w:t>
            </w:r>
          </w:p>
        </w:tc>
        <w:tc>
          <w:tcPr>
            <w:tcW w:w="6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33BD85D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4646E7" w:rsidP="00893A27" w:rsidRDefault="004646E7" w14:paraId="58ABBD97" w14:textId="77777777">
      <w:pPr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2"/>
        <w:gridCol w:w="1905"/>
        <w:gridCol w:w="1905"/>
        <w:gridCol w:w="1859"/>
        <w:gridCol w:w="1859"/>
      </w:tblGrid>
      <w:tr w:rsidR="004646E7" w:rsidTr="004646E7" w14:paraId="428750B4" w14:textId="77777777">
        <w:trPr>
          <w:tblHeader/>
        </w:trPr>
        <w:tc>
          <w:tcPr>
            <w:tcW w:w="85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4646E7" w:rsidP="003B28D0" w:rsidRDefault="004646E7" w14:paraId="1DCED796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Naam</w:t>
            </w:r>
          </w:p>
        </w:tc>
        <w:tc>
          <w:tcPr>
            <w:tcW w:w="2100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6E7" w:rsidP="003B28D0" w:rsidRDefault="004646E7" w14:paraId="23315958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 2025</w:t>
            </w:r>
          </w:p>
        </w:tc>
        <w:tc>
          <w:tcPr>
            <w:tcW w:w="2050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6E7" w:rsidP="003B28D0" w:rsidRDefault="004646E7" w14:paraId="373D3782" w14:textId="77777777">
            <w:pPr>
              <w:pStyle w:val="p-table"/>
            </w:pPr>
            <w:r>
              <w:rPr>
                <w:color w:val="000000"/>
                <w:sz w:val="17"/>
              </w:rPr>
              <w:t>Mutaties 1</w:t>
            </w:r>
            <w:r>
              <w:rPr>
                <w:color w:val="000000"/>
                <w:sz w:val="17"/>
                <w:vertAlign w:val="superscript"/>
              </w:rPr>
              <w:t>e</w:t>
            </w:r>
            <w:r>
              <w:rPr>
                <w:color w:val="000000"/>
                <w:sz w:val="17"/>
              </w:rPr>
              <w:t xml:space="preserve"> suppletoire begroting</w:t>
            </w:r>
          </w:p>
        </w:tc>
      </w:tr>
      <w:tr w:rsidR="004646E7" w:rsidTr="004646E7" w14:paraId="32E9E9C4" w14:textId="77777777">
        <w:tc>
          <w:tcPr>
            <w:tcW w:w="8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5C2FDCB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33330B5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 xml:space="preserve">Totaal </w:t>
            </w:r>
            <w:proofErr w:type="spellStart"/>
            <w:r>
              <w:rPr>
                <w:sz w:val="17"/>
              </w:rPr>
              <w:t>kapitaal-uitgaven</w:t>
            </w:r>
            <w:proofErr w:type="spellEnd"/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484788B6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Totaal </w:t>
            </w:r>
            <w:proofErr w:type="spellStart"/>
            <w:r>
              <w:rPr>
                <w:sz w:val="17"/>
              </w:rPr>
              <w:t>kapitaal-ontvangsten</w:t>
            </w:r>
            <w:proofErr w:type="spellEnd"/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B54821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 xml:space="preserve">Totaal </w:t>
            </w:r>
            <w:proofErr w:type="spellStart"/>
            <w:r>
              <w:rPr>
                <w:sz w:val="17"/>
              </w:rPr>
              <w:t>kapitaal-uitgaven</w:t>
            </w:r>
            <w:proofErr w:type="spellEnd"/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646E7" w:rsidP="003B28D0" w:rsidRDefault="004646E7" w14:paraId="74105DC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 xml:space="preserve">Totaal </w:t>
            </w:r>
            <w:proofErr w:type="spellStart"/>
            <w:r>
              <w:rPr>
                <w:sz w:val="17"/>
              </w:rPr>
              <w:t>kapitaal-ontvangsten</w:t>
            </w:r>
            <w:proofErr w:type="spellEnd"/>
          </w:p>
        </w:tc>
      </w:tr>
      <w:tr w:rsidR="004646E7" w:rsidTr="004646E7" w14:paraId="1C303C2F" w14:textId="77777777">
        <w:tc>
          <w:tcPr>
            <w:tcW w:w="8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52B9DBA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Immigratie en Naturalisatiedienst (IND)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4646E7" w:rsidP="003B28D0" w:rsidRDefault="004646E7" w14:paraId="3F2C21C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7.660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4646E7" w:rsidP="003B28D0" w:rsidRDefault="004646E7" w14:paraId="1B19C60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4646E7" w:rsidP="003B28D0" w:rsidRDefault="004646E7" w14:paraId="46CE235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4646E7" w:rsidP="003B28D0" w:rsidRDefault="004646E7" w14:paraId="6D2E16D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4646E7" w:rsidTr="004646E7" w14:paraId="44C7B0DF" w14:textId="77777777">
        <w:tc>
          <w:tcPr>
            <w:tcW w:w="8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4646E7" w:rsidP="003B28D0" w:rsidRDefault="004646E7" w14:paraId="0181A288" w14:textId="77777777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4646E7" w:rsidP="003B28D0" w:rsidRDefault="004646E7" w14:paraId="6544EB8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7.660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200BCB9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7F8E64B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646E7" w:rsidP="003B28D0" w:rsidRDefault="004646E7" w14:paraId="14BA291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Pr="000373DD" w:rsidR="004646E7" w:rsidP="00893A27" w:rsidRDefault="004646E7" w14:paraId="20349F45" w14:textId="77777777">
      <w:pPr>
        <w:rPr>
          <w:rFonts w:ascii="Times New Roman" w:hAnsi="Times New Roman"/>
        </w:rPr>
      </w:pPr>
    </w:p>
    <w:sectPr w:rsidRPr="000373DD" w:rsidR="004646E7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F86B" w14:textId="77777777" w:rsidR="00893A27" w:rsidRDefault="00893A27">
      <w:pPr>
        <w:spacing w:line="20" w:lineRule="exact"/>
      </w:pPr>
    </w:p>
  </w:endnote>
  <w:endnote w:type="continuationSeparator" w:id="0">
    <w:p w14:paraId="3CCB61EB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1E5927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A1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1BA0F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6CA0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5B2293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09C5" w14:textId="77777777" w:rsidR="00893A27" w:rsidRDefault="00893A2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FFCCD7" w14:textId="77777777" w:rsidR="00893A27" w:rsidRDefault="0089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71D5"/>
    <w:multiLevelType w:val="multilevel"/>
    <w:tmpl w:val="AEB2505A"/>
    <w:styleLink w:val="ol-footnotes"/>
    <w:lvl w:ilvl="0">
      <w:start w:val="1"/>
      <w:numFmt w:val="decimal"/>
      <w:lvlText w:val="%1"/>
      <w:lvlJc w:val="left"/>
      <w:pPr>
        <w:ind w:left="1068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24933943">
    <w:abstractNumId w:val="0"/>
  </w:num>
  <w:num w:numId="2" w16cid:durableId="426462154">
    <w:abstractNumId w:val="0"/>
    <w:lvlOverride w:ilvl="0">
      <w:startOverride w:val="1"/>
    </w:lvlOverride>
  </w:num>
  <w:num w:numId="3" w16cid:durableId="970135697">
    <w:abstractNumId w:val="0"/>
    <w:lvlOverride w:ilvl="0">
      <w:startOverride w:val="1"/>
    </w:lvlOverride>
  </w:num>
  <w:num w:numId="4" w16cid:durableId="1721785643">
    <w:abstractNumId w:val="0"/>
    <w:lvlOverride w:ilvl="0">
      <w:startOverride w:val="1"/>
    </w:lvlOverride>
  </w:num>
  <w:num w:numId="5" w16cid:durableId="19566694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7"/>
    <w:rsid w:val="00012DBE"/>
    <w:rsid w:val="000373DD"/>
    <w:rsid w:val="00094F09"/>
    <w:rsid w:val="00096981"/>
    <w:rsid w:val="000A1D81"/>
    <w:rsid w:val="00111ED3"/>
    <w:rsid w:val="001C190E"/>
    <w:rsid w:val="00203EC7"/>
    <w:rsid w:val="002168F4"/>
    <w:rsid w:val="002A727C"/>
    <w:rsid w:val="00314A34"/>
    <w:rsid w:val="004646E7"/>
    <w:rsid w:val="00554CE3"/>
    <w:rsid w:val="005D2707"/>
    <w:rsid w:val="00606255"/>
    <w:rsid w:val="006B607A"/>
    <w:rsid w:val="007D451C"/>
    <w:rsid w:val="0082026E"/>
    <w:rsid w:val="00826224"/>
    <w:rsid w:val="00872728"/>
    <w:rsid w:val="00893A27"/>
    <w:rsid w:val="008D7AB2"/>
    <w:rsid w:val="00930A23"/>
    <w:rsid w:val="00974A1A"/>
    <w:rsid w:val="009C7354"/>
    <w:rsid w:val="009E6D7F"/>
    <w:rsid w:val="00A11E73"/>
    <w:rsid w:val="00A2521E"/>
    <w:rsid w:val="00A50D3F"/>
    <w:rsid w:val="00AE436A"/>
    <w:rsid w:val="00BF04DE"/>
    <w:rsid w:val="00C135B1"/>
    <w:rsid w:val="00C92DF8"/>
    <w:rsid w:val="00CB3578"/>
    <w:rsid w:val="00D1594F"/>
    <w:rsid w:val="00D20AFA"/>
    <w:rsid w:val="00D55648"/>
    <w:rsid w:val="00E16443"/>
    <w:rsid w:val="00E36EE9"/>
    <w:rsid w:val="00F13442"/>
    <w:rsid w:val="00F419A2"/>
    <w:rsid w:val="00F54EC3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0FB71"/>
  <w15:docId w15:val="{1B945798-15DD-409C-A461-D2DF632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93A2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93A2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893A2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93A2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93A2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93A2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93A27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893A27"/>
    <w:pPr>
      <w:numPr>
        <w:numId w:val="1"/>
      </w:numPr>
    </w:pPr>
  </w:style>
  <w:style w:type="paragraph" w:customStyle="1" w:styleId="apm">
    <w:name w:val="apm"/>
    <w:rsid w:val="0082026E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425</ap:Words>
  <ap:Characters>2572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2025-06-27T11:30:00.0000000Z</dcterms:created>
  <dcterms:modified xsi:type="dcterms:W3CDTF">2025-06-27T11:30:00.0000000Z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Order">
    <vt:r8>100</vt:r8>
  </property>
</Properties>
</file>