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D5A74" w:rsidTr="00D9561B" w14:paraId="355D605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C3FC0" w14:paraId="2A04F73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C3FC0" w14:paraId="1B8DE06A" w14:textId="77777777">
            <w:r>
              <w:t>Postbus 20018</w:t>
            </w:r>
          </w:p>
          <w:p w:rsidR="008E3932" w:rsidP="00D9561B" w:rsidRDefault="00BC3FC0" w14:paraId="2CE702A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D5A74" w:rsidTr="00FF66F9" w14:paraId="7389B2C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C3FC0" w14:paraId="5A46A34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F3934" w14:paraId="62F1DBCA" w14:textId="5107CCB4">
            <w:pPr>
              <w:rPr>
                <w:lang w:eastAsia="en-US"/>
              </w:rPr>
            </w:pPr>
            <w:r>
              <w:rPr>
                <w:lang w:eastAsia="en-US"/>
              </w:rPr>
              <w:t>10 november 2025</w:t>
            </w:r>
          </w:p>
        </w:tc>
      </w:tr>
      <w:tr w:rsidR="00BD5A74" w:rsidTr="00FF66F9" w14:paraId="362726F4" w14:textId="77777777">
        <w:trPr>
          <w:trHeight w:val="368"/>
        </w:trPr>
        <w:tc>
          <w:tcPr>
            <w:tcW w:w="929" w:type="dxa"/>
          </w:tcPr>
          <w:p w:rsidR="0005404B" w:rsidP="00FF66F9" w:rsidRDefault="00BC3FC0" w14:paraId="049CEA7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938DE" w14:paraId="12DCA809" w14:textId="0EE0C1CD">
            <w:pPr>
              <w:rPr>
                <w:lang w:eastAsia="en-US"/>
              </w:rPr>
            </w:pPr>
            <w:r>
              <w:rPr>
                <w:lang w:eastAsia="en-US"/>
              </w:rPr>
              <w:t>Verstoring</w:t>
            </w:r>
            <w:r w:rsidR="008E3B16">
              <w:rPr>
                <w:lang w:eastAsia="en-US"/>
              </w:rPr>
              <w:t xml:space="preserve"> van onderwijs U</w:t>
            </w:r>
            <w:r w:rsidR="008146F1">
              <w:rPr>
                <w:lang w:eastAsia="en-US"/>
              </w:rPr>
              <w:t>niversiteit Utrecht</w:t>
            </w:r>
            <w:r w:rsidR="008E3B16">
              <w:rPr>
                <w:lang w:eastAsia="en-US"/>
              </w:rPr>
              <w:t xml:space="preserve"> </w:t>
            </w:r>
            <w:r w:rsidR="00BC3FC0">
              <w:rPr>
                <w:lang w:eastAsia="en-US"/>
              </w:rPr>
              <w:t xml:space="preserve"> </w:t>
            </w:r>
          </w:p>
        </w:tc>
      </w:tr>
    </w:tbl>
    <w:p w:rsidR="00BD5A74" w:rsidRDefault="00BD5A74" w14:paraId="170E35A3" w14:textId="0BF7C268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F51AC" w:rsidR="00BD5A74" w:rsidTr="00A421A1" w14:paraId="6C1B45F6" w14:textId="77777777">
        <w:tc>
          <w:tcPr>
            <w:tcW w:w="2160" w:type="dxa"/>
          </w:tcPr>
          <w:p w:rsidRPr="00F53C9D" w:rsidR="006205C0" w:rsidP="00686AED" w:rsidRDefault="00BC3FC0" w14:paraId="172C5D46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BC3FC0" w14:paraId="1C02FC9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C3FC0" w14:paraId="39A1864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C3FC0" w14:paraId="04A9F01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C3FC0" w14:paraId="066CA46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C3FC0" w14:paraId="10ECF66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2229F4" w:rsidR="006205C0" w:rsidP="00A421A1" w:rsidRDefault="00BC3FC0" w14:paraId="7580DFEC" w14:textId="2CCEFDC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</w:tc>
      </w:tr>
      <w:tr w:rsidRPr="009F51AC" w:rsidR="00BD5A74" w:rsidTr="00A421A1" w14:paraId="5DF2D09E" w14:textId="77777777">
        <w:trPr>
          <w:trHeight w:val="200" w:hRule="exact"/>
        </w:trPr>
        <w:tc>
          <w:tcPr>
            <w:tcW w:w="2160" w:type="dxa"/>
          </w:tcPr>
          <w:p w:rsidRPr="008E3B16" w:rsidR="006205C0" w:rsidP="00A421A1" w:rsidRDefault="006205C0" w14:paraId="6D57D77D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BD5A74" w:rsidTr="00A421A1" w14:paraId="096A6E57" w14:textId="77777777">
        <w:trPr>
          <w:trHeight w:val="450"/>
        </w:trPr>
        <w:tc>
          <w:tcPr>
            <w:tcW w:w="2160" w:type="dxa"/>
          </w:tcPr>
          <w:p w:rsidR="00F51A76" w:rsidP="00A421A1" w:rsidRDefault="00BC3FC0" w14:paraId="473A212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C3FC0" w14:paraId="1C15BFC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54654010</w:t>
            </w:r>
          </w:p>
        </w:tc>
      </w:tr>
      <w:tr w:rsidR="00BD5A74" w:rsidTr="00D130C0" w14:paraId="4F29DF35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BC3FC0" w14:paraId="5317B28E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BD5A74" w:rsidTr="00D130C0" w14:paraId="78C4F196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1464C421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752CEC" w:rsidP="00EC1C4D" w:rsidRDefault="00EC1C4D" w14:paraId="5381BD44" w14:textId="1003AA60">
      <w:r w:rsidRPr="008E3B16">
        <w:t xml:space="preserve">Met deze brief informeer ik uw Kamer over de </w:t>
      </w:r>
      <w:r>
        <w:t xml:space="preserve">bezetting van een universiteitspand (Drift 25) van </w:t>
      </w:r>
      <w:r w:rsidRPr="008E3B16">
        <w:t>de Universiteit Utrecht</w:t>
      </w:r>
      <w:r>
        <w:t xml:space="preserve"> (hierna: UU)</w:t>
      </w:r>
      <w:r w:rsidRPr="008E3B16">
        <w:t xml:space="preserve"> op </w:t>
      </w:r>
      <w:r>
        <w:t>30 september en 1 oktober</w:t>
      </w:r>
      <w:r w:rsidRPr="008E3B16">
        <w:t xml:space="preserve"> </w:t>
      </w:r>
      <w:r w:rsidR="00752CEC">
        <w:t>jl</w:t>
      </w:r>
      <w:r w:rsidRPr="008E3B16">
        <w:t xml:space="preserve">. </w:t>
      </w:r>
      <w:r w:rsidR="00752CEC">
        <w:t xml:space="preserve">De bezetting wordt op Instagram geclaimd door het account @encampment.uu. </w:t>
      </w:r>
      <w:r w:rsidR="00E64689">
        <w:t xml:space="preserve">De bezetting is in de nacht van 1 op 2 oktober geëindigd. </w:t>
      </w:r>
      <w:r w:rsidRPr="008E3B16">
        <w:t>Ik heb besloten uw Kamer te informeren via deze brief omdat de instelling te maken he</w:t>
      </w:r>
      <w:r>
        <w:t>e</w:t>
      </w:r>
      <w:r w:rsidRPr="008E3B16">
        <w:t>ft gehad met een verstoring van het onderwijs en daarmee het onderwijs niet toegankelijk was voor studenten</w:t>
      </w:r>
      <w:r>
        <w:t>.</w:t>
      </w:r>
      <w:r>
        <w:rPr>
          <w:rStyle w:val="Voetnootmarkering"/>
        </w:rPr>
        <w:footnoteReference w:id="1"/>
      </w:r>
      <w:r w:rsidRPr="008E3B16">
        <w:t xml:space="preserve"> Er zijn op 30 september vier hoorcolleges geweest voor </w:t>
      </w:r>
      <w:r w:rsidR="009F51AC">
        <w:t xml:space="preserve">in totaal </w:t>
      </w:r>
      <w:r w:rsidRPr="008E3B16">
        <w:t xml:space="preserve">170 studenten die </w:t>
      </w:r>
      <w:r>
        <w:t>geen doorgang konden vinden</w:t>
      </w:r>
      <w:r w:rsidRPr="008E3B16">
        <w:t>. Al het overige onderwijs</w:t>
      </w:r>
      <w:r>
        <w:t xml:space="preserve"> </w:t>
      </w:r>
      <w:r w:rsidRPr="008E3B16">
        <w:t xml:space="preserve">voor ongeveer 1.200 studenten per dag is </w:t>
      </w:r>
      <w:proofErr w:type="spellStart"/>
      <w:r w:rsidRPr="008E3B16">
        <w:t>omgeroosterd</w:t>
      </w:r>
      <w:proofErr w:type="spellEnd"/>
      <w:r w:rsidRPr="008E3B16">
        <w:t xml:space="preserve"> </w:t>
      </w:r>
      <w:r>
        <w:t xml:space="preserve">– dat wil zeggen verplaatst naar een ander tijdstip en/of gebouw - </w:t>
      </w:r>
      <w:r w:rsidRPr="008E3B16">
        <w:t>tot en met vrijdag 3 oktober</w:t>
      </w:r>
      <w:r w:rsidR="00C4583D">
        <w:t xml:space="preserve"> i.v.m. herstel- en opruimwerkzaamheden. </w:t>
      </w:r>
    </w:p>
    <w:p w:rsidR="00EC1C4D" w:rsidP="00EC1C4D" w:rsidRDefault="00EC1C4D" w14:paraId="083389B8" w14:textId="77777777"/>
    <w:p w:rsidR="00EC1C4D" w:rsidP="00EC1C4D" w:rsidRDefault="00EC1C4D" w14:paraId="3C370A6C" w14:textId="4392ED8A">
      <w:r w:rsidRPr="00817721">
        <w:t xml:space="preserve">De UU heeft op de eerste dag van de bezetting vastgesteld dat </w:t>
      </w:r>
      <w:r w:rsidR="00E64689">
        <w:t xml:space="preserve">hun huisregels voor demonstraties </w:t>
      </w:r>
      <w:r w:rsidRPr="00817721">
        <w:t xml:space="preserve">op zowel het gebied van de veiligheid als de mate van verstoring van onderwijs </w:t>
      </w:r>
      <w:r w:rsidR="00752CEC">
        <w:t>zijn</w:t>
      </w:r>
      <w:r w:rsidRPr="00817721">
        <w:t xml:space="preserve"> overschreden</w:t>
      </w:r>
      <w:r>
        <w:t>.</w:t>
      </w:r>
      <w:r>
        <w:rPr>
          <w:rStyle w:val="Voetnootmarkering"/>
        </w:rPr>
        <w:footnoteReference w:id="2"/>
      </w:r>
      <w:r>
        <w:t xml:space="preserve"> </w:t>
      </w:r>
      <w:r w:rsidRPr="00817721">
        <w:t xml:space="preserve">Zo kregen </w:t>
      </w:r>
      <w:r w:rsidR="00133EBB">
        <w:t xml:space="preserve">beveiligingsmedewerkers </w:t>
      </w:r>
      <w:r w:rsidRPr="00817721">
        <w:t>geen toegang tot het pand om de veiligheid te inspecteren.</w:t>
      </w:r>
      <w:r>
        <w:t xml:space="preserve"> </w:t>
      </w:r>
      <w:r w:rsidR="00752CEC">
        <w:t>De</w:t>
      </w:r>
      <w:r>
        <w:t xml:space="preserve"> UU</w:t>
      </w:r>
      <w:r w:rsidRPr="00817721">
        <w:t xml:space="preserve"> </w:t>
      </w:r>
      <w:r w:rsidR="00752CEC">
        <w:t xml:space="preserve">heeft </w:t>
      </w:r>
      <w:r w:rsidRPr="001F20F2" w:rsidR="000F18A1">
        <w:t>hierover</w:t>
      </w:r>
      <w:r w:rsidRPr="001F20F2" w:rsidR="00752CEC">
        <w:t xml:space="preserve"> contact opgenomen </w:t>
      </w:r>
      <w:r w:rsidRPr="001F20F2">
        <w:t xml:space="preserve">met de lokale </w:t>
      </w:r>
      <w:r w:rsidRPr="001F20F2" w:rsidR="00752CEC">
        <w:t>veiligheids</w:t>
      </w:r>
      <w:r w:rsidRPr="001F20F2">
        <w:t xml:space="preserve">driehoek. </w:t>
      </w:r>
      <w:r w:rsidRPr="001F20F2" w:rsidR="000F18A1">
        <w:t>Daarna</w:t>
      </w:r>
      <w:r w:rsidRPr="001F20F2" w:rsidR="00E64689">
        <w:t xml:space="preserve"> hebben </w:t>
      </w:r>
      <w:r w:rsidRPr="001F20F2" w:rsidR="000F18A1">
        <w:t xml:space="preserve">de </w:t>
      </w:r>
      <w:r w:rsidRPr="001F20F2" w:rsidR="00E64689">
        <w:t xml:space="preserve">actievoerders in de nacht van 1 op 2 oktober het pand heimelijk verlaten. </w:t>
      </w:r>
      <w:r w:rsidRPr="001F20F2" w:rsidR="00F47865">
        <w:t xml:space="preserve">De instellingen hebben </w:t>
      </w:r>
      <w:r w:rsidRPr="001F20F2">
        <w:t>afgesproken dat zij altijd aangifte doen bij het vermoeden van strafbare feiten. De UU gaat aangifte doen van lokaalvredebreuk, en van de</w:t>
      </w:r>
      <w:r w:rsidRPr="00817721">
        <w:t xml:space="preserve"> schade en vernielingen in en aan het gebouw op de Drift 25. </w:t>
      </w:r>
    </w:p>
    <w:p w:rsidR="00EC1C4D" w:rsidP="00EC1C4D" w:rsidRDefault="00EC1C4D" w14:paraId="21490392" w14:textId="77777777"/>
    <w:p w:rsidR="00EC1C4D" w:rsidP="00EC1C4D" w:rsidRDefault="00EC1C4D" w14:paraId="091AC1C6" w14:textId="77777777">
      <w:r>
        <w:t>De minister van Onderwijs, Cultuur en Wetenschap,</w:t>
      </w:r>
    </w:p>
    <w:p w:rsidR="00EC1C4D" w:rsidP="00EC1C4D" w:rsidRDefault="00EC1C4D" w14:paraId="62887237" w14:textId="77777777"/>
    <w:p w:rsidR="00EC1C4D" w:rsidP="00EC1C4D" w:rsidRDefault="00EC1C4D" w14:paraId="2792850B" w14:textId="77777777"/>
    <w:p w:rsidR="00EC1C4D" w:rsidP="00EC1C4D" w:rsidRDefault="00EC1C4D" w14:paraId="0D364E0F" w14:textId="77777777"/>
    <w:p w:rsidRPr="00820DDA" w:rsidR="00820DDA" w:rsidP="00752CEC" w:rsidRDefault="00EC1C4D" w14:paraId="31325DCE" w14:textId="3087EB9C">
      <w:pPr>
        <w:pStyle w:val="standaard-tekst"/>
      </w:pPr>
      <w:proofErr w:type="spellStart"/>
      <w:r>
        <w:lastRenderedPageBreak/>
        <w:t>Gouke</w:t>
      </w:r>
      <w:proofErr w:type="spellEnd"/>
      <w:r>
        <w:t xml:space="preserve"> Moes</w:t>
      </w:r>
    </w:p>
    <w:sectPr w:rsidRPr="00820DDA" w:rsidR="00820DDA" w:rsidSect="007F393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923E" w14:textId="77777777" w:rsidR="00DC691C" w:rsidRDefault="00BC3FC0">
      <w:r>
        <w:separator/>
      </w:r>
    </w:p>
    <w:p w14:paraId="2092285F" w14:textId="77777777" w:rsidR="00DC691C" w:rsidRDefault="00DC691C"/>
  </w:endnote>
  <w:endnote w:type="continuationSeparator" w:id="0">
    <w:p w14:paraId="473785A4" w14:textId="77777777" w:rsidR="00DC691C" w:rsidRDefault="00BC3FC0">
      <w:r>
        <w:continuationSeparator/>
      </w:r>
    </w:p>
    <w:p w14:paraId="380EBB3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BB2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D5A74" w14:paraId="5D35713F" w14:textId="77777777" w:rsidTr="004C7E1D">
      <w:trPr>
        <w:trHeight w:hRule="exact" w:val="357"/>
      </w:trPr>
      <w:tc>
        <w:tcPr>
          <w:tcW w:w="7603" w:type="dxa"/>
        </w:tcPr>
        <w:p w14:paraId="2BB17A7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2B3F7C7" w14:textId="10567FF0" w:rsidR="002F71BB" w:rsidRPr="004C7E1D" w:rsidRDefault="00BC3FC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F393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646639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D5A74" w14:paraId="75DF553F" w14:textId="77777777" w:rsidTr="004C7E1D">
      <w:trPr>
        <w:trHeight w:hRule="exact" w:val="357"/>
      </w:trPr>
      <w:tc>
        <w:tcPr>
          <w:tcW w:w="7709" w:type="dxa"/>
        </w:tcPr>
        <w:p w14:paraId="6D66E4A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F5E0B2C" w14:textId="12287CCD" w:rsidR="00D17084" w:rsidRPr="004C7E1D" w:rsidRDefault="00BC3FC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F393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3D64FE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7638" w14:textId="77777777" w:rsidR="00DC691C" w:rsidRDefault="00BC3FC0">
      <w:r>
        <w:separator/>
      </w:r>
    </w:p>
    <w:p w14:paraId="3B7E0C4C" w14:textId="77777777" w:rsidR="00DC691C" w:rsidRDefault="00DC691C"/>
  </w:footnote>
  <w:footnote w:type="continuationSeparator" w:id="0">
    <w:p w14:paraId="4668AFF5" w14:textId="77777777" w:rsidR="00DC691C" w:rsidRDefault="00BC3FC0">
      <w:r>
        <w:continuationSeparator/>
      </w:r>
    </w:p>
    <w:p w14:paraId="3933159B" w14:textId="77777777" w:rsidR="00DC691C" w:rsidRDefault="00DC691C"/>
  </w:footnote>
  <w:footnote w:id="1">
    <w:p w14:paraId="516FF602" w14:textId="77777777" w:rsidR="00EC1C4D" w:rsidRPr="00817721" w:rsidRDefault="00EC1C4D" w:rsidP="00EC1C4D">
      <w:pPr>
        <w:pStyle w:val="Voetnoottekst"/>
        <w:spacing w:line="240" w:lineRule="auto"/>
        <w:rPr>
          <w:sz w:val="16"/>
          <w:szCs w:val="16"/>
        </w:rPr>
      </w:pPr>
      <w:r w:rsidRPr="00817721">
        <w:rPr>
          <w:rStyle w:val="Voetnootmarkering"/>
          <w:sz w:val="16"/>
          <w:szCs w:val="16"/>
        </w:rPr>
        <w:footnoteRef/>
      </w:r>
      <w:r w:rsidRPr="00817721">
        <w:rPr>
          <w:sz w:val="16"/>
          <w:szCs w:val="16"/>
        </w:rPr>
        <w:t xml:space="preserve"> Kamerstuk 36560-VIII-13, Motie van het lid Martens-America over actief aan de Kamer rapporteren wanneer een onderwijsinstelling niet vrij, veilig of toegankelijk is voor studenten.</w:t>
      </w:r>
    </w:p>
  </w:footnote>
  <w:footnote w:id="2">
    <w:p w14:paraId="4F3D998B" w14:textId="2D62003F" w:rsidR="00EC1C4D" w:rsidRDefault="00EC1C4D" w:rsidP="00EC1C4D">
      <w:pPr>
        <w:pStyle w:val="Voetnoottekst"/>
        <w:spacing w:line="240" w:lineRule="auto"/>
      </w:pPr>
      <w:r w:rsidRPr="00817721">
        <w:rPr>
          <w:rStyle w:val="Voetnootmarkering"/>
          <w:sz w:val="16"/>
          <w:szCs w:val="16"/>
        </w:rPr>
        <w:footnoteRef/>
      </w:r>
      <w:r w:rsidRPr="00817721">
        <w:rPr>
          <w:sz w:val="16"/>
          <w:szCs w:val="16"/>
        </w:rPr>
        <w:t xml:space="preserve"> De sectorale richtlijn protesten is binnen de UU vertaald naar de ‘</w:t>
      </w:r>
      <w:hyperlink r:id="rId1" w:history="1">
        <w:r w:rsidRPr="00817721">
          <w:rPr>
            <w:rStyle w:val="Hyperlink"/>
            <w:sz w:val="16"/>
            <w:szCs w:val="16"/>
          </w:rPr>
          <w:t>regels en verantwoordelijkheden bij demonstraties’</w:t>
        </w:r>
      </w:hyperlink>
      <w:r w:rsidR="00E6468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D5A74" w14:paraId="05659517" w14:textId="77777777" w:rsidTr="006D2D53">
      <w:trPr>
        <w:trHeight w:hRule="exact" w:val="400"/>
      </w:trPr>
      <w:tc>
        <w:tcPr>
          <w:tcW w:w="7518" w:type="dxa"/>
        </w:tcPr>
        <w:p w14:paraId="40D6A430" w14:textId="77777777" w:rsidR="00527BD4" w:rsidRPr="00275984" w:rsidRDefault="00527BD4" w:rsidP="00BF4427">
          <w:pPr>
            <w:pStyle w:val="Huisstijl-Rubricering"/>
          </w:pPr>
        </w:p>
      </w:tc>
    </w:tr>
  </w:tbl>
  <w:p w14:paraId="25154A0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D5A74" w14:paraId="30933469" w14:textId="77777777" w:rsidTr="003B528D">
      <w:tc>
        <w:tcPr>
          <w:tcW w:w="2160" w:type="dxa"/>
        </w:tcPr>
        <w:p w14:paraId="3CC6C57E" w14:textId="77777777" w:rsidR="002F71BB" w:rsidRPr="000407BB" w:rsidRDefault="00BC3FC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D5A74" w14:paraId="50570275" w14:textId="77777777" w:rsidTr="002F71BB">
      <w:trPr>
        <w:trHeight w:val="259"/>
      </w:trPr>
      <w:tc>
        <w:tcPr>
          <w:tcW w:w="2160" w:type="dxa"/>
        </w:tcPr>
        <w:p w14:paraId="1A4E7E7B" w14:textId="77777777" w:rsidR="00E35CF4" w:rsidRPr="005D283A" w:rsidRDefault="00BC3FC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54654010</w:t>
          </w:r>
        </w:p>
      </w:tc>
    </w:tr>
  </w:tbl>
  <w:p w14:paraId="3506312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D5A74" w14:paraId="3E710F6B" w14:textId="77777777" w:rsidTr="001377D4">
      <w:trPr>
        <w:trHeight w:val="2636"/>
      </w:trPr>
      <w:tc>
        <w:tcPr>
          <w:tcW w:w="737" w:type="dxa"/>
        </w:tcPr>
        <w:p w14:paraId="370F1AA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97DC245" w14:textId="77777777" w:rsidR="00704845" w:rsidRDefault="00BC3FC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35B8BF3" wp14:editId="4A14CF2E">
                <wp:extent cx="2447925" cy="1657350"/>
                <wp:effectExtent l="0" t="0" r="0" b="0"/>
                <wp:docPr id="19217952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92AFDA" w14:textId="77777777" w:rsidR="00483ECA" w:rsidRDefault="00483ECA" w:rsidP="00D037A9"/>
      </w:tc>
    </w:tr>
  </w:tbl>
  <w:p w14:paraId="126951D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D5A74" w14:paraId="294CB476" w14:textId="77777777" w:rsidTr="0008539E">
      <w:trPr>
        <w:trHeight w:hRule="exact" w:val="572"/>
      </w:trPr>
      <w:tc>
        <w:tcPr>
          <w:tcW w:w="7520" w:type="dxa"/>
        </w:tcPr>
        <w:p w14:paraId="6D747F83" w14:textId="77777777" w:rsidR="00527BD4" w:rsidRPr="00963440" w:rsidRDefault="00BC3FC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D5A74" w14:paraId="52E6A2F7" w14:textId="77777777" w:rsidTr="00E776C6">
      <w:trPr>
        <w:cantSplit/>
        <w:trHeight w:hRule="exact" w:val="238"/>
      </w:trPr>
      <w:tc>
        <w:tcPr>
          <w:tcW w:w="7520" w:type="dxa"/>
        </w:tcPr>
        <w:p w14:paraId="7EB3CDAF" w14:textId="77777777" w:rsidR="00093ABC" w:rsidRPr="00963440" w:rsidRDefault="00093ABC" w:rsidP="00963440"/>
      </w:tc>
    </w:tr>
    <w:tr w:rsidR="00BD5A74" w14:paraId="20638F31" w14:textId="77777777" w:rsidTr="00E776C6">
      <w:trPr>
        <w:cantSplit/>
        <w:trHeight w:hRule="exact" w:val="1520"/>
      </w:trPr>
      <w:tc>
        <w:tcPr>
          <w:tcW w:w="7520" w:type="dxa"/>
        </w:tcPr>
        <w:p w14:paraId="7506C940" w14:textId="77777777" w:rsidR="00A604D3" w:rsidRPr="00963440" w:rsidRDefault="00A604D3" w:rsidP="00963440"/>
      </w:tc>
    </w:tr>
    <w:tr w:rsidR="00BD5A74" w14:paraId="0E6E910D" w14:textId="77777777" w:rsidTr="00E776C6">
      <w:trPr>
        <w:trHeight w:hRule="exact" w:val="1077"/>
      </w:trPr>
      <w:tc>
        <w:tcPr>
          <w:tcW w:w="7520" w:type="dxa"/>
        </w:tcPr>
        <w:p w14:paraId="267916D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2BF49C2" w14:textId="77777777" w:rsidR="006F273B" w:rsidRDefault="006F273B" w:rsidP="00BC4AE3">
    <w:pPr>
      <w:pStyle w:val="Koptekst"/>
    </w:pPr>
  </w:p>
  <w:p w14:paraId="3F7D6D7F" w14:textId="77777777" w:rsidR="00153BD0" w:rsidRDefault="00153BD0" w:rsidP="00BC4AE3">
    <w:pPr>
      <w:pStyle w:val="Koptekst"/>
    </w:pPr>
  </w:p>
  <w:p w14:paraId="49DE68B1" w14:textId="77777777" w:rsidR="0044605E" w:rsidRDefault="0044605E" w:rsidP="00BC4AE3">
    <w:pPr>
      <w:pStyle w:val="Koptekst"/>
    </w:pPr>
  </w:p>
  <w:p w14:paraId="74633A0B" w14:textId="77777777" w:rsidR="0044605E" w:rsidRDefault="0044605E" w:rsidP="00BC4AE3">
    <w:pPr>
      <w:pStyle w:val="Koptekst"/>
    </w:pPr>
  </w:p>
  <w:p w14:paraId="1DB6BFD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892FF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8626D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8EF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05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287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4A6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C1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CA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0CC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A0627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7802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C4F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8A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3A0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C420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CC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1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B811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950573">
    <w:abstractNumId w:val="10"/>
  </w:num>
  <w:num w:numId="2" w16cid:durableId="1955405077">
    <w:abstractNumId w:val="7"/>
  </w:num>
  <w:num w:numId="3" w16cid:durableId="833303805">
    <w:abstractNumId w:val="6"/>
  </w:num>
  <w:num w:numId="4" w16cid:durableId="1047528012">
    <w:abstractNumId w:val="5"/>
  </w:num>
  <w:num w:numId="5" w16cid:durableId="1888757083">
    <w:abstractNumId w:val="4"/>
  </w:num>
  <w:num w:numId="6" w16cid:durableId="641270954">
    <w:abstractNumId w:val="8"/>
  </w:num>
  <w:num w:numId="7" w16cid:durableId="2038461411">
    <w:abstractNumId w:val="3"/>
  </w:num>
  <w:num w:numId="8" w16cid:durableId="1268350942">
    <w:abstractNumId w:val="2"/>
  </w:num>
  <w:num w:numId="9" w16cid:durableId="2012366550">
    <w:abstractNumId w:val="1"/>
  </w:num>
  <w:num w:numId="10" w16cid:durableId="791092344">
    <w:abstractNumId w:val="0"/>
  </w:num>
  <w:num w:numId="11" w16cid:durableId="479663687">
    <w:abstractNumId w:val="9"/>
  </w:num>
  <w:num w:numId="12" w16cid:durableId="1070617667">
    <w:abstractNumId w:val="11"/>
  </w:num>
  <w:num w:numId="13" w16cid:durableId="1359041258">
    <w:abstractNumId w:val="13"/>
  </w:num>
  <w:num w:numId="14" w16cid:durableId="11163639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C5B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8A1"/>
    <w:rsid w:val="000F1B4E"/>
    <w:rsid w:val="000F1FFF"/>
    <w:rsid w:val="000F521E"/>
    <w:rsid w:val="00100203"/>
    <w:rsid w:val="00104B4D"/>
    <w:rsid w:val="00105677"/>
    <w:rsid w:val="00110F34"/>
    <w:rsid w:val="001177B4"/>
    <w:rsid w:val="00122CF9"/>
    <w:rsid w:val="00123704"/>
    <w:rsid w:val="001270C7"/>
    <w:rsid w:val="00132540"/>
    <w:rsid w:val="00133EB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20F2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9F4"/>
    <w:rsid w:val="00222D66"/>
    <w:rsid w:val="0022441A"/>
    <w:rsid w:val="00224A8A"/>
    <w:rsid w:val="002309A8"/>
    <w:rsid w:val="00236CFE"/>
    <w:rsid w:val="00241B6B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5C63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8FD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8DE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C7654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20C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52C0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13A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2BFE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2CEC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B577A"/>
    <w:rsid w:val="007C03C9"/>
    <w:rsid w:val="007C0A86"/>
    <w:rsid w:val="007C16D8"/>
    <w:rsid w:val="007C406E"/>
    <w:rsid w:val="007C5183"/>
    <w:rsid w:val="007C7573"/>
    <w:rsid w:val="007E14E4"/>
    <w:rsid w:val="007E2B20"/>
    <w:rsid w:val="007F3934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6F1"/>
    <w:rsid w:val="00814D03"/>
    <w:rsid w:val="00815C7E"/>
    <w:rsid w:val="00817721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3B16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77375"/>
    <w:rsid w:val="009812EB"/>
    <w:rsid w:val="00981768"/>
    <w:rsid w:val="009838BB"/>
    <w:rsid w:val="00983E8F"/>
    <w:rsid w:val="00992338"/>
    <w:rsid w:val="00994FDA"/>
    <w:rsid w:val="00997D15"/>
    <w:rsid w:val="00997E8F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1AC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78C6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40C8"/>
    <w:rsid w:val="00BB61B0"/>
    <w:rsid w:val="00BC0D9E"/>
    <w:rsid w:val="00BC3B53"/>
    <w:rsid w:val="00BC3B96"/>
    <w:rsid w:val="00BC3FC0"/>
    <w:rsid w:val="00BC4AE3"/>
    <w:rsid w:val="00BC5B28"/>
    <w:rsid w:val="00BC7264"/>
    <w:rsid w:val="00BD5A7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583D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3FD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2D4D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64689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1C4D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961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4786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97DD3"/>
  <w15:docId w15:val="{D17115FB-7B0E-43DE-873C-B03BA34A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8E3B16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7721"/>
    <w:rPr>
      <w:color w:val="605E5C"/>
      <w:shd w:val="clear" w:color="auto" w:fill="E1DFDD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C1C4D"/>
    <w:rPr>
      <w:rFonts w:ascii="Verdana" w:hAnsi="Verdana"/>
      <w:sz w:val="13"/>
      <w:lang w:val="nl-NL" w:eastAsia="nl-NL"/>
    </w:rPr>
  </w:style>
  <w:style w:type="character" w:styleId="Verwijzingopmerking">
    <w:name w:val="annotation reference"/>
    <w:basedOn w:val="Standaardalinea-lettertype"/>
    <w:rsid w:val="00752CE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52C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52CE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52C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52CEC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u.nl/sites/default/files/Regels%20en%20verantwoordelijkheden%20bij%20demonstraties%20bij%20de%20UU%20-%20Rules%20and%20responsibilities%20for%20demonstrations%20at%20UU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294</ap:Words>
  <ap:Characters>1608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2025-11-10T10:09:00.0000000Z</dcterms:created>
  <dcterms:modified xsi:type="dcterms:W3CDTF">2025-11-10T10:15:00.0000000Z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O959SCH</vt:lpwstr>
  </property>
  <property fmtid="{D5CDD505-2E9C-101B-9397-08002B2CF9AE}" pid="3" name="Author">
    <vt:lpwstr>O959SCH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Verstoring onderwijs UU 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O959SCH</vt:lpwstr>
  </property>
</Properties>
</file>