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54B" w:rsidRDefault="000C34EE" w14:paraId="4E26DD8F" w14:textId="50AC0799">
      <w:r>
        <w:br/>
      </w:r>
      <w:r>
        <w:br/>
      </w:r>
      <w:r w:rsidR="00316732">
        <w:t>Geachte voorzitter,</w:t>
      </w:r>
    </w:p>
    <w:p w:rsidR="0008154B" w:rsidRDefault="001D58A7" w14:paraId="4E26DD93" w14:textId="7B7C1CBF">
      <w:r>
        <w:br/>
      </w:r>
      <w:r w:rsidR="00BF6DB3">
        <w:t xml:space="preserve">Zoals </w:t>
      </w:r>
      <w:r w:rsidR="00CD5A6C">
        <w:t xml:space="preserve">uw Kamer </w:t>
      </w:r>
      <w:r w:rsidR="00BF6DB3">
        <w:t xml:space="preserve">op 24 juli 2025 </w:t>
      </w:r>
      <w:r w:rsidR="00CD5A6C">
        <w:t>werd</w:t>
      </w:r>
      <w:r w:rsidR="00BF6DB3">
        <w:t xml:space="preserve"> </w:t>
      </w:r>
      <w:r w:rsidR="00344DB7">
        <w:t xml:space="preserve">geïnformeerd, werd </w:t>
      </w:r>
      <w:r w:rsidR="004A3B0D">
        <w:t xml:space="preserve">op 25 juni 2025 </w:t>
      </w:r>
      <w:r w:rsidR="005254D0">
        <w:t>het bilateraal verdrag tot oprichting van het ‘Speciaal Tribunaal voor het Misdrijf Agressie tegen Oekra</w:t>
      </w:r>
      <w:r w:rsidRPr="00AA42D4" w:rsidR="005254D0">
        <w:t>ïn</w:t>
      </w:r>
      <w:r w:rsidR="005254D0">
        <w:t xml:space="preserve">e’ (het agressietribunaal) </w:t>
      </w:r>
      <w:r w:rsidR="004A3B0D">
        <w:t>ondertekend door de Oekraïense president Zelensky en de secretaris-generaal van de Raad van Europa Berset.</w:t>
      </w:r>
      <w:r w:rsidR="005254D0">
        <w:rPr>
          <w:rStyle w:val="FootnoteReference"/>
        </w:rPr>
        <w:footnoteReference w:id="1"/>
      </w:r>
      <w:r w:rsidR="00BE2793">
        <w:br/>
      </w:r>
      <w:r w:rsidR="00BE2793">
        <w:br/>
        <w:t xml:space="preserve">In de brief van 24 juli jl. </w:t>
      </w:r>
      <w:r w:rsidR="00CD5A6C">
        <w:t>werd</w:t>
      </w:r>
      <w:r w:rsidR="00BE2793">
        <w:t xml:space="preserve"> </w:t>
      </w:r>
      <w:r w:rsidRPr="000A68F7" w:rsidR="00BE2793">
        <w:rPr>
          <w:color w:val="auto"/>
        </w:rPr>
        <w:t xml:space="preserve">uw Kamer geïnformeerd over het belang van het agressietribunaal, </w:t>
      </w:r>
      <w:r w:rsidRPr="000A68F7" w:rsidR="000A68F7">
        <w:rPr>
          <w:color w:val="auto"/>
        </w:rPr>
        <w:t xml:space="preserve">de </w:t>
      </w:r>
      <w:r w:rsidRPr="000A68F7" w:rsidR="00BE2793">
        <w:rPr>
          <w:color w:val="auto"/>
        </w:rPr>
        <w:t xml:space="preserve">modaliteiten, </w:t>
      </w:r>
      <w:r w:rsidRPr="000A68F7" w:rsidR="00CC1D8D">
        <w:rPr>
          <w:color w:val="auto"/>
        </w:rPr>
        <w:t xml:space="preserve">de </w:t>
      </w:r>
      <w:r w:rsidRPr="000A68F7" w:rsidR="00BE2793">
        <w:rPr>
          <w:color w:val="auto"/>
        </w:rPr>
        <w:t>internationale steun voor</w:t>
      </w:r>
      <w:r w:rsidRPr="000A68F7" w:rsidR="000A68F7">
        <w:rPr>
          <w:color w:val="auto"/>
        </w:rPr>
        <w:t>,</w:t>
      </w:r>
      <w:r w:rsidRPr="000A68F7" w:rsidR="00BE2793">
        <w:rPr>
          <w:color w:val="auto"/>
        </w:rPr>
        <w:t xml:space="preserve"> en het mogelijke Nederlandse gastlandschap</w:t>
      </w:r>
      <w:r w:rsidRPr="000A68F7" w:rsidR="00DE7AC4">
        <w:rPr>
          <w:color w:val="auto"/>
        </w:rPr>
        <w:t xml:space="preserve"> van het agressietribunaal</w:t>
      </w:r>
      <w:r w:rsidRPr="000A68F7" w:rsidR="00BE2793">
        <w:rPr>
          <w:color w:val="auto"/>
        </w:rPr>
        <w:t>.</w:t>
      </w:r>
      <w:r>
        <w:br/>
      </w:r>
    </w:p>
    <w:p w:rsidR="00E658E0" w:rsidRDefault="00BF6DB3" w14:paraId="4BB043DD" w14:textId="0A799EFC">
      <w:r>
        <w:t xml:space="preserve">Met deze brief informeer ik uw Kamer, mede namens de minister van Justitie en Veiligheid, over het positieve besluit van de Ministerraad </w:t>
      </w:r>
      <w:r w:rsidR="00CC1D8D">
        <w:t>over het gastlandaanbod ten behoeve van de</w:t>
      </w:r>
      <w:r>
        <w:t xml:space="preserve"> huisvesting</w:t>
      </w:r>
      <w:r w:rsidR="00CD5A6C">
        <w:t xml:space="preserve"> </w:t>
      </w:r>
      <w:r w:rsidRPr="000A68F7" w:rsidR="00CD5A6C">
        <w:t>in Nederland</w:t>
      </w:r>
      <w:r w:rsidRPr="000A68F7">
        <w:t xml:space="preserve"> van de</w:t>
      </w:r>
      <w:r w:rsidRPr="000A68F7" w:rsidR="005F0A4A">
        <w:t xml:space="preserve"> eerste</w:t>
      </w:r>
      <w:r w:rsidRPr="000A68F7">
        <w:t xml:space="preserve"> twee</w:t>
      </w:r>
      <w:r w:rsidRPr="000A68F7" w:rsidR="007B5FD9">
        <w:t xml:space="preserve"> </w:t>
      </w:r>
      <w:r w:rsidRPr="000A68F7" w:rsidR="002E0AF1">
        <w:t>voorbereidende</w:t>
      </w:r>
      <w:r w:rsidRPr="000A68F7" w:rsidR="00163876">
        <w:t xml:space="preserve"> </w:t>
      </w:r>
      <w:r w:rsidRPr="000A68F7" w:rsidR="007B5FD9">
        <w:t xml:space="preserve">fases </w:t>
      </w:r>
      <w:r w:rsidRPr="000A68F7">
        <w:t>van het agressietribunaal</w:t>
      </w:r>
      <w:r w:rsidRPr="000A68F7" w:rsidR="00CD5A6C">
        <w:t>.</w:t>
      </w:r>
    </w:p>
    <w:p w:rsidR="00E658E0" w:rsidRDefault="00E658E0" w14:paraId="58FD5578" w14:textId="77777777"/>
    <w:p w:rsidRPr="00E658E0" w:rsidR="00E658E0" w:rsidRDefault="00E658E0" w14:paraId="5C3B3F1D" w14:textId="4308DC4A">
      <w:pPr>
        <w:rPr>
          <w:i/>
          <w:iCs/>
        </w:rPr>
      </w:pPr>
      <w:r w:rsidRPr="00E658E0">
        <w:rPr>
          <w:i/>
          <w:iCs/>
        </w:rPr>
        <w:t>Inleidend kader</w:t>
      </w:r>
    </w:p>
    <w:p w:rsidR="008276F1" w:rsidRDefault="00E658E0" w14:paraId="2C22B946" w14:textId="13F8B614">
      <w:r w:rsidRPr="00E658E0">
        <w:t xml:space="preserve">Voor Oekraïne, voor de internationale gemeenschap en voor Nederland is het belangrijk om momentum te behouden op het verantwoordelijk stellen van Rusland voor </w:t>
      </w:r>
      <w:r w:rsidR="00CC1D8D">
        <w:t>het misdrijf agressie dat tot de dag van vandaag wordt begaan.</w:t>
      </w:r>
      <w:r w:rsidRPr="00E658E0">
        <w:t xml:space="preserve"> </w:t>
      </w:r>
    </w:p>
    <w:p w:rsidR="008276F1" w:rsidRDefault="008276F1" w14:paraId="04468C44" w14:textId="77777777"/>
    <w:p w:rsidR="00E24749" w:rsidRDefault="008276F1" w14:paraId="37B940DC" w14:textId="7383F1A4">
      <w:r w:rsidRPr="000A68F7">
        <w:rPr>
          <w:color w:val="auto"/>
        </w:rPr>
        <w:t xml:space="preserve">Het is </w:t>
      </w:r>
      <w:r w:rsidRPr="000A68F7" w:rsidR="00DE7AC4">
        <w:rPr>
          <w:color w:val="auto"/>
        </w:rPr>
        <w:t xml:space="preserve">daarom </w:t>
      </w:r>
      <w:r w:rsidRPr="000A68F7">
        <w:rPr>
          <w:color w:val="auto"/>
        </w:rPr>
        <w:t xml:space="preserve">van </w:t>
      </w:r>
      <w:r w:rsidRPr="008276F1">
        <w:t xml:space="preserve">belang dat een zichtbare start wordt gemaakt met </w:t>
      </w:r>
      <w:r w:rsidR="00CC1D8D">
        <w:t xml:space="preserve">het </w:t>
      </w:r>
      <w:r>
        <w:t>agressietribunaal</w:t>
      </w:r>
      <w:r w:rsidRPr="008276F1">
        <w:t xml:space="preserve">. </w:t>
      </w:r>
      <w:r w:rsidR="005B548C">
        <w:t xml:space="preserve">De Ministerraad heeft op 17 oktober ingestemd met het Nederlands gastlandschap </w:t>
      </w:r>
      <w:r w:rsidRPr="002E0AF1" w:rsidR="005B548C">
        <w:t xml:space="preserve">voor de </w:t>
      </w:r>
      <w:r w:rsidRPr="002E0AF1" w:rsidR="005F0A4A">
        <w:t xml:space="preserve">eerste </w:t>
      </w:r>
      <w:r w:rsidRPr="000A68F7" w:rsidR="005F0A4A">
        <w:t xml:space="preserve">twee </w:t>
      </w:r>
      <w:r w:rsidRPr="000A68F7" w:rsidR="00163876">
        <w:t>voorbereidende</w:t>
      </w:r>
      <w:r w:rsidRPr="000A68F7" w:rsidR="005B548C">
        <w:t xml:space="preserve"> fases</w:t>
      </w:r>
      <w:r w:rsidR="005B548C">
        <w:t xml:space="preserve"> van het tribunaal (fase 1: ‘Advance Party’ en fase 2: ‘Skelettribunaal’) zonder dat daarmee vooruit wordt gelopen op een mogelijk toekomstig besluit ten aanzien van het huisvesten van het operationele tribunaal (fase 3). </w:t>
      </w:r>
      <w:r w:rsidRPr="008276F1">
        <w:t xml:space="preserve">Door </w:t>
      </w:r>
      <w:r w:rsidR="005B548C">
        <w:t xml:space="preserve">deze </w:t>
      </w:r>
      <w:r w:rsidRPr="008276F1">
        <w:t>op</w:t>
      </w:r>
      <w:r w:rsidR="005B548C">
        <w:t>ge</w:t>
      </w:r>
      <w:r w:rsidRPr="008276F1">
        <w:t>knip</w:t>
      </w:r>
      <w:r w:rsidR="005B548C">
        <w:t>te</w:t>
      </w:r>
      <w:r w:rsidRPr="008276F1">
        <w:t xml:space="preserve"> besluitvorming wordt tegemoet gekomen aan de gerechtvaardigde wens van Oekraïne, de R</w:t>
      </w:r>
      <w:r>
        <w:t>aad van Europa</w:t>
      </w:r>
      <w:r w:rsidRPr="008276F1">
        <w:t xml:space="preserve">, en de staten die </w:t>
      </w:r>
      <w:r w:rsidR="005B548C">
        <w:t xml:space="preserve">aan de totstandkoming van het tribunaal hebben bijgedragen </w:t>
      </w:r>
      <w:r w:rsidRPr="008276F1">
        <w:t>en daaraan mee</w:t>
      </w:r>
      <w:r w:rsidR="005B548C">
        <w:t xml:space="preserve"> zullen </w:t>
      </w:r>
      <w:r w:rsidRPr="008276F1">
        <w:t xml:space="preserve">betalen, om een duidelijk signaal aan Rusland af te geven </w:t>
      </w:r>
      <w:r w:rsidR="00CC1D8D">
        <w:t>en het mogelijk maken om</w:t>
      </w:r>
      <w:r w:rsidRPr="008276F1" w:rsidR="00CC1D8D">
        <w:t xml:space="preserve"> </w:t>
      </w:r>
      <w:r w:rsidRPr="008276F1">
        <w:t>zo snel mogelijk</w:t>
      </w:r>
      <w:r w:rsidR="005B548C">
        <w:t xml:space="preserve"> van </w:t>
      </w:r>
      <w:r w:rsidRPr="000A68F7" w:rsidR="005B548C">
        <w:lastRenderedPageBreak/>
        <w:t>start te gaan</w:t>
      </w:r>
      <w:r w:rsidRPr="000A68F7" w:rsidR="00B076AB">
        <w:t xml:space="preserve"> met de voorbereidingen</w:t>
      </w:r>
      <w:r w:rsidRPr="000A68F7" w:rsidR="005B548C">
        <w:t xml:space="preserve">. In deze </w:t>
      </w:r>
      <w:r w:rsidRPr="000A68F7" w:rsidR="005F0A4A">
        <w:t>twee</w:t>
      </w:r>
      <w:r w:rsidRPr="000A68F7" w:rsidR="005B548C">
        <w:t xml:space="preserve"> fases</w:t>
      </w:r>
      <w:r w:rsidR="005B548C">
        <w:t xml:space="preserve"> is</w:t>
      </w:r>
      <w:r w:rsidRPr="008276F1">
        <w:t xml:space="preserve"> er nog geen sprake van operationele werkzaamheden die zien op opsporing en vervolging</w:t>
      </w:r>
      <w:r w:rsidR="005B548C">
        <w:t xml:space="preserve"> van het misdrijf agressie.</w:t>
      </w:r>
      <w:r>
        <w:t xml:space="preserve"> </w:t>
      </w:r>
    </w:p>
    <w:p w:rsidRPr="000A68F7" w:rsidR="00CD5A6C" w:rsidP="00CD5A6C" w:rsidRDefault="00746510" w14:paraId="118B165F" w14:textId="71E9DB49">
      <w:r>
        <w:br/>
      </w:r>
      <w:r w:rsidRPr="00390D5A" w:rsidR="00390D5A">
        <w:rPr>
          <w:i/>
          <w:iCs/>
        </w:rPr>
        <w:t>Gefaseerde oprichting van het Agressietribunaal</w:t>
      </w:r>
      <w:r w:rsidR="00390D5A">
        <w:rPr>
          <w:i/>
          <w:iCs/>
        </w:rPr>
        <w:br/>
      </w:r>
      <w:r w:rsidR="00CC1D8D">
        <w:t>Ook b</w:t>
      </w:r>
      <w:r w:rsidR="00C757FC">
        <w:t xml:space="preserve">innen de Raad van Europa is </w:t>
      </w:r>
      <w:r w:rsidR="00CC1D8D">
        <w:t xml:space="preserve">besproken </w:t>
      </w:r>
      <w:r w:rsidR="00C757FC">
        <w:t>dat de o</w:t>
      </w:r>
      <w:r w:rsidRPr="00390D5A" w:rsidR="00390D5A">
        <w:t xml:space="preserve">prichting van het </w:t>
      </w:r>
      <w:r w:rsidR="00CD5A6C">
        <w:t>a</w:t>
      </w:r>
      <w:r w:rsidRPr="00390D5A" w:rsidR="00390D5A">
        <w:t>gressietribunaal</w:t>
      </w:r>
      <w:r w:rsidR="00390D5A">
        <w:t xml:space="preserve"> gefaseerd </w:t>
      </w:r>
      <w:r w:rsidR="00C757FC">
        <w:t xml:space="preserve">zal </w:t>
      </w:r>
      <w:r w:rsidR="00390D5A">
        <w:t>plaatsvinden.</w:t>
      </w:r>
      <w:r w:rsidR="00CC44C5">
        <w:t xml:space="preserve"> </w:t>
      </w:r>
      <w:r w:rsidR="00C757FC">
        <w:t xml:space="preserve">Dit is in lijn met een voorstel dat </w:t>
      </w:r>
      <w:r w:rsidRPr="000A68F7" w:rsidR="00C757FC">
        <w:t xml:space="preserve">Oekraïne op 26 september jl. in een werkgroep van de Raad van Europa heeft gedaan, en dat brede internationale steun van de in de werkgroep aanwezige staten verwierf. </w:t>
      </w:r>
      <w:r w:rsidRPr="000A68F7" w:rsidR="002E0AF1">
        <w:t>De oprichting van het agressietribunaal bestaat uit drie fases, waarbij fase 1 (een tijdelijke ‘Advance Party’) en fase 2 (een skelettribunaal) geclassificeerd kunnen worden als ‘oprichtingsfases’</w:t>
      </w:r>
      <w:r w:rsidR="000A68F7">
        <w:t>,</w:t>
      </w:r>
      <w:r w:rsidRPr="000A68F7" w:rsidR="002E0AF1">
        <w:t xml:space="preserve"> en fase 3 het operationele </w:t>
      </w:r>
      <w:r w:rsidR="000A68F7">
        <w:rPr>
          <w:color w:val="auto"/>
        </w:rPr>
        <w:t>agressietribunaal betreft</w:t>
      </w:r>
      <w:r w:rsidRPr="000A68F7" w:rsidR="002E0AF1">
        <w:t xml:space="preserve"> waarbij gestart kan worden met opsporing en vervolging. Fase 1 en 2 </w:t>
      </w:r>
      <w:r w:rsidRPr="000A68F7" w:rsidR="00CC44C5">
        <w:t xml:space="preserve">zullen </w:t>
      </w:r>
      <w:r w:rsidRPr="000A68F7" w:rsidR="006452DE">
        <w:t>gericht zijn op het ontwikkelen en oprichten van</w:t>
      </w:r>
      <w:r w:rsidRPr="000A68F7" w:rsidR="00CD5A6C">
        <w:t xml:space="preserve"> d</w:t>
      </w:r>
      <w:r w:rsidRPr="000A68F7" w:rsidR="00390D5A">
        <w:t xml:space="preserve">e basisarchitectuur van </w:t>
      </w:r>
      <w:r w:rsidRPr="000A68F7" w:rsidR="00CC44C5">
        <w:t>het agressietribunaal</w:t>
      </w:r>
      <w:r w:rsidRPr="000A68F7" w:rsidR="00CD5A6C">
        <w:t xml:space="preserve">. </w:t>
      </w:r>
      <w:r w:rsidRPr="000A68F7" w:rsidR="006452DE">
        <w:t>In d</w:t>
      </w:r>
      <w:r w:rsidRPr="000A68F7" w:rsidR="00390D5A">
        <w:t xml:space="preserve">e derde </w:t>
      </w:r>
      <w:r w:rsidRPr="000A68F7" w:rsidR="006452DE">
        <w:t xml:space="preserve">en laatste </w:t>
      </w:r>
      <w:r w:rsidRPr="000A68F7" w:rsidR="00390D5A">
        <w:t>fase</w:t>
      </w:r>
      <w:r w:rsidRPr="000A68F7" w:rsidR="006452DE">
        <w:t xml:space="preserve"> zal</w:t>
      </w:r>
      <w:r w:rsidRPr="000A68F7" w:rsidR="00390D5A">
        <w:t xml:space="preserve"> het operationele agressietribunaal</w:t>
      </w:r>
      <w:r w:rsidRPr="000A68F7" w:rsidR="00CD5A6C">
        <w:t xml:space="preserve"> daadwerkelijk </w:t>
      </w:r>
      <w:r w:rsidRPr="000A68F7" w:rsidR="005B548C">
        <w:t xml:space="preserve">van start kunnen gaan </w:t>
      </w:r>
      <w:r w:rsidRPr="000A68F7" w:rsidR="00CD5A6C">
        <w:t>met opsporing en vervolging</w:t>
      </w:r>
      <w:r w:rsidRPr="000A68F7" w:rsidR="005B548C">
        <w:t xml:space="preserve"> van het misdrijf agressie</w:t>
      </w:r>
      <w:r w:rsidRPr="000A68F7" w:rsidR="00CD5A6C">
        <w:t>.</w:t>
      </w:r>
      <w:r w:rsidRPr="000A68F7" w:rsidR="00CC44C5">
        <w:t xml:space="preserve"> Financiering voor alle fases van het tribunaal</w:t>
      </w:r>
      <w:r w:rsidRPr="000A68F7" w:rsidR="005B548C">
        <w:t>, inclusief de bijbehorende gastlandkosten,</w:t>
      </w:r>
      <w:r w:rsidRPr="000A68F7" w:rsidR="00CC44C5">
        <w:t xml:space="preserve"> </w:t>
      </w:r>
      <w:r w:rsidRPr="000A68F7" w:rsidR="00851C1F">
        <w:t>zal</w:t>
      </w:r>
      <w:r w:rsidRPr="000A68F7" w:rsidR="00CC44C5">
        <w:t xml:space="preserve"> worden omgeslagen over alle lidstaten via een </w:t>
      </w:r>
      <w:r w:rsidRPr="000A68F7" w:rsidR="00CC1D8D">
        <w:t xml:space="preserve">reeds bepaalde </w:t>
      </w:r>
      <w:r w:rsidRPr="000A68F7" w:rsidR="00CC44C5">
        <w:t xml:space="preserve">verdeelsleutel. </w:t>
      </w:r>
      <w:r w:rsidRPr="000A68F7" w:rsidR="00390D5A">
        <w:rPr>
          <w:i/>
          <w:iCs/>
        </w:rPr>
        <w:br/>
      </w:r>
      <w:r w:rsidRPr="000A68F7" w:rsidR="00390D5A">
        <w:rPr>
          <w:i/>
          <w:iCs/>
        </w:rPr>
        <w:br/>
      </w:r>
      <w:r w:rsidRPr="000A68F7" w:rsidR="002E0AF1">
        <w:t>Fase 1 en 2</w:t>
      </w:r>
      <w:r w:rsidRPr="000A68F7" w:rsidR="00FA4743">
        <w:t xml:space="preserve"> </w:t>
      </w:r>
      <w:r w:rsidRPr="000A68F7" w:rsidR="005B548C">
        <w:t>zullen langs de volgende lijnen worden vormgegeven:</w:t>
      </w:r>
      <w:r w:rsidRPr="000A68F7" w:rsidR="00390D5A">
        <w:br/>
      </w:r>
    </w:p>
    <w:p w:rsidRPr="00316B04" w:rsidR="00316B04" w:rsidP="00316B04" w:rsidRDefault="00CD5A6C" w14:paraId="3BFC86C8" w14:textId="1E9FC436">
      <w:r w:rsidRPr="000A68F7">
        <w:t xml:space="preserve">In </w:t>
      </w:r>
      <w:r w:rsidRPr="00316B04">
        <w:rPr>
          <w:u w:val="single"/>
        </w:rPr>
        <w:t>fase 1</w:t>
      </w:r>
      <w:r w:rsidRPr="000A68F7">
        <w:t xml:space="preserve"> start een </w:t>
      </w:r>
      <w:r w:rsidRPr="00316B04">
        <w:rPr>
          <w:i/>
          <w:iCs/>
        </w:rPr>
        <w:t>Advance Party</w:t>
      </w:r>
      <w:r w:rsidRPr="000A68F7">
        <w:t xml:space="preserve"> van 10-12 personen met werkzaamheden in Straatsburg gedurende ongeveer</w:t>
      </w:r>
      <w:r>
        <w:t xml:space="preserve"> een jaar, waarna </w:t>
      </w:r>
      <w:r w:rsidR="00CC1D8D">
        <w:t>het team zich verplaatst</w:t>
      </w:r>
      <w:r>
        <w:t xml:space="preserve"> naar Nederland. </w:t>
      </w:r>
      <w:r w:rsidRPr="00CD5A6C">
        <w:t xml:space="preserve">Primaire </w:t>
      </w:r>
      <w:r w:rsidRPr="000A68F7">
        <w:t xml:space="preserve">verantwoordelijkheid van deze </w:t>
      </w:r>
      <w:r w:rsidRPr="00316B04">
        <w:rPr>
          <w:i/>
          <w:iCs/>
        </w:rPr>
        <w:t xml:space="preserve">Advance Party </w:t>
      </w:r>
      <w:r w:rsidRPr="000A68F7">
        <w:t xml:space="preserve">is om de basisarchitectuur </w:t>
      </w:r>
      <w:r w:rsidRPr="00316B04">
        <w:rPr>
          <w:color w:val="auto"/>
        </w:rPr>
        <w:t>van het</w:t>
      </w:r>
      <w:r w:rsidRPr="00316B04" w:rsidR="00FA4743">
        <w:rPr>
          <w:color w:val="auto"/>
        </w:rPr>
        <w:t xml:space="preserve"> ‘Speciaal Tribunaal voor het Misdrijf Agressie tegen Oekraïne’ (</w:t>
      </w:r>
      <w:r w:rsidRPr="00316B04">
        <w:rPr>
          <w:color w:val="auto"/>
        </w:rPr>
        <w:t>STCA</w:t>
      </w:r>
      <w:r w:rsidRPr="00316B04" w:rsidR="00FA4743">
        <w:rPr>
          <w:color w:val="auto"/>
        </w:rPr>
        <w:t>)</w:t>
      </w:r>
      <w:r w:rsidRPr="00316B04">
        <w:rPr>
          <w:color w:val="auto"/>
        </w:rPr>
        <w:t xml:space="preserve"> nader uit te werken, waaronder: </w:t>
      </w:r>
    </w:p>
    <w:p w:rsidR="00316B04" w:rsidP="00CD5A6C" w:rsidRDefault="00CD5A6C" w14:paraId="0C44716F" w14:textId="77777777">
      <w:pPr>
        <w:pStyle w:val="ListParagraph"/>
        <w:numPr>
          <w:ilvl w:val="0"/>
          <w:numId w:val="12"/>
        </w:numPr>
      </w:pPr>
      <w:r w:rsidRPr="00316B04">
        <w:rPr>
          <w:i/>
          <w:iCs/>
        </w:rPr>
        <w:t xml:space="preserve">Governance </w:t>
      </w:r>
      <w:r w:rsidRPr="00CD5A6C">
        <w:t xml:space="preserve">structuur, inclusief financieel management en </w:t>
      </w:r>
      <w:r w:rsidRPr="00316B04">
        <w:rPr>
          <w:i/>
          <w:iCs/>
        </w:rPr>
        <w:t xml:space="preserve">code of </w:t>
      </w:r>
      <w:proofErr w:type="spellStart"/>
      <w:r w:rsidRPr="00316B04">
        <w:rPr>
          <w:i/>
          <w:iCs/>
        </w:rPr>
        <w:t>ethics</w:t>
      </w:r>
      <w:proofErr w:type="spellEnd"/>
      <w:r w:rsidRPr="00CD5A6C">
        <w:t xml:space="preserve">. </w:t>
      </w:r>
    </w:p>
    <w:p w:rsidR="00316B04" w:rsidP="00CD5A6C" w:rsidRDefault="00CD5A6C" w14:paraId="1B153917" w14:textId="77777777">
      <w:pPr>
        <w:pStyle w:val="ListParagraph"/>
        <w:numPr>
          <w:ilvl w:val="0"/>
          <w:numId w:val="12"/>
        </w:numPr>
      </w:pPr>
      <w:r w:rsidRPr="00CD5A6C">
        <w:t xml:space="preserve">Interne regels en procedures. </w:t>
      </w:r>
    </w:p>
    <w:p w:rsidR="00316B04" w:rsidP="00CD5A6C" w:rsidRDefault="00CD5A6C" w14:paraId="6308DFEC" w14:textId="77777777">
      <w:pPr>
        <w:pStyle w:val="ListParagraph"/>
        <w:numPr>
          <w:ilvl w:val="0"/>
          <w:numId w:val="12"/>
        </w:numPr>
      </w:pPr>
      <w:r w:rsidRPr="00CD5A6C">
        <w:t xml:space="preserve">Veilige IT-infrastructuur. </w:t>
      </w:r>
    </w:p>
    <w:p w:rsidR="00316B04" w:rsidP="00CD5A6C" w:rsidRDefault="00CD5A6C" w14:paraId="2A3A26C1" w14:textId="77777777">
      <w:pPr>
        <w:pStyle w:val="ListParagraph"/>
        <w:numPr>
          <w:ilvl w:val="0"/>
          <w:numId w:val="12"/>
        </w:numPr>
      </w:pPr>
      <w:r w:rsidRPr="00CD5A6C">
        <w:t xml:space="preserve">Het vinden van fysieke huisvesting voor fase 2. </w:t>
      </w:r>
    </w:p>
    <w:p w:rsidR="00316B04" w:rsidP="00CD5A6C" w:rsidRDefault="00CD5A6C" w14:paraId="116F20C7" w14:textId="77777777">
      <w:pPr>
        <w:pStyle w:val="ListParagraph"/>
        <w:numPr>
          <w:ilvl w:val="0"/>
          <w:numId w:val="12"/>
        </w:numPr>
      </w:pPr>
      <w:r w:rsidRPr="00CD5A6C">
        <w:t xml:space="preserve">Werven van personeel voor fase 2. </w:t>
      </w:r>
    </w:p>
    <w:p w:rsidR="00316B04" w:rsidP="00CD5A6C" w:rsidRDefault="00CD5A6C" w14:paraId="63912FDE" w14:textId="7237054F">
      <w:pPr>
        <w:pStyle w:val="ListParagraph"/>
        <w:numPr>
          <w:ilvl w:val="0"/>
          <w:numId w:val="12"/>
        </w:numPr>
      </w:pPr>
      <w:r w:rsidRPr="00CD5A6C">
        <w:t>Start verkenning opties voor fase 3</w:t>
      </w:r>
      <w:r>
        <w:t>.</w:t>
      </w:r>
      <w:r>
        <w:br/>
      </w:r>
    </w:p>
    <w:p w:rsidR="00316B04" w:rsidP="00316B04" w:rsidRDefault="00CD5A6C" w14:paraId="02074E72" w14:textId="502A5A3E">
      <w:r w:rsidRPr="00331994">
        <w:t xml:space="preserve">In </w:t>
      </w:r>
      <w:r w:rsidRPr="00316B04">
        <w:rPr>
          <w:u w:val="single"/>
        </w:rPr>
        <w:t>fase 2</w:t>
      </w:r>
      <w:r>
        <w:t xml:space="preserve"> </w:t>
      </w:r>
      <w:r w:rsidRPr="00CD5A6C">
        <w:t xml:space="preserve">zet een grotere staf (een ‘skelettribunaal’ van 40-50 FTE) het werk uit fase 1 voort en bouwt dit uit met: </w:t>
      </w:r>
    </w:p>
    <w:p w:rsidR="00316B04" w:rsidP="00CD5A6C" w:rsidRDefault="00CD5A6C" w14:paraId="69896D9E" w14:textId="77777777">
      <w:pPr>
        <w:pStyle w:val="ListParagraph"/>
        <w:numPr>
          <w:ilvl w:val="0"/>
          <w:numId w:val="12"/>
        </w:numPr>
      </w:pPr>
      <w:r w:rsidRPr="00CD5A6C">
        <w:t xml:space="preserve">Werven en benoemen van sleutelfiguren (president, vicepresident, griffier, rechters); </w:t>
      </w:r>
    </w:p>
    <w:p w:rsidR="00316B04" w:rsidP="00CD5A6C" w:rsidRDefault="00CD5A6C" w14:paraId="405670A4" w14:textId="77777777">
      <w:pPr>
        <w:pStyle w:val="ListParagraph"/>
        <w:numPr>
          <w:ilvl w:val="0"/>
          <w:numId w:val="12"/>
        </w:numPr>
      </w:pPr>
      <w:r w:rsidRPr="00CD5A6C">
        <w:t xml:space="preserve">Verdere organisatorische architectuur van het </w:t>
      </w:r>
      <w:r w:rsidR="00331994">
        <w:t>agressietribunaal</w:t>
      </w:r>
      <w:r w:rsidRPr="00CD5A6C">
        <w:t xml:space="preserve">, waaronder het werven van kernstaf. </w:t>
      </w:r>
    </w:p>
    <w:p w:rsidR="00316B04" w:rsidP="00CD5A6C" w:rsidRDefault="00CD5A6C" w14:paraId="2874FA02" w14:textId="77777777">
      <w:pPr>
        <w:pStyle w:val="ListParagraph"/>
        <w:numPr>
          <w:ilvl w:val="0"/>
          <w:numId w:val="12"/>
        </w:numPr>
      </w:pPr>
      <w:r w:rsidRPr="00CD5A6C">
        <w:t xml:space="preserve">Juridische samenwerkingsovereenkomsten </w:t>
      </w:r>
      <w:r w:rsidR="005B548C">
        <w:t xml:space="preserve">sluiten </w:t>
      </w:r>
      <w:r w:rsidRPr="00CD5A6C">
        <w:t xml:space="preserve">met aangesloten partijen. </w:t>
      </w:r>
    </w:p>
    <w:p w:rsidR="00316B04" w:rsidP="00CD5A6C" w:rsidRDefault="00CD5A6C" w14:paraId="5425732D" w14:textId="77777777">
      <w:pPr>
        <w:pStyle w:val="ListParagraph"/>
        <w:numPr>
          <w:ilvl w:val="0"/>
          <w:numId w:val="12"/>
        </w:numPr>
      </w:pPr>
      <w:r w:rsidRPr="00CD5A6C">
        <w:t xml:space="preserve">Verdere ontwikkeling en </w:t>
      </w:r>
      <w:r w:rsidR="00331994">
        <w:t>afronden</w:t>
      </w:r>
      <w:r w:rsidRPr="00CD5A6C">
        <w:t xml:space="preserve"> van de diverse opties voor fase 3, alsmede identificatie van (voorkeurs)scenario. </w:t>
      </w:r>
    </w:p>
    <w:p w:rsidRPr="00CD5A6C" w:rsidR="00CD5A6C" w:rsidP="00CD5A6C" w:rsidRDefault="00CD5A6C" w14:paraId="5BCBBF2D" w14:textId="249A7273">
      <w:pPr>
        <w:pStyle w:val="ListParagraph"/>
        <w:numPr>
          <w:ilvl w:val="0"/>
          <w:numId w:val="12"/>
        </w:numPr>
      </w:pPr>
      <w:r w:rsidRPr="00CD5A6C">
        <w:t xml:space="preserve">NB: bovenstaande is </w:t>
      </w:r>
      <w:r w:rsidRPr="00316B04">
        <w:rPr>
          <w:color w:val="auto"/>
        </w:rPr>
        <w:t>niet</w:t>
      </w:r>
      <w:r w:rsidRPr="00316B04" w:rsidR="00414AFC">
        <w:rPr>
          <w:color w:val="auto"/>
        </w:rPr>
        <w:t xml:space="preserve"> </w:t>
      </w:r>
      <w:r w:rsidRPr="00316B04" w:rsidR="00FA4743">
        <w:rPr>
          <w:color w:val="auto"/>
        </w:rPr>
        <w:t>limitatief</w:t>
      </w:r>
      <w:r w:rsidRPr="00316B04">
        <w:rPr>
          <w:color w:val="auto"/>
        </w:rPr>
        <w:t xml:space="preserve">. Het </w:t>
      </w:r>
      <w:r w:rsidRPr="00CD5A6C">
        <w:t xml:space="preserve">is mogelijk dat uitzoekwerk in fase 1 leidt tot aanpassing van bovenstaande werkzaamheden in fase 2. </w:t>
      </w:r>
    </w:p>
    <w:p w:rsidRPr="00CD5A6C" w:rsidR="00CD5A6C" w:rsidP="00CD5A6C" w:rsidRDefault="00CD5A6C" w14:paraId="327212F1" w14:textId="77777777"/>
    <w:p w:rsidRPr="00A3629F" w:rsidR="00331994" w:rsidP="00331994" w:rsidRDefault="00331994" w14:paraId="5C00716C" w14:textId="3128236E">
      <w:r>
        <w:t xml:space="preserve">De </w:t>
      </w:r>
      <w:r w:rsidRPr="00A3629F">
        <w:rPr>
          <w:u w:val="single"/>
        </w:rPr>
        <w:t>impact van fase 1</w:t>
      </w:r>
      <w:r w:rsidRPr="00A3629F">
        <w:t xml:space="preserve"> op Nederland zal </w:t>
      </w:r>
      <w:r w:rsidRPr="00A3629F" w:rsidR="00A81CDC">
        <w:t xml:space="preserve">in elk geval </w:t>
      </w:r>
      <w:r w:rsidRPr="00A3629F">
        <w:t>het volgende behelzen:</w:t>
      </w:r>
    </w:p>
    <w:p w:rsidR="00A3629F" w:rsidP="00A3629F" w:rsidRDefault="00331994" w14:paraId="5CB42D5F" w14:textId="77777777">
      <w:pPr>
        <w:pStyle w:val="ListParagraph"/>
        <w:numPr>
          <w:ilvl w:val="0"/>
          <w:numId w:val="7"/>
        </w:numPr>
      </w:pPr>
      <w:r w:rsidRPr="00A3629F">
        <w:t xml:space="preserve">Assistentie verlenen aan de </w:t>
      </w:r>
      <w:r w:rsidRPr="00A3629F">
        <w:rPr>
          <w:i/>
          <w:iCs/>
        </w:rPr>
        <w:t>Advance Party</w:t>
      </w:r>
      <w:r w:rsidRPr="00A3629F">
        <w:t xml:space="preserve"> om </w:t>
      </w:r>
      <w:r w:rsidRPr="00A3629F" w:rsidR="00A81CDC">
        <w:t xml:space="preserve">veilige </w:t>
      </w:r>
      <w:r w:rsidRPr="00A3629F">
        <w:t xml:space="preserve">huisvesting </w:t>
      </w:r>
      <w:r w:rsidRPr="00A3629F" w:rsidR="00C048B9">
        <w:t xml:space="preserve">in Nederland </w:t>
      </w:r>
      <w:r w:rsidRPr="00A3629F">
        <w:t>voor hun kantoor te zoeken.</w:t>
      </w:r>
      <w:bookmarkStart w:name="_Hlk212019658" w:id="0"/>
    </w:p>
    <w:p w:rsidRPr="00A3629F" w:rsidR="00A87CA1" w:rsidP="00A3629F" w:rsidRDefault="000108AA" w14:paraId="4EF01A55" w14:textId="4595FBEF">
      <w:pPr>
        <w:pStyle w:val="ListParagraph"/>
        <w:numPr>
          <w:ilvl w:val="0"/>
          <w:numId w:val="7"/>
        </w:numPr>
      </w:pPr>
      <w:r w:rsidRPr="00A3629F">
        <w:t>De financiële impact op Nederland zal beperkt zijn. Alle kosten worden gedekt</w:t>
      </w:r>
      <w:r>
        <w:t xml:space="preserve"> door de landen die zich aansluiten bij het agressietribunaal via de Raad van Europa. De bijdrage van Nederland zal beperkt blijven tot een bijdrage voor </w:t>
      </w:r>
      <w:r>
        <w:lastRenderedPageBreak/>
        <w:t xml:space="preserve">het lidmaatschap via de jaarlijkse contributie voor het </w:t>
      </w:r>
      <w:r w:rsidRPr="00CD5A6C">
        <w:t>STCA</w:t>
      </w:r>
      <w:r>
        <w:t xml:space="preserve">, die bovenop de jaarlijkse bijdrage van Nederland aan de Raad van Europa zal komen. Er is op </w:t>
      </w:r>
      <w:r w:rsidRPr="00A3629F">
        <w:t>dit moment nog geen inschatting van de extra bijdrage die gevraagd zal worden aan Nederland.</w:t>
      </w:r>
      <w:r w:rsidRPr="00A3629F" w:rsidR="00715F7C">
        <w:t xml:space="preserve"> </w:t>
      </w:r>
      <w:r w:rsidRPr="00A3629F" w:rsidR="00A87CA1">
        <w:t>A</w:t>
      </w:r>
      <w:r w:rsidRPr="00A3629F" w:rsidR="00715F7C">
        <w:t>lle additionele kosten van de uitvoering die door Nederland plaatsvindt</w:t>
      </w:r>
      <w:r w:rsidRPr="00A3629F" w:rsidR="00A87CA1">
        <w:t xml:space="preserve"> dienen te worden omgeslagen over lidstaten en komen niet ten laste van de begroting van J</w:t>
      </w:r>
      <w:r w:rsidR="001E7BC5">
        <w:t xml:space="preserve">ustitie </w:t>
      </w:r>
      <w:r w:rsidRPr="00A3629F" w:rsidR="00A87CA1">
        <w:t>en</w:t>
      </w:r>
      <w:r w:rsidR="001E7BC5">
        <w:t xml:space="preserve"> </w:t>
      </w:r>
      <w:r w:rsidRPr="00A3629F" w:rsidR="00A87CA1">
        <w:t>V</w:t>
      </w:r>
      <w:r w:rsidR="001E7BC5">
        <w:t>eiligheid</w:t>
      </w:r>
      <w:r w:rsidRPr="00A3629F" w:rsidR="00A87CA1">
        <w:t xml:space="preserve"> danwel andere betrokken ministeries.</w:t>
      </w:r>
      <w:bookmarkEnd w:id="0"/>
    </w:p>
    <w:p w:rsidR="00A47CB1" w:rsidP="00A47CB1" w:rsidRDefault="00A81CDC" w14:paraId="4410BE44" w14:textId="77777777">
      <w:pPr>
        <w:pStyle w:val="ListParagraph"/>
        <w:numPr>
          <w:ilvl w:val="0"/>
          <w:numId w:val="7"/>
        </w:numPr>
      </w:pPr>
      <w:r>
        <w:t>In</w:t>
      </w:r>
      <w:r w:rsidR="00331994">
        <w:t xml:space="preserve"> deze fase </w:t>
      </w:r>
      <w:r>
        <w:t xml:space="preserve">zijn er nog </w:t>
      </w:r>
      <w:r w:rsidR="00331994">
        <w:t xml:space="preserve">geen sleutelfiguren (president, vicepresident, griffier, rechters) geworven of benoemd en </w:t>
      </w:r>
      <w:r>
        <w:t xml:space="preserve">is </w:t>
      </w:r>
      <w:r w:rsidR="00331994">
        <w:t xml:space="preserve">er </w:t>
      </w:r>
      <w:r>
        <w:t xml:space="preserve">nog </w:t>
      </w:r>
      <w:r w:rsidR="00331994">
        <w:t xml:space="preserve">geen sprake van </w:t>
      </w:r>
      <w:r w:rsidR="00CC44C5">
        <w:t>opsporing of vervolging</w:t>
      </w:r>
      <w:r>
        <w:t>. Hierdoor</w:t>
      </w:r>
      <w:r w:rsidR="00331994">
        <w:t xml:space="preserve"> is de impact van fase 1 op Nederland</w:t>
      </w:r>
      <w:r>
        <w:t xml:space="preserve">, zowel financieel </w:t>
      </w:r>
      <w:r w:rsidRPr="00465E3E">
        <w:rPr>
          <w:color w:val="auto"/>
        </w:rPr>
        <w:t>als</w:t>
      </w:r>
      <w:r w:rsidRPr="00465E3E" w:rsidR="00497C85">
        <w:rPr>
          <w:color w:val="auto"/>
        </w:rPr>
        <w:t xml:space="preserve"> qua capaciteit</w:t>
      </w:r>
      <w:r w:rsidRPr="00465E3E">
        <w:rPr>
          <w:color w:val="auto"/>
        </w:rPr>
        <w:t>,</w:t>
      </w:r>
      <w:r w:rsidRPr="00465E3E" w:rsidR="00A3629F">
        <w:rPr>
          <w:color w:val="auto"/>
        </w:rPr>
        <w:t xml:space="preserve"> </w:t>
      </w:r>
      <w:r w:rsidRPr="00465E3E" w:rsidR="000E4314">
        <w:rPr>
          <w:color w:val="auto"/>
        </w:rPr>
        <w:t xml:space="preserve">relatief </w:t>
      </w:r>
      <w:r w:rsidRPr="00465E3E">
        <w:rPr>
          <w:color w:val="auto"/>
        </w:rPr>
        <w:t>overzichtelijk</w:t>
      </w:r>
      <w:r>
        <w:t xml:space="preserve">. </w:t>
      </w:r>
      <w:r w:rsidR="00331994">
        <w:br/>
      </w:r>
    </w:p>
    <w:p w:rsidR="00331994" w:rsidP="00A47CB1" w:rsidRDefault="00331994" w14:paraId="00BDEDF8" w14:textId="1FDB8883">
      <w:pPr>
        <w:pStyle w:val="ListParagraph"/>
        <w:numPr>
          <w:ilvl w:val="0"/>
          <w:numId w:val="7"/>
        </w:numPr>
      </w:pPr>
      <w:r>
        <w:t xml:space="preserve">De </w:t>
      </w:r>
      <w:r w:rsidRPr="00465E3E">
        <w:rPr>
          <w:u w:val="single"/>
        </w:rPr>
        <w:t>impact van fase 2</w:t>
      </w:r>
      <w:r>
        <w:t xml:space="preserve"> op Nederland zal </w:t>
      </w:r>
      <w:r w:rsidR="00A81CDC">
        <w:t xml:space="preserve">in elk geval </w:t>
      </w:r>
      <w:r>
        <w:t>het volgende behelzen:</w:t>
      </w:r>
    </w:p>
    <w:p w:rsidR="00403135" w:rsidP="00331994" w:rsidRDefault="00403135" w14:paraId="14C96F09" w14:textId="0C1441B8">
      <w:pPr>
        <w:pStyle w:val="ListParagraph"/>
        <w:numPr>
          <w:ilvl w:val="0"/>
          <w:numId w:val="7"/>
        </w:numPr>
      </w:pPr>
      <w:r>
        <w:t xml:space="preserve">Assistentie verlenen aan het skelettribunaal om </w:t>
      </w:r>
      <w:r w:rsidR="00A81CDC">
        <w:t xml:space="preserve">veilige </w:t>
      </w:r>
      <w:r>
        <w:t>huisvesting voor hun kantoor te zoeken.</w:t>
      </w:r>
    </w:p>
    <w:p w:rsidR="00DB7613" w:rsidP="00DB7613" w:rsidRDefault="00DB7613" w14:paraId="66CBE01A" w14:textId="2FE12816">
      <w:pPr>
        <w:pStyle w:val="ListParagraph"/>
        <w:numPr>
          <w:ilvl w:val="0"/>
          <w:numId w:val="7"/>
        </w:numPr>
      </w:pPr>
      <w:r>
        <w:t>Nederland zal financieel bijdragen aan de organisatie middels een bijdrage in de vorm van jaarlijkse contributie. Hiervoor is reeds een reservering gedaan op de begroting van het ministerie van Buitenlandse Zaken.</w:t>
      </w:r>
    </w:p>
    <w:p w:rsidR="00846704" w:rsidP="00331994" w:rsidRDefault="00846704" w14:paraId="582896BF" w14:textId="0029DD1B">
      <w:pPr>
        <w:pStyle w:val="ListParagraph"/>
        <w:numPr>
          <w:ilvl w:val="0"/>
          <w:numId w:val="7"/>
        </w:numPr>
      </w:pPr>
      <w:r>
        <w:t>P</w:t>
      </w:r>
      <w:r w:rsidRPr="00CD5A6C">
        <w:t>ermanente aanwezigheid in Nederland van alle sleutelfiguren ligt in deze fase niet voor de hand. Permanente aanwezigheid van rechters is o.a. nog niet noodzakelijk aangezien de rechtsgang pas begint na uitvaardiging van de eerste tenlastelegging door de aanklager</w:t>
      </w:r>
      <w:r w:rsidR="00A81CDC">
        <w:t xml:space="preserve"> (wat pas in fase 3 mogelijk is)</w:t>
      </w:r>
      <w:r w:rsidRPr="00CD5A6C">
        <w:t xml:space="preserve">; </w:t>
      </w:r>
      <w:r>
        <w:t>het ligt wel voor de hand dat rechters periodiek</w:t>
      </w:r>
      <w:r w:rsidR="00CC1D8D">
        <w:t xml:space="preserve"> voor korte termijnen</w:t>
      </w:r>
      <w:r>
        <w:t xml:space="preserve"> naar Nederland komen voor </w:t>
      </w:r>
      <w:r w:rsidR="00CC1D8D">
        <w:t>werkzaamheden</w:t>
      </w:r>
      <w:r>
        <w:t>.</w:t>
      </w:r>
      <w:r w:rsidRPr="00CD5A6C">
        <w:t xml:space="preserve"> </w:t>
      </w:r>
      <w:r>
        <w:t>P</w:t>
      </w:r>
      <w:r w:rsidRPr="00CD5A6C">
        <w:t xml:space="preserve">ermanente aanwezigheid van de president en vicepresident is in de oprichtingsfases evenmin noodzakelijk. Aanwezigheid van de griffier is wel aannemelijk gezien de organisatorische verantwoordelijkheid van de griffie. </w:t>
      </w:r>
    </w:p>
    <w:p w:rsidR="00C048B9" w:rsidP="00C048B9" w:rsidRDefault="00846704" w14:paraId="3EB58E81" w14:textId="339D0905">
      <w:pPr>
        <w:pStyle w:val="ListParagraph"/>
        <w:numPr>
          <w:ilvl w:val="0"/>
          <w:numId w:val="7"/>
        </w:numPr>
      </w:pPr>
      <w:r w:rsidRPr="00CD5A6C">
        <w:t xml:space="preserve">Wanneer deze sleutelfiguren (wel) in Nederland zijn, of zich reeds in Nederland wensen te vestigen, zal een beroep worden gedaan op </w:t>
      </w:r>
      <w:r w:rsidR="003C4BF5">
        <w:t xml:space="preserve">de - reeds </w:t>
      </w:r>
      <w:r w:rsidRPr="00CD5A6C">
        <w:t xml:space="preserve">schaarse </w:t>
      </w:r>
      <w:r w:rsidR="003C4BF5">
        <w:t xml:space="preserve">- </w:t>
      </w:r>
      <w:r w:rsidRPr="00CD5A6C">
        <w:t xml:space="preserve">capaciteit </w:t>
      </w:r>
      <w:r w:rsidR="003C4BF5">
        <w:t>binnen</w:t>
      </w:r>
      <w:r w:rsidRPr="00CD5A6C">
        <w:t xml:space="preserve"> het stelsel bewaken en beveiligen</w:t>
      </w:r>
      <w:r>
        <w:t>.</w:t>
      </w:r>
      <w:r w:rsidRPr="00A81CDC" w:rsidR="00A81CDC">
        <w:t xml:space="preserve"> </w:t>
      </w:r>
      <w:r w:rsidR="00A81CDC">
        <w:t>Hoewel de exacte omvang van verschillende factoren afhankelijk is dient gedacht te worden aan 150-200 FTE</w:t>
      </w:r>
      <w:r w:rsidR="00C048B9">
        <w:t xml:space="preserve"> voor fase 2</w:t>
      </w:r>
      <w:r w:rsidR="00A81CDC">
        <w:t>. Voor deze personele inzet zal</w:t>
      </w:r>
      <w:r w:rsidR="00C048B9">
        <w:t xml:space="preserve"> grotendeels</w:t>
      </w:r>
      <w:r w:rsidR="00A81CDC">
        <w:t xml:space="preserve"> gebruik moeten worden gemaakt van bestaande capaciteit, wat zal leiden tot verdringingseffecten op lopende casussen.</w:t>
      </w:r>
      <w:r w:rsidDel="00B56785" w:rsidR="00A81CDC">
        <w:t xml:space="preserve"> </w:t>
      </w:r>
      <w:r>
        <w:t xml:space="preserve"> </w:t>
      </w:r>
    </w:p>
    <w:p w:rsidRPr="00403135" w:rsidR="00403135" w:rsidP="00403135" w:rsidRDefault="00403135" w14:paraId="6E4E41EF" w14:textId="573B2D87">
      <w:pPr>
        <w:rPr>
          <w:i/>
          <w:iCs/>
        </w:rPr>
      </w:pPr>
      <w:r>
        <w:br/>
      </w:r>
      <w:r w:rsidRPr="00403135">
        <w:rPr>
          <w:i/>
          <w:iCs/>
        </w:rPr>
        <w:t>Indicatie van verwachte gevolgen van het gastlandschap van het operationele tribunaal (fase 3)</w:t>
      </w:r>
    </w:p>
    <w:p w:rsidR="00A47CB1" w:rsidP="00B11E77" w:rsidRDefault="00846704" w14:paraId="0C22BD93" w14:textId="77777777">
      <w:r>
        <w:t>H</w:t>
      </w:r>
      <w:r w:rsidR="00B11E77">
        <w:t xml:space="preserve">et positieve besluit over Nederlands gastlandschap ten aanzien van de fases 1 en 2 </w:t>
      </w:r>
      <w:r>
        <w:t xml:space="preserve">loopt </w:t>
      </w:r>
      <w:r w:rsidR="00B11E77">
        <w:t xml:space="preserve">niet vooruit op een mogelijk Nederland gastlandschap ten aanzien van fase </w:t>
      </w:r>
    </w:p>
    <w:p w:rsidR="00A47CB1" w:rsidP="00B11E77" w:rsidRDefault="00A47CB1" w14:paraId="68E1930A" w14:textId="77777777"/>
    <w:p w:rsidR="00B11E77" w:rsidP="00B11E77" w:rsidRDefault="00B11E77" w14:paraId="45BB6A24" w14:textId="6DA8340C">
      <w:r>
        <w:t>3.</w:t>
      </w:r>
      <w:r w:rsidR="00316B04">
        <w:t xml:space="preserve"> </w:t>
      </w:r>
      <w:r w:rsidRPr="00B11E77">
        <w:t xml:space="preserve">De </w:t>
      </w:r>
      <w:r w:rsidRPr="00316B04">
        <w:rPr>
          <w:i/>
          <w:iCs/>
        </w:rPr>
        <w:t>Advance Party</w:t>
      </w:r>
      <w:r w:rsidRPr="00B11E77">
        <w:t xml:space="preserve"> en het ske</w:t>
      </w:r>
      <w:r w:rsidRPr="00792D4D">
        <w:t xml:space="preserve">lettribunaal </w:t>
      </w:r>
      <w:r w:rsidR="0031148C">
        <w:t>zal</w:t>
      </w:r>
      <w:r w:rsidRPr="00792D4D" w:rsidR="0031148C">
        <w:t xml:space="preserve"> </w:t>
      </w:r>
      <w:r w:rsidRPr="00792D4D">
        <w:t>samen me</w:t>
      </w:r>
      <w:r>
        <w:t>t de Raad van Europa en Nederland een waaier aan hypothetische opties onderzoeken voor 3, zoals:</w:t>
      </w:r>
    </w:p>
    <w:p w:rsidR="00B11E77" w:rsidP="00B11E77" w:rsidRDefault="0031148C" w14:paraId="0F57D9FE" w14:textId="772C2C20">
      <w:pPr>
        <w:pStyle w:val="ListParagraph"/>
        <w:numPr>
          <w:ilvl w:val="0"/>
          <w:numId w:val="10"/>
        </w:numPr>
      </w:pPr>
      <w:r>
        <w:t>Huisvesting van fase 3 in een ander land;</w:t>
      </w:r>
    </w:p>
    <w:p w:rsidR="0031148C" w:rsidP="00715F7C" w:rsidRDefault="00B11E77" w14:paraId="68A8A092" w14:textId="5CEDC1BA">
      <w:pPr>
        <w:pStyle w:val="ListParagraph"/>
        <w:numPr>
          <w:ilvl w:val="0"/>
          <w:numId w:val="10"/>
        </w:numPr>
      </w:pPr>
      <w:r>
        <w:t>De compound-constructie</w:t>
      </w:r>
      <w:r w:rsidR="0031148C">
        <w:t xml:space="preserve"> zoals benoemd in de kamerbrief van 24 juli jl. waarbij het tribunaal, de detentiefaciliteiten en de huisvesting van de te beveiligen personen op een integrale locatie in dun bevolkt gebied worden samengebracht</w:t>
      </w:r>
      <w:r w:rsidR="00715F7C">
        <w:t>. Het tribunaal is daarbij verantwoordelijk voor de exploitatie van de detentiefaciliteit.</w:t>
      </w:r>
    </w:p>
    <w:p w:rsidR="00B11E77" w:rsidP="00B11E77" w:rsidRDefault="0031148C" w14:paraId="5A6DCE5F" w14:textId="3FC4F1CE">
      <w:pPr>
        <w:pStyle w:val="ListParagraph"/>
        <w:numPr>
          <w:ilvl w:val="0"/>
          <w:numId w:val="10"/>
        </w:numPr>
      </w:pPr>
      <w:r>
        <w:t>Mogelijke andere veilige</w:t>
      </w:r>
      <w:r w:rsidR="00C048B9">
        <w:t xml:space="preserve">, </w:t>
      </w:r>
      <w:r>
        <w:t>juridisch haalbare</w:t>
      </w:r>
      <w:r w:rsidR="00C048B9">
        <w:t xml:space="preserve"> en uitvoerbare</w:t>
      </w:r>
      <w:r>
        <w:t xml:space="preserve"> opties</w:t>
      </w:r>
      <w:r w:rsidR="00066197">
        <w:t>.</w:t>
      </w:r>
    </w:p>
    <w:p w:rsidR="00E658E0" w:rsidP="00E24749" w:rsidRDefault="00E658E0" w14:paraId="662D4C98" w14:textId="0F74A7F9"/>
    <w:p w:rsidR="00A87CA1" w:rsidP="00A87CA1" w:rsidRDefault="007F1D55" w14:paraId="708049C9" w14:textId="35B8F8FB">
      <w:r>
        <w:t>Het is voorstelbaar dat als</w:t>
      </w:r>
      <w:r w:rsidR="00C048B9">
        <w:t xml:space="preserve"> het </w:t>
      </w:r>
      <w:r w:rsidRPr="00A3629F" w:rsidR="00C048B9">
        <w:rPr>
          <w:color w:val="auto"/>
        </w:rPr>
        <w:t xml:space="preserve">operationele tribunaal in Nederland gevestigd </w:t>
      </w:r>
      <w:r w:rsidRPr="00A3629F" w:rsidR="00497C85">
        <w:rPr>
          <w:color w:val="auto"/>
        </w:rPr>
        <w:t xml:space="preserve">zou worden </w:t>
      </w:r>
      <w:r w:rsidRPr="00A3629F">
        <w:rPr>
          <w:color w:val="auto"/>
        </w:rPr>
        <w:t>het,</w:t>
      </w:r>
      <w:r w:rsidRPr="00A3629F" w:rsidR="00C048B9">
        <w:rPr>
          <w:color w:val="auto"/>
        </w:rPr>
        <w:t xml:space="preserve"> ongeacht de uiteindelijke vorm, een significante impact </w:t>
      </w:r>
      <w:r w:rsidR="00C048B9">
        <w:t xml:space="preserve">op de </w:t>
      </w:r>
      <w:r w:rsidR="00C048B9">
        <w:lastRenderedPageBreak/>
        <w:t xml:space="preserve">nationale veiligheid en de justitieketen </w:t>
      </w:r>
      <w:r>
        <w:t xml:space="preserve">zal </w:t>
      </w:r>
      <w:r w:rsidR="00C048B9">
        <w:t>hebben</w:t>
      </w:r>
      <w:r>
        <w:t xml:space="preserve"> en</w:t>
      </w:r>
      <w:r w:rsidR="00C048B9">
        <w:t xml:space="preserve"> de </w:t>
      </w:r>
      <w:r>
        <w:t xml:space="preserve">benodigde </w:t>
      </w:r>
      <w:r w:rsidR="00C048B9">
        <w:t xml:space="preserve">voorbereidingen een lange </w:t>
      </w:r>
      <w:r w:rsidRPr="00A47CB1" w:rsidR="00C048B9">
        <w:t xml:space="preserve">doorlooptijd </w:t>
      </w:r>
      <w:r w:rsidRPr="00A47CB1">
        <w:t xml:space="preserve">zullen </w:t>
      </w:r>
      <w:r w:rsidRPr="00A47CB1" w:rsidR="00C048B9">
        <w:t>kennen.</w:t>
      </w:r>
      <w:r w:rsidRPr="00A47CB1" w:rsidR="00C048B9">
        <w:rPr>
          <w:rStyle w:val="FootnoteReference"/>
        </w:rPr>
        <w:footnoteReference w:id="2"/>
      </w:r>
      <w:r w:rsidRPr="00A47CB1" w:rsidR="00C048B9">
        <w:t xml:space="preserve"> </w:t>
      </w:r>
      <w:r w:rsidRPr="00A47CB1" w:rsidR="00465E3E">
        <w:t xml:space="preserve">Dat geldt in toenemende mate voor alle fases. In fase 1 moet rekening gehouden worden met reacties van buitenlandse actoren waarbij niet alleen het tribunaal maar ook Nederland als gastland doelwit kan zijn. In fase 2 kan de dreiging vooral tegen de (digitale) infrastructuur van zowel het tribunaal als Nederland als gastland toenemen. Hierbij moet gedacht worden aan onder meer ongewenste buitenlandse inmenging, zoals cyberoperaties, desinformatiecampagnes, sabotageacties en spionage. </w:t>
      </w:r>
      <w:r w:rsidRPr="00A47CB1" w:rsidR="00C048B9">
        <w:t xml:space="preserve">Het beschikken over voldoende capaciteit om </w:t>
      </w:r>
      <w:r w:rsidRPr="00A47CB1" w:rsidR="00465E3E">
        <w:t xml:space="preserve">in fase 3 </w:t>
      </w:r>
      <w:r w:rsidRPr="00A47CB1" w:rsidR="00C048B9">
        <w:t>als gastland te fungeren is een belangrijke vereiste en zal zwaar</w:t>
      </w:r>
      <w:r w:rsidR="00C048B9">
        <w:t xml:space="preserve"> moeten meewegen op het moment dat een toekomstig besluit over het huisvesten van het operationele tribunaal zou voorliggen. Het kabinet acht het daarom van belang om nogmaals te benadrukken dat met het besluit om de voorbereidende fases te huisvesten geen voorschot wordt genomen op mogelijke toekomstige besluitvorming over fase 3. </w:t>
      </w:r>
    </w:p>
    <w:p w:rsidR="00A87CA1" w:rsidP="00A87CA1" w:rsidRDefault="00A87CA1" w14:paraId="43C38ADD" w14:textId="77777777"/>
    <w:p w:rsidRPr="00E24749" w:rsidR="00A87CA1" w:rsidP="00A87CA1" w:rsidRDefault="00A87CA1" w14:paraId="034CAD26" w14:textId="338E771B">
      <w:r w:rsidRPr="00E24749">
        <w:t>Op 1</w:t>
      </w:r>
      <w:r w:rsidR="001E7BC5">
        <w:t>1</w:t>
      </w:r>
      <w:r w:rsidRPr="00E24749">
        <w:t xml:space="preserve"> september jl. is de motie Paternotte c.s.</w:t>
      </w:r>
      <w:r w:rsidRPr="00E24749">
        <w:rPr>
          <w:vertAlign w:val="superscript"/>
        </w:rPr>
        <w:footnoteReference w:id="3"/>
      </w:r>
      <w:r w:rsidRPr="00E24749">
        <w:t xml:space="preserve"> met ruime Kamermeerderheid aangenomen, waarin het kabinet wordt verzocht om, overwegende dat zorgvuldige vestiging van het tribunaal vereist dat tijdig wordt gezorgd voor adequate randvoorwaarden, waaronder maatregelen ter bescherming van binnenlandse veiligheid, positief te besluiten over de vestiging van het agressietribunaal in Den Haag, dit besluit zo snel als mogelijk over te brengen aan internationale partners en de voorbereidingen voor de oprichting van het agressietribunaal te starten’. Het Ministerraadsbesluit van 17 oktober jl. is genomen in opvolging van deze motie.</w:t>
      </w:r>
      <w:r>
        <w:t xml:space="preserve"> </w:t>
      </w:r>
      <w:r w:rsidRPr="00E24749">
        <w:t>De Nederlandse inzet op accountability voor Oekraïne is daarnaast in lijn met de breed gesteunde moties Sjoerdsma (2022)</w:t>
      </w:r>
      <w:r w:rsidRPr="00E24749">
        <w:rPr>
          <w:vertAlign w:val="superscript"/>
        </w:rPr>
        <w:footnoteReference w:id="4"/>
      </w:r>
      <w:r w:rsidRPr="00E24749">
        <w:t xml:space="preserve"> en </w:t>
      </w:r>
      <w:proofErr w:type="spellStart"/>
      <w:r w:rsidRPr="00E24749">
        <w:t>Yeşilgöz</w:t>
      </w:r>
      <w:proofErr w:type="spellEnd"/>
      <w:r w:rsidRPr="00E24749">
        <w:t>-Omtzigt (2025).</w:t>
      </w:r>
      <w:r w:rsidRPr="00E24749">
        <w:rPr>
          <w:vertAlign w:val="superscript"/>
        </w:rPr>
        <w:footnoteReference w:id="5"/>
      </w:r>
    </w:p>
    <w:p w:rsidR="00883FF9" w:rsidP="00883FF9" w:rsidRDefault="00883FF9" w14:paraId="086C93B3" w14:textId="77777777"/>
    <w:p w:rsidR="00883FF9" w:rsidP="00883FF9" w:rsidRDefault="00883FF9" w14:paraId="20160F9B" w14:textId="77777777"/>
    <w:p w:rsidR="00883FF9" w:rsidP="00883FF9" w:rsidRDefault="00883FF9" w14:paraId="486ADE38" w14:textId="77777777"/>
    <w:p w:rsidR="00883FF9" w:rsidP="00883FF9" w:rsidRDefault="00883FF9" w14:paraId="46DBD9EB" w14:textId="77777777">
      <w:r>
        <w:t xml:space="preserve">De minister van Buitenlandse Zaken,  </w:t>
      </w:r>
    </w:p>
    <w:p w:rsidR="00883FF9" w:rsidP="00883FF9" w:rsidRDefault="00883FF9" w14:paraId="7B43E276" w14:textId="77777777"/>
    <w:p w:rsidR="00883FF9" w:rsidP="00883FF9" w:rsidRDefault="00883FF9" w14:paraId="7653BDC1" w14:textId="77777777"/>
    <w:p w:rsidR="00883FF9" w:rsidP="00883FF9" w:rsidRDefault="00883FF9" w14:paraId="05A37CBE" w14:textId="77777777"/>
    <w:p w:rsidR="00883FF9" w:rsidP="00883FF9" w:rsidRDefault="00883FF9" w14:paraId="6BF54097" w14:textId="77777777"/>
    <w:p w:rsidR="00883FF9" w:rsidP="00883FF9" w:rsidRDefault="00883FF9" w14:paraId="3ABBCA35" w14:textId="77777777"/>
    <w:p w:rsidRPr="007F1D55" w:rsidR="00883FF9" w:rsidP="00883FF9" w:rsidRDefault="00883FF9" w14:paraId="265DFB8F" w14:textId="514915B7">
      <w:r>
        <w:t>D.M. van Weel</w:t>
      </w:r>
    </w:p>
    <w:sectPr w:rsidRPr="007F1D55" w:rsidR="00883FF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03C3" w14:textId="77777777" w:rsidR="005A265B" w:rsidRDefault="005A265B">
      <w:pPr>
        <w:spacing w:line="240" w:lineRule="auto"/>
      </w:pPr>
      <w:r>
        <w:separator/>
      </w:r>
    </w:p>
  </w:endnote>
  <w:endnote w:type="continuationSeparator" w:id="0">
    <w:p w14:paraId="358EE4BA" w14:textId="77777777" w:rsidR="005A265B" w:rsidRDefault="005A2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97C2" w14:textId="77777777" w:rsidR="00AF1966" w:rsidRDefault="00AF1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158605"/>
      <w:docPartObj>
        <w:docPartGallery w:val="Page Numbers (Bottom of Page)"/>
        <w:docPartUnique/>
      </w:docPartObj>
    </w:sdtPr>
    <w:sdtContent>
      <w:p w14:paraId="3BE023E4" w14:textId="5209964B" w:rsidR="00883FF9" w:rsidRDefault="00883FF9">
        <w:pPr>
          <w:pStyle w:val="Footer"/>
          <w:jc w:val="center"/>
        </w:pPr>
        <w:r>
          <w:fldChar w:fldCharType="begin"/>
        </w:r>
        <w:r>
          <w:instrText>PAGE   \* MERGEFORMAT</w:instrText>
        </w:r>
        <w:r>
          <w:fldChar w:fldCharType="separate"/>
        </w:r>
        <w:r>
          <w:t>2</w:t>
        </w:r>
        <w:r>
          <w:fldChar w:fldCharType="end"/>
        </w:r>
      </w:p>
    </w:sdtContent>
  </w:sdt>
  <w:p w14:paraId="24CBDCBE" w14:textId="77777777" w:rsidR="00883FF9" w:rsidRDefault="00883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33893"/>
      <w:docPartObj>
        <w:docPartGallery w:val="Page Numbers (Bottom of Page)"/>
        <w:docPartUnique/>
      </w:docPartObj>
    </w:sdtPr>
    <w:sdtContent>
      <w:p w14:paraId="56440588" w14:textId="1EE4836F" w:rsidR="00883FF9" w:rsidRDefault="00883FF9">
        <w:pPr>
          <w:pStyle w:val="Footer"/>
          <w:jc w:val="center"/>
        </w:pPr>
        <w:r>
          <w:fldChar w:fldCharType="begin"/>
        </w:r>
        <w:r>
          <w:instrText>PAGE   \* MERGEFORMAT</w:instrText>
        </w:r>
        <w:r>
          <w:fldChar w:fldCharType="separate"/>
        </w:r>
        <w:r>
          <w:t>2</w:t>
        </w:r>
        <w:r>
          <w:fldChar w:fldCharType="end"/>
        </w:r>
      </w:p>
    </w:sdtContent>
  </w:sdt>
  <w:p w14:paraId="2D136736" w14:textId="77777777" w:rsidR="00883FF9" w:rsidRDefault="0088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F83F" w14:textId="77777777" w:rsidR="005A265B" w:rsidRDefault="005A265B">
      <w:pPr>
        <w:spacing w:line="240" w:lineRule="auto"/>
      </w:pPr>
      <w:r>
        <w:separator/>
      </w:r>
    </w:p>
  </w:footnote>
  <w:footnote w:type="continuationSeparator" w:id="0">
    <w:p w14:paraId="0CFEAEBD" w14:textId="77777777" w:rsidR="005A265B" w:rsidRDefault="005A265B">
      <w:pPr>
        <w:spacing w:line="240" w:lineRule="auto"/>
      </w:pPr>
      <w:r>
        <w:continuationSeparator/>
      </w:r>
    </w:p>
  </w:footnote>
  <w:footnote w:id="1">
    <w:p w14:paraId="2E4C03CB" w14:textId="7D9E24B7" w:rsidR="005254D0" w:rsidRPr="001E7BC5" w:rsidRDefault="005254D0" w:rsidP="005254D0">
      <w:pPr>
        <w:pStyle w:val="FootnoteText"/>
        <w:rPr>
          <w:sz w:val="16"/>
          <w:szCs w:val="16"/>
        </w:rPr>
      </w:pPr>
      <w:r w:rsidRPr="001E7BC5">
        <w:rPr>
          <w:rStyle w:val="FootnoteReference"/>
          <w:sz w:val="16"/>
          <w:szCs w:val="16"/>
        </w:rPr>
        <w:footnoteRef/>
      </w:r>
      <w:r w:rsidRPr="001E7BC5">
        <w:rPr>
          <w:sz w:val="16"/>
          <w:szCs w:val="16"/>
        </w:rPr>
        <w:t xml:space="preserve"> </w:t>
      </w:r>
      <w:hyperlink r:id="rId1" w:history="1">
        <w:r w:rsidRPr="00883FF9">
          <w:rPr>
            <w:rStyle w:val="Hyperlink"/>
            <w:sz w:val="16"/>
            <w:szCs w:val="16"/>
          </w:rPr>
          <w:t>Kamerbrief 24 juli 2025: ‘Oprichting</w:t>
        </w:r>
        <w:r w:rsidRPr="00883FF9">
          <w:rPr>
            <w:rStyle w:val="Hyperlink"/>
            <w:sz w:val="16"/>
            <w:szCs w:val="16"/>
          </w:rPr>
          <w:t xml:space="preserve"> Speciaal Tribunaal Misdrijf Agressie tegen Oekraïne’ –</w:t>
        </w:r>
      </w:hyperlink>
      <w:r w:rsidRPr="001E7BC5">
        <w:rPr>
          <w:sz w:val="16"/>
          <w:szCs w:val="16"/>
        </w:rPr>
        <w:t xml:space="preserve"> </w:t>
      </w:r>
      <w:r w:rsidR="001E7BC5" w:rsidRPr="001E7BC5">
        <w:rPr>
          <w:sz w:val="16"/>
          <w:szCs w:val="16"/>
        </w:rPr>
        <w:t>Kamerstuk 36045, nr. 210</w:t>
      </w:r>
    </w:p>
  </w:footnote>
  <w:footnote w:id="2">
    <w:p w14:paraId="6D2DE623" w14:textId="3C827309" w:rsidR="00C048B9" w:rsidRPr="00C048B9" w:rsidRDefault="00C048B9" w:rsidP="00C048B9">
      <w:pPr>
        <w:pStyle w:val="FootnoteText"/>
        <w:rPr>
          <w:sz w:val="16"/>
          <w:szCs w:val="16"/>
        </w:rPr>
      </w:pPr>
      <w:r w:rsidRPr="00C048B9">
        <w:rPr>
          <w:rStyle w:val="FootnoteReference"/>
          <w:sz w:val="16"/>
          <w:szCs w:val="16"/>
        </w:rPr>
        <w:footnoteRef/>
      </w:r>
      <w:r w:rsidRPr="00C048B9">
        <w:rPr>
          <w:sz w:val="16"/>
          <w:szCs w:val="16"/>
        </w:rPr>
        <w:t xml:space="preserve"> Ter illustratie de totstandkoming van Justitieel Complex Vlissingen kent een realisatietijd van circa 10 jaar </w:t>
      </w:r>
    </w:p>
  </w:footnote>
  <w:footnote w:id="3">
    <w:p w14:paraId="118212F0" w14:textId="77777777" w:rsidR="00A87CA1" w:rsidRPr="00EB568B" w:rsidRDefault="00A87CA1" w:rsidP="00A87CA1">
      <w:pPr>
        <w:pStyle w:val="FootnoteText"/>
        <w:rPr>
          <w:sz w:val="16"/>
          <w:szCs w:val="16"/>
        </w:rPr>
      </w:pPr>
      <w:r w:rsidRPr="00EB568B">
        <w:rPr>
          <w:rStyle w:val="FootnoteReference"/>
          <w:sz w:val="16"/>
          <w:szCs w:val="16"/>
        </w:rPr>
        <w:footnoteRef/>
      </w:r>
      <w:r w:rsidRPr="00EB568B">
        <w:rPr>
          <w:sz w:val="16"/>
          <w:szCs w:val="16"/>
        </w:rPr>
        <w:t xml:space="preserve"> Kamerstukken II 2024-25, 36 045, nr. 225</w:t>
      </w:r>
    </w:p>
  </w:footnote>
  <w:footnote w:id="4">
    <w:p w14:paraId="461D2A9F" w14:textId="77777777" w:rsidR="00A87CA1" w:rsidRPr="00EB568B" w:rsidRDefault="00A87CA1" w:rsidP="00A87CA1">
      <w:pPr>
        <w:pStyle w:val="FootnoteText"/>
        <w:rPr>
          <w:sz w:val="16"/>
          <w:szCs w:val="16"/>
        </w:rPr>
      </w:pPr>
      <w:r w:rsidRPr="00EB568B">
        <w:rPr>
          <w:rStyle w:val="FootnoteReference"/>
          <w:sz w:val="16"/>
          <w:szCs w:val="16"/>
        </w:rPr>
        <w:footnoteRef/>
      </w:r>
      <w:r w:rsidRPr="00EB568B">
        <w:rPr>
          <w:sz w:val="16"/>
          <w:szCs w:val="16"/>
        </w:rPr>
        <w:t xml:space="preserve"> Kamerstukken II 2022-23, 21 501-20, nr. 1841</w:t>
      </w:r>
    </w:p>
  </w:footnote>
  <w:footnote w:id="5">
    <w:p w14:paraId="67F900C2" w14:textId="77777777" w:rsidR="00A87CA1" w:rsidRPr="00EB568B" w:rsidRDefault="00A87CA1" w:rsidP="00A87CA1">
      <w:pPr>
        <w:pStyle w:val="FootnoteText"/>
        <w:rPr>
          <w:sz w:val="16"/>
          <w:szCs w:val="16"/>
        </w:rPr>
      </w:pPr>
      <w:r w:rsidRPr="00EB568B">
        <w:rPr>
          <w:rStyle w:val="FootnoteReference"/>
          <w:sz w:val="16"/>
          <w:szCs w:val="16"/>
        </w:rPr>
        <w:footnoteRef/>
      </w:r>
      <w:r w:rsidRPr="00EB568B">
        <w:rPr>
          <w:sz w:val="16"/>
          <w:szCs w:val="16"/>
        </w:rPr>
        <w:t xml:space="preserve"> Kamerstukken II 2024-25, 21 501-20, nr. 2229</w:t>
      </w:r>
    </w:p>
    <w:p w14:paraId="569EFB00" w14:textId="77777777" w:rsidR="00A87CA1" w:rsidRPr="00A0461C" w:rsidRDefault="00A87CA1" w:rsidP="00A87C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6E4C" w14:textId="77777777" w:rsidR="00AF1966" w:rsidRDefault="00AF1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DD98" w14:textId="6232D2DB" w:rsidR="0008154B" w:rsidRDefault="00316732">
    <w:r>
      <w:rPr>
        <w:noProof/>
      </w:rPr>
      <mc:AlternateContent>
        <mc:Choice Requires="wps">
          <w:drawing>
            <wp:anchor distT="0" distB="0" distL="0" distR="0" simplePos="0" relativeHeight="251652608" behindDoc="0" locked="1" layoutInCell="1" allowOverlap="1" wp14:anchorId="4E26DD9C" wp14:editId="6B4D866F">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E26DDCA" w14:textId="77777777" w:rsidR="0008154B" w:rsidRDefault="00316732">
                          <w:pPr>
                            <w:pStyle w:val="Referentiegegevensbold"/>
                          </w:pPr>
                          <w:r>
                            <w:t>Ministerie van Buitenlandse Zaken</w:t>
                          </w:r>
                        </w:p>
                        <w:p w14:paraId="4E26DDCB" w14:textId="77777777" w:rsidR="0008154B" w:rsidRDefault="0008154B">
                          <w:pPr>
                            <w:pStyle w:val="WitregelW2"/>
                          </w:pPr>
                        </w:p>
                        <w:p w14:paraId="4E26DDCC" w14:textId="77777777" w:rsidR="0008154B" w:rsidRDefault="00316732">
                          <w:pPr>
                            <w:pStyle w:val="Referentiegegevensbold"/>
                          </w:pPr>
                          <w:r>
                            <w:t>Onze referentie</w:t>
                          </w:r>
                        </w:p>
                        <w:p w14:paraId="4E26DDCD" w14:textId="77777777" w:rsidR="0008154B" w:rsidRDefault="00316732">
                          <w:pPr>
                            <w:pStyle w:val="Referentiegegevens"/>
                          </w:pPr>
                          <w:r>
                            <w:t>BZ2521341</w:t>
                          </w:r>
                        </w:p>
                      </w:txbxContent>
                    </wps:txbx>
                    <wps:bodyPr vert="horz" wrap="square" lIns="0" tIns="0" rIns="0" bIns="0" anchor="t" anchorCtr="0"/>
                  </wps:wsp>
                </a:graphicData>
              </a:graphic>
              <wp14:sizeRelH relativeFrom="margin">
                <wp14:pctWidth>0</wp14:pctWidth>
              </wp14:sizeRelH>
            </wp:anchor>
          </w:drawing>
        </mc:Choice>
        <mc:Fallback>
          <w:pict>
            <v:shapetype w14:anchorId="4E26DD9C"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4E26DDCA" w14:textId="77777777" w:rsidR="0008154B" w:rsidRDefault="00316732">
                    <w:pPr>
                      <w:pStyle w:val="Referentiegegevensbold"/>
                    </w:pPr>
                    <w:r>
                      <w:t>Ministerie van Buitenlandse Zaken</w:t>
                    </w:r>
                  </w:p>
                  <w:p w14:paraId="4E26DDCB" w14:textId="77777777" w:rsidR="0008154B" w:rsidRDefault="0008154B">
                    <w:pPr>
                      <w:pStyle w:val="WitregelW2"/>
                    </w:pPr>
                  </w:p>
                  <w:p w14:paraId="4E26DDCC" w14:textId="77777777" w:rsidR="0008154B" w:rsidRDefault="00316732">
                    <w:pPr>
                      <w:pStyle w:val="Referentiegegevensbold"/>
                    </w:pPr>
                    <w:r>
                      <w:t>Onze referentie</w:t>
                    </w:r>
                  </w:p>
                  <w:p w14:paraId="4E26DDCD" w14:textId="77777777" w:rsidR="0008154B" w:rsidRDefault="00316732">
                    <w:pPr>
                      <w:pStyle w:val="Referentiegegevens"/>
                    </w:pPr>
                    <w:r>
                      <w:t>BZ2521341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26DDA0" wp14:editId="52D0107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26DDDC" w14:textId="77777777" w:rsidR="00316732" w:rsidRDefault="00316732"/>
                      </w:txbxContent>
                    </wps:txbx>
                    <wps:bodyPr vert="horz" wrap="square" lIns="0" tIns="0" rIns="0" bIns="0" anchor="t" anchorCtr="0"/>
                  </wps:wsp>
                </a:graphicData>
              </a:graphic>
            </wp:anchor>
          </w:drawing>
        </mc:Choice>
        <mc:Fallback>
          <w:pict>
            <v:shape w14:anchorId="4E26DDA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E26DDDC" w14:textId="77777777" w:rsidR="00316732" w:rsidRDefault="0031673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DD9A" w14:textId="3AA63E39" w:rsidR="0008154B" w:rsidRDefault="00316732">
    <w:pPr>
      <w:spacing w:after="7131" w:line="14" w:lineRule="exact"/>
    </w:pPr>
    <w:r>
      <w:rPr>
        <w:noProof/>
      </w:rPr>
      <mc:AlternateContent>
        <mc:Choice Requires="wps">
          <w:drawing>
            <wp:anchor distT="0" distB="0" distL="0" distR="0" simplePos="0" relativeHeight="251655680" behindDoc="0" locked="1" layoutInCell="1" allowOverlap="1" wp14:anchorId="4E26DDA2" wp14:editId="4E26DDA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E26DDCF" w14:textId="77777777" w:rsidR="00316732" w:rsidRDefault="00316732"/>
                      </w:txbxContent>
                    </wps:txbx>
                    <wps:bodyPr vert="horz" wrap="square" lIns="0" tIns="0" rIns="0" bIns="0" anchor="t" anchorCtr="0"/>
                  </wps:wsp>
                </a:graphicData>
              </a:graphic>
            </wp:anchor>
          </w:drawing>
        </mc:Choice>
        <mc:Fallback>
          <w:pict>
            <v:shapetype w14:anchorId="4E26DDA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E26DDCF" w14:textId="77777777" w:rsidR="00316732" w:rsidRDefault="0031673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26DDA4" wp14:editId="0B00255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26DDB3" w14:textId="77777777" w:rsidR="0008154B" w:rsidRDefault="0031673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E26DDA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E26DDB3" w14:textId="77777777" w:rsidR="0008154B" w:rsidRDefault="0031673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26DDA6" wp14:editId="4E26DDA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8154B" w14:paraId="4E26DDB6" w14:textId="77777777">
                            <w:tc>
                              <w:tcPr>
                                <w:tcW w:w="678" w:type="dxa"/>
                              </w:tcPr>
                              <w:p w14:paraId="4E26DDB4" w14:textId="77777777" w:rsidR="0008154B" w:rsidRDefault="00316732">
                                <w:r>
                                  <w:t>Datum</w:t>
                                </w:r>
                              </w:p>
                            </w:tc>
                            <w:tc>
                              <w:tcPr>
                                <w:tcW w:w="6851" w:type="dxa"/>
                              </w:tcPr>
                              <w:p w14:paraId="4E26DDB5" w14:textId="01A407D9" w:rsidR="0008154B" w:rsidRDefault="003E71F5">
                                <w:r>
                                  <w:t>28</w:t>
                                </w:r>
                                <w:r w:rsidR="00316732">
                                  <w:t xml:space="preserve"> oktober 2025</w:t>
                                </w:r>
                              </w:p>
                            </w:tc>
                          </w:tr>
                          <w:tr w:rsidR="0008154B" w14:paraId="4E26DDBB" w14:textId="77777777">
                            <w:tc>
                              <w:tcPr>
                                <w:tcW w:w="678" w:type="dxa"/>
                              </w:tcPr>
                              <w:p w14:paraId="4E26DDB7" w14:textId="77777777" w:rsidR="0008154B" w:rsidRDefault="00316732">
                                <w:r>
                                  <w:t>Betreft</w:t>
                                </w:r>
                              </w:p>
                              <w:p w14:paraId="4E26DDB8" w14:textId="77777777" w:rsidR="0008154B" w:rsidRDefault="0008154B"/>
                            </w:tc>
                            <w:tc>
                              <w:tcPr>
                                <w:tcW w:w="6851" w:type="dxa"/>
                              </w:tcPr>
                              <w:p w14:paraId="4E26DDB9" w14:textId="5663C833" w:rsidR="0008154B" w:rsidRDefault="00AE1F0D">
                                <w:r>
                                  <w:t xml:space="preserve">Speciaal Tribunaal voor het Misdrijf Agressie tegen </w:t>
                                </w:r>
                                <w:r w:rsidR="00B45742">
                                  <w:t>Oekraïne</w:t>
                                </w:r>
                                <w:r>
                                  <w:t xml:space="preserve"> – eerste stappen in Nederland</w:t>
                                </w:r>
                              </w:p>
                              <w:p w14:paraId="4E26DDBA" w14:textId="77777777" w:rsidR="0008154B" w:rsidRDefault="0008154B"/>
                            </w:tc>
                          </w:tr>
                        </w:tbl>
                        <w:p w14:paraId="4E26DDBC" w14:textId="77777777" w:rsidR="0008154B" w:rsidRDefault="0008154B"/>
                        <w:p w14:paraId="4E26DDBD" w14:textId="77777777" w:rsidR="0008154B" w:rsidRDefault="0008154B"/>
                      </w:txbxContent>
                    </wps:txbx>
                    <wps:bodyPr vert="horz" wrap="square" lIns="0" tIns="0" rIns="0" bIns="0" anchor="t" anchorCtr="0"/>
                  </wps:wsp>
                </a:graphicData>
              </a:graphic>
            </wp:anchor>
          </w:drawing>
        </mc:Choice>
        <mc:Fallback>
          <w:pict>
            <v:shape w14:anchorId="4E26DDA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8154B" w14:paraId="4E26DDB6" w14:textId="77777777">
                      <w:tc>
                        <w:tcPr>
                          <w:tcW w:w="678" w:type="dxa"/>
                        </w:tcPr>
                        <w:p w14:paraId="4E26DDB4" w14:textId="77777777" w:rsidR="0008154B" w:rsidRDefault="00316732">
                          <w:r>
                            <w:t>Datum</w:t>
                          </w:r>
                        </w:p>
                      </w:tc>
                      <w:tc>
                        <w:tcPr>
                          <w:tcW w:w="6851" w:type="dxa"/>
                        </w:tcPr>
                        <w:p w14:paraId="4E26DDB5" w14:textId="01A407D9" w:rsidR="0008154B" w:rsidRDefault="003E71F5">
                          <w:r>
                            <w:t>28</w:t>
                          </w:r>
                          <w:r w:rsidR="00316732">
                            <w:t xml:space="preserve"> oktober 2025</w:t>
                          </w:r>
                        </w:p>
                      </w:tc>
                    </w:tr>
                    <w:tr w:rsidR="0008154B" w14:paraId="4E26DDBB" w14:textId="77777777">
                      <w:tc>
                        <w:tcPr>
                          <w:tcW w:w="678" w:type="dxa"/>
                        </w:tcPr>
                        <w:p w14:paraId="4E26DDB7" w14:textId="77777777" w:rsidR="0008154B" w:rsidRDefault="00316732">
                          <w:r>
                            <w:t>Betreft</w:t>
                          </w:r>
                        </w:p>
                        <w:p w14:paraId="4E26DDB8" w14:textId="77777777" w:rsidR="0008154B" w:rsidRDefault="0008154B"/>
                      </w:tc>
                      <w:tc>
                        <w:tcPr>
                          <w:tcW w:w="6851" w:type="dxa"/>
                        </w:tcPr>
                        <w:p w14:paraId="4E26DDB9" w14:textId="5663C833" w:rsidR="0008154B" w:rsidRDefault="00AE1F0D">
                          <w:r>
                            <w:t xml:space="preserve">Speciaal Tribunaal voor het Misdrijf Agressie tegen </w:t>
                          </w:r>
                          <w:r w:rsidR="00B45742">
                            <w:t>Oekraïne</w:t>
                          </w:r>
                          <w:r>
                            <w:t xml:space="preserve"> – eerste stappen in Nederland</w:t>
                          </w:r>
                        </w:p>
                        <w:p w14:paraId="4E26DDBA" w14:textId="77777777" w:rsidR="0008154B" w:rsidRDefault="0008154B"/>
                      </w:tc>
                    </w:tr>
                  </w:tbl>
                  <w:p w14:paraId="4E26DDBC" w14:textId="77777777" w:rsidR="0008154B" w:rsidRDefault="0008154B"/>
                  <w:p w14:paraId="4E26DDBD" w14:textId="77777777" w:rsidR="0008154B" w:rsidRDefault="0008154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26DDA8" wp14:editId="1AD05B12">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7045F0D" w14:textId="77777777" w:rsidR="00883FF9" w:rsidRPr="00F51C07" w:rsidRDefault="00883FF9" w:rsidP="00883FF9">
                              <w:pPr>
                                <w:rPr>
                                  <w:b/>
                                  <w:sz w:val="13"/>
                                  <w:szCs w:val="13"/>
                                </w:rPr>
                              </w:pPr>
                              <w:r w:rsidRPr="00FC13FA">
                                <w:rPr>
                                  <w:b/>
                                  <w:sz w:val="13"/>
                                  <w:szCs w:val="13"/>
                                </w:rPr>
                                <w:t>Ministerie van Buitenlandse Zaken</w:t>
                              </w:r>
                            </w:p>
                          </w:sdtContent>
                        </w:sdt>
                        <w:p w14:paraId="0DBF53D6" w14:textId="77777777" w:rsidR="00883FF9" w:rsidRPr="00EE5E5D" w:rsidRDefault="00883FF9" w:rsidP="00883FF9">
                          <w:pPr>
                            <w:rPr>
                              <w:sz w:val="13"/>
                              <w:szCs w:val="13"/>
                            </w:rPr>
                          </w:pPr>
                          <w:r>
                            <w:rPr>
                              <w:sz w:val="13"/>
                              <w:szCs w:val="13"/>
                            </w:rPr>
                            <w:t>Rijnstraat 8</w:t>
                          </w:r>
                        </w:p>
                        <w:p w14:paraId="7FFFF19C" w14:textId="77777777" w:rsidR="00883FF9" w:rsidRPr="0059764A" w:rsidRDefault="00883FF9" w:rsidP="00883FF9">
                          <w:pPr>
                            <w:rPr>
                              <w:sz w:val="13"/>
                              <w:szCs w:val="13"/>
                              <w:lang w:val="da-DK"/>
                            </w:rPr>
                          </w:pPr>
                          <w:r w:rsidRPr="0059764A">
                            <w:rPr>
                              <w:sz w:val="13"/>
                              <w:szCs w:val="13"/>
                              <w:lang w:val="da-DK"/>
                            </w:rPr>
                            <w:t>2515 XP Den Haag</w:t>
                          </w:r>
                        </w:p>
                        <w:p w14:paraId="18E4E8B5" w14:textId="77777777" w:rsidR="00883FF9" w:rsidRPr="0059764A" w:rsidRDefault="00883FF9" w:rsidP="00883FF9">
                          <w:pPr>
                            <w:rPr>
                              <w:sz w:val="13"/>
                              <w:szCs w:val="13"/>
                              <w:lang w:val="da-DK"/>
                            </w:rPr>
                          </w:pPr>
                          <w:r w:rsidRPr="0059764A">
                            <w:rPr>
                              <w:sz w:val="13"/>
                              <w:szCs w:val="13"/>
                              <w:lang w:val="da-DK"/>
                            </w:rPr>
                            <w:t>Postbus 20061</w:t>
                          </w:r>
                        </w:p>
                        <w:p w14:paraId="20C0251F" w14:textId="77777777" w:rsidR="00883FF9" w:rsidRPr="0059764A" w:rsidRDefault="00883FF9" w:rsidP="00883FF9">
                          <w:pPr>
                            <w:rPr>
                              <w:sz w:val="13"/>
                              <w:szCs w:val="13"/>
                              <w:lang w:val="da-DK"/>
                            </w:rPr>
                          </w:pPr>
                          <w:r w:rsidRPr="0059764A">
                            <w:rPr>
                              <w:sz w:val="13"/>
                              <w:szCs w:val="13"/>
                              <w:lang w:val="da-DK"/>
                            </w:rPr>
                            <w:t>Nederland</w:t>
                          </w:r>
                        </w:p>
                        <w:p w14:paraId="4E26DDC0" w14:textId="032B984D" w:rsidR="0008154B" w:rsidRDefault="0008154B">
                          <w:pPr>
                            <w:pStyle w:val="Referentiegegevens"/>
                          </w:pPr>
                        </w:p>
                        <w:p w14:paraId="4E26DDC1" w14:textId="77777777" w:rsidR="0008154B" w:rsidRDefault="00316732">
                          <w:pPr>
                            <w:pStyle w:val="Referentiegegevens"/>
                          </w:pPr>
                          <w:r>
                            <w:t>www.minbuza.nl</w:t>
                          </w:r>
                        </w:p>
                        <w:p w14:paraId="4E26DDC2" w14:textId="77777777" w:rsidR="0008154B" w:rsidRDefault="0008154B">
                          <w:pPr>
                            <w:pStyle w:val="WitregelW2"/>
                          </w:pPr>
                        </w:p>
                        <w:p w14:paraId="4E26DDC3" w14:textId="77777777" w:rsidR="0008154B" w:rsidRDefault="00316732">
                          <w:pPr>
                            <w:pStyle w:val="Referentiegegevensbold"/>
                          </w:pPr>
                          <w:r>
                            <w:t>Onze referentie</w:t>
                          </w:r>
                        </w:p>
                        <w:p w14:paraId="5ACF63BF" w14:textId="77777777" w:rsidR="00883FF9" w:rsidRDefault="00883FF9" w:rsidP="00883FF9">
                          <w:pPr>
                            <w:pStyle w:val="Referentiegegevens"/>
                          </w:pPr>
                          <w:r>
                            <w:t>BZ2521341</w:t>
                          </w:r>
                        </w:p>
                        <w:p w14:paraId="681623A0" w14:textId="77777777" w:rsidR="00883FF9" w:rsidRPr="00883FF9" w:rsidRDefault="00883FF9" w:rsidP="00883FF9"/>
                        <w:p w14:paraId="4E26DDC6" w14:textId="77777777" w:rsidR="0008154B" w:rsidRDefault="00316732">
                          <w:pPr>
                            <w:pStyle w:val="Referentiegegevensbold"/>
                          </w:pPr>
                          <w:r>
                            <w:t>Bijlage(n)</w:t>
                          </w:r>
                        </w:p>
                        <w:p w14:paraId="4E26DDC7" w14:textId="77777777" w:rsidR="0008154B" w:rsidRDefault="0031673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E26DDA8"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JuCu1GUAQAAFQMA&#10;AA4AAAAAAAAAAAAAAAAALgIAAGRycy9lMm9Eb2MueG1sUEsBAi0AFAAGAAgAAAAhAD4Bgs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7045F0D" w14:textId="77777777" w:rsidR="00883FF9" w:rsidRPr="00F51C07" w:rsidRDefault="00883FF9" w:rsidP="00883FF9">
                        <w:pPr>
                          <w:rPr>
                            <w:b/>
                            <w:sz w:val="13"/>
                            <w:szCs w:val="13"/>
                          </w:rPr>
                        </w:pPr>
                        <w:r w:rsidRPr="00FC13FA">
                          <w:rPr>
                            <w:b/>
                            <w:sz w:val="13"/>
                            <w:szCs w:val="13"/>
                          </w:rPr>
                          <w:t>Ministerie van Buitenlandse Zaken</w:t>
                        </w:r>
                      </w:p>
                    </w:sdtContent>
                  </w:sdt>
                  <w:p w14:paraId="0DBF53D6" w14:textId="77777777" w:rsidR="00883FF9" w:rsidRPr="00EE5E5D" w:rsidRDefault="00883FF9" w:rsidP="00883FF9">
                    <w:pPr>
                      <w:rPr>
                        <w:sz w:val="13"/>
                        <w:szCs w:val="13"/>
                      </w:rPr>
                    </w:pPr>
                    <w:r>
                      <w:rPr>
                        <w:sz w:val="13"/>
                        <w:szCs w:val="13"/>
                      </w:rPr>
                      <w:t>Rijnstraat 8</w:t>
                    </w:r>
                  </w:p>
                  <w:p w14:paraId="7FFFF19C" w14:textId="77777777" w:rsidR="00883FF9" w:rsidRPr="0059764A" w:rsidRDefault="00883FF9" w:rsidP="00883FF9">
                    <w:pPr>
                      <w:rPr>
                        <w:sz w:val="13"/>
                        <w:szCs w:val="13"/>
                        <w:lang w:val="da-DK"/>
                      </w:rPr>
                    </w:pPr>
                    <w:r w:rsidRPr="0059764A">
                      <w:rPr>
                        <w:sz w:val="13"/>
                        <w:szCs w:val="13"/>
                        <w:lang w:val="da-DK"/>
                      </w:rPr>
                      <w:t>2515 XP Den Haag</w:t>
                    </w:r>
                  </w:p>
                  <w:p w14:paraId="18E4E8B5" w14:textId="77777777" w:rsidR="00883FF9" w:rsidRPr="0059764A" w:rsidRDefault="00883FF9" w:rsidP="00883FF9">
                    <w:pPr>
                      <w:rPr>
                        <w:sz w:val="13"/>
                        <w:szCs w:val="13"/>
                        <w:lang w:val="da-DK"/>
                      </w:rPr>
                    </w:pPr>
                    <w:r w:rsidRPr="0059764A">
                      <w:rPr>
                        <w:sz w:val="13"/>
                        <w:szCs w:val="13"/>
                        <w:lang w:val="da-DK"/>
                      </w:rPr>
                      <w:t>Postbus 20061</w:t>
                    </w:r>
                  </w:p>
                  <w:p w14:paraId="20C0251F" w14:textId="77777777" w:rsidR="00883FF9" w:rsidRPr="0059764A" w:rsidRDefault="00883FF9" w:rsidP="00883FF9">
                    <w:pPr>
                      <w:rPr>
                        <w:sz w:val="13"/>
                        <w:szCs w:val="13"/>
                        <w:lang w:val="da-DK"/>
                      </w:rPr>
                    </w:pPr>
                    <w:r w:rsidRPr="0059764A">
                      <w:rPr>
                        <w:sz w:val="13"/>
                        <w:szCs w:val="13"/>
                        <w:lang w:val="da-DK"/>
                      </w:rPr>
                      <w:t>Nederland</w:t>
                    </w:r>
                  </w:p>
                  <w:p w14:paraId="4E26DDC0" w14:textId="032B984D" w:rsidR="0008154B" w:rsidRDefault="0008154B">
                    <w:pPr>
                      <w:pStyle w:val="Referentiegegevens"/>
                    </w:pPr>
                  </w:p>
                  <w:p w14:paraId="4E26DDC1" w14:textId="77777777" w:rsidR="0008154B" w:rsidRDefault="00316732">
                    <w:pPr>
                      <w:pStyle w:val="Referentiegegevens"/>
                    </w:pPr>
                    <w:r>
                      <w:t>www.minbuza.nl</w:t>
                    </w:r>
                  </w:p>
                  <w:p w14:paraId="4E26DDC2" w14:textId="77777777" w:rsidR="0008154B" w:rsidRDefault="0008154B">
                    <w:pPr>
                      <w:pStyle w:val="WitregelW2"/>
                    </w:pPr>
                  </w:p>
                  <w:p w14:paraId="4E26DDC3" w14:textId="77777777" w:rsidR="0008154B" w:rsidRDefault="00316732">
                    <w:pPr>
                      <w:pStyle w:val="Referentiegegevensbold"/>
                    </w:pPr>
                    <w:r>
                      <w:t>Onze referentie</w:t>
                    </w:r>
                  </w:p>
                  <w:p w14:paraId="5ACF63BF" w14:textId="77777777" w:rsidR="00883FF9" w:rsidRDefault="00883FF9" w:rsidP="00883FF9">
                    <w:pPr>
                      <w:pStyle w:val="Referentiegegevens"/>
                    </w:pPr>
                    <w:r>
                      <w:t>BZ2521341</w:t>
                    </w:r>
                  </w:p>
                  <w:p w14:paraId="681623A0" w14:textId="77777777" w:rsidR="00883FF9" w:rsidRPr="00883FF9" w:rsidRDefault="00883FF9" w:rsidP="00883FF9"/>
                  <w:p w14:paraId="4E26DDC6" w14:textId="77777777" w:rsidR="0008154B" w:rsidRDefault="00316732">
                    <w:pPr>
                      <w:pStyle w:val="Referentiegegevensbold"/>
                    </w:pPr>
                    <w:r>
                      <w:t>Bijlage(n)</w:t>
                    </w:r>
                  </w:p>
                  <w:p w14:paraId="4E26DDC7" w14:textId="77777777" w:rsidR="0008154B" w:rsidRDefault="0031673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26DDAC" wp14:editId="10686C0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26DDD5" w14:textId="77777777" w:rsidR="00316732" w:rsidRDefault="00316732"/>
                      </w:txbxContent>
                    </wps:txbx>
                    <wps:bodyPr vert="horz" wrap="square" lIns="0" tIns="0" rIns="0" bIns="0" anchor="t" anchorCtr="0"/>
                  </wps:wsp>
                </a:graphicData>
              </a:graphic>
            </wp:anchor>
          </w:drawing>
        </mc:Choice>
        <mc:Fallback>
          <w:pict>
            <v:shape w14:anchorId="4E26DDA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E26DDD5" w14:textId="77777777" w:rsidR="00316732" w:rsidRDefault="0031673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26DDAE" wp14:editId="4E26DDA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26DDD7" w14:textId="77777777" w:rsidR="00316732" w:rsidRDefault="00316732"/>
                      </w:txbxContent>
                    </wps:txbx>
                    <wps:bodyPr vert="horz" wrap="square" lIns="0" tIns="0" rIns="0" bIns="0" anchor="t" anchorCtr="0"/>
                  </wps:wsp>
                </a:graphicData>
              </a:graphic>
            </wp:anchor>
          </w:drawing>
        </mc:Choice>
        <mc:Fallback>
          <w:pict>
            <v:shape w14:anchorId="4E26DDA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E26DDD7" w14:textId="77777777" w:rsidR="00316732" w:rsidRDefault="0031673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E26DDB0" wp14:editId="4E26DDB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26DDC9" w14:textId="77777777" w:rsidR="0008154B" w:rsidRDefault="00316732">
                          <w:pPr>
                            <w:spacing w:line="240" w:lineRule="auto"/>
                          </w:pPr>
                          <w:r>
                            <w:rPr>
                              <w:noProof/>
                            </w:rPr>
                            <w:drawing>
                              <wp:inline distT="0" distB="0" distL="0" distR="0" wp14:anchorId="4E26DDCF" wp14:editId="4E26DDD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26DDB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E26DDC9" w14:textId="77777777" w:rsidR="0008154B" w:rsidRDefault="00316732">
                    <w:pPr>
                      <w:spacing w:line="240" w:lineRule="auto"/>
                    </w:pPr>
                    <w:r>
                      <w:rPr>
                        <w:noProof/>
                      </w:rPr>
                      <w:drawing>
                        <wp:inline distT="0" distB="0" distL="0" distR="0" wp14:anchorId="4E26DDCF" wp14:editId="4E26DDD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55E3B3"/>
    <w:multiLevelType w:val="multilevel"/>
    <w:tmpl w:val="8442ACFE"/>
    <w:name w:val="Lijst"/>
    <w:lvl w:ilvl="0">
      <w:start w:val="1"/>
      <w:numFmt w:val="decimal"/>
      <w:pStyle w:val="Lijstniveau1"/>
      <w:lvlText w:val="%1."/>
      <w:lvlJc w:val="left"/>
      <w:pPr>
        <w:ind w:left="772" w:hanging="1132"/>
      </w:pPr>
    </w:lvl>
    <w:lvl w:ilvl="1">
      <w:start w:val="1"/>
      <w:numFmt w:val="decimal"/>
      <w:pStyle w:val="Lijstniveau2"/>
      <w:lvlText w:val="%1. %2."/>
      <w:lvlJc w:val="left"/>
      <w:pPr>
        <w:ind w:left="772" w:hanging="1132"/>
      </w:pPr>
    </w:lvl>
    <w:lvl w:ilvl="2">
      <w:start w:val="1"/>
      <w:numFmt w:val="decimal"/>
      <w:pStyle w:val="Lijstniveau3"/>
      <w:lvlText w:val="%1. %2. %3."/>
      <w:lvlJc w:val="left"/>
      <w:pPr>
        <w:ind w:left="772" w:hanging="1132"/>
      </w:pPr>
    </w:lvl>
    <w:lvl w:ilvl="3">
      <w:start w:val="1"/>
      <w:numFmt w:val="none"/>
      <w:lvlText w:val=""/>
      <w:lvlJc w:val="left"/>
      <w:pPr>
        <w:ind w:left="-360" w:firstLine="0"/>
      </w:pPr>
    </w:lvl>
    <w:lvl w:ilvl="4">
      <w:start w:val="1"/>
      <w:numFmt w:val="none"/>
      <w:lvlText w:val=""/>
      <w:lvlJc w:val="left"/>
      <w:pPr>
        <w:ind w:left="-360" w:firstLine="0"/>
      </w:pPr>
    </w:lvl>
    <w:lvl w:ilvl="5">
      <w:start w:val="1"/>
      <w:numFmt w:val="none"/>
      <w:lvlText w:val=""/>
      <w:lvlJc w:val="left"/>
      <w:pPr>
        <w:ind w:left="-360" w:firstLine="0"/>
      </w:pPr>
    </w:lvl>
    <w:lvl w:ilvl="6">
      <w:start w:val="1"/>
      <w:numFmt w:val="none"/>
      <w:lvlText w:val=""/>
      <w:lvlJc w:val="left"/>
      <w:pPr>
        <w:ind w:left="-360" w:firstLine="0"/>
      </w:pPr>
    </w:lvl>
    <w:lvl w:ilvl="7">
      <w:start w:val="1"/>
      <w:numFmt w:val="none"/>
      <w:lvlText w:val=""/>
      <w:lvlJc w:val="left"/>
      <w:pPr>
        <w:ind w:left="-360" w:firstLine="0"/>
      </w:pPr>
    </w:lvl>
    <w:lvl w:ilvl="8">
      <w:start w:val="1"/>
      <w:numFmt w:val="none"/>
      <w:lvlText w:val=""/>
      <w:lvlJc w:val="left"/>
      <w:pPr>
        <w:ind w:left="-360" w:firstLine="0"/>
      </w:pPr>
    </w:lvl>
  </w:abstractNum>
  <w:abstractNum w:abstractNumId="1" w15:restartNumberingAfterBreak="0">
    <w:nsid w:val="03A20A08"/>
    <w:multiLevelType w:val="hybridMultilevel"/>
    <w:tmpl w:val="E842E362"/>
    <w:lvl w:ilvl="0" w:tplc="E0582262">
      <w:start w:val="1"/>
      <w:numFmt w:val="bullet"/>
      <w:lvlText w:val=""/>
      <w:lvlJc w:val="left"/>
      <w:pPr>
        <w:ind w:left="1080" w:hanging="360"/>
      </w:pPr>
      <w:rPr>
        <w:rFonts w:ascii="Symbol" w:hAnsi="Symbol"/>
      </w:rPr>
    </w:lvl>
    <w:lvl w:ilvl="1" w:tplc="673E2DD4">
      <w:start w:val="1"/>
      <w:numFmt w:val="bullet"/>
      <w:lvlText w:val=""/>
      <w:lvlJc w:val="left"/>
      <w:pPr>
        <w:ind w:left="1080" w:hanging="360"/>
      </w:pPr>
      <w:rPr>
        <w:rFonts w:ascii="Symbol" w:hAnsi="Symbol"/>
      </w:rPr>
    </w:lvl>
    <w:lvl w:ilvl="2" w:tplc="963018BA">
      <w:start w:val="1"/>
      <w:numFmt w:val="bullet"/>
      <w:lvlText w:val=""/>
      <w:lvlJc w:val="left"/>
      <w:pPr>
        <w:ind w:left="1080" w:hanging="360"/>
      </w:pPr>
      <w:rPr>
        <w:rFonts w:ascii="Symbol" w:hAnsi="Symbol"/>
      </w:rPr>
    </w:lvl>
    <w:lvl w:ilvl="3" w:tplc="F1A4C67A">
      <w:start w:val="1"/>
      <w:numFmt w:val="bullet"/>
      <w:lvlText w:val=""/>
      <w:lvlJc w:val="left"/>
      <w:pPr>
        <w:ind w:left="1080" w:hanging="360"/>
      </w:pPr>
      <w:rPr>
        <w:rFonts w:ascii="Symbol" w:hAnsi="Symbol"/>
      </w:rPr>
    </w:lvl>
    <w:lvl w:ilvl="4" w:tplc="C1FEA250">
      <w:start w:val="1"/>
      <w:numFmt w:val="bullet"/>
      <w:lvlText w:val=""/>
      <w:lvlJc w:val="left"/>
      <w:pPr>
        <w:ind w:left="1080" w:hanging="360"/>
      </w:pPr>
      <w:rPr>
        <w:rFonts w:ascii="Symbol" w:hAnsi="Symbol"/>
      </w:rPr>
    </w:lvl>
    <w:lvl w:ilvl="5" w:tplc="76483E86">
      <w:start w:val="1"/>
      <w:numFmt w:val="bullet"/>
      <w:lvlText w:val=""/>
      <w:lvlJc w:val="left"/>
      <w:pPr>
        <w:ind w:left="1080" w:hanging="360"/>
      </w:pPr>
      <w:rPr>
        <w:rFonts w:ascii="Symbol" w:hAnsi="Symbol"/>
      </w:rPr>
    </w:lvl>
    <w:lvl w:ilvl="6" w:tplc="1826D328">
      <w:start w:val="1"/>
      <w:numFmt w:val="bullet"/>
      <w:lvlText w:val=""/>
      <w:lvlJc w:val="left"/>
      <w:pPr>
        <w:ind w:left="1080" w:hanging="360"/>
      </w:pPr>
      <w:rPr>
        <w:rFonts w:ascii="Symbol" w:hAnsi="Symbol"/>
      </w:rPr>
    </w:lvl>
    <w:lvl w:ilvl="7" w:tplc="27CACC7C">
      <w:start w:val="1"/>
      <w:numFmt w:val="bullet"/>
      <w:lvlText w:val=""/>
      <w:lvlJc w:val="left"/>
      <w:pPr>
        <w:ind w:left="1080" w:hanging="360"/>
      </w:pPr>
      <w:rPr>
        <w:rFonts w:ascii="Symbol" w:hAnsi="Symbol"/>
      </w:rPr>
    </w:lvl>
    <w:lvl w:ilvl="8" w:tplc="344CA4EA">
      <w:start w:val="1"/>
      <w:numFmt w:val="bullet"/>
      <w:lvlText w:val=""/>
      <w:lvlJc w:val="left"/>
      <w:pPr>
        <w:ind w:left="1080" w:hanging="360"/>
      </w:pPr>
      <w:rPr>
        <w:rFonts w:ascii="Symbol" w:hAnsi="Symbol"/>
      </w:rPr>
    </w:lvl>
  </w:abstractNum>
  <w:abstractNum w:abstractNumId="2" w15:restartNumberingAfterBreak="0">
    <w:nsid w:val="0C746D2D"/>
    <w:multiLevelType w:val="hybridMultilevel"/>
    <w:tmpl w:val="550616E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08E475"/>
    <w:multiLevelType w:val="multilevel"/>
    <w:tmpl w:val="4AE9105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108BED0C"/>
    <w:multiLevelType w:val="multilevel"/>
    <w:tmpl w:val="A874493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D091450"/>
    <w:multiLevelType w:val="hybridMultilevel"/>
    <w:tmpl w:val="F918B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81A52"/>
    <w:multiLevelType w:val="hybridMultilevel"/>
    <w:tmpl w:val="FC2CAC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A2D75D0"/>
    <w:multiLevelType w:val="multilevel"/>
    <w:tmpl w:val="5A53C0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A6A444F"/>
    <w:multiLevelType w:val="multilevel"/>
    <w:tmpl w:val="25A5374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21D83"/>
    <w:multiLevelType w:val="hybridMultilevel"/>
    <w:tmpl w:val="7D860F9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C5F0044"/>
    <w:multiLevelType w:val="hybridMultilevel"/>
    <w:tmpl w:val="3DE26B24"/>
    <w:lvl w:ilvl="0" w:tplc="4F9A47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3272BE"/>
    <w:multiLevelType w:val="hybridMultilevel"/>
    <w:tmpl w:val="5F408B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482820">
    <w:abstractNumId w:val="3"/>
  </w:num>
  <w:num w:numId="2" w16cid:durableId="411778157">
    <w:abstractNumId w:val="0"/>
  </w:num>
  <w:num w:numId="3" w16cid:durableId="1999770485">
    <w:abstractNumId w:val="7"/>
  </w:num>
  <w:num w:numId="4" w16cid:durableId="1528712595">
    <w:abstractNumId w:val="4"/>
  </w:num>
  <w:num w:numId="5" w16cid:durableId="1351686817">
    <w:abstractNumId w:val="8"/>
  </w:num>
  <w:num w:numId="6" w16cid:durableId="2085687591">
    <w:abstractNumId w:val="10"/>
  </w:num>
  <w:num w:numId="7" w16cid:durableId="927688738">
    <w:abstractNumId w:val="6"/>
  </w:num>
  <w:num w:numId="8" w16cid:durableId="978462140">
    <w:abstractNumId w:val="11"/>
  </w:num>
  <w:num w:numId="9" w16cid:durableId="769400200">
    <w:abstractNumId w:val="5"/>
  </w:num>
  <w:num w:numId="10" w16cid:durableId="1932004364">
    <w:abstractNumId w:val="9"/>
  </w:num>
  <w:num w:numId="11" w16cid:durableId="673337548">
    <w:abstractNumId w:val="1"/>
  </w:num>
  <w:num w:numId="12" w16cid:durableId="156664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4B"/>
    <w:rsid w:val="00001905"/>
    <w:rsid w:val="000024D0"/>
    <w:rsid w:val="000108AA"/>
    <w:rsid w:val="00012167"/>
    <w:rsid w:val="000507AF"/>
    <w:rsid w:val="00066197"/>
    <w:rsid w:val="0008154B"/>
    <w:rsid w:val="000A404F"/>
    <w:rsid w:val="000A68F7"/>
    <w:rsid w:val="000B2BB1"/>
    <w:rsid w:val="000C34EE"/>
    <w:rsid w:val="000E4314"/>
    <w:rsid w:val="000F128A"/>
    <w:rsid w:val="000F33F4"/>
    <w:rsid w:val="0015514F"/>
    <w:rsid w:val="001604B9"/>
    <w:rsid w:val="00163876"/>
    <w:rsid w:val="001711EA"/>
    <w:rsid w:val="00180A6D"/>
    <w:rsid w:val="001B774D"/>
    <w:rsid w:val="001C5BB8"/>
    <w:rsid w:val="001D58A7"/>
    <w:rsid w:val="001E7BC5"/>
    <w:rsid w:val="00235E98"/>
    <w:rsid w:val="00276A6F"/>
    <w:rsid w:val="002A2FF8"/>
    <w:rsid w:val="002B3322"/>
    <w:rsid w:val="002E0AF1"/>
    <w:rsid w:val="002F5F88"/>
    <w:rsid w:val="0031148C"/>
    <w:rsid w:val="00313438"/>
    <w:rsid w:val="00316732"/>
    <w:rsid w:val="00316B04"/>
    <w:rsid w:val="00331994"/>
    <w:rsid w:val="003329EF"/>
    <w:rsid w:val="00344DB7"/>
    <w:rsid w:val="003468FA"/>
    <w:rsid w:val="00380F96"/>
    <w:rsid w:val="003904CE"/>
    <w:rsid w:val="00390D5A"/>
    <w:rsid w:val="00394F2A"/>
    <w:rsid w:val="003A28A8"/>
    <w:rsid w:val="003B2F55"/>
    <w:rsid w:val="003C4BF5"/>
    <w:rsid w:val="003D2ED2"/>
    <w:rsid w:val="003E71F5"/>
    <w:rsid w:val="003F08EB"/>
    <w:rsid w:val="00403135"/>
    <w:rsid w:val="00414AFC"/>
    <w:rsid w:val="00465E3E"/>
    <w:rsid w:val="00497C85"/>
    <w:rsid w:val="004A3B0D"/>
    <w:rsid w:val="004B2F59"/>
    <w:rsid w:val="004E1702"/>
    <w:rsid w:val="005254D0"/>
    <w:rsid w:val="00540E9D"/>
    <w:rsid w:val="00551498"/>
    <w:rsid w:val="00556CD5"/>
    <w:rsid w:val="0056529B"/>
    <w:rsid w:val="005A240A"/>
    <w:rsid w:val="005A265B"/>
    <w:rsid w:val="005B548C"/>
    <w:rsid w:val="005F0A4A"/>
    <w:rsid w:val="005F12E9"/>
    <w:rsid w:val="006452DE"/>
    <w:rsid w:val="00645B65"/>
    <w:rsid w:val="006D5355"/>
    <w:rsid w:val="006E6B2E"/>
    <w:rsid w:val="00715F7C"/>
    <w:rsid w:val="007345A9"/>
    <w:rsid w:val="00746510"/>
    <w:rsid w:val="007705F7"/>
    <w:rsid w:val="00771A37"/>
    <w:rsid w:val="00784132"/>
    <w:rsid w:val="00792D4D"/>
    <w:rsid w:val="007B2E57"/>
    <w:rsid w:val="007B59B8"/>
    <w:rsid w:val="007B5FD9"/>
    <w:rsid w:val="007D0A34"/>
    <w:rsid w:val="007D3E52"/>
    <w:rsid w:val="007F1D55"/>
    <w:rsid w:val="008276F1"/>
    <w:rsid w:val="00846704"/>
    <w:rsid w:val="00851C1F"/>
    <w:rsid w:val="00853C58"/>
    <w:rsid w:val="00883FF9"/>
    <w:rsid w:val="008A272A"/>
    <w:rsid w:val="008C2D9D"/>
    <w:rsid w:val="008F05C2"/>
    <w:rsid w:val="009044FF"/>
    <w:rsid w:val="0092439E"/>
    <w:rsid w:val="009B7DF0"/>
    <w:rsid w:val="009C4EE1"/>
    <w:rsid w:val="009D7172"/>
    <w:rsid w:val="00A0461C"/>
    <w:rsid w:val="00A3629F"/>
    <w:rsid w:val="00A47CB1"/>
    <w:rsid w:val="00A71D63"/>
    <w:rsid w:val="00A81CDC"/>
    <w:rsid w:val="00A87CA1"/>
    <w:rsid w:val="00AA2B6C"/>
    <w:rsid w:val="00AA42D4"/>
    <w:rsid w:val="00AC5D38"/>
    <w:rsid w:val="00AD60A9"/>
    <w:rsid w:val="00AE1F0D"/>
    <w:rsid w:val="00AF1966"/>
    <w:rsid w:val="00B076AB"/>
    <w:rsid w:val="00B11E77"/>
    <w:rsid w:val="00B45742"/>
    <w:rsid w:val="00B771FE"/>
    <w:rsid w:val="00BB4DF7"/>
    <w:rsid w:val="00BE2793"/>
    <w:rsid w:val="00BF6DB3"/>
    <w:rsid w:val="00C048B9"/>
    <w:rsid w:val="00C078AF"/>
    <w:rsid w:val="00C14DD6"/>
    <w:rsid w:val="00C757FC"/>
    <w:rsid w:val="00CC1D8D"/>
    <w:rsid w:val="00CC44C5"/>
    <w:rsid w:val="00CD5A6C"/>
    <w:rsid w:val="00D53F90"/>
    <w:rsid w:val="00D93A2B"/>
    <w:rsid w:val="00D97E6E"/>
    <w:rsid w:val="00DB54C0"/>
    <w:rsid w:val="00DB7613"/>
    <w:rsid w:val="00DC7BEC"/>
    <w:rsid w:val="00DD0D61"/>
    <w:rsid w:val="00DD5E6C"/>
    <w:rsid w:val="00DE7AC4"/>
    <w:rsid w:val="00E11424"/>
    <w:rsid w:val="00E24749"/>
    <w:rsid w:val="00E26932"/>
    <w:rsid w:val="00E56AED"/>
    <w:rsid w:val="00E579C4"/>
    <w:rsid w:val="00E63A2A"/>
    <w:rsid w:val="00E658E0"/>
    <w:rsid w:val="00E7346C"/>
    <w:rsid w:val="00EB568B"/>
    <w:rsid w:val="00EC5374"/>
    <w:rsid w:val="00EE0DF8"/>
    <w:rsid w:val="00F2307B"/>
    <w:rsid w:val="00F279DA"/>
    <w:rsid w:val="00F33D67"/>
    <w:rsid w:val="00F50D81"/>
    <w:rsid w:val="00F60A66"/>
    <w:rsid w:val="00F77C95"/>
    <w:rsid w:val="00F81874"/>
    <w:rsid w:val="00F94665"/>
    <w:rsid w:val="00FA4743"/>
    <w:rsid w:val="00FC4B46"/>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DD8F"/>
  <w15:docId w15:val="{D57ED5DE-73C0-465B-860C-137E0316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F6DB3"/>
    <w:pPr>
      <w:tabs>
        <w:tab w:val="center" w:pos="4513"/>
        <w:tab w:val="right" w:pos="9026"/>
      </w:tabs>
      <w:spacing w:line="240" w:lineRule="auto"/>
    </w:pPr>
  </w:style>
  <w:style w:type="character" w:customStyle="1" w:styleId="HeaderChar">
    <w:name w:val="Header Char"/>
    <w:basedOn w:val="DefaultParagraphFont"/>
    <w:link w:val="Header"/>
    <w:uiPriority w:val="99"/>
    <w:rsid w:val="00BF6DB3"/>
    <w:rPr>
      <w:rFonts w:ascii="Verdana" w:hAnsi="Verdana"/>
      <w:color w:val="000000"/>
      <w:sz w:val="18"/>
      <w:szCs w:val="18"/>
    </w:rPr>
  </w:style>
  <w:style w:type="paragraph" w:styleId="Footer">
    <w:name w:val="footer"/>
    <w:basedOn w:val="Normal"/>
    <w:link w:val="FooterChar"/>
    <w:uiPriority w:val="99"/>
    <w:unhideWhenUsed/>
    <w:rsid w:val="00BF6DB3"/>
    <w:pPr>
      <w:tabs>
        <w:tab w:val="center" w:pos="4513"/>
        <w:tab w:val="right" w:pos="9026"/>
      </w:tabs>
      <w:spacing w:line="240" w:lineRule="auto"/>
    </w:pPr>
  </w:style>
  <w:style w:type="character" w:customStyle="1" w:styleId="FooterChar">
    <w:name w:val="Footer Char"/>
    <w:basedOn w:val="DefaultParagraphFont"/>
    <w:link w:val="Footer"/>
    <w:uiPriority w:val="99"/>
    <w:rsid w:val="00BF6DB3"/>
    <w:rPr>
      <w:rFonts w:ascii="Verdana" w:hAnsi="Verdana"/>
      <w:color w:val="000000"/>
      <w:sz w:val="18"/>
      <w:szCs w:val="18"/>
    </w:rPr>
  </w:style>
  <w:style w:type="paragraph" w:styleId="FootnoteText">
    <w:name w:val="footnote text"/>
    <w:basedOn w:val="Normal"/>
    <w:link w:val="FootnoteTextChar"/>
    <w:uiPriority w:val="99"/>
    <w:semiHidden/>
    <w:unhideWhenUsed/>
    <w:rsid w:val="00F94665"/>
    <w:pPr>
      <w:spacing w:line="240" w:lineRule="auto"/>
    </w:pPr>
    <w:rPr>
      <w:sz w:val="20"/>
      <w:szCs w:val="20"/>
    </w:rPr>
  </w:style>
  <w:style w:type="character" w:customStyle="1" w:styleId="FootnoteTextChar">
    <w:name w:val="Footnote Text Char"/>
    <w:basedOn w:val="DefaultParagraphFont"/>
    <w:link w:val="FootnoteText"/>
    <w:uiPriority w:val="99"/>
    <w:semiHidden/>
    <w:rsid w:val="00F94665"/>
    <w:rPr>
      <w:rFonts w:ascii="Verdana" w:hAnsi="Verdana"/>
      <w:color w:val="000000"/>
    </w:rPr>
  </w:style>
  <w:style w:type="character" w:styleId="FootnoteReference">
    <w:name w:val="footnote reference"/>
    <w:basedOn w:val="DefaultParagraphFont"/>
    <w:uiPriority w:val="99"/>
    <w:semiHidden/>
    <w:unhideWhenUsed/>
    <w:rsid w:val="00F94665"/>
    <w:rPr>
      <w:vertAlign w:val="superscript"/>
    </w:rPr>
  </w:style>
  <w:style w:type="character" w:styleId="UnresolvedMention">
    <w:name w:val="Unresolved Mention"/>
    <w:basedOn w:val="DefaultParagraphFont"/>
    <w:uiPriority w:val="99"/>
    <w:semiHidden/>
    <w:unhideWhenUsed/>
    <w:rsid w:val="00394F2A"/>
    <w:rPr>
      <w:color w:val="605E5C"/>
      <w:shd w:val="clear" w:color="auto" w:fill="E1DFDD"/>
    </w:rPr>
  </w:style>
  <w:style w:type="paragraph" w:styleId="ListParagraph">
    <w:name w:val="List Paragraph"/>
    <w:basedOn w:val="Normal"/>
    <w:uiPriority w:val="34"/>
    <w:rsid w:val="00CD5A6C"/>
    <w:pPr>
      <w:ind w:left="720"/>
      <w:contextualSpacing/>
    </w:pPr>
  </w:style>
  <w:style w:type="character" w:styleId="CommentReference">
    <w:name w:val="annotation reference"/>
    <w:basedOn w:val="DefaultParagraphFont"/>
    <w:uiPriority w:val="99"/>
    <w:semiHidden/>
    <w:unhideWhenUsed/>
    <w:rsid w:val="00EC5374"/>
    <w:rPr>
      <w:sz w:val="16"/>
      <w:szCs w:val="16"/>
    </w:rPr>
  </w:style>
  <w:style w:type="paragraph" w:styleId="CommentText">
    <w:name w:val="annotation text"/>
    <w:basedOn w:val="Normal"/>
    <w:link w:val="CommentTextChar"/>
    <w:uiPriority w:val="99"/>
    <w:unhideWhenUsed/>
    <w:rsid w:val="00EC5374"/>
    <w:pPr>
      <w:spacing w:line="240" w:lineRule="auto"/>
    </w:pPr>
    <w:rPr>
      <w:sz w:val="20"/>
      <w:szCs w:val="20"/>
    </w:rPr>
  </w:style>
  <w:style w:type="character" w:customStyle="1" w:styleId="CommentTextChar">
    <w:name w:val="Comment Text Char"/>
    <w:basedOn w:val="DefaultParagraphFont"/>
    <w:link w:val="CommentText"/>
    <w:uiPriority w:val="99"/>
    <w:rsid w:val="00EC53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5374"/>
    <w:rPr>
      <w:b/>
      <w:bCs/>
    </w:rPr>
  </w:style>
  <w:style w:type="character" w:customStyle="1" w:styleId="CommentSubjectChar">
    <w:name w:val="Comment Subject Char"/>
    <w:basedOn w:val="CommentTextChar"/>
    <w:link w:val="CommentSubject"/>
    <w:uiPriority w:val="99"/>
    <w:semiHidden/>
    <w:rsid w:val="00EC5374"/>
    <w:rPr>
      <w:rFonts w:ascii="Verdana" w:hAnsi="Verdana"/>
      <w:b/>
      <w:bCs/>
      <w:color w:val="000000"/>
    </w:rPr>
  </w:style>
  <w:style w:type="paragraph" w:styleId="Revision">
    <w:name w:val="Revision"/>
    <w:hidden/>
    <w:uiPriority w:val="99"/>
    <w:semiHidden/>
    <w:rsid w:val="00E658E0"/>
    <w:pPr>
      <w:autoSpaceDN/>
      <w:textAlignment w:val="auto"/>
    </w:pPr>
    <w:rPr>
      <w:rFonts w:ascii="Verdana" w:hAnsi="Verdana"/>
      <w:color w:val="000000"/>
      <w:sz w:val="18"/>
      <w:szCs w:val="18"/>
    </w:rPr>
  </w:style>
  <w:style w:type="table" w:styleId="TableGrid">
    <w:name w:val="Table Grid"/>
    <w:basedOn w:val="TableNormal"/>
    <w:rsid w:val="008A272A"/>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3F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4878&amp;did=2025D3436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1538</ap:Words>
  <ap:Characters>8462</ap:Characters>
  <ap:DocSecurity>0</ap:DocSecurity>
  <ap:Lines>70</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 Speciaal Tribunaal voor het Misdrijf Agressie Tegen Oekraine</vt:lpstr>
      <vt:lpstr>Kamerbrief - Speciaal Tribunaal voor het Misdrijf Agressie Tegen Oekraine</vt:lpstr>
    </vt:vector>
  </ap:TitlesOfParts>
  <ap:LinksUpToDate>false</ap:LinksUpToDate>
  <ap:CharactersWithSpaces>9981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2025-10-28T08:55:00.0000000Z</dcterms:created>
  <dcterms:modified xsi:type="dcterms:W3CDTF">2025-10-28T08:55:00.0000000Z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b94245c7-2692-4bc7-a1c9-c142fdea5c61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