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15B" w:rsidR="004C715B" w:rsidP="001B1790" w:rsidRDefault="004C715B" w14:paraId="77DCAB9E" w14:textId="0D1014A2">
      <w:r w:rsidRPr="004C715B">
        <w:t>Geachte Voorzitter,</w:t>
      </w:r>
    </w:p>
    <w:p w:rsidRPr="004C715B" w:rsidR="004C715B" w:rsidP="001B1790" w:rsidRDefault="004C715B" w14:paraId="67B0CC60" w14:textId="77777777"/>
    <w:p w:rsidRPr="004C715B" w:rsidR="004C715B" w:rsidP="001B1790" w:rsidRDefault="004C715B" w14:paraId="049D7916" w14:textId="1C0F0C76">
      <w:r w:rsidRPr="004C715B">
        <w:t xml:space="preserve">Hierbij zend ik u de antwoorden op het Schriftelijk Overleg over de Energieraad van </w:t>
      </w:r>
      <w:r w:rsidR="00C16D98">
        <w:t>20 oktober</w:t>
      </w:r>
      <w:r w:rsidRPr="004C715B">
        <w:t>.</w:t>
      </w:r>
    </w:p>
    <w:p w:rsidR="004C715B" w:rsidP="001B1790" w:rsidRDefault="004C715B" w14:paraId="283AFE49" w14:textId="77777777"/>
    <w:p w:rsidR="001B1790" w:rsidP="001B1790" w:rsidRDefault="001B1790" w14:paraId="43A17620" w14:textId="77777777"/>
    <w:p w:rsidR="001B1790" w:rsidP="001B1790" w:rsidRDefault="001B1790" w14:paraId="113CF8D4" w14:textId="77777777"/>
    <w:p w:rsidR="001B1790" w:rsidP="001B1790" w:rsidRDefault="001B1790" w14:paraId="2214A9A0" w14:textId="77777777"/>
    <w:p w:rsidR="001B1790" w:rsidP="001B1790" w:rsidRDefault="001B1790" w14:paraId="23052FB5" w14:textId="77777777"/>
    <w:p w:rsidRPr="004C715B" w:rsidR="004C715B" w:rsidP="001B1790" w:rsidRDefault="004C715B" w14:paraId="7A3A0052" w14:textId="77777777">
      <w:r w:rsidRPr="004C715B">
        <w:t>Sophie Hermans</w:t>
      </w:r>
    </w:p>
    <w:p w:rsidR="004C715B" w:rsidP="001B1790" w:rsidRDefault="004C715B" w14:paraId="1E2B46C6" w14:textId="47C67EF0">
      <w:r w:rsidRPr="004C715B">
        <w:t>Minister van Klimaat en Groene Groei</w:t>
      </w:r>
    </w:p>
    <w:p w:rsidR="004C715B" w:rsidP="001B1790" w:rsidRDefault="004C715B" w14:paraId="25008DF6" w14:textId="77777777">
      <w:r>
        <w:br w:type="page"/>
      </w:r>
    </w:p>
    <w:p w:rsidRPr="00C6753F" w:rsidR="004C715B" w:rsidP="001B1790" w:rsidRDefault="004C715B" w14:paraId="06DC2C7E" w14:textId="77777777">
      <w:r>
        <w:rPr>
          <w:rFonts w:eastAsia="Verdana" w:cs="Verdana"/>
          <w:b/>
          <w:szCs w:val="18"/>
        </w:rPr>
        <w:t>Vrage</w:t>
      </w:r>
      <w:r w:rsidRPr="219ECD1B">
        <w:rPr>
          <w:rFonts w:eastAsia="Verdana" w:cs="Verdana"/>
          <w:b/>
          <w:szCs w:val="18"/>
        </w:rPr>
        <w:t>n en opmerkingen van de leden van</w:t>
      </w:r>
      <w:r>
        <w:rPr>
          <w:rFonts w:eastAsia="Verdana" w:cs="Verdana"/>
          <w:b/>
          <w:szCs w:val="18"/>
        </w:rPr>
        <w:t xml:space="preserve"> </w:t>
      </w:r>
      <w:proofErr w:type="spellStart"/>
      <w:r>
        <w:rPr>
          <w:rFonts w:eastAsia="Verdana" w:cs="Verdana"/>
          <w:b/>
          <w:szCs w:val="18"/>
        </w:rPr>
        <w:t>van</w:t>
      </w:r>
      <w:proofErr w:type="spellEnd"/>
      <w:r>
        <w:rPr>
          <w:rFonts w:eastAsia="Verdana" w:cs="Verdana"/>
          <w:b/>
          <w:szCs w:val="18"/>
        </w:rPr>
        <w:t xml:space="preserve"> de fracties</w:t>
      </w:r>
      <w:r w:rsidRPr="219ECD1B">
        <w:rPr>
          <w:rFonts w:eastAsia="Verdana" w:cs="Verdana"/>
          <w:b/>
          <w:szCs w:val="18"/>
        </w:rPr>
        <w:t xml:space="preserve"> GroenLinks-PvdA</w:t>
      </w:r>
      <w:r>
        <w:rPr>
          <w:rFonts w:eastAsia="Verdana" w:cs="Verdana"/>
          <w:b/>
          <w:szCs w:val="18"/>
        </w:rPr>
        <w:t xml:space="preserve"> en Volt</w:t>
      </w:r>
    </w:p>
    <w:p w:rsidRPr="00C6753F" w:rsidR="004C715B" w:rsidP="001B1790" w:rsidRDefault="004C715B" w14:paraId="47A3A40E" w14:textId="77777777">
      <w:r w:rsidRPr="219ECD1B">
        <w:rPr>
          <w:rFonts w:eastAsia="Verdana" w:cs="Verdana"/>
          <w:szCs w:val="18"/>
        </w:rPr>
        <w:t xml:space="preserve">De leden van de </w:t>
      </w:r>
      <w:r>
        <w:rPr>
          <w:rFonts w:eastAsia="Verdana" w:cs="Verdana"/>
          <w:szCs w:val="18"/>
        </w:rPr>
        <w:t xml:space="preserve">fractie van </w:t>
      </w:r>
      <w:r w:rsidRPr="219ECD1B">
        <w:rPr>
          <w:rFonts w:eastAsia="Verdana" w:cs="Verdana"/>
          <w:szCs w:val="18"/>
        </w:rPr>
        <w:t>GroenLinks-PvdA</w:t>
      </w:r>
      <w:r>
        <w:rPr>
          <w:rFonts w:eastAsia="Verdana" w:cs="Verdana"/>
          <w:szCs w:val="18"/>
        </w:rPr>
        <w:t xml:space="preserve"> en van de fractie Volt </w:t>
      </w:r>
      <w:r w:rsidRPr="219ECD1B">
        <w:rPr>
          <w:rFonts w:eastAsia="Verdana" w:cs="Verdana"/>
          <w:szCs w:val="18"/>
        </w:rPr>
        <w:t>hebben met interesse kennisgenomen van de geannoteerde agenda. De leden hebben hierover nog enkele vragen.</w:t>
      </w:r>
    </w:p>
    <w:p w:rsidRPr="00C6753F" w:rsidR="004C715B" w:rsidP="001B1790" w:rsidRDefault="004C715B" w14:paraId="6BD99575" w14:textId="77777777">
      <w:r w:rsidRPr="219ECD1B">
        <w:rPr>
          <w:rFonts w:eastAsia="Verdana" w:cs="Verdana"/>
          <w:szCs w:val="18"/>
        </w:rPr>
        <w:t xml:space="preserve"> </w:t>
      </w:r>
    </w:p>
    <w:p w:rsidRPr="00C6753F" w:rsidR="004C715B" w:rsidP="001B1790" w:rsidRDefault="004C715B" w14:paraId="1547AAAF" w14:textId="77777777">
      <w:r w:rsidRPr="219ECD1B">
        <w:rPr>
          <w:rFonts w:eastAsia="Verdana" w:cs="Verdana"/>
          <w:szCs w:val="18"/>
        </w:rPr>
        <w:t>1</w:t>
      </w:r>
    </w:p>
    <w:p w:rsidRPr="00692D87" w:rsidR="004C715B" w:rsidP="001B1790" w:rsidRDefault="004C715B" w14:paraId="796BB4BE" w14:textId="77777777">
      <w:pPr>
        <w:rPr>
          <w:rFonts w:eastAsia="Verdana" w:cs="Verdana"/>
        </w:rPr>
      </w:pPr>
      <w:r w:rsidRPr="0298E8B0">
        <w:rPr>
          <w:rFonts w:eastAsia="Verdana" w:cs="Verdana"/>
        </w:rPr>
        <w:t>Kan de minister toelichten welke concrete acties er in de Actieagenda Elektrificatie Industrie staan?</w:t>
      </w:r>
      <w:r w:rsidRPr="00692D87">
        <w:t xml:space="preserve"> </w:t>
      </w:r>
      <w:r w:rsidRPr="0298E8B0">
        <w:rPr>
          <w:rFonts w:eastAsia="Verdana" w:cs="Verdana"/>
        </w:rPr>
        <w:t>Betekent de pijler ‘consistent beleid’ dat er vanuit de Europese Unie (EU) meer regie zal komen op de elektrificatie van de industrie? Wat betekent dit concreet?</w:t>
      </w:r>
    </w:p>
    <w:p w:rsidRPr="00C6753F" w:rsidR="004C715B" w:rsidP="001B1790" w:rsidRDefault="004C715B" w14:paraId="3401CD91" w14:textId="77777777">
      <w:r w:rsidRPr="0298E8B0">
        <w:rPr>
          <w:rFonts w:eastAsia="Verdana" w:cs="Verdana"/>
        </w:rPr>
        <w:t xml:space="preserve"> </w:t>
      </w:r>
    </w:p>
    <w:p w:rsidRPr="00D93339" w:rsidR="004C715B" w:rsidP="001B1790" w:rsidRDefault="004C715B" w14:paraId="443806EC" w14:textId="77777777">
      <w:r w:rsidRPr="4A24BD0F">
        <w:rPr>
          <w:rFonts w:eastAsia="Verdana" w:cs="Verdana"/>
        </w:rPr>
        <w:t>Antwoord</w:t>
      </w:r>
    </w:p>
    <w:p w:rsidRPr="00C65DDB" w:rsidR="004C715B" w:rsidP="001B1790" w:rsidRDefault="004C715B" w14:paraId="346E5E02" w14:textId="77777777">
      <w:pPr>
        <w:rPr>
          <w:color w:val="000000"/>
          <w:lang w:eastAsia="en-GB"/>
        </w:rPr>
      </w:pPr>
      <w:r w:rsidRPr="00C65DDB">
        <w:rPr>
          <w:color w:val="000000" w:themeColor="text1"/>
          <w:lang w:eastAsia="en-GB"/>
        </w:rPr>
        <w:t>Voor de concrete acties verwijs ik naar de Actieagenda Elektrificatie</w:t>
      </w:r>
      <w:r w:rsidRPr="00C65DDB">
        <w:rPr>
          <w:color w:val="000000"/>
          <w:lang w:eastAsia="en-GB"/>
        </w:rPr>
        <w:t xml:space="preserve"> Industrie</w:t>
      </w:r>
      <w:r>
        <w:rPr>
          <w:rStyle w:val="Voetnootmarkering"/>
          <w:rFonts w:eastAsiaTheme="majorEastAsia"/>
          <w:color w:val="000000"/>
          <w:szCs w:val="18"/>
          <w:lang w:val="en-US" w:eastAsia="en-GB"/>
        </w:rPr>
        <w:footnoteReference w:id="1"/>
      </w:r>
      <w:r w:rsidRPr="00C65DDB">
        <w:rPr>
          <w:color w:val="000000" w:themeColor="text1"/>
          <w:lang w:eastAsia="en-GB"/>
        </w:rPr>
        <w:t xml:space="preserve">, waarin diverse maatregelen zijn opgenomen om elektrificatie te versnellen. Denk hierbij aan het aantrekkelijker maken van elektrificatie via instrumenten als de SDE++, het ontwikkelen van gerichte elektrificatiestrategieën voor sectoren met veel laag- en </w:t>
      </w:r>
      <w:proofErr w:type="spellStart"/>
      <w:r w:rsidRPr="00C65DDB">
        <w:rPr>
          <w:color w:val="000000" w:themeColor="text1"/>
          <w:lang w:eastAsia="en-GB"/>
        </w:rPr>
        <w:t>middentemperatuurwarmte</w:t>
      </w:r>
      <w:proofErr w:type="spellEnd"/>
      <w:r w:rsidRPr="00C65DDB">
        <w:rPr>
          <w:color w:val="000000" w:themeColor="text1"/>
          <w:lang w:eastAsia="en-GB"/>
        </w:rPr>
        <w:t xml:space="preserve"> (zoals de </w:t>
      </w:r>
      <w:proofErr w:type="spellStart"/>
      <w:r w:rsidRPr="00C65DDB">
        <w:rPr>
          <w:color w:val="000000" w:themeColor="text1"/>
          <w:lang w:eastAsia="en-GB"/>
        </w:rPr>
        <w:t>voedingsmiddelen</w:t>
      </w:r>
      <w:proofErr w:type="spellEnd"/>
      <w:r w:rsidRPr="00C65DDB">
        <w:rPr>
          <w:color w:val="000000" w:themeColor="text1"/>
          <w:lang w:eastAsia="en-GB"/>
        </w:rPr>
        <w:t>- en papierindustrie), en het bevorderen van innovatie en kennisdeling.</w:t>
      </w:r>
    </w:p>
    <w:p w:rsidRPr="00C65DDB" w:rsidR="004C715B" w:rsidP="001B1790" w:rsidRDefault="004C715B" w14:paraId="09193724" w14:textId="77777777">
      <w:pPr>
        <w:rPr>
          <w:color w:val="000000"/>
          <w:lang w:eastAsia="en-GB"/>
        </w:rPr>
      </w:pPr>
    </w:p>
    <w:p w:rsidRPr="00C65DDB" w:rsidR="004C715B" w:rsidP="001B1790" w:rsidRDefault="004C715B" w14:paraId="27650D56" w14:textId="77777777">
      <w:pPr>
        <w:rPr>
          <w:color w:val="000000"/>
          <w:lang w:eastAsia="en-GB"/>
        </w:rPr>
      </w:pPr>
      <w:r w:rsidRPr="00C65DDB">
        <w:rPr>
          <w:color w:val="000000" w:themeColor="text1"/>
          <w:lang w:eastAsia="en-GB"/>
        </w:rPr>
        <w:t xml:space="preserve">De pijler ‘consistent beleid’ verwijst naar de noodzaak van langdurige en voorspelbare overheidskeuzes die investeringszekerheid bieden. Elektrificatie wordt daarbij expliciet gepositioneerd als voorkeursroute voor laag- en </w:t>
      </w:r>
      <w:proofErr w:type="spellStart"/>
      <w:r w:rsidRPr="00C65DDB">
        <w:rPr>
          <w:color w:val="000000" w:themeColor="text1"/>
          <w:lang w:eastAsia="en-GB"/>
        </w:rPr>
        <w:t>middentemperatuurprocessen</w:t>
      </w:r>
      <w:proofErr w:type="spellEnd"/>
      <w:r w:rsidRPr="00C65DDB">
        <w:rPr>
          <w:color w:val="000000" w:themeColor="text1"/>
          <w:lang w:eastAsia="en-GB"/>
        </w:rPr>
        <w:t>. Dit wordt meegenomen in de herijking van het Nationaal Plan Energiesysteem (2026) en is al zichtbaar in nationale beleidsinstrumenten.</w:t>
      </w:r>
    </w:p>
    <w:p w:rsidRPr="00C65DDB" w:rsidR="004C715B" w:rsidP="001B1790" w:rsidRDefault="004C715B" w14:paraId="6ABD6AFD" w14:textId="77777777">
      <w:pPr>
        <w:rPr>
          <w:color w:val="000000"/>
          <w:lang w:eastAsia="en-GB"/>
        </w:rPr>
      </w:pPr>
    </w:p>
    <w:p w:rsidRPr="00C65DDB" w:rsidR="004C715B" w:rsidP="001B1790" w:rsidRDefault="004C715B" w14:paraId="7FBE6870" w14:textId="2D10B7FC">
      <w:pPr>
        <w:rPr>
          <w:color w:val="000000"/>
          <w:lang w:eastAsia="en-GB"/>
        </w:rPr>
      </w:pPr>
      <w:r w:rsidRPr="00C65DDB">
        <w:rPr>
          <w:color w:val="000000" w:themeColor="text1"/>
          <w:lang w:eastAsia="en-GB"/>
        </w:rPr>
        <w:t xml:space="preserve">Wat betreft Europese regie: er zijn op dit moment meerdere EU-beleidstrajecten in ontwikkeling die elektrificatie aanjagen, zoals de Clean Industrial Deal (CID), het Action Plan </w:t>
      </w:r>
      <w:proofErr w:type="spellStart"/>
      <w:r w:rsidRPr="00C65DDB">
        <w:rPr>
          <w:color w:val="000000" w:themeColor="text1"/>
          <w:lang w:eastAsia="en-GB"/>
        </w:rPr>
        <w:t>for</w:t>
      </w:r>
      <w:proofErr w:type="spellEnd"/>
      <w:r w:rsidRPr="00C65DDB">
        <w:rPr>
          <w:color w:val="000000" w:themeColor="text1"/>
          <w:lang w:eastAsia="en-GB"/>
        </w:rPr>
        <w:t xml:space="preserve"> </w:t>
      </w:r>
      <w:proofErr w:type="spellStart"/>
      <w:r w:rsidRPr="00C65DDB">
        <w:rPr>
          <w:color w:val="000000" w:themeColor="text1"/>
          <w:lang w:eastAsia="en-GB"/>
        </w:rPr>
        <w:t>Affordable</w:t>
      </w:r>
      <w:proofErr w:type="spellEnd"/>
      <w:r w:rsidRPr="00C65DDB">
        <w:rPr>
          <w:color w:val="000000" w:themeColor="text1"/>
          <w:lang w:eastAsia="en-GB"/>
        </w:rPr>
        <w:t xml:space="preserve"> Energy (AEAP), het tijdelijke Clean Industrial State </w:t>
      </w:r>
      <w:proofErr w:type="spellStart"/>
      <w:r w:rsidRPr="00C65DDB">
        <w:rPr>
          <w:color w:val="000000" w:themeColor="text1"/>
          <w:lang w:eastAsia="en-GB"/>
        </w:rPr>
        <w:t>Aid</w:t>
      </w:r>
      <w:proofErr w:type="spellEnd"/>
      <w:r w:rsidRPr="00C65DDB">
        <w:rPr>
          <w:color w:val="000000" w:themeColor="text1"/>
          <w:lang w:eastAsia="en-GB"/>
        </w:rPr>
        <w:t xml:space="preserve"> Framework (CISAF) en het in 2026 verwachte </w:t>
      </w:r>
      <w:proofErr w:type="spellStart"/>
      <w:r w:rsidRPr="00C65DDB">
        <w:rPr>
          <w:color w:val="000000" w:themeColor="text1"/>
          <w:lang w:eastAsia="en-GB"/>
        </w:rPr>
        <w:t>Electrification</w:t>
      </w:r>
      <w:proofErr w:type="spellEnd"/>
      <w:r w:rsidRPr="00C65DDB">
        <w:rPr>
          <w:color w:val="000000" w:themeColor="text1"/>
          <w:lang w:eastAsia="en-GB"/>
        </w:rPr>
        <w:t xml:space="preserve"> Action Plan (EAP). </w:t>
      </w:r>
      <w:r w:rsidR="00C16D98">
        <w:rPr>
          <w:color w:val="000000" w:themeColor="text1"/>
          <w:lang w:eastAsia="en-GB"/>
        </w:rPr>
        <w:t xml:space="preserve">Het kabinet zet zich </w:t>
      </w:r>
      <w:r w:rsidRPr="00C65DDB">
        <w:rPr>
          <w:color w:val="000000" w:themeColor="text1"/>
          <w:lang w:eastAsia="en-GB"/>
        </w:rPr>
        <w:t>ervoor in dat Nederlandse belangen actief worden ingebracht en dat nationale beleidsmaatregelen coherent aansluiten bij deze Europese kaders.</w:t>
      </w:r>
    </w:p>
    <w:p w:rsidRPr="00C65DDB" w:rsidR="004C715B" w:rsidP="001B1790" w:rsidRDefault="004C715B" w14:paraId="46B98C8B" w14:textId="77777777">
      <w:pPr>
        <w:rPr>
          <w:rFonts w:eastAsia="Verdana" w:cs="Verdana"/>
        </w:rPr>
      </w:pPr>
    </w:p>
    <w:p w:rsidRPr="00C6753F" w:rsidR="004C715B" w:rsidP="001B1790" w:rsidRDefault="004C715B" w14:paraId="6FAA8619" w14:textId="77777777">
      <w:r w:rsidRPr="0298E8B0">
        <w:rPr>
          <w:rFonts w:eastAsia="Verdana" w:cs="Verdana"/>
        </w:rPr>
        <w:t>2</w:t>
      </w:r>
    </w:p>
    <w:p w:rsidRPr="0064298E" w:rsidR="004C715B" w:rsidP="001B1790" w:rsidRDefault="004C715B" w14:paraId="7BE76E2E" w14:textId="77777777">
      <w:r w:rsidRPr="0064298E">
        <w:t xml:space="preserve">Wat betekent de verkenning van </w:t>
      </w:r>
      <w:proofErr w:type="spellStart"/>
      <w:r w:rsidRPr="0298E8B0">
        <w:t>Contracts</w:t>
      </w:r>
      <w:proofErr w:type="spellEnd"/>
      <w:r w:rsidRPr="0298E8B0">
        <w:t xml:space="preserve"> </w:t>
      </w:r>
      <w:proofErr w:type="spellStart"/>
      <w:r w:rsidRPr="0298E8B0">
        <w:t>for</w:t>
      </w:r>
      <w:proofErr w:type="spellEnd"/>
      <w:r w:rsidRPr="0298E8B0">
        <w:t xml:space="preserve"> </w:t>
      </w:r>
      <w:proofErr w:type="spellStart"/>
      <w:r w:rsidRPr="0298E8B0">
        <w:t>Difference</w:t>
      </w:r>
      <w:proofErr w:type="spellEnd"/>
      <w:r w:rsidRPr="0298E8B0">
        <w:t xml:space="preserve"> (</w:t>
      </w:r>
      <w:proofErr w:type="spellStart"/>
      <w:r w:rsidRPr="0298E8B0">
        <w:t>CfD’s</w:t>
      </w:r>
      <w:proofErr w:type="spellEnd"/>
      <w:r w:rsidRPr="0298E8B0">
        <w:t>)?</w:t>
      </w:r>
      <w:r w:rsidRPr="0064298E">
        <w:rPr>
          <w:i/>
          <w:iCs/>
        </w:rPr>
        <w:t xml:space="preserve"> </w:t>
      </w:r>
      <w:r w:rsidRPr="0064298E">
        <w:t xml:space="preserve">Is er een mogelijkheid dat </w:t>
      </w:r>
      <w:proofErr w:type="spellStart"/>
      <w:r w:rsidRPr="0064298E">
        <w:t>CfD’s</w:t>
      </w:r>
      <w:proofErr w:type="spellEnd"/>
      <w:r w:rsidRPr="0064298E">
        <w:t xml:space="preserve"> in de toekomst ook door de Europese Commissie worden opengesteld? Of is dit een verkenning waarbij de Europese Commissie onderzoekt hoe lidstaten deze vorm van subsidie kunnen opzetten? Hoe verhoudt deze verkenning zich tot het Nederlandse traject om </w:t>
      </w:r>
      <w:proofErr w:type="spellStart"/>
      <w:r w:rsidRPr="0064298E">
        <w:t>CfD’s</w:t>
      </w:r>
      <w:proofErr w:type="spellEnd"/>
      <w:r w:rsidRPr="0064298E">
        <w:t xml:space="preserve"> per 2027 open te stellen?</w:t>
      </w:r>
    </w:p>
    <w:p w:rsidRPr="00C6753F" w:rsidR="004C715B" w:rsidP="001B1790" w:rsidRDefault="004C715B" w14:paraId="787AD9B6" w14:textId="77777777">
      <w:r w:rsidRPr="0298E8B0">
        <w:rPr>
          <w:rFonts w:eastAsia="Verdana" w:cs="Verdana"/>
        </w:rPr>
        <w:t xml:space="preserve"> </w:t>
      </w:r>
    </w:p>
    <w:p w:rsidR="004C715B" w:rsidP="001B1790" w:rsidRDefault="004C715B" w14:paraId="1BFF16D4" w14:textId="1B0917E0">
      <w:pPr>
        <w:rPr>
          <w:rFonts w:eastAsia="Verdana" w:cs="Verdana"/>
        </w:rPr>
      </w:pPr>
      <w:r w:rsidRPr="4A24BD0F">
        <w:rPr>
          <w:rFonts w:eastAsia="Verdana" w:cs="Verdana"/>
        </w:rPr>
        <w:t>Antwoord</w:t>
      </w:r>
    </w:p>
    <w:p w:rsidR="004C715B" w:rsidP="001B1790" w:rsidRDefault="004C715B" w14:paraId="241B724C" w14:textId="77777777">
      <w:pPr>
        <w:rPr>
          <w:color w:val="000000"/>
          <w:szCs w:val="18"/>
        </w:rPr>
      </w:pPr>
      <w:r>
        <w:rPr>
          <w:rFonts w:eastAsia="Verdana" w:cs="Verdana"/>
        </w:rPr>
        <w:t>H</w:t>
      </w:r>
      <w:r w:rsidRPr="00622600">
        <w:rPr>
          <w:color w:val="000000"/>
          <w:szCs w:val="18"/>
        </w:rPr>
        <w:t xml:space="preserve">et </w:t>
      </w:r>
      <w:r>
        <w:rPr>
          <w:color w:val="000000"/>
          <w:szCs w:val="18"/>
        </w:rPr>
        <w:t>kabinet</w:t>
      </w:r>
      <w:r w:rsidRPr="0298E8B0">
        <w:rPr>
          <w:color w:val="000000" w:themeColor="text1"/>
          <w:szCs w:val="18"/>
        </w:rPr>
        <w:t xml:space="preserve"> heeft in 2025 een onderzoek laten uitvoeren door E-bridge en </w:t>
      </w:r>
      <w:proofErr w:type="spellStart"/>
      <w:r w:rsidRPr="0298E8B0">
        <w:rPr>
          <w:color w:val="000000" w:themeColor="text1"/>
          <w:szCs w:val="18"/>
        </w:rPr>
        <w:t>Guidehouse</w:t>
      </w:r>
      <w:proofErr w:type="spellEnd"/>
      <w:r w:rsidRPr="0298E8B0">
        <w:rPr>
          <w:color w:val="000000" w:themeColor="text1"/>
          <w:szCs w:val="18"/>
        </w:rPr>
        <w:t xml:space="preserve"> naar de potentie voor verschillende vormen van </w:t>
      </w:r>
      <w:proofErr w:type="spellStart"/>
      <w:r w:rsidRPr="0298E8B0">
        <w:rPr>
          <w:color w:val="000000" w:themeColor="text1"/>
          <w:szCs w:val="18"/>
        </w:rPr>
        <w:t>Contracts</w:t>
      </w:r>
      <w:proofErr w:type="spellEnd"/>
      <w:r w:rsidRPr="0298E8B0">
        <w:rPr>
          <w:color w:val="000000" w:themeColor="text1"/>
          <w:szCs w:val="18"/>
        </w:rPr>
        <w:t xml:space="preserve"> </w:t>
      </w:r>
      <w:proofErr w:type="spellStart"/>
      <w:r w:rsidRPr="0298E8B0">
        <w:rPr>
          <w:color w:val="000000" w:themeColor="text1"/>
          <w:szCs w:val="18"/>
        </w:rPr>
        <w:t>for</w:t>
      </w:r>
      <w:proofErr w:type="spellEnd"/>
      <w:r w:rsidRPr="0298E8B0">
        <w:rPr>
          <w:color w:val="000000" w:themeColor="text1"/>
          <w:szCs w:val="18"/>
        </w:rPr>
        <w:t xml:space="preserve"> </w:t>
      </w:r>
      <w:proofErr w:type="spellStart"/>
      <w:r w:rsidRPr="0298E8B0">
        <w:rPr>
          <w:color w:val="000000" w:themeColor="text1"/>
          <w:szCs w:val="18"/>
        </w:rPr>
        <w:t>Difference</w:t>
      </w:r>
      <w:proofErr w:type="spellEnd"/>
      <w:r w:rsidRPr="0298E8B0">
        <w:rPr>
          <w:color w:val="000000" w:themeColor="text1"/>
          <w:szCs w:val="18"/>
        </w:rPr>
        <w:t xml:space="preserve"> (</w:t>
      </w:r>
      <w:proofErr w:type="spellStart"/>
      <w:r w:rsidRPr="0298E8B0">
        <w:rPr>
          <w:color w:val="000000" w:themeColor="text1"/>
          <w:szCs w:val="18"/>
        </w:rPr>
        <w:t>CfD's</w:t>
      </w:r>
      <w:proofErr w:type="spellEnd"/>
      <w:r w:rsidRPr="00622600">
        <w:rPr>
          <w:color w:val="000000"/>
          <w:szCs w:val="18"/>
        </w:rPr>
        <w:t>) aan de vraagzijde, specifiek gericht op industrieel elektriciteitsverbruik. De resultaten zijn opgeleverd in het derde kwartaal van 2025</w:t>
      </w:r>
      <w:r>
        <w:rPr>
          <w:rStyle w:val="Voetnootmarkering"/>
          <w:rFonts w:eastAsiaTheme="majorEastAsia"/>
          <w:color w:val="000000"/>
          <w:szCs w:val="18"/>
        </w:rPr>
        <w:footnoteReference w:id="2"/>
      </w:r>
      <w:r w:rsidRPr="0298E8B0">
        <w:rPr>
          <w:color w:val="000000" w:themeColor="text1"/>
          <w:szCs w:val="18"/>
        </w:rPr>
        <w:t xml:space="preserve"> en bieden inzicht in de mogelijke effecten van </w:t>
      </w:r>
      <w:proofErr w:type="spellStart"/>
      <w:r w:rsidRPr="0298E8B0">
        <w:rPr>
          <w:color w:val="000000" w:themeColor="text1"/>
          <w:szCs w:val="18"/>
        </w:rPr>
        <w:t>CfD’s</w:t>
      </w:r>
      <w:proofErr w:type="spellEnd"/>
      <w:r w:rsidRPr="00622600">
        <w:rPr>
          <w:color w:val="000000"/>
          <w:szCs w:val="18"/>
        </w:rPr>
        <w:t xml:space="preserve"> op prijszekerheid, investeringsbereidheid en de businesscase voor industriële elektrificatie.</w:t>
      </w:r>
    </w:p>
    <w:p w:rsidR="004C715B" w:rsidP="001B1790" w:rsidRDefault="004C715B" w14:paraId="4BFC98B0" w14:textId="77777777">
      <w:pPr>
        <w:rPr>
          <w:color w:val="000000"/>
          <w:szCs w:val="18"/>
        </w:rPr>
      </w:pPr>
    </w:p>
    <w:p w:rsidR="004C715B" w:rsidP="001B1790" w:rsidRDefault="004C715B" w14:paraId="347A71ED" w14:textId="77777777">
      <w:pPr>
        <w:rPr>
          <w:color w:val="000000" w:themeColor="text1"/>
          <w:szCs w:val="18"/>
        </w:rPr>
      </w:pPr>
      <w:proofErr w:type="spellStart"/>
      <w:r w:rsidRPr="7ADCAF33">
        <w:rPr>
          <w:color w:val="000000" w:themeColor="text1"/>
          <w:szCs w:val="18"/>
        </w:rPr>
        <w:t>CfD’s</w:t>
      </w:r>
      <w:proofErr w:type="spellEnd"/>
      <w:r w:rsidRPr="7ADCAF33">
        <w:rPr>
          <w:color w:val="000000" w:themeColor="text1"/>
          <w:szCs w:val="18"/>
        </w:rPr>
        <w:t xml:space="preserve"> kunnen – afhankelijk van de vormgeving – een instrument zijn om financiële risico’s te beperken en de operationele kosten (OPEX) voorspelbaarder te maken. Op basis van de onderzoeksresultaten volgt er begin volgend jaar een beleidsmatige appreciatie, inclusief een mogelijke schets voor mogelijke vervolgstappen. Daarbij wordt getoetst of een dergelijk vraagzijde-instrument past binnen het CEEAG (de richtsnoeren staatsteun ten behoeve van klimaat, milieubescherming en energie) en het nieuwe Europese CISAF-staatssteunkader, dat door de Europese Commissie eind juni 2025 is gepubliceerd. Dit kader biedt mogelijk ruimte om </w:t>
      </w:r>
      <w:proofErr w:type="spellStart"/>
      <w:r w:rsidRPr="7ADCAF33">
        <w:rPr>
          <w:color w:val="000000" w:themeColor="text1"/>
          <w:szCs w:val="18"/>
        </w:rPr>
        <w:t>CfD’s</w:t>
      </w:r>
      <w:proofErr w:type="spellEnd"/>
      <w:r w:rsidRPr="7ADCAF33">
        <w:rPr>
          <w:color w:val="000000" w:themeColor="text1"/>
          <w:szCs w:val="18"/>
        </w:rPr>
        <w:t xml:space="preserve"> aan de vraagzijde in te zetten ter ondersteuning van industriële elektrificatie.</w:t>
      </w:r>
    </w:p>
    <w:p w:rsidR="004C715B" w:rsidP="001B1790" w:rsidRDefault="004C715B" w14:paraId="587170B4" w14:textId="77777777">
      <w:pPr>
        <w:rPr>
          <w:color w:val="000000" w:themeColor="text1"/>
          <w:szCs w:val="18"/>
        </w:rPr>
      </w:pPr>
    </w:p>
    <w:p w:rsidRPr="00D93339" w:rsidR="004C715B" w:rsidP="001B1790" w:rsidRDefault="004C715B" w14:paraId="12FDA0E8" w14:textId="77777777">
      <w:pPr>
        <w:rPr>
          <w:rFonts w:eastAsia="Verdana" w:cs="Verdana"/>
        </w:rPr>
      </w:pPr>
      <w:r w:rsidRPr="7ADCAF33">
        <w:rPr>
          <w:color w:val="000000" w:themeColor="text1"/>
          <w:szCs w:val="18"/>
        </w:rPr>
        <w:t xml:space="preserve">Tot slot loopt parallel een separaat Nederlands traject ter ontwikkeling van </w:t>
      </w:r>
      <w:proofErr w:type="spellStart"/>
      <w:r w:rsidRPr="7ADCAF33">
        <w:rPr>
          <w:color w:val="000000" w:themeColor="text1"/>
          <w:szCs w:val="18"/>
        </w:rPr>
        <w:t>CfD’s</w:t>
      </w:r>
      <w:proofErr w:type="spellEnd"/>
      <w:r w:rsidRPr="7ADCAF33">
        <w:rPr>
          <w:color w:val="000000" w:themeColor="text1"/>
          <w:szCs w:val="18"/>
        </w:rPr>
        <w:t xml:space="preserve"> aan de aanbodzijde dat gericht is op het verbeteren van de investeringszekerheid voor wind op zee (WOZ) en waarbij tevens de overgang voor zon-pv en wind op land van de SDE++ naar </w:t>
      </w:r>
      <w:proofErr w:type="spellStart"/>
      <w:r w:rsidRPr="7ADCAF33">
        <w:rPr>
          <w:color w:val="000000" w:themeColor="text1"/>
          <w:szCs w:val="18"/>
        </w:rPr>
        <w:t>CfD’s</w:t>
      </w:r>
      <w:proofErr w:type="spellEnd"/>
      <w:r w:rsidRPr="7ADCAF33">
        <w:rPr>
          <w:color w:val="000000" w:themeColor="text1"/>
          <w:szCs w:val="18"/>
        </w:rPr>
        <w:t xml:space="preserve"> wordt voorbereid. Dit staat los van de verkenning voor industriële elektrificatie, maar beide trajecten worden inhoudelijk op elkaar afgestemd waar nodig.</w:t>
      </w:r>
    </w:p>
    <w:p w:rsidRPr="00C65DDB" w:rsidR="004C715B" w:rsidP="001B1790" w:rsidRDefault="004C715B" w14:paraId="27128CE5" w14:textId="77777777">
      <w:pPr>
        <w:rPr>
          <w:highlight w:val="yellow"/>
        </w:rPr>
      </w:pPr>
    </w:p>
    <w:p w:rsidRPr="00FD23EE" w:rsidR="004C715B" w:rsidP="001B1790" w:rsidRDefault="004C715B" w14:paraId="6EC654FC" w14:textId="77777777">
      <w:pPr>
        <w:rPr>
          <w:rFonts w:eastAsia="Verdana" w:cs="Verdana"/>
        </w:rPr>
      </w:pPr>
      <w:r w:rsidRPr="31D882AE">
        <w:rPr>
          <w:rFonts w:eastAsia="Verdana" w:cs="Verdana"/>
        </w:rPr>
        <w:t>3</w:t>
      </w:r>
    </w:p>
    <w:p w:rsidR="004C715B" w:rsidP="001B1790" w:rsidRDefault="004C715B" w14:paraId="49B74593" w14:textId="77777777">
      <w:r w:rsidRPr="0064298E">
        <w:t>De leden van de GroenLinks-PvdA-fractie vinden het belangrijk dat de industrie wordt geholpen met elektrificatie en dat gelijktijdig fossiele voordelen voor de industrie worden afgebouwd. Onderschrijft de minister dat deze twee zaken met elkaar verbonden zijn?</w:t>
      </w:r>
    </w:p>
    <w:p w:rsidRPr="00C6753F" w:rsidR="004C715B" w:rsidP="001B1790" w:rsidRDefault="004C715B" w14:paraId="16F50653" w14:textId="77777777"/>
    <w:p w:rsidR="004C715B" w:rsidP="001B1790" w:rsidRDefault="004C715B" w14:paraId="16F76041" w14:textId="03CBBCDF">
      <w:r w:rsidRPr="4A24BD0F">
        <w:rPr>
          <w:rFonts w:eastAsia="Verdana" w:cs="Verdana"/>
        </w:rPr>
        <w:t>Antwoord</w:t>
      </w:r>
    </w:p>
    <w:p w:rsidR="004C715B" w:rsidP="001B1790" w:rsidRDefault="004C715B" w14:paraId="2B345D27" w14:textId="0D19AE25">
      <w:r>
        <w:t xml:space="preserve">Ja, industriële elektrificatie en afbouw fossiele voordelen zijn indirect met elkaar verbonden. Zie </w:t>
      </w:r>
      <w:r w:rsidR="00FC0B6C">
        <w:t xml:space="preserve">ook het </w:t>
      </w:r>
      <w:r>
        <w:t xml:space="preserve">antwoord </w:t>
      </w:r>
      <w:r w:rsidR="00FC0B6C">
        <w:t xml:space="preserve">op </w:t>
      </w:r>
      <w:r>
        <w:t xml:space="preserve">vraag 4. </w:t>
      </w:r>
    </w:p>
    <w:p w:rsidRPr="008A332D" w:rsidR="004C715B" w:rsidP="001B1790" w:rsidRDefault="004C715B" w14:paraId="2F37CB55" w14:textId="77777777"/>
    <w:p w:rsidRPr="00C6753F" w:rsidR="004C715B" w:rsidP="001B1790" w:rsidRDefault="004C715B" w14:paraId="0A8039B3" w14:textId="77777777">
      <w:r w:rsidRPr="0298E8B0">
        <w:rPr>
          <w:rFonts w:eastAsia="Verdana" w:cs="Verdana"/>
        </w:rPr>
        <w:t>4</w:t>
      </w:r>
    </w:p>
    <w:p w:rsidRPr="0064298E" w:rsidR="004C715B" w:rsidP="001B1790" w:rsidRDefault="004C715B" w14:paraId="743235E1" w14:textId="77777777">
      <w:r w:rsidRPr="0064298E">
        <w:t>Wat is de samenhang tussen de plannen voor de elektrificatie van de industrie en het gelijktijdig afbouwen van de fossiele industrie en fossiele subsidies?</w:t>
      </w:r>
      <w:r w:rsidRPr="00692D87">
        <w:t xml:space="preserve"> </w:t>
      </w:r>
      <w:r w:rsidRPr="0064298E">
        <w:t>Als deze trajecten nu niet met elkaar verbonden zijn, kan de minister er dan voor zorgen dat dit wel gaat gebeuren?</w:t>
      </w:r>
      <w:r w:rsidRPr="00692D87">
        <w:t xml:space="preserve"> </w:t>
      </w:r>
      <w:r w:rsidRPr="0064298E">
        <w:t xml:space="preserve">Kan de minister toezeggen dat zij in de Brussel gaat inbrengen dat trajecten voor elektrificatie van de industrie moeten samengaan met een Europees </w:t>
      </w:r>
      <w:proofErr w:type="spellStart"/>
      <w:r w:rsidRPr="0064298E">
        <w:t>afbouwpad</w:t>
      </w:r>
      <w:proofErr w:type="spellEnd"/>
      <w:r w:rsidRPr="0064298E">
        <w:t xml:space="preserve"> voor fossiele subsidies? </w:t>
      </w:r>
    </w:p>
    <w:p w:rsidRPr="00C6753F" w:rsidR="004C715B" w:rsidP="001B1790" w:rsidRDefault="004C715B" w14:paraId="4549FF3C" w14:textId="77777777"/>
    <w:p w:rsidR="004C715B" w:rsidP="001B1790" w:rsidRDefault="004C715B" w14:paraId="42D17C6F" w14:textId="2D3BC690">
      <w:pPr>
        <w:rPr>
          <w:rFonts w:eastAsia="Verdana" w:cs="Verdana"/>
        </w:rPr>
      </w:pPr>
      <w:r w:rsidRPr="4A24BD0F">
        <w:rPr>
          <w:rFonts w:eastAsia="Verdana" w:cs="Verdana"/>
        </w:rPr>
        <w:t>Antwoord</w:t>
      </w:r>
      <w:bookmarkStart w:name="OLE_LINK6" w:id="0"/>
    </w:p>
    <w:p w:rsidR="004C715B" w:rsidP="001B1790" w:rsidRDefault="004C715B" w14:paraId="790F1B3A" w14:textId="77777777">
      <w:pPr>
        <w:rPr>
          <w:color w:val="000000"/>
          <w:szCs w:val="18"/>
        </w:rPr>
      </w:pPr>
      <w:r w:rsidRPr="31D882AE">
        <w:rPr>
          <w:color w:val="000000" w:themeColor="text1"/>
          <w:szCs w:val="18"/>
        </w:rPr>
        <w:t xml:space="preserve">Het kabinet is van mening dat fossiele voordelen in Europees verband het meest effectief kunnen worden afgebouwd, en pleit hier binnen de EU actief voor. </w:t>
      </w:r>
      <w:r>
        <w:rPr>
          <w:color w:val="000000" w:themeColor="text1"/>
          <w:szCs w:val="18"/>
        </w:rPr>
        <w:t>Er bestaat al veel samenhang tussen deze inzet en de inzet op de elektrificatie van de industrie</w:t>
      </w:r>
      <w:r w:rsidRPr="31D882AE">
        <w:rPr>
          <w:color w:val="000000" w:themeColor="text1"/>
          <w:szCs w:val="18"/>
        </w:rPr>
        <w:t>. Door het verbeteren van randvoorwaarden voor elektrificatie en het stimuleren van duurzame investeringen neemt de vraag naar hernieuwbare elektriciteit toe. Dit draagt bij aan de versnelde uitrol van wind op zee en een vergroting van het aandeel duurzame elektriciteit in de energiemix, wat op termijn leidt tot verdringing van fossiele energiebronnen.</w:t>
      </w:r>
    </w:p>
    <w:p w:rsidR="004C715B" w:rsidP="001B1790" w:rsidRDefault="004C715B" w14:paraId="53947DB9" w14:textId="77777777">
      <w:pPr>
        <w:pStyle w:val="Normaalweb"/>
        <w:spacing w:before="0" w:beforeAutospacing="0" w:after="0" w:afterAutospacing="0" w:line="240" w:lineRule="atLeast"/>
        <w:rPr>
          <w:rFonts w:ascii="Verdana" w:hAnsi="Verdana"/>
          <w:color w:val="000000"/>
          <w:sz w:val="18"/>
          <w:szCs w:val="18"/>
          <w:lang w:val="nl-NL"/>
        </w:rPr>
      </w:pPr>
      <w:r w:rsidRPr="31D882AE">
        <w:rPr>
          <w:rFonts w:ascii="Verdana" w:hAnsi="Verdana"/>
          <w:color w:val="000000" w:themeColor="text1"/>
          <w:sz w:val="18"/>
          <w:szCs w:val="18"/>
          <w:lang w:val="nl-NL"/>
        </w:rPr>
        <w:t>Deze transitie zorgt er ook voor dat bestaande fossiele ondersteuningsmaatregelen op termijn overbodig worden. Tegelijkertijd is een versnelde afbouw van fossiele voordelen zonder voldoende alternatieven niet wenselijk, omdat dit het gelijke speelveld binnen Europa onder druk kan zetten en het risico op koolstoflekkage vergroot.</w:t>
      </w:r>
    </w:p>
    <w:p w:rsidR="004C715B" w:rsidP="001B1790" w:rsidRDefault="004C715B" w14:paraId="02A81394" w14:textId="77777777">
      <w:pPr>
        <w:pStyle w:val="Normaalweb"/>
        <w:spacing w:before="0" w:beforeAutospacing="0" w:after="0" w:afterAutospacing="0" w:line="240" w:lineRule="atLeast"/>
        <w:rPr>
          <w:rFonts w:ascii="Verdana" w:hAnsi="Verdana"/>
          <w:color w:val="000000"/>
          <w:sz w:val="18"/>
          <w:szCs w:val="18"/>
          <w:lang w:val="nl-NL"/>
        </w:rPr>
      </w:pPr>
      <w:r w:rsidRPr="31D882AE">
        <w:rPr>
          <w:rFonts w:ascii="Verdana" w:hAnsi="Verdana"/>
          <w:color w:val="000000" w:themeColor="text1"/>
          <w:sz w:val="18"/>
          <w:szCs w:val="18"/>
          <w:lang w:val="nl-NL"/>
        </w:rPr>
        <w:t xml:space="preserve">Het tempo van afbouw moet daarom in samenhang worden afgestemd op de mate waarin de randvoorwaarden voor elektrificatie op orde zijn. Relevante factoren zijn </w:t>
      </w:r>
      <w:r>
        <w:rPr>
          <w:rFonts w:ascii="Verdana" w:hAnsi="Verdana"/>
          <w:color w:val="000000" w:themeColor="text1"/>
          <w:sz w:val="18"/>
          <w:szCs w:val="18"/>
          <w:lang w:val="nl-NL"/>
        </w:rPr>
        <w:t>een e</w:t>
      </w:r>
      <w:r w:rsidRPr="00D00E35">
        <w:rPr>
          <w:rFonts w:ascii="Verdana" w:hAnsi="Verdana"/>
          <w:color w:val="000000" w:themeColor="text1"/>
          <w:sz w:val="18"/>
          <w:szCs w:val="18"/>
          <w:lang w:val="nl-NL"/>
        </w:rPr>
        <w:t>ffectieve aanpak van netcongestie</w:t>
      </w:r>
      <w:r>
        <w:rPr>
          <w:rFonts w:ascii="Verdana" w:hAnsi="Verdana"/>
          <w:color w:val="000000" w:themeColor="text1"/>
          <w:sz w:val="18"/>
          <w:szCs w:val="18"/>
          <w:lang w:val="nl-NL"/>
        </w:rPr>
        <w:t>,</w:t>
      </w:r>
      <w:r w:rsidRPr="00D00E35">
        <w:rPr>
          <w:rFonts w:ascii="Verdana" w:hAnsi="Verdana"/>
          <w:color w:val="000000" w:themeColor="text1"/>
          <w:sz w:val="18"/>
          <w:szCs w:val="18"/>
          <w:lang w:val="nl-NL"/>
        </w:rPr>
        <w:t xml:space="preserve"> hoge energiekosten </w:t>
      </w:r>
      <w:r w:rsidRPr="31D882AE">
        <w:rPr>
          <w:rFonts w:ascii="Verdana" w:hAnsi="Verdana"/>
          <w:color w:val="000000" w:themeColor="text1"/>
          <w:sz w:val="18"/>
          <w:szCs w:val="18"/>
          <w:lang w:val="nl-NL"/>
        </w:rPr>
        <w:t>en beschikbare steuninstrumenten, zodat bedrijven een reëel handelingsperspectief houden en risico’s beheersbaar blijven.</w:t>
      </w:r>
      <w:bookmarkEnd w:id="0"/>
    </w:p>
    <w:p w:rsidR="004C715B" w:rsidP="001B1790" w:rsidRDefault="004C715B" w14:paraId="0503C16D" w14:textId="77777777">
      <w:pPr>
        <w:pStyle w:val="Normaalweb"/>
        <w:spacing w:before="0" w:beforeAutospacing="0" w:after="0" w:afterAutospacing="0" w:line="240" w:lineRule="atLeast"/>
        <w:rPr>
          <w:rFonts w:ascii="Verdana" w:hAnsi="Verdana" w:eastAsia="Verdana" w:cs="Verdana"/>
          <w:sz w:val="18"/>
          <w:szCs w:val="18"/>
          <w:lang w:val="nl-NL"/>
        </w:rPr>
      </w:pPr>
      <w:r w:rsidRPr="31D882AE">
        <w:rPr>
          <w:rFonts w:ascii="Verdana" w:hAnsi="Verdana" w:eastAsia="Verdana" w:cs="Verdana"/>
          <w:sz w:val="18"/>
          <w:szCs w:val="18"/>
          <w:lang w:val="nl-NL"/>
        </w:rPr>
        <w:t xml:space="preserve">Het kabinet wil het gebruik van fossiele koolstofdragers, zoals aardgas en aardolie, minimaliseren richting 2050 en verkent wat nodig is om een fossielvrije samenleving te bereiken. Ondanks een afname van de totale koolstofvraag door overstap op koolstofvrije energiedragers zoals hernieuwbare elektriciteit, zal in 2050 nog steeds een substantiële koolstofvraag bestaan doordat er geen of zeer beperkt alternatieven beschikbaar zijn in bepaalde sectoren. Dit geldt bijvoorbeeld voor brandstoffen in de lucht- en scheepvaart en voor grondstoffen voor de productie van </w:t>
      </w:r>
      <w:proofErr w:type="spellStart"/>
      <w:r w:rsidRPr="31D882AE">
        <w:rPr>
          <w:rFonts w:ascii="Verdana" w:hAnsi="Verdana" w:eastAsia="Verdana" w:cs="Verdana"/>
          <w:sz w:val="18"/>
          <w:szCs w:val="18"/>
          <w:lang w:val="nl-NL"/>
        </w:rPr>
        <w:t>koolstofhoudende</w:t>
      </w:r>
      <w:proofErr w:type="spellEnd"/>
      <w:r w:rsidRPr="31D882AE">
        <w:rPr>
          <w:rFonts w:ascii="Verdana" w:hAnsi="Verdana" w:eastAsia="Verdana" w:cs="Verdana"/>
          <w:sz w:val="18"/>
          <w:szCs w:val="18"/>
          <w:lang w:val="nl-NL"/>
        </w:rPr>
        <w:t xml:space="preserve"> producten, zoals plastics, verf en coatings en materialen voor gebruik in onder andere energie- gezondheids- en defensietoepassingen. Voor fossiele grondstoffen zijn de alternatieven voorlopig nog onvoldoende </w:t>
      </w:r>
      <w:r>
        <w:rPr>
          <w:rFonts w:ascii="Verdana" w:hAnsi="Verdana" w:eastAsia="Verdana" w:cs="Verdana"/>
          <w:sz w:val="18"/>
          <w:szCs w:val="18"/>
          <w:lang w:val="nl-NL"/>
        </w:rPr>
        <w:t>aanwezig</w:t>
      </w:r>
      <w:r w:rsidRPr="31D882AE">
        <w:rPr>
          <w:rFonts w:ascii="Verdana" w:hAnsi="Verdana" w:eastAsia="Verdana" w:cs="Verdana"/>
          <w:sz w:val="18"/>
          <w:szCs w:val="18"/>
          <w:lang w:val="nl-NL"/>
        </w:rPr>
        <w:t xml:space="preserve">. Het kabinet werkt aan een visie op de brandstoffen en chemiegrondstoffenproductie en een visie op duurzaam koolstofgebruik in de chemische industrie, om richting te geven aan transitie van fossiele naar duurzame grondstoffen in deze sectoren. Deze transitie zal </w:t>
      </w:r>
      <w:r>
        <w:rPr>
          <w:rFonts w:ascii="Verdana" w:hAnsi="Verdana" w:eastAsia="Verdana" w:cs="Verdana"/>
          <w:sz w:val="18"/>
          <w:szCs w:val="18"/>
          <w:lang w:val="nl-NL"/>
        </w:rPr>
        <w:t xml:space="preserve">op termijn </w:t>
      </w:r>
      <w:r w:rsidRPr="31D882AE">
        <w:rPr>
          <w:rFonts w:ascii="Verdana" w:hAnsi="Verdana" w:eastAsia="Verdana" w:cs="Verdana"/>
          <w:sz w:val="18"/>
          <w:szCs w:val="18"/>
          <w:lang w:val="nl-NL"/>
        </w:rPr>
        <w:t>gepaard gaan met afbouw van fossiele grondstoffen en de ombouw naar en opbouw van duurzame grondstoffen in deze voor Nederland belangrijke industrie</w:t>
      </w:r>
      <w:r>
        <w:rPr>
          <w:rFonts w:ascii="Verdana" w:hAnsi="Verdana" w:eastAsia="Verdana" w:cs="Verdana"/>
          <w:sz w:val="18"/>
          <w:szCs w:val="18"/>
          <w:lang w:val="nl-NL"/>
        </w:rPr>
        <w:t>.</w:t>
      </w:r>
    </w:p>
    <w:p w:rsidRPr="001F217F" w:rsidR="001B1790" w:rsidP="001B1790" w:rsidRDefault="001B1790" w14:paraId="4855483F" w14:textId="77777777">
      <w:pPr>
        <w:pStyle w:val="Normaalweb"/>
        <w:spacing w:before="0" w:beforeAutospacing="0" w:after="0" w:afterAutospacing="0" w:line="240" w:lineRule="atLeast"/>
        <w:rPr>
          <w:rFonts w:ascii="Verdana" w:hAnsi="Verdana"/>
          <w:color w:val="000000"/>
          <w:sz w:val="18"/>
          <w:szCs w:val="18"/>
          <w:lang w:val="nl-NL"/>
        </w:rPr>
      </w:pPr>
    </w:p>
    <w:p w:rsidRPr="00C6753F" w:rsidR="004C715B" w:rsidP="001B1790" w:rsidRDefault="004C715B" w14:paraId="7C202FF7" w14:textId="77777777">
      <w:r w:rsidRPr="0298E8B0">
        <w:rPr>
          <w:rFonts w:eastAsia="Verdana" w:cs="Verdana"/>
        </w:rPr>
        <w:t>5</w:t>
      </w:r>
    </w:p>
    <w:p w:rsidR="004C715B" w:rsidP="001B1790" w:rsidRDefault="004C715B" w14:paraId="79DCFE7E" w14:textId="77777777">
      <w:pPr>
        <w:rPr>
          <w:rFonts w:eastAsia="Verdana" w:cs="Verdana"/>
        </w:rPr>
      </w:pPr>
      <w:r>
        <w:t>Hoe duidt de minister de recente ontwikkelingen van de steun van de VS aan Oekraïne om de economie van Rusland aan banden te leggen in het licht van de bestaande Europese afhankelijkheid van gasimporten uit Rusland nog tot ten minste 1 januari 2028? Zet de minister stappen om ervoor te zorgen de Nederlandse en Europese economie zo min mogelijk worden getroffen door de diplomatieke en militaire aanval op de Russische energiesector?</w:t>
      </w:r>
    </w:p>
    <w:p w:rsidR="004C715B" w:rsidP="001B1790" w:rsidRDefault="004C715B" w14:paraId="2E1C2EB9" w14:textId="77777777">
      <w:pPr>
        <w:rPr>
          <w:rFonts w:eastAsia="Verdana" w:cs="Verdana"/>
        </w:rPr>
      </w:pPr>
    </w:p>
    <w:p w:rsidRPr="00D93339" w:rsidR="004C715B" w:rsidP="001B1790" w:rsidRDefault="004C715B" w14:paraId="7E1DEF9E" w14:textId="786D9F81">
      <w:r w:rsidRPr="00D93339">
        <w:rPr>
          <w:rFonts w:eastAsia="Verdana" w:cs="Verdana"/>
        </w:rPr>
        <w:t>Antwoord</w:t>
      </w:r>
    </w:p>
    <w:p w:rsidR="004C715B" w:rsidP="001B1790" w:rsidRDefault="004C715B" w14:paraId="5D7E8F36" w14:textId="77777777">
      <w:r>
        <w:t xml:space="preserve">Het kabinet verwelkomt de recente steun van de VS aan Oekraïne om de economie van Rusland aan banden te leggen. De Europese afhankelijkheid van Russisch gas (pijplijn en LNG) is in de afgelopen jaren al drastisch afgebouwd. Het is de bedoeling van </w:t>
      </w:r>
      <w:proofErr w:type="spellStart"/>
      <w:r>
        <w:t>REPowerEU</w:t>
      </w:r>
      <w:proofErr w:type="spellEnd"/>
      <w:r>
        <w:t xml:space="preserve"> om nu te komen tot een volledig en permanent verbod op de import van Russisch gas en daarmee ook de nog resterende importen uit te bannen. Het thans voorliggende </w:t>
      </w:r>
      <w:proofErr w:type="spellStart"/>
      <w:r>
        <w:t>REPowerEU</w:t>
      </w:r>
      <w:proofErr w:type="spellEnd"/>
      <w:r>
        <w:t xml:space="preserve"> voorstel houdt in dat nieuwe import uit Rusland per 1 januari 2026 wordt verboden, import onder contracten met een looptijd van maximaal een jaar per 17 juni 2026 en import onder lopende lange termijn contracten per 1 januari 2028. Voor deze laatste datum is gekozen om huidige importeurs de tijd te geven om elders gas te contracteren ter vervanging van het Russische gas. Dit is iets dat vooral speelt bij door land ingesloten lidstaten die niet direct toegang hebben tot LNG importterminals, iets waarvoor mogelijk ook nog aanpassingen moeten worden gedaan in de transportinfrastructuur.  </w:t>
      </w:r>
    </w:p>
    <w:p w:rsidRPr="007E7689" w:rsidR="004C715B" w:rsidP="001B1790" w:rsidRDefault="004C715B" w14:paraId="5B48EC8C" w14:textId="77777777">
      <w:r>
        <w:t xml:space="preserve">De </w:t>
      </w:r>
      <w:proofErr w:type="spellStart"/>
      <w:r>
        <w:t>REPowerEU</w:t>
      </w:r>
      <w:proofErr w:type="spellEnd"/>
      <w:r>
        <w:t xml:space="preserve"> verordening moet de bedrijven die nu nog Russisch gas importeren hiervoor de juiste juridische instrumenten aanreiken opdat zij hun contracten kunnen beëindigen zonder te worden geconfronteerd met Russische schadeclaims. Deze juridische instrumenten zijn er thans niet.</w:t>
      </w:r>
      <w:r w:rsidRPr="002E2EA7">
        <w:t xml:space="preserve"> </w:t>
      </w:r>
      <w:r w:rsidRPr="007E7689">
        <w:t>Daarnaast verwelkomt het kabinet ook het door de Europese Commissie voorgestelde 19</w:t>
      </w:r>
      <w:r w:rsidRPr="007E7689">
        <w:rPr>
          <w:vertAlign w:val="superscript"/>
        </w:rPr>
        <w:t>e</w:t>
      </w:r>
      <w:r w:rsidRPr="007E7689">
        <w:t xml:space="preserve"> sanctiepakket dat de import van LNG uit Rusland per 1 januari 2027 in de EU verbiedt. Voor het Nederlandse kabinet is het van belang dat de ambitie, coherentie en effectiviteit van de verschillende pakketten maatregelen die voorzien in de uitfasering van Russische energie uit de EU in onderlinge samenhang overeind </w:t>
      </w:r>
      <w:r>
        <w:t>blijven</w:t>
      </w:r>
      <w:r w:rsidRPr="007E7689">
        <w:t>.</w:t>
      </w:r>
    </w:p>
    <w:p w:rsidRPr="00C65DDB" w:rsidR="004C715B" w:rsidP="001B1790" w:rsidRDefault="004C715B" w14:paraId="17A7A036" w14:textId="77777777"/>
    <w:p w:rsidRPr="00C65DDB" w:rsidR="004C715B" w:rsidP="001B1790" w:rsidRDefault="004C715B" w14:paraId="14B9F9EF" w14:textId="77777777">
      <w:r>
        <w:t xml:space="preserve">Door de afbouw van de afhankelijkheid van Russisch gas onder </w:t>
      </w:r>
      <w:proofErr w:type="spellStart"/>
      <w:r>
        <w:t>REPowerEU</w:t>
      </w:r>
      <w:proofErr w:type="spellEnd"/>
      <w:r>
        <w:t xml:space="preserve"> en de sancties wordt ook er ook voor gezorgd dat de Nederlandse en Europese economie zo min mogelijk worden getroffen door </w:t>
      </w:r>
      <w:proofErr w:type="spellStart"/>
      <w:r>
        <w:t>Oekraïnse</w:t>
      </w:r>
      <w:proofErr w:type="spellEnd"/>
      <w:r>
        <w:t xml:space="preserve"> aanvallen op de Russische energiesector. </w:t>
      </w:r>
    </w:p>
    <w:p w:rsidR="004C715B" w:rsidP="001B1790" w:rsidRDefault="004C715B" w14:paraId="3DB5EFC9" w14:textId="77777777"/>
    <w:p w:rsidRPr="00C6753F" w:rsidR="004C715B" w:rsidP="001B1790" w:rsidRDefault="004C715B" w14:paraId="6F479B37" w14:textId="77777777">
      <w:pPr>
        <w:rPr>
          <w:rFonts w:eastAsia="Verdana" w:cs="Verdana"/>
        </w:rPr>
      </w:pPr>
      <w:r w:rsidRPr="7ADCAF33">
        <w:rPr>
          <w:rFonts w:eastAsia="Verdana" w:cs="Verdana"/>
        </w:rPr>
        <w:t>6</w:t>
      </w:r>
    </w:p>
    <w:p w:rsidRPr="00692D87" w:rsidR="004C715B" w:rsidP="001B1790" w:rsidRDefault="004C715B" w14:paraId="291A785B" w14:textId="77777777">
      <w:pPr>
        <w:rPr>
          <w:rFonts w:eastAsia="Verdana" w:cs="Verdana"/>
        </w:rPr>
      </w:pPr>
      <w:r w:rsidRPr="0298E8B0">
        <w:rPr>
          <w:rFonts w:eastAsia="Verdana" w:cs="Verdana"/>
        </w:rPr>
        <w:t>Hoe zal het kabinet de Nederlandse burger beschermen tegen de naar verwachting stijgende gasprijzen als gevolg van de door Rusland geïntensiveerde aanvallen op de Oekraïense energie-infrastructuur, terwijl het tegelijkertijd tegemoetkomt aan de energiebehoeften van Oekraïne en zijn burgers?</w:t>
      </w:r>
    </w:p>
    <w:p w:rsidRPr="00C6753F" w:rsidR="004C715B" w:rsidP="001B1790" w:rsidRDefault="004C715B" w14:paraId="7787F9C5" w14:textId="77777777"/>
    <w:p w:rsidRPr="00D93339" w:rsidR="004C715B" w:rsidP="001B1790" w:rsidRDefault="004C715B" w14:paraId="4D23070A" w14:textId="07C06FFF">
      <w:r w:rsidRPr="00D93339">
        <w:rPr>
          <w:rFonts w:eastAsia="Verdana" w:cs="Verdana"/>
        </w:rPr>
        <w:t>Antwoord</w:t>
      </w:r>
    </w:p>
    <w:p w:rsidR="004C715B" w:rsidP="001B1790" w:rsidRDefault="004C715B" w14:paraId="53D1EAB1" w14:textId="3F8EFC17">
      <w:r>
        <w:t xml:space="preserve">De mogelijke effecten van de aanvallen op de </w:t>
      </w:r>
      <w:proofErr w:type="spellStart"/>
      <w:r>
        <w:t>Oekraïnse</w:t>
      </w:r>
      <w:proofErr w:type="spellEnd"/>
      <w:r>
        <w:t xml:space="preserve"> energie-infrastructuur op Europa, inclusief Nederland, zijn moeilijk in te schatten maar het is de verwachting dat deze niet of nauwelijks de gasprijs zullen beïnvloeden. Weliswaar zagen we vorige week (7 oktober) een lichte stijging van de prijs van </w:t>
      </w:r>
      <w:r w:rsidR="001F6FD5">
        <w:t>EUR</w:t>
      </w:r>
      <w:r>
        <w:t xml:space="preserve"> 31,475 per MWh naar </w:t>
      </w:r>
      <w:r w:rsidR="001F6FD5">
        <w:t>EUR</w:t>
      </w:r>
      <w:r>
        <w:t xml:space="preserve"> 33,246 per MWh maar dat was in reactie op berichten over technische GPS-problemen rond Qatar waardoor de export van LNG vanuit Qatar voor een korte tijd werd stilgelegd. Inmiddels is deze export weer op gang gekomen en is de prijsstijging ongedaan gemaakt. De geïntensiveerde aanvallen van de Russische Federatie op de gasinfrastructuur van Oekraïne en in het bijzonder de gasproductielocaties hebben dus vooralsnog geen effect op de prijs gehad.</w:t>
      </w:r>
    </w:p>
    <w:p w:rsidR="004C715B" w:rsidP="001B1790" w:rsidRDefault="004C715B" w14:paraId="37255CE5" w14:textId="77777777"/>
    <w:p w:rsidR="004C715B" w:rsidP="001B1790" w:rsidRDefault="004C715B" w14:paraId="2F6999CE" w14:textId="5C815CBA">
      <w:r>
        <w:t>Wel zal Oekraïne de komende maanden meer gas moeten importeren om te compenseren voor de weggevallen productie</w:t>
      </w:r>
      <w:r w:rsidR="001F6FD5">
        <w:t>,</w:t>
      </w:r>
      <w:r>
        <w:t xml:space="preserve"> maar afgezet tegen het totale Europese gasverbruik van 450 </w:t>
      </w:r>
      <w:proofErr w:type="spellStart"/>
      <w:r>
        <w:t>bcm</w:t>
      </w:r>
      <w:proofErr w:type="spellEnd"/>
      <w:r>
        <w:t xml:space="preserve"> zal het om een zeer beperkte hoeveelheid gaan. </w:t>
      </w:r>
    </w:p>
    <w:p w:rsidR="004C715B" w:rsidP="001B1790" w:rsidRDefault="004C715B" w14:paraId="013E3ACC" w14:textId="77777777"/>
    <w:p w:rsidR="004C715B" w:rsidP="001B1790" w:rsidRDefault="004C715B" w14:paraId="4B62581C" w14:textId="6B69C9CE">
      <w:r>
        <w:t>Het aantal routes waarmee dit gas naar Oekraïne kan worden getransporteerd is echter beperkt</w:t>
      </w:r>
      <w:r w:rsidR="001F6FD5">
        <w:t>,</w:t>
      </w:r>
      <w:r>
        <w:t xml:space="preserve"> want de routes vanaf Polen en Hongarije worden al maximaal benut waarmee alleen de routes via Slowakije en vanuit Griekenland via onder andere Moldavië overblijven. Daarnaast is het de vraag of zwaar beschadigde gasinfrastructuur in Oekraïne op korte termijn kan worden hersteld zodat het gas alsnog eindgebruikers kan bereiken.</w:t>
      </w:r>
    </w:p>
    <w:p w:rsidR="004C715B" w:rsidP="001B1790" w:rsidRDefault="004C715B" w14:paraId="16DB0643" w14:textId="77777777"/>
    <w:p w:rsidRPr="004C715B" w:rsidR="004C715B" w:rsidP="001B1790" w:rsidRDefault="004C715B" w14:paraId="21334ABA" w14:textId="1C34AD73">
      <w:r>
        <w:rPr>
          <w:rFonts w:eastAsia="Verdana"/>
        </w:rPr>
        <w:t xml:space="preserve">Rusland poogt met de recente aanvallen doelbewust de gas- en elektriciteitsvoorziening van Oekraïense burgers af te snijden. Zo’n 12 miljoen mensen in Oekraïne kunnen binnenkort in de kou en het donker komen te zitten. Vanuit Nederland is tot nu toe in totaal EUR 366 miljoen bijgedragen aan energiesteun aan Oekraïne waaronder steun voor </w:t>
      </w:r>
      <w:r w:rsidRPr="00A24581">
        <w:rPr>
          <w:rFonts w:eastAsia="Verdana"/>
          <w:i/>
          <w:iCs/>
        </w:rPr>
        <w:t>in kind</w:t>
      </w:r>
      <w:r>
        <w:rPr>
          <w:rFonts w:eastAsia="Verdana"/>
        </w:rPr>
        <w:t xml:space="preserve"> leveringen. Inzet is om dit jaar voor EUR 5 miljoen aan gas/energiemateriaal via verschillende marktpartijen te leveren aan Oekraïne. Voor 2026 heeft Nederland EUR 58 miljoen aan energiesteun gecommitteerd.</w:t>
      </w:r>
      <w:r w:rsidRPr="3CE075FF">
        <w:rPr>
          <w:rFonts w:eastAsia="Verdana"/>
        </w:rPr>
        <w:t xml:space="preserve"> In EU-verband zal Nederland ook andere landen aansporen om meer energiesteun aan Oekraïne vrij te maken, </w:t>
      </w:r>
      <w:r w:rsidRPr="1B5634DD">
        <w:rPr>
          <w:rFonts w:eastAsia="Verdana"/>
        </w:rPr>
        <w:t>zoals</w:t>
      </w:r>
      <w:r w:rsidRPr="3CE075FF">
        <w:rPr>
          <w:rFonts w:eastAsia="Verdana"/>
        </w:rPr>
        <w:t xml:space="preserve"> tijdens de </w:t>
      </w:r>
      <w:r w:rsidRPr="1B5634DD">
        <w:rPr>
          <w:rFonts w:eastAsia="Verdana"/>
        </w:rPr>
        <w:t xml:space="preserve">komende </w:t>
      </w:r>
      <w:r w:rsidRPr="3CE075FF">
        <w:rPr>
          <w:rFonts w:eastAsia="Verdana"/>
        </w:rPr>
        <w:t>Energieraad en Raad Buitenlandse Zaken</w:t>
      </w:r>
      <w:r w:rsidRPr="1B5634DD">
        <w:rPr>
          <w:rFonts w:eastAsia="Verdana"/>
        </w:rPr>
        <w:t>.</w:t>
      </w:r>
    </w:p>
    <w:p w:rsidR="00BC222D" w:rsidP="001B1790" w:rsidRDefault="00BC222D" w14:paraId="55FD6404"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31EB" w14:textId="77777777" w:rsidR="00A230B0" w:rsidRDefault="00A230B0">
      <w:r>
        <w:separator/>
      </w:r>
    </w:p>
    <w:p w14:paraId="6131DB96" w14:textId="77777777" w:rsidR="00A230B0" w:rsidRDefault="00A230B0"/>
  </w:endnote>
  <w:endnote w:type="continuationSeparator" w:id="0">
    <w:p w14:paraId="3BB3691A" w14:textId="77777777" w:rsidR="00A230B0" w:rsidRDefault="00A230B0">
      <w:r>
        <w:continuationSeparator/>
      </w:r>
    </w:p>
    <w:p w14:paraId="6CD3CB8E" w14:textId="77777777" w:rsidR="00A230B0" w:rsidRDefault="00A23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0F4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0A39" w14:paraId="31DFC3C2" w14:textId="77777777" w:rsidTr="00CA6A25">
      <w:trPr>
        <w:trHeight w:hRule="exact" w:val="240"/>
      </w:trPr>
      <w:tc>
        <w:tcPr>
          <w:tcW w:w="7601" w:type="dxa"/>
        </w:tcPr>
        <w:p w14:paraId="492093A5" w14:textId="77777777" w:rsidR="00527BD4" w:rsidRDefault="00527BD4" w:rsidP="003F1F6B">
          <w:pPr>
            <w:pStyle w:val="Huisstijl-Rubricering"/>
          </w:pPr>
        </w:p>
      </w:tc>
      <w:tc>
        <w:tcPr>
          <w:tcW w:w="2156" w:type="dxa"/>
        </w:tcPr>
        <w:p w14:paraId="01CD0905" w14:textId="0A98EB67" w:rsidR="00527BD4" w:rsidRPr="00645414" w:rsidRDefault="007A78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A63E2">
            <w:t>5</w:t>
          </w:r>
          <w:r w:rsidR="00BC222D">
            <w:fldChar w:fldCharType="end"/>
          </w:r>
        </w:p>
      </w:tc>
    </w:tr>
  </w:tbl>
  <w:p w14:paraId="7065B32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0A39" w14:paraId="1C1DE8E0" w14:textId="77777777" w:rsidTr="00CA6A25">
      <w:trPr>
        <w:trHeight w:hRule="exact" w:val="240"/>
      </w:trPr>
      <w:tc>
        <w:tcPr>
          <w:tcW w:w="7601" w:type="dxa"/>
        </w:tcPr>
        <w:p w14:paraId="68D1A3B5" w14:textId="77777777" w:rsidR="00527BD4" w:rsidRDefault="00527BD4" w:rsidP="008C356D">
          <w:pPr>
            <w:pStyle w:val="Huisstijl-Rubricering"/>
          </w:pPr>
        </w:p>
      </w:tc>
      <w:tc>
        <w:tcPr>
          <w:tcW w:w="2170" w:type="dxa"/>
        </w:tcPr>
        <w:p w14:paraId="4D8255AF" w14:textId="20CD582C" w:rsidR="00527BD4" w:rsidRPr="00ED539E" w:rsidRDefault="007A78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76617C">
            <w:t>5</w:t>
          </w:r>
          <w:r w:rsidR="00BC3A1B">
            <w:fldChar w:fldCharType="end"/>
          </w:r>
        </w:p>
      </w:tc>
    </w:tr>
  </w:tbl>
  <w:p w14:paraId="427BAC19" w14:textId="77777777" w:rsidR="00527BD4" w:rsidRPr="00BC3B53" w:rsidRDefault="00527BD4" w:rsidP="008C356D">
    <w:pPr>
      <w:pStyle w:val="Voettekst"/>
      <w:spacing w:line="240" w:lineRule="auto"/>
      <w:rPr>
        <w:sz w:val="2"/>
        <w:szCs w:val="2"/>
      </w:rPr>
    </w:pPr>
  </w:p>
  <w:p w14:paraId="1D8602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CE68" w14:textId="77777777" w:rsidR="00A230B0" w:rsidRDefault="00A230B0">
      <w:r>
        <w:separator/>
      </w:r>
    </w:p>
    <w:p w14:paraId="22371299" w14:textId="77777777" w:rsidR="00A230B0" w:rsidRDefault="00A230B0"/>
  </w:footnote>
  <w:footnote w:type="continuationSeparator" w:id="0">
    <w:p w14:paraId="34F1EA2C" w14:textId="77777777" w:rsidR="00A230B0" w:rsidRDefault="00A230B0">
      <w:r>
        <w:continuationSeparator/>
      </w:r>
    </w:p>
    <w:p w14:paraId="3FB1759F" w14:textId="77777777" w:rsidR="00A230B0" w:rsidRDefault="00A230B0"/>
  </w:footnote>
  <w:footnote w:id="1">
    <w:p w14:paraId="74F61F29" w14:textId="77777777" w:rsidR="004C715B" w:rsidRPr="00D93339" w:rsidRDefault="004C715B" w:rsidP="004C715B">
      <w:pPr>
        <w:pStyle w:val="Voetnoottekst"/>
        <w:rPr>
          <w:szCs w:val="13"/>
        </w:rPr>
      </w:pPr>
      <w:r w:rsidRPr="00D93339">
        <w:rPr>
          <w:rStyle w:val="Voetnootmarkering"/>
          <w:rFonts w:eastAsiaTheme="majorEastAsia"/>
          <w:szCs w:val="13"/>
        </w:rPr>
        <w:footnoteRef/>
      </w:r>
      <w:r w:rsidRPr="00D93339">
        <w:rPr>
          <w:szCs w:val="13"/>
        </w:rPr>
        <w:t xml:space="preserve"> </w:t>
      </w:r>
      <w:hyperlink r:id="rId1" w:history="1">
        <w:r w:rsidRPr="00D93339">
          <w:rPr>
            <w:rStyle w:val="Hyperlink"/>
            <w:rFonts w:eastAsiaTheme="majorEastAsia"/>
            <w:szCs w:val="13"/>
          </w:rPr>
          <w:t>Actieagenda Elektrificatie Industrie</w:t>
        </w:r>
      </w:hyperlink>
    </w:p>
  </w:footnote>
  <w:footnote w:id="2">
    <w:p w14:paraId="21165704" w14:textId="77777777" w:rsidR="004C715B" w:rsidRPr="00D93339" w:rsidRDefault="004C715B" w:rsidP="004C715B">
      <w:pPr>
        <w:pStyle w:val="Voetnoottekst"/>
      </w:pPr>
      <w:r w:rsidRPr="00D93339">
        <w:rPr>
          <w:rStyle w:val="Voetnootmarkering"/>
          <w:rFonts w:eastAsiaTheme="majorEastAsia"/>
          <w:szCs w:val="13"/>
        </w:rPr>
        <w:footnoteRef/>
      </w:r>
      <w:r w:rsidRPr="00D93339">
        <w:rPr>
          <w:szCs w:val="13"/>
        </w:rPr>
        <w:t xml:space="preserve"> </w:t>
      </w:r>
      <w:hyperlink r:id="rId2" w:history="1">
        <w:r w:rsidRPr="00D93339">
          <w:rPr>
            <w:rStyle w:val="Hyperlink"/>
            <w:rFonts w:eastAsiaTheme="majorEastAsia"/>
            <w:szCs w:val="13"/>
          </w:rPr>
          <w:t>E-bridge &amp; Guidehouse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0A39" w14:paraId="732B14B6" w14:textId="77777777" w:rsidTr="00A50CF6">
      <w:tc>
        <w:tcPr>
          <w:tcW w:w="2156" w:type="dxa"/>
        </w:tcPr>
        <w:p w14:paraId="36083020" w14:textId="77777777" w:rsidR="00527BD4" w:rsidRPr="005819CE" w:rsidRDefault="007A7885" w:rsidP="00A50CF6">
          <w:pPr>
            <w:pStyle w:val="Huisstijl-Adres"/>
            <w:rPr>
              <w:b/>
            </w:rPr>
          </w:pPr>
          <w:r>
            <w:rPr>
              <w:b/>
            </w:rPr>
            <w:t>Directie Europese en Internationale Zaken</w:t>
          </w:r>
          <w:r w:rsidRPr="005819CE">
            <w:rPr>
              <w:b/>
            </w:rPr>
            <w:br/>
          </w:r>
        </w:p>
      </w:tc>
    </w:tr>
    <w:tr w:rsidR="00870A39" w14:paraId="198A1F67" w14:textId="77777777" w:rsidTr="00A50CF6">
      <w:trPr>
        <w:trHeight w:hRule="exact" w:val="200"/>
      </w:trPr>
      <w:tc>
        <w:tcPr>
          <w:tcW w:w="2156" w:type="dxa"/>
        </w:tcPr>
        <w:p w14:paraId="56C68932" w14:textId="77777777" w:rsidR="00527BD4" w:rsidRPr="005819CE" w:rsidRDefault="00527BD4" w:rsidP="00A50CF6"/>
      </w:tc>
    </w:tr>
    <w:tr w:rsidR="00870A39" w14:paraId="187C4F53" w14:textId="77777777" w:rsidTr="00502512">
      <w:trPr>
        <w:trHeight w:hRule="exact" w:val="774"/>
      </w:trPr>
      <w:tc>
        <w:tcPr>
          <w:tcW w:w="2156" w:type="dxa"/>
        </w:tcPr>
        <w:p w14:paraId="62E37CE5" w14:textId="77777777" w:rsidR="00527BD4" w:rsidRDefault="007A7885" w:rsidP="003A5290">
          <w:pPr>
            <w:pStyle w:val="Huisstijl-Kopje"/>
          </w:pPr>
          <w:r>
            <w:t>Ons kenmerk</w:t>
          </w:r>
        </w:p>
        <w:p w14:paraId="4C3B4C29" w14:textId="77777777" w:rsidR="00502512" w:rsidRPr="00502512" w:rsidRDefault="007A7885" w:rsidP="003A5290">
          <w:pPr>
            <w:pStyle w:val="Huisstijl-Kopje"/>
            <w:rPr>
              <w:b w:val="0"/>
            </w:rPr>
          </w:pPr>
          <w:r>
            <w:rPr>
              <w:b w:val="0"/>
            </w:rPr>
            <w:t>DEIZ</w:t>
          </w:r>
          <w:r w:rsidRPr="00502512">
            <w:rPr>
              <w:b w:val="0"/>
            </w:rPr>
            <w:t xml:space="preserve"> / </w:t>
          </w:r>
          <w:r>
            <w:rPr>
              <w:b w:val="0"/>
            </w:rPr>
            <w:t>101804836</w:t>
          </w:r>
        </w:p>
        <w:p w14:paraId="19E59B1C" w14:textId="77777777" w:rsidR="00527BD4" w:rsidRPr="005819CE" w:rsidRDefault="00527BD4" w:rsidP="00361A56">
          <w:pPr>
            <w:pStyle w:val="Huisstijl-Kopje"/>
          </w:pPr>
        </w:p>
      </w:tc>
    </w:tr>
  </w:tbl>
  <w:p w14:paraId="73FBE7E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0A39" w14:paraId="58F565AF" w14:textId="77777777" w:rsidTr="00751A6A">
      <w:trPr>
        <w:trHeight w:val="2636"/>
      </w:trPr>
      <w:tc>
        <w:tcPr>
          <w:tcW w:w="737" w:type="dxa"/>
        </w:tcPr>
        <w:p w14:paraId="7D65D475" w14:textId="746E2920" w:rsidR="00527BD4" w:rsidRDefault="00527BD4" w:rsidP="00D0609E">
          <w:pPr>
            <w:framePr w:w="6340" w:h="2750" w:hRule="exact" w:hSpace="180" w:wrap="around" w:vAnchor="page" w:hAnchor="text" w:x="3873" w:y="-140"/>
            <w:spacing w:line="240" w:lineRule="auto"/>
          </w:pPr>
        </w:p>
      </w:tc>
      <w:tc>
        <w:tcPr>
          <w:tcW w:w="5156" w:type="dxa"/>
        </w:tcPr>
        <w:p w14:paraId="469484B0" w14:textId="77777777" w:rsidR="00527BD4" w:rsidRDefault="007A788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11CD38B" wp14:editId="29EC6ED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AB33B43" w14:textId="77777777" w:rsidR="007269E3" w:rsidRDefault="007269E3" w:rsidP="00651CEE">
          <w:pPr>
            <w:framePr w:w="6340" w:h="2750" w:hRule="exact" w:hSpace="180" w:wrap="around" w:vAnchor="page" w:hAnchor="text" w:x="3873" w:y="-140"/>
            <w:spacing w:line="240" w:lineRule="auto"/>
          </w:pPr>
        </w:p>
      </w:tc>
    </w:tr>
  </w:tbl>
  <w:p w14:paraId="594ADD70" w14:textId="77777777" w:rsidR="00527BD4" w:rsidRDefault="00527BD4" w:rsidP="00D0609E">
    <w:pPr>
      <w:framePr w:w="6340" w:h="2750" w:hRule="exact" w:hSpace="180" w:wrap="around" w:vAnchor="page" w:hAnchor="text" w:x="3873" w:y="-140"/>
    </w:pPr>
  </w:p>
  <w:p w14:paraId="281DFC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0A39" w:rsidRPr="001B1790" w14:paraId="4F11F338" w14:textId="77777777" w:rsidTr="00A50CF6">
      <w:tc>
        <w:tcPr>
          <w:tcW w:w="2160" w:type="dxa"/>
        </w:tcPr>
        <w:p w14:paraId="217F2D96" w14:textId="77777777" w:rsidR="00527BD4" w:rsidRPr="005819CE" w:rsidRDefault="007A7885" w:rsidP="00A50CF6">
          <w:pPr>
            <w:pStyle w:val="Huisstijl-Adres"/>
            <w:rPr>
              <w:b/>
            </w:rPr>
          </w:pPr>
          <w:r>
            <w:rPr>
              <w:b/>
            </w:rPr>
            <w:t>Directie Europese en Internationale Zaken</w:t>
          </w:r>
          <w:r w:rsidRPr="005819CE">
            <w:rPr>
              <w:b/>
            </w:rPr>
            <w:br/>
          </w:r>
        </w:p>
        <w:p w14:paraId="27048565" w14:textId="77777777" w:rsidR="00527BD4" w:rsidRPr="00BE5ED9" w:rsidRDefault="007A7885" w:rsidP="00A50CF6">
          <w:pPr>
            <w:pStyle w:val="Huisstijl-Adres"/>
          </w:pPr>
          <w:r>
            <w:rPr>
              <w:b/>
            </w:rPr>
            <w:t>Bezoekadres</w:t>
          </w:r>
          <w:r>
            <w:rPr>
              <w:b/>
            </w:rPr>
            <w:br/>
          </w:r>
          <w:r>
            <w:t>Bezuidenhoutseweg 73</w:t>
          </w:r>
          <w:r w:rsidRPr="005819CE">
            <w:br/>
          </w:r>
          <w:r>
            <w:t>2594 AC Den Haag</w:t>
          </w:r>
        </w:p>
        <w:p w14:paraId="737E4C7B" w14:textId="77777777" w:rsidR="00EF495B" w:rsidRDefault="007A7885" w:rsidP="0098788A">
          <w:pPr>
            <w:pStyle w:val="Huisstijl-Adres"/>
          </w:pPr>
          <w:r>
            <w:rPr>
              <w:b/>
            </w:rPr>
            <w:t>Postadres</w:t>
          </w:r>
          <w:r>
            <w:rPr>
              <w:b/>
            </w:rPr>
            <w:br/>
          </w:r>
          <w:r>
            <w:t>Postbus 20401</w:t>
          </w:r>
          <w:r w:rsidRPr="005819CE">
            <w:br/>
            <w:t>2500 E</w:t>
          </w:r>
          <w:r>
            <w:t>K</w:t>
          </w:r>
          <w:r w:rsidRPr="005819CE">
            <w:t xml:space="preserve"> Den Haag</w:t>
          </w:r>
        </w:p>
        <w:p w14:paraId="4F48EDE3" w14:textId="77777777" w:rsidR="00EF495B" w:rsidRPr="005B3814" w:rsidRDefault="007A7885" w:rsidP="0098788A">
          <w:pPr>
            <w:pStyle w:val="Huisstijl-Adres"/>
          </w:pPr>
          <w:r>
            <w:rPr>
              <w:b/>
            </w:rPr>
            <w:t>Overheidsidentificatienr</w:t>
          </w:r>
          <w:r>
            <w:rPr>
              <w:b/>
            </w:rPr>
            <w:br/>
          </w:r>
          <w:r w:rsidR="002D0DDB" w:rsidRPr="002D0DDB">
            <w:t>00000003952069570000</w:t>
          </w:r>
        </w:p>
        <w:p w14:paraId="13D78B91" w14:textId="793A82FC" w:rsidR="00527BD4" w:rsidRPr="001B1790" w:rsidRDefault="007A78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70A39" w:rsidRPr="001B1790" w14:paraId="3E5E0CA4" w14:textId="77777777" w:rsidTr="00A50CF6">
      <w:trPr>
        <w:trHeight w:hRule="exact" w:val="200"/>
      </w:trPr>
      <w:tc>
        <w:tcPr>
          <w:tcW w:w="2160" w:type="dxa"/>
        </w:tcPr>
        <w:p w14:paraId="7EAC985C" w14:textId="77777777" w:rsidR="00527BD4" w:rsidRPr="00B04B8E" w:rsidRDefault="00527BD4" w:rsidP="00A50CF6"/>
      </w:tc>
    </w:tr>
    <w:tr w:rsidR="00870A39" w14:paraId="7A507BAF" w14:textId="77777777" w:rsidTr="00A50CF6">
      <w:tc>
        <w:tcPr>
          <w:tcW w:w="2160" w:type="dxa"/>
        </w:tcPr>
        <w:p w14:paraId="3917B5F0" w14:textId="77777777" w:rsidR="000C0163" w:rsidRPr="005819CE" w:rsidRDefault="007A7885" w:rsidP="000C0163">
          <w:pPr>
            <w:pStyle w:val="Huisstijl-Kopje"/>
          </w:pPr>
          <w:r>
            <w:t>Ons kenmerk</w:t>
          </w:r>
          <w:r w:rsidRPr="005819CE">
            <w:t xml:space="preserve"> </w:t>
          </w:r>
        </w:p>
        <w:p w14:paraId="3A2A0D64" w14:textId="0C0FCEF3" w:rsidR="00527BD4" w:rsidRPr="005819CE" w:rsidRDefault="007A7885" w:rsidP="001B1790">
          <w:pPr>
            <w:pStyle w:val="Huisstijl-Gegeven"/>
          </w:pPr>
          <w:r>
            <w:t>DEIZ</w:t>
          </w:r>
          <w:r w:rsidR="00926AE2">
            <w:t xml:space="preserve"> / </w:t>
          </w:r>
          <w:r>
            <w:t>101804836</w:t>
          </w:r>
        </w:p>
      </w:tc>
    </w:tr>
  </w:tbl>
  <w:p w14:paraId="7CA5D7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0A39" w14:paraId="548EEA89" w14:textId="77777777" w:rsidTr="007610AA">
      <w:trPr>
        <w:trHeight w:val="400"/>
      </w:trPr>
      <w:tc>
        <w:tcPr>
          <w:tcW w:w="7520" w:type="dxa"/>
          <w:gridSpan w:val="2"/>
        </w:tcPr>
        <w:p w14:paraId="01592938" w14:textId="7531EEDA" w:rsidR="00527BD4" w:rsidRPr="00BC3B53" w:rsidRDefault="007A7885" w:rsidP="00A50CF6">
          <w:pPr>
            <w:pStyle w:val="Huisstijl-Retouradres"/>
          </w:pPr>
          <w:r>
            <w:t>&gt; Retouradres Postbus 20401 2500 EK Den Haag</w:t>
          </w:r>
        </w:p>
      </w:tc>
    </w:tr>
    <w:tr w:rsidR="00870A39" w14:paraId="6A5135E6" w14:textId="77777777" w:rsidTr="007610AA">
      <w:tc>
        <w:tcPr>
          <w:tcW w:w="7520" w:type="dxa"/>
          <w:gridSpan w:val="2"/>
        </w:tcPr>
        <w:p w14:paraId="09C87585" w14:textId="77777777" w:rsidR="00527BD4" w:rsidRPr="00983E8F" w:rsidRDefault="00527BD4" w:rsidP="00A50CF6">
          <w:pPr>
            <w:pStyle w:val="Huisstijl-Rubricering"/>
          </w:pPr>
        </w:p>
      </w:tc>
    </w:tr>
    <w:tr w:rsidR="00870A39" w:rsidRPr="004C715B" w14:paraId="72A7EA98" w14:textId="77777777" w:rsidTr="007610AA">
      <w:trPr>
        <w:trHeight w:hRule="exact" w:val="2440"/>
      </w:trPr>
      <w:tc>
        <w:tcPr>
          <w:tcW w:w="7520" w:type="dxa"/>
          <w:gridSpan w:val="2"/>
        </w:tcPr>
        <w:p w14:paraId="07B730EB" w14:textId="6911F533" w:rsidR="001B1790" w:rsidRDefault="007A7885" w:rsidP="00A50CF6">
          <w:pPr>
            <w:pStyle w:val="Huisstijl-NAW"/>
          </w:pPr>
          <w:r>
            <w:t xml:space="preserve">De </w:t>
          </w:r>
          <w:r w:rsidR="001B1790">
            <w:t>V</w:t>
          </w:r>
          <w:r>
            <w:t xml:space="preserve">oorzitter van de Tweede Kamer </w:t>
          </w:r>
        </w:p>
        <w:p w14:paraId="488D9671" w14:textId="1F0E6EA3" w:rsidR="00527BD4" w:rsidRDefault="007A7885" w:rsidP="00A50CF6">
          <w:pPr>
            <w:pStyle w:val="Huisstijl-NAW"/>
          </w:pPr>
          <w:r>
            <w:t xml:space="preserve">der Staten-Generaal </w:t>
          </w:r>
        </w:p>
        <w:p w14:paraId="7AD13760" w14:textId="77777777" w:rsidR="00870A39" w:rsidRPr="004C715B" w:rsidRDefault="007A7885">
          <w:pPr>
            <w:pStyle w:val="Huisstijl-NAW"/>
            <w:rPr>
              <w:lang w:val="sv-SE"/>
            </w:rPr>
          </w:pPr>
          <w:r w:rsidRPr="004C715B">
            <w:rPr>
              <w:lang w:val="sv-SE"/>
            </w:rPr>
            <w:t xml:space="preserve">Prinses Irenestraat 6 </w:t>
          </w:r>
        </w:p>
        <w:p w14:paraId="47466545" w14:textId="2F4E69B0" w:rsidR="00870A39" w:rsidRPr="004C715B" w:rsidRDefault="007A7885">
          <w:pPr>
            <w:pStyle w:val="Huisstijl-NAW"/>
            <w:rPr>
              <w:lang w:val="sv-SE"/>
            </w:rPr>
          </w:pPr>
          <w:r w:rsidRPr="004C715B">
            <w:rPr>
              <w:lang w:val="sv-SE"/>
            </w:rPr>
            <w:t xml:space="preserve">2595 BD </w:t>
          </w:r>
          <w:r w:rsidR="001B1790">
            <w:rPr>
              <w:lang w:val="sv-SE"/>
            </w:rPr>
            <w:t xml:space="preserve"> </w:t>
          </w:r>
          <w:r w:rsidR="001B1790" w:rsidRPr="004C715B">
            <w:rPr>
              <w:lang w:val="sv-SE"/>
            </w:rPr>
            <w:t>DEN HAAG</w:t>
          </w:r>
        </w:p>
      </w:tc>
    </w:tr>
    <w:tr w:rsidR="00870A39" w:rsidRPr="004C715B" w14:paraId="596D2F7F" w14:textId="77777777" w:rsidTr="007610AA">
      <w:trPr>
        <w:trHeight w:hRule="exact" w:val="400"/>
      </w:trPr>
      <w:tc>
        <w:tcPr>
          <w:tcW w:w="7520" w:type="dxa"/>
          <w:gridSpan w:val="2"/>
        </w:tcPr>
        <w:p w14:paraId="2EDFC3F4" w14:textId="77777777" w:rsidR="00527BD4" w:rsidRPr="004C715B" w:rsidRDefault="00527BD4" w:rsidP="00A50CF6">
          <w:pPr>
            <w:tabs>
              <w:tab w:val="left" w:pos="740"/>
            </w:tabs>
            <w:autoSpaceDE w:val="0"/>
            <w:autoSpaceDN w:val="0"/>
            <w:adjustRightInd w:val="0"/>
            <w:ind w:left="743" w:hanging="743"/>
            <w:rPr>
              <w:rFonts w:cs="Verdana"/>
              <w:szCs w:val="18"/>
              <w:lang w:val="sv-SE"/>
            </w:rPr>
          </w:pPr>
        </w:p>
      </w:tc>
    </w:tr>
    <w:tr w:rsidR="00870A39" w14:paraId="154D6A57" w14:textId="77777777" w:rsidTr="007610AA">
      <w:trPr>
        <w:trHeight w:val="240"/>
      </w:trPr>
      <w:tc>
        <w:tcPr>
          <w:tcW w:w="900" w:type="dxa"/>
        </w:tcPr>
        <w:p w14:paraId="4CC3FC65" w14:textId="77777777" w:rsidR="00527BD4" w:rsidRPr="007709EF" w:rsidRDefault="007A7885" w:rsidP="00A50CF6">
          <w:pPr>
            <w:rPr>
              <w:szCs w:val="18"/>
            </w:rPr>
          </w:pPr>
          <w:r>
            <w:rPr>
              <w:szCs w:val="18"/>
            </w:rPr>
            <w:t>Datum</w:t>
          </w:r>
        </w:p>
      </w:tc>
      <w:tc>
        <w:tcPr>
          <w:tcW w:w="6620" w:type="dxa"/>
        </w:tcPr>
        <w:p w14:paraId="15B67FB1" w14:textId="76615752" w:rsidR="00527BD4" w:rsidRPr="007709EF" w:rsidRDefault="00B04B8E" w:rsidP="00A50CF6">
          <w:r>
            <w:t>20 oktober 2025</w:t>
          </w:r>
        </w:p>
      </w:tc>
    </w:tr>
    <w:tr w:rsidR="00870A39" w14:paraId="52253830" w14:textId="77777777" w:rsidTr="007610AA">
      <w:trPr>
        <w:trHeight w:val="240"/>
      </w:trPr>
      <w:tc>
        <w:tcPr>
          <w:tcW w:w="900" w:type="dxa"/>
        </w:tcPr>
        <w:p w14:paraId="55F5588E" w14:textId="77777777" w:rsidR="00527BD4" w:rsidRPr="007709EF" w:rsidRDefault="007A7885" w:rsidP="00A50CF6">
          <w:pPr>
            <w:rPr>
              <w:szCs w:val="18"/>
            </w:rPr>
          </w:pPr>
          <w:r>
            <w:rPr>
              <w:szCs w:val="18"/>
            </w:rPr>
            <w:t>Betreft</w:t>
          </w:r>
        </w:p>
      </w:tc>
      <w:tc>
        <w:tcPr>
          <w:tcW w:w="6620" w:type="dxa"/>
        </w:tcPr>
        <w:p w14:paraId="40532E55" w14:textId="77777777" w:rsidR="00527BD4" w:rsidRPr="007709EF" w:rsidRDefault="007A7885" w:rsidP="00A50CF6">
          <w:r>
            <w:t>SO beantwoording Energieraad 20 oktober 2025</w:t>
          </w:r>
        </w:p>
      </w:tc>
    </w:tr>
  </w:tbl>
  <w:p w14:paraId="78E963F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1764C08">
      <w:start w:val="1"/>
      <w:numFmt w:val="bullet"/>
      <w:pStyle w:val="Lijstopsomteken"/>
      <w:lvlText w:val="•"/>
      <w:lvlJc w:val="left"/>
      <w:pPr>
        <w:tabs>
          <w:tab w:val="num" w:pos="227"/>
        </w:tabs>
        <w:ind w:left="227" w:hanging="227"/>
      </w:pPr>
      <w:rPr>
        <w:rFonts w:ascii="Verdana" w:hAnsi="Verdana" w:hint="default"/>
        <w:sz w:val="18"/>
        <w:szCs w:val="18"/>
      </w:rPr>
    </w:lvl>
    <w:lvl w:ilvl="1" w:tplc="33EC65AC" w:tentative="1">
      <w:start w:val="1"/>
      <w:numFmt w:val="bullet"/>
      <w:lvlText w:val="o"/>
      <w:lvlJc w:val="left"/>
      <w:pPr>
        <w:tabs>
          <w:tab w:val="num" w:pos="1440"/>
        </w:tabs>
        <w:ind w:left="1440" w:hanging="360"/>
      </w:pPr>
      <w:rPr>
        <w:rFonts w:ascii="Courier New" w:hAnsi="Courier New" w:cs="Courier New" w:hint="default"/>
      </w:rPr>
    </w:lvl>
    <w:lvl w:ilvl="2" w:tplc="D3BEA370" w:tentative="1">
      <w:start w:val="1"/>
      <w:numFmt w:val="bullet"/>
      <w:lvlText w:val=""/>
      <w:lvlJc w:val="left"/>
      <w:pPr>
        <w:tabs>
          <w:tab w:val="num" w:pos="2160"/>
        </w:tabs>
        <w:ind w:left="2160" w:hanging="360"/>
      </w:pPr>
      <w:rPr>
        <w:rFonts w:ascii="Wingdings" w:hAnsi="Wingdings" w:hint="default"/>
      </w:rPr>
    </w:lvl>
    <w:lvl w:ilvl="3" w:tplc="865620A2" w:tentative="1">
      <w:start w:val="1"/>
      <w:numFmt w:val="bullet"/>
      <w:lvlText w:val=""/>
      <w:lvlJc w:val="left"/>
      <w:pPr>
        <w:tabs>
          <w:tab w:val="num" w:pos="2880"/>
        </w:tabs>
        <w:ind w:left="2880" w:hanging="360"/>
      </w:pPr>
      <w:rPr>
        <w:rFonts w:ascii="Symbol" w:hAnsi="Symbol" w:hint="default"/>
      </w:rPr>
    </w:lvl>
    <w:lvl w:ilvl="4" w:tplc="2DA44FB4" w:tentative="1">
      <w:start w:val="1"/>
      <w:numFmt w:val="bullet"/>
      <w:lvlText w:val="o"/>
      <w:lvlJc w:val="left"/>
      <w:pPr>
        <w:tabs>
          <w:tab w:val="num" w:pos="3600"/>
        </w:tabs>
        <w:ind w:left="3600" w:hanging="360"/>
      </w:pPr>
      <w:rPr>
        <w:rFonts w:ascii="Courier New" w:hAnsi="Courier New" w:cs="Courier New" w:hint="default"/>
      </w:rPr>
    </w:lvl>
    <w:lvl w:ilvl="5" w:tplc="424E30B8" w:tentative="1">
      <w:start w:val="1"/>
      <w:numFmt w:val="bullet"/>
      <w:lvlText w:val=""/>
      <w:lvlJc w:val="left"/>
      <w:pPr>
        <w:tabs>
          <w:tab w:val="num" w:pos="4320"/>
        </w:tabs>
        <w:ind w:left="4320" w:hanging="360"/>
      </w:pPr>
      <w:rPr>
        <w:rFonts w:ascii="Wingdings" w:hAnsi="Wingdings" w:hint="default"/>
      </w:rPr>
    </w:lvl>
    <w:lvl w:ilvl="6" w:tplc="51E66558" w:tentative="1">
      <w:start w:val="1"/>
      <w:numFmt w:val="bullet"/>
      <w:lvlText w:val=""/>
      <w:lvlJc w:val="left"/>
      <w:pPr>
        <w:tabs>
          <w:tab w:val="num" w:pos="5040"/>
        </w:tabs>
        <w:ind w:left="5040" w:hanging="360"/>
      </w:pPr>
      <w:rPr>
        <w:rFonts w:ascii="Symbol" w:hAnsi="Symbol" w:hint="default"/>
      </w:rPr>
    </w:lvl>
    <w:lvl w:ilvl="7" w:tplc="6226A142" w:tentative="1">
      <w:start w:val="1"/>
      <w:numFmt w:val="bullet"/>
      <w:lvlText w:val="o"/>
      <w:lvlJc w:val="left"/>
      <w:pPr>
        <w:tabs>
          <w:tab w:val="num" w:pos="5760"/>
        </w:tabs>
        <w:ind w:left="5760" w:hanging="360"/>
      </w:pPr>
      <w:rPr>
        <w:rFonts w:ascii="Courier New" w:hAnsi="Courier New" w:cs="Courier New" w:hint="default"/>
      </w:rPr>
    </w:lvl>
    <w:lvl w:ilvl="8" w:tplc="CE1E0D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F48F98E">
      <w:start w:val="1"/>
      <w:numFmt w:val="bullet"/>
      <w:pStyle w:val="Lijstopsomteken2"/>
      <w:lvlText w:val="–"/>
      <w:lvlJc w:val="left"/>
      <w:pPr>
        <w:tabs>
          <w:tab w:val="num" w:pos="227"/>
        </w:tabs>
        <w:ind w:left="227" w:firstLine="0"/>
      </w:pPr>
      <w:rPr>
        <w:rFonts w:ascii="Verdana" w:hAnsi="Verdana" w:hint="default"/>
      </w:rPr>
    </w:lvl>
    <w:lvl w:ilvl="1" w:tplc="6F8E3A3A" w:tentative="1">
      <w:start w:val="1"/>
      <w:numFmt w:val="bullet"/>
      <w:lvlText w:val="o"/>
      <w:lvlJc w:val="left"/>
      <w:pPr>
        <w:tabs>
          <w:tab w:val="num" w:pos="1440"/>
        </w:tabs>
        <w:ind w:left="1440" w:hanging="360"/>
      </w:pPr>
      <w:rPr>
        <w:rFonts w:ascii="Courier New" w:hAnsi="Courier New" w:cs="Courier New" w:hint="default"/>
      </w:rPr>
    </w:lvl>
    <w:lvl w:ilvl="2" w:tplc="26AE3392" w:tentative="1">
      <w:start w:val="1"/>
      <w:numFmt w:val="bullet"/>
      <w:lvlText w:val=""/>
      <w:lvlJc w:val="left"/>
      <w:pPr>
        <w:tabs>
          <w:tab w:val="num" w:pos="2160"/>
        </w:tabs>
        <w:ind w:left="2160" w:hanging="360"/>
      </w:pPr>
      <w:rPr>
        <w:rFonts w:ascii="Wingdings" w:hAnsi="Wingdings" w:hint="default"/>
      </w:rPr>
    </w:lvl>
    <w:lvl w:ilvl="3" w:tplc="E57082F0" w:tentative="1">
      <w:start w:val="1"/>
      <w:numFmt w:val="bullet"/>
      <w:lvlText w:val=""/>
      <w:lvlJc w:val="left"/>
      <w:pPr>
        <w:tabs>
          <w:tab w:val="num" w:pos="2880"/>
        </w:tabs>
        <w:ind w:left="2880" w:hanging="360"/>
      </w:pPr>
      <w:rPr>
        <w:rFonts w:ascii="Symbol" w:hAnsi="Symbol" w:hint="default"/>
      </w:rPr>
    </w:lvl>
    <w:lvl w:ilvl="4" w:tplc="AEF2FB6C" w:tentative="1">
      <w:start w:val="1"/>
      <w:numFmt w:val="bullet"/>
      <w:lvlText w:val="o"/>
      <w:lvlJc w:val="left"/>
      <w:pPr>
        <w:tabs>
          <w:tab w:val="num" w:pos="3600"/>
        </w:tabs>
        <w:ind w:left="3600" w:hanging="360"/>
      </w:pPr>
      <w:rPr>
        <w:rFonts w:ascii="Courier New" w:hAnsi="Courier New" w:cs="Courier New" w:hint="default"/>
      </w:rPr>
    </w:lvl>
    <w:lvl w:ilvl="5" w:tplc="FAEE4242" w:tentative="1">
      <w:start w:val="1"/>
      <w:numFmt w:val="bullet"/>
      <w:lvlText w:val=""/>
      <w:lvlJc w:val="left"/>
      <w:pPr>
        <w:tabs>
          <w:tab w:val="num" w:pos="4320"/>
        </w:tabs>
        <w:ind w:left="4320" w:hanging="360"/>
      </w:pPr>
      <w:rPr>
        <w:rFonts w:ascii="Wingdings" w:hAnsi="Wingdings" w:hint="default"/>
      </w:rPr>
    </w:lvl>
    <w:lvl w:ilvl="6" w:tplc="42E24DC0" w:tentative="1">
      <w:start w:val="1"/>
      <w:numFmt w:val="bullet"/>
      <w:lvlText w:val=""/>
      <w:lvlJc w:val="left"/>
      <w:pPr>
        <w:tabs>
          <w:tab w:val="num" w:pos="5040"/>
        </w:tabs>
        <w:ind w:left="5040" w:hanging="360"/>
      </w:pPr>
      <w:rPr>
        <w:rFonts w:ascii="Symbol" w:hAnsi="Symbol" w:hint="default"/>
      </w:rPr>
    </w:lvl>
    <w:lvl w:ilvl="7" w:tplc="2E085524" w:tentative="1">
      <w:start w:val="1"/>
      <w:numFmt w:val="bullet"/>
      <w:lvlText w:val="o"/>
      <w:lvlJc w:val="left"/>
      <w:pPr>
        <w:tabs>
          <w:tab w:val="num" w:pos="5760"/>
        </w:tabs>
        <w:ind w:left="5760" w:hanging="360"/>
      </w:pPr>
      <w:rPr>
        <w:rFonts w:ascii="Courier New" w:hAnsi="Courier New" w:cs="Courier New" w:hint="default"/>
      </w:rPr>
    </w:lvl>
    <w:lvl w:ilvl="8" w:tplc="A91411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8577532">
    <w:abstractNumId w:val="10"/>
  </w:num>
  <w:num w:numId="2" w16cid:durableId="734620491">
    <w:abstractNumId w:val="7"/>
  </w:num>
  <w:num w:numId="3" w16cid:durableId="1909075992">
    <w:abstractNumId w:val="6"/>
  </w:num>
  <w:num w:numId="4" w16cid:durableId="1035352085">
    <w:abstractNumId w:val="5"/>
  </w:num>
  <w:num w:numId="5" w16cid:durableId="477890008">
    <w:abstractNumId w:val="4"/>
  </w:num>
  <w:num w:numId="6" w16cid:durableId="2096855449">
    <w:abstractNumId w:val="8"/>
  </w:num>
  <w:num w:numId="7" w16cid:durableId="1874920273">
    <w:abstractNumId w:val="3"/>
  </w:num>
  <w:num w:numId="8" w16cid:durableId="1179389620">
    <w:abstractNumId w:val="2"/>
  </w:num>
  <w:num w:numId="9" w16cid:durableId="1284077047">
    <w:abstractNumId w:val="1"/>
  </w:num>
  <w:num w:numId="10" w16cid:durableId="1760129065">
    <w:abstractNumId w:val="0"/>
  </w:num>
  <w:num w:numId="11" w16cid:durableId="1685548905">
    <w:abstractNumId w:val="9"/>
  </w:num>
  <w:num w:numId="12" w16cid:durableId="1560557516">
    <w:abstractNumId w:val="11"/>
  </w:num>
  <w:num w:numId="13" w16cid:durableId="483547605">
    <w:abstractNumId w:val="13"/>
  </w:num>
  <w:num w:numId="14" w16cid:durableId="1706848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790"/>
    <w:rsid w:val="001C32EC"/>
    <w:rsid w:val="001C38BD"/>
    <w:rsid w:val="001C4D5A"/>
    <w:rsid w:val="001E34C6"/>
    <w:rsid w:val="001E5581"/>
    <w:rsid w:val="001F3C70"/>
    <w:rsid w:val="001F6FD5"/>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A63E2"/>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2128"/>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0C99"/>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C715B"/>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95849"/>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617C"/>
    <w:rsid w:val="007709EF"/>
    <w:rsid w:val="00782701"/>
    <w:rsid w:val="00783559"/>
    <w:rsid w:val="0079551B"/>
    <w:rsid w:val="00797AA5"/>
    <w:rsid w:val="007A26BD"/>
    <w:rsid w:val="007A4105"/>
    <w:rsid w:val="007A788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0A39"/>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0B0"/>
    <w:rsid w:val="00A23BC8"/>
    <w:rsid w:val="00A24581"/>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4B8E"/>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78EE"/>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16D98"/>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4148"/>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043B"/>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1449"/>
    <w:rsid w:val="00FA2CD7"/>
    <w:rsid w:val="00FB06ED"/>
    <w:rsid w:val="00FC0B6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2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C715B"/>
    <w:rPr>
      <w:vertAlign w:val="superscript"/>
    </w:rPr>
  </w:style>
  <w:style w:type="paragraph" w:styleId="Normaalweb">
    <w:name w:val="Normal (Web)"/>
    <w:basedOn w:val="Standaard"/>
    <w:uiPriority w:val="99"/>
    <w:unhideWhenUsed/>
    <w:rsid w:val="004C715B"/>
    <w:pPr>
      <w:spacing w:before="100" w:beforeAutospacing="1" w:after="100" w:afterAutospacing="1" w:line="240" w:lineRule="auto"/>
    </w:pPr>
    <w:rPr>
      <w:rFonts w:ascii="Times New Roman" w:hAnsi="Times New Roman"/>
      <w:sz w:val="24"/>
      <w:lang w:val="en-US" w:eastAsia="en-GB"/>
    </w:rPr>
  </w:style>
  <w:style w:type="paragraph" w:styleId="Revisie">
    <w:name w:val="Revision"/>
    <w:hidden/>
    <w:uiPriority w:val="99"/>
    <w:semiHidden/>
    <w:rsid w:val="00C16D9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5075">
      <w:bodyDiv w:val="1"/>
      <w:marLeft w:val="0"/>
      <w:marRight w:val="0"/>
      <w:marTop w:val="0"/>
      <w:marBottom w:val="0"/>
      <w:divBdr>
        <w:top w:val="none" w:sz="0" w:space="0" w:color="auto"/>
        <w:left w:val="none" w:sz="0" w:space="0" w:color="auto"/>
        <w:bottom w:val="none" w:sz="0" w:space="0" w:color="auto"/>
        <w:right w:val="none" w:sz="0" w:space="0" w:color="auto"/>
      </w:divBdr>
    </w:div>
    <w:div w:id="17008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128dafc5-00dc-42d2-8eec-2cfebb8bfd3d/file" TargetMode="External"/><Relationship Id="rId1" Type="http://schemas.openxmlformats.org/officeDocument/2006/relationships/hyperlink" Target="https://open.overheid.nl/documenten/68a7254c-e99b-436b-8d62-e8d1bc3c3044/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1889</ap:Words>
  <ap:Characters>10392</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2025-10-19T21:10:00.0000000Z</dcterms:created>
  <dcterms:modified xsi:type="dcterms:W3CDTF">2025-10-19T21:10:00.0000000Z</dcterms:modified>
  <dc:description>------------------------</dc:description>
  <dc:subject/>
  <keywords/>
  <version/>
  <category/>
</coreProperties>
</file>