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4420F" w:rsidR="00077F4B" w:rsidP="00304EAA" w:rsidRDefault="00D43AF5" w14:paraId="72C32AE3" w14:textId="0365ACAB">
      <w:pPr>
        <w:spacing w:line="240" w:lineRule="exact"/>
        <w:ind w:left="1410" w:hanging="1410"/>
        <w:contextualSpacing/>
        <w:rPr>
          <w:b/>
          <w:szCs w:val="18"/>
        </w:rPr>
      </w:pPr>
      <w:r>
        <w:rPr>
          <w:b/>
          <w:szCs w:val="18"/>
        </w:rPr>
        <w:t>36</w:t>
      </w:r>
      <w:r w:rsidR="000B3293">
        <w:rPr>
          <w:b/>
          <w:szCs w:val="18"/>
        </w:rPr>
        <w:t>818</w:t>
      </w:r>
      <w:r w:rsidR="00304EAA">
        <w:rPr>
          <w:b/>
          <w:szCs w:val="18"/>
        </w:rPr>
        <w:t xml:space="preserve"> </w:t>
      </w:r>
      <w:r w:rsidR="00304EAA">
        <w:rPr>
          <w:b/>
          <w:szCs w:val="18"/>
        </w:rPr>
        <w:tab/>
      </w:r>
      <w:r w:rsidR="00304EAA">
        <w:rPr>
          <w:b/>
          <w:szCs w:val="18"/>
        </w:rPr>
        <w:tab/>
      </w:r>
      <w:r w:rsidRPr="003762EA" w:rsidR="00077F4B">
        <w:rPr>
          <w:b/>
          <w:szCs w:val="18"/>
        </w:rPr>
        <w:t xml:space="preserve">Wijziging van </w:t>
      </w:r>
      <w:proofErr w:type="spellStart"/>
      <w:r w:rsidRPr="000B3293" w:rsidR="000B3293">
        <w:rPr>
          <w:b/>
          <w:szCs w:val="18"/>
        </w:rPr>
        <w:t>van</w:t>
      </w:r>
      <w:proofErr w:type="spellEnd"/>
      <w:r w:rsidRPr="000B3293" w:rsidR="000B3293">
        <w:rPr>
          <w:b/>
          <w:szCs w:val="18"/>
        </w:rPr>
        <w:t xml:space="preserve"> de Wet op de internationale bijstandsverlening bij de heffing van belastingen en de Wet minimumbelasting 2024 in verband met de implementatie van Richtlijn (EU) van de Raad van 14 april 2025 tot wijziging van Richtlijn 2011/16/EU betreffende de administratieve samenwerking op het terrein van de belastingen (Wet implementatie EU-richtlijn gegevensuitwisseling minimumbelasting)</w:t>
      </w:r>
    </w:p>
    <w:p w:rsidRPr="0034420F" w:rsidR="00077F4B" w:rsidP="00077F4B" w:rsidRDefault="00077F4B" w14:paraId="44513057" w14:textId="77777777">
      <w:pPr>
        <w:spacing w:line="240" w:lineRule="exact"/>
        <w:contextualSpacing/>
        <w:rPr>
          <w:szCs w:val="18"/>
        </w:rPr>
      </w:pPr>
    </w:p>
    <w:p w:rsidR="00077F4B" w:rsidP="00077F4B" w:rsidRDefault="00077F4B" w14:paraId="79B84667" w14:textId="77777777">
      <w:pPr>
        <w:spacing w:line="240" w:lineRule="exact"/>
        <w:contextualSpacing/>
        <w:rPr>
          <w:b/>
          <w:szCs w:val="18"/>
        </w:rPr>
      </w:pPr>
      <w:r w:rsidRPr="0034420F">
        <w:rPr>
          <w:b/>
          <w:szCs w:val="18"/>
        </w:rPr>
        <w:t>Nota naar aanleiding van het verslag</w:t>
      </w:r>
    </w:p>
    <w:p w:rsidR="00DF1221" w:rsidP="00077F4B" w:rsidRDefault="00DF1221" w14:paraId="57FAF2AE" w14:textId="77777777">
      <w:pPr>
        <w:spacing w:line="240" w:lineRule="exact"/>
        <w:contextualSpacing/>
        <w:rPr>
          <w:b/>
          <w:szCs w:val="18"/>
        </w:rPr>
      </w:pPr>
    </w:p>
    <w:p w:rsidRPr="0073722A" w:rsidR="00DF1221" w:rsidP="00077F4B" w:rsidRDefault="00DF1221" w14:paraId="044BE157" w14:textId="77777777">
      <w:pPr>
        <w:spacing w:line="240" w:lineRule="exact"/>
        <w:contextualSpacing/>
        <w:rPr>
          <w:b/>
          <w:szCs w:val="18"/>
        </w:rPr>
      </w:pPr>
      <w:r w:rsidRPr="0073722A">
        <w:rPr>
          <w:b/>
          <w:szCs w:val="18"/>
        </w:rPr>
        <w:t>Inhoudsopgave</w:t>
      </w:r>
    </w:p>
    <w:p w:rsidRPr="00CB3069" w:rsidR="00DF1221" w:rsidP="00077F4B" w:rsidRDefault="00DF1221" w14:paraId="2A402F49" w14:textId="6EAD18E2">
      <w:pPr>
        <w:spacing w:line="240" w:lineRule="exact"/>
        <w:contextualSpacing/>
        <w:rPr>
          <w:b/>
          <w:i/>
          <w:iCs/>
          <w:szCs w:val="18"/>
        </w:rPr>
      </w:pPr>
    </w:p>
    <w:p w:rsidR="00B8337D" w:rsidRDefault="00077F4B" w14:paraId="3CE2B5A6" w14:textId="383F4289">
      <w:pPr>
        <w:pStyle w:val="Inhopg1"/>
        <w:rPr>
          <w:rFonts w:asciiTheme="minorHAnsi" w:hAnsiTheme="minorHAnsi"/>
          <w:noProof/>
          <w:kern w:val="2"/>
          <w:sz w:val="24"/>
          <w:szCs w:val="24"/>
          <w:lang w:eastAsia="nl-NL"/>
          <w14:ligatures w14:val="standardContextual"/>
        </w:rPr>
      </w:pPr>
      <w:r w:rsidRPr="00CB3069">
        <w:rPr>
          <w:i/>
          <w:iCs/>
          <w:szCs w:val="18"/>
        </w:rPr>
        <w:fldChar w:fldCharType="begin"/>
      </w:r>
      <w:r w:rsidRPr="00CB3069">
        <w:rPr>
          <w:i/>
          <w:iCs/>
          <w:szCs w:val="18"/>
        </w:rPr>
        <w:instrText xml:space="preserve"> TOC \o "1-3" \h \z \u </w:instrText>
      </w:r>
      <w:r w:rsidRPr="00CB3069">
        <w:rPr>
          <w:i/>
          <w:iCs/>
          <w:szCs w:val="18"/>
        </w:rPr>
        <w:fldChar w:fldCharType="separate"/>
      </w:r>
      <w:hyperlink w:history="1" w:anchor="_Toc211451446">
        <w:r w:rsidRPr="00C9530D" w:rsidR="00B8337D">
          <w:rPr>
            <w:rStyle w:val="Hyperlink"/>
            <w:noProof/>
          </w:rPr>
          <w:t>Inleiding nota naar aanleiding van het verslag</w:t>
        </w:r>
        <w:r w:rsidR="00B8337D">
          <w:rPr>
            <w:noProof/>
            <w:webHidden/>
          </w:rPr>
          <w:tab/>
        </w:r>
        <w:r w:rsidR="00B8337D">
          <w:rPr>
            <w:noProof/>
            <w:webHidden/>
          </w:rPr>
          <w:fldChar w:fldCharType="begin"/>
        </w:r>
        <w:r w:rsidR="00B8337D">
          <w:rPr>
            <w:noProof/>
            <w:webHidden/>
          </w:rPr>
          <w:instrText xml:space="preserve"> PAGEREF _Toc211451446 \h </w:instrText>
        </w:r>
        <w:r w:rsidR="00B8337D">
          <w:rPr>
            <w:noProof/>
            <w:webHidden/>
          </w:rPr>
        </w:r>
        <w:r w:rsidR="00B8337D">
          <w:rPr>
            <w:noProof/>
            <w:webHidden/>
          </w:rPr>
          <w:fldChar w:fldCharType="separate"/>
        </w:r>
        <w:r w:rsidR="00B8337D">
          <w:rPr>
            <w:noProof/>
            <w:webHidden/>
          </w:rPr>
          <w:t>1</w:t>
        </w:r>
        <w:r w:rsidR="00B8337D">
          <w:rPr>
            <w:noProof/>
            <w:webHidden/>
          </w:rPr>
          <w:fldChar w:fldCharType="end"/>
        </w:r>
      </w:hyperlink>
    </w:p>
    <w:p w:rsidR="00B8337D" w:rsidRDefault="006105A5" w14:paraId="605F8721" w14:textId="372EFB0D">
      <w:pPr>
        <w:pStyle w:val="Inhopg1"/>
        <w:tabs>
          <w:tab w:val="left" w:pos="1920"/>
        </w:tabs>
        <w:rPr>
          <w:rFonts w:asciiTheme="minorHAnsi" w:hAnsiTheme="minorHAnsi"/>
          <w:noProof/>
          <w:kern w:val="2"/>
          <w:sz w:val="24"/>
          <w:szCs w:val="24"/>
          <w:lang w:eastAsia="nl-NL"/>
          <w14:ligatures w14:val="standardContextual"/>
        </w:rPr>
      </w:pPr>
      <w:hyperlink w:history="1" w:anchor="_Toc211451447">
        <w:r w:rsidRPr="00C9530D" w:rsidR="00B8337D">
          <w:rPr>
            <w:rStyle w:val="Hyperlink"/>
            <w:noProof/>
          </w:rPr>
          <w:t>1.</w:t>
        </w:r>
        <w:r w:rsidR="00B8337D">
          <w:rPr>
            <w:rFonts w:asciiTheme="minorHAnsi" w:hAnsiTheme="minorHAnsi"/>
            <w:noProof/>
            <w:kern w:val="2"/>
            <w:sz w:val="24"/>
            <w:szCs w:val="24"/>
            <w:lang w:eastAsia="nl-NL"/>
            <w14:ligatures w14:val="standardContextual"/>
          </w:rPr>
          <w:tab/>
        </w:r>
        <w:r w:rsidRPr="00C9530D" w:rsidR="00B8337D">
          <w:rPr>
            <w:rStyle w:val="Hyperlink"/>
            <w:noProof/>
          </w:rPr>
          <w:t>Inleiding</w:t>
        </w:r>
        <w:r w:rsidR="00B8337D">
          <w:rPr>
            <w:noProof/>
            <w:webHidden/>
          </w:rPr>
          <w:tab/>
        </w:r>
        <w:r w:rsidR="00B8337D">
          <w:rPr>
            <w:noProof/>
            <w:webHidden/>
          </w:rPr>
          <w:fldChar w:fldCharType="begin"/>
        </w:r>
        <w:r w:rsidR="00B8337D">
          <w:rPr>
            <w:noProof/>
            <w:webHidden/>
          </w:rPr>
          <w:instrText xml:space="preserve"> PAGEREF _Toc211451447 \h </w:instrText>
        </w:r>
        <w:r w:rsidR="00B8337D">
          <w:rPr>
            <w:noProof/>
            <w:webHidden/>
          </w:rPr>
        </w:r>
        <w:r w:rsidR="00B8337D">
          <w:rPr>
            <w:noProof/>
            <w:webHidden/>
          </w:rPr>
          <w:fldChar w:fldCharType="separate"/>
        </w:r>
        <w:r w:rsidR="00B8337D">
          <w:rPr>
            <w:noProof/>
            <w:webHidden/>
          </w:rPr>
          <w:t>1</w:t>
        </w:r>
        <w:r w:rsidR="00B8337D">
          <w:rPr>
            <w:noProof/>
            <w:webHidden/>
          </w:rPr>
          <w:fldChar w:fldCharType="end"/>
        </w:r>
      </w:hyperlink>
    </w:p>
    <w:p w:rsidR="00B8337D" w:rsidRDefault="006105A5" w14:paraId="4BCFF76C" w14:textId="6AEE0A1E">
      <w:pPr>
        <w:pStyle w:val="Inhopg1"/>
        <w:tabs>
          <w:tab w:val="left" w:pos="1920"/>
        </w:tabs>
        <w:rPr>
          <w:rFonts w:asciiTheme="minorHAnsi" w:hAnsiTheme="minorHAnsi"/>
          <w:noProof/>
          <w:kern w:val="2"/>
          <w:sz w:val="24"/>
          <w:szCs w:val="24"/>
          <w:lang w:eastAsia="nl-NL"/>
          <w14:ligatures w14:val="standardContextual"/>
        </w:rPr>
      </w:pPr>
      <w:hyperlink w:history="1" w:anchor="_Toc211451448">
        <w:r w:rsidRPr="00C9530D" w:rsidR="00B8337D">
          <w:rPr>
            <w:rStyle w:val="Hyperlink"/>
            <w:noProof/>
          </w:rPr>
          <w:t>3.</w:t>
        </w:r>
        <w:r w:rsidR="00B8337D">
          <w:rPr>
            <w:rFonts w:asciiTheme="minorHAnsi" w:hAnsiTheme="minorHAnsi"/>
            <w:noProof/>
            <w:kern w:val="2"/>
            <w:sz w:val="24"/>
            <w:szCs w:val="24"/>
            <w:lang w:eastAsia="nl-NL"/>
            <w14:ligatures w14:val="standardContextual"/>
          </w:rPr>
          <w:tab/>
        </w:r>
        <w:r w:rsidRPr="00C9530D" w:rsidR="00B8337D">
          <w:rPr>
            <w:rStyle w:val="Hyperlink"/>
            <w:noProof/>
          </w:rPr>
          <w:t>Gegevensbescherming</w:t>
        </w:r>
        <w:r w:rsidR="00B8337D">
          <w:rPr>
            <w:noProof/>
            <w:webHidden/>
          </w:rPr>
          <w:tab/>
        </w:r>
        <w:r w:rsidR="00B8337D">
          <w:rPr>
            <w:noProof/>
            <w:webHidden/>
          </w:rPr>
          <w:fldChar w:fldCharType="begin"/>
        </w:r>
        <w:r w:rsidR="00B8337D">
          <w:rPr>
            <w:noProof/>
            <w:webHidden/>
          </w:rPr>
          <w:instrText xml:space="preserve"> PAGEREF _Toc211451448 \h </w:instrText>
        </w:r>
        <w:r w:rsidR="00B8337D">
          <w:rPr>
            <w:noProof/>
            <w:webHidden/>
          </w:rPr>
        </w:r>
        <w:r w:rsidR="00B8337D">
          <w:rPr>
            <w:noProof/>
            <w:webHidden/>
          </w:rPr>
          <w:fldChar w:fldCharType="separate"/>
        </w:r>
        <w:r w:rsidR="00B8337D">
          <w:rPr>
            <w:noProof/>
            <w:webHidden/>
          </w:rPr>
          <w:t>2</w:t>
        </w:r>
        <w:r w:rsidR="00B8337D">
          <w:rPr>
            <w:noProof/>
            <w:webHidden/>
          </w:rPr>
          <w:fldChar w:fldCharType="end"/>
        </w:r>
      </w:hyperlink>
    </w:p>
    <w:p w:rsidR="00B8337D" w:rsidRDefault="006105A5" w14:paraId="0453BC6F" w14:textId="3159F685">
      <w:pPr>
        <w:pStyle w:val="Inhopg1"/>
        <w:tabs>
          <w:tab w:val="left" w:pos="1952"/>
        </w:tabs>
        <w:rPr>
          <w:rFonts w:asciiTheme="minorHAnsi" w:hAnsiTheme="minorHAnsi"/>
          <w:noProof/>
          <w:kern w:val="2"/>
          <w:sz w:val="24"/>
          <w:szCs w:val="24"/>
          <w:lang w:eastAsia="nl-NL"/>
          <w14:ligatures w14:val="standardContextual"/>
        </w:rPr>
      </w:pPr>
      <w:hyperlink w:history="1" w:anchor="_Toc211451449">
        <w:r w:rsidRPr="00C9530D" w:rsidR="00B8337D">
          <w:rPr>
            <w:rStyle w:val="Hyperlink"/>
            <w:noProof/>
          </w:rPr>
          <w:t>5.1</w:t>
        </w:r>
        <w:r w:rsidR="00B8337D">
          <w:rPr>
            <w:rFonts w:asciiTheme="minorHAnsi" w:hAnsiTheme="minorHAnsi"/>
            <w:noProof/>
            <w:kern w:val="2"/>
            <w:sz w:val="24"/>
            <w:szCs w:val="24"/>
            <w:lang w:eastAsia="nl-NL"/>
            <w14:ligatures w14:val="standardContextual"/>
          </w:rPr>
          <w:tab/>
        </w:r>
        <w:r w:rsidRPr="00C9530D" w:rsidR="00B8337D">
          <w:rPr>
            <w:rStyle w:val="Hyperlink"/>
            <w:noProof/>
          </w:rPr>
          <w:t>Administratieve lasten</w:t>
        </w:r>
        <w:r w:rsidR="00B8337D">
          <w:rPr>
            <w:noProof/>
            <w:webHidden/>
          </w:rPr>
          <w:tab/>
        </w:r>
        <w:r w:rsidR="00B8337D">
          <w:rPr>
            <w:noProof/>
            <w:webHidden/>
          </w:rPr>
          <w:fldChar w:fldCharType="begin"/>
        </w:r>
        <w:r w:rsidR="00B8337D">
          <w:rPr>
            <w:noProof/>
            <w:webHidden/>
          </w:rPr>
          <w:instrText xml:space="preserve"> PAGEREF _Toc211451449 \h </w:instrText>
        </w:r>
        <w:r w:rsidR="00B8337D">
          <w:rPr>
            <w:noProof/>
            <w:webHidden/>
          </w:rPr>
        </w:r>
        <w:r w:rsidR="00B8337D">
          <w:rPr>
            <w:noProof/>
            <w:webHidden/>
          </w:rPr>
          <w:fldChar w:fldCharType="separate"/>
        </w:r>
        <w:r w:rsidR="00B8337D">
          <w:rPr>
            <w:noProof/>
            <w:webHidden/>
          </w:rPr>
          <w:t>3</w:t>
        </w:r>
        <w:r w:rsidR="00B8337D">
          <w:rPr>
            <w:noProof/>
            <w:webHidden/>
          </w:rPr>
          <w:fldChar w:fldCharType="end"/>
        </w:r>
      </w:hyperlink>
    </w:p>
    <w:p w:rsidR="00B8337D" w:rsidRDefault="006105A5" w14:paraId="1B70ABC5" w14:textId="0883F75A">
      <w:pPr>
        <w:pStyle w:val="Inhopg1"/>
        <w:tabs>
          <w:tab w:val="left" w:pos="1952"/>
        </w:tabs>
        <w:rPr>
          <w:rFonts w:asciiTheme="minorHAnsi" w:hAnsiTheme="minorHAnsi"/>
          <w:noProof/>
          <w:kern w:val="2"/>
          <w:sz w:val="24"/>
          <w:szCs w:val="24"/>
          <w:lang w:eastAsia="nl-NL"/>
          <w14:ligatures w14:val="standardContextual"/>
        </w:rPr>
      </w:pPr>
      <w:hyperlink w:history="1" w:anchor="_Toc211451450">
        <w:r w:rsidRPr="00C9530D" w:rsidR="00B8337D">
          <w:rPr>
            <w:rStyle w:val="Hyperlink"/>
            <w:noProof/>
          </w:rPr>
          <w:t>5.2</w:t>
        </w:r>
        <w:r w:rsidR="00B8337D">
          <w:rPr>
            <w:rFonts w:asciiTheme="minorHAnsi" w:hAnsiTheme="minorHAnsi"/>
            <w:noProof/>
            <w:kern w:val="2"/>
            <w:sz w:val="24"/>
            <w:szCs w:val="24"/>
            <w:lang w:eastAsia="nl-NL"/>
            <w14:ligatures w14:val="standardContextual"/>
          </w:rPr>
          <w:tab/>
        </w:r>
        <w:r w:rsidRPr="00C9530D" w:rsidR="00B8337D">
          <w:rPr>
            <w:rStyle w:val="Hyperlink"/>
            <w:noProof/>
          </w:rPr>
          <w:t>Doenvermogen</w:t>
        </w:r>
        <w:r w:rsidR="00B8337D">
          <w:rPr>
            <w:noProof/>
            <w:webHidden/>
          </w:rPr>
          <w:tab/>
        </w:r>
        <w:r w:rsidR="00B8337D">
          <w:rPr>
            <w:noProof/>
            <w:webHidden/>
          </w:rPr>
          <w:fldChar w:fldCharType="begin"/>
        </w:r>
        <w:r w:rsidR="00B8337D">
          <w:rPr>
            <w:noProof/>
            <w:webHidden/>
          </w:rPr>
          <w:instrText xml:space="preserve"> PAGEREF _Toc211451450 \h </w:instrText>
        </w:r>
        <w:r w:rsidR="00B8337D">
          <w:rPr>
            <w:noProof/>
            <w:webHidden/>
          </w:rPr>
        </w:r>
        <w:r w:rsidR="00B8337D">
          <w:rPr>
            <w:noProof/>
            <w:webHidden/>
          </w:rPr>
          <w:fldChar w:fldCharType="separate"/>
        </w:r>
        <w:r w:rsidR="00B8337D">
          <w:rPr>
            <w:noProof/>
            <w:webHidden/>
          </w:rPr>
          <w:t>4</w:t>
        </w:r>
        <w:r w:rsidR="00B8337D">
          <w:rPr>
            <w:noProof/>
            <w:webHidden/>
          </w:rPr>
          <w:fldChar w:fldCharType="end"/>
        </w:r>
      </w:hyperlink>
    </w:p>
    <w:p w:rsidR="00B8337D" w:rsidRDefault="006105A5" w14:paraId="4C7A55F2" w14:textId="40EBFA6B">
      <w:pPr>
        <w:pStyle w:val="Inhopg1"/>
        <w:tabs>
          <w:tab w:val="left" w:pos="1952"/>
        </w:tabs>
        <w:rPr>
          <w:rFonts w:asciiTheme="minorHAnsi" w:hAnsiTheme="minorHAnsi"/>
          <w:noProof/>
          <w:kern w:val="2"/>
          <w:sz w:val="24"/>
          <w:szCs w:val="24"/>
          <w:lang w:eastAsia="nl-NL"/>
          <w14:ligatures w14:val="standardContextual"/>
        </w:rPr>
      </w:pPr>
      <w:hyperlink w:history="1" w:anchor="_Toc211451451">
        <w:r w:rsidRPr="00C9530D" w:rsidR="00B8337D">
          <w:rPr>
            <w:rStyle w:val="Hyperlink"/>
            <w:noProof/>
          </w:rPr>
          <w:t>6.2</w:t>
        </w:r>
        <w:r w:rsidR="00B8337D">
          <w:rPr>
            <w:rFonts w:asciiTheme="minorHAnsi" w:hAnsiTheme="minorHAnsi"/>
            <w:noProof/>
            <w:kern w:val="2"/>
            <w:sz w:val="24"/>
            <w:szCs w:val="24"/>
            <w:lang w:eastAsia="nl-NL"/>
            <w14:ligatures w14:val="standardContextual"/>
          </w:rPr>
          <w:tab/>
        </w:r>
        <w:r w:rsidRPr="00C9530D" w:rsidR="00B8337D">
          <w:rPr>
            <w:rStyle w:val="Hyperlink"/>
            <w:noProof/>
          </w:rPr>
          <w:t>Evaluatie en monitoring</w:t>
        </w:r>
        <w:r w:rsidR="00B8337D">
          <w:rPr>
            <w:noProof/>
            <w:webHidden/>
          </w:rPr>
          <w:tab/>
          <w:t>5</w:t>
        </w:r>
      </w:hyperlink>
    </w:p>
    <w:p w:rsidR="00B8337D" w:rsidRDefault="006105A5" w14:paraId="0C3FF34B" w14:textId="3E60D521">
      <w:pPr>
        <w:pStyle w:val="Inhopg1"/>
        <w:tabs>
          <w:tab w:val="left" w:pos="1920"/>
        </w:tabs>
        <w:rPr>
          <w:rFonts w:asciiTheme="minorHAnsi" w:hAnsiTheme="minorHAnsi"/>
          <w:noProof/>
          <w:kern w:val="2"/>
          <w:sz w:val="24"/>
          <w:szCs w:val="24"/>
          <w:lang w:eastAsia="nl-NL"/>
          <w14:ligatures w14:val="standardContextual"/>
        </w:rPr>
      </w:pPr>
      <w:hyperlink w:history="1" w:anchor="_Toc211451452">
        <w:r w:rsidRPr="00C9530D" w:rsidR="00B8337D">
          <w:rPr>
            <w:rStyle w:val="Hyperlink"/>
            <w:noProof/>
          </w:rPr>
          <w:t>7.</w:t>
        </w:r>
        <w:r w:rsidR="00B8337D">
          <w:rPr>
            <w:rFonts w:asciiTheme="minorHAnsi" w:hAnsiTheme="minorHAnsi"/>
            <w:noProof/>
            <w:kern w:val="2"/>
            <w:sz w:val="24"/>
            <w:szCs w:val="24"/>
            <w:lang w:eastAsia="nl-NL"/>
            <w14:ligatures w14:val="standardContextual"/>
          </w:rPr>
          <w:tab/>
        </w:r>
        <w:r w:rsidRPr="00C9530D" w:rsidR="00B8337D">
          <w:rPr>
            <w:rStyle w:val="Hyperlink"/>
            <w:noProof/>
          </w:rPr>
          <w:t>Uitvoeringskosten</w:t>
        </w:r>
        <w:r w:rsidR="00B8337D">
          <w:rPr>
            <w:noProof/>
            <w:webHidden/>
          </w:rPr>
          <w:tab/>
        </w:r>
        <w:r w:rsidR="00B8337D">
          <w:rPr>
            <w:noProof/>
            <w:webHidden/>
          </w:rPr>
          <w:fldChar w:fldCharType="begin"/>
        </w:r>
        <w:r w:rsidR="00B8337D">
          <w:rPr>
            <w:noProof/>
            <w:webHidden/>
          </w:rPr>
          <w:instrText xml:space="preserve"> PAGEREF _Toc211451452 \h </w:instrText>
        </w:r>
        <w:r w:rsidR="00B8337D">
          <w:rPr>
            <w:noProof/>
            <w:webHidden/>
          </w:rPr>
        </w:r>
        <w:r w:rsidR="00B8337D">
          <w:rPr>
            <w:noProof/>
            <w:webHidden/>
          </w:rPr>
          <w:fldChar w:fldCharType="separate"/>
        </w:r>
        <w:r w:rsidR="00B8337D">
          <w:rPr>
            <w:noProof/>
            <w:webHidden/>
          </w:rPr>
          <w:t>5</w:t>
        </w:r>
        <w:r w:rsidR="00B8337D">
          <w:rPr>
            <w:noProof/>
            <w:webHidden/>
          </w:rPr>
          <w:fldChar w:fldCharType="end"/>
        </w:r>
      </w:hyperlink>
    </w:p>
    <w:p w:rsidR="00077F4B" w:rsidP="00077F4B" w:rsidRDefault="00077F4B" w14:paraId="5CBF3380" w14:textId="0C653793">
      <w:pPr>
        <w:rPr>
          <w:szCs w:val="18"/>
        </w:rPr>
      </w:pPr>
      <w:r w:rsidRPr="00CB3069">
        <w:rPr>
          <w:rFonts w:eastAsiaTheme="minorEastAsia" w:cstheme="minorBidi"/>
          <w:i/>
          <w:iCs/>
          <w:szCs w:val="18"/>
          <w:lang w:eastAsia="en-US"/>
        </w:rPr>
        <w:fldChar w:fldCharType="end"/>
      </w:r>
    </w:p>
    <w:p w:rsidR="008E6AE0" w:rsidRDefault="00077F4B" w14:paraId="07DE8BD5" w14:textId="77777777">
      <w:pPr>
        <w:spacing w:line="240" w:lineRule="auto"/>
        <w:ind w:left="0"/>
        <w:rPr>
          <w:szCs w:val="18"/>
        </w:rPr>
        <w:sectPr w:rsidR="008E6AE0" w:rsidSect="00E310CC">
          <w:footerReference w:type="default" r:id="rId7"/>
          <w:pgSz w:w="11906" w:h="16838"/>
          <w:pgMar w:top="1417" w:right="1417" w:bottom="1417" w:left="1417" w:header="708" w:footer="708" w:gutter="0"/>
          <w:pgNumType w:start="1"/>
          <w:cols w:space="708"/>
          <w:titlePg/>
          <w:docGrid w:linePitch="360"/>
        </w:sectPr>
      </w:pPr>
      <w:r>
        <w:rPr>
          <w:szCs w:val="18"/>
        </w:rPr>
        <w:br w:type="page"/>
      </w:r>
    </w:p>
    <w:p w:rsidR="000D4050" w:rsidRDefault="000D4050" w14:paraId="2E27AB24" w14:textId="1DB00D4E">
      <w:pPr>
        <w:spacing w:line="240" w:lineRule="auto"/>
        <w:ind w:left="0"/>
        <w:rPr>
          <w:szCs w:val="18"/>
        </w:rPr>
      </w:pPr>
    </w:p>
    <w:p w:rsidR="00077F4B" w:rsidP="00731F63" w:rsidRDefault="00077F4B" w14:paraId="253C3B87" w14:textId="1E5261F4">
      <w:pPr>
        <w:pStyle w:val="Kop1"/>
        <w:numPr>
          <w:ilvl w:val="0"/>
          <w:numId w:val="0"/>
        </w:numPr>
        <w:ind w:left="1775" w:hanging="357"/>
      </w:pPr>
      <w:bookmarkStart w:name="_Toc84412761" w:id="0"/>
      <w:bookmarkStart w:name="_Toc210990571" w:id="1"/>
      <w:bookmarkStart w:name="_Toc211002277" w:id="2"/>
      <w:bookmarkStart w:name="_Toc211280272" w:id="3"/>
      <w:bookmarkStart w:name="_Toc211451446" w:id="4"/>
      <w:r>
        <w:t>Inleiding</w:t>
      </w:r>
      <w:bookmarkEnd w:id="0"/>
      <w:bookmarkEnd w:id="1"/>
      <w:r w:rsidR="00731F63">
        <w:t xml:space="preserve"> nota naar aanleiding van het verslag</w:t>
      </w:r>
      <w:bookmarkEnd w:id="2"/>
      <w:bookmarkEnd w:id="3"/>
      <w:bookmarkEnd w:id="4"/>
    </w:p>
    <w:p w:rsidRPr="00CB6685" w:rsidR="00CB6685" w:rsidP="00CB6685" w:rsidRDefault="00CB6685" w14:paraId="74FC2079" w14:textId="77777777">
      <w:pPr>
        <w:rPr>
          <w:lang w:eastAsia="en-US"/>
        </w:rPr>
      </w:pPr>
    </w:p>
    <w:p w:rsidR="00731F63" w:rsidP="00731F63" w:rsidRDefault="00077F4B" w14:paraId="40266DCC" w14:textId="639E251D">
      <w:pPr>
        <w:contextualSpacing/>
        <w:rPr>
          <w:rFonts w:cs="Arial"/>
          <w:szCs w:val="18"/>
        </w:rPr>
      </w:pPr>
      <w:r w:rsidRPr="002A3BCB">
        <w:rPr>
          <w:rFonts w:cs="Arial"/>
          <w:szCs w:val="18"/>
        </w:rPr>
        <w:t>Het kabinet heeft met interesse kennisgenomen van de vragen en opmerkingen van de leden van de fracties van</w:t>
      </w:r>
      <w:r w:rsidR="00461012">
        <w:rPr>
          <w:rFonts w:cs="Arial"/>
          <w:szCs w:val="18"/>
        </w:rPr>
        <w:t xml:space="preserve"> GroenLinks-PvdA en de VVD.</w:t>
      </w:r>
      <w:r w:rsidR="00731F63">
        <w:rPr>
          <w:rFonts w:cs="Arial"/>
          <w:szCs w:val="18"/>
        </w:rPr>
        <w:t xml:space="preserve"> De vragen en opmerkingen hebben betrekking op onderdelen van het algemeen deel van de memorie van toelichting. In het verslag wordt de nummering uit de memorie van toelichting aangehouden. Het kabinet houdt die nummering daarom ook aan in de hierna volgende beantwoording.</w:t>
      </w:r>
    </w:p>
    <w:p w:rsidR="00731F63" w:rsidP="00077F4B" w:rsidRDefault="00731F63" w14:paraId="2631DCA0" w14:textId="77777777">
      <w:pPr>
        <w:contextualSpacing/>
        <w:rPr>
          <w:rFonts w:cs="Arial"/>
          <w:szCs w:val="18"/>
        </w:rPr>
      </w:pPr>
    </w:p>
    <w:p w:rsidRPr="00AF693E" w:rsidR="00731F63" w:rsidP="0026327A" w:rsidRDefault="00731F63" w14:paraId="1B6E3A80" w14:textId="09791F83">
      <w:pPr>
        <w:pStyle w:val="Kop1"/>
        <w:numPr>
          <w:ilvl w:val="0"/>
          <w:numId w:val="8"/>
        </w:numPr>
        <w:ind w:left="1418" w:firstLine="0"/>
      </w:pPr>
      <w:bookmarkStart w:name="_Toc210990572" w:id="5"/>
      <w:bookmarkStart w:name="_Toc211002278" w:id="6"/>
      <w:bookmarkStart w:name="_Toc211280273" w:id="7"/>
      <w:bookmarkStart w:name="_Toc211451447" w:id="8"/>
      <w:r w:rsidRPr="00AF693E">
        <w:t>Inleiding</w:t>
      </w:r>
      <w:bookmarkEnd w:id="5"/>
      <w:bookmarkEnd w:id="6"/>
      <w:bookmarkEnd w:id="7"/>
      <w:bookmarkEnd w:id="8"/>
    </w:p>
    <w:p w:rsidR="00B8337D" w:rsidP="00013F3B" w:rsidRDefault="00B8337D" w14:paraId="2165B467" w14:textId="77777777">
      <w:pPr>
        <w:contextualSpacing/>
        <w:rPr>
          <w:rFonts w:cs="Arial"/>
          <w:szCs w:val="18"/>
        </w:rPr>
      </w:pPr>
      <w:bookmarkStart w:name="_Hlk211326376" w:id="9"/>
    </w:p>
    <w:p w:rsidR="006D1211" w:rsidP="00013F3B" w:rsidRDefault="000660D1" w14:paraId="768CF887" w14:textId="093A6C9F">
      <w:pPr>
        <w:contextualSpacing/>
        <w:rPr>
          <w:rFonts w:cs="Arial"/>
          <w:szCs w:val="18"/>
        </w:rPr>
      </w:pPr>
      <w:r>
        <w:rPr>
          <w:rFonts w:cs="Arial"/>
          <w:szCs w:val="18"/>
        </w:rPr>
        <w:t>De leden van de fractie van GroenLinks-PvdA vragen met welke landen Nederland een kwalificerende overeenkomst heeft.</w:t>
      </w:r>
      <w:r w:rsidR="0073722A">
        <w:rPr>
          <w:rFonts w:cs="Arial"/>
          <w:szCs w:val="18"/>
        </w:rPr>
        <w:t xml:space="preserve"> </w:t>
      </w:r>
      <w:bookmarkEnd w:id="9"/>
      <w:r w:rsidR="00013F3B">
        <w:rPr>
          <w:rFonts w:cs="Arial"/>
          <w:szCs w:val="18"/>
        </w:rPr>
        <w:t>Richtlijn (EU) 2025/872</w:t>
      </w:r>
      <w:r w:rsidR="00013F3B">
        <w:rPr>
          <w:rStyle w:val="Voetnootmarkering"/>
          <w:rFonts w:cs="Arial"/>
          <w:szCs w:val="18"/>
        </w:rPr>
        <w:footnoteReference w:id="1"/>
      </w:r>
      <w:r w:rsidR="00013F3B">
        <w:rPr>
          <w:rFonts w:cs="Arial"/>
          <w:szCs w:val="18"/>
        </w:rPr>
        <w:t xml:space="preserve"> - beter bekend als de DAC9-richtlijn</w:t>
      </w:r>
      <w:r w:rsidRPr="00013F3B" w:rsidR="00013F3B">
        <w:rPr>
          <w:rFonts w:cs="Arial"/>
          <w:szCs w:val="18"/>
        </w:rPr>
        <w:t xml:space="preserve"> </w:t>
      </w:r>
      <w:r w:rsidR="00013F3B">
        <w:rPr>
          <w:rFonts w:cs="Arial"/>
          <w:szCs w:val="18"/>
        </w:rPr>
        <w:t xml:space="preserve">- </w:t>
      </w:r>
      <w:r w:rsidRPr="00013F3B" w:rsidR="00013F3B">
        <w:rPr>
          <w:rFonts w:cs="Arial"/>
          <w:szCs w:val="18"/>
        </w:rPr>
        <w:t>is een kwalificerende overeenkomst in de zin van de Pijler 2-richtlijn</w:t>
      </w:r>
      <w:r w:rsidR="00013F3B">
        <w:rPr>
          <w:rStyle w:val="Voetnootmarkering"/>
          <w:rFonts w:cs="Arial"/>
          <w:szCs w:val="18"/>
        </w:rPr>
        <w:footnoteReference w:id="2"/>
      </w:r>
      <w:r w:rsidR="00013F3B">
        <w:rPr>
          <w:rFonts w:cs="Arial"/>
          <w:szCs w:val="18"/>
        </w:rPr>
        <w:t>, welke richtlijn</w:t>
      </w:r>
      <w:r w:rsidR="00331097">
        <w:rPr>
          <w:rFonts w:cs="Arial"/>
          <w:szCs w:val="18"/>
        </w:rPr>
        <w:t xml:space="preserve"> in Nederland</w:t>
      </w:r>
      <w:r w:rsidR="00013F3B">
        <w:rPr>
          <w:rFonts w:cs="Arial"/>
          <w:szCs w:val="18"/>
        </w:rPr>
        <w:t xml:space="preserve"> is geïmplementeerd in de Wet minimumbelasting 2024 (WMB 2024)</w:t>
      </w:r>
      <w:r w:rsidRPr="00013F3B" w:rsidR="00013F3B">
        <w:rPr>
          <w:rFonts w:cs="Arial"/>
          <w:szCs w:val="18"/>
        </w:rPr>
        <w:t xml:space="preserve">. Implementatie van </w:t>
      </w:r>
      <w:r w:rsidR="00013F3B">
        <w:rPr>
          <w:rFonts w:cs="Arial"/>
          <w:szCs w:val="18"/>
        </w:rPr>
        <w:t>de Pijler 2-</w:t>
      </w:r>
      <w:r w:rsidRPr="00013F3B" w:rsidR="00013F3B">
        <w:rPr>
          <w:rFonts w:cs="Arial"/>
          <w:szCs w:val="18"/>
        </w:rPr>
        <w:t>richtlijn heeft dus tot gevolg dat Nederland met de andere lidstaten informatie uit de</w:t>
      </w:r>
      <w:r w:rsidR="00331097">
        <w:rPr>
          <w:rFonts w:cs="Arial"/>
          <w:szCs w:val="18"/>
        </w:rPr>
        <w:t xml:space="preserve"> op grond van de WMB 2024 ingediende</w:t>
      </w:r>
      <w:r w:rsidRPr="00013F3B" w:rsidR="00013F3B">
        <w:rPr>
          <w:rFonts w:cs="Arial"/>
          <w:szCs w:val="18"/>
        </w:rPr>
        <w:t xml:space="preserve"> </w:t>
      </w:r>
      <w:proofErr w:type="spellStart"/>
      <w:r w:rsidRPr="00013F3B" w:rsidR="00013F3B">
        <w:rPr>
          <w:rFonts w:cs="Arial"/>
          <w:szCs w:val="18"/>
        </w:rPr>
        <w:t>bijheffing</w:t>
      </w:r>
      <w:proofErr w:type="spellEnd"/>
      <w:r w:rsidRPr="00013F3B" w:rsidR="00013F3B">
        <w:rPr>
          <w:rFonts w:cs="Arial"/>
          <w:szCs w:val="18"/>
        </w:rPr>
        <w:t xml:space="preserve">-informatieaangifte zal gaan uitwisselen. Nederland heeft nog geen kwalificerende overeenkomst met andere landen dan de lidstaten. De verwachting is wel dat </w:t>
      </w:r>
      <w:r w:rsidR="0026327A">
        <w:rPr>
          <w:rFonts w:cs="Arial"/>
          <w:szCs w:val="18"/>
        </w:rPr>
        <w:t>Nederland een dergelijke overeenkomst zal sluiten met die</w:t>
      </w:r>
      <w:r w:rsidRPr="00013F3B" w:rsidR="00013F3B">
        <w:rPr>
          <w:rFonts w:cs="Arial"/>
          <w:szCs w:val="18"/>
        </w:rPr>
        <w:t xml:space="preserve"> landen die bij de OESO de </w:t>
      </w:r>
      <w:r w:rsidR="0026327A">
        <w:rPr>
          <w:rFonts w:cs="Arial"/>
          <w:szCs w:val="18"/>
        </w:rPr>
        <w:t xml:space="preserve">betreffende </w:t>
      </w:r>
      <w:r w:rsidR="00331097">
        <w:rPr>
          <w:rFonts w:cs="Arial"/>
          <w:szCs w:val="18"/>
        </w:rPr>
        <w:t>‘</w:t>
      </w:r>
      <w:r w:rsidRPr="00013F3B" w:rsidR="00013F3B">
        <w:rPr>
          <w:rFonts w:cs="Arial"/>
          <w:szCs w:val="18"/>
        </w:rPr>
        <w:t xml:space="preserve">Multiple Competent </w:t>
      </w:r>
      <w:proofErr w:type="spellStart"/>
      <w:r w:rsidRPr="00013F3B" w:rsidR="00013F3B">
        <w:rPr>
          <w:rFonts w:cs="Arial"/>
          <w:szCs w:val="18"/>
        </w:rPr>
        <w:t>Authority</w:t>
      </w:r>
      <w:proofErr w:type="spellEnd"/>
      <w:r w:rsidRPr="00013F3B" w:rsidR="00013F3B">
        <w:rPr>
          <w:rFonts w:cs="Arial"/>
          <w:szCs w:val="18"/>
        </w:rPr>
        <w:t xml:space="preserve"> Agreement</w:t>
      </w:r>
      <w:r w:rsidR="00331097">
        <w:rPr>
          <w:rFonts w:cs="Arial"/>
          <w:szCs w:val="18"/>
        </w:rPr>
        <w:t xml:space="preserve">’ </w:t>
      </w:r>
      <w:r w:rsidRPr="00013F3B" w:rsidR="00013F3B">
        <w:rPr>
          <w:rFonts w:cs="Arial"/>
          <w:szCs w:val="18"/>
        </w:rPr>
        <w:t xml:space="preserve">ondertekenen. Nederland is immers voortvarend te werk gegaan met implementatie en uitvoering van de Pijler 2-richtlijn en de DAC9-richtlijn is het sluitstuk daarvan in die zin dat de op grond van de WMB 2024 ontvangen informatie uit de </w:t>
      </w:r>
      <w:proofErr w:type="spellStart"/>
      <w:r w:rsidRPr="00013F3B" w:rsidR="00013F3B">
        <w:rPr>
          <w:rFonts w:cs="Arial"/>
          <w:szCs w:val="18"/>
        </w:rPr>
        <w:t>bijheffing</w:t>
      </w:r>
      <w:proofErr w:type="spellEnd"/>
      <w:r w:rsidRPr="00013F3B" w:rsidR="00013F3B">
        <w:rPr>
          <w:rFonts w:cs="Arial"/>
          <w:szCs w:val="18"/>
        </w:rPr>
        <w:t>-informatieaangifte ingevolge de DAC9-richtlijn moet worden uitgewisseld met andere lidstaten.</w:t>
      </w:r>
      <w:r w:rsidR="00013F3B">
        <w:rPr>
          <w:rFonts w:cs="Arial"/>
          <w:szCs w:val="18"/>
        </w:rPr>
        <w:t xml:space="preserve"> </w:t>
      </w:r>
      <w:r w:rsidR="00331097">
        <w:rPr>
          <w:rFonts w:cs="Arial"/>
          <w:szCs w:val="18"/>
        </w:rPr>
        <w:t xml:space="preserve">De leden van de fractie van GroenLinks-PvdA </w:t>
      </w:r>
      <w:r w:rsidRPr="00037029" w:rsidR="00037029">
        <w:rPr>
          <w:rFonts w:cs="Arial"/>
          <w:szCs w:val="18"/>
        </w:rPr>
        <w:t xml:space="preserve">vragen </w:t>
      </w:r>
      <w:r w:rsidR="0073722A">
        <w:rPr>
          <w:rFonts w:cs="Arial"/>
          <w:szCs w:val="18"/>
        </w:rPr>
        <w:t xml:space="preserve">voorts </w:t>
      </w:r>
      <w:r w:rsidRPr="00037029" w:rsidR="00037029">
        <w:rPr>
          <w:rFonts w:cs="Arial"/>
          <w:szCs w:val="18"/>
        </w:rPr>
        <w:t xml:space="preserve">of multinationale groepen zelf kunnen kiezen in welk land zij een </w:t>
      </w:r>
      <w:proofErr w:type="spellStart"/>
      <w:r w:rsidRPr="00037029" w:rsidR="00037029">
        <w:rPr>
          <w:rFonts w:cs="Arial"/>
          <w:szCs w:val="18"/>
        </w:rPr>
        <w:t>bijheffing</w:t>
      </w:r>
      <w:proofErr w:type="spellEnd"/>
      <w:r w:rsidRPr="00037029" w:rsidR="00037029">
        <w:rPr>
          <w:rFonts w:cs="Arial"/>
          <w:szCs w:val="18"/>
        </w:rPr>
        <w:t xml:space="preserve">-informatieaangifte indienen en of </w:t>
      </w:r>
      <w:r w:rsidR="00264DEF">
        <w:rPr>
          <w:rFonts w:cs="Arial"/>
          <w:szCs w:val="18"/>
        </w:rPr>
        <w:t>het kabinet</w:t>
      </w:r>
      <w:r w:rsidRPr="00037029" w:rsidR="00037029">
        <w:rPr>
          <w:rFonts w:cs="Arial"/>
          <w:szCs w:val="18"/>
        </w:rPr>
        <w:t xml:space="preserve"> risico’s op dat gebied ziet. Op grond van artikel 13.1, tweede lid, </w:t>
      </w:r>
      <w:r w:rsidR="00037029">
        <w:rPr>
          <w:rFonts w:cs="Arial"/>
          <w:szCs w:val="18"/>
        </w:rPr>
        <w:t>WMB 2024</w:t>
      </w:r>
      <w:r w:rsidRPr="00037029" w:rsidR="00037029">
        <w:rPr>
          <w:rFonts w:cs="Arial"/>
          <w:szCs w:val="18"/>
        </w:rPr>
        <w:t xml:space="preserve"> heeft een in Nederland gevestigde groepsentiteit de verplichting om een </w:t>
      </w:r>
      <w:proofErr w:type="spellStart"/>
      <w:r w:rsidRPr="00037029" w:rsidR="00037029">
        <w:rPr>
          <w:rFonts w:cs="Arial"/>
          <w:szCs w:val="18"/>
        </w:rPr>
        <w:t>bijheffing</w:t>
      </w:r>
      <w:proofErr w:type="spellEnd"/>
      <w:r w:rsidRPr="00037029" w:rsidR="00037029">
        <w:rPr>
          <w:rFonts w:cs="Arial"/>
          <w:szCs w:val="18"/>
        </w:rPr>
        <w:t>-informatieaangifte in te dienen</w:t>
      </w:r>
      <w:r w:rsidR="004B2FC7">
        <w:rPr>
          <w:rFonts w:cs="Arial"/>
          <w:szCs w:val="18"/>
        </w:rPr>
        <w:t xml:space="preserve">. Ook </w:t>
      </w:r>
      <w:r w:rsidRPr="00037029" w:rsidR="00037029">
        <w:rPr>
          <w:rFonts w:cs="Arial"/>
          <w:szCs w:val="18"/>
        </w:rPr>
        <w:t xml:space="preserve">kan deze </w:t>
      </w:r>
      <w:proofErr w:type="spellStart"/>
      <w:r w:rsidRPr="00037029" w:rsidR="00037029">
        <w:rPr>
          <w:rFonts w:cs="Arial"/>
          <w:szCs w:val="18"/>
        </w:rPr>
        <w:t>bijheffing</w:t>
      </w:r>
      <w:proofErr w:type="spellEnd"/>
      <w:r w:rsidRPr="00037029" w:rsidR="00037029">
        <w:rPr>
          <w:rFonts w:cs="Arial"/>
          <w:szCs w:val="18"/>
        </w:rPr>
        <w:t xml:space="preserve">-informatieaangifte namens de groepsentiteit door een aangewezen lokale entiteit worden ingediend. Een uitzondering hierop bestaat wanneer de </w:t>
      </w:r>
      <w:proofErr w:type="spellStart"/>
      <w:r w:rsidRPr="00037029" w:rsidR="00037029">
        <w:rPr>
          <w:rFonts w:cs="Arial"/>
          <w:szCs w:val="18"/>
        </w:rPr>
        <w:t>bijheffing</w:t>
      </w:r>
      <w:proofErr w:type="spellEnd"/>
      <w:r w:rsidRPr="00037029" w:rsidR="00037029">
        <w:rPr>
          <w:rFonts w:cs="Arial"/>
          <w:szCs w:val="18"/>
        </w:rPr>
        <w:t xml:space="preserve">-informatieaangifte wordt ingediend door een </w:t>
      </w:r>
      <w:proofErr w:type="spellStart"/>
      <w:r w:rsidRPr="00037029" w:rsidR="00037029">
        <w:rPr>
          <w:rFonts w:cs="Arial"/>
          <w:szCs w:val="18"/>
        </w:rPr>
        <w:t>uiteindelijkemoederentiteit</w:t>
      </w:r>
      <w:proofErr w:type="spellEnd"/>
      <w:r w:rsidRPr="00037029" w:rsidR="00037029">
        <w:rPr>
          <w:rFonts w:cs="Arial"/>
          <w:szCs w:val="18"/>
        </w:rPr>
        <w:t xml:space="preserve"> of een aangewezen informatieaangifte-indienende groepsentiteit, mits zij zijn gevestigd in een staat waarmee Nederland een kwalificerende overeenkomst heeft. </w:t>
      </w:r>
      <w:r w:rsidR="00761E6F">
        <w:rPr>
          <w:rFonts w:cs="Arial"/>
          <w:szCs w:val="18"/>
        </w:rPr>
        <w:t xml:space="preserve">In zoverre hebben groepen dus een keuze. </w:t>
      </w:r>
      <w:r w:rsidRPr="00037029" w:rsidR="00037029">
        <w:rPr>
          <w:rFonts w:cs="Arial"/>
          <w:szCs w:val="18"/>
        </w:rPr>
        <w:t xml:space="preserve">Als een land dat de </w:t>
      </w:r>
      <w:proofErr w:type="spellStart"/>
      <w:r w:rsidRPr="00037029" w:rsidR="00037029">
        <w:rPr>
          <w:rFonts w:cs="Arial"/>
          <w:szCs w:val="18"/>
        </w:rPr>
        <w:t>bijheffing</w:t>
      </w:r>
      <w:proofErr w:type="spellEnd"/>
      <w:r w:rsidRPr="00037029" w:rsidR="00037029">
        <w:rPr>
          <w:rFonts w:cs="Arial"/>
          <w:szCs w:val="18"/>
        </w:rPr>
        <w:t>-informatieaangifte ontvangt</w:t>
      </w:r>
      <w:r w:rsidR="00761E6F">
        <w:rPr>
          <w:rFonts w:cs="Arial"/>
          <w:szCs w:val="18"/>
        </w:rPr>
        <w:t xml:space="preserve"> </w:t>
      </w:r>
      <w:r w:rsidRPr="00037029" w:rsidR="00037029">
        <w:rPr>
          <w:rFonts w:cs="Arial"/>
          <w:szCs w:val="18"/>
        </w:rPr>
        <w:t>geen kwalificerende overeenkomst met Nederland</w:t>
      </w:r>
      <w:r w:rsidRPr="00331097" w:rsidR="00331097">
        <w:rPr>
          <w:rFonts w:cs="Arial"/>
          <w:szCs w:val="18"/>
        </w:rPr>
        <w:t xml:space="preserve"> </w:t>
      </w:r>
      <w:r w:rsidRPr="00037029" w:rsidR="00331097">
        <w:rPr>
          <w:rFonts w:cs="Arial"/>
          <w:szCs w:val="18"/>
        </w:rPr>
        <w:t>heeft</w:t>
      </w:r>
      <w:r w:rsidRPr="00037029" w:rsidR="00037029">
        <w:rPr>
          <w:rFonts w:cs="Arial"/>
          <w:szCs w:val="18"/>
        </w:rPr>
        <w:t xml:space="preserve">, dan dient de </w:t>
      </w:r>
      <w:r w:rsidRPr="00037029" w:rsidR="00037029">
        <w:rPr>
          <w:rFonts w:cs="Arial"/>
          <w:szCs w:val="18"/>
        </w:rPr>
        <w:lastRenderedPageBreak/>
        <w:t xml:space="preserve">multinationale groep de </w:t>
      </w:r>
      <w:proofErr w:type="spellStart"/>
      <w:r w:rsidRPr="00037029" w:rsidR="00037029">
        <w:rPr>
          <w:rFonts w:cs="Arial"/>
          <w:szCs w:val="18"/>
        </w:rPr>
        <w:t>bijheffing</w:t>
      </w:r>
      <w:proofErr w:type="spellEnd"/>
      <w:r w:rsidRPr="00037029" w:rsidR="00037029">
        <w:rPr>
          <w:rFonts w:cs="Arial"/>
          <w:szCs w:val="18"/>
        </w:rPr>
        <w:t>-informatieaangifte ook in Nederland in te dienen. Met deze systematiek die voortvloeit uit de OESO-modelregels wordt gewaarborgd dat alle landen</w:t>
      </w:r>
      <w:r w:rsidR="00331097">
        <w:rPr>
          <w:rFonts w:cs="Arial"/>
          <w:szCs w:val="18"/>
        </w:rPr>
        <w:t xml:space="preserve"> die de </w:t>
      </w:r>
      <w:r w:rsidRPr="00037029" w:rsidR="00331097">
        <w:rPr>
          <w:rFonts w:cs="Arial"/>
          <w:szCs w:val="18"/>
        </w:rPr>
        <w:t>Pijler 2-</w:t>
      </w:r>
      <w:r w:rsidR="00331097">
        <w:rPr>
          <w:rFonts w:cs="Arial"/>
          <w:szCs w:val="18"/>
        </w:rPr>
        <w:t>richtlijn hebben geïmplementeerd</w:t>
      </w:r>
      <w:r w:rsidRPr="00037029" w:rsidR="00037029">
        <w:rPr>
          <w:rFonts w:cs="Arial"/>
          <w:szCs w:val="18"/>
        </w:rPr>
        <w:t xml:space="preserve"> waarin een multinationale groep actief is, de relevante gegevens uit de </w:t>
      </w:r>
      <w:proofErr w:type="spellStart"/>
      <w:r w:rsidRPr="00037029" w:rsidR="00037029">
        <w:rPr>
          <w:rFonts w:cs="Arial"/>
          <w:szCs w:val="18"/>
        </w:rPr>
        <w:t>bijheffing</w:t>
      </w:r>
      <w:proofErr w:type="spellEnd"/>
      <w:r w:rsidRPr="00037029" w:rsidR="00037029">
        <w:rPr>
          <w:rFonts w:cs="Arial"/>
          <w:szCs w:val="18"/>
        </w:rPr>
        <w:t>-informatieaangifte ontvang</w:t>
      </w:r>
      <w:r w:rsidR="00331097">
        <w:rPr>
          <w:rFonts w:cs="Arial"/>
          <w:szCs w:val="18"/>
        </w:rPr>
        <w:t>en</w:t>
      </w:r>
      <w:r w:rsidR="00037029">
        <w:rPr>
          <w:rFonts w:cs="Arial"/>
          <w:szCs w:val="18"/>
        </w:rPr>
        <w:t>.</w:t>
      </w:r>
      <w:r w:rsidR="00761E6F">
        <w:rPr>
          <w:rFonts w:cs="Arial"/>
          <w:szCs w:val="18"/>
        </w:rPr>
        <w:t xml:space="preserve"> Daarom ziet het kabinet geen risico dat de betrokken landen verstoken blijven van de informatie die zij nodig hebben om bij te kunnen heffen.</w:t>
      </w:r>
    </w:p>
    <w:p w:rsidR="00F12D88" w:rsidP="00013F3B" w:rsidRDefault="00F12D88" w14:paraId="04F58AF0" w14:textId="77777777">
      <w:pPr>
        <w:contextualSpacing/>
        <w:rPr>
          <w:rFonts w:cs="Arial"/>
          <w:szCs w:val="18"/>
        </w:rPr>
      </w:pPr>
    </w:p>
    <w:p w:rsidR="00331097" w:rsidP="00CB6685" w:rsidRDefault="00A21F22" w14:paraId="2FF7C8F6" w14:textId="772C70B7">
      <w:pPr>
        <w:contextualSpacing/>
        <w:rPr>
          <w:rFonts w:cs="Arial"/>
          <w:szCs w:val="18"/>
        </w:rPr>
      </w:pPr>
      <w:r>
        <w:rPr>
          <w:rFonts w:cs="Arial"/>
          <w:szCs w:val="18"/>
        </w:rPr>
        <w:t xml:space="preserve">De leden van de fractie van de VVD vragen </w:t>
      </w:r>
      <w:r w:rsidR="005818B6">
        <w:rPr>
          <w:rFonts w:cs="Arial"/>
          <w:szCs w:val="18"/>
        </w:rPr>
        <w:t>te verduidelijken welk concreet doel met de voorgestelde gegevensuitwisseling wordt gediend. Zij vragen in dat kader ook welke specifieke, nog niet afgedekte risico’s en informatiebehoeften hiermee worden afgedekt en h</w:t>
      </w:r>
      <w:r>
        <w:rPr>
          <w:rFonts w:cs="Arial"/>
          <w:szCs w:val="18"/>
        </w:rPr>
        <w:t>oe wordt voorkomen dat bedrijven dubbele of overlappen</w:t>
      </w:r>
      <w:r w:rsidR="005818B6">
        <w:rPr>
          <w:rFonts w:cs="Arial"/>
          <w:szCs w:val="18"/>
        </w:rPr>
        <w:t>de</w:t>
      </w:r>
      <w:r>
        <w:rPr>
          <w:rFonts w:cs="Arial"/>
          <w:szCs w:val="18"/>
        </w:rPr>
        <w:t xml:space="preserve"> rapportages bij zowel de Belastingdienst als buitenlandse belastingautoriteiten moeten </w:t>
      </w:r>
      <w:r w:rsidR="005818B6">
        <w:rPr>
          <w:rFonts w:cs="Arial"/>
          <w:szCs w:val="18"/>
        </w:rPr>
        <w:t>indienen</w:t>
      </w:r>
      <w:r>
        <w:rPr>
          <w:rFonts w:cs="Arial"/>
          <w:szCs w:val="18"/>
        </w:rPr>
        <w:t xml:space="preserve">. </w:t>
      </w:r>
      <w:r w:rsidR="005818B6">
        <w:rPr>
          <w:rFonts w:cs="Arial"/>
          <w:szCs w:val="18"/>
        </w:rPr>
        <w:t xml:space="preserve">Het doel van </w:t>
      </w:r>
      <w:r w:rsidR="00FF68A8">
        <w:rPr>
          <w:rFonts w:cs="Arial"/>
          <w:szCs w:val="18"/>
        </w:rPr>
        <w:t xml:space="preserve">de </w:t>
      </w:r>
      <w:r w:rsidR="00C079AA">
        <w:rPr>
          <w:rFonts w:cs="Arial"/>
          <w:szCs w:val="18"/>
        </w:rPr>
        <w:t>met de DAC9-richtlijn</w:t>
      </w:r>
      <w:r w:rsidR="00FF68A8">
        <w:rPr>
          <w:rFonts w:cs="Arial"/>
          <w:szCs w:val="18"/>
        </w:rPr>
        <w:t xml:space="preserve"> geïntroduceerde gegevensuitwisseling</w:t>
      </w:r>
      <w:r w:rsidR="005818B6">
        <w:rPr>
          <w:rFonts w:cs="Arial"/>
          <w:szCs w:val="18"/>
        </w:rPr>
        <w:t xml:space="preserve">, en daarmee dus het voorliggende wetsvoorstel, is het verminderen van de administratieve lastendruk van die bedrijven die belastingplichtig zijn voor de WMB 2024. Dat doel wordt bereikt doordat </w:t>
      </w:r>
      <w:r w:rsidR="00C079AA">
        <w:rPr>
          <w:rFonts w:cs="Arial"/>
          <w:szCs w:val="18"/>
        </w:rPr>
        <w:t xml:space="preserve">de </w:t>
      </w:r>
      <w:r w:rsidR="005818B6">
        <w:rPr>
          <w:rFonts w:cs="Arial"/>
          <w:szCs w:val="18"/>
        </w:rPr>
        <w:t>DAC9</w:t>
      </w:r>
      <w:r w:rsidR="00C079AA">
        <w:rPr>
          <w:rFonts w:cs="Arial"/>
          <w:szCs w:val="18"/>
        </w:rPr>
        <w:t>-richtlijn</w:t>
      </w:r>
      <w:r w:rsidR="005818B6">
        <w:rPr>
          <w:rFonts w:cs="Arial"/>
          <w:szCs w:val="18"/>
        </w:rPr>
        <w:t xml:space="preserve"> een </w:t>
      </w:r>
      <w:r w:rsidR="00BB699E">
        <w:rPr>
          <w:rFonts w:cs="Arial"/>
          <w:szCs w:val="18"/>
        </w:rPr>
        <w:t xml:space="preserve">kwalificerende </w:t>
      </w:r>
      <w:r w:rsidR="005818B6">
        <w:rPr>
          <w:rFonts w:cs="Arial"/>
          <w:szCs w:val="18"/>
        </w:rPr>
        <w:t xml:space="preserve">overeenkomst in de zin van de WMB 2024 is als gevolg waarvan een belastingplichtige slechts nog in één lidstaat de </w:t>
      </w:r>
      <w:proofErr w:type="spellStart"/>
      <w:r w:rsidR="005818B6">
        <w:rPr>
          <w:rFonts w:cs="Arial"/>
          <w:szCs w:val="18"/>
        </w:rPr>
        <w:t>bijheffing</w:t>
      </w:r>
      <w:proofErr w:type="spellEnd"/>
      <w:r w:rsidR="005818B6">
        <w:rPr>
          <w:rFonts w:cs="Arial"/>
          <w:szCs w:val="18"/>
        </w:rPr>
        <w:t>-informatieaangifte hoeft in te dienen in plaats van in alle lidstaten waar hij actief is.</w:t>
      </w:r>
      <w:r w:rsidR="00B87C3A">
        <w:rPr>
          <w:rStyle w:val="Voetnootmarkering"/>
          <w:rFonts w:cs="Arial"/>
          <w:szCs w:val="18"/>
        </w:rPr>
        <w:footnoteReference w:id="3"/>
      </w:r>
      <w:r w:rsidR="00FF68A8">
        <w:rPr>
          <w:rFonts w:cs="Arial"/>
          <w:szCs w:val="18"/>
        </w:rPr>
        <w:t xml:space="preserve"> Uitwisseling van de in de </w:t>
      </w:r>
      <w:proofErr w:type="spellStart"/>
      <w:r w:rsidR="00FF68A8">
        <w:rPr>
          <w:rFonts w:cs="Arial"/>
          <w:szCs w:val="18"/>
        </w:rPr>
        <w:t>bijheffing</w:t>
      </w:r>
      <w:proofErr w:type="spellEnd"/>
      <w:r w:rsidR="00FF68A8">
        <w:rPr>
          <w:rFonts w:cs="Arial"/>
          <w:szCs w:val="18"/>
        </w:rPr>
        <w:t>-informatieaangifte opgenomen gegevens</w:t>
      </w:r>
      <w:r w:rsidR="0098059A">
        <w:rPr>
          <w:rFonts w:cs="Arial"/>
          <w:szCs w:val="18"/>
        </w:rPr>
        <w:t xml:space="preserve"> en inlichtingen</w:t>
      </w:r>
      <w:r w:rsidR="00FF68A8">
        <w:rPr>
          <w:rFonts w:cs="Arial"/>
          <w:szCs w:val="18"/>
        </w:rPr>
        <w:t xml:space="preserve"> stelt de betreffende lidstaten in staat om bij te heffen volgens de regels van de Pijler 2-richtlijn. Deze </w:t>
      </w:r>
      <w:proofErr w:type="spellStart"/>
      <w:r w:rsidR="00FF68A8">
        <w:rPr>
          <w:rFonts w:cs="Arial"/>
          <w:szCs w:val="18"/>
        </w:rPr>
        <w:t>bijheffing</w:t>
      </w:r>
      <w:proofErr w:type="spellEnd"/>
      <w:r w:rsidR="00FF68A8">
        <w:rPr>
          <w:rFonts w:cs="Arial"/>
          <w:szCs w:val="18"/>
        </w:rPr>
        <w:t xml:space="preserve"> kent geen risico’s of informatiebehoeften die niet al anderszins </w:t>
      </w:r>
      <w:r w:rsidR="008E6AE0">
        <w:rPr>
          <w:rFonts w:cs="Arial"/>
          <w:szCs w:val="18"/>
        </w:rPr>
        <w:t>zijn</w:t>
      </w:r>
      <w:r w:rsidR="00FF68A8">
        <w:rPr>
          <w:rFonts w:cs="Arial"/>
          <w:szCs w:val="18"/>
        </w:rPr>
        <w:t xml:space="preserve"> afgedekt. Van dubbele of overlappende rapportages bij de belastingautoriteiten van de lidstaten, waaronder de Belastingdienst, is daarom geen sprake.</w:t>
      </w:r>
    </w:p>
    <w:p w:rsidRPr="00AF693E" w:rsidR="00FF68A8" w:rsidP="00AF693E" w:rsidRDefault="008747B8" w14:paraId="719C54DE" w14:textId="43D48E8B">
      <w:pPr>
        <w:pStyle w:val="Kop1"/>
        <w:numPr>
          <w:ilvl w:val="0"/>
          <w:numId w:val="0"/>
        </w:numPr>
        <w:ind w:left="1418"/>
      </w:pPr>
      <w:bookmarkStart w:name="_Toc210999895" w:id="10"/>
      <w:bookmarkStart w:name="_Toc211002227" w:id="11"/>
      <w:bookmarkStart w:name="_Toc211002279" w:id="12"/>
      <w:bookmarkStart w:name="_Toc211267662" w:id="13"/>
      <w:bookmarkStart w:name="_Toc211280129" w:id="14"/>
      <w:bookmarkStart w:name="_Toc211280162" w:id="15"/>
      <w:bookmarkStart w:name="_Toc211280175" w:id="16"/>
      <w:bookmarkStart w:name="_Toc211280274" w:id="17"/>
      <w:bookmarkStart w:name="_Toc211327597" w:id="18"/>
      <w:bookmarkStart w:name="_Toc211280275" w:id="19"/>
      <w:bookmarkStart w:name="_Toc211451448" w:id="20"/>
      <w:bookmarkEnd w:id="10"/>
      <w:bookmarkEnd w:id="11"/>
      <w:bookmarkEnd w:id="12"/>
      <w:bookmarkEnd w:id="13"/>
      <w:bookmarkEnd w:id="14"/>
      <w:bookmarkEnd w:id="15"/>
      <w:bookmarkEnd w:id="16"/>
      <w:bookmarkEnd w:id="17"/>
      <w:bookmarkEnd w:id="18"/>
      <w:r w:rsidRPr="00AF693E">
        <w:t>3.</w:t>
      </w:r>
      <w:r w:rsidRPr="00AF693E">
        <w:tab/>
      </w:r>
      <w:bookmarkStart w:name="_Toc211002280" w:id="21"/>
      <w:r w:rsidRPr="00AF693E">
        <w:t>Gegevensbescherming</w:t>
      </w:r>
      <w:bookmarkEnd w:id="19"/>
      <w:bookmarkEnd w:id="21"/>
      <w:bookmarkEnd w:id="20"/>
    </w:p>
    <w:p w:rsidR="00CB6685" w:rsidP="00E55A6C" w:rsidRDefault="00CB6685" w14:paraId="72C1281A" w14:textId="77777777">
      <w:pPr>
        <w:contextualSpacing/>
        <w:rPr>
          <w:rFonts w:cs="Arial"/>
          <w:szCs w:val="18"/>
        </w:rPr>
      </w:pPr>
    </w:p>
    <w:p w:rsidR="006D1211" w:rsidP="00E55A6C" w:rsidRDefault="00957470" w14:paraId="100A9920" w14:textId="0776C71C">
      <w:pPr>
        <w:contextualSpacing/>
        <w:rPr>
          <w:rFonts w:cs="Arial"/>
          <w:szCs w:val="18"/>
        </w:rPr>
      </w:pPr>
      <w:r>
        <w:rPr>
          <w:rFonts w:cs="Arial"/>
          <w:szCs w:val="18"/>
        </w:rPr>
        <w:t xml:space="preserve">De leden van de VVD vragen toe te lichten welke technische en organisatorische maatregelen worden genomen om datalekken of misbruik te voorkomen. </w:t>
      </w:r>
      <w:r w:rsidR="006D1211">
        <w:rPr>
          <w:rFonts w:cs="Arial"/>
          <w:szCs w:val="18"/>
        </w:rPr>
        <w:t xml:space="preserve">De Belastingdienst past de </w:t>
      </w:r>
      <w:proofErr w:type="spellStart"/>
      <w:r w:rsidR="006D1211">
        <w:rPr>
          <w:rFonts w:cs="Arial"/>
          <w:szCs w:val="18"/>
        </w:rPr>
        <w:t>Rijksbrede</w:t>
      </w:r>
      <w:proofErr w:type="spellEnd"/>
      <w:r w:rsidR="006D1211">
        <w:rPr>
          <w:rFonts w:cs="Arial"/>
          <w:szCs w:val="18"/>
        </w:rPr>
        <w:t xml:space="preserve"> Baseline Informatiebeveiliging Overheid toe om informatie te beveiligen.</w:t>
      </w:r>
      <w:r w:rsidR="006D1211">
        <w:rPr>
          <w:rStyle w:val="Voetnootmarkering"/>
          <w:rFonts w:cs="Arial"/>
          <w:szCs w:val="18"/>
        </w:rPr>
        <w:footnoteReference w:id="4"/>
      </w:r>
      <w:r w:rsidR="006D1211">
        <w:rPr>
          <w:rFonts w:cs="Arial"/>
          <w:szCs w:val="18"/>
        </w:rPr>
        <w:t xml:space="preserve"> DAC9-informatie wordt door de Belastingdienst verwerkt binnen een beveiligde kantooromgeving en wordt opgenomen in </w:t>
      </w:r>
      <w:proofErr w:type="spellStart"/>
      <w:r w:rsidR="006D1211">
        <w:rPr>
          <w:rFonts w:cs="Arial"/>
          <w:szCs w:val="18"/>
        </w:rPr>
        <w:t>klantbehandelsystemen</w:t>
      </w:r>
      <w:proofErr w:type="spellEnd"/>
      <w:r w:rsidR="006D1211">
        <w:rPr>
          <w:rFonts w:cs="Arial"/>
          <w:szCs w:val="18"/>
        </w:rPr>
        <w:t xml:space="preserve">. Toegang tot gegevens en applicaties in deze </w:t>
      </w:r>
      <w:proofErr w:type="spellStart"/>
      <w:r w:rsidR="006D1211">
        <w:rPr>
          <w:rFonts w:cs="Arial"/>
          <w:szCs w:val="18"/>
        </w:rPr>
        <w:t>klantbehandelsystemen</w:t>
      </w:r>
      <w:proofErr w:type="spellEnd"/>
      <w:r w:rsidR="006D1211">
        <w:rPr>
          <w:rFonts w:cs="Arial"/>
          <w:szCs w:val="18"/>
        </w:rPr>
        <w:t xml:space="preserve"> voor medewerkers verloopt via het Identity Management Systeem. Medewerkers hebben slechts toegang tot gegevens en applicaties indien zij daartoe door hun leidinggevende zijn geautoriseerd.</w:t>
      </w:r>
      <w:r w:rsidR="00E55A6C">
        <w:rPr>
          <w:rFonts w:cs="Arial"/>
          <w:szCs w:val="18"/>
        </w:rPr>
        <w:t xml:space="preserve"> </w:t>
      </w:r>
      <w:r w:rsidR="006D1211">
        <w:rPr>
          <w:rFonts w:cs="Arial"/>
          <w:szCs w:val="18"/>
        </w:rPr>
        <w:t xml:space="preserve">De uitwisseling van informatie verloopt via beveiligde netwerken. De Belastingdienst zal de DAC9-informatie met andere lidstaten uitwisselen via het CCN-netwerk, dat door de Europese Commissie </w:t>
      </w:r>
      <w:r w:rsidR="00331097">
        <w:rPr>
          <w:rFonts w:cs="Arial"/>
          <w:szCs w:val="18"/>
        </w:rPr>
        <w:t xml:space="preserve">(EC) </w:t>
      </w:r>
      <w:r w:rsidR="006D1211">
        <w:rPr>
          <w:rFonts w:cs="Arial"/>
          <w:szCs w:val="18"/>
        </w:rPr>
        <w:t xml:space="preserve">beheerd wordt. Zodra de </w:t>
      </w:r>
      <w:r w:rsidR="00331097">
        <w:rPr>
          <w:rFonts w:cs="Arial"/>
          <w:szCs w:val="18"/>
        </w:rPr>
        <w:t>B</w:t>
      </w:r>
      <w:r w:rsidR="006D1211">
        <w:rPr>
          <w:rFonts w:cs="Arial"/>
          <w:szCs w:val="18"/>
        </w:rPr>
        <w:t>elastingdienst de DAC9-</w:t>
      </w:r>
      <w:r w:rsidR="006D1211">
        <w:rPr>
          <w:rFonts w:cs="Arial"/>
          <w:szCs w:val="18"/>
        </w:rPr>
        <w:lastRenderedPageBreak/>
        <w:t xml:space="preserve">informatie aan het CCN-netwerk aanbiedt, wordt de </w:t>
      </w:r>
      <w:r w:rsidR="00331097">
        <w:rPr>
          <w:rFonts w:cs="Arial"/>
          <w:szCs w:val="18"/>
        </w:rPr>
        <w:t>EC</w:t>
      </w:r>
      <w:r w:rsidR="006D1211">
        <w:rPr>
          <w:rFonts w:cs="Arial"/>
          <w:szCs w:val="18"/>
        </w:rPr>
        <w:t xml:space="preserve"> aangemerkt als verwerkingsverantwoordelijke. Ook Europese instituties zijn gehouden de bescherming van persoonsgegevens te eerbiedigen.</w:t>
      </w:r>
      <w:r w:rsidR="006D1211">
        <w:rPr>
          <w:rStyle w:val="Voetnootmarkering"/>
          <w:rFonts w:cs="Arial"/>
          <w:szCs w:val="18"/>
        </w:rPr>
        <w:footnoteReference w:id="5"/>
      </w:r>
      <w:r w:rsidR="00E55A6C">
        <w:rPr>
          <w:rFonts w:cs="Arial"/>
          <w:szCs w:val="18"/>
        </w:rPr>
        <w:t xml:space="preserve"> </w:t>
      </w:r>
      <w:r w:rsidR="006D1211">
        <w:rPr>
          <w:rFonts w:cs="Arial"/>
          <w:szCs w:val="18"/>
        </w:rPr>
        <w:t>De selectielijst van de Belastingdienst is op grond van de Archiefwet 1995 tot stand gekomen.</w:t>
      </w:r>
      <w:r w:rsidR="006D1211">
        <w:rPr>
          <w:rStyle w:val="Voetnootmarkering"/>
          <w:rFonts w:cs="Arial"/>
          <w:szCs w:val="18"/>
        </w:rPr>
        <w:footnoteReference w:id="6"/>
      </w:r>
      <w:r w:rsidR="006D1211">
        <w:rPr>
          <w:rFonts w:cs="Arial"/>
          <w:szCs w:val="18"/>
        </w:rPr>
        <w:t xml:space="preserve"> In de selectielijst is bepaald dat gegevens en inlichtingen die zijn verkregen op grond van de Wet op de internationale bijstandsverlening bij de heffing van belastingen, waaronder DAC9-informatie, twaalf jaar worden bewaard.</w:t>
      </w:r>
    </w:p>
    <w:p w:rsidR="00AF693E" w:rsidP="00077F4B" w:rsidRDefault="00AF693E" w14:paraId="0FEBB392" w14:textId="77777777">
      <w:pPr>
        <w:contextualSpacing/>
        <w:rPr>
          <w:rFonts w:cs="Arial"/>
          <w:szCs w:val="18"/>
        </w:rPr>
      </w:pPr>
    </w:p>
    <w:p w:rsidRPr="00AF693E" w:rsidR="008747B8" w:rsidP="0073722A" w:rsidRDefault="008747B8" w14:paraId="047D05E0" w14:textId="6CFABCEE">
      <w:pPr>
        <w:pStyle w:val="Kop1"/>
        <w:numPr>
          <w:ilvl w:val="0"/>
          <w:numId w:val="0"/>
        </w:numPr>
        <w:ind w:left="1418"/>
      </w:pPr>
      <w:bookmarkStart w:name="_Toc211280276" w:id="22"/>
      <w:bookmarkStart w:name="_Toc211002281" w:id="23"/>
      <w:bookmarkStart w:name="_Toc211451449" w:id="24"/>
      <w:bookmarkEnd w:id="22"/>
      <w:r w:rsidRPr="00AF693E">
        <w:t>5.1</w:t>
      </w:r>
      <w:r w:rsidRPr="00AF693E">
        <w:tab/>
      </w:r>
      <w:bookmarkStart w:name="_Toc211280277" w:id="25"/>
      <w:r w:rsidRPr="00AF693E">
        <w:t>Administratieve lasten</w:t>
      </w:r>
      <w:bookmarkEnd w:id="23"/>
      <w:bookmarkEnd w:id="25"/>
      <w:bookmarkEnd w:id="24"/>
    </w:p>
    <w:p w:rsidR="00CB6685" w:rsidP="006D1211" w:rsidRDefault="00CB6685" w14:paraId="6ACB27CD" w14:textId="77777777"/>
    <w:p w:rsidR="00F12D88" w:rsidP="006D1211" w:rsidRDefault="00611D9B" w14:paraId="33D88C0C" w14:textId="7EED25AC">
      <w:r>
        <w:t>De leden van de fractie van de VVD vragen of kan worden aangegeven hoe groot de extra administratieve last voor de individuele onderneming naar verwachting is.</w:t>
      </w:r>
      <w:r w:rsidR="00C55D1F">
        <w:t xml:space="preserve"> Voor de</w:t>
      </w:r>
      <w:r w:rsidR="009E41D0">
        <w:t xml:space="preserve"> individuele</w:t>
      </w:r>
      <w:r w:rsidR="00C55D1F">
        <w:t xml:space="preserve"> onderneming die de </w:t>
      </w:r>
      <w:proofErr w:type="spellStart"/>
      <w:r w:rsidR="00C55D1F">
        <w:t>bijheffing</w:t>
      </w:r>
      <w:proofErr w:type="spellEnd"/>
      <w:r w:rsidR="00C55D1F">
        <w:t xml:space="preserve">-informatieaangifte indient is die extra last praktisch nihil. </w:t>
      </w:r>
      <w:r w:rsidR="006B5942">
        <w:t>Er bestaat immers al een verplichting om d</w:t>
      </w:r>
      <w:r w:rsidR="00C55D1F">
        <w:t xml:space="preserve">e </w:t>
      </w:r>
      <w:proofErr w:type="spellStart"/>
      <w:r w:rsidR="00C55D1F">
        <w:t>bijheffing</w:t>
      </w:r>
      <w:proofErr w:type="spellEnd"/>
      <w:r w:rsidR="00C55D1F">
        <w:t xml:space="preserve">-informatieaangifte </w:t>
      </w:r>
      <w:r w:rsidR="006B5942">
        <w:t>in te dienen, ingevolge de WMB 2024</w:t>
      </w:r>
      <w:r w:rsidR="00C55D1F">
        <w:t xml:space="preserve">. De onderneming hoeft geen bijkomende documentatie over te leggen. Met het invullen van de </w:t>
      </w:r>
      <w:proofErr w:type="spellStart"/>
      <w:r w:rsidR="00C55D1F">
        <w:t>bijheffing</w:t>
      </w:r>
      <w:proofErr w:type="spellEnd"/>
      <w:r w:rsidR="00C55D1F">
        <w:t xml:space="preserve">-informatieaangifte wordt </w:t>
      </w:r>
      <w:r w:rsidR="00DE17C7">
        <w:t xml:space="preserve">bovendien </w:t>
      </w:r>
      <w:r w:rsidR="00C55D1F">
        <w:t>automatisch voldaan aan de verplichting om aan te geven welke gegevens met welke lidstaten moeten worden uitgewisseld.</w:t>
      </w:r>
      <w:r w:rsidR="00C55D1F">
        <w:rPr>
          <w:rStyle w:val="Voetnootmarkering"/>
          <w:rFonts w:cs="Arial"/>
          <w:szCs w:val="18"/>
        </w:rPr>
        <w:footnoteReference w:id="7"/>
      </w:r>
      <w:r w:rsidR="00C55D1F">
        <w:t xml:space="preserve"> </w:t>
      </w:r>
      <w:r w:rsidR="00DE17C7">
        <w:t xml:space="preserve">Verder zij bedacht dat het wetsvoorstel op het niveau van de multinationale of binnenlandse groep die met de WMB 2024 wordt geconfronteerd de administratieve lasten fors vermindert doordat niet langer in alle lidstaten maar slechts nog in één lidstaat een </w:t>
      </w:r>
      <w:proofErr w:type="spellStart"/>
      <w:r w:rsidR="00DE17C7">
        <w:t>bijheffing</w:t>
      </w:r>
      <w:proofErr w:type="spellEnd"/>
      <w:r w:rsidR="00DE17C7">
        <w:t>-informatieaangifte hoeft te worden ingediend.</w:t>
      </w:r>
    </w:p>
    <w:p w:rsidR="00F12D88" w:rsidP="006D1211" w:rsidRDefault="00F12D88" w14:paraId="20FD17C6" w14:textId="77777777"/>
    <w:p w:rsidR="006D1211" w:rsidP="006D1211" w:rsidRDefault="009E41D0" w14:paraId="34D90022" w14:textId="026919F5">
      <w:r>
        <w:t xml:space="preserve">De leden van de fractie van de VVD vragen voorts of in technisch-digitaal opzicht wordt voorzien in aansluiting bij Pijler 2-rapportages en of de getroffen ondernemingen bij de uitwerking daarvan worden betrokken. </w:t>
      </w:r>
      <w:r w:rsidR="002A48D9">
        <w:t>De bijlage bij</w:t>
      </w:r>
      <w:r w:rsidR="006D1211">
        <w:t xml:space="preserve"> de DAC9-richtlijn voorziet in een gestandaardiseerd format dat bedrijven moeten gebruiken voor het opstellen van de </w:t>
      </w:r>
      <w:proofErr w:type="spellStart"/>
      <w:r w:rsidR="006D1211">
        <w:t>bijheffing</w:t>
      </w:r>
      <w:proofErr w:type="spellEnd"/>
      <w:r w:rsidR="006D1211">
        <w:t xml:space="preserve">-informatieaangifte. Veel bedrijven zijn op dit moment bezig met het aanpassen van systemen om de </w:t>
      </w:r>
      <w:proofErr w:type="spellStart"/>
      <w:r w:rsidR="006D1211">
        <w:t>bijheffing</w:t>
      </w:r>
      <w:proofErr w:type="spellEnd"/>
      <w:r w:rsidR="006D1211">
        <w:t xml:space="preserve">-informatieaangifte te kunnen opstellen. De </w:t>
      </w:r>
      <w:proofErr w:type="spellStart"/>
      <w:r w:rsidR="006D1211">
        <w:t>bijheffing</w:t>
      </w:r>
      <w:proofErr w:type="spellEnd"/>
      <w:r w:rsidR="006D1211">
        <w:t>-informatieaangifte moet bij de Belastingdienst worden aangeleverd via een system-</w:t>
      </w:r>
      <w:proofErr w:type="spellStart"/>
      <w:r w:rsidR="006D1211">
        <w:t>to</w:t>
      </w:r>
      <w:proofErr w:type="spellEnd"/>
      <w:r w:rsidR="006D1211">
        <w:t>-system koppeling.</w:t>
      </w:r>
      <w:r w:rsidR="002A48D9">
        <w:t xml:space="preserve"> </w:t>
      </w:r>
      <w:r w:rsidR="006D1211">
        <w:t xml:space="preserve">De aanlevering vindt plaats in XML-formaat en verloopt via het beveiligde netwerk van </w:t>
      </w:r>
      <w:proofErr w:type="spellStart"/>
      <w:r w:rsidR="006D1211">
        <w:t>Logius</w:t>
      </w:r>
      <w:proofErr w:type="spellEnd"/>
      <w:r w:rsidR="006D1211">
        <w:t>. De Belastingdienst stelt via de website Ondersteuning Digitaal Berichtenverkeer (ODB) een handleiding beschikbaar waarin de technische (berichten)specificaties en het aanleverproces worden toegelicht. De berichtenspecificaties zijn op Europees niveau vastgesteld en Nederland heeft op dit punt geen beleidsvrijheid. Deze werkwijze zorgt voor een efficiënte en veilige gegevensuitwisseling.</w:t>
      </w:r>
      <w:r w:rsidR="00F12D88">
        <w:t xml:space="preserve"> </w:t>
      </w:r>
      <w:r w:rsidR="006D1211">
        <w:t xml:space="preserve">De Belastingdienst communiceert via verschillende kanalen over alle aspecten van de </w:t>
      </w:r>
      <w:r w:rsidR="00EE7BBD">
        <w:t>WMB 2024</w:t>
      </w:r>
      <w:r w:rsidR="006D1211">
        <w:t xml:space="preserve"> en over de bijbehorende uitwisseling van gegevens onder </w:t>
      </w:r>
      <w:r w:rsidR="00F12D88">
        <w:t xml:space="preserve">de </w:t>
      </w:r>
      <w:r w:rsidR="006D1211">
        <w:t>DAC9</w:t>
      </w:r>
      <w:r w:rsidR="00F12D88">
        <w:t>-richtlijn</w:t>
      </w:r>
      <w:r w:rsidR="006D1211">
        <w:t xml:space="preserve">. Er is specifiek aandacht voor communicatie over de technische uitwerking. Daartoe heeft de Belastingdienst fysieke bijeenkomsten georganiseerd, waarvoor ook de brancheverenigingen zijn uitgenodigd. Tijdens deze bijeenkomsten is met vertegenwoordigers van adviseurs, bedrijven en softwareleveranciers over de technische aspecten gesproken, waaronder de aanlevering van gegevens en de inhoud van de gegevensleveringen. Zoals hiervoor genoemd publiceert de Belastingdienst handleidingen voor technische specificaties op de ODB-website. Bovendien kan voor technische vragen contact opgenomen worden via </w:t>
      </w:r>
      <w:r w:rsidRPr="00013F3B" w:rsidR="006D1211">
        <w:t>servicedesk.odb@belastingdienst.nl</w:t>
      </w:r>
      <w:r w:rsidR="006D1211">
        <w:t>.</w:t>
      </w:r>
      <w:r w:rsidR="00F12D88">
        <w:rPr>
          <w:rStyle w:val="Voetnootmarkering"/>
          <w:rFonts w:cs="Arial"/>
          <w:szCs w:val="18"/>
        </w:rPr>
        <w:footnoteReference w:id="8"/>
      </w:r>
    </w:p>
    <w:p w:rsidR="008747B8" w:rsidRDefault="008747B8" w14:paraId="62A05A86" w14:textId="77777777"/>
    <w:p w:rsidRPr="00AF693E" w:rsidR="008747B8" w:rsidP="0073722A" w:rsidRDefault="008747B8" w14:paraId="307A3A91" w14:textId="17010860">
      <w:pPr>
        <w:pStyle w:val="Kop1"/>
        <w:numPr>
          <w:ilvl w:val="0"/>
          <w:numId w:val="0"/>
        </w:numPr>
        <w:ind w:left="1418"/>
      </w:pPr>
      <w:bookmarkStart w:name="_Toc211002282" w:id="26"/>
      <w:bookmarkStart w:name="_Toc211451450" w:id="27"/>
      <w:r w:rsidRPr="00AF693E">
        <w:t>5.2</w:t>
      </w:r>
      <w:r w:rsidRPr="00AF693E">
        <w:tab/>
      </w:r>
      <w:bookmarkStart w:name="_Toc211280278" w:id="28"/>
      <w:proofErr w:type="spellStart"/>
      <w:r w:rsidRPr="00AF693E">
        <w:t>Doenvermogen</w:t>
      </w:r>
      <w:bookmarkEnd w:id="26"/>
      <w:bookmarkEnd w:id="28"/>
      <w:bookmarkEnd w:id="27"/>
      <w:proofErr w:type="spellEnd"/>
    </w:p>
    <w:p w:rsidR="00CB6685" w:rsidP="006D1211" w:rsidRDefault="00CB6685" w14:paraId="6183652F" w14:textId="77777777"/>
    <w:p w:rsidR="00FD12B4" w:rsidP="006D1211" w:rsidRDefault="00EF4BB4" w14:paraId="4EEC8CFA" w14:textId="0EC2C81B">
      <w:r>
        <w:t xml:space="preserve">De leden van de fractie van de VVD vragen hoe doublures en inconsistenties met andere </w:t>
      </w:r>
      <w:proofErr w:type="spellStart"/>
      <w:r>
        <w:t>DAC’s</w:t>
      </w:r>
      <w:proofErr w:type="spellEnd"/>
      <w:r>
        <w:t xml:space="preserve"> zoals </w:t>
      </w:r>
      <w:r w:rsidR="00C079AA">
        <w:t xml:space="preserve">de </w:t>
      </w:r>
      <w:r>
        <w:t>DAC4</w:t>
      </w:r>
      <w:r w:rsidR="00C079AA">
        <w:t>-richtlijn</w:t>
      </w:r>
      <w:r>
        <w:t xml:space="preserve"> (‘country-</w:t>
      </w:r>
      <w:proofErr w:type="spellStart"/>
      <w:r>
        <w:t>by</w:t>
      </w:r>
      <w:proofErr w:type="spellEnd"/>
      <w:r>
        <w:t xml:space="preserve">-country </w:t>
      </w:r>
      <w:proofErr w:type="spellStart"/>
      <w:r>
        <w:t>reporting</w:t>
      </w:r>
      <w:proofErr w:type="spellEnd"/>
      <w:r>
        <w:t xml:space="preserve">’), </w:t>
      </w:r>
      <w:r w:rsidR="00C079AA">
        <w:t xml:space="preserve">de </w:t>
      </w:r>
      <w:r>
        <w:t>DAC6</w:t>
      </w:r>
      <w:r w:rsidR="00C079AA">
        <w:t>-richtlijn</w:t>
      </w:r>
      <w:r>
        <w:t xml:space="preserve"> (meldingsplicht grensoverschrijdende constructies) en </w:t>
      </w:r>
      <w:r w:rsidR="00C079AA">
        <w:t xml:space="preserve">de </w:t>
      </w:r>
      <w:r>
        <w:t>DAC7</w:t>
      </w:r>
      <w:r w:rsidR="00C079AA">
        <w:t>-richtlijn</w:t>
      </w:r>
      <w:r>
        <w:t xml:space="preserve"> (rapportageplicht digitale platformen) worden voorkomen. </w:t>
      </w:r>
      <w:r w:rsidR="0094231B">
        <w:t>Het</w:t>
      </w:r>
      <w:r>
        <w:t xml:space="preserve"> kabinet </w:t>
      </w:r>
      <w:r w:rsidR="0094231B">
        <w:t>voorziet</w:t>
      </w:r>
      <w:r>
        <w:t xml:space="preserve"> geen doublures of inconsistenties omdat </w:t>
      </w:r>
      <w:r w:rsidR="00C079AA">
        <w:t xml:space="preserve">de </w:t>
      </w:r>
      <w:r>
        <w:t>DAC9</w:t>
      </w:r>
      <w:r w:rsidR="00C079AA">
        <w:t>-richtlijn</w:t>
      </w:r>
      <w:r>
        <w:t xml:space="preserve"> enkel voorziet in de uitwisseling van gegevens die in de ingevolge de WMB 2024 </w:t>
      </w:r>
      <w:r w:rsidR="00375C08">
        <w:t>in te dienen</w:t>
      </w:r>
      <w:r>
        <w:t xml:space="preserve"> </w:t>
      </w:r>
      <w:proofErr w:type="spellStart"/>
      <w:r>
        <w:t>bijheffing</w:t>
      </w:r>
      <w:proofErr w:type="spellEnd"/>
      <w:r>
        <w:t xml:space="preserve">-informatieaangifte zijn opgenomen. Deze gegevens zien op het kunnen effectueren van de </w:t>
      </w:r>
      <w:proofErr w:type="spellStart"/>
      <w:r>
        <w:t>bijheffing</w:t>
      </w:r>
      <w:proofErr w:type="spellEnd"/>
      <w:r>
        <w:t xml:space="preserve"> als gevolg van implementatie van de Pijler 2-richtlijn. </w:t>
      </w:r>
      <w:r w:rsidR="0094231B">
        <w:t xml:space="preserve">Die </w:t>
      </w:r>
      <w:proofErr w:type="spellStart"/>
      <w:r w:rsidR="0094231B">
        <w:t>bijheffing</w:t>
      </w:r>
      <w:proofErr w:type="spellEnd"/>
      <w:r w:rsidR="0094231B">
        <w:t xml:space="preserve"> is niet het voorwerp van enige andere DAC. In het kader van de evaluatie die de EC</w:t>
      </w:r>
      <w:r w:rsidR="00331097">
        <w:t xml:space="preserve"> </w:t>
      </w:r>
      <w:r w:rsidR="0094231B">
        <w:t xml:space="preserve">periodiek houdt, kunnen onvoorziene onvolkomenheden </w:t>
      </w:r>
      <w:r w:rsidR="00375C08">
        <w:t>in</w:t>
      </w:r>
      <w:r w:rsidR="0094231B">
        <w:t xml:space="preserve"> Richtlijn 2011/16/EU</w:t>
      </w:r>
      <w:r w:rsidR="0094231B">
        <w:rPr>
          <w:rStyle w:val="Voetnootmarkering"/>
          <w:rFonts w:cs="Arial"/>
          <w:szCs w:val="18"/>
        </w:rPr>
        <w:footnoteReference w:id="9"/>
      </w:r>
      <w:r w:rsidR="0094231B">
        <w:t xml:space="preserve"> - de DAC-richtlijn - al dan niet op aangeven van een lidstaat </w:t>
      </w:r>
      <w:r w:rsidR="00375C08">
        <w:t xml:space="preserve">via een door de </w:t>
      </w:r>
      <w:r w:rsidR="00331097">
        <w:t>EC</w:t>
      </w:r>
      <w:r w:rsidR="00375C08">
        <w:t xml:space="preserve"> </w:t>
      </w:r>
      <w:r w:rsidR="006B5942">
        <w:t xml:space="preserve">geëntameerd </w:t>
      </w:r>
      <w:r w:rsidR="00375C08">
        <w:t xml:space="preserve">wijzigingsvoorstel worden weggenomen, waarna de lidstaten dat voorstel uiteraard nog wel dienen te implementeren. </w:t>
      </w:r>
    </w:p>
    <w:p w:rsidR="00FD12B4" w:rsidP="006D1211" w:rsidRDefault="00FD12B4" w14:paraId="3C945546" w14:textId="77777777"/>
    <w:p w:rsidR="005B2C5D" w:rsidP="005B2C5D" w:rsidRDefault="00375C08" w14:paraId="16DC400B" w14:textId="0046A9EE">
      <w:r>
        <w:t xml:space="preserve">De leden van de fractie van de VVD </w:t>
      </w:r>
      <w:r w:rsidR="00EF4BB4">
        <w:t xml:space="preserve">vragen verder of wordt gezorgd voor een één-loket-systeem binnen de Belastingdienst. </w:t>
      </w:r>
      <w:r w:rsidR="006D1211">
        <w:t xml:space="preserve">Voor de </w:t>
      </w:r>
      <w:proofErr w:type="spellStart"/>
      <w:r w:rsidR="006D1211">
        <w:t>bijheffing</w:t>
      </w:r>
      <w:proofErr w:type="spellEnd"/>
      <w:r w:rsidR="006D1211">
        <w:t xml:space="preserve">-informatieaangifte is sprake van een centraal aanleverkanaal via </w:t>
      </w:r>
      <w:proofErr w:type="spellStart"/>
      <w:r w:rsidR="006D1211">
        <w:t>Logius</w:t>
      </w:r>
      <w:proofErr w:type="spellEnd"/>
      <w:r w:rsidR="006D1211">
        <w:t xml:space="preserve">. </w:t>
      </w:r>
      <w:proofErr w:type="spellStart"/>
      <w:r w:rsidR="006D1211">
        <w:t>Logius</w:t>
      </w:r>
      <w:proofErr w:type="spellEnd"/>
      <w:r w:rsidR="006D1211">
        <w:t xml:space="preserve"> wordt beheerd door het </w:t>
      </w:r>
      <w:r w:rsidR="00F12D88">
        <w:t>M</w:t>
      </w:r>
      <w:r w:rsidR="006D1211">
        <w:t xml:space="preserve">inisterie van Binnenlandse Zaken en Koninkrijksrelaties. </w:t>
      </w:r>
      <w:proofErr w:type="spellStart"/>
      <w:r w:rsidR="006D1211">
        <w:t>Logius</w:t>
      </w:r>
      <w:proofErr w:type="spellEnd"/>
      <w:r w:rsidR="006D1211">
        <w:t xml:space="preserve"> wordt door de Belastingdienst gebruikt voor de ontvangst van alle internationale rapportages.</w:t>
      </w:r>
    </w:p>
    <w:p w:rsidR="008747B8" w:rsidP="005B2C5D" w:rsidRDefault="006D1211" w14:paraId="5641AC42" w14:textId="52F8423B">
      <w:r>
        <w:t>Hoewel Nederland groot voorstander is van versimpeling waar dat mogelijk is,</w:t>
      </w:r>
      <w:r w:rsidR="006B5942">
        <w:t xml:space="preserve"> </w:t>
      </w:r>
      <w:r>
        <w:t>is het vanwege de verschillende partijen die gegevens aan moeten leveren bij de Belastingdienst ten behoeve van de internationale gegevensuitwisseling en de verschillende gegevensstructuren niet mogelijk om de rapportages onder meerdere DAC-verplichtingen te combineren. Dit is ook niet toegestaan op grond van de DAC-richtlijn.</w:t>
      </w:r>
    </w:p>
    <w:p w:rsidR="008747B8" w:rsidRDefault="008747B8" w14:paraId="09291A25" w14:textId="77777777"/>
    <w:p w:rsidRPr="00AF693E" w:rsidR="008747B8" w:rsidP="0073722A" w:rsidRDefault="008747B8" w14:paraId="20D41877" w14:textId="1DAB009A">
      <w:pPr>
        <w:pStyle w:val="Kop1"/>
        <w:numPr>
          <w:ilvl w:val="0"/>
          <w:numId w:val="0"/>
        </w:numPr>
        <w:ind w:left="1418"/>
      </w:pPr>
      <w:bookmarkStart w:name="_Toc211002283" w:id="29"/>
      <w:bookmarkStart w:name="_Toc211451451" w:id="30"/>
      <w:r w:rsidRPr="00AF693E">
        <w:t>6.2</w:t>
      </w:r>
      <w:r w:rsidRPr="00AF693E">
        <w:tab/>
      </w:r>
      <w:bookmarkStart w:name="_Toc211280279" w:id="31"/>
      <w:r w:rsidRPr="00AF693E" w:rsidR="00243FF0">
        <w:t>Evaluatie en monitoring</w:t>
      </w:r>
      <w:bookmarkEnd w:id="29"/>
      <w:bookmarkEnd w:id="31"/>
      <w:bookmarkEnd w:id="30"/>
    </w:p>
    <w:p w:rsidR="00CB6685" w:rsidP="00243FF0" w:rsidRDefault="00CB6685" w14:paraId="5604F540" w14:textId="77777777">
      <w:pPr>
        <w:rPr>
          <w:lang w:eastAsia="en-US"/>
        </w:rPr>
      </w:pPr>
    </w:p>
    <w:p w:rsidR="00243FF0" w:rsidP="00243FF0" w:rsidRDefault="00F125AA" w14:paraId="127662F1" w14:textId="08CDB0D1">
      <w:pPr>
        <w:rPr>
          <w:lang w:eastAsia="en-US"/>
        </w:rPr>
      </w:pPr>
      <w:r>
        <w:rPr>
          <w:lang w:eastAsia="en-US"/>
        </w:rPr>
        <w:t xml:space="preserve">De leden van de fractie van de VVD hechten belang aan monitoring van het wetsvoorstel en vragen daarom of het kabinet bereid is de nationale uitvoeringsregels aan te passen of te vereenvoudigen als uit de monitoring blijkt dat de (administratieve) lasten voor ondernemingen groter zijn dan voorzien. Het kabinet is daartoe bereid maar merkt op dat </w:t>
      </w:r>
      <w:r w:rsidR="00C079AA">
        <w:rPr>
          <w:lang w:eastAsia="en-US"/>
        </w:rPr>
        <w:t xml:space="preserve">de </w:t>
      </w:r>
      <w:r>
        <w:rPr>
          <w:lang w:eastAsia="en-US"/>
        </w:rPr>
        <w:t>DAC9</w:t>
      </w:r>
      <w:r w:rsidR="00C079AA">
        <w:rPr>
          <w:lang w:eastAsia="en-US"/>
        </w:rPr>
        <w:t>-richtlijn</w:t>
      </w:r>
      <w:r>
        <w:rPr>
          <w:lang w:eastAsia="en-US"/>
        </w:rPr>
        <w:t xml:space="preserve"> wat wetgeving betreft geen nationale beleidsruimte aan de lidstaten toekent</w:t>
      </w:r>
      <w:r w:rsidR="002B7D67">
        <w:rPr>
          <w:lang w:eastAsia="en-US"/>
        </w:rPr>
        <w:t xml:space="preserve">. </w:t>
      </w:r>
      <w:r>
        <w:rPr>
          <w:lang w:eastAsia="en-US"/>
        </w:rPr>
        <w:t>Een eventuele wijziging van nationale uitvoeringsregels zal naar verwachting daarom eerst aan de orde kunnen komen als de DAC-richtlijn wordt aangepast.</w:t>
      </w:r>
    </w:p>
    <w:p w:rsidR="00F125AA" w:rsidP="00243FF0" w:rsidRDefault="00F125AA" w14:paraId="31805D1A" w14:textId="77777777">
      <w:pPr>
        <w:rPr>
          <w:lang w:eastAsia="en-US"/>
        </w:rPr>
      </w:pPr>
    </w:p>
    <w:p w:rsidRPr="00AF693E" w:rsidR="00243FF0" w:rsidP="0073722A" w:rsidRDefault="00243FF0" w14:paraId="5F79B11F" w14:textId="112BBA66">
      <w:pPr>
        <w:pStyle w:val="Kop1"/>
        <w:numPr>
          <w:ilvl w:val="0"/>
          <w:numId w:val="0"/>
        </w:numPr>
        <w:ind w:left="1418"/>
      </w:pPr>
      <w:bookmarkStart w:name="_Toc211451452" w:id="32"/>
      <w:r w:rsidRPr="00AF693E">
        <w:t>7</w:t>
      </w:r>
      <w:bookmarkStart w:name="_Toc211002284" w:id="33"/>
      <w:r w:rsidRPr="00AF693E">
        <w:t>.</w:t>
      </w:r>
      <w:r w:rsidRPr="00AF693E">
        <w:tab/>
      </w:r>
      <w:bookmarkStart w:name="_Toc211280280" w:id="34"/>
      <w:r w:rsidRPr="00AF693E">
        <w:t>Uitvoeringskosten</w:t>
      </w:r>
      <w:bookmarkEnd w:id="33"/>
      <w:bookmarkEnd w:id="34"/>
      <w:bookmarkEnd w:id="32"/>
    </w:p>
    <w:p w:rsidR="00CB6685" w:rsidP="006D1211" w:rsidRDefault="00CB6685" w14:paraId="473271F7" w14:textId="77777777">
      <w:pPr>
        <w:rPr>
          <w:lang w:eastAsia="en-US"/>
        </w:rPr>
      </w:pPr>
    </w:p>
    <w:p w:rsidR="006D1211" w:rsidP="006D1211" w:rsidRDefault="002B7D67" w14:paraId="7BD40930" w14:textId="1741825A">
      <w:pPr>
        <w:rPr>
          <w:lang w:eastAsia="en-US"/>
        </w:rPr>
      </w:pPr>
      <w:r>
        <w:rPr>
          <w:lang w:eastAsia="en-US"/>
        </w:rPr>
        <w:t xml:space="preserve">Tot slot vragen de leden van de fractie van de VVD voor welke processen en analyses de Belastingdienst de ingewonnen gegevens feitelijk gaat benutten en wat de Belastingdienst zal doen indien hij niet over voldoende capaciteit beschikt om de betreffende datastromen te verwerken. </w:t>
      </w:r>
      <w:r w:rsidR="006D1211">
        <w:rPr>
          <w:lang w:eastAsia="en-US"/>
        </w:rPr>
        <w:t xml:space="preserve">De Belastingdienst is al bezig met voorlichting en bedrijfsgesprekken om de vrijwillige compliance te bevorderen en vragen </w:t>
      </w:r>
      <w:r w:rsidR="00420B5A">
        <w:rPr>
          <w:lang w:eastAsia="en-US"/>
        </w:rPr>
        <w:t xml:space="preserve">achteraf </w:t>
      </w:r>
      <w:r w:rsidR="006D1211">
        <w:rPr>
          <w:lang w:eastAsia="en-US"/>
        </w:rPr>
        <w:t xml:space="preserve">te voorkomen. Daarnaast werkt de Belastingdienst aan een overzichtelijk format in de </w:t>
      </w:r>
      <w:proofErr w:type="spellStart"/>
      <w:r w:rsidR="006D1211">
        <w:rPr>
          <w:lang w:eastAsia="en-US"/>
        </w:rPr>
        <w:t>klantbehandelsystemen</w:t>
      </w:r>
      <w:proofErr w:type="spellEnd"/>
      <w:r w:rsidR="006D1211">
        <w:rPr>
          <w:lang w:eastAsia="en-US"/>
        </w:rPr>
        <w:t>, waarin de gegevens worden opgenomen die vanaf 30 juni 2026 worden ontvangen. Lokale inspecteurs hebben dan, binnen hun autorisatieprofiel, toegang tot de gegevens die de Belastingdienst voor een bepaalde multinationale groep heeft ontvangen. Deze gegevens kunnen in het kader van toezicht gebruikt worden, bijvoorbeeld om te kijken waar Nederland mogelijk heffingsrecht heeft.</w:t>
      </w:r>
      <w:r w:rsidR="00F12D88">
        <w:rPr>
          <w:lang w:eastAsia="en-US"/>
        </w:rPr>
        <w:t xml:space="preserve"> </w:t>
      </w:r>
      <w:r w:rsidR="006D1211">
        <w:rPr>
          <w:lang w:eastAsia="en-US"/>
        </w:rPr>
        <w:t xml:space="preserve">Ook wordt gewerkt aan een risicoanalyse-systeem om specifieke signalen te detecteren. Hierbij kan gedacht worden aan het uitblijven van een aangifte in Nederland, terwijl uit de </w:t>
      </w:r>
      <w:proofErr w:type="spellStart"/>
      <w:r w:rsidR="006D1211">
        <w:rPr>
          <w:lang w:eastAsia="en-US"/>
        </w:rPr>
        <w:t>bijheffing</w:t>
      </w:r>
      <w:proofErr w:type="spellEnd"/>
      <w:r w:rsidR="006D1211">
        <w:rPr>
          <w:lang w:eastAsia="en-US"/>
        </w:rPr>
        <w:t xml:space="preserve">-informatieaangifte blijkt dat in Nederland een </w:t>
      </w:r>
      <w:proofErr w:type="spellStart"/>
      <w:r w:rsidR="006D1211">
        <w:rPr>
          <w:lang w:eastAsia="en-US"/>
        </w:rPr>
        <w:t>bijheffing</w:t>
      </w:r>
      <w:proofErr w:type="spellEnd"/>
      <w:r w:rsidR="006D1211">
        <w:rPr>
          <w:lang w:eastAsia="en-US"/>
        </w:rPr>
        <w:t xml:space="preserve"> verschuldigd is. </w:t>
      </w:r>
      <w:r w:rsidRPr="00013F3B" w:rsidR="006D1211">
        <w:rPr>
          <w:lang w:eastAsia="en-US"/>
        </w:rPr>
        <w:t xml:space="preserve">In OESO-verband zal </w:t>
      </w:r>
      <w:r w:rsidRPr="00013F3B" w:rsidR="00013F3B">
        <w:rPr>
          <w:lang w:eastAsia="en-US"/>
        </w:rPr>
        <w:t>in</w:t>
      </w:r>
      <w:r w:rsidRPr="00013F3B" w:rsidR="006D1211">
        <w:rPr>
          <w:lang w:eastAsia="en-US"/>
        </w:rPr>
        <w:t xml:space="preserve"> 2026 worden </w:t>
      </w:r>
      <w:r w:rsidRPr="00013F3B" w:rsidR="00F12D88">
        <w:rPr>
          <w:lang w:eastAsia="en-US"/>
        </w:rPr>
        <w:t xml:space="preserve">gestart </w:t>
      </w:r>
      <w:r w:rsidRPr="00013F3B" w:rsidR="006D1211">
        <w:rPr>
          <w:lang w:eastAsia="en-US"/>
        </w:rPr>
        <w:t xml:space="preserve">met een onderzoek naar risicoselectieregels op basis van de </w:t>
      </w:r>
      <w:proofErr w:type="spellStart"/>
      <w:r w:rsidRPr="00013F3B" w:rsidR="006D1211">
        <w:rPr>
          <w:lang w:eastAsia="en-US"/>
        </w:rPr>
        <w:t>bijheffing</w:t>
      </w:r>
      <w:proofErr w:type="spellEnd"/>
      <w:r w:rsidRPr="00013F3B" w:rsidR="006D1211">
        <w:rPr>
          <w:lang w:eastAsia="en-US"/>
        </w:rPr>
        <w:t>-informatieaangifte. Nederland zal hieraan deelnemen en onderschrijft het belang van efficiënt en adequaat toezicht. De gegevens worden tevens gebruikt voor beleidsevaluatie en statistiek, zowel op nationaal als internationaal niveau.</w:t>
      </w:r>
    </w:p>
    <w:p w:rsidRPr="00243FF0" w:rsidR="00243FF0" w:rsidP="006D1211" w:rsidRDefault="006D1211" w14:paraId="1D2FD3C2" w14:textId="6E8F8004">
      <w:pPr>
        <w:rPr>
          <w:lang w:eastAsia="en-US"/>
        </w:rPr>
      </w:pPr>
      <w:r>
        <w:rPr>
          <w:lang w:eastAsia="en-US"/>
        </w:rPr>
        <w:t>De Belastingdienst beschikt over de juiste expertise en IT-infrastructuur om deze nieuwe datastroom te verwerken, maar kent een</w:t>
      </w:r>
      <w:r w:rsidR="008A08AC">
        <w:rPr>
          <w:lang w:eastAsia="en-US"/>
        </w:rPr>
        <w:t xml:space="preserve"> moderniseringsopgave die </w:t>
      </w:r>
      <w:proofErr w:type="spellStart"/>
      <w:r w:rsidR="008A08AC">
        <w:rPr>
          <w:lang w:eastAsia="en-US"/>
        </w:rPr>
        <w:t>randvoorwaardelijk</w:t>
      </w:r>
      <w:proofErr w:type="spellEnd"/>
      <w:r w:rsidR="008A08AC">
        <w:rPr>
          <w:lang w:eastAsia="en-US"/>
        </w:rPr>
        <w:t xml:space="preserve"> is voor een groot deel van de toekomstige digitalisering van heffingen en inningen. V</w:t>
      </w:r>
      <w:r>
        <w:rPr>
          <w:lang w:eastAsia="en-US"/>
        </w:rPr>
        <w:t xml:space="preserve">oor deze specifieke gegevensstroom en het beslag daarvan op het IV-portfolio is al bij de invoering van de </w:t>
      </w:r>
      <w:r w:rsidR="00EE7BBD">
        <w:rPr>
          <w:lang w:eastAsia="en-US"/>
        </w:rPr>
        <w:t>WMB</w:t>
      </w:r>
      <w:r>
        <w:rPr>
          <w:lang w:eastAsia="en-US"/>
        </w:rPr>
        <w:t xml:space="preserve"> 2024 rekening gehouden met de uitwisseling van de </w:t>
      </w:r>
      <w:proofErr w:type="spellStart"/>
      <w:r>
        <w:rPr>
          <w:lang w:eastAsia="en-US"/>
        </w:rPr>
        <w:t>bijheffing</w:t>
      </w:r>
      <w:proofErr w:type="spellEnd"/>
      <w:r>
        <w:rPr>
          <w:lang w:eastAsia="en-US"/>
        </w:rPr>
        <w:t xml:space="preserve">-informatieaangifte. Eventuele extra kosten zijn beperkt en vinden hun oorzaak in het feit dat ten tijde van de invoering van de </w:t>
      </w:r>
      <w:r w:rsidR="00EE7BBD">
        <w:rPr>
          <w:lang w:eastAsia="en-US"/>
        </w:rPr>
        <w:t>WMB</w:t>
      </w:r>
      <w:r>
        <w:rPr>
          <w:lang w:eastAsia="en-US"/>
        </w:rPr>
        <w:t xml:space="preserve"> 2024 nog niet alle details bekend waren, zoals de XML-specificaties.</w:t>
      </w:r>
    </w:p>
    <w:p w:rsidR="008747B8" w:rsidRDefault="008747B8" w14:paraId="15455B81" w14:textId="77777777"/>
    <w:p w:rsidR="00CB6685" w:rsidRDefault="00CB6685" w14:paraId="543B6A0C" w14:textId="77777777"/>
    <w:p w:rsidR="00CB6685" w:rsidRDefault="00CB6685" w14:paraId="360F0EDE" w14:textId="77777777"/>
    <w:p w:rsidR="00CB6685" w:rsidRDefault="00CB6685" w14:paraId="529986CF" w14:textId="77777777"/>
    <w:p w:rsidR="00C140A1" w:rsidRDefault="00C140A1" w14:paraId="1BA8C342" w14:textId="0F9D0B86">
      <w:r>
        <w:t>De Staatssecretaris van Financiën,</w:t>
      </w:r>
    </w:p>
    <w:p w:rsidR="00B23103" w:rsidRDefault="00B23103" w14:paraId="11B94DAD" w14:textId="77777777"/>
    <w:p w:rsidR="00B23103" w:rsidRDefault="00B23103" w14:paraId="6076E878" w14:textId="77777777"/>
    <w:p w:rsidR="00B23103" w:rsidRDefault="00B23103" w14:paraId="27F1D8BB" w14:textId="77777777"/>
    <w:p w:rsidR="00B23103" w:rsidRDefault="00B23103" w14:paraId="1844DD76" w14:textId="77777777"/>
    <w:p w:rsidR="00C140A1" w:rsidRDefault="00C140A1" w14:paraId="3FA75235" w14:textId="77777777"/>
    <w:p w:rsidR="00C140A1" w:rsidRDefault="00C140A1" w14:paraId="70E04A92" w14:textId="77777777"/>
    <w:p w:rsidR="00C140A1" w:rsidRDefault="00C140A1" w14:paraId="374AAFA9" w14:textId="4573E671"/>
    <w:sectPr w:rsidR="00C140A1" w:rsidSect="008E6AE0">
      <w:pgSz w:w="11906" w:h="16838"/>
      <w:pgMar w:top="1417" w:right="1417" w:bottom="1417" w:left="1417" w:header="708" w:footer="708" w:gutter="0"/>
      <w:pgNumType w:start="1"/>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C2010" w14:textId="77777777" w:rsidR="00476D49" w:rsidRDefault="00476D49" w:rsidP="00D43AF5">
      <w:pPr>
        <w:spacing w:line="240" w:lineRule="auto"/>
      </w:pPr>
      <w:r>
        <w:separator/>
      </w:r>
    </w:p>
  </w:endnote>
  <w:endnote w:type="continuationSeparator" w:id="0">
    <w:p w14:paraId="34BFF535" w14:textId="77777777" w:rsidR="00476D49" w:rsidRDefault="00476D49" w:rsidP="00D43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407383"/>
      <w:docPartObj>
        <w:docPartGallery w:val="Page Numbers (Bottom of Page)"/>
        <w:docPartUnique/>
      </w:docPartObj>
    </w:sdtPr>
    <w:sdtEndPr/>
    <w:sdtContent>
      <w:p w14:paraId="219DC3E9" w14:textId="0E208F97" w:rsidR="00CB3069" w:rsidRDefault="00CB3069">
        <w:pPr>
          <w:pStyle w:val="Voettekst"/>
          <w:jc w:val="right"/>
        </w:pPr>
        <w:r>
          <w:fldChar w:fldCharType="begin"/>
        </w:r>
        <w:r>
          <w:instrText>PAGE   \* MERGEFORMAT</w:instrText>
        </w:r>
        <w:r>
          <w:fldChar w:fldCharType="separate"/>
        </w:r>
        <w:r>
          <w:t>2</w:t>
        </w:r>
        <w:r>
          <w:fldChar w:fldCharType="end"/>
        </w:r>
      </w:p>
    </w:sdtContent>
  </w:sdt>
  <w:p w14:paraId="57E6A8B8" w14:textId="77777777" w:rsidR="000D4050" w:rsidRDefault="000D40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CE6EB" w14:textId="77777777" w:rsidR="00476D49" w:rsidRDefault="00476D49" w:rsidP="00D43AF5">
      <w:pPr>
        <w:spacing w:line="240" w:lineRule="auto"/>
      </w:pPr>
      <w:r>
        <w:separator/>
      </w:r>
    </w:p>
  </w:footnote>
  <w:footnote w:type="continuationSeparator" w:id="0">
    <w:p w14:paraId="6724F3E7" w14:textId="77777777" w:rsidR="00476D49" w:rsidRDefault="00476D49" w:rsidP="00D43AF5">
      <w:pPr>
        <w:spacing w:line="240" w:lineRule="auto"/>
      </w:pPr>
      <w:r>
        <w:continuationSeparator/>
      </w:r>
    </w:p>
  </w:footnote>
  <w:footnote w:id="1">
    <w:p w14:paraId="28742EC5" w14:textId="77777777" w:rsidR="00013F3B" w:rsidRPr="009541BD" w:rsidRDefault="00013F3B" w:rsidP="00331097">
      <w:pPr>
        <w:pStyle w:val="Voetnoottekst"/>
        <w:ind w:left="1701" w:hanging="283"/>
        <w:rPr>
          <w:sz w:val="13"/>
          <w:szCs w:val="13"/>
        </w:rPr>
      </w:pPr>
      <w:r w:rsidRPr="009541BD">
        <w:rPr>
          <w:rStyle w:val="Voetnootmarkering"/>
          <w:sz w:val="13"/>
          <w:szCs w:val="13"/>
        </w:rPr>
        <w:footnoteRef/>
      </w:r>
      <w:r w:rsidRPr="009541BD">
        <w:rPr>
          <w:sz w:val="13"/>
          <w:szCs w:val="13"/>
        </w:rPr>
        <w:t xml:space="preserve"> </w:t>
      </w:r>
      <w:r w:rsidRPr="009541BD">
        <w:rPr>
          <w:sz w:val="13"/>
          <w:szCs w:val="13"/>
        </w:rPr>
        <w:tab/>
        <w:t>Richtlijn (EU) 2025/872 van de Raad van 14 april 2025 tot wijziging van Richtlijn 2011/16/EU betreffende de administratieve samenwerking op het gebied van de belastingen (</w:t>
      </w:r>
      <w:proofErr w:type="spellStart"/>
      <w:r w:rsidRPr="009541BD">
        <w:rPr>
          <w:sz w:val="13"/>
          <w:szCs w:val="13"/>
        </w:rPr>
        <w:t>PbEU</w:t>
      </w:r>
      <w:proofErr w:type="spellEnd"/>
      <w:r w:rsidRPr="009541BD">
        <w:rPr>
          <w:sz w:val="13"/>
          <w:szCs w:val="13"/>
        </w:rPr>
        <w:t xml:space="preserve"> L 2025/872).</w:t>
      </w:r>
    </w:p>
  </w:footnote>
  <w:footnote w:id="2">
    <w:p w14:paraId="4D221B45" w14:textId="6D993D4B" w:rsidR="00013F3B" w:rsidRPr="00B87C3A" w:rsidRDefault="00013F3B" w:rsidP="00331097">
      <w:pPr>
        <w:pStyle w:val="Voetnoottekst"/>
        <w:ind w:left="1701" w:hanging="283"/>
        <w:rPr>
          <w:sz w:val="16"/>
          <w:szCs w:val="16"/>
        </w:rPr>
      </w:pPr>
      <w:r w:rsidRPr="009541BD">
        <w:rPr>
          <w:rStyle w:val="Voetnootmarkering"/>
          <w:sz w:val="13"/>
          <w:szCs w:val="13"/>
        </w:rPr>
        <w:footnoteRef/>
      </w:r>
      <w:r w:rsidRPr="009541BD">
        <w:rPr>
          <w:sz w:val="13"/>
          <w:szCs w:val="13"/>
        </w:rPr>
        <w:t xml:space="preserve"> </w:t>
      </w:r>
      <w:r w:rsidRPr="009541BD">
        <w:rPr>
          <w:sz w:val="13"/>
          <w:szCs w:val="13"/>
        </w:rPr>
        <w:tab/>
        <w:t>Richtlijn (EU) 2022/2523 van de Raad van 14 december 2022, tot waarborging van een mondiaal minimumniveau van belastingheffing voor groepen van multinationale ondernemingen en omvangrijke binnenlandse groepen in de Unie (</w:t>
      </w:r>
      <w:proofErr w:type="spellStart"/>
      <w:r w:rsidRPr="009541BD">
        <w:rPr>
          <w:sz w:val="13"/>
          <w:szCs w:val="13"/>
        </w:rPr>
        <w:t>PbEU</w:t>
      </w:r>
      <w:proofErr w:type="spellEnd"/>
      <w:r w:rsidRPr="009541BD">
        <w:rPr>
          <w:sz w:val="13"/>
          <w:szCs w:val="13"/>
        </w:rPr>
        <w:t xml:space="preserve"> 2022, L 328).</w:t>
      </w:r>
      <w:r w:rsidR="002A48D9" w:rsidRPr="009541BD">
        <w:rPr>
          <w:sz w:val="13"/>
          <w:szCs w:val="13"/>
        </w:rPr>
        <w:t xml:space="preserve"> Zie artikel 44, eerste lid, onderdeel b, van de Pijler 2-richtlijn.</w:t>
      </w:r>
    </w:p>
  </w:footnote>
  <w:footnote w:id="3">
    <w:p w14:paraId="2932A360" w14:textId="2680AAC5" w:rsidR="00B87C3A" w:rsidRPr="009541BD" w:rsidRDefault="00B87C3A" w:rsidP="00331097">
      <w:pPr>
        <w:pStyle w:val="Voetnoottekst"/>
        <w:ind w:left="1701" w:hanging="283"/>
        <w:rPr>
          <w:sz w:val="13"/>
          <w:szCs w:val="13"/>
        </w:rPr>
      </w:pPr>
      <w:r w:rsidRPr="009541BD">
        <w:rPr>
          <w:rStyle w:val="Voetnootmarkering"/>
          <w:sz w:val="13"/>
          <w:szCs w:val="13"/>
        </w:rPr>
        <w:footnoteRef/>
      </w:r>
      <w:r w:rsidRPr="009541BD">
        <w:rPr>
          <w:sz w:val="13"/>
          <w:szCs w:val="13"/>
        </w:rPr>
        <w:t xml:space="preserve"> </w:t>
      </w:r>
      <w:r w:rsidR="00331097" w:rsidRPr="009541BD">
        <w:rPr>
          <w:sz w:val="13"/>
          <w:szCs w:val="13"/>
        </w:rPr>
        <w:tab/>
      </w:r>
      <w:r w:rsidRPr="009541BD">
        <w:rPr>
          <w:sz w:val="13"/>
          <w:szCs w:val="13"/>
        </w:rPr>
        <w:t>Artikel 13.1 WMB 2024.</w:t>
      </w:r>
    </w:p>
  </w:footnote>
  <w:footnote w:id="4">
    <w:p w14:paraId="19C10FD0" w14:textId="31241A70" w:rsidR="006D1211" w:rsidRDefault="006D1211" w:rsidP="00331097">
      <w:pPr>
        <w:pStyle w:val="Voetnoottekst"/>
        <w:ind w:left="1701" w:hanging="283"/>
      </w:pPr>
      <w:r w:rsidRPr="009541BD">
        <w:rPr>
          <w:rStyle w:val="Voetnootmarkering"/>
          <w:sz w:val="13"/>
          <w:szCs w:val="13"/>
        </w:rPr>
        <w:footnoteRef/>
      </w:r>
      <w:r w:rsidRPr="009541BD">
        <w:rPr>
          <w:sz w:val="13"/>
          <w:szCs w:val="13"/>
        </w:rPr>
        <w:t xml:space="preserve"> </w:t>
      </w:r>
      <w:r w:rsidR="00331097" w:rsidRPr="009541BD">
        <w:rPr>
          <w:sz w:val="13"/>
          <w:szCs w:val="13"/>
        </w:rPr>
        <w:tab/>
      </w:r>
      <w:r w:rsidRPr="009541BD">
        <w:rPr>
          <w:sz w:val="13"/>
          <w:szCs w:val="13"/>
        </w:rPr>
        <w:t>https://www.digitaleoverheid.nl/overzicht-van-alle-onderwerpen/cybersecurity/bio-en-ensia/baseline-informatiebeveiliging-overheid/.</w:t>
      </w:r>
    </w:p>
  </w:footnote>
  <w:footnote w:id="5">
    <w:p w14:paraId="6FC2DB2A" w14:textId="0EE23081" w:rsidR="006D1211" w:rsidRPr="009541BD" w:rsidRDefault="006D1211" w:rsidP="00331097">
      <w:pPr>
        <w:pStyle w:val="Voetnoottekst"/>
        <w:ind w:left="1701" w:hanging="283"/>
        <w:rPr>
          <w:sz w:val="13"/>
          <w:szCs w:val="13"/>
        </w:rPr>
      </w:pPr>
      <w:r w:rsidRPr="009541BD">
        <w:rPr>
          <w:rStyle w:val="Voetnootmarkering"/>
          <w:sz w:val="13"/>
          <w:szCs w:val="13"/>
        </w:rPr>
        <w:footnoteRef/>
      </w:r>
      <w:r w:rsidRPr="009541BD">
        <w:rPr>
          <w:sz w:val="13"/>
          <w:szCs w:val="13"/>
        </w:rPr>
        <w:t xml:space="preserve"> </w:t>
      </w:r>
      <w:r w:rsidR="00331097" w:rsidRPr="009541BD">
        <w:rPr>
          <w:sz w:val="13"/>
          <w:szCs w:val="13"/>
        </w:rPr>
        <w:tab/>
      </w:r>
      <w:r w:rsidRPr="009541BD">
        <w:rPr>
          <w:sz w:val="13"/>
          <w:szCs w:val="13"/>
        </w:rPr>
        <w:t>Verordening (EU) 2018/1725 van het Europees Parlement en de Raad van 23 oktober 2018 betreffende de bescherming van natuurlijke personen in verband met de verwerking van persoonsgegevens door de instellingen, organen en instanties van de Unie en betreffende het vrije verkeer van die gegevens, en tot intrekking van Verordening (EG) nr.</w:t>
      </w:r>
      <w:r w:rsidR="00331097" w:rsidRPr="009541BD">
        <w:rPr>
          <w:sz w:val="13"/>
          <w:szCs w:val="13"/>
        </w:rPr>
        <w:t> </w:t>
      </w:r>
      <w:r w:rsidRPr="009541BD">
        <w:rPr>
          <w:sz w:val="13"/>
          <w:szCs w:val="13"/>
        </w:rPr>
        <w:t>45/2001 en Besluit</w:t>
      </w:r>
      <w:r w:rsidR="00331097" w:rsidRPr="009541BD">
        <w:rPr>
          <w:sz w:val="13"/>
          <w:szCs w:val="13"/>
        </w:rPr>
        <w:t xml:space="preserve"> </w:t>
      </w:r>
      <w:r w:rsidRPr="009541BD">
        <w:rPr>
          <w:sz w:val="13"/>
          <w:szCs w:val="13"/>
        </w:rPr>
        <w:t>nr. 1247/2002/EG (</w:t>
      </w:r>
      <w:proofErr w:type="spellStart"/>
      <w:r w:rsidRPr="009541BD">
        <w:rPr>
          <w:sz w:val="13"/>
          <w:szCs w:val="13"/>
        </w:rPr>
        <w:t>PbEU</w:t>
      </w:r>
      <w:proofErr w:type="spellEnd"/>
      <w:r w:rsidRPr="009541BD">
        <w:rPr>
          <w:sz w:val="13"/>
          <w:szCs w:val="13"/>
        </w:rPr>
        <w:t xml:space="preserve"> 2018, L 295/39).</w:t>
      </w:r>
    </w:p>
  </w:footnote>
  <w:footnote w:id="6">
    <w:p w14:paraId="215ECF09" w14:textId="00D62F5E" w:rsidR="006D1211" w:rsidRPr="009541BD" w:rsidRDefault="006D1211" w:rsidP="00331097">
      <w:pPr>
        <w:pStyle w:val="Voetnoottekst"/>
        <w:ind w:left="1701" w:hanging="283"/>
        <w:rPr>
          <w:sz w:val="13"/>
          <w:szCs w:val="13"/>
        </w:rPr>
      </w:pPr>
      <w:r w:rsidRPr="009541BD">
        <w:rPr>
          <w:rStyle w:val="Voetnootmarkering"/>
          <w:sz w:val="13"/>
          <w:szCs w:val="13"/>
        </w:rPr>
        <w:footnoteRef/>
      </w:r>
      <w:r w:rsidRPr="009541BD">
        <w:rPr>
          <w:sz w:val="13"/>
          <w:szCs w:val="13"/>
        </w:rPr>
        <w:t xml:space="preserve"> </w:t>
      </w:r>
      <w:r w:rsidR="00331097" w:rsidRPr="009541BD">
        <w:rPr>
          <w:sz w:val="13"/>
          <w:szCs w:val="13"/>
        </w:rPr>
        <w:tab/>
      </w:r>
      <w:r w:rsidRPr="009541BD">
        <w:rPr>
          <w:sz w:val="13"/>
          <w:szCs w:val="13"/>
        </w:rPr>
        <w:t>Te raadplegen op de website van het Nationaal Archief: www.nationaalarchief.nl/archiveren/, zoekterm: selectielijst Belastingdienst.</w:t>
      </w:r>
    </w:p>
  </w:footnote>
  <w:footnote w:id="7">
    <w:p w14:paraId="35289C11" w14:textId="33E3D3DC" w:rsidR="00C55D1F" w:rsidRPr="00B87C3A" w:rsidRDefault="00C55D1F" w:rsidP="00331097">
      <w:pPr>
        <w:pStyle w:val="Voetnoottekst"/>
        <w:ind w:left="1701" w:hanging="283"/>
        <w:rPr>
          <w:sz w:val="16"/>
          <w:szCs w:val="16"/>
        </w:rPr>
      </w:pPr>
      <w:r w:rsidRPr="009541BD">
        <w:rPr>
          <w:rStyle w:val="Voetnootmarkering"/>
          <w:sz w:val="13"/>
          <w:szCs w:val="13"/>
        </w:rPr>
        <w:footnoteRef/>
      </w:r>
      <w:r w:rsidRPr="009541BD">
        <w:rPr>
          <w:sz w:val="13"/>
          <w:szCs w:val="13"/>
        </w:rPr>
        <w:t xml:space="preserve"> </w:t>
      </w:r>
      <w:r w:rsidR="00331097" w:rsidRPr="009541BD">
        <w:rPr>
          <w:sz w:val="13"/>
          <w:szCs w:val="13"/>
        </w:rPr>
        <w:tab/>
      </w:r>
      <w:r w:rsidRPr="009541BD">
        <w:rPr>
          <w:sz w:val="13"/>
          <w:szCs w:val="13"/>
        </w:rPr>
        <w:t>Zie ook de toelichting op de voorgestelde wijziging van artikel 13.1 WMB 2024</w:t>
      </w:r>
      <w:r w:rsidR="0066297B" w:rsidRPr="009541BD">
        <w:rPr>
          <w:sz w:val="13"/>
          <w:szCs w:val="13"/>
        </w:rPr>
        <w:t xml:space="preserve"> </w:t>
      </w:r>
      <w:r w:rsidRPr="009541BD">
        <w:rPr>
          <w:sz w:val="13"/>
          <w:szCs w:val="13"/>
        </w:rPr>
        <w:t>(Kamerstukken</w:t>
      </w:r>
      <w:r w:rsidR="0066297B" w:rsidRPr="009541BD">
        <w:rPr>
          <w:sz w:val="13"/>
          <w:szCs w:val="13"/>
        </w:rPr>
        <w:t xml:space="preserve"> </w:t>
      </w:r>
      <w:r w:rsidRPr="009541BD">
        <w:rPr>
          <w:sz w:val="13"/>
          <w:szCs w:val="13"/>
        </w:rPr>
        <w:t>II 2025/2026, 36818, nr. 3, p. 18).</w:t>
      </w:r>
    </w:p>
  </w:footnote>
  <w:footnote w:id="8">
    <w:p w14:paraId="6B859609" w14:textId="336CF27D" w:rsidR="00F12D88" w:rsidRPr="009541BD" w:rsidRDefault="00F12D88" w:rsidP="00F12D88">
      <w:pPr>
        <w:pStyle w:val="Voetnoottekst"/>
        <w:ind w:left="1701" w:hanging="283"/>
        <w:rPr>
          <w:sz w:val="13"/>
          <w:szCs w:val="13"/>
        </w:rPr>
      </w:pPr>
      <w:r w:rsidRPr="009541BD">
        <w:rPr>
          <w:rStyle w:val="Voetnootmarkering"/>
          <w:sz w:val="13"/>
          <w:szCs w:val="13"/>
        </w:rPr>
        <w:footnoteRef/>
      </w:r>
      <w:r w:rsidRPr="009541BD">
        <w:rPr>
          <w:sz w:val="13"/>
          <w:szCs w:val="13"/>
        </w:rPr>
        <w:t xml:space="preserve"> </w:t>
      </w:r>
      <w:r w:rsidRPr="009541BD">
        <w:rPr>
          <w:sz w:val="13"/>
          <w:szCs w:val="13"/>
        </w:rPr>
        <w:tab/>
        <w:t>https://odb.belastingdienst.nl.</w:t>
      </w:r>
    </w:p>
  </w:footnote>
  <w:footnote w:id="9">
    <w:p w14:paraId="10FF550E" w14:textId="6A9A6556" w:rsidR="0094231B" w:rsidRPr="00B87C3A" w:rsidRDefault="0094231B" w:rsidP="00331097">
      <w:pPr>
        <w:pStyle w:val="Voetnoottekst"/>
        <w:ind w:left="1701" w:hanging="283"/>
        <w:rPr>
          <w:sz w:val="16"/>
          <w:szCs w:val="16"/>
        </w:rPr>
      </w:pPr>
      <w:r w:rsidRPr="009541BD">
        <w:rPr>
          <w:rStyle w:val="Voetnootmarkering"/>
          <w:sz w:val="13"/>
          <w:szCs w:val="13"/>
        </w:rPr>
        <w:footnoteRef/>
      </w:r>
      <w:r w:rsidRPr="009541BD">
        <w:rPr>
          <w:sz w:val="13"/>
          <w:szCs w:val="13"/>
        </w:rPr>
        <w:t xml:space="preserve"> </w:t>
      </w:r>
      <w:r w:rsidRPr="009541BD">
        <w:rPr>
          <w:sz w:val="13"/>
          <w:szCs w:val="13"/>
        </w:rPr>
        <w:tab/>
        <w:t>Richtlijn 2011/16/EU van de Raad van 15 februari 2011 betreffende de administratieve samenwerking op het gebied van de belastingen en tot intrekking van Richtlijn 77/799/EEG (</w:t>
      </w:r>
      <w:proofErr w:type="spellStart"/>
      <w:r w:rsidRPr="009541BD">
        <w:rPr>
          <w:sz w:val="13"/>
          <w:szCs w:val="13"/>
        </w:rPr>
        <w:t>PbEU</w:t>
      </w:r>
      <w:proofErr w:type="spellEnd"/>
      <w:r w:rsidRPr="009541BD">
        <w:rPr>
          <w:sz w:val="13"/>
          <w:szCs w:val="13"/>
        </w:rPr>
        <w:t xml:space="preserve"> 2011, L 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33F4"/>
    <w:multiLevelType w:val="multilevel"/>
    <w:tmpl w:val="C7F827CA"/>
    <w:lvl w:ilvl="0">
      <w:start w:val="1"/>
      <w:numFmt w:val="decimal"/>
      <w:pStyle w:val="Kop1"/>
      <w:suff w:val="space"/>
      <w:lvlText w:val="%1."/>
      <w:lvlJc w:val="left"/>
      <w:pPr>
        <w:ind w:left="11551" w:hanging="360"/>
      </w:pPr>
      <w:rPr>
        <w:rFonts w:hint="default"/>
      </w:rPr>
    </w:lvl>
    <w:lvl w:ilvl="1">
      <w:start w:val="1"/>
      <w:numFmt w:val="decimal"/>
      <w:pStyle w:val="Kop2"/>
      <w:suff w:val="space"/>
      <w:lvlText w:val="%1.%2."/>
      <w:lvlJc w:val="left"/>
      <w:pPr>
        <w:ind w:left="353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342" w:hanging="504"/>
      </w:pPr>
      <w:rPr>
        <w:rFonts w:hint="default"/>
      </w:rPr>
    </w:lvl>
    <w:lvl w:ilvl="3">
      <w:start w:val="1"/>
      <w:numFmt w:val="decimal"/>
      <w:lvlText w:val="%1.%2.%3.%4."/>
      <w:lvlJc w:val="left"/>
      <w:pPr>
        <w:ind w:left="3846" w:hanging="648"/>
      </w:pPr>
      <w:rPr>
        <w:rFonts w:hint="default"/>
      </w:rPr>
    </w:lvl>
    <w:lvl w:ilvl="4">
      <w:start w:val="1"/>
      <w:numFmt w:val="decimal"/>
      <w:lvlText w:val="%1.%2.%3.%4.%5."/>
      <w:lvlJc w:val="left"/>
      <w:pPr>
        <w:ind w:left="4350" w:hanging="792"/>
      </w:pPr>
      <w:rPr>
        <w:rFonts w:hint="default"/>
      </w:rPr>
    </w:lvl>
    <w:lvl w:ilvl="5">
      <w:start w:val="1"/>
      <w:numFmt w:val="decimal"/>
      <w:lvlText w:val="%1.%2.%3.%4.%5.%6."/>
      <w:lvlJc w:val="left"/>
      <w:pPr>
        <w:ind w:left="4854" w:hanging="936"/>
      </w:pPr>
      <w:rPr>
        <w:rFonts w:hint="default"/>
      </w:rPr>
    </w:lvl>
    <w:lvl w:ilvl="6">
      <w:start w:val="1"/>
      <w:numFmt w:val="decimal"/>
      <w:lvlText w:val="%1.%2.%3.%4.%5.%6.%7."/>
      <w:lvlJc w:val="left"/>
      <w:pPr>
        <w:ind w:left="5358" w:hanging="1080"/>
      </w:pPr>
      <w:rPr>
        <w:rFonts w:hint="default"/>
      </w:rPr>
    </w:lvl>
    <w:lvl w:ilvl="7">
      <w:start w:val="1"/>
      <w:numFmt w:val="decimal"/>
      <w:lvlText w:val="%1.%2.%3.%4.%5.%6.%7.%8."/>
      <w:lvlJc w:val="left"/>
      <w:pPr>
        <w:ind w:left="5862" w:hanging="1224"/>
      </w:pPr>
      <w:rPr>
        <w:rFonts w:hint="default"/>
      </w:rPr>
    </w:lvl>
    <w:lvl w:ilvl="8">
      <w:start w:val="1"/>
      <w:numFmt w:val="decimal"/>
      <w:lvlText w:val="%1.%2.%3.%4.%5.%6.%7.%8.%9."/>
      <w:lvlJc w:val="left"/>
      <w:pPr>
        <w:ind w:left="6438" w:hanging="1440"/>
      </w:pPr>
      <w:rPr>
        <w:rFonts w:hint="default"/>
      </w:rPr>
    </w:lvl>
  </w:abstractNum>
  <w:abstractNum w:abstractNumId="1" w15:restartNumberingAfterBreak="0">
    <w:nsid w:val="0E7548D3"/>
    <w:multiLevelType w:val="hybridMultilevel"/>
    <w:tmpl w:val="2594F57C"/>
    <w:lvl w:ilvl="0" w:tplc="54ACDA7A">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2" w15:restartNumberingAfterBreak="0">
    <w:nsid w:val="25957E03"/>
    <w:multiLevelType w:val="hybridMultilevel"/>
    <w:tmpl w:val="A53EB9E8"/>
    <w:lvl w:ilvl="0" w:tplc="0ADC17E2">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3" w15:restartNumberingAfterBreak="0">
    <w:nsid w:val="4D9467BF"/>
    <w:multiLevelType w:val="hybridMultilevel"/>
    <w:tmpl w:val="5A2E1114"/>
    <w:lvl w:ilvl="0" w:tplc="E4C87420">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4" w15:restartNumberingAfterBreak="0">
    <w:nsid w:val="59874C61"/>
    <w:multiLevelType w:val="hybridMultilevel"/>
    <w:tmpl w:val="A45CD7B8"/>
    <w:lvl w:ilvl="0" w:tplc="2E840C78">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5" w15:restartNumberingAfterBreak="0">
    <w:nsid w:val="59FE216C"/>
    <w:multiLevelType w:val="hybridMultilevel"/>
    <w:tmpl w:val="7486D7D6"/>
    <w:lvl w:ilvl="0" w:tplc="C52E0A02">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6" w15:restartNumberingAfterBreak="0">
    <w:nsid w:val="7A8E7B9D"/>
    <w:multiLevelType w:val="hybridMultilevel"/>
    <w:tmpl w:val="940C2BB0"/>
    <w:lvl w:ilvl="0" w:tplc="29340A9E">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num w:numId="1" w16cid:durableId="1747914177">
    <w:abstractNumId w:val="0"/>
  </w:num>
  <w:num w:numId="2" w16cid:durableId="1499149325">
    <w:abstractNumId w:val="6"/>
  </w:num>
  <w:num w:numId="3" w16cid:durableId="1636064287">
    <w:abstractNumId w:val="5"/>
  </w:num>
  <w:num w:numId="4" w16cid:durableId="2026055001">
    <w:abstractNumId w:val="3"/>
  </w:num>
  <w:num w:numId="5" w16cid:durableId="1476072428">
    <w:abstractNumId w:val="2"/>
  </w:num>
  <w:num w:numId="6" w16cid:durableId="912204618">
    <w:abstractNumId w:val="4"/>
  </w:num>
  <w:num w:numId="7" w16cid:durableId="815726814">
    <w:abstractNumId w:val="0"/>
  </w:num>
  <w:num w:numId="8" w16cid:durableId="1336690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04"/>
    <w:rsid w:val="00013F3B"/>
    <w:rsid w:val="00037029"/>
    <w:rsid w:val="000660D1"/>
    <w:rsid w:val="00077F4B"/>
    <w:rsid w:val="000923B3"/>
    <w:rsid w:val="000B3293"/>
    <w:rsid w:val="000D4050"/>
    <w:rsid w:val="000D43CD"/>
    <w:rsid w:val="00113C89"/>
    <w:rsid w:val="00143C52"/>
    <w:rsid w:val="001A24F1"/>
    <w:rsid w:val="001D7204"/>
    <w:rsid w:val="00243FF0"/>
    <w:rsid w:val="0026327A"/>
    <w:rsid w:val="00264DEF"/>
    <w:rsid w:val="002941BF"/>
    <w:rsid w:val="002A48D9"/>
    <w:rsid w:val="002B7D67"/>
    <w:rsid w:val="00302A1B"/>
    <w:rsid w:val="00304EAA"/>
    <w:rsid w:val="00312A6C"/>
    <w:rsid w:val="00327926"/>
    <w:rsid w:val="00331097"/>
    <w:rsid w:val="0033305D"/>
    <w:rsid w:val="00375C08"/>
    <w:rsid w:val="003C2BC5"/>
    <w:rsid w:val="003D423D"/>
    <w:rsid w:val="003E2521"/>
    <w:rsid w:val="00405583"/>
    <w:rsid w:val="00420B5A"/>
    <w:rsid w:val="00461012"/>
    <w:rsid w:val="00476D49"/>
    <w:rsid w:val="004A5AE8"/>
    <w:rsid w:val="004B2FC7"/>
    <w:rsid w:val="004B334D"/>
    <w:rsid w:val="004F1AD9"/>
    <w:rsid w:val="00502FC9"/>
    <w:rsid w:val="0050646F"/>
    <w:rsid w:val="005818B6"/>
    <w:rsid w:val="005B2C5D"/>
    <w:rsid w:val="005D4B67"/>
    <w:rsid w:val="005F080F"/>
    <w:rsid w:val="006105A5"/>
    <w:rsid w:val="00611D9B"/>
    <w:rsid w:val="00621A03"/>
    <w:rsid w:val="00655B10"/>
    <w:rsid w:val="0066297B"/>
    <w:rsid w:val="00686B8D"/>
    <w:rsid w:val="006A3A1C"/>
    <w:rsid w:val="006B5942"/>
    <w:rsid w:val="006C1E1A"/>
    <w:rsid w:val="006C5D79"/>
    <w:rsid w:val="006D1211"/>
    <w:rsid w:val="00722985"/>
    <w:rsid w:val="00731F63"/>
    <w:rsid w:val="0073722A"/>
    <w:rsid w:val="00755476"/>
    <w:rsid w:val="00761E6F"/>
    <w:rsid w:val="00833B98"/>
    <w:rsid w:val="008747B8"/>
    <w:rsid w:val="008A08AC"/>
    <w:rsid w:val="008E6AE0"/>
    <w:rsid w:val="0094231B"/>
    <w:rsid w:val="009541BD"/>
    <w:rsid w:val="0095584F"/>
    <w:rsid w:val="00957470"/>
    <w:rsid w:val="00965853"/>
    <w:rsid w:val="0098059A"/>
    <w:rsid w:val="009953CA"/>
    <w:rsid w:val="009E41D0"/>
    <w:rsid w:val="00A15345"/>
    <w:rsid w:val="00A21F22"/>
    <w:rsid w:val="00A90749"/>
    <w:rsid w:val="00AD74B5"/>
    <w:rsid w:val="00AE7080"/>
    <w:rsid w:val="00AF693E"/>
    <w:rsid w:val="00B23103"/>
    <w:rsid w:val="00B650F3"/>
    <w:rsid w:val="00B8337D"/>
    <w:rsid w:val="00B87C3A"/>
    <w:rsid w:val="00BB699E"/>
    <w:rsid w:val="00BC6677"/>
    <w:rsid w:val="00BD6BAD"/>
    <w:rsid w:val="00BE1D23"/>
    <w:rsid w:val="00C0043E"/>
    <w:rsid w:val="00C079AA"/>
    <w:rsid w:val="00C140A1"/>
    <w:rsid w:val="00C55D1F"/>
    <w:rsid w:val="00CB3069"/>
    <w:rsid w:val="00CB6685"/>
    <w:rsid w:val="00CD0900"/>
    <w:rsid w:val="00D43AF5"/>
    <w:rsid w:val="00D46706"/>
    <w:rsid w:val="00D7615E"/>
    <w:rsid w:val="00D91FDC"/>
    <w:rsid w:val="00D93DCD"/>
    <w:rsid w:val="00DB6AD9"/>
    <w:rsid w:val="00DE17C7"/>
    <w:rsid w:val="00DF1221"/>
    <w:rsid w:val="00E310CC"/>
    <w:rsid w:val="00E55A6C"/>
    <w:rsid w:val="00E711D1"/>
    <w:rsid w:val="00EE30C0"/>
    <w:rsid w:val="00EE7BBD"/>
    <w:rsid w:val="00EF0862"/>
    <w:rsid w:val="00EF4BB4"/>
    <w:rsid w:val="00F125AA"/>
    <w:rsid w:val="00F12D88"/>
    <w:rsid w:val="00F431DA"/>
    <w:rsid w:val="00F7060A"/>
    <w:rsid w:val="00F71F96"/>
    <w:rsid w:val="00FB7B09"/>
    <w:rsid w:val="00FD12B4"/>
    <w:rsid w:val="00FE48B8"/>
    <w:rsid w:val="00FF68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11653"/>
  <w15:chartTrackingRefBased/>
  <w15:docId w15:val="{2997DB04-00C2-428F-9E9F-E6FB304C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7F4B"/>
    <w:pPr>
      <w:spacing w:line="360" w:lineRule="auto"/>
      <w:ind w:left="1418"/>
    </w:pPr>
    <w:rPr>
      <w:rFonts w:ascii="Verdana" w:eastAsia="Times New Roman" w:hAnsi="Verdana"/>
      <w:sz w:val="18"/>
      <w:lang w:eastAsia="nl-NL"/>
    </w:rPr>
  </w:style>
  <w:style w:type="paragraph" w:styleId="Kop1">
    <w:name w:val="heading 1"/>
    <w:basedOn w:val="Standaard"/>
    <w:next w:val="Standaard"/>
    <w:link w:val="Kop1Char"/>
    <w:uiPriority w:val="9"/>
    <w:qFormat/>
    <w:rsid w:val="00077F4B"/>
    <w:pPr>
      <w:keepNext/>
      <w:keepLines/>
      <w:numPr>
        <w:numId w:val="1"/>
      </w:numPr>
      <w:outlineLvl w:val="0"/>
    </w:pPr>
    <w:rPr>
      <w:rFonts w:eastAsiaTheme="majorEastAsia" w:cstheme="majorBidi"/>
      <w:bCs/>
      <w:i/>
      <w:szCs w:val="28"/>
      <w:lang w:eastAsia="en-US"/>
    </w:rPr>
  </w:style>
  <w:style w:type="paragraph" w:styleId="Kop2">
    <w:name w:val="heading 2"/>
    <w:basedOn w:val="Kop1"/>
    <w:next w:val="Standaard"/>
    <w:link w:val="Kop2Char"/>
    <w:uiPriority w:val="9"/>
    <w:unhideWhenUsed/>
    <w:qFormat/>
    <w:rsid w:val="00077F4B"/>
    <w:pPr>
      <w:numPr>
        <w:ilvl w:val="1"/>
      </w:numPr>
      <w:outlineLvl w:val="1"/>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F4B"/>
    <w:rPr>
      <w:rFonts w:ascii="Verdana" w:eastAsiaTheme="majorEastAsia" w:hAnsi="Verdana" w:cstheme="majorBidi"/>
      <w:bCs/>
      <w:i/>
      <w:sz w:val="18"/>
      <w:szCs w:val="28"/>
    </w:rPr>
  </w:style>
  <w:style w:type="character" w:customStyle="1" w:styleId="Kop2Char">
    <w:name w:val="Kop 2 Char"/>
    <w:basedOn w:val="Standaardalinea-lettertype"/>
    <w:link w:val="Kop2"/>
    <w:uiPriority w:val="9"/>
    <w:rsid w:val="00077F4B"/>
    <w:rPr>
      <w:rFonts w:ascii="Verdana" w:eastAsiaTheme="majorEastAsia" w:hAnsi="Verdana" w:cstheme="majorBidi"/>
      <w:bCs/>
      <w:i/>
      <w:sz w:val="18"/>
      <w:szCs w:val="28"/>
    </w:rPr>
  </w:style>
  <w:style w:type="paragraph" w:styleId="Inhopg1">
    <w:name w:val="toc 1"/>
    <w:basedOn w:val="Standaard"/>
    <w:next w:val="Standaard"/>
    <w:autoRedefine/>
    <w:uiPriority w:val="39"/>
    <w:unhideWhenUsed/>
    <w:qFormat/>
    <w:rsid w:val="00077F4B"/>
    <w:pPr>
      <w:tabs>
        <w:tab w:val="right" w:leader="dot" w:pos="9062"/>
      </w:tabs>
    </w:pPr>
    <w:rPr>
      <w:rFonts w:eastAsiaTheme="minorEastAsia" w:cstheme="minorBidi"/>
      <w:szCs w:val="22"/>
      <w:lang w:eastAsia="en-US"/>
    </w:rPr>
  </w:style>
  <w:style w:type="character" w:styleId="Hyperlink">
    <w:name w:val="Hyperlink"/>
    <w:basedOn w:val="Standaardalinea-lettertype"/>
    <w:uiPriority w:val="99"/>
    <w:unhideWhenUsed/>
    <w:rsid w:val="00077F4B"/>
    <w:rPr>
      <w:color w:val="0563C1" w:themeColor="hyperlink"/>
      <w:u w:val="single"/>
    </w:rPr>
  </w:style>
  <w:style w:type="paragraph" w:styleId="Kopvaninhoudsopgave">
    <w:name w:val="TOC Heading"/>
    <w:basedOn w:val="Kop1"/>
    <w:next w:val="Standaard"/>
    <w:uiPriority w:val="39"/>
    <w:unhideWhenUsed/>
    <w:qFormat/>
    <w:rsid w:val="000B3293"/>
    <w:pPr>
      <w:numPr>
        <w:numId w:val="0"/>
      </w:numPr>
      <w:spacing w:before="240" w:line="259" w:lineRule="auto"/>
      <w:outlineLvl w:val="9"/>
    </w:pPr>
    <w:rPr>
      <w:rFonts w:asciiTheme="majorHAnsi" w:hAnsiTheme="majorHAnsi"/>
      <w:bCs w:val="0"/>
      <w:i w:val="0"/>
      <w:color w:val="2F5496" w:themeColor="accent1" w:themeShade="BF"/>
      <w:sz w:val="32"/>
      <w:szCs w:val="32"/>
      <w:lang w:eastAsia="nl-NL"/>
    </w:rPr>
  </w:style>
  <w:style w:type="paragraph" w:styleId="Koptekst">
    <w:name w:val="header"/>
    <w:basedOn w:val="Standaard"/>
    <w:link w:val="KoptekstChar"/>
    <w:uiPriority w:val="99"/>
    <w:unhideWhenUsed/>
    <w:rsid w:val="000B329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B3293"/>
    <w:rPr>
      <w:rFonts w:ascii="Verdana" w:eastAsia="Times New Roman" w:hAnsi="Verdana"/>
      <w:sz w:val="18"/>
      <w:lang w:eastAsia="nl-NL"/>
    </w:rPr>
  </w:style>
  <w:style w:type="paragraph" w:styleId="Voettekst">
    <w:name w:val="footer"/>
    <w:basedOn w:val="Standaard"/>
    <w:link w:val="VoettekstChar"/>
    <w:uiPriority w:val="99"/>
    <w:unhideWhenUsed/>
    <w:rsid w:val="000B329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B3293"/>
    <w:rPr>
      <w:rFonts w:ascii="Verdana" w:eastAsia="Times New Roman" w:hAnsi="Verdana"/>
      <w:sz w:val="18"/>
      <w:lang w:eastAsia="nl-NL"/>
    </w:rPr>
  </w:style>
  <w:style w:type="paragraph" w:styleId="Voetnoottekst">
    <w:name w:val="footnote text"/>
    <w:basedOn w:val="Standaard"/>
    <w:link w:val="VoetnoottekstChar"/>
    <w:uiPriority w:val="99"/>
    <w:semiHidden/>
    <w:unhideWhenUsed/>
    <w:rsid w:val="00B87C3A"/>
    <w:pPr>
      <w:spacing w:line="240" w:lineRule="auto"/>
    </w:pPr>
    <w:rPr>
      <w:sz w:val="20"/>
    </w:rPr>
  </w:style>
  <w:style w:type="character" w:customStyle="1" w:styleId="VoetnoottekstChar">
    <w:name w:val="Voetnoottekst Char"/>
    <w:basedOn w:val="Standaardalinea-lettertype"/>
    <w:link w:val="Voetnoottekst"/>
    <w:uiPriority w:val="99"/>
    <w:semiHidden/>
    <w:rsid w:val="00B87C3A"/>
    <w:rPr>
      <w:rFonts w:ascii="Verdana" w:eastAsia="Times New Roman" w:hAnsi="Verdana"/>
      <w:lang w:eastAsia="nl-NL"/>
    </w:rPr>
  </w:style>
  <w:style w:type="character" w:styleId="Voetnootmarkering">
    <w:name w:val="footnote reference"/>
    <w:basedOn w:val="Standaardalinea-lettertype"/>
    <w:uiPriority w:val="99"/>
    <w:semiHidden/>
    <w:unhideWhenUsed/>
    <w:rsid w:val="00B87C3A"/>
    <w:rPr>
      <w:vertAlign w:val="superscript"/>
    </w:rPr>
  </w:style>
  <w:style w:type="paragraph" w:styleId="Lijstalinea">
    <w:name w:val="List Paragraph"/>
    <w:basedOn w:val="Standaard"/>
    <w:uiPriority w:val="34"/>
    <w:qFormat/>
    <w:rsid w:val="008747B8"/>
    <w:pPr>
      <w:ind w:left="720"/>
      <w:contextualSpacing/>
    </w:pPr>
  </w:style>
  <w:style w:type="paragraph" w:styleId="Revisie">
    <w:name w:val="Revision"/>
    <w:hidden/>
    <w:uiPriority w:val="99"/>
    <w:semiHidden/>
    <w:rsid w:val="000D43CD"/>
    <w:rPr>
      <w:rFonts w:ascii="Verdana" w:eastAsia="Times New Roman" w:hAnsi="Verdana"/>
      <w:sz w:val="18"/>
      <w:lang w:eastAsia="nl-NL"/>
    </w:rPr>
  </w:style>
  <w:style w:type="character" w:styleId="Onopgelostemelding">
    <w:name w:val="Unresolved Mention"/>
    <w:basedOn w:val="Standaardalinea-lettertype"/>
    <w:uiPriority w:val="99"/>
    <w:semiHidden/>
    <w:unhideWhenUsed/>
    <w:rsid w:val="006D1211"/>
    <w:rPr>
      <w:color w:val="605E5C"/>
      <w:shd w:val="clear" w:color="auto" w:fill="E1DFDD"/>
    </w:rPr>
  </w:style>
  <w:style w:type="character" w:styleId="Verwijzingopmerking">
    <w:name w:val="annotation reference"/>
    <w:basedOn w:val="Standaardalinea-lettertype"/>
    <w:uiPriority w:val="99"/>
    <w:semiHidden/>
    <w:unhideWhenUsed/>
    <w:rsid w:val="00E310CC"/>
    <w:rPr>
      <w:sz w:val="16"/>
      <w:szCs w:val="16"/>
    </w:rPr>
  </w:style>
  <w:style w:type="paragraph" w:styleId="Tekstopmerking">
    <w:name w:val="annotation text"/>
    <w:basedOn w:val="Standaard"/>
    <w:link w:val="TekstopmerkingChar"/>
    <w:uiPriority w:val="99"/>
    <w:unhideWhenUsed/>
    <w:rsid w:val="00E310CC"/>
    <w:pPr>
      <w:spacing w:line="240" w:lineRule="auto"/>
    </w:pPr>
    <w:rPr>
      <w:sz w:val="20"/>
    </w:rPr>
  </w:style>
  <w:style w:type="character" w:customStyle="1" w:styleId="TekstopmerkingChar">
    <w:name w:val="Tekst opmerking Char"/>
    <w:basedOn w:val="Standaardalinea-lettertype"/>
    <w:link w:val="Tekstopmerking"/>
    <w:uiPriority w:val="99"/>
    <w:rsid w:val="00E310CC"/>
    <w:rPr>
      <w:rFonts w:ascii="Verdana" w:eastAsia="Times New Roman" w:hAnsi="Verdana"/>
      <w:lang w:eastAsia="nl-NL"/>
    </w:rPr>
  </w:style>
  <w:style w:type="paragraph" w:styleId="Onderwerpvanopmerking">
    <w:name w:val="annotation subject"/>
    <w:basedOn w:val="Tekstopmerking"/>
    <w:next w:val="Tekstopmerking"/>
    <w:link w:val="OnderwerpvanopmerkingChar"/>
    <w:uiPriority w:val="99"/>
    <w:semiHidden/>
    <w:unhideWhenUsed/>
    <w:rsid w:val="00E310CC"/>
    <w:rPr>
      <w:b/>
      <w:bCs/>
    </w:rPr>
  </w:style>
  <w:style w:type="character" w:customStyle="1" w:styleId="OnderwerpvanopmerkingChar">
    <w:name w:val="Onderwerp van opmerking Char"/>
    <w:basedOn w:val="TekstopmerkingChar"/>
    <w:link w:val="Onderwerpvanopmerking"/>
    <w:uiPriority w:val="99"/>
    <w:semiHidden/>
    <w:rsid w:val="00E310CC"/>
    <w:rPr>
      <w:rFonts w:ascii="Verdana" w:eastAsia="Times New Roman" w:hAnsi="Verdana"/>
      <w:b/>
      <w:bCs/>
      <w:lang w:eastAsia="nl-NL"/>
    </w:rPr>
  </w:style>
  <w:style w:type="paragraph" w:styleId="Inhopg2">
    <w:name w:val="toc 2"/>
    <w:basedOn w:val="Standaard"/>
    <w:next w:val="Standaard"/>
    <w:autoRedefine/>
    <w:uiPriority w:val="39"/>
    <w:unhideWhenUsed/>
    <w:rsid w:val="00AF693E"/>
    <w:pPr>
      <w:spacing w:after="100"/>
      <w:ind w:lef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10412">
      <w:bodyDiv w:val="1"/>
      <w:marLeft w:val="0"/>
      <w:marRight w:val="0"/>
      <w:marTop w:val="0"/>
      <w:marBottom w:val="0"/>
      <w:divBdr>
        <w:top w:val="none" w:sz="0" w:space="0" w:color="auto"/>
        <w:left w:val="none" w:sz="0" w:space="0" w:color="auto"/>
        <w:bottom w:val="none" w:sz="0" w:space="0" w:color="auto"/>
        <w:right w:val="none" w:sz="0" w:space="0" w:color="auto"/>
      </w:divBdr>
    </w:div>
    <w:div w:id="14113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2229</ap:Words>
  <ap:Characters>12263</ap:Characters>
  <ap:DocSecurity>0</ap:DocSecurity>
  <ap:Lines>102</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14464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2025-10-15T18:12:00.0000000Z</lastPrinted>
  <dcterms:created xsi:type="dcterms:W3CDTF">2025-10-17T15:42:00.0000000Z</dcterms:created>
  <dcterms:modified xsi:type="dcterms:W3CDTF">2025-10-17T15:42:00.0000000Z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2023-10-02T09:34:05Z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66c8f368-697a-4a3b-9cd3-0b86e74db88c</vt:lpwstr>
  </property>
  <property fmtid="{D5CDD505-2E9C-101B-9397-08002B2CF9AE}" pid="8" name="MSIP_Label_b2aa6e22-2c82-48c6-bf24-1790f4b9c128_ContentBits">
    <vt:lpwstr>0</vt:lpwstr>
  </property>
</Properties>
</file>