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2C2F" w:rsidP="00B32C2F" w:rsidRDefault="00B32C2F" w14:paraId="7A5669CC" w14:textId="3C8F4B4C">
      <w:bookmarkStart w:name="_Hlk206070438" w:id="0"/>
      <w:r>
        <w:t xml:space="preserve">Op 18 april jl. heeft het ministerie van Buitenlandse Zaken een nieuw algemeen ambtsbericht over Jemen opgeleverd. Dit ambtsbericht beslaat de periode van 1 september 2023 tot en met 28 februari 2025 en geeft aanleiding om het landenbeleid te wijzigen. In aanvulling hierop heeft de </w:t>
      </w:r>
      <w:r w:rsidRPr="00CA6F69">
        <w:t>Afdeling</w:t>
      </w:r>
      <w:r>
        <w:t xml:space="preserve"> bestuursrechtspraak van de Raad van State (hierna: Afdeling) een uitspraak gedaan dat het landenbeleid Jemen herzien moet worden omdat niet goed genoeg is gemotiveerd hoe en op welke manier er in de beoordeling van artikel 15, onder c van de Kwalificatierichtlijn rekening is gehouden met de humanitaire omstandigheden in Jemen. Met deze brief informeer ik u over de wijzigingen in het landenbeleid Jemen, in lijn met de informatie uit het algemeen ambtsbericht en de Afdelingsuitspraak van 16 juli jl.</w:t>
      </w:r>
      <w:r>
        <w:rPr>
          <w:rStyle w:val="Voetnootmarkering"/>
        </w:rPr>
        <w:footnoteReference w:id="1"/>
      </w:r>
      <w:r>
        <w:t xml:space="preserve"> Dit houdt in dat zowel de directe als indirecte gevolgen van het handelen en nalaten van een strijdende partij gedurende de verslagperiode op de humanitaire omstandigheden in Jemen in de huidige conflictsituatie globaal worden betrokken</w:t>
      </w:r>
      <w:r w:rsidR="002C0B82">
        <w:t xml:space="preserve"> bij de beoordeling in het kader van artikel 15c</w:t>
      </w:r>
      <w:r>
        <w:t xml:space="preserve">. </w:t>
      </w:r>
    </w:p>
    <w:p w:rsidR="00B32C2F" w:rsidP="00B32C2F" w:rsidRDefault="00B32C2F" w14:paraId="6025BFB4" w14:textId="77777777"/>
    <w:p w:rsidRPr="00AF2606" w:rsidR="00B32C2F" w:rsidP="00B32C2F" w:rsidRDefault="00B32C2F" w14:paraId="23383B54" w14:textId="77777777">
      <w:pPr>
        <w:rPr>
          <w:i/>
          <w:iCs/>
        </w:rPr>
      </w:pPr>
      <w:r w:rsidRPr="00AF2606">
        <w:rPr>
          <w:i/>
          <w:iCs/>
        </w:rPr>
        <w:t>Huidige landenbeleid Jemen</w:t>
      </w:r>
    </w:p>
    <w:p w:rsidR="00B32C2F" w:rsidP="00B32C2F" w:rsidRDefault="00B32C2F" w14:paraId="3F48BE50" w14:textId="77777777">
      <w:r>
        <w:t xml:space="preserve">In het huidige beleid wordt voor geheel Jemen aangenomen dat er sprake is van een relatief hoger niveau van willekeurig geweld zoals bedoeld in artikel 15, onder c van de Kwalificatierichtlijn. </w:t>
      </w:r>
    </w:p>
    <w:p w:rsidR="00B32C2F" w:rsidP="00B32C2F" w:rsidRDefault="00B32C2F" w14:paraId="64B9D0C3" w14:textId="77777777"/>
    <w:p w:rsidR="00B32C2F" w:rsidP="00B32C2F" w:rsidRDefault="00B32C2F" w14:paraId="478AB08A" w14:textId="77777777">
      <w:r>
        <w:t>Daarnaast zijn de volgende groepen aangemerkt als risicoprofiel:</w:t>
      </w:r>
    </w:p>
    <w:p w:rsidR="00B32C2F" w:rsidP="00B32C2F" w:rsidRDefault="00B32C2F" w14:paraId="2EA386F5" w14:textId="77777777">
      <w:pPr>
        <w:pStyle w:val="Lijstalinea"/>
        <w:numPr>
          <w:ilvl w:val="0"/>
          <w:numId w:val="7"/>
        </w:numPr>
      </w:pPr>
      <w:proofErr w:type="spellStart"/>
      <w:r>
        <w:t>Muhammasheen</w:t>
      </w:r>
      <w:proofErr w:type="spellEnd"/>
      <w:r>
        <w:t>;</w:t>
      </w:r>
    </w:p>
    <w:p w:rsidR="00B32C2F" w:rsidP="00B32C2F" w:rsidRDefault="00B32C2F" w14:paraId="527D4343" w14:textId="77777777">
      <w:pPr>
        <w:pStyle w:val="Lijstalinea"/>
        <w:numPr>
          <w:ilvl w:val="0"/>
          <w:numId w:val="7"/>
        </w:numPr>
      </w:pPr>
      <w:r>
        <w:t>Christenen;</w:t>
      </w:r>
    </w:p>
    <w:p w:rsidR="00B32C2F" w:rsidP="00B32C2F" w:rsidRDefault="00B32C2F" w14:paraId="2A8A4E83" w14:textId="77777777">
      <w:pPr>
        <w:pStyle w:val="Lijstalinea"/>
        <w:numPr>
          <w:ilvl w:val="0"/>
          <w:numId w:val="7"/>
        </w:numPr>
      </w:pPr>
      <w:r>
        <w:t>Joden;</w:t>
      </w:r>
    </w:p>
    <w:p w:rsidR="00B32C2F" w:rsidP="00B32C2F" w:rsidRDefault="00B32C2F" w14:paraId="16F2C405" w14:textId="77777777">
      <w:pPr>
        <w:pStyle w:val="Lijstalinea"/>
        <w:numPr>
          <w:ilvl w:val="0"/>
          <w:numId w:val="7"/>
        </w:numPr>
      </w:pPr>
      <w:proofErr w:type="spellStart"/>
      <w:r>
        <w:t>baha’i</w:t>
      </w:r>
      <w:proofErr w:type="spellEnd"/>
      <w:r>
        <w:t>;</w:t>
      </w:r>
    </w:p>
    <w:p w:rsidR="00B32C2F" w:rsidP="00B32C2F" w:rsidRDefault="00B32C2F" w14:paraId="7A56B1C7" w14:textId="77777777">
      <w:pPr>
        <w:pStyle w:val="Lijstalinea"/>
        <w:numPr>
          <w:ilvl w:val="0"/>
          <w:numId w:val="7"/>
        </w:numPr>
      </w:pPr>
      <w:proofErr w:type="spellStart"/>
      <w:r>
        <w:t>lhbtiq</w:t>
      </w:r>
      <w:proofErr w:type="spellEnd"/>
      <w:r>
        <w:t>+;</w:t>
      </w:r>
    </w:p>
    <w:p w:rsidR="00B32C2F" w:rsidP="00B32C2F" w:rsidRDefault="00B32C2F" w14:paraId="6AEF27CF" w14:textId="77777777">
      <w:pPr>
        <w:pStyle w:val="Lijstalinea"/>
        <w:numPr>
          <w:ilvl w:val="0"/>
          <w:numId w:val="7"/>
        </w:numPr>
      </w:pPr>
      <w:r>
        <w:t xml:space="preserve">journalisten, activisten </w:t>
      </w:r>
      <w:r w:rsidRPr="00EA3EC4">
        <w:t>en personen die actief zijn in de politiek</w:t>
      </w:r>
      <w:r>
        <w:t>; en</w:t>
      </w:r>
    </w:p>
    <w:p w:rsidR="00B32C2F" w:rsidP="00B32C2F" w:rsidRDefault="00B32C2F" w14:paraId="73D72E9A" w14:textId="77777777">
      <w:pPr>
        <w:pStyle w:val="Lijstalinea"/>
        <w:numPr>
          <w:ilvl w:val="0"/>
          <w:numId w:val="7"/>
        </w:numPr>
      </w:pPr>
      <w:r>
        <w:t>A</w:t>
      </w:r>
      <w:r w:rsidRPr="00EA3EC4">
        <w:t>lleenstaande vrouwen en vrouwen die aannemelijk hebben gemaakt te vrezen voor gender-gerelateerd geweld</w:t>
      </w:r>
      <w:r>
        <w:t>.</w:t>
      </w:r>
    </w:p>
    <w:p w:rsidR="00B32C2F" w:rsidP="00B32C2F" w:rsidRDefault="00B32C2F" w14:paraId="2123B445" w14:textId="77777777"/>
    <w:p w:rsidR="00B32C2F" w:rsidP="00B32C2F" w:rsidRDefault="00B32C2F" w14:paraId="71C78B50" w14:textId="77777777">
      <w:r>
        <w:t xml:space="preserve">Verder wordt aangenomen dat bescherming door de Jemenitische autoriteiten niet mogelijk is. Ook is in het huidige beleid opgenomen dat in het algemeen geen adequate opvang voor </w:t>
      </w:r>
      <w:proofErr w:type="spellStart"/>
      <w:r>
        <w:t>amv</w:t>
      </w:r>
      <w:proofErr w:type="spellEnd"/>
      <w:r>
        <w:t xml:space="preserve"> mogelijk is.</w:t>
      </w:r>
    </w:p>
    <w:p w:rsidR="00B32C2F" w:rsidP="00B32C2F" w:rsidRDefault="00B32C2F" w14:paraId="0F386A83" w14:textId="77777777"/>
    <w:p w:rsidR="00B32C2F" w:rsidP="00B32C2F" w:rsidRDefault="00B32C2F" w14:paraId="707E09EA" w14:textId="7553521F">
      <w:r>
        <w:t>Het huidige beleid zal ongewijzigd blijven behalve op de punten die met deze brief gewijzigd worden.</w:t>
      </w:r>
    </w:p>
    <w:p w:rsidRPr="00F2080A" w:rsidR="00B32C2F" w:rsidP="00B32C2F" w:rsidRDefault="00B32C2F" w14:paraId="2E4F5CA8" w14:textId="77777777">
      <w:pPr>
        <w:rPr>
          <w:i/>
          <w:iCs/>
        </w:rPr>
      </w:pPr>
      <w:r w:rsidRPr="00F2080A">
        <w:rPr>
          <w:i/>
          <w:iCs/>
        </w:rPr>
        <w:t>Humanitaire situatie in relatie tot vrees op willekeurig geweld</w:t>
      </w:r>
    </w:p>
    <w:p w:rsidR="00B32C2F" w:rsidP="00B32C2F" w:rsidRDefault="00B32C2F" w14:paraId="35A2732C" w14:textId="0A852DF4">
      <w:r>
        <w:t>Op 16 juli jl.</w:t>
      </w:r>
      <w:r>
        <w:rPr>
          <w:rStyle w:val="Voetnootmarkering"/>
        </w:rPr>
        <w:footnoteReference w:id="2"/>
      </w:r>
      <w:r>
        <w:t xml:space="preserve"> deed de Afdeling bestuursrechtspraak van de Raad van State (hierna: Afdeling) een uitspraak die gevolgen heeft voor het </w:t>
      </w:r>
      <w:proofErr w:type="spellStart"/>
      <w:r>
        <w:t>landgebonden</w:t>
      </w:r>
      <w:proofErr w:type="spellEnd"/>
      <w:r>
        <w:t xml:space="preserve"> asielbeleid voor Jemen. De Afdeling oordeelde dat in het huidige beleid niet goed genoeg gemotiveerd was op welke manier de humanitaire situatie in Jemen was meegewogen bij de 15c beoordeling. Hiermee heeft deze uitspraak gevolgen voor de beleidsvorming omtrent het meewegen van de humanitaire situatie in relatie tot vrees </w:t>
      </w:r>
      <w:r w:rsidR="002C0B82">
        <w:t>om slachtoffer te worden van</w:t>
      </w:r>
      <w:r>
        <w:t xml:space="preserve"> willekeurig geweld. </w:t>
      </w:r>
    </w:p>
    <w:p w:rsidR="00B32C2F" w:rsidP="00B32C2F" w:rsidRDefault="00B32C2F" w14:paraId="3429262B" w14:textId="77777777"/>
    <w:p w:rsidR="00B32C2F" w:rsidP="00B32C2F" w:rsidRDefault="00B32C2F" w14:paraId="29AA0887" w14:textId="77777777">
      <w:r>
        <w:t>EU wet- en regelgeving biedt geen concrete aanknopingspunten voor de wijze waarop de humanitaire omstandigheden betrokken dienen te worden bij de beoordeling of iemand bij terugkeer het risico loopt om slachtoffer te worden van willekeurig geweld, zoals bedoeld in artikel 15 onder c van de Kwalificatierichtlijn.</w:t>
      </w:r>
    </w:p>
    <w:p w:rsidR="00B32C2F" w:rsidP="00B32C2F" w:rsidRDefault="00B32C2F" w14:paraId="7B15F2C3" w14:textId="77777777"/>
    <w:p w:rsidRPr="00CA6F69" w:rsidR="00B32C2F" w:rsidP="00B32C2F" w:rsidRDefault="00B32C2F" w14:paraId="140F2D3C" w14:textId="77777777">
      <w:r w:rsidRPr="00CA6F69">
        <w:t xml:space="preserve">De formulering in de uitspraak van de Afdeling wijkt subtiel af van het standpunt dat tot op heden is uitgedragen. Voorheen was het uitgangspunt dat enkel de directe en doelbewuste pogingen van strijdende partijen betrokken dienen te worden bij de beoordeling van het risico op ernstige schade in de zin van artikel 15c. In lijn met de Afdelingsuitspraak zal voor Jemen echter uitvoeriger gemotiveerd worden of, en zo ja welke, humanitaire omstandigheden die het directe of het indirecte gevolg zijn van handelen en/of nalaten van een actor bij het conflict, betrokken zijn in de globale beoordeling van 15c.  </w:t>
      </w:r>
    </w:p>
    <w:p w:rsidRPr="00CA6F69" w:rsidR="00B32C2F" w:rsidP="00B32C2F" w:rsidRDefault="00B32C2F" w14:paraId="25471D28" w14:textId="77777777"/>
    <w:p w:rsidRPr="00CA6F69" w:rsidR="002C0B82" w:rsidP="002C0B82" w:rsidRDefault="002C0B82" w14:paraId="7E708973" w14:textId="6FC2F9BF">
      <w:r w:rsidRPr="00CA6F69">
        <w:t xml:space="preserve">Deze interpretatie van de wijze waarop humanitaire omstandigheden betrokken dienen te worden bij de beoordeling van 15c is ruimer geïnterpreteerd dan momenteel lijkt te volgen uit EU-recht en jurisprudentie. Daarom bestudeer ik nog nader welke gevolgen deze uitspraak heeft voor het algemene 15c beleid, zoals neergelegd in </w:t>
      </w:r>
      <w:proofErr w:type="spellStart"/>
      <w:r w:rsidRPr="00CA6F69">
        <w:t>Vc</w:t>
      </w:r>
      <w:proofErr w:type="spellEnd"/>
      <w:r w:rsidRPr="00CA6F69">
        <w:t xml:space="preserve"> C2/3.3.3.</w:t>
      </w:r>
    </w:p>
    <w:p w:rsidRPr="00CA6F69" w:rsidR="002C0B82" w:rsidP="00B32C2F" w:rsidRDefault="002C0B82" w14:paraId="61EE922F" w14:textId="77777777"/>
    <w:p w:rsidR="00B32C2F" w:rsidP="00B32C2F" w:rsidRDefault="00B32C2F" w14:paraId="34365083" w14:textId="274B247D">
      <w:r w:rsidRPr="00CA6F69">
        <w:t xml:space="preserve">In dit verband acht ik </w:t>
      </w:r>
      <w:r w:rsidRPr="00CA6F69" w:rsidR="002C0B82">
        <w:t xml:space="preserve">overigens </w:t>
      </w:r>
      <w:r w:rsidRPr="00CA6F69">
        <w:t>het van belang om te benadrukken dat slechte humanitaire omstandigheden als gevolg van bijvoorbeeld het klimaat, jarenlange slechte economie, de cumulatieve gevolgen van een reeds jarenlang voortdurend conflict of de nasleep daarvan na beëindiging niet betrokken zullen worden bij de beoordeling.</w:t>
      </w:r>
      <w:r>
        <w:t xml:space="preserve"> </w:t>
      </w:r>
    </w:p>
    <w:p w:rsidR="00B32C2F" w:rsidP="00B32C2F" w:rsidRDefault="00B32C2F" w14:paraId="4EE71001" w14:textId="77777777"/>
    <w:p w:rsidR="00B32C2F" w:rsidP="00B32C2F" w:rsidRDefault="00B32C2F" w14:paraId="115DD7C6" w14:textId="77777777">
      <w:pPr>
        <w:rPr>
          <w:i/>
          <w:iCs/>
        </w:rPr>
      </w:pPr>
      <w:r w:rsidRPr="00AA2B71">
        <w:rPr>
          <w:i/>
          <w:iCs/>
        </w:rPr>
        <w:t>Humanitaire situatie in Jemen</w:t>
      </w:r>
    </w:p>
    <w:p w:rsidRPr="003601B1" w:rsidR="00B32C2F" w:rsidP="00B32C2F" w:rsidRDefault="00B32C2F" w14:paraId="582B7F80" w14:textId="77777777">
      <w:r>
        <w:t xml:space="preserve">De humanitaire situatie in Jemen is slecht. Uit het recente ambtsbericht blijkt dat Jemen gekenmerkt wordt door armoede, voedseltekorten en honger, tribale tegenstellingen en economische malaise. Zowel de provincies die onder de invloedsferen van de internationaal erkende regering vallen als de provincies waar de </w:t>
      </w:r>
      <w:proofErr w:type="spellStart"/>
      <w:r>
        <w:t>Houthi</w:t>
      </w:r>
      <w:proofErr w:type="spellEnd"/>
      <w:r>
        <w:t>-beweging controle over heeft, kampen met een blijvend hoge voedselinstabiliteit. Dit weerhoudt de strijdende partijen echter niet om oorlogsmethoden te gebruiken die invloed hebben op de toegang tot water en voedsel. Uit de beschikbare informatie wordt duidelijk dat in sommige situatie de humanitaire situatie direct wordt beïnvloed door de gehanteerde oorlogsmethoden, maar ook dat de slechte humanitaire omstandigheden gezien moet worden in de context dat Jemen reeds voor de start van de burgeroorlog een zeer slechte humanitaire situatie kende. In de bijlage bij de beslisnota is nader uiteengezet op welke manier de humanitaire situatie wordt meegewogen in de 15c beoordeling van de verschillende provincies in Jemen.</w:t>
      </w:r>
    </w:p>
    <w:p w:rsidRPr="003601B1" w:rsidR="00B32C2F" w:rsidP="00B32C2F" w:rsidRDefault="00B32C2F" w14:paraId="17C730A9" w14:textId="77777777"/>
    <w:p w:rsidRPr="00AF2606" w:rsidR="00B32C2F" w:rsidP="00B32C2F" w:rsidRDefault="00B32C2F" w14:paraId="4FA29118" w14:textId="77777777">
      <w:pPr>
        <w:rPr>
          <w:i/>
          <w:iCs/>
        </w:rPr>
      </w:pPr>
      <w:r w:rsidRPr="00AF2606">
        <w:rPr>
          <w:i/>
          <w:iCs/>
        </w:rPr>
        <w:t>15c gradatie Jemen</w:t>
      </w:r>
    </w:p>
    <w:p w:rsidR="00B32C2F" w:rsidP="00B32C2F" w:rsidRDefault="00B32C2F" w14:paraId="2AA52D6C" w14:textId="77777777">
      <w:r>
        <w:t xml:space="preserve">Met de informatie uit het recente ambtsbericht Jemen kan het ministerie van Asiel en Migratie een betere afweging maken om per provincie te beoordelen of er sprake is van willekeurig geweld, zoals bedoeld in artikel 15 onder c van de Kwalificatierichtlijn. Hieruit blijkt dat voor de volgende provincies het reeds bestaande beleid aangaande artikel 15 onder c van de Kwalificatierichtlijn gecontinueerd wordt: </w:t>
      </w:r>
      <w:proofErr w:type="spellStart"/>
      <w:r>
        <w:t>Abyan</w:t>
      </w:r>
      <w:proofErr w:type="spellEnd"/>
      <w:r>
        <w:t xml:space="preserve">, Aden, Al </w:t>
      </w:r>
      <w:proofErr w:type="spellStart"/>
      <w:r>
        <w:t>Bayda</w:t>
      </w:r>
      <w:proofErr w:type="spellEnd"/>
      <w:r>
        <w:t xml:space="preserve">, Al </w:t>
      </w:r>
      <w:proofErr w:type="spellStart"/>
      <w:r>
        <w:t>Dhale</w:t>
      </w:r>
      <w:proofErr w:type="spellEnd"/>
      <w:r>
        <w:t xml:space="preserve">, Al </w:t>
      </w:r>
      <w:proofErr w:type="spellStart"/>
      <w:r>
        <w:t>Hudayda</w:t>
      </w:r>
      <w:proofErr w:type="spellEnd"/>
      <w:r>
        <w:t xml:space="preserve">, Al </w:t>
      </w:r>
      <w:proofErr w:type="spellStart"/>
      <w:r>
        <w:t>Jawf</w:t>
      </w:r>
      <w:proofErr w:type="spellEnd"/>
      <w:r>
        <w:t xml:space="preserve">, </w:t>
      </w:r>
      <w:proofErr w:type="spellStart"/>
      <w:r>
        <w:t>Ibb</w:t>
      </w:r>
      <w:proofErr w:type="spellEnd"/>
      <w:r>
        <w:t xml:space="preserve">, </w:t>
      </w:r>
      <w:proofErr w:type="spellStart"/>
      <w:r>
        <w:t>Lahj</w:t>
      </w:r>
      <w:proofErr w:type="spellEnd"/>
      <w:r>
        <w:t xml:space="preserve">, </w:t>
      </w:r>
      <w:proofErr w:type="spellStart"/>
      <w:r>
        <w:t>Marib</w:t>
      </w:r>
      <w:proofErr w:type="spellEnd"/>
      <w:r>
        <w:t xml:space="preserve">, </w:t>
      </w:r>
      <w:proofErr w:type="spellStart"/>
      <w:r>
        <w:t>Sa’da</w:t>
      </w:r>
      <w:proofErr w:type="spellEnd"/>
      <w:r>
        <w:t xml:space="preserve">, </w:t>
      </w:r>
      <w:proofErr w:type="spellStart"/>
      <w:r>
        <w:t>Sana’a</w:t>
      </w:r>
      <w:proofErr w:type="spellEnd"/>
      <w:r>
        <w:t xml:space="preserve"> (stad), </w:t>
      </w:r>
      <w:proofErr w:type="spellStart"/>
      <w:r>
        <w:t>Sana’a</w:t>
      </w:r>
      <w:proofErr w:type="spellEnd"/>
      <w:r>
        <w:t xml:space="preserve"> (provincie), </w:t>
      </w:r>
      <w:proofErr w:type="spellStart"/>
      <w:r>
        <w:t>Shabwa</w:t>
      </w:r>
      <w:proofErr w:type="spellEnd"/>
      <w:r>
        <w:t xml:space="preserve"> en </w:t>
      </w:r>
      <w:proofErr w:type="spellStart"/>
      <w:r>
        <w:t>Taiz</w:t>
      </w:r>
      <w:proofErr w:type="spellEnd"/>
      <w:r>
        <w:t>.</w:t>
      </w:r>
    </w:p>
    <w:p w:rsidR="00B32C2F" w:rsidP="00B32C2F" w:rsidRDefault="00B32C2F" w14:paraId="1DCC4AB3" w14:textId="77777777"/>
    <w:p w:rsidR="00B32C2F" w:rsidP="00B32C2F" w:rsidRDefault="00B32C2F" w14:paraId="415A6CED" w14:textId="77777777">
      <w:r>
        <w:t xml:space="preserve">Voor de volgende provincies wordt aangenomen dat er sprake is van een relatief lager niveau van willekeurig geweld zoals bedoeld in artikel 15 onder c van de Kwalificatierichtlijn: Al </w:t>
      </w:r>
      <w:proofErr w:type="spellStart"/>
      <w:r>
        <w:t>Mahwit</w:t>
      </w:r>
      <w:proofErr w:type="spellEnd"/>
      <w:r>
        <w:t xml:space="preserve">, </w:t>
      </w:r>
      <w:proofErr w:type="spellStart"/>
      <w:r>
        <w:t>Amran</w:t>
      </w:r>
      <w:proofErr w:type="spellEnd"/>
      <w:r>
        <w:t xml:space="preserve">, </w:t>
      </w:r>
      <w:proofErr w:type="spellStart"/>
      <w:r>
        <w:t>Dhamar</w:t>
      </w:r>
      <w:proofErr w:type="spellEnd"/>
      <w:r>
        <w:t xml:space="preserve">, </w:t>
      </w:r>
      <w:proofErr w:type="spellStart"/>
      <w:r>
        <w:t>Hajjah</w:t>
      </w:r>
      <w:proofErr w:type="spellEnd"/>
      <w:r>
        <w:t xml:space="preserve"> en </w:t>
      </w:r>
      <w:proofErr w:type="spellStart"/>
      <w:r>
        <w:t>Raymah</w:t>
      </w:r>
      <w:proofErr w:type="spellEnd"/>
      <w:r>
        <w:t>.</w:t>
      </w:r>
    </w:p>
    <w:p w:rsidR="00B32C2F" w:rsidP="00B32C2F" w:rsidRDefault="00B32C2F" w14:paraId="451186E8" w14:textId="77777777"/>
    <w:p w:rsidR="00B32C2F" w:rsidP="00B32C2F" w:rsidRDefault="00B32C2F" w14:paraId="4C713EB5" w14:textId="77777777">
      <w:r w:rsidRPr="008D2950">
        <w:t xml:space="preserve">Voor de provincies Al </w:t>
      </w:r>
      <w:proofErr w:type="spellStart"/>
      <w:r w:rsidRPr="008D2950">
        <w:t>Mahra</w:t>
      </w:r>
      <w:proofErr w:type="spellEnd"/>
      <w:r w:rsidRPr="008D2950">
        <w:t xml:space="preserve">, Hadramaut en </w:t>
      </w:r>
      <w:proofErr w:type="spellStart"/>
      <w:r w:rsidRPr="008D2950">
        <w:t>S</w:t>
      </w:r>
      <w:r>
        <w:t>ocotra</w:t>
      </w:r>
      <w:proofErr w:type="spellEnd"/>
      <w:r>
        <w:t xml:space="preserve"> wordt aangenomen dat er geen sprake is van een situatie zoals bedoeld in artikel 15 onder c van de Kwalificatierichtlijn.</w:t>
      </w:r>
    </w:p>
    <w:p w:rsidR="00B32C2F" w:rsidP="00B32C2F" w:rsidRDefault="00B32C2F" w14:paraId="2F7F8A16" w14:textId="77777777">
      <w:pPr>
        <w:rPr>
          <w:i/>
          <w:iCs/>
        </w:rPr>
      </w:pPr>
    </w:p>
    <w:p w:rsidRPr="00AF2606" w:rsidR="00B32C2F" w:rsidP="00B32C2F" w:rsidRDefault="00B32C2F" w14:paraId="4AE129C9" w14:textId="77777777">
      <w:pPr>
        <w:rPr>
          <w:i/>
          <w:iCs/>
        </w:rPr>
      </w:pPr>
      <w:r w:rsidRPr="00AF2606">
        <w:rPr>
          <w:i/>
          <w:iCs/>
        </w:rPr>
        <w:t>Risicoprofielen</w:t>
      </w:r>
    </w:p>
    <w:p w:rsidR="00B32C2F" w:rsidP="00B32C2F" w:rsidRDefault="00B32C2F" w14:paraId="3B0CDBE9" w14:textId="77777777">
      <w:r>
        <w:t xml:space="preserve">Verder blijkt uit de beschikbare informatie dat er voor Joden niet langer sprake is van een structurele wijze waarop zij in de negatieve aandacht staan. Voorts blijkt dat niet langer voldoende personen het Joodse geloof belijden in Jemen om voor joden als groep een </w:t>
      </w:r>
      <w:r w:rsidRPr="000F5E3B">
        <w:t xml:space="preserve">risicoprofiel aan te nemen. </w:t>
      </w:r>
      <w:r>
        <w:t xml:space="preserve">Indien er een Jemenitische asielzoeker om bescherming vraag vanwege zijn Joodse geloof dan zal deze zaak uiteraard beoordeeld worden indachtige de informatie uit het ambtsbericht. </w:t>
      </w:r>
      <w:r w:rsidRPr="000F5E3B">
        <w:t xml:space="preserve">Voor de overige groepen die nu als risicoprofiel worden aangemerkt, is de situatie </w:t>
      </w:r>
      <w:r>
        <w:t>ongewijzigd. Het beleid ten aanzien van hen wordt derhalve niet gewijzigd.</w:t>
      </w:r>
    </w:p>
    <w:p w:rsidR="00B32C2F" w:rsidP="00B32C2F" w:rsidRDefault="00B32C2F" w14:paraId="775D55F4" w14:textId="77777777"/>
    <w:p w:rsidRPr="00AF2606" w:rsidR="00B32C2F" w:rsidP="00B32C2F" w:rsidRDefault="00B32C2F" w14:paraId="52B76973" w14:textId="77777777">
      <w:pPr>
        <w:rPr>
          <w:i/>
          <w:iCs/>
        </w:rPr>
      </w:pPr>
      <w:r w:rsidRPr="00AF2606">
        <w:rPr>
          <w:i/>
          <w:iCs/>
        </w:rPr>
        <w:t>Bescherming</w:t>
      </w:r>
      <w:r>
        <w:rPr>
          <w:i/>
          <w:iCs/>
        </w:rPr>
        <w:t xml:space="preserve"> door de autoriteiten</w:t>
      </w:r>
    </w:p>
    <w:p w:rsidR="00B32C2F" w:rsidP="00B32C2F" w:rsidRDefault="00B32C2F" w14:paraId="61554BB3" w14:textId="77777777">
      <w:r>
        <w:t xml:space="preserve">Blijkens het ambtsbericht heeft er geen verbetering plaatsgevonden wat betreft de mogelijkheid tot het verkrijgen van bescherming door de autoriteiten. Daarom continueer ik het beleid dat bescherming door de Jemenitische autoriteiten niet mogelijk is. </w:t>
      </w:r>
    </w:p>
    <w:p w:rsidR="00B32C2F" w:rsidP="00B32C2F" w:rsidRDefault="00B32C2F" w14:paraId="2045F396" w14:textId="77777777"/>
    <w:p w:rsidRPr="001B44BC" w:rsidR="00B32C2F" w:rsidP="00B32C2F" w:rsidRDefault="00B32C2F" w14:paraId="369E8800" w14:textId="77777777">
      <w:pPr>
        <w:rPr>
          <w:i/>
          <w:iCs/>
        </w:rPr>
      </w:pPr>
      <w:r w:rsidRPr="001B44BC">
        <w:rPr>
          <w:i/>
          <w:iCs/>
        </w:rPr>
        <w:t>Beschermingsalternatief</w:t>
      </w:r>
    </w:p>
    <w:p w:rsidR="00B32C2F" w:rsidP="00B32C2F" w:rsidRDefault="00B32C2F" w14:paraId="7AD43EEA" w14:textId="77777777">
      <w:r>
        <w:t xml:space="preserve">Met betrekking tot het beschermingsalternatief blijkt uit het ambtsbericht dat Jemenitische burgers vanuit Nederland op een veilige en wettige wijze kunnen reizen naar de provincies waar geen sprake is van een situatie zoals bedoeld in artikel 15c. Daarom heb ik besloten om voor vreemdelingen afkomstig uit de provincies: </w:t>
      </w:r>
      <w:proofErr w:type="spellStart"/>
      <w:r>
        <w:t>Abyan</w:t>
      </w:r>
      <w:proofErr w:type="spellEnd"/>
      <w:r>
        <w:t xml:space="preserve">, Aden, Al </w:t>
      </w:r>
      <w:proofErr w:type="spellStart"/>
      <w:r>
        <w:t>Bayda</w:t>
      </w:r>
      <w:proofErr w:type="spellEnd"/>
      <w:r>
        <w:t xml:space="preserve">, Al </w:t>
      </w:r>
      <w:proofErr w:type="spellStart"/>
      <w:r>
        <w:t>Dhale</w:t>
      </w:r>
      <w:proofErr w:type="spellEnd"/>
      <w:r>
        <w:t xml:space="preserve">, Al </w:t>
      </w:r>
      <w:proofErr w:type="spellStart"/>
      <w:r>
        <w:t>Hudayda</w:t>
      </w:r>
      <w:proofErr w:type="spellEnd"/>
      <w:r>
        <w:t xml:space="preserve">, Al </w:t>
      </w:r>
      <w:proofErr w:type="spellStart"/>
      <w:r>
        <w:t>Jawf</w:t>
      </w:r>
      <w:proofErr w:type="spellEnd"/>
      <w:r>
        <w:t xml:space="preserve">, </w:t>
      </w:r>
      <w:proofErr w:type="spellStart"/>
      <w:r>
        <w:t>Ibb</w:t>
      </w:r>
      <w:proofErr w:type="spellEnd"/>
      <w:r>
        <w:t xml:space="preserve">, </w:t>
      </w:r>
      <w:proofErr w:type="spellStart"/>
      <w:r>
        <w:t>Lahj</w:t>
      </w:r>
      <w:proofErr w:type="spellEnd"/>
      <w:r>
        <w:t xml:space="preserve">, </w:t>
      </w:r>
      <w:proofErr w:type="spellStart"/>
      <w:r>
        <w:t>Marib</w:t>
      </w:r>
      <w:proofErr w:type="spellEnd"/>
      <w:r>
        <w:t xml:space="preserve">, </w:t>
      </w:r>
      <w:proofErr w:type="spellStart"/>
      <w:r>
        <w:t>Sa’da</w:t>
      </w:r>
      <w:proofErr w:type="spellEnd"/>
      <w:r>
        <w:t xml:space="preserve">, </w:t>
      </w:r>
      <w:proofErr w:type="spellStart"/>
      <w:r>
        <w:t>Sana’a</w:t>
      </w:r>
      <w:proofErr w:type="spellEnd"/>
      <w:r>
        <w:t xml:space="preserve"> (stad), </w:t>
      </w:r>
      <w:proofErr w:type="spellStart"/>
      <w:r>
        <w:t>Sana’a</w:t>
      </w:r>
      <w:proofErr w:type="spellEnd"/>
      <w:r>
        <w:t xml:space="preserve"> (provincie), </w:t>
      </w:r>
      <w:proofErr w:type="spellStart"/>
      <w:r>
        <w:t>Shabwa</w:t>
      </w:r>
      <w:proofErr w:type="spellEnd"/>
      <w:r>
        <w:t xml:space="preserve">, </w:t>
      </w:r>
      <w:proofErr w:type="spellStart"/>
      <w:r>
        <w:t>Taiz</w:t>
      </w:r>
      <w:proofErr w:type="spellEnd"/>
      <w:r>
        <w:t xml:space="preserve">, Al </w:t>
      </w:r>
      <w:proofErr w:type="spellStart"/>
      <w:r>
        <w:t>Mahwit</w:t>
      </w:r>
      <w:proofErr w:type="spellEnd"/>
      <w:r>
        <w:t xml:space="preserve">, </w:t>
      </w:r>
      <w:proofErr w:type="spellStart"/>
      <w:r>
        <w:t>Amran</w:t>
      </w:r>
      <w:proofErr w:type="spellEnd"/>
      <w:r>
        <w:t xml:space="preserve">, </w:t>
      </w:r>
      <w:proofErr w:type="spellStart"/>
      <w:r>
        <w:t>Dhamar</w:t>
      </w:r>
      <w:proofErr w:type="spellEnd"/>
      <w:r>
        <w:t xml:space="preserve">, </w:t>
      </w:r>
      <w:proofErr w:type="spellStart"/>
      <w:r>
        <w:t>Hajjah</w:t>
      </w:r>
      <w:proofErr w:type="spellEnd"/>
      <w:r>
        <w:t xml:space="preserve"> en </w:t>
      </w:r>
      <w:proofErr w:type="spellStart"/>
      <w:r>
        <w:t>Raymah</w:t>
      </w:r>
      <w:proofErr w:type="spellEnd"/>
      <w:r>
        <w:t xml:space="preserve"> en die een reëel risico lopen op ernstige schade vanwege de uitzonderlijke veiligheidssituatie, in beginsel aan te nemen dat er een beschermingsalternatief is in Al </w:t>
      </w:r>
      <w:proofErr w:type="spellStart"/>
      <w:r>
        <w:t>Mahra</w:t>
      </w:r>
      <w:proofErr w:type="spellEnd"/>
      <w:r>
        <w:t xml:space="preserve"> en Hadramaut. Deze beoordeling vindt plaats op basis van de individuele omstandigheden.</w:t>
      </w:r>
    </w:p>
    <w:p w:rsidR="00B32C2F" w:rsidP="00B32C2F" w:rsidRDefault="00B32C2F" w14:paraId="3B7E8BD2" w14:textId="77777777"/>
    <w:p w:rsidR="00CA6F69" w:rsidP="00B32C2F" w:rsidRDefault="00CA6F69" w14:paraId="1BFE94D1" w14:textId="77777777">
      <w:pPr>
        <w:rPr>
          <w:i/>
          <w:iCs/>
        </w:rPr>
      </w:pPr>
    </w:p>
    <w:p w:rsidRPr="001756C3" w:rsidR="00B32C2F" w:rsidP="00B32C2F" w:rsidRDefault="00B32C2F" w14:paraId="00C6D807" w14:textId="6A641175">
      <w:pPr>
        <w:rPr>
          <w:i/>
          <w:iCs/>
        </w:rPr>
      </w:pPr>
      <w:r w:rsidRPr="001756C3">
        <w:rPr>
          <w:i/>
          <w:iCs/>
        </w:rPr>
        <w:t>Adequate opvang</w:t>
      </w:r>
    </w:p>
    <w:p w:rsidRPr="008D2950" w:rsidR="00B32C2F" w:rsidP="00B32C2F" w:rsidRDefault="00B32C2F" w14:paraId="675A24C3" w14:textId="77777777">
      <w:r>
        <w:t xml:space="preserve">Ook continueer ik het beleid wat betreft de mogelijkheid tot adequate opvang voor </w:t>
      </w:r>
      <w:proofErr w:type="spellStart"/>
      <w:r>
        <w:t>amv</w:t>
      </w:r>
      <w:proofErr w:type="spellEnd"/>
      <w:r>
        <w:t xml:space="preserve">. Om het beleid meer in lijn te brengen met overig landenbeleid pas ik de tekst in de Vreemdelingencirculaire aan. Er wordt niet aangenomen dat adequate opvang voor </w:t>
      </w:r>
      <w:proofErr w:type="spellStart"/>
      <w:r>
        <w:t>amv</w:t>
      </w:r>
      <w:proofErr w:type="spellEnd"/>
      <w:r>
        <w:t xml:space="preserve"> mogelijk is, tenzij in een voorkomend geval – na onderzoek -  kan worden vastgesteld dat adequate opvang beschikbaar is en kan worden gerealiseerd.</w:t>
      </w:r>
    </w:p>
    <w:p w:rsidRPr="00103370" w:rsidR="00C1327D" w:rsidP="00C1327D" w:rsidRDefault="00C1327D" w14:paraId="14B9D648" w14:textId="77777777"/>
    <w:p w:rsidRPr="00103370" w:rsidR="00C1327D" w:rsidP="00C1327D" w:rsidRDefault="00C1327D" w14:paraId="385E3D65" w14:textId="77777777"/>
    <w:p w:rsidRPr="00103370" w:rsidR="00C1327D" w:rsidP="00C1327D" w:rsidRDefault="00C1327D" w14:paraId="1266147D" w14:textId="77777777">
      <w:r w:rsidRPr="00103370">
        <w:t xml:space="preserve">De Minister van Asiel en Migratie, </w:t>
      </w:r>
    </w:p>
    <w:p w:rsidRPr="00103370" w:rsidR="00C1327D" w:rsidP="00C1327D" w:rsidRDefault="00C1327D" w14:paraId="712CB176" w14:textId="77777777"/>
    <w:p w:rsidR="00C1327D" w:rsidP="00C1327D" w:rsidRDefault="00C1327D" w14:paraId="4E3FFE0D" w14:textId="77777777"/>
    <w:p w:rsidR="00CA6F69" w:rsidP="00C1327D" w:rsidRDefault="00CA6F69" w14:paraId="0F42B2CC" w14:textId="77777777"/>
    <w:p w:rsidRPr="00103370" w:rsidR="00CA6F69" w:rsidP="00C1327D" w:rsidRDefault="00CA6F69" w14:paraId="1348E07B" w14:textId="77777777"/>
    <w:bookmarkEnd w:id="0"/>
    <w:p w:rsidRPr="00103370" w:rsidR="00C1327D" w:rsidP="00C1327D" w:rsidRDefault="00C1327D" w14:paraId="08021CE8" w14:textId="77777777">
      <w:r>
        <w:t>D.M. van Weel</w:t>
      </w:r>
    </w:p>
    <w:p w:rsidRPr="00C1327D" w:rsidR="006205B3" w:rsidP="00C1327D" w:rsidRDefault="006205B3" w14:paraId="0774803D" w14:textId="4219F6AD"/>
    <w:sectPr w:rsidRPr="00C1327D" w:rsidR="006205B3">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08D95" w14:textId="77777777" w:rsidR="00FA4AA8" w:rsidRDefault="00FA4AA8">
      <w:pPr>
        <w:spacing w:line="240" w:lineRule="auto"/>
      </w:pPr>
      <w:r>
        <w:separator/>
      </w:r>
    </w:p>
  </w:endnote>
  <w:endnote w:type="continuationSeparator" w:id="0">
    <w:p w14:paraId="50488D54" w14:textId="77777777" w:rsidR="00FA4AA8" w:rsidRDefault="00FA4A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5F5FC" w14:textId="77777777" w:rsidR="00FA4AA8" w:rsidRDefault="00FA4AA8">
      <w:pPr>
        <w:spacing w:line="240" w:lineRule="auto"/>
      </w:pPr>
      <w:r>
        <w:separator/>
      </w:r>
    </w:p>
  </w:footnote>
  <w:footnote w:type="continuationSeparator" w:id="0">
    <w:p w14:paraId="175AE221" w14:textId="77777777" w:rsidR="00FA4AA8" w:rsidRDefault="00FA4AA8">
      <w:pPr>
        <w:spacing w:line="240" w:lineRule="auto"/>
      </w:pPr>
      <w:r>
        <w:continuationSeparator/>
      </w:r>
    </w:p>
  </w:footnote>
  <w:footnote w:id="1">
    <w:p w14:paraId="08412ABB" w14:textId="77777777" w:rsidR="00B32C2F" w:rsidRPr="001B44BC" w:rsidRDefault="00B32C2F" w:rsidP="00B32C2F">
      <w:pPr>
        <w:pStyle w:val="Voetnoottekst"/>
        <w:rPr>
          <w:sz w:val="16"/>
          <w:szCs w:val="16"/>
        </w:rPr>
      </w:pPr>
      <w:r w:rsidRPr="001B44BC">
        <w:rPr>
          <w:rStyle w:val="Voetnootmarkering"/>
          <w:sz w:val="16"/>
          <w:szCs w:val="16"/>
        </w:rPr>
        <w:footnoteRef/>
      </w:r>
      <w:r w:rsidRPr="001B44BC">
        <w:rPr>
          <w:sz w:val="16"/>
          <w:szCs w:val="16"/>
        </w:rPr>
        <w:t xml:space="preserve"> </w:t>
      </w:r>
      <w:hyperlink r:id="rId1" w:history="1">
        <w:r w:rsidRPr="00C968B8">
          <w:rPr>
            <w:rStyle w:val="Hyperlink"/>
            <w:sz w:val="16"/>
            <w:szCs w:val="16"/>
          </w:rPr>
          <w:t>https://www.raadvanstate.nl/uitspraken/@152243/202407906-1-v2/</w:t>
        </w:r>
      </w:hyperlink>
      <w:r>
        <w:rPr>
          <w:sz w:val="16"/>
          <w:szCs w:val="16"/>
        </w:rPr>
        <w:t xml:space="preserve"> </w:t>
      </w:r>
    </w:p>
  </w:footnote>
  <w:footnote w:id="2">
    <w:p w14:paraId="4710F75D" w14:textId="77777777" w:rsidR="00B32C2F" w:rsidRPr="00F2080A" w:rsidRDefault="00B32C2F" w:rsidP="00B32C2F">
      <w:pPr>
        <w:pStyle w:val="Voetnoottekst"/>
        <w:rPr>
          <w:lang w:val="es-ES"/>
        </w:rPr>
      </w:pPr>
      <w:r w:rsidRPr="00F2080A">
        <w:rPr>
          <w:rStyle w:val="Voetnootmarkering"/>
          <w:sz w:val="16"/>
          <w:szCs w:val="16"/>
        </w:rPr>
        <w:footnoteRef/>
      </w:r>
      <w:r w:rsidRPr="00F2080A">
        <w:rPr>
          <w:sz w:val="16"/>
          <w:szCs w:val="16"/>
          <w:lang w:val="es-ES"/>
        </w:rPr>
        <w:t xml:space="preserve"> ECLI:NL:RVS:2025:3153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C9AA" w14:textId="77777777" w:rsidR="009E7E67" w:rsidRDefault="00A263C7">
    <w:r>
      <w:rPr>
        <w:noProof/>
      </w:rPr>
      <mc:AlternateContent>
        <mc:Choice Requires="wps">
          <w:drawing>
            <wp:anchor distT="0" distB="0" distL="0" distR="0" simplePos="0" relativeHeight="251652096" behindDoc="0" locked="1" layoutInCell="1" allowOverlap="1" wp14:anchorId="4444561E" wp14:editId="0CA89910">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2689D1F" w14:textId="77777777" w:rsidR="000D2698" w:rsidRDefault="000D2698"/>
                      </w:txbxContent>
                    </wps:txbx>
                    <wps:bodyPr vert="horz" wrap="square" lIns="0" tIns="0" rIns="0" bIns="0" anchor="t" anchorCtr="0"/>
                  </wps:wsp>
                </a:graphicData>
              </a:graphic>
            </wp:anchor>
          </w:drawing>
        </mc:Choice>
        <mc:Fallback>
          <w:pict>
            <v:shapetype w14:anchorId="4444561E"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2689D1F" w14:textId="77777777" w:rsidR="000D2698" w:rsidRDefault="000D2698"/>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B04BE53" wp14:editId="7CD8B76F">
              <wp:simplePos x="0" y="0"/>
              <wp:positionH relativeFrom="page">
                <wp:posOffset>5914390</wp:posOffset>
              </wp:positionH>
              <wp:positionV relativeFrom="margin">
                <wp:align>top</wp:align>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99D5E49" w14:textId="77777777" w:rsidR="009E7E67" w:rsidRDefault="00A263C7">
                          <w:pPr>
                            <w:pStyle w:val="Referentiegegevensbold"/>
                          </w:pPr>
                          <w:r>
                            <w:t>Directoraat-Generaal Migratie</w:t>
                          </w:r>
                        </w:p>
                        <w:p w14:paraId="0536EBA4" w14:textId="77777777" w:rsidR="009E7E67" w:rsidRDefault="00A263C7">
                          <w:pPr>
                            <w:pStyle w:val="Referentiegegevens"/>
                          </w:pPr>
                          <w:r>
                            <w:t>Directie Migratiebeleid</w:t>
                          </w:r>
                        </w:p>
                        <w:p w14:paraId="26FAB33E" w14:textId="77777777" w:rsidR="009E7E67" w:rsidRDefault="00A263C7">
                          <w:pPr>
                            <w:pStyle w:val="Referentiegegevens"/>
                          </w:pPr>
                          <w:r>
                            <w:t>Asiel, Opvang en Terugkeer</w:t>
                          </w:r>
                        </w:p>
                        <w:p w14:paraId="7ABB21FE" w14:textId="77777777" w:rsidR="009E7E67" w:rsidRDefault="009E7E67">
                          <w:pPr>
                            <w:pStyle w:val="WitregelW2"/>
                          </w:pPr>
                        </w:p>
                        <w:p w14:paraId="7814109F" w14:textId="77777777" w:rsidR="009E7E67" w:rsidRDefault="00A263C7">
                          <w:pPr>
                            <w:pStyle w:val="Referentiegegevensbold"/>
                          </w:pPr>
                          <w:r>
                            <w:t>Datum</w:t>
                          </w:r>
                        </w:p>
                        <w:p w14:paraId="34CE8DA3" w14:textId="677F104C" w:rsidR="009E7E67" w:rsidRDefault="00FA4AA8">
                          <w:pPr>
                            <w:pStyle w:val="Referentiegegevens"/>
                          </w:pPr>
                          <w:sdt>
                            <w:sdtPr>
                              <w:id w:val="-900750170"/>
                              <w:date w:fullDate="2025-10-08T00:00:00Z">
                                <w:dateFormat w:val="d MMMM yyyy"/>
                                <w:lid w:val="nl"/>
                                <w:storeMappedDataAs w:val="dateTime"/>
                                <w:calendar w:val="gregorian"/>
                              </w:date>
                            </w:sdtPr>
                            <w:sdtEndPr/>
                            <w:sdtContent>
                              <w:r w:rsidR="00CA6F69">
                                <w:rPr>
                                  <w:lang w:val="nl"/>
                                </w:rPr>
                                <w:t>8 oktober 2025</w:t>
                              </w:r>
                            </w:sdtContent>
                          </w:sdt>
                        </w:p>
                        <w:p w14:paraId="731C7303" w14:textId="77777777" w:rsidR="009E7E67" w:rsidRDefault="009E7E67">
                          <w:pPr>
                            <w:pStyle w:val="WitregelW1"/>
                          </w:pPr>
                        </w:p>
                        <w:p w14:paraId="25754143" w14:textId="77777777" w:rsidR="009E7E67" w:rsidRDefault="00A263C7">
                          <w:pPr>
                            <w:pStyle w:val="Referentiegegevensbold"/>
                          </w:pPr>
                          <w:r>
                            <w:t>Onze referentie</w:t>
                          </w:r>
                        </w:p>
                        <w:p w14:paraId="1E5574E5" w14:textId="77777777" w:rsidR="009E7E67" w:rsidRDefault="00A263C7">
                          <w:pPr>
                            <w:pStyle w:val="Referentiegegevens"/>
                          </w:pPr>
                          <w:r>
                            <w:t>6339169</w:t>
                          </w:r>
                        </w:p>
                      </w:txbxContent>
                    </wps:txbx>
                    <wps:bodyPr vert="horz" wrap="square" lIns="0" tIns="0" rIns="0" bIns="0" anchor="t" anchorCtr="0"/>
                  </wps:wsp>
                </a:graphicData>
              </a:graphic>
            </wp:anchor>
          </w:drawing>
        </mc:Choice>
        <mc:Fallback>
          <w:pict>
            <v:shape w14:anchorId="3B04BE53" id="46fef022-aa3c-11ea-a756-beb5f67e67be" o:spid="_x0000_s1027" type="#_x0000_t202" style="position:absolute;margin-left:465.7pt;margin-top:0;width:100.6pt;height:630.7pt;z-index:251653120;visibility:visible;mso-wrap-style:square;mso-wrap-distance-left:0;mso-wrap-distance-top:0;mso-wrap-distance-right:0;mso-wrap-distance-bottom:0;mso-position-horizontal:absolute;mso-position-horizontal-relative:page;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" filled="f" stroked="f">
              <v:textbox inset="0,0,0,0">
                <w:txbxContent>
                  <w:p w14:paraId="599D5E49" w14:textId="77777777" w:rsidR="009E7E67" w:rsidRDefault="00A263C7">
                    <w:pPr>
                      <w:pStyle w:val="Referentiegegevensbold"/>
                    </w:pPr>
                    <w:r>
                      <w:t>Directoraat-Generaal Migratie</w:t>
                    </w:r>
                  </w:p>
                  <w:p w14:paraId="0536EBA4" w14:textId="77777777" w:rsidR="009E7E67" w:rsidRDefault="00A263C7">
                    <w:pPr>
                      <w:pStyle w:val="Referentiegegevens"/>
                    </w:pPr>
                    <w:r>
                      <w:t>Directie Migratiebeleid</w:t>
                    </w:r>
                  </w:p>
                  <w:p w14:paraId="26FAB33E" w14:textId="77777777" w:rsidR="009E7E67" w:rsidRDefault="00A263C7">
                    <w:pPr>
                      <w:pStyle w:val="Referentiegegevens"/>
                    </w:pPr>
                    <w:r>
                      <w:t>Asiel, Opvang en Terugkeer</w:t>
                    </w:r>
                  </w:p>
                  <w:p w14:paraId="7ABB21FE" w14:textId="77777777" w:rsidR="009E7E67" w:rsidRDefault="009E7E67">
                    <w:pPr>
                      <w:pStyle w:val="WitregelW2"/>
                    </w:pPr>
                  </w:p>
                  <w:p w14:paraId="7814109F" w14:textId="77777777" w:rsidR="009E7E67" w:rsidRDefault="00A263C7">
                    <w:pPr>
                      <w:pStyle w:val="Referentiegegevensbold"/>
                    </w:pPr>
                    <w:r>
                      <w:t>Datum</w:t>
                    </w:r>
                  </w:p>
                  <w:p w14:paraId="34CE8DA3" w14:textId="677F104C" w:rsidR="009E7E67" w:rsidRDefault="00FA4AA8">
                    <w:pPr>
                      <w:pStyle w:val="Referentiegegevens"/>
                    </w:pPr>
                    <w:sdt>
                      <w:sdtPr>
                        <w:id w:val="-900750170"/>
                        <w:date w:fullDate="2025-10-08T00:00:00Z">
                          <w:dateFormat w:val="d MMMM yyyy"/>
                          <w:lid w:val="nl"/>
                          <w:storeMappedDataAs w:val="dateTime"/>
                          <w:calendar w:val="gregorian"/>
                        </w:date>
                      </w:sdtPr>
                      <w:sdtEndPr/>
                      <w:sdtContent>
                        <w:r w:rsidR="00CA6F69">
                          <w:rPr>
                            <w:lang w:val="nl"/>
                          </w:rPr>
                          <w:t>8 oktober 2025</w:t>
                        </w:r>
                      </w:sdtContent>
                    </w:sdt>
                  </w:p>
                  <w:p w14:paraId="731C7303" w14:textId="77777777" w:rsidR="009E7E67" w:rsidRDefault="009E7E67">
                    <w:pPr>
                      <w:pStyle w:val="WitregelW1"/>
                    </w:pPr>
                  </w:p>
                  <w:p w14:paraId="25754143" w14:textId="77777777" w:rsidR="009E7E67" w:rsidRDefault="00A263C7">
                    <w:pPr>
                      <w:pStyle w:val="Referentiegegevensbold"/>
                    </w:pPr>
                    <w:r>
                      <w:t>Onze referentie</w:t>
                    </w:r>
                  </w:p>
                  <w:p w14:paraId="1E5574E5" w14:textId="77777777" w:rsidR="009E7E67" w:rsidRDefault="00A263C7">
                    <w:pPr>
                      <w:pStyle w:val="Referentiegegevens"/>
                    </w:pPr>
                    <w:r>
                      <w:t>6339169</w:t>
                    </w:r>
                  </w:p>
                </w:txbxContent>
              </v:textbox>
              <w10:wrap anchorx="page" anchory="margin"/>
              <w10:anchorlock/>
            </v:shape>
          </w:pict>
        </mc:Fallback>
      </mc:AlternateContent>
    </w:r>
    <w:r>
      <w:rPr>
        <w:noProof/>
      </w:rPr>
      <mc:AlternateContent>
        <mc:Choice Requires="wps">
          <w:drawing>
            <wp:anchor distT="0" distB="0" distL="0" distR="0" simplePos="0" relativeHeight="251654144" behindDoc="0" locked="1" layoutInCell="1" allowOverlap="1" wp14:anchorId="4B408B94" wp14:editId="06377E7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98C19EC" w14:textId="77777777" w:rsidR="000D2698" w:rsidRDefault="000D2698"/>
                      </w:txbxContent>
                    </wps:txbx>
                    <wps:bodyPr vert="horz" wrap="square" lIns="0" tIns="0" rIns="0" bIns="0" anchor="t" anchorCtr="0"/>
                  </wps:wsp>
                </a:graphicData>
              </a:graphic>
            </wp:anchor>
          </w:drawing>
        </mc:Choice>
        <mc:Fallback>
          <w:pict>
            <v:shape w14:anchorId="4B408B94"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98C19EC" w14:textId="77777777" w:rsidR="000D2698" w:rsidRDefault="000D2698"/>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9FA6814" wp14:editId="3677957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8D24EBD" w14:textId="36EE0684" w:rsidR="009E7E67" w:rsidRDefault="00A263C7">
                          <w:pPr>
                            <w:pStyle w:val="Referentiegegevens"/>
                          </w:pPr>
                          <w:r>
                            <w:t xml:space="preserve">Pagina </w:t>
                          </w:r>
                          <w:r>
                            <w:fldChar w:fldCharType="begin"/>
                          </w:r>
                          <w:r>
                            <w:instrText>PAGE</w:instrText>
                          </w:r>
                          <w:r>
                            <w:fldChar w:fldCharType="separate"/>
                          </w:r>
                          <w:r w:rsidR="00C46387">
                            <w:rPr>
                              <w:noProof/>
                            </w:rPr>
                            <w:t>2</w:t>
                          </w:r>
                          <w:r>
                            <w:fldChar w:fldCharType="end"/>
                          </w:r>
                          <w:r>
                            <w:t xml:space="preserve"> van </w:t>
                          </w:r>
                          <w:r>
                            <w:fldChar w:fldCharType="begin"/>
                          </w:r>
                          <w:r>
                            <w:instrText>NUMPAGES</w:instrText>
                          </w:r>
                          <w:r>
                            <w:fldChar w:fldCharType="separate"/>
                          </w:r>
                          <w:r w:rsidR="00C46387">
                            <w:rPr>
                              <w:noProof/>
                            </w:rPr>
                            <w:t>2</w:t>
                          </w:r>
                          <w:r>
                            <w:fldChar w:fldCharType="end"/>
                          </w:r>
                        </w:p>
                      </w:txbxContent>
                    </wps:txbx>
                    <wps:bodyPr vert="horz" wrap="square" lIns="0" tIns="0" rIns="0" bIns="0" anchor="t" anchorCtr="0"/>
                  </wps:wsp>
                </a:graphicData>
              </a:graphic>
            </wp:anchor>
          </w:drawing>
        </mc:Choice>
        <mc:Fallback>
          <w:pict>
            <v:shape w14:anchorId="19FA6814"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8D24EBD" w14:textId="36EE0684" w:rsidR="009E7E67" w:rsidRDefault="00A263C7">
                    <w:pPr>
                      <w:pStyle w:val="Referentiegegevens"/>
                    </w:pPr>
                    <w:r>
                      <w:t xml:space="preserve">Pagina </w:t>
                    </w:r>
                    <w:r>
                      <w:fldChar w:fldCharType="begin"/>
                    </w:r>
                    <w:r>
                      <w:instrText>PAGE</w:instrText>
                    </w:r>
                    <w:r>
                      <w:fldChar w:fldCharType="separate"/>
                    </w:r>
                    <w:r w:rsidR="00C46387">
                      <w:rPr>
                        <w:noProof/>
                      </w:rPr>
                      <w:t>2</w:t>
                    </w:r>
                    <w:r>
                      <w:fldChar w:fldCharType="end"/>
                    </w:r>
                    <w:r>
                      <w:t xml:space="preserve"> van </w:t>
                    </w:r>
                    <w:r>
                      <w:fldChar w:fldCharType="begin"/>
                    </w:r>
                    <w:r>
                      <w:instrText>NUMPAGES</w:instrText>
                    </w:r>
                    <w:r>
                      <w:fldChar w:fldCharType="separate"/>
                    </w:r>
                    <w:r w:rsidR="00C46387">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6956" w14:textId="77777777" w:rsidR="009E7E67" w:rsidRDefault="00A263C7">
    <w:pPr>
      <w:spacing w:after="6377" w:line="14" w:lineRule="exact"/>
    </w:pPr>
    <w:r>
      <w:rPr>
        <w:noProof/>
      </w:rPr>
      <mc:AlternateContent>
        <mc:Choice Requires="wps">
          <w:drawing>
            <wp:anchor distT="0" distB="0" distL="0" distR="0" simplePos="0" relativeHeight="251656192" behindDoc="0" locked="1" layoutInCell="1" allowOverlap="1" wp14:anchorId="24AECE87" wp14:editId="6135DD05">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FF97145" w14:textId="77777777" w:rsidR="009E7E67" w:rsidRDefault="00A263C7">
                          <w:pPr>
                            <w:spacing w:line="240" w:lineRule="auto"/>
                          </w:pPr>
                          <w:r>
                            <w:rPr>
                              <w:noProof/>
                            </w:rPr>
                            <w:drawing>
                              <wp:inline distT="0" distB="0" distL="0" distR="0" wp14:anchorId="18C630CB" wp14:editId="064A9B8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4AECE87"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FF97145" w14:textId="77777777" w:rsidR="009E7E67" w:rsidRDefault="00A263C7">
                    <w:pPr>
                      <w:spacing w:line="240" w:lineRule="auto"/>
                    </w:pPr>
                    <w:r>
                      <w:rPr>
                        <w:noProof/>
                      </w:rPr>
                      <w:drawing>
                        <wp:inline distT="0" distB="0" distL="0" distR="0" wp14:anchorId="18C630CB" wp14:editId="064A9B8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A6CE9B2" wp14:editId="6F4E4C8B">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3901B26" w14:textId="77777777" w:rsidR="009E7E67" w:rsidRDefault="00A263C7">
                          <w:pPr>
                            <w:spacing w:line="240" w:lineRule="auto"/>
                          </w:pPr>
                          <w:r>
                            <w:rPr>
                              <w:noProof/>
                            </w:rPr>
                            <w:drawing>
                              <wp:inline distT="0" distB="0" distL="0" distR="0" wp14:anchorId="773CBA2B" wp14:editId="6FBEEBB2">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A6CE9B2"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3901B26" w14:textId="77777777" w:rsidR="009E7E67" w:rsidRDefault="00A263C7">
                    <w:pPr>
                      <w:spacing w:line="240" w:lineRule="auto"/>
                    </w:pPr>
                    <w:r>
                      <w:rPr>
                        <w:noProof/>
                      </w:rPr>
                      <w:drawing>
                        <wp:inline distT="0" distB="0" distL="0" distR="0" wp14:anchorId="773CBA2B" wp14:editId="6FBEEBB2">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9DB6C81" wp14:editId="61DE5C04">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32E64EE" w14:textId="77777777" w:rsidR="009E7E67" w:rsidRDefault="00A263C7">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29DB6C81"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32E64EE" w14:textId="77777777" w:rsidR="009E7E67" w:rsidRDefault="00A263C7">
                    <w:pPr>
                      <w:pStyle w:val="Referentiegegevens"/>
                    </w:pPr>
                    <w:r>
                      <w:t>&gt; Retouradres Postbus 20011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A7CE669" wp14:editId="14A025A3">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885AB2F" w14:textId="66D8A951" w:rsidR="009E7E67" w:rsidRDefault="006205B3">
                          <w:r>
                            <w:t>Aan de Voorzitter van de Tweede Kamer</w:t>
                          </w:r>
                        </w:p>
                        <w:p w14:paraId="45A79D0E" w14:textId="7788DA9E" w:rsidR="006205B3" w:rsidRDefault="006205B3">
                          <w:r>
                            <w:t>der Staten-Generaal</w:t>
                          </w:r>
                        </w:p>
                        <w:p w14:paraId="7695368A" w14:textId="65746C34" w:rsidR="006205B3" w:rsidRDefault="006205B3">
                          <w:r>
                            <w:t>Postbus 20018</w:t>
                          </w:r>
                        </w:p>
                        <w:p w14:paraId="32D1AFD9" w14:textId="37021B28" w:rsidR="006205B3" w:rsidRDefault="006205B3">
                          <w:r>
                            <w:t>2500 EA  DEN HAAG</w:t>
                          </w:r>
                        </w:p>
                      </w:txbxContent>
                    </wps:txbx>
                    <wps:bodyPr vert="horz" wrap="square" lIns="0" tIns="0" rIns="0" bIns="0" anchor="t" anchorCtr="0"/>
                  </wps:wsp>
                </a:graphicData>
              </a:graphic>
            </wp:anchor>
          </w:drawing>
        </mc:Choice>
        <mc:Fallback>
          <w:pict>
            <v:shape w14:anchorId="2A7CE669"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885AB2F" w14:textId="66D8A951" w:rsidR="009E7E67" w:rsidRDefault="006205B3">
                    <w:r>
                      <w:t>Aan de Voorzitter van de Tweede Kamer</w:t>
                    </w:r>
                  </w:p>
                  <w:p w14:paraId="45A79D0E" w14:textId="7788DA9E" w:rsidR="006205B3" w:rsidRDefault="006205B3">
                    <w:r>
                      <w:t>der Staten-Generaal</w:t>
                    </w:r>
                  </w:p>
                  <w:p w14:paraId="7695368A" w14:textId="65746C34" w:rsidR="006205B3" w:rsidRDefault="006205B3">
                    <w:r>
                      <w:t>Postbus 20018</w:t>
                    </w:r>
                  </w:p>
                  <w:p w14:paraId="32D1AFD9" w14:textId="37021B28" w:rsidR="006205B3" w:rsidRDefault="006205B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ED0895F" wp14:editId="0132F355">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E7E67" w14:paraId="2FD92F52" w14:textId="77777777">
                            <w:trPr>
                              <w:trHeight w:val="240"/>
                            </w:trPr>
                            <w:tc>
                              <w:tcPr>
                                <w:tcW w:w="1140" w:type="dxa"/>
                              </w:tcPr>
                              <w:p w14:paraId="67CD9833" w14:textId="77777777" w:rsidR="009E7E67" w:rsidRDefault="00A263C7">
                                <w:r>
                                  <w:t>Datum</w:t>
                                </w:r>
                              </w:p>
                            </w:tc>
                            <w:tc>
                              <w:tcPr>
                                <w:tcW w:w="5918" w:type="dxa"/>
                              </w:tcPr>
                              <w:p w14:paraId="5554C367" w14:textId="49BF4995" w:rsidR="009E7E67" w:rsidRDefault="00FA4AA8">
                                <w:sdt>
                                  <w:sdtPr>
                                    <w:id w:val="-840616996"/>
                                    <w:date w:fullDate="2025-10-08T00:00:00Z">
                                      <w:dateFormat w:val="d MMMM yyyy"/>
                                      <w:lid w:val="nl"/>
                                      <w:storeMappedDataAs w:val="dateTime"/>
                                      <w:calendar w:val="gregorian"/>
                                    </w:date>
                                  </w:sdtPr>
                                  <w:sdtEndPr/>
                                  <w:sdtContent>
                                    <w:r w:rsidR="00CA6F69">
                                      <w:rPr>
                                        <w:lang w:val="nl"/>
                                      </w:rPr>
                                      <w:t>8 oktober 2025</w:t>
                                    </w:r>
                                  </w:sdtContent>
                                </w:sdt>
                              </w:p>
                            </w:tc>
                          </w:tr>
                          <w:tr w:rsidR="009E7E67" w14:paraId="2BEF65A6" w14:textId="77777777">
                            <w:trPr>
                              <w:trHeight w:val="240"/>
                            </w:trPr>
                            <w:tc>
                              <w:tcPr>
                                <w:tcW w:w="1140" w:type="dxa"/>
                              </w:tcPr>
                              <w:p w14:paraId="39F91BA8" w14:textId="77777777" w:rsidR="009E7E67" w:rsidRDefault="00A263C7">
                                <w:r>
                                  <w:t>Betreft</w:t>
                                </w:r>
                              </w:p>
                            </w:tc>
                            <w:tc>
                              <w:tcPr>
                                <w:tcW w:w="5918" w:type="dxa"/>
                              </w:tcPr>
                              <w:p w14:paraId="24A6BEB8" w14:textId="77777777" w:rsidR="009E7E67" w:rsidRDefault="00A263C7">
                                <w:r>
                                  <w:t>Landenbeleid Jemen</w:t>
                                </w:r>
                              </w:p>
                            </w:tc>
                          </w:tr>
                        </w:tbl>
                        <w:p w14:paraId="1A1B4BC0" w14:textId="77777777" w:rsidR="000D2698" w:rsidRDefault="000D2698"/>
                      </w:txbxContent>
                    </wps:txbx>
                    <wps:bodyPr vert="horz" wrap="square" lIns="0" tIns="0" rIns="0" bIns="0" anchor="t" anchorCtr="0"/>
                  </wps:wsp>
                </a:graphicData>
              </a:graphic>
            </wp:anchor>
          </w:drawing>
        </mc:Choice>
        <mc:Fallback>
          <w:pict>
            <v:shape w14:anchorId="5ED0895F"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E7E67" w14:paraId="2FD92F52" w14:textId="77777777">
                      <w:trPr>
                        <w:trHeight w:val="240"/>
                      </w:trPr>
                      <w:tc>
                        <w:tcPr>
                          <w:tcW w:w="1140" w:type="dxa"/>
                        </w:tcPr>
                        <w:p w14:paraId="67CD9833" w14:textId="77777777" w:rsidR="009E7E67" w:rsidRDefault="00A263C7">
                          <w:r>
                            <w:t>Datum</w:t>
                          </w:r>
                        </w:p>
                      </w:tc>
                      <w:tc>
                        <w:tcPr>
                          <w:tcW w:w="5918" w:type="dxa"/>
                        </w:tcPr>
                        <w:p w14:paraId="5554C367" w14:textId="49BF4995" w:rsidR="009E7E67" w:rsidRDefault="00FA4AA8">
                          <w:sdt>
                            <w:sdtPr>
                              <w:id w:val="-840616996"/>
                              <w:date w:fullDate="2025-10-08T00:00:00Z">
                                <w:dateFormat w:val="d MMMM yyyy"/>
                                <w:lid w:val="nl"/>
                                <w:storeMappedDataAs w:val="dateTime"/>
                                <w:calendar w:val="gregorian"/>
                              </w:date>
                            </w:sdtPr>
                            <w:sdtEndPr/>
                            <w:sdtContent>
                              <w:r w:rsidR="00CA6F69">
                                <w:rPr>
                                  <w:lang w:val="nl"/>
                                </w:rPr>
                                <w:t>8 oktober 2025</w:t>
                              </w:r>
                            </w:sdtContent>
                          </w:sdt>
                        </w:p>
                      </w:tc>
                    </w:tr>
                    <w:tr w:rsidR="009E7E67" w14:paraId="2BEF65A6" w14:textId="77777777">
                      <w:trPr>
                        <w:trHeight w:val="240"/>
                      </w:trPr>
                      <w:tc>
                        <w:tcPr>
                          <w:tcW w:w="1140" w:type="dxa"/>
                        </w:tcPr>
                        <w:p w14:paraId="39F91BA8" w14:textId="77777777" w:rsidR="009E7E67" w:rsidRDefault="00A263C7">
                          <w:r>
                            <w:t>Betreft</w:t>
                          </w:r>
                        </w:p>
                      </w:tc>
                      <w:tc>
                        <w:tcPr>
                          <w:tcW w:w="5918" w:type="dxa"/>
                        </w:tcPr>
                        <w:p w14:paraId="24A6BEB8" w14:textId="77777777" w:rsidR="009E7E67" w:rsidRDefault="00A263C7">
                          <w:r>
                            <w:t>Landenbeleid Jemen</w:t>
                          </w:r>
                        </w:p>
                      </w:tc>
                    </w:tr>
                  </w:tbl>
                  <w:p w14:paraId="1A1B4BC0" w14:textId="77777777" w:rsidR="000D2698" w:rsidRDefault="000D2698"/>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AADB3FC" wp14:editId="14DE958E">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FD1ADBD" w14:textId="77777777" w:rsidR="009E7E67" w:rsidRDefault="00A263C7">
                          <w:pPr>
                            <w:pStyle w:val="Referentiegegevensbold"/>
                          </w:pPr>
                          <w:r>
                            <w:t>Directoraat-Generaal Migratie</w:t>
                          </w:r>
                        </w:p>
                        <w:p w14:paraId="6A02F65D" w14:textId="77777777" w:rsidR="009E7E67" w:rsidRDefault="00A263C7">
                          <w:pPr>
                            <w:pStyle w:val="Referentiegegevens"/>
                          </w:pPr>
                          <w:r>
                            <w:t>Directie Migratiebeleid</w:t>
                          </w:r>
                        </w:p>
                        <w:p w14:paraId="0EB22B4D" w14:textId="77777777" w:rsidR="009E7E67" w:rsidRDefault="00A263C7">
                          <w:pPr>
                            <w:pStyle w:val="Referentiegegevens"/>
                          </w:pPr>
                          <w:r>
                            <w:t>Asiel, Opvang en Terugkeer</w:t>
                          </w:r>
                        </w:p>
                        <w:p w14:paraId="6433D075" w14:textId="77777777" w:rsidR="009E7E67" w:rsidRDefault="009E7E67">
                          <w:pPr>
                            <w:pStyle w:val="WitregelW1"/>
                          </w:pPr>
                        </w:p>
                        <w:p w14:paraId="32D10E24" w14:textId="77777777" w:rsidR="009E7E67" w:rsidRPr="00103370" w:rsidRDefault="00A263C7">
                          <w:pPr>
                            <w:pStyle w:val="Referentiegegevens"/>
                            <w:rPr>
                              <w:lang w:val="de-DE"/>
                            </w:rPr>
                          </w:pPr>
                          <w:proofErr w:type="spellStart"/>
                          <w:r w:rsidRPr="00103370">
                            <w:rPr>
                              <w:lang w:val="de-DE"/>
                            </w:rPr>
                            <w:t>Turfmarkt</w:t>
                          </w:r>
                          <w:proofErr w:type="spellEnd"/>
                          <w:r w:rsidRPr="00103370">
                            <w:rPr>
                              <w:lang w:val="de-DE"/>
                            </w:rPr>
                            <w:t xml:space="preserve"> 147</w:t>
                          </w:r>
                        </w:p>
                        <w:p w14:paraId="19185BAA" w14:textId="77777777" w:rsidR="009E7E67" w:rsidRPr="00103370" w:rsidRDefault="00A263C7">
                          <w:pPr>
                            <w:pStyle w:val="Referentiegegevens"/>
                            <w:rPr>
                              <w:lang w:val="de-DE"/>
                            </w:rPr>
                          </w:pPr>
                          <w:r w:rsidRPr="00103370">
                            <w:rPr>
                              <w:lang w:val="de-DE"/>
                            </w:rPr>
                            <w:t>2511 DP   Den Haag</w:t>
                          </w:r>
                        </w:p>
                        <w:p w14:paraId="56814167" w14:textId="77777777" w:rsidR="009E7E67" w:rsidRPr="00103370" w:rsidRDefault="00A263C7">
                          <w:pPr>
                            <w:pStyle w:val="Referentiegegevens"/>
                            <w:rPr>
                              <w:lang w:val="de-DE"/>
                            </w:rPr>
                          </w:pPr>
                          <w:r w:rsidRPr="00103370">
                            <w:rPr>
                              <w:lang w:val="de-DE"/>
                            </w:rPr>
                            <w:t>Postbus 20011</w:t>
                          </w:r>
                        </w:p>
                        <w:p w14:paraId="37B6F28C" w14:textId="77777777" w:rsidR="009E7E67" w:rsidRPr="00103370" w:rsidRDefault="00A263C7">
                          <w:pPr>
                            <w:pStyle w:val="Referentiegegevens"/>
                            <w:rPr>
                              <w:lang w:val="de-DE"/>
                            </w:rPr>
                          </w:pPr>
                          <w:r w:rsidRPr="00103370">
                            <w:rPr>
                              <w:lang w:val="de-DE"/>
                            </w:rPr>
                            <w:t>2500 EH   Den Haag</w:t>
                          </w:r>
                        </w:p>
                        <w:p w14:paraId="0083AE71" w14:textId="77777777" w:rsidR="009E7E67" w:rsidRPr="00103370" w:rsidRDefault="00A263C7">
                          <w:pPr>
                            <w:pStyle w:val="Referentiegegevens"/>
                            <w:rPr>
                              <w:lang w:val="de-DE"/>
                            </w:rPr>
                          </w:pPr>
                          <w:r w:rsidRPr="00103370">
                            <w:rPr>
                              <w:lang w:val="de-DE"/>
                            </w:rPr>
                            <w:t>www.rijksoverheid.nl/jenv</w:t>
                          </w:r>
                        </w:p>
                        <w:p w14:paraId="56C7E6C3" w14:textId="77777777" w:rsidR="009E7E67" w:rsidRPr="00103370" w:rsidRDefault="009E7E67">
                          <w:pPr>
                            <w:pStyle w:val="WitregelW1"/>
                            <w:rPr>
                              <w:lang w:val="de-DE"/>
                            </w:rPr>
                          </w:pPr>
                        </w:p>
                        <w:p w14:paraId="66EF323B" w14:textId="77777777" w:rsidR="009E7E67" w:rsidRPr="00103370" w:rsidRDefault="009E7E67">
                          <w:pPr>
                            <w:pStyle w:val="WitregelW2"/>
                            <w:rPr>
                              <w:lang w:val="de-DE"/>
                            </w:rPr>
                          </w:pPr>
                        </w:p>
                        <w:p w14:paraId="0166ED8F" w14:textId="77777777" w:rsidR="009E7E67" w:rsidRDefault="00A263C7">
                          <w:pPr>
                            <w:pStyle w:val="Referentiegegevensbold"/>
                          </w:pPr>
                          <w:r>
                            <w:t>Onze referentie</w:t>
                          </w:r>
                        </w:p>
                        <w:p w14:paraId="64B43E8B" w14:textId="77777777" w:rsidR="009E7E67" w:rsidRDefault="00A263C7">
                          <w:pPr>
                            <w:pStyle w:val="Referentiegegevens"/>
                          </w:pPr>
                          <w:r>
                            <w:t>6339169</w:t>
                          </w:r>
                        </w:p>
                        <w:p w14:paraId="7A97CCAD" w14:textId="77777777" w:rsidR="00CA6F69" w:rsidRDefault="00CA6F69" w:rsidP="00CA6F69"/>
                        <w:p w14:paraId="4285D393" w14:textId="10ACE320" w:rsidR="00CA6F69" w:rsidRPr="00CA6F69" w:rsidRDefault="00CA6F69" w:rsidP="00CA6F69">
                          <w:pPr>
                            <w:rPr>
                              <w:b/>
                              <w:bCs/>
                              <w:sz w:val="13"/>
                              <w:szCs w:val="13"/>
                            </w:rPr>
                          </w:pPr>
                          <w:r w:rsidRPr="00CA6F69">
                            <w:rPr>
                              <w:b/>
                              <w:bCs/>
                              <w:sz w:val="13"/>
                              <w:szCs w:val="13"/>
                            </w:rPr>
                            <w:t>Bijlagen</w:t>
                          </w:r>
                        </w:p>
                        <w:p w14:paraId="78F101CC" w14:textId="5391F487" w:rsidR="00CA6F69" w:rsidRPr="00CA6F69" w:rsidRDefault="00CA6F69" w:rsidP="00CA6F69">
                          <w:pPr>
                            <w:rPr>
                              <w:sz w:val="13"/>
                              <w:szCs w:val="13"/>
                            </w:rPr>
                          </w:pPr>
                          <w:r w:rsidRPr="00CA6F69">
                            <w:rPr>
                              <w:sz w:val="13"/>
                              <w:szCs w:val="13"/>
                            </w:rPr>
                            <w:t>1</w:t>
                          </w:r>
                        </w:p>
                      </w:txbxContent>
                    </wps:txbx>
                    <wps:bodyPr vert="horz" wrap="square" lIns="0" tIns="0" rIns="0" bIns="0" anchor="t" anchorCtr="0"/>
                  </wps:wsp>
                </a:graphicData>
              </a:graphic>
            </wp:anchor>
          </w:drawing>
        </mc:Choice>
        <mc:Fallback>
          <w:pict>
            <v:shape w14:anchorId="1AADB3FC"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FD1ADBD" w14:textId="77777777" w:rsidR="009E7E67" w:rsidRDefault="00A263C7">
                    <w:pPr>
                      <w:pStyle w:val="Referentiegegevensbold"/>
                    </w:pPr>
                    <w:r>
                      <w:t>Directoraat-Generaal Migratie</w:t>
                    </w:r>
                  </w:p>
                  <w:p w14:paraId="6A02F65D" w14:textId="77777777" w:rsidR="009E7E67" w:rsidRDefault="00A263C7">
                    <w:pPr>
                      <w:pStyle w:val="Referentiegegevens"/>
                    </w:pPr>
                    <w:r>
                      <w:t>Directie Migratiebeleid</w:t>
                    </w:r>
                  </w:p>
                  <w:p w14:paraId="0EB22B4D" w14:textId="77777777" w:rsidR="009E7E67" w:rsidRDefault="00A263C7">
                    <w:pPr>
                      <w:pStyle w:val="Referentiegegevens"/>
                    </w:pPr>
                    <w:r>
                      <w:t>Asiel, Opvang en Terugkeer</w:t>
                    </w:r>
                  </w:p>
                  <w:p w14:paraId="6433D075" w14:textId="77777777" w:rsidR="009E7E67" w:rsidRDefault="009E7E67">
                    <w:pPr>
                      <w:pStyle w:val="WitregelW1"/>
                    </w:pPr>
                  </w:p>
                  <w:p w14:paraId="32D10E24" w14:textId="77777777" w:rsidR="009E7E67" w:rsidRPr="00103370" w:rsidRDefault="00A263C7">
                    <w:pPr>
                      <w:pStyle w:val="Referentiegegevens"/>
                      <w:rPr>
                        <w:lang w:val="de-DE"/>
                      </w:rPr>
                    </w:pPr>
                    <w:proofErr w:type="spellStart"/>
                    <w:r w:rsidRPr="00103370">
                      <w:rPr>
                        <w:lang w:val="de-DE"/>
                      </w:rPr>
                      <w:t>Turfmarkt</w:t>
                    </w:r>
                    <w:proofErr w:type="spellEnd"/>
                    <w:r w:rsidRPr="00103370">
                      <w:rPr>
                        <w:lang w:val="de-DE"/>
                      </w:rPr>
                      <w:t xml:space="preserve"> 147</w:t>
                    </w:r>
                  </w:p>
                  <w:p w14:paraId="19185BAA" w14:textId="77777777" w:rsidR="009E7E67" w:rsidRPr="00103370" w:rsidRDefault="00A263C7">
                    <w:pPr>
                      <w:pStyle w:val="Referentiegegevens"/>
                      <w:rPr>
                        <w:lang w:val="de-DE"/>
                      </w:rPr>
                    </w:pPr>
                    <w:r w:rsidRPr="00103370">
                      <w:rPr>
                        <w:lang w:val="de-DE"/>
                      </w:rPr>
                      <w:t>2511 DP   Den Haag</w:t>
                    </w:r>
                  </w:p>
                  <w:p w14:paraId="56814167" w14:textId="77777777" w:rsidR="009E7E67" w:rsidRPr="00103370" w:rsidRDefault="00A263C7">
                    <w:pPr>
                      <w:pStyle w:val="Referentiegegevens"/>
                      <w:rPr>
                        <w:lang w:val="de-DE"/>
                      </w:rPr>
                    </w:pPr>
                    <w:r w:rsidRPr="00103370">
                      <w:rPr>
                        <w:lang w:val="de-DE"/>
                      </w:rPr>
                      <w:t>Postbus 20011</w:t>
                    </w:r>
                  </w:p>
                  <w:p w14:paraId="37B6F28C" w14:textId="77777777" w:rsidR="009E7E67" w:rsidRPr="00103370" w:rsidRDefault="00A263C7">
                    <w:pPr>
                      <w:pStyle w:val="Referentiegegevens"/>
                      <w:rPr>
                        <w:lang w:val="de-DE"/>
                      </w:rPr>
                    </w:pPr>
                    <w:r w:rsidRPr="00103370">
                      <w:rPr>
                        <w:lang w:val="de-DE"/>
                      </w:rPr>
                      <w:t>2500 EH   Den Haag</w:t>
                    </w:r>
                  </w:p>
                  <w:p w14:paraId="0083AE71" w14:textId="77777777" w:rsidR="009E7E67" w:rsidRPr="00103370" w:rsidRDefault="00A263C7">
                    <w:pPr>
                      <w:pStyle w:val="Referentiegegevens"/>
                      <w:rPr>
                        <w:lang w:val="de-DE"/>
                      </w:rPr>
                    </w:pPr>
                    <w:r w:rsidRPr="00103370">
                      <w:rPr>
                        <w:lang w:val="de-DE"/>
                      </w:rPr>
                      <w:t>www.rijksoverheid.nl/jenv</w:t>
                    </w:r>
                  </w:p>
                  <w:p w14:paraId="56C7E6C3" w14:textId="77777777" w:rsidR="009E7E67" w:rsidRPr="00103370" w:rsidRDefault="009E7E67">
                    <w:pPr>
                      <w:pStyle w:val="WitregelW1"/>
                      <w:rPr>
                        <w:lang w:val="de-DE"/>
                      </w:rPr>
                    </w:pPr>
                  </w:p>
                  <w:p w14:paraId="66EF323B" w14:textId="77777777" w:rsidR="009E7E67" w:rsidRPr="00103370" w:rsidRDefault="009E7E67">
                    <w:pPr>
                      <w:pStyle w:val="WitregelW2"/>
                      <w:rPr>
                        <w:lang w:val="de-DE"/>
                      </w:rPr>
                    </w:pPr>
                  </w:p>
                  <w:p w14:paraId="0166ED8F" w14:textId="77777777" w:rsidR="009E7E67" w:rsidRDefault="00A263C7">
                    <w:pPr>
                      <w:pStyle w:val="Referentiegegevensbold"/>
                    </w:pPr>
                    <w:r>
                      <w:t>Onze referentie</w:t>
                    </w:r>
                  </w:p>
                  <w:p w14:paraId="64B43E8B" w14:textId="77777777" w:rsidR="009E7E67" w:rsidRDefault="00A263C7">
                    <w:pPr>
                      <w:pStyle w:val="Referentiegegevens"/>
                    </w:pPr>
                    <w:r>
                      <w:t>6339169</w:t>
                    </w:r>
                  </w:p>
                  <w:p w14:paraId="7A97CCAD" w14:textId="77777777" w:rsidR="00CA6F69" w:rsidRDefault="00CA6F69" w:rsidP="00CA6F69"/>
                  <w:p w14:paraId="4285D393" w14:textId="10ACE320" w:rsidR="00CA6F69" w:rsidRPr="00CA6F69" w:rsidRDefault="00CA6F69" w:rsidP="00CA6F69">
                    <w:pPr>
                      <w:rPr>
                        <w:b/>
                        <w:bCs/>
                        <w:sz w:val="13"/>
                        <w:szCs w:val="13"/>
                      </w:rPr>
                    </w:pPr>
                    <w:r w:rsidRPr="00CA6F69">
                      <w:rPr>
                        <w:b/>
                        <w:bCs/>
                        <w:sz w:val="13"/>
                        <w:szCs w:val="13"/>
                      </w:rPr>
                      <w:t>Bijlagen</w:t>
                    </w:r>
                  </w:p>
                  <w:p w14:paraId="78F101CC" w14:textId="5391F487" w:rsidR="00CA6F69" w:rsidRPr="00CA6F69" w:rsidRDefault="00CA6F69" w:rsidP="00CA6F69">
                    <w:pPr>
                      <w:rPr>
                        <w:sz w:val="13"/>
                        <w:szCs w:val="13"/>
                      </w:rPr>
                    </w:pPr>
                    <w:r w:rsidRPr="00CA6F69">
                      <w:rPr>
                        <w:sz w:val="13"/>
                        <w:szCs w:val="13"/>
                      </w:rPr>
                      <w:t>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A1C20BF" wp14:editId="64210B66">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FECB0E8" w14:textId="77777777" w:rsidR="009E7E67" w:rsidRDefault="00A263C7">
                          <w:pPr>
                            <w:pStyle w:val="Referentiegegevens"/>
                          </w:pPr>
                          <w:r>
                            <w:t xml:space="preserve">Pagina </w:t>
                          </w:r>
                          <w:r>
                            <w:fldChar w:fldCharType="begin"/>
                          </w:r>
                          <w:r>
                            <w:instrText>PAGE</w:instrText>
                          </w:r>
                          <w:r>
                            <w:fldChar w:fldCharType="separate"/>
                          </w:r>
                          <w:r w:rsidR="006205B3">
                            <w:rPr>
                              <w:noProof/>
                            </w:rPr>
                            <w:t>1</w:t>
                          </w:r>
                          <w:r>
                            <w:fldChar w:fldCharType="end"/>
                          </w:r>
                          <w:r>
                            <w:t xml:space="preserve"> van </w:t>
                          </w:r>
                          <w:r>
                            <w:fldChar w:fldCharType="begin"/>
                          </w:r>
                          <w:r>
                            <w:instrText>NUMPAGES</w:instrText>
                          </w:r>
                          <w:r>
                            <w:fldChar w:fldCharType="separate"/>
                          </w:r>
                          <w:r w:rsidR="006205B3">
                            <w:rPr>
                              <w:noProof/>
                            </w:rPr>
                            <w:t>1</w:t>
                          </w:r>
                          <w:r>
                            <w:fldChar w:fldCharType="end"/>
                          </w:r>
                        </w:p>
                      </w:txbxContent>
                    </wps:txbx>
                    <wps:bodyPr vert="horz" wrap="square" lIns="0" tIns="0" rIns="0" bIns="0" anchor="t" anchorCtr="0"/>
                  </wps:wsp>
                </a:graphicData>
              </a:graphic>
            </wp:anchor>
          </w:drawing>
        </mc:Choice>
        <mc:Fallback>
          <w:pict>
            <v:shape w14:anchorId="3A1C20BF"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FECB0E8" w14:textId="77777777" w:rsidR="009E7E67" w:rsidRDefault="00A263C7">
                    <w:pPr>
                      <w:pStyle w:val="Referentiegegevens"/>
                    </w:pPr>
                    <w:r>
                      <w:t xml:space="preserve">Pagina </w:t>
                    </w:r>
                    <w:r>
                      <w:fldChar w:fldCharType="begin"/>
                    </w:r>
                    <w:r>
                      <w:instrText>PAGE</w:instrText>
                    </w:r>
                    <w:r>
                      <w:fldChar w:fldCharType="separate"/>
                    </w:r>
                    <w:r w:rsidR="006205B3">
                      <w:rPr>
                        <w:noProof/>
                      </w:rPr>
                      <w:t>1</w:t>
                    </w:r>
                    <w:r>
                      <w:fldChar w:fldCharType="end"/>
                    </w:r>
                    <w:r>
                      <w:t xml:space="preserve"> van </w:t>
                    </w:r>
                    <w:r>
                      <w:fldChar w:fldCharType="begin"/>
                    </w:r>
                    <w:r>
                      <w:instrText>NUMPAGES</w:instrText>
                    </w:r>
                    <w:r>
                      <w:fldChar w:fldCharType="separate"/>
                    </w:r>
                    <w:r w:rsidR="006205B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2BF3FA3" wp14:editId="5DF94C85">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BC04B1F" w14:textId="77777777" w:rsidR="000D2698" w:rsidRDefault="000D2698"/>
                      </w:txbxContent>
                    </wps:txbx>
                    <wps:bodyPr vert="horz" wrap="square" lIns="0" tIns="0" rIns="0" bIns="0" anchor="t" anchorCtr="0"/>
                  </wps:wsp>
                </a:graphicData>
              </a:graphic>
            </wp:anchor>
          </w:drawing>
        </mc:Choice>
        <mc:Fallback>
          <w:pict>
            <v:shape w14:anchorId="62BF3FA3"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BC04B1F" w14:textId="77777777" w:rsidR="000D2698" w:rsidRDefault="000D269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816515"/>
    <w:multiLevelType w:val="multilevel"/>
    <w:tmpl w:val="4217241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90E4FB1"/>
    <w:multiLevelType w:val="multilevel"/>
    <w:tmpl w:val="6045455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B2FF7B19"/>
    <w:multiLevelType w:val="multilevel"/>
    <w:tmpl w:val="E8D3B7D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3ED54A1"/>
    <w:multiLevelType w:val="hybridMultilevel"/>
    <w:tmpl w:val="8118DC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064266F"/>
    <w:multiLevelType w:val="multilevel"/>
    <w:tmpl w:val="D45E58A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93E5794"/>
    <w:multiLevelType w:val="multilevel"/>
    <w:tmpl w:val="72E006A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7E5D9065"/>
    <w:multiLevelType w:val="multilevel"/>
    <w:tmpl w:val="6411EDD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523396805">
    <w:abstractNumId w:val="1"/>
  </w:num>
  <w:num w:numId="2" w16cid:durableId="1124347340">
    <w:abstractNumId w:val="6"/>
  </w:num>
  <w:num w:numId="3" w16cid:durableId="1849369154">
    <w:abstractNumId w:val="4"/>
  </w:num>
  <w:num w:numId="4" w16cid:durableId="1813936421">
    <w:abstractNumId w:val="2"/>
  </w:num>
  <w:num w:numId="5" w16cid:durableId="2024628507">
    <w:abstractNumId w:val="5"/>
  </w:num>
  <w:num w:numId="6" w16cid:durableId="1417168657">
    <w:abstractNumId w:val="0"/>
  </w:num>
  <w:num w:numId="7" w16cid:durableId="19231777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E67"/>
    <w:rsid w:val="00040598"/>
    <w:rsid w:val="000D2698"/>
    <w:rsid w:val="000D3FB9"/>
    <w:rsid w:val="000E00FA"/>
    <w:rsid w:val="00103370"/>
    <w:rsid w:val="00123204"/>
    <w:rsid w:val="001756C3"/>
    <w:rsid w:val="00175899"/>
    <w:rsid w:val="001C1FD9"/>
    <w:rsid w:val="00227BA2"/>
    <w:rsid w:val="00251400"/>
    <w:rsid w:val="00270E54"/>
    <w:rsid w:val="002A6376"/>
    <w:rsid w:val="002B53EB"/>
    <w:rsid w:val="002C0B82"/>
    <w:rsid w:val="002C41EE"/>
    <w:rsid w:val="002D169B"/>
    <w:rsid w:val="002F2168"/>
    <w:rsid w:val="00332BE0"/>
    <w:rsid w:val="00356ACC"/>
    <w:rsid w:val="00377D57"/>
    <w:rsid w:val="003931DE"/>
    <w:rsid w:val="00425510"/>
    <w:rsid w:val="0043323A"/>
    <w:rsid w:val="0047079D"/>
    <w:rsid w:val="0047275F"/>
    <w:rsid w:val="00503991"/>
    <w:rsid w:val="0056636B"/>
    <w:rsid w:val="005947AE"/>
    <w:rsid w:val="005F63BB"/>
    <w:rsid w:val="006205B3"/>
    <w:rsid w:val="006418CA"/>
    <w:rsid w:val="00652FB0"/>
    <w:rsid w:val="00731B54"/>
    <w:rsid w:val="007B402C"/>
    <w:rsid w:val="007F1399"/>
    <w:rsid w:val="00822597"/>
    <w:rsid w:val="00835050"/>
    <w:rsid w:val="008D2950"/>
    <w:rsid w:val="009761E0"/>
    <w:rsid w:val="0098373B"/>
    <w:rsid w:val="00985AAD"/>
    <w:rsid w:val="009A33A6"/>
    <w:rsid w:val="009B698F"/>
    <w:rsid w:val="009E7E67"/>
    <w:rsid w:val="00A263C7"/>
    <w:rsid w:val="00A64AE4"/>
    <w:rsid w:val="00A814F7"/>
    <w:rsid w:val="00AC309F"/>
    <w:rsid w:val="00AE30B7"/>
    <w:rsid w:val="00AE52E3"/>
    <w:rsid w:val="00AF2606"/>
    <w:rsid w:val="00B32C2F"/>
    <w:rsid w:val="00B3502F"/>
    <w:rsid w:val="00B81A80"/>
    <w:rsid w:val="00B95F18"/>
    <w:rsid w:val="00BA202F"/>
    <w:rsid w:val="00C1327D"/>
    <w:rsid w:val="00C46387"/>
    <w:rsid w:val="00CA6F69"/>
    <w:rsid w:val="00CF3F8D"/>
    <w:rsid w:val="00D1227D"/>
    <w:rsid w:val="00D35B7A"/>
    <w:rsid w:val="00D77938"/>
    <w:rsid w:val="00D9022E"/>
    <w:rsid w:val="00DC5BA5"/>
    <w:rsid w:val="00E41EDA"/>
    <w:rsid w:val="00E86F09"/>
    <w:rsid w:val="00E95F17"/>
    <w:rsid w:val="00EA3EC4"/>
    <w:rsid w:val="00EF4C85"/>
    <w:rsid w:val="00F244A7"/>
    <w:rsid w:val="00FA4AA8"/>
    <w:rsid w:val="00FB2B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00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205B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205B3"/>
    <w:rPr>
      <w:rFonts w:ascii="Verdana" w:hAnsi="Verdana"/>
      <w:color w:val="000000"/>
      <w:sz w:val="18"/>
      <w:szCs w:val="18"/>
    </w:rPr>
  </w:style>
  <w:style w:type="character" w:styleId="Verwijzingopmerking">
    <w:name w:val="annotation reference"/>
    <w:basedOn w:val="Standaardalinea-lettertype"/>
    <w:uiPriority w:val="99"/>
    <w:semiHidden/>
    <w:unhideWhenUsed/>
    <w:rsid w:val="00A263C7"/>
    <w:rPr>
      <w:sz w:val="16"/>
      <w:szCs w:val="16"/>
    </w:rPr>
  </w:style>
  <w:style w:type="paragraph" w:styleId="Tekstopmerking">
    <w:name w:val="annotation text"/>
    <w:basedOn w:val="Standaard"/>
    <w:link w:val="TekstopmerkingChar"/>
    <w:uiPriority w:val="99"/>
    <w:unhideWhenUsed/>
    <w:rsid w:val="00A263C7"/>
    <w:pPr>
      <w:spacing w:line="240" w:lineRule="auto"/>
    </w:pPr>
    <w:rPr>
      <w:sz w:val="20"/>
      <w:szCs w:val="20"/>
    </w:rPr>
  </w:style>
  <w:style w:type="character" w:customStyle="1" w:styleId="TekstopmerkingChar">
    <w:name w:val="Tekst opmerking Char"/>
    <w:basedOn w:val="Standaardalinea-lettertype"/>
    <w:link w:val="Tekstopmerking"/>
    <w:uiPriority w:val="99"/>
    <w:rsid w:val="00A263C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263C7"/>
    <w:rPr>
      <w:b/>
      <w:bCs/>
    </w:rPr>
  </w:style>
  <w:style w:type="character" w:customStyle="1" w:styleId="OnderwerpvanopmerkingChar">
    <w:name w:val="Onderwerp van opmerking Char"/>
    <w:basedOn w:val="TekstopmerkingChar"/>
    <w:link w:val="Onderwerpvanopmerking"/>
    <w:uiPriority w:val="99"/>
    <w:semiHidden/>
    <w:rsid w:val="00A263C7"/>
    <w:rPr>
      <w:rFonts w:ascii="Verdana" w:hAnsi="Verdana"/>
      <w:b/>
      <w:bCs/>
      <w:color w:val="000000"/>
    </w:rPr>
  </w:style>
  <w:style w:type="paragraph" w:styleId="Lijstalinea">
    <w:name w:val="List Paragraph"/>
    <w:basedOn w:val="Standaard"/>
    <w:uiPriority w:val="34"/>
    <w:semiHidden/>
    <w:rsid w:val="00AF2606"/>
    <w:pPr>
      <w:ind w:left="720"/>
      <w:contextualSpacing/>
    </w:pPr>
  </w:style>
  <w:style w:type="paragraph" w:styleId="Voetnoottekst">
    <w:name w:val="footnote text"/>
    <w:basedOn w:val="Standaard"/>
    <w:link w:val="VoetnoottekstChar"/>
    <w:uiPriority w:val="99"/>
    <w:semiHidden/>
    <w:unhideWhenUsed/>
    <w:rsid w:val="00D7793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77938"/>
    <w:rPr>
      <w:rFonts w:ascii="Verdana" w:hAnsi="Verdana"/>
      <w:color w:val="000000"/>
    </w:rPr>
  </w:style>
  <w:style w:type="character" w:styleId="Voetnootmarkering">
    <w:name w:val="footnote reference"/>
    <w:basedOn w:val="Standaardalinea-lettertype"/>
    <w:uiPriority w:val="99"/>
    <w:semiHidden/>
    <w:unhideWhenUsed/>
    <w:rsid w:val="00D77938"/>
    <w:rPr>
      <w:vertAlign w:val="superscript"/>
    </w:rPr>
  </w:style>
  <w:style w:type="paragraph" w:styleId="Revisie">
    <w:name w:val="Revision"/>
    <w:hidden/>
    <w:uiPriority w:val="99"/>
    <w:semiHidden/>
    <w:rsid w:val="00E86F0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raadvanstate.nl/uitspraken/@152243/202407906-1-v2/"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1278</ap:Words>
  <ap:Characters>7030</ap:Characters>
  <ap:DocSecurity>0</ap:DocSecurity>
  <ap:Lines>58</ap:Lines>
  <ap:Paragraphs>16</ap:Paragraphs>
  <ap:ScaleCrop>false</ap:ScaleCrop>
  <ap:LinksUpToDate>false</ap:LinksUpToDate>
  <ap:CharactersWithSpaces>8292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2025-10-08T09:09:00.0000000Z</dcterms:created>
  <dcterms:modified xsi:type="dcterms:W3CDTF">2025-10-08T09:09:00.0000000Z</dcterms:modified>
  <dc:description>------------------------</dc:description>
  <dc:subject/>
  <keywords/>
  <version/>
  <category/>
</coreProperties>
</file>