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101" w:rsidRDefault="00962101" w14:paraId="36C2C591" w14:textId="77777777"/>
    <w:p w:rsidR="002572FC" w:rsidP="002572FC" w:rsidRDefault="002572FC" w14:paraId="69221F5E" w14:textId="77777777">
      <w:r>
        <w:t>Geachte he</w:t>
      </w:r>
      <w:r w:rsidR="008A6B0F">
        <w:t>er</w:t>
      </w:r>
      <w:r w:rsidR="009C1B53">
        <w:t xml:space="preserve"> </w:t>
      </w:r>
      <w:r>
        <w:t xml:space="preserve">Heijnen, </w:t>
      </w:r>
    </w:p>
    <w:p w:rsidR="002572FC" w:rsidP="002572FC" w:rsidRDefault="002572FC" w14:paraId="5D1A553A" w14:textId="77777777"/>
    <w:p w:rsidR="002572FC" w:rsidP="002572FC" w:rsidRDefault="002572FC" w14:paraId="56448A7B" w14:textId="77777777">
      <w:pPr>
        <w:autoSpaceDN/>
        <w:spacing w:after="160" w:line="259" w:lineRule="auto"/>
        <w:textAlignment w:val="auto"/>
      </w:pPr>
      <w:bookmarkStart w:name="_Hlk208315656" w:id="0"/>
      <w:r w:rsidRPr="00AB2548">
        <w:rPr>
          <w:rFonts w:eastAsia="Calibri" w:cs="Times New Roman"/>
          <w:color w:val="auto"/>
          <w:kern w:val="2"/>
          <w:szCs w:val="22"/>
          <w:lang w:eastAsia="en-US"/>
          <w14:ligatures w14:val="standardContextual"/>
        </w:rPr>
        <w:t>Met deze brief informeren we u over</w:t>
      </w:r>
      <w:r>
        <w:rPr>
          <w:rFonts w:eastAsia="Calibri" w:cs="Times New Roman"/>
          <w:color w:val="auto"/>
          <w:kern w:val="2"/>
          <w:szCs w:val="22"/>
          <w:lang w:eastAsia="en-US"/>
          <w14:ligatures w14:val="standardContextual"/>
        </w:rPr>
        <w:t xml:space="preserve"> </w:t>
      </w:r>
      <w:r w:rsidRPr="00AB2548">
        <w:rPr>
          <w:rFonts w:eastAsia="Calibri" w:cs="Times New Roman"/>
          <w:color w:val="auto"/>
          <w:kern w:val="2"/>
          <w:szCs w:val="22"/>
          <w:lang w:eastAsia="en-US"/>
          <w14:ligatures w14:val="standardContextual"/>
        </w:rPr>
        <w:t>het onderzoek van de Inspectie belastingen, toeslagen en douane (IBTD) naar rechtsbescherming van ondernemers bij geschillen over douaneheffingen.</w:t>
      </w:r>
      <w:r w:rsidRPr="00AB2548">
        <w:rPr>
          <w:rFonts w:eastAsia="Calibri" w:cs="Times New Roman"/>
          <w:color w:val="auto"/>
          <w:kern w:val="2"/>
          <w:szCs w:val="22"/>
          <w:vertAlign w:val="superscript"/>
          <w:lang w:eastAsia="en-US"/>
          <w14:ligatures w14:val="standardContextual"/>
        </w:rPr>
        <w:footnoteReference w:id="1"/>
      </w:r>
      <w:r w:rsidRPr="00AB2548">
        <w:rPr>
          <w:rFonts w:eastAsia="Calibri" w:cs="Times New Roman"/>
          <w:color w:val="auto"/>
          <w:kern w:val="2"/>
          <w:szCs w:val="22"/>
          <w:lang w:eastAsia="en-US"/>
          <w14:ligatures w14:val="standardContextual"/>
        </w:rPr>
        <w:t xml:space="preserve"> </w:t>
      </w:r>
      <w:r w:rsidRPr="0064277E">
        <w:rPr>
          <w:rFonts w:eastAsia="Calibri" w:cs="Times New Roman"/>
          <w:color w:val="auto"/>
          <w:kern w:val="2"/>
          <w:szCs w:val="22"/>
          <w:lang w:eastAsia="en-US"/>
          <w14:ligatures w14:val="standardContextual"/>
        </w:rPr>
        <w:t xml:space="preserve">In dit onderzoek staat de vraag centraal hoe de Douane hier in de praktijk invulling aan geeft en welke verbeteringen mogelijk zijn. </w:t>
      </w:r>
      <w:r>
        <w:t xml:space="preserve">Het onderzoek is nog niet afgerond, maar we zien nu wel al verbeterpunten </w:t>
      </w:r>
      <w:r w:rsidRPr="0064277E">
        <w:t>die met name verband houden met de voornemenfase (de fase v</w:t>
      </w:r>
      <w:r>
        <w:t>óó</w:t>
      </w:r>
      <w:r w:rsidRPr="0064277E">
        <w:t>r bezwaar en beroep). Het is juist in die fase dat rechtsbescherming begint, meer proactief en gericht op het voorkomen van juridische geschillen</w:t>
      </w:r>
      <w:r>
        <w:t xml:space="preserve"> op een later moment</w:t>
      </w:r>
      <w:r w:rsidRPr="0064277E">
        <w:t>.</w:t>
      </w:r>
      <w:r>
        <w:t xml:space="preserve"> Vooruitlopend op het rapport dat we in 2026 publiceren, delen we daarom nu al onze eerste bevindingen. Komende tijd, te beginnen met het</w:t>
      </w:r>
      <w:r w:rsidRPr="0064277E">
        <w:t xml:space="preserve"> Nation</w:t>
      </w:r>
      <w:r>
        <w:t>a</w:t>
      </w:r>
      <w:r w:rsidRPr="0064277E">
        <w:t>al Douanecongres</w:t>
      </w:r>
      <w:r>
        <w:t xml:space="preserve">, gaan we graag </w:t>
      </w:r>
      <w:r w:rsidRPr="0064277E">
        <w:t>op een open manier in gesprek met ondernemers</w:t>
      </w:r>
      <w:r>
        <w:rPr>
          <w:rStyle w:val="Voetnootmarkering"/>
        </w:rPr>
        <w:footnoteReference w:id="2"/>
      </w:r>
      <w:r w:rsidRPr="0064277E">
        <w:t xml:space="preserve"> en douanemedewerkers over hoe de praktische rechtsbescherming in de voornemenfase</w:t>
      </w:r>
      <w:r>
        <w:t xml:space="preserve"> het beste</w:t>
      </w:r>
      <w:r w:rsidRPr="0064277E">
        <w:t xml:space="preserve"> verder vorm en inhoud kan krijgen</w:t>
      </w:r>
      <w:r>
        <w:t>.</w:t>
      </w:r>
    </w:p>
    <w:bookmarkEnd w:id="0"/>
    <w:p w:rsidRPr="00E74BF1" w:rsidR="002572FC" w:rsidP="002572FC" w:rsidRDefault="002572FC" w14:paraId="1E81668E" w14:textId="77777777">
      <w:pPr>
        <w:autoSpaceDN/>
        <w:spacing w:after="160" w:line="259" w:lineRule="auto"/>
        <w:textAlignment w:val="auto"/>
        <w:rPr>
          <w:rFonts w:eastAsia="Calibri" w:cs="Times New Roman"/>
          <w:i/>
          <w:iCs/>
          <w:color w:val="2E74B5"/>
          <w:kern w:val="2"/>
          <w:szCs w:val="22"/>
          <w:lang w:eastAsia="en-US"/>
          <w14:ligatures w14:val="standardContextual"/>
        </w:rPr>
      </w:pPr>
      <w:r w:rsidRPr="00E74BF1">
        <w:rPr>
          <w:rFonts w:eastAsia="Calibri" w:cs="Times New Roman"/>
          <w:i/>
          <w:iCs/>
          <w:color w:val="2E74B5"/>
          <w:kern w:val="2"/>
          <w:szCs w:val="22"/>
          <w:lang w:eastAsia="en-US"/>
          <w14:ligatures w14:val="standardContextual"/>
        </w:rPr>
        <w:t>Belang van rechtsbescherming voor een gelijkwaardiger speelveld</w:t>
      </w:r>
    </w:p>
    <w:p w:rsidR="002572FC" w:rsidP="002572FC" w:rsidRDefault="002572FC" w14:paraId="65480F34" w14:textId="77777777">
      <w:pPr>
        <w:autoSpaceDN/>
        <w:spacing w:after="160" w:line="259" w:lineRule="auto"/>
        <w:textAlignment w:val="auto"/>
        <w:rPr>
          <w:rFonts w:eastAsia="Calibri" w:cs="Times New Roman"/>
          <w:i/>
          <w:iCs/>
          <w:color w:val="2E74B5"/>
          <w:kern w:val="2"/>
          <w:szCs w:val="22"/>
          <w:lang w:eastAsia="en-US"/>
          <w14:ligatures w14:val="standardContextual"/>
        </w:rPr>
      </w:pPr>
      <w:r w:rsidRPr="00E74BF1">
        <w:rPr>
          <w:rFonts w:eastAsia="Calibri" w:cs="Times New Roman"/>
          <w:color w:val="auto"/>
          <w:kern w:val="2"/>
          <w:szCs w:val="22"/>
          <w:lang w:eastAsia="en-US"/>
          <w14:ligatures w14:val="standardContextual"/>
        </w:rPr>
        <w:t xml:space="preserve">Rechtsbescherming houdt in dat burgers en ondernemers mogelijkheden hebben om op te komen tegen beslissingen en handelingen van de overheid. </w:t>
      </w:r>
      <w:r>
        <w:rPr>
          <w:rFonts w:eastAsia="Calibri" w:cs="Times New Roman"/>
          <w:color w:val="auto"/>
          <w:kern w:val="2"/>
          <w:szCs w:val="22"/>
          <w:lang w:eastAsia="en-US"/>
          <w14:ligatures w14:val="standardContextual"/>
        </w:rPr>
        <w:t>Dit is</w:t>
      </w:r>
      <w:r w:rsidRPr="00E74BF1">
        <w:rPr>
          <w:rFonts w:eastAsia="Calibri" w:cs="Times New Roman"/>
          <w:color w:val="auto"/>
          <w:kern w:val="2"/>
          <w:szCs w:val="22"/>
          <w:lang w:eastAsia="en-US"/>
          <w14:ligatures w14:val="standardContextual"/>
        </w:rPr>
        <w:t xml:space="preserve"> belangrijk, omdat die handelingen en beslissingen heel ingrijpend kunnen zijn</w:t>
      </w:r>
      <w:r w:rsidRPr="00D45597">
        <w:rPr>
          <w:rFonts w:eastAsia="Calibri" w:cs="Times New Roman"/>
          <w:color w:val="auto"/>
          <w:kern w:val="2"/>
          <w:szCs w:val="22"/>
          <w:lang w:eastAsia="en-US"/>
          <w14:ligatures w14:val="standardContextual"/>
        </w:rPr>
        <w:t>. Een juridische strijd met de overheid is bovendien vaak niet gelijkwaardig. Met ons</w:t>
      </w:r>
      <w:r w:rsidRPr="00E74BF1">
        <w:rPr>
          <w:rFonts w:eastAsia="Calibri" w:cs="Times New Roman"/>
          <w:color w:val="auto"/>
          <w:kern w:val="2"/>
          <w:szCs w:val="22"/>
          <w:lang w:eastAsia="en-US"/>
          <w14:ligatures w14:val="standardContextual"/>
        </w:rPr>
        <w:t xml:space="preserve"> toezicht willen we bevorderen dat medewerkers van overheidsorganisaties - ongeacht de plek waar zij werken – in elk contact en op elk moment zorgvuldig, eerlijk, uitlegbaar en evenredig handelen richting burgers en ondernemers én zich </w:t>
      </w:r>
      <w:proofErr w:type="gramStart"/>
      <w:r w:rsidRPr="00E74BF1">
        <w:rPr>
          <w:rFonts w:eastAsia="Calibri" w:cs="Times New Roman"/>
          <w:color w:val="auto"/>
          <w:kern w:val="2"/>
          <w:szCs w:val="22"/>
          <w:lang w:eastAsia="en-US"/>
          <w14:ligatures w14:val="standardContextual"/>
        </w:rPr>
        <w:t>bewust</w:t>
      </w:r>
      <w:proofErr w:type="gramEnd"/>
      <w:r w:rsidRPr="00E74BF1">
        <w:rPr>
          <w:rFonts w:eastAsia="Calibri" w:cs="Times New Roman"/>
          <w:color w:val="auto"/>
          <w:kern w:val="2"/>
          <w:szCs w:val="22"/>
          <w:lang w:eastAsia="en-US"/>
          <w14:ligatures w14:val="standardContextual"/>
        </w:rPr>
        <w:t xml:space="preserve"> zijn van de ongelijke machtsverhouding.</w:t>
      </w:r>
      <w:r w:rsidRPr="00A14BE0">
        <w:t xml:space="preserve"> </w:t>
      </w:r>
      <w:r w:rsidRPr="00A14BE0">
        <w:rPr>
          <w:rFonts w:eastAsia="Calibri" w:cs="Times New Roman"/>
          <w:color w:val="auto"/>
          <w:kern w:val="2"/>
          <w:szCs w:val="22"/>
          <w:lang w:eastAsia="en-US"/>
          <w14:ligatures w14:val="standardContextual"/>
        </w:rPr>
        <w:t>De rechtsbescherming moet dus niet alleen goed in de wet geregeld zijn, maar ook op een goede manier en op een zo vroeg mogelijk moment in praktijk worden gebracht.</w:t>
      </w:r>
    </w:p>
    <w:p w:rsidR="002572FC" w:rsidP="002572FC" w:rsidRDefault="002572FC" w14:paraId="187C31E2" w14:textId="77777777">
      <w:pPr>
        <w:spacing w:line="240" w:lineRule="auto"/>
        <w:rPr>
          <w:rFonts w:eastAsia="Calibri" w:cs="Times New Roman"/>
          <w:i/>
          <w:iCs/>
          <w:color w:val="2E74B5"/>
          <w:kern w:val="2"/>
          <w:szCs w:val="22"/>
          <w:lang w:eastAsia="en-US"/>
          <w14:ligatures w14:val="standardContextual"/>
        </w:rPr>
      </w:pPr>
      <w:r>
        <w:rPr>
          <w:rFonts w:eastAsia="Calibri" w:cs="Times New Roman"/>
          <w:i/>
          <w:iCs/>
          <w:color w:val="2E74B5"/>
          <w:kern w:val="2"/>
          <w:szCs w:val="22"/>
          <w:lang w:eastAsia="en-US"/>
          <w14:ligatures w14:val="standardContextual"/>
        </w:rPr>
        <w:br w:type="page"/>
      </w:r>
    </w:p>
    <w:p w:rsidRPr="00E030A8" w:rsidR="002572FC" w:rsidP="002572FC" w:rsidRDefault="002572FC" w14:paraId="6F926578" w14:textId="77777777">
      <w:pPr>
        <w:autoSpaceDN/>
        <w:spacing w:after="160" w:line="259" w:lineRule="auto"/>
        <w:textAlignment w:val="auto"/>
        <w:rPr>
          <w:rFonts w:eastAsia="Calibri" w:cs="Times New Roman"/>
          <w:i/>
          <w:iCs/>
          <w:color w:val="2E74B5"/>
          <w:kern w:val="2"/>
          <w:szCs w:val="22"/>
          <w:lang w:eastAsia="en-US"/>
          <w14:ligatures w14:val="standardContextual"/>
        </w:rPr>
      </w:pPr>
      <w:r>
        <w:rPr>
          <w:rFonts w:eastAsia="Calibri" w:cs="Times New Roman"/>
          <w:i/>
          <w:iCs/>
          <w:color w:val="2E74B5"/>
          <w:kern w:val="2"/>
          <w:szCs w:val="22"/>
          <w:lang w:eastAsia="en-US"/>
          <w14:ligatures w14:val="standardContextual"/>
        </w:rPr>
        <w:lastRenderedPageBreak/>
        <w:t>Inhoud van ons onderzoek: r</w:t>
      </w:r>
      <w:r w:rsidRPr="00E030A8">
        <w:rPr>
          <w:rFonts w:eastAsia="Calibri" w:cs="Times New Roman"/>
          <w:i/>
          <w:iCs/>
          <w:color w:val="2E74B5"/>
          <w:kern w:val="2"/>
          <w:szCs w:val="22"/>
          <w:lang w:eastAsia="en-US"/>
          <w14:ligatures w14:val="standardContextual"/>
        </w:rPr>
        <w:t>echtsbescherming bij douaneheffingen</w:t>
      </w:r>
    </w:p>
    <w:p w:rsidR="002572FC" w:rsidP="002572FC" w:rsidRDefault="002572FC" w14:paraId="5E4B998A" w14:textId="77777777">
      <w:pPr>
        <w:autoSpaceDN/>
        <w:spacing w:after="160" w:line="259" w:lineRule="auto"/>
        <w:textAlignment w:val="auto"/>
        <w:rPr>
          <w:rFonts w:eastAsia="Calibri" w:cs="Times New Roman"/>
          <w:color w:val="auto"/>
          <w:kern w:val="2"/>
          <w:szCs w:val="22"/>
          <w:lang w:eastAsia="en-US"/>
          <w14:ligatures w14:val="standardContextual"/>
        </w:rPr>
      </w:pPr>
      <w:r w:rsidRPr="00A14BE0">
        <w:rPr>
          <w:rFonts w:eastAsia="Calibri" w:cs="Times New Roman"/>
          <w:color w:val="auto"/>
          <w:kern w:val="2"/>
          <w:szCs w:val="22"/>
          <w:lang w:eastAsia="en-US"/>
          <w14:ligatures w14:val="standardContextual"/>
        </w:rPr>
        <w:t xml:space="preserve">Aanleiding voor </w:t>
      </w:r>
      <w:r>
        <w:rPr>
          <w:rFonts w:eastAsia="Calibri" w:cs="Times New Roman"/>
          <w:color w:val="auto"/>
          <w:kern w:val="2"/>
          <w:szCs w:val="22"/>
          <w:lang w:eastAsia="en-US"/>
          <w14:ligatures w14:val="standardContextual"/>
        </w:rPr>
        <w:t>dit</w:t>
      </w:r>
      <w:r w:rsidRPr="00A14BE0">
        <w:rPr>
          <w:rFonts w:eastAsia="Calibri" w:cs="Times New Roman"/>
          <w:color w:val="auto"/>
          <w:kern w:val="2"/>
          <w:szCs w:val="22"/>
          <w:lang w:eastAsia="en-US"/>
          <w14:ligatures w14:val="standardContextual"/>
        </w:rPr>
        <w:t xml:space="preserve"> onderzoek vormden onze verkennende gesprekken met medewerkers van de Douane en ondernemers. Ondernemers gaven aan te ervaren dat de Douane bij geschillen over correcties niet altijd oog heeft voor hun kant van het verhaal en zich vaak beroept op ‘de letter van de wet’. Douanemedewerkers ervaren op hun beurt dat Europese wet- en regelgeving weinig ruimte biedt om belangen van ondernemers mee te laten wegen in besluiten. </w:t>
      </w:r>
    </w:p>
    <w:p w:rsidRPr="00A14BE0" w:rsidR="002572FC" w:rsidP="002572FC" w:rsidRDefault="002572FC" w14:paraId="154E212C" w14:textId="77777777">
      <w:pPr>
        <w:rPr>
          <w:rFonts w:eastAsia="Calibri" w:cs="Times New Roman"/>
          <w:color w:val="auto"/>
          <w:kern w:val="2"/>
          <w:szCs w:val="22"/>
          <w:lang w:eastAsia="en-US"/>
          <w14:ligatures w14:val="standardContextual"/>
        </w:rPr>
      </w:pPr>
      <w:r w:rsidRPr="00790E31">
        <w:rPr>
          <w:rFonts w:eastAsia="Calibri" w:cs="Times New Roman"/>
          <w:color w:val="auto"/>
          <w:kern w:val="2"/>
          <w:szCs w:val="22"/>
          <w:lang w:eastAsia="en-US"/>
          <w14:ligatures w14:val="standardContextual"/>
        </w:rPr>
        <w:t>Vorig jaar zijn we gestart met het onderzoek</w:t>
      </w:r>
      <w:r>
        <w:rPr>
          <w:rFonts w:eastAsia="Calibri" w:cs="Times New Roman"/>
          <w:color w:val="auto"/>
          <w:kern w:val="2"/>
          <w:szCs w:val="22"/>
          <w:lang w:eastAsia="en-US"/>
          <w14:ligatures w14:val="standardContextual"/>
        </w:rPr>
        <w:t xml:space="preserve">. </w:t>
      </w:r>
      <w:r w:rsidRPr="00790E31">
        <w:rPr>
          <w:rFonts w:eastAsia="Calibri" w:cs="Times New Roman"/>
          <w:color w:val="auto"/>
          <w:kern w:val="2"/>
          <w:szCs w:val="22"/>
          <w:lang w:eastAsia="en-US"/>
          <w14:ligatures w14:val="standardContextual"/>
        </w:rPr>
        <w:t>Ons onderzoek is toegespitst op zaken waarin</w:t>
      </w:r>
      <w:r>
        <w:rPr>
          <w:rFonts w:eastAsia="Calibri" w:cs="Times New Roman"/>
          <w:color w:val="auto"/>
          <w:kern w:val="2"/>
          <w:szCs w:val="22"/>
          <w:lang w:eastAsia="en-US"/>
          <w14:ligatures w14:val="standardContextual"/>
        </w:rPr>
        <w:t xml:space="preserve"> sprake is van een (voorgenomen) correctie</w:t>
      </w:r>
      <w:r w:rsidRPr="00790E31">
        <w:rPr>
          <w:rFonts w:eastAsia="Calibri" w:cs="Times New Roman"/>
          <w:color w:val="auto"/>
          <w:kern w:val="2"/>
          <w:szCs w:val="22"/>
          <w:lang w:eastAsia="en-US"/>
          <w14:ligatures w14:val="standardContextual"/>
        </w:rPr>
        <w:t xml:space="preserve"> omdat de aangifte </w:t>
      </w:r>
      <w:r>
        <w:rPr>
          <w:rFonts w:eastAsia="Calibri" w:cs="Times New Roman"/>
          <w:color w:val="auto"/>
          <w:kern w:val="2"/>
          <w:szCs w:val="22"/>
          <w:lang w:eastAsia="en-US"/>
          <w14:ligatures w14:val="standardContextual"/>
        </w:rPr>
        <w:t xml:space="preserve">volgens de Douane </w:t>
      </w:r>
      <w:r w:rsidRPr="00790E31">
        <w:rPr>
          <w:rFonts w:eastAsia="Calibri" w:cs="Times New Roman"/>
          <w:color w:val="auto"/>
          <w:kern w:val="2"/>
          <w:szCs w:val="22"/>
          <w:lang w:eastAsia="en-US"/>
          <w14:ligatures w14:val="standardContextual"/>
        </w:rPr>
        <w:t>onjuist, onvolledig of niet tijdig was.</w:t>
      </w:r>
      <w:r>
        <w:rPr>
          <w:rFonts w:eastAsia="Calibri" w:cs="Times New Roman"/>
          <w:color w:val="auto"/>
          <w:kern w:val="2"/>
          <w:szCs w:val="22"/>
          <w:lang w:eastAsia="en-US"/>
          <w14:ligatures w14:val="standardContextual"/>
        </w:rPr>
        <w:t xml:space="preserve"> We kijken in dit onderzoek hoe de Douane in de praktijk invulling geeft aan de rechtsbescherming en niet naar de inhoud van het geschil. </w:t>
      </w:r>
      <w:r w:rsidRPr="00A14BE0">
        <w:rPr>
          <w:rFonts w:eastAsia="Calibri" w:cs="Times New Roman"/>
          <w:color w:val="auto"/>
          <w:kern w:val="2"/>
          <w:szCs w:val="22"/>
          <w:lang w:eastAsia="en-US"/>
          <w14:ligatures w14:val="standardContextual"/>
        </w:rPr>
        <w:t>In deze brief delen we onze eerste bevindingen over</w:t>
      </w:r>
      <w:r>
        <w:rPr>
          <w:rFonts w:eastAsia="Calibri" w:cs="Times New Roman"/>
          <w:color w:val="auto"/>
          <w:kern w:val="2"/>
          <w:szCs w:val="22"/>
          <w:lang w:eastAsia="en-US"/>
          <w14:ligatures w14:val="standardContextual"/>
        </w:rPr>
        <w:t xml:space="preserve"> </w:t>
      </w:r>
      <w:r w:rsidRPr="00A14BE0">
        <w:rPr>
          <w:rFonts w:eastAsia="Calibri" w:cs="Times New Roman"/>
          <w:color w:val="auto"/>
          <w:kern w:val="2"/>
          <w:szCs w:val="22"/>
          <w:lang w:eastAsia="en-US"/>
          <w14:ligatures w14:val="standardContextual"/>
        </w:rPr>
        <w:t xml:space="preserve">de </w:t>
      </w:r>
      <w:r w:rsidRPr="003061E3">
        <w:rPr>
          <w:rFonts w:eastAsia="Calibri" w:cs="Times New Roman"/>
          <w:color w:val="auto"/>
          <w:kern w:val="2"/>
          <w:szCs w:val="22"/>
          <w:lang w:eastAsia="en-US"/>
          <w14:ligatures w14:val="standardContextual"/>
        </w:rPr>
        <w:t>voornemenfase.</w:t>
      </w:r>
      <w:r w:rsidRPr="00A14BE0">
        <w:rPr>
          <w:rFonts w:eastAsia="Calibri" w:cs="Times New Roman"/>
          <w:color w:val="auto"/>
          <w:kern w:val="2"/>
          <w:szCs w:val="22"/>
          <w:lang w:eastAsia="en-US"/>
          <w14:ligatures w14:val="standardContextual"/>
        </w:rPr>
        <w:t xml:space="preserve"> </w:t>
      </w:r>
    </w:p>
    <w:p w:rsidR="002572FC" w:rsidP="002572FC" w:rsidRDefault="002572FC" w14:paraId="715B46E2" w14:textId="77777777">
      <w:pPr>
        <w:rPr>
          <w:rFonts w:eastAsia="Calibri" w:cs="Times New Roman"/>
          <w:color w:val="auto"/>
          <w:kern w:val="2"/>
          <w:szCs w:val="22"/>
          <w:lang w:eastAsia="en-US"/>
          <w14:ligatures w14:val="standardContextual"/>
        </w:rPr>
      </w:pPr>
    </w:p>
    <w:p w:rsidRPr="00464A14" w:rsidR="002572FC" w:rsidP="002572FC" w:rsidRDefault="002572FC" w14:paraId="55BB4B41" w14:textId="77777777">
      <w:pPr>
        <w:autoSpaceDN/>
        <w:spacing w:line="259" w:lineRule="auto"/>
        <w:textAlignment w:val="auto"/>
        <w:rPr>
          <w:rFonts w:eastAsia="Calibri" w:cs="Times New Roman"/>
          <w:color w:val="auto"/>
          <w:kern w:val="2"/>
          <w:szCs w:val="22"/>
          <w:lang w:eastAsia="en-US"/>
          <w14:ligatures w14:val="standardContextual"/>
        </w:rPr>
      </w:pPr>
      <w:bookmarkStart w:name="_Hlk207346139" w:id="2"/>
      <w:r w:rsidRPr="00AC04D7">
        <w:rPr>
          <w:rFonts w:eastAsia="Calibri" w:cs="Times New Roman"/>
          <w:color w:val="auto"/>
          <w:kern w:val="2"/>
          <w:szCs w:val="22"/>
          <w:lang w:eastAsia="en-US"/>
          <w14:ligatures w14:val="standardContextual"/>
        </w:rPr>
        <w:t xml:space="preserve">Tot nu toe </w:t>
      </w:r>
      <w:r>
        <w:rPr>
          <w:rFonts w:eastAsia="Calibri" w:cs="Times New Roman"/>
          <w:color w:val="auto"/>
          <w:kern w:val="2"/>
          <w:szCs w:val="22"/>
          <w:lang w:eastAsia="en-US"/>
          <w14:ligatures w14:val="standardContextual"/>
        </w:rPr>
        <w:t>zijn</w:t>
      </w:r>
      <w:r w:rsidRPr="00AC04D7">
        <w:rPr>
          <w:rFonts w:eastAsia="Calibri" w:cs="Times New Roman"/>
          <w:color w:val="auto"/>
          <w:kern w:val="2"/>
          <w:szCs w:val="22"/>
          <w:lang w:eastAsia="en-US"/>
          <w14:ligatures w14:val="standardContextual"/>
        </w:rPr>
        <w:t xml:space="preserve"> we voor dit onderzoek </w:t>
      </w:r>
      <w:r>
        <w:rPr>
          <w:rFonts w:eastAsia="Calibri" w:cs="Times New Roman"/>
          <w:color w:val="auto"/>
          <w:kern w:val="2"/>
          <w:szCs w:val="22"/>
          <w:lang w:eastAsia="en-US"/>
          <w14:ligatures w14:val="standardContextual"/>
        </w:rPr>
        <w:t xml:space="preserve">bij </w:t>
      </w:r>
      <w:r w:rsidRPr="00AC04D7">
        <w:rPr>
          <w:rFonts w:eastAsia="Calibri" w:cs="Times New Roman"/>
          <w:color w:val="auto"/>
          <w:kern w:val="2"/>
          <w:szCs w:val="22"/>
          <w:lang w:eastAsia="en-US"/>
          <w14:ligatures w14:val="standardContextual"/>
        </w:rPr>
        <w:t>in totaal 86 dossiers</w:t>
      </w:r>
      <w:r>
        <w:rPr>
          <w:rFonts w:eastAsia="Calibri" w:cs="Times New Roman"/>
          <w:color w:val="auto"/>
          <w:kern w:val="2"/>
          <w:szCs w:val="22"/>
          <w:lang w:eastAsia="en-US"/>
          <w14:ligatures w14:val="standardContextual"/>
        </w:rPr>
        <w:t>,</w:t>
      </w:r>
      <w:r w:rsidRPr="00AC04D7">
        <w:rPr>
          <w:rFonts w:eastAsia="Calibri" w:cs="Times New Roman"/>
          <w:color w:val="auto"/>
          <w:kern w:val="2"/>
          <w:szCs w:val="22"/>
          <w:lang w:eastAsia="en-US"/>
          <w14:ligatures w14:val="standardContextual"/>
        </w:rPr>
        <w:t xml:space="preserve"> </w:t>
      </w:r>
      <w:r>
        <w:rPr>
          <w:rFonts w:eastAsia="Calibri" w:cs="Times New Roman"/>
          <w:color w:val="auto"/>
          <w:kern w:val="2"/>
          <w:szCs w:val="22"/>
          <w:lang w:eastAsia="en-US"/>
          <w14:ligatures w14:val="standardContextual"/>
        </w:rPr>
        <w:t xml:space="preserve">waarin sprake was van een correctie, nagegaan </w:t>
      </w:r>
      <w:r w:rsidRPr="00AC04D7">
        <w:rPr>
          <w:rFonts w:eastAsia="Calibri" w:cs="Times New Roman"/>
          <w:color w:val="auto"/>
          <w:kern w:val="2"/>
          <w:szCs w:val="22"/>
          <w:lang w:eastAsia="en-US"/>
          <w14:ligatures w14:val="standardContextual"/>
        </w:rPr>
        <w:t>of en hoe de Douane ondernemers in de gelegenheid stelt om op te komen voor hun rechten</w:t>
      </w:r>
      <w:r>
        <w:rPr>
          <w:rFonts w:eastAsia="Calibri" w:cs="Times New Roman"/>
          <w:color w:val="auto"/>
          <w:kern w:val="2"/>
          <w:szCs w:val="22"/>
          <w:lang w:eastAsia="en-US"/>
          <w14:ligatures w14:val="standardContextual"/>
        </w:rPr>
        <w:t>. De dossiers betreffen</w:t>
      </w:r>
      <w:r w:rsidRPr="00AC04D7">
        <w:rPr>
          <w:rFonts w:eastAsia="Calibri" w:cs="Times New Roman"/>
          <w:color w:val="auto"/>
          <w:kern w:val="2"/>
          <w:szCs w:val="22"/>
          <w:lang w:eastAsia="en-US"/>
          <w14:ligatures w14:val="standardContextual"/>
        </w:rPr>
        <w:t xml:space="preserve"> zaken die </w:t>
      </w:r>
      <w:r>
        <w:rPr>
          <w:rFonts w:eastAsia="Calibri" w:cs="Times New Roman"/>
          <w:color w:val="auto"/>
          <w:kern w:val="2"/>
          <w:szCs w:val="22"/>
          <w:lang w:eastAsia="en-US"/>
          <w14:ligatures w14:val="standardContextual"/>
        </w:rPr>
        <w:t>speelden</w:t>
      </w:r>
      <w:r w:rsidRPr="00AC04D7">
        <w:rPr>
          <w:rFonts w:eastAsia="Calibri" w:cs="Times New Roman"/>
          <w:color w:val="auto"/>
          <w:kern w:val="2"/>
          <w:szCs w:val="22"/>
          <w:lang w:eastAsia="en-US"/>
          <w14:ligatures w14:val="standardContextual"/>
        </w:rPr>
        <w:t xml:space="preserve"> in de eerste helft van 2024</w:t>
      </w:r>
      <w:r>
        <w:rPr>
          <w:rFonts w:eastAsia="Calibri" w:cs="Times New Roman"/>
          <w:color w:val="auto"/>
          <w:kern w:val="2"/>
          <w:szCs w:val="22"/>
          <w:lang w:eastAsia="en-US"/>
          <w14:ligatures w14:val="standardContextual"/>
        </w:rPr>
        <w:t>.</w:t>
      </w:r>
      <w:r w:rsidRPr="00AC04D7">
        <w:rPr>
          <w:rFonts w:eastAsia="Calibri" w:cs="Times New Roman"/>
          <w:color w:val="auto"/>
          <w:kern w:val="2"/>
          <w:szCs w:val="22"/>
          <w:vertAlign w:val="superscript"/>
          <w:lang w:eastAsia="en-US"/>
          <w14:ligatures w14:val="standardContextual"/>
        </w:rPr>
        <w:footnoteReference w:id="3"/>
      </w:r>
      <w:r w:rsidRPr="00AC04D7">
        <w:rPr>
          <w:rFonts w:eastAsia="Calibri" w:cs="Times New Roman"/>
          <w:color w:val="auto"/>
          <w:kern w:val="2"/>
          <w:szCs w:val="22"/>
          <w:lang w:eastAsia="en-US"/>
          <w14:ligatures w14:val="standardContextual"/>
        </w:rPr>
        <w:t xml:space="preserve"> </w:t>
      </w:r>
      <w:r w:rsidRPr="00464A14">
        <w:rPr>
          <w:rFonts w:eastAsia="Calibri" w:cs="Times New Roman"/>
          <w:color w:val="auto"/>
          <w:kern w:val="2"/>
          <w:szCs w:val="22"/>
          <w:lang w:eastAsia="en-US"/>
          <w14:ligatures w14:val="standardContextual"/>
        </w:rPr>
        <w:t xml:space="preserve">We hebben elk dossier beoordeeld aan de hand van criteria voor </w:t>
      </w:r>
      <w:bookmarkStart w:name="_Hlk208318609" w:id="3"/>
      <w:r w:rsidRPr="00464A14">
        <w:rPr>
          <w:rFonts w:eastAsia="Calibri" w:cs="Times New Roman"/>
          <w:color w:val="auto"/>
          <w:kern w:val="2"/>
          <w:szCs w:val="22"/>
          <w:lang w:eastAsia="en-US"/>
          <w14:ligatures w14:val="standardContextual"/>
        </w:rPr>
        <w:t>rechtsbescherming die zijn ontleend aan Unierechtelijke verdedigingsbeginsel en Europese en nationale wetgeving.</w:t>
      </w:r>
      <w:r w:rsidRPr="00464A14">
        <w:rPr>
          <w:rFonts w:eastAsia="Calibri" w:cs="Times New Roman"/>
          <w:color w:val="auto"/>
          <w:kern w:val="2"/>
          <w:szCs w:val="22"/>
          <w:vertAlign w:val="superscript"/>
          <w:lang w:eastAsia="en-US"/>
          <w14:ligatures w14:val="standardContextual"/>
        </w:rPr>
        <w:footnoteReference w:id="4"/>
      </w:r>
      <w:r w:rsidRPr="00464A14">
        <w:rPr>
          <w:rFonts w:eastAsia="Calibri" w:cs="Times New Roman"/>
          <w:color w:val="auto"/>
          <w:kern w:val="2"/>
          <w:szCs w:val="22"/>
          <w:lang w:eastAsia="en-US"/>
          <w14:ligatures w14:val="standardContextual"/>
        </w:rPr>
        <w:t xml:space="preserve"> Zo hebben we gekeken of de ondernemer de gelegenheid krijgt om zijn standpunt naar behoren kenbaar te maken voordat de Douane een beslissing neemt. Dat brengt met zich mee dat de Douane de ondernemer tijdig, helder, gemotiveerd en onderbouwd van de (voorgenomen) beslissing op de hoogte stelt</w:t>
      </w:r>
      <w:r>
        <w:rPr>
          <w:rFonts w:eastAsia="Calibri" w:cs="Times New Roman"/>
          <w:color w:val="auto"/>
          <w:kern w:val="2"/>
          <w:szCs w:val="22"/>
          <w:lang w:eastAsia="en-US"/>
          <w14:ligatures w14:val="standardContextual"/>
        </w:rPr>
        <w:t>. Maar ook dat</w:t>
      </w:r>
      <w:r w:rsidRPr="00464A14">
        <w:rPr>
          <w:rFonts w:eastAsia="Calibri" w:cs="Times New Roman"/>
          <w:color w:val="auto"/>
          <w:kern w:val="2"/>
          <w:szCs w:val="22"/>
          <w:lang w:eastAsia="en-US"/>
          <w14:ligatures w14:val="standardContextual"/>
        </w:rPr>
        <w:t xml:space="preserve"> de ondernemer gelegenheid krijgt om zijn kant van het verhaal toe te lichten</w:t>
      </w:r>
      <w:r>
        <w:rPr>
          <w:rFonts w:eastAsia="Calibri" w:cs="Times New Roman"/>
          <w:color w:val="auto"/>
          <w:kern w:val="2"/>
          <w:szCs w:val="22"/>
          <w:lang w:eastAsia="en-US"/>
          <w14:ligatures w14:val="standardContextual"/>
        </w:rPr>
        <w:t xml:space="preserve"> en</w:t>
      </w:r>
      <w:r w:rsidRPr="00464A14">
        <w:rPr>
          <w:rFonts w:eastAsia="Calibri" w:cs="Times New Roman"/>
          <w:color w:val="auto"/>
          <w:kern w:val="2"/>
          <w:szCs w:val="22"/>
          <w:lang w:eastAsia="en-US"/>
          <w14:ligatures w14:val="standardContextual"/>
        </w:rPr>
        <w:t xml:space="preserve"> inzage krijgt in de feiten en documenten waarop de (voorgenomen) beslissing is gebaseerd</w:t>
      </w:r>
      <w:r>
        <w:rPr>
          <w:rFonts w:eastAsia="Calibri" w:cs="Times New Roman"/>
          <w:color w:val="auto"/>
          <w:kern w:val="2"/>
          <w:szCs w:val="22"/>
          <w:lang w:eastAsia="en-US"/>
          <w14:ligatures w14:val="standardContextual"/>
        </w:rPr>
        <w:t xml:space="preserve"> </w:t>
      </w:r>
      <w:r w:rsidRPr="00464A14">
        <w:rPr>
          <w:rFonts w:eastAsia="Calibri" w:cs="Times New Roman"/>
          <w:color w:val="auto"/>
          <w:kern w:val="2"/>
          <w:szCs w:val="22"/>
          <w:lang w:eastAsia="en-US"/>
          <w14:ligatures w14:val="standardContextual"/>
        </w:rPr>
        <w:t xml:space="preserve">en weet welke feiten, omstandigheden en aangevoerde argumenten de Douane bij haar besluitvorming betrekt. </w:t>
      </w:r>
    </w:p>
    <w:bookmarkEnd w:id="3"/>
    <w:p w:rsidR="002572FC" w:rsidP="002572FC" w:rsidRDefault="002572FC" w14:paraId="0D42DFE6" w14:textId="77777777">
      <w:pPr>
        <w:autoSpaceDN/>
        <w:spacing w:line="259" w:lineRule="auto"/>
        <w:textAlignment w:val="auto"/>
        <w:rPr>
          <w:rFonts w:eastAsia="Calibri" w:cs="Times New Roman"/>
          <w:color w:val="auto"/>
          <w:kern w:val="2"/>
          <w:szCs w:val="22"/>
          <w:lang w:eastAsia="en-US"/>
          <w14:ligatures w14:val="standardContextual"/>
        </w:rPr>
      </w:pPr>
    </w:p>
    <w:p w:rsidR="002572FC" w:rsidP="002572FC" w:rsidRDefault="002572FC" w14:paraId="59942184" w14:textId="77777777">
      <w:pPr>
        <w:autoSpaceDN/>
        <w:spacing w:after="160" w:line="259" w:lineRule="auto"/>
        <w:textAlignment w:val="auto"/>
        <w:rPr>
          <w:rFonts w:eastAsia="Calibri" w:cs="Times New Roman"/>
          <w:i/>
          <w:iCs/>
          <w:color w:val="2E74B5"/>
          <w:kern w:val="2"/>
          <w:szCs w:val="22"/>
          <w:lang w:eastAsia="en-US"/>
          <w14:ligatures w14:val="standardContextual"/>
        </w:rPr>
      </w:pPr>
      <w:r>
        <w:rPr>
          <w:rFonts w:eastAsia="Calibri" w:cs="Times New Roman"/>
          <w:i/>
          <w:iCs/>
          <w:color w:val="2E74B5"/>
          <w:kern w:val="2"/>
          <w:szCs w:val="22"/>
          <w:lang w:eastAsia="en-US"/>
          <w14:ligatures w14:val="standardContextual"/>
        </w:rPr>
        <w:t>E</w:t>
      </w:r>
      <w:r w:rsidRPr="001F1126">
        <w:rPr>
          <w:rFonts w:eastAsia="Calibri" w:cs="Times New Roman"/>
          <w:i/>
          <w:iCs/>
          <w:color w:val="2E74B5"/>
          <w:kern w:val="2"/>
          <w:szCs w:val="22"/>
          <w:lang w:eastAsia="en-US"/>
          <w14:ligatures w14:val="standardContextual"/>
        </w:rPr>
        <w:t>erste bevindingen</w:t>
      </w:r>
      <w:r>
        <w:rPr>
          <w:rFonts w:eastAsia="Calibri" w:cs="Times New Roman"/>
          <w:i/>
          <w:iCs/>
          <w:color w:val="2E74B5"/>
          <w:kern w:val="2"/>
          <w:szCs w:val="22"/>
          <w:lang w:eastAsia="en-US"/>
          <w14:ligatures w14:val="standardContextual"/>
        </w:rPr>
        <w:t xml:space="preserve"> </w:t>
      </w:r>
    </w:p>
    <w:p w:rsidR="002572FC" w:rsidP="002572FC" w:rsidRDefault="002572FC" w14:paraId="22D6B02D" w14:textId="77777777">
      <w:pPr>
        <w:autoSpaceDN/>
        <w:spacing w:after="160" w:line="259" w:lineRule="auto"/>
        <w:textAlignment w:val="auto"/>
        <w:rPr>
          <w:rFonts w:eastAsia="Calibri" w:cs="Times New Roman"/>
          <w:color w:val="auto"/>
          <w:kern w:val="2"/>
          <w:szCs w:val="22"/>
          <w:lang w:eastAsia="en-US"/>
          <w14:ligatures w14:val="standardContextual"/>
        </w:rPr>
      </w:pPr>
      <w:r w:rsidRPr="001F1126">
        <w:rPr>
          <w:rFonts w:eastAsia="Calibri" w:cs="Times New Roman"/>
          <w:color w:val="auto"/>
          <w:kern w:val="2"/>
          <w:szCs w:val="22"/>
          <w:lang w:eastAsia="en-US"/>
          <w14:ligatures w14:val="standardContextual"/>
        </w:rPr>
        <w:t>Zoals we hiervoor schetsten</w:t>
      </w:r>
      <w:r>
        <w:rPr>
          <w:rFonts w:eastAsia="Calibri" w:cs="Times New Roman"/>
          <w:color w:val="auto"/>
          <w:kern w:val="2"/>
          <w:szCs w:val="22"/>
          <w:lang w:eastAsia="en-US"/>
          <w14:ligatures w14:val="standardContextual"/>
        </w:rPr>
        <w:t>,</w:t>
      </w:r>
      <w:r w:rsidRPr="001F1126">
        <w:rPr>
          <w:rFonts w:eastAsia="Calibri" w:cs="Times New Roman"/>
          <w:color w:val="auto"/>
          <w:kern w:val="2"/>
          <w:szCs w:val="22"/>
          <w:lang w:eastAsia="en-US"/>
          <w14:ligatures w14:val="standardContextual"/>
        </w:rPr>
        <w:t xml:space="preserve"> </w:t>
      </w:r>
      <w:r>
        <w:rPr>
          <w:rFonts w:eastAsia="Calibri" w:cs="Times New Roman"/>
          <w:color w:val="auto"/>
          <w:kern w:val="2"/>
          <w:szCs w:val="22"/>
          <w:lang w:eastAsia="en-US"/>
          <w14:ligatures w14:val="standardContextual"/>
        </w:rPr>
        <w:t>loopt</w:t>
      </w:r>
      <w:r w:rsidRPr="001F1126">
        <w:rPr>
          <w:rFonts w:eastAsia="Calibri" w:cs="Times New Roman"/>
          <w:color w:val="auto"/>
          <w:kern w:val="2"/>
          <w:szCs w:val="22"/>
          <w:lang w:eastAsia="en-US"/>
          <w14:ligatures w14:val="standardContextual"/>
        </w:rPr>
        <w:t xml:space="preserve"> ons onderzoek</w:t>
      </w:r>
      <w:r>
        <w:rPr>
          <w:rFonts w:eastAsia="Calibri" w:cs="Times New Roman"/>
          <w:color w:val="auto"/>
          <w:kern w:val="2"/>
          <w:szCs w:val="22"/>
          <w:lang w:eastAsia="en-US"/>
          <w14:ligatures w14:val="standardContextual"/>
        </w:rPr>
        <w:t xml:space="preserve"> nog. We </w:t>
      </w:r>
      <w:r w:rsidRPr="00B45D82">
        <w:rPr>
          <w:rFonts w:eastAsia="Calibri" w:cs="Times New Roman"/>
          <w:color w:val="auto"/>
          <w:kern w:val="2"/>
          <w:szCs w:val="22"/>
          <w:lang w:eastAsia="en-US"/>
          <w14:ligatures w14:val="standardContextual"/>
        </w:rPr>
        <w:t>delen nu al onze eerste bevindingen</w:t>
      </w:r>
      <w:r>
        <w:rPr>
          <w:rFonts w:eastAsia="Calibri" w:cs="Times New Roman"/>
          <w:color w:val="auto"/>
          <w:kern w:val="2"/>
          <w:szCs w:val="22"/>
          <w:lang w:eastAsia="en-US"/>
          <w14:ligatures w14:val="standardContextual"/>
        </w:rPr>
        <w:t xml:space="preserve"> omdat we komende tijd al graag samen met Douanemedewerkers en ondernemers</w:t>
      </w:r>
      <w:r w:rsidRPr="00C76E36">
        <w:rPr>
          <w:rFonts w:eastAsia="Calibri" w:cs="Times New Roman"/>
          <w:color w:val="auto"/>
          <w:kern w:val="2"/>
          <w:szCs w:val="22"/>
          <w:lang w:eastAsia="en-US"/>
          <w14:ligatures w14:val="standardContextual"/>
        </w:rPr>
        <w:t xml:space="preserve"> </w:t>
      </w:r>
      <w:r>
        <w:rPr>
          <w:rFonts w:eastAsia="Calibri" w:cs="Times New Roman"/>
          <w:color w:val="auto"/>
          <w:kern w:val="2"/>
          <w:szCs w:val="22"/>
          <w:lang w:eastAsia="en-US"/>
          <w14:ligatures w14:val="standardContextual"/>
        </w:rPr>
        <w:t xml:space="preserve">willen reflecteren op de mogelijkheden om de rechtsbescherming in </w:t>
      </w:r>
      <w:r>
        <w:rPr>
          <w:rFonts w:eastAsia="Calibri" w:cs="Times New Roman"/>
          <w:color w:val="auto"/>
          <w:kern w:val="2"/>
          <w:szCs w:val="22"/>
          <w:lang w:eastAsia="en-US"/>
          <w14:ligatures w14:val="standardContextual"/>
        </w:rPr>
        <w:lastRenderedPageBreak/>
        <w:t>een zo vroeg mogelijk stadium te verbeteren. De bevindingen hebben met name betrekking op de voornemenfase</w:t>
      </w:r>
      <w:r>
        <w:rPr>
          <w:rStyle w:val="Voetnootmarkering"/>
          <w:rFonts w:eastAsia="Calibri" w:cs="Times New Roman"/>
          <w:color w:val="auto"/>
          <w:kern w:val="2"/>
          <w:szCs w:val="22"/>
          <w:lang w:eastAsia="en-US"/>
          <w14:ligatures w14:val="standardContextual"/>
        </w:rPr>
        <w:footnoteReference w:id="5"/>
      </w:r>
      <w:r>
        <w:rPr>
          <w:rFonts w:eastAsia="Calibri" w:cs="Times New Roman"/>
          <w:color w:val="auto"/>
          <w:kern w:val="2"/>
          <w:szCs w:val="22"/>
          <w:lang w:eastAsia="en-US"/>
          <w14:ligatures w14:val="standardContextual"/>
        </w:rPr>
        <w:t>.</w:t>
      </w:r>
    </w:p>
    <w:p w:rsidRPr="00A4351F" w:rsidR="002572FC" w:rsidP="002572FC" w:rsidRDefault="002572FC" w14:paraId="2131856B" w14:textId="77777777">
      <w:pPr>
        <w:pStyle w:val="Lijstalinea"/>
        <w:numPr>
          <w:ilvl w:val="0"/>
          <w:numId w:val="5"/>
        </w:numPr>
        <w:autoSpaceDN/>
        <w:spacing w:after="160" w:line="259" w:lineRule="auto"/>
        <w:textAlignment w:val="auto"/>
        <w:rPr>
          <w:rFonts w:eastAsia="Calibri" w:cs="Times New Roman"/>
          <w:i/>
          <w:iCs/>
          <w:color w:val="auto"/>
          <w:kern w:val="2"/>
          <w:szCs w:val="22"/>
          <w:lang w:eastAsia="en-US"/>
          <w14:ligatures w14:val="standardContextual"/>
        </w:rPr>
      </w:pPr>
      <w:r w:rsidRPr="00A4351F">
        <w:rPr>
          <w:rFonts w:eastAsia="Calibri" w:cs="Times New Roman"/>
          <w:i/>
          <w:iCs/>
          <w:color w:val="auto"/>
          <w:kern w:val="2"/>
          <w:szCs w:val="22"/>
          <w:lang w:eastAsia="en-US"/>
          <w14:ligatures w14:val="standardContextual"/>
        </w:rPr>
        <w:t>De Douane biedt de ondernemer gelegenheid om zijn standpunt kenbaar te maken</w:t>
      </w:r>
    </w:p>
    <w:p w:rsidR="002572FC" w:rsidP="002572FC" w:rsidRDefault="002572FC" w14:paraId="03D80FE6" w14:textId="77777777">
      <w:pPr>
        <w:autoSpaceDN/>
        <w:spacing w:after="160" w:line="259" w:lineRule="auto"/>
        <w:textAlignment w:val="auto"/>
        <w:rPr>
          <w:rFonts w:eastAsia="Calibri" w:cs="Times New Roman"/>
          <w:color w:val="auto"/>
          <w:kern w:val="2"/>
          <w:szCs w:val="22"/>
          <w:lang w:eastAsia="en-US"/>
          <w14:ligatures w14:val="standardContextual"/>
        </w:rPr>
      </w:pPr>
      <w:r w:rsidRPr="001F1126">
        <w:rPr>
          <w:rFonts w:eastAsia="Calibri" w:cs="Times New Roman"/>
          <w:color w:val="auto"/>
          <w:kern w:val="2"/>
          <w:szCs w:val="22"/>
          <w:lang w:eastAsia="en-US"/>
          <w14:ligatures w14:val="standardContextual"/>
        </w:rPr>
        <w:t xml:space="preserve">We stellen vast dat de Douane de ondernemer in de voornemenfase in </w:t>
      </w:r>
      <w:r>
        <w:rPr>
          <w:rFonts w:eastAsia="Calibri" w:cs="Times New Roman"/>
          <w:color w:val="auto"/>
          <w:kern w:val="2"/>
          <w:szCs w:val="22"/>
          <w:lang w:eastAsia="en-US"/>
          <w14:ligatures w14:val="standardContextual"/>
        </w:rPr>
        <w:t>de meeste</w:t>
      </w:r>
      <w:r w:rsidRPr="001F1126">
        <w:rPr>
          <w:rFonts w:eastAsia="Calibri" w:cs="Times New Roman"/>
          <w:color w:val="auto"/>
          <w:kern w:val="2"/>
          <w:szCs w:val="22"/>
          <w:lang w:eastAsia="en-US"/>
          <w14:ligatures w14:val="standardContextual"/>
        </w:rPr>
        <w:t xml:space="preserve"> gevallen de gelegenheid biedt aan om zijn standpunt kenbaar te maken over de voorgenomen beslissin</w:t>
      </w:r>
      <w:bookmarkStart w:name="_Hlk207977540" w:id="4"/>
      <w:r>
        <w:rPr>
          <w:rFonts w:eastAsia="Calibri" w:cs="Times New Roman"/>
          <w:color w:val="auto"/>
          <w:kern w:val="2"/>
          <w:szCs w:val="22"/>
          <w:lang w:eastAsia="en-US"/>
          <w14:ligatures w14:val="standardContextual"/>
        </w:rPr>
        <w:t xml:space="preserve">g. </w:t>
      </w:r>
      <w:r w:rsidRPr="0017692F">
        <w:rPr>
          <w:rFonts w:eastAsia="Calibri" w:cs="Times New Roman"/>
          <w:color w:val="auto"/>
          <w:kern w:val="2"/>
          <w:szCs w:val="22"/>
          <w:lang w:eastAsia="en-US"/>
          <w14:ligatures w14:val="standardContextual"/>
        </w:rPr>
        <w:t>Daarbij zagen we overigens wel dat met name de voorgenomen beslissingen (voornemen tot correctie bij aangiftebehandeling) niet altijd expliciet als zodanig benoemd (en herkenbaar) waren. We hebben begrepen dat in het kader van het landelijk werken binnen de Douane daarin inmiddels uniformering is aangebracht.</w:t>
      </w:r>
    </w:p>
    <w:p w:rsidRPr="000D1123" w:rsidR="002572FC" w:rsidP="002572FC" w:rsidRDefault="002572FC" w14:paraId="12E69C9C" w14:textId="77777777">
      <w:pPr>
        <w:pStyle w:val="Lijstalinea"/>
        <w:numPr>
          <w:ilvl w:val="0"/>
          <w:numId w:val="5"/>
        </w:numPr>
        <w:autoSpaceDN/>
        <w:spacing w:after="160" w:line="259" w:lineRule="auto"/>
        <w:textAlignment w:val="auto"/>
        <w:rPr>
          <w:rFonts w:eastAsia="Calibri" w:cs="Times New Roman"/>
          <w:color w:val="auto"/>
          <w:kern w:val="2"/>
          <w:szCs w:val="22"/>
          <w:lang w:eastAsia="en-US"/>
          <w14:ligatures w14:val="standardContextual"/>
        </w:rPr>
      </w:pPr>
      <w:r w:rsidRPr="000D1123">
        <w:rPr>
          <w:rFonts w:eastAsia="Calibri" w:cs="Times New Roman"/>
          <w:i/>
          <w:iCs/>
          <w:color w:val="auto"/>
          <w:kern w:val="2"/>
          <w:szCs w:val="22"/>
          <w:lang w:eastAsia="en-US"/>
          <w14:ligatures w14:val="standardContextual"/>
        </w:rPr>
        <w:t xml:space="preserve">Tegelijkertijd heeft de Douane niet altijd aandacht voor rechtsbescherming </w:t>
      </w:r>
    </w:p>
    <w:p w:rsidRPr="00A857A0" w:rsidR="002572FC" w:rsidP="002572FC" w:rsidRDefault="002572FC" w14:paraId="3412CD09" w14:textId="77777777">
      <w:pPr>
        <w:rPr>
          <w:rFonts w:eastAsia="Calibri" w:cs="Times New Roman"/>
          <w:color w:val="auto"/>
          <w:kern w:val="2"/>
          <w:szCs w:val="22"/>
          <w:lang w:eastAsia="en-US"/>
          <w14:ligatures w14:val="standardContextual"/>
        </w:rPr>
      </w:pPr>
      <w:bookmarkStart w:name="_Hlk208315908" w:id="5"/>
      <w:bookmarkEnd w:id="4"/>
      <w:r>
        <w:rPr>
          <w:rFonts w:eastAsia="Calibri" w:cs="Times New Roman"/>
          <w:color w:val="auto"/>
          <w:kern w:val="2"/>
          <w:szCs w:val="22"/>
          <w:lang w:eastAsia="en-US"/>
          <w14:ligatures w14:val="standardContextual"/>
        </w:rPr>
        <w:t>A</w:t>
      </w:r>
      <w:r w:rsidRPr="00A857A0">
        <w:rPr>
          <w:rFonts w:eastAsia="Calibri" w:cs="Times New Roman"/>
          <w:color w:val="auto"/>
          <w:kern w:val="2"/>
          <w:szCs w:val="22"/>
          <w:lang w:eastAsia="en-US"/>
          <w14:ligatures w14:val="standardContextual"/>
        </w:rPr>
        <w:t xml:space="preserve">ls het om praktische rechtsbescherming gaat, </w:t>
      </w:r>
      <w:r>
        <w:rPr>
          <w:rFonts w:eastAsia="Calibri" w:cs="Times New Roman"/>
          <w:color w:val="auto"/>
          <w:kern w:val="2"/>
          <w:szCs w:val="22"/>
          <w:lang w:eastAsia="en-US"/>
          <w14:ligatures w14:val="standardContextual"/>
        </w:rPr>
        <w:t xml:space="preserve">zien we dat </w:t>
      </w:r>
      <w:r w:rsidRPr="00A857A0">
        <w:rPr>
          <w:rFonts w:eastAsia="Calibri" w:cs="Times New Roman"/>
          <w:color w:val="auto"/>
          <w:kern w:val="2"/>
          <w:szCs w:val="22"/>
          <w:lang w:eastAsia="en-US"/>
          <w14:ligatures w14:val="standardContextual"/>
        </w:rPr>
        <w:t xml:space="preserve">de Douane in de voornemenfase nog </w:t>
      </w:r>
      <w:r>
        <w:rPr>
          <w:rFonts w:eastAsia="Calibri" w:cs="Times New Roman"/>
          <w:color w:val="auto"/>
          <w:kern w:val="2"/>
          <w:szCs w:val="22"/>
          <w:lang w:eastAsia="en-US"/>
          <w14:ligatures w14:val="standardContextual"/>
        </w:rPr>
        <w:t xml:space="preserve">te </w:t>
      </w:r>
      <w:r w:rsidRPr="00A857A0">
        <w:rPr>
          <w:rFonts w:eastAsia="Calibri" w:cs="Times New Roman"/>
          <w:color w:val="auto"/>
          <w:kern w:val="2"/>
          <w:szCs w:val="22"/>
          <w:lang w:eastAsia="en-US"/>
          <w14:ligatures w14:val="standardContextual"/>
        </w:rPr>
        <w:t xml:space="preserve">weinig aandacht heeft voor de invulling </w:t>
      </w:r>
      <w:r>
        <w:rPr>
          <w:rFonts w:eastAsia="Calibri" w:cs="Times New Roman"/>
          <w:color w:val="auto"/>
          <w:kern w:val="2"/>
          <w:szCs w:val="22"/>
          <w:lang w:eastAsia="en-US"/>
          <w14:ligatures w14:val="standardContextual"/>
        </w:rPr>
        <w:t>van de rechtsbescherming</w:t>
      </w:r>
      <w:r w:rsidRPr="00A857A0">
        <w:rPr>
          <w:rFonts w:eastAsia="Calibri" w:cs="Times New Roman"/>
          <w:color w:val="auto"/>
          <w:kern w:val="2"/>
          <w:szCs w:val="22"/>
          <w:lang w:eastAsia="en-US"/>
          <w14:ligatures w14:val="standardContextual"/>
        </w:rPr>
        <w:t xml:space="preserve">. Rechtsbescherming gaat namelijk verder dan alleen de mogelijkheid tot het kenbaar maken van een standpunt. Het gaat ook over het informeren van de ondernemer over de feiten en de documenten waarop de voorgenomen beslissing is gebaseerd en </w:t>
      </w:r>
      <w:r>
        <w:rPr>
          <w:rFonts w:eastAsia="Calibri" w:cs="Times New Roman"/>
          <w:color w:val="auto"/>
          <w:kern w:val="2"/>
          <w:szCs w:val="22"/>
          <w:lang w:eastAsia="en-US"/>
          <w14:ligatures w14:val="standardContextual"/>
        </w:rPr>
        <w:t xml:space="preserve">het verlenen van inzage </w:t>
      </w:r>
      <w:r w:rsidRPr="00A857A0">
        <w:rPr>
          <w:rFonts w:eastAsia="Calibri" w:cs="Times New Roman"/>
          <w:color w:val="auto"/>
          <w:kern w:val="2"/>
          <w:szCs w:val="22"/>
          <w:lang w:eastAsia="en-US"/>
          <w14:ligatures w14:val="standardContextual"/>
        </w:rPr>
        <w:t>hier</w:t>
      </w:r>
      <w:r>
        <w:rPr>
          <w:rFonts w:eastAsia="Calibri" w:cs="Times New Roman"/>
          <w:color w:val="auto"/>
          <w:kern w:val="2"/>
          <w:szCs w:val="22"/>
          <w:lang w:eastAsia="en-US"/>
          <w14:ligatures w14:val="standardContextual"/>
        </w:rPr>
        <w:t>in</w:t>
      </w:r>
      <w:r w:rsidRPr="00A857A0">
        <w:rPr>
          <w:rFonts w:eastAsia="Calibri" w:cs="Times New Roman"/>
          <w:color w:val="auto"/>
          <w:kern w:val="2"/>
          <w:szCs w:val="22"/>
          <w:lang w:eastAsia="en-US"/>
          <w14:ligatures w14:val="standardContextual"/>
        </w:rPr>
        <w:t xml:space="preserve">. Het gaat bovendien over het toelichten en motiveren van wat </w:t>
      </w:r>
      <w:r>
        <w:rPr>
          <w:rFonts w:eastAsia="Calibri" w:cs="Times New Roman"/>
          <w:color w:val="auto"/>
          <w:kern w:val="2"/>
          <w:szCs w:val="22"/>
          <w:lang w:eastAsia="en-US"/>
          <w14:ligatures w14:val="standardContextual"/>
        </w:rPr>
        <w:t>de Douane</w:t>
      </w:r>
      <w:r w:rsidRPr="00A857A0">
        <w:rPr>
          <w:rFonts w:eastAsia="Calibri" w:cs="Times New Roman"/>
          <w:color w:val="auto"/>
          <w:kern w:val="2"/>
          <w:szCs w:val="22"/>
          <w:lang w:eastAsia="en-US"/>
          <w14:ligatures w14:val="standardContextual"/>
        </w:rPr>
        <w:t xml:space="preserve"> met de door de ondernemer naar voren gebrachte standpunten en ingediende documenten heeft gedaan. Onze eerste bevindingen maken duidelijk dat de Douane in de voorgenomen beslissing in minder dan de helft van de gevallen verwijst naar het recht van de ondernemer op inzage van stukken waarop de beslissing is gebaseerd.</w:t>
      </w:r>
      <w:r w:rsidRPr="005A194C">
        <w:rPr>
          <w:rStyle w:val="Voetnootmarkering"/>
          <w:rFonts w:eastAsia="Calibri" w:cs="Times New Roman"/>
          <w:color w:val="auto"/>
          <w:kern w:val="2"/>
          <w:szCs w:val="22"/>
          <w:lang w:eastAsia="en-US"/>
          <w14:ligatures w14:val="standardContextual"/>
        </w:rPr>
        <w:footnoteReference w:id="6"/>
      </w:r>
      <w:r w:rsidRPr="00A857A0">
        <w:rPr>
          <w:rFonts w:eastAsia="Calibri" w:cs="Times New Roman"/>
          <w:color w:val="auto"/>
          <w:kern w:val="2"/>
          <w:szCs w:val="22"/>
          <w:lang w:eastAsia="en-US"/>
          <w14:ligatures w14:val="standardContextual"/>
        </w:rPr>
        <w:t xml:space="preserve"> Die verwijzing ontbreekt ook in dossiers waar de Douane niet </w:t>
      </w:r>
      <w:r>
        <w:rPr>
          <w:rFonts w:eastAsia="Calibri" w:cs="Times New Roman"/>
          <w:color w:val="auto"/>
          <w:kern w:val="2"/>
          <w:szCs w:val="22"/>
          <w:lang w:eastAsia="en-US"/>
          <w14:ligatures w14:val="standardContextual"/>
        </w:rPr>
        <w:t xml:space="preserve">al </w:t>
      </w:r>
      <w:r w:rsidRPr="00A857A0">
        <w:rPr>
          <w:rFonts w:eastAsia="Calibri" w:cs="Times New Roman"/>
          <w:color w:val="auto"/>
          <w:kern w:val="2"/>
          <w:szCs w:val="22"/>
          <w:lang w:eastAsia="en-US"/>
          <w14:ligatures w14:val="standardContextual"/>
        </w:rPr>
        <w:t>op een andere wijze documenten met de ondernemer heeft gedeeld. Ook stellen we vast dat de Douane in de voornemenfase meestal niet geheel duidelijk maakt hoe zij aankijkt tegen de argumenten en bewijsstukken die de ondernemer in de voornemenfase naar voren heeft gebracht</w:t>
      </w:r>
      <w:r w:rsidRPr="00166A06">
        <w:t xml:space="preserve"> </w:t>
      </w:r>
      <w:r w:rsidRPr="00166A06">
        <w:rPr>
          <w:rFonts w:eastAsia="Calibri" w:cs="Times New Roman"/>
          <w:color w:val="auto"/>
          <w:kern w:val="2"/>
          <w:szCs w:val="22"/>
          <w:lang w:eastAsia="en-US"/>
          <w14:ligatures w14:val="standardContextual"/>
        </w:rPr>
        <w:t>en waarom ingebrachte argumenten of bewijsstukken niet voldoende zijn</w:t>
      </w:r>
      <w:r w:rsidRPr="00A857A0">
        <w:rPr>
          <w:rFonts w:eastAsia="Calibri" w:cs="Times New Roman"/>
          <w:color w:val="auto"/>
          <w:kern w:val="2"/>
          <w:szCs w:val="22"/>
          <w:lang w:eastAsia="en-US"/>
          <w14:ligatures w14:val="standardContextual"/>
        </w:rPr>
        <w:t xml:space="preserve">. Deze onduidelijkheid wordt ook niet weggenomen in de motivering van </w:t>
      </w:r>
      <w:r>
        <w:rPr>
          <w:rFonts w:eastAsia="Calibri" w:cs="Times New Roman"/>
          <w:color w:val="auto"/>
          <w:kern w:val="2"/>
          <w:szCs w:val="22"/>
          <w:lang w:eastAsia="en-US"/>
          <w14:ligatures w14:val="standardContextual"/>
        </w:rPr>
        <w:t>de (definitieve) navordering of naheffingsaanslag</w:t>
      </w:r>
      <w:r w:rsidRPr="00A857A0">
        <w:rPr>
          <w:rFonts w:eastAsia="Calibri" w:cs="Times New Roman"/>
          <w:color w:val="auto"/>
          <w:kern w:val="2"/>
          <w:szCs w:val="22"/>
          <w:lang w:eastAsia="en-US"/>
          <w14:ligatures w14:val="standardContextual"/>
        </w:rPr>
        <w:t>.</w:t>
      </w:r>
    </w:p>
    <w:p w:rsidRPr="00A857A0" w:rsidR="002572FC" w:rsidP="002572FC" w:rsidRDefault="002572FC" w14:paraId="5050AD3B" w14:textId="77777777">
      <w:pPr>
        <w:rPr>
          <w:rFonts w:eastAsia="Calibri" w:cs="Times New Roman"/>
          <w:color w:val="auto"/>
          <w:kern w:val="2"/>
          <w:szCs w:val="22"/>
          <w:lang w:eastAsia="en-US"/>
          <w14:ligatures w14:val="standardContextual"/>
        </w:rPr>
      </w:pPr>
    </w:p>
    <w:p w:rsidRPr="00A857A0" w:rsidR="002572FC" w:rsidP="002572FC" w:rsidRDefault="002572FC" w14:paraId="42129DE7" w14:textId="77777777">
      <w:pPr>
        <w:rPr>
          <w:rFonts w:eastAsia="Calibri" w:cs="Times New Roman"/>
          <w:color w:val="auto"/>
          <w:kern w:val="2"/>
          <w:szCs w:val="22"/>
          <w:lang w:eastAsia="en-US"/>
          <w14:ligatures w14:val="standardContextual"/>
        </w:rPr>
      </w:pPr>
      <w:r w:rsidRPr="00A857A0">
        <w:rPr>
          <w:rFonts w:eastAsia="Calibri" w:cs="Times New Roman"/>
          <w:color w:val="auto"/>
          <w:kern w:val="2"/>
          <w:szCs w:val="22"/>
          <w:lang w:eastAsia="en-US"/>
          <w14:ligatures w14:val="standardContextual"/>
        </w:rPr>
        <w:t xml:space="preserve">Voor de ondernemer is daardoor niet altijd duidelijk en navolgbaar waarop de Douane de (definitieve) beslissing baseert en hoe het standpunt van de ondernemer daarin is meegewogen. De ondernemer is dan ook niet goed in staat om met volledige kennis van zaken te beslissen of hij in bezwaar moet gaan. Wij roepen de Douane daarom op om in lijn met het Unierechtelijke </w:t>
      </w:r>
      <w:r w:rsidRPr="00E70A64">
        <w:rPr>
          <w:rFonts w:eastAsia="Calibri" w:cs="Times New Roman"/>
          <w:color w:val="auto"/>
          <w:kern w:val="2"/>
          <w:szCs w:val="22"/>
          <w:lang w:eastAsia="en-US"/>
          <w14:ligatures w14:val="standardContextual"/>
        </w:rPr>
        <w:t xml:space="preserve">verdedigingsbeginsel en Europese en nationale wetgeving de ondernemer al in de voornemenfase inzage te bieden in de documenten waarop zij de voorgenomen beslissing baseert. </w:t>
      </w:r>
      <w:r>
        <w:rPr>
          <w:rFonts w:eastAsia="Calibri" w:cs="Times New Roman"/>
          <w:color w:val="auto"/>
          <w:kern w:val="2"/>
          <w:szCs w:val="22"/>
          <w:lang w:eastAsia="en-US"/>
          <w14:ligatures w14:val="standardContextual"/>
        </w:rPr>
        <w:t>Zo</w:t>
      </w:r>
      <w:r w:rsidRPr="00166A06">
        <w:rPr>
          <w:rFonts w:eastAsia="Calibri" w:cs="Times New Roman"/>
          <w:color w:val="auto"/>
          <w:kern w:val="2"/>
          <w:szCs w:val="22"/>
          <w:lang w:eastAsia="en-US"/>
          <w14:ligatures w14:val="standardContextual"/>
        </w:rPr>
        <w:t xml:space="preserve"> zou de Douane </w:t>
      </w:r>
      <w:r>
        <w:rPr>
          <w:rFonts w:eastAsia="Calibri" w:cs="Times New Roman"/>
          <w:color w:val="auto"/>
          <w:kern w:val="2"/>
          <w:szCs w:val="22"/>
          <w:lang w:eastAsia="en-US"/>
          <w14:ligatures w14:val="standardContextual"/>
        </w:rPr>
        <w:t xml:space="preserve">in het voornemen </w:t>
      </w:r>
      <w:r w:rsidRPr="00166A06">
        <w:rPr>
          <w:rFonts w:eastAsia="Calibri" w:cs="Times New Roman"/>
          <w:color w:val="auto"/>
          <w:kern w:val="2"/>
          <w:szCs w:val="22"/>
          <w:lang w:eastAsia="en-US"/>
          <w14:ligatures w14:val="standardContextual"/>
        </w:rPr>
        <w:t xml:space="preserve">expliciet </w:t>
      </w:r>
      <w:r>
        <w:rPr>
          <w:rFonts w:eastAsia="Calibri" w:cs="Times New Roman"/>
          <w:color w:val="auto"/>
          <w:kern w:val="2"/>
          <w:szCs w:val="22"/>
          <w:lang w:eastAsia="en-US"/>
          <w14:ligatures w14:val="standardContextual"/>
        </w:rPr>
        <w:t>op het inzagerecht kunnen wijzen;</w:t>
      </w:r>
      <w:r w:rsidRPr="00166A06">
        <w:rPr>
          <w:rFonts w:eastAsia="Calibri" w:cs="Times New Roman"/>
          <w:color w:val="auto"/>
          <w:kern w:val="2"/>
          <w:szCs w:val="22"/>
          <w:lang w:eastAsia="en-US"/>
          <w14:ligatures w14:val="standardContextual"/>
        </w:rPr>
        <w:t xml:space="preserve"> in een klein aantal van de door ons onderzochte </w:t>
      </w:r>
      <w:r w:rsidRPr="00166A06">
        <w:rPr>
          <w:rFonts w:eastAsia="Calibri" w:cs="Times New Roman"/>
          <w:color w:val="auto"/>
          <w:kern w:val="2"/>
          <w:szCs w:val="22"/>
          <w:lang w:eastAsia="en-US"/>
          <w14:ligatures w14:val="standardContextual"/>
        </w:rPr>
        <w:lastRenderedPageBreak/>
        <w:t>dossiers hebben we dit al terug gezien</w:t>
      </w:r>
      <w:r w:rsidRPr="00E70A64">
        <w:rPr>
          <w:rFonts w:eastAsia="Calibri" w:cs="Times New Roman"/>
          <w:color w:val="auto"/>
          <w:kern w:val="2"/>
          <w:szCs w:val="22"/>
          <w:lang w:eastAsia="en-US"/>
          <w14:ligatures w14:val="standardContextual"/>
        </w:rPr>
        <w:t xml:space="preserve">. Ook is het belangrijk dat de Douane </w:t>
      </w:r>
      <w:r>
        <w:rPr>
          <w:rFonts w:eastAsia="Calibri" w:cs="Times New Roman"/>
          <w:color w:val="auto"/>
          <w:kern w:val="2"/>
          <w:szCs w:val="22"/>
          <w:lang w:eastAsia="en-US"/>
          <w14:ligatures w14:val="standardContextual"/>
        </w:rPr>
        <w:t xml:space="preserve">zo vroeg mogelijk </w:t>
      </w:r>
      <w:r w:rsidRPr="00E70A64">
        <w:rPr>
          <w:rFonts w:eastAsia="Calibri" w:cs="Times New Roman"/>
          <w:color w:val="auto"/>
          <w:kern w:val="2"/>
          <w:szCs w:val="22"/>
          <w:lang w:eastAsia="en-US"/>
          <w14:ligatures w14:val="standardContextual"/>
        </w:rPr>
        <w:t>steeds duidelijk motiveert waarop zij haar beslissing baseert en hoe het standpunt en ingebrachte stukken van de ondernemer daarin zijn meegewogen.</w:t>
      </w:r>
      <w:r w:rsidRPr="00E70A64">
        <w:t xml:space="preserve"> </w:t>
      </w:r>
      <w:r w:rsidRPr="00E70A64">
        <w:rPr>
          <w:rFonts w:eastAsia="Calibri" w:cs="Times New Roman"/>
          <w:color w:val="auto"/>
          <w:kern w:val="2"/>
          <w:szCs w:val="22"/>
          <w:lang w:eastAsia="en-US"/>
          <w14:ligatures w14:val="standardContextual"/>
        </w:rPr>
        <w:t>Op</w:t>
      </w:r>
      <w:r w:rsidRPr="00975D26">
        <w:rPr>
          <w:rFonts w:eastAsia="Calibri" w:cs="Times New Roman"/>
          <w:color w:val="auto"/>
          <w:kern w:val="2"/>
          <w:szCs w:val="22"/>
          <w:lang w:eastAsia="en-US"/>
          <w14:ligatures w14:val="standardContextual"/>
        </w:rPr>
        <w:t xml:space="preserve"> die manier kunnen (onnodige) bezwaren en lange procedures worden voorkomen.</w:t>
      </w:r>
      <w:r>
        <w:rPr>
          <w:rFonts w:eastAsia="Calibri" w:cs="Times New Roman"/>
          <w:color w:val="auto"/>
          <w:kern w:val="2"/>
          <w:szCs w:val="22"/>
          <w:lang w:eastAsia="en-US"/>
          <w14:ligatures w14:val="standardContextual"/>
        </w:rPr>
        <w:t xml:space="preserve"> Zoals gezegd voeren we komende tijd graag het gesprek met ondernemers en Douanemedewerkers hoe dit het beste verder vorm kan krijgen.</w:t>
      </w:r>
    </w:p>
    <w:p w:rsidRPr="001F1126" w:rsidR="002572FC" w:rsidP="002572FC" w:rsidRDefault="002572FC" w14:paraId="5F408F37" w14:textId="77777777">
      <w:pPr>
        <w:autoSpaceDN/>
        <w:spacing w:line="259" w:lineRule="auto"/>
        <w:textAlignment w:val="auto"/>
        <w:rPr>
          <w:rFonts w:eastAsia="Calibri" w:cs="Times New Roman"/>
          <w:color w:val="auto"/>
          <w:kern w:val="2"/>
          <w:szCs w:val="22"/>
          <w:lang w:eastAsia="en-US"/>
          <w14:ligatures w14:val="standardContextual"/>
        </w:rPr>
      </w:pPr>
    </w:p>
    <w:p w:rsidR="002572FC" w:rsidP="002572FC" w:rsidRDefault="002572FC" w14:paraId="4AC32B30" w14:textId="77777777">
      <w:pPr>
        <w:numPr>
          <w:ilvl w:val="0"/>
          <w:numId w:val="5"/>
        </w:numPr>
        <w:autoSpaceDN/>
        <w:spacing w:after="160" w:line="259" w:lineRule="auto"/>
        <w:contextualSpacing/>
        <w:textAlignment w:val="auto"/>
        <w:rPr>
          <w:rFonts w:eastAsia="Calibri" w:cs="Times New Roman"/>
          <w:i/>
          <w:iCs/>
          <w:color w:val="auto"/>
          <w:kern w:val="2"/>
          <w:szCs w:val="22"/>
          <w:lang w:eastAsia="en-US"/>
          <w14:ligatures w14:val="standardContextual"/>
        </w:rPr>
      </w:pPr>
      <w:bookmarkStart w:name="_Hlk207977687" w:id="6"/>
      <w:bookmarkEnd w:id="5"/>
      <w:r w:rsidRPr="001F1126">
        <w:rPr>
          <w:rFonts w:eastAsia="Calibri" w:cs="Times New Roman"/>
          <w:i/>
          <w:iCs/>
          <w:color w:val="auto"/>
          <w:kern w:val="2"/>
          <w:szCs w:val="22"/>
          <w:lang w:eastAsia="en-US"/>
          <w14:ligatures w14:val="standardContextual"/>
        </w:rPr>
        <w:t>Informatiehuishouding niet op orde</w:t>
      </w:r>
    </w:p>
    <w:p w:rsidRPr="001F1126" w:rsidR="002572FC" w:rsidP="002572FC" w:rsidRDefault="002572FC" w14:paraId="3C5CB418" w14:textId="77777777">
      <w:pPr>
        <w:autoSpaceDN/>
        <w:spacing w:after="160" w:line="259" w:lineRule="auto"/>
        <w:ind w:left="720"/>
        <w:contextualSpacing/>
        <w:textAlignment w:val="auto"/>
        <w:rPr>
          <w:rFonts w:eastAsia="Calibri" w:cs="Times New Roman"/>
          <w:i/>
          <w:iCs/>
          <w:color w:val="auto"/>
          <w:kern w:val="2"/>
          <w:szCs w:val="22"/>
          <w:lang w:eastAsia="en-US"/>
          <w14:ligatures w14:val="standardContextual"/>
        </w:rPr>
      </w:pPr>
    </w:p>
    <w:bookmarkEnd w:id="6"/>
    <w:p w:rsidR="002572FC" w:rsidP="002572FC" w:rsidRDefault="002572FC" w14:paraId="4B75C686" w14:textId="77777777">
      <w:pPr>
        <w:autoSpaceDN/>
        <w:spacing w:after="160" w:line="259" w:lineRule="auto"/>
        <w:textAlignment w:val="auto"/>
      </w:pPr>
      <w:r>
        <w:rPr>
          <w:rFonts w:eastAsia="Calibri" w:cs="Times New Roman"/>
          <w:color w:val="auto"/>
          <w:kern w:val="2"/>
          <w:szCs w:val="22"/>
          <w:lang w:eastAsia="en-US"/>
          <w14:ligatures w14:val="standardContextual"/>
        </w:rPr>
        <w:t>Tijdens ons onderzoek is ook naar voren gekomen dat de informatiehuishouding van de Douane niet helemaal op orde lijkt te zijn.</w:t>
      </w:r>
      <w:r w:rsidRPr="00A34329">
        <w:rPr>
          <w:rFonts w:eastAsia="Calibri" w:cs="Times New Roman"/>
          <w:color w:val="auto"/>
          <w:kern w:val="2"/>
          <w:szCs w:val="22"/>
          <w:lang w:eastAsia="en-US"/>
          <w14:ligatures w14:val="standardContextual"/>
        </w:rPr>
        <w:t xml:space="preserve"> </w:t>
      </w:r>
      <w:bookmarkStart w:name="_Hlk207977832" w:id="7"/>
      <w:r w:rsidRPr="00A34329">
        <w:rPr>
          <w:rFonts w:eastAsia="Calibri" w:cs="Times New Roman"/>
          <w:color w:val="auto"/>
          <w:kern w:val="2"/>
          <w:szCs w:val="22"/>
          <w:lang w:eastAsia="en-US"/>
          <w14:ligatures w14:val="standardContextual"/>
        </w:rPr>
        <w:t>De relevante stukken uit de verschillende fases van rechtsbescherming moesten uit verschillende systemen en van netwerkschijven worden</w:t>
      </w:r>
      <w:r>
        <w:rPr>
          <w:rFonts w:eastAsia="Calibri" w:cs="Times New Roman"/>
          <w:color w:val="auto"/>
          <w:kern w:val="2"/>
          <w:szCs w:val="22"/>
          <w:lang w:eastAsia="en-US"/>
          <w14:ligatures w14:val="standardContextual"/>
        </w:rPr>
        <w:t xml:space="preserve"> gehaald</w:t>
      </w:r>
      <w:r w:rsidRPr="00A34329">
        <w:rPr>
          <w:rFonts w:eastAsia="Calibri" w:cs="Times New Roman"/>
          <w:color w:val="auto"/>
          <w:kern w:val="2"/>
          <w:szCs w:val="22"/>
          <w:lang w:eastAsia="en-US"/>
          <w14:ligatures w14:val="standardContextual"/>
        </w:rPr>
        <w:t>.</w:t>
      </w:r>
      <w:r>
        <w:rPr>
          <w:rStyle w:val="Voetnootmarkering"/>
          <w:rFonts w:eastAsia="Calibri" w:cs="Times New Roman"/>
          <w:color w:val="auto"/>
          <w:kern w:val="2"/>
          <w:szCs w:val="22"/>
          <w:lang w:eastAsia="en-US"/>
          <w14:ligatures w14:val="standardContextual"/>
        </w:rPr>
        <w:footnoteReference w:id="7"/>
      </w:r>
      <w:r w:rsidRPr="00A34329">
        <w:rPr>
          <w:rFonts w:eastAsia="Calibri" w:cs="Times New Roman"/>
          <w:color w:val="auto"/>
          <w:kern w:val="2"/>
          <w:szCs w:val="22"/>
          <w:lang w:eastAsia="en-US"/>
          <w14:ligatures w14:val="standardContextual"/>
        </w:rPr>
        <w:t xml:space="preserve"> Zo bood het ene systeem zicht op de voornemenfase, maar stukken over het verdere verloop zaten in andere systemen waar minder duidelijk zicht op was.</w:t>
      </w:r>
      <w:bookmarkEnd w:id="7"/>
      <w:r w:rsidRPr="00A34329">
        <w:rPr>
          <w:rFonts w:eastAsia="Calibri" w:cs="Times New Roman"/>
          <w:color w:val="auto"/>
          <w:kern w:val="2"/>
          <w:szCs w:val="22"/>
          <w:lang w:eastAsia="en-US"/>
          <w14:ligatures w14:val="standardContextual"/>
        </w:rPr>
        <w:t xml:space="preserve"> De dossiers die we hebben </w:t>
      </w:r>
      <w:r>
        <w:rPr>
          <w:rFonts w:eastAsia="Calibri" w:cs="Times New Roman"/>
          <w:color w:val="auto"/>
          <w:kern w:val="2"/>
          <w:szCs w:val="22"/>
          <w:lang w:eastAsia="en-US"/>
          <w14:ligatures w14:val="standardContextual"/>
        </w:rPr>
        <w:t xml:space="preserve">opgevraagd </w:t>
      </w:r>
      <w:r w:rsidRPr="00A34329">
        <w:rPr>
          <w:rFonts w:eastAsia="Calibri" w:cs="Times New Roman"/>
          <w:color w:val="auto"/>
          <w:kern w:val="2"/>
          <w:szCs w:val="22"/>
          <w:lang w:eastAsia="en-US"/>
          <w14:ligatures w14:val="standardContextual"/>
        </w:rPr>
        <w:t>zijn bovendien niet allemaal compleet</w:t>
      </w:r>
      <w:r>
        <w:rPr>
          <w:rFonts w:eastAsia="Calibri" w:cs="Times New Roman"/>
          <w:color w:val="auto"/>
          <w:kern w:val="2"/>
          <w:szCs w:val="22"/>
          <w:lang w:eastAsia="en-US"/>
          <w14:ligatures w14:val="standardContextual"/>
        </w:rPr>
        <w:t>. E</w:t>
      </w:r>
      <w:r w:rsidRPr="00A34329">
        <w:rPr>
          <w:rFonts w:eastAsia="Calibri" w:cs="Times New Roman"/>
          <w:color w:val="auto"/>
          <w:kern w:val="2"/>
          <w:szCs w:val="22"/>
          <w:lang w:eastAsia="en-US"/>
          <w14:ligatures w14:val="standardContextual"/>
        </w:rPr>
        <w:t xml:space="preserve">nkele dossiers hebben we daardoor nog niet volledig kunnen </w:t>
      </w:r>
      <w:r>
        <w:rPr>
          <w:rFonts w:eastAsia="Calibri" w:cs="Times New Roman"/>
          <w:color w:val="auto"/>
          <w:kern w:val="2"/>
          <w:szCs w:val="22"/>
          <w:lang w:eastAsia="en-US"/>
          <w14:ligatures w14:val="standardContextual"/>
        </w:rPr>
        <w:t>beoordele</w:t>
      </w:r>
      <w:r w:rsidRPr="00A34329">
        <w:rPr>
          <w:rFonts w:eastAsia="Calibri" w:cs="Times New Roman"/>
          <w:color w:val="auto"/>
          <w:kern w:val="2"/>
          <w:szCs w:val="22"/>
          <w:lang w:eastAsia="en-US"/>
          <w14:ligatures w14:val="standardContextual"/>
        </w:rPr>
        <w:t xml:space="preserve">n op de criteria van rechtsbescherming. De moeizame informatievoorziening </w:t>
      </w:r>
      <w:bookmarkStart w:name="_Hlk207972305" w:id="8"/>
      <w:r>
        <w:rPr>
          <w:rFonts w:eastAsia="Calibri" w:cs="Times New Roman"/>
          <w:color w:val="auto"/>
          <w:kern w:val="2"/>
          <w:szCs w:val="22"/>
          <w:lang w:eastAsia="en-US"/>
          <w14:ligatures w14:val="standardContextual"/>
        </w:rPr>
        <w:t>heeft</w:t>
      </w:r>
      <w:r w:rsidRPr="00A34329">
        <w:rPr>
          <w:rFonts w:eastAsia="Calibri" w:cs="Times New Roman"/>
          <w:color w:val="auto"/>
          <w:kern w:val="2"/>
          <w:szCs w:val="22"/>
          <w:lang w:eastAsia="en-US"/>
          <w14:ligatures w14:val="standardContextual"/>
        </w:rPr>
        <w:t xml:space="preserve"> invloed op ons onderzoek, maar zal ook nadelige effecten </w:t>
      </w:r>
      <w:r>
        <w:rPr>
          <w:rFonts w:eastAsia="Calibri" w:cs="Times New Roman"/>
          <w:color w:val="auto"/>
          <w:kern w:val="2"/>
          <w:szCs w:val="22"/>
          <w:lang w:eastAsia="en-US"/>
          <w14:ligatures w14:val="standardContextual"/>
        </w:rPr>
        <w:t xml:space="preserve">kunnen </w:t>
      </w:r>
      <w:r w:rsidRPr="00A34329">
        <w:rPr>
          <w:rFonts w:eastAsia="Calibri" w:cs="Times New Roman"/>
          <w:color w:val="auto"/>
          <w:kern w:val="2"/>
          <w:szCs w:val="22"/>
          <w:lang w:eastAsia="en-US"/>
          <w14:ligatures w14:val="standardContextual"/>
        </w:rPr>
        <w:t>hebben op de rechtsbescherming</w:t>
      </w:r>
      <w:bookmarkEnd w:id="8"/>
      <w:r w:rsidRPr="00A34329">
        <w:rPr>
          <w:rFonts w:eastAsia="Calibri" w:cs="Times New Roman"/>
          <w:color w:val="auto"/>
          <w:kern w:val="2"/>
          <w:szCs w:val="22"/>
          <w:lang w:eastAsia="en-US"/>
          <w14:ligatures w14:val="standardContextual"/>
        </w:rPr>
        <w:t xml:space="preserve">. Een goede dossieropbouw vanaf de voornemenfase </w:t>
      </w:r>
      <w:r>
        <w:rPr>
          <w:rFonts w:eastAsia="Calibri" w:cs="Times New Roman"/>
          <w:color w:val="auto"/>
          <w:kern w:val="2"/>
          <w:szCs w:val="22"/>
          <w:lang w:eastAsia="en-US"/>
          <w14:ligatures w14:val="standardContextual"/>
        </w:rPr>
        <w:t>bevordert</w:t>
      </w:r>
      <w:r w:rsidRPr="00A34329">
        <w:rPr>
          <w:rFonts w:eastAsia="Calibri" w:cs="Times New Roman"/>
          <w:color w:val="auto"/>
          <w:kern w:val="2"/>
          <w:szCs w:val="22"/>
          <w:lang w:eastAsia="en-US"/>
          <w14:ligatures w14:val="standardContextual"/>
        </w:rPr>
        <w:t xml:space="preserve"> niet alleen de inzage en de </w:t>
      </w:r>
      <w:proofErr w:type="gramStart"/>
      <w:r w:rsidRPr="00A34329">
        <w:rPr>
          <w:rFonts w:eastAsia="Calibri" w:cs="Times New Roman"/>
          <w:color w:val="auto"/>
          <w:kern w:val="2"/>
          <w:szCs w:val="22"/>
          <w:lang w:eastAsia="en-US"/>
          <w14:ligatures w14:val="standardContextual"/>
        </w:rPr>
        <w:t>transparantie ,</w:t>
      </w:r>
      <w:proofErr w:type="gramEnd"/>
      <w:r w:rsidRPr="00A34329">
        <w:rPr>
          <w:rFonts w:eastAsia="Calibri" w:cs="Times New Roman"/>
          <w:color w:val="auto"/>
          <w:kern w:val="2"/>
          <w:szCs w:val="22"/>
          <w:lang w:eastAsia="en-US"/>
          <w14:ligatures w14:val="standardContextual"/>
        </w:rPr>
        <w:t xml:space="preserve"> maar </w:t>
      </w:r>
      <w:r>
        <w:rPr>
          <w:rFonts w:eastAsia="Calibri" w:cs="Times New Roman"/>
          <w:color w:val="auto"/>
          <w:kern w:val="2"/>
          <w:szCs w:val="22"/>
          <w:lang w:eastAsia="en-US"/>
          <w14:ligatures w14:val="standardContextual"/>
        </w:rPr>
        <w:t xml:space="preserve">scheelt </w:t>
      </w:r>
      <w:r w:rsidRPr="00A34329">
        <w:rPr>
          <w:rFonts w:eastAsia="Calibri" w:cs="Times New Roman"/>
          <w:color w:val="auto"/>
          <w:kern w:val="2"/>
          <w:szCs w:val="22"/>
          <w:lang w:eastAsia="en-US"/>
          <w14:ligatures w14:val="standardContextual"/>
        </w:rPr>
        <w:t xml:space="preserve">ook veel werk voor de medewerkers van de Douane zelf. De huidige staat van de informatievoorziening maakt ook dat de Douane </w:t>
      </w:r>
      <w:r>
        <w:rPr>
          <w:rFonts w:eastAsia="Calibri" w:cs="Times New Roman"/>
          <w:color w:val="auto"/>
          <w:kern w:val="2"/>
          <w:szCs w:val="22"/>
          <w:lang w:eastAsia="en-US"/>
          <w14:ligatures w14:val="standardContextual"/>
        </w:rPr>
        <w:t xml:space="preserve">voor dit onderzoek </w:t>
      </w:r>
      <w:r w:rsidRPr="00A34329">
        <w:rPr>
          <w:rFonts w:eastAsia="Calibri" w:cs="Times New Roman"/>
          <w:color w:val="auto"/>
          <w:kern w:val="2"/>
          <w:szCs w:val="22"/>
          <w:lang w:eastAsia="en-US"/>
          <w14:ligatures w14:val="standardContextual"/>
        </w:rPr>
        <w:t xml:space="preserve">geen totaaloverzicht kon bieden van lopende en afgeronde zaken in de verschillende fases van rechtsbescherming (voornemen, bezwaar en beroep) en de resultaten ervan. </w:t>
      </w:r>
    </w:p>
    <w:p w:rsidRPr="00D84160" w:rsidR="002572FC" w:rsidP="002572FC" w:rsidRDefault="002572FC" w14:paraId="004DD94D" w14:textId="77777777">
      <w:pPr>
        <w:autoSpaceDN/>
        <w:spacing w:after="160" w:line="259" w:lineRule="auto"/>
        <w:textAlignment w:val="auto"/>
        <w:rPr>
          <w:rFonts w:eastAsia="Calibri" w:cs="Times New Roman"/>
          <w:i/>
          <w:iCs/>
          <w:color w:val="2E74B5"/>
          <w:kern w:val="2"/>
          <w:szCs w:val="22"/>
          <w:lang w:eastAsia="en-US"/>
          <w14:ligatures w14:val="standardContextual"/>
        </w:rPr>
      </w:pPr>
      <w:r w:rsidRPr="00D84160">
        <w:rPr>
          <w:rFonts w:eastAsia="Calibri" w:cs="Times New Roman"/>
          <w:i/>
          <w:iCs/>
          <w:color w:val="2E74B5"/>
          <w:kern w:val="2"/>
          <w:szCs w:val="22"/>
          <w:lang w:eastAsia="en-US"/>
          <w14:ligatures w14:val="standardContextual"/>
        </w:rPr>
        <w:t>Vervolg</w:t>
      </w:r>
    </w:p>
    <w:p w:rsidR="002572FC" w:rsidP="002572FC" w:rsidRDefault="002572FC" w14:paraId="4596118D" w14:textId="77777777">
      <w:pPr>
        <w:autoSpaceDN/>
        <w:spacing w:after="160" w:line="259" w:lineRule="auto"/>
        <w:textAlignment w:val="auto"/>
      </w:pPr>
      <w:r w:rsidRPr="00D84160">
        <w:rPr>
          <w:rFonts w:eastAsia="Calibri" w:cs="Times New Roman"/>
          <w:color w:val="auto"/>
          <w:kern w:val="2"/>
          <w:szCs w:val="22"/>
          <w:lang w:eastAsia="en-US"/>
          <w14:ligatures w14:val="standardContextual"/>
        </w:rPr>
        <w:t xml:space="preserve">De komende tijd zullen we ons onderzoek richten op de bezwaarfase en op de vraag welke ruimte er </w:t>
      </w:r>
      <w:r>
        <w:rPr>
          <w:rFonts w:eastAsia="Calibri" w:cs="Times New Roman"/>
          <w:color w:val="auto"/>
          <w:kern w:val="2"/>
          <w:szCs w:val="22"/>
          <w:lang w:eastAsia="en-US"/>
          <w14:ligatures w14:val="standardContextual"/>
        </w:rPr>
        <w:t>‘</w:t>
      </w:r>
      <w:r w:rsidRPr="00D84160">
        <w:rPr>
          <w:rFonts w:eastAsia="Calibri" w:cs="Times New Roman"/>
          <w:color w:val="auto"/>
          <w:kern w:val="2"/>
          <w:szCs w:val="22"/>
          <w:lang w:eastAsia="en-US"/>
          <w14:ligatures w14:val="standardContextual"/>
        </w:rPr>
        <w:t>vanuit Europa</w:t>
      </w:r>
      <w:r>
        <w:rPr>
          <w:rFonts w:eastAsia="Calibri" w:cs="Times New Roman"/>
          <w:color w:val="auto"/>
          <w:kern w:val="2"/>
          <w:szCs w:val="22"/>
          <w:lang w:eastAsia="en-US"/>
          <w14:ligatures w14:val="standardContextual"/>
        </w:rPr>
        <w:t>’</w:t>
      </w:r>
      <w:r w:rsidRPr="00D84160">
        <w:rPr>
          <w:rFonts w:eastAsia="Calibri" w:cs="Times New Roman"/>
          <w:color w:val="auto"/>
          <w:kern w:val="2"/>
          <w:szCs w:val="22"/>
          <w:lang w:eastAsia="en-US"/>
          <w14:ligatures w14:val="standardContextual"/>
        </w:rPr>
        <w:t xml:space="preserve"> voor de Douane wordt geboden om in redelijkheid te handelen. We gaan het gesprek aan met nationale Douanemedewerkers én met medewerkers van de Europese Commissie om daar meer helderheid over te verkrijgen. We verwachten in de eerste helft van 2026 ons eindrapport te publiceren. Daarin zullen we uitgebreider ingaan op de totale bevindingen van dit onderzoek.</w:t>
      </w:r>
    </w:p>
    <w:bookmarkEnd w:id="2"/>
    <w:p w:rsidR="00962101" w:rsidRDefault="00962101" w14:paraId="292C1901" w14:textId="77777777"/>
    <w:p w:rsidR="00962101" w:rsidRDefault="00962101" w14:paraId="1BC807DE" w14:textId="77777777"/>
    <w:p w:rsidR="00962101" w:rsidRDefault="00962101" w14:paraId="63E29495" w14:textId="77777777"/>
    <w:p w:rsidR="00962101" w:rsidRDefault="00962101" w14:paraId="066AF62B" w14:textId="77777777"/>
    <w:p w:rsidR="00962101" w:rsidRDefault="00962101" w14:paraId="50728186" w14:textId="77777777"/>
    <w:p w:rsidR="00962101" w:rsidRDefault="00962101" w14:paraId="53DFCA78" w14:textId="77777777"/>
    <w:p w:rsidR="00962101" w:rsidRDefault="009C1B53" w14:paraId="4B6740CC" w14:textId="77777777">
      <w:r>
        <w:t>Bart Snels</w:t>
      </w:r>
    </w:p>
    <w:p w:rsidR="002572FC" w:rsidRDefault="002572FC" w14:paraId="532DBED4" w14:textId="77777777">
      <w:r w:rsidRPr="002572FC">
        <w:t>Inspecteur-generaal</w:t>
      </w:r>
    </w:p>
    <w:p w:rsidR="00962101" w:rsidRDefault="00962101" w14:paraId="1CFEBA5D" w14:textId="77777777"/>
    <w:sectPr w:rsidR="00962101">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1375" w14:textId="77777777" w:rsidR="002572FC" w:rsidRDefault="002572FC">
      <w:pPr>
        <w:spacing w:line="240" w:lineRule="auto"/>
      </w:pPr>
      <w:r>
        <w:separator/>
      </w:r>
    </w:p>
  </w:endnote>
  <w:endnote w:type="continuationSeparator" w:id="0">
    <w:p w14:paraId="7381634B" w14:textId="77777777" w:rsidR="002572FC" w:rsidRDefault="00257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C9AE" w14:textId="77777777" w:rsidR="00962101" w:rsidRDefault="0096210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7613" w14:textId="77777777" w:rsidR="002572FC" w:rsidRDefault="002572FC">
      <w:pPr>
        <w:spacing w:line="240" w:lineRule="auto"/>
      </w:pPr>
      <w:r>
        <w:separator/>
      </w:r>
    </w:p>
  </w:footnote>
  <w:footnote w:type="continuationSeparator" w:id="0">
    <w:p w14:paraId="08AA7568" w14:textId="77777777" w:rsidR="002572FC" w:rsidRDefault="002572FC">
      <w:pPr>
        <w:spacing w:line="240" w:lineRule="auto"/>
      </w:pPr>
      <w:r>
        <w:continuationSeparator/>
      </w:r>
    </w:p>
  </w:footnote>
  <w:footnote w:id="1">
    <w:p w14:paraId="4690BEDB" w14:textId="77777777" w:rsidR="002572FC" w:rsidRPr="00E32583" w:rsidRDefault="002572FC" w:rsidP="002572FC">
      <w:pPr>
        <w:pStyle w:val="Voetnoottekst1"/>
        <w:rPr>
          <w:sz w:val="16"/>
          <w:szCs w:val="16"/>
        </w:rPr>
      </w:pPr>
      <w:r w:rsidRPr="00E32583">
        <w:rPr>
          <w:rStyle w:val="Voetnootmarkering"/>
          <w:sz w:val="16"/>
          <w:szCs w:val="16"/>
        </w:rPr>
        <w:footnoteRef/>
      </w:r>
      <w:r w:rsidRPr="00E32583">
        <w:rPr>
          <w:sz w:val="16"/>
          <w:szCs w:val="16"/>
        </w:rPr>
        <w:t xml:space="preserve"> </w:t>
      </w:r>
      <w:r w:rsidRPr="005E118F">
        <w:rPr>
          <w:rFonts w:ascii="Verdana" w:hAnsi="Verdana"/>
          <w:sz w:val="16"/>
          <w:szCs w:val="16"/>
        </w:rPr>
        <w:t xml:space="preserve">Zie </w:t>
      </w:r>
      <w:bookmarkStart w:id="1" w:name="_Hlk207965207"/>
      <w:r w:rsidRPr="005E118F">
        <w:rPr>
          <w:rFonts w:ascii="Verdana" w:hAnsi="Verdana"/>
          <w:sz w:val="16"/>
          <w:szCs w:val="16"/>
        </w:rPr>
        <w:fldChar w:fldCharType="begin"/>
      </w:r>
      <w:r w:rsidRPr="005E118F">
        <w:rPr>
          <w:rFonts w:ascii="Verdana" w:hAnsi="Verdana"/>
          <w:sz w:val="16"/>
          <w:szCs w:val="16"/>
        </w:rPr>
        <w:instrText>HYPERLINK "https://www.inspectiebtd.nl/lopende-onderzoeken/documenten/publicaties/2024/09/05/plan-van-aanpak-onderzoek-rechtsbescherming-bij-geschillen-over-douaneheffingen"</w:instrText>
      </w:r>
      <w:r w:rsidRPr="005E118F">
        <w:rPr>
          <w:rFonts w:ascii="Verdana" w:hAnsi="Verdana"/>
          <w:sz w:val="16"/>
          <w:szCs w:val="16"/>
        </w:rPr>
      </w:r>
      <w:r w:rsidRPr="005E118F">
        <w:rPr>
          <w:rFonts w:ascii="Verdana" w:hAnsi="Verdana"/>
          <w:sz w:val="16"/>
          <w:szCs w:val="16"/>
        </w:rPr>
        <w:fldChar w:fldCharType="separate"/>
      </w:r>
      <w:r w:rsidRPr="005E118F">
        <w:rPr>
          <w:rStyle w:val="Hyperlink"/>
          <w:rFonts w:ascii="Verdana" w:hAnsi="Verdana"/>
          <w:sz w:val="16"/>
          <w:szCs w:val="16"/>
        </w:rPr>
        <w:t>Plan van aanpak onderzoek rechtsbescherming bij geschillen over douaneheffingen | Publicatie | Inspectie belastingen, toeslagen en douane</w:t>
      </w:r>
      <w:r w:rsidRPr="005E118F">
        <w:rPr>
          <w:rFonts w:ascii="Verdana" w:hAnsi="Verdana"/>
          <w:sz w:val="16"/>
          <w:szCs w:val="16"/>
        </w:rPr>
        <w:fldChar w:fldCharType="end"/>
      </w:r>
      <w:r w:rsidRPr="005E118F">
        <w:rPr>
          <w:rFonts w:ascii="Verdana" w:hAnsi="Verdana"/>
          <w:sz w:val="16"/>
          <w:szCs w:val="16"/>
        </w:rPr>
        <w:t>.</w:t>
      </w:r>
      <w:bookmarkEnd w:id="1"/>
      <w:r w:rsidRPr="000F7325">
        <w:t xml:space="preserve"> </w:t>
      </w:r>
      <w:r>
        <w:rPr>
          <w:rFonts w:ascii="Verdana" w:hAnsi="Verdana"/>
          <w:sz w:val="16"/>
          <w:szCs w:val="16"/>
        </w:rPr>
        <w:t xml:space="preserve">Bij Douaneheffingen gaat het </w:t>
      </w:r>
      <w:r w:rsidRPr="000F7325">
        <w:rPr>
          <w:rFonts w:ascii="Verdana" w:hAnsi="Verdana"/>
          <w:sz w:val="16"/>
          <w:szCs w:val="16"/>
        </w:rPr>
        <w:t>om heffingen op grond van Europese wet- en regelgeving, zoals invoerrechten en antidumpingheffingen of heffingen op grond van nationale wetgeving, zoals accijnzen of verbruiksbelasting.</w:t>
      </w:r>
    </w:p>
  </w:footnote>
  <w:footnote w:id="2">
    <w:p w14:paraId="39F6AF00" w14:textId="77777777" w:rsidR="002572FC" w:rsidRPr="00D7575D" w:rsidRDefault="002572FC" w:rsidP="002572FC">
      <w:pPr>
        <w:pStyle w:val="Voetnoottekst"/>
        <w:rPr>
          <w:sz w:val="16"/>
          <w:szCs w:val="16"/>
        </w:rPr>
      </w:pPr>
      <w:r w:rsidRPr="00D7575D">
        <w:rPr>
          <w:rStyle w:val="Voetnootmarkering"/>
          <w:sz w:val="16"/>
          <w:szCs w:val="16"/>
        </w:rPr>
        <w:footnoteRef/>
      </w:r>
      <w:r w:rsidRPr="00D7575D">
        <w:rPr>
          <w:sz w:val="16"/>
          <w:szCs w:val="16"/>
        </w:rPr>
        <w:t xml:space="preserve"> Waar wij in deze brief van ondernemers spreken bedoelen wij daarmee ook Douanevertegenwoordiger </w:t>
      </w:r>
      <w:r>
        <w:rPr>
          <w:sz w:val="16"/>
          <w:szCs w:val="16"/>
        </w:rPr>
        <w:t>en adviseurs</w:t>
      </w:r>
      <w:r w:rsidRPr="00D7575D">
        <w:rPr>
          <w:sz w:val="16"/>
          <w:szCs w:val="16"/>
        </w:rPr>
        <w:t>. Omwille van de leesbaarheid spreken we bij de ondernemer van ‘hij’ waar uiteraard ook ‘zij’ of ‘die’ kan worden gelezen.</w:t>
      </w:r>
    </w:p>
  </w:footnote>
  <w:footnote w:id="3">
    <w:p w14:paraId="47A46BDD" w14:textId="77777777" w:rsidR="002572FC" w:rsidRPr="00503D63" w:rsidRDefault="002572FC" w:rsidP="002572FC">
      <w:pPr>
        <w:pStyle w:val="Voetnoottekst"/>
        <w:rPr>
          <w:sz w:val="16"/>
          <w:szCs w:val="16"/>
        </w:rPr>
      </w:pPr>
      <w:r w:rsidRPr="00503D63">
        <w:rPr>
          <w:rStyle w:val="Voetnootmarkering"/>
          <w:sz w:val="16"/>
          <w:szCs w:val="16"/>
        </w:rPr>
        <w:footnoteRef/>
      </w:r>
      <w:r w:rsidRPr="00503D63">
        <w:rPr>
          <w:sz w:val="16"/>
          <w:szCs w:val="16"/>
        </w:rPr>
        <w:t xml:space="preserve"> </w:t>
      </w:r>
      <w:r w:rsidRPr="00A35955">
        <w:rPr>
          <w:sz w:val="16"/>
          <w:szCs w:val="16"/>
        </w:rPr>
        <w:t xml:space="preserve">Van de 86 dossiers hadden 27 dossiers betrekking op rechtszaken waarin de uitspraak op beroep, hoger beroep of cassatie onherroepelijk is. </w:t>
      </w:r>
      <w:r>
        <w:rPr>
          <w:sz w:val="16"/>
          <w:szCs w:val="16"/>
        </w:rPr>
        <w:t xml:space="preserve">Om een actueler beeld te </w:t>
      </w:r>
      <w:r w:rsidRPr="00A35955">
        <w:rPr>
          <w:sz w:val="16"/>
          <w:szCs w:val="16"/>
        </w:rPr>
        <w:t>krijgen van de rechtsbescherming in de voornemen</w:t>
      </w:r>
      <w:r>
        <w:rPr>
          <w:sz w:val="16"/>
          <w:szCs w:val="16"/>
        </w:rPr>
        <w:t>fase</w:t>
      </w:r>
      <w:r w:rsidRPr="00A35955">
        <w:rPr>
          <w:sz w:val="16"/>
          <w:szCs w:val="16"/>
        </w:rPr>
        <w:t xml:space="preserve">, hebben we in aanvulling op de 27 gerechtelijke dossiers ook 59 dossiers </w:t>
      </w:r>
      <w:r>
        <w:rPr>
          <w:sz w:val="16"/>
          <w:szCs w:val="16"/>
        </w:rPr>
        <w:t>geselecteer</w:t>
      </w:r>
      <w:r w:rsidRPr="00A35955">
        <w:rPr>
          <w:sz w:val="16"/>
          <w:szCs w:val="16"/>
        </w:rPr>
        <w:t xml:space="preserve">d van </w:t>
      </w:r>
      <w:r>
        <w:rPr>
          <w:sz w:val="16"/>
          <w:szCs w:val="16"/>
        </w:rPr>
        <w:t xml:space="preserve">meer actuele </w:t>
      </w:r>
      <w:r w:rsidRPr="00A35955">
        <w:rPr>
          <w:sz w:val="16"/>
          <w:szCs w:val="16"/>
        </w:rPr>
        <w:t>zaken waarin de Douane in de eerste helft van 2024 van mening was dat er een correctie doorgevoerd moest worden.</w:t>
      </w:r>
      <w:r w:rsidRPr="00A4351F">
        <w:rPr>
          <w:sz w:val="16"/>
          <w:szCs w:val="16"/>
        </w:rPr>
        <w:t xml:space="preserve"> </w:t>
      </w:r>
      <w:r>
        <w:rPr>
          <w:sz w:val="16"/>
          <w:szCs w:val="16"/>
        </w:rPr>
        <w:t>Bij de selectie hebben we rekening gehouden met spreiding van zaken over de verschillende kantoren, spreiding in bedragen en dat de selectie zowel zaken bevatte over nationale- als over Europese heffingen. Op deze manier onderzochten we zaken die op verschillende vlakken van elkaar verschilden. Dit stelt ons in staat om ook uitspraken te doen van meer algemene aard. De dossiers over de rechtszaken geven ons ook zicht op de bezwaarfase, maar dit is minder actueel</w:t>
      </w:r>
      <w:r>
        <w:t xml:space="preserve"> </w:t>
      </w:r>
      <w:r w:rsidRPr="003B7933">
        <w:rPr>
          <w:sz w:val="16"/>
          <w:szCs w:val="16"/>
        </w:rPr>
        <w:t>omdat de oorsprong van het geschil bij deze rechtszaken vaak wat verder terug in de tijd ligt.</w:t>
      </w:r>
    </w:p>
  </w:footnote>
  <w:footnote w:id="4">
    <w:p w14:paraId="09CAE776" w14:textId="77777777" w:rsidR="002572FC" w:rsidRPr="0021377D" w:rsidRDefault="002572FC" w:rsidP="002572FC">
      <w:pPr>
        <w:pStyle w:val="Voetnoottekst"/>
      </w:pPr>
      <w:r>
        <w:rPr>
          <w:rStyle w:val="Voetnootmarkering"/>
        </w:rPr>
        <w:footnoteRef/>
      </w:r>
      <w:r w:rsidRPr="0021377D">
        <w:t xml:space="preserve"> </w:t>
      </w:r>
      <w:r>
        <w:rPr>
          <w:sz w:val="16"/>
          <w:szCs w:val="16"/>
        </w:rPr>
        <w:t>Deze zijn onder</w:t>
      </w:r>
      <w:r w:rsidRPr="0021377D">
        <w:rPr>
          <w:sz w:val="16"/>
          <w:szCs w:val="16"/>
        </w:rPr>
        <w:t xml:space="preserve"> meer </w:t>
      </w:r>
      <w:r>
        <w:rPr>
          <w:sz w:val="16"/>
          <w:szCs w:val="16"/>
        </w:rPr>
        <w:t xml:space="preserve">ontleend aan </w:t>
      </w:r>
      <w:r w:rsidRPr="0021377D">
        <w:rPr>
          <w:sz w:val="16"/>
          <w:szCs w:val="16"/>
        </w:rPr>
        <w:t>het Handvest van de grondrechten van de Europese Unie, de Algemene wet bestuursrecht, de algemene beginselen van behoorlijk bestuur, de Algemene Wet Rijksbelastingen en het Douanewetboek van de Unie.</w:t>
      </w:r>
      <w:r>
        <w:rPr>
          <w:sz w:val="16"/>
          <w:szCs w:val="16"/>
        </w:rPr>
        <w:t xml:space="preserve"> De criteria zijn uitgeschreven in </w:t>
      </w:r>
      <w:hyperlink r:id="rId1" w:history="1">
        <w:r w:rsidRPr="00E32583">
          <w:rPr>
            <w:rStyle w:val="Hyperlink"/>
            <w:sz w:val="16"/>
            <w:szCs w:val="16"/>
          </w:rPr>
          <w:t>Plan van aanpak onderzoek rechtsbescherming bij geschillen over douaneheffingen | Publicatie | Inspectie belastingen, toeslagen en douane</w:t>
        </w:r>
      </w:hyperlink>
      <w:r w:rsidRPr="00E32583">
        <w:rPr>
          <w:sz w:val="16"/>
          <w:szCs w:val="16"/>
        </w:rPr>
        <w:t>.</w:t>
      </w:r>
    </w:p>
  </w:footnote>
  <w:footnote w:id="5">
    <w:p w14:paraId="481E5C1B" w14:textId="77777777" w:rsidR="002572FC" w:rsidRPr="00E70A31" w:rsidRDefault="002572FC" w:rsidP="002572FC">
      <w:pPr>
        <w:pStyle w:val="Voetnoottekst"/>
        <w:rPr>
          <w:sz w:val="16"/>
          <w:szCs w:val="16"/>
        </w:rPr>
      </w:pPr>
      <w:r>
        <w:rPr>
          <w:rStyle w:val="Voetnootmarkering"/>
        </w:rPr>
        <w:footnoteRef/>
      </w:r>
      <w:r>
        <w:t xml:space="preserve"> </w:t>
      </w:r>
      <w:r>
        <w:rPr>
          <w:sz w:val="16"/>
          <w:szCs w:val="16"/>
        </w:rPr>
        <w:t xml:space="preserve">De voornemenfase bevat ook de verificatiefase. Dit </w:t>
      </w:r>
      <w:r w:rsidRPr="00C56501">
        <w:rPr>
          <w:sz w:val="16"/>
          <w:szCs w:val="16"/>
        </w:rPr>
        <w:t>is de fase van de start van een controle van een aangifte tot en met het innemen van een douanestandpunt</w:t>
      </w:r>
      <w:r>
        <w:rPr>
          <w:sz w:val="16"/>
          <w:szCs w:val="16"/>
        </w:rPr>
        <w:t>.</w:t>
      </w:r>
    </w:p>
  </w:footnote>
  <w:footnote w:id="6">
    <w:p w14:paraId="4FC0412A" w14:textId="77777777" w:rsidR="002572FC" w:rsidRDefault="002572FC" w:rsidP="002572FC">
      <w:pPr>
        <w:pStyle w:val="Voetnoottekst"/>
      </w:pPr>
      <w:r>
        <w:rPr>
          <w:rStyle w:val="Voetnootmarkering"/>
        </w:rPr>
        <w:footnoteRef/>
      </w:r>
      <w:r>
        <w:t xml:space="preserve"> </w:t>
      </w:r>
      <w:r w:rsidRPr="00CA3BDF">
        <w:rPr>
          <w:sz w:val="16"/>
          <w:szCs w:val="16"/>
        </w:rPr>
        <w:t>Dit z</w:t>
      </w:r>
      <w:r>
        <w:rPr>
          <w:sz w:val="16"/>
          <w:szCs w:val="16"/>
        </w:rPr>
        <w:t>ie</w:t>
      </w:r>
      <w:r w:rsidRPr="00CA3BDF">
        <w:rPr>
          <w:sz w:val="16"/>
          <w:szCs w:val="16"/>
        </w:rPr>
        <w:t xml:space="preserve">n we </w:t>
      </w:r>
      <w:r>
        <w:rPr>
          <w:sz w:val="16"/>
          <w:szCs w:val="16"/>
        </w:rPr>
        <w:t>met name</w:t>
      </w:r>
      <w:r w:rsidRPr="00CA3BDF">
        <w:rPr>
          <w:sz w:val="16"/>
          <w:szCs w:val="16"/>
        </w:rPr>
        <w:t xml:space="preserve"> bij de </w:t>
      </w:r>
      <w:r>
        <w:rPr>
          <w:sz w:val="16"/>
          <w:szCs w:val="16"/>
        </w:rPr>
        <w:t xml:space="preserve">actuele </w:t>
      </w:r>
      <w:r w:rsidRPr="00CA3BDF">
        <w:rPr>
          <w:sz w:val="16"/>
          <w:szCs w:val="16"/>
        </w:rPr>
        <w:t xml:space="preserve">zaken die Europese heffingen </w:t>
      </w:r>
      <w:r>
        <w:rPr>
          <w:sz w:val="16"/>
          <w:szCs w:val="16"/>
        </w:rPr>
        <w:t xml:space="preserve">(aangiftebehandeling) </w:t>
      </w:r>
      <w:r w:rsidRPr="00CA3BDF">
        <w:rPr>
          <w:sz w:val="16"/>
          <w:szCs w:val="16"/>
        </w:rPr>
        <w:t>betr</w:t>
      </w:r>
      <w:r>
        <w:rPr>
          <w:sz w:val="16"/>
          <w:szCs w:val="16"/>
        </w:rPr>
        <w:t>e</w:t>
      </w:r>
      <w:r w:rsidRPr="00CA3BDF">
        <w:rPr>
          <w:sz w:val="16"/>
          <w:szCs w:val="16"/>
        </w:rPr>
        <w:t>ffen en in mindere mate bij accijnszaken.</w:t>
      </w:r>
      <w:r>
        <w:rPr>
          <w:sz w:val="16"/>
          <w:szCs w:val="16"/>
        </w:rPr>
        <w:t xml:space="preserve"> De actuele dossiers bevatten ook zaken waar de </w:t>
      </w:r>
      <w:r w:rsidRPr="00CA3BDF">
        <w:rPr>
          <w:sz w:val="16"/>
          <w:szCs w:val="16"/>
        </w:rPr>
        <w:t>correctie op verzoek van de ondernemer zelf</w:t>
      </w:r>
      <w:r>
        <w:rPr>
          <w:sz w:val="16"/>
          <w:szCs w:val="16"/>
        </w:rPr>
        <w:t xml:space="preserve"> tijdens de controle werd doorgevoerd. Dan is er geen voornemenfase; deze dossiers zijn op dit punt buiten beschouwing gelaten.</w:t>
      </w:r>
    </w:p>
  </w:footnote>
  <w:footnote w:id="7">
    <w:p w14:paraId="1D90BB6E" w14:textId="77777777" w:rsidR="002572FC" w:rsidRPr="003E2811" w:rsidRDefault="002572FC" w:rsidP="002572FC">
      <w:pPr>
        <w:pStyle w:val="Voetnoottekst"/>
        <w:rPr>
          <w:sz w:val="16"/>
          <w:szCs w:val="16"/>
        </w:rPr>
      </w:pPr>
      <w:r>
        <w:rPr>
          <w:rStyle w:val="Voetnootmarkering"/>
        </w:rPr>
        <w:footnoteRef/>
      </w:r>
      <w:r>
        <w:t xml:space="preserve"> </w:t>
      </w:r>
      <w:r>
        <w:rPr>
          <w:sz w:val="16"/>
          <w:szCs w:val="16"/>
        </w:rPr>
        <w:t xml:space="preserve">Iets vergelijkbaars zien we bij de Belastingdienst; zie ons onlangs gepubliceerde </w:t>
      </w:r>
      <w:hyperlink r:id="rId2" w:history="1">
        <w:r w:rsidRPr="003E2811">
          <w:rPr>
            <w:color w:val="0000FF"/>
            <w:sz w:val="16"/>
            <w:szCs w:val="16"/>
            <w:u w:val="single"/>
          </w:rPr>
          <w:t>Onderzoeksrapport 'Rechtsbescherming in het geding' | Publicatie | Inspectie belastingen, toeslagen en douane</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E85A" w14:textId="77777777" w:rsidR="00962101" w:rsidRDefault="009C1B53">
    <w:r>
      <w:rPr>
        <w:noProof/>
      </w:rPr>
      <mc:AlternateContent>
        <mc:Choice Requires="wps">
          <w:drawing>
            <wp:anchor distT="0" distB="0" distL="0" distR="0" simplePos="0" relativeHeight="251652096" behindDoc="0" locked="1" layoutInCell="1" allowOverlap="1" wp14:anchorId="6FB1C5EA" wp14:editId="1202A729">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F5973B" w14:textId="77777777" w:rsidR="009C1B53" w:rsidRDefault="009C1B53"/>
                      </w:txbxContent>
                    </wps:txbx>
                    <wps:bodyPr vert="horz" wrap="square" lIns="0" tIns="0" rIns="0" bIns="0" anchor="t" anchorCtr="0"/>
                  </wps:wsp>
                </a:graphicData>
              </a:graphic>
            </wp:anchor>
          </w:drawing>
        </mc:Choice>
        <mc:Fallback>
          <w:pict>
            <v:shapetype w14:anchorId="6FB1C5E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2F5973B" w14:textId="77777777" w:rsidR="009C1B53" w:rsidRDefault="009C1B53"/>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0AD37AD5" wp14:editId="6E1BF3ED">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4FF444" w14:textId="77777777" w:rsidR="00962101" w:rsidRDefault="009C1B53">
                          <w:pPr>
                            <w:pStyle w:val="Referentiegegevensbold"/>
                          </w:pPr>
                          <w:r>
                            <w:t>Inspectie belastingen, toeslagen en douane</w:t>
                          </w:r>
                        </w:p>
                        <w:p w14:paraId="255ABF7B" w14:textId="77777777" w:rsidR="00962101" w:rsidRDefault="00962101">
                          <w:pPr>
                            <w:pStyle w:val="WitregelW2"/>
                          </w:pPr>
                        </w:p>
                        <w:p w14:paraId="257095F2" w14:textId="77777777" w:rsidR="00962101" w:rsidRDefault="009C1B53">
                          <w:pPr>
                            <w:pStyle w:val="Referentiegegevensbold"/>
                          </w:pPr>
                          <w:r>
                            <w:t>Datum</w:t>
                          </w:r>
                        </w:p>
                        <w:p w14:paraId="6B352A98" w14:textId="77777777" w:rsidR="00962101" w:rsidRDefault="000E45B0">
                          <w:pPr>
                            <w:pStyle w:val="Referentiegegevens"/>
                          </w:pPr>
                          <w:sdt>
                            <w:sdtPr>
                              <w:id w:val="-470750060"/>
                              <w:date w:fullDate="2025-09-30T00:00:00Z">
                                <w:dateFormat w:val="d MMMM yyyy"/>
                                <w:lid w:val="nl"/>
                                <w:storeMappedDataAs w:val="dateTime"/>
                                <w:calendar w:val="gregorian"/>
                              </w:date>
                            </w:sdtPr>
                            <w:sdtEndPr/>
                            <w:sdtContent>
                              <w:r w:rsidR="000A5FE7">
                                <w:rPr>
                                  <w:lang w:val="nl"/>
                                </w:rPr>
                                <w:t>30 september 2025</w:t>
                              </w:r>
                            </w:sdtContent>
                          </w:sdt>
                        </w:p>
                        <w:p w14:paraId="71B00692" w14:textId="77777777" w:rsidR="00962101" w:rsidRDefault="00962101">
                          <w:pPr>
                            <w:pStyle w:val="WitregelW1"/>
                          </w:pPr>
                        </w:p>
                        <w:p w14:paraId="08F90AE6" w14:textId="77777777" w:rsidR="00962101" w:rsidRDefault="009C1B53">
                          <w:pPr>
                            <w:pStyle w:val="Referentiegegevensbold"/>
                          </w:pPr>
                          <w:r>
                            <w:t>Onze referentie</w:t>
                          </w:r>
                        </w:p>
                        <w:p w14:paraId="5523D6C5" w14:textId="77777777" w:rsidR="00571A4A" w:rsidRDefault="000E45B0">
                          <w:pPr>
                            <w:pStyle w:val="Referentiegegevens"/>
                          </w:pPr>
                          <w:r>
                            <w:fldChar w:fldCharType="begin"/>
                          </w:r>
                          <w:r>
                            <w:instrText xml:space="preserve"> DOCPROPERTY  "Kenmerk"  \* MERGEFORMAT </w:instrText>
                          </w:r>
                          <w:r>
                            <w:fldChar w:fldCharType="separate"/>
                          </w:r>
                          <w:r>
                            <w:t>2025-0000469689</w:t>
                          </w:r>
                          <w:r>
                            <w:fldChar w:fldCharType="end"/>
                          </w:r>
                        </w:p>
                      </w:txbxContent>
                    </wps:txbx>
                    <wps:bodyPr vert="horz" wrap="square" lIns="0" tIns="0" rIns="0" bIns="0" anchor="t" anchorCtr="0"/>
                  </wps:wsp>
                </a:graphicData>
              </a:graphic>
            </wp:anchor>
          </w:drawing>
        </mc:Choice>
        <mc:Fallback>
          <w:pict>
            <v:shape w14:anchorId="0AD37AD5"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B4FF444" w14:textId="77777777" w:rsidR="00962101" w:rsidRDefault="009C1B53">
                    <w:pPr>
                      <w:pStyle w:val="Referentiegegevensbold"/>
                    </w:pPr>
                    <w:r>
                      <w:t>Inspectie belastingen, toeslagen en douane</w:t>
                    </w:r>
                  </w:p>
                  <w:p w14:paraId="255ABF7B" w14:textId="77777777" w:rsidR="00962101" w:rsidRDefault="00962101">
                    <w:pPr>
                      <w:pStyle w:val="WitregelW2"/>
                    </w:pPr>
                  </w:p>
                  <w:p w14:paraId="257095F2" w14:textId="77777777" w:rsidR="00962101" w:rsidRDefault="009C1B53">
                    <w:pPr>
                      <w:pStyle w:val="Referentiegegevensbold"/>
                    </w:pPr>
                    <w:r>
                      <w:t>Datum</w:t>
                    </w:r>
                  </w:p>
                  <w:p w14:paraId="6B352A98" w14:textId="77777777" w:rsidR="00962101" w:rsidRDefault="000E45B0">
                    <w:pPr>
                      <w:pStyle w:val="Referentiegegevens"/>
                    </w:pPr>
                    <w:sdt>
                      <w:sdtPr>
                        <w:id w:val="-470750060"/>
                        <w:date w:fullDate="2025-09-30T00:00:00Z">
                          <w:dateFormat w:val="d MMMM yyyy"/>
                          <w:lid w:val="nl"/>
                          <w:storeMappedDataAs w:val="dateTime"/>
                          <w:calendar w:val="gregorian"/>
                        </w:date>
                      </w:sdtPr>
                      <w:sdtEndPr/>
                      <w:sdtContent>
                        <w:r w:rsidR="000A5FE7">
                          <w:rPr>
                            <w:lang w:val="nl"/>
                          </w:rPr>
                          <w:t>30 september 2025</w:t>
                        </w:r>
                      </w:sdtContent>
                    </w:sdt>
                  </w:p>
                  <w:p w14:paraId="71B00692" w14:textId="77777777" w:rsidR="00962101" w:rsidRDefault="00962101">
                    <w:pPr>
                      <w:pStyle w:val="WitregelW1"/>
                    </w:pPr>
                  </w:p>
                  <w:p w14:paraId="08F90AE6" w14:textId="77777777" w:rsidR="00962101" w:rsidRDefault="009C1B53">
                    <w:pPr>
                      <w:pStyle w:val="Referentiegegevensbold"/>
                    </w:pPr>
                    <w:r>
                      <w:t>Onze referentie</w:t>
                    </w:r>
                  </w:p>
                  <w:p w14:paraId="5523D6C5" w14:textId="77777777" w:rsidR="00571A4A" w:rsidRDefault="000E45B0">
                    <w:pPr>
                      <w:pStyle w:val="Referentiegegevens"/>
                    </w:pPr>
                    <w:r>
                      <w:fldChar w:fldCharType="begin"/>
                    </w:r>
                    <w:r>
                      <w:instrText xml:space="preserve"> DOCPROPERTY  "Kenmerk"  \* MERGEFORMAT </w:instrText>
                    </w:r>
                    <w:r>
                      <w:fldChar w:fldCharType="separate"/>
                    </w:r>
                    <w:r>
                      <w:t>2025-0000469689</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4169ADEE" wp14:editId="0E424D6B">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0935F1" w14:textId="77777777" w:rsidR="009C1B53" w:rsidRDefault="009C1B53"/>
                      </w:txbxContent>
                    </wps:txbx>
                    <wps:bodyPr vert="horz" wrap="square" lIns="0" tIns="0" rIns="0" bIns="0" anchor="t" anchorCtr="0"/>
                  </wps:wsp>
                </a:graphicData>
              </a:graphic>
            </wp:anchor>
          </w:drawing>
        </mc:Choice>
        <mc:Fallback>
          <w:pict>
            <v:shape w14:anchorId="4169ADEE"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E0935F1" w14:textId="77777777" w:rsidR="009C1B53" w:rsidRDefault="009C1B53"/>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20A0C010" wp14:editId="51F4F682">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BA4833" w14:textId="77777777" w:rsidR="00571A4A" w:rsidRDefault="000E45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0A0C010"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BA4833" w14:textId="77777777" w:rsidR="00571A4A" w:rsidRDefault="000E45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3B45" w14:textId="77777777" w:rsidR="00962101" w:rsidRDefault="009C1B53">
    <w:pPr>
      <w:spacing w:after="6377" w:line="14" w:lineRule="exact"/>
    </w:pPr>
    <w:r>
      <w:rPr>
        <w:noProof/>
      </w:rPr>
      <mc:AlternateContent>
        <mc:Choice Requires="wps">
          <w:drawing>
            <wp:anchor distT="0" distB="0" distL="0" distR="0" simplePos="0" relativeHeight="251656192" behindDoc="0" locked="1" layoutInCell="1" allowOverlap="1" wp14:anchorId="3DA1CB1E" wp14:editId="02FA1B57">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9A391B" w14:textId="77777777" w:rsidR="00962101" w:rsidRDefault="009C1B53">
                          <w:pPr>
                            <w:spacing w:line="240" w:lineRule="auto"/>
                          </w:pPr>
                          <w:r>
                            <w:rPr>
                              <w:noProof/>
                            </w:rPr>
                            <w:drawing>
                              <wp:inline distT="0" distB="0" distL="0" distR="0" wp14:anchorId="20FBEA86" wp14:editId="7B60D7C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A1CB1E"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89A391B" w14:textId="77777777" w:rsidR="00962101" w:rsidRDefault="009C1B53">
                    <w:pPr>
                      <w:spacing w:line="240" w:lineRule="auto"/>
                    </w:pPr>
                    <w:r>
                      <w:rPr>
                        <w:noProof/>
                      </w:rPr>
                      <w:drawing>
                        <wp:inline distT="0" distB="0" distL="0" distR="0" wp14:anchorId="20FBEA86" wp14:editId="7B60D7C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4FF77920" wp14:editId="63EE9405">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F324AF" w14:textId="77777777" w:rsidR="00962101" w:rsidRDefault="009C1B53">
                          <w:pPr>
                            <w:spacing w:line="240" w:lineRule="auto"/>
                          </w:pPr>
                          <w:r>
                            <w:rPr>
                              <w:noProof/>
                            </w:rPr>
                            <w:drawing>
                              <wp:inline distT="0" distB="0" distL="0" distR="0" wp14:anchorId="4D435AAA" wp14:editId="2BFA1662">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F77920"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F324AF" w14:textId="77777777" w:rsidR="00962101" w:rsidRDefault="009C1B53">
                    <w:pPr>
                      <w:spacing w:line="240" w:lineRule="auto"/>
                    </w:pPr>
                    <w:r>
                      <w:rPr>
                        <w:noProof/>
                      </w:rPr>
                      <w:drawing>
                        <wp:inline distT="0" distB="0" distL="0" distR="0" wp14:anchorId="4D435AAA" wp14:editId="2BFA1662">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2B17B07" wp14:editId="7DC99501">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ECDE18" w14:textId="77777777" w:rsidR="00962101" w:rsidRDefault="009C1B53">
                          <w:pPr>
                            <w:pStyle w:val="Referentiegegevens"/>
                          </w:pPr>
                          <w:r>
                            <w:t>&gt; Retouradres Rijnstraat 50 2515 XP  's-Gravenhage</w:t>
                          </w:r>
                        </w:p>
                      </w:txbxContent>
                    </wps:txbx>
                    <wps:bodyPr vert="horz" wrap="square" lIns="0" tIns="0" rIns="0" bIns="0" anchor="t" anchorCtr="0"/>
                  </wps:wsp>
                </a:graphicData>
              </a:graphic>
            </wp:anchor>
          </w:drawing>
        </mc:Choice>
        <mc:Fallback>
          <w:pict>
            <v:shape w14:anchorId="52B17B0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1ECDE18" w14:textId="77777777" w:rsidR="00962101" w:rsidRDefault="009C1B53">
                    <w:pPr>
                      <w:pStyle w:val="Referentiegegevens"/>
                    </w:pPr>
                    <w:r>
                      <w:t>&gt; Retouradres Rijnstraat 50 2515 XP  's-Gravenhage</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396642EC" wp14:editId="23221F71">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36F036" w14:textId="77777777" w:rsidR="009C1B53" w:rsidRDefault="009C1B53" w:rsidP="009C1B53">
                          <w:proofErr w:type="gramStart"/>
                          <w:r>
                            <w:t>de</w:t>
                          </w:r>
                          <w:proofErr w:type="gramEnd"/>
                          <w:r>
                            <w:t xml:space="preserve"> staatssecretaris van Financiën – Fiscaliteit, Belastingdienst en Douane</w:t>
                          </w:r>
                        </w:p>
                      </w:txbxContent>
                    </wps:txbx>
                    <wps:bodyPr vert="horz" wrap="square" lIns="0" tIns="0" rIns="0" bIns="0" anchor="t" anchorCtr="0"/>
                  </wps:wsp>
                </a:graphicData>
              </a:graphic>
            </wp:anchor>
          </w:drawing>
        </mc:Choice>
        <mc:Fallback>
          <w:pict>
            <v:shape w14:anchorId="396642EC"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E36F036" w14:textId="77777777" w:rsidR="009C1B53" w:rsidRDefault="009C1B53" w:rsidP="009C1B53">
                    <w:proofErr w:type="gramStart"/>
                    <w:r>
                      <w:t>de</w:t>
                    </w:r>
                    <w:proofErr w:type="gramEnd"/>
                    <w:r>
                      <w:t xml:space="preserve"> staatssecretaris van Financiën – Fiscaliteit, Belastingdienst en Douane</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6F1D055E" wp14:editId="4763E6C0">
              <wp:simplePos x="0" y="0"/>
              <wp:positionH relativeFrom="margin">
                <wp:align>right</wp:align>
              </wp:positionH>
              <wp:positionV relativeFrom="paragraph">
                <wp:posOffset>3352800</wp:posOffset>
              </wp:positionV>
              <wp:extent cx="4787900" cy="533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62101" w14:paraId="61539C78" w14:textId="77777777">
                            <w:trPr>
                              <w:trHeight w:val="240"/>
                            </w:trPr>
                            <w:tc>
                              <w:tcPr>
                                <w:tcW w:w="1140" w:type="dxa"/>
                              </w:tcPr>
                              <w:p w14:paraId="26CF4BCC" w14:textId="77777777" w:rsidR="00962101" w:rsidRDefault="009C1B53">
                                <w:r>
                                  <w:t>Datum</w:t>
                                </w:r>
                              </w:p>
                            </w:tc>
                            <w:tc>
                              <w:tcPr>
                                <w:tcW w:w="5918" w:type="dxa"/>
                              </w:tcPr>
                              <w:p w14:paraId="799B9943" w14:textId="77777777" w:rsidR="00962101" w:rsidRDefault="000E45B0">
                                <w:sdt>
                                  <w:sdtPr>
                                    <w:id w:val="1581559465"/>
                                    <w:date w:fullDate="2025-09-30T00:00:00Z">
                                      <w:dateFormat w:val="d MMMM yyyy"/>
                                      <w:lid w:val="nl"/>
                                      <w:storeMappedDataAs w:val="dateTime"/>
                                      <w:calendar w:val="gregorian"/>
                                    </w:date>
                                  </w:sdtPr>
                                  <w:sdtEndPr/>
                                  <w:sdtContent>
                                    <w:r w:rsidR="000A5FE7">
                                      <w:t>30</w:t>
                                    </w:r>
                                    <w:r w:rsidR="009C1B53">
                                      <w:t xml:space="preserve"> september 2025</w:t>
                                    </w:r>
                                  </w:sdtContent>
                                </w:sdt>
                              </w:p>
                            </w:tc>
                          </w:tr>
                          <w:tr w:rsidR="00962101" w14:paraId="6A58ECC8" w14:textId="77777777">
                            <w:trPr>
                              <w:trHeight w:val="240"/>
                            </w:trPr>
                            <w:tc>
                              <w:tcPr>
                                <w:tcW w:w="1140" w:type="dxa"/>
                              </w:tcPr>
                              <w:p w14:paraId="5FA68E9E" w14:textId="77777777" w:rsidR="00962101" w:rsidRDefault="009C1B53">
                                <w:r>
                                  <w:t>Betreft</w:t>
                                </w:r>
                              </w:p>
                            </w:tc>
                            <w:tc>
                              <w:tcPr>
                                <w:tcW w:w="5918" w:type="dxa"/>
                              </w:tcPr>
                              <w:p w14:paraId="13BA3A3D" w14:textId="77777777" w:rsidR="00962101" w:rsidRDefault="009C1B53">
                                <w:r>
                                  <w:t>Eerste bevindingen onderzoek rechtsbescherming van ondernemers bij geschillen over douaneheffingen</w:t>
                                </w:r>
                              </w:p>
                            </w:tc>
                          </w:tr>
                        </w:tbl>
                        <w:p w14:paraId="70809E74" w14:textId="77777777" w:rsidR="009C1B53" w:rsidRDefault="009C1B5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F1D055E" id="1670fa0c-13cb-45ec-92be-ef1f34d237c5" o:spid="_x0000_s1034" type="#_x0000_t202" style="position:absolute;margin-left:325.8pt;margin-top:264pt;width:377pt;height:42pt;z-index:251660288;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62101" w14:paraId="61539C78" w14:textId="77777777">
                      <w:trPr>
                        <w:trHeight w:val="240"/>
                      </w:trPr>
                      <w:tc>
                        <w:tcPr>
                          <w:tcW w:w="1140" w:type="dxa"/>
                        </w:tcPr>
                        <w:p w14:paraId="26CF4BCC" w14:textId="77777777" w:rsidR="00962101" w:rsidRDefault="009C1B53">
                          <w:r>
                            <w:t>Datum</w:t>
                          </w:r>
                        </w:p>
                      </w:tc>
                      <w:tc>
                        <w:tcPr>
                          <w:tcW w:w="5918" w:type="dxa"/>
                        </w:tcPr>
                        <w:p w14:paraId="799B9943" w14:textId="77777777" w:rsidR="00962101" w:rsidRDefault="000E45B0">
                          <w:sdt>
                            <w:sdtPr>
                              <w:id w:val="1581559465"/>
                              <w:date w:fullDate="2025-09-30T00:00:00Z">
                                <w:dateFormat w:val="d MMMM yyyy"/>
                                <w:lid w:val="nl"/>
                                <w:storeMappedDataAs w:val="dateTime"/>
                                <w:calendar w:val="gregorian"/>
                              </w:date>
                            </w:sdtPr>
                            <w:sdtEndPr/>
                            <w:sdtContent>
                              <w:r w:rsidR="000A5FE7">
                                <w:t>30</w:t>
                              </w:r>
                              <w:r w:rsidR="009C1B53">
                                <w:t xml:space="preserve"> september 2025</w:t>
                              </w:r>
                            </w:sdtContent>
                          </w:sdt>
                        </w:p>
                      </w:tc>
                    </w:tr>
                    <w:tr w:rsidR="00962101" w14:paraId="6A58ECC8" w14:textId="77777777">
                      <w:trPr>
                        <w:trHeight w:val="240"/>
                      </w:trPr>
                      <w:tc>
                        <w:tcPr>
                          <w:tcW w:w="1140" w:type="dxa"/>
                        </w:tcPr>
                        <w:p w14:paraId="5FA68E9E" w14:textId="77777777" w:rsidR="00962101" w:rsidRDefault="009C1B53">
                          <w:r>
                            <w:t>Betreft</w:t>
                          </w:r>
                        </w:p>
                      </w:tc>
                      <w:tc>
                        <w:tcPr>
                          <w:tcW w:w="5918" w:type="dxa"/>
                        </w:tcPr>
                        <w:p w14:paraId="13BA3A3D" w14:textId="77777777" w:rsidR="00962101" w:rsidRDefault="009C1B53">
                          <w:r>
                            <w:t>Eerste bevindingen onderzoek rechtsbescherming van ondernemers bij geschillen over douaneheffingen</w:t>
                          </w:r>
                        </w:p>
                      </w:tc>
                    </w:tr>
                  </w:tbl>
                  <w:p w14:paraId="70809E74" w14:textId="77777777" w:rsidR="009C1B53" w:rsidRDefault="009C1B53"/>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5E983A7A" wp14:editId="11083549">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4F4C61" w14:textId="77777777" w:rsidR="00962101" w:rsidRDefault="009C1B53">
                          <w:pPr>
                            <w:pStyle w:val="Referentiegegevensbold"/>
                          </w:pPr>
                          <w:r>
                            <w:t>Inspectie belastingen, toeslagen en douane</w:t>
                          </w:r>
                        </w:p>
                        <w:p w14:paraId="1D31D725" w14:textId="77777777" w:rsidR="00962101" w:rsidRDefault="00962101">
                          <w:pPr>
                            <w:pStyle w:val="WitregelW1"/>
                          </w:pPr>
                        </w:p>
                        <w:p w14:paraId="1C1758DF" w14:textId="77777777" w:rsidR="00962101" w:rsidRDefault="009C1B53">
                          <w:pPr>
                            <w:pStyle w:val="Referentiegegevens"/>
                          </w:pPr>
                          <w:r>
                            <w:t>Rijnstraat 50</w:t>
                          </w:r>
                        </w:p>
                        <w:p w14:paraId="46B91FDA" w14:textId="77777777" w:rsidR="00962101" w:rsidRDefault="009C1B53">
                          <w:pPr>
                            <w:pStyle w:val="Referentiegegevens"/>
                          </w:pPr>
                          <w:r>
                            <w:t>2515 XP 's-Gravenhage</w:t>
                          </w:r>
                        </w:p>
                        <w:p w14:paraId="4707DAEB" w14:textId="77777777" w:rsidR="00962101" w:rsidRDefault="00962101">
                          <w:pPr>
                            <w:pStyle w:val="WitregelW1"/>
                          </w:pPr>
                        </w:p>
                        <w:p w14:paraId="5A3E9DC2" w14:textId="77777777" w:rsidR="00962101" w:rsidRDefault="00962101">
                          <w:pPr>
                            <w:pStyle w:val="WitregelW2"/>
                          </w:pPr>
                        </w:p>
                        <w:p w14:paraId="2F37080D" w14:textId="77777777" w:rsidR="00962101" w:rsidRDefault="009C1B53">
                          <w:pPr>
                            <w:pStyle w:val="Referentiegegevensbold"/>
                          </w:pPr>
                          <w:r>
                            <w:t>Onze referentie</w:t>
                          </w:r>
                        </w:p>
                        <w:p w14:paraId="6D3C95C4" w14:textId="77777777" w:rsidR="00571A4A" w:rsidRDefault="000E45B0">
                          <w:pPr>
                            <w:pStyle w:val="Referentiegegevens"/>
                          </w:pPr>
                          <w:r>
                            <w:fldChar w:fldCharType="begin"/>
                          </w:r>
                          <w:r>
                            <w:instrText xml:space="preserve"> DOCPROPERTY  "Kenmerk"  \* MERGEFORMAT </w:instrText>
                          </w:r>
                          <w:r>
                            <w:fldChar w:fldCharType="separate"/>
                          </w:r>
                          <w:r>
                            <w:t>2025-0000469689</w:t>
                          </w:r>
                          <w:r>
                            <w:fldChar w:fldCharType="end"/>
                          </w:r>
                        </w:p>
                        <w:p w14:paraId="484A5F23" w14:textId="77777777" w:rsidR="00962101" w:rsidRDefault="00962101">
                          <w:pPr>
                            <w:pStyle w:val="WitregelW1"/>
                          </w:pPr>
                        </w:p>
                        <w:p w14:paraId="6830A0F2" w14:textId="77777777" w:rsidR="00962101" w:rsidRDefault="009C1B53">
                          <w:pPr>
                            <w:pStyle w:val="Referentiegegevensbold"/>
                          </w:pPr>
                          <w:r>
                            <w:t>Bijlage(n)</w:t>
                          </w:r>
                        </w:p>
                        <w:p w14:paraId="2C9B5EF3" w14:textId="77777777" w:rsidR="00962101" w:rsidRDefault="009C1B53">
                          <w:pPr>
                            <w:pStyle w:val="Referentiegegevens"/>
                          </w:pPr>
                          <w:r>
                            <w:t>2 wederhoortabel en Reactie Douane op conceptbrief</w:t>
                          </w:r>
                        </w:p>
                        <w:p w14:paraId="5F964D7E" w14:textId="77777777" w:rsidR="00962101" w:rsidRDefault="00962101">
                          <w:pPr>
                            <w:pStyle w:val="WitregelW2"/>
                          </w:pPr>
                        </w:p>
                        <w:p w14:paraId="2427C3FA" w14:textId="77777777" w:rsidR="00962101" w:rsidRDefault="00962101"/>
                      </w:txbxContent>
                    </wps:txbx>
                    <wps:bodyPr vert="horz" wrap="square" lIns="0" tIns="0" rIns="0" bIns="0" anchor="t" anchorCtr="0"/>
                  </wps:wsp>
                </a:graphicData>
              </a:graphic>
            </wp:anchor>
          </w:drawing>
        </mc:Choice>
        <mc:Fallback>
          <w:pict>
            <v:shape w14:anchorId="5E983A7A"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04F4C61" w14:textId="77777777" w:rsidR="00962101" w:rsidRDefault="009C1B53">
                    <w:pPr>
                      <w:pStyle w:val="Referentiegegevensbold"/>
                    </w:pPr>
                    <w:r>
                      <w:t>Inspectie belastingen, toeslagen en douane</w:t>
                    </w:r>
                  </w:p>
                  <w:p w14:paraId="1D31D725" w14:textId="77777777" w:rsidR="00962101" w:rsidRDefault="00962101">
                    <w:pPr>
                      <w:pStyle w:val="WitregelW1"/>
                    </w:pPr>
                  </w:p>
                  <w:p w14:paraId="1C1758DF" w14:textId="77777777" w:rsidR="00962101" w:rsidRDefault="009C1B53">
                    <w:pPr>
                      <w:pStyle w:val="Referentiegegevens"/>
                    </w:pPr>
                    <w:r>
                      <w:t>Rijnstraat 50</w:t>
                    </w:r>
                  </w:p>
                  <w:p w14:paraId="46B91FDA" w14:textId="77777777" w:rsidR="00962101" w:rsidRDefault="009C1B53">
                    <w:pPr>
                      <w:pStyle w:val="Referentiegegevens"/>
                    </w:pPr>
                    <w:r>
                      <w:t>2515 XP 's-Gravenhage</w:t>
                    </w:r>
                  </w:p>
                  <w:p w14:paraId="4707DAEB" w14:textId="77777777" w:rsidR="00962101" w:rsidRDefault="00962101">
                    <w:pPr>
                      <w:pStyle w:val="WitregelW1"/>
                    </w:pPr>
                  </w:p>
                  <w:p w14:paraId="5A3E9DC2" w14:textId="77777777" w:rsidR="00962101" w:rsidRDefault="00962101">
                    <w:pPr>
                      <w:pStyle w:val="WitregelW2"/>
                    </w:pPr>
                  </w:p>
                  <w:p w14:paraId="2F37080D" w14:textId="77777777" w:rsidR="00962101" w:rsidRDefault="009C1B53">
                    <w:pPr>
                      <w:pStyle w:val="Referentiegegevensbold"/>
                    </w:pPr>
                    <w:r>
                      <w:t>Onze referentie</w:t>
                    </w:r>
                  </w:p>
                  <w:p w14:paraId="6D3C95C4" w14:textId="77777777" w:rsidR="00571A4A" w:rsidRDefault="000E45B0">
                    <w:pPr>
                      <w:pStyle w:val="Referentiegegevens"/>
                    </w:pPr>
                    <w:r>
                      <w:fldChar w:fldCharType="begin"/>
                    </w:r>
                    <w:r>
                      <w:instrText xml:space="preserve"> DOCPROPERTY  "Kenmerk"  \* MERGEFORMAT </w:instrText>
                    </w:r>
                    <w:r>
                      <w:fldChar w:fldCharType="separate"/>
                    </w:r>
                    <w:r>
                      <w:t>2025-0000469689</w:t>
                    </w:r>
                    <w:r>
                      <w:fldChar w:fldCharType="end"/>
                    </w:r>
                  </w:p>
                  <w:p w14:paraId="484A5F23" w14:textId="77777777" w:rsidR="00962101" w:rsidRDefault="00962101">
                    <w:pPr>
                      <w:pStyle w:val="WitregelW1"/>
                    </w:pPr>
                  </w:p>
                  <w:p w14:paraId="6830A0F2" w14:textId="77777777" w:rsidR="00962101" w:rsidRDefault="009C1B53">
                    <w:pPr>
                      <w:pStyle w:val="Referentiegegevensbold"/>
                    </w:pPr>
                    <w:r>
                      <w:t>Bijlage(n)</w:t>
                    </w:r>
                  </w:p>
                  <w:p w14:paraId="2C9B5EF3" w14:textId="77777777" w:rsidR="00962101" w:rsidRDefault="009C1B53">
                    <w:pPr>
                      <w:pStyle w:val="Referentiegegevens"/>
                    </w:pPr>
                    <w:r>
                      <w:t>2 wederhoortabel en Reactie Douane op conceptbrief</w:t>
                    </w:r>
                  </w:p>
                  <w:p w14:paraId="5F964D7E" w14:textId="77777777" w:rsidR="00962101" w:rsidRDefault="00962101">
                    <w:pPr>
                      <w:pStyle w:val="WitregelW2"/>
                    </w:pPr>
                  </w:p>
                  <w:p w14:paraId="2427C3FA" w14:textId="77777777" w:rsidR="00962101" w:rsidRDefault="00962101"/>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02F0F8A1" wp14:editId="717EFA6C">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DF10BB" w14:textId="77777777" w:rsidR="00571A4A" w:rsidRDefault="000E45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F0F8A1"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9DF10BB" w14:textId="77777777" w:rsidR="00571A4A" w:rsidRDefault="000E45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2F59FB72" wp14:editId="2A1018B6">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566486" w14:textId="77777777" w:rsidR="009C1B53" w:rsidRDefault="009C1B53"/>
                      </w:txbxContent>
                    </wps:txbx>
                    <wps:bodyPr vert="horz" wrap="square" lIns="0" tIns="0" rIns="0" bIns="0" anchor="t" anchorCtr="0"/>
                  </wps:wsp>
                </a:graphicData>
              </a:graphic>
            </wp:anchor>
          </w:drawing>
        </mc:Choice>
        <mc:Fallback>
          <w:pict>
            <v:shape w14:anchorId="2F59FB72"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566486" w14:textId="77777777" w:rsidR="009C1B53" w:rsidRDefault="009C1B53"/>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6DFE3"/>
    <w:multiLevelType w:val="multilevel"/>
    <w:tmpl w:val="BFD23D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9AB79AB"/>
    <w:multiLevelType w:val="multilevel"/>
    <w:tmpl w:val="FAE1500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19B45F6"/>
    <w:multiLevelType w:val="multilevel"/>
    <w:tmpl w:val="2545F754"/>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7C92783"/>
    <w:multiLevelType w:val="hybridMultilevel"/>
    <w:tmpl w:val="18D4D74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E4402A"/>
    <w:multiLevelType w:val="multilevel"/>
    <w:tmpl w:val="DD25C08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1882538">
    <w:abstractNumId w:val="4"/>
  </w:num>
  <w:num w:numId="2" w16cid:durableId="1010907538">
    <w:abstractNumId w:val="0"/>
  </w:num>
  <w:num w:numId="3" w16cid:durableId="866142680">
    <w:abstractNumId w:val="1"/>
  </w:num>
  <w:num w:numId="4" w16cid:durableId="415858639">
    <w:abstractNumId w:val="2"/>
  </w:num>
  <w:num w:numId="5" w16cid:durableId="37921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FC"/>
    <w:rsid w:val="000A5FE7"/>
    <w:rsid w:val="000D75B7"/>
    <w:rsid w:val="000E45B0"/>
    <w:rsid w:val="002572FC"/>
    <w:rsid w:val="003C63EE"/>
    <w:rsid w:val="00571A4A"/>
    <w:rsid w:val="008A6B0F"/>
    <w:rsid w:val="009011A0"/>
    <w:rsid w:val="00962101"/>
    <w:rsid w:val="009C1B53"/>
    <w:rsid w:val="00AB6FBF"/>
    <w:rsid w:val="00BB0625"/>
    <w:rsid w:val="00C54884"/>
    <w:rsid w:val="00CF6608"/>
    <w:rsid w:val="00D25258"/>
    <w:rsid w:val="00D81582"/>
    <w:rsid w:val="00F77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00D02"/>
  <w15:docId w15:val="{2C8FB265-398F-4442-B466-1C485D2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572F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72FC"/>
    <w:rPr>
      <w:rFonts w:ascii="Verdana" w:hAnsi="Verdana"/>
      <w:color w:val="000000"/>
      <w:sz w:val="18"/>
      <w:szCs w:val="18"/>
    </w:rPr>
  </w:style>
  <w:style w:type="paragraph" w:styleId="Voettekst">
    <w:name w:val="footer"/>
    <w:basedOn w:val="Standaard"/>
    <w:link w:val="VoettekstChar"/>
    <w:uiPriority w:val="99"/>
    <w:unhideWhenUsed/>
    <w:rsid w:val="002572F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72FC"/>
    <w:rPr>
      <w:rFonts w:ascii="Verdana" w:hAnsi="Verdana"/>
      <w:color w:val="000000"/>
      <w:sz w:val="18"/>
      <w:szCs w:val="18"/>
    </w:rPr>
  </w:style>
  <w:style w:type="paragraph" w:customStyle="1" w:styleId="Voetnoottekst1">
    <w:name w:val="Voetnoottekst1"/>
    <w:basedOn w:val="Standaard"/>
    <w:next w:val="Voetnoottekst"/>
    <w:link w:val="VoetnoottekstChar"/>
    <w:uiPriority w:val="99"/>
    <w:semiHidden/>
    <w:unhideWhenUsed/>
    <w:rsid w:val="002572FC"/>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2572FC"/>
  </w:style>
  <w:style w:type="character" w:styleId="Voetnootmarkering">
    <w:name w:val="footnote reference"/>
    <w:basedOn w:val="Standaardalinea-lettertype"/>
    <w:uiPriority w:val="99"/>
    <w:semiHidden/>
    <w:unhideWhenUsed/>
    <w:rsid w:val="002572FC"/>
    <w:rPr>
      <w:vertAlign w:val="superscript"/>
    </w:rPr>
  </w:style>
  <w:style w:type="paragraph" w:styleId="Voetnoottekst">
    <w:name w:val="footnote text"/>
    <w:basedOn w:val="Standaard"/>
    <w:link w:val="VoetnoottekstChar1"/>
    <w:uiPriority w:val="99"/>
    <w:semiHidden/>
    <w:unhideWhenUsed/>
    <w:rsid w:val="002572FC"/>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2572FC"/>
    <w:rPr>
      <w:rFonts w:ascii="Verdana" w:hAnsi="Verdana"/>
      <w:color w:val="000000"/>
    </w:rPr>
  </w:style>
  <w:style w:type="paragraph" w:styleId="Lijstalinea">
    <w:name w:val="List Paragraph"/>
    <w:basedOn w:val="Standaard"/>
    <w:uiPriority w:val="34"/>
    <w:rsid w:val="00257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spectiebtd.nl/documenten/publicaties/2025/09/02/onderzoeksrapport-rechtsbescherming-in-het-geding" TargetMode="External"/><Relationship Id="rId1" Type="http://schemas.openxmlformats.org/officeDocument/2006/relationships/hyperlink" Target="https://www.inspectiebtd.nl/lopende-onderzoeken/documenten/publicaties/2024/09/05/plan-van-aanpak-onderzoek-rechtsbescherming-bij-geschillen-over-douaneheffing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1380</ap:Words>
  <ap:Characters>7594</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 Eerste bevindingen onderzoek rechtsbescherming van ondernemers bij geschillen over douaneheffingen</vt:lpstr>
    </vt:vector>
  </ap:TitlesOfParts>
  <ap:LinksUpToDate>false</ap:LinksUpToDate>
  <ap:CharactersWithSpaces>8957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2025-10-06T15:07:00.0000000Z</dcterms:created>
  <dcterms:modified xsi:type="dcterms:W3CDTF">2025-10-06T15:07:00.0000000Z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29 september 2025</vt:lpwstr>
  </property>
  <property fmtid="{D5CDD505-2E9C-101B-9397-08002B2CF9AE}" pid="14" name="Opgesteld door, Naam">
    <vt:lpwstr>Bart Snels</vt:lpwstr>
  </property>
  <property fmtid="{D5CDD505-2E9C-101B-9397-08002B2CF9AE}" pid="15" name="Opgesteld door, Telefoonnummer">
    <vt:lpwstr/>
  </property>
  <property fmtid="{D5CDD505-2E9C-101B-9397-08002B2CF9AE}" pid="16" name="Kenmerk">
    <vt:lpwstr>2025-0000469689</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Eerste bevindingen onderzoek rechtsbescherming van ondernemers bij geschillen over douaneheffingen</vt:lpwstr>
  </property>
  <property fmtid="{D5CDD505-2E9C-101B-9397-08002B2CF9AE}" pid="32" name="MSIP_Label_112e3eac-4767-4d29-949e-d809b1160d11_Enabled">
    <vt:lpwstr>true</vt:lpwstr>
  </property>
  <property fmtid="{D5CDD505-2E9C-101B-9397-08002B2CF9AE}" pid="33" name="MSIP_Label_112e3eac-4767-4d29-949e-d809b1160d11_SetDate">
    <vt:lpwstr>2025-10-06T15:07:55Z</vt:lpwstr>
  </property>
  <property fmtid="{D5CDD505-2E9C-101B-9397-08002B2CF9AE}" pid="34" name="MSIP_Label_112e3eac-4767-4d29-949e-d809b1160d11_Method">
    <vt:lpwstr>Standard</vt:lpwstr>
  </property>
  <property fmtid="{D5CDD505-2E9C-101B-9397-08002B2CF9AE}" pid="35" name="MSIP_Label_112e3eac-4767-4d29-949e-d809b1160d11_Name">
    <vt:lpwstr>Rijksoverheid (SGC)</vt:lpwstr>
  </property>
  <property fmtid="{D5CDD505-2E9C-101B-9397-08002B2CF9AE}" pid="36" name="MSIP_Label_112e3eac-4767-4d29-949e-d809b1160d11_SiteId">
    <vt:lpwstr>84712536-f524-40a0-913b-5d25ba502732</vt:lpwstr>
  </property>
  <property fmtid="{D5CDD505-2E9C-101B-9397-08002B2CF9AE}" pid="37" name="MSIP_Label_112e3eac-4767-4d29-949e-d809b1160d11_ActionId">
    <vt:lpwstr>d0ec6b0a-5477-4737-a111-43fdcfc8e03e</vt:lpwstr>
  </property>
  <property fmtid="{D5CDD505-2E9C-101B-9397-08002B2CF9AE}" pid="38" name="MSIP_Label_112e3eac-4767-4d29-949e-d809b1160d11_ContentBits">
    <vt:lpwstr>0</vt:lpwstr>
  </property>
</Properties>
</file>