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41E8" w:rsidR="00191822" w:rsidP="000338BC" w:rsidRDefault="00191822" w14:paraId="1A3C47B4" w14:textId="50E0665A">
      <w:pPr>
        <w:pStyle w:val="NoSpacing"/>
        <w:jc w:val="both"/>
        <w:rPr>
          <w:rFonts w:ascii="Verdana" w:hAnsi="Verdana"/>
          <w:b/>
          <w:bCs/>
          <w:sz w:val="20"/>
          <w:szCs w:val="20"/>
          <w:lang w:val="en-US"/>
        </w:rPr>
      </w:pPr>
    </w:p>
    <w:tbl>
      <w:tblPr>
        <w:tblW w:w="4947" w:type="pct"/>
        <w:tblCellMar>
          <w:left w:w="0" w:type="dxa"/>
          <w:right w:w="0" w:type="dxa"/>
        </w:tblCellMar>
        <w:tblLook w:val="04A0" w:firstRow="1" w:lastRow="0" w:firstColumn="1" w:lastColumn="0" w:noHBand="0" w:noVBand="1"/>
      </w:tblPr>
      <w:tblGrid>
        <w:gridCol w:w="2086"/>
        <w:gridCol w:w="6844"/>
      </w:tblGrid>
      <w:tr w:rsidRPr="0060043E" w:rsidR="001F2C47" w:rsidTr="00C579A3" w14:paraId="671AC7F1" w14:textId="77777777">
        <w:trPr>
          <w:trHeight w:val="507"/>
        </w:trPr>
        <w:tc>
          <w:tcPr>
            <w:tcW w:w="5000" w:type="pct"/>
            <w:gridSpan w:val="2"/>
            <w:shd w:val="clear" w:color="auto" w:fill="39870C"/>
            <w:hideMark/>
          </w:tcPr>
          <w:p w:rsidRPr="0060043E" w:rsidR="00191822" w:rsidP="000338BC" w:rsidRDefault="00191822" w14:paraId="15979371" w14:textId="77777777">
            <w:pPr>
              <w:pStyle w:val="TableParagraph"/>
              <w:spacing w:before="57" w:line="252" w:lineRule="auto"/>
              <w:ind w:left="89"/>
              <w:jc w:val="both"/>
              <w:rPr>
                <w:b/>
                <w:bCs/>
                <w:sz w:val="18"/>
                <w:szCs w:val="18"/>
              </w:rPr>
            </w:pPr>
            <w:r w:rsidRPr="0060043E">
              <w:rPr>
                <w:b/>
                <w:bCs/>
                <w:color w:val="FFFFFF"/>
                <w:sz w:val="18"/>
                <w:szCs w:val="18"/>
              </w:rPr>
              <w:t>Bestedingsvoorstel</w:t>
            </w:r>
          </w:p>
          <w:p w:rsidRPr="0060043E" w:rsidR="00191822" w:rsidP="000338BC" w:rsidRDefault="00191822" w14:paraId="730021BA" w14:textId="77777777">
            <w:pPr>
              <w:pStyle w:val="TableParagraph"/>
              <w:spacing w:before="4" w:line="252" w:lineRule="auto"/>
              <w:ind w:left="89"/>
              <w:jc w:val="both"/>
              <w:rPr>
                <w:b/>
                <w:bCs/>
                <w:sz w:val="18"/>
                <w:szCs w:val="18"/>
              </w:rPr>
            </w:pPr>
            <w:r w:rsidRPr="0060043E">
              <w:rPr>
                <w:b/>
                <w:bCs/>
                <w:color w:val="FFFFFF"/>
                <w:sz w:val="18"/>
                <w:szCs w:val="18"/>
              </w:rPr>
              <w:t>Onderbouwing doeltreffendheid, doelmatigheid en evaluatie (CW 3.1)</w:t>
            </w:r>
          </w:p>
        </w:tc>
      </w:tr>
      <w:tr w:rsidRPr="004D201D" w:rsidR="00271C2F" w:rsidTr="00C579A3" w14:paraId="2C715E2E" w14:textId="77777777">
        <w:trPr>
          <w:trHeight w:val="564"/>
        </w:trPr>
        <w:tc>
          <w:tcPr>
            <w:tcW w:w="1168" w:type="pct"/>
            <w:tcBorders>
              <w:top w:val="nil"/>
              <w:left w:val="nil"/>
              <w:bottom w:val="single" w:color="017BC7" w:sz="8" w:space="0"/>
              <w:right w:val="nil"/>
            </w:tcBorders>
            <w:shd w:val="clear" w:color="auto" w:fill="D6EFF9"/>
            <w:hideMark/>
          </w:tcPr>
          <w:p w:rsidRPr="004D201D" w:rsidR="00271C2F" w:rsidP="00271C2F" w:rsidRDefault="00271C2F" w14:paraId="09754DA2" w14:textId="77777777">
            <w:pPr>
              <w:pStyle w:val="TableParagraph"/>
              <w:spacing w:before="57" w:line="252" w:lineRule="auto"/>
              <w:ind w:left="89"/>
              <w:jc w:val="both"/>
              <w:rPr>
                <w:rFonts w:asciiTheme="minorHAnsi" w:hAnsiTheme="minorHAnsi" w:cstheme="minorHAnsi"/>
                <w:b/>
                <w:bCs/>
                <w:sz w:val="18"/>
                <w:szCs w:val="18"/>
                <w:lang w:val="en-US"/>
              </w:rPr>
            </w:pPr>
            <w:r w:rsidRPr="004D201D">
              <w:rPr>
                <w:rFonts w:asciiTheme="minorHAnsi" w:hAnsiTheme="minorHAnsi" w:cstheme="minorHAnsi"/>
                <w:b/>
                <w:bCs/>
                <w:sz w:val="18"/>
                <w:szCs w:val="18"/>
                <w:lang w:val="en-US"/>
              </w:rPr>
              <w:t>1. Doel(en)</w:t>
            </w:r>
          </w:p>
        </w:tc>
        <w:tc>
          <w:tcPr>
            <w:tcW w:w="3832" w:type="pct"/>
            <w:tcBorders>
              <w:top w:val="nil"/>
              <w:left w:val="nil"/>
              <w:bottom w:val="single" w:color="017BC7" w:sz="8" w:space="0"/>
              <w:right w:val="nil"/>
            </w:tcBorders>
            <w:shd w:val="clear" w:color="auto" w:fill="auto"/>
            <w:hideMark/>
          </w:tcPr>
          <w:p w:rsidRPr="00271C2F" w:rsidR="00271C2F" w:rsidP="00271C2F" w:rsidRDefault="00271C2F" w14:paraId="698E6AF8" w14:textId="45F1243F">
            <w:pPr>
              <w:spacing w:after="160" w:line="259" w:lineRule="auto"/>
              <w:rPr>
                <w:rFonts w:asciiTheme="minorHAnsi" w:hAnsiTheme="minorHAnsi" w:cstheme="minorHAnsi"/>
                <w:sz w:val="18"/>
                <w:szCs w:val="18"/>
              </w:rPr>
            </w:pPr>
            <w:r w:rsidRPr="00271C2F">
              <w:rPr>
                <w:rFonts w:asciiTheme="minorHAnsi" w:hAnsiTheme="minorHAnsi" w:cstheme="minorHAnsi"/>
                <w:sz w:val="18"/>
                <w:szCs w:val="18"/>
              </w:rPr>
              <w:t>Welke doelen worden nagestreefd met het voorstel in termen van beoogde prestaties en effecten?</w:t>
            </w:r>
          </w:p>
          <w:p w:rsidR="007278B7" w:rsidP="00271C2F" w:rsidRDefault="00DF483A" w14:paraId="2E8256B3" w14:textId="77777777">
            <w:pPr>
              <w:spacing w:after="160" w:line="259" w:lineRule="auto"/>
              <w:rPr>
                <w:rFonts w:asciiTheme="minorHAnsi" w:hAnsiTheme="minorHAnsi" w:cstheme="minorHAnsi"/>
                <w:sz w:val="18"/>
                <w:szCs w:val="18"/>
              </w:rPr>
            </w:pPr>
            <w:r>
              <w:rPr>
                <w:rFonts w:asciiTheme="minorHAnsi" w:hAnsiTheme="minorHAnsi" w:cstheme="minorHAnsi"/>
                <w:sz w:val="18"/>
                <w:szCs w:val="18"/>
              </w:rPr>
              <w:t>Oekraïne</w:t>
            </w:r>
            <w:r w:rsidR="00E170A2">
              <w:rPr>
                <w:rFonts w:asciiTheme="minorHAnsi" w:hAnsiTheme="minorHAnsi" w:cstheme="minorHAnsi"/>
                <w:sz w:val="18"/>
                <w:szCs w:val="18"/>
              </w:rPr>
              <w:t xml:space="preserve"> vecht niet alleen voor het behoud van </w:t>
            </w:r>
            <w:r>
              <w:rPr>
                <w:rFonts w:asciiTheme="minorHAnsi" w:hAnsiTheme="minorHAnsi" w:cstheme="minorHAnsi"/>
                <w:sz w:val="18"/>
                <w:szCs w:val="18"/>
              </w:rPr>
              <w:t>territoriale</w:t>
            </w:r>
            <w:r w:rsidR="00E170A2">
              <w:rPr>
                <w:rFonts w:asciiTheme="minorHAnsi" w:hAnsiTheme="minorHAnsi" w:cstheme="minorHAnsi"/>
                <w:sz w:val="18"/>
                <w:szCs w:val="18"/>
              </w:rPr>
              <w:t xml:space="preserve"> soevereiniteit, het vecht o</w:t>
            </w:r>
            <w:r>
              <w:rPr>
                <w:rFonts w:asciiTheme="minorHAnsi" w:hAnsiTheme="minorHAnsi" w:cstheme="minorHAnsi"/>
                <w:sz w:val="18"/>
                <w:szCs w:val="18"/>
              </w:rPr>
              <w:t>o</w:t>
            </w:r>
            <w:r w:rsidR="00E170A2">
              <w:rPr>
                <w:rFonts w:asciiTheme="minorHAnsi" w:hAnsiTheme="minorHAnsi" w:cstheme="minorHAnsi"/>
                <w:sz w:val="18"/>
                <w:szCs w:val="18"/>
              </w:rPr>
              <w:t xml:space="preserve">k een </w:t>
            </w:r>
            <w:r>
              <w:rPr>
                <w:rFonts w:asciiTheme="minorHAnsi" w:hAnsiTheme="minorHAnsi" w:cstheme="minorHAnsi"/>
                <w:sz w:val="18"/>
                <w:szCs w:val="18"/>
              </w:rPr>
              <w:t>existentiële</w:t>
            </w:r>
            <w:r w:rsidR="00E170A2">
              <w:rPr>
                <w:rFonts w:asciiTheme="minorHAnsi" w:hAnsiTheme="minorHAnsi" w:cstheme="minorHAnsi"/>
                <w:sz w:val="18"/>
                <w:szCs w:val="18"/>
              </w:rPr>
              <w:t xml:space="preserve"> oorlog uit waarin het zijn cultuur, waarden en nationale identiteit verdedigt. Rusland ontkent immers de Oekraïense </w:t>
            </w:r>
            <w:r>
              <w:rPr>
                <w:rFonts w:asciiTheme="minorHAnsi" w:hAnsiTheme="minorHAnsi" w:cstheme="minorHAnsi"/>
                <w:sz w:val="18"/>
                <w:szCs w:val="18"/>
              </w:rPr>
              <w:t>identiteit</w:t>
            </w:r>
            <w:r w:rsidR="00E170A2">
              <w:rPr>
                <w:rFonts w:asciiTheme="minorHAnsi" w:hAnsiTheme="minorHAnsi" w:cstheme="minorHAnsi"/>
                <w:sz w:val="18"/>
                <w:szCs w:val="18"/>
              </w:rPr>
              <w:t xml:space="preserve"> en middels bombarde</w:t>
            </w:r>
            <w:r>
              <w:rPr>
                <w:rFonts w:asciiTheme="minorHAnsi" w:hAnsiTheme="minorHAnsi" w:cstheme="minorHAnsi"/>
                <w:sz w:val="18"/>
                <w:szCs w:val="18"/>
              </w:rPr>
              <w:t>me</w:t>
            </w:r>
            <w:r w:rsidR="00E170A2">
              <w:rPr>
                <w:rFonts w:asciiTheme="minorHAnsi" w:hAnsiTheme="minorHAnsi" w:cstheme="minorHAnsi"/>
                <w:sz w:val="18"/>
                <w:szCs w:val="18"/>
              </w:rPr>
              <w:t xml:space="preserve">nten, diefstal en </w:t>
            </w:r>
            <w:r>
              <w:rPr>
                <w:rFonts w:asciiTheme="minorHAnsi" w:hAnsiTheme="minorHAnsi" w:cstheme="minorHAnsi"/>
                <w:sz w:val="18"/>
                <w:szCs w:val="18"/>
              </w:rPr>
              <w:t>R</w:t>
            </w:r>
            <w:r w:rsidR="00E170A2">
              <w:rPr>
                <w:rFonts w:asciiTheme="minorHAnsi" w:hAnsiTheme="minorHAnsi" w:cstheme="minorHAnsi"/>
                <w:sz w:val="18"/>
                <w:szCs w:val="18"/>
              </w:rPr>
              <w:t xml:space="preserve">ussificatie pogen zij de Oekraïense cultuur uit te wissen. </w:t>
            </w:r>
            <w:r w:rsidRPr="00271C2F" w:rsidR="00271C2F">
              <w:rPr>
                <w:rFonts w:asciiTheme="minorHAnsi" w:hAnsiTheme="minorHAnsi" w:cstheme="minorHAnsi"/>
                <w:sz w:val="18"/>
                <w:szCs w:val="18"/>
              </w:rPr>
              <w:t>Dit staat haaks op de normen en waarden die Nederland uitdraagt. Bescherming van Oekraïens cultuur</w:t>
            </w:r>
            <w:r w:rsidR="00271C2F">
              <w:rPr>
                <w:rFonts w:asciiTheme="minorHAnsi" w:hAnsiTheme="minorHAnsi" w:cstheme="minorHAnsi"/>
                <w:sz w:val="18"/>
                <w:szCs w:val="18"/>
              </w:rPr>
              <w:t xml:space="preserve"> </w:t>
            </w:r>
            <w:r w:rsidRPr="00271C2F" w:rsidR="00271C2F">
              <w:rPr>
                <w:rFonts w:asciiTheme="minorHAnsi" w:hAnsiTheme="minorHAnsi" w:cstheme="minorHAnsi"/>
                <w:sz w:val="18"/>
                <w:szCs w:val="18"/>
              </w:rPr>
              <w:t xml:space="preserve">erfgoed </w:t>
            </w:r>
            <w:r w:rsidR="00271C2F">
              <w:rPr>
                <w:rFonts w:asciiTheme="minorHAnsi" w:hAnsiTheme="minorHAnsi" w:cstheme="minorHAnsi"/>
                <w:sz w:val="18"/>
                <w:szCs w:val="18"/>
              </w:rPr>
              <w:t xml:space="preserve">en cultuurmakers </w:t>
            </w:r>
            <w:r w:rsidRPr="00271C2F" w:rsidR="00271C2F">
              <w:rPr>
                <w:rFonts w:asciiTheme="minorHAnsi" w:hAnsiTheme="minorHAnsi" w:cstheme="minorHAnsi"/>
                <w:sz w:val="18"/>
                <w:szCs w:val="18"/>
              </w:rPr>
              <w:t xml:space="preserve">is bescherming van de Nederlandse normen en waarden. </w:t>
            </w:r>
          </w:p>
          <w:p w:rsidRPr="00271C2F" w:rsidR="00271C2F" w:rsidP="00271C2F" w:rsidRDefault="00DF483A" w14:paraId="05034670" w14:textId="1C3DFDDF">
            <w:pPr>
              <w:spacing w:after="160" w:line="259" w:lineRule="auto"/>
              <w:rPr>
                <w:rFonts w:asciiTheme="minorHAnsi" w:hAnsiTheme="minorHAnsi" w:cstheme="minorHAnsi"/>
                <w:sz w:val="18"/>
                <w:szCs w:val="18"/>
              </w:rPr>
            </w:pPr>
            <w:r w:rsidRPr="00DF483A">
              <w:rPr>
                <w:rFonts w:asciiTheme="minorHAnsi" w:hAnsiTheme="minorHAnsi" w:cstheme="minorHAnsi"/>
                <w:sz w:val="18"/>
                <w:szCs w:val="18"/>
              </w:rPr>
              <w:t>Het Nederlandse cultuurbeleid in Oekraïne is gericht op bescherming en versterking van de Oekraïense identiteit en herstel van erfgoed</w:t>
            </w:r>
            <w:r>
              <w:rPr>
                <w:rFonts w:asciiTheme="minorHAnsi" w:hAnsiTheme="minorHAnsi" w:cstheme="minorHAnsi"/>
                <w:sz w:val="18"/>
                <w:szCs w:val="18"/>
              </w:rPr>
              <w:t xml:space="preserve">. </w:t>
            </w:r>
            <w:r w:rsidRPr="00271C2F" w:rsidR="00271C2F">
              <w:rPr>
                <w:rFonts w:asciiTheme="minorHAnsi" w:hAnsiTheme="minorHAnsi" w:cstheme="minorHAnsi"/>
                <w:sz w:val="18"/>
                <w:szCs w:val="18"/>
              </w:rPr>
              <w:t>Inzet op cultuur</w:t>
            </w:r>
            <w:r w:rsidR="00553F0F">
              <w:rPr>
                <w:rFonts w:asciiTheme="minorHAnsi" w:hAnsiTheme="minorHAnsi" w:cstheme="minorHAnsi"/>
                <w:sz w:val="18"/>
                <w:szCs w:val="18"/>
              </w:rPr>
              <w:t xml:space="preserve"> is</w:t>
            </w:r>
            <w:r w:rsidRPr="00271C2F" w:rsidR="00271C2F">
              <w:rPr>
                <w:rFonts w:asciiTheme="minorHAnsi" w:hAnsiTheme="minorHAnsi" w:cstheme="minorHAnsi"/>
                <w:sz w:val="18"/>
                <w:szCs w:val="18"/>
              </w:rPr>
              <w:t xml:space="preserve"> een relatie</w:t>
            </w:r>
            <w:r w:rsidR="00936D11">
              <w:rPr>
                <w:rFonts w:asciiTheme="minorHAnsi" w:hAnsiTheme="minorHAnsi" w:cstheme="minorHAnsi"/>
                <w:sz w:val="18"/>
                <w:szCs w:val="18"/>
              </w:rPr>
              <w:t>f</w:t>
            </w:r>
            <w:r w:rsidRPr="00271C2F" w:rsidR="00271C2F">
              <w:rPr>
                <w:rFonts w:asciiTheme="minorHAnsi" w:hAnsiTheme="minorHAnsi" w:cstheme="minorHAnsi"/>
                <w:sz w:val="18"/>
                <w:szCs w:val="18"/>
              </w:rPr>
              <w:t xml:space="preserve"> goedkope, maar </w:t>
            </w:r>
            <w:r w:rsidR="007278B7">
              <w:rPr>
                <w:rFonts w:asciiTheme="minorHAnsi" w:hAnsiTheme="minorHAnsi" w:cstheme="minorHAnsi"/>
                <w:sz w:val="18"/>
                <w:szCs w:val="18"/>
              </w:rPr>
              <w:t xml:space="preserve">waardevolle en </w:t>
            </w:r>
            <w:r w:rsidRPr="00271C2F" w:rsidR="00271C2F">
              <w:rPr>
                <w:rFonts w:asciiTheme="minorHAnsi" w:hAnsiTheme="minorHAnsi" w:cstheme="minorHAnsi"/>
                <w:sz w:val="18"/>
                <w:szCs w:val="18"/>
              </w:rPr>
              <w:t>effectieve manier om steun te verlenen via zachte diplomatie</w:t>
            </w:r>
            <w:r w:rsidR="00271C2F">
              <w:rPr>
                <w:rFonts w:asciiTheme="minorHAnsi" w:hAnsiTheme="minorHAnsi" w:cstheme="minorHAnsi"/>
                <w:sz w:val="18"/>
                <w:szCs w:val="18"/>
              </w:rPr>
              <w:t>.</w:t>
            </w:r>
            <w:r w:rsidR="00553F0F">
              <w:rPr>
                <w:rFonts w:asciiTheme="minorHAnsi" w:hAnsiTheme="minorHAnsi" w:cstheme="minorHAnsi"/>
                <w:sz w:val="18"/>
                <w:szCs w:val="18"/>
              </w:rPr>
              <w:t xml:space="preserve"> Een ander effect is dat Oekraïne op een positieve manier integreert met de landen in de Europese Unie, bijvoorbeeld door te onderzoeken en uit te dragen hoe zeer de Oekraïense geschiedenis en cultuur banden heeft met Europa</w:t>
            </w:r>
            <w:r w:rsidR="00936D11">
              <w:rPr>
                <w:rFonts w:asciiTheme="minorHAnsi" w:hAnsiTheme="minorHAnsi" w:cstheme="minorHAnsi"/>
                <w:sz w:val="18"/>
                <w:szCs w:val="18"/>
              </w:rPr>
              <w:t xml:space="preserve"> en door het al aansluiten bij de Europese netwerken</w:t>
            </w:r>
            <w:r w:rsidR="00553F0F">
              <w:rPr>
                <w:rFonts w:asciiTheme="minorHAnsi" w:hAnsiTheme="minorHAnsi" w:cstheme="minorHAnsi"/>
                <w:sz w:val="18"/>
                <w:szCs w:val="18"/>
              </w:rPr>
              <w:t xml:space="preserve">. </w:t>
            </w:r>
          </w:p>
          <w:p w:rsidR="009C1F76" w:rsidP="009C1F76" w:rsidRDefault="00271C2F" w14:paraId="61AEBAC8" w14:textId="2A00531E">
            <w:pPr>
              <w:spacing w:after="160" w:line="259" w:lineRule="auto"/>
              <w:rPr>
                <w:rFonts w:asciiTheme="minorHAnsi" w:hAnsiTheme="minorHAnsi" w:cstheme="minorHAnsi"/>
                <w:sz w:val="18"/>
                <w:szCs w:val="18"/>
              </w:rPr>
            </w:pPr>
            <w:r w:rsidRPr="00271C2F">
              <w:rPr>
                <w:rFonts w:asciiTheme="minorHAnsi" w:hAnsiTheme="minorHAnsi" w:cstheme="minorHAnsi"/>
                <w:sz w:val="18"/>
                <w:szCs w:val="18"/>
              </w:rPr>
              <w:t xml:space="preserve">Met dit voorstel </w:t>
            </w:r>
            <w:r w:rsidR="006777F6">
              <w:rPr>
                <w:rFonts w:asciiTheme="minorHAnsi" w:hAnsiTheme="minorHAnsi" w:cstheme="minorHAnsi"/>
                <w:sz w:val="18"/>
                <w:szCs w:val="18"/>
              </w:rPr>
              <w:t xml:space="preserve">voor steun aan de cultuursector in Oekraïne voor het bedrag van </w:t>
            </w:r>
            <w:r w:rsidR="00BB37AC">
              <w:rPr>
                <w:rFonts w:asciiTheme="minorHAnsi" w:hAnsiTheme="minorHAnsi" w:cstheme="minorHAnsi"/>
                <w:sz w:val="18"/>
                <w:szCs w:val="18"/>
              </w:rPr>
              <w:t xml:space="preserve">euro </w:t>
            </w:r>
            <w:r w:rsidR="00F918AA">
              <w:rPr>
                <w:rFonts w:asciiTheme="minorHAnsi" w:hAnsiTheme="minorHAnsi" w:cstheme="minorHAnsi"/>
                <w:sz w:val="18"/>
                <w:szCs w:val="18"/>
              </w:rPr>
              <w:t>2.000.000</w:t>
            </w:r>
            <w:r w:rsidR="006777F6">
              <w:rPr>
                <w:rFonts w:asciiTheme="minorHAnsi" w:hAnsiTheme="minorHAnsi" w:cstheme="minorHAnsi"/>
                <w:sz w:val="18"/>
                <w:szCs w:val="18"/>
              </w:rPr>
              <w:t xml:space="preserve"> </w:t>
            </w:r>
            <w:r w:rsidRPr="00271C2F">
              <w:rPr>
                <w:rFonts w:asciiTheme="minorHAnsi" w:hAnsiTheme="minorHAnsi" w:cstheme="minorHAnsi"/>
                <w:sz w:val="18"/>
                <w:szCs w:val="18"/>
              </w:rPr>
              <w:t>wordt het doel nagestreefd om bij te dragen aan behoud van identiteitsbepalende cultuur in Oekraïne, zoals</w:t>
            </w:r>
            <w:r>
              <w:rPr>
                <w:rFonts w:asciiTheme="minorHAnsi" w:hAnsiTheme="minorHAnsi" w:cstheme="minorHAnsi"/>
                <w:sz w:val="18"/>
                <w:szCs w:val="18"/>
              </w:rPr>
              <w:t xml:space="preserve"> het opleiden van restauratie</w:t>
            </w:r>
            <w:r w:rsidR="007278B7">
              <w:rPr>
                <w:rFonts w:asciiTheme="minorHAnsi" w:hAnsiTheme="minorHAnsi" w:cstheme="minorHAnsi"/>
                <w:sz w:val="18"/>
                <w:szCs w:val="18"/>
              </w:rPr>
              <w:t>-</w:t>
            </w:r>
            <w:r>
              <w:rPr>
                <w:rFonts w:asciiTheme="minorHAnsi" w:hAnsiTheme="minorHAnsi" w:cstheme="minorHAnsi"/>
                <w:sz w:val="18"/>
                <w:szCs w:val="18"/>
              </w:rPr>
              <w:t>experts die op deskundige wijze de</w:t>
            </w:r>
            <w:r w:rsidRPr="00271C2F">
              <w:rPr>
                <w:rFonts w:asciiTheme="minorHAnsi" w:hAnsiTheme="minorHAnsi" w:cstheme="minorHAnsi"/>
                <w:sz w:val="18"/>
                <w:szCs w:val="18"/>
              </w:rPr>
              <w:t xml:space="preserve"> stabilisatie van beschadigd erfgoed</w:t>
            </w:r>
            <w:r>
              <w:rPr>
                <w:rFonts w:asciiTheme="minorHAnsi" w:hAnsiTheme="minorHAnsi" w:cstheme="minorHAnsi"/>
                <w:sz w:val="18"/>
                <w:szCs w:val="18"/>
              </w:rPr>
              <w:t xml:space="preserve"> ter hand kunnen nemen</w:t>
            </w:r>
            <w:r w:rsidRPr="00271C2F">
              <w:rPr>
                <w:rFonts w:asciiTheme="minorHAnsi" w:hAnsiTheme="minorHAnsi" w:cstheme="minorHAnsi"/>
                <w:sz w:val="18"/>
                <w:szCs w:val="18"/>
              </w:rPr>
              <w:t>, in het bijzonder</w:t>
            </w:r>
            <w:r w:rsidR="00AC2BF1">
              <w:rPr>
                <w:rFonts w:asciiTheme="minorHAnsi" w:hAnsiTheme="minorHAnsi" w:cstheme="minorHAnsi"/>
                <w:sz w:val="18"/>
                <w:szCs w:val="18"/>
              </w:rPr>
              <w:t xml:space="preserve"> door het opzetten van het </w:t>
            </w:r>
            <w:proofErr w:type="spellStart"/>
            <w:r w:rsidR="00AC2BF1">
              <w:rPr>
                <w:rFonts w:asciiTheme="minorHAnsi" w:hAnsiTheme="minorHAnsi" w:cstheme="minorHAnsi"/>
                <w:sz w:val="18"/>
                <w:szCs w:val="18"/>
              </w:rPr>
              <w:t>Ukrainian</w:t>
            </w:r>
            <w:proofErr w:type="spellEnd"/>
            <w:r w:rsidR="00AC2BF1">
              <w:rPr>
                <w:rFonts w:asciiTheme="minorHAnsi" w:hAnsiTheme="minorHAnsi" w:cstheme="minorHAnsi"/>
                <w:sz w:val="18"/>
                <w:szCs w:val="18"/>
              </w:rPr>
              <w:t xml:space="preserve"> Heritage Fund en </w:t>
            </w:r>
            <w:r w:rsidR="00F918AA">
              <w:rPr>
                <w:rFonts w:asciiTheme="minorHAnsi" w:hAnsiTheme="minorHAnsi" w:cstheme="minorHAnsi"/>
                <w:sz w:val="18"/>
                <w:szCs w:val="18"/>
              </w:rPr>
              <w:t>h</w:t>
            </w:r>
            <w:r w:rsidR="009119A1">
              <w:rPr>
                <w:rFonts w:asciiTheme="minorHAnsi" w:hAnsiTheme="minorHAnsi" w:cstheme="minorHAnsi"/>
                <w:sz w:val="18"/>
                <w:szCs w:val="18"/>
              </w:rPr>
              <w:t>et m</w:t>
            </w:r>
            <w:r w:rsidR="00E170A2">
              <w:rPr>
                <w:rFonts w:asciiTheme="minorHAnsi" w:hAnsiTheme="minorHAnsi" w:cstheme="minorHAnsi"/>
                <w:sz w:val="18"/>
                <w:szCs w:val="18"/>
              </w:rPr>
              <w:t xml:space="preserve">oderniseren van </w:t>
            </w:r>
            <w:r w:rsidR="009119A1">
              <w:rPr>
                <w:rFonts w:asciiTheme="minorHAnsi" w:hAnsiTheme="minorHAnsi" w:cstheme="minorHAnsi"/>
                <w:sz w:val="18"/>
                <w:szCs w:val="18"/>
              </w:rPr>
              <w:t>de</w:t>
            </w:r>
            <w:r w:rsidR="00E170A2">
              <w:rPr>
                <w:rFonts w:asciiTheme="minorHAnsi" w:hAnsiTheme="minorHAnsi" w:cstheme="minorHAnsi"/>
                <w:sz w:val="18"/>
                <w:szCs w:val="18"/>
              </w:rPr>
              <w:t xml:space="preserve"> restauratiewerkplaats en het laboratorium</w:t>
            </w:r>
            <w:r w:rsidRPr="00A20376" w:rsidR="00A20376">
              <w:rPr>
                <w:rFonts w:asciiTheme="minorHAnsi" w:hAnsiTheme="minorHAnsi" w:cstheme="minorHAnsi"/>
                <w:sz w:val="18"/>
                <w:szCs w:val="18"/>
              </w:rPr>
              <w:t>, de aanschaf van geavanceerde laboratoriumapparatuur, training en capaciteitsopbouw, en het versterken van interuniversitaire samenwerking</w:t>
            </w:r>
            <w:r w:rsidR="00A20376">
              <w:rPr>
                <w:rFonts w:asciiTheme="minorHAnsi" w:hAnsiTheme="minorHAnsi" w:cstheme="minorHAnsi"/>
                <w:sz w:val="18"/>
                <w:szCs w:val="18"/>
              </w:rPr>
              <w:t xml:space="preserve"> </w:t>
            </w:r>
            <w:r w:rsidR="00E170A2">
              <w:rPr>
                <w:rFonts w:asciiTheme="minorHAnsi" w:hAnsiTheme="minorHAnsi" w:cstheme="minorHAnsi"/>
                <w:sz w:val="18"/>
                <w:szCs w:val="18"/>
              </w:rPr>
              <w:t>van de</w:t>
            </w:r>
            <w:r>
              <w:rPr>
                <w:rFonts w:asciiTheme="minorHAnsi" w:hAnsiTheme="minorHAnsi" w:cstheme="minorHAnsi"/>
                <w:sz w:val="18"/>
                <w:szCs w:val="18"/>
              </w:rPr>
              <w:t xml:space="preserve"> </w:t>
            </w:r>
            <w:proofErr w:type="spellStart"/>
            <w:r>
              <w:rPr>
                <w:rFonts w:asciiTheme="minorHAnsi" w:hAnsiTheme="minorHAnsi" w:cstheme="minorHAnsi"/>
                <w:sz w:val="18"/>
                <w:szCs w:val="18"/>
              </w:rPr>
              <w:t>Polytechische</w:t>
            </w:r>
            <w:proofErr w:type="spellEnd"/>
            <w:r>
              <w:rPr>
                <w:rFonts w:asciiTheme="minorHAnsi" w:hAnsiTheme="minorHAnsi" w:cstheme="minorHAnsi"/>
                <w:sz w:val="18"/>
                <w:szCs w:val="18"/>
              </w:rPr>
              <w:t xml:space="preserve"> Universiteit van Lviv </w:t>
            </w:r>
            <w:r w:rsidR="009119A1">
              <w:rPr>
                <w:rFonts w:asciiTheme="minorHAnsi" w:hAnsiTheme="minorHAnsi" w:cstheme="minorHAnsi"/>
                <w:sz w:val="18"/>
                <w:szCs w:val="18"/>
              </w:rPr>
              <w:t>en de National Academy of Fine Art and Architecture in Kyiv</w:t>
            </w:r>
            <w:r w:rsidR="007278B7">
              <w:rPr>
                <w:rFonts w:asciiTheme="minorHAnsi" w:hAnsiTheme="minorHAnsi" w:cstheme="minorHAnsi"/>
                <w:sz w:val="18"/>
                <w:szCs w:val="18"/>
              </w:rPr>
              <w:t>,</w:t>
            </w:r>
            <w:r w:rsidR="009119A1">
              <w:rPr>
                <w:rFonts w:asciiTheme="minorHAnsi" w:hAnsiTheme="minorHAnsi" w:cstheme="minorHAnsi"/>
                <w:sz w:val="18"/>
                <w:szCs w:val="18"/>
              </w:rPr>
              <w:t xml:space="preserve"> </w:t>
            </w:r>
            <w:r w:rsidR="00E170A2">
              <w:rPr>
                <w:rFonts w:asciiTheme="minorHAnsi" w:hAnsiTheme="minorHAnsi" w:cstheme="minorHAnsi"/>
                <w:sz w:val="18"/>
                <w:szCs w:val="18"/>
              </w:rPr>
              <w:t xml:space="preserve">zodat restaurateurs </w:t>
            </w:r>
            <w:r w:rsidR="009119A1">
              <w:rPr>
                <w:rFonts w:asciiTheme="minorHAnsi" w:hAnsiTheme="minorHAnsi" w:cstheme="minorHAnsi"/>
                <w:sz w:val="18"/>
                <w:szCs w:val="18"/>
              </w:rPr>
              <w:t xml:space="preserve">op effectieve wijze </w:t>
            </w:r>
            <w:r w:rsidR="00E170A2">
              <w:rPr>
                <w:rFonts w:asciiTheme="minorHAnsi" w:hAnsiTheme="minorHAnsi" w:cstheme="minorHAnsi"/>
                <w:sz w:val="18"/>
                <w:szCs w:val="18"/>
              </w:rPr>
              <w:t>worden opgeleid</w:t>
            </w:r>
            <w:r w:rsidR="007278B7">
              <w:rPr>
                <w:rFonts w:asciiTheme="minorHAnsi" w:hAnsiTheme="minorHAnsi" w:cstheme="minorHAnsi"/>
                <w:sz w:val="18"/>
                <w:szCs w:val="18"/>
              </w:rPr>
              <w:t xml:space="preserve"> en direct aan de slag kunnen</w:t>
            </w:r>
            <w:r w:rsidR="009119A1">
              <w:rPr>
                <w:rFonts w:asciiTheme="minorHAnsi" w:hAnsiTheme="minorHAnsi" w:cstheme="minorHAnsi"/>
                <w:sz w:val="18"/>
                <w:szCs w:val="18"/>
              </w:rPr>
              <w:t xml:space="preserve">. </w:t>
            </w:r>
          </w:p>
          <w:p w:rsidRPr="00271C2F" w:rsidR="0082168B" w:rsidP="009C1F76" w:rsidRDefault="0082168B" w14:paraId="4B7EA270" w14:textId="5FA540AB">
            <w:pPr>
              <w:spacing w:after="160" w:line="259" w:lineRule="auto"/>
              <w:rPr>
                <w:rFonts w:asciiTheme="minorHAnsi" w:hAnsiTheme="minorHAnsi" w:cstheme="minorHAnsi"/>
                <w:sz w:val="18"/>
                <w:szCs w:val="18"/>
              </w:rPr>
            </w:pPr>
            <w:r>
              <w:rPr>
                <w:rFonts w:asciiTheme="minorHAnsi" w:hAnsiTheme="minorHAnsi" w:cstheme="minorHAnsi"/>
                <w:sz w:val="18"/>
                <w:szCs w:val="18"/>
              </w:rPr>
              <w:t xml:space="preserve">Deze middelen komen ten goede van culturele organisaties en cultuurmakers in Oekraïne en zullen in Oekraïne zelf worden besteed. </w:t>
            </w:r>
          </w:p>
          <w:p w:rsidRPr="004D201D" w:rsidR="00271C2F" w:rsidP="00271C2F" w:rsidRDefault="00271C2F" w14:paraId="18526820" w14:textId="2FDE6180">
            <w:pPr>
              <w:pStyle w:val="TableParagraph"/>
              <w:spacing w:before="8" w:line="252" w:lineRule="auto"/>
              <w:jc w:val="both"/>
              <w:rPr>
                <w:rFonts w:asciiTheme="minorHAnsi" w:hAnsiTheme="minorHAnsi" w:cstheme="minorHAnsi"/>
                <w:sz w:val="18"/>
                <w:szCs w:val="18"/>
              </w:rPr>
            </w:pPr>
          </w:p>
        </w:tc>
      </w:tr>
      <w:tr w:rsidRPr="004D201D" w:rsidR="00271C2F" w:rsidTr="00C579A3" w14:paraId="4B2A6865" w14:textId="77777777">
        <w:trPr>
          <w:trHeight w:val="559"/>
        </w:trPr>
        <w:tc>
          <w:tcPr>
            <w:tcW w:w="1168" w:type="pct"/>
            <w:tcBorders>
              <w:top w:val="nil"/>
              <w:left w:val="nil"/>
              <w:bottom w:val="single" w:color="017BC7" w:sz="8" w:space="0"/>
              <w:right w:val="nil"/>
            </w:tcBorders>
            <w:shd w:val="clear" w:color="auto" w:fill="D6EFF9"/>
            <w:hideMark/>
          </w:tcPr>
          <w:p w:rsidRPr="004D201D" w:rsidR="00271C2F" w:rsidP="00271C2F" w:rsidRDefault="00271C2F" w14:paraId="1436DA4A" w14:textId="23660AD1">
            <w:pPr>
              <w:pStyle w:val="TableParagraph"/>
              <w:spacing w:before="57" w:line="252" w:lineRule="auto"/>
              <w:ind w:left="89"/>
              <w:jc w:val="both"/>
              <w:rPr>
                <w:rFonts w:asciiTheme="minorHAnsi" w:hAnsiTheme="minorHAnsi" w:cstheme="minorHAnsi"/>
                <w:b/>
                <w:bCs/>
                <w:sz w:val="18"/>
                <w:szCs w:val="18"/>
                <w:lang w:val="en-US"/>
              </w:rPr>
            </w:pPr>
            <w:r w:rsidRPr="004D201D">
              <w:rPr>
                <w:rFonts w:asciiTheme="minorHAnsi" w:hAnsiTheme="minorHAnsi" w:cstheme="minorHAnsi"/>
                <w:b/>
                <w:bCs/>
                <w:sz w:val="18"/>
                <w:szCs w:val="18"/>
                <w:lang w:val="en-US"/>
              </w:rPr>
              <w:t xml:space="preserve">2. </w:t>
            </w:r>
            <w:proofErr w:type="spellStart"/>
            <w:r w:rsidRPr="004D201D">
              <w:rPr>
                <w:rFonts w:asciiTheme="minorHAnsi" w:hAnsiTheme="minorHAnsi" w:cstheme="minorHAnsi"/>
                <w:b/>
                <w:bCs/>
                <w:sz w:val="18"/>
                <w:szCs w:val="18"/>
                <w:lang w:val="en-US"/>
              </w:rPr>
              <w:t>Beleidsinstrument</w:t>
            </w:r>
            <w:proofErr w:type="spellEnd"/>
            <w:r w:rsidRPr="004D201D">
              <w:rPr>
                <w:rFonts w:asciiTheme="minorHAnsi" w:hAnsiTheme="minorHAnsi" w:cstheme="minorHAnsi"/>
                <w:b/>
                <w:bCs/>
                <w:sz w:val="18"/>
                <w:szCs w:val="18"/>
                <w:lang w:val="en-US"/>
              </w:rPr>
              <w:t>(en)</w:t>
            </w:r>
          </w:p>
        </w:tc>
        <w:tc>
          <w:tcPr>
            <w:tcW w:w="3832" w:type="pct"/>
            <w:tcBorders>
              <w:top w:val="nil"/>
              <w:left w:val="nil"/>
              <w:bottom w:val="single" w:color="017BC7" w:sz="8" w:space="0"/>
              <w:right w:val="nil"/>
            </w:tcBorders>
            <w:shd w:val="clear" w:color="auto" w:fill="auto"/>
          </w:tcPr>
          <w:p w:rsidRPr="00271C2F" w:rsidR="00271C2F" w:rsidP="00271C2F" w:rsidRDefault="00271C2F" w14:paraId="72EB4DAB" w14:textId="2E0B912C">
            <w:pPr>
              <w:spacing w:after="160" w:line="259" w:lineRule="auto"/>
              <w:rPr>
                <w:rFonts w:asciiTheme="minorHAnsi" w:hAnsiTheme="minorHAnsi" w:cstheme="minorHAnsi"/>
                <w:sz w:val="18"/>
                <w:szCs w:val="18"/>
              </w:rPr>
            </w:pPr>
            <w:r w:rsidRPr="00271C2F">
              <w:rPr>
                <w:rFonts w:asciiTheme="minorHAnsi" w:hAnsiTheme="minorHAnsi" w:cstheme="minorHAnsi"/>
                <w:sz w:val="18"/>
                <w:szCs w:val="18"/>
              </w:rPr>
              <w:t>Welke beleidsinstrumenten worden ingezet om deze doelen te realiseren?</w:t>
            </w:r>
          </w:p>
          <w:p w:rsidRPr="004D201D" w:rsidR="00271C2F" w:rsidP="009C1F76" w:rsidRDefault="00271C2F" w14:paraId="63B5A93D" w14:textId="0E405D7E">
            <w:pPr>
              <w:spacing w:after="160" w:line="259" w:lineRule="auto"/>
              <w:rPr>
                <w:rFonts w:asciiTheme="minorHAnsi" w:hAnsiTheme="minorHAnsi" w:cstheme="minorHAnsi"/>
                <w:szCs w:val="18"/>
              </w:rPr>
            </w:pPr>
            <w:r w:rsidRPr="00271C2F">
              <w:rPr>
                <w:rFonts w:asciiTheme="minorHAnsi" w:hAnsiTheme="minorHAnsi" w:cstheme="minorHAnsi"/>
                <w:sz w:val="18"/>
                <w:szCs w:val="18"/>
              </w:rPr>
              <w:t xml:space="preserve">Sinds de opstart van projectidentificatie in december worden partnerschappen met Oekraïense organisaties en deskundigen aangegaan en ontwikkelen noodinterventies zich tot meerjarige structurele samenwerking voor het realiseren van de doelstellingen. Partnerschappen kunnen pas commitments (contracten) aangaan nadat financiering is zeker gesteld. Daarom zijn deze activiteiten voorgelegd </w:t>
            </w:r>
            <w:r>
              <w:rPr>
                <w:rFonts w:asciiTheme="minorHAnsi" w:hAnsiTheme="minorHAnsi" w:cstheme="minorHAnsi"/>
                <w:sz w:val="18"/>
                <w:szCs w:val="18"/>
              </w:rPr>
              <w:t>via</w:t>
            </w:r>
            <w:r w:rsidR="00AC2BF1">
              <w:rPr>
                <w:rFonts w:asciiTheme="minorHAnsi" w:hAnsiTheme="minorHAnsi" w:cstheme="minorHAnsi"/>
                <w:szCs w:val="18"/>
              </w:rPr>
              <w:t xml:space="preserve"> </w:t>
            </w:r>
            <w:r w:rsidRPr="009C1F76" w:rsidR="00AC2BF1">
              <w:rPr>
                <w:rFonts w:asciiTheme="minorHAnsi" w:hAnsiTheme="minorHAnsi" w:cstheme="minorHAnsi"/>
                <w:sz w:val="18"/>
                <w:szCs w:val="18"/>
              </w:rPr>
              <w:t>d</w:t>
            </w:r>
            <w:r w:rsidRPr="009C1F76">
              <w:rPr>
                <w:rFonts w:asciiTheme="minorHAnsi" w:hAnsiTheme="minorHAnsi" w:cstheme="minorHAnsi"/>
                <w:sz w:val="18"/>
                <w:szCs w:val="18"/>
              </w:rPr>
              <w:t xml:space="preserve">e </w:t>
            </w:r>
            <w:r w:rsidRPr="009C1F76" w:rsidR="00B87235">
              <w:rPr>
                <w:rFonts w:asciiTheme="minorHAnsi" w:hAnsiTheme="minorHAnsi" w:cstheme="minorHAnsi"/>
                <w:sz w:val="18"/>
                <w:szCs w:val="18"/>
              </w:rPr>
              <w:t>N</w:t>
            </w:r>
            <w:r w:rsidRPr="009C1F76">
              <w:rPr>
                <w:rFonts w:asciiTheme="minorHAnsi" w:hAnsiTheme="minorHAnsi" w:cstheme="minorHAnsi"/>
                <w:sz w:val="18"/>
                <w:szCs w:val="18"/>
              </w:rPr>
              <w:t xml:space="preserve">ederlandse ambassade in Kyiv </w:t>
            </w:r>
            <w:r w:rsidR="007278B7">
              <w:rPr>
                <w:rFonts w:asciiTheme="minorHAnsi" w:hAnsiTheme="minorHAnsi" w:cstheme="minorHAnsi"/>
                <w:sz w:val="18"/>
                <w:szCs w:val="18"/>
              </w:rPr>
              <w:t>die</w:t>
            </w:r>
            <w:r w:rsidRPr="009C1F76">
              <w:rPr>
                <w:rFonts w:asciiTheme="minorHAnsi" w:hAnsiTheme="minorHAnsi" w:cstheme="minorHAnsi"/>
                <w:sz w:val="18"/>
                <w:szCs w:val="18"/>
              </w:rPr>
              <w:t xml:space="preserve"> het beoogde samenwerkingsverband met de Polytechnische Universiteit van Lviv </w:t>
            </w:r>
            <w:r w:rsidRPr="009C1F76" w:rsidR="006777F6">
              <w:rPr>
                <w:rFonts w:asciiTheme="minorHAnsi" w:hAnsiTheme="minorHAnsi" w:cstheme="minorHAnsi"/>
                <w:sz w:val="18"/>
                <w:szCs w:val="18"/>
              </w:rPr>
              <w:t>en de samenwerking met de National Academy of Fine Art and Architecture in Kyiv</w:t>
            </w:r>
            <w:r w:rsidR="007278B7">
              <w:rPr>
                <w:rFonts w:asciiTheme="minorHAnsi" w:hAnsiTheme="minorHAnsi" w:cstheme="minorHAnsi"/>
                <w:sz w:val="18"/>
                <w:szCs w:val="18"/>
              </w:rPr>
              <w:t xml:space="preserve"> zal beheren.</w:t>
            </w:r>
          </w:p>
        </w:tc>
      </w:tr>
      <w:tr w:rsidRPr="004D201D" w:rsidR="00271C2F" w:rsidTr="00C579A3" w14:paraId="422A7ABF" w14:textId="77777777">
        <w:trPr>
          <w:trHeight w:val="559"/>
        </w:trPr>
        <w:tc>
          <w:tcPr>
            <w:tcW w:w="1168" w:type="pct"/>
            <w:tcBorders>
              <w:top w:val="nil"/>
              <w:left w:val="nil"/>
              <w:bottom w:val="single" w:color="017BC7" w:sz="8" w:space="0"/>
              <w:right w:val="nil"/>
            </w:tcBorders>
            <w:shd w:val="clear" w:color="auto" w:fill="D6EFF9"/>
          </w:tcPr>
          <w:p w:rsidRPr="004D201D" w:rsidR="00271C2F" w:rsidP="00271C2F" w:rsidRDefault="00271C2F" w14:paraId="621D2BC2" w14:textId="77777777">
            <w:pPr>
              <w:pStyle w:val="TableParagraph"/>
              <w:spacing w:before="52" w:line="252" w:lineRule="auto"/>
              <w:ind w:left="89"/>
              <w:rPr>
                <w:rFonts w:asciiTheme="minorHAnsi" w:hAnsiTheme="minorHAnsi" w:cstheme="minorHAnsi"/>
                <w:b/>
                <w:bCs/>
                <w:sz w:val="18"/>
                <w:szCs w:val="18"/>
              </w:rPr>
            </w:pPr>
            <w:bookmarkStart w:name="_Hlk185256491" w:id="0"/>
            <w:r w:rsidRPr="004D201D">
              <w:rPr>
                <w:rFonts w:asciiTheme="minorHAnsi" w:hAnsiTheme="minorHAnsi" w:cstheme="minorHAnsi"/>
                <w:b/>
                <w:bCs/>
                <w:sz w:val="18"/>
                <w:szCs w:val="18"/>
              </w:rPr>
              <w:t>3. Samenhang eerdere steuninitiatieven</w:t>
            </w:r>
          </w:p>
          <w:bookmarkEnd w:id="0"/>
          <w:p w:rsidRPr="004D201D" w:rsidR="00271C2F" w:rsidP="00271C2F" w:rsidRDefault="00271C2F" w14:paraId="63452EB5" w14:textId="4A7FBBC3">
            <w:pPr>
              <w:pStyle w:val="TableParagraph"/>
              <w:spacing w:before="52" w:line="252" w:lineRule="auto"/>
              <w:ind w:left="89"/>
              <w:jc w:val="both"/>
              <w:rPr>
                <w:rFonts w:asciiTheme="minorHAnsi" w:hAnsiTheme="minorHAnsi" w:cstheme="minorHAnsi"/>
                <w:b/>
                <w:bCs/>
                <w:sz w:val="18"/>
                <w:szCs w:val="18"/>
              </w:rPr>
            </w:pPr>
          </w:p>
        </w:tc>
        <w:tc>
          <w:tcPr>
            <w:tcW w:w="3832" w:type="pct"/>
            <w:tcBorders>
              <w:top w:val="nil"/>
              <w:left w:val="nil"/>
              <w:bottom w:val="single" w:color="017BC7" w:sz="8" w:space="0"/>
              <w:right w:val="nil"/>
            </w:tcBorders>
            <w:shd w:val="clear" w:color="auto" w:fill="auto"/>
          </w:tcPr>
          <w:p w:rsidRPr="004D201D" w:rsidR="00271C2F" w:rsidP="00271C2F" w:rsidRDefault="00271C2F" w14:paraId="3E14BB2B" w14:textId="5F92D2CC">
            <w:pPr>
              <w:autoSpaceDE w:val="0"/>
              <w:autoSpaceDN w:val="0"/>
              <w:spacing w:before="52" w:line="252" w:lineRule="auto"/>
              <w:jc w:val="both"/>
              <w:rPr>
                <w:rFonts w:asciiTheme="minorHAnsi" w:hAnsiTheme="minorHAnsi" w:cstheme="minorHAnsi"/>
                <w:sz w:val="18"/>
                <w:szCs w:val="18"/>
              </w:rPr>
            </w:pPr>
            <w:r w:rsidRPr="004D201D">
              <w:rPr>
                <w:rFonts w:asciiTheme="minorHAnsi" w:hAnsiTheme="minorHAnsi" w:cstheme="minorHAnsi"/>
                <w:sz w:val="18"/>
                <w:szCs w:val="18"/>
              </w:rPr>
              <w:t xml:space="preserve"> Hoe verhoudt het steunvoorstel zich tot eerdere steuninitiatieven op het betreffende thema?  </w:t>
            </w:r>
          </w:p>
          <w:p w:rsidRPr="004D201D" w:rsidR="00271C2F" w:rsidP="007278B7" w:rsidRDefault="00271C2F" w14:paraId="5D1E9516" w14:textId="564F6751">
            <w:pPr>
              <w:autoSpaceDE w:val="0"/>
              <w:autoSpaceDN w:val="0"/>
              <w:spacing w:before="52" w:line="252" w:lineRule="auto"/>
              <w:jc w:val="both"/>
              <w:rPr>
                <w:rFonts w:asciiTheme="minorHAnsi" w:hAnsiTheme="minorHAnsi" w:cstheme="minorHAnsi"/>
                <w:sz w:val="18"/>
                <w:szCs w:val="18"/>
              </w:rPr>
            </w:pPr>
            <w:r w:rsidRPr="004D201D">
              <w:rPr>
                <w:rFonts w:asciiTheme="minorHAnsi" w:hAnsiTheme="minorHAnsi" w:cstheme="minorHAnsi"/>
                <w:sz w:val="18"/>
                <w:szCs w:val="18"/>
              </w:rPr>
              <w:t xml:space="preserve">Wat zijn de resultaten tot dusver geweest en de geleerde lessen? </w:t>
            </w:r>
          </w:p>
          <w:p w:rsidR="00843487" w:rsidP="00271C2F" w:rsidRDefault="00B87235" w14:paraId="4DBC786E" w14:textId="3551A796">
            <w:pPr>
              <w:spacing w:before="52"/>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De eerstgenoemde</w:t>
            </w:r>
            <w:r w:rsidR="00521481">
              <w:rPr>
                <w:rFonts w:asciiTheme="minorHAnsi" w:hAnsiTheme="minorHAnsi" w:cstheme="minorHAnsi"/>
                <w:color w:val="000000" w:themeColor="text1"/>
                <w:sz w:val="18"/>
                <w:szCs w:val="18"/>
              </w:rPr>
              <w:t xml:space="preserve"> voorstellen sluiten goed aan bij eerdere</w:t>
            </w:r>
            <w:r w:rsidR="00936D11">
              <w:rPr>
                <w:rFonts w:asciiTheme="minorHAnsi" w:hAnsiTheme="minorHAnsi" w:cstheme="minorHAnsi"/>
                <w:color w:val="000000" w:themeColor="text1"/>
                <w:sz w:val="18"/>
                <w:szCs w:val="18"/>
              </w:rPr>
              <w:t xml:space="preserve"> cultuur</w:t>
            </w:r>
            <w:r w:rsidR="00521481">
              <w:rPr>
                <w:rFonts w:asciiTheme="minorHAnsi" w:hAnsiTheme="minorHAnsi" w:cstheme="minorHAnsi"/>
                <w:color w:val="000000" w:themeColor="text1"/>
                <w:sz w:val="18"/>
                <w:szCs w:val="18"/>
              </w:rPr>
              <w:t xml:space="preserve"> steunprojecten. In het door Nederland gefinancierde CER programma</w:t>
            </w:r>
            <w:r w:rsidR="00A11675">
              <w:rPr>
                <w:rFonts w:asciiTheme="minorHAnsi" w:hAnsiTheme="minorHAnsi" w:cstheme="minorHAnsi"/>
                <w:color w:val="000000" w:themeColor="text1"/>
                <w:sz w:val="18"/>
                <w:szCs w:val="18"/>
              </w:rPr>
              <w:t xml:space="preserve"> in Oekraïne</w:t>
            </w:r>
            <w:r w:rsidR="00521481">
              <w:rPr>
                <w:rFonts w:asciiTheme="minorHAnsi" w:hAnsiTheme="minorHAnsi" w:cstheme="minorHAnsi"/>
                <w:color w:val="000000" w:themeColor="text1"/>
                <w:sz w:val="18"/>
                <w:szCs w:val="18"/>
              </w:rPr>
              <w:t xml:space="preserve"> wordt reeds nauw samengewerkt met de restauratieafdeling van de </w:t>
            </w:r>
            <w:r w:rsidR="006777F6">
              <w:rPr>
                <w:rFonts w:asciiTheme="minorHAnsi" w:hAnsiTheme="minorHAnsi" w:cstheme="minorHAnsi"/>
                <w:color w:val="000000" w:themeColor="text1"/>
                <w:sz w:val="18"/>
                <w:szCs w:val="18"/>
              </w:rPr>
              <w:t>Polytechnische</w:t>
            </w:r>
            <w:r w:rsidR="00521481">
              <w:rPr>
                <w:rFonts w:asciiTheme="minorHAnsi" w:hAnsiTheme="minorHAnsi" w:cstheme="minorHAnsi"/>
                <w:color w:val="000000" w:themeColor="text1"/>
                <w:sz w:val="18"/>
                <w:szCs w:val="18"/>
              </w:rPr>
              <w:t xml:space="preserve"> Universiteit</w:t>
            </w:r>
            <w:r w:rsidR="009119A1">
              <w:rPr>
                <w:rFonts w:asciiTheme="minorHAnsi" w:hAnsiTheme="minorHAnsi" w:cstheme="minorHAnsi"/>
                <w:color w:val="000000" w:themeColor="text1"/>
                <w:sz w:val="18"/>
                <w:szCs w:val="18"/>
              </w:rPr>
              <w:t xml:space="preserve"> in Lviv</w:t>
            </w:r>
            <w:r w:rsidR="007278B7">
              <w:rPr>
                <w:rFonts w:asciiTheme="minorHAnsi" w:hAnsiTheme="minorHAnsi" w:cstheme="minorHAnsi"/>
                <w:color w:val="000000" w:themeColor="text1"/>
                <w:sz w:val="18"/>
                <w:szCs w:val="18"/>
              </w:rPr>
              <w:t xml:space="preserve">. </w:t>
            </w:r>
            <w:r w:rsidR="00A11675">
              <w:rPr>
                <w:rFonts w:asciiTheme="minorHAnsi" w:hAnsiTheme="minorHAnsi" w:cstheme="minorHAnsi"/>
                <w:color w:val="000000" w:themeColor="text1"/>
                <w:sz w:val="18"/>
                <w:szCs w:val="18"/>
              </w:rPr>
              <w:t xml:space="preserve">Daarnaast is het </w:t>
            </w:r>
            <w:r w:rsidR="007278B7">
              <w:rPr>
                <w:rFonts w:asciiTheme="minorHAnsi" w:hAnsiTheme="minorHAnsi" w:cstheme="minorHAnsi"/>
                <w:color w:val="000000" w:themeColor="text1"/>
                <w:sz w:val="18"/>
                <w:szCs w:val="18"/>
              </w:rPr>
              <w:t xml:space="preserve">UHF alsmede het </w:t>
            </w:r>
            <w:r w:rsidR="00A11675">
              <w:rPr>
                <w:rFonts w:asciiTheme="minorHAnsi" w:hAnsiTheme="minorHAnsi" w:cstheme="minorHAnsi"/>
                <w:color w:val="000000" w:themeColor="text1"/>
                <w:sz w:val="18"/>
                <w:szCs w:val="18"/>
              </w:rPr>
              <w:t xml:space="preserve">moderniseren van restauratieopleidingen </w:t>
            </w:r>
            <w:r w:rsidR="007278B7">
              <w:rPr>
                <w:rFonts w:asciiTheme="minorHAnsi" w:hAnsiTheme="minorHAnsi" w:cstheme="minorHAnsi"/>
                <w:color w:val="000000" w:themeColor="text1"/>
                <w:sz w:val="18"/>
                <w:szCs w:val="18"/>
              </w:rPr>
              <w:t>(</w:t>
            </w:r>
            <w:r w:rsidR="00A11675">
              <w:rPr>
                <w:rFonts w:asciiTheme="minorHAnsi" w:hAnsiTheme="minorHAnsi" w:cstheme="minorHAnsi"/>
                <w:color w:val="000000" w:themeColor="text1"/>
                <w:sz w:val="18"/>
                <w:szCs w:val="18"/>
              </w:rPr>
              <w:t xml:space="preserve">en het </w:t>
            </w:r>
            <w:r w:rsidR="007278B7">
              <w:rPr>
                <w:rFonts w:asciiTheme="minorHAnsi" w:hAnsiTheme="minorHAnsi" w:cstheme="minorHAnsi"/>
                <w:color w:val="000000" w:themeColor="text1"/>
                <w:sz w:val="18"/>
                <w:szCs w:val="18"/>
              </w:rPr>
              <w:t xml:space="preserve">daarmee tevens </w:t>
            </w:r>
            <w:r w:rsidR="00A11675">
              <w:rPr>
                <w:rFonts w:asciiTheme="minorHAnsi" w:hAnsiTheme="minorHAnsi" w:cstheme="minorHAnsi"/>
                <w:color w:val="000000" w:themeColor="text1"/>
                <w:sz w:val="18"/>
                <w:szCs w:val="18"/>
              </w:rPr>
              <w:t>creëren van meer plekken voor studenten</w:t>
            </w:r>
            <w:r w:rsidR="007278B7">
              <w:rPr>
                <w:rFonts w:asciiTheme="minorHAnsi" w:hAnsiTheme="minorHAnsi" w:cstheme="minorHAnsi"/>
                <w:color w:val="000000" w:themeColor="text1"/>
                <w:sz w:val="18"/>
                <w:szCs w:val="18"/>
              </w:rPr>
              <w:t>)</w:t>
            </w:r>
            <w:r w:rsidR="00A11675">
              <w:rPr>
                <w:rFonts w:asciiTheme="minorHAnsi" w:hAnsiTheme="minorHAnsi" w:cstheme="minorHAnsi"/>
                <w:color w:val="000000" w:themeColor="text1"/>
                <w:sz w:val="18"/>
                <w:szCs w:val="18"/>
              </w:rPr>
              <w:t xml:space="preserve"> een direct verzoek van de Oekraïense Minister voor Cultuur</w:t>
            </w:r>
            <w:r w:rsidR="007278B7">
              <w:rPr>
                <w:rFonts w:asciiTheme="minorHAnsi" w:hAnsiTheme="minorHAnsi" w:cstheme="minorHAnsi"/>
                <w:color w:val="000000" w:themeColor="text1"/>
                <w:sz w:val="18"/>
                <w:szCs w:val="18"/>
              </w:rPr>
              <w:t xml:space="preserve">, hetgeen hij </w:t>
            </w:r>
            <w:r w:rsidR="00A11675">
              <w:rPr>
                <w:rFonts w:asciiTheme="minorHAnsi" w:hAnsiTheme="minorHAnsi" w:cstheme="minorHAnsi"/>
                <w:color w:val="000000" w:themeColor="text1"/>
                <w:sz w:val="18"/>
                <w:szCs w:val="18"/>
              </w:rPr>
              <w:t>meermaals heeft geuit in gesprekken met de ambassade. Het is ook opgenomen als een van de vijf strategische prioriteiten in de nieuwe cultuurstrategie</w:t>
            </w:r>
            <w:r w:rsidR="00936D11">
              <w:rPr>
                <w:rFonts w:asciiTheme="minorHAnsi" w:hAnsiTheme="minorHAnsi" w:cstheme="minorHAnsi"/>
                <w:color w:val="000000" w:themeColor="text1"/>
                <w:sz w:val="18"/>
                <w:szCs w:val="18"/>
              </w:rPr>
              <w:t xml:space="preserve"> van het land</w:t>
            </w:r>
            <w:r w:rsidR="00A11675">
              <w:rPr>
                <w:rFonts w:asciiTheme="minorHAnsi" w:hAnsiTheme="minorHAnsi" w:cstheme="minorHAnsi"/>
                <w:color w:val="000000" w:themeColor="text1"/>
                <w:sz w:val="18"/>
                <w:szCs w:val="18"/>
              </w:rPr>
              <w:t xml:space="preserve">. </w:t>
            </w:r>
            <w:r w:rsidR="006613FE">
              <w:rPr>
                <w:rFonts w:asciiTheme="minorHAnsi" w:hAnsiTheme="minorHAnsi" w:cstheme="minorHAnsi"/>
                <w:color w:val="000000" w:themeColor="text1"/>
                <w:sz w:val="18"/>
                <w:szCs w:val="18"/>
              </w:rPr>
              <w:t>De huidige voorstellen bouwen voort op eerdere Nederlandse steunmaatregelen voor cultuur (uit het eerder steunpakket algemene middelen voor OEK cultuur in 2022-23), die een basis hebben gelegd onder de thans beoogde activiteiten.</w:t>
            </w:r>
          </w:p>
          <w:p w:rsidRPr="004D201D" w:rsidR="00271C2F" w:rsidP="00AC2BF1" w:rsidRDefault="00271C2F" w14:paraId="701DCC10" w14:textId="0F240C1D">
            <w:pPr>
              <w:spacing w:before="52"/>
              <w:jc w:val="both"/>
              <w:rPr>
                <w:rFonts w:asciiTheme="minorHAnsi" w:hAnsiTheme="minorHAnsi" w:cstheme="minorHAnsi"/>
                <w:sz w:val="18"/>
                <w:szCs w:val="18"/>
              </w:rPr>
            </w:pPr>
          </w:p>
        </w:tc>
      </w:tr>
      <w:tr w:rsidRPr="004D201D" w:rsidR="00271C2F" w:rsidTr="00C579A3" w14:paraId="41921D76" w14:textId="77777777">
        <w:trPr>
          <w:trHeight w:val="559"/>
        </w:trPr>
        <w:tc>
          <w:tcPr>
            <w:tcW w:w="1168" w:type="pct"/>
            <w:tcBorders>
              <w:top w:val="nil"/>
              <w:left w:val="nil"/>
              <w:bottom w:val="single" w:color="017BC7" w:sz="8" w:space="0"/>
              <w:right w:val="nil"/>
            </w:tcBorders>
            <w:shd w:val="clear" w:color="auto" w:fill="D6EFF9"/>
          </w:tcPr>
          <w:p w:rsidRPr="004D201D" w:rsidR="00271C2F" w:rsidP="00271C2F" w:rsidRDefault="00271C2F" w14:paraId="7774D44B" w14:textId="7FBCBD24">
            <w:pPr>
              <w:pStyle w:val="TableParagraph"/>
              <w:spacing w:before="52" w:line="252" w:lineRule="auto"/>
              <w:ind w:left="89"/>
              <w:jc w:val="both"/>
              <w:rPr>
                <w:rFonts w:asciiTheme="minorHAnsi" w:hAnsiTheme="minorHAnsi" w:cstheme="minorHAnsi"/>
                <w:b/>
                <w:bCs/>
                <w:sz w:val="18"/>
                <w:szCs w:val="18"/>
              </w:rPr>
            </w:pPr>
            <w:r w:rsidRPr="004D201D">
              <w:rPr>
                <w:rFonts w:asciiTheme="minorHAnsi" w:hAnsiTheme="minorHAnsi" w:cstheme="minorHAnsi"/>
                <w:b/>
                <w:bCs/>
                <w:sz w:val="18"/>
                <w:szCs w:val="18"/>
              </w:rPr>
              <w:t>4. Internationale context</w:t>
            </w:r>
          </w:p>
        </w:tc>
        <w:tc>
          <w:tcPr>
            <w:tcW w:w="3832" w:type="pct"/>
            <w:tcBorders>
              <w:top w:val="nil"/>
              <w:left w:val="nil"/>
              <w:bottom w:val="single" w:color="017BC7" w:sz="8" w:space="0"/>
              <w:right w:val="nil"/>
            </w:tcBorders>
            <w:shd w:val="clear" w:color="auto" w:fill="auto"/>
          </w:tcPr>
          <w:p w:rsidR="00271C2F" w:rsidP="00271C2F" w:rsidRDefault="00271C2F" w14:paraId="3C293055" w14:textId="69B0E998">
            <w:pPr>
              <w:pStyle w:val="TableParagraph"/>
              <w:spacing w:before="8" w:line="252" w:lineRule="auto"/>
              <w:jc w:val="both"/>
              <w:rPr>
                <w:rFonts w:asciiTheme="minorHAnsi" w:hAnsiTheme="minorHAnsi" w:cstheme="minorHAnsi"/>
                <w:sz w:val="18"/>
                <w:szCs w:val="18"/>
              </w:rPr>
            </w:pPr>
            <w:r w:rsidRPr="004D201D">
              <w:rPr>
                <w:rFonts w:asciiTheme="minorHAnsi" w:hAnsiTheme="minorHAnsi" w:cstheme="minorHAnsi"/>
                <w:sz w:val="18"/>
                <w:szCs w:val="18"/>
              </w:rPr>
              <w:t xml:space="preserve">Hoe verhoudt het voorstel zich tot internationale en EU-steuninitiatieven? Wat is de   additionaliteit? Waarom dient Nederland  dit voorstel te financieren? </w:t>
            </w:r>
          </w:p>
          <w:p w:rsidR="00B674AF" w:rsidP="00271C2F" w:rsidRDefault="00B674AF" w14:paraId="66A2CCAF" w14:textId="77777777">
            <w:pPr>
              <w:pStyle w:val="TableParagraph"/>
              <w:spacing w:before="8" w:line="252" w:lineRule="auto"/>
              <w:jc w:val="both"/>
              <w:rPr>
                <w:rFonts w:asciiTheme="minorHAnsi" w:hAnsiTheme="minorHAnsi" w:cstheme="minorHAnsi"/>
                <w:sz w:val="18"/>
                <w:szCs w:val="18"/>
              </w:rPr>
            </w:pPr>
          </w:p>
          <w:p w:rsidRPr="004D201D" w:rsidR="00271C2F" w:rsidP="00271C2F" w:rsidRDefault="007278B7" w14:paraId="500BE167" w14:textId="3458ABF3">
            <w:pPr>
              <w:pStyle w:val="TableParagraph"/>
              <w:spacing w:before="8" w:line="252" w:lineRule="auto"/>
              <w:jc w:val="both"/>
              <w:rPr>
                <w:rFonts w:asciiTheme="minorHAnsi" w:hAnsiTheme="minorHAnsi" w:cstheme="minorHAnsi"/>
                <w:sz w:val="18"/>
                <w:szCs w:val="18"/>
              </w:rPr>
            </w:pPr>
            <w:r>
              <w:rPr>
                <w:rFonts w:asciiTheme="minorHAnsi" w:hAnsiTheme="minorHAnsi" w:cstheme="minorHAnsi"/>
                <w:sz w:val="18"/>
                <w:szCs w:val="18"/>
              </w:rPr>
              <w:lastRenderedPageBreak/>
              <w:t>Begin dit jaar</w:t>
            </w:r>
            <w:r w:rsidR="00B674AF">
              <w:rPr>
                <w:rFonts w:asciiTheme="minorHAnsi" w:hAnsiTheme="minorHAnsi" w:cstheme="minorHAnsi"/>
                <w:sz w:val="18"/>
                <w:szCs w:val="18"/>
              </w:rPr>
              <w:t xml:space="preserve"> heeft OEK bij de ministeriële conferentie van </w:t>
            </w:r>
            <w:proofErr w:type="spellStart"/>
            <w:r w:rsidR="00B674AF">
              <w:rPr>
                <w:rFonts w:asciiTheme="minorHAnsi" w:hAnsiTheme="minorHAnsi" w:cstheme="minorHAnsi"/>
                <w:sz w:val="18"/>
                <w:szCs w:val="18"/>
              </w:rPr>
              <w:t>Uzhhorod</w:t>
            </w:r>
            <w:proofErr w:type="spellEnd"/>
            <w:r w:rsidR="00B674AF">
              <w:rPr>
                <w:rFonts w:asciiTheme="minorHAnsi" w:hAnsiTheme="minorHAnsi" w:cstheme="minorHAnsi"/>
                <w:sz w:val="18"/>
                <w:szCs w:val="18"/>
              </w:rPr>
              <w:t xml:space="preserve"> (</w:t>
            </w:r>
            <w:r w:rsidR="00936D11">
              <w:rPr>
                <w:rFonts w:asciiTheme="minorHAnsi" w:hAnsiTheme="minorHAnsi" w:cstheme="minorHAnsi"/>
                <w:sz w:val="18"/>
                <w:szCs w:val="18"/>
              </w:rPr>
              <w:t>‘</w:t>
            </w:r>
            <w:proofErr w:type="spellStart"/>
            <w:r w:rsidR="00936D11">
              <w:rPr>
                <w:rFonts w:asciiTheme="minorHAnsi" w:hAnsiTheme="minorHAnsi" w:cstheme="minorHAnsi"/>
                <w:sz w:val="18"/>
                <w:szCs w:val="18"/>
              </w:rPr>
              <w:t>Ramstein</w:t>
            </w:r>
            <w:proofErr w:type="spellEnd"/>
            <w:r w:rsidR="00936D11">
              <w:rPr>
                <w:rFonts w:asciiTheme="minorHAnsi" w:hAnsiTheme="minorHAnsi" w:cstheme="minorHAnsi"/>
                <w:sz w:val="18"/>
                <w:szCs w:val="18"/>
              </w:rPr>
              <w:t xml:space="preserve"> voor cultuur</w:t>
            </w:r>
            <w:r w:rsidR="00D55AE3">
              <w:rPr>
                <w:rFonts w:asciiTheme="minorHAnsi" w:hAnsiTheme="minorHAnsi" w:cstheme="minorHAnsi"/>
                <w:sz w:val="18"/>
                <w:szCs w:val="18"/>
              </w:rPr>
              <w:t>’</w:t>
            </w:r>
            <w:r w:rsidR="00B674AF">
              <w:rPr>
                <w:rFonts w:asciiTheme="minorHAnsi" w:hAnsiTheme="minorHAnsi" w:cstheme="minorHAnsi"/>
                <w:sz w:val="18"/>
                <w:szCs w:val="18"/>
              </w:rPr>
              <w:t>1-2 februari 2025) de internationale gemeenschap opgeroepen het beschermen van de cultuur van Oekraïne hoge</w:t>
            </w:r>
            <w:r w:rsidR="00936D11">
              <w:rPr>
                <w:rFonts w:asciiTheme="minorHAnsi" w:hAnsiTheme="minorHAnsi" w:cstheme="minorHAnsi"/>
                <w:sz w:val="18"/>
                <w:szCs w:val="18"/>
              </w:rPr>
              <w:t>re</w:t>
            </w:r>
            <w:r w:rsidR="00B674AF">
              <w:rPr>
                <w:rFonts w:asciiTheme="minorHAnsi" w:hAnsiTheme="minorHAnsi" w:cstheme="minorHAnsi"/>
                <w:sz w:val="18"/>
                <w:szCs w:val="18"/>
              </w:rPr>
              <w:t xml:space="preserve"> prioriteit toe te kennen om weerstand te bieden tegen de Russische agressie en doelbewuste vernietiging van de Oekraïense cultuur. </w:t>
            </w:r>
            <w:r w:rsidR="00A90074">
              <w:rPr>
                <w:rFonts w:asciiTheme="minorHAnsi" w:hAnsiTheme="minorHAnsi" w:cstheme="minorHAnsi"/>
                <w:sz w:val="18"/>
                <w:szCs w:val="18"/>
              </w:rPr>
              <w:t xml:space="preserve">Ook is duidelijk dat </w:t>
            </w:r>
            <w:r w:rsidR="00FA4597">
              <w:rPr>
                <w:rFonts w:asciiTheme="minorHAnsi" w:hAnsiTheme="minorHAnsi" w:cstheme="minorHAnsi"/>
                <w:sz w:val="18"/>
                <w:szCs w:val="18"/>
              </w:rPr>
              <w:t>Oekraïne</w:t>
            </w:r>
            <w:r w:rsidR="00A90074">
              <w:rPr>
                <w:rFonts w:asciiTheme="minorHAnsi" w:hAnsiTheme="minorHAnsi" w:cstheme="minorHAnsi"/>
                <w:sz w:val="18"/>
                <w:szCs w:val="18"/>
              </w:rPr>
              <w:t xml:space="preserve"> veel steun nodig heeft voor </w:t>
            </w:r>
            <w:r w:rsidR="00FA4597">
              <w:rPr>
                <w:rFonts w:asciiTheme="minorHAnsi" w:hAnsiTheme="minorHAnsi" w:cstheme="minorHAnsi"/>
                <w:sz w:val="18"/>
                <w:szCs w:val="18"/>
              </w:rPr>
              <w:t>wederopbouw</w:t>
            </w:r>
            <w:r w:rsidR="00A90074">
              <w:rPr>
                <w:rFonts w:asciiTheme="minorHAnsi" w:hAnsiTheme="minorHAnsi" w:cstheme="minorHAnsi"/>
                <w:sz w:val="18"/>
                <w:szCs w:val="18"/>
              </w:rPr>
              <w:t xml:space="preserve"> en herstel van beschadigd of zelfs vernietigd cultureel erfgoed. </w:t>
            </w:r>
            <w:r w:rsidR="00B674AF">
              <w:rPr>
                <w:rFonts w:asciiTheme="minorHAnsi" w:hAnsiTheme="minorHAnsi" w:cstheme="minorHAnsi"/>
                <w:sz w:val="18"/>
                <w:szCs w:val="18"/>
              </w:rPr>
              <w:t xml:space="preserve">Dit is een belangrijke </w:t>
            </w:r>
            <w:r w:rsidR="00936D11">
              <w:rPr>
                <w:rFonts w:asciiTheme="minorHAnsi" w:hAnsiTheme="minorHAnsi" w:cstheme="minorHAnsi"/>
                <w:sz w:val="18"/>
                <w:szCs w:val="18"/>
              </w:rPr>
              <w:t>impuls</w:t>
            </w:r>
            <w:r w:rsidR="00B674AF">
              <w:rPr>
                <w:rFonts w:asciiTheme="minorHAnsi" w:hAnsiTheme="minorHAnsi" w:cstheme="minorHAnsi"/>
                <w:sz w:val="18"/>
                <w:szCs w:val="18"/>
              </w:rPr>
              <w:t xml:space="preserve"> in het beleid d</w:t>
            </w:r>
            <w:r w:rsidR="00936D11">
              <w:rPr>
                <w:rFonts w:asciiTheme="minorHAnsi" w:hAnsiTheme="minorHAnsi" w:cstheme="minorHAnsi"/>
                <w:sz w:val="18"/>
                <w:szCs w:val="18"/>
              </w:rPr>
              <w:t>at</w:t>
            </w:r>
            <w:r w:rsidR="00B674AF">
              <w:rPr>
                <w:rFonts w:asciiTheme="minorHAnsi" w:hAnsiTheme="minorHAnsi" w:cstheme="minorHAnsi"/>
                <w:sz w:val="18"/>
                <w:szCs w:val="18"/>
              </w:rPr>
              <w:t xml:space="preserve"> door Nederland en tal van EU landen en niet-EU landen wordt onderschreven (zie ook de Verklaring van </w:t>
            </w:r>
            <w:proofErr w:type="spellStart"/>
            <w:r w:rsidR="00B674AF">
              <w:rPr>
                <w:rFonts w:asciiTheme="minorHAnsi" w:hAnsiTheme="minorHAnsi" w:cstheme="minorHAnsi"/>
                <w:sz w:val="18"/>
                <w:szCs w:val="18"/>
              </w:rPr>
              <w:t>Uzhhorod</w:t>
            </w:r>
            <w:proofErr w:type="spellEnd"/>
            <w:r w:rsidR="00B674AF">
              <w:rPr>
                <w:rFonts w:asciiTheme="minorHAnsi" w:hAnsiTheme="minorHAnsi" w:cstheme="minorHAnsi"/>
                <w:sz w:val="18"/>
                <w:szCs w:val="18"/>
              </w:rPr>
              <w:t>).</w:t>
            </w:r>
            <w:r w:rsidR="00AC2BF1">
              <w:rPr>
                <w:rFonts w:asciiTheme="minorHAnsi" w:hAnsiTheme="minorHAnsi" w:cstheme="minorHAnsi"/>
                <w:sz w:val="18"/>
                <w:szCs w:val="18"/>
              </w:rPr>
              <w:t xml:space="preserve"> Hiertoe is besloten het </w:t>
            </w:r>
            <w:proofErr w:type="spellStart"/>
            <w:r w:rsidR="00AC2BF1">
              <w:rPr>
                <w:rFonts w:asciiTheme="minorHAnsi" w:hAnsiTheme="minorHAnsi" w:cstheme="minorHAnsi"/>
                <w:sz w:val="18"/>
                <w:szCs w:val="18"/>
              </w:rPr>
              <w:t>U</w:t>
            </w:r>
            <w:r w:rsidR="009C1F76">
              <w:rPr>
                <w:rFonts w:asciiTheme="minorHAnsi" w:hAnsiTheme="minorHAnsi" w:cstheme="minorHAnsi"/>
                <w:sz w:val="18"/>
                <w:szCs w:val="18"/>
              </w:rPr>
              <w:t>k</w:t>
            </w:r>
            <w:r w:rsidR="00AC2BF1">
              <w:rPr>
                <w:rFonts w:asciiTheme="minorHAnsi" w:hAnsiTheme="minorHAnsi" w:cstheme="minorHAnsi"/>
                <w:sz w:val="18"/>
                <w:szCs w:val="18"/>
              </w:rPr>
              <w:t>rainian</w:t>
            </w:r>
            <w:proofErr w:type="spellEnd"/>
            <w:r w:rsidR="00AC2BF1">
              <w:rPr>
                <w:rFonts w:asciiTheme="minorHAnsi" w:hAnsiTheme="minorHAnsi" w:cstheme="minorHAnsi"/>
                <w:sz w:val="18"/>
                <w:szCs w:val="18"/>
              </w:rPr>
              <w:t xml:space="preserve"> Heritage Fund (UHF) op te richten dat zal worden gesteund door internationale donoren</w:t>
            </w:r>
            <w:r w:rsidR="00A90074">
              <w:rPr>
                <w:rFonts w:asciiTheme="minorHAnsi" w:hAnsiTheme="minorHAnsi" w:cstheme="minorHAnsi"/>
                <w:sz w:val="18"/>
                <w:szCs w:val="18"/>
              </w:rPr>
              <w:t>.</w:t>
            </w:r>
            <w:r w:rsidR="00936D11">
              <w:rPr>
                <w:rFonts w:asciiTheme="minorHAnsi" w:hAnsiTheme="minorHAnsi" w:cstheme="minorHAnsi"/>
                <w:sz w:val="18"/>
                <w:szCs w:val="18"/>
              </w:rPr>
              <w:t xml:space="preserve"> Met het oog op de </w:t>
            </w:r>
            <w:r>
              <w:rPr>
                <w:rFonts w:asciiTheme="minorHAnsi" w:hAnsiTheme="minorHAnsi" w:cstheme="minorHAnsi"/>
                <w:sz w:val="18"/>
                <w:szCs w:val="18"/>
              </w:rPr>
              <w:t xml:space="preserve">daadwerkelijke operationele </w:t>
            </w:r>
            <w:r w:rsidR="00936D11">
              <w:rPr>
                <w:rFonts w:asciiTheme="minorHAnsi" w:hAnsiTheme="minorHAnsi" w:cstheme="minorHAnsi"/>
                <w:sz w:val="18"/>
                <w:szCs w:val="18"/>
              </w:rPr>
              <w:t xml:space="preserve">lancering van dit fonds </w:t>
            </w:r>
            <w:r w:rsidR="00AC2BF1">
              <w:rPr>
                <w:rFonts w:asciiTheme="minorHAnsi" w:hAnsiTheme="minorHAnsi" w:cstheme="minorHAnsi"/>
                <w:sz w:val="18"/>
                <w:szCs w:val="18"/>
              </w:rPr>
              <w:t xml:space="preserve">tijdens de Ukraine Recovery Conference </w:t>
            </w:r>
            <w:r w:rsidR="009C1F76">
              <w:rPr>
                <w:rFonts w:asciiTheme="minorHAnsi" w:hAnsiTheme="minorHAnsi" w:cstheme="minorHAnsi"/>
                <w:sz w:val="18"/>
                <w:szCs w:val="18"/>
              </w:rPr>
              <w:t xml:space="preserve">(URC) </w:t>
            </w:r>
            <w:r w:rsidR="00AC2BF1">
              <w:rPr>
                <w:rFonts w:asciiTheme="minorHAnsi" w:hAnsiTheme="minorHAnsi" w:cstheme="minorHAnsi"/>
                <w:sz w:val="18"/>
                <w:szCs w:val="18"/>
              </w:rPr>
              <w:t xml:space="preserve">in Rome </w:t>
            </w:r>
            <w:r w:rsidR="00BD491D">
              <w:rPr>
                <w:rFonts w:asciiTheme="minorHAnsi" w:hAnsiTheme="minorHAnsi" w:cstheme="minorHAnsi"/>
                <w:sz w:val="18"/>
                <w:szCs w:val="18"/>
              </w:rPr>
              <w:t xml:space="preserve"> op </w:t>
            </w:r>
            <w:r>
              <w:rPr>
                <w:rFonts w:asciiTheme="minorHAnsi" w:hAnsiTheme="minorHAnsi" w:cstheme="minorHAnsi"/>
                <w:sz w:val="18"/>
                <w:szCs w:val="18"/>
              </w:rPr>
              <w:t>9-10 juli a.s.</w:t>
            </w:r>
            <w:r w:rsidR="00BD491D">
              <w:rPr>
                <w:rFonts w:asciiTheme="minorHAnsi" w:hAnsiTheme="minorHAnsi" w:cstheme="minorHAnsi"/>
                <w:sz w:val="18"/>
                <w:szCs w:val="18"/>
              </w:rPr>
              <w:t xml:space="preserve"> is het noodzakelijk dat we zo spoedig mogelijk zekerheid hebben over de Nederlandse bijdrage zodat zo snel mogelijk na de operationele start van het fonds in juli een </w:t>
            </w:r>
            <w:proofErr w:type="spellStart"/>
            <w:r w:rsidR="00BD491D">
              <w:rPr>
                <w:rFonts w:asciiTheme="minorHAnsi" w:hAnsiTheme="minorHAnsi" w:cstheme="minorHAnsi"/>
                <w:sz w:val="18"/>
                <w:szCs w:val="18"/>
              </w:rPr>
              <w:t>pledge</w:t>
            </w:r>
            <w:proofErr w:type="spellEnd"/>
            <w:r w:rsidR="00BD491D">
              <w:rPr>
                <w:rFonts w:asciiTheme="minorHAnsi" w:hAnsiTheme="minorHAnsi" w:cstheme="minorHAnsi"/>
                <w:sz w:val="18"/>
                <w:szCs w:val="18"/>
              </w:rPr>
              <w:t xml:space="preserve"> kan worden gemaakt. </w:t>
            </w:r>
          </w:p>
          <w:p w:rsidRPr="004D201D" w:rsidR="00271C2F" w:rsidP="00271C2F" w:rsidRDefault="00271C2F" w14:paraId="5801366F" w14:textId="067D009C">
            <w:pPr>
              <w:pStyle w:val="TableParagraph"/>
              <w:spacing w:before="8" w:line="252" w:lineRule="auto"/>
              <w:jc w:val="both"/>
              <w:rPr>
                <w:rFonts w:asciiTheme="minorHAnsi" w:hAnsiTheme="minorHAnsi" w:cstheme="minorHAnsi"/>
                <w:sz w:val="18"/>
                <w:szCs w:val="18"/>
              </w:rPr>
            </w:pPr>
          </w:p>
        </w:tc>
      </w:tr>
      <w:tr w:rsidRPr="00D102F6" w:rsidR="00271C2F" w:rsidTr="00C579A3" w14:paraId="0AFFE6EF" w14:textId="77777777">
        <w:trPr>
          <w:trHeight w:val="559"/>
        </w:trPr>
        <w:tc>
          <w:tcPr>
            <w:tcW w:w="1168" w:type="pct"/>
            <w:tcBorders>
              <w:top w:val="nil"/>
              <w:left w:val="nil"/>
              <w:bottom w:val="single" w:color="017BC7" w:sz="8" w:space="0"/>
              <w:right w:val="nil"/>
            </w:tcBorders>
            <w:shd w:val="clear" w:color="auto" w:fill="D6EFF9"/>
            <w:hideMark/>
          </w:tcPr>
          <w:p w:rsidRPr="004D201D" w:rsidR="00271C2F" w:rsidP="00271C2F" w:rsidRDefault="00271C2F" w14:paraId="6934EE2D" w14:textId="49FEFB46">
            <w:pPr>
              <w:pStyle w:val="TableParagraph"/>
              <w:spacing w:before="52" w:line="252" w:lineRule="auto"/>
              <w:ind w:left="89"/>
              <w:jc w:val="both"/>
              <w:rPr>
                <w:rFonts w:asciiTheme="minorHAnsi" w:hAnsiTheme="minorHAnsi" w:cstheme="minorHAnsi"/>
                <w:b/>
                <w:bCs/>
                <w:sz w:val="18"/>
                <w:szCs w:val="18"/>
              </w:rPr>
            </w:pPr>
            <w:r w:rsidRPr="004D201D">
              <w:rPr>
                <w:rFonts w:asciiTheme="minorHAnsi" w:hAnsiTheme="minorHAnsi" w:cstheme="minorHAnsi"/>
                <w:b/>
                <w:bCs/>
                <w:sz w:val="18"/>
                <w:szCs w:val="18"/>
              </w:rPr>
              <w:lastRenderedPageBreak/>
              <w:t xml:space="preserve">5. A. Financiële gevolgen </w:t>
            </w:r>
            <w:proofErr w:type="spellStart"/>
            <w:r w:rsidR="00F918AA">
              <w:rPr>
                <w:rFonts w:asciiTheme="minorHAnsi" w:hAnsiTheme="minorHAnsi" w:cstheme="minorHAnsi"/>
                <w:b/>
                <w:bCs/>
                <w:sz w:val="18"/>
                <w:szCs w:val="18"/>
              </w:rPr>
              <w:t>g</w:t>
            </w:r>
            <w:r w:rsidRPr="004D201D">
              <w:rPr>
                <w:rFonts w:asciiTheme="minorHAnsi" w:hAnsiTheme="minorHAnsi" w:cstheme="minorHAnsi"/>
                <w:b/>
                <w:bCs/>
                <w:sz w:val="18"/>
                <w:szCs w:val="18"/>
              </w:rPr>
              <w:t>voor</w:t>
            </w:r>
            <w:proofErr w:type="spellEnd"/>
            <w:r w:rsidRPr="004D201D">
              <w:rPr>
                <w:rFonts w:asciiTheme="minorHAnsi" w:hAnsiTheme="minorHAnsi" w:cstheme="minorHAnsi"/>
                <w:b/>
                <w:bCs/>
                <w:sz w:val="18"/>
                <w:szCs w:val="18"/>
              </w:rPr>
              <w:t xml:space="preserve"> het Rijk</w:t>
            </w:r>
          </w:p>
          <w:p w:rsidRPr="004D201D" w:rsidR="00271C2F" w:rsidP="00271C2F" w:rsidRDefault="00271C2F" w14:paraId="06011001" w14:textId="08F82053">
            <w:pPr>
              <w:pStyle w:val="TableParagraph"/>
              <w:spacing w:before="52" w:line="252" w:lineRule="auto"/>
              <w:ind w:left="89"/>
              <w:jc w:val="both"/>
              <w:rPr>
                <w:rFonts w:asciiTheme="minorHAnsi" w:hAnsiTheme="minorHAnsi" w:cstheme="minorHAnsi"/>
                <w:b/>
                <w:bCs/>
                <w:sz w:val="18"/>
                <w:szCs w:val="18"/>
              </w:rPr>
            </w:pPr>
          </w:p>
        </w:tc>
        <w:tc>
          <w:tcPr>
            <w:tcW w:w="3832" w:type="pct"/>
            <w:tcBorders>
              <w:top w:val="nil"/>
              <w:left w:val="nil"/>
              <w:bottom w:val="single" w:color="017BC7" w:sz="8" w:space="0"/>
              <w:right w:val="nil"/>
            </w:tcBorders>
            <w:shd w:val="clear" w:color="auto" w:fill="auto"/>
            <w:hideMark/>
          </w:tcPr>
          <w:p w:rsidR="00271C2F" w:rsidP="00271C2F" w:rsidRDefault="00271C2F" w14:paraId="42271F5D" w14:textId="5B6CB419">
            <w:pPr>
              <w:spacing w:before="52"/>
              <w:ind w:left="89"/>
              <w:jc w:val="both"/>
              <w:rPr>
                <w:rFonts w:asciiTheme="minorHAnsi" w:hAnsiTheme="minorHAnsi" w:cstheme="minorHAnsi"/>
                <w:sz w:val="18"/>
                <w:szCs w:val="18"/>
              </w:rPr>
            </w:pPr>
            <w:r w:rsidRPr="004D201D">
              <w:rPr>
                <w:rFonts w:asciiTheme="minorHAnsi" w:hAnsiTheme="minorHAnsi" w:cstheme="minorHAnsi"/>
                <w:sz w:val="18"/>
                <w:szCs w:val="18"/>
              </w:rPr>
              <w:t>Welke financiële gevolgen heeft het voorstel voor de Rijksbegroting?</w:t>
            </w:r>
          </w:p>
          <w:p w:rsidR="00B674AF" w:rsidP="00271C2F" w:rsidRDefault="003B731C" w14:paraId="2FBF5CA4" w14:textId="3224A98B">
            <w:pPr>
              <w:spacing w:before="52"/>
              <w:ind w:left="89"/>
              <w:jc w:val="both"/>
              <w:rPr>
                <w:rFonts w:asciiTheme="minorHAnsi" w:hAnsiTheme="minorHAnsi" w:cstheme="minorHAnsi"/>
                <w:sz w:val="18"/>
                <w:szCs w:val="18"/>
              </w:rPr>
            </w:pPr>
            <w:r>
              <w:rPr>
                <w:rFonts w:asciiTheme="minorHAnsi" w:hAnsiTheme="minorHAnsi" w:cstheme="minorHAnsi"/>
                <w:sz w:val="18"/>
                <w:szCs w:val="18"/>
              </w:rPr>
              <w:t xml:space="preserve">Met dit voorstel wordt verzocht tot een eenmalige bijdrage van EUR 2 miljoen in 2026 vanuit de door het kabinet vrijgemaakte algemene middelen voor niet-militaire steun aan Oekraïne. </w:t>
            </w:r>
          </w:p>
          <w:p w:rsidR="006777F6" w:rsidP="00271C2F" w:rsidRDefault="006777F6" w14:paraId="67B77939" w14:textId="77777777">
            <w:pPr>
              <w:spacing w:before="52"/>
              <w:ind w:left="89"/>
              <w:jc w:val="both"/>
              <w:rPr>
                <w:rFonts w:asciiTheme="minorHAnsi" w:hAnsiTheme="minorHAnsi" w:cstheme="minorHAnsi"/>
                <w:sz w:val="18"/>
                <w:szCs w:val="18"/>
              </w:rPr>
            </w:pPr>
          </w:p>
          <w:p w:rsidR="006777F6" w:rsidP="00271C2F" w:rsidRDefault="003B731C" w14:paraId="4A21F605" w14:textId="4389179B">
            <w:pPr>
              <w:spacing w:before="52"/>
              <w:ind w:left="89"/>
              <w:jc w:val="both"/>
              <w:rPr>
                <w:rFonts w:asciiTheme="minorHAnsi" w:hAnsiTheme="minorHAnsi" w:cstheme="minorHAnsi"/>
                <w:sz w:val="18"/>
                <w:szCs w:val="18"/>
              </w:rPr>
            </w:pPr>
            <w:r>
              <w:rPr>
                <w:rFonts w:asciiTheme="minorHAnsi" w:hAnsiTheme="minorHAnsi" w:cstheme="minorHAnsi"/>
                <w:sz w:val="18"/>
                <w:szCs w:val="18"/>
              </w:rPr>
              <w:t xml:space="preserve">Het gevraagde bedrag is </w:t>
            </w:r>
            <w:r w:rsidR="006777F6">
              <w:rPr>
                <w:rFonts w:asciiTheme="minorHAnsi" w:hAnsiTheme="minorHAnsi" w:cstheme="minorHAnsi"/>
                <w:sz w:val="18"/>
                <w:szCs w:val="18"/>
              </w:rPr>
              <w:t>als volgt onderverdeeld</w:t>
            </w:r>
            <w:r w:rsidR="00DC0E22">
              <w:rPr>
                <w:rFonts w:asciiTheme="minorHAnsi" w:hAnsiTheme="minorHAnsi" w:cstheme="minorHAnsi"/>
                <w:sz w:val="18"/>
                <w:szCs w:val="18"/>
              </w:rPr>
              <w:t>:</w:t>
            </w:r>
          </w:p>
          <w:p w:rsidR="00DC0E22" w:rsidP="00271C2F" w:rsidRDefault="00DC0E22" w14:paraId="08716748" w14:textId="77777777">
            <w:pPr>
              <w:spacing w:before="52"/>
              <w:ind w:left="89"/>
              <w:jc w:val="both"/>
              <w:rPr>
                <w:rFonts w:asciiTheme="minorHAnsi" w:hAnsiTheme="minorHAnsi" w:cstheme="minorHAnsi"/>
                <w:sz w:val="18"/>
                <w:szCs w:val="18"/>
              </w:rPr>
            </w:pPr>
          </w:p>
          <w:p w:rsidRPr="006777F6" w:rsidR="006777F6" w:rsidP="00271C2F" w:rsidRDefault="006777F6" w14:paraId="1264C02B" w14:textId="16B7EE5D">
            <w:pPr>
              <w:spacing w:before="52"/>
              <w:ind w:left="89"/>
              <w:jc w:val="both"/>
              <w:rPr>
                <w:rFonts w:asciiTheme="minorHAnsi" w:hAnsiTheme="minorHAnsi" w:cstheme="minorHAnsi"/>
                <w:sz w:val="18"/>
                <w:szCs w:val="18"/>
                <w:lang w:val="en-US"/>
              </w:rPr>
            </w:pPr>
            <w:r w:rsidRPr="006777F6">
              <w:rPr>
                <w:rFonts w:asciiTheme="minorHAnsi" w:hAnsiTheme="minorHAnsi" w:cstheme="minorHAnsi"/>
                <w:sz w:val="18"/>
                <w:szCs w:val="18"/>
                <w:lang w:val="en-US"/>
              </w:rPr>
              <w:t>Polytechnical University Lviv                                                 500.000</w:t>
            </w:r>
          </w:p>
          <w:p w:rsidR="006777F6" w:rsidP="00271C2F" w:rsidRDefault="006777F6" w14:paraId="09DD95F6" w14:textId="78D29E17">
            <w:pPr>
              <w:spacing w:before="52"/>
              <w:ind w:left="89"/>
              <w:jc w:val="both"/>
              <w:rPr>
                <w:rFonts w:asciiTheme="minorHAnsi" w:hAnsiTheme="minorHAnsi" w:cstheme="minorHAnsi"/>
                <w:sz w:val="18"/>
                <w:szCs w:val="18"/>
                <w:lang w:val="en-US"/>
              </w:rPr>
            </w:pPr>
            <w:r w:rsidRPr="006777F6">
              <w:rPr>
                <w:rFonts w:asciiTheme="minorHAnsi" w:hAnsiTheme="minorHAnsi" w:cstheme="minorHAnsi"/>
                <w:sz w:val="18"/>
                <w:szCs w:val="18"/>
                <w:lang w:val="en-US"/>
              </w:rPr>
              <w:t>National Academy of Fine Art and Architecture in Kyiv</w:t>
            </w:r>
            <w:r>
              <w:rPr>
                <w:rFonts w:asciiTheme="minorHAnsi" w:hAnsiTheme="minorHAnsi" w:cstheme="minorHAnsi"/>
                <w:sz w:val="18"/>
                <w:szCs w:val="18"/>
                <w:lang w:val="en-US"/>
              </w:rPr>
              <w:t xml:space="preserve">   500.000</w:t>
            </w:r>
          </w:p>
          <w:p w:rsidRPr="00803116" w:rsidR="006777F6" w:rsidP="00271C2F" w:rsidRDefault="00102D92" w14:paraId="45B01FE6" w14:textId="1DE62913">
            <w:pPr>
              <w:spacing w:before="52"/>
              <w:ind w:left="89"/>
              <w:jc w:val="both"/>
              <w:rPr>
                <w:rFonts w:asciiTheme="minorHAnsi" w:hAnsiTheme="minorHAnsi" w:cstheme="minorHAnsi"/>
                <w:sz w:val="18"/>
                <w:szCs w:val="18"/>
                <w:lang w:val="en-US"/>
              </w:rPr>
            </w:pPr>
            <w:r w:rsidRPr="00803116">
              <w:rPr>
                <w:rFonts w:asciiTheme="minorHAnsi" w:hAnsiTheme="minorHAnsi" w:cstheme="minorHAnsi"/>
                <w:sz w:val="18"/>
                <w:szCs w:val="18"/>
                <w:lang w:val="en-US"/>
              </w:rPr>
              <w:t>Ukraine Heritage Fund (</w:t>
            </w:r>
            <w:proofErr w:type="spellStart"/>
            <w:r w:rsidRPr="00803116">
              <w:rPr>
                <w:rFonts w:asciiTheme="minorHAnsi" w:hAnsiTheme="minorHAnsi" w:cstheme="minorHAnsi"/>
                <w:sz w:val="18"/>
                <w:szCs w:val="18"/>
                <w:lang w:val="en-US"/>
              </w:rPr>
              <w:t>Uzzhorod</w:t>
            </w:r>
            <w:proofErr w:type="spellEnd"/>
            <w:r w:rsidRPr="00803116">
              <w:rPr>
                <w:rFonts w:asciiTheme="minorHAnsi" w:hAnsiTheme="minorHAnsi" w:cstheme="minorHAnsi"/>
                <w:sz w:val="18"/>
                <w:szCs w:val="18"/>
                <w:lang w:val="en-US"/>
              </w:rPr>
              <w:t xml:space="preserve"> Fonds)</w:t>
            </w:r>
            <w:r w:rsidRPr="00803116" w:rsidR="00936D11">
              <w:rPr>
                <w:rFonts w:asciiTheme="minorHAnsi" w:hAnsiTheme="minorHAnsi" w:cstheme="minorHAnsi"/>
                <w:sz w:val="18"/>
                <w:szCs w:val="18"/>
                <w:lang w:val="en-US"/>
              </w:rPr>
              <w:t xml:space="preserve"> </w:t>
            </w:r>
            <w:r w:rsidRPr="00803116">
              <w:rPr>
                <w:rFonts w:asciiTheme="minorHAnsi" w:hAnsiTheme="minorHAnsi" w:cstheme="minorHAnsi"/>
                <w:sz w:val="18"/>
                <w:szCs w:val="18"/>
                <w:lang w:val="en-US"/>
              </w:rPr>
              <w:t xml:space="preserve">                         </w:t>
            </w:r>
            <w:r w:rsidRPr="00803116" w:rsidR="00936D11">
              <w:rPr>
                <w:rFonts w:asciiTheme="minorHAnsi" w:hAnsiTheme="minorHAnsi" w:cstheme="minorHAnsi"/>
                <w:sz w:val="18"/>
                <w:szCs w:val="18"/>
                <w:lang w:val="en-US"/>
              </w:rPr>
              <w:t>1</w:t>
            </w:r>
            <w:r w:rsidRPr="00803116">
              <w:rPr>
                <w:rFonts w:asciiTheme="minorHAnsi" w:hAnsiTheme="minorHAnsi" w:cstheme="minorHAnsi"/>
                <w:sz w:val="18"/>
                <w:szCs w:val="18"/>
                <w:lang w:val="en-US"/>
              </w:rPr>
              <w:t>.000.000</w:t>
            </w:r>
          </w:p>
          <w:p w:rsidRPr="00803116" w:rsidR="00BB37AC" w:rsidP="00271C2F" w:rsidRDefault="00BB37AC" w14:paraId="3F361D5D" w14:textId="77777777">
            <w:pPr>
              <w:spacing w:before="52"/>
              <w:ind w:left="89"/>
              <w:jc w:val="both"/>
              <w:rPr>
                <w:rFonts w:asciiTheme="minorHAnsi" w:hAnsiTheme="minorHAnsi" w:cstheme="minorHAnsi"/>
                <w:sz w:val="18"/>
                <w:szCs w:val="18"/>
                <w:lang w:val="en-US"/>
              </w:rPr>
            </w:pPr>
          </w:p>
          <w:p w:rsidR="006777F6" w:rsidP="00271C2F" w:rsidRDefault="006777F6" w14:paraId="62AB5F46" w14:textId="725D51E2">
            <w:pPr>
              <w:spacing w:before="52"/>
              <w:ind w:left="89"/>
              <w:jc w:val="both"/>
              <w:rPr>
                <w:rFonts w:asciiTheme="minorHAnsi" w:hAnsiTheme="minorHAnsi" w:cstheme="minorHAnsi"/>
                <w:sz w:val="18"/>
                <w:szCs w:val="18"/>
              </w:rPr>
            </w:pPr>
            <w:r w:rsidRPr="0082168B">
              <w:rPr>
                <w:rFonts w:asciiTheme="minorHAnsi" w:hAnsiTheme="minorHAnsi" w:cstheme="minorHAnsi"/>
                <w:sz w:val="18"/>
                <w:szCs w:val="18"/>
              </w:rPr>
              <w:t xml:space="preserve">Totaal euro </w:t>
            </w:r>
            <w:r w:rsidR="00AC2BF1">
              <w:rPr>
                <w:rFonts w:asciiTheme="minorHAnsi" w:hAnsiTheme="minorHAnsi" w:cstheme="minorHAnsi"/>
                <w:sz w:val="18"/>
                <w:szCs w:val="18"/>
              </w:rPr>
              <w:t xml:space="preserve"> 2.000.000</w:t>
            </w:r>
          </w:p>
          <w:p w:rsidR="0082168B" w:rsidP="00271C2F" w:rsidRDefault="0082168B" w14:paraId="2D6D4B95" w14:textId="77777777">
            <w:pPr>
              <w:spacing w:before="52"/>
              <w:ind w:left="89"/>
              <w:jc w:val="both"/>
              <w:rPr>
                <w:rFonts w:asciiTheme="minorHAnsi" w:hAnsiTheme="minorHAnsi" w:cstheme="minorHAnsi"/>
                <w:sz w:val="18"/>
                <w:szCs w:val="18"/>
              </w:rPr>
            </w:pPr>
          </w:p>
          <w:p w:rsidR="00D61A4F" w:rsidP="0082168B" w:rsidRDefault="0082168B" w14:paraId="5E0371D4" w14:textId="62A5E25B">
            <w:pPr>
              <w:spacing w:after="160" w:line="259" w:lineRule="auto"/>
              <w:ind w:left="113"/>
              <w:rPr>
                <w:rFonts w:asciiTheme="minorHAnsi" w:hAnsiTheme="minorHAnsi" w:cstheme="minorHAnsi"/>
                <w:sz w:val="18"/>
                <w:szCs w:val="18"/>
              </w:rPr>
            </w:pPr>
            <w:r>
              <w:rPr>
                <w:rFonts w:asciiTheme="minorHAnsi" w:hAnsiTheme="minorHAnsi" w:cstheme="minorHAnsi"/>
                <w:sz w:val="18"/>
                <w:szCs w:val="18"/>
              </w:rPr>
              <w:t xml:space="preserve">De aangevraagde financiële middelen zullen </w:t>
            </w:r>
            <w:r w:rsidR="00AC2BF1">
              <w:rPr>
                <w:rFonts w:asciiTheme="minorHAnsi" w:hAnsiTheme="minorHAnsi" w:cstheme="minorHAnsi"/>
                <w:sz w:val="18"/>
                <w:szCs w:val="18"/>
              </w:rPr>
              <w:t xml:space="preserve">volledig </w:t>
            </w:r>
            <w:r>
              <w:rPr>
                <w:rFonts w:asciiTheme="minorHAnsi" w:hAnsiTheme="minorHAnsi" w:cstheme="minorHAnsi"/>
                <w:sz w:val="18"/>
                <w:szCs w:val="18"/>
              </w:rPr>
              <w:t>in Oekraïne zelf worden besteed</w:t>
            </w:r>
            <w:r w:rsidR="00AC2BF1">
              <w:rPr>
                <w:rFonts w:asciiTheme="minorHAnsi" w:hAnsiTheme="minorHAnsi" w:cstheme="minorHAnsi"/>
                <w:sz w:val="18"/>
                <w:szCs w:val="18"/>
              </w:rPr>
              <w:t xml:space="preserve">. Tijdens de </w:t>
            </w:r>
            <w:r w:rsidR="00A90074">
              <w:rPr>
                <w:rFonts w:asciiTheme="minorHAnsi" w:hAnsiTheme="minorHAnsi" w:cstheme="minorHAnsi"/>
                <w:sz w:val="18"/>
                <w:szCs w:val="18"/>
              </w:rPr>
              <w:t xml:space="preserve">internationale </w:t>
            </w:r>
            <w:r w:rsidR="00AC2BF1">
              <w:rPr>
                <w:rFonts w:asciiTheme="minorHAnsi" w:hAnsiTheme="minorHAnsi" w:cstheme="minorHAnsi"/>
                <w:sz w:val="18"/>
                <w:szCs w:val="18"/>
              </w:rPr>
              <w:t xml:space="preserve">stakeholder meeting op 20 juni a.s. in Florence zal de opzet van het UHF definitieve vorm </w:t>
            </w:r>
            <w:proofErr w:type="spellStart"/>
            <w:r w:rsidR="00AC2BF1">
              <w:rPr>
                <w:rFonts w:asciiTheme="minorHAnsi" w:hAnsiTheme="minorHAnsi" w:cstheme="minorHAnsi"/>
                <w:sz w:val="18"/>
                <w:szCs w:val="18"/>
              </w:rPr>
              <w:t>krijgen.</w:t>
            </w:r>
            <w:r w:rsidR="007278B7">
              <w:rPr>
                <w:rFonts w:asciiTheme="minorHAnsi" w:hAnsiTheme="minorHAnsi" w:cstheme="minorHAnsi"/>
                <w:sz w:val="18"/>
                <w:szCs w:val="18"/>
              </w:rPr>
              <w:t>Het</w:t>
            </w:r>
            <w:proofErr w:type="spellEnd"/>
            <w:r w:rsidR="007278B7">
              <w:rPr>
                <w:rFonts w:asciiTheme="minorHAnsi" w:hAnsiTheme="minorHAnsi" w:cstheme="minorHAnsi"/>
                <w:sz w:val="18"/>
                <w:szCs w:val="18"/>
              </w:rPr>
              <w:t xml:space="preserve"> is van groot belang o</w:t>
            </w:r>
            <w:r w:rsidR="00A90074">
              <w:rPr>
                <w:rFonts w:asciiTheme="minorHAnsi" w:hAnsiTheme="minorHAnsi" w:cstheme="minorHAnsi"/>
                <w:sz w:val="18"/>
                <w:szCs w:val="18"/>
              </w:rPr>
              <w:t>m</w:t>
            </w:r>
            <w:r w:rsidR="007278B7">
              <w:rPr>
                <w:rFonts w:asciiTheme="minorHAnsi" w:hAnsiTheme="minorHAnsi" w:cstheme="minorHAnsi"/>
                <w:sz w:val="18"/>
                <w:szCs w:val="18"/>
              </w:rPr>
              <w:t xml:space="preserve"> bij </w:t>
            </w:r>
            <w:r w:rsidR="00BD491D">
              <w:rPr>
                <w:rFonts w:asciiTheme="minorHAnsi" w:hAnsiTheme="minorHAnsi" w:cstheme="minorHAnsi"/>
                <w:sz w:val="18"/>
                <w:szCs w:val="18"/>
              </w:rPr>
              <w:t xml:space="preserve">(of zo spoedig mogelijk aansluitend op) de </w:t>
            </w:r>
            <w:r w:rsidR="007278B7">
              <w:rPr>
                <w:rFonts w:asciiTheme="minorHAnsi" w:hAnsiTheme="minorHAnsi" w:cstheme="minorHAnsi"/>
                <w:sz w:val="18"/>
                <w:szCs w:val="18"/>
              </w:rPr>
              <w:t>aankomende U</w:t>
            </w:r>
            <w:r w:rsidR="00A90074">
              <w:rPr>
                <w:rFonts w:asciiTheme="minorHAnsi" w:hAnsiTheme="minorHAnsi" w:cstheme="minorHAnsi"/>
                <w:sz w:val="18"/>
                <w:szCs w:val="18"/>
              </w:rPr>
              <w:t xml:space="preserve">kraine </w:t>
            </w:r>
            <w:r w:rsidR="007278B7">
              <w:rPr>
                <w:rFonts w:asciiTheme="minorHAnsi" w:hAnsiTheme="minorHAnsi" w:cstheme="minorHAnsi"/>
                <w:sz w:val="18"/>
                <w:szCs w:val="18"/>
              </w:rPr>
              <w:t>R</w:t>
            </w:r>
            <w:r w:rsidR="00A90074">
              <w:rPr>
                <w:rFonts w:asciiTheme="minorHAnsi" w:hAnsiTheme="minorHAnsi" w:cstheme="minorHAnsi"/>
                <w:sz w:val="18"/>
                <w:szCs w:val="18"/>
              </w:rPr>
              <w:t xml:space="preserve">ecovery </w:t>
            </w:r>
            <w:r w:rsidR="007278B7">
              <w:rPr>
                <w:rFonts w:asciiTheme="minorHAnsi" w:hAnsiTheme="minorHAnsi" w:cstheme="minorHAnsi"/>
                <w:sz w:val="18"/>
                <w:szCs w:val="18"/>
              </w:rPr>
              <w:t>C</w:t>
            </w:r>
            <w:r w:rsidR="00A90074">
              <w:rPr>
                <w:rFonts w:asciiTheme="minorHAnsi" w:hAnsiTheme="minorHAnsi" w:cstheme="minorHAnsi"/>
                <w:sz w:val="18"/>
                <w:szCs w:val="18"/>
              </w:rPr>
              <w:t>onference</w:t>
            </w:r>
            <w:r w:rsidR="007278B7">
              <w:rPr>
                <w:rFonts w:asciiTheme="minorHAnsi" w:hAnsiTheme="minorHAnsi" w:cstheme="minorHAnsi"/>
                <w:sz w:val="18"/>
                <w:szCs w:val="18"/>
              </w:rPr>
              <w:t xml:space="preserve"> in Rome de financiële middelen beschikbaar te he</w:t>
            </w:r>
            <w:r w:rsidR="00A90074">
              <w:rPr>
                <w:rFonts w:asciiTheme="minorHAnsi" w:hAnsiTheme="minorHAnsi" w:cstheme="minorHAnsi"/>
                <w:sz w:val="18"/>
                <w:szCs w:val="18"/>
              </w:rPr>
              <w:t>bb</w:t>
            </w:r>
            <w:r w:rsidR="007278B7">
              <w:rPr>
                <w:rFonts w:asciiTheme="minorHAnsi" w:hAnsiTheme="minorHAnsi" w:cstheme="minorHAnsi"/>
                <w:sz w:val="18"/>
                <w:szCs w:val="18"/>
              </w:rPr>
              <w:t xml:space="preserve">en om een daadwerkelijke </w:t>
            </w:r>
            <w:proofErr w:type="spellStart"/>
            <w:r w:rsidR="007278B7">
              <w:rPr>
                <w:rFonts w:asciiTheme="minorHAnsi" w:hAnsiTheme="minorHAnsi" w:cstheme="minorHAnsi"/>
                <w:sz w:val="18"/>
                <w:szCs w:val="18"/>
              </w:rPr>
              <w:t>pledge</w:t>
            </w:r>
            <w:proofErr w:type="spellEnd"/>
            <w:r w:rsidR="007278B7">
              <w:rPr>
                <w:rFonts w:asciiTheme="minorHAnsi" w:hAnsiTheme="minorHAnsi" w:cstheme="minorHAnsi"/>
                <w:sz w:val="18"/>
                <w:szCs w:val="18"/>
              </w:rPr>
              <w:t xml:space="preserve"> te kunnen doen voor het genoemde bedrag. </w:t>
            </w:r>
          </w:p>
          <w:p w:rsidR="00BE24C7" w:rsidP="0082168B" w:rsidRDefault="00BE24C7" w14:paraId="2369B57D" w14:textId="1DDF5877">
            <w:pPr>
              <w:spacing w:after="160" w:line="259" w:lineRule="auto"/>
              <w:ind w:left="113"/>
              <w:rPr>
                <w:rFonts w:asciiTheme="minorHAnsi" w:hAnsiTheme="minorHAnsi" w:cstheme="minorHAnsi"/>
                <w:sz w:val="18"/>
                <w:szCs w:val="18"/>
              </w:rPr>
            </w:pPr>
            <w:r w:rsidRPr="00BE24C7">
              <w:rPr>
                <w:rFonts w:asciiTheme="minorHAnsi" w:hAnsiTheme="minorHAnsi" w:cstheme="minorHAnsi"/>
                <w:sz w:val="18"/>
                <w:szCs w:val="18"/>
              </w:rPr>
              <w:t xml:space="preserve">Op 20 juni wordt door Oekraïne met een aantal stakeholders, waaronder Nederland, gesproken over de inrichting van </w:t>
            </w:r>
            <w:r w:rsidR="00E96FA0">
              <w:rPr>
                <w:rFonts w:asciiTheme="minorHAnsi" w:hAnsiTheme="minorHAnsi" w:cstheme="minorHAnsi"/>
                <w:sz w:val="18"/>
                <w:szCs w:val="18"/>
              </w:rPr>
              <w:t xml:space="preserve">het </w:t>
            </w:r>
            <w:r w:rsidRPr="00BE24C7">
              <w:rPr>
                <w:rFonts w:asciiTheme="minorHAnsi" w:hAnsiTheme="minorHAnsi" w:cstheme="minorHAnsi"/>
                <w:sz w:val="18"/>
                <w:szCs w:val="18"/>
              </w:rPr>
              <w:t xml:space="preserve"> </w:t>
            </w:r>
            <w:proofErr w:type="spellStart"/>
            <w:r w:rsidRPr="00BE24C7">
              <w:rPr>
                <w:rFonts w:asciiTheme="minorHAnsi" w:hAnsiTheme="minorHAnsi" w:cstheme="minorHAnsi"/>
                <w:sz w:val="18"/>
                <w:szCs w:val="18"/>
              </w:rPr>
              <w:t>Ukrainian</w:t>
            </w:r>
            <w:proofErr w:type="spellEnd"/>
            <w:r w:rsidRPr="00BE24C7">
              <w:rPr>
                <w:rFonts w:asciiTheme="minorHAnsi" w:hAnsiTheme="minorHAnsi" w:cstheme="minorHAnsi"/>
                <w:sz w:val="18"/>
                <w:szCs w:val="18"/>
              </w:rPr>
              <w:t xml:space="preserve"> Heritage Fund.</w:t>
            </w:r>
            <w:r>
              <w:rPr>
                <w:rFonts w:asciiTheme="minorHAnsi" w:hAnsiTheme="minorHAnsi" w:cstheme="minorHAnsi"/>
                <w:sz w:val="18"/>
                <w:szCs w:val="18"/>
              </w:rPr>
              <w:t xml:space="preserve"> </w:t>
            </w:r>
            <w:r w:rsidRPr="00BE24C7">
              <w:rPr>
                <w:rFonts w:asciiTheme="minorHAnsi" w:hAnsiTheme="minorHAnsi" w:cstheme="minorHAnsi"/>
                <w:sz w:val="18"/>
                <w:szCs w:val="18"/>
              </w:rPr>
              <w:t xml:space="preserve">Nederland wordt </w:t>
            </w:r>
            <w:r w:rsidR="00CC4A1A">
              <w:rPr>
                <w:rFonts w:asciiTheme="minorHAnsi" w:hAnsiTheme="minorHAnsi" w:cstheme="minorHAnsi"/>
                <w:sz w:val="18"/>
                <w:szCs w:val="18"/>
              </w:rPr>
              <w:t xml:space="preserve">als </w:t>
            </w:r>
            <w:proofErr w:type="spellStart"/>
            <w:r w:rsidR="00CC4A1A">
              <w:rPr>
                <w:rFonts w:asciiTheme="minorHAnsi" w:hAnsiTheme="minorHAnsi" w:cstheme="minorHAnsi"/>
                <w:sz w:val="18"/>
                <w:szCs w:val="18"/>
              </w:rPr>
              <w:t>key</w:t>
            </w:r>
            <w:proofErr w:type="spellEnd"/>
            <w:r w:rsidR="00CC4A1A">
              <w:rPr>
                <w:rFonts w:asciiTheme="minorHAnsi" w:hAnsiTheme="minorHAnsi" w:cstheme="minorHAnsi"/>
                <w:sz w:val="18"/>
                <w:szCs w:val="18"/>
              </w:rPr>
              <w:t xml:space="preserve"> partner van </w:t>
            </w:r>
            <w:r w:rsidR="006613FE">
              <w:rPr>
                <w:rFonts w:asciiTheme="minorHAnsi" w:hAnsiTheme="minorHAnsi" w:cstheme="minorHAnsi"/>
                <w:sz w:val="18"/>
                <w:szCs w:val="18"/>
              </w:rPr>
              <w:t>Oekraïne</w:t>
            </w:r>
            <w:r w:rsidRPr="00BE24C7">
              <w:rPr>
                <w:rFonts w:asciiTheme="minorHAnsi" w:hAnsiTheme="minorHAnsi" w:cstheme="minorHAnsi"/>
                <w:sz w:val="18"/>
                <w:szCs w:val="18"/>
              </w:rPr>
              <w:t xml:space="preserve"> actief betrokken bij de vorming van dit fonds</w:t>
            </w:r>
            <w:r w:rsidR="00CC4A1A">
              <w:rPr>
                <w:rFonts w:asciiTheme="minorHAnsi" w:hAnsiTheme="minorHAnsi" w:cstheme="minorHAnsi"/>
                <w:sz w:val="18"/>
                <w:szCs w:val="18"/>
              </w:rPr>
              <w:t xml:space="preserve"> mede vanwege de ruime Nederlandse ervaring met het onderwerp waar het fonds zich op richt, die aanwezig is bij BZ/ICE, OCW/K&amp;E, </w:t>
            </w:r>
            <w:proofErr w:type="spellStart"/>
            <w:r w:rsidR="00CC4A1A">
              <w:rPr>
                <w:rFonts w:asciiTheme="minorHAnsi" w:hAnsiTheme="minorHAnsi" w:cstheme="minorHAnsi"/>
                <w:sz w:val="18"/>
                <w:szCs w:val="18"/>
              </w:rPr>
              <w:t>Cultural</w:t>
            </w:r>
            <w:proofErr w:type="spellEnd"/>
            <w:r w:rsidR="00CC4A1A">
              <w:rPr>
                <w:rFonts w:asciiTheme="minorHAnsi" w:hAnsiTheme="minorHAnsi" w:cstheme="minorHAnsi"/>
                <w:sz w:val="18"/>
                <w:szCs w:val="18"/>
              </w:rPr>
              <w:t xml:space="preserve"> </w:t>
            </w:r>
            <w:proofErr w:type="spellStart"/>
            <w:r w:rsidR="00CC4A1A">
              <w:rPr>
                <w:rFonts w:asciiTheme="minorHAnsi" w:hAnsiTheme="minorHAnsi" w:cstheme="minorHAnsi"/>
                <w:sz w:val="18"/>
                <w:szCs w:val="18"/>
              </w:rPr>
              <w:t>Emergency</w:t>
            </w:r>
            <w:proofErr w:type="spellEnd"/>
            <w:r w:rsidR="00CC4A1A">
              <w:rPr>
                <w:rFonts w:asciiTheme="minorHAnsi" w:hAnsiTheme="minorHAnsi" w:cstheme="minorHAnsi"/>
                <w:sz w:val="18"/>
                <w:szCs w:val="18"/>
              </w:rPr>
              <w:t xml:space="preserve"> Response (CER), en de Rijksdienst voor het Cultureel Erfgoed (RCE).</w:t>
            </w:r>
            <w:r w:rsidR="00D61A4F">
              <w:rPr>
                <w:rFonts w:asciiTheme="minorHAnsi" w:hAnsiTheme="minorHAnsi" w:cstheme="minorHAnsi"/>
                <w:sz w:val="18"/>
                <w:szCs w:val="18"/>
              </w:rPr>
              <w:t xml:space="preserve"> De uitwerking hiervan zal gereed moeten zijn voor de operationele lancering tijdens de URC op 9-10 juli in Rome</w:t>
            </w:r>
            <w:r w:rsidR="00EC3D2D">
              <w:rPr>
                <w:rFonts w:asciiTheme="minorHAnsi" w:hAnsiTheme="minorHAnsi" w:cstheme="minorHAnsi"/>
                <w:sz w:val="18"/>
                <w:szCs w:val="18"/>
              </w:rPr>
              <w:t xml:space="preserve"> wanneer donoren bijdragen zullen kunnen aankondigen</w:t>
            </w:r>
            <w:r w:rsidR="00D61A4F">
              <w:rPr>
                <w:rFonts w:asciiTheme="minorHAnsi" w:hAnsiTheme="minorHAnsi" w:cstheme="minorHAnsi"/>
                <w:sz w:val="18"/>
                <w:szCs w:val="18"/>
              </w:rPr>
              <w:t>.</w:t>
            </w:r>
            <w:r w:rsidR="00CC4A1A">
              <w:rPr>
                <w:rFonts w:asciiTheme="minorHAnsi" w:hAnsiTheme="minorHAnsi" w:cstheme="minorHAnsi"/>
                <w:sz w:val="18"/>
                <w:szCs w:val="18"/>
              </w:rPr>
              <w:t xml:space="preserve"> </w:t>
            </w:r>
            <w:r w:rsidR="00EC3D2D">
              <w:rPr>
                <w:rFonts w:asciiTheme="minorHAnsi" w:hAnsiTheme="minorHAnsi" w:cstheme="minorHAnsi"/>
                <w:sz w:val="18"/>
                <w:szCs w:val="18"/>
              </w:rPr>
              <w:t xml:space="preserve">Tot op heden hebben 26 landen aangegeven de oprichting van het fonds te steunen al is nog niet bekend welke bedragen donoren zullen </w:t>
            </w:r>
            <w:proofErr w:type="spellStart"/>
            <w:r w:rsidR="00E96FA0">
              <w:rPr>
                <w:rFonts w:asciiTheme="minorHAnsi" w:hAnsiTheme="minorHAnsi" w:cstheme="minorHAnsi"/>
                <w:sz w:val="18"/>
                <w:szCs w:val="18"/>
              </w:rPr>
              <w:t>pledgen</w:t>
            </w:r>
            <w:proofErr w:type="spellEnd"/>
            <w:r w:rsidR="00EC3D2D">
              <w:rPr>
                <w:rFonts w:asciiTheme="minorHAnsi" w:hAnsiTheme="minorHAnsi" w:cstheme="minorHAnsi"/>
                <w:sz w:val="18"/>
                <w:szCs w:val="18"/>
              </w:rPr>
              <w:t>. De EC vertegenwoordiger verwacht substantiële bijdragen van Oekraïne</w:t>
            </w:r>
            <w:r w:rsidR="00E96FA0">
              <w:rPr>
                <w:rFonts w:asciiTheme="minorHAnsi" w:hAnsiTheme="minorHAnsi" w:cstheme="minorHAnsi"/>
                <w:sz w:val="18"/>
                <w:szCs w:val="18"/>
              </w:rPr>
              <w:t>’s</w:t>
            </w:r>
            <w:r w:rsidR="00EC3D2D">
              <w:rPr>
                <w:rFonts w:asciiTheme="minorHAnsi" w:hAnsiTheme="minorHAnsi" w:cstheme="minorHAnsi"/>
                <w:sz w:val="18"/>
                <w:szCs w:val="18"/>
              </w:rPr>
              <w:t xml:space="preserve"> </w:t>
            </w:r>
            <w:r w:rsidR="00E96FA0">
              <w:rPr>
                <w:rFonts w:asciiTheme="minorHAnsi" w:hAnsiTheme="minorHAnsi" w:cstheme="minorHAnsi"/>
                <w:sz w:val="18"/>
                <w:szCs w:val="18"/>
              </w:rPr>
              <w:t>belangrijkste</w:t>
            </w:r>
            <w:r w:rsidR="00EC3D2D">
              <w:rPr>
                <w:rFonts w:asciiTheme="minorHAnsi" w:hAnsiTheme="minorHAnsi" w:cstheme="minorHAnsi"/>
                <w:sz w:val="18"/>
                <w:szCs w:val="18"/>
              </w:rPr>
              <w:t xml:space="preserve"> donoren. </w:t>
            </w:r>
            <w:r w:rsidR="00CC4A1A">
              <w:rPr>
                <w:rFonts w:asciiTheme="minorHAnsi" w:hAnsiTheme="minorHAnsi" w:cstheme="minorHAnsi"/>
                <w:sz w:val="18"/>
                <w:szCs w:val="18"/>
              </w:rPr>
              <w:t xml:space="preserve">In de operationele uitwerking zullen we vanuit deze partijen </w:t>
            </w:r>
            <w:r w:rsidRPr="00BE24C7">
              <w:rPr>
                <w:rFonts w:asciiTheme="minorHAnsi" w:hAnsiTheme="minorHAnsi" w:cstheme="minorHAnsi"/>
                <w:sz w:val="18"/>
                <w:szCs w:val="18"/>
              </w:rPr>
              <w:t xml:space="preserve">steeds inbrengen dat er </w:t>
            </w:r>
            <w:r w:rsidR="00CC4A1A">
              <w:rPr>
                <w:rFonts w:asciiTheme="minorHAnsi" w:hAnsiTheme="minorHAnsi" w:cstheme="minorHAnsi"/>
                <w:sz w:val="18"/>
                <w:szCs w:val="18"/>
              </w:rPr>
              <w:t xml:space="preserve">maximale </w:t>
            </w:r>
            <w:r w:rsidRPr="00BE24C7">
              <w:rPr>
                <w:rFonts w:asciiTheme="minorHAnsi" w:hAnsiTheme="minorHAnsi" w:cstheme="minorHAnsi"/>
                <w:sz w:val="18"/>
                <w:szCs w:val="18"/>
              </w:rPr>
              <w:t>transparantie moet zijn over de inzet van de door Nederland ingebrachte middelen.</w:t>
            </w:r>
          </w:p>
          <w:p w:rsidR="008F0E1D" w:rsidP="00F918AA" w:rsidRDefault="00CC4A1A" w14:paraId="339A196A" w14:textId="77777777">
            <w:pPr>
              <w:spacing w:after="160" w:line="259" w:lineRule="auto"/>
              <w:ind w:left="113"/>
              <w:rPr>
                <w:rFonts w:asciiTheme="minorHAnsi" w:hAnsiTheme="minorHAnsi" w:cstheme="minorHAnsi"/>
                <w:sz w:val="18"/>
                <w:szCs w:val="18"/>
              </w:rPr>
            </w:pPr>
            <w:r>
              <w:rPr>
                <w:rFonts w:asciiTheme="minorHAnsi" w:hAnsiTheme="minorHAnsi" w:cstheme="minorHAnsi"/>
                <w:sz w:val="18"/>
                <w:szCs w:val="18"/>
              </w:rPr>
              <w:t>De</w:t>
            </w:r>
            <w:r w:rsidRPr="00803116" w:rsidR="00E558F1">
              <w:rPr>
                <w:rFonts w:asciiTheme="minorHAnsi" w:hAnsiTheme="minorHAnsi" w:cstheme="minorHAnsi"/>
                <w:sz w:val="18"/>
                <w:szCs w:val="18"/>
              </w:rPr>
              <w:t xml:space="preserve"> </w:t>
            </w:r>
            <w:r w:rsidR="00E8019E">
              <w:rPr>
                <w:rFonts w:asciiTheme="minorHAnsi" w:hAnsiTheme="minorHAnsi" w:cstheme="minorHAnsi"/>
                <w:sz w:val="18"/>
                <w:szCs w:val="18"/>
              </w:rPr>
              <w:t>middelen</w:t>
            </w:r>
            <w:r w:rsidRPr="00803116" w:rsidR="00E558F1">
              <w:rPr>
                <w:rFonts w:asciiTheme="minorHAnsi" w:hAnsiTheme="minorHAnsi" w:cstheme="minorHAnsi"/>
                <w:sz w:val="18"/>
                <w:szCs w:val="18"/>
              </w:rPr>
              <w:t xml:space="preserve"> voor de</w:t>
            </w:r>
            <w:r w:rsidRPr="00E558F1" w:rsidR="00E558F1">
              <w:rPr>
                <w:rFonts w:asciiTheme="minorHAnsi" w:hAnsiTheme="minorHAnsi" w:cstheme="minorHAnsi"/>
                <w:sz w:val="18"/>
                <w:szCs w:val="18"/>
              </w:rPr>
              <w:t xml:space="preserve"> Polytechnical University in Lviv en de National Academy of Fine A</w:t>
            </w:r>
            <w:r w:rsidRPr="00803116" w:rsidR="00E558F1">
              <w:rPr>
                <w:rFonts w:asciiTheme="minorHAnsi" w:hAnsiTheme="minorHAnsi" w:cstheme="minorHAnsi"/>
                <w:sz w:val="18"/>
                <w:szCs w:val="18"/>
              </w:rPr>
              <w:t xml:space="preserve">rt and Architecture in Kyiv </w:t>
            </w:r>
            <w:r w:rsidR="00E8019E">
              <w:rPr>
                <w:rFonts w:asciiTheme="minorHAnsi" w:hAnsiTheme="minorHAnsi" w:cstheme="minorHAnsi"/>
                <w:sz w:val="18"/>
                <w:szCs w:val="18"/>
              </w:rPr>
              <w:t>komen t</w:t>
            </w:r>
            <w:r w:rsidRPr="00803116" w:rsidR="00E558F1">
              <w:rPr>
                <w:rFonts w:asciiTheme="minorHAnsi" w:hAnsiTheme="minorHAnsi" w:cstheme="minorHAnsi"/>
                <w:sz w:val="18"/>
                <w:szCs w:val="18"/>
              </w:rPr>
              <w:t>en goede aan nieuwe apparatuur (</w:t>
            </w:r>
            <w:r w:rsidR="00E558F1">
              <w:rPr>
                <w:rFonts w:asciiTheme="minorHAnsi" w:hAnsiTheme="minorHAnsi" w:cstheme="minorHAnsi"/>
                <w:sz w:val="18"/>
                <w:szCs w:val="18"/>
              </w:rPr>
              <w:t xml:space="preserve">voor het </w:t>
            </w:r>
            <w:r w:rsidRPr="00803116" w:rsidR="00E558F1">
              <w:rPr>
                <w:rFonts w:asciiTheme="minorHAnsi" w:hAnsiTheme="minorHAnsi" w:cstheme="minorHAnsi"/>
                <w:sz w:val="18"/>
                <w:szCs w:val="18"/>
              </w:rPr>
              <w:t>op</w:t>
            </w:r>
            <w:r w:rsidR="00E558F1">
              <w:rPr>
                <w:rFonts w:asciiTheme="minorHAnsi" w:hAnsiTheme="minorHAnsi" w:cstheme="minorHAnsi"/>
                <w:sz w:val="18"/>
                <w:szCs w:val="18"/>
              </w:rPr>
              <w:t xml:space="preserve">meten van objecten en forensische testen, </w:t>
            </w:r>
            <w:r w:rsidR="00E8019E">
              <w:rPr>
                <w:rFonts w:asciiTheme="minorHAnsi" w:hAnsiTheme="minorHAnsi" w:cstheme="minorHAnsi"/>
                <w:sz w:val="18"/>
                <w:szCs w:val="18"/>
              </w:rPr>
              <w:t xml:space="preserve">nieuwe </w:t>
            </w:r>
            <w:r w:rsidR="00E558F1">
              <w:rPr>
                <w:rFonts w:asciiTheme="minorHAnsi" w:hAnsiTheme="minorHAnsi" w:cstheme="minorHAnsi"/>
                <w:sz w:val="18"/>
                <w:szCs w:val="18"/>
              </w:rPr>
              <w:t xml:space="preserve">materialen en nieuwe opslagfaciliteiten) en aan onderwijs en onderzoek (capaciteitsopbouw, onderwijsontwikkeling en gastcolleges). </w:t>
            </w:r>
          </w:p>
          <w:p w:rsidRPr="00F918AA" w:rsidR="00F918AA" w:rsidP="00F918AA" w:rsidRDefault="00F918AA" w14:paraId="33ABFBBD" w14:textId="174455BE">
            <w:pPr>
              <w:spacing w:after="160" w:line="259" w:lineRule="auto"/>
              <w:ind w:left="113"/>
              <w:rPr>
                <w:rFonts w:asciiTheme="minorHAnsi" w:hAnsiTheme="minorHAnsi" w:cstheme="minorHAnsi"/>
                <w:b/>
                <w:bCs/>
                <w:sz w:val="18"/>
                <w:szCs w:val="18"/>
                <w:lang w:val="en-US"/>
              </w:rPr>
            </w:pPr>
            <w:r w:rsidRPr="00F918AA">
              <w:rPr>
                <w:rFonts w:asciiTheme="minorHAnsi" w:hAnsiTheme="minorHAnsi" w:cstheme="minorHAnsi"/>
                <w:i/>
                <w:iCs/>
                <w:sz w:val="18"/>
                <w:szCs w:val="18"/>
                <w:lang w:val="en-US"/>
              </w:rPr>
              <w:t>For Lviv Polytechnic National University</w:t>
            </w:r>
          </w:p>
          <w:p w:rsidRPr="00F918AA" w:rsidR="00F918AA" w:rsidP="00F918AA" w:rsidRDefault="00F918AA" w14:paraId="65EB440C" w14:textId="77777777">
            <w:pPr>
              <w:spacing w:after="160" w:line="259" w:lineRule="auto"/>
              <w:ind w:left="113"/>
              <w:rPr>
                <w:rFonts w:asciiTheme="minorHAnsi" w:hAnsiTheme="minorHAnsi" w:cstheme="minorHAnsi"/>
                <w:i/>
                <w:iCs/>
                <w:sz w:val="18"/>
                <w:szCs w:val="18"/>
                <w:lang w:val="en-US"/>
              </w:rPr>
            </w:pPr>
            <w:r w:rsidRPr="00F918AA">
              <w:rPr>
                <w:rFonts w:asciiTheme="minorHAnsi" w:hAnsiTheme="minorHAnsi" w:cstheme="minorHAnsi"/>
                <w:b/>
                <w:bCs/>
                <w:sz w:val="18"/>
                <w:szCs w:val="18"/>
                <w:lang w:val="en-US"/>
              </w:rPr>
              <w:t xml:space="preserve">Equipment </w:t>
            </w:r>
          </w:p>
          <w:p w:rsidRPr="00F918AA" w:rsidR="00F918AA" w:rsidP="00F918AA" w:rsidRDefault="00F918AA" w14:paraId="0D9E76F9" w14:textId="77777777">
            <w:pPr>
              <w:spacing w:after="160" w:line="259" w:lineRule="auto"/>
              <w:ind w:left="113"/>
              <w:rPr>
                <w:rFonts w:asciiTheme="minorHAnsi" w:hAnsiTheme="minorHAnsi" w:cstheme="minorHAnsi"/>
                <w:sz w:val="18"/>
                <w:szCs w:val="18"/>
                <w:lang w:val="en-US"/>
              </w:rPr>
            </w:pPr>
            <w:r w:rsidRPr="00F918AA">
              <w:rPr>
                <w:rFonts w:asciiTheme="minorHAnsi" w:hAnsiTheme="minorHAnsi" w:cstheme="minorHAnsi"/>
                <w:sz w:val="18"/>
                <w:szCs w:val="18"/>
                <w:lang w:val="en-US"/>
              </w:rPr>
              <w:t>For measurement of architectural objects 177.000 EUR</w:t>
            </w:r>
            <w:r w:rsidRPr="00F918AA">
              <w:rPr>
                <w:rFonts w:asciiTheme="minorHAnsi" w:hAnsiTheme="minorHAnsi" w:cstheme="minorHAnsi"/>
                <w:sz w:val="18"/>
                <w:szCs w:val="18"/>
                <w:lang w:val="en-US"/>
              </w:rPr>
              <w:br/>
              <w:t>For field research of architectural and archaeology monuments 82.605 EUR</w:t>
            </w:r>
            <w:r w:rsidRPr="00F918AA">
              <w:rPr>
                <w:rFonts w:asciiTheme="minorHAnsi" w:hAnsiTheme="minorHAnsi" w:cstheme="minorHAnsi"/>
                <w:sz w:val="18"/>
                <w:szCs w:val="18"/>
                <w:lang w:val="en-US"/>
              </w:rPr>
              <w:br/>
            </w:r>
            <w:r w:rsidRPr="00F918AA">
              <w:rPr>
                <w:rFonts w:asciiTheme="minorHAnsi" w:hAnsiTheme="minorHAnsi" w:cstheme="minorHAnsi"/>
                <w:sz w:val="18"/>
                <w:szCs w:val="18"/>
                <w:lang w:val="en-US"/>
              </w:rPr>
              <w:lastRenderedPageBreak/>
              <w:t>For laboratory tests 157.670 EUR</w:t>
            </w:r>
            <w:r w:rsidRPr="00F918AA">
              <w:rPr>
                <w:rFonts w:asciiTheme="minorHAnsi" w:hAnsiTheme="minorHAnsi" w:cstheme="minorHAnsi"/>
                <w:sz w:val="18"/>
                <w:szCs w:val="18"/>
                <w:lang w:val="en-US"/>
              </w:rPr>
              <w:br/>
              <w:t>Total equipment: 417.275 EUR</w:t>
            </w:r>
          </w:p>
          <w:p w:rsidRPr="00F918AA" w:rsidR="00F918AA" w:rsidP="00F918AA" w:rsidRDefault="00F918AA" w14:paraId="1346F68B" w14:textId="77777777">
            <w:pPr>
              <w:spacing w:after="160" w:line="259" w:lineRule="auto"/>
              <w:ind w:left="113"/>
              <w:rPr>
                <w:rFonts w:asciiTheme="minorHAnsi" w:hAnsiTheme="minorHAnsi" w:cstheme="minorHAnsi"/>
                <w:sz w:val="18"/>
                <w:szCs w:val="18"/>
                <w:lang w:val="en-US"/>
              </w:rPr>
            </w:pPr>
            <w:r w:rsidRPr="00F918AA">
              <w:rPr>
                <w:rFonts w:asciiTheme="minorHAnsi" w:hAnsiTheme="minorHAnsi" w:cstheme="minorHAnsi"/>
                <w:b/>
                <w:bCs/>
                <w:sz w:val="18"/>
                <w:szCs w:val="18"/>
                <w:lang w:val="en-US"/>
              </w:rPr>
              <w:t>Education and research</w:t>
            </w:r>
            <w:r w:rsidRPr="00F918AA">
              <w:rPr>
                <w:rFonts w:asciiTheme="minorHAnsi" w:hAnsiTheme="minorHAnsi" w:cstheme="minorHAnsi"/>
                <w:sz w:val="18"/>
                <w:szCs w:val="18"/>
                <w:lang w:val="en-US"/>
              </w:rPr>
              <w:t xml:space="preserve"> </w:t>
            </w:r>
            <w:r w:rsidRPr="00F918AA">
              <w:rPr>
                <w:rFonts w:asciiTheme="minorHAnsi" w:hAnsiTheme="minorHAnsi" w:cstheme="minorHAnsi"/>
                <w:sz w:val="18"/>
                <w:szCs w:val="18"/>
                <w:lang w:val="en-US"/>
              </w:rPr>
              <w:br/>
              <w:t>Capacity building, educational development, guest lectures 82.725 EUR</w:t>
            </w:r>
          </w:p>
          <w:p w:rsidRPr="00F918AA" w:rsidR="00F918AA" w:rsidP="00F918AA" w:rsidRDefault="00F918AA" w14:paraId="246CDBEF" w14:textId="77777777">
            <w:pPr>
              <w:spacing w:after="160" w:line="259" w:lineRule="auto"/>
              <w:ind w:left="113"/>
              <w:rPr>
                <w:rFonts w:asciiTheme="minorHAnsi" w:hAnsiTheme="minorHAnsi" w:cstheme="minorHAnsi"/>
                <w:sz w:val="18"/>
                <w:szCs w:val="18"/>
                <w:lang w:val="en-US"/>
              </w:rPr>
            </w:pPr>
            <w:r w:rsidRPr="00F918AA">
              <w:rPr>
                <w:rFonts w:asciiTheme="minorHAnsi" w:hAnsiTheme="minorHAnsi" w:cstheme="minorHAnsi"/>
                <w:sz w:val="18"/>
                <w:szCs w:val="18"/>
                <w:lang w:val="en-US"/>
              </w:rPr>
              <w:t>Total 500.000 EUR</w:t>
            </w:r>
          </w:p>
          <w:p w:rsidRPr="00F918AA" w:rsidR="00F918AA" w:rsidP="00F918AA" w:rsidRDefault="00F918AA" w14:paraId="0E098508" w14:textId="77777777">
            <w:pPr>
              <w:spacing w:after="160" w:line="259" w:lineRule="auto"/>
              <w:ind w:left="113"/>
              <w:rPr>
                <w:rFonts w:asciiTheme="minorHAnsi" w:hAnsiTheme="minorHAnsi" w:cstheme="minorHAnsi"/>
                <w:i/>
                <w:iCs/>
                <w:sz w:val="18"/>
                <w:szCs w:val="18"/>
                <w:lang w:val="en-US"/>
              </w:rPr>
            </w:pPr>
            <w:r w:rsidRPr="00F918AA">
              <w:rPr>
                <w:rFonts w:asciiTheme="minorHAnsi" w:hAnsiTheme="minorHAnsi" w:cstheme="minorHAnsi"/>
                <w:i/>
                <w:iCs/>
                <w:sz w:val="18"/>
                <w:szCs w:val="18"/>
                <w:lang w:val="en-US"/>
              </w:rPr>
              <w:t>For National Academy of Fine Arts and Architecture in Kyiv</w:t>
            </w:r>
          </w:p>
          <w:p w:rsidRPr="00F918AA" w:rsidR="00F918AA" w:rsidP="00F918AA" w:rsidRDefault="00F918AA" w14:paraId="49356268" w14:textId="77777777">
            <w:pPr>
              <w:spacing w:after="160" w:line="259" w:lineRule="auto"/>
              <w:ind w:left="113"/>
              <w:rPr>
                <w:rFonts w:asciiTheme="minorHAnsi" w:hAnsiTheme="minorHAnsi" w:cstheme="minorHAnsi"/>
                <w:sz w:val="18"/>
                <w:szCs w:val="18"/>
                <w:lang w:val="en-US"/>
              </w:rPr>
            </w:pPr>
            <w:r w:rsidRPr="00F918AA">
              <w:rPr>
                <w:rFonts w:asciiTheme="minorHAnsi" w:hAnsiTheme="minorHAnsi" w:cstheme="minorHAnsi"/>
                <w:b/>
                <w:bCs/>
                <w:sz w:val="18"/>
                <w:szCs w:val="18"/>
                <w:lang w:val="en-US"/>
              </w:rPr>
              <w:t>Equipment</w:t>
            </w:r>
            <w:r w:rsidRPr="00F918AA">
              <w:rPr>
                <w:rFonts w:asciiTheme="minorHAnsi" w:hAnsiTheme="minorHAnsi" w:cstheme="minorHAnsi"/>
                <w:b/>
                <w:bCs/>
                <w:sz w:val="18"/>
                <w:szCs w:val="18"/>
                <w:lang w:val="uk-UA"/>
              </w:rPr>
              <w:br/>
            </w:r>
            <w:r w:rsidRPr="00F918AA">
              <w:rPr>
                <w:rFonts w:asciiTheme="minorHAnsi" w:hAnsiTheme="minorHAnsi" w:cstheme="minorHAnsi"/>
                <w:sz w:val="18"/>
                <w:szCs w:val="18"/>
                <w:lang w:val="en-US"/>
              </w:rPr>
              <w:t>For laboratory tests</w:t>
            </w:r>
            <w:r w:rsidRPr="00F918AA">
              <w:rPr>
                <w:rFonts w:asciiTheme="minorHAnsi" w:hAnsiTheme="minorHAnsi" w:cstheme="minorHAnsi"/>
                <w:sz w:val="18"/>
                <w:szCs w:val="18"/>
                <w:lang w:val="uk-UA"/>
              </w:rPr>
              <w:t xml:space="preserve"> 100</w:t>
            </w:r>
            <w:r w:rsidRPr="00F918AA">
              <w:rPr>
                <w:rFonts w:asciiTheme="minorHAnsi" w:hAnsiTheme="minorHAnsi" w:cstheme="minorHAnsi"/>
                <w:sz w:val="18"/>
                <w:szCs w:val="18"/>
                <w:lang w:val="en-US"/>
              </w:rPr>
              <w:t>.</w:t>
            </w:r>
            <w:r w:rsidRPr="00F918AA">
              <w:rPr>
                <w:rFonts w:asciiTheme="minorHAnsi" w:hAnsiTheme="minorHAnsi" w:cstheme="minorHAnsi"/>
                <w:sz w:val="18"/>
                <w:szCs w:val="18"/>
                <w:lang w:val="uk-UA"/>
              </w:rPr>
              <w:t>45</w:t>
            </w:r>
            <w:r w:rsidRPr="00F918AA">
              <w:rPr>
                <w:rFonts w:asciiTheme="minorHAnsi" w:hAnsiTheme="minorHAnsi" w:cstheme="minorHAnsi"/>
                <w:sz w:val="18"/>
                <w:szCs w:val="18"/>
                <w:lang w:val="en-US"/>
              </w:rPr>
              <w:t>5 EUR</w:t>
            </w:r>
            <w:r w:rsidRPr="00F918AA">
              <w:rPr>
                <w:rFonts w:asciiTheme="minorHAnsi" w:hAnsiTheme="minorHAnsi" w:cstheme="minorHAnsi"/>
                <w:sz w:val="18"/>
                <w:szCs w:val="18"/>
                <w:lang w:val="en-US"/>
              </w:rPr>
              <w:br/>
              <w:t>For research stage 19.182</w:t>
            </w:r>
            <w:r w:rsidRPr="00F918AA">
              <w:rPr>
                <w:rFonts w:asciiTheme="minorHAnsi" w:hAnsiTheme="minorHAnsi" w:cstheme="minorHAnsi"/>
                <w:sz w:val="18"/>
                <w:szCs w:val="18"/>
                <w:lang w:val="uk-UA"/>
              </w:rPr>
              <w:br/>
            </w:r>
            <w:r w:rsidRPr="00F918AA">
              <w:rPr>
                <w:rFonts w:asciiTheme="minorHAnsi" w:hAnsiTheme="minorHAnsi" w:cstheme="minorHAnsi"/>
                <w:sz w:val="18"/>
                <w:szCs w:val="18"/>
                <w:lang w:val="en-US"/>
              </w:rPr>
              <w:t>Materials and chemicals</w:t>
            </w:r>
            <w:r w:rsidRPr="00F918AA">
              <w:rPr>
                <w:rFonts w:asciiTheme="minorHAnsi" w:hAnsiTheme="minorHAnsi" w:cstheme="minorHAnsi"/>
                <w:sz w:val="18"/>
                <w:szCs w:val="18"/>
                <w:lang w:val="uk-UA"/>
              </w:rPr>
              <w:t xml:space="preserve"> 44.000 </w:t>
            </w:r>
            <w:r w:rsidRPr="00F918AA">
              <w:rPr>
                <w:rFonts w:asciiTheme="minorHAnsi" w:hAnsiTheme="minorHAnsi" w:cstheme="minorHAnsi"/>
                <w:sz w:val="18"/>
                <w:szCs w:val="18"/>
                <w:lang w:val="en-US"/>
              </w:rPr>
              <w:t>EUR</w:t>
            </w:r>
            <w:r w:rsidRPr="00F918AA">
              <w:rPr>
                <w:rFonts w:asciiTheme="minorHAnsi" w:hAnsiTheme="minorHAnsi" w:cstheme="minorHAnsi"/>
                <w:sz w:val="18"/>
                <w:szCs w:val="18"/>
                <w:lang w:val="uk-UA"/>
              </w:rPr>
              <w:br/>
            </w:r>
            <w:r w:rsidRPr="00F918AA">
              <w:rPr>
                <w:rFonts w:asciiTheme="minorHAnsi" w:hAnsiTheme="minorHAnsi" w:cstheme="minorHAnsi"/>
                <w:sz w:val="18"/>
                <w:szCs w:val="18"/>
                <w:lang w:val="en-US"/>
              </w:rPr>
              <w:t>Restoration tables, lighting and cleaning equipment 235.818 EUR</w:t>
            </w:r>
            <w:r w:rsidRPr="00F918AA">
              <w:rPr>
                <w:rFonts w:asciiTheme="minorHAnsi" w:hAnsiTheme="minorHAnsi" w:cstheme="minorHAnsi"/>
                <w:sz w:val="18"/>
                <w:szCs w:val="18"/>
                <w:lang w:val="en-US"/>
              </w:rPr>
              <w:br/>
              <w:t>E</w:t>
            </w:r>
            <w:proofErr w:type="spellStart"/>
            <w:r w:rsidRPr="00F918AA">
              <w:rPr>
                <w:rFonts w:asciiTheme="minorHAnsi" w:hAnsiTheme="minorHAnsi" w:cstheme="minorHAnsi"/>
                <w:sz w:val="18"/>
                <w:szCs w:val="18"/>
                <w:lang w:val="uk-UA"/>
              </w:rPr>
              <w:t>quipping</w:t>
            </w:r>
            <w:proofErr w:type="spellEnd"/>
            <w:r w:rsidRPr="00F918AA">
              <w:rPr>
                <w:rFonts w:asciiTheme="minorHAnsi" w:hAnsiTheme="minorHAnsi" w:cstheme="minorHAnsi"/>
                <w:sz w:val="18"/>
                <w:szCs w:val="18"/>
                <w:lang w:val="uk-UA"/>
              </w:rPr>
              <w:t xml:space="preserve"> </w:t>
            </w:r>
            <w:proofErr w:type="spellStart"/>
            <w:r w:rsidRPr="00F918AA">
              <w:rPr>
                <w:rFonts w:asciiTheme="minorHAnsi" w:hAnsiTheme="minorHAnsi" w:cstheme="minorHAnsi"/>
                <w:sz w:val="18"/>
                <w:szCs w:val="18"/>
                <w:lang w:val="uk-UA"/>
              </w:rPr>
              <w:t>new</w:t>
            </w:r>
            <w:proofErr w:type="spellEnd"/>
            <w:r w:rsidRPr="00F918AA">
              <w:rPr>
                <w:rFonts w:asciiTheme="minorHAnsi" w:hAnsiTheme="minorHAnsi" w:cstheme="minorHAnsi"/>
                <w:sz w:val="18"/>
                <w:szCs w:val="18"/>
                <w:lang w:val="uk-UA"/>
              </w:rPr>
              <w:t xml:space="preserve"> </w:t>
            </w:r>
            <w:proofErr w:type="spellStart"/>
            <w:r w:rsidRPr="00F918AA">
              <w:rPr>
                <w:rFonts w:asciiTheme="minorHAnsi" w:hAnsiTheme="minorHAnsi" w:cstheme="minorHAnsi"/>
                <w:sz w:val="18"/>
                <w:szCs w:val="18"/>
                <w:lang w:val="uk-UA"/>
              </w:rPr>
              <w:t>storage</w:t>
            </w:r>
            <w:proofErr w:type="spellEnd"/>
            <w:r w:rsidRPr="00F918AA">
              <w:rPr>
                <w:rFonts w:asciiTheme="minorHAnsi" w:hAnsiTheme="minorHAnsi" w:cstheme="minorHAnsi"/>
                <w:sz w:val="18"/>
                <w:szCs w:val="18"/>
                <w:lang w:val="uk-UA"/>
              </w:rPr>
              <w:t xml:space="preserve"> and </w:t>
            </w:r>
            <w:proofErr w:type="spellStart"/>
            <w:r w:rsidRPr="00F918AA">
              <w:rPr>
                <w:rFonts w:asciiTheme="minorHAnsi" w:hAnsiTheme="minorHAnsi" w:cstheme="minorHAnsi"/>
                <w:sz w:val="18"/>
                <w:szCs w:val="18"/>
                <w:lang w:val="uk-UA"/>
              </w:rPr>
              <w:t>concavity</w:t>
            </w:r>
            <w:proofErr w:type="spellEnd"/>
            <w:r w:rsidRPr="00F918AA">
              <w:rPr>
                <w:rFonts w:asciiTheme="minorHAnsi" w:hAnsiTheme="minorHAnsi" w:cstheme="minorHAnsi"/>
                <w:sz w:val="18"/>
                <w:szCs w:val="18"/>
                <w:lang w:val="uk-UA"/>
              </w:rPr>
              <w:t xml:space="preserve"> </w:t>
            </w:r>
            <w:proofErr w:type="spellStart"/>
            <w:r w:rsidRPr="00F918AA">
              <w:rPr>
                <w:rFonts w:asciiTheme="minorHAnsi" w:hAnsiTheme="minorHAnsi" w:cstheme="minorHAnsi"/>
                <w:sz w:val="18"/>
                <w:szCs w:val="18"/>
                <w:lang w:val="uk-UA"/>
              </w:rPr>
              <w:t>facilities</w:t>
            </w:r>
            <w:proofErr w:type="spellEnd"/>
            <w:r w:rsidRPr="00F918AA">
              <w:rPr>
                <w:rFonts w:asciiTheme="minorHAnsi" w:hAnsiTheme="minorHAnsi" w:cstheme="minorHAnsi"/>
                <w:sz w:val="18"/>
                <w:szCs w:val="18"/>
                <w:lang w:val="uk-UA"/>
              </w:rPr>
              <w:t xml:space="preserve"> 19.182</w:t>
            </w:r>
            <w:r w:rsidRPr="00F918AA">
              <w:rPr>
                <w:rFonts w:asciiTheme="minorHAnsi" w:hAnsiTheme="minorHAnsi" w:cstheme="minorHAnsi"/>
                <w:sz w:val="18"/>
                <w:szCs w:val="18"/>
                <w:lang w:val="en-US"/>
              </w:rPr>
              <w:t xml:space="preserve"> EUR</w:t>
            </w:r>
          </w:p>
          <w:p w:rsidRPr="00F918AA" w:rsidR="00F918AA" w:rsidP="00F918AA" w:rsidRDefault="00F918AA" w14:paraId="321C8912" w14:textId="7BEC561B">
            <w:pPr>
              <w:spacing w:after="160" w:line="259" w:lineRule="auto"/>
              <w:ind w:left="113"/>
              <w:rPr>
                <w:rFonts w:asciiTheme="minorHAnsi" w:hAnsiTheme="minorHAnsi" w:cstheme="minorHAnsi"/>
                <w:sz w:val="18"/>
                <w:szCs w:val="18"/>
                <w:lang w:val="en-US"/>
              </w:rPr>
            </w:pPr>
            <w:r w:rsidRPr="00F918AA">
              <w:rPr>
                <w:rFonts w:asciiTheme="minorHAnsi" w:hAnsiTheme="minorHAnsi" w:cstheme="minorHAnsi"/>
                <w:b/>
                <w:bCs/>
                <w:sz w:val="18"/>
                <w:szCs w:val="18"/>
                <w:lang w:val="en-US"/>
              </w:rPr>
              <w:t>Education and research</w:t>
            </w:r>
            <w:r w:rsidRPr="00F918AA">
              <w:rPr>
                <w:rFonts w:asciiTheme="minorHAnsi" w:hAnsiTheme="minorHAnsi" w:cstheme="minorHAnsi"/>
                <w:b/>
                <w:bCs/>
                <w:sz w:val="18"/>
                <w:szCs w:val="18"/>
                <w:lang w:val="en-US"/>
              </w:rPr>
              <w:br/>
            </w:r>
            <w:r w:rsidRPr="00F918AA">
              <w:rPr>
                <w:rFonts w:asciiTheme="minorHAnsi" w:hAnsiTheme="minorHAnsi" w:cstheme="minorHAnsi"/>
                <w:sz w:val="18"/>
                <w:szCs w:val="18"/>
                <w:lang w:val="en-US"/>
              </w:rPr>
              <w:t>Developing special educational course with workshops and lectures by profession</w:t>
            </w:r>
            <w:r w:rsidR="008F0E1D">
              <w:rPr>
                <w:rFonts w:asciiTheme="minorHAnsi" w:hAnsiTheme="minorHAnsi" w:cstheme="minorHAnsi"/>
                <w:sz w:val="18"/>
                <w:szCs w:val="18"/>
                <w:lang w:val="en-US"/>
              </w:rPr>
              <w:t>al</w:t>
            </w:r>
            <w:r w:rsidRPr="00F918AA">
              <w:rPr>
                <w:rFonts w:asciiTheme="minorHAnsi" w:hAnsiTheme="minorHAnsi" w:cstheme="minorHAnsi"/>
                <w:sz w:val="18"/>
                <w:szCs w:val="18"/>
                <w:lang w:val="en-US"/>
              </w:rPr>
              <w:t>s from EU</w:t>
            </w:r>
            <w:r w:rsidRPr="00F918AA">
              <w:rPr>
                <w:rFonts w:asciiTheme="minorHAnsi" w:hAnsiTheme="minorHAnsi" w:cstheme="minorHAnsi"/>
                <w:b/>
                <w:bCs/>
                <w:sz w:val="18"/>
                <w:szCs w:val="18"/>
                <w:lang w:val="en-US"/>
              </w:rPr>
              <w:t xml:space="preserve"> - </w:t>
            </w:r>
            <w:r w:rsidRPr="00F918AA">
              <w:rPr>
                <w:rFonts w:asciiTheme="minorHAnsi" w:hAnsiTheme="minorHAnsi" w:cstheme="minorHAnsi"/>
                <w:sz w:val="18"/>
                <w:szCs w:val="18"/>
                <w:lang w:val="en-US"/>
              </w:rPr>
              <w:t>41.363 EUR</w:t>
            </w:r>
          </w:p>
          <w:p w:rsidRPr="00803116" w:rsidR="00F918AA" w:rsidP="00E8019E" w:rsidRDefault="00F918AA" w14:paraId="2F0463C8" w14:textId="0E4C5BFF">
            <w:pPr>
              <w:spacing w:after="160" w:line="259" w:lineRule="auto"/>
              <w:ind w:left="113"/>
              <w:rPr>
                <w:rFonts w:asciiTheme="minorHAnsi" w:hAnsiTheme="minorHAnsi" w:cstheme="minorHAnsi"/>
                <w:sz w:val="18"/>
                <w:szCs w:val="18"/>
                <w:lang w:val="en-US"/>
              </w:rPr>
            </w:pPr>
            <w:proofErr w:type="spellStart"/>
            <w:r w:rsidRPr="00F918AA">
              <w:rPr>
                <w:rFonts w:asciiTheme="minorHAnsi" w:hAnsiTheme="minorHAnsi" w:cstheme="minorHAnsi"/>
                <w:sz w:val="18"/>
                <w:szCs w:val="18"/>
                <w:lang w:val="en-US"/>
              </w:rPr>
              <w:t>Programmes</w:t>
            </w:r>
            <w:proofErr w:type="spellEnd"/>
            <w:r w:rsidRPr="00F918AA">
              <w:rPr>
                <w:rFonts w:asciiTheme="minorHAnsi" w:hAnsiTheme="minorHAnsi" w:cstheme="minorHAnsi"/>
                <w:sz w:val="18"/>
                <w:szCs w:val="18"/>
                <w:lang w:val="en-US"/>
              </w:rPr>
              <w:t xml:space="preserve"> for exchange of experience abroad for students and professionals 40.000 EUR</w:t>
            </w:r>
            <w:r w:rsidRPr="00F918AA">
              <w:rPr>
                <w:rFonts w:asciiTheme="minorHAnsi" w:hAnsiTheme="minorHAnsi" w:cstheme="minorHAnsi"/>
                <w:sz w:val="18"/>
                <w:szCs w:val="18"/>
                <w:lang w:val="en-US"/>
              </w:rPr>
              <w:br/>
              <w:t xml:space="preserve">Total 500.000 EUR </w:t>
            </w:r>
          </w:p>
          <w:p w:rsidRPr="00803116" w:rsidR="00271C2F" w:rsidP="00271C2F" w:rsidRDefault="00271C2F" w14:paraId="1A6760F9" w14:textId="682D17C3">
            <w:pPr>
              <w:spacing w:before="52"/>
              <w:ind w:left="89"/>
              <w:jc w:val="both"/>
              <w:rPr>
                <w:rFonts w:asciiTheme="minorHAnsi" w:hAnsiTheme="minorHAnsi" w:cstheme="minorHAnsi"/>
                <w:sz w:val="18"/>
                <w:szCs w:val="18"/>
                <w:lang w:val="en-US"/>
              </w:rPr>
            </w:pPr>
          </w:p>
        </w:tc>
      </w:tr>
      <w:tr w:rsidRPr="004D201D" w:rsidR="00271C2F" w:rsidTr="00C579A3" w14:paraId="6311F186" w14:textId="77777777">
        <w:trPr>
          <w:trHeight w:val="559"/>
        </w:trPr>
        <w:tc>
          <w:tcPr>
            <w:tcW w:w="1168" w:type="pct"/>
            <w:tcBorders>
              <w:top w:val="nil"/>
              <w:left w:val="nil"/>
              <w:bottom w:val="single" w:color="017BC7" w:sz="8" w:space="0"/>
              <w:right w:val="nil"/>
            </w:tcBorders>
            <w:shd w:val="clear" w:color="auto" w:fill="D6EFF9"/>
            <w:hideMark/>
          </w:tcPr>
          <w:p w:rsidRPr="004D201D" w:rsidR="00271C2F" w:rsidP="00271C2F" w:rsidRDefault="00271C2F" w14:paraId="1E7965E6" w14:textId="77777777">
            <w:pPr>
              <w:pStyle w:val="TableParagraph"/>
              <w:spacing w:before="52" w:line="252" w:lineRule="auto"/>
              <w:ind w:left="89"/>
              <w:jc w:val="both"/>
              <w:rPr>
                <w:rFonts w:asciiTheme="minorHAnsi" w:hAnsiTheme="minorHAnsi" w:cstheme="minorHAnsi"/>
                <w:b/>
                <w:bCs/>
                <w:sz w:val="18"/>
                <w:szCs w:val="18"/>
              </w:rPr>
            </w:pPr>
            <w:r w:rsidRPr="004D201D">
              <w:rPr>
                <w:rFonts w:asciiTheme="minorHAnsi" w:hAnsiTheme="minorHAnsi" w:cstheme="minorHAnsi"/>
                <w:b/>
                <w:bCs/>
                <w:sz w:val="18"/>
                <w:szCs w:val="18"/>
              </w:rPr>
              <w:lastRenderedPageBreak/>
              <w:t>B. Financiële gevolgen voor maatschappelijke sectoren</w:t>
            </w:r>
          </w:p>
          <w:p w:rsidRPr="004D201D" w:rsidR="00271C2F" w:rsidP="00271C2F" w:rsidRDefault="00271C2F" w14:paraId="164B1453" w14:textId="77777777">
            <w:pPr>
              <w:pStyle w:val="TableParagraph"/>
              <w:spacing w:before="52"/>
              <w:jc w:val="both"/>
              <w:rPr>
                <w:rFonts w:asciiTheme="minorHAnsi" w:hAnsiTheme="minorHAnsi" w:cstheme="minorHAnsi"/>
                <w:b/>
                <w:bCs/>
                <w:sz w:val="18"/>
                <w:szCs w:val="18"/>
              </w:rPr>
            </w:pPr>
          </w:p>
        </w:tc>
        <w:tc>
          <w:tcPr>
            <w:tcW w:w="3832" w:type="pct"/>
            <w:tcBorders>
              <w:top w:val="nil"/>
              <w:left w:val="nil"/>
              <w:bottom w:val="single" w:color="017BC7" w:sz="8" w:space="0"/>
              <w:right w:val="nil"/>
            </w:tcBorders>
            <w:shd w:val="clear" w:color="auto" w:fill="auto"/>
            <w:hideMark/>
          </w:tcPr>
          <w:p w:rsidRPr="004D201D" w:rsidR="00271C2F" w:rsidP="00271C2F" w:rsidRDefault="00271C2F" w14:paraId="698C32AB" w14:textId="77777777">
            <w:pPr>
              <w:spacing w:before="52"/>
              <w:ind w:left="89"/>
              <w:jc w:val="both"/>
              <w:rPr>
                <w:rFonts w:asciiTheme="minorHAnsi" w:hAnsiTheme="minorHAnsi" w:cstheme="minorHAnsi"/>
                <w:sz w:val="18"/>
                <w:szCs w:val="18"/>
              </w:rPr>
            </w:pPr>
            <w:r w:rsidRPr="004D201D">
              <w:rPr>
                <w:rFonts w:asciiTheme="minorHAnsi" w:hAnsiTheme="minorHAnsi" w:cstheme="minorHAnsi"/>
                <w:sz w:val="18"/>
                <w:szCs w:val="18"/>
              </w:rPr>
              <w:t>Welke financiële gevolgen heeft het voorstel voor maatschappelijke sectoren (als van toepassing)?</w:t>
            </w:r>
          </w:p>
          <w:p w:rsidRPr="004D201D" w:rsidR="00271C2F" w:rsidP="00271C2F" w:rsidRDefault="00271C2F" w14:paraId="616E88DE" w14:textId="77777777">
            <w:pPr>
              <w:spacing w:before="52"/>
              <w:ind w:left="89"/>
              <w:jc w:val="both"/>
              <w:rPr>
                <w:rFonts w:asciiTheme="minorHAnsi" w:hAnsiTheme="minorHAnsi" w:cstheme="minorHAnsi"/>
                <w:sz w:val="18"/>
                <w:szCs w:val="18"/>
              </w:rPr>
            </w:pPr>
          </w:p>
          <w:p w:rsidRPr="004D201D" w:rsidR="00271C2F" w:rsidP="00271C2F" w:rsidRDefault="00B674AF" w14:paraId="58015CC0" w14:textId="69FBD26D">
            <w:pPr>
              <w:spacing w:before="52"/>
              <w:jc w:val="both"/>
              <w:rPr>
                <w:rFonts w:asciiTheme="minorHAnsi" w:hAnsiTheme="minorHAnsi" w:cstheme="minorHAnsi"/>
                <w:sz w:val="18"/>
                <w:szCs w:val="18"/>
              </w:rPr>
            </w:pPr>
            <w:r>
              <w:rPr>
                <w:rFonts w:asciiTheme="minorHAnsi" w:hAnsiTheme="minorHAnsi" w:cstheme="minorHAnsi"/>
                <w:sz w:val="18"/>
                <w:szCs w:val="18"/>
              </w:rPr>
              <w:t xml:space="preserve"> Geen</w:t>
            </w:r>
          </w:p>
          <w:p w:rsidRPr="004D201D" w:rsidR="00271C2F" w:rsidP="00271C2F" w:rsidRDefault="00271C2F" w14:paraId="40CA6AF3" w14:textId="77777777">
            <w:pPr>
              <w:spacing w:before="52"/>
              <w:jc w:val="both"/>
              <w:rPr>
                <w:rFonts w:asciiTheme="minorHAnsi" w:hAnsiTheme="minorHAnsi" w:cstheme="minorHAnsi"/>
                <w:sz w:val="18"/>
                <w:szCs w:val="18"/>
              </w:rPr>
            </w:pPr>
          </w:p>
          <w:p w:rsidRPr="004D201D" w:rsidR="00271C2F" w:rsidP="00271C2F" w:rsidRDefault="00271C2F" w14:paraId="76743493" w14:textId="253D5419">
            <w:pPr>
              <w:spacing w:before="52"/>
              <w:ind w:left="89"/>
              <w:jc w:val="both"/>
              <w:rPr>
                <w:rFonts w:asciiTheme="minorHAnsi" w:hAnsiTheme="minorHAnsi" w:cstheme="minorHAnsi"/>
                <w:sz w:val="18"/>
                <w:szCs w:val="18"/>
              </w:rPr>
            </w:pPr>
          </w:p>
        </w:tc>
      </w:tr>
      <w:tr w:rsidRPr="004D201D" w:rsidR="00271C2F" w:rsidTr="00C579A3" w14:paraId="5A411B6A" w14:textId="77777777">
        <w:trPr>
          <w:trHeight w:val="759"/>
        </w:trPr>
        <w:tc>
          <w:tcPr>
            <w:tcW w:w="1168" w:type="pct"/>
            <w:tcBorders>
              <w:top w:val="nil"/>
              <w:left w:val="nil"/>
              <w:bottom w:val="single" w:color="017BC7" w:sz="8" w:space="0"/>
              <w:right w:val="nil"/>
            </w:tcBorders>
            <w:shd w:val="clear" w:color="auto" w:fill="D6EFF9"/>
            <w:hideMark/>
          </w:tcPr>
          <w:p w:rsidRPr="004D201D" w:rsidR="00271C2F" w:rsidP="00271C2F" w:rsidRDefault="00271C2F" w14:paraId="426B80EA" w14:textId="0F5193CB">
            <w:pPr>
              <w:pStyle w:val="TableParagraph"/>
              <w:spacing w:before="52" w:line="252" w:lineRule="auto"/>
              <w:ind w:left="89"/>
              <w:rPr>
                <w:rFonts w:asciiTheme="minorHAnsi" w:hAnsiTheme="minorHAnsi" w:cstheme="minorHAnsi"/>
                <w:b/>
                <w:bCs/>
                <w:sz w:val="18"/>
                <w:szCs w:val="18"/>
                <w:lang w:val="en-US"/>
              </w:rPr>
            </w:pPr>
            <w:r w:rsidRPr="004D201D">
              <w:rPr>
                <w:rFonts w:asciiTheme="minorHAnsi" w:hAnsiTheme="minorHAnsi" w:cstheme="minorHAnsi"/>
                <w:b/>
                <w:bCs/>
                <w:sz w:val="18"/>
                <w:szCs w:val="18"/>
              </w:rPr>
              <w:t>6. Nagestreefde doeltreffendheid</w:t>
            </w:r>
          </w:p>
        </w:tc>
        <w:tc>
          <w:tcPr>
            <w:tcW w:w="3832" w:type="pct"/>
            <w:tcBorders>
              <w:top w:val="nil"/>
              <w:left w:val="nil"/>
              <w:bottom w:val="single" w:color="017BC7" w:sz="8" w:space="0"/>
              <w:right w:val="nil"/>
            </w:tcBorders>
            <w:shd w:val="clear" w:color="auto" w:fill="auto"/>
            <w:hideMark/>
          </w:tcPr>
          <w:p w:rsidR="00271C2F" w:rsidP="00271C2F" w:rsidRDefault="00271C2F" w14:paraId="52251041" w14:textId="77777777">
            <w:pPr>
              <w:pStyle w:val="TableParagraph"/>
              <w:spacing w:before="4" w:line="252" w:lineRule="auto"/>
              <w:jc w:val="both"/>
              <w:rPr>
                <w:rFonts w:asciiTheme="minorHAnsi" w:hAnsiTheme="minorHAnsi" w:cstheme="minorHAnsi"/>
                <w:sz w:val="18"/>
                <w:szCs w:val="18"/>
              </w:rPr>
            </w:pPr>
            <w:r w:rsidRPr="004D201D">
              <w:rPr>
                <w:rFonts w:asciiTheme="minorHAnsi" w:hAnsiTheme="minorHAnsi" w:cstheme="minorHAnsi"/>
                <w:sz w:val="18"/>
                <w:szCs w:val="18"/>
              </w:rPr>
              <w:t>Op welke wijze en in welke mate wordt verwacht dat het beleidsinstrumentarium gaat bijdragen aan de beoogde prestaties en effecten?</w:t>
            </w:r>
          </w:p>
          <w:p w:rsidR="00A11675" w:rsidP="00271C2F" w:rsidRDefault="00A11675" w14:paraId="46BCB15C" w14:textId="77777777">
            <w:pPr>
              <w:pStyle w:val="TableParagraph"/>
              <w:spacing w:before="4" w:line="252" w:lineRule="auto"/>
              <w:jc w:val="both"/>
              <w:rPr>
                <w:rFonts w:asciiTheme="minorHAnsi" w:hAnsiTheme="minorHAnsi" w:cstheme="minorHAnsi"/>
                <w:sz w:val="18"/>
                <w:szCs w:val="18"/>
              </w:rPr>
            </w:pPr>
          </w:p>
          <w:p w:rsidR="00860F4D" w:rsidP="00271C2F" w:rsidRDefault="00FE3A5F" w14:paraId="6009ABCC" w14:textId="5E03605B">
            <w:pPr>
              <w:pStyle w:val="TableParagraph"/>
              <w:spacing w:before="4" w:line="252" w:lineRule="auto"/>
              <w:jc w:val="both"/>
              <w:rPr>
                <w:rFonts w:asciiTheme="minorHAnsi" w:hAnsiTheme="minorHAnsi" w:cstheme="minorHAnsi"/>
                <w:sz w:val="18"/>
                <w:szCs w:val="18"/>
              </w:rPr>
            </w:pPr>
            <w:r>
              <w:rPr>
                <w:rFonts w:asciiTheme="minorHAnsi" w:hAnsiTheme="minorHAnsi" w:cstheme="minorHAnsi"/>
                <w:sz w:val="18"/>
                <w:szCs w:val="18"/>
              </w:rPr>
              <w:t>De gekozen partners zijn kwalitatief de beste partners die in Oekraïne aanwezig</w:t>
            </w:r>
            <w:r w:rsidR="006A5B20">
              <w:rPr>
                <w:rFonts w:asciiTheme="minorHAnsi" w:hAnsiTheme="minorHAnsi" w:cstheme="minorHAnsi"/>
                <w:sz w:val="18"/>
                <w:szCs w:val="18"/>
              </w:rPr>
              <w:t xml:space="preserve"> zijn, en worden zowel in Oekr</w:t>
            </w:r>
            <w:r w:rsidRPr="00E96FA0" w:rsidR="006A5B20">
              <w:rPr>
                <w:rFonts w:asciiTheme="minorHAnsi" w:hAnsiTheme="minorHAnsi" w:cstheme="minorHAnsi"/>
                <w:sz w:val="18"/>
                <w:szCs w:val="18"/>
              </w:rPr>
              <w:t>a</w:t>
            </w:r>
            <w:r w:rsidR="006A5B20">
              <w:rPr>
                <w:rFonts w:asciiTheme="minorHAnsi" w:hAnsiTheme="minorHAnsi" w:cstheme="minorHAnsi"/>
                <w:sz w:val="18"/>
                <w:szCs w:val="18"/>
              </w:rPr>
              <w:t xml:space="preserve">ïne als internationaal zo erkend. </w:t>
            </w:r>
            <w:r>
              <w:rPr>
                <w:rFonts w:asciiTheme="minorHAnsi" w:hAnsiTheme="minorHAnsi" w:cstheme="minorHAnsi"/>
                <w:sz w:val="18"/>
                <w:szCs w:val="18"/>
              </w:rPr>
              <w:t xml:space="preserve"> </w:t>
            </w:r>
            <w:r w:rsidR="006A5B20">
              <w:rPr>
                <w:rFonts w:asciiTheme="minorHAnsi" w:hAnsiTheme="minorHAnsi" w:cstheme="minorHAnsi"/>
                <w:sz w:val="18"/>
                <w:szCs w:val="18"/>
              </w:rPr>
              <w:t>Zij</w:t>
            </w:r>
            <w:r w:rsidR="00E96FA0">
              <w:rPr>
                <w:rFonts w:asciiTheme="minorHAnsi" w:hAnsiTheme="minorHAnsi" w:cstheme="minorHAnsi"/>
                <w:sz w:val="18"/>
                <w:szCs w:val="18"/>
              </w:rPr>
              <w:t xml:space="preserve"> </w:t>
            </w:r>
            <w:r>
              <w:rPr>
                <w:rFonts w:asciiTheme="minorHAnsi" w:hAnsiTheme="minorHAnsi" w:cstheme="minorHAnsi"/>
                <w:sz w:val="18"/>
                <w:szCs w:val="18"/>
              </w:rPr>
              <w:t>zijn ingebed in het Black Sea Hub netwerk van</w:t>
            </w:r>
            <w:r w:rsidR="006613FE">
              <w:rPr>
                <w:rFonts w:asciiTheme="minorHAnsi" w:hAnsiTheme="minorHAnsi" w:cstheme="minorHAnsi"/>
                <w:sz w:val="18"/>
                <w:szCs w:val="18"/>
              </w:rPr>
              <w:t xml:space="preserve"> de in Nederland </w:t>
            </w:r>
            <w:r w:rsidR="006A5B20">
              <w:rPr>
                <w:rFonts w:asciiTheme="minorHAnsi" w:hAnsiTheme="minorHAnsi" w:cstheme="minorHAnsi"/>
                <w:sz w:val="18"/>
                <w:szCs w:val="18"/>
              </w:rPr>
              <w:t>gevestigde</w:t>
            </w:r>
            <w:r w:rsidR="006613FE">
              <w:rPr>
                <w:rFonts w:asciiTheme="minorHAnsi" w:hAnsiTheme="minorHAnsi" w:cstheme="minorHAnsi"/>
                <w:sz w:val="18"/>
                <w:szCs w:val="18"/>
              </w:rPr>
              <w:t xml:space="preserve"> internationale NGO</w:t>
            </w:r>
            <w:r>
              <w:rPr>
                <w:rFonts w:asciiTheme="minorHAnsi" w:hAnsiTheme="minorHAnsi" w:cstheme="minorHAnsi"/>
                <w:sz w:val="18"/>
                <w:szCs w:val="18"/>
              </w:rPr>
              <w:t xml:space="preserve"> </w:t>
            </w:r>
            <w:proofErr w:type="spellStart"/>
            <w:r>
              <w:rPr>
                <w:rFonts w:asciiTheme="minorHAnsi" w:hAnsiTheme="minorHAnsi" w:cstheme="minorHAnsi"/>
                <w:sz w:val="18"/>
                <w:szCs w:val="18"/>
              </w:rPr>
              <w:t>C</w:t>
            </w:r>
            <w:r w:rsidR="006613FE">
              <w:rPr>
                <w:rFonts w:asciiTheme="minorHAnsi" w:hAnsiTheme="minorHAnsi" w:cstheme="minorHAnsi"/>
                <w:sz w:val="18"/>
                <w:szCs w:val="18"/>
              </w:rPr>
              <w:t>ultural</w:t>
            </w:r>
            <w:proofErr w:type="spellEnd"/>
            <w:r w:rsidR="006613FE">
              <w:rPr>
                <w:rFonts w:asciiTheme="minorHAnsi" w:hAnsiTheme="minorHAnsi" w:cstheme="minorHAnsi"/>
                <w:sz w:val="18"/>
                <w:szCs w:val="18"/>
              </w:rPr>
              <w:t xml:space="preserve"> </w:t>
            </w:r>
            <w:proofErr w:type="spellStart"/>
            <w:r>
              <w:rPr>
                <w:rFonts w:asciiTheme="minorHAnsi" w:hAnsiTheme="minorHAnsi" w:cstheme="minorHAnsi"/>
                <w:sz w:val="18"/>
                <w:szCs w:val="18"/>
              </w:rPr>
              <w:t>E</w:t>
            </w:r>
            <w:r w:rsidR="006613FE">
              <w:rPr>
                <w:rFonts w:asciiTheme="minorHAnsi" w:hAnsiTheme="minorHAnsi" w:cstheme="minorHAnsi"/>
                <w:sz w:val="18"/>
                <w:szCs w:val="18"/>
              </w:rPr>
              <w:t>mergency</w:t>
            </w:r>
            <w:proofErr w:type="spellEnd"/>
            <w:r w:rsidR="006613FE">
              <w:rPr>
                <w:rFonts w:asciiTheme="minorHAnsi" w:hAnsiTheme="minorHAnsi" w:cstheme="minorHAnsi"/>
                <w:sz w:val="18"/>
                <w:szCs w:val="18"/>
              </w:rPr>
              <w:t xml:space="preserve"> </w:t>
            </w:r>
            <w:r>
              <w:rPr>
                <w:rFonts w:asciiTheme="minorHAnsi" w:hAnsiTheme="minorHAnsi" w:cstheme="minorHAnsi"/>
                <w:sz w:val="18"/>
                <w:szCs w:val="18"/>
              </w:rPr>
              <w:t>R</w:t>
            </w:r>
            <w:r w:rsidR="006613FE">
              <w:rPr>
                <w:rFonts w:asciiTheme="minorHAnsi" w:hAnsiTheme="minorHAnsi" w:cstheme="minorHAnsi"/>
                <w:sz w:val="18"/>
                <w:szCs w:val="18"/>
              </w:rPr>
              <w:t>esponse (CER)</w:t>
            </w:r>
            <w:r w:rsidR="00E96FA0">
              <w:rPr>
                <w:rFonts w:asciiTheme="minorHAnsi" w:hAnsiTheme="minorHAnsi" w:cstheme="minorHAnsi"/>
                <w:sz w:val="18"/>
                <w:szCs w:val="18"/>
              </w:rPr>
              <w:t>.</w:t>
            </w:r>
            <w:r>
              <w:rPr>
                <w:rFonts w:asciiTheme="minorHAnsi" w:hAnsiTheme="minorHAnsi" w:cstheme="minorHAnsi"/>
                <w:sz w:val="18"/>
                <w:szCs w:val="18"/>
              </w:rPr>
              <w:t xml:space="preserve"> De ervaringen met de CER </w:t>
            </w:r>
            <w:r w:rsidR="00E96FA0">
              <w:rPr>
                <w:rFonts w:asciiTheme="minorHAnsi" w:hAnsiTheme="minorHAnsi" w:cstheme="minorHAnsi"/>
                <w:sz w:val="18"/>
                <w:szCs w:val="18"/>
              </w:rPr>
              <w:t>p</w:t>
            </w:r>
            <w:r>
              <w:rPr>
                <w:rFonts w:asciiTheme="minorHAnsi" w:hAnsiTheme="minorHAnsi" w:cstheme="minorHAnsi"/>
                <w:sz w:val="18"/>
                <w:szCs w:val="18"/>
              </w:rPr>
              <w:t xml:space="preserve">rogrammering in Oekraïne zijn uitstekend ondanks de uitdagende oorlogsomstandigheden waaronder gewerkt moet worden..  </w:t>
            </w:r>
          </w:p>
          <w:p w:rsidR="00D61A4F" w:rsidP="00271C2F" w:rsidRDefault="00D61A4F" w14:paraId="77630745" w14:textId="77777777">
            <w:pPr>
              <w:pStyle w:val="TableParagraph"/>
              <w:spacing w:before="4" w:line="252" w:lineRule="auto"/>
              <w:jc w:val="both"/>
              <w:rPr>
                <w:rFonts w:asciiTheme="minorHAnsi" w:hAnsiTheme="minorHAnsi" w:cstheme="minorHAnsi"/>
                <w:sz w:val="18"/>
                <w:szCs w:val="18"/>
              </w:rPr>
            </w:pPr>
          </w:p>
          <w:p w:rsidR="00D61A4F" w:rsidP="00807221" w:rsidRDefault="00807221" w14:paraId="7B646304" w14:textId="77777777">
            <w:pPr>
              <w:pStyle w:val="TableParagraph"/>
              <w:spacing w:before="4" w:line="252" w:lineRule="auto"/>
              <w:jc w:val="both"/>
              <w:rPr>
                <w:rFonts w:asciiTheme="minorHAnsi" w:hAnsiTheme="minorHAnsi" w:cstheme="minorHAnsi"/>
                <w:sz w:val="18"/>
                <w:szCs w:val="18"/>
              </w:rPr>
            </w:pPr>
            <w:r w:rsidRPr="00807221">
              <w:rPr>
                <w:rFonts w:asciiTheme="minorHAnsi" w:hAnsiTheme="minorHAnsi" w:cstheme="minorHAnsi"/>
                <w:sz w:val="18"/>
                <w:szCs w:val="18"/>
              </w:rPr>
              <w:t xml:space="preserve">Het beleidsinstrumentarium, bestaande uit gerichte investeringen in renovatie van faciliteiten, draagt direct en structureel bij aan het behalen van de beoogde prestaties: het opleiden van een nieuwe generatie hoogopgeleide restauratoren in Oekraïne. Door het moderniseren van de onderwijsinfrastructuur en het beschikbaar stellen van specialistische apparatuur, wordt het mogelijk om studenten en professionals effectief op te leiden met de kennis en middelen die noodzakelijk zijn voor het behoud van cultureel erfgoed. </w:t>
            </w:r>
          </w:p>
          <w:p w:rsidR="00D61A4F" w:rsidP="00807221" w:rsidRDefault="00D61A4F" w14:paraId="4C9912AD" w14:textId="77777777">
            <w:pPr>
              <w:pStyle w:val="TableParagraph"/>
              <w:spacing w:before="4" w:line="252" w:lineRule="auto"/>
              <w:jc w:val="both"/>
              <w:rPr>
                <w:rFonts w:asciiTheme="minorHAnsi" w:hAnsiTheme="minorHAnsi" w:cstheme="minorHAnsi"/>
                <w:sz w:val="18"/>
                <w:szCs w:val="18"/>
              </w:rPr>
            </w:pPr>
          </w:p>
          <w:p w:rsidRPr="00807221" w:rsidR="00807221" w:rsidP="00807221" w:rsidRDefault="00807221" w14:paraId="5525F2AF" w14:textId="640F3217">
            <w:pPr>
              <w:pStyle w:val="TableParagraph"/>
              <w:spacing w:before="4" w:line="252" w:lineRule="auto"/>
              <w:jc w:val="both"/>
              <w:rPr>
                <w:rFonts w:asciiTheme="minorHAnsi" w:hAnsiTheme="minorHAnsi" w:cstheme="minorHAnsi"/>
                <w:sz w:val="18"/>
                <w:szCs w:val="18"/>
              </w:rPr>
            </w:pPr>
            <w:r w:rsidRPr="00807221">
              <w:rPr>
                <w:rFonts w:asciiTheme="minorHAnsi" w:hAnsiTheme="minorHAnsi" w:cstheme="minorHAnsi"/>
                <w:sz w:val="18"/>
                <w:szCs w:val="18"/>
              </w:rPr>
              <w:t xml:space="preserve">De inzet op training en kennisdeling verhoogt bovendien het niveau van expertise op nationaal niveau. Hiermee wordt verwacht dat niet alleen de kwaliteit van het </w:t>
            </w:r>
            <w:r w:rsidR="00D61A4F">
              <w:rPr>
                <w:rFonts w:asciiTheme="minorHAnsi" w:hAnsiTheme="minorHAnsi" w:cstheme="minorHAnsi"/>
                <w:sz w:val="18"/>
                <w:szCs w:val="18"/>
              </w:rPr>
              <w:t xml:space="preserve">gespecialiseerde </w:t>
            </w:r>
            <w:r w:rsidRPr="00807221">
              <w:rPr>
                <w:rFonts w:asciiTheme="minorHAnsi" w:hAnsiTheme="minorHAnsi" w:cstheme="minorHAnsi"/>
                <w:sz w:val="18"/>
                <w:szCs w:val="18"/>
              </w:rPr>
              <w:t>onderwijs verbetert, maar ook dat de capaciteit om schade aan erfgoed adequaat te herstellen toeneemt. Op de langere termijn draagt dit bij aan het versterken van de nationale identiteit en het cultureel herstel na de oorlog.</w:t>
            </w:r>
          </w:p>
          <w:p w:rsidRPr="00807221" w:rsidR="00807221" w:rsidP="00807221" w:rsidRDefault="00807221" w14:paraId="2BDC0C1A" w14:textId="77777777">
            <w:pPr>
              <w:pStyle w:val="TableParagraph"/>
              <w:spacing w:before="4" w:line="252" w:lineRule="auto"/>
              <w:jc w:val="both"/>
              <w:rPr>
                <w:rFonts w:asciiTheme="minorHAnsi" w:hAnsiTheme="minorHAnsi" w:cstheme="minorHAnsi"/>
                <w:sz w:val="18"/>
                <w:szCs w:val="18"/>
              </w:rPr>
            </w:pPr>
          </w:p>
          <w:p w:rsidRPr="00807221" w:rsidR="00807221" w:rsidP="00807221" w:rsidRDefault="00807221" w14:paraId="33C903D5" w14:textId="5C0D7604">
            <w:pPr>
              <w:pStyle w:val="TableParagraph"/>
              <w:spacing w:before="4" w:line="252" w:lineRule="auto"/>
              <w:jc w:val="both"/>
              <w:rPr>
                <w:rFonts w:asciiTheme="minorHAnsi" w:hAnsiTheme="minorHAnsi" w:cstheme="minorHAnsi"/>
                <w:sz w:val="18"/>
                <w:szCs w:val="18"/>
              </w:rPr>
            </w:pPr>
            <w:r w:rsidRPr="00807221">
              <w:rPr>
                <w:rFonts w:asciiTheme="minorHAnsi" w:hAnsiTheme="minorHAnsi" w:cstheme="minorHAnsi"/>
                <w:sz w:val="18"/>
                <w:szCs w:val="18"/>
              </w:rPr>
              <w:t xml:space="preserve">Voor beide instellingen is gekozen vanwege hun bestaande onderwijsprogramma’s op het gebied van erfgoedbehoud en hun sterke academische reputatie. Bovendien is de Lviv </w:t>
            </w:r>
            <w:proofErr w:type="spellStart"/>
            <w:r w:rsidRPr="00807221">
              <w:rPr>
                <w:rFonts w:asciiTheme="minorHAnsi" w:hAnsiTheme="minorHAnsi" w:cstheme="minorHAnsi"/>
                <w:sz w:val="18"/>
                <w:szCs w:val="18"/>
              </w:rPr>
              <w:t>Polytechnic</w:t>
            </w:r>
            <w:proofErr w:type="spellEnd"/>
            <w:r w:rsidRPr="00807221">
              <w:rPr>
                <w:rFonts w:asciiTheme="minorHAnsi" w:hAnsiTheme="minorHAnsi" w:cstheme="minorHAnsi"/>
                <w:sz w:val="18"/>
                <w:szCs w:val="18"/>
              </w:rPr>
              <w:t xml:space="preserve"> universiteit een partner van het Heritage Monitoring Lab (</w:t>
            </w:r>
            <w:proofErr w:type="spellStart"/>
            <w:r w:rsidRPr="00807221">
              <w:rPr>
                <w:rFonts w:asciiTheme="minorHAnsi" w:hAnsiTheme="minorHAnsi" w:cstheme="minorHAnsi"/>
                <w:sz w:val="18"/>
                <w:szCs w:val="18"/>
              </w:rPr>
              <w:t>HeMo</w:t>
            </w:r>
            <w:proofErr w:type="spellEnd"/>
            <w:r w:rsidRPr="00807221">
              <w:rPr>
                <w:rFonts w:asciiTheme="minorHAnsi" w:hAnsiTheme="minorHAnsi" w:cstheme="minorHAnsi"/>
                <w:sz w:val="18"/>
                <w:szCs w:val="18"/>
              </w:rPr>
              <w:t>), een van de drie oprichters van de Black Sea Hub, waarvoor de CER eerder €</w:t>
            </w:r>
            <w:r w:rsidR="00B21D1C">
              <w:rPr>
                <w:rFonts w:asciiTheme="minorHAnsi" w:hAnsiTheme="minorHAnsi" w:cstheme="minorHAnsi"/>
                <w:sz w:val="18"/>
                <w:szCs w:val="18"/>
              </w:rPr>
              <w:t>73</w:t>
            </w:r>
            <w:r w:rsidRPr="00807221">
              <w:rPr>
                <w:rFonts w:asciiTheme="minorHAnsi" w:hAnsiTheme="minorHAnsi" w:cstheme="minorHAnsi"/>
                <w:sz w:val="18"/>
                <w:szCs w:val="18"/>
              </w:rPr>
              <w:t xml:space="preserve">0.000 van BZ heeft ontvangen. </w:t>
            </w:r>
            <w:r w:rsidR="00B21D1C">
              <w:rPr>
                <w:rFonts w:asciiTheme="minorHAnsi" w:hAnsiTheme="minorHAnsi" w:cstheme="minorHAnsi"/>
                <w:sz w:val="18"/>
                <w:szCs w:val="18"/>
              </w:rPr>
              <w:t xml:space="preserve">De ambassade in Kyiv heeft voorts regelmatig contact met de  </w:t>
            </w:r>
            <w:r w:rsidRPr="00131B3B" w:rsidR="00B21D1C">
              <w:rPr>
                <w:rFonts w:asciiTheme="minorHAnsi" w:hAnsiTheme="minorHAnsi" w:cstheme="minorHAnsi"/>
                <w:sz w:val="18"/>
                <w:szCs w:val="18"/>
              </w:rPr>
              <w:t>National Academy of Fine Art and Architecture</w:t>
            </w:r>
            <w:r w:rsidR="00B21D1C">
              <w:rPr>
                <w:rFonts w:asciiTheme="minorHAnsi" w:hAnsiTheme="minorHAnsi" w:cstheme="minorHAnsi"/>
                <w:sz w:val="18"/>
                <w:szCs w:val="18"/>
              </w:rPr>
              <w:t>.</w:t>
            </w:r>
            <w:r w:rsidR="00CC4A1A">
              <w:rPr>
                <w:rFonts w:asciiTheme="minorHAnsi" w:hAnsiTheme="minorHAnsi" w:cstheme="minorHAnsi"/>
                <w:sz w:val="18"/>
                <w:szCs w:val="18"/>
              </w:rPr>
              <w:t xml:space="preserve"> </w:t>
            </w:r>
            <w:r w:rsidRPr="00807221">
              <w:rPr>
                <w:rFonts w:asciiTheme="minorHAnsi" w:hAnsiTheme="minorHAnsi" w:cstheme="minorHAnsi"/>
                <w:sz w:val="18"/>
                <w:szCs w:val="18"/>
              </w:rPr>
              <w:t>Deze bestaande samenwerking</w:t>
            </w:r>
            <w:r w:rsidR="00B21D1C">
              <w:rPr>
                <w:rFonts w:asciiTheme="minorHAnsi" w:hAnsiTheme="minorHAnsi" w:cstheme="minorHAnsi"/>
                <w:sz w:val="18"/>
                <w:szCs w:val="18"/>
              </w:rPr>
              <w:t>srelaties</w:t>
            </w:r>
            <w:r w:rsidRPr="00807221">
              <w:rPr>
                <w:rFonts w:asciiTheme="minorHAnsi" w:hAnsiTheme="minorHAnsi" w:cstheme="minorHAnsi"/>
                <w:sz w:val="18"/>
                <w:szCs w:val="18"/>
              </w:rPr>
              <w:t xml:space="preserve"> </w:t>
            </w:r>
            <w:r w:rsidR="00B21D1C">
              <w:rPr>
                <w:rFonts w:asciiTheme="minorHAnsi" w:hAnsiTheme="minorHAnsi" w:cstheme="minorHAnsi"/>
                <w:sz w:val="18"/>
                <w:szCs w:val="18"/>
              </w:rPr>
              <w:t>zorgen voor</w:t>
            </w:r>
            <w:r w:rsidRPr="00807221">
              <w:rPr>
                <w:rFonts w:asciiTheme="minorHAnsi" w:hAnsiTheme="minorHAnsi" w:cstheme="minorHAnsi"/>
                <w:sz w:val="18"/>
                <w:szCs w:val="18"/>
              </w:rPr>
              <w:t xml:space="preserve"> een solide basis voor effectieve uitvoering en goede afstemming. </w:t>
            </w:r>
          </w:p>
          <w:p w:rsidRPr="004D201D" w:rsidR="00807221" w:rsidP="00271C2F" w:rsidRDefault="00807221" w14:paraId="2F0AD9CB" w14:textId="77777777">
            <w:pPr>
              <w:pStyle w:val="TableParagraph"/>
              <w:spacing w:before="4" w:line="252" w:lineRule="auto"/>
              <w:jc w:val="both"/>
              <w:rPr>
                <w:rFonts w:asciiTheme="minorHAnsi" w:hAnsiTheme="minorHAnsi" w:cstheme="minorHAnsi"/>
                <w:sz w:val="18"/>
                <w:szCs w:val="18"/>
              </w:rPr>
            </w:pPr>
          </w:p>
          <w:p w:rsidRPr="004D201D" w:rsidR="00271C2F" w:rsidP="00271C2F" w:rsidRDefault="00271C2F" w14:paraId="173F4EFB" w14:textId="77777777">
            <w:pPr>
              <w:pStyle w:val="TableParagraph"/>
              <w:spacing w:before="4" w:line="252" w:lineRule="auto"/>
              <w:jc w:val="both"/>
              <w:rPr>
                <w:rFonts w:asciiTheme="minorHAnsi" w:hAnsiTheme="minorHAnsi" w:cstheme="minorHAnsi"/>
                <w:sz w:val="18"/>
                <w:szCs w:val="18"/>
              </w:rPr>
            </w:pPr>
          </w:p>
          <w:p w:rsidRPr="004D201D" w:rsidR="00271C2F" w:rsidP="00271C2F" w:rsidRDefault="00271C2F" w14:paraId="11613BD5" w14:textId="5F732DAC">
            <w:pPr>
              <w:pStyle w:val="TableParagraph"/>
              <w:spacing w:before="4" w:line="252" w:lineRule="auto"/>
              <w:jc w:val="both"/>
              <w:rPr>
                <w:rFonts w:asciiTheme="minorHAnsi" w:hAnsiTheme="minorHAnsi" w:cstheme="minorHAnsi"/>
                <w:sz w:val="18"/>
                <w:szCs w:val="18"/>
              </w:rPr>
            </w:pPr>
          </w:p>
        </w:tc>
      </w:tr>
      <w:tr w:rsidRPr="004D201D" w:rsidR="00271C2F" w:rsidTr="00C579A3" w14:paraId="7A2CB2A8" w14:textId="77777777">
        <w:trPr>
          <w:trHeight w:val="559"/>
        </w:trPr>
        <w:tc>
          <w:tcPr>
            <w:tcW w:w="1168" w:type="pct"/>
            <w:tcBorders>
              <w:top w:val="nil"/>
              <w:left w:val="nil"/>
              <w:bottom w:val="single" w:color="017BC7" w:sz="8" w:space="0"/>
              <w:right w:val="nil"/>
            </w:tcBorders>
            <w:shd w:val="clear" w:color="auto" w:fill="D6EFF9"/>
            <w:hideMark/>
          </w:tcPr>
          <w:p w:rsidRPr="004D201D" w:rsidR="00271C2F" w:rsidP="00271C2F" w:rsidRDefault="00271C2F" w14:paraId="0EC5A4D3" w14:textId="2356F2C8">
            <w:pPr>
              <w:pStyle w:val="TableParagraph"/>
              <w:spacing w:before="52" w:line="252" w:lineRule="auto"/>
              <w:ind w:left="89"/>
              <w:rPr>
                <w:rFonts w:asciiTheme="minorHAnsi" w:hAnsiTheme="minorHAnsi" w:cstheme="minorHAnsi"/>
                <w:b/>
                <w:bCs/>
                <w:sz w:val="18"/>
                <w:szCs w:val="18"/>
                <w:lang w:val="en-US"/>
              </w:rPr>
            </w:pPr>
            <w:r w:rsidRPr="004D201D">
              <w:rPr>
                <w:rFonts w:asciiTheme="minorHAnsi" w:hAnsiTheme="minorHAnsi" w:cstheme="minorHAnsi"/>
                <w:b/>
                <w:bCs/>
                <w:sz w:val="18"/>
                <w:szCs w:val="18"/>
                <w:lang w:val="en-US"/>
              </w:rPr>
              <w:lastRenderedPageBreak/>
              <w:t xml:space="preserve">7. </w:t>
            </w:r>
            <w:proofErr w:type="spellStart"/>
            <w:r w:rsidRPr="004D201D">
              <w:rPr>
                <w:rFonts w:asciiTheme="minorHAnsi" w:hAnsiTheme="minorHAnsi" w:cstheme="minorHAnsi"/>
                <w:b/>
                <w:bCs/>
                <w:sz w:val="18"/>
                <w:szCs w:val="18"/>
                <w:lang w:val="en-US"/>
              </w:rPr>
              <w:t>Nagestreefde</w:t>
            </w:r>
            <w:proofErr w:type="spellEnd"/>
            <w:r w:rsidRPr="004D201D">
              <w:rPr>
                <w:rFonts w:asciiTheme="minorHAnsi" w:hAnsiTheme="minorHAnsi" w:cstheme="minorHAnsi"/>
                <w:b/>
                <w:bCs/>
                <w:sz w:val="18"/>
                <w:szCs w:val="18"/>
                <w:lang w:val="en-US"/>
              </w:rPr>
              <w:t xml:space="preserve"> </w:t>
            </w:r>
            <w:proofErr w:type="spellStart"/>
            <w:r w:rsidRPr="004D201D">
              <w:rPr>
                <w:rFonts w:asciiTheme="minorHAnsi" w:hAnsiTheme="minorHAnsi" w:cstheme="minorHAnsi"/>
                <w:b/>
                <w:bCs/>
                <w:sz w:val="18"/>
                <w:szCs w:val="18"/>
                <w:lang w:val="en-US"/>
              </w:rPr>
              <w:t>doelmatigheid</w:t>
            </w:r>
            <w:proofErr w:type="spellEnd"/>
          </w:p>
        </w:tc>
        <w:tc>
          <w:tcPr>
            <w:tcW w:w="3832" w:type="pct"/>
            <w:tcBorders>
              <w:top w:val="nil"/>
              <w:left w:val="nil"/>
              <w:bottom w:val="single" w:color="017BC7" w:sz="8" w:space="0"/>
              <w:right w:val="nil"/>
            </w:tcBorders>
            <w:shd w:val="clear" w:color="auto" w:fill="auto"/>
            <w:hideMark/>
          </w:tcPr>
          <w:p w:rsidR="00860F4D" w:rsidP="0082168B" w:rsidRDefault="00271C2F" w14:paraId="6D53B407" w14:textId="7816240E">
            <w:pPr>
              <w:spacing w:before="52"/>
              <w:ind w:left="89"/>
              <w:jc w:val="both"/>
              <w:rPr>
                <w:rFonts w:asciiTheme="minorHAnsi" w:hAnsiTheme="minorHAnsi" w:cstheme="minorHAnsi"/>
                <w:sz w:val="18"/>
                <w:szCs w:val="18"/>
              </w:rPr>
            </w:pPr>
            <w:r w:rsidRPr="004D201D">
              <w:rPr>
                <w:rFonts w:asciiTheme="minorHAnsi" w:hAnsiTheme="minorHAnsi" w:cstheme="minorHAnsi"/>
                <w:sz w:val="18"/>
                <w:szCs w:val="18"/>
              </w:rPr>
              <w:t>Waarom is het voorgestelde instrumentarium een efficiënte manier om de beoogde prestaties en effecten te bereiken?</w:t>
            </w:r>
          </w:p>
          <w:p w:rsidRPr="00271C2F" w:rsidR="0082168B" w:rsidP="0082168B" w:rsidRDefault="0082168B" w14:paraId="275ACE6F" w14:textId="77777777">
            <w:pPr>
              <w:spacing w:before="52"/>
              <w:ind w:left="89"/>
              <w:jc w:val="both"/>
              <w:rPr>
                <w:rFonts w:asciiTheme="minorHAnsi" w:hAnsiTheme="minorHAnsi" w:cstheme="minorHAnsi"/>
                <w:sz w:val="18"/>
                <w:szCs w:val="18"/>
              </w:rPr>
            </w:pPr>
          </w:p>
          <w:p w:rsidR="00E96FA0" w:rsidP="00E96FA0" w:rsidRDefault="00B21D1C" w14:paraId="31B84DBE" w14:textId="77777777">
            <w:pPr>
              <w:spacing w:after="160" w:line="259" w:lineRule="auto"/>
              <w:rPr>
                <w:rFonts w:asciiTheme="minorHAnsi" w:hAnsiTheme="minorHAnsi" w:cstheme="minorHAnsi"/>
                <w:sz w:val="18"/>
                <w:szCs w:val="18"/>
              </w:rPr>
            </w:pPr>
            <w:r w:rsidRPr="00B21D1C">
              <w:rPr>
                <w:rFonts w:asciiTheme="minorHAnsi" w:hAnsiTheme="minorHAnsi" w:cstheme="minorHAnsi"/>
                <w:sz w:val="18"/>
                <w:szCs w:val="18"/>
              </w:rPr>
              <w:t>De trackrecord van zowel de</w:t>
            </w:r>
            <w:r w:rsidRPr="00131B3B">
              <w:rPr>
                <w:rFonts w:asciiTheme="minorHAnsi" w:hAnsiTheme="minorHAnsi" w:cstheme="minorHAnsi"/>
                <w:sz w:val="18"/>
                <w:szCs w:val="18"/>
              </w:rPr>
              <w:t xml:space="preserve"> National Academy of Fine Art and Architecture in Kyiv als de Polytechnical University Lviv z</w:t>
            </w:r>
            <w:r>
              <w:rPr>
                <w:rFonts w:asciiTheme="minorHAnsi" w:hAnsiTheme="minorHAnsi" w:cstheme="minorHAnsi"/>
                <w:sz w:val="18"/>
                <w:szCs w:val="18"/>
              </w:rPr>
              <w:t xml:space="preserve">ijn volgens de ambassade en de  door </w:t>
            </w:r>
            <w:r w:rsidR="00D61A4F">
              <w:rPr>
                <w:rFonts w:asciiTheme="minorHAnsi" w:hAnsiTheme="minorHAnsi" w:cstheme="minorHAnsi"/>
                <w:sz w:val="18"/>
                <w:szCs w:val="18"/>
              </w:rPr>
              <w:t>ons</w:t>
            </w:r>
            <w:r>
              <w:rPr>
                <w:rFonts w:asciiTheme="minorHAnsi" w:hAnsiTheme="minorHAnsi" w:cstheme="minorHAnsi"/>
                <w:sz w:val="18"/>
                <w:szCs w:val="18"/>
              </w:rPr>
              <w:t xml:space="preserve"> met </w:t>
            </w:r>
            <w:proofErr w:type="spellStart"/>
            <w:r>
              <w:rPr>
                <w:rFonts w:asciiTheme="minorHAnsi" w:hAnsiTheme="minorHAnsi" w:cstheme="minorHAnsi"/>
                <w:sz w:val="18"/>
                <w:szCs w:val="18"/>
              </w:rPr>
              <w:t>corefunding</w:t>
            </w:r>
            <w:proofErr w:type="spellEnd"/>
            <w:r>
              <w:rPr>
                <w:rFonts w:asciiTheme="minorHAnsi" w:hAnsiTheme="minorHAnsi" w:cstheme="minorHAnsi"/>
                <w:sz w:val="18"/>
                <w:szCs w:val="18"/>
              </w:rPr>
              <w:t xml:space="preserve"> gesteunde CER (gevestigd in Amsterdam) uitstekend. </w:t>
            </w:r>
            <w:r w:rsidR="00860F4D">
              <w:rPr>
                <w:rFonts w:asciiTheme="minorHAnsi" w:hAnsiTheme="minorHAnsi" w:cstheme="minorHAnsi"/>
                <w:sz w:val="18"/>
                <w:szCs w:val="18"/>
              </w:rPr>
              <w:t xml:space="preserve">De ambassade heeft </w:t>
            </w:r>
            <w:r w:rsidR="00D61A4F">
              <w:rPr>
                <w:rFonts w:asciiTheme="minorHAnsi" w:hAnsiTheme="minorHAnsi" w:cstheme="minorHAnsi"/>
                <w:sz w:val="18"/>
                <w:szCs w:val="18"/>
              </w:rPr>
              <w:t xml:space="preserve">ook op operationeel werkniveau </w:t>
            </w:r>
            <w:r w:rsidR="00860F4D">
              <w:rPr>
                <w:rFonts w:asciiTheme="minorHAnsi" w:hAnsiTheme="minorHAnsi" w:cstheme="minorHAnsi"/>
                <w:sz w:val="18"/>
                <w:szCs w:val="18"/>
              </w:rPr>
              <w:t xml:space="preserve">nauw contact met het project in Lviv </w:t>
            </w:r>
            <w:r w:rsidR="00175C0E">
              <w:rPr>
                <w:rFonts w:asciiTheme="minorHAnsi" w:hAnsiTheme="minorHAnsi" w:cstheme="minorHAnsi"/>
                <w:sz w:val="18"/>
                <w:szCs w:val="18"/>
              </w:rPr>
              <w:t>en in Kyiv</w:t>
            </w:r>
            <w:r w:rsidR="00860F4D">
              <w:rPr>
                <w:rFonts w:asciiTheme="minorHAnsi" w:hAnsiTheme="minorHAnsi" w:cstheme="minorHAnsi"/>
                <w:sz w:val="18"/>
                <w:szCs w:val="18"/>
              </w:rPr>
              <w:t xml:space="preserve">. </w:t>
            </w:r>
            <w:r w:rsidR="00E96FA0">
              <w:rPr>
                <w:rFonts w:asciiTheme="minorHAnsi" w:hAnsiTheme="minorHAnsi" w:cstheme="minorHAnsi"/>
                <w:sz w:val="18"/>
                <w:szCs w:val="18"/>
              </w:rPr>
              <w:t xml:space="preserve">De goede track record van de instituten </w:t>
            </w:r>
            <w:r w:rsidR="00860F4D">
              <w:rPr>
                <w:rFonts w:asciiTheme="minorHAnsi" w:hAnsiTheme="minorHAnsi" w:cstheme="minorHAnsi"/>
                <w:sz w:val="18"/>
                <w:szCs w:val="18"/>
              </w:rPr>
              <w:t xml:space="preserve">wordt bevestigd door </w:t>
            </w:r>
            <w:r w:rsidR="00E96FA0">
              <w:rPr>
                <w:rFonts w:asciiTheme="minorHAnsi" w:hAnsiTheme="minorHAnsi" w:cstheme="minorHAnsi"/>
                <w:sz w:val="18"/>
                <w:szCs w:val="18"/>
              </w:rPr>
              <w:t xml:space="preserve">het hierboven genoemde </w:t>
            </w:r>
            <w:r w:rsidR="00860F4D">
              <w:rPr>
                <w:rFonts w:asciiTheme="minorHAnsi" w:hAnsiTheme="minorHAnsi" w:cstheme="minorHAnsi"/>
                <w:sz w:val="18"/>
                <w:szCs w:val="18"/>
              </w:rPr>
              <w:t>CER</w:t>
            </w:r>
            <w:r w:rsidR="00E96FA0">
              <w:rPr>
                <w:rFonts w:asciiTheme="minorHAnsi" w:hAnsiTheme="minorHAnsi" w:cstheme="minorHAnsi"/>
                <w:sz w:val="18"/>
                <w:szCs w:val="18"/>
              </w:rPr>
              <w:t>.</w:t>
            </w:r>
          </w:p>
          <w:p w:rsidR="00E96FA0" w:rsidP="00E96FA0" w:rsidRDefault="00807221" w14:paraId="01454498" w14:textId="77777777">
            <w:pPr>
              <w:spacing w:after="160" w:line="259" w:lineRule="auto"/>
              <w:rPr>
                <w:rFonts w:asciiTheme="minorHAnsi" w:hAnsiTheme="minorHAnsi" w:cstheme="minorHAnsi"/>
                <w:sz w:val="18"/>
                <w:szCs w:val="18"/>
              </w:rPr>
            </w:pPr>
            <w:r w:rsidRPr="00807221">
              <w:rPr>
                <w:rFonts w:asciiTheme="minorHAnsi" w:hAnsiTheme="minorHAnsi" w:cstheme="minorHAnsi"/>
                <w:sz w:val="18"/>
                <w:szCs w:val="18"/>
              </w:rPr>
              <w:t>Er wordt gewerkt met twee gerenommeerde onderwijsinstellingen die al beschikken over vakinhoudelijke expertise</w:t>
            </w:r>
            <w:r w:rsidR="006A5B20">
              <w:rPr>
                <w:rFonts w:asciiTheme="minorHAnsi" w:hAnsiTheme="minorHAnsi" w:cstheme="minorHAnsi"/>
                <w:sz w:val="18"/>
                <w:szCs w:val="18"/>
              </w:rPr>
              <w:t xml:space="preserve"> en voortbouwen op reeds bestaande activiteiten</w:t>
            </w:r>
            <w:r w:rsidRPr="00807221">
              <w:rPr>
                <w:rFonts w:asciiTheme="minorHAnsi" w:hAnsiTheme="minorHAnsi" w:cstheme="minorHAnsi"/>
                <w:sz w:val="18"/>
                <w:szCs w:val="18"/>
              </w:rPr>
              <w:t>.</w:t>
            </w:r>
            <w:r w:rsidR="008F0E1D">
              <w:rPr>
                <w:rFonts w:asciiTheme="minorHAnsi" w:hAnsiTheme="minorHAnsi" w:cstheme="minorHAnsi"/>
                <w:sz w:val="18"/>
                <w:szCs w:val="18"/>
              </w:rPr>
              <w:t xml:space="preserve"> Dit programma vormt daar een verdieping van in het licht van het conflict.</w:t>
            </w:r>
            <w:r w:rsidRPr="00807221">
              <w:rPr>
                <w:rFonts w:asciiTheme="minorHAnsi" w:hAnsiTheme="minorHAnsi" w:cstheme="minorHAnsi"/>
                <w:sz w:val="18"/>
                <w:szCs w:val="18"/>
              </w:rPr>
              <w:t xml:space="preserve"> Een deel van de professoren zijn bovendien opgeleid in het buitenland en kunnen dus zonder vertraging technologie en methoden overdragen. </w:t>
            </w:r>
            <w:r w:rsidR="006A5B20">
              <w:rPr>
                <w:rFonts w:asciiTheme="minorHAnsi" w:hAnsiTheme="minorHAnsi" w:cstheme="minorHAnsi"/>
                <w:sz w:val="18"/>
                <w:szCs w:val="18"/>
              </w:rPr>
              <w:t xml:space="preserve"> </w:t>
            </w:r>
          </w:p>
          <w:p w:rsidR="00860F4D" w:rsidP="00E96FA0" w:rsidRDefault="00807221" w14:paraId="1CCC8695" w14:textId="19738F18">
            <w:pPr>
              <w:spacing w:after="160" w:line="259" w:lineRule="auto"/>
              <w:rPr>
                <w:rFonts w:asciiTheme="minorHAnsi" w:hAnsiTheme="minorHAnsi" w:cstheme="minorHAnsi"/>
                <w:sz w:val="18"/>
                <w:szCs w:val="18"/>
              </w:rPr>
            </w:pPr>
            <w:r w:rsidRPr="00807221">
              <w:rPr>
                <w:rFonts w:asciiTheme="minorHAnsi" w:hAnsiTheme="minorHAnsi" w:cstheme="minorHAnsi"/>
                <w:sz w:val="18"/>
                <w:szCs w:val="18"/>
              </w:rPr>
              <w:t>Door in te zetten op concrete onderdelen zoals apparatuur, opleidingen en uitwisseling met de EU, wordt de investering doelgericht benut. Dit heeft een versterkende werking: studenten worden direct opgeleid met de juiste middelen, en er wordt samengewerkt aan kennisopbouw en toepassing in de praktijk. Daarnaast wordt door samenwerking tussen universiteiten en internationale partners een duurzame infrastructuur opgezet, die ook na afloop van het project blijft bijdragen aan het behoud van het Oekraïense erfgoed.</w:t>
            </w:r>
          </w:p>
          <w:p w:rsidRPr="004D201D" w:rsidR="00D61A4F" w:rsidP="00131B3B" w:rsidRDefault="00D61A4F" w14:paraId="1B3F2D94" w14:textId="77777777">
            <w:pPr>
              <w:spacing w:before="52"/>
              <w:jc w:val="both"/>
              <w:rPr>
                <w:rFonts w:asciiTheme="minorHAnsi" w:hAnsiTheme="minorHAnsi" w:cstheme="minorHAnsi"/>
                <w:sz w:val="18"/>
                <w:szCs w:val="18"/>
              </w:rPr>
            </w:pPr>
          </w:p>
          <w:p w:rsidRPr="004D201D" w:rsidR="00271C2F" w:rsidP="00271C2F" w:rsidRDefault="00271C2F" w14:paraId="2476BC90" w14:textId="1EE74F0E">
            <w:pPr>
              <w:spacing w:before="52"/>
              <w:ind w:left="89"/>
              <w:jc w:val="both"/>
              <w:rPr>
                <w:rFonts w:asciiTheme="minorHAnsi" w:hAnsiTheme="minorHAnsi" w:cstheme="minorHAnsi"/>
                <w:sz w:val="18"/>
                <w:szCs w:val="18"/>
              </w:rPr>
            </w:pPr>
          </w:p>
        </w:tc>
      </w:tr>
      <w:tr w:rsidRPr="004D201D" w:rsidR="00271C2F" w:rsidTr="00C579A3" w14:paraId="32F345EA" w14:textId="77777777">
        <w:trPr>
          <w:trHeight w:val="354"/>
        </w:trPr>
        <w:tc>
          <w:tcPr>
            <w:tcW w:w="1168" w:type="pct"/>
            <w:tcBorders>
              <w:top w:val="single" w:color="017BC7" w:sz="8" w:space="0"/>
              <w:left w:val="nil"/>
              <w:bottom w:val="single" w:color="017BC7" w:sz="8" w:space="0"/>
              <w:right w:val="nil"/>
            </w:tcBorders>
            <w:shd w:val="clear" w:color="auto" w:fill="D6EFF9"/>
            <w:hideMark/>
          </w:tcPr>
          <w:p w:rsidRPr="004D201D" w:rsidR="00271C2F" w:rsidP="00271C2F" w:rsidRDefault="00271C2F" w14:paraId="1FCEC8C6" w14:textId="55042921">
            <w:pPr>
              <w:pStyle w:val="TableParagraph"/>
              <w:spacing w:before="52" w:line="252" w:lineRule="auto"/>
              <w:ind w:left="89"/>
              <w:jc w:val="both"/>
              <w:rPr>
                <w:rFonts w:asciiTheme="minorHAnsi" w:hAnsiTheme="minorHAnsi" w:cstheme="minorHAnsi"/>
                <w:b/>
                <w:bCs/>
                <w:sz w:val="18"/>
                <w:szCs w:val="18"/>
                <w:lang w:val="en-US"/>
              </w:rPr>
            </w:pPr>
            <w:r w:rsidRPr="004D201D">
              <w:rPr>
                <w:rFonts w:asciiTheme="minorHAnsi" w:hAnsiTheme="minorHAnsi" w:cstheme="minorHAnsi"/>
                <w:b/>
                <w:bCs/>
                <w:sz w:val="18"/>
                <w:szCs w:val="18"/>
                <w:lang w:val="en-US"/>
              </w:rPr>
              <w:t xml:space="preserve">8. </w:t>
            </w:r>
            <w:proofErr w:type="spellStart"/>
            <w:r w:rsidRPr="004D201D">
              <w:rPr>
                <w:rFonts w:asciiTheme="minorHAnsi" w:hAnsiTheme="minorHAnsi" w:cstheme="minorHAnsi"/>
                <w:b/>
                <w:bCs/>
                <w:sz w:val="18"/>
                <w:szCs w:val="18"/>
                <w:lang w:val="en-US"/>
              </w:rPr>
              <w:t>Evaluatieparagraaf</w:t>
            </w:r>
            <w:proofErr w:type="spellEnd"/>
          </w:p>
        </w:tc>
        <w:tc>
          <w:tcPr>
            <w:tcW w:w="3832" w:type="pct"/>
            <w:tcBorders>
              <w:top w:val="single" w:color="017BC7" w:sz="8" w:space="0"/>
              <w:left w:val="nil"/>
              <w:bottom w:val="single" w:color="017BC7" w:sz="8" w:space="0"/>
              <w:right w:val="nil"/>
            </w:tcBorders>
            <w:shd w:val="clear" w:color="auto" w:fill="auto"/>
            <w:hideMark/>
          </w:tcPr>
          <w:p w:rsidR="00271C2F" w:rsidP="00271C2F" w:rsidRDefault="00271C2F" w14:paraId="5CC4CEF9" w14:textId="1FA741F6">
            <w:pPr>
              <w:autoSpaceDE w:val="0"/>
              <w:autoSpaceDN w:val="0"/>
              <w:spacing w:before="52" w:line="252" w:lineRule="auto"/>
              <w:ind w:left="89"/>
              <w:jc w:val="both"/>
              <w:rPr>
                <w:rFonts w:asciiTheme="minorHAnsi" w:hAnsiTheme="minorHAnsi" w:cstheme="minorHAnsi"/>
                <w:sz w:val="18"/>
                <w:szCs w:val="18"/>
              </w:rPr>
            </w:pPr>
            <w:r w:rsidRPr="004D201D">
              <w:rPr>
                <w:rFonts w:asciiTheme="minorHAnsi" w:hAnsiTheme="minorHAnsi" w:cstheme="minorHAnsi"/>
                <w:sz w:val="18"/>
                <w:szCs w:val="18"/>
              </w:rPr>
              <w:t xml:space="preserve">Hoe wordt het voorstel gemonitord en geëvalueerd? </w:t>
            </w:r>
          </w:p>
          <w:p w:rsidRPr="004D201D" w:rsidR="00860F4D" w:rsidP="00271C2F" w:rsidRDefault="00175C0E" w14:paraId="4614B244" w14:textId="18F6DD43">
            <w:pPr>
              <w:autoSpaceDE w:val="0"/>
              <w:autoSpaceDN w:val="0"/>
              <w:spacing w:before="52" w:line="252" w:lineRule="auto"/>
              <w:ind w:left="89"/>
              <w:jc w:val="both"/>
              <w:rPr>
                <w:rFonts w:asciiTheme="minorHAnsi" w:hAnsiTheme="minorHAnsi" w:cstheme="minorHAnsi"/>
                <w:sz w:val="18"/>
                <w:szCs w:val="18"/>
              </w:rPr>
            </w:pPr>
            <w:r>
              <w:rPr>
                <w:rFonts w:asciiTheme="minorHAnsi" w:hAnsiTheme="minorHAnsi" w:cstheme="minorHAnsi"/>
                <w:sz w:val="18"/>
                <w:szCs w:val="18"/>
              </w:rPr>
              <w:t>Via de</w:t>
            </w:r>
            <w:r w:rsidR="00860F4D">
              <w:rPr>
                <w:rFonts w:asciiTheme="minorHAnsi" w:hAnsiTheme="minorHAnsi" w:cstheme="minorHAnsi"/>
                <w:sz w:val="18"/>
                <w:szCs w:val="18"/>
              </w:rPr>
              <w:t xml:space="preserve"> reguliere r</w:t>
            </w:r>
            <w:r w:rsidRPr="00271C2F" w:rsidR="00860F4D">
              <w:rPr>
                <w:rFonts w:asciiTheme="minorHAnsi" w:hAnsiTheme="minorHAnsi" w:cstheme="minorHAnsi"/>
                <w:sz w:val="18"/>
                <w:szCs w:val="18"/>
              </w:rPr>
              <w:t xml:space="preserve">apportageverplichtingen in </w:t>
            </w:r>
            <w:proofErr w:type="spellStart"/>
            <w:r w:rsidRPr="00271C2F" w:rsidR="00860F4D">
              <w:rPr>
                <w:rFonts w:asciiTheme="minorHAnsi" w:hAnsiTheme="minorHAnsi" w:cstheme="minorHAnsi"/>
                <w:sz w:val="18"/>
                <w:szCs w:val="18"/>
              </w:rPr>
              <w:t>committeringsovereenkomsten</w:t>
            </w:r>
            <w:proofErr w:type="spellEnd"/>
            <w:r w:rsidRPr="00271C2F" w:rsidR="00860F4D">
              <w:rPr>
                <w:rFonts w:asciiTheme="minorHAnsi" w:hAnsiTheme="minorHAnsi" w:cstheme="minorHAnsi"/>
                <w:sz w:val="18"/>
                <w:szCs w:val="18"/>
              </w:rPr>
              <w:t xml:space="preserve">, </w:t>
            </w:r>
            <w:r w:rsidR="00860F4D">
              <w:rPr>
                <w:rFonts w:asciiTheme="minorHAnsi" w:hAnsiTheme="minorHAnsi" w:cstheme="minorHAnsi"/>
                <w:sz w:val="18"/>
                <w:szCs w:val="18"/>
              </w:rPr>
              <w:t xml:space="preserve">alsmede </w:t>
            </w:r>
            <w:r w:rsidRPr="00271C2F" w:rsidR="00860F4D">
              <w:rPr>
                <w:rFonts w:asciiTheme="minorHAnsi" w:hAnsiTheme="minorHAnsi" w:cstheme="minorHAnsi"/>
                <w:sz w:val="18"/>
                <w:szCs w:val="18"/>
              </w:rPr>
              <w:t xml:space="preserve">monitoring door </w:t>
            </w:r>
            <w:r w:rsidR="00DF483A">
              <w:rPr>
                <w:rFonts w:asciiTheme="minorHAnsi" w:hAnsiTheme="minorHAnsi" w:cstheme="minorHAnsi"/>
                <w:sz w:val="18"/>
                <w:szCs w:val="18"/>
              </w:rPr>
              <w:t xml:space="preserve">de </w:t>
            </w:r>
            <w:r w:rsidRPr="00271C2F" w:rsidR="00860F4D">
              <w:rPr>
                <w:rFonts w:asciiTheme="minorHAnsi" w:hAnsiTheme="minorHAnsi" w:cstheme="minorHAnsi"/>
                <w:sz w:val="18"/>
                <w:szCs w:val="18"/>
              </w:rPr>
              <w:t>Ambassade Kyiv.</w:t>
            </w:r>
          </w:p>
          <w:p w:rsidRPr="004D201D" w:rsidR="00271C2F" w:rsidP="00271C2F" w:rsidRDefault="00271C2F" w14:paraId="36BD67E9" w14:textId="77777777">
            <w:pPr>
              <w:autoSpaceDE w:val="0"/>
              <w:autoSpaceDN w:val="0"/>
              <w:spacing w:before="52" w:line="252" w:lineRule="auto"/>
              <w:ind w:left="89"/>
              <w:jc w:val="both"/>
              <w:rPr>
                <w:rFonts w:asciiTheme="minorHAnsi" w:hAnsiTheme="minorHAnsi" w:cstheme="minorHAnsi"/>
                <w:sz w:val="18"/>
                <w:szCs w:val="18"/>
              </w:rPr>
            </w:pPr>
          </w:p>
          <w:p w:rsidRPr="004D201D" w:rsidR="00271C2F" w:rsidP="00271C2F" w:rsidRDefault="00271C2F" w14:paraId="4D20B3FA" w14:textId="77777777">
            <w:pPr>
              <w:pStyle w:val="TableParagraph"/>
              <w:spacing w:before="4" w:line="252" w:lineRule="auto"/>
              <w:jc w:val="both"/>
              <w:rPr>
                <w:rFonts w:asciiTheme="minorHAnsi" w:hAnsiTheme="minorHAnsi" w:cstheme="minorHAnsi"/>
                <w:sz w:val="18"/>
                <w:szCs w:val="18"/>
              </w:rPr>
            </w:pPr>
          </w:p>
          <w:p w:rsidRPr="004D201D" w:rsidR="00271C2F" w:rsidP="00271C2F" w:rsidRDefault="00271C2F" w14:paraId="63AE5B59" w14:textId="329F39CE">
            <w:pPr>
              <w:pStyle w:val="TableParagraph"/>
              <w:spacing w:before="4" w:line="252" w:lineRule="auto"/>
              <w:jc w:val="both"/>
              <w:rPr>
                <w:rFonts w:asciiTheme="minorHAnsi" w:hAnsiTheme="minorHAnsi" w:cstheme="minorHAnsi"/>
                <w:sz w:val="18"/>
                <w:szCs w:val="18"/>
              </w:rPr>
            </w:pPr>
          </w:p>
        </w:tc>
      </w:tr>
      <w:tr w:rsidRPr="004D201D" w:rsidR="00271C2F" w:rsidTr="00C579A3" w14:paraId="33E7DC19" w14:textId="77777777">
        <w:trPr>
          <w:trHeight w:val="354"/>
        </w:trPr>
        <w:tc>
          <w:tcPr>
            <w:tcW w:w="1168" w:type="pct"/>
            <w:tcBorders>
              <w:top w:val="single" w:color="017BC7" w:sz="8" w:space="0"/>
              <w:left w:val="nil"/>
              <w:bottom w:val="single" w:color="017BC7" w:sz="8" w:space="0"/>
              <w:right w:val="nil"/>
            </w:tcBorders>
            <w:shd w:val="clear" w:color="auto" w:fill="D6EFF9"/>
          </w:tcPr>
          <w:p w:rsidRPr="004D201D" w:rsidR="00271C2F" w:rsidP="00271C2F" w:rsidRDefault="00271C2F" w14:paraId="19B9C6BF" w14:textId="7E90A3B6">
            <w:pPr>
              <w:pStyle w:val="TableParagraph"/>
              <w:spacing w:before="52" w:line="252" w:lineRule="auto"/>
              <w:ind w:left="89"/>
              <w:jc w:val="both"/>
              <w:rPr>
                <w:rFonts w:asciiTheme="minorHAnsi" w:hAnsiTheme="minorHAnsi" w:cstheme="minorHAnsi"/>
                <w:b/>
                <w:bCs/>
                <w:sz w:val="18"/>
                <w:szCs w:val="18"/>
              </w:rPr>
            </w:pPr>
            <w:r w:rsidRPr="004D201D">
              <w:rPr>
                <w:rFonts w:asciiTheme="minorHAnsi" w:hAnsiTheme="minorHAnsi" w:cstheme="minorHAnsi"/>
                <w:b/>
                <w:bCs/>
                <w:sz w:val="18"/>
                <w:szCs w:val="18"/>
              </w:rPr>
              <w:t xml:space="preserve">9. Risicoparagraaf </w:t>
            </w:r>
          </w:p>
        </w:tc>
        <w:tc>
          <w:tcPr>
            <w:tcW w:w="3832" w:type="pct"/>
            <w:tcBorders>
              <w:top w:val="single" w:color="017BC7" w:sz="8" w:space="0"/>
              <w:left w:val="nil"/>
              <w:bottom w:val="single" w:color="017BC7" w:sz="8" w:space="0"/>
              <w:right w:val="nil"/>
            </w:tcBorders>
            <w:shd w:val="clear" w:color="auto" w:fill="auto"/>
          </w:tcPr>
          <w:p w:rsidRPr="004D201D" w:rsidR="00271C2F" w:rsidP="00271C2F" w:rsidRDefault="00271C2F" w14:paraId="395E5039" w14:textId="77777777">
            <w:pPr>
              <w:autoSpaceDE w:val="0"/>
              <w:autoSpaceDN w:val="0"/>
              <w:spacing w:before="52" w:line="252" w:lineRule="auto"/>
              <w:ind w:left="89"/>
              <w:jc w:val="both"/>
              <w:rPr>
                <w:rFonts w:asciiTheme="minorHAnsi" w:hAnsiTheme="minorHAnsi" w:cstheme="minorHAnsi"/>
                <w:sz w:val="18"/>
                <w:szCs w:val="18"/>
              </w:rPr>
            </w:pPr>
            <w:r w:rsidRPr="004D201D">
              <w:rPr>
                <w:rFonts w:asciiTheme="minorHAnsi" w:hAnsiTheme="minorHAnsi" w:cstheme="minorHAnsi"/>
                <w:sz w:val="18"/>
                <w:szCs w:val="18"/>
              </w:rPr>
              <w:t xml:space="preserve">Hoe worden anti-fraude en anti-corruptie risico’s gemitigeerd? </w:t>
            </w:r>
          </w:p>
          <w:p w:rsidR="00271C2F" w:rsidP="00271C2F" w:rsidRDefault="00860F4D" w14:paraId="00625962" w14:textId="51049228">
            <w:pPr>
              <w:autoSpaceDE w:val="0"/>
              <w:autoSpaceDN w:val="0"/>
              <w:spacing w:before="52" w:line="252" w:lineRule="auto"/>
              <w:ind w:left="89"/>
              <w:jc w:val="both"/>
              <w:rPr>
                <w:rFonts w:asciiTheme="minorHAnsi" w:hAnsiTheme="minorHAnsi" w:cstheme="minorHAnsi"/>
                <w:sz w:val="18"/>
                <w:szCs w:val="18"/>
              </w:rPr>
            </w:pPr>
            <w:r>
              <w:rPr>
                <w:rFonts w:asciiTheme="minorHAnsi" w:hAnsiTheme="minorHAnsi" w:cstheme="minorHAnsi"/>
                <w:sz w:val="18"/>
                <w:szCs w:val="18"/>
              </w:rPr>
              <w:t xml:space="preserve"> Vanuit ambassade zal directe monitoring plaatsvinden</w:t>
            </w:r>
            <w:r w:rsidR="00BD6980">
              <w:rPr>
                <w:rFonts w:asciiTheme="minorHAnsi" w:hAnsiTheme="minorHAnsi" w:cstheme="minorHAnsi"/>
                <w:sz w:val="18"/>
                <w:szCs w:val="18"/>
              </w:rPr>
              <w:t xml:space="preserve"> via regelmatige bezoeken aan de uitvoerende organisaties en door controle van de rapportageverplichtingen</w:t>
            </w:r>
            <w:r w:rsidR="00DF483A">
              <w:rPr>
                <w:rFonts w:asciiTheme="minorHAnsi" w:hAnsiTheme="minorHAnsi" w:cstheme="minorHAnsi"/>
                <w:sz w:val="18"/>
                <w:szCs w:val="18"/>
              </w:rPr>
              <w:t>.</w:t>
            </w:r>
            <w:r w:rsidR="00BD6980">
              <w:rPr>
                <w:rFonts w:asciiTheme="minorHAnsi" w:hAnsiTheme="minorHAnsi" w:cstheme="minorHAnsi"/>
                <w:sz w:val="18"/>
                <w:szCs w:val="18"/>
              </w:rPr>
              <w:t xml:space="preserve"> </w:t>
            </w:r>
            <w:r w:rsidR="00D61A4F">
              <w:rPr>
                <w:rFonts w:asciiTheme="minorHAnsi" w:hAnsiTheme="minorHAnsi" w:cstheme="minorHAnsi"/>
                <w:sz w:val="18"/>
                <w:szCs w:val="18"/>
              </w:rPr>
              <w:t>Tevens</w:t>
            </w:r>
            <w:r w:rsidR="00BD6980">
              <w:rPr>
                <w:rFonts w:asciiTheme="minorHAnsi" w:hAnsiTheme="minorHAnsi" w:cstheme="minorHAnsi"/>
                <w:sz w:val="18"/>
                <w:szCs w:val="18"/>
              </w:rPr>
              <w:t xml:space="preserve"> zullen jaarlijkse audits plaatsvinden.</w:t>
            </w:r>
          </w:p>
          <w:p w:rsidRPr="004D201D" w:rsidR="00BE24C7" w:rsidP="00271C2F" w:rsidRDefault="00BE24C7" w14:paraId="17741462" w14:textId="77777777">
            <w:pPr>
              <w:autoSpaceDE w:val="0"/>
              <w:autoSpaceDN w:val="0"/>
              <w:spacing w:before="52" w:line="252" w:lineRule="auto"/>
              <w:ind w:left="89"/>
              <w:jc w:val="both"/>
              <w:rPr>
                <w:rFonts w:asciiTheme="minorHAnsi" w:hAnsiTheme="minorHAnsi" w:cstheme="minorHAnsi"/>
                <w:sz w:val="18"/>
                <w:szCs w:val="18"/>
              </w:rPr>
            </w:pPr>
          </w:p>
          <w:p w:rsidRPr="004D201D" w:rsidR="00271C2F" w:rsidP="00271C2F" w:rsidRDefault="00271C2F" w14:paraId="070A5EEA" w14:textId="58853EE8">
            <w:pPr>
              <w:autoSpaceDE w:val="0"/>
              <w:autoSpaceDN w:val="0"/>
              <w:spacing w:before="52" w:line="252" w:lineRule="auto"/>
              <w:ind w:left="89"/>
              <w:jc w:val="both"/>
              <w:rPr>
                <w:rFonts w:asciiTheme="minorHAnsi" w:hAnsiTheme="minorHAnsi" w:cstheme="minorHAnsi"/>
                <w:sz w:val="18"/>
                <w:szCs w:val="18"/>
              </w:rPr>
            </w:pPr>
          </w:p>
        </w:tc>
      </w:tr>
      <w:tr w:rsidRPr="004D201D" w:rsidR="00271C2F" w:rsidTr="00C579A3" w14:paraId="41764A63" w14:textId="77777777">
        <w:trPr>
          <w:trHeight w:val="354"/>
        </w:trPr>
        <w:tc>
          <w:tcPr>
            <w:tcW w:w="1168" w:type="pct"/>
            <w:tcBorders>
              <w:top w:val="single" w:color="017BC7" w:sz="8" w:space="0"/>
              <w:left w:val="nil"/>
              <w:bottom w:val="single" w:color="017BC7" w:sz="8" w:space="0"/>
              <w:right w:val="nil"/>
            </w:tcBorders>
            <w:shd w:val="clear" w:color="auto" w:fill="D6EFF9"/>
          </w:tcPr>
          <w:p w:rsidRPr="004D201D" w:rsidR="00271C2F" w:rsidP="00271C2F" w:rsidRDefault="00271C2F" w14:paraId="042D833B" w14:textId="60C75143">
            <w:pPr>
              <w:pStyle w:val="TableParagraph"/>
              <w:spacing w:before="52" w:line="252" w:lineRule="auto"/>
              <w:ind w:left="89"/>
              <w:jc w:val="both"/>
              <w:rPr>
                <w:rFonts w:asciiTheme="minorHAnsi" w:hAnsiTheme="minorHAnsi" w:cstheme="minorHAnsi"/>
                <w:b/>
                <w:bCs/>
                <w:sz w:val="18"/>
                <w:szCs w:val="18"/>
              </w:rPr>
            </w:pPr>
            <w:r w:rsidRPr="004D201D">
              <w:rPr>
                <w:rFonts w:asciiTheme="minorHAnsi" w:hAnsiTheme="minorHAnsi" w:cstheme="minorHAnsi"/>
                <w:b/>
                <w:bCs/>
                <w:sz w:val="18"/>
                <w:szCs w:val="18"/>
              </w:rPr>
              <w:t>10. Publiekscommunicatie</w:t>
            </w:r>
          </w:p>
        </w:tc>
        <w:tc>
          <w:tcPr>
            <w:tcW w:w="3832" w:type="pct"/>
            <w:tcBorders>
              <w:top w:val="single" w:color="017BC7" w:sz="8" w:space="0"/>
              <w:left w:val="nil"/>
              <w:bottom w:val="single" w:color="017BC7" w:sz="8" w:space="0"/>
              <w:right w:val="nil"/>
            </w:tcBorders>
            <w:shd w:val="clear" w:color="auto" w:fill="auto"/>
          </w:tcPr>
          <w:p w:rsidRPr="004D201D" w:rsidR="00271C2F" w:rsidP="00271C2F" w:rsidRDefault="00271C2F" w14:paraId="20B5345F" w14:textId="09624176">
            <w:pPr>
              <w:autoSpaceDE w:val="0"/>
              <w:autoSpaceDN w:val="0"/>
              <w:spacing w:before="52" w:line="252" w:lineRule="auto"/>
              <w:ind w:left="89"/>
              <w:jc w:val="both"/>
              <w:rPr>
                <w:rFonts w:asciiTheme="minorHAnsi" w:hAnsiTheme="minorHAnsi" w:cstheme="minorHAnsi"/>
                <w:sz w:val="18"/>
                <w:szCs w:val="18"/>
              </w:rPr>
            </w:pPr>
            <w:r w:rsidRPr="004D201D">
              <w:rPr>
                <w:rFonts w:asciiTheme="minorHAnsi" w:hAnsiTheme="minorHAnsi" w:cstheme="minorHAnsi"/>
                <w:sz w:val="18"/>
                <w:szCs w:val="18"/>
              </w:rPr>
              <w:t xml:space="preserve">Hoe kan het voorstel gebruikt worden in de bredere publiekscommunicatie rondom de steun aan Oekraïne zowel in Nederland, Oekraïne en internationaal? </w:t>
            </w:r>
          </w:p>
          <w:p w:rsidRPr="004D201D" w:rsidR="00271C2F" w:rsidP="00271C2F" w:rsidRDefault="00271C2F" w14:paraId="31589FD0" w14:textId="77777777">
            <w:pPr>
              <w:autoSpaceDE w:val="0"/>
              <w:autoSpaceDN w:val="0"/>
              <w:spacing w:before="52" w:line="252" w:lineRule="auto"/>
              <w:ind w:left="89"/>
              <w:jc w:val="both"/>
              <w:rPr>
                <w:rFonts w:asciiTheme="minorHAnsi" w:hAnsiTheme="minorHAnsi" w:cstheme="minorHAnsi"/>
                <w:sz w:val="18"/>
                <w:szCs w:val="18"/>
              </w:rPr>
            </w:pPr>
          </w:p>
          <w:p w:rsidR="00271C2F" w:rsidP="00271C2F" w:rsidRDefault="00860F4D" w14:paraId="0D7D2DD4" w14:textId="04231127">
            <w:pPr>
              <w:autoSpaceDE w:val="0"/>
              <w:autoSpaceDN w:val="0"/>
              <w:spacing w:before="52" w:line="252" w:lineRule="auto"/>
              <w:ind w:left="89"/>
              <w:jc w:val="both"/>
              <w:rPr>
                <w:rFonts w:asciiTheme="minorHAnsi" w:hAnsiTheme="minorHAnsi" w:cstheme="minorHAnsi"/>
                <w:sz w:val="18"/>
                <w:szCs w:val="18"/>
              </w:rPr>
            </w:pPr>
            <w:r>
              <w:rPr>
                <w:rFonts w:asciiTheme="minorHAnsi" w:hAnsiTheme="minorHAnsi" w:cstheme="minorHAnsi"/>
                <w:sz w:val="18"/>
                <w:szCs w:val="18"/>
              </w:rPr>
              <w:t>Via communicatie vanuit ambassade Kyiv en COM</w:t>
            </w:r>
            <w:r w:rsidR="00DF483A">
              <w:rPr>
                <w:rFonts w:asciiTheme="minorHAnsi" w:hAnsiTheme="minorHAnsi" w:cstheme="minorHAnsi"/>
                <w:sz w:val="18"/>
                <w:szCs w:val="18"/>
              </w:rPr>
              <w:t xml:space="preserve">. COM produceert op regelmatige basis producten (artikelen, video’s) over de Nederlandse steun aan Oekraïne waarbij zij oog hebben voor human interest en het culturele aspect van de oorlog. </w:t>
            </w:r>
            <w:r w:rsidR="009C1F76">
              <w:rPr>
                <w:rFonts w:asciiTheme="minorHAnsi" w:hAnsiTheme="minorHAnsi" w:cstheme="minorHAnsi"/>
                <w:sz w:val="18"/>
                <w:szCs w:val="18"/>
              </w:rPr>
              <w:t>De</w:t>
            </w:r>
            <w:r w:rsidR="00DF483A">
              <w:rPr>
                <w:rFonts w:asciiTheme="minorHAnsi" w:hAnsiTheme="minorHAnsi" w:cstheme="minorHAnsi"/>
                <w:sz w:val="18"/>
                <w:szCs w:val="18"/>
              </w:rPr>
              <w:t xml:space="preserve"> gemoderniseerde laboratori</w:t>
            </w:r>
            <w:r w:rsidR="009C1F76">
              <w:rPr>
                <w:rFonts w:asciiTheme="minorHAnsi" w:hAnsiTheme="minorHAnsi" w:cstheme="minorHAnsi"/>
                <w:sz w:val="18"/>
                <w:szCs w:val="18"/>
              </w:rPr>
              <w:t>a</w:t>
            </w:r>
            <w:r w:rsidR="00DF483A">
              <w:rPr>
                <w:rFonts w:asciiTheme="minorHAnsi" w:hAnsiTheme="minorHAnsi" w:cstheme="minorHAnsi"/>
                <w:sz w:val="18"/>
                <w:szCs w:val="18"/>
              </w:rPr>
              <w:t xml:space="preserve"> van de </w:t>
            </w:r>
            <w:r w:rsidR="009C1F76">
              <w:rPr>
                <w:rFonts w:asciiTheme="minorHAnsi" w:hAnsiTheme="minorHAnsi" w:cstheme="minorHAnsi"/>
                <w:sz w:val="18"/>
                <w:szCs w:val="18"/>
              </w:rPr>
              <w:t xml:space="preserve">beide </w:t>
            </w:r>
            <w:r w:rsidR="00DF483A">
              <w:rPr>
                <w:rFonts w:asciiTheme="minorHAnsi" w:hAnsiTheme="minorHAnsi" w:cstheme="minorHAnsi"/>
                <w:sz w:val="18"/>
                <w:szCs w:val="18"/>
              </w:rPr>
              <w:t>universiteit</w:t>
            </w:r>
            <w:r w:rsidR="00175C0E">
              <w:rPr>
                <w:rFonts w:asciiTheme="minorHAnsi" w:hAnsiTheme="minorHAnsi" w:cstheme="minorHAnsi"/>
                <w:sz w:val="18"/>
                <w:szCs w:val="18"/>
              </w:rPr>
              <w:t>en</w:t>
            </w:r>
            <w:r w:rsidR="00DF483A">
              <w:rPr>
                <w:rFonts w:asciiTheme="minorHAnsi" w:hAnsiTheme="minorHAnsi" w:cstheme="minorHAnsi"/>
                <w:sz w:val="18"/>
                <w:szCs w:val="18"/>
              </w:rPr>
              <w:t xml:space="preserve"> </w:t>
            </w:r>
            <w:r w:rsidR="00175C0E">
              <w:rPr>
                <w:rFonts w:asciiTheme="minorHAnsi" w:hAnsiTheme="minorHAnsi" w:cstheme="minorHAnsi"/>
                <w:sz w:val="18"/>
                <w:szCs w:val="18"/>
              </w:rPr>
              <w:t xml:space="preserve">kunnen </w:t>
            </w:r>
            <w:r w:rsidR="00DF483A">
              <w:rPr>
                <w:rFonts w:asciiTheme="minorHAnsi" w:hAnsiTheme="minorHAnsi" w:cstheme="minorHAnsi"/>
                <w:sz w:val="18"/>
                <w:szCs w:val="18"/>
              </w:rPr>
              <w:t xml:space="preserve">in deze producties worden gebruikt. Daarnaast zal de ambassade haar social mediakanalen gebruiken om de resultaten te delen. </w:t>
            </w:r>
          </w:p>
          <w:p w:rsidRPr="004D201D" w:rsidR="00860F4D" w:rsidP="00271C2F" w:rsidRDefault="00860F4D" w14:paraId="61101804" w14:textId="3ECFE60E">
            <w:pPr>
              <w:autoSpaceDE w:val="0"/>
              <w:autoSpaceDN w:val="0"/>
              <w:spacing w:before="52" w:line="252" w:lineRule="auto"/>
              <w:ind w:left="89"/>
              <w:jc w:val="both"/>
              <w:rPr>
                <w:rFonts w:asciiTheme="minorHAnsi" w:hAnsiTheme="minorHAnsi" w:cstheme="minorHAnsi"/>
                <w:sz w:val="18"/>
                <w:szCs w:val="18"/>
              </w:rPr>
            </w:pPr>
          </w:p>
        </w:tc>
      </w:tr>
      <w:tr w:rsidRPr="004D201D" w:rsidR="00271C2F" w:rsidTr="00C579A3" w14:paraId="2A2C5F01" w14:textId="77777777">
        <w:trPr>
          <w:trHeight w:val="354"/>
        </w:trPr>
        <w:tc>
          <w:tcPr>
            <w:tcW w:w="1168" w:type="pct"/>
            <w:tcBorders>
              <w:top w:val="single" w:color="017BC7" w:sz="8" w:space="0"/>
              <w:left w:val="nil"/>
              <w:bottom w:val="single" w:color="017BC7" w:sz="8" w:space="0"/>
              <w:right w:val="nil"/>
            </w:tcBorders>
            <w:shd w:val="clear" w:color="auto" w:fill="D6EFF9"/>
          </w:tcPr>
          <w:p w:rsidRPr="004D201D" w:rsidR="00271C2F" w:rsidP="00271C2F" w:rsidRDefault="00271C2F" w14:paraId="4321CE6E" w14:textId="6B6BCEF1">
            <w:pPr>
              <w:pStyle w:val="TableParagraph"/>
              <w:spacing w:before="52" w:line="252" w:lineRule="auto"/>
              <w:ind w:left="89"/>
              <w:jc w:val="both"/>
              <w:rPr>
                <w:rFonts w:asciiTheme="minorHAnsi" w:hAnsiTheme="minorHAnsi" w:cstheme="minorHAnsi"/>
                <w:b/>
                <w:bCs/>
                <w:sz w:val="18"/>
                <w:szCs w:val="18"/>
              </w:rPr>
            </w:pPr>
            <w:r w:rsidRPr="004D201D">
              <w:rPr>
                <w:rFonts w:asciiTheme="minorHAnsi" w:hAnsiTheme="minorHAnsi" w:cstheme="minorHAnsi"/>
                <w:b/>
                <w:bCs/>
                <w:sz w:val="18"/>
                <w:szCs w:val="18"/>
              </w:rPr>
              <w:t xml:space="preserve">Indien relevant: </w:t>
            </w:r>
          </w:p>
        </w:tc>
        <w:tc>
          <w:tcPr>
            <w:tcW w:w="3832" w:type="pct"/>
            <w:tcBorders>
              <w:top w:val="single" w:color="017BC7" w:sz="8" w:space="0"/>
              <w:left w:val="nil"/>
              <w:bottom w:val="single" w:color="017BC7" w:sz="8" w:space="0"/>
              <w:right w:val="nil"/>
            </w:tcBorders>
            <w:shd w:val="clear" w:color="auto" w:fill="auto"/>
          </w:tcPr>
          <w:p w:rsidRPr="004D201D" w:rsidR="00271C2F" w:rsidP="00271C2F" w:rsidRDefault="00271C2F" w14:paraId="02F91F24" w14:textId="77777777">
            <w:pPr>
              <w:autoSpaceDE w:val="0"/>
              <w:autoSpaceDN w:val="0"/>
              <w:spacing w:before="52" w:line="252" w:lineRule="auto"/>
              <w:ind w:left="89"/>
              <w:jc w:val="both"/>
              <w:rPr>
                <w:rFonts w:asciiTheme="minorHAnsi" w:hAnsiTheme="minorHAnsi" w:cstheme="minorHAnsi"/>
                <w:sz w:val="18"/>
                <w:szCs w:val="18"/>
              </w:rPr>
            </w:pPr>
          </w:p>
        </w:tc>
      </w:tr>
      <w:tr w:rsidRPr="004D201D" w:rsidR="00271C2F" w:rsidTr="00C579A3" w14:paraId="154DAAB1" w14:textId="77777777">
        <w:trPr>
          <w:trHeight w:val="354"/>
        </w:trPr>
        <w:tc>
          <w:tcPr>
            <w:tcW w:w="1168" w:type="pct"/>
            <w:tcBorders>
              <w:top w:val="single" w:color="017BC7" w:sz="8" w:space="0"/>
              <w:left w:val="nil"/>
              <w:bottom w:val="single" w:color="017BC7" w:sz="8" w:space="0"/>
              <w:right w:val="nil"/>
            </w:tcBorders>
            <w:shd w:val="clear" w:color="auto" w:fill="D6EFF9"/>
          </w:tcPr>
          <w:p w:rsidRPr="004D201D" w:rsidR="00271C2F" w:rsidP="00271C2F" w:rsidRDefault="00271C2F" w14:paraId="7AD5B036" w14:textId="607138EE">
            <w:pPr>
              <w:pStyle w:val="TableParagraph"/>
              <w:spacing w:before="52" w:line="252" w:lineRule="auto"/>
              <w:ind w:left="89"/>
              <w:jc w:val="both"/>
              <w:rPr>
                <w:rFonts w:asciiTheme="minorHAnsi" w:hAnsiTheme="minorHAnsi" w:cstheme="minorHAnsi"/>
                <w:b/>
                <w:bCs/>
                <w:sz w:val="18"/>
                <w:szCs w:val="18"/>
              </w:rPr>
            </w:pPr>
            <w:r w:rsidRPr="004D201D">
              <w:rPr>
                <w:rFonts w:asciiTheme="minorHAnsi" w:hAnsiTheme="minorHAnsi" w:cstheme="minorHAnsi"/>
                <w:b/>
                <w:bCs/>
                <w:sz w:val="18"/>
                <w:szCs w:val="18"/>
              </w:rPr>
              <w:t xml:space="preserve">11. Rol participatie private sector </w:t>
            </w:r>
          </w:p>
        </w:tc>
        <w:tc>
          <w:tcPr>
            <w:tcW w:w="3832" w:type="pct"/>
            <w:tcBorders>
              <w:top w:val="single" w:color="017BC7" w:sz="8" w:space="0"/>
              <w:left w:val="nil"/>
              <w:bottom w:val="single" w:color="017BC7" w:sz="8" w:space="0"/>
              <w:right w:val="nil"/>
            </w:tcBorders>
            <w:shd w:val="clear" w:color="auto" w:fill="auto"/>
          </w:tcPr>
          <w:p w:rsidRPr="004D201D" w:rsidR="00271C2F" w:rsidP="00271C2F" w:rsidRDefault="00271C2F" w14:paraId="2D4923F5" w14:textId="77777777">
            <w:pPr>
              <w:autoSpaceDE w:val="0"/>
              <w:autoSpaceDN w:val="0"/>
              <w:spacing w:before="52" w:line="252" w:lineRule="auto"/>
              <w:ind w:left="89"/>
              <w:jc w:val="both"/>
              <w:rPr>
                <w:rFonts w:asciiTheme="minorHAnsi" w:hAnsiTheme="minorHAnsi" w:cstheme="minorHAnsi"/>
                <w:sz w:val="18"/>
                <w:szCs w:val="18"/>
              </w:rPr>
            </w:pPr>
            <w:r w:rsidRPr="004D201D">
              <w:rPr>
                <w:rFonts w:asciiTheme="minorHAnsi" w:hAnsiTheme="minorHAnsi" w:cstheme="minorHAnsi"/>
                <w:sz w:val="18"/>
                <w:szCs w:val="18"/>
              </w:rPr>
              <w:t xml:space="preserve">Wat zijn de mogelijkheden om de Nederlandse (private) partners te betrekken bij het voorstel? </w:t>
            </w:r>
          </w:p>
          <w:p w:rsidRPr="004D201D" w:rsidR="00271C2F" w:rsidP="00271C2F" w:rsidRDefault="006613FE" w14:paraId="778B3632" w14:textId="1B6791E1">
            <w:pPr>
              <w:autoSpaceDE w:val="0"/>
              <w:autoSpaceDN w:val="0"/>
              <w:spacing w:before="52" w:line="252" w:lineRule="auto"/>
              <w:ind w:left="89"/>
              <w:jc w:val="both"/>
              <w:rPr>
                <w:rFonts w:asciiTheme="minorHAnsi" w:hAnsiTheme="minorHAnsi" w:cstheme="minorHAnsi"/>
                <w:sz w:val="18"/>
                <w:szCs w:val="18"/>
              </w:rPr>
            </w:pPr>
            <w:r>
              <w:rPr>
                <w:rFonts w:asciiTheme="minorHAnsi" w:hAnsiTheme="minorHAnsi" w:cstheme="minorHAnsi"/>
                <w:sz w:val="18"/>
                <w:szCs w:val="18"/>
              </w:rPr>
              <w:t xml:space="preserve">Er zijn mogelijkheden aanwezig om Nederlandse </w:t>
            </w:r>
            <w:r w:rsidR="008B0CDA">
              <w:rPr>
                <w:rFonts w:asciiTheme="minorHAnsi" w:hAnsiTheme="minorHAnsi" w:cstheme="minorHAnsi"/>
                <w:sz w:val="18"/>
                <w:szCs w:val="18"/>
              </w:rPr>
              <w:t xml:space="preserve">uitvoeringsorganisaties, </w:t>
            </w:r>
            <w:proofErr w:type="spellStart"/>
            <w:r w:rsidR="008B0CDA">
              <w:rPr>
                <w:rFonts w:asciiTheme="minorHAnsi" w:hAnsiTheme="minorHAnsi" w:cstheme="minorHAnsi"/>
                <w:sz w:val="18"/>
                <w:szCs w:val="18"/>
              </w:rPr>
              <w:t>urban</w:t>
            </w:r>
            <w:proofErr w:type="spellEnd"/>
            <w:r w:rsidR="008B0CDA">
              <w:rPr>
                <w:rFonts w:asciiTheme="minorHAnsi" w:hAnsiTheme="minorHAnsi" w:cstheme="minorHAnsi"/>
                <w:sz w:val="18"/>
                <w:szCs w:val="18"/>
              </w:rPr>
              <w:t xml:space="preserve"> planning -, erfgoed- en </w:t>
            </w:r>
            <w:r>
              <w:rPr>
                <w:rFonts w:asciiTheme="minorHAnsi" w:hAnsiTheme="minorHAnsi" w:cstheme="minorHAnsi"/>
                <w:sz w:val="18"/>
                <w:szCs w:val="18"/>
              </w:rPr>
              <w:t xml:space="preserve">architectenbureaus </w:t>
            </w:r>
            <w:r w:rsidR="008B0CDA">
              <w:rPr>
                <w:rFonts w:asciiTheme="minorHAnsi" w:hAnsiTheme="minorHAnsi" w:cstheme="minorHAnsi"/>
                <w:sz w:val="18"/>
                <w:szCs w:val="18"/>
              </w:rPr>
              <w:t>te betrekken bij het UHF.</w:t>
            </w:r>
          </w:p>
          <w:p w:rsidRPr="004D201D" w:rsidR="00271C2F" w:rsidP="00271C2F" w:rsidRDefault="00271C2F" w14:paraId="72D5F610" w14:textId="482E455D">
            <w:pPr>
              <w:autoSpaceDE w:val="0"/>
              <w:autoSpaceDN w:val="0"/>
              <w:spacing w:before="52" w:line="252" w:lineRule="auto"/>
              <w:ind w:left="89"/>
              <w:jc w:val="both"/>
              <w:rPr>
                <w:rFonts w:asciiTheme="minorHAnsi" w:hAnsiTheme="minorHAnsi" w:cstheme="minorHAnsi"/>
                <w:sz w:val="18"/>
                <w:szCs w:val="18"/>
              </w:rPr>
            </w:pPr>
            <w:r w:rsidRPr="004D201D">
              <w:rPr>
                <w:rFonts w:asciiTheme="minorHAnsi" w:hAnsiTheme="minorHAnsi" w:cstheme="minorHAnsi"/>
                <w:sz w:val="18"/>
                <w:szCs w:val="18"/>
              </w:rPr>
              <w:t xml:space="preserve">. </w:t>
            </w:r>
          </w:p>
        </w:tc>
      </w:tr>
      <w:tr w:rsidRPr="004D201D" w:rsidR="00271C2F" w:rsidTr="00C579A3" w14:paraId="15D584FB" w14:textId="77777777">
        <w:trPr>
          <w:trHeight w:val="354"/>
        </w:trPr>
        <w:tc>
          <w:tcPr>
            <w:tcW w:w="1168" w:type="pct"/>
            <w:tcBorders>
              <w:top w:val="single" w:color="017BC7" w:sz="8" w:space="0"/>
              <w:left w:val="nil"/>
              <w:bottom w:val="single" w:color="017BC7" w:sz="8" w:space="0"/>
              <w:right w:val="nil"/>
            </w:tcBorders>
            <w:shd w:val="clear" w:color="auto" w:fill="D6EFF9"/>
          </w:tcPr>
          <w:p w:rsidRPr="004D201D" w:rsidR="00271C2F" w:rsidP="00271C2F" w:rsidRDefault="00271C2F" w14:paraId="37F0C174" w14:textId="4ADD15FC">
            <w:pPr>
              <w:pStyle w:val="TableParagraph"/>
              <w:spacing w:before="52" w:line="252" w:lineRule="auto"/>
              <w:ind w:left="89"/>
              <w:jc w:val="both"/>
              <w:rPr>
                <w:rFonts w:asciiTheme="minorHAnsi" w:hAnsiTheme="minorHAnsi" w:cstheme="minorHAnsi"/>
                <w:b/>
                <w:bCs/>
                <w:sz w:val="18"/>
                <w:szCs w:val="18"/>
              </w:rPr>
            </w:pPr>
            <w:r w:rsidRPr="004D201D">
              <w:rPr>
                <w:rFonts w:asciiTheme="minorHAnsi" w:hAnsiTheme="minorHAnsi" w:cstheme="minorHAnsi"/>
                <w:b/>
                <w:bCs/>
                <w:sz w:val="18"/>
                <w:szCs w:val="18"/>
              </w:rPr>
              <w:t>12. Mogelijke rol terugkeer ontheemden</w:t>
            </w:r>
          </w:p>
          <w:p w:rsidRPr="004D201D" w:rsidR="00271C2F" w:rsidP="00271C2F" w:rsidRDefault="00271C2F" w14:paraId="52C24DAC" w14:textId="031D6FC4">
            <w:pPr>
              <w:pStyle w:val="TableParagraph"/>
              <w:spacing w:before="52" w:line="252" w:lineRule="auto"/>
              <w:ind w:left="89"/>
              <w:jc w:val="both"/>
              <w:rPr>
                <w:rFonts w:asciiTheme="minorHAnsi" w:hAnsiTheme="minorHAnsi" w:cstheme="minorHAnsi"/>
                <w:b/>
                <w:bCs/>
                <w:sz w:val="18"/>
                <w:szCs w:val="18"/>
              </w:rPr>
            </w:pPr>
          </w:p>
        </w:tc>
        <w:tc>
          <w:tcPr>
            <w:tcW w:w="3832" w:type="pct"/>
            <w:tcBorders>
              <w:top w:val="single" w:color="017BC7" w:sz="8" w:space="0"/>
              <w:left w:val="nil"/>
              <w:bottom w:val="single" w:color="017BC7" w:sz="8" w:space="0"/>
              <w:right w:val="nil"/>
            </w:tcBorders>
            <w:shd w:val="clear" w:color="auto" w:fill="auto"/>
          </w:tcPr>
          <w:p w:rsidRPr="004D201D" w:rsidR="00271C2F" w:rsidP="00271C2F" w:rsidRDefault="00271C2F" w14:paraId="0F85376F" w14:textId="68B926AD">
            <w:pPr>
              <w:autoSpaceDE w:val="0"/>
              <w:autoSpaceDN w:val="0"/>
              <w:spacing w:before="52" w:line="252" w:lineRule="auto"/>
              <w:ind w:left="89"/>
              <w:jc w:val="both"/>
              <w:rPr>
                <w:rFonts w:asciiTheme="minorHAnsi" w:hAnsiTheme="minorHAnsi" w:cstheme="minorHAnsi"/>
                <w:sz w:val="18"/>
                <w:szCs w:val="18"/>
              </w:rPr>
            </w:pPr>
            <w:r w:rsidRPr="004D201D">
              <w:rPr>
                <w:rFonts w:asciiTheme="minorHAnsi" w:hAnsiTheme="minorHAnsi" w:cstheme="minorHAnsi"/>
                <w:sz w:val="18"/>
                <w:szCs w:val="18"/>
              </w:rPr>
              <w:t>Draagt het voorstel bij aan het voorbereiden van Oekraïense vluchtelingen om bij te kunnen dragen aan de herstelopgave bij terugkeer?</w:t>
            </w:r>
            <w:r w:rsidR="00860F4D">
              <w:rPr>
                <w:rFonts w:asciiTheme="minorHAnsi" w:hAnsiTheme="minorHAnsi" w:cstheme="minorHAnsi"/>
                <w:sz w:val="18"/>
                <w:szCs w:val="18"/>
              </w:rPr>
              <w:t xml:space="preserve"> Zeker mogelijk door participatie.</w:t>
            </w:r>
          </w:p>
          <w:p w:rsidRPr="004D201D" w:rsidR="00271C2F" w:rsidP="00271C2F" w:rsidRDefault="00271C2F" w14:paraId="00A521F7" w14:textId="77777777">
            <w:pPr>
              <w:autoSpaceDE w:val="0"/>
              <w:autoSpaceDN w:val="0"/>
              <w:spacing w:before="52" w:line="252" w:lineRule="auto"/>
              <w:ind w:left="89"/>
              <w:jc w:val="both"/>
              <w:rPr>
                <w:rFonts w:asciiTheme="minorHAnsi" w:hAnsiTheme="minorHAnsi" w:cstheme="minorHAnsi"/>
                <w:sz w:val="18"/>
                <w:szCs w:val="18"/>
              </w:rPr>
            </w:pPr>
          </w:p>
          <w:p w:rsidRPr="004D201D" w:rsidR="00271C2F" w:rsidP="00271C2F" w:rsidRDefault="00271C2F" w14:paraId="032AA3AB" w14:textId="3227E20B">
            <w:pPr>
              <w:autoSpaceDE w:val="0"/>
              <w:autoSpaceDN w:val="0"/>
              <w:spacing w:before="52" w:line="252" w:lineRule="auto"/>
              <w:ind w:left="89"/>
              <w:jc w:val="both"/>
              <w:rPr>
                <w:rFonts w:asciiTheme="minorHAnsi" w:hAnsiTheme="minorHAnsi" w:cstheme="minorHAnsi"/>
                <w:sz w:val="18"/>
                <w:szCs w:val="18"/>
              </w:rPr>
            </w:pPr>
          </w:p>
        </w:tc>
      </w:tr>
    </w:tbl>
    <w:p w:rsidRPr="004D201D" w:rsidR="00DB18F5" w:rsidP="00191822" w:rsidRDefault="00DB18F5" w14:paraId="75DF85A4" w14:textId="77777777">
      <w:pPr>
        <w:rPr>
          <w:rFonts w:asciiTheme="minorHAnsi" w:hAnsiTheme="minorHAnsi" w:cstheme="minorHAnsi"/>
          <w:sz w:val="18"/>
          <w:szCs w:val="18"/>
        </w:rPr>
      </w:pPr>
    </w:p>
    <w:p w:rsidRPr="004D201D" w:rsidR="00DB18F5" w:rsidP="00191822" w:rsidRDefault="00DB18F5" w14:paraId="56BBD58D" w14:textId="77777777">
      <w:pPr>
        <w:rPr>
          <w:rFonts w:asciiTheme="minorHAnsi" w:hAnsiTheme="minorHAnsi" w:cstheme="minorHAnsi"/>
          <w:sz w:val="18"/>
          <w:szCs w:val="18"/>
        </w:rPr>
      </w:pPr>
    </w:p>
    <w:sectPr w:rsidRPr="004D201D" w:rsidR="00DB18F5" w:rsidSect="00B706E1">
      <w:headerReference w:type="default" r:id="rId12"/>
      <w:footerReference w:type="default" r:id="rId13"/>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D948" w14:textId="77777777" w:rsidR="00E23986" w:rsidRDefault="00E23986" w:rsidP="00AD0168">
      <w:r>
        <w:separator/>
      </w:r>
    </w:p>
  </w:endnote>
  <w:endnote w:type="continuationSeparator" w:id="0">
    <w:p w14:paraId="361E5BEA" w14:textId="77777777" w:rsidR="00E23986" w:rsidRDefault="00E23986" w:rsidP="00AD0168">
      <w:r>
        <w:continuationSeparator/>
      </w:r>
    </w:p>
  </w:endnote>
  <w:endnote w:type="continuationNotice" w:id="1">
    <w:p w14:paraId="60847779" w14:textId="77777777" w:rsidR="00E23986" w:rsidRDefault="00E23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034080"/>
      <w:docPartObj>
        <w:docPartGallery w:val="Page Numbers (Bottom of Page)"/>
        <w:docPartUnique/>
      </w:docPartObj>
    </w:sdt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A035" w14:textId="77777777" w:rsidR="00E23986" w:rsidRDefault="00E23986" w:rsidP="00AD0168">
      <w:r>
        <w:separator/>
      </w:r>
    </w:p>
  </w:footnote>
  <w:footnote w:type="continuationSeparator" w:id="0">
    <w:p w14:paraId="6FEB3338" w14:textId="77777777" w:rsidR="00E23986" w:rsidRDefault="00E23986" w:rsidP="00AD0168">
      <w:r>
        <w:continuationSeparator/>
      </w:r>
    </w:p>
  </w:footnote>
  <w:footnote w:type="continuationNotice" w:id="1">
    <w:p w14:paraId="2E4DDFFD" w14:textId="77777777" w:rsidR="00E23986" w:rsidRDefault="00E23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610872"/>
      <w:docPartObj>
        <w:docPartGallery w:val="Page Numbers (Top of Page)"/>
        <w:docPartUnique/>
      </w:docPartObj>
    </w:sdt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C61D9"/>
    <w:multiLevelType w:val="hybridMultilevel"/>
    <w:tmpl w:val="2BF0ED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7CF26FD"/>
    <w:multiLevelType w:val="hybridMultilevel"/>
    <w:tmpl w:val="97168C4E"/>
    <w:lvl w:ilvl="0" w:tplc="93ACD958">
      <w:start w:val="1"/>
      <w:numFmt w:val="decimal"/>
      <w:lvlText w:val="(%1)"/>
      <w:lvlJc w:val="left"/>
      <w:pPr>
        <w:ind w:left="473" w:hanging="360"/>
      </w:pPr>
    </w:lvl>
    <w:lvl w:ilvl="1" w:tplc="04130019">
      <w:start w:val="1"/>
      <w:numFmt w:val="lowerLetter"/>
      <w:lvlText w:val="%2."/>
      <w:lvlJc w:val="left"/>
      <w:pPr>
        <w:ind w:left="1193" w:hanging="360"/>
      </w:pPr>
    </w:lvl>
    <w:lvl w:ilvl="2" w:tplc="0413001B">
      <w:start w:val="1"/>
      <w:numFmt w:val="lowerRoman"/>
      <w:lvlText w:val="%3."/>
      <w:lvlJc w:val="right"/>
      <w:pPr>
        <w:ind w:left="1913" w:hanging="180"/>
      </w:pPr>
    </w:lvl>
    <w:lvl w:ilvl="3" w:tplc="0413000F">
      <w:start w:val="1"/>
      <w:numFmt w:val="decimal"/>
      <w:lvlText w:val="%4."/>
      <w:lvlJc w:val="left"/>
      <w:pPr>
        <w:ind w:left="2633" w:hanging="360"/>
      </w:pPr>
    </w:lvl>
    <w:lvl w:ilvl="4" w:tplc="04130019">
      <w:start w:val="1"/>
      <w:numFmt w:val="lowerLetter"/>
      <w:lvlText w:val="%5."/>
      <w:lvlJc w:val="left"/>
      <w:pPr>
        <w:ind w:left="3353" w:hanging="360"/>
      </w:pPr>
    </w:lvl>
    <w:lvl w:ilvl="5" w:tplc="0413001B">
      <w:start w:val="1"/>
      <w:numFmt w:val="lowerRoman"/>
      <w:lvlText w:val="%6."/>
      <w:lvlJc w:val="right"/>
      <w:pPr>
        <w:ind w:left="4073" w:hanging="180"/>
      </w:pPr>
    </w:lvl>
    <w:lvl w:ilvl="6" w:tplc="0413000F">
      <w:start w:val="1"/>
      <w:numFmt w:val="decimal"/>
      <w:lvlText w:val="%7."/>
      <w:lvlJc w:val="left"/>
      <w:pPr>
        <w:ind w:left="4793" w:hanging="360"/>
      </w:pPr>
    </w:lvl>
    <w:lvl w:ilvl="7" w:tplc="04130019">
      <w:start w:val="1"/>
      <w:numFmt w:val="lowerLetter"/>
      <w:lvlText w:val="%8."/>
      <w:lvlJc w:val="left"/>
      <w:pPr>
        <w:ind w:left="5513" w:hanging="360"/>
      </w:pPr>
    </w:lvl>
    <w:lvl w:ilvl="8" w:tplc="0413001B">
      <w:start w:val="1"/>
      <w:numFmt w:val="lowerRoman"/>
      <w:lvlText w:val="%9."/>
      <w:lvlJc w:val="right"/>
      <w:pPr>
        <w:ind w:left="6233" w:hanging="180"/>
      </w:pPr>
    </w:lvl>
  </w:abstractNum>
  <w:abstractNum w:abstractNumId="3" w15:restartNumberingAfterBreak="0">
    <w:nsid w:val="19AA47D1"/>
    <w:multiLevelType w:val="hybridMultilevel"/>
    <w:tmpl w:val="C0CE4404"/>
    <w:lvl w:ilvl="0" w:tplc="DCD092FA">
      <w:start w:val="1"/>
      <w:numFmt w:val="decimal"/>
      <w:lvlText w:val="%1."/>
      <w:lvlJc w:val="left"/>
      <w:pPr>
        <w:ind w:left="1440" w:hanging="360"/>
      </w:pPr>
    </w:lvl>
    <w:lvl w:ilvl="1" w:tplc="EB3E5EA4">
      <w:start w:val="1"/>
      <w:numFmt w:val="decimal"/>
      <w:lvlText w:val="%2."/>
      <w:lvlJc w:val="left"/>
      <w:pPr>
        <w:ind w:left="1440" w:hanging="360"/>
      </w:pPr>
    </w:lvl>
    <w:lvl w:ilvl="2" w:tplc="172EB85A">
      <w:start w:val="1"/>
      <w:numFmt w:val="decimal"/>
      <w:lvlText w:val="%3."/>
      <w:lvlJc w:val="left"/>
      <w:pPr>
        <w:ind w:left="1440" w:hanging="360"/>
      </w:pPr>
    </w:lvl>
    <w:lvl w:ilvl="3" w:tplc="D64010B6">
      <w:start w:val="1"/>
      <w:numFmt w:val="decimal"/>
      <w:lvlText w:val="%4."/>
      <w:lvlJc w:val="left"/>
      <w:pPr>
        <w:ind w:left="1440" w:hanging="360"/>
      </w:pPr>
    </w:lvl>
    <w:lvl w:ilvl="4" w:tplc="5B924504">
      <w:start w:val="1"/>
      <w:numFmt w:val="decimal"/>
      <w:lvlText w:val="%5."/>
      <w:lvlJc w:val="left"/>
      <w:pPr>
        <w:ind w:left="1440" w:hanging="360"/>
      </w:pPr>
    </w:lvl>
    <w:lvl w:ilvl="5" w:tplc="FA70458E">
      <w:start w:val="1"/>
      <w:numFmt w:val="decimal"/>
      <w:lvlText w:val="%6."/>
      <w:lvlJc w:val="left"/>
      <w:pPr>
        <w:ind w:left="1440" w:hanging="360"/>
      </w:pPr>
    </w:lvl>
    <w:lvl w:ilvl="6" w:tplc="B616099E">
      <w:start w:val="1"/>
      <w:numFmt w:val="decimal"/>
      <w:lvlText w:val="%7."/>
      <w:lvlJc w:val="left"/>
      <w:pPr>
        <w:ind w:left="1440" w:hanging="360"/>
      </w:pPr>
    </w:lvl>
    <w:lvl w:ilvl="7" w:tplc="52480608">
      <w:start w:val="1"/>
      <w:numFmt w:val="decimal"/>
      <w:lvlText w:val="%8."/>
      <w:lvlJc w:val="left"/>
      <w:pPr>
        <w:ind w:left="1440" w:hanging="360"/>
      </w:pPr>
    </w:lvl>
    <w:lvl w:ilvl="8" w:tplc="DBAE4018">
      <w:start w:val="1"/>
      <w:numFmt w:val="decimal"/>
      <w:lvlText w:val="%9."/>
      <w:lvlJc w:val="left"/>
      <w:pPr>
        <w:ind w:left="1440" w:hanging="360"/>
      </w:pPr>
    </w:lvl>
  </w:abstractNum>
  <w:abstractNum w:abstractNumId="4"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5" w15:restartNumberingAfterBreak="0">
    <w:nsid w:val="1B7E63B3"/>
    <w:multiLevelType w:val="hybridMultilevel"/>
    <w:tmpl w:val="46022DB0"/>
    <w:lvl w:ilvl="0" w:tplc="353C9D92">
      <w:start w:val="1"/>
      <w:numFmt w:val="decimal"/>
      <w:lvlText w:val="%1."/>
      <w:lvlJc w:val="left"/>
      <w:pPr>
        <w:ind w:left="1020" w:hanging="360"/>
      </w:pPr>
    </w:lvl>
    <w:lvl w:ilvl="1" w:tplc="806ACBA8">
      <w:start w:val="1"/>
      <w:numFmt w:val="decimal"/>
      <w:lvlText w:val="%2."/>
      <w:lvlJc w:val="left"/>
      <w:pPr>
        <w:ind w:left="1020" w:hanging="360"/>
      </w:pPr>
    </w:lvl>
    <w:lvl w:ilvl="2" w:tplc="8D78BAD8">
      <w:start w:val="1"/>
      <w:numFmt w:val="decimal"/>
      <w:lvlText w:val="%3."/>
      <w:lvlJc w:val="left"/>
      <w:pPr>
        <w:ind w:left="1020" w:hanging="360"/>
      </w:pPr>
    </w:lvl>
    <w:lvl w:ilvl="3" w:tplc="98800168">
      <w:start w:val="1"/>
      <w:numFmt w:val="decimal"/>
      <w:lvlText w:val="%4."/>
      <w:lvlJc w:val="left"/>
      <w:pPr>
        <w:ind w:left="1020" w:hanging="360"/>
      </w:pPr>
    </w:lvl>
    <w:lvl w:ilvl="4" w:tplc="2B38896E">
      <w:start w:val="1"/>
      <w:numFmt w:val="decimal"/>
      <w:lvlText w:val="%5."/>
      <w:lvlJc w:val="left"/>
      <w:pPr>
        <w:ind w:left="1020" w:hanging="360"/>
      </w:pPr>
    </w:lvl>
    <w:lvl w:ilvl="5" w:tplc="DFD8FC1C">
      <w:start w:val="1"/>
      <w:numFmt w:val="decimal"/>
      <w:lvlText w:val="%6."/>
      <w:lvlJc w:val="left"/>
      <w:pPr>
        <w:ind w:left="1020" w:hanging="360"/>
      </w:pPr>
    </w:lvl>
    <w:lvl w:ilvl="6" w:tplc="402A1D3A">
      <w:start w:val="1"/>
      <w:numFmt w:val="decimal"/>
      <w:lvlText w:val="%7."/>
      <w:lvlJc w:val="left"/>
      <w:pPr>
        <w:ind w:left="1020" w:hanging="360"/>
      </w:pPr>
    </w:lvl>
    <w:lvl w:ilvl="7" w:tplc="81AAC5A8">
      <w:start w:val="1"/>
      <w:numFmt w:val="decimal"/>
      <w:lvlText w:val="%8."/>
      <w:lvlJc w:val="left"/>
      <w:pPr>
        <w:ind w:left="1020" w:hanging="360"/>
      </w:pPr>
    </w:lvl>
    <w:lvl w:ilvl="8" w:tplc="3D84851C">
      <w:start w:val="1"/>
      <w:numFmt w:val="decimal"/>
      <w:lvlText w:val="%9."/>
      <w:lvlJc w:val="left"/>
      <w:pPr>
        <w:ind w:left="1020" w:hanging="360"/>
      </w:pPr>
    </w:lvl>
  </w:abstractNum>
  <w:abstractNum w:abstractNumId="6" w15:restartNumberingAfterBreak="0">
    <w:nsid w:val="1E380CDB"/>
    <w:multiLevelType w:val="hybridMultilevel"/>
    <w:tmpl w:val="2CD67006"/>
    <w:lvl w:ilvl="0" w:tplc="D85E448C">
      <w:start w:val="14"/>
      <w:numFmt w:val="bullet"/>
      <w:lvlText w:val=""/>
      <w:lvlJc w:val="left"/>
      <w:pPr>
        <w:ind w:left="449" w:hanging="360"/>
      </w:pPr>
      <w:rPr>
        <w:rFonts w:ascii="Wingdings" w:eastAsiaTheme="minorHAnsi" w:hAnsi="Wingdings" w:cs="Calibri" w:hint="default"/>
      </w:rPr>
    </w:lvl>
    <w:lvl w:ilvl="1" w:tplc="04130003" w:tentative="1">
      <w:start w:val="1"/>
      <w:numFmt w:val="bullet"/>
      <w:lvlText w:val="o"/>
      <w:lvlJc w:val="left"/>
      <w:pPr>
        <w:ind w:left="1169" w:hanging="360"/>
      </w:pPr>
      <w:rPr>
        <w:rFonts w:ascii="Courier New" w:hAnsi="Courier New" w:cs="Courier New" w:hint="default"/>
      </w:rPr>
    </w:lvl>
    <w:lvl w:ilvl="2" w:tplc="04130005" w:tentative="1">
      <w:start w:val="1"/>
      <w:numFmt w:val="bullet"/>
      <w:lvlText w:val=""/>
      <w:lvlJc w:val="left"/>
      <w:pPr>
        <w:ind w:left="1889" w:hanging="360"/>
      </w:pPr>
      <w:rPr>
        <w:rFonts w:ascii="Wingdings" w:hAnsi="Wingdings" w:hint="default"/>
      </w:rPr>
    </w:lvl>
    <w:lvl w:ilvl="3" w:tplc="04130001" w:tentative="1">
      <w:start w:val="1"/>
      <w:numFmt w:val="bullet"/>
      <w:lvlText w:val=""/>
      <w:lvlJc w:val="left"/>
      <w:pPr>
        <w:ind w:left="2609" w:hanging="360"/>
      </w:pPr>
      <w:rPr>
        <w:rFonts w:ascii="Symbol" w:hAnsi="Symbol" w:hint="default"/>
      </w:rPr>
    </w:lvl>
    <w:lvl w:ilvl="4" w:tplc="04130003" w:tentative="1">
      <w:start w:val="1"/>
      <w:numFmt w:val="bullet"/>
      <w:lvlText w:val="o"/>
      <w:lvlJc w:val="left"/>
      <w:pPr>
        <w:ind w:left="3329" w:hanging="360"/>
      </w:pPr>
      <w:rPr>
        <w:rFonts w:ascii="Courier New" w:hAnsi="Courier New" w:cs="Courier New" w:hint="default"/>
      </w:rPr>
    </w:lvl>
    <w:lvl w:ilvl="5" w:tplc="04130005" w:tentative="1">
      <w:start w:val="1"/>
      <w:numFmt w:val="bullet"/>
      <w:lvlText w:val=""/>
      <w:lvlJc w:val="left"/>
      <w:pPr>
        <w:ind w:left="4049" w:hanging="360"/>
      </w:pPr>
      <w:rPr>
        <w:rFonts w:ascii="Wingdings" w:hAnsi="Wingdings" w:hint="default"/>
      </w:rPr>
    </w:lvl>
    <w:lvl w:ilvl="6" w:tplc="04130001" w:tentative="1">
      <w:start w:val="1"/>
      <w:numFmt w:val="bullet"/>
      <w:lvlText w:val=""/>
      <w:lvlJc w:val="left"/>
      <w:pPr>
        <w:ind w:left="4769" w:hanging="360"/>
      </w:pPr>
      <w:rPr>
        <w:rFonts w:ascii="Symbol" w:hAnsi="Symbol" w:hint="default"/>
      </w:rPr>
    </w:lvl>
    <w:lvl w:ilvl="7" w:tplc="04130003" w:tentative="1">
      <w:start w:val="1"/>
      <w:numFmt w:val="bullet"/>
      <w:lvlText w:val="o"/>
      <w:lvlJc w:val="left"/>
      <w:pPr>
        <w:ind w:left="5489" w:hanging="360"/>
      </w:pPr>
      <w:rPr>
        <w:rFonts w:ascii="Courier New" w:hAnsi="Courier New" w:cs="Courier New" w:hint="default"/>
      </w:rPr>
    </w:lvl>
    <w:lvl w:ilvl="8" w:tplc="04130005" w:tentative="1">
      <w:start w:val="1"/>
      <w:numFmt w:val="bullet"/>
      <w:lvlText w:val=""/>
      <w:lvlJc w:val="left"/>
      <w:pPr>
        <w:ind w:left="6209" w:hanging="360"/>
      </w:pPr>
      <w:rPr>
        <w:rFonts w:ascii="Wingdings" w:hAnsi="Wingdings" w:hint="default"/>
      </w:rPr>
    </w:lvl>
  </w:abstractNum>
  <w:abstractNum w:abstractNumId="7"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9" w15:restartNumberingAfterBreak="0">
    <w:nsid w:val="246749E4"/>
    <w:multiLevelType w:val="hybridMultilevel"/>
    <w:tmpl w:val="D6528756"/>
    <w:lvl w:ilvl="0" w:tplc="92B8467E">
      <w:start w:val="4"/>
      <w:numFmt w:val="bullet"/>
      <w:lvlText w:val=""/>
      <w:lvlJc w:val="left"/>
      <w:pPr>
        <w:ind w:left="473" w:hanging="360"/>
      </w:pPr>
      <w:rPr>
        <w:rFonts w:ascii="Wingdings" w:eastAsiaTheme="minorHAnsi" w:hAnsi="Wingdings"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0" w15:restartNumberingAfterBreak="0">
    <w:nsid w:val="24AB60E8"/>
    <w:multiLevelType w:val="hybridMultilevel"/>
    <w:tmpl w:val="8612F106"/>
    <w:lvl w:ilvl="0" w:tplc="DFFC84BC">
      <w:numFmt w:val="bullet"/>
      <w:lvlText w:val="-"/>
      <w:lvlJc w:val="left"/>
      <w:pPr>
        <w:ind w:left="473" w:hanging="360"/>
      </w:pPr>
      <w:rPr>
        <w:rFonts w:ascii="Calibri" w:eastAsiaTheme="minorHAnsi" w:hAnsi="Calibri" w:cs="Calibri" w:hint="default"/>
      </w:rPr>
    </w:lvl>
    <w:lvl w:ilvl="1" w:tplc="04130003">
      <w:start w:val="1"/>
      <w:numFmt w:val="bullet"/>
      <w:lvlText w:val="o"/>
      <w:lvlJc w:val="left"/>
      <w:pPr>
        <w:ind w:left="1193" w:hanging="360"/>
      </w:pPr>
      <w:rPr>
        <w:rFonts w:ascii="Courier New" w:hAnsi="Courier New" w:cs="Courier New" w:hint="default"/>
      </w:rPr>
    </w:lvl>
    <w:lvl w:ilvl="2" w:tplc="04130005">
      <w:start w:val="1"/>
      <w:numFmt w:val="bullet"/>
      <w:lvlText w:val=""/>
      <w:lvlJc w:val="left"/>
      <w:pPr>
        <w:ind w:left="1913" w:hanging="360"/>
      </w:pPr>
      <w:rPr>
        <w:rFonts w:ascii="Wingdings" w:hAnsi="Wingdings" w:hint="default"/>
      </w:rPr>
    </w:lvl>
    <w:lvl w:ilvl="3" w:tplc="04130001">
      <w:start w:val="1"/>
      <w:numFmt w:val="bullet"/>
      <w:lvlText w:val=""/>
      <w:lvlJc w:val="left"/>
      <w:pPr>
        <w:ind w:left="2633" w:hanging="360"/>
      </w:pPr>
      <w:rPr>
        <w:rFonts w:ascii="Symbol" w:hAnsi="Symbol" w:hint="default"/>
      </w:rPr>
    </w:lvl>
    <w:lvl w:ilvl="4" w:tplc="04130003">
      <w:start w:val="1"/>
      <w:numFmt w:val="bullet"/>
      <w:lvlText w:val="o"/>
      <w:lvlJc w:val="left"/>
      <w:pPr>
        <w:ind w:left="3353" w:hanging="360"/>
      </w:pPr>
      <w:rPr>
        <w:rFonts w:ascii="Courier New" w:hAnsi="Courier New" w:cs="Courier New" w:hint="default"/>
      </w:rPr>
    </w:lvl>
    <w:lvl w:ilvl="5" w:tplc="04130005">
      <w:start w:val="1"/>
      <w:numFmt w:val="bullet"/>
      <w:lvlText w:val=""/>
      <w:lvlJc w:val="left"/>
      <w:pPr>
        <w:ind w:left="4073" w:hanging="360"/>
      </w:pPr>
      <w:rPr>
        <w:rFonts w:ascii="Wingdings" w:hAnsi="Wingdings" w:hint="default"/>
      </w:rPr>
    </w:lvl>
    <w:lvl w:ilvl="6" w:tplc="04130001">
      <w:start w:val="1"/>
      <w:numFmt w:val="bullet"/>
      <w:lvlText w:val=""/>
      <w:lvlJc w:val="left"/>
      <w:pPr>
        <w:ind w:left="4793" w:hanging="360"/>
      </w:pPr>
      <w:rPr>
        <w:rFonts w:ascii="Symbol" w:hAnsi="Symbol" w:hint="default"/>
      </w:rPr>
    </w:lvl>
    <w:lvl w:ilvl="7" w:tplc="04130003">
      <w:start w:val="1"/>
      <w:numFmt w:val="bullet"/>
      <w:lvlText w:val="o"/>
      <w:lvlJc w:val="left"/>
      <w:pPr>
        <w:ind w:left="5513" w:hanging="360"/>
      </w:pPr>
      <w:rPr>
        <w:rFonts w:ascii="Courier New" w:hAnsi="Courier New" w:cs="Courier New" w:hint="default"/>
      </w:rPr>
    </w:lvl>
    <w:lvl w:ilvl="8" w:tplc="04130005">
      <w:start w:val="1"/>
      <w:numFmt w:val="bullet"/>
      <w:lvlText w:val=""/>
      <w:lvlJc w:val="left"/>
      <w:pPr>
        <w:ind w:left="6233" w:hanging="360"/>
      </w:pPr>
      <w:rPr>
        <w:rFonts w:ascii="Wingdings" w:hAnsi="Wingdings" w:hint="default"/>
      </w:rPr>
    </w:lvl>
  </w:abstractNum>
  <w:abstractNum w:abstractNumId="11"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EC5C50"/>
    <w:multiLevelType w:val="hybridMultilevel"/>
    <w:tmpl w:val="5AB0720C"/>
    <w:lvl w:ilvl="0" w:tplc="C59EE23A">
      <w:start w:val="1"/>
      <w:numFmt w:val="decimal"/>
      <w:lvlText w:val="%1."/>
      <w:lvlJc w:val="left"/>
      <w:pPr>
        <w:ind w:left="1020" w:hanging="360"/>
      </w:pPr>
    </w:lvl>
    <w:lvl w:ilvl="1" w:tplc="5E101B98">
      <w:start w:val="1"/>
      <w:numFmt w:val="decimal"/>
      <w:lvlText w:val="%2."/>
      <w:lvlJc w:val="left"/>
      <w:pPr>
        <w:ind w:left="1020" w:hanging="360"/>
      </w:pPr>
    </w:lvl>
    <w:lvl w:ilvl="2" w:tplc="E9F031E6">
      <w:start w:val="1"/>
      <w:numFmt w:val="decimal"/>
      <w:lvlText w:val="%3."/>
      <w:lvlJc w:val="left"/>
      <w:pPr>
        <w:ind w:left="1020" w:hanging="360"/>
      </w:pPr>
    </w:lvl>
    <w:lvl w:ilvl="3" w:tplc="BB008002">
      <w:start w:val="1"/>
      <w:numFmt w:val="decimal"/>
      <w:lvlText w:val="%4."/>
      <w:lvlJc w:val="left"/>
      <w:pPr>
        <w:ind w:left="1020" w:hanging="360"/>
      </w:pPr>
    </w:lvl>
    <w:lvl w:ilvl="4" w:tplc="2AC08386">
      <w:start w:val="1"/>
      <w:numFmt w:val="decimal"/>
      <w:lvlText w:val="%5."/>
      <w:lvlJc w:val="left"/>
      <w:pPr>
        <w:ind w:left="1020" w:hanging="360"/>
      </w:pPr>
    </w:lvl>
    <w:lvl w:ilvl="5" w:tplc="3E9087FC">
      <w:start w:val="1"/>
      <w:numFmt w:val="decimal"/>
      <w:lvlText w:val="%6."/>
      <w:lvlJc w:val="left"/>
      <w:pPr>
        <w:ind w:left="1020" w:hanging="360"/>
      </w:pPr>
    </w:lvl>
    <w:lvl w:ilvl="6" w:tplc="601EDBFE">
      <w:start w:val="1"/>
      <w:numFmt w:val="decimal"/>
      <w:lvlText w:val="%7."/>
      <w:lvlJc w:val="left"/>
      <w:pPr>
        <w:ind w:left="1020" w:hanging="360"/>
      </w:pPr>
    </w:lvl>
    <w:lvl w:ilvl="7" w:tplc="4D400D10">
      <w:start w:val="1"/>
      <w:numFmt w:val="decimal"/>
      <w:lvlText w:val="%8."/>
      <w:lvlJc w:val="left"/>
      <w:pPr>
        <w:ind w:left="1020" w:hanging="360"/>
      </w:pPr>
    </w:lvl>
    <w:lvl w:ilvl="8" w:tplc="82F6B484">
      <w:start w:val="1"/>
      <w:numFmt w:val="decimal"/>
      <w:lvlText w:val="%9."/>
      <w:lvlJc w:val="left"/>
      <w:pPr>
        <w:ind w:left="1020" w:hanging="360"/>
      </w:pPr>
    </w:lvl>
  </w:abstractNum>
  <w:abstractNum w:abstractNumId="13"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4820C2"/>
    <w:multiLevelType w:val="hybridMultilevel"/>
    <w:tmpl w:val="CAF248FA"/>
    <w:lvl w:ilvl="0" w:tplc="219481FC">
      <w:start w:val="1"/>
      <w:numFmt w:val="decimal"/>
      <w:lvlText w:val="%1)"/>
      <w:lvlJc w:val="left"/>
      <w:pPr>
        <w:ind w:left="586" w:hanging="360"/>
      </w:pPr>
      <w:rPr>
        <w:rFonts w:hint="default"/>
        <w:b/>
        <w:bCs/>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6" w15:restartNumberingAfterBreak="0">
    <w:nsid w:val="35A24708"/>
    <w:multiLevelType w:val="hybridMultilevel"/>
    <w:tmpl w:val="5DA85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19"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0"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1" w15:restartNumberingAfterBreak="0">
    <w:nsid w:val="46AB5FED"/>
    <w:multiLevelType w:val="hybridMultilevel"/>
    <w:tmpl w:val="C324C504"/>
    <w:lvl w:ilvl="0" w:tplc="FDC4F3D4">
      <w:start w:val="1"/>
      <w:numFmt w:val="bullet"/>
      <w:lvlText w:val="-"/>
      <w:lvlJc w:val="left"/>
      <w:pPr>
        <w:ind w:left="586" w:hanging="360"/>
      </w:pPr>
      <w:rPr>
        <w:rFonts w:ascii="Calibri" w:eastAsiaTheme="minorHAnsi" w:hAnsi="Calibri" w:cs="Calibri"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22" w15:restartNumberingAfterBreak="0">
    <w:nsid w:val="4A6542FC"/>
    <w:multiLevelType w:val="hybridMultilevel"/>
    <w:tmpl w:val="2F1A5C6A"/>
    <w:lvl w:ilvl="0" w:tplc="D65AE532">
      <w:start w:val="4"/>
      <w:numFmt w:val="bullet"/>
      <w:lvlText w:val=""/>
      <w:lvlJc w:val="left"/>
      <w:pPr>
        <w:ind w:left="440" w:hanging="360"/>
      </w:pPr>
      <w:rPr>
        <w:rFonts w:ascii="Wingdings" w:eastAsiaTheme="minorHAnsi" w:hAnsi="Wingdings" w:cs="Calibri" w:hint="default"/>
      </w:rPr>
    </w:lvl>
    <w:lvl w:ilvl="1" w:tplc="04130003" w:tentative="1">
      <w:start w:val="1"/>
      <w:numFmt w:val="bullet"/>
      <w:lvlText w:val="o"/>
      <w:lvlJc w:val="left"/>
      <w:pPr>
        <w:ind w:left="1160" w:hanging="360"/>
      </w:pPr>
      <w:rPr>
        <w:rFonts w:ascii="Courier New" w:hAnsi="Courier New" w:cs="Courier New" w:hint="default"/>
      </w:rPr>
    </w:lvl>
    <w:lvl w:ilvl="2" w:tplc="04130005" w:tentative="1">
      <w:start w:val="1"/>
      <w:numFmt w:val="bullet"/>
      <w:lvlText w:val=""/>
      <w:lvlJc w:val="left"/>
      <w:pPr>
        <w:ind w:left="1880" w:hanging="360"/>
      </w:pPr>
      <w:rPr>
        <w:rFonts w:ascii="Wingdings" w:hAnsi="Wingdings" w:hint="default"/>
      </w:rPr>
    </w:lvl>
    <w:lvl w:ilvl="3" w:tplc="04130001" w:tentative="1">
      <w:start w:val="1"/>
      <w:numFmt w:val="bullet"/>
      <w:lvlText w:val=""/>
      <w:lvlJc w:val="left"/>
      <w:pPr>
        <w:ind w:left="2600" w:hanging="360"/>
      </w:pPr>
      <w:rPr>
        <w:rFonts w:ascii="Symbol" w:hAnsi="Symbol" w:hint="default"/>
      </w:rPr>
    </w:lvl>
    <w:lvl w:ilvl="4" w:tplc="04130003" w:tentative="1">
      <w:start w:val="1"/>
      <w:numFmt w:val="bullet"/>
      <w:lvlText w:val="o"/>
      <w:lvlJc w:val="left"/>
      <w:pPr>
        <w:ind w:left="3320" w:hanging="360"/>
      </w:pPr>
      <w:rPr>
        <w:rFonts w:ascii="Courier New" w:hAnsi="Courier New" w:cs="Courier New" w:hint="default"/>
      </w:rPr>
    </w:lvl>
    <w:lvl w:ilvl="5" w:tplc="04130005" w:tentative="1">
      <w:start w:val="1"/>
      <w:numFmt w:val="bullet"/>
      <w:lvlText w:val=""/>
      <w:lvlJc w:val="left"/>
      <w:pPr>
        <w:ind w:left="4040" w:hanging="360"/>
      </w:pPr>
      <w:rPr>
        <w:rFonts w:ascii="Wingdings" w:hAnsi="Wingdings" w:hint="default"/>
      </w:rPr>
    </w:lvl>
    <w:lvl w:ilvl="6" w:tplc="04130001" w:tentative="1">
      <w:start w:val="1"/>
      <w:numFmt w:val="bullet"/>
      <w:lvlText w:val=""/>
      <w:lvlJc w:val="left"/>
      <w:pPr>
        <w:ind w:left="4760" w:hanging="360"/>
      </w:pPr>
      <w:rPr>
        <w:rFonts w:ascii="Symbol" w:hAnsi="Symbol" w:hint="default"/>
      </w:rPr>
    </w:lvl>
    <w:lvl w:ilvl="7" w:tplc="04130003" w:tentative="1">
      <w:start w:val="1"/>
      <w:numFmt w:val="bullet"/>
      <w:lvlText w:val="o"/>
      <w:lvlJc w:val="left"/>
      <w:pPr>
        <w:ind w:left="5480" w:hanging="360"/>
      </w:pPr>
      <w:rPr>
        <w:rFonts w:ascii="Courier New" w:hAnsi="Courier New" w:cs="Courier New" w:hint="default"/>
      </w:rPr>
    </w:lvl>
    <w:lvl w:ilvl="8" w:tplc="04130005" w:tentative="1">
      <w:start w:val="1"/>
      <w:numFmt w:val="bullet"/>
      <w:lvlText w:val=""/>
      <w:lvlJc w:val="left"/>
      <w:pPr>
        <w:ind w:left="6200" w:hanging="360"/>
      </w:pPr>
      <w:rPr>
        <w:rFonts w:ascii="Wingdings" w:hAnsi="Wingdings" w:hint="default"/>
      </w:rPr>
    </w:lvl>
  </w:abstractNum>
  <w:abstractNum w:abstractNumId="23" w15:restartNumberingAfterBreak="0">
    <w:nsid w:val="4F7455CC"/>
    <w:multiLevelType w:val="hybridMultilevel"/>
    <w:tmpl w:val="1D2C976E"/>
    <w:lvl w:ilvl="0" w:tplc="21788364">
      <w:start w:val="270"/>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EE4EE1"/>
    <w:multiLevelType w:val="hybridMultilevel"/>
    <w:tmpl w:val="2BF0ED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6C16DFD"/>
    <w:multiLevelType w:val="hybridMultilevel"/>
    <w:tmpl w:val="9FFE5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81F6B4C"/>
    <w:multiLevelType w:val="hybridMultilevel"/>
    <w:tmpl w:val="ED1A91C6"/>
    <w:lvl w:ilvl="0" w:tplc="5B6EEDA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9903BF9"/>
    <w:multiLevelType w:val="hybridMultilevel"/>
    <w:tmpl w:val="93744546"/>
    <w:lvl w:ilvl="0" w:tplc="5226170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29" w15:restartNumberingAfterBreak="0">
    <w:nsid w:val="5B27257B"/>
    <w:multiLevelType w:val="hybridMultilevel"/>
    <w:tmpl w:val="518CDD5E"/>
    <w:lvl w:ilvl="0" w:tplc="64DCAEB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08814AC"/>
    <w:multiLevelType w:val="hybridMultilevel"/>
    <w:tmpl w:val="B5D40DE6"/>
    <w:lvl w:ilvl="0" w:tplc="C22A80AC">
      <w:start w:val="2"/>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32" w15:restartNumberingAfterBreak="0">
    <w:nsid w:val="68316421"/>
    <w:multiLevelType w:val="hybridMultilevel"/>
    <w:tmpl w:val="DE805914"/>
    <w:lvl w:ilvl="0" w:tplc="E35CBB3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0A0BD2"/>
    <w:multiLevelType w:val="hybridMultilevel"/>
    <w:tmpl w:val="DA84A0D2"/>
    <w:lvl w:ilvl="0" w:tplc="7E1EA86C">
      <w:start w:val="4"/>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2352C0"/>
    <w:multiLevelType w:val="hybridMultilevel"/>
    <w:tmpl w:val="428A00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6" w15:restartNumberingAfterBreak="0">
    <w:nsid w:val="77541DA4"/>
    <w:multiLevelType w:val="hybridMultilevel"/>
    <w:tmpl w:val="8B78E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5D5BE2"/>
    <w:multiLevelType w:val="hybridMultilevel"/>
    <w:tmpl w:val="34505EAA"/>
    <w:lvl w:ilvl="0" w:tplc="84E4AC7A">
      <w:start w:val="1"/>
      <w:numFmt w:val="bullet"/>
      <w:lvlText w:val=""/>
      <w:lvlJc w:val="left"/>
      <w:pPr>
        <w:ind w:left="473" w:hanging="360"/>
      </w:pPr>
      <w:rPr>
        <w:rFonts w:ascii="Wingdings" w:eastAsiaTheme="minorHAnsi" w:hAnsi="Wingdings"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num w:numId="1" w16cid:durableId="987588495">
    <w:abstractNumId w:val="1"/>
  </w:num>
  <w:num w:numId="2" w16cid:durableId="192352325">
    <w:abstractNumId w:val="4"/>
  </w:num>
  <w:num w:numId="3" w16cid:durableId="1653368349">
    <w:abstractNumId w:val="18"/>
  </w:num>
  <w:num w:numId="4" w16cid:durableId="953901657">
    <w:abstractNumId w:val="8"/>
  </w:num>
  <w:num w:numId="5" w16cid:durableId="1449547648">
    <w:abstractNumId w:val="28"/>
  </w:num>
  <w:num w:numId="6" w16cid:durableId="938023384">
    <w:abstractNumId w:val="20"/>
  </w:num>
  <w:num w:numId="7" w16cid:durableId="1400058906">
    <w:abstractNumId w:val="30"/>
  </w:num>
  <w:num w:numId="8" w16cid:durableId="725377612">
    <w:abstractNumId w:val="19"/>
  </w:num>
  <w:num w:numId="9" w16cid:durableId="650250528">
    <w:abstractNumId w:val="17"/>
  </w:num>
  <w:num w:numId="10" w16cid:durableId="309604167">
    <w:abstractNumId w:val="11"/>
  </w:num>
  <w:num w:numId="11" w16cid:durableId="1668092425">
    <w:abstractNumId w:val="13"/>
  </w:num>
  <w:num w:numId="12" w16cid:durableId="1655912166">
    <w:abstractNumId w:val="7"/>
  </w:num>
  <w:num w:numId="13" w16cid:durableId="1478035928">
    <w:abstractNumId w:val="14"/>
  </w:num>
  <w:num w:numId="14" w16cid:durableId="1188906478">
    <w:abstractNumId w:val="34"/>
  </w:num>
  <w:num w:numId="15" w16cid:durableId="310138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5967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3531626">
    <w:abstractNumId w:val="37"/>
  </w:num>
  <w:num w:numId="18" w16cid:durableId="1779250635">
    <w:abstractNumId w:val="31"/>
  </w:num>
  <w:num w:numId="19" w16cid:durableId="1908031631">
    <w:abstractNumId w:val="6"/>
  </w:num>
  <w:num w:numId="20" w16cid:durableId="1745644583">
    <w:abstractNumId w:val="32"/>
  </w:num>
  <w:num w:numId="21" w16cid:durableId="2057969246">
    <w:abstractNumId w:val="26"/>
  </w:num>
  <w:num w:numId="22" w16cid:durableId="1140419202">
    <w:abstractNumId w:val="29"/>
  </w:num>
  <w:num w:numId="23" w16cid:durableId="1960257684">
    <w:abstractNumId w:val="29"/>
  </w:num>
  <w:num w:numId="24" w16cid:durableId="1977836725">
    <w:abstractNumId w:val="0"/>
  </w:num>
  <w:num w:numId="25" w16cid:durableId="784688596">
    <w:abstractNumId w:val="16"/>
  </w:num>
  <w:num w:numId="26" w16cid:durableId="1762874518">
    <w:abstractNumId w:val="25"/>
  </w:num>
  <w:num w:numId="27" w16cid:durableId="439691556">
    <w:abstractNumId w:val="36"/>
  </w:num>
  <w:num w:numId="28" w16cid:durableId="2061439330">
    <w:abstractNumId w:val="23"/>
  </w:num>
  <w:num w:numId="29" w16cid:durableId="1756827219">
    <w:abstractNumId w:val="21"/>
  </w:num>
  <w:num w:numId="30" w16cid:durableId="1087463653">
    <w:abstractNumId w:val="22"/>
  </w:num>
  <w:num w:numId="31" w16cid:durableId="202788483">
    <w:abstractNumId w:val="33"/>
  </w:num>
  <w:num w:numId="32" w16cid:durableId="1791777102">
    <w:abstractNumId w:val="9"/>
  </w:num>
  <w:num w:numId="33" w16cid:durableId="113329874">
    <w:abstractNumId w:val="5"/>
  </w:num>
  <w:num w:numId="34" w16cid:durableId="1886482199">
    <w:abstractNumId w:val="12"/>
  </w:num>
  <w:num w:numId="35" w16cid:durableId="625892715">
    <w:abstractNumId w:val="3"/>
  </w:num>
  <w:num w:numId="36" w16cid:durableId="1547451306">
    <w:abstractNumId w:val="15"/>
  </w:num>
  <w:num w:numId="37" w16cid:durableId="1870295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4893070">
    <w:abstractNumId w:val="10"/>
  </w:num>
  <w:num w:numId="39" w16cid:durableId="610742906">
    <w:abstractNumId w:val="27"/>
  </w:num>
  <w:num w:numId="40" w16cid:durableId="15838305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00CF7"/>
    <w:rsid w:val="00001406"/>
    <w:rsid w:val="00010320"/>
    <w:rsid w:val="000123D6"/>
    <w:rsid w:val="00012486"/>
    <w:rsid w:val="00012541"/>
    <w:rsid w:val="000146B4"/>
    <w:rsid w:val="000156BD"/>
    <w:rsid w:val="00016A47"/>
    <w:rsid w:val="00017303"/>
    <w:rsid w:val="000177D2"/>
    <w:rsid w:val="00017D9F"/>
    <w:rsid w:val="00023D62"/>
    <w:rsid w:val="00024727"/>
    <w:rsid w:val="00025E6A"/>
    <w:rsid w:val="00030801"/>
    <w:rsid w:val="0003262C"/>
    <w:rsid w:val="00033733"/>
    <w:rsid w:val="000338BC"/>
    <w:rsid w:val="00035555"/>
    <w:rsid w:val="00042812"/>
    <w:rsid w:val="000512A5"/>
    <w:rsid w:val="00054E41"/>
    <w:rsid w:val="00055080"/>
    <w:rsid w:val="00056959"/>
    <w:rsid w:val="000622BE"/>
    <w:rsid w:val="00064437"/>
    <w:rsid w:val="00064C47"/>
    <w:rsid w:val="000655C9"/>
    <w:rsid w:val="000667A1"/>
    <w:rsid w:val="0007094E"/>
    <w:rsid w:val="000737BF"/>
    <w:rsid w:val="0007399D"/>
    <w:rsid w:val="00077AFE"/>
    <w:rsid w:val="00081304"/>
    <w:rsid w:val="000832C3"/>
    <w:rsid w:val="000872A0"/>
    <w:rsid w:val="00087BAB"/>
    <w:rsid w:val="000901FC"/>
    <w:rsid w:val="00090E86"/>
    <w:rsid w:val="00091193"/>
    <w:rsid w:val="0009313C"/>
    <w:rsid w:val="00093A90"/>
    <w:rsid w:val="000A27EB"/>
    <w:rsid w:val="000B7DA9"/>
    <w:rsid w:val="000C353E"/>
    <w:rsid w:val="000C6EE3"/>
    <w:rsid w:val="000D4B06"/>
    <w:rsid w:val="000D6E0C"/>
    <w:rsid w:val="000D73D3"/>
    <w:rsid w:val="000D768E"/>
    <w:rsid w:val="000F19CA"/>
    <w:rsid w:val="000F2BF5"/>
    <w:rsid w:val="000F7FB1"/>
    <w:rsid w:val="00102D92"/>
    <w:rsid w:val="00103757"/>
    <w:rsid w:val="00115875"/>
    <w:rsid w:val="001244AF"/>
    <w:rsid w:val="00125C5A"/>
    <w:rsid w:val="00130C4F"/>
    <w:rsid w:val="00130D34"/>
    <w:rsid w:val="00131B3B"/>
    <w:rsid w:val="00133030"/>
    <w:rsid w:val="001341C8"/>
    <w:rsid w:val="00137E30"/>
    <w:rsid w:val="001406E9"/>
    <w:rsid w:val="00141E62"/>
    <w:rsid w:val="00143F55"/>
    <w:rsid w:val="00144CBA"/>
    <w:rsid w:val="00154433"/>
    <w:rsid w:val="00156714"/>
    <w:rsid w:val="00157A96"/>
    <w:rsid w:val="0016133D"/>
    <w:rsid w:val="00166F25"/>
    <w:rsid w:val="00175C0E"/>
    <w:rsid w:val="0018177C"/>
    <w:rsid w:val="001825A8"/>
    <w:rsid w:val="00183482"/>
    <w:rsid w:val="00183637"/>
    <w:rsid w:val="00185775"/>
    <w:rsid w:val="00186F47"/>
    <w:rsid w:val="00191822"/>
    <w:rsid w:val="001931CE"/>
    <w:rsid w:val="001963C8"/>
    <w:rsid w:val="0019693E"/>
    <w:rsid w:val="001B6175"/>
    <w:rsid w:val="001C2514"/>
    <w:rsid w:val="001C3185"/>
    <w:rsid w:val="001C3CB0"/>
    <w:rsid w:val="001C40AC"/>
    <w:rsid w:val="001C7FF6"/>
    <w:rsid w:val="001D19AF"/>
    <w:rsid w:val="001D46A8"/>
    <w:rsid w:val="001D49B4"/>
    <w:rsid w:val="001D51E9"/>
    <w:rsid w:val="001D7F15"/>
    <w:rsid w:val="001E1CFC"/>
    <w:rsid w:val="001F1FE2"/>
    <w:rsid w:val="001F2C47"/>
    <w:rsid w:val="001F5517"/>
    <w:rsid w:val="001F682A"/>
    <w:rsid w:val="001F70EC"/>
    <w:rsid w:val="002030E4"/>
    <w:rsid w:val="00206060"/>
    <w:rsid w:val="0021120F"/>
    <w:rsid w:val="00211737"/>
    <w:rsid w:val="00216E05"/>
    <w:rsid w:val="0022217E"/>
    <w:rsid w:val="0022620B"/>
    <w:rsid w:val="00226646"/>
    <w:rsid w:val="002274C3"/>
    <w:rsid w:val="00233423"/>
    <w:rsid w:val="00234BA4"/>
    <w:rsid w:val="00236849"/>
    <w:rsid w:val="00237312"/>
    <w:rsid w:val="0024194A"/>
    <w:rsid w:val="00251F42"/>
    <w:rsid w:val="00255F4D"/>
    <w:rsid w:val="002603FA"/>
    <w:rsid w:val="00262258"/>
    <w:rsid w:val="00271C2F"/>
    <w:rsid w:val="002731D6"/>
    <w:rsid w:val="00293E64"/>
    <w:rsid w:val="00296E09"/>
    <w:rsid w:val="00297727"/>
    <w:rsid w:val="002A26C2"/>
    <w:rsid w:val="002A2908"/>
    <w:rsid w:val="002A58CF"/>
    <w:rsid w:val="002A699C"/>
    <w:rsid w:val="002A6BAF"/>
    <w:rsid w:val="002B18AE"/>
    <w:rsid w:val="002B5EDF"/>
    <w:rsid w:val="002C5A78"/>
    <w:rsid w:val="002C5D18"/>
    <w:rsid w:val="002C6951"/>
    <w:rsid w:val="002D054E"/>
    <w:rsid w:val="002D1B25"/>
    <w:rsid w:val="002E1E3A"/>
    <w:rsid w:val="002E38D9"/>
    <w:rsid w:val="002E39B2"/>
    <w:rsid w:val="002F117B"/>
    <w:rsid w:val="002F155B"/>
    <w:rsid w:val="002F1DDE"/>
    <w:rsid w:val="002F40B6"/>
    <w:rsid w:val="002F5E7C"/>
    <w:rsid w:val="0030301A"/>
    <w:rsid w:val="003042CA"/>
    <w:rsid w:val="00307FCB"/>
    <w:rsid w:val="003117C7"/>
    <w:rsid w:val="003131DD"/>
    <w:rsid w:val="003172A2"/>
    <w:rsid w:val="003204AA"/>
    <w:rsid w:val="003261C3"/>
    <w:rsid w:val="00330A4E"/>
    <w:rsid w:val="00334B42"/>
    <w:rsid w:val="003361EF"/>
    <w:rsid w:val="00347588"/>
    <w:rsid w:val="003476CE"/>
    <w:rsid w:val="00352400"/>
    <w:rsid w:val="003557A5"/>
    <w:rsid w:val="003633A7"/>
    <w:rsid w:val="0036736B"/>
    <w:rsid w:val="00371EF4"/>
    <w:rsid w:val="003738A8"/>
    <w:rsid w:val="0037402C"/>
    <w:rsid w:val="003774C6"/>
    <w:rsid w:val="00377EAA"/>
    <w:rsid w:val="0038720A"/>
    <w:rsid w:val="0039164F"/>
    <w:rsid w:val="003A1565"/>
    <w:rsid w:val="003A174A"/>
    <w:rsid w:val="003B2CA6"/>
    <w:rsid w:val="003B31CB"/>
    <w:rsid w:val="003B3B5C"/>
    <w:rsid w:val="003B407F"/>
    <w:rsid w:val="003B731C"/>
    <w:rsid w:val="003C5EAF"/>
    <w:rsid w:val="003D5590"/>
    <w:rsid w:val="003D5C0B"/>
    <w:rsid w:val="003E03AB"/>
    <w:rsid w:val="003E0B62"/>
    <w:rsid w:val="003E6D20"/>
    <w:rsid w:val="003F3DCA"/>
    <w:rsid w:val="0040243C"/>
    <w:rsid w:val="00417A58"/>
    <w:rsid w:val="00422CBA"/>
    <w:rsid w:val="004260BF"/>
    <w:rsid w:val="00426D0A"/>
    <w:rsid w:val="00430E7F"/>
    <w:rsid w:val="00431F00"/>
    <w:rsid w:val="0043339A"/>
    <w:rsid w:val="00434E97"/>
    <w:rsid w:val="00436221"/>
    <w:rsid w:val="00442B0B"/>
    <w:rsid w:val="00445ACB"/>
    <w:rsid w:val="00447EA5"/>
    <w:rsid w:val="004525D1"/>
    <w:rsid w:val="00452DC0"/>
    <w:rsid w:val="004615FD"/>
    <w:rsid w:val="00464D2A"/>
    <w:rsid w:val="00466230"/>
    <w:rsid w:val="0047149E"/>
    <w:rsid w:val="0047154E"/>
    <w:rsid w:val="00475269"/>
    <w:rsid w:val="00477F4E"/>
    <w:rsid w:val="00485C52"/>
    <w:rsid w:val="00486C55"/>
    <w:rsid w:val="00487FBD"/>
    <w:rsid w:val="00493A45"/>
    <w:rsid w:val="00494169"/>
    <w:rsid w:val="0049484C"/>
    <w:rsid w:val="00496626"/>
    <w:rsid w:val="0049685B"/>
    <w:rsid w:val="004A5081"/>
    <w:rsid w:val="004A5EC3"/>
    <w:rsid w:val="004B05F6"/>
    <w:rsid w:val="004B0C21"/>
    <w:rsid w:val="004B2688"/>
    <w:rsid w:val="004B2F12"/>
    <w:rsid w:val="004B4F1D"/>
    <w:rsid w:val="004B5126"/>
    <w:rsid w:val="004B760B"/>
    <w:rsid w:val="004C011D"/>
    <w:rsid w:val="004C559F"/>
    <w:rsid w:val="004C6530"/>
    <w:rsid w:val="004C79BC"/>
    <w:rsid w:val="004D201D"/>
    <w:rsid w:val="004D2598"/>
    <w:rsid w:val="004D2D77"/>
    <w:rsid w:val="004D52A1"/>
    <w:rsid w:val="004E7E5C"/>
    <w:rsid w:val="004F5BAD"/>
    <w:rsid w:val="004F7CF1"/>
    <w:rsid w:val="00503ABD"/>
    <w:rsid w:val="005069D7"/>
    <w:rsid w:val="00510ED4"/>
    <w:rsid w:val="00516799"/>
    <w:rsid w:val="00520DAA"/>
    <w:rsid w:val="00521481"/>
    <w:rsid w:val="00521C5E"/>
    <w:rsid w:val="0052647D"/>
    <w:rsid w:val="00526D1C"/>
    <w:rsid w:val="00526FB3"/>
    <w:rsid w:val="0053005C"/>
    <w:rsid w:val="00531A17"/>
    <w:rsid w:val="00550841"/>
    <w:rsid w:val="00553F0F"/>
    <w:rsid w:val="00564BAE"/>
    <w:rsid w:val="005701F7"/>
    <w:rsid w:val="00570B9D"/>
    <w:rsid w:val="00572095"/>
    <w:rsid w:val="00574272"/>
    <w:rsid w:val="00582484"/>
    <w:rsid w:val="00584313"/>
    <w:rsid w:val="00585E38"/>
    <w:rsid w:val="00586FA7"/>
    <w:rsid w:val="00590146"/>
    <w:rsid w:val="00592575"/>
    <w:rsid w:val="00592B81"/>
    <w:rsid w:val="00592EAC"/>
    <w:rsid w:val="00593F07"/>
    <w:rsid w:val="00596CC5"/>
    <w:rsid w:val="00596FD4"/>
    <w:rsid w:val="005A0FB7"/>
    <w:rsid w:val="005A13F6"/>
    <w:rsid w:val="005A1709"/>
    <w:rsid w:val="005A21FC"/>
    <w:rsid w:val="005A326A"/>
    <w:rsid w:val="005A76A7"/>
    <w:rsid w:val="005B0953"/>
    <w:rsid w:val="005B1753"/>
    <w:rsid w:val="005B196D"/>
    <w:rsid w:val="005B23F7"/>
    <w:rsid w:val="005B37F2"/>
    <w:rsid w:val="005C354F"/>
    <w:rsid w:val="005D4E5E"/>
    <w:rsid w:val="005D51C9"/>
    <w:rsid w:val="005D7900"/>
    <w:rsid w:val="005D7E43"/>
    <w:rsid w:val="005E1053"/>
    <w:rsid w:val="005E41E8"/>
    <w:rsid w:val="0060043E"/>
    <w:rsid w:val="00604FA4"/>
    <w:rsid w:val="00606710"/>
    <w:rsid w:val="006132DB"/>
    <w:rsid w:val="00613533"/>
    <w:rsid w:val="006157B2"/>
    <w:rsid w:val="00615E3F"/>
    <w:rsid w:val="0062319F"/>
    <w:rsid w:val="00624202"/>
    <w:rsid w:val="00625149"/>
    <w:rsid w:val="00631ADA"/>
    <w:rsid w:val="00633D26"/>
    <w:rsid w:val="00640AE5"/>
    <w:rsid w:val="00641DBE"/>
    <w:rsid w:val="00643259"/>
    <w:rsid w:val="00643E59"/>
    <w:rsid w:val="00645F0F"/>
    <w:rsid w:val="006505F0"/>
    <w:rsid w:val="00651363"/>
    <w:rsid w:val="00661238"/>
    <w:rsid w:val="006613FE"/>
    <w:rsid w:val="006673B7"/>
    <w:rsid w:val="006724C0"/>
    <w:rsid w:val="0067385F"/>
    <w:rsid w:val="00674013"/>
    <w:rsid w:val="006755F2"/>
    <w:rsid w:val="00676311"/>
    <w:rsid w:val="006777F6"/>
    <w:rsid w:val="00684322"/>
    <w:rsid w:val="00685119"/>
    <w:rsid w:val="00695626"/>
    <w:rsid w:val="00695B1C"/>
    <w:rsid w:val="00696A33"/>
    <w:rsid w:val="006A27A0"/>
    <w:rsid w:val="006A2DE7"/>
    <w:rsid w:val="006A4D5D"/>
    <w:rsid w:val="006A5B20"/>
    <w:rsid w:val="006A5BE9"/>
    <w:rsid w:val="006B1760"/>
    <w:rsid w:val="006C2A2C"/>
    <w:rsid w:val="006C515E"/>
    <w:rsid w:val="006D0E77"/>
    <w:rsid w:val="006E2338"/>
    <w:rsid w:val="006E3C50"/>
    <w:rsid w:val="006E45D9"/>
    <w:rsid w:val="006F2228"/>
    <w:rsid w:val="0070754A"/>
    <w:rsid w:val="00721975"/>
    <w:rsid w:val="00722281"/>
    <w:rsid w:val="00726B06"/>
    <w:rsid w:val="007278B7"/>
    <w:rsid w:val="00735109"/>
    <w:rsid w:val="00741B64"/>
    <w:rsid w:val="00745692"/>
    <w:rsid w:val="00745E72"/>
    <w:rsid w:val="00750B74"/>
    <w:rsid w:val="00753F16"/>
    <w:rsid w:val="007608F8"/>
    <w:rsid w:val="00762F36"/>
    <w:rsid w:val="007666F1"/>
    <w:rsid w:val="00773DA6"/>
    <w:rsid w:val="00777FB2"/>
    <w:rsid w:val="00783168"/>
    <w:rsid w:val="007839B4"/>
    <w:rsid w:val="0079785B"/>
    <w:rsid w:val="00797952"/>
    <w:rsid w:val="007A03DF"/>
    <w:rsid w:val="007A6EA4"/>
    <w:rsid w:val="007A6FBD"/>
    <w:rsid w:val="007B00B0"/>
    <w:rsid w:val="007B6A3E"/>
    <w:rsid w:val="007B78F5"/>
    <w:rsid w:val="007B7912"/>
    <w:rsid w:val="007C1B93"/>
    <w:rsid w:val="007D0FD8"/>
    <w:rsid w:val="007D3E8C"/>
    <w:rsid w:val="007D4F6B"/>
    <w:rsid w:val="007D5BB1"/>
    <w:rsid w:val="007E1FFA"/>
    <w:rsid w:val="007E3AF0"/>
    <w:rsid w:val="007E3F24"/>
    <w:rsid w:val="007E65B4"/>
    <w:rsid w:val="007E7793"/>
    <w:rsid w:val="00801F23"/>
    <w:rsid w:val="00803116"/>
    <w:rsid w:val="00804BD1"/>
    <w:rsid w:val="0080538F"/>
    <w:rsid w:val="00807221"/>
    <w:rsid w:val="008148C9"/>
    <w:rsid w:val="0082168B"/>
    <w:rsid w:val="0082368D"/>
    <w:rsid w:val="00827C01"/>
    <w:rsid w:val="00833A3A"/>
    <w:rsid w:val="00841588"/>
    <w:rsid w:val="00843487"/>
    <w:rsid w:val="00844B10"/>
    <w:rsid w:val="0084738B"/>
    <w:rsid w:val="0085032C"/>
    <w:rsid w:val="00852587"/>
    <w:rsid w:val="00852FB6"/>
    <w:rsid w:val="00860F4D"/>
    <w:rsid w:val="00862DB1"/>
    <w:rsid w:val="008639D7"/>
    <w:rsid w:val="00876FC9"/>
    <w:rsid w:val="00881842"/>
    <w:rsid w:val="008913EF"/>
    <w:rsid w:val="00894DB8"/>
    <w:rsid w:val="00895661"/>
    <w:rsid w:val="00897738"/>
    <w:rsid w:val="008A7BD7"/>
    <w:rsid w:val="008B0CDA"/>
    <w:rsid w:val="008B1BF6"/>
    <w:rsid w:val="008C386E"/>
    <w:rsid w:val="008D0913"/>
    <w:rsid w:val="008D5624"/>
    <w:rsid w:val="008E65E6"/>
    <w:rsid w:val="008E71E2"/>
    <w:rsid w:val="008F0E1D"/>
    <w:rsid w:val="008F23BF"/>
    <w:rsid w:val="008F2670"/>
    <w:rsid w:val="008F363F"/>
    <w:rsid w:val="00903380"/>
    <w:rsid w:val="00903A34"/>
    <w:rsid w:val="009119A1"/>
    <w:rsid w:val="009121B9"/>
    <w:rsid w:val="009123E1"/>
    <w:rsid w:val="00912C99"/>
    <w:rsid w:val="00913BAB"/>
    <w:rsid w:val="00926E1D"/>
    <w:rsid w:val="00930D23"/>
    <w:rsid w:val="00935D14"/>
    <w:rsid w:val="00936D11"/>
    <w:rsid w:val="00946A77"/>
    <w:rsid w:val="0095054D"/>
    <w:rsid w:val="009526BD"/>
    <w:rsid w:val="0095541A"/>
    <w:rsid w:val="009560AE"/>
    <w:rsid w:val="00956CD7"/>
    <w:rsid w:val="0096442B"/>
    <w:rsid w:val="00964C2D"/>
    <w:rsid w:val="00967FDC"/>
    <w:rsid w:val="00974552"/>
    <w:rsid w:val="0098693B"/>
    <w:rsid w:val="009A4030"/>
    <w:rsid w:val="009A5B21"/>
    <w:rsid w:val="009B100A"/>
    <w:rsid w:val="009B4E97"/>
    <w:rsid w:val="009B6F07"/>
    <w:rsid w:val="009C1F76"/>
    <w:rsid w:val="009C3200"/>
    <w:rsid w:val="009C76E1"/>
    <w:rsid w:val="009C7F9B"/>
    <w:rsid w:val="009D72DE"/>
    <w:rsid w:val="009E67AB"/>
    <w:rsid w:val="009F2881"/>
    <w:rsid w:val="009F3D17"/>
    <w:rsid w:val="009F3DD4"/>
    <w:rsid w:val="00A002E7"/>
    <w:rsid w:val="00A0329E"/>
    <w:rsid w:val="00A036C2"/>
    <w:rsid w:val="00A03F78"/>
    <w:rsid w:val="00A1005A"/>
    <w:rsid w:val="00A11675"/>
    <w:rsid w:val="00A1409C"/>
    <w:rsid w:val="00A20376"/>
    <w:rsid w:val="00A204B1"/>
    <w:rsid w:val="00A224F6"/>
    <w:rsid w:val="00A273A2"/>
    <w:rsid w:val="00A279B8"/>
    <w:rsid w:val="00A31695"/>
    <w:rsid w:val="00A35EF2"/>
    <w:rsid w:val="00A37326"/>
    <w:rsid w:val="00A46D04"/>
    <w:rsid w:val="00A55F51"/>
    <w:rsid w:val="00A615FB"/>
    <w:rsid w:val="00A649D0"/>
    <w:rsid w:val="00A66104"/>
    <w:rsid w:val="00A66C6F"/>
    <w:rsid w:val="00A74640"/>
    <w:rsid w:val="00A767C3"/>
    <w:rsid w:val="00A806FC"/>
    <w:rsid w:val="00A875F7"/>
    <w:rsid w:val="00A90074"/>
    <w:rsid w:val="00A942E2"/>
    <w:rsid w:val="00A96CE1"/>
    <w:rsid w:val="00AA33C0"/>
    <w:rsid w:val="00AC2BF1"/>
    <w:rsid w:val="00AC4278"/>
    <w:rsid w:val="00AC5332"/>
    <w:rsid w:val="00AC6B55"/>
    <w:rsid w:val="00AD0168"/>
    <w:rsid w:val="00AD0193"/>
    <w:rsid w:val="00AD22CA"/>
    <w:rsid w:val="00AE00BA"/>
    <w:rsid w:val="00AF06FD"/>
    <w:rsid w:val="00AF1E9E"/>
    <w:rsid w:val="00AF29AD"/>
    <w:rsid w:val="00AF2D61"/>
    <w:rsid w:val="00AF5BD6"/>
    <w:rsid w:val="00B0260E"/>
    <w:rsid w:val="00B03318"/>
    <w:rsid w:val="00B03C13"/>
    <w:rsid w:val="00B063DA"/>
    <w:rsid w:val="00B15D11"/>
    <w:rsid w:val="00B20B7C"/>
    <w:rsid w:val="00B21D1C"/>
    <w:rsid w:val="00B33510"/>
    <w:rsid w:val="00B359DD"/>
    <w:rsid w:val="00B3756C"/>
    <w:rsid w:val="00B37E45"/>
    <w:rsid w:val="00B40053"/>
    <w:rsid w:val="00B45DCD"/>
    <w:rsid w:val="00B4747C"/>
    <w:rsid w:val="00B5340B"/>
    <w:rsid w:val="00B55790"/>
    <w:rsid w:val="00B6295C"/>
    <w:rsid w:val="00B6470F"/>
    <w:rsid w:val="00B674AF"/>
    <w:rsid w:val="00B67B64"/>
    <w:rsid w:val="00B706E1"/>
    <w:rsid w:val="00B75C78"/>
    <w:rsid w:val="00B77DB2"/>
    <w:rsid w:val="00B81645"/>
    <w:rsid w:val="00B867B3"/>
    <w:rsid w:val="00B87235"/>
    <w:rsid w:val="00B902C5"/>
    <w:rsid w:val="00B92C3D"/>
    <w:rsid w:val="00B94CC3"/>
    <w:rsid w:val="00BA2C0F"/>
    <w:rsid w:val="00BB028C"/>
    <w:rsid w:val="00BB2629"/>
    <w:rsid w:val="00BB37AC"/>
    <w:rsid w:val="00BB6591"/>
    <w:rsid w:val="00BC1DC8"/>
    <w:rsid w:val="00BC2271"/>
    <w:rsid w:val="00BC2513"/>
    <w:rsid w:val="00BD001D"/>
    <w:rsid w:val="00BD491D"/>
    <w:rsid w:val="00BD6980"/>
    <w:rsid w:val="00BE1D22"/>
    <w:rsid w:val="00BE24AB"/>
    <w:rsid w:val="00BE24C7"/>
    <w:rsid w:val="00BE48DD"/>
    <w:rsid w:val="00BE62B1"/>
    <w:rsid w:val="00BF3358"/>
    <w:rsid w:val="00C1287E"/>
    <w:rsid w:val="00C1512B"/>
    <w:rsid w:val="00C163D0"/>
    <w:rsid w:val="00C233C9"/>
    <w:rsid w:val="00C23E1C"/>
    <w:rsid w:val="00C24F6D"/>
    <w:rsid w:val="00C260A1"/>
    <w:rsid w:val="00C27B95"/>
    <w:rsid w:val="00C3754D"/>
    <w:rsid w:val="00C40045"/>
    <w:rsid w:val="00C404A0"/>
    <w:rsid w:val="00C44B45"/>
    <w:rsid w:val="00C51D79"/>
    <w:rsid w:val="00C5348F"/>
    <w:rsid w:val="00C54545"/>
    <w:rsid w:val="00C56B81"/>
    <w:rsid w:val="00C579A3"/>
    <w:rsid w:val="00C57AF1"/>
    <w:rsid w:val="00C6416E"/>
    <w:rsid w:val="00C643AB"/>
    <w:rsid w:val="00C664C4"/>
    <w:rsid w:val="00C727FD"/>
    <w:rsid w:val="00C8058D"/>
    <w:rsid w:val="00C80781"/>
    <w:rsid w:val="00C80CBC"/>
    <w:rsid w:val="00C842D9"/>
    <w:rsid w:val="00C905A0"/>
    <w:rsid w:val="00C946B2"/>
    <w:rsid w:val="00CA0E31"/>
    <w:rsid w:val="00CA104F"/>
    <w:rsid w:val="00CB27B0"/>
    <w:rsid w:val="00CB2E5A"/>
    <w:rsid w:val="00CB4BC6"/>
    <w:rsid w:val="00CB5EAD"/>
    <w:rsid w:val="00CB6F9D"/>
    <w:rsid w:val="00CB7F09"/>
    <w:rsid w:val="00CC02CD"/>
    <w:rsid w:val="00CC3D59"/>
    <w:rsid w:val="00CC4A1A"/>
    <w:rsid w:val="00CC794E"/>
    <w:rsid w:val="00CC7FBA"/>
    <w:rsid w:val="00CD33B5"/>
    <w:rsid w:val="00CE5C35"/>
    <w:rsid w:val="00CF4ECF"/>
    <w:rsid w:val="00CF4FE4"/>
    <w:rsid w:val="00D0021C"/>
    <w:rsid w:val="00D060B0"/>
    <w:rsid w:val="00D06C51"/>
    <w:rsid w:val="00D102F6"/>
    <w:rsid w:val="00D13558"/>
    <w:rsid w:val="00D13EB4"/>
    <w:rsid w:val="00D15BD9"/>
    <w:rsid w:val="00D179F0"/>
    <w:rsid w:val="00D24230"/>
    <w:rsid w:val="00D35870"/>
    <w:rsid w:val="00D40043"/>
    <w:rsid w:val="00D41088"/>
    <w:rsid w:val="00D4251E"/>
    <w:rsid w:val="00D44EC7"/>
    <w:rsid w:val="00D50EA6"/>
    <w:rsid w:val="00D5120A"/>
    <w:rsid w:val="00D55AE3"/>
    <w:rsid w:val="00D55EFE"/>
    <w:rsid w:val="00D61A4F"/>
    <w:rsid w:val="00D62BE8"/>
    <w:rsid w:val="00D640BE"/>
    <w:rsid w:val="00D66C1B"/>
    <w:rsid w:val="00D67431"/>
    <w:rsid w:val="00D74A0C"/>
    <w:rsid w:val="00D76FCA"/>
    <w:rsid w:val="00D77BFD"/>
    <w:rsid w:val="00D80C36"/>
    <w:rsid w:val="00D8117A"/>
    <w:rsid w:val="00D81665"/>
    <w:rsid w:val="00D81882"/>
    <w:rsid w:val="00D83DC3"/>
    <w:rsid w:val="00D8403E"/>
    <w:rsid w:val="00D8476A"/>
    <w:rsid w:val="00D84DF8"/>
    <w:rsid w:val="00D91A47"/>
    <w:rsid w:val="00DB18F5"/>
    <w:rsid w:val="00DC0270"/>
    <w:rsid w:val="00DC0E22"/>
    <w:rsid w:val="00DC453B"/>
    <w:rsid w:val="00DC5D91"/>
    <w:rsid w:val="00DC6FD4"/>
    <w:rsid w:val="00DE1ED5"/>
    <w:rsid w:val="00DE1F9E"/>
    <w:rsid w:val="00DE738A"/>
    <w:rsid w:val="00DE7BE8"/>
    <w:rsid w:val="00DF3DA9"/>
    <w:rsid w:val="00DF483A"/>
    <w:rsid w:val="00DF4F8B"/>
    <w:rsid w:val="00DF761A"/>
    <w:rsid w:val="00E02231"/>
    <w:rsid w:val="00E0615C"/>
    <w:rsid w:val="00E10248"/>
    <w:rsid w:val="00E13DCA"/>
    <w:rsid w:val="00E170A2"/>
    <w:rsid w:val="00E1742E"/>
    <w:rsid w:val="00E22816"/>
    <w:rsid w:val="00E2315F"/>
    <w:rsid w:val="00E23986"/>
    <w:rsid w:val="00E258F5"/>
    <w:rsid w:val="00E36B76"/>
    <w:rsid w:val="00E3765F"/>
    <w:rsid w:val="00E45A5C"/>
    <w:rsid w:val="00E50122"/>
    <w:rsid w:val="00E501B6"/>
    <w:rsid w:val="00E558F1"/>
    <w:rsid w:val="00E6111F"/>
    <w:rsid w:val="00E6128B"/>
    <w:rsid w:val="00E648EC"/>
    <w:rsid w:val="00E65CAC"/>
    <w:rsid w:val="00E70624"/>
    <w:rsid w:val="00E70EC9"/>
    <w:rsid w:val="00E71230"/>
    <w:rsid w:val="00E72B22"/>
    <w:rsid w:val="00E738F0"/>
    <w:rsid w:val="00E77655"/>
    <w:rsid w:val="00E8019E"/>
    <w:rsid w:val="00E83651"/>
    <w:rsid w:val="00E8427B"/>
    <w:rsid w:val="00E85708"/>
    <w:rsid w:val="00E910F2"/>
    <w:rsid w:val="00E91933"/>
    <w:rsid w:val="00E932E7"/>
    <w:rsid w:val="00E96FA0"/>
    <w:rsid w:val="00EA43C0"/>
    <w:rsid w:val="00EB493D"/>
    <w:rsid w:val="00EB63BD"/>
    <w:rsid w:val="00EB713E"/>
    <w:rsid w:val="00EB7302"/>
    <w:rsid w:val="00EC0489"/>
    <w:rsid w:val="00EC2F46"/>
    <w:rsid w:val="00EC3D2D"/>
    <w:rsid w:val="00ED23A1"/>
    <w:rsid w:val="00ED36F6"/>
    <w:rsid w:val="00EE2BBB"/>
    <w:rsid w:val="00EE459C"/>
    <w:rsid w:val="00EE6096"/>
    <w:rsid w:val="00EE6884"/>
    <w:rsid w:val="00EE6CBA"/>
    <w:rsid w:val="00EF12AB"/>
    <w:rsid w:val="00EF6DF9"/>
    <w:rsid w:val="00EF6EF0"/>
    <w:rsid w:val="00EF7BA7"/>
    <w:rsid w:val="00F01E85"/>
    <w:rsid w:val="00F13947"/>
    <w:rsid w:val="00F1442B"/>
    <w:rsid w:val="00F21906"/>
    <w:rsid w:val="00F22589"/>
    <w:rsid w:val="00F23046"/>
    <w:rsid w:val="00F256D8"/>
    <w:rsid w:val="00F26DE0"/>
    <w:rsid w:val="00F30E14"/>
    <w:rsid w:val="00F31779"/>
    <w:rsid w:val="00F362A1"/>
    <w:rsid w:val="00F55C85"/>
    <w:rsid w:val="00F56B3F"/>
    <w:rsid w:val="00F66CF2"/>
    <w:rsid w:val="00F77494"/>
    <w:rsid w:val="00F85B69"/>
    <w:rsid w:val="00F918AA"/>
    <w:rsid w:val="00F933B8"/>
    <w:rsid w:val="00FA2904"/>
    <w:rsid w:val="00FA4597"/>
    <w:rsid w:val="00FA5721"/>
    <w:rsid w:val="00FB75C9"/>
    <w:rsid w:val="00FC132D"/>
    <w:rsid w:val="00FC716A"/>
    <w:rsid w:val="00FD0C42"/>
    <w:rsid w:val="00FD2DA2"/>
    <w:rsid w:val="00FD3A49"/>
    <w:rsid w:val="00FD7D18"/>
    <w:rsid w:val="00FE3A5F"/>
    <w:rsid w:val="00FF3376"/>
    <w:rsid w:val="00FF3403"/>
    <w:rsid w:val="00FF777F"/>
    <w:rsid w:val="0B34E9C5"/>
    <w:rsid w:val="2082383C"/>
    <w:rsid w:val="216C3CA9"/>
    <w:rsid w:val="34FE9E15"/>
    <w:rsid w:val="7A4C8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DE1498E2-CB42-4009-B0C5-55D234D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character" w:styleId="FollowedHyperlink">
    <w:name w:val="FollowedHyperlink"/>
    <w:basedOn w:val="DefaultParagraphFont"/>
    <w:uiPriority w:val="99"/>
    <w:semiHidden/>
    <w:unhideWhenUsed/>
    <w:rsid w:val="00833A3A"/>
    <w:rPr>
      <w:color w:val="954F72" w:themeColor="followedHyperlink"/>
      <w:u w:val="single"/>
    </w:rPr>
  </w:style>
  <w:style w:type="character" w:styleId="UnresolvedMention">
    <w:name w:val="Unresolved Mention"/>
    <w:basedOn w:val="DefaultParagraphFont"/>
    <w:uiPriority w:val="99"/>
    <w:semiHidden/>
    <w:unhideWhenUsed/>
    <w:rsid w:val="00833A3A"/>
    <w:rPr>
      <w:color w:val="605E5C"/>
      <w:shd w:val="clear" w:color="auto" w:fill="E1DFDD"/>
    </w:rPr>
  </w:style>
  <w:style w:type="character" w:customStyle="1" w:styleId="cf01">
    <w:name w:val="cf01"/>
    <w:basedOn w:val="DefaultParagraphFont"/>
    <w:rsid w:val="009E67AB"/>
    <w:rPr>
      <w:rFonts w:ascii="Segoe UI" w:hAnsi="Segoe UI" w:cs="Segoe UI" w:hint="default"/>
      <w:sz w:val="18"/>
      <w:szCs w:val="18"/>
    </w:rPr>
  </w:style>
  <w:style w:type="paragraph" w:styleId="Revision">
    <w:name w:val="Revision"/>
    <w:hidden/>
    <w:uiPriority w:val="99"/>
    <w:semiHidden/>
    <w:rsid w:val="003E0B62"/>
    <w:pPr>
      <w:spacing w:after="0" w:line="240" w:lineRule="auto"/>
    </w:pPr>
    <w:rPr>
      <w:rFonts w:ascii="Calibri" w:hAnsi="Calibri" w:cs="Calibri"/>
      <w:lang w:val="nl-NL"/>
    </w:rPr>
  </w:style>
  <w:style w:type="paragraph" w:styleId="FootnoteText">
    <w:name w:val="footnote text"/>
    <w:basedOn w:val="Normal"/>
    <w:link w:val="FootnoteTextChar"/>
    <w:uiPriority w:val="99"/>
    <w:semiHidden/>
    <w:unhideWhenUsed/>
    <w:rsid w:val="00862DB1"/>
    <w:rPr>
      <w:sz w:val="20"/>
      <w:szCs w:val="20"/>
    </w:rPr>
  </w:style>
  <w:style w:type="character" w:customStyle="1" w:styleId="FootnoteTextChar">
    <w:name w:val="Footnote Text Char"/>
    <w:basedOn w:val="DefaultParagraphFont"/>
    <w:link w:val="FootnoteText"/>
    <w:uiPriority w:val="99"/>
    <w:semiHidden/>
    <w:rsid w:val="00862DB1"/>
    <w:rPr>
      <w:rFonts w:ascii="Calibri" w:hAnsi="Calibri" w:cs="Calibri"/>
      <w:sz w:val="20"/>
      <w:szCs w:val="20"/>
      <w:lang w:val="nl-NL"/>
    </w:rPr>
  </w:style>
  <w:style w:type="character" w:styleId="FootnoteReference">
    <w:name w:val="footnote reference"/>
    <w:basedOn w:val="DefaultParagraphFont"/>
    <w:uiPriority w:val="99"/>
    <w:semiHidden/>
    <w:unhideWhenUsed/>
    <w:rsid w:val="00862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550">
      <w:bodyDiv w:val="1"/>
      <w:marLeft w:val="0"/>
      <w:marRight w:val="0"/>
      <w:marTop w:val="0"/>
      <w:marBottom w:val="0"/>
      <w:divBdr>
        <w:top w:val="none" w:sz="0" w:space="0" w:color="auto"/>
        <w:left w:val="none" w:sz="0" w:space="0" w:color="auto"/>
        <w:bottom w:val="none" w:sz="0" w:space="0" w:color="auto"/>
        <w:right w:val="none" w:sz="0" w:space="0" w:color="auto"/>
      </w:divBdr>
    </w:div>
    <w:div w:id="6756414">
      <w:bodyDiv w:val="1"/>
      <w:marLeft w:val="0"/>
      <w:marRight w:val="0"/>
      <w:marTop w:val="0"/>
      <w:marBottom w:val="0"/>
      <w:divBdr>
        <w:top w:val="none" w:sz="0" w:space="0" w:color="auto"/>
        <w:left w:val="none" w:sz="0" w:space="0" w:color="auto"/>
        <w:bottom w:val="none" w:sz="0" w:space="0" w:color="auto"/>
        <w:right w:val="none" w:sz="0" w:space="0" w:color="auto"/>
      </w:divBdr>
    </w:div>
    <w:div w:id="75707248">
      <w:bodyDiv w:val="1"/>
      <w:marLeft w:val="0"/>
      <w:marRight w:val="0"/>
      <w:marTop w:val="0"/>
      <w:marBottom w:val="0"/>
      <w:divBdr>
        <w:top w:val="none" w:sz="0" w:space="0" w:color="auto"/>
        <w:left w:val="none" w:sz="0" w:space="0" w:color="auto"/>
        <w:bottom w:val="none" w:sz="0" w:space="0" w:color="auto"/>
        <w:right w:val="none" w:sz="0" w:space="0" w:color="auto"/>
      </w:divBdr>
    </w:div>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366490018">
      <w:bodyDiv w:val="1"/>
      <w:marLeft w:val="0"/>
      <w:marRight w:val="0"/>
      <w:marTop w:val="0"/>
      <w:marBottom w:val="0"/>
      <w:divBdr>
        <w:top w:val="none" w:sz="0" w:space="0" w:color="auto"/>
        <w:left w:val="none" w:sz="0" w:space="0" w:color="auto"/>
        <w:bottom w:val="none" w:sz="0" w:space="0" w:color="auto"/>
        <w:right w:val="none" w:sz="0" w:space="0" w:color="auto"/>
      </w:divBdr>
    </w:div>
    <w:div w:id="625699182">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910118656">
      <w:bodyDiv w:val="1"/>
      <w:marLeft w:val="0"/>
      <w:marRight w:val="0"/>
      <w:marTop w:val="0"/>
      <w:marBottom w:val="0"/>
      <w:divBdr>
        <w:top w:val="none" w:sz="0" w:space="0" w:color="auto"/>
        <w:left w:val="none" w:sz="0" w:space="0" w:color="auto"/>
        <w:bottom w:val="none" w:sz="0" w:space="0" w:color="auto"/>
        <w:right w:val="none" w:sz="0" w:space="0" w:color="auto"/>
      </w:divBdr>
    </w:div>
    <w:div w:id="929966625">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183784809">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325091447">
      <w:bodyDiv w:val="1"/>
      <w:marLeft w:val="0"/>
      <w:marRight w:val="0"/>
      <w:marTop w:val="0"/>
      <w:marBottom w:val="0"/>
      <w:divBdr>
        <w:top w:val="none" w:sz="0" w:space="0" w:color="auto"/>
        <w:left w:val="none" w:sz="0" w:space="0" w:color="auto"/>
        <w:bottom w:val="none" w:sz="0" w:space="0" w:color="auto"/>
        <w:right w:val="none" w:sz="0" w:space="0" w:color="auto"/>
      </w:divBdr>
    </w:div>
    <w:div w:id="1425375067">
      <w:bodyDiv w:val="1"/>
      <w:marLeft w:val="0"/>
      <w:marRight w:val="0"/>
      <w:marTop w:val="0"/>
      <w:marBottom w:val="0"/>
      <w:divBdr>
        <w:top w:val="none" w:sz="0" w:space="0" w:color="auto"/>
        <w:left w:val="none" w:sz="0" w:space="0" w:color="auto"/>
        <w:bottom w:val="none" w:sz="0" w:space="0" w:color="auto"/>
        <w:right w:val="none" w:sz="0" w:space="0" w:color="auto"/>
      </w:divBdr>
    </w:div>
    <w:div w:id="1703743420">
      <w:bodyDiv w:val="1"/>
      <w:marLeft w:val="0"/>
      <w:marRight w:val="0"/>
      <w:marTop w:val="0"/>
      <w:marBottom w:val="0"/>
      <w:divBdr>
        <w:top w:val="none" w:sz="0" w:space="0" w:color="auto"/>
        <w:left w:val="none" w:sz="0" w:space="0" w:color="auto"/>
        <w:bottom w:val="none" w:sz="0" w:space="0" w:color="auto"/>
        <w:right w:val="none" w:sz="0" w:space="0" w:color="auto"/>
      </w:divBdr>
    </w:div>
    <w:div w:id="1781753413">
      <w:bodyDiv w:val="1"/>
      <w:marLeft w:val="0"/>
      <w:marRight w:val="0"/>
      <w:marTop w:val="0"/>
      <w:marBottom w:val="0"/>
      <w:divBdr>
        <w:top w:val="none" w:sz="0" w:space="0" w:color="auto"/>
        <w:left w:val="none" w:sz="0" w:space="0" w:color="auto"/>
        <w:bottom w:val="none" w:sz="0" w:space="0" w:color="auto"/>
        <w:right w:val="none" w:sz="0" w:space="0" w:color="auto"/>
      </w:divBdr>
    </w:div>
    <w:div w:id="1911887882">
      <w:bodyDiv w:val="1"/>
      <w:marLeft w:val="0"/>
      <w:marRight w:val="0"/>
      <w:marTop w:val="0"/>
      <w:marBottom w:val="0"/>
      <w:divBdr>
        <w:top w:val="none" w:sz="0" w:space="0" w:color="auto"/>
        <w:left w:val="none" w:sz="0" w:space="0" w:color="auto"/>
        <w:bottom w:val="none" w:sz="0" w:space="0" w:color="auto"/>
        <w:right w:val="none" w:sz="0" w:space="0" w:color="auto"/>
      </w:divBdr>
    </w:div>
    <w:div w:id="1937126731">
      <w:bodyDiv w:val="1"/>
      <w:marLeft w:val="0"/>
      <w:marRight w:val="0"/>
      <w:marTop w:val="0"/>
      <w:marBottom w:val="0"/>
      <w:divBdr>
        <w:top w:val="none" w:sz="0" w:space="0" w:color="auto"/>
        <w:left w:val="none" w:sz="0" w:space="0" w:color="auto"/>
        <w:bottom w:val="none" w:sz="0" w:space="0" w:color="auto"/>
        <w:right w:val="none" w:sz="0" w:space="0" w:color="auto"/>
      </w:divBdr>
    </w:div>
    <w:div w:id="2002005279">
      <w:bodyDiv w:val="1"/>
      <w:marLeft w:val="0"/>
      <w:marRight w:val="0"/>
      <w:marTop w:val="0"/>
      <w:marBottom w:val="0"/>
      <w:divBdr>
        <w:top w:val="none" w:sz="0" w:space="0" w:color="auto"/>
        <w:left w:val="none" w:sz="0" w:space="0" w:color="auto"/>
        <w:bottom w:val="none" w:sz="0" w:space="0" w:color="auto"/>
        <w:right w:val="none" w:sz="0" w:space="0" w:color="auto"/>
      </w:divBdr>
    </w:div>
    <w:div w:id="206663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2122</ap:Words>
  <ap:Characters>11675</ap:Characters>
  <ap:DocSecurity>0</ap:DocSecurity>
  <ap:Lines>97</ap:Lines>
  <ap:Paragraphs>27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Uitwerkingsbrief BHOS 2022 (maartbrief)</vt:lpstr>
      <vt:lpstr>Uitwerkingsbrief BHOS 2022 (maartbrief)</vt:lpstr>
    </vt:vector>
  </ap:TitlesOfParts>
  <ap:LinksUpToDate>false</ap:LinksUpToDate>
  <ap:CharactersWithSpaces>13770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2024-11-06T18:41:00.0000000Z</lastPrinted>
  <dcterms:created xsi:type="dcterms:W3CDTF">2025-09-17T11:43:00.0000000Z</dcterms:created>
  <dcterms:modified xsi:type="dcterms:W3CDTF">2025-10-03T12:02:00.0000000Z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DepartementDirectie">
    <vt:lpwstr>2;#FEZ|373dcec0-742b-4b0b-82fd-da9f3dd3c25f</vt:lpwstr>
  </property>
  <property fmtid="{D5CDD505-2E9C-101B-9397-08002B2CF9AE}" pid="4" name="_dlc_DocIdItemGuid">
    <vt:lpwstr>c205154c-cbf8-4748-ba47-78bb98efba29</vt:lpwstr>
  </property>
  <property fmtid="{D5CDD505-2E9C-101B-9397-08002B2CF9AE}" pid="5" name="_docset_NoMedatataSyncRequired">
    <vt:lpwstr>False</vt:lpwstr>
  </property>
  <property fmtid="{D5CDD505-2E9C-101B-9397-08002B2CF9AE}" pid="6" name="BZ_Country">
    <vt:lpwstr>10;#Not applicable|ec01d90b-9d0f-4785-8785-e1ea615196bf</vt:lpwstr>
  </property>
  <property fmtid="{D5CDD505-2E9C-101B-9397-08002B2CF9AE}" pid="7" name="BZ_Classification">
    <vt:lpwstr>4;#UNCLASSIFIED|d92c6340-bc14-4cb2-a9a6-6deda93c493b;#5;#NO MARKING|879e64ec-6597-483b-94db-f5f70afd7299</vt:lpwstr>
  </property>
  <property fmtid="{D5CDD505-2E9C-101B-9397-08002B2CF9AE}" pid="8" name="BZ_Forum">
    <vt:lpwstr>3;#Not applicable|0049e722-bfb1-4a3f-9d08-af7366a9af40</vt:lpwstr>
  </property>
  <property fmtid="{D5CDD505-2E9C-101B-9397-08002B2CF9AE}" pid="9" name="BZ_Theme">
    <vt:lpwstr>9;#Budget and accountability|72935488-e8d7-4765-95c3-88216b1ea696</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BZTheme">
    <vt:lpwstr>391;#Development cooperation general|380d0ef2-9ec9-4294-9181-2e77a680c18c;#40;#Humanitarian aid general|67032a61-48a4-40cb-b0a3-d3ce348f6e26</vt:lpwstr>
  </property>
  <property fmtid="{D5CDD505-2E9C-101B-9397-08002B2CF9AE}" pid="19" name="BZCountryState">
    <vt:lpwstr>18;#Ukraine|1d0b3b4a-20e6-48f4-9620-63d5fcfa06a4</vt:lpwstr>
  </property>
  <property fmtid="{D5CDD505-2E9C-101B-9397-08002B2CF9AE}" pid="20" name="BZMarking">
    <vt:lpwstr>5;#NO MARKING|0a4eb9ae-69eb-4d9e-b573-43ab99ef8592</vt:lpwstr>
  </property>
  <property fmtid="{D5CDD505-2E9C-101B-9397-08002B2CF9AE}" pid="21" name="BZClassification">
    <vt:lpwstr>4;#UNCLASSIFIED (U)|284e6a62-15ab-4017-be27-a1e965f4e940</vt:lpwstr>
  </property>
</Properties>
</file>