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2025Z18684</w:t>
        <w:br/>
      </w:r>
      <w:proofErr w:type="spellEnd"/>
    </w:p>
    <w:p>
      <w:pPr>
        <w:pStyle w:val="Normal"/>
        <w:rPr>
          <w:b w:val="1"/>
          <w:bCs w:val="1"/>
        </w:rPr>
      </w:pPr>
      <w:r w:rsidR="250AE766">
        <w:rPr>
          <w:b w:val="0"/>
          <w:bCs w:val="0"/>
        </w:rPr>
        <w:t>(ingezonden 3 oktober 2025)</w:t>
        <w:br/>
      </w:r>
    </w:p>
    <w:p>
      <w:r>
        <w:t xml:space="preserve">Vragen van het lid Van der Werf (D66) aan de staatssecretarissen van Binnenlandse Zaken en Koninkrijksrelaties en van Financiën over de brief van de staatsecretaris van Financiën aan de kamer ‘Overstap kantoorautomatisering naar M365’ .</w:t>
      </w:r>
      <w:r>
        <w:br/>
      </w:r>
    </w:p>
    <w:p>
      <w:pPr>
        <w:pStyle w:val="ListParagraph"/>
        <w:numPr>
          <w:ilvl w:val="0"/>
          <w:numId w:val="100488370"/>
        </w:numPr>
        <w:ind w:left="360"/>
      </w:pPr>
      <w:r>
        <w:t xml:space="preserve">In de brief wordt gesteld dat Europese alternatieven binnen afzienbare termijn niet voldoen aan het niveau van Microsoft 365; welke Europese alternatieven zijn onderzocht voordat de keuze gemaakt is voor Microsoft?</w:t>
      </w:r>
      <w:r>
        <w:br/>
      </w:r>
    </w:p>
    <w:p>
      <w:pPr>
        <w:pStyle w:val="ListParagraph"/>
        <w:numPr>
          <w:ilvl w:val="0"/>
          <w:numId w:val="100488370"/>
        </w:numPr>
        <w:ind w:left="360"/>
      </w:pPr>
      <w:r>
        <w:t xml:space="preserve">Welke tekortkomingen zijn vastgesteld bij deze Europese aanbieders die ertoe hebben geleid dat zij niet als toereikend alternatief zijn aangemerkt?</w:t>
      </w:r>
      <w:r>
        <w:br/>
      </w:r>
    </w:p>
    <w:p>
      <w:pPr>
        <w:pStyle w:val="ListParagraph"/>
        <w:numPr>
          <w:ilvl w:val="0"/>
          <w:numId w:val="100488370"/>
        </w:numPr>
        <w:ind w:left="360"/>
      </w:pPr>
      <w:r>
        <w:t xml:space="preserve">Kunt u toelichten aan welke vereisten en prestatienormen Europese aanbieders moeten voldoen om wel als een toereikend alternatief te kunnen gelden voor Microsoft 365?</w:t>
      </w:r>
      <w:r>
        <w:br/>
      </w:r>
    </w:p>
    <w:p>
      <w:pPr>
        <w:pStyle w:val="ListParagraph"/>
        <w:numPr>
          <w:ilvl w:val="0"/>
          <w:numId w:val="100488370"/>
        </w:numPr>
        <w:ind w:left="360"/>
      </w:pPr>
      <w:r>
        <w:t xml:space="preserve">Is er perspectief op een Europees alternatief dat wel kan dienen als een alternatief voor Microsoft 365? Zo ja, welke aanbieder(s) worden dan als kansrijk beschouwd?</w:t>
      </w:r>
      <w:r>
        <w:br/>
      </w:r>
    </w:p>
    <w:p>
      <w:pPr>
        <w:pStyle w:val="ListParagraph"/>
        <w:numPr>
          <w:ilvl w:val="0"/>
          <w:numId w:val="100488370"/>
        </w:numPr>
        <w:ind w:left="360"/>
      </w:pPr>
      <w:r>
        <w:t xml:space="preserve">Welke maatregelen worden er op dit moment genomen om de ontwikkeling en verbetering van Europese cloud- en software-alternatieven te stimuleren en te versnellen, zodat deze in de toekomst als volwaardig alternatief voor Microsoft 365 kunnen dienen?</w:t>
      </w:r>
      <w:r>
        <w:br/>
      </w:r>
    </w:p>
    <w:p>
      <w:pPr>
        <w:pStyle w:val="ListParagraph"/>
        <w:numPr>
          <w:ilvl w:val="0"/>
          <w:numId w:val="100488370"/>
        </w:numPr>
        <w:ind w:left="360"/>
      </w:pPr>
      <w:r>
        <w:t xml:space="preserve">In berichtgeving van NRC wordt gesteld dat een van de redenen dat het gebruik van Microsoft 365 toch is doorgezet, is dat er al een aanbetaling was gedaan. In hoeverre heeft dit een rol gespeeld in de uiteindelijke besluitvorming? 1)</w:t>
      </w:r>
      <w:r>
        <w:br/>
      </w:r>
    </w:p>
    <w:p>
      <w:pPr>
        <w:pStyle w:val="ListParagraph"/>
        <w:numPr>
          <w:ilvl w:val="0"/>
          <w:numId w:val="100488370"/>
        </w:numPr>
        <w:ind w:left="360"/>
      </w:pPr>
      <w:r>
        <w:t xml:space="preserve">Welke technische en contractuele maatregelen zijn getroffen om te zorgen dat de Amerikaanse overheid niet zomaar toegang heeft tot Nederlandse overheidsdata?</w:t>
      </w:r>
      <w:r>
        <w:br/>
      </w:r>
    </w:p>
    <w:p>
      <w:r>
        <w:t xml:space="preserve"> </w:t>
      </w:r>
      <w:r>
        <w:br/>
      </w:r>
    </w:p>
    <w:p>
      <w:r>
        <w:t xml:space="preserve">1) NRC, 2 oktober 2025, 'Belastingdienst gaat alsnog de Microsoftcloud in', www.nrc.nl/nieuws/2025/10/02/belastingdienst-gaat-alsnog-de-microsoftcloud-in-a4908228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