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6007" w:rsidR="003C547F" w:rsidP="002C7575" w:rsidRDefault="003C547F" w14:paraId="3A09B8C3" w14:textId="65C3C40B">
      <w:pPr>
        <w:pStyle w:val="Normaalweb"/>
        <w:ind w:left="1410" w:hanging="1410"/>
        <w:rPr>
          <w:b/>
          <w:bCs/>
          <w:color w:val="000000" w:themeColor="text1"/>
        </w:rPr>
      </w:pPr>
      <w:r w:rsidRPr="00EF6007">
        <w:rPr>
          <w:b/>
          <w:bCs/>
          <w:color w:val="000000"/>
        </w:rPr>
        <w:t xml:space="preserve">36 792 </w:t>
      </w:r>
      <w:r w:rsidR="002C7575">
        <w:rPr>
          <w:b/>
          <w:bCs/>
          <w:color w:val="000000"/>
        </w:rPr>
        <w:tab/>
      </w:r>
      <w:r w:rsidRPr="00EF6007">
        <w:rPr>
          <w:b/>
          <w:bCs/>
          <w:color w:val="000000" w:themeColor="text1"/>
        </w:rPr>
        <w:t>Wijziging van de Wet tegemoetkomingen loondomein teneinde voor een nieuwe werkgever een recht te regelen op een loonkostenvoordeel voor de resterende duur daarvan</w:t>
      </w:r>
    </w:p>
    <w:p w:rsidRPr="00EF6007" w:rsidR="003C547F" w:rsidP="002C7575" w:rsidRDefault="003C547F" w14:paraId="3CD75AEE" w14:textId="0B928F5F">
      <w:pPr>
        <w:pStyle w:val="Normaalweb"/>
        <w:ind w:left="1410" w:hanging="1410"/>
        <w:rPr>
          <w:rFonts w:ascii="Times" w:hAnsi="Times"/>
          <w:color w:val="000000"/>
        </w:rPr>
      </w:pPr>
      <w:r w:rsidRPr="002C7575">
        <w:rPr>
          <w:rFonts w:ascii="Times" w:hAnsi="Times"/>
          <w:b/>
          <w:bCs/>
          <w:color w:val="000000"/>
        </w:rPr>
        <w:t xml:space="preserve">Nr. </w:t>
      </w:r>
      <w:r w:rsidR="002C7575">
        <w:rPr>
          <w:rFonts w:ascii="Times" w:hAnsi="Times"/>
          <w:b/>
          <w:bCs/>
          <w:color w:val="000000"/>
        </w:rPr>
        <w:t>5</w:t>
      </w:r>
      <w:r w:rsidRPr="002C7575" w:rsidR="002C7575">
        <w:rPr>
          <w:rFonts w:ascii="Times" w:hAnsi="Times"/>
          <w:b/>
          <w:bCs/>
          <w:color w:val="000000"/>
        </w:rPr>
        <w:tab/>
      </w:r>
      <w:r w:rsidRPr="002C7575" w:rsidR="002C7575">
        <w:rPr>
          <w:rFonts w:ascii="Times" w:hAnsi="Times"/>
          <w:b/>
          <w:bCs/>
          <w:color w:val="000000"/>
        </w:rPr>
        <w:tab/>
      </w:r>
      <w:r w:rsidRPr="002C7575">
        <w:rPr>
          <w:rFonts w:ascii="Times" w:hAnsi="Times"/>
          <w:b/>
          <w:bCs/>
          <w:color w:val="000000"/>
        </w:rPr>
        <w:t>VERSLAG</w:t>
      </w:r>
      <w:r w:rsidRPr="002C7575" w:rsidR="002C7575">
        <w:rPr>
          <w:rFonts w:ascii="Times" w:hAnsi="Times"/>
          <w:b/>
          <w:bCs/>
          <w:color w:val="000000"/>
        </w:rPr>
        <w:br/>
      </w:r>
      <w:r w:rsidRPr="00EF6007">
        <w:rPr>
          <w:rFonts w:ascii="Times" w:hAnsi="Times"/>
          <w:color w:val="000000"/>
        </w:rPr>
        <w:t>Vastgesteld 1 oktober 2025</w:t>
      </w:r>
    </w:p>
    <w:p w:rsidRPr="00EF6007" w:rsidR="003C547F" w:rsidP="003C547F" w:rsidRDefault="003C547F" w14:paraId="2CC82871" w14:textId="77777777">
      <w:pPr>
        <w:pStyle w:val="Normaalweb"/>
        <w:rPr>
          <w:rFonts w:ascii="Times" w:hAnsi="Times"/>
          <w:color w:val="000000"/>
        </w:rPr>
      </w:pPr>
      <w:r w:rsidRPr="00EF6007">
        <w:rPr>
          <w:rFonts w:ascii="Times" w:hAnsi="Times"/>
          <w:color w:val="000000"/>
        </w:rPr>
        <w:t>De vaste commissie voor Sociale Zaken en Werkgelegenheid, belast met het voorbereidend onderzoek van voorliggend wetsvoorstel, heeft de eer als volgt verslag uit te brengen van haar bevindingen.</w:t>
      </w:r>
    </w:p>
    <w:p w:rsidRPr="00EF6007" w:rsidR="009F4EC5" w:rsidP="003C547F" w:rsidRDefault="003C547F" w14:paraId="48ED8544" w14:textId="77777777">
      <w:pPr>
        <w:pStyle w:val="Normaalweb"/>
        <w:rPr>
          <w:rFonts w:ascii="Times" w:hAnsi="Times"/>
          <w:color w:val="000000"/>
        </w:rPr>
      </w:pPr>
      <w:r w:rsidRPr="00EF6007">
        <w:rPr>
          <w:rFonts w:ascii="Times" w:hAnsi="Times"/>
          <w:color w:val="000000"/>
        </w:rPr>
        <w:t>Onder het voorbehoud dat de in het verslag opgenomen vragen en opmerkingen afdoende door de regering worden beantwoord acht de commissie de openbare behandeling van het wetsvoorstel voldoende voorbereid.</w:t>
      </w:r>
    </w:p>
    <w:p w:rsidR="009F4EC5" w:rsidP="003C547F" w:rsidRDefault="009F4EC5" w14:paraId="3FD6B534" w14:textId="77777777">
      <w:pPr>
        <w:pStyle w:val="Normaalweb"/>
        <w:rPr>
          <w:rFonts w:ascii="Times" w:hAnsi="Times"/>
          <w:color w:val="000000"/>
          <w:sz w:val="27"/>
          <w:szCs w:val="27"/>
        </w:rPr>
      </w:pPr>
    </w:p>
    <w:p w:rsidRPr="009F4EC5" w:rsidR="009F4EC5" w:rsidP="003C547F" w:rsidRDefault="009F4EC5" w14:paraId="2DF3C29A" w14:textId="181A2415">
      <w:pPr>
        <w:pStyle w:val="Normaalweb"/>
        <w:rPr>
          <w:rFonts w:ascii="Times" w:hAnsi="Times"/>
          <w:color w:val="000000"/>
          <w:sz w:val="27"/>
          <w:szCs w:val="27"/>
          <w:u w:val="single"/>
        </w:rPr>
      </w:pPr>
      <w:r w:rsidRPr="009F4EC5">
        <w:rPr>
          <w:rFonts w:ascii="Times" w:hAnsi="Times"/>
          <w:color w:val="000000"/>
          <w:sz w:val="27"/>
          <w:szCs w:val="27"/>
          <w:u w:val="single"/>
        </w:rPr>
        <w:t>Inhoudsopgave</w:t>
      </w:r>
    </w:p>
    <w:p w:rsidRPr="00EF6007" w:rsidR="009F4EC5" w:rsidP="003C547F" w:rsidRDefault="009F4EC5" w14:paraId="7463E040" w14:textId="6FF94589">
      <w:pPr>
        <w:pStyle w:val="Normaalweb"/>
        <w:rPr>
          <w:color w:val="000000"/>
        </w:rPr>
      </w:pPr>
      <w:r w:rsidRPr="00EF6007">
        <w:rPr>
          <w:color w:val="000000"/>
        </w:rPr>
        <w:t>Algemene Toelichting</w:t>
      </w:r>
    </w:p>
    <w:p w:rsidRPr="00EF6007" w:rsidR="009F4EC5" w:rsidP="009F4EC5" w:rsidRDefault="009F4EC5" w14:paraId="65B0EBDC" w14:textId="77777777">
      <w:pPr>
        <w:numPr>
          <w:ilvl w:val="0"/>
          <w:numId w:val="1"/>
        </w:numPr>
        <w:spacing w:line="259" w:lineRule="auto"/>
        <w:ind w:left="284"/>
        <w:rPr>
          <w:rFonts w:ascii="Times New Roman" w:hAnsi="Times New Roman" w:cs="Times New Roman"/>
        </w:rPr>
      </w:pPr>
      <w:r w:rsidRPr="00EF6007">
        <w:rPr>
          <w:rFonts w:ascii="Times New Roman" w:hAnsi="Times New Roman" w:cs="Times New Roman"/>
        </w:rPr>
        <w:t>Aanleiding</w:t>
      </w:r>
    </w:p>
    <w:p w:rsidRPr="00EF6007" w:rsidR="009F4EC5" w:rsidP="009F4EC5" w:rsidRDefault="009F4EC5" w14:paraId="4F554DFB" w14:textId="77777777">
      <w:pPr>
        <w:numPr>
          <w:ilvl w:val="0"/>
          <w:numId w:val="1"/>
        </w:numPr>
        <w:spacing w:line="259" w:lineRule="auto"/>
        <w:ind w:left="284"/>
        <w:rPr>
          <w:rFonts w:ascii="Times New Roman" w:hAnsi="Times New Roman" w:cs="Times New Roman"/>
        </w:rPr>
      </w:pPr>
      <w:r w:rsidRPr="00EF6007">
        <w:rPr>
          <w:rFonts w:ascii="Times New Roman" w:hAnsi="Times New Roman" w:cs="Times New Roman"/>
        </w:rPr>
        <w:t>Voorgestelde oplossing</w:t>
      </w:r>
    </w:p>
    <w:p w:rsidRPr="00EF6007" w:rsidR="009F4EC5" w:rsidP="009F4EC5" w:rsidRDefault="009F4EC5" w14:paraId="169D8814" w14:textId="77777777">
      <w:pPr>
        <w:numPr>
          <w:ilvl w:val="0"/>
          <w:numId w:val="1"/>
        </w:numPr>
        <w:spacing w:line="259" w:lineRule="auto"/>
        <w:ind w:left="284"/>
        <w:rPr>
          <w:rFonts w:ascii="Times New Roman" w:hAnsi="Times New Roman" w:cs="Times New Roman"/>
        </w:rPr>
      </w:pPr>
      <w:r w:rsidRPr="00EF6007">
        <w:rPr>
          <w:rFonts w:ascii="Times New Roman" w:hAnsi="Times New Roman" w:cs="Times New Roman"/>
        </w:rPr>
        <w:t>Verhouding tot jurisprudentie en Europees recht</w:t>
      </w:r>
    </w:p>
    <w:p w:rsidRPr="00EF6007" w:rsidR="009F4EC5" w:rsidP="009F4EC5" w:rsidRDefault="009F4EC5" w14:paraId="347A1E57" w14:textId="77777777">
      <w:pPr>
        <w:numPr>
          <w:ilvl w:val="0"/>
          <w:numId w:val="1"/>
        </w:numPr>
        <w:spacing w:line="259" w:lineRule="auto"/>
        <w:ind w:left="284"/>
        <w:rPr>
          <w:rFonts w:ascii="Times New Roman" w:hAnsi="Times New Roman" w:cs="Times New Roman"/>
        </w:rPr>
      </w:pPr>
      <w:r w:rsidRPr="00EF6007">
        <w:rPr>
          <w:rFonts w:ascii="Times New Roman" w:hAnsi="Times New Roman" w:cs="Times New Roman"/>
        </w:rPr>
        <w:t>Caribisch gebied</w:t>
      </w:r>
    </w:p>
    <w:p w:rsidRPr="00EF6007" w:rsidR="009F4EC5" w:rsidP="009F4EC5" w:rsidRDefault="009F4EC5" w14:paraId="4BEAB67D" w14:textId="77777777">
      <w:pPr>
        <w:numPr>
          <w:ilvl w:val="0"/>
          <w:numId w:val="1"/>
        </w:numPr>
        <w:spacing w:line="259" w:lineRule="auto"/>
        <w:ind w:left="284"/>
        <w:rPr>
          <w:rFonts w:ascii="Times New Roman" w:hAnsi="Times New Roman" w:cs="Times New Roman"/>
        </w:rPr>
      </w:pPr>
      <w:r w:rsidRPr="00EF6007">
        <w:rPr>
          <w:rFonts w:ascii="Times New Roman" w:hAnsi="Times New Roman" w:cs="Times New Roman"/>
        </w:rPr>
        <w:t>Uitwerking</w:t>
      </w:r>
    </w:p>
    <w:p w:rsidRPr="00EF6007" w:rsidR="009F4EC5" w:rsidP="009F4EC5" w:rsidRDefault="009F4EC5" w14:paraId="0667ACCF" w14:textId="77777777">
      <w:pPr>
        <w:numPr>
          <w:ilvl w:val="0"/>
          <w:numId w:val="1"/>
        </w:numPr>
        <w:spacing w:line="259" w:lineRule="auto"/>
        <w:ind w:left="284"/>
        <w:rPr>
          <w:rFonts w:ascii="Times New Roman" w:hAnsi="Times New Roman" w:cs="Times New Roman"/>
        </w:rPr>
      </w:pPr>
      <w:r w:rsidRPr="00EF6007">
        <w:rPr>
          <w:rFonts w:ascii="Times New Roman" w:hAnsi="Times New Roman" w:cs="Times New Roman"/>
        </w:rPr>
        <w:t>Overgangsrecht</w:t>
      </w:r>
    </w:p>
    <w:p w:rsidRPr="00EF6007" w:rsidR="009F4EC5" w:rsidP="009F4EC5" w:rsidRDefault="009F4EC5" w14:paraId="525D3B0B" w14:textId="77777777">
      <w:pPr>
        <w:numPr>
          <w:ilvl w:val="0"/>
          <w:numId w:val="1"/>
        </w:numPr>
        <w:spacing w:line="259" w:lineRule="auto"/>
        <w:ind w:left="284"/>
        <w:rPr>
          <w:rFonts w:ascii="Times New Roman" w:hAnsi="Times New Roman" w:cs="Times New Roman"/>
        </w:rPr>
      </w:pPr>
      <w:r w:rsidRPr="00EF6007">
        <w:rPr>
          <w:rFonts w:ascii="Times New Roman" w:hAnsi="Times New Roman" w:cs="Times New Roman"/>
        </w:rPr>
        <w:t>Financiële gevolgen</w:t>
      </w:r>
    </w:p>
    <w:p w:rsidRPr="00EF6007" w:rsidR="009F4EC5" w:rsidP="009F4EC5" w:rsidRDefault="009F4EC5" w14:paraId="5DAEF786" w14:textId="77777777">
      <w:pPr>
        <w:numPr>
          <w:ilvl w:val="0"/>
          <w:numId w:val="1"/>
        </w:numPr>
        <w:spacing w:line="259" w:lineRule="auto"/>
        <w:ind w:left="284"/>
        <w:rPr>
          <w:rFonts w:ascii="Times New Roman" w:hAnsi="Times New Roman" w:cs="Times New Roman"/>
        </w:rPr>
      </w:pPr>
      <w:r w:rsidRPr="00EF6007">
        <w:rPr>
          <w:rFonts w:ascii="Times New Roman" w:hAnsi="Times New Roman" w:cs="Times New Roman"/>
        </w:rPr>
        <w:t>Gevolgen voor uitvoering</w:t>
      </w:r>
    </w:p>
    <w:p w:rsidRPr="00EF6007" w:rsidR="009F4EC5" w:rsidP="009F4EC5" w:rsidRDefault="009F4EC5" w14:paraId="1C5ACA6A" w14:textId="77777777">
      <w:pPr>
        <w:numPr>
          <w:ilvl w:val="0"/>
          <w:numId w:val="1"/>
        </w:numPr>
        <w:spacing w:line="259" w:lineRule="auto"/>
        <w:ind w:left="284"/>
        <w:rPr>
          <w:rFonts w:ascii="Times New Roman" w:hAnsi="Times New Roman" w:cs="Times New Roman"/>
        </w:rPr>
      </w:pPr>
      <w:proofErr w:type="spellStart"/>
      <w:r w:rsidRPr="00EF6007">
        <w:rPr>
          <w:rFonts w:ascii="Times New Roman" w:hAnsi="Times New Roman" w:cs="Times New Roman"/>
        </w:rPr>
        <w:t>Doenvermogen</w:t>
      </w:r>
      <w:proofErr w:type="spellEnd"/>
      <w:r w:rsidRPr="00EF6007">
        <w:rPr>
          <w:rFonts w:ascii="Times New Roman" w:hAnsi="Times New Roman" w:cs="Times New Roman"/>
        </w:rPr>
        <w:t xml:space="preserve"> voor werknemers en werkgevers</w:t>
      </w:r>
    </w:p>
    <w:p w:rsidRPr="00EF6007" w:rsidR="009F4EC5" w:rsidP="009F4EC5" w:rsidRDefault="009F4EC5" w14:paraId="62140C36" w14:textId="77777777">
      <w:pPr>
        <w:numPr>
          <w:ilvl w:val="0"/>
          <w:numId w:val="1"/>
        </w:numPr>
        <w:spacing w:line="259" w:lineRule="auto"/>
        <w:ind w:left="284"/>
        <w:rPr>
          <w:rFonts w:ascii="Times New Roman" w:hAnsi="Times New Roman" w:cs="Times New Roman"/>
        </w:rPr>
      </w:pPr>
      <w:r w:rsidRPr="00EF6007">
        <w:rPr>
          <w:rFonts w:ascii="Times New Roman" w:hAnsi="Times New Roman" w:cs="Times New Roman"/>
        </w:rPr>
        <w:t>Internetconsultatie</w:t>
      </w:r>
    </w:p>
    <w:p w:rsidRPr="00EF6007" w:rsidR="009F4EC5" w:rsidP="009F4EC5" w:rsidRDefault="009F4EC5" w14:paraId="36256D4D" w14:textId="77777777">
      <w:pPr>
        <w:numPr>
          <w:ilvl w:val="0"/>
          <w:numId w:val="1"/>
        </w:numPr>
        <w:spacing w:line="259" w:lineRule="auto"/>
        <w:ind w:left="284"/>
        <w:rPr>
          <w:rFonts w:ascii="Times New Roman" w:hAnsi="Times New Roman" w:cs="Times New Roman"/>
        </w:rPr>
      </w:pPr>
      <w:r w:rsidRPr="00EF6007">
        <w:rPr>
          <w:rFonts w:ascii="Times New Roman" w:hAnsi="Times New Roman" w:cs="Times New Roman"/>
        </w:rPr>
        <w:t>Regeldruk</w:t>
      </w:r>
    </w:p>
    <w:p w:rsidRPr="00EF6007" w:rsidR="009F4EC5" w:rsidP="009F4EC5" w:rsidRDefault="009F4EC5" w14:paraId="54DEFC36" w14:textId="77777777">
      <w:pPr>
        <w:numPr>
          <w:ilvl w:val="0"/>
          <w:numId w:val="1"/>
        </w:numPr>
        <w:spacing w:line="259" w:lineRule="auto"/>
        <w:ind w:left="284"/>
        <w:rPr>
          <w:rFonts w:ascii="Times New Roman" w:hAnsi="Times New Roman" w:cs="Times New Roman"/>
        </w:rPr>
      </w:pPr>
      <w:r w:rsidRPr="00EF6007">
        <w:rPr>
          <w:rFonts w:ascii="Times New Roman" w:hAnsi="Times New Roman" w:cs="Times New Roman"/>
        </w:rPr>
        <w:t>Evaluatie</w:t>
      </w:r>
    </w:p>
    <w:p w:rsidR="009F4EC5" w:rsidP="003C547F" w:rsidRDefault="009F4EC5" w14:paraId="6F8F40AC" w14:textId="77777777">
      <w:pPr>
        <w:pStyle w:val="Normaalweb"/>
        <w:rPr>
          <w:rFonts w:ascii="Times" w:hAnsi="Times"/>
          <w:color w:val="000000"/>
          <w:sz w:val="27"/>
          <w:szCs w:val="27"/>
        </w:rPr>
      </w:pPr>
    </w:p>
    <w:p w:rsidR="003C547F" w:rsidP="003C547F" w:rsidRDefault="003C547F" w14:paraId="7DD34064" w14:textId="77777777">
      <w:pPr>
        <w:spacing w:line="259" w:lineRule="auto"/>
        <w:rPr>
          <w:b/>
          <w:sz w:val="22"/>
          <w:szCs w:val="22"/>
        </w:rPr>
      </w:pPr>
      <w:r w:rsidRPr="00B959A0">
        <w:rPr>
          <w:b/>
          <w:sz w:val="22"/>
          <w:szCs w:val="22"/>
        </w:rPr>
        <w:t>Algemene toelichting</w:t>
      </w:r>
    </w:p>
    <w:p w:rsidR="003C547F" w:rsidP="00807CD1" w:rsidRDefault="003C547F" w14:paraId="71F1D5BD" w14:textId="532D9E85">
      <w:pPr>
        <w:spacing w:line="259" w:lineRule="auto"/>
        <w:rPr>
          <w:rFonts w:ascii="Times New Roman" w:hAnsi="Times New Roman" w:cs="Times New Roman"/>
        </w:rPr>
      </w:pPr>
      <w:r w:rsidRPr="00084BCC">
        <w:rPr>
          <w:rFonts w:ascii="Times New Roman" w:hAnsi="Times New Roman" w:cs="Times New Roman"/>
        </w:rPr>
        <w:t xml:space="preserve">De leden van de </w:t>
      </w:r>
      <w:r w:rsidRPr="00084BCC">
        <w:rPr>
          <w:rFonts w:ascii="Times New Roman" w:hAnsi="Times New Roman" w:cs="Times New Roman"/>
          <w:b/>
          <w:bCs/>
        </w:rPr>
        <w:t>GroenLinks-PvdA</w:t>
      </w:r>
      <w:r w:rsidRPr="00084BCC" w:rsidR="00807CD1">
        <w:rPr>
          <w:rFonts w:ascii="Times New Roman" w:hAnsi="Times New Roman" w:cs="Times New Roman"/>
          <w:b/>
          <w:bCs/>
        </w:rPr>
        <w:t>-</w:t>
      </w:r>
      <w:r w:rsidRPr="00084BCC">
        <w:rPr>
          <w:rFonts w:ascii="Times New Roman" w:hAnsi="Times New Roman" w:cs="Times New Roman"/>
          <w:b/>
          <w:bCs/>
        </w:rPr>
        <w:t>fractie</w:t>
      </w:r>
      <w:r w:rsidRPr="00084BCC">
        <w:rPr>
          <w:rFonts w:ascii="Times New Roman" w:hAnsi="Times New Roman" w:cs="Times New Roman"/>
        </w:rPr>
        <w:t xml:space="preserve"> hebben met belangstelling kennisgenomen van de voorliggende wet.  Deze leden hebben hier enkele vragen over.</w:t>
      </w:r>
    </w:p>
    <w:p w:rsidR="00F570EC" w:rsidP="00F570EC" w:rsidRDefault="00F570EC" w14:paraId="07E59370" w14:textId="77777777">
      <w:pPr>
        <w:spacing w:line="259" w:lineRule="auto"/>
        <w:rPr>
          <w:rFonts w:ascii="Times New Roman" w:hAnsi="Times New Roman" w:cs="Times New Roman"/>
        </w:rPr>
      </w:pPr>
      <w:r w:rsidRPr="00F570EC">
        <w:rPr>
          <w:rFonts w:ascii="Times New Roman" w:hAnsi="Times New Roman" w:cs="Times New Roman"/>
        </w:rPr>
        <w:t xml:space="preserve">De leden van de </w:t>
      </w:r>
      <w:r w:rsidRPr="00F570EC">
        <w:rPr>
          <w:rFonts w:ascii="Times New Roman" w:hAnsi="Times New Roman" w:cs="Times New Roman"/>
          <w:b/>
          <w:bCs/>
        </w:rPr>
        <w:t>D66-fractie</w:t>
      </w:r>
      <w:r w:rsidRPr="00F570EC">
        <w:rPr>
          <w:rFonts w:ascii="Times New Roman" w:hAnsi="Times New Roman" w:cs="Times New Roman"/>
        </w:rPr>
        <w:t xml:space="preserve"> hebben met interesse kennisgenomen van het wetsvoorstel. Deze leden hebben nog enkele vragen.</w:t>
      </w:r>
    </w:p>
    <w:p w:rsidRPr="001132C6" w:rsidR="007F18CA" w:rsidP="00F570EC" w:rsidRDefault="001132C6" w14:paraId="6F6B0EF9" w14:textId="5E9CABDF">
      <w:pPr>
        <w:spacing w:line="259" w:lineRule="auto"/>
        <w:rPr>
          <w:rFonts w:ascii="Times New Roman" w:hAnsi="Times New Roman" w:cs="Times New Roman"/>
          <w:b/>
          <w:bCs/>
        </w:rPr>
      </w:pPr>
      <w:r w:rsidRPr="001132C6">
        <w:rPr>
          <w:rFonts w:ascii="Times New Roman" w:hAnsi="Times New Roman" w:cs="Times New Roman"/>
          <w:b/>
          <w:bCs/>
        </w:rPr>
        <w:lastRenderedPageBreak/>
        <w:t xml:space="preserve">1. Aanleiding </w:t>
      </w:r>
    </w:p>
    <w:p w:rsidRPr="007F18CA" w:rsidR="007F18CA" w:rsidP="00F570EC" w:rsidRDefault="007F18CA" w14:paraId="7ED4F50D" w14:textId="0359945B">
      <w:pPr>
        <w:spacing w:line="259" w:lineRule="auto"/>
        <w:rPr>
          <w:rFonts w:ascii="Times New Roman" w:hAnsi="Times New Roman" w:cs="Times New Roman"/>
          <w:b/>
          <w:bCs/>
        </w:rPr>
      </w:pPr>
      <w:r>
        <w:rPr>
          <w:rFonts w:ascii="Times New Roman" w:hAnsi="Times New Roman" w:cs="Times New Roman"/>
        </w:rPr>
        <w:t>2</w:t>
      </w:r>
      <w:r w:rsidRPr="007F18CA">
        <w:rPr>
          <w:rFonts w:ascii="Times New Roman" w:hAnsi="Times New Roman" w:cs="Times New Roman"/>
          <w:b/>
          <w:bCs/>
        </w:rPr>
        <w:t>. Voorgestelde Oplossing</w:t>
      </w:r>
    </w:p>
    <w:p w:rsidRPr="007B3577" w:rsidR="007F18CA" w:rsidP="007F18CA" w:rsidRDefault="007F18CA" w14:paraId="10BC4BCB" w14:textId="77777777">
      <w:pPr>
        <w:spacing w:line="259" w:lineRule="auto"/>
        <w:rPr>
          <w:rFonts w:ascii="Times New Roman" w:hAnsi="Times New Roman" w:cs="Times New Roman"/>
          <w:bCs/>
        </w:rPr>
      </w:pPr>
      <w:r w:rsidRPr="007B3577">
        <w:rPr>
          <w:rFonts w:ascii="Times New Roman" w:hAnsi="Times New Roman" w:cs="Times New Roman"/>
          <w:bCs/>
        </w:rPr>
        <w:t xml:space="preserve">De leden van de </w:t>
      </w:r>
      <w:r w:rsidRPr="007B3577">
        <w:rPr>
          <w:rFonts w:ascii="Times New Roman" w:hAnsi="Times New Roman" w:cs="Times New Roman"/>
          <w:b/>
        </w:rPr>
        <w:t>D66-fractie</w:t>
      </w:r>
      <w:r w:rsidRPr="007B3577">
        <w:rPr>
          <w:rFonts w:ascii="Times New Roman" w:hAnsi="Times New Roman" w:cs="Times New Roman"/>
          <w:bCs/>
        </w:rPr>
        <w:t xml:space="preserve"> danken de regering voor de toelichting, maar blijven, net als de Raad van State, bezorgd over de administratieve last die bij de werknemer wordt gelegd. De regering stelt dat de eis voor een nieuwe </w:t>
      </w:r>
      <w:proofErr w:type="spellStart"/>
      <w:r w:rsidRPr="007B3577">
        <w:rPr>
          <w:rFonts w:ascii="Times New Roman" w:hAnsi="Times New Roman" w:cs="Times New Roman"/>
          <w:bCs/>
        </w:rPr>
        <w:t>doelgroepverklaring</w:t>
      </w:r>
      <w:proofErr w:type="spellEnd"/>
      <w:r w:rsidRPr="007B3577">
        <w:rPr>
          <w:rFonts w:ascii="Times New Roman" w:hAnsi="Times New Roman" w:cs="Times New Roman"/>
          <w:bCs/>
        </w:rPr>
        <w:t xml:space="preserve"> noodzakelijk is vanwege </w:t>
      </w:r>
      <w:proofErr w:type="spellStart"/>
      <w:r w:rsidRPr="007B3577">
        <w:rPr>
          <w:rFonts w:ascii="Times New Roman" w:hAnsi="Times New Roman" w:cs="Times New Roman"/>
          <w:bCs/>
        </w:rPr>
        <w:t>privacy-aspecten</w:t>
      </w:r>
      <w:proofErr w:type="spellEnd"/>
      <w:r w:rsidRPr="007B3577">
        <w:rPr>
          <w:rFonts w:ascii="Times New Roman" w:hAnsi="Times New Roman" w:cs="Times New Roman"/>
          <w:bCs/>
        </w:rPr>
        <w:t xml:space="preserve"> in bepaalde gevallen van bedrijfsovergang en dat het uitvoeringstechnisch niet mogelijk is om onderscheid te maken tussen deze situaties en een zuivere overgang van rechtsvorm, waar het privacy-aspect niet speelt.</w:t>
      </w:r>
    </w:p>
    <w:p w:rsidRPr="007B3577" w:rsidR="007F18CA" w:rsidP="007F18CA" w:rsidRDefault="007F18CA" w14:paraId="22B45695" w14:textId="4293FE3A">
      <w:pPr>
        <w:spacing w:line="259" w:lineRule="auto"/>
        <w:rPr>
          <w:rFonts w:ascii="Times New Roman" w:hAnsi="Times New Roman" w:cs="Times New Roman"/>
          <w:bCs/>
        </w:rPr>
      </w:pPr>
      <w:r w:rsidRPr="007B3577">
        <w:rPr>
          <w:rFonts w:ascii="Times New Roman" w:hAnsi="Times New Roman" w:cs="Times New Roman"/>
          <w:bCs/>
        </w:rPr>
        <w:t>De leden van de D66-fractie vragen  waarom er wordt gekozen voor een oplossing die voor de meest eenvoudige gevallen, waarin feitelijk alleen het loonheffingsnummer wijzigt, een onnodige lastenverzwaring introduceert. Het uitgangspunt zou immers moeten zijn een regeling zo lastenluw mogelijk vorm te geven.</w:t>
      </w:r>
    </w:p>
    <w:p w:rsidRPr="007B3577" w:rsidR="007F18CA" w:rsidP="007F18CA" w:rsidRDefault="007F18CA" w14:paraId="7B6A4F91" w14:textId="77777777">
      <w:pPr>
        <w:spacing w:line="259" w:lineRule="auto"/>
        <w:rPr>
          <w:rFonts w:ascii="Times New Roman" w:hAnsi="Times New Roman" w:cs="Times New Roman"/>
          <w:bCs/>
        </w:rPr>
      </w:pPr>
      <w:r w:rsidRPr="007B3577">
        <w:rPr>
          <w:rFonts w:ascii="Times New Roman" w:hAnsi="Times New Roman" w:cs="Times New Roman"/>
          <w:bCs/>
        </w:rPr>
        <w:t>Kan de regering nader onderzoeken of dit uitvoeringsprobleem niet op een andere manier kan worden opgelost? Is bijvoorbeeld overwogen om de werkgever de plicht te geven de aanvraag te doen, juist omdat het alternatief van een machtiging door de werknemer al in het voorstel wordt genoemd? Een dergelijke aanpak zou de last bij de werknemer wegnemen, terwijl de door de regering genoemde privacy-waarborgen via de machtiging gerespecteerd kunnen worden. Waarom is deze eenvoudigere, voor de werknemer minder belastende route niet als standaard gekozen?</w:t>
      </w:r>
    </w:p>
    <w:p w:rsidR="008C65D3" w:rsidP="00341E87" w:rsidRDefault="008C65D3" w14:paraId="3213D889" w14:textId="45A32B82">
      <w:pPr>
        <w:pStyle w:val="Lijstalinea"/>
        <w:numPr>
          <w:ilvl w:val="0"/>
          <w:numId w:val="3"/>
        </w:numPr>
        <w:spacing w:line="259" w:lineRule="auto"/>
        <w:rPr>
          <w:rFonts w:ascii="Times New Roman" w:hAnsi="Times New Roman" w:cs="Times New Roman"/>
          <w:b/>
        </w:rPr>
      </w:pPr>
      <w:r w:rsidRPr="00341E87">
        <w:rPr>
          <w:rFonts w:ascii="Times New Roman" w:hAnsi="Times New Roman" w:cs="Times New Roman"/>
          <w:b/>
        </w:rPr>
        <w:t>Verhouding tot jurisprudentie en Europees recht</w:t>
      </w:r>
    </w:p>
    <w:p w:rsidRPr="00341E87" w:rsidR="00341E87" w:rsidP="00341E87" w:rsidRDefault="00341E87" w14:paraId="3BCAD386" w14:textId="77777777">
      <w:pPr>
        <w:pStyle w:val="Lijstalinea"/>
        <w:spacing w:line="259" w:lineRule="auto"/>
        <w:ind w:left="360"/>
        <w:rPr>
          <w:rFonts w:ascii="Times New Roman" w:hAnsi="Times New Roman" w:cs="Times New Roman"/>
          <w:b/>
        </w:rPr>
      </w:pPr>
    </w:p>
    <w:p w:rsidR="00EF6007" w:rsidP="00EF6007" w:rsidRDefault="008C65D3" w14:paraId="17B9D72B" w14:textId="2F4EE6C3">
      <w:pPr>
        <w:pStyle w:val="Lijstalinea"/>
        <w:numPr>
          <w:ilvl w:val="0"/>
          <w:numId w:val="3"/>
        </w:numPr>
        <w:spacing w:line="259" w:lineRule="auto"/>
        <w:rPr>
          <w:rFonts w:ascii="Times New Roman" w:hAnsi="Times New Roman" w:cs="Times New Roman"/>
          <w:b/>
        </w:rPr>
      </w:pPr>
      <w:r w:rsidRPr="00341E87">
        <w:rPr>
          <w:rFonts w:ascii="Times New Roman" w:hAnsi="Times New Roman" w:cs="Times New Roman"/>
          <w:b/>
        </w:rPr>
        <w:t>Caribisch gebied</w:t>
      </w:r>
    </w:p>
    <w:p w:rsidRPr="00EF6007" w:rsidR="00EF6007" w:rsidP="00EF6007" w:rsidRDefault="00EF6007" w14:paraId="2FEC6489" w14:textId="77777777">
      <w:pPr>
        <w:pStyle w:val="Lijstalinea"/>
        <w:rPr>
          <w:rFonts w:ascii="Times New Roman" w:hAnsi="Times New Roman" w:cs="Times New Roman"/>
          <w:b/>
        </w:rPr>
      </w:pPr>
    </w:p>
    <w:p w:rsidRPr="00EF6007" w:rsidR="00EF6007" w:rsidP="00EF6007" w:rsidRDefault="00EF6007" w14:paraId="35B9B1F2" w14:textId="77777777">
      <w:pPr>
        <w:pStyle w:val="Lijstalinea"/>
        <w:spacing w:line="259" w:lineRule="auto"/>
        <w:ind w:left="360"/>
        <w:rPr>
          <w:rFonts w:ascii="Times New Roman" w:hAnsi="Times New Roman" w:cs="Times New Roman"/>
          <w:b/>
        </w:rPr>
      </w:pPr>
    </w:p>
    <w:p w:rsidRPr="00341E87" w:rsidR="00F570EC" w:rsidP="008C65D3" w:rsidRDefault="008C65D3" w14:paraId="767642EA" w14:textId="0C00793F">
      <w:pPr>
        <w:pStyle w:val="Lijstalinea"/>
        <w:numPr>
          <w:ilvl w:val="0"/>
          <w:numId w:val="2"/>
        </w:numPr>
        <w:spacing w:line="259" w:lineRule="auto"/>
        <w:rPr>
          <w:rFonts w:ascii="Times New Roman" w:hAnsi="Times New Roman" w:cs="Times New Roman"/>
          <w:b/>
          <w:sz w:val="22"/>
          <w:szCs w:val="22"/>
        </w:rPr>
      </w:pPr>
      <w:r w:rsidRPr="00341E87">
        <w:rPr>
          <w:rFonts w:ascii="Times New Roman" w:hAnsi="Times New Roman" w:cs="Times New Roman"/>
          <w:b/>
        </w:rPr>
        <w:t>Uitwerking</w:t>
      </w:r>
    </w:p>
    <w:p w:rsidRPr="008C65D3" w:rsidR="00341E87" w:rsidP="00341E87" w:rsidRDefault="00341E87" w14:paraId="385CA36C" w14:textId="77777777">
      <w:pPr>
        <w:pStyle w:val="Lijstalinea"/>
        <w:spacing w:line="259" w:lineRule="auto"/>
        <w:ind w:left="360"/>
        <w:rPr>
          <w:rFonts w:ascii="Times New Roman" w:hAnsi="Times New Roman" w:cs="Times New Roman"/>
          <w:b/>
          <w:sz w:val="22"/>
          <w:szCs w:val="22"/>
        </w:rPr>
      </w:pPr>
    </w:p>
    <w:p w:rsidRPr="008037E9" w:rsidR="003C547F" w:rsidP="00807CD1" w:rsidRDefault="003C547F" w14:paraId="65A1B61C" w14:textId="2AE0F368">
      <w:pPr>
        <w:pStyle w:val="Lijstalinea"/>
        <w:numPr>
          <w:ilvl w:val="0"/>
          <w:numId w:val="2"/>
        </w:numPr>
        <w:spacing w:line="259" w:lineRule="auto"/>
        <w:rPr>
          <w:rFonts w:ascii="Times New Roman" w:hAnsi="Times New Roman" w:cs="Times New Roman"/>
          <w:b/>
        </w:rPr>
      </w:pPr>
      <w:r w:rsidRPr="008037E9">
        <w:rPr>
          <w:rFonts w:ascii="Times New Roman" w:hAnsi="Times New Roman" w:cs="Times New Roman"/>
          <w:b/>
        </w:rPr>
        <w:t>Overgangsrecht</w:t>
      </w:r>
    </w:p>
    <w:p w:rsidRPr="008037E9" w:rsidR="003C547F" w:rsidP="008037E9" w:rsidRDefault="003C547F" w14:paraId="72BB36FB" w14:textId="4BADDB23">
      <w:pPr>
        <w:spacing w:line="259" w:lineRule="auto"/>
        <w:ind w:left="-76"/>
        <w:rPr>
          <w:rFonts w:ascii="Times New Roman" w:hAnsi="Times New Roman" w:cs="Times New Roman"/>
          <w:bCs/>
        </w:rPr>
      </w:pPr>
      <w:r w:rsidRPr="008037E9">
        <w:rPr>
          <w:rFonts w:ascii="Times New Roman" w:hAnsi="Times New Roman" w:cs="Times New Roman"/>
          <w:bCs/>
        </w:rPr>
        <w:t xml:space="preserve">De leden van de </w:t>
      </w:r>
      <w:r w:rsidRPr="008037E9">
        <w:rPr>
          <w:rFonts w:ascii="Times New Roman" w:hAnsi="Times New Roman" w:cs="Times New Roman"/>
          <w:b/>
        </w:rPr>
        <w:t>GroenLinks-PvdA</w:t>
      </w:r>
      <w:r w:rsidRPr="008037E9" w:rsidR="008037E9">
        <w:rPr>
          <w:rFonts w:ascii="Times New Roman" w:hAnsi="Times New Roman" w:cs="Times New Roman"/>
          <w:b/>
        </w:rPr>
        <w:t>-</w:t>
      </w:r>
      <w:r w:rsidRPr="008037E9">
        <w:rPr>
          <w:rFonts w:ascii="Times New Roman" w:hAnsi="Times New Roman" w:cs="Times New Roman"/>
          <w:b/>
        </w:rPr>
        <w:t>fractie</w:t>
      </w:r>
      <w:r w:rsidRPr="008037E9">
        <w:rPr>
          <w:rFonts w:ascii="Times New Roman" w:hAnsi="Times New Roman" w:cs="Times New Roman"/>
          <w:bCs/>
        </w:rPr>
        <w:t xml:space="preserve"> hebben enkele vragen over het overgangsrecht en mogelijke terugwerkende kracht. De leden merken op dat de regering dit niet wenselijk acht vanwege budgettaire en uitvoeringstechnische gevolgen, zoals staat beschreven op pagina 14 van de memorie van toelichting. Deze leden vragen om nadere toelichting waarom er niet is gekozen om deze wet met terugwerkende kracht te laten gelden. De leden vragen in dit antwoord de verschillende overwegingen te schetsen en daarbij in ieder geval in te gaan op de genoemde knelpunten. Tevens vragen de leden van de GroenLinks-PvdA fractie op welke manier de regering gaat communiceren over het overgangsrecht.</w:t>
      </w:r>
    </w:p>
    <w:p w:rsidRPr="005A49FF" w:rsidR="003C547F" w:rsidP="005A49FF" w:rsidRDefault="003C547F" w14:paraId="133936E5" w14:textId="77521AA7">
      <w:pPr>
        <w:pStyle w:val="Lijstalinea"/>
        <w:numPr>
          <w:ilvl w:val="0"/>
          <w:numId w:val="2"/>
        </w:numPr>
        <w:spacing w:line="259" w:lineRule="auto"/>
        <w:rPr>
          <w:rFonts w:ascii="Times New Roman" w:hAnsi="Times New Roman" w:cs="Times New Roman"/>
          <w:b/>
        </w:rPr>
      </w:pPr>
      <w:r w:rsidRPr="005A49FF">
        <w:rPr>
          <w:rFonts w:ascii="Times New Roman" w:hAnsi="Times New Roman" w:cs="Times New Roman"/>
          <w:b/>
        </w:rPr>
        <w:t>Financiële gevolgen</w:t>
      </w:r>
    </w:p>
    <w:p w:rsidRPr="008037E9" w:rsidR="003C547F" w:rsidP="005A49FF" w:rsidRDefault="003C547F" w14:paraId="14FB9E79" w14:textId="77777777">
      <w:pPr>
        <w:numPr>
          <w:ilvl w:val="0"/>
          <w:numId w:val="2"/>
        </w:numPr>
        <w:spacing w:line="259" w:lineRule="auto"/>
        <w:ind w:left="284"/>
        <w:rPr>
          <w:rFonts w:ascii="Times New Roman" w:hAnsi="Times New Roman" w:cs="Times New Roman"/>
          <w:b/>
        </w:rPr>
      </w:pPr>
      <w:r w:rsidRPr="008037E9">
        <w:rPr>
          <w:rFonts w:ascii="Times New Roman" w:hAnsi="Times New Roman" w:cs="Times New Roman"/>
          <w:b/>
        </w:rPr>
        <w:t>Gevolgen voor uitvoering</w:t>
      </w:r>
    </w:p>
    <w:p w:rsidRPr="008037E9" w:rsidR="003C547F" w:rsidP="003C547F" w:rsidRDefault="003C547F" w14:paraId="13FB530A" w14:textId="79F24DAD">
      <w:pPr>
        <w:spacing w:line="259" w:lineRule="auto"/>
        <w:ind w:left="-76"/>
        <w:rPr>
          <w:rFonts w:ascii="Times New Roman" w:hAnsi="Times New Roman" w:cs="Times New Roman"/>
          <w:bCs/>
        </w:rPr>
      </w:pPr>
      <w:r w:rsidRPr="008037E9">
        <w:rPr>
          <w:rFonts w:ascii="Times New Roman" w:hAnsi="Times New Roman" w:cs="Times New Roman"/>
          <w:bCs/>
        </w:rPr>
        <w:t xml:space="preserve">De leden van de </w:t>
      </w:r>
      <w:r w:rsidRPr="008037E9">
        <w:rPr>
          <w:rFonts w:ascii="Times New Roman" w:hAnsi="Times New Roman" w:cs="Times New Roman"/>
          <w:b/>
        </w:rPr>
        <w:t>GroenLinks-PvdA fractie</w:t>
      </w:r>
      <w:r w:rsidRPr="008037E9">
        <w:rPr>
          <w:rFonts w:ascii="Times New Roman" w:hAnsi="Times New Roman" w:cs="Times New Roman"/>
          <w:bCs/>
        </w:rPr>
        <w:t xml:space="preserve"> vragen of de regering </w:t>
      </w:r>
      <w:r w:rsidRPr="008037E9" w:rsidR="008037E9">
        <w:rPr>
          <w:rFonts w:ascii="Times New Roman" w:hAnsi="Times New Roman" w:cs="Times New Roman"/>
          <w:bCs/>
        </w:rPr>
        <w:t>het Uitvoeringsinstituut Werknemersverzekering (</w:t>
      </w:r>
      <w:r w:rsidRPr="008037E9">
        <w:rPr>
          <w:rFonts w:ascii="Times New Roman" w:hAnsi="Times New Roman" w:cs="Times New Roman"/>
          <w:bCs/>
        </w:rPr>
        <w:t>UWV</w:t>
      </w:r>
      <w:r w:rsidRPr="008037E9" w:rsidR="008037E9">
        <w:rPr>
          <w:rFonts w:ascii="Times New Roman" w:hAnsi="Times New Roman" w:cs="Times New Roman"/>
          <w:bCs/>
        </w:rPr>
        <w:t>)</w:t>
      </w:r>
      <w:r w:rsidRPr="008037E9">
        <w:rPr>
          <w:rFonts w:ascii="Times New Roman" w:hAnsi="Times New Roman" w:cs="Times New Roman"/>
          <w:bCs/>
        </w:rPr>
        <w:t xml:space="preserve"> al een implementatieopdracht heeft gegeven voor het voorliggende wetsvoorstel. Ook vragen deze leden of de beoogde inwerkingtredingsdatum gehaald kan worden.</w:t>
      </w:r>
    </w:p>
    <w:p w:rsidRPr="002E461D" w:rsidR="003C547F" w:rsidP="005A49FF" w:rsidRDefault="003C547F" w14:paraId="2BAD5A43" w14:textId="77777777">
      <w:pPr>
        <w:numPr>
          <w:ilvl w:val="0"/>
          <w:numId w:val="2"/>
        </w:numPr>
        <w:spacing w:line="259" w:lineRule="auto"/>
        <w:ind w:left="284"/>
        <w:rPr>
          <w:rFonts w:ascii="Times New Roman" w:hAnsi="Times New Roman" w:cs="Times New Roman"/>
          <w:b/>
        </w:rPr>
      </w:pPr>
      <w:proofErr w:type="spellStart"/>
      <w:r w:rsidRPr="002E461D">
        <w:rPr>
          <w:rFonts w:ascii="Times New Roman" w:hAnsi="Times New Roman" w:cs="Times New Roman"/>
          <w:b/>
        </w:rPr>
        <w:lastRenderedPageBreak/>
        <w:t>Doenvermogen</w:t>
      </w:r>
      <w:proofErr w:type="spellEnd"/>
      <w:r w:rsidRPr="002E461D">
        <w:rPr>
          <w:rFonts w:ascii="Times New Roman" w:hAnsi="Times New Roman" w:cs="Times New Roman"/>
          <w:b/>
        </w:rPr>
        <w:t xml:space="preserve"> voor werknemers en werkgevers</w:t>
      </w:r>
    </w:p>
    <w:p w:rsidRPr="002E461D" w:rsidR="002E461D" w:rsidP="002E461D" w:rsidRDefault="002E461D" w14:paraId="53C56C0C" w14:textId="3EBBD101">
      <w:pPr>
        <w:spacing w:line="259" w:lineRule="auto"/>
        <w:rPr>
          <w:rFonts w:ascii="Times New Roman" w:hAnsi="Times New Roman" w:cs="Times New Roman"/>
          <w:bCs/>
        </w:rPr>
      </w:pPr>
      <w:r w:rsidRPr="002E461D">
        <w:rPr>
          <w:rFonts w:ascii="Times New Roman" w:hAnsi="Times New Roman" w:cs="Times New Roman"/>
          <w:bCs/>
        </w:rPr>
        <w:t xml:space="preserve">De leden van de </w:t>
      </w:r>
      <w:r w:rsidRPr="002E461D">
        <w:rPr>
          <w:rFonts w:ascii="Times New Roman" w:hAnsi="Times New Roman" w:cs="Times New Roman"/>
          <w:b/>
        </w:rPr>
        <w:t>D66-fractie</w:t>
      </w:r>
      <w:r w:rsidRPr="002E461D">
        <w:rPr>
          <w:rFonts w:ascii="Times New Roman" w:hAnsi="Times New Roman" w:cs="Times New Roman"/>
          <w:bCs/>
        </w:rPr>
        <w:t xml:space="preserve"> constateren dat het wetsvoorstel meer vraagt van het </w:t>
      </w:r>
      <w:proofErr w:type="spellStart"/>
      <w:r w:rsidRPr="002E461D">
        <w:rPr>
          <w:rFonts w:ascii="Times New Roman" w:hAnsi="Times New Roman" w:cs="Times New Roman"/>
          <w:bCs/>
        </w:rPr>
        <w:t>doenvermogen</w:t>
      </w:r>
      <w:proofErr w:type="spellEnd"/>
      <w:r w:rsidRPr="002E461D">
        <w:rPr>
          <w:rFonts w:ascii="Times New Roman" w:hAnsi="Times New Roman" w:cs="Times New Roman"/>
          <w:bCs/>
        </w:rPr>
        <w:t xml:space="preserve"> van werknemers. Juist in een periode van een bedrijfsovergang, die voor een werknemer onzeker kan zijn, wordt van hen een extra administratieve handeling verwacht om een financieel voordeel voor de werkgever veilig te stellen. Is de regering het met de D66-fractie eens dat het onwenselijk is om deze administratieve last eenzijdig bij de werknemer te leggen? Heeft de regering overwogen om in de wet een actieve faciliteerplicht voor de werkgever op te nemen? Dit zou kunnen betekenen dat de werkgever wettelijk verplicht wordt om de werknemer te ondersteunen bij de aanvraag van de nieuwe </w:t>
      </w:r>
      <w:proofErr w:type="spellStart"/>
      <w:r w:rsidRPr="002E461D">
        <w:rPr>
          <w:rFonts w:ascii="Times New Roman" w:hAnsi="Times New Roman" w:cs="Times New Roman"/>
          <w:bCs/>
        </w:rPr>
        <w:t>doelgroepverklaring</w:t>
      </w:r>
      <w:proofErr w:type="spellEnd"/>
      <w:r w:rsidRPr="002E461D">
        <w:rPr>
          <w:rFonts w:ascii="Times New Roman" w:hAnsi="Times New Roman" w:cs="Times New Roman"/>
          <w:bCs/>
        </w:rPr>
        <w:t xml:space="preserve">. Kan de regering reflecteren op de mogelijkheid om werkgevers te verplichten hun werknemers actief en aantoonbaar te informeren en hen hulp aan te bieden bij het aanvraagproces, juist omdat het loonkostenvoordeel de werkgever ten goede komt? Zo nee, waarom is een dergelijke verplichting tot ondersteuning niet overwogen? De leden van de D66-fractie maken zich zorgen over de positie van werknemers met beperkte administratieve of digitale vaardigheden. De Belastingdienst waarschuwt in zijn uitvoeringstoets dat het wetsvoorstel meer vraagt van het </w:t>
      </w:r>
      <w:proofErr w:type="spellStart"/>
      <w:r w:rsidRPr="002E461D">
        <w:rPr>
          <w:rFonts w:ascii="Times New Roman" w:hAnsi="Times New Roman" w:cs="Times New Roman"/>
          <w:bCs/>
        </w:rPr>
        <w:t>doenvermogen</w:t>
      </w:r>
      <w:proofErr w:type="spellEnd"/>
      <w:r w:rsidRPr="002E461D">
        <w:rPr>
          <w:rFonts w:ascii="Times New Roman" w:hAnsi="Times New Roman" w:cs="Times New Roman"/>
          <w:bCs/>
        </w:rPr>
        <w:t xml:space="preserve"> van werknemers. Hoewel de regering inzet op "duidelijke communicatie", is communicatie alleen vaak niet voldoende voor werknemers die moeite hebben met het begrijpen of uitvoeren van administratieve processen. Ook vragen deze leden waarom deze uitvoeringstoets niet bij de stukken is gevoegd. De leden van de D66-fractie vragen de regering om te specificeren welke concrete, laagdrempelige ondersteuningsmaatregelen er worden getroffen voor werknemers die extra hulp nodig hebben bij de aanvraag van de </w:t>
      </w:r>
      <w:proofErr w:type="spellStart"/>
      <w:r w:rsidRPr="002E461D">
        <w:rPr>
          <w:rFonts w:ascii="Times New Roman" w:hAnsi="Times New Roman" w:cs="Times New Roman"/>
          <w:bCs/>
        </w:rPr>
        <w:t>doelgroepverklaring</w:t>
      </w:r>
      <w:proofErr w:type="spellEnd"/>
      <w:r w:rsidRPr="002E461D">
        <w:rPr>
          <w:rFonts w:ascii="Times New Roman" w:hAnsi="Times New Roman" w:cs="Times New Roman"/>
          <w:bCs/>
        </w:rPr>
        <w:t>. Is de regering bijvoorbeeld voornemens om, naast algemene communicatie, te voorzien in persoonlijke ondersteuning via telefoon, fysieke loketten bij het UWV of proactieve hulpverlening? Hoe wordt gewaarborgd dat deze ondersteuning werknemers bereikt die de standaard digitale communicatie mogelijk missen of niet volledig begrijpen, zodat ook zij het recht op het loonkostenvoordeel voor hun (nieuwe) werkgever kunnen veiligstellen?</w:t>
      </w:r>
    </w:p>
    <w:p w:rsidRPr="008037E9" w:rsidR="003C547F" w:rsidP="005A49FF" w:rsidRDefault="003C547F" w14:paraId="346C7596" w14:textId="77777777">
      <w:pPr>
        <w:numPr>
          <w:ilvl w:val="0"/>
          <w:numId w:val="2"/>
        </w:numPr>
        <w:spacing w:line="259" w:lineRule="auto"/>
        <w:ind w:left="284"/>
        <w:rPr>
          <w:rFonts w:ascii="Times New Roman" w:hAnsi="Times New Roman" w:cs="Times New Roman"/>
          <w:b/>
        </w:rPr>
      </w:pPr>
      <w:r w:rsidRPr="008037E9">
        <w:rPr>
          <w:rFonts w:ascii="Times New Roman" w:hAnsi="Times New Roman" w:cs="Times New Roman"/>
          <w:b/>
        </w:rPr>
        <w:t>Internetconsultatie</w:t>
      </w:r>
    </w:p>
    <w:p w:rsidRPr="008037E9" w:rsidR="003C547F" w:rsidP="005A49FF" w:rsidRDefault="003C547F" w14:paraId="3FE7CCA4" w14:textId="77777777">
      <w:pPr>
        <w:numPr>
          <w:ilvl w:val="0"/>
          <w:numId w:val="2"/>
        </w:numPr>
        <w:spacing w:line="259" w:lineRule="auto"/>
        <w:ind w:left="284"/>
        <w:rPr>
          <w:rFonts w:ascii="Times New Roman" w:hAnsi="Times New Roman" w:cs="Times New Roman"/>
          <w:b/>
        </w:rPr>
      </w:pPr>
      <w:r w:rsidRPr="008037E9">
        <w:rPr>
          <w:rFonts w:ascii="Times New Roman" w:hAnsi="Times New Roman" w:cs="Times New Roman"/>
          <w:b/>
        </w:rPr>
        <w:t>Regeldruk</w:t>
      </w:r>
    </w:p>
    <w:p w:rsidRPr="008037E9" w:rsidR="003C547F" w:rsidP="005A49FF" w:rsidRDefault="003C547F" w14:paraId="3AA27E8E" w14:textId="77777777">
      <w:pPr>
        <w:numPr>
          <w:ilvl w:val="0"/>
          <w:numId w:val="2"/>
        </w:numPr>
        <w:spacing w:line="259" w:lineRule="auto"/>
        <w:ind w:left="284"/>
        <w:rPr>
          <w:rFonts w:ascii="Times New Roman" w:hAnsi="Times New Roman" w:cs="Times New Roman"/>
          <w:b/>
        </w:rPr>
      </w:pPr>
      <w:r w:rsidRPr="008037E9">
        <w:rPr>
          <w:rFonts w:ascii="Times New Roman" w:hAnsi="Times New Roman" w:cs="Times New Roman"/>
          <w:b/>
        </w:rPr>
        <w:t>Evaluatie</w:t>
      </w:r>
    </w:p>
    <w:p w:rsidR="002C7575" w:rsidP="002C7575" w:rsidRDefault="003C547F" w14:paraId="127A7770" w14:textId="77777777">
      <w:pPr>
        <w:spacing w:line="259" w:lineRule="auto"/>
        <w:ind w:left="-76"/>
        <w:rPr>
          <w:rFonts w:ascii="Times New Roman" w:hAnsi="Times New Roman" w:cs="Times New Roman"/>
          <w:bCs/>
        </w:rPr>
      </w:pPr>
      <w:r w:rsidRPr="00F570EC">
        <w:rPr>
          <w:rFonts w:ascii="Times New Roman" w:hAnsi="Times New Roman" w:cs="Times New Roman"/>
          <w:bCs/>
        </w:rPr>
        <w:t xml:space="preserve">De leden van de GroenLinks-PvdA fractie vragen wanneer de evaluatie van de </w:t>
      </w:r>
      <w:proofErr w:type="spellStart"/>
      <w:r w:rsidRPr="00F570EC">
        <w:rPr>
          <w:rFonts w:ascii="Times New Roman" w:hAnsi="Times New Roman" w:cs="Times New Roman"/>
          <w:bCs/>
        </w:rPr>
        <w:t>Wtl</w:t>
      </w:r>
      <w:proofErr w:type="spellEnd"/>
      <w:r w:rsidRPr="00F570EC">
        <w:rPr>
          <w:rFonts w:ascii="Times New Roman" w:hAnsi="Times New Roman" w:cs="Times New Roman"/>
          <w:bCs/>
        </w:rPr>
        <w:t xml:space="preserve"> concreet gaat plaatsvinden. Deze leden vragen of de evaluatie wordt meegenomen in een reeds gepland moment of dat er een nieuw (aanvullend) moment wordt gecreëerd.</w:t>
      </w:r>
    </w:p>
    <w:p w:rsidR="002C7575" w:rsidP="002C7575" w:rsidRDefault="005A49FF" w14:paraId="4D2A8558" w14:textId="77777777">
      <w:pPr>
        <w:spacing w:line="259" w:lineRule="auto"/>
        <w:ind w:left="-76"/>
        <w:rPr>
          <w:rFonts w:ascii="Times New Roman" w:hAnsi="Times New Roman" w:cs="Times New Roman"/>
          <w:bCs/>
        </w:rPr>
      </w:pPr>
      <w:r w:rsidRPr="005A49FF">
        <w:rPr>
          <w:rFonts w:ascii="Times New Roman" w:hAnsi="Times New Roman" w:cs="Times New Roman"/>
        </w:rPr>
        <w:t>De Voorzitter van de commissie,</w:t>
      </w:r>
      <w:r w:rsidR="002C7575">
        <w:rPr>
          <w:rFonts w:ascii="Times New Roman" w:hAnsi="Times New Roman" w:cs="Times New Roman"/>
        </w:rPr>
        <w:br/>
      </w:r>
      <w:r w:rsidRPr="005A49FF">
        <w:rPr>
          <w:rFonts w:ascii="Times New Roman" w:hAnsi="Times New Roman" w:cs="Times New Roman"/>
        </w:rPr>
        <w:t>Van der Burg</w:t>
      </w:r>
    </w:p>
    <w:p w:rsidR="002C7575" w:rsidP="002C7575" w:rsidRDefault="002C7575" w14:paraId="07456078" w14:textId="77777777">
      <w:pPr>
        <w:spacing w:line="259" w:lineRule="auto"/>
        <w:ind w:left="-76"/>
        <w:rPr>
          <w:rFonts w:ascii="Times New Roman" w:hAnsi="Times New Roman" w:cs="Times New Roman"/>
          <w:bCs/>
        </w:rPr>
      </w:pPr>
    </w:p>
    <w:p w:rsidRPr="002C7575" w:rsidR="005A49FF" w:rsidP="002C7575" w:rsidRDefault="005A49FF" w14:paraId="2DFD984D" w14:textId="734A5FAD">
      <w:pPr>
        <w:spacing w:line="259" w:lineRule="auto"/>
        <w:ind w:left="-76"/>
        <w:rPr>
          <w:rFonts w:ascii="Times New Roman" w:hAnsi="Times New Roman" w:cs="Times New Roman"/>
          <w:bCs/>
        </w:rPr>
      </w:pPr>
      <w:r w:rsidRPr="005A49FF">
        <w:rPr>
          <w:rFonts w:ascii="Times New Roman" w:hAnsi="Times New Roman" w:cs="Times New Roman"/>
        </w:rPr>
        <w:t>De griffier van de commissie,</w:t>
      </w:r>
      <w:r w:rsidR="002C7575">
        <w:rPr>
          <w:rFonts w:ascii="Times New Roman" w:hAnsi="Times New Roman" w:cs="Times New Roman"/>
        </w:rPr>
        <w:br/>
      </w:r>
      <w:r w:rsidRPr="005A49FF">
        <w:rPr>
          <w:rFonts w:ascii="Times New Roman" w:hAnsi="Times New Roman" w:cs="Times New Roman"/>
        </w:rPr>
        <w:t xml:space="preserve">Post </w:t>
      </w:r>
    </w:p>
    <w:sectPr w:rsidRPr="002C7575" w:rsidR="005A49F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349B6"/>
    <w:multiLevelType w:val="hybridMultilevel"/>
    <w:tmpl w:val="B8B0B466"/>
    <w:lvl w:ilvl="0" w:tplc="0413000F">
      <w:start w:val="5"/>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80822EA"/>
    <w:multiLevelType w:val="hybridMultilevel"/>
    <w:tmpl w:val="84F647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BC25DED"/>
    <w:multiLevelType w:val="multilevel"/>
    <w:tmpl w:val="F07A262E"/>
    <w:styleLink w:val="Huidigelijst1"/>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F01383B"/>
    <w:multiLevelType w:val="hybridMultilevel"/>
    <w:tmpl w:val="F07A262E"/>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03049557">
    <w:abstractNumId w:val="1"/>
  </w:num>
  <w:num w:numId="2" w16cid:durableId="944849167">
    <w:abstractNumId w:val="0"/>
  </w:num>
  <w:num w:numId="3" w16cid:durableId="884220032">
    <w:abstractNumId w:val="3"/>
  </w:num>
  <w:num w:numId="4" w16cid:durableId="552934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7F"/>
    <w:rsid w:val="00084BCC"/>
    <w:rsid w:val="001132C6"/>
    <w:rsid w:val="0014683C"/>
    <w:rsid w:val="001C4C59"/>
    <w:rsid w:val="002C7575"/>
    <w:rsid w:val="002E461D"/>
    <w:rsid w:val="00341E87"/>
    <w:rsid w:val="003C547F"/>
    <w:rsid w:val="004243D9"/>
    <w:rsid w:val="005A49FF"/>
    <w:rsid w:val="007B3577"/>
    <w:rsid w:val="007F18CA"/>
    <w:rsid w:val="008037E9"/>
    <w:rsid w:val="00807BD8"/>
    <w:rsid w:val="00807CD1"/>
    <w:rsid w:val="008C65D3"/>
    <w:rsid w:val="009F4EC5"/>
    <w:rsid w:val="00EF6007"/>
    <w:rsid w:val="00F42633"/>
    <w:rsid w:val="00F570EC"/>
    <w:rsid w:val="00F845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59E5"/>
  <w15:chartTrackingRefBased/>
  <w15:docId w15:val="{97E5F624-4272-7646-95F7-39C3EF22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5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5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54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54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54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54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54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54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54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54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54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54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54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54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54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54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54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547F"/>
    <w:rPr>
      <w:rFonts w:eastAsiaTheme="majorEastAsia" w:cstheme="majorBidi"/>
      <w:color w:val="272727" w:themeColor="text1" w:themeTint="D8"/>
    </w:rPr>
  </w:style>
  <w:style w:type="paragraph" w:styleId="Titel">
    <w:name w:val="Title"/>
    <w:basedOn w:val="Standaard"/>
    <w:next w:val="Standaard"/>
    <w:link w:val="TitelChar"/>
    <w:uiPriority w:val="10"/>
    <w:qFormat/>
    <w:rsid w:val="003C5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54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54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54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54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547F"/>
    <w:rPr>
      <w:i/>
      <w:iCs/>
      <w:color w:val="404040" w:themeColor="text1" w:themeTint="BF"/>
    </w:rPr>
  </w:style>
  <w:style w:type="paragraph" w:styleId="Lijstalinea">
    <w:name w:val="List Paragraph"/>
    <w:basedOn w:val="Standaard"/>
    <w:uiPriority w:val="34"/>
    <w:qFormat/>
    <w:rsid w:val="003C547F"/>
    <w:pPr>
      <w:ind w:left="720"/>
      <w:contextualSpacing/>
    </w:pPr>
  </w:style>
  <w:style w:type="character" w:styleId="Intensievebenadrukking">
    <w:name w:val="Intense Emphasis"/>
    <w:basedOn w:val="Standaardalinea-lettertype"/>
    <w:uiPriority w:val="21"/>
    <w:qFormat/>
    <w:rsid w:val="003C547F"/>
    <w:rPr>
      <w:i/>
      <w:iCs/>
      <w:color w:val="0F4761" w:themeColor="accent1" w:themeShade="BF"/>
    </w:rPr>
  </w:style>
  <w:style w:type="paragraph" w:styleId="Duidelijkcitaat">
    <w:name w:val="Intense Quote"/>
    <w:basedOn w:val="Standaard"/>
    <w:next w:val="Standaard"/>
    <w:link w:val="DuidelijkcitaatChar"/>
    <w:uiPriority w:val="30"/>
    <w:qFormat/>
    <w:rsid w:val="003C5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547F"/>
    <w:rPr>
      <w:i/>
      <w:iCs/>
      <w:color w:val="0F4761" w:themeColor="accent1" w:themeShade="BF"/>
    </w:rPr>
  </w:style>
  <w:style w:type="character" w:styleId="Intensieveverwijzing">
    <w:name w:val="Intense Reference"/>
    <w:basedOn w:val="Standaardalinea-lettertype"/>
    <w:uiPriority w:val="32"/>
    <w:qFormat/>
    <w:rsid w:val="003C547F"/>
    <w:rPr>
      <w:b/>
      <w:bCs/>
      <w:smallCaps/>
      <w:color w:val="0F4761" w:themeColor="accent1" w:themeShade="BF"/>
      <w:spacing w:val="5"/>
    </w:rPr>
  </w:style>
  <w:style w:type="paragraph" w:styleId="Normaalweb">
    <w:name w:val="Normal (Web)"/>
    <w:basedOn w:val="Standaard"/>
    <w:uiPriority w:val="99"/>
    <w:semiHidden/>
    <w:unhideWhenUsed/>
    <w:rsid w:val="003C547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numbering" w:customStyle="1" w:styleId="Huidigelijst1">
    <w:name w:val="Huidige lijst1"/>
    <w:uiPriority w:val="99"/>
    <w:rsid w:val="002E461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973</ap:Words>
  <ap:Characters>5354</ap:Characters>
  <ap:DocSecurity>4</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2025-10-01T14:34:00.0000000Z</dcterms:created>
  <dcterms:modified xsi:type="dcterms:W3CDTF">2025-10-01T14:34:00.0000000Z</dcterms:modified>
  <version/>
  <category/>
</coreProperties>
</file>