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D01F459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22DC44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745D4C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8F37E36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6D7738" w:rsidRDefault="004330ED" w14:paraId="5F07CA94" w14:textId="10F211D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827898">
              <w:rPr>
                <w:rFonts w:ascii="Times New Roman" w:hAnsi="Times New Roman"/>
                <w:b w:val="0"/>
              </w:rPr>
              <w:t>2</w:t>
            </w:r>
            <w:r w:rsidR="00481858">
              <w:rPr>
                <w:rFonts w:ascii="Times New Roman" w:hAnsi="Times New Roman"/>
                <w:b w:val="0"/>
              </w:rPr>
              <w:t>5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ED0585">
              <w:rPr>
                <w:rFonts w:ascii="Times New Roman" w:hAnsi="Times New Roman"/>
                <w:b w:val="0"/>
              </w:rPr>
              <w:t>2</w:t>
            </w:r>
            <w:r w:rsidR="00481858">
              <w:rPr>
                <w:rFonts w:ascii="Times New Roman" w:hAnsi="Times New Roman"/>
                <w:b w:val="0"/>
              </w:rPr>
              <w:t>6</w:t>
            </w:r>
          </w:p>
        </w:tc>
      </w:tr>
      <w:tr w:rsidR="004330ED" w:rsidTr="00EA1CE4" w14:paraId="1932A68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403DAD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6323DB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72A8B6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35D56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10766C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2A37B2D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72E85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827898" w:rsidRDefault="00BF76E5" w14:paraId="57E8D14E" w14:textId="673DC5F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B709BF">
              <w:rPr>
                <w:rFonts w:ascii="Times New Roman" w:hAnsi="Times New Roman"/>
              </w:rPr>
              <w:fldChar w:fldCharType="begin"/>
            </w:r>
            <w:r w:rsidRPr="00B709BF" w:rsidR="001656EE">
              <w:rPr>
                <w:rFonts w:ascii="Times New Roman" w:hAnsi="Times New Roman"/>
              </w:rPr>
              <w:instrText xml:space="preserve"> =  \* MERGEFORMAT </w:instrText>
            </w:r>
            <w:r w:rsidRPr="00B709BF">
              <w:rPr>
                <w:rFonts w:ascii="Times New Roman" w:hAnsi="Times New Roman"/>
              </w:rPr>
              <w:fldChar w:fldCharType="separate"/>
            </w:r>
            <w:r w:rsidRPr="00B709BF" w:rsidR="00941C3A">
              <w:rPr>
                <w:rFonts w:ascii="Times New Roman" w:hAnsi="Times New Roman"/>
              </w:rPr>
              <w:t xml:space="preserve"> </w:t>
            </w:r>
            <w:r w:rsidRPr="00B709BF">
              <w:rPr>
                <w:rFonts w:ascii="Times New Roman" w:hAnsi="Times New Roman"/>
              </w:rPr>
              <w:fldChar w:fldCharType="end"/>
            </w:r>
            <w:r w:rsidR="0094436D">
              <w:rPr>
                <w:rFonts w:ascii="Times New Roman" w:hAnsi="Times New Roman"/>
              </w:rPr>
              <w:t>36 812</w:t>
            </w:r>
          </w:p>
        </w:tc>
        <w:tc>
          <w:tcPr>
            <w:tcW w:w="7371" w:type="dxa"/>
            <w:gridSpan w:val="2"/>
          </w:tcPr>
          <w:p w:rsidRPr="00C035D4" w:rsidR="003C21AC" w:rsidP="008413F4" w:rsidRDefault="00BF76E5" w14:paraId="19B2941A" w14:textId="7C3C79E0">
            <w:pPr>
              <w:ind w:left="-70"/>
              <w:rPr>
                <w:b/>
              </w:rPr>
            </w:pPr>
            <w:r w:rsidRPr="00C035D4">
              <w:rPr>
                <w:b/>
              </w:rPr>
              <w:fldChar w:fldCharType="begin"/>
            </w:r>
            <w:r w:rsidRPr="00C035D4" w:rsidR="001656EE">
              <w:rPr>
                <w:b/>
              </w:rPr>
              <w:instrText xml:space="preserve"> =  \* MERGEFORMAT </w:instrText>
            </w:r>
            <w:r w:rsidRPr="00C035D4">
              <w:rPr>
                <w:b/>
              </w:rPr>
              <w:fldChar w:fldCharType="separate"/>
            </w:r>
            <w:r w:rsidRPr="00941C3A" w:rsidR="00941C3A">
              <w:rPr>
                <w:b/>
                <w:noProof/>
              </w:rPr>
              <w:t xml:space="preserve">Wijziging van enkele belastingwetten en enige </w:t>
            </w:r>
            <w:r w:rsidR="00ED0585">
              <w:rPr>
                <w:b/>
                <w:noProof/>
              </w:rPr>
              <w:t>a</w:t>
            </w:r>
            <w:r w:rsidR="006D7738">
              <w:rPr>
                <w:b/>
                <w:noProof/>
              </w:rPr>
              <w:t>ndere wetten (Belastingplan 20</w:t>
            </w:r>
            <w:r w:rsidR="0094436D">
              <w:rPr>
                <w:b/>
                <w:noProof/>
              </w:rPr>
              <w:t>26</w:t>
            </w:r>
            <w:r w:rsidRPr="00941C3A" w:rsidR="00941C3A">
              <w:rPr>
                <w:b/>
                <w:noProof/>
              </w:rPr>
              <w:t>)</w:t>
            </w:r>
            <w:r w:rsidRPr="00C035D4">
              <w:rPr>
                <w:b/>
              </w:rPr>
              <w:fldChar w:fldCharType="end"/>
            </w:r>
          </w:p>
        </w:tc>
      </w:tr>
      <w:tr w:rsidR="0094436D" w:rsidTr="00EA1CE4" w14:paraId="0B56A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B709BF" w:rsidR="0094436D" w:rsidP="00827898" w:rsidRDefault="0094436D" w14:paraId="3DBE7B6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94436D" w:rsidP="008413F4" w:rsidRDefault="0094436D" w14:paraId="4F91116F" w14:textId="77777777">
            <w:pPr>
              <w:ind w:left="-70"/>
              <w:rPr>
                <w:b/>
              </w:rPr>
            </w:pPr>
          </w:p>
        </w:tc>
      </w:tr>
      <w:tr w:rsidR="003C21AC" w:rsidTr="00EA1CE4" w14:paraId="1BA251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6AF020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2ECA5D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81E6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D26A1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E0C477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229C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1F37099" w14:textId="798E101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8606DF">
              <w:rPr>
                <w:rFonts w:ascii="Times New Roman" w:hAnsi="Times New Roman"/>
                <w:caps/>
              </w:rPr>
              <w:t>11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3334D50" w14:textId="2EC3C9D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94436D">
              <w:rPr>
                <w:rFonts w:ascii="Times New Roman" w:hAnsi="Times New Roman"/>
                <w:caps/>
              </w:rPr>
              <w:t>Grinwis</w:t>
            </w:r>
          </w:p>
        </w:tc>
      </w:tr>
      <w:tr w:rsidR="003C21AC" w:rsidTr="00EA1CE4" w14:paraId="68CC7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76796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1BF6DEC2" w14:textId="5925848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606DF">
              <w:rPr>
                <w:rFonts w:ascii="Times New Roman" w:hAnsi="Times New Roman"/>
                <w:b w:val="0"/>
              </w:rPr>
              <w:t>1</w:t>
            </w:r>
            <w:r w:rsidR="0094436D">
              <w:rPr>
                <w:rFonts w:ascii="Times New Roman" w:hAnsi="Times New Roman"/>
                <w:b w:val="0"/>
              </w:rPr>
              <w:t xml:space="preserve"> </w:t>
            </w:r>
            <w:r w:rsidR="008606DF">
              <w:rPr>
                <w:rFonts w:ascii="Times New Roman" w:hAnsi="Times New Roman"/>
                <w:b w:val="0"/>
              </w:rPr>
              <w:t>oktober</w:t>
            </w:r>
            <w:r w:rsidR="0094436D">
              <w:rPr>
                <w:rFonts w:ascii="Times New Roman" w:hAnsi="Times New Roman"/>
                <w:b w:val="0"/>
              </w:rPr>
              <w:t xml:space="preserve"> 2025</w:t>
            </w:r>
          </w:p>
        </w:tc>
      </w:tr>
      <w:tr w:rsidR="00B01BA6" w:rsidTr="00EA1CE4" w14:paraId="7899A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069DF2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746F9AF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34AA1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3AC7851E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31111856" w14:textId="77777777"/>
    <w:p w:rsidRPr="00EA69AC" w:rsidR="004330ED" w:rsidP="00EA1CE4" w:rsidRDefault="004330ED" w14:paraId="77DF5FF3" w14:textId="77777777">
      <w:r w:rsidRPr="00EA69AC">
        <w:t>I</w:t>
      </w:r>
    </w:p>
    <w:p w:rsidR="005B1DCC" w:rsidP="00BF623B" w:rsidRDefault="005B1DCC" w14:paraId="4F70DCC5" w14:textId="77777777"/>
    <w:p w:rsidRPr="00EA69AC" w:rsidR="0094436D" w:rsidP="008606DF" w:rsidRDefault="008606DF" w14:paraId="58385A71" w14:textId="3FA7A076">
      <w:pPr>
        <w:ind w:firstLine="284"/>
      </w:pPr>
      <w:r>
        <w:t xml:space="preserve">Het in </w:t>
      </w:r>
      <w:r w:rsidR="0094436D">
        <w:t xml:space="preserve">artikel I, onderdeel A, </w:t>
      </w:r>
      <w:r w:rsidR="00A02847">
        <w:t>onder 2</w:t>
      </w:r>
      <w:r w:rsidR="0094436D">
        <w:t xml:space="preserve">, </w:t>
      </w:r>
      <w:r w:rsidR="00A02847">
        <w:t>sub</w:t>
      </w:r>
      <w:r w:rsidR="0094436D">
        <w:t>onder</w:t>
      </w:r>
      <w:r w:rsidR="00A02847">
        <w:t>deel</w:t>
      </w:r>
      <w:r w:rsidR="0094436D">
        <w:t xml:space="preserve"> a, </w:t>
      </w:r>
      <w:r>
        <w:t>genoemde getal wordt verhoogd met 0,05%-punt.</w:t>
      </w:r>
      <w:r w:rsidR="0094436D">
        <w:t xml:space="preserve"> </w:t>
      </w:r>
    </w:p>
    <w:p w:rsidR="0094436D" w:rsidP="0094436D" w:rsidRDefault="0094436D" w14:paraId="746A5259" w14:textId="77777777"/>
    <w:p w:rsidR="0094436D" w:rsidP="0094436D" w:rsidRDefault="0094436D" w14:paraId="6C59291B" w14:textId="729505B2">
      <w:r>
        <w:t>II</w:t>
      </w:r>
    </w:p>
    <w:p w:rsidR="0094436D" w:rsidP="0094436D" w:rsidRDefault="0094436D" w14:paraId="11982D92" w14:textId="77777777"/>
    <w:p w:rsidR="0094436D" w:rsidP="008606DF" w:rsidRDefault="0094436D" w14:paraId="55B5CE9D" w14:textId="75841032">
      <w:pPr>
        <w:ind w:firstLine="284"/>
      </w:pPr>
      <w:r>
        <w:t xml:space="preserve">Artikel I, onderdeel H, vervalt. </w:t>
      </w:r>
    </w:p>
    <w:p w:rsidR="0094436D" w:rsidP="0094436D" w:rsidRDefault="0094436D" w14:paraId="2CF8898E" w14:textId="77777777"/>
    <w:p w:rsidR="0094436D" w:rsidP="0094436D" w:rsidRDefault="0094436D" w14:paraId="081F72E4" w14:textId="7596A12F">
      <w:r>
        <w:t>III</w:t>
      </w:r>
    </w:p>
    <w:p w:rsidR="0094436D" w:rsidP="0094436D" w:rsidRDefault="0094436D" w14:paraId="100C3599" w14:textId="77777777"/>
    <w:p w:rsidR="0094436D" w:rsidP="008606DF" w:rsidRDefault="008606DF" w14:paraId="01184B34" w14:textId="1FC5A843">
      <w:pPr>
        <w:ind w:firstLine="284"/>
      </w:pPr>
      <w:r>
        <w:t>Het in</w:t>
      </w:r>
      <w:r w:rsidR="0094436D">
        <w:t xml:space="preserve"> artikel III, onderdeel B, </w:t>
      </w:r>
      <w:r w:rsidR="00A02847">
        <w:t>onder 2</w:t>
      </w:r>
      <w:r w:rsidR="0094436D">
        <w:t xml:space="preserve">, </w:t>
      </w:r>
      <w:r w:rsidR="00A02847">
        <w:t>sub</w:t>
      </w:r>
      <w:r w:rsidR="0094436D">
        <w:t>onder</w:t>
      </w:r>
      <w:r w:rsidR="00A02847">
        <w:t>deel</w:t>
      </w:r>
      <w:r w:rsidR="0094436D">
        <w:t xml:space="preserve"> a, </w:t>
      </w:r>
      <w:r>
        <w:t>genoemde getal wordt verhoogd met 0,05%-punt.</w:t>
      </w:r>
    </w:p>
    <w:p w:rsidR="008606DF" w:rsidP="008606DF" w:rsidRDefault="008606DF" w14:paraId="38AEBC60" w14:textId="77777777">
      <w:pPr>
        <w:ind w:firstLine="284"/>
      </w:pPr>
    </w:p>
    <w:p w:rsidR="003418F3" w:rsidP="0094436D" w:rsidRDefault="003418F3" w14:paraId="3F9F4C57" w14:textId="3399252E">
      <w:r>
        <w:t>IV</w:t>
      </w:r>
    </w:p>
    <w:p w:rsidR="003418F3" w:rsidP="0094436D" w:rsidRDefault="003418F3" w14:paraId="09F4F53B" w14:textId="77777777"/>
    <w:p w:rsidR="003418F3" w:rsidP="008606DF" w:rsidRDefault="003418F3" w14:paraId="1B74A725" w14:textId="655E99C2">
      <w:pPr>
        <w:ind w:firstLine="284"/>
      </w:pPr>
      <w:r>
        <w:t>Artikel III, onderdeel C, vervalt.</w:t>
      </w:r>
    </w:p>
    <w:p w:rsidR="003418F3" w:rsidP="0094436D" w:rsidRDefault="003418F3" w14:paraId="0E324C6B" w14:textId="77777777"/>
    <w:p w:rsidR="0094436D" w:rsidP="0094436D" w:rsidRDefault="0094436D" w14:paraId="3C0338B6" w14:textId="5D407E18">
      <w:r>
        <w:t>V</w:t>
      </w:r>
    </w:p>
    <w:p w:rsidR="0094436D" w:rsidP="0094436D" w:rsidRDefault="0094436D" w14:paraId="50163DEA" w14:textId="77777777"/>
    <w:p w:rsidRPr="00EA69AC" w:rsidR="0094436D" w:rsidP="008606DF" w:rsidRDefault="0094436D" w14:paraId="68713642" w14:textId="0AF355CE">
      <w:pPr>
        <w:ind w:firstLine="284"/>
      </w:pPr>
      <w:r>
        <w:t>Artikel XLIII vervalt.</w:t>
      </w:r>
    </w:p>
    <w:p w:rsidR="00EA1CE4" w:rsidP="00EA1CE4" w:rsidRDefault="00EA1CE4" w14:paraId="1B4193D5" w14:textId="77777777"/>
    <w:p w:rsidRPr="00EA69AC" w:rsidR="003C21AC" w:rsidP="00EA1CE4" w:rsidRDefault="003C21AC" w14:paraId="3DD119C9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19D711D5" w14:textId="77777777"/>
    <w:p w:rsidR="00481858" w:rsidP="00481858" w:rsidRDefault="00481858" w14:paraId="3CAB4973" w14:textId="7701D832">
      <w:r>
        <w:t>Met het onderhavige amendement wordt de in het wetsvoorstel opgenomen verhoging van de arbeidskorting (met € 25 bij het tweede knikpunt en met € 27 bij het derde knikpunt) ongedaan gemaakt, evenals de bijbehorende verhoging van het tarief van de eerste schijf van de loon-en inkomstenbelasting met 0,05%-punt.</w:t>
      </w:r>
      <w:r w:rsidR="001B4E76">
        <w:t xml:space="preserve"> </w:t>
      </w:r>
      <w:r w:rsidR="00E05215">
        <w:t>Het is totaal onnodig om de al forse arbeidskorting nog verder te verhogen. En het is tegelijkertijd juist van belang dat het belastingtarief in de eerste schijf</w:t>
      </w:r>
      <w:r w:rsidR="009B3942">
        <w:t xml:space="preserve"> van de inkomstenbelasting zo laag mogelijk is.</w:t>
      </w:r>
      <w:r w:rsidR="00E05215">
        <w:t xml:space="preserve"> </w:t>
      </w:r>
      <w:r w:rsidR="009B3942">
        <w:t>Bovendien is dit amendement</w:t>
      </w:r>
      <w:r w:rsidR="001B4E76">
        <w:t xml:space="preserve"> in lijn met de door de Kamer</w:t>
      </w:r>
      <w:r w:rsidR="00E05215">
        <w:t xml:space="preserve"> bij de Algemene Politieke Beschouwingen</w:t>
      </w:r>
      <w:r w:rsidR="001B4E76">
        <w:t xml:space="preserve"> aangenomen motie van de leden </w:t>
      </w:r>
      <w:r w:rsidR="00E05215">
        <w:t>V</w:t>
      </w:r>
      <w:r w:rsidR="001B4E76">
        <w:t xml:space="preserve">an Hijum en Bikker over de verhoging van de arbeidskorting terugdraaien en </w:t>
      </w:r>
      <w:r w:rsidR="00E05215">
        <w:t xml:space="preserve">het tarief in de eerste schijf van </w:t>
      </w:r>
      <w:r w:rsidR="001B4E76">
        <w:t xml:space="preserve">de inkomstenbelasting met de vrijvallende middelen verlagen (36 800 nr. 30). </w:t>
      </w:r>
    </w:p>
    <w:p w:rsidR="001B4E76" w:rsidP="00481858" w:rsidRDefault="001B4E76" w14:paraId="6C29632A" w14:textId="77777777"/>
    <w:p w:rsidRPr="009B3942" w:rsidR="006F66A7" w:rsidP="00BF623B" w:rsidRDefault="00481858" w14:paraId="4F4B3277" w14:textId="49FBC742">
      <w:r>
        <w:t xml:space="preserve">In verband met het laten vervallen van de verhoging van de arbeidskorting, vervalt op grond van dit </w:t>
      </w:r>
      <w:r>
        <w:lastRenderedPageBreak/>
        <w:t>amendement ook het artikel waarin de indexatie van de verhoging van de arbeidskorting wordt geregeld.</w:t>
      </w:r>
    </w:p>
    <w:p w:rsidR="006F66A7" w:rsidP="00BF623B" w:rsidRDefault="006F66A7" w14:paraId="0B75B2DD" w14:textId="77777777">
      <w:pPr>
        <w:rPr>
          <w:i/>
          <w:iCs/>
        </w:rPr>
      </w:pPr>
    </w:p>
    <w:p w:rsidRPr="00503485" w:rsidR="007B322B" w:rsidP="00BF623B" w:rsidRDefault="007B322B" w14:paraId="58B15609" w14:textId="172898AC">
      <w:pPr>
        <w:rPr>
          <w:i/>
          <w:iCs/>
        </w:rPr>
      </w:pPr>
      <w:r w:rsidRPr="00503485">
        <w:rPr>
          <w:i/>
          <w:iCs/>
        </w:rPr>
        <w:t>Budgettair</w:t>
      </w:r>
    </w:p>
    <w:p w:rsidRPr="00EA69AC" w:rsidR="007B322B" w:rsidP="00BF623B" w:rsidRDefault="007B322B" w14:paraId="2C8E5158" w14:textId="77777777"/>
    <w:p w:rsidR="007B322B" w:rsidP="007B322B" w:rsidRDefault="007B322B" w14:paraId="62B0419D" w14:textId="227D84E5">
      <w:r>
        <w:t xml:space="preserve">Tabel: budgettaire effecten (in </w:t>
      </w:r>
      <w:proofErr w:type="spellStart"/>
      <w:r>
        <w:t>mln</w:t>
      </w:r>
      <w:proofErr w:type="spellEnd"/>
      <w:r>
        <w:t xml:space="preserve"> euro, prijzen 2025)</w:t>
      </w:r>
    </w:p>
    <w:tbl>
      <w:tblPr>
        <w:tblStyle w:val="Rastertabel4-Accent1"/>
        <w:tblW w:w="9917" w:type="dxa"/>
        <w:tblLook w:val="04A0" w:firstRow="1" w:lastRow="0" w:firstColumn="1" w:lastColumn="0" w:noHBand="0" w:noVBand="1"/>
      </w:tblPr>
      <w:tblGrid>
        <w:gridCol w:w="4117"/>
        <w:gridCol w:w="966"/>
        <w:gridCol w:w="967"/>
        <w:gridCol w:w="967"/>
        <w:gridCol w:w="966"/>
        <w:gridCol w:w="967"/>
        <w:gridCol w:w="967"/>
      </w:tblGrid>
      <w:tr w:rsidR="007B322B" w:rsidTr="005A45EB" w14:paraId="7B41316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7" w:type="dxa"/>
          </w:tcPr>
          <w:p w:rsidR="007B322B" w:rsidP="005A45EB" w:rsidRDefault="007B322B" w14:paraId="1ED21C86" w14:textId="77777777"/>
        </w:tc>
        <w:tc>
          <w:tcPr>
            <w:tcW w:w="966" w:type="dxa"/>
          </w:tcPr>
          <w:p w:rsidR="007B322B" w:rsidP="005A45EB" w:rsidRDefault="007B322B" w14:paraId="7D9CF72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2026</w:t>
            </w:r>
          </w:p>
        </w:tc>
        <w:tc>
          <w:tcPr>
            <w:tcW w:w="967" w:type="dxa"/>
          </w:tcPr>
          <w:p w:rsidR="007B322B" w:rsidP="005A45EB" w:rsidRDefault="007B322B" w14:paraId="09C26F0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2027</w:t>
            </w:r>
          </w:p>
        </w:tc>
        <w:tc>
          <w:tcPr>
            <w:tcW w:w="967" w:type="dxa"/>
          </w:tcPr>
          <w:p w:rsidR="007B322B" w:rsidP="005A45EB" w:rsidRDefault="007B322B" w14:paraId="032A540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2028</w:t>
            </w:r>
          </w:p>
        </w:tc>
        <w:tc>
          <w:tcPr>
            <w:tcW w:w="966" w:type="dxa"/>
          </w:tcPr>
          <w:p w:rsidR="007B322B" w:rsidP="005A45EB" w:rsidRDefault="007B322B" w14:paraId="09E7883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2029</w:t>
            </w:r>
          </w:p>
        </w:tc>
        <w:tc>
          <w:tcPr>
            <w:tcW w:w="967" w:type="dxa"/>
          </w:tcPr>
          <w:p w:rsidR="007B322B" w:rsidP="005A45EB" w:rsidRDefault="007B322B" w14:paraId="126235E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2030</w:t>
            </w:r>
          </w:p>
        </w:tc>
        <w:tc>
          <w:tcPr>
            <w:tcW w:w="967" w:type="dxa"/>
          </w:tcPr>
          <w:p w:rsidR="007B322B" w:rsidP="005A45EB" w:rsidRDefault="007B322B" w14:paraId="5CBA89B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Struc</w:t>
            </w:r>
            <w:proofErr w:type="spellEnd"/>
          </w:p>
        </w:tc>
      </w:tr>
      <w:tr w:rsidRPr="00DB585D" w:rsidR="007B322B" w:rsidTr="005A45EB" w14:paraId="5466F5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7" w:type="dxa"/>
          </w:tcPr>
          <w:p w:rsidRPr="00DB585D" w:rsidR="007B322B" w:rsidP="005A45EB" w:rsidRDefault="00C51C78" w14:paraId="0F10A2A5" w14:textId="4AB5B4D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Ongedaan maken verhoging</w:t>
            </w:r>
            <w:r w:rsidR="0050290C">
              <w:rPr>
                <w:b w:val="0"/>
                <w:bCs w:val="0"/>
              </w:rPr>
              <w:t xml:space="preserve"> </w:t>
            </w:r>
            <w:r w:rsidRPr="00DB585D" w:rsidR="007B322B">
              <w:rPr>
                <w:b w:val="0"/>
                <w:bCs w:val="0"/>
              </w:rPr>
              <w:t>arbeidskorting met €</w:t>
            </w:r>
            <w:r w:rsidR="0050290C">
              <w:rPr>
                <w:b w:val="0"/>
                <w:bCs w:val="0"/>
              </w:rPr>
              <w:t> </w:t>
            </w:r>
            <w:r w:rsidRPr="00DB585D" w:rsidR="007B322B">
              <w:rPr>
                <w:b w:val="0"/>
                <w:bCs w:val="0"/>
              </w:rPr>
              <w:t>25 bij 2</w:t>
            </w:r>
            <w:r w:rsidRPr="00DB585D" w:rsidR="007B322B">
              <w:rPr>
                <w:b w:val="0"/>
                <w:bCs w:val="0"/>
                <w:vertAlign w:val="superscript"/>
              </w:rPr>
              <w:t>e</w:t>
            </w:r>
            <w:r w:rsidRPr="00DB585D" w:rsidR="007B322B">
              <w:rPr>
                <w:b w:val="0"/>
                <w:bCs w:val="0"/>
              </w:rPr>
              <w:t xml:space="preserve"> knikpunt en </w:t>
            </w:r>
            <w:r w:rsidR="0050290C">
              <w:rPr>
                <w:b w:val="0"/>
                <w:bCs w:val="0"/>
              </w:rPr>
              <w:t xml:space="preserve">met </w:t>
            </w:r>
            <w:r w:rsidRPr="00DB585D" w:rsidR="007B322B">
              <w:rPr>
                <w:b w:val="0"/>
                <w:bCs w:val="0"/>
              </w:rPr>
              <w:t>€</w:t>
            </w:r>
            <w:r w:rsidR="0050290C">
              <w:rPr>
                <w:b w:val="0"/>
                <w:bCs w:val="0"/>
              </w:rPr>
              <w:t> </w:t>
            </w:r>
            <w:r w:rsidRPr="00DB585D" w:rsidR="007B322B">
              <w:rPr>
                <w:b w:val="0"/>
                <w:bCs w:val="0"/>
              </w:rPr>
              <w:t>27 bij 3</w:t>
            </w:r>
            <w:r w:rsidRPr="00DB585D" w:rsidR="007B322B">
              <w:rPr>
                <w:b w:val="0"/>
                <w:bCs w:val="0"/>
                <w:vertAlign w:val="superscript"/>
              </w:rPr>
              <w:t>e</w:t>
            </w:r>
            <w:r w:rsidRPr="00DB585D" w:rsidR="007B322B">
              <w:rPr>
                <w:b w:val="0"/>
                <w:bCs w:val="0"/>
              </w:rPr>
              <w:t xml:space="preserve"> knikpunt</w:t>
            </w:r>
          </w:p>
        </w:tc>
        <w:tc>
          <w:tcPr>
            <w:tcW w:w="966" w:type="dxa"/>
          </w:tcPr>
          <w:p w:rsidRPr="00DB585D" w:rsidR="007B322B" w:rsidP="005A45EB" w:rsidRDefault="007B322B" w14:paraId="0C3C5B3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  <w:tc>
          <w:tcPr>
            <w:tcW w:w="967" w:type="dxa"/>
          </w:tcPr>
          <w:p w:rsidRPr="00DB585D" w:rsidR="007B322B" w:rsidP="005A45EB" w:rsidRDefault="007B322B" w14:paraId="028383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  <w:tc>
          <w:tcPr>
            <w:tcW w:w="967" w:type="dxa"/>
          </w:tcPr>
          <w:p w:rsidRPr="00DB585D" w:rsidR="007B322B" w:rsidP="005A45EB" w:rsidRDefault="007B322B" w14:paraId="0A54D20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  <w:tc>
          <w:tcPr>
            <w:tcW w:w="966" w:type="dxa"/>
          </w:tcPr>
          <w:p w:rsidRPr="00DB585D" w:rsidR="007B322B" w:rsidP="005A45EB" w:rsidRDefault="007B322B" w14:paraId="7309EE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  <w:tc>
          <w:tcPr>
            <w:tcW w:w="967" w:type="dxa"/>
          </w:tcPr>
          <w:p w:rsidRPr="00DB585D" w:rsidR="007B322B" w:rsidP="005A45EB" w:rsidRDefault="007B322B" w14:paraId="5F04DA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  <w:tc>
          <w:tcPr>
            <w:tcW w:w="967" w:type="dxa"/>
          </w:tcPr>
          <w:p w:rsidRPr="00DB585D" w:rsidR="007B322B" w:rsidP="005A45EB" w:rsidRDefault="007B322B" w14:paraId="583DC2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</w:t>
            </w:r>
          </w:p>
        </w:tc>
      </w:tr>
      <w:tr w:rsidRPr="00DB585D" w:rsidR="007B322B" w:rsidTr="005A45EB" w14:paraId="6CF7DACD" w14:textId="7777777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7" w:type="dxa"/>
          </w:tcPr>
          <w:p w:rsidRPr="00DB585D" w:rsidR="007B322B" w:rsidP="005A45EB" w:rsidRDefault="00C51C78" w14:paraId="0CE3722F" w14:textId="37E7326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Ongedaan maken </w:t>
            </w:r>
            <w:r w:rsidR="001035B4">
              <w:rPr>
                <w:b w:val="0"/>
                <w:bCs w:val="0"/>
              </w:rPr>
              <w:t xml:space="preserve">bijbehorende </w:t>
            </w:r>
            <w:r>
              <w:rPr>
                <w:b w:val="0"/>
                <w:bCs w:val="0"/>
              </w:rPr>
              <w:t>verhoging</w:t>
            </w:r>
            <w:r w:rsidRPr="00DB585D" w:rsidR="007B322B">
              <w:rPr>
                <w:b w:val="0"/>
                <w:bCs w:val="0"/>
              </w:rPr>
              <w:t xml:space="preserve"> tarief 1</w:t>
            </w:r>
            <w:r w:rsidRPr="00DB585D" w:rsidR="007B322B">
              <w:rPr>
                <w:b w:val="0"/>
                <w:bCs w:val="0"/>
                <w:vertAlign w:val="superscript"/>
              </w:rPr>
              <w:t>e</w:t>
            </w:r>
            <w:r w:rsidRPr="00DB585D" w:rsidR="007B322B">
              <w:rPr>
                <w:b w:val="0"/>
                <w:bCs w:val="0"/>
              </w:rPr>
              <w:t xml:space="preserve"> schijf </w:t>
            </w:r>
            <w:r w:rsidR="0050290C">
              <w:rPr>
                <w:b w:val="0"/>
                <w:bCs w:val="0"/>
              </w:rPr>
              <w:t xml:space="preserve">loon-en inkomstenbelasting </w:t>
            </w:r>
            <w:r w:rsidRPr="00DB585D" w:rsidR="007B322B">
              <w:rPr>
                <w:b w:val="0"/>
                <w:bCs w:val="0"/>
              </w:rPr>
              <w:t>met 0,05%-punt</w:t>
            </w:r>
            <w:r w:rsidR="0050290C">
              <w:rPr>
                <w:b w:val="0"/>
                <w:bCs w:val="0"/>
              </w:rPr>
              <w:t>.</w:t>
            </w:r>
          </w:p>
        </w:tc>
        <w:tc>
          <w:tcPr>
            <w:tcW w:w="966" w:type="dxa"/>
          </w:tcPr>
          <w:p w:rsidRPr="00DB585D" w:rsidR="007B322B" w:rsidP="005A45EB" w:rsidRDefault="007B322B" w14:paraId="0CA01F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-189</w:t>
            </w:r>
          </w:p>
        </w:tc>
        <w:tc>
          <w:tcPr>
            <w:tcW w:w="967" w:type="dxa"/>
          </w:tcPr>
          <w:p w:rsidRPr="00DB585D" w:rsidR="007B322B" w:rsidP="005A45EB" w:rsidRDefault="007B322B" w14:paraId="75D36B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-189</w:t>
            </w:r>
          </w:p>
        </w:tc>
        <w:tc>
          <w:tcPr>
            <w:tcW w:w="967" w:type="dxa"/>
          </w:tcPr>
          <w:p w:rsidRPr="00DB585D" w:rsidR="007B322B" w:rsidP="005A45EB" w:rsidRDefault="007B322B" w14:paraId="4AC8F4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-188</w:t>
            </w:r>
          </w:p>
        </w:tc>
        <w:tc>
          <w:tcPr>
            <w:tcW w:w="966" w:type="dxa"/>
          </w:tcPr>
          <w:p w:rsidRPr="00DB585D" w:rsidR="007B322B" w:rsidP="005A45EB" w:rsidRDefault="007B322B" w14:paraId="1A5764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-188</w:t>
            </w:r>
          </w:p>
        </w:tc>
        <w:tc>
          <w:tcPr>
            <w:tcW w:w="967" w:type="dxa"/>
          </w:tcPr>
          <w:p w:rsidRPr="00DB585D" w:rsidR="007B322B" w:rsidP="005A45EB" w:rsidRDefault="007B322B" w14:paraId="25C10C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-188</w:t>
            </w:r>
          </w:p>
        </w:tc>
        <w:tc>
          <w:tcPr>
            <w:tcW w:w="967" w:type="dxa"/>
          </w:tcPr>
          <w:p w:rsidRPr="00DB585D" w:rsidR="007B322B" w:rsidP="005A45EB" w:rsidRDefault="007B322B" w14:paraId="7A10AE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-176</w:t>
            </w:r>
          </w:p>
        </w:tc>
      </w:tr>
    </w:tbl>
    <w:p w:rsidR="007B322B" w:rsidP="00EA1CE4" w:rsidRDefault="007B322B" w14:paraId="76A1D614" w14:textId="77777777">
      <w:pPr>
        <w:rPr>
          <w:i/>
          <w:iCs/>
        </w:rPr>
      </w:pPr>
    </w:p>
    <w:p w:rsidRPr="00EA69AC" w:rsidR="00B4708A" w:rsidP="00EA1CE4" w:rsidRDefault="00BF76E5" w14:paraId="4554FBCB" w14:textId="65273A97">
      <w:r w:rsidRPr="00EA69AC">
        <w:fldChar w:fldCharType="begin"/>
      </w:r>
      <w:r w:rsidRPr="00EA69AC" w:rsidR="005B1DCC">
        <w:instrText xml:space="preserve"> =  \* MERGEFORMAT </w:instrText>
      </w:r>
      <w:r w:rsidRPr="00EA69AC">
        <w:fldChar w:fldCharType="separate"/>
      </w:r>
      <w:r w:rsidR="00E05215">
        <w:rPr>
          <w:noProof/>
        </w:rPr>
        <w:t>Grinwis</w:t>
      </w:r>
      <w:r w:rsidRPr="00EA69AC">
        <w:fldChar w:fldCharType="end"/>
      </w:r>
      <w:r w:rsidRPr="00EA69AC" w:rsidR="00E05215">
        <w:t xml:space="preserve"> </w:t>
      </w:r>
    </w:p>
    <w:sectPr w:rsidRPr="00EA69AC" w:rsidR="00B4708A" w:rsidSect="00EA1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0E67" w14:textId="77777777" w:rsidR="006D3A9A" w:rsidRDefault="006D3A9A">
      <w:pPr>
        <w:spacing w:line="20" w:lineRule="exact"/>
      </w:pPr>
    </w:p>
  </w:endnote>
  <w:endnote w:type="continuationSeparator" w:id="0">
    <w:p w14:paraId="07EE1CED" w14:textId="77777777" w:rsidR="006D3A9A" w:rsidRDefault="006D3A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3A898E" w14:textId="77777777" w:rsidR="006D3A9A" w:rsidRDefault="006D3A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00A4" w14:textId="77777777" w:rsidR="00E94B6C" w:rsidRDefault="00E94B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AB87" w14:textId="77777777" w:rsidR="00E94B6C" w:rsidRDefault="00E94B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818F" w14:textId="77777777" w:rsidR="00E94B6C" w:rsidRDefault="00E94B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CB753" w14:textId="77777777" w:rsidR="006D3A9A" w:rsidRDefault="006D3A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4F3B4D" w14:textId="77777777" w:rsidR="006D3A9A" w:rsidRDefault="006D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69CB" w14:textId="77777777" w:rsidR="00E94B6C" w:rsidRDefault="00E94B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50DE" w14:textId="77777777" w:rsidR="00E94B6C" w:rsidRDefault="00E94B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6343" w14:textId="77777777" w:rsidR="00E94B6C" w:rsidRDefault="00E94B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36"/>
    <w:rsid w:val="0009231A"/>
    <w:rsid w:val="000D17BF"/>
    <w:rsid w:val="001035B4"/>
    <w:rsid w:val="00113C8A"/>
    <w:rsid w:val="001207A6"/>
    <w:rsid w:val="00124E0B"/>
    <w:rsid w:val="00157CAF"/>
    <w:rsid w:val="001656EE"/>
    <w:rsid w:val="0016653D"/>
    <w:rsid w:val="001B12C8"/>
    <w:rsid w:val="001B4E76"/>
    <w:rsid w:val="001E0E21"/>
    <w:rsid w:val="002153B0"/>
    <w:rsid w:val="0021777F"/>
    <w:rsid w:val="00225AE3"/>
    <w:rsid w:val="00241DD0"/>
    <w:rsid w:val="002A0713"/>
    <w:rsid w:val="00300E76"/>
    <w:rsid w:val="003116AC"/>
    <w:rsid w:val="003418F3"/>
    <w:rsid w:val="003A6923"/>
    <w:rsid w:val="003C21AC"/>
    <w:rsid w:val="003C5218"/>
    <w:rsid w:val="003E0A0F"/>
    <w:rsid w:val="003E2F98"/>
    <w:rsid w:val="00401C8D"/>
    <w:rsid w:val="0042574B"/>
    <w:rsid w:val="004330ED"/>
    <w:rsid w:val="004430A9"/>
    <w:rsid w:val="004772BA"/>
    <w:rsid w:val="00481858"/>
    <w:rsid w:val="00481C91"/>
    <w:rsid w:val="004911E3"/>
    <w:rsid w:val="00497D57"/>
    <w:rsid w:val="004A7DD4"/>
    <w:rsid w:val="004B50D8"/>
    <w:rsid w:val="004B5B90"/>
    <w:rsid w:val="00501109"/>
    <w:rsid w:val="0050290C"/>
    <w:rsid w:val="00503485"/>
    <w:rsid w:val="005119A0"/>
    <w:rsid w:val="005703C9"/>
    <w:rsid w:val="00597703"/>
    <w:rsid w:val="005A6097"/>
    <w:rsid w:val="005B1DCC"/>
    <w:rsid w:val="005B7323"/>
    <w:rsid w:val="005C25B9"/>
    <w:rsid w:val="006267E6"/>
    <w:rsid w:val="006558D2"/>
    <w:rsid w:val="006627F6"/>
    <w:rsid w:val="00672D25"/>
    <w:rsid w:val="006738BC"/>
    <w:rsid w:val="00681F4C"/>
    <w:rsid w:val="006B2A20"/>
    <w:rsid w:val="006D3A9A"/>
    <w:rsid w:val="006D3E69"/>
    <w:rsid w:val="006D7738"/>
    <w:rsid w:val="006E0971"/>
    <w:rsid w:val="006F66A7"/>
    <w:rsid w:val="007709F6"/>
    <w:rsid w:val="00786649"/>
    <w:rsid w:val="007965FC"/>
    <w:rsid w:val="007B322B"/>
    <w:rsid w:val="007C6B5C"/>
    <w:rsid w:val="007D2608"/>
    <w:rsid w:val="007D73F9"/>
    <w:rsid w:val="008164E5"/>
    <w:rsid w:val="00827898"/>
    <w:rsid w:val="00830081"/>
    <w:rsid w:val="00832A36"/>
    <w:rsid w:val="008413F4"/>
    <w:rsid w:val="008467D7"/>
    <w:rsid w:val="00852541"/>
    <w:rsid w:val="00857EC3"/>
    <w:rsid w:val="008606DF"/>
    <w:rsid w:val="00865D47"/>
    <w:rsid w:val="008766F7"/>
    <w:rsid w:val="0088452C"/>
    <w:rsid w:val="008D7DCB"/>
    <w:rsid w:val="009009B5"/>
    <w:rsid w:val="009055DB"/>
    <w:rsid w:val="00905ECB"/>
    <w:rsid w:val="0093761B"/>
    <w:rsid w:val="00941C3A"/>
    <w:rsid w:val="0094436D"/>
    <w:rsid w:val="0096165D"/>
    <w:rsid w:val="009854A0"/>
    <w:rsid w:val="009A409F"/>
    <w:rsid w:val="009A67DF"/>
    <w:rsid w:val="009B3942"/>
    <w:rsid w:val="009B5845"/>
    <w:rsid w:val="009C0C1F"/>
    <w:rsid w:val="009C1735"/>
    <w:rsid w:val="00A02847"/>
    <w:rsid w:val="00A10505"/>
    <w:rsid w:val="00A1288B"/>
    <w:rsid w:val="00A53203"/>
    <w:rsid w:val="00A772EB"/>
    <w:rsid w:val="00AE6176"/>
    <w:rsid w:val="00AF71D9"/>
    <w:rsid w:val="00B01BA6"/>
    <w:rsid w:val="00B4708A"/>
    <w:rsid w:val="00B709BF"/>
    <w:rsid w:val="00B87F58"/>
    <w:rsid w:val="00BA0069"/>
    <w:rsid w:val="00BF623B"/>
    <w:rsid w:val="00BF76E5"/>
    <w:rsid w:val="00C035D4"/>
    <w:rsid w:val="00C159CB"/>
    <w:rsid w:val="00C34704"/>
    <w:rsid w:val="00C51C78"/>
    <w:rsid w:val="00C679BF"/>
    <w:rsid w:val="00C81BBD"/>
    <w:rsid w:val="00CD3132"/>
    <w:rsid w:val="00CE27CD"/>
    <w:rsid w:val="00D134F3"/>
    <w:rsid w:val="00D20D53"/>
    <w:rsid w:val="00D41A19"/>
    <w:rsid w:val="00D47D01"/>
    <w:rsid w:val="00D774B3"/>
    <w:rsid w:val="00D77638"/>
    <w:rsid w:val="00DD35A5"/>
    <w:rsid w:val="00DF68BE"/>
    <w:rsid w:val="00DF712A"/>
    <w:rsid w:val="00E01659"/>
    <w:rsid w:val="00E05215"/>
    <w:rsid w:val="00E14CC9"/>
    <w:rsid w:val="00E25DF4"/>
    <w:rsid w:val="00E3485D"/>
    <w:rsid w:val="00E6619B"/>
    <w:rsid w:val="00E725BE"/>
    <w:rsid w:val="00E879AF"/>
    <w:rsid w:val="00E94B6C"/>
    <w:rsid w:val="00EA1CE4"/>
    <w:rsid w:val="00EA2DD9"/>
    <w:rsid w:val="00EA69AC"/>
    <w:rsid w:val="00EB40A1"/>
    <w:rsid w:val="00EC3112"/>
    <w:rsid w:val="00EC5307"/>
    <w:rsid w:val="00ED0585"/>
    <w:rsid w:val="00ED5E57"/>
    <w:rsid w:val="00EE1BD8"/>
    <w:rsid w:val="00F0524D"/>
    <w:rsid w:val="00F7131A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081C"/>
  <w15:docId w15:val="{881808F6-F95C-44C6-900A-B82EEAE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0069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BA0069"/>
  </w:style>
  <w:style w:type="character" w:styleId="Eindnootmarkering">
    <w:name w:val="endnote reference"/>
    <w:semiHidden/>
    <w:rsid w:val="00BA0069"/>
    <w:rPr>
      <w:sz w:val="20"/>
      <w:vertAlign w:val="superscript"/>
    </w:rPr>
  </w:style>
  <w:style w:type="paragraph" w:styleId="Voetnoottekst">
    <w:name w:val="footnote text"/>
    <w:basedOn w:val="Standaard"/>
    <w:semiHidden/>
    <w:rsid w:val="00BA0069"/>
  </w:style>
  <w:style w:type="character" w:customStyle="1" w:styleId="Voetnootverwijzing">
    <w:name w:val="Voetnootverwijzing"/>
    <w:rsid w:val="00BA0069"/>
    <w:rPr>
      <w:sz w:val="20"/>
      <w:vertAlign w:val="superscript"/>
    </w:rPr>
  </w:style>
  <w:style w:type="paragraph" w:customStyle="1" w:styleId="wetsvoorstel">
    <w:name w:val="wetsvoorstel"/>
    <w:rsid w:val="00BA0069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sid w:val="00BA0069"/>
    <w:rPr>
      <w:sz w:val="20"/>
    </w:rPr>
  </w:style>
  <w:style w:type="character" w:customStyle="1" w:styleId="Bibliografie1">
    <w:name w:val="Bibliografie1"/>
    <w:rsid w:val="00BA0069"/>
    <w:rPr>
      <w:sz w:val="20"/>
    </w:rPr>
  </w:style>
  <w:style w:type="character" w:customStyle="1" w:styleId="Dokument5">
    <w:name w:val="Dokument 5"/>
    <w:rsid w:val="00BA0069"/>
    <w:rPr>
      <w:sz w:val="20"/>
    </w:rPr>
  </w:style>
  <w:style w:type="character" w:customStyle="1" w:styleId="Dokument6">
    <w:name w:val="Dokument 6"/>
    <w:rsid w:val="00BA0069"/>
    <w:rPr>
      <w:sz w:val="20"/>
    </w:rPr>
  </w:style>
  <w:style w:type="character" w:customStyle="1" w:styleId="Dokument4">
    <w:name w:val="Dokument 4"/>
    <w:rsid w:val="00BA0069"/>
    <w:rPr>
      <w:b/>
      <w:i/>
    </w:rPr>
  </w:style>
  <w:style w:type="character" w:customStyle="1" w:styleId="Alineanummer2">
    <w:name w:val="Alineanummer 2"/>
    <w:rsid w:val="00BA0069"/>
    <w:rPr>
      <w:sz w:val="20"/>
    </w:rPr>
  </w:style>
  <w:style w:type="paragraph" w:customStyle="1" w:styleId="Dokument1">
    <w:name w:val="Dokument 1"/>
    <w:rsid w:val="00BA006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sid w:val="00BA0069"/>
    <w:rPr>
      <w:sz w:val="20"/>
    </w:rPr>
  </w:style>
  <w:style w:type="character" w:customStyle="1" w:styleId="Alineanummer4">
    <w:name w:val="Alineanummer 4"/>
    <w:rsid w:val="00BA0069"/>
    <w:rPr>
      <w:sz w:val="20"/>
    </w:rPr>
  </w:style>
  <w:style w:type="character" w:customStyle="1" w:styleId="Alineanummer5">
    <w:name w:val="Alineanummer 5"/>
    <w:rsid w:val="00BA0069"/>
    <w:rPr>
      <w:sz w:val="20"/>
    </w:rPr>
  </w:style>
  <w:style w:type="character" w:customStyle="1" w:styleId="Alineanummer6">
    <w:name w:val="Alineanummer 6"/>
    <w:rsid w:val="00BA0069"/>
    <w:rPr>
      <w:sz w:val="20"/>
    </w:rPr>
  </w:style>
  <w:style w:type="character" w:customStyle="1" w:styleId="Dokument2">
    <w:name w:val="Dokument 2"/>
    <w:rsid w:val="00BA0069"/>
    <w:rPr>
      <w:rFonts w:ascii="Courier New" w:hAnsi="Courier New"/>
    </w:rPr>
  </w:style>
  <w:style w:type="character" w:customStyle="1" w:styleId="Alineanummer7">
    <w:name w:val="Alineanummer 7"/>
    <w:rsid w:val="00BA0069"/>
    <w:rPr>
      <w:sz w:val="20"/>
    </w:rPr>
  </w:style>
  <w:style w:type="character" w:customStyle="1" w:styleId="Alineanummer8">
    <w:name w:val="Alineanummer 8"/>
    <w:rsid w:val="00BA0069"/>
    <w:rPr>
      <w:sz w:val="20"/>
    </w:rPr>
  </w:style>
  <w:style w:type="character" w:customStyle="1" w:styleId="Techninit">
    <w:name w:val="Techn init"/>
    <w:rsid w:val="00BA0069"/>
    <w:rPr>
      <w:rFonts w:ascii="Courier New" w:hAnsi="Courier New"/>
    </w:rPr>
  </w:style>
  <w:style w:type="character" w:customStyle="1" w:styleId="Dokuinit">
    <w:name w:val="Doku init"/>
    <w:rsid w:val="00BA0069"/>
    <w:rPr>
      <w:sz w:val="20"/>
    </w:rPr>
  </w:style>
  <w:style w:type="character" w:customStyle="1" w:styleId="Dokument3">
    <w:name w:val="Dokument 3"/>
    <w:rsid w:val="00BA0069"/>
    <w:rPr>
      <w:rFonts w:ascii="Courier New" w:hAnsi="Courier New"/>
    </w:rPr>
  </w:style>
  <w:style w:type="character" w:customStyle="1" w:styleId="Dokument7">
    <w:name w:val="Dokument 7"/>
    <w:rsid w:val="00BA0069"/>
    <w:rPr>
      <w:sz w:val="20"/>
    </w:rPr>
  </w:style>
  <w:style w:type="character" w:customStyle="1" w:styleId="Dokument8">
    <w:name w:val="Dokument 8"/>
    <w:rsid w:val="00BA0069"/>
    <w:rPr>
      <w:sz w:val="20"/>
    </w:rPr>
  </w:style>
  <w:style w:type="character" w:customStyle="1" w:styleId="Technisch1">
    <w:name w:val="Technisch 1"/>
    <w:rsid w:val="00BA0069"/>
    <w:rPr>
      <w:rFonts w:ascii="Courier New" w:hAnsi="Courier New"/>
    </w:rPr>
  </w:style>
  <w:style w:type="character" w:customStyle="1" w:styleId="Technisch2">
    <w:name w:val="Technisch 2"/>
    <w:rsid w:val="00BA0069"/>
    <w:rPr>
      <w:rFonts w:ascii="Courier New" w:hAnsi="Courier New"/>
    </w:rPr>
  </w:style>
  <w:style w:type="character" w:customStyle="1" w:styleId="Technisch3">
    <w:name w:val="Technisch 3"/>
    <w:rsid w:val="00BA0069"/>
    <w:rPr>
      <w:rFonts w:ascii="Courier New" w:hAnsi="Courier New"/>
    </w:rPr>
  </w:style>
  <w:style w:type="character" w:customStyle="1" w:styleId="Technisch5">
    <w:name w:val="Technisch 5"/>
    <w:rsid w:val="00BA0069"/>
    <w:rPr>
      <w:sz w:val="20"/>
    </w:rPr>
  </w:style>
  <w:style w:type="character" w:customStyle="1" w:styleId="Technisch6">
    <w:name w:val="Technisch 6"/>
    <w:rsid w:val="00BA0069"/>
    <w:rPr>
      <w:sz w:val="20"/>
    </w:rPr>
  </w:style>
  <w:style w:type="character" w:customStyle="1" w:styleId="Technisch7">
    <w:name w:val="Technisch 7"/>
    <w:rsid w:val="00BA0069"/>
    <w:rPr>
      <w:sz w:val="20"/>
    </w:rPr>
  </w:style>
  <w:style w:type="character" w:customStyle="1" w:styleId="Technisch4">
    <w:name w:val="Technisch 4"/>
    <w:rsid w:val="00BA0069"/>
    <w:rPr>
      <w:sz w:val="20"/>
    </w:rPr>
  </w:style>
  <w:style w:type="character" w:customStyle="1" w:styleId="Technisch8">
    <w:name w:val="Technisch 8"/>
    <w:rsid w:val="00BA0069"/>
    <w:rPr>
      <w:sz w:val="20"/>
    </w:rPr>
  </w:style>
  <w:style w:type="paragraph" w:customStyle="1" w:styleId="Amendement">
    <w:name w:val="Amendement"/>
    <w:rsid w:val="00BA0069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rsid w:val="00BA00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rsid w:val="00BA0069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rsid w:val="00BA0069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rsid w:val="00BA0069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rsid w:val="00BA0069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rsid w:val="00BA0069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rsid w:val="00BA0069"/>
    <w:pPr>
      <w:suppressAutoHyphens/>
      <w:ind w:left="720" w:hanging="720"/>
    </w:pPr>
  </w:style>
  <w:style w:type="paragraph" w:customStyle="1" w:styleId="inhopg8">
    <w:name w:val="inhopg 8"/>
    <w:basedOn w:val="Standaard"/>
    <w:rsid w:val="00BA0069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rsid w:val="00BA00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rsid w:val="00BA00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rsid w:val="00BA0069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rsid w:val="00BA0069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  <w:rsid w:val="00BA0069"/>
  </w:style>
  <w:style w:type="character" w:customStyle="1" w:styleId="EquationCaption">
    <w:name w:val="_Equation Caption"/>
    <w:rsid w:val="00BA0069"/>
    <w:rPr>
      <w:sz w:val="20"/>
    </w:rPr>
  </w:style>
  <w:style w:type="paragraph" w:styleId="Koptekst">
    <w:name w:val="header"/>
    <w:basedOn w:val="Standaard"/>
    <w:rsid w:val="00BA0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A0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94436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4436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4436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443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4436D"/>
    <w:rPr>
      <w:b/>
      <w:bCs/>
    </w:rPr>
  </w:style>
  <w:style w:type="paragraph" w:styleId="Revisie">
    <w:name w:val="Revision"/>
    <w:hidden/>
    <w:uiPriority w:val="99"/>
    <w:semiHidden/>
    <w:rsid w:val="00A02847"/>
    <w:rPr>
      <w:sz w:val="24"/>
    </w:rPr>
  </w:style>
  <w:style w:type="table" w:styleId="Rastertabel4-Accent1">
    <w:name w:val="Grid Table 4 Accent 1"/>
    <w:basedOn w:val="Standaardtabel"/>
    <w:uiPriority w:val="49"/>
    <w:rsid w:val="007B322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309</ap:Words>
  <ap:Characters>1781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2025-10-01T11:28:00.0000000Z</dcterms:created>
  <dcterms:modified xsi:type="dcterms:W3CDTF">2025-10-01T11:28:00.0000000Z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2022-09-21T14:39:27Z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82e59650-ec89-478f-92df-3c1bc9bc05e5</vt:lpwstr>
  </property>
  <property fmtid="{D5CDD505-2E9C-101B-9397-08002B2CF9AE}" pid="8" name="MSIP_Label_b2aa6e22-2c82-48c6-bf24-1790f4b9c128_ContentBits">
    <vt:lpwstr>0</vt:lpwstr>
  </property>
</Properties>
</file>