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590" w:rsidP="001D0B97" w:rsidRDefault="001D0B97" w14:paraId="42287F00" w14:textId="1A35DEC5">
      <w:pPr>
        <w:pStyle w:val="Normaalweb"/>
        <w:spacing w:before="0" w:beforeAutospacing="0" w:after="0" w:afterAutospacing="0" w:line="240" w:lineRule="atLeast"/>
        <w:rPr>
          <w:rFonts w:ascii="Verdana" w:hAnsi="Verdana" w:cs="Arial"/>
          <w:color w:val="000000" w:themeColor="text1"/>
          <w:sz w:val="18"/>
          <w:szCs w:val="18"/>
        </w:rPr>
      </w:pPr>
      <w:r>
        <w:rPr>
          <w:rFonts w:ascii="Verdana" w:hAnsi="Verdana" w:cs="Arial"/>
          <w:color w:val="000000" w:themeColor="text1"/>
          <w:sz w:val="18"/>
          <w:szCs w:val="18"/>
        </w:rPr>
        <w:t>G</w:t>
      </w:r>
      <w:r w:rsidR="00690590">
        <w:rPr>
          <w:rFonts w:ascii="Verdana" w:hAnsi="Verdana" w:cs="Arial"/>
          <w:color w:val="000000" w:themeColor="text1"/>
          <w:sz w:val="18"/>
          <w:szCs w:val="18"/>
        </w:rPr>
        <w:t xml:space="preserve">eachte </w:t>
      </w:r>
      <w:r>
        <w:rPr>
          <w:rFonts w:ascii="Verdana" w:hAnsi="Verdana" w:cs="Arial"/>
          <w:color w:val="000000" w:themeColor="text1"/>
          <w:sz w:val="18"/>
          <w:szCs w:val="18"/>
        </w:rPr>
        <w:t>V</w:t>
      </w:r>
      <w:r w:rsidR="00690590">
        <w:rPr>
          <w:rFonts w:ascii="Verdana" w:hAnsi="Verdana" w:cs="Arial"/>
          <w:color w:val="000000" w:themeColor="text1"/>
          <w:sz w:val="18"/>
          <w:szCs w:val="18"/>
        </w:rPr>
        <w:t>oorzitter,</w:t>
      </w:r>
    </w:p>
    <w:p w:rsidR="001D0B97" w:rsidP="001D0B97" w:rsidRDefault="001D0B97" w14:paraId="66AB4777" w14:textId="77777777">
      <w:pPr>
        <w:pStyle w:val="Normaalweb"/>
        <w:spacing w:before="0" w:beforeAutospacing="0" w:after="0" w:afterAutospacing="0" w:line="240" w:lineRule="atLeast"/>
        <w:rPr>
          <w:rFonts w:ascii="Verdana" w:hAnsi="Verdana" w:cs="Arial"/>
          <w:color w:val="000000" w:themeColor="text1"/>
          <w:sz w:val="18"/>
          <w:szCs w:val="18"/>
        </w:rPr>
      </w:pPr>
    </w:p>
    <w:p w:rsidRPr="00024400" w:rsidR="00B17595" w:rsidP="001D0B97" w:rsidRDefault="056EF373" w14:paraId="41B582C6" w14:textId="3B37D516">
      <w:pPr>
        <w:pStyle w:val="Normaalweb"/>
        <w:spacing w:before="0" w:beforeAutospacing="0" w:after="0" w:afterAutospacing="0" w:line="240" w:lineRule="atLeast"/>
        <w:rPr>
          <w:rFonts w:ascii="Verdana" w:hAnsi="Verdana" w:cs="Arial"/>
          <w:color w:val="000000" w:themeColor="text1"/>
          <w:sz w:val="18"/>
          <w:szCs w:val="18"/>
        </w:rPr>
      </w:pPr>
      <w:r w:rsidRPr="00024400">
        <w:rPr>
          <w:rFonts w:ascii="Verdana" w:hAnsi="Verdana" w:cs="Arial"/>
          <w:color w:val="000000" w:themeColor="text1"/>
          <w:sz w:val="18"/>
          <w:szCs w:val="18"/>
        </w:rPr>
        <w:t xml:space="preserve">Op 1 oktober 2025 start het gasjaar 2025–2026. </w:t>
      </w:r>
      <w:r w:rsidR="00C40B09">
        <w:rPr>
          <w:rFonts w:ascii="Verdana" w:hAnsi="Verdana" w:cs="Arial"/>
          <w:color w:val="000000" w:themeColor="text1"/>
          <w:sz w:val="18"/>
          <w:szCs w:val="18"/>
        </w:rPr>
        <w:t xml:space="preserve">In deze brief </w:t>
      </w:r>
      <w:r w:rsidRPr="00024400">
        <w:rPr>
          <w:rFonts w:ascii="Verdana" w:hAnsi="Verdana" w:cs="Arial"/>
          <w:color w:val="000000" w:themeColor="text1"/>
          <w:sz w:val="18"/>
          <w:szCs w:val="18"/>
        </w:rPr>
        <w:t xml:space="preserve">informeert het kabinet </w:t>
      </w:r>
      <w:r w:rsidR="007859EF">
        <w:rPr>
          <w:rFonts w:ascii="Verdana" w:hAnsi="Verdana" w:cs="Arial"/>
          <w:color w:val="000000" w:themeColor="text1"/>
          <w:sz w:val="18"/>
          <w:szCs w:val="18"/>
        </w:rPr>
        <w:t xml:space="preserve">de Kamer </w:t>
      </w:r>
      <w:r w:rsidRPr="00024400">
        <w:rPr>
          <w:rFonts w:ascii="Verdana" w:hAnsi="Verdana" w:cs="Arial"/>
          <w:color w:val="000000" w:themeColor="text1"/>
          <w:sz w:val="18"/>
          <w:szCs w:val="18"/>
        </w:rPr>
        <w:t xml:space="preserve">hoe Nederland ervoor staat wat betreft de gasleveringszekerheid richting de aankomende winter. </w:t>
      </w:r>
      <w:r w:rsidR="00690590">
        <w:rPr>
          <w:rFonts w:ascii="Verdana" w:hAnsi="Verdana" w:cs="Arial"/>
          <w:color w:val="000000" w:themeColor="text1"/>
          <w:sz w:val="18"/>
          <w:szCs w:val="18"/>
        </w:rPr>
        <w:t xml:space="preserve">Hierbij wordt ingegaan </w:t>
      </w:r>
      <w:r w:rsidRPr="00024400" w:rsidR="00B17595">
        <w:rPr>
          <w:rFonts w:ascii="Verdana" w:hAnsi="Verdana" w:cs="Arial"/>
          <w:color w:val="000000" w:themeColor="text1"/>
          <w:sz w:val="18"/>
          <w:szCs w:val="18"/>
        </w:rPr>
        <w:t>op de volgende onderwerpen:</w:t>
      </w:r>
    </w:p>
    <w:p w:rsidRPr="00024400" w:rsidR="00B17595" w:rsidP="001D0B97" w:rsidRDefault="00B17595" w14:paraId="6B66C3AA" w14:textId="5314A672">
      <w:pPr>
        <w:pStyle w:val="Normaalweb"/>
        <w:numPr>
          <w:ilvl w:val="0"/>
          <w:numId w:val="19"/>
        </w:numPr>
        <w:spacing w:before="0" w:beforeAutospacing="0" w:after="0" w:afterAutospacing="0" w:line="240" w:lineRule="atLeast"/>
        <w:rPr>
          <w:rFonts w:ascii="Verdana" w:hAnsi="Verdana" w:cs="Arial"/>
          <w:color w:val="000000" w:themeColor="text1"/>
          <w:sz w:val="18"/>
          <w:szCs w:val="18"/>
        </w:rPr>
      </w:pPr>
      <w:r w:rsidRPr="00024400">
        <w:rPr>
          <w:rFonts w:ascii="Verdana" w:hAnsi="Verdana" w:cs="Arial"/>
          <w:color w:val="000000" w:themeColor="text1"/>
          <w:sz w:val="18"/>
          <w:szCs w:val="18"/>
        </w:rPr>
        <w:t>Actueel beeld van de gasleveringszekerheid en situatie op de gasmarkt, met vooruitblik op aankomende winter 2025-2026</w:t>
      </w:r>
      <w:r w:rsidR="007859EF">
        <w:rPr>
          <w:rFonts w:ascii="Verdana" w:hAnsi="Verdana" w:cs="Arial"/>
          <w:color w:val="000000" w:themeColor="text1"/>
          <w:sz w:val="18"/>
          <w:szCs w:val="18"/>
        </w:rPr>
        <w:t>;</w:t>
      </w:r>
    </w:p>
    <w:p w:rsidRPr="00024400" w:rsidR="00B17595" w:rsidP="001D0B97" w:rsidRDefault="00B17595" w14:paraId="606D3383" w14:textId="0BDB1625">
      <w:pPr>
        <w:pStyle w:val="Normaalweb"/>
        <w:numPr>
          <w:ilvl w:val="0"/>
          <w:numId w:val="19"/>
        </w:numPr>
        <w:spacing w:before="0" w:beforeAutospacing="0" w:after="0" w:afterAutospacing="0" w:line="240" w:lineRule="atLeast"/>
        <w:rPr>
          <w:rFonts w:ascii="Verdana" w:hAnsi="Verdana" w:cs="Arial"/>
          <w:color w:val="000000" w:themeColor="text1"/>
          <w:sz w:val="18"/>
          <w:szCs w:val="18"/>
        </w:rPr>
      </w:pPr>
      <w:r w:rsidRPr="00024400">
        <w:rPr>
          <w:rFonts w:ascii="Verdana" w:hAnsi="Verdana" w:cs="Arial"/>
          <w:color w:val="000000" w:themeColor="text1"/>
          <w:sz w:val="18"/>
          <w:szCs w:val="18"/>
        </w:rPr>
        <w:t>Het bijgevoegde overzicht leveringszekerheid gas van Gasunie Transport Services (hierna:</w:t>
      </w:r>
      <w:r w:rsidR="00DD6226">
        <w:rPr>
          <w:rFonts w:ascii="Verdana" w:hAnsi="Verdana" w:cs="Arial"/>
          <w:color w:val="000000" w:themeColor="text1"/>
          <w:sz w:val="18"/>
          <w:szCs w:val="18"/>
        </w:rPr>
        <w:t xml:space="preserve"> </w:t>
      </w:r>
      <w:r w:rsidRPr="00024400">
        <w:rPr>
          <w:rFonts w:ascii="Verdana" w:hAnsi="Verdana" w:cs="Arial"/>
          <w:color w:val="000000" w:themeColor="text1"/>
          <w:sz w:val="18"/>
          <w:szCs w:val="18"/>
        </w:rPr>
        <w:t>GTS) met een vooruitblik op de winter van 2026–2027</w:t>
      </w:r>
      <w:r w:rsidR="007859EF">
        <w:rPr>
          <w:rFonts w:ascii="Verdana" w:hAnsi="Verdana" w:cs="Arial"/>
          <w:color w:val="000000" w:themeColor="text1"/>
          <w:sz w:val="18"/>
          <w:szCs w:val="18"/>
        </w:rPr>
        <w:t>;</w:t>
      </w:r>
    </w:p>
    <w:p w:rsidRPr="00024400" w:rsidR="00B17595" w:rsidP="001D0B97" w:rsidRDefault="00B17595" w14:paraId="585E1203" w14:textId="15316FBB">
      <w:pPr>
        <w:pStyle w:val="Normaalweb"/>
        <w:numPr>
          <w:ilvl w:val="0"/>
          <w:numId w:val="19"/>
        </w:numPr>
        <w:spacing w:before="0" w:beforeAutospacing="0" w:after="0" w:afterAutospacing="0" w:line="240" w:lineRule="atLeast"/>
        <w:rPr>
          <w:rFonts w:ascii="Verdana" w:hAnsi="Verdana" w:cs="Arial"/>
          <w:color w:val="000000" w:themeColor="text1"/>
          <w:sz w:val="18"/>
          <w:szCs w:val="18"/>
        </w:rPr>
      </w:pPr>
      <w:r w:rsidRPr="00024400">
        <w:rPr>
          <w:rFonts w:ascii="Verdana" w:hAnsi="Verdana" w:cs="Arial"/>
          <w:color w:val="000000" w:themeColor="text1"/>
          <w:sz w:val="18"/>
          <w:szCs w:val="18"/>
        </w:rPr>
        <w:t>Update over lopende (nationale) maatregelen om de</w:t>
      </w:r>
      <w:r w:rsidR="00DD6226">
        <w:rPr>
          <w:rFonts w:ascii="Verdana" w:hAnsi="Verdana" w:cs="Arial"/>
          <w:color w:val="000000" w:themeColor="text1"/>
          <w:sz w:val="18"/>
          <w:szCs w:val="18"/>
        </w:rPr>
        <w:t xml:space="preserve"> </w:t>
      </w:r>
      <w:r w:rsidRPr="00024400">
        <w:rPr>
          <w:rFonts w:ascii="Verdana" w:hAnsi="Verdana" w:cs="Arial"/>
          <w:color w:val="000000" w:themeColor="text1"/>
          <w:sz w:val="18"/>
          <w:szCs w:val="18"/>
        </w:rPr>
        <w:t>gasleveringszekerheid te borgen</w:t>
      </w:r>
      <w:r w:rsidR="007859EF">
        <w:rPr>
          <w:rFonts w:ascii="Verdana" w:hAnsi="Verdana" w:cs="Arial"/>
          <w:color w:val="000000" w:themeColor="text1"/>
          <w:sz w:val="18"/>
          <w:szCs w:val="18"/>
        </w:rPr>
        <w:t>;</w:t>
      </w:r>
    </w:p>
    <w:p w:rsidRPr="00E212E0" w:rsidR="00B17595" w:rsidP="001D0B97" w:rsidRDefault="00F5B499" w14:paraId="589461EC" w14:textId="69E0EB46">
      <w:pPr>
        <w:pStyle w:val="Normaalweb"/>
        <w:numPr>
          <w:ilvl w:val="0"/>
          <w:numId w:val="19"/>
        </w:numPr>
        <w:spacing w:before="0" w:beforeAutospacing="0" w:after="0" w:afterAutospacing="0" w:line="240" w:lineRule="atLeast"/>
        <w:rPr>
          <w:rFonts w:ascii="Verdana" w:hAnsi="Verdana" w:cs="Arial"/>
          <w:color w:val="000000" w:themeColor="text1"/>
          <w:sz w:val="18"/>
          <w:szCs w:val="18"/>
        </w:rPr>
      </w:pPr>
      <w:r w:rsidRPr="2EE548B6">
        <w:rPr>
          <w:rFonts w:ascii="Verdana" w:hAnsi="Verdana" w:cs="Arial"/>
          <w:color w:val="000000" w:themeColor="text1"/>
          <w:sz w:val="18"/>
          <w:szCs w:val="18"/>
        </w:rPr>
        <w:t>R</w:t>
      </w:r>
      <w:r w:rsidRPr="2EE548B6" w:rsidR="056EF373">
        <w:rPr>
          <w:rFonts w:ascii="Verdana" w:hAnsi="Verdana" w:cs="Arial"/>
          <w:color w:val="000000" w:themeColor="text1"/>
          <w:sz w:val="18"/>
          <w:szCs w:val="18"/>
        </w:rPr>
        <w:t>elevante EU-ontwikkelingen</w:t>
      </w:r>
      <w:r w:rsidR="007859EF">
        <w:rPr>
          <w:rFonts w:ascii="Verdana" w:hAnsi="Verdana" w:cs="Arial"/>
          <w:color w:val="000000" w:themeColor="text1"/>
          <w:sz w:val="18"/>
          <w:szCs w:val="18"/>
        </w:rPr>
        <w:t>.</w:t>
      </w:r>
    </w:p>
    <w:p w:rsidR="001D0B97" w:rsidP="001D0B97" w:rsidRDefault="001D0B97" w14:paraId="40FB3590" w14:textId="77777777">
      <w:pPr>
        <w:pStyle w:val="Normaalweb"/>
        <w:spacing w:before="0" w:beforeAutospacing="0" w:after="0" w:afterAutospacing="0" w:line="240" w:lineRule="atLeast"/>
        <w:rPr>
          <w:rFonts w:ascii="Verdana" w:hAnsi="Verdana" w:eastAsia="Verdana" w:cs="Verdana"/>
          <w:b/>
          <w:bCs/>
          <w:color w:val="000000" w:themeColor="text1"/>
          <w:sz w:val="18"/>
          <w:szCs w:val="18"/>
        </w:rPr>
      </w:pPr>
    </w:p>
    <w:p w:rsidRPr="00E212E0" w:rsidR="00B17595" w:rsidP="001D0B97" w:rsidRDefault="00B17595" w14:paraId="1E075962" w14:textId="07757AF8">
      <w:pPr>
        <w:pStyle w:val="Normaalweb"/>
        <w:spacing w:before="0" w:beforeAutospacing="0" w:after="0" w:afterAutospacing="0" w:line="240" w:lineRule="atLeast"/>
        <w:rPr>
          <w:rFonts w:ascii="Verdana" w:hAnsi="Verdana" w:eastAsia="Verdana" w:cs="Verdana"/>
          <w:b/>
          <w:bCs/>
          <w:color w:val="000000" w:themeColor="text1"/>
          <w:sz w:val="18"/>
          <w:szCs w:val="18"/>
        </w:rPr>
      </w:pPr>
      <w:r w:rsidRPr="3734B5DC">
        <w:rPr>
          <w:rFonts w:ascii="Verdana" w:hAnsi="Verdana" w:eastAsia="Verdana" w:cs="Verdana"/>
          <w:b/>
          <w:bCs/>
          <w:color w:val="000000" w:themeColor="text1"/>
          <w:sz w:val="18"/>
          <w:szCs w:val="18"/>
        </w:rPr>
        <w:t>Actueel beeld gasleveringszekerheid en vooruitblik winter 2025-2026</w:t>
      </w:r>
    </w:p>
    <w:p w:rsidR="001D0B97" w:rsidP="001D0B97" w:rsidRDefault="001D0B97" w14:paraId="326AEE98" w14:textId="77777777">
      <w:pPr>
        <w:pStyle w:val="Normaalweb"/>
        <w:spacing w:before="0" w:beforeAutospacing="0" w:after="0" w:afterAutospacing="0" w:line="240" w:lineRule="atLeast"/>
        <w:rPr>
          <w:rFonts w:ascii="Verdana" w:hAnsi="Verdana" w:eastAsia="Verdana" w:cs="Verdana"/>
          <w:i/>
          <w:iCs/>
          <w:color w:val="000000" w:themeColor="text1"/>
          <w:sz w:val="18"/>
          <w:szCs w:val="18"/>
        </w:rPr>
      </w:pPr>
    </w:p>
    <w:p w:rsidR="00B17595" w:rsidP="001D0B97" w:rsidRDefault="00B17595" w14:paraId="1AFCC51E" w14:textId="2904A642">
      <w:pPr>
        <w:pStyle w:val="Normaalweb"/>
        <w:spacing w:before="0" w:beforeAutospacing="0" w:after="0" w:afterAutospacing="0" w:line="240" w:lineRule="atLeast"/>
        <w:rPr>
          <w:rFonts w:ascii="Verdana" w:hAnsi="Verdana" w:eastAsia="Verdana" w:cs="Verdana"/>
          <w:i/>
          <w:iCs/>
          <w:color w:val="000000" w:themeColor="text1"/>
          <w:sz w:val="18"/>
          <w:szCs w:val="18"/>
        </w:rPr>
      </w:pPr>
      <w:r>
        <w:rPr>
          <w:rFonts w:ascii="Verdana" w:hAnsi="Verdana" w:eastAsia="Verdana" w:cs="Verdana"/>
          <w:i/>
          <w:iCs/>
          <w:color w:val="000000" w:themeColor="text1"/>
          <w:sz w:val="18"/>
          <w:szCs w:val="18"/>
        </w:rPr>
        <w:t>Groothandelsmarkt</w:t>
      </w:r>
    </w:p>
    <w:p w:rsidR="00B17595" w:rsidP="001D0B97" w:rsidRDefault="056EF373" w14:paraId="6E22D26F" w14:textId="1AAE1BD5">
      <w:pPr>
        <w:pStyle w:val="Normaalweb"/>
        <w:spacing w:before="0" w:beforeAutospacing="0" w:after="0" w:afterAutospacing="0" w:line="240" w:lineRule="atLeast"/>
        <w:rPr>
          <w:rFonts w:ascii="Verdana" w:hAnsi="Verdana" w:eastAsia="Verdana" w:cs="Verdana"/>
          <w:color w:val="000000" w:themeColor="text1"/>
          <w:sz w:val="18"/>
          <w:szCs w:val="18"/>
        </w:rPr>
      </w:pPr>
      <w:r w:rsidRPr="776F2791">
        <w:rPr>
          <w:rFonts w:ascii="Verdana" w:hAnsi="Verdana" w:eastAsia="Verdana" w:cs="Verdana"/>
          <w:color w:val="000000" w:themeColor="text1"/>
          <w:sz w:val="18"/>
          <w:szCs w:val="18"/>
        </w:rPr>
        <w:t xml:space="preserve">In de afgelopen zomerperiode is de toevoer van gas naar de Europese Unie en Nederland stabiel geweest. De import van LNG via de LNG-terminals in Nederland lag ook op een hoog niveau. </w:t>
      </w:r>
      <w:r w:rsidRPr="00830678">
        <w:rPr>
          <w:rFonts w:ascii="Verdana" w:hAnsi="Verdana" w:eastAsia="Verdana" w:cs="Verdana"/>
          <w:color w:val="000000" w:themeColor="text1"/>
          <w:sz w:val="18"/>
          <w:szCs w:val="18"/>
        </w:rPr>
        <w:t>ACER (European Union Agency for the Cooperation of Energy Regulators) ziet</w:t>
      </w:r>
      <w:r>
        <w:rPr>
          <w:rFonts w:ascii="Verdana" w:hAnsi="Verdana" w:eastAsia="Verdana" w:cs="Verdana"/>
          <w:color w:val="000000" w:themeColor="text1"/>
          <w:sz w:val="18"/>
          <w:szCs w:val="18"/>
        </w:rPr>
        <w:t xml:space="preserve"> dat de import van LNG in de EU significant is toegenomen ten opzichte van dezelfde periode in 2024.</w:t>
      </w:r>
      <w:r w:rsidR="00B17595">
        <w:rPr>
          <w:rStyle w:val="Voetnootmarkering"/>
          <w:rFonts w:ascii="Verdana" w:hAnsi="Verdana" w:eastAsia="Verdana" w:cs="Verdana"/>
          <w:color w:val="000000" w:themeColor="text1"/>
          <w:sz w:val="18"/>
          <w:szCs w:val="18"/>
          <w:lang w:val="en-US"/>
        </w:rPr>
        <w:footnoteReference w:id="1"/>
      </w:r>
      <w:r>
        <w:rPr>
          <w:rFonts w:ascii="Verdana" w:hAnsi="Verdana" w:eastAsia="Verdana" w:cs="Verdana"/>
          <w:color w:val="000000" w:themeColor="text1"/>
          <w:sz w:val="18"/>
          <w:szCs w:val="18"/>
        </w:rPr>
        <w:t xml:space="preserve"> </w:t>
      </w:r>
      <w:bookmarkStart w:name="OLE_LINK5" w:id="0"/>
      <w:r w:rsidR="001738B1">
        <w:rPr>
          <w:rFonts w:ascii="Verdana" w:hAnsi="Verdana" w:eastAsia="Verdana" w:cs="Verdana"/>
          <w:color w:val="000000" w:themeColor="text1"/>
          <w:sz w:val="18"/>
          <w:szCs w:val="18"/>
        </w:rPr>
        <w:t xml:space="preserve">De </w:t>
      </w:r>
      <w:r>
        <w:rPr>
          <w:rFonts w:ascii="Verdana" w:hAnsi="Verdana" w:eastAsia="Verdana" w:cs="Verdana"/>
          <w:color w:val="000000" w:themeColor="text1"/>
          <w:sz w:val="18"/>
          <w:szCs w:val="18"/>
        </w:rPr>
        <w:t xml:space="preserve">Nederlandse </w:t>
      </w:r>
      <w:r w:rsidRPr="2EE548B6">
        <w:rPr>
          <w:rFonts w:ascii="Verdana" w:hAnsi="Verdana" w:eastAsia="Verdana" w:cs="Verdana"/>
          <w:i/>
          <w:iCs/>
          <w:color w:val="000000" w:themeColor="text1"/>
          <w:sz w:val="18"/>
          <w:szCs w:val="18"/>
        </w:rPr>
        <w:t>Title Transfer Facility</w:t>
      </w:r>
      <w:r>
        <w:rPr>
          <w:rFonts w:ascii="Verdana" w:hAnsi="Verdana" w:eastAsia="Verdana" w:cs="Verdana"/>
          <w:color w:val="000000" w:themeColor="text1"/>
          <w:sz w:val="18"/>
          <w:szCs w:val="18"/>
        </w:rPr>
        <w:t xml:space="preserve"> (TTF), </w:t>
      </w:r>
      <w:r w:rsidR="004236CC">
        <w:rPr>
          <w:rFonts w:ascii="Verdana" w:hAnsi="Verdana" w:eastAsia="Verdana" w:cs="Verdana"/>
          <w:color w:val="000000" w:themeColor="text1"/>
          <w:sz w:val="18"/>
          <w:szCs w:val="18"/>
        </w:rPr>
        <w:t>de</w:t>
      </w:r>
      <w:r w:rsidR="001738B1">
        <w:rPr>
          <w:rFonts w:ascii="Verdana" w:hAnsi="Verdana" w:eastAsia="Verdana" w:cs="Verdana"/>
          <w:color w:val="000000" w:themeColor="text1"/>
          <w:sz w:val="18"/>
          <w:szCs w:val="18"/>
        </w:rPr>
        <w:t xml:space="preserve"> belangrijkste </w:t>
      </w:r>
      <w:r w:rsidR="00404F9C">
        <w:rPr>
          <w:rFonts w:ascii="Verdana" w:hAnsi="Verdana" w:eastAsia="Verdana" w:cs="Verdana"/>
          <w:color w:val="000000" w:themeColor="text1"/>
          <w:sz w:val="18"/>
          <w:szCs w:val="18"/>
        </w:rPr>
        <w:t>en mee</w:t>
      </w:r>
      <w:r w:rsidR="008F143B">
        <w:rPr>
          <w:rFonts w:ascii="Verdana" w:hAnsi="Verdana" w:eastAsia="Verdana" w:cs="Verdana"/>
          <w:color w:val="000000" w:themeColor="text1"/>
          <w:sz w:val="18"/>
          <w:szCs w:val="18"/>
        </w:rPr>
        <w:t xml:space="preserve">st liquide </w:t>
      </w:r>
      <w:r w:rsidR="001738B1">
        <w:rPr>
          <w:rFonts w:ascii="Verdana" w:hAnsi="Verdana" w:eastAsia="Verdana" w:cs="Verdana"/>
          <w:color w:val="000000" w:themeColor="text1"/>
          <w:sz w:val="18"/>
          <w:szCs w:val="18"/>
        </w:rPr>
        <w:t xml:space="preserve">Europese handelsplaats voor aardgas, </w:t>
      </w:r>
      <w:r w:rsidR="0048609A">
        <w:rPr>
          <w:rFonts w:ascii="Verdana" w:hAnsi="Verdana" w:eastAsia="Verdana" w:cs="Verdana"/>
          <w:color w:val="000000" w:themeColor="text1"/>
          <w:sz w:val="18"/>
          <w:szCs w:val="18"/>
        </w:rPr>
        <w:t xml:space="preserve">speelt </w:t>
      </w:r>
      <w:r w:rsidR="001738B1">
        <w:rPr>
          <w:rFonts w:ascii="Verdana" w:hAnsi="Verdana" w:eastAsia="Verdana" w:cs="Verdana"/>
          <w:color w:val="000000" w:themeColor="text1"/>
          <w:sz w:val="18"/>
          <w:szCs w:val="18"/>
        </w:rPr>
        <w:t xml:space="preserve">een </w:t>
      </w:r>
      <w:r>
        <w:rPr>
          <w:rFonts w:ascii="Verdana" w:hAnsi="Verdana" w:eastAsia="Verdana" w:cs="Verdana"/>
          <w:color w:val="000000" w:themeColor="text1"/>
          <w:sz w:val="18"/>
          <w:szCs w:val="18"/>
        </w:rPr>
        <w:t>belangrijke rol</w:t>
      </w:r>
      <w:r w:rsidR="00BE1656">
        <w:rPr>
          <w:rFonts w:ascii="Verdana" w:hAnsi="Verdana" w:eastAsia="Verdana" w:cs="Verdana"/>
          <w:color w:val="000000" w:themeColor="text1"/>
          <w:sz w:val="18"/>
          <w:szCs w:val="18"/>
        </w:rPr>
        <w:t xml:space="preserve"> </w:t>
      </w:r>
      <w:r w:rsidR="0020740A">
        <w:rPr>
          <w:rFonts w:ascii="Verdana" w:hAnsi="Verdana" w:eastAsia="Verdana" w:cs="Verdana"/>
          <w:color w:val="000000" w:themeColor="text1"/>
          <w:sz w:val="18"/>
          <w:szCs w:val="18"/>
        </w:rPr>
        <w:t xml:space="preserve">bij </w:t>
      </w:r>
      <w:r>
        <w:rPr>
          <w:rFonts w:ascii="Verdana" w:hAnsi="Verdana" w:eastAsia="Verdana" w:cs="Verdana"/>
          <w:color w:val="000000" w:themeColor="text1"/>
          <w:sz w:val="18"/>
          <w:szCs w:val="18"/>
        </w:rPr>
        <w:t>het aantrekken van gas naar Europa en Nederland.</w:t>
      </w:r>
      <w:r w:rsidR="00B17595">
        <w:rPr>
          <w:rStyle w:val="Voetnootmarkering"/>
          <w:rFonts w:ascii="Verdana" w:hAnsi="Verdana" w:eastAsia="Verdana" w:cs="Verdana"/>
          <w:color w:val="000000" w:themeColor="text1"/>
          <w:sz w:val="18"/>
          <w:szCs w:val="18"/>
        </w:rPr>
        <w:footnoteReference w:id="2"/>
      </w:r>
      <w:r>
        <w:rPr>
          <w:rFonts w:ascii="Verdana" w:hAnsi="Verdana" w:eastAsia="Verdana" w:cs="Verdana"/>
          <w:color w:val="000000" w:themeColor="text1"/>
          <w:sz w:val="18"/>
          <w:szCs w:val="18"/>
        </w:rPr>
        <w:t xml:space="preserve"> </w:t>
      </w:r>
      <w:bookmarkEnd w:id="0"/>
      <w:r>
        <w:rPr>
          <w:rFonts w:ascii="Verdana" w:hAnsi="Verdana" w:eastAsia="Verdana" w:cs="Verdana"/>
          <w:color w:val="000000" w:themeColor="text1"/>
          <w:sz w:val="18"/>
          <w:szCs w:val="18"/>
        </w:rPr>
        <w:t>De</w:t>
      </w:r>
      <w:r w:rsidR="00407AE0">
        <w:rPr>
          <w:rFonts w:ascii="Verdana" w:hAnsi="Verdana" w:eastAsia="Verdana" w:cs="Verdana"/>
          <w:color w:val="000000" w:themeColor="text1"/>
          <w:sz w:val="18"/>
          <w:szCs w:val="18"/>
        </w:rPr>
        <w:t xml:space="preserve"> TTF</w:t>
      </w:r>
      <w:r>
        <w:rPr>
          <w:rFonts w:ascii="Verdana" w:hAnsi="Verdana" w:eastAsia="Verdana" w:cs="Verdana"/>
          <w:color w:val="000000" w:themeColor="text1"/>
          <w:sz w:val="18"/>
          <w:szCs w:val="18"/>
        </w:rPr>
        <w:t xml:space="preserve"> prijzen waren voor importeurs wereldwijd gunstig ten opzichte van prijzen in bijvoorbeeld Azië. </w:t>
      </w:r>
    </w:p>
    <w:p w:rsidR="00EE5A93" w:rsidP="001D0B97" w:rsidRDefault="00EE5A93" w14:paraId="2BDF0E94" w14:textId="77777777">
      <w:pPr>
        <w:pStyle w:val="Normaalweb"/>
        <w:spacing w:before="0" w:beforeAutospacing="0" w:after="0" w:afterAutospacing="0" w:line="240" w:lineRule="atLeast"/>
        <w:rPr>
          <w:rFonts w:ascii="Verdana" w:hAnsi="Verdana" w:eastAsia="Verdana" w:cs="Verdana"/>
          <w:color w:val="000000" w:themeColor="text1"/>
          <w:sz w:val="18"/>
          <w:szCs w:val="18"/>
        </w:rPr>
      </w:pPr>
    </w:p>
    <w:p w:rsidR="00B17595" w:rsidP="001D0B97" w:rsidRDefault="056EF373" w14:paraId="48EFD18D" w14:textId="0449C791">
      <w:pPr>
        <w:pStyle w:val="Normaalweb"/>
        <w:spacing w:before="0" w:beforeAutospacing="0" w:after="0" w:afterAutospacing="0" w:line="240" w:lineRule="atLeast"/>
        <w:rPr>
          <w:rFonts w:ascii="Verdana" w:hAnsi="Verdana" w:eastAsia="Verdana" w:cs="Verdana"/>
          <w:color w:val="000000" w:themeColor="text1"/>
          <w:sz w:val="18"/>
          <w:szCs w:val="18"/>
        </w:rPr>
      </w:pPr>
      <w:r w:rsidRPr="2EE548B6">
        <w:rPr>
          <w:rFonts w:ascii="Verdana" w:hAnsi="Verdana" w:eastAsia="Verdana" w:cs="Verdana"/>
          <w:color w:val="000000" w:themeColor="text1"/>
          <w:sz w:val="18"/>
          <w:szCs w:val="18"/>
        </w:rPr>
        <w:t xml:space="preserve">Verschillende factoren </w:t>
      </w:r>
      <w:r w:rsidR="00C40B09">
        <w:rPr>
          <w:rFonts w:ascii="Verdana" w:hAnsi="Verdana" w:eastAsia="Verdana" w:cs="Verdana"/>
          <w:color w:val="000000" w:themeColor="text1"/>
          <w:sz w:val="18"/>
          <w:szCs w:val="18"/>
        </w:rPr>
        <w:t>waren</w:t>
      </w:r>
      <w:r w:rsidRPr="2EE548B6" w:rsidR="00C40B09">
        <w:rPr>
          <w:rFonts w:ascii="Verdana" w:hAnsi="Verdana" w:eastAsia="Verdana" w:cs="Verdana"/>
          <w:color w:val="000000" w:themeColor="text1"/>
          <w:sz w:val="18"/>
          <w:szCs w:val="18"/>
        </w:rPr>
        <w:t xml:space="preserve"> </w:t>
      </w:r>
      <w:r w:rsidRPr="2EE548B6">
        <w:rPr>
          <w:rFonts w:ascii="Verdana" w:hAnsi="Verdana" w:eastAsia="Verdana" w:cs="Verdana"/>
          <w:color w:val="000000" w:themeColor="text1"/>
          <w:sz w:val="18"/>
          <w:szCs w:val="18"/>
        </w:rPr>
        <w:t xml:space="preserve">van invloed op de prijzen op de groothandelsmarkt. </w:t>
      </w:r>
      <w:r w:rsidR="0048609A">
        <w:rPr>
          <w:rFonts w:ascii="Verdana" w:hAnsi="Verdana" w:eastAsia="Verdana" w:cs="Verdana"/>
          <w:color w:val="000000" w:themeColor="text1"/>
          <w:sz w:val="18"/>
          <w:szCs w:val="18"/>
        </w:rPr>
        <w:t>De g</w:t>
      </w:r>
      <w:r w:rsidR="009B6D25">
        <w:rPr>
          <w:rFonts w:ascii="Verdana" w:hAnsi="Verdana" w:eastAsia="Verdana" w:cs="Verdana"/>
          <w:color w:val="000000" w:themeColor="text1"/>
          <w:sz w:val="18"/>
          <w:szCs w:val="18"/>
        </w:rPr>
        <w:t>asvraag</w:t>
      </w:r>
      <w:r w:rsidRPr="2EE548B6" w:rsidR="6237AAE6">
        <w:rPr>
          <w:rFonts w:ascii="Verdana" w:hAnsi="Verdana" w:eastAsia="Verdana" w:cs="Verdana"/>
          <w:color w:val="000000" w:themeColor="text1"/>
          <w:sz w:val="18"/>
          <w:szCs w:val="18"/>
        </w:rPr>
        <w:t xml:space="preserve"> was deze zomer </w:t>
      </w:r>
      <w:r w:rsidRPr="2EE548B6">
        <w:rPr>
          <w:rFonts w:ascii="Verdana" w:hAnsi="Verdana" w:eastAsia="Verdana" w:cs="Verdana"/>
          <w:color w:val="000000" w:themeColor="text1"/>
          <w:sz w:val="18"/>
          <w:szCs w:val="18"/>
        </w:rPr>
        <w:t>in Europa</w:t>
      </w:r>
      <w:r w:rsidRPr="2EE548B6" w:rsidR="6237AAE6">
        <w:rPr>
          <w:rFonts w:ascii="Verdana" w:hAnsi="Verdana" w:eastAsia="Verdana" w:cs="Verdana"/>
          <w:color w:val="000000" w:themeColor="text1"/>
          <w:sz w:val="18"/>
          <w:szCs w:val="18"/>
        </w:rPr>
        <w:t xml:space="preserve"> relatief hoog</w:t>
      </w:r>
      <w:r w:rsidRPr="2EE548B6">
        <w:rPr>
          <w:rFonts w:ascii="Verdana" w:hAnsi="Verdana" w:eastAsia="Verdana" w:cs="Verdana"/>
          <w:color w:val="000000" w:themeColor="text1"/>
          <w:sz w:val="18"/>
          <w:szCs w:val="18"/>
        </w:rPr>
        <w:t xml:space="preserve">, vanwege een relatief grote opgave om de gasopslagen in Europa te vullen. Ondanks deze </w:t>
      </w:r>
      <w:r w:rsidRPr="2EE548B6" w:rsidR="6D255FCB">
        <w:rPr>
          <w:rFonts w:ascii="Verdana" w:hAnsi="Verdana" w:eastAsia="Verdana" w:cs="Verdana"/>
          <w:color w:val="000000" w:themeColor="text1"/>
          <w:sz w:val="18"/>
          <w:szCs w:val="18"/>
        </w:rPr>
        <w:t>hogere</w:t>
      </w:r>
      <w:r w:rsidRPr="2EE548B6">
        <w:rPr>
          <w:rFonts w:ascii="Verdana" w:hAnsi="Verdana" w:eastAsia="Verdana" w:cs="Verdana"/>
          <w:color w:val="000000" w:themeColor="text1"/>
          <w:sz w:val="18"/>
          <w:szCs w:val="18"/>
        </w:rPr>
        <w:t xml:space="preserve"> zomervraag, heeft het stabiele aanbod van gas bijgedragen aan betrekkelijk </w:t>
      </w:r>
      <w:r w:rsidRPr="2EE548B6">
        <w:rPr>
          <w:rFonts w:ascii="Verdana" w:hAnsi="Verdana" w:eastAsia="Verdana" w:cs="Verdana"/>
          <w:color w:val="000000" w:themeColor="text1"/>
          <w:sz w:val="18"/>
          <w:szCs w:val="18"/>
        </w:rPr>
        <w:lastRenderedPageBreak/>
        <w:t>stabiele</w:t>
      </w:r>
      <w:r w:rsidR="00EF1AE3">
        <w:rPr>
          <w:rFonts w:ascii="Verdana" w:hAnsi="Verdana" w:eastAsia="Verdana" w:cs="Verdana"/>
          <w:color w:val="000000" w:themeColor="text1"/>
          <w:sz w:val="18"/>
          <w:szCs w:val="18"/>
        </w:rPr>
        <w:t xml:space="preserve"> en </w:t>
      </w:r>
      <w:r w:rsidR="009B6D25">
        <w:rPr>
          <w:rFonts w:ascii="Verdana" w:hAnsi="Verdana" w:eastAsia="Verdana" w:cs="Verdana"/>
          <w:color w:val="000000" w:themeColor="text1"/>
          <w:sz w:val="18"/>
          <w:szCs w:val="18"/>
        </w:rPr>
        <w:t>gematigde</w:t>
      </w:r>
      <w:r w:rsidRPr="2EE548B6">
        <w:rPr>
          <w:rFonts w:ascii="Verdana" w:hAnsi="Verdana" w:eastAsia="Verdana" w:cs="Verdana"/>
          <w:color w:val="000000" w:themeColor="text1"/>
          <w:sz w:val="18"/>
          <w:szCs w:val="18"/>
        </w:rPr>
        <w:t xml:space="preserve"> prijzen op de groothandelsmarkt. In juli lagen de prijzen op de groothandelsmarkt rond de 35 euro per MWh en in augustus iets lager rond de 33 euro per MWh, vergelijkbaar met voorgaande jaren in dezelfde periode. </w:t>
      </w:r>
      <w:r w:rsidRPr="2EE548B6" w:rsidR="6170382F">
        <w:rPr>
          <w:rFonts w:ascii="Verdana" w:hAnsi="Verdana" w:eastAsia="Verdana" w:cs="Verdana"/>
          <w:color w:val="000000" w:themeColor="text1"/>
          <w:sz w:val="18"/>
          <w:szCs w:val="18"/>
        </w:rPr>
        <w:t>G</w:t>
      </w:r>
      <w:r w:rsidRPr="2EE548B6">
        <w:rPr>
          <w:rFonts w:ascii="Verdana" w:hAnsi="Verdana" w:eastAsia="Verdana" w:cs="Verdana"/>
          <w:color w:val="000000" w:themeColor="text1"/>
          <w:sz w:val="18"/>
          <w:szCs w:val="18"/>
        </w:rPr>
        <w:t>eopolitieke ontwikkelingen zoals de ontmoeting tussen president Trump en president Poetin in Alaska</w:t>
      </w:r>
      <w:r w:rsidRPr="2EE548B6" w:rsidR="58CB7386">
        <w:rPr>
          <w:rFonts w:ascii="Verdana" w:hAnsi="Verdana" w:eastAsia="Verdana" w:cs="Verdana"/>
          <w:color w:val="000000" w:themeColor="text1"/>
          <w:sz w:val="18"/>
          <w:szCs w:val="18"/>
        </w:rPr>
        <w:t xml:space="preserve"> </w:t>
      </w:r>
      <w:r w:rsidRPr="2EE548B6" w:rsidR="6170382F">
        <w:rPr>
          <w:rFonts w:ascii="Verdana" w:hAnsi="Verdana" w:eastAsia="Verdana" w:cs="Verdana"/>
          <w:color w:val="000000" w:themeColor="text1"/>
          <w:sz w:val="18"/>
          <w:szCs w:val="18"/>
        </w:rPr>
        <w:t>hebben niet tot grote prijsschommelingen geleid</w:t>
      </w:r>
      <w:r w:rsidRPr="2EE548B6">
        <w:rPr>
          <w:rFonts w:ascii="Verdana" w:hAnsi="Verdana" w:eastAsia="Verdana" w:cs="Verdana"/>
          <w:color w:val="000000" w:themeColor="text1"/>
          <w:sz w:val="18"/>
          <w:szCs w:val="18"/>
        </w:rPr>
        <w:t xml:space="preserve">. </w:t>
      </w:r>
      <w:r w:rsidR="00526995">
        <w:rPr>
          <w:rFonts w:ascii="Verdana" w:hAnsi="Verdana" w:eastAsia="Verdana" w:cs="Verdana"/>
          <w:color w:val="000000" w:themeColor="text1"/>
          <w:sz w:val="18"/>
          <w:szCs w:val="18"/>
        </w:rPr>
        <w:t xml:space="preserve">In september lagen de prijzen tussen de </w:t>
      </w:r>
      <w:r w:rsidR="00C26BC1">
        <w:rPr>
          <w:rFonts w:ascii="Verdana" w:hAnsi="Verdana" w:eastAsia="Verdana" w:cs="Verdana"/>
          <w:color w:val="000000" w:themeColor="text1"/>
          <w:sz w:val="18"/>
          <w:szCs w:val="18"/>
        </w:rPr>
        <w:t xml:space="preserve">32 en 33 </w:t>
      </w:r>
      <w:r w:rsidRPr="2EE548B6" w:rsidR="00C26BC1">
        <w:rPr>
          <w:rFonts w:ascii="Verdana" w:hAnsi="Verdana" w:eastAsia="Verdana" w:cs="Verdana"/>
          <w:color w:val="000000" w:themeColor="text1"/>
          <w:sz w:val="18"/>
          <w:szCs w:val="18"/>
        </w:rPr>
        <w:t>euro per MWh</w:t>
      </w:r>
      <w:r w:rsidR="00C26BC1">
        <w:rPr>
          <w:rFonts w:ascii="Verdana" w:hAnsi="Verdana" w:eastAsia="Verdana" w:cs="Verdana"/>
          <w:color w:val="000000" w:themeColor="text1"/>
          <w:sz w:val="18"/>
          <w:szCs w:val="18"/>
        </w:rPr>
        <w:t>.</w:t>
      </w:r>
      <w:r w:rsidRPr="2EE548B6" w:rsidR="00C26BC1">
        <w:rPr>
          <w:rFonts w:ascii="Verdana" w:hAnsi="Verdana" w:eastAsia="Verdana" w:cs="Verdana"/>
          <w:color w:val="000000" w:themeColor="text1"/>
          <w:sz w:val="18"/>
          <w:szCs w:val="18"/>
        </w:rPr>
        <w:t xml:space="preserve"> </w:t>
      </w:r>
      <w:r w:rsidRPr="2EE548B6">
        <w:rPr>
          <w:rFonts w:ascii="Verdana" w:hAnsi="Verdana" w:eastAsia="Verdana" w:cs="Verdana"/>
          <w:color w:val="000000" w:themeColor="text1"/>
          <w:sz w:val="18"/>
          <w:szCs w:val="18"/>
        </w:rPr>
        <w:t xml:space="preserve">De gasprijs op </w:t>
      </w:r>
      <w:r w:rsidR="00661DF0">
        <w:rPr>
          <w:rFonts w:ascii="Verdana" w:hAnsi="Verdana" w:eastAsia="Verdana" w:cs="Verdana"/>
          <w:color w:val="000000" w:themeColor="text1"/>
          <w:sz w:val="18"/>
          <w:szCs w:val="18"/>
        </w:rPr>
        <w:t>de groo</w:t>
      </w:r>
      <w:r w:rsidRPr="2EE548B6">
        <w:rPr>
          <w:rFonts w:ascii="Verdana" w:hAnsi="Verdana" w:eastAsia="Verdana" w:cs="Verdana"/>
          <w:color w:val="000000" w:themeColor="text1"/>
          <w:sz w:val="18"/>
          <w:szCs w:val="18"/>
        </w:rPr>
        <w:t xml:space="preserve">thandelsmarkt </w:t>
      </w:r>
      <w:r w:rsidR="00661DF0">
        <w:rPr>
          <w:rFonts w:ascii="Verdana" w:hAnsi="Verdana" w:eastAsia="Verdana" w:cs="Verdana"/>
          <w:color w:val="000000" w:themeColor="text1"/>
          <w:sz w:val="18"/>
          <w:szCs w:val="18"/>
        </w:rPr>
        <w:t xml:space="preserve">bedroeg </w:t>
      </w:r>
      <w:r w:rsidRPr="2EE548B6">
        <w:rPr>
          <w:rFonts w:ascii="Verdana" w:hAnsi="Verdana" w:eastAsia="Verdana" w:cs="Verdana"/>
          <w:color w:val="000000" w:themeColor="text1"/>
          <w:sz w:val="18"/>
          <w:szCs w:val="18"/>
        </w:rPr>
        <w:t xml:space="preserve">op </w:t>
      </w:r>
      <w:r w:rsidR="00661DF0">
        <w:rPr>
          <w:rFonts w:ascii="Verdana" w:hAnsi="Verdana" w:eastAsia="Verdana" w:cs="Verdana"/>
          <w:color w:val="000000" w:themeColor="text1"/>
          <w:sz w:val="18"/>
          <w:szCs w:val="18"/>
        </w:rPr>
        <w:t>26</w:t>
      </w:r>
      <w:r w:rsidR="005040DF">
        <w:rPr>
          <w:rFonts w:ascii="Verdana" w:hAnsi="Verdana" w:eastAsia="Verdana" w:cs="Verdana"/>
          <w:color w:val="000000" w:themeColor="text1"/>
          <w:sz w:val="18"/>
          <w:szCs w:val="18"/>
        </w:rPr>
        <w:t xml:space="preserve"> </w:t>
      </w:r>
      <w:r w:rsidRPr="00A61539">
        <w:rPr>
          <w:rFonts w:ascii="Verdana" w:hAnsi="Verdana" w:eastAsia="Verdana" w:cs="Verdana"/>
          <w:color w:val="000000" w:themeColor="text1"/>
          <w:sz w:val="18"/>
          <w:szCs w:val="18"/>
        </w:rPr>
        <w:t>september</w:t>
      </w:r>
      <w:r w:rsidR="00661DF0">
        <w:rPr>
          <w:rFonts w:ascii="Verdana" w:hAnsi="Verdana" w:eastAsia="Verdana" w:cs="Verdana"/>
          <w:color w:val="000000" w:themeColor="text1"/>
          <w:sz w:val="18"/>
          <w:szCs w:val="18"/>
        </w:rPr>
        <w:t xml:space="preserve"> 32,7</w:t>
      </w:r>
      <w:r w:rsidRPr="2EE548B6">
        <w:rPr>
          <w:rFonts w:ascii="Verdana" w:hAnsi="Verdana" w:eastAsia="Verdana" w:cs="Verdana"/>
          <w:color w:val="000000" w:themeColor="text1"/>
          <w:sz w:val="18"/>
          <w:szCs w:val="18"/>
        </w:rPr>
        <w:t xml:space="preserve"> euro per MWh. </w:t>
      </w:r>
    </w:p>
    <w:p w:rsidRPr="00E212E0" w:rsidR="00B17595" w:rsidP="001D0B97" w:rsidRDefault="056EF373" w14:paraId="448BE51A" w14:textId="405ED449">
      <w:pPr>
        <w:pStyle w:val="Normaalweb"/>
        <w:spacing w:before="0" w:beforeAutospacing="0" w:after="0" w:afterAutospacing="0" w:line="240" w:lineRule="atLeast"/>
        <w:rPr>
          <w:rFonts w:ascii="Verdana" w:hAnsi="Verdana" w:eastAsia="Verdana" w:cs="Verdana"/>
          <w:color w:val="000000" w:themeColor="text1"/>
          <w:sz w:val="18"/>
          <w:szCs w:val="18"/>
        </w:rPr>
      </w:pPr>
      <w:r>
        <w:rPr>
          <w:rFonts w:ascii="Verdana" w:hAnsi="Verdana" w:eastAsia="Verdana" w:cs="Verdana"/>
          <w:color w:val="000000" w:themeColor="text1"/>
          <w:sz w:val="18"/>
          <w:szCs w:val="18"/>
        </w:rPr>
        <w:t>Het International Energy Agency (IEA) geeft aan dat de wereldwijde gasmarkt op dit moment nog krap is en de prijzen wereldwijd relatief hoog liggen</w:t>
      </w:r>
      <w:r w:rsidR="003C0B27">
        <w:rPr>
          <w:rFonts w:ascii="Verdana" w:hAnsi="Verdana" w:eastAsia="Verdana" w:cs="Verdana"/>
          <w:color w:val="000000" w:themeColor="text1"/>
          <w:sz w:val="18"/>
          <w:szCs w:val="18"/>
        </w:rPr>
        <w:t xml:space="preserve"> ten opzichte van </w:t>
      </w:r>
      <w:r w:rsidR="00ED610D">
        <w:rPr>
          <w:rFonts w:ascii="Verdana" w:hAnsi="Verdana" w:eastAsia="Verdana" w:cs="Verdana"/>
          <w:color w:val="000000" w:themeColor="text1"/>
          <w:sz w:val="18"/>
          <w:szCs w:val="18"/>
        </w:rPr>
        <w:t>de situatie</w:t>
      </w:r>
      <w:r w:rsidR="00681410">
        <w:rPr>
          <w:rFonts w:ascii="Verdana" w:hAnsi="Verdana" w:eastAsia="Verdana" w:cs="Verdana"/>
          <w:color w:val="000000" w:themeColor="text1"/>
          <w:sz w:val="18"/>
          <w:szCs w:val="18"/>
        </w:rPr>
        <w:t xml:space="preserve"> van voor de </w:t>
      </w:r>
      <w:r w:rsidR="007F7AF4">
        <w:rPr>
          <w:rFonts w:ascii="Verdana" w:hAnsi="Verdana" w:eastAsia="Verdana" w:cs="Verdana"/>
          <w:color w:val="000000" w:themeColor="text1"/>
          <w:sz w:val="18"/>
          <w:szCs w:val="18"/>
        </w:rPr>
        <w:t>energiecrisis</w:t>
      </w:r>
      <w:r w:rsidR="005D7E39">
        <w:rPr>
          <w:rFonts w:ascii="Verdana" w:hAnsi="Verdana" w:eastAsia="Verdana" w:cs="Verdana"/>
          <w:color w:val="000000" w:themeColor="text1"/>
          <w:sz w:val="18"/>
          <w:szCs w:val="18"/>
        </w:rPr>
        <w:t xml:space="preserve"> in 2022</w:t>
      </w:r>
      <w:r>
        <w:rPr>
          <w:rFonts w:ascii="Verdana" w:hAnsi="Verdana" w:eastAsia="Verdana" w:cs="Verdana"/>
          <w:color w:val="000000" w:themeColor="text1"/>
          <w:sz w:val="18"/>
          <w:szCs w:val="18"/>
        </w:rPr>
        <w:t>.</w:t>
      </w:r>
      <w:r w:rsidRPr="578226A3">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Wel verwacht het</w:t>
      </w:r>
      <w:r w:rsidRPr="578226A3">
        <w:rPr>
          <w:rFonts w:ascii="Verdana" w:hAnsi="Verdana" w:eastAsia="Verdana" w:cs="Verdana"/>
          <w:color w:val="000000" w:themeColor="text1"/>
          <w:sz w:val="18"/>
          <w:szCs w:val="18"/>
        </w:rPr>
        <w:t xml:space="preserve"> IEA in </w:t>
      </w:r>
      <w:r w:rsidR="00F920E7">
        <w:rPr>
          <w:rFonts w:ascii="Verdana" w:hAnsi="Verdana" w:eastAsia="Verdana" w:cs="Verdana"/>
          <w:color w:val="000000" w:themeColor="text1"/>
          <w:sz w:val="18"/>
          <w:szCs w:val="18"/>
        </w:rPr>
        <w:t>zijn</w:t>
      </w:r>
      <w:r w:rsidRPr="578226A3" w:rsidR="00F920E7">
        <w:rPr>
          <w:rFonts w:ascii="Verdana" w:hAnsi="Verdana" w:eastAsia="Verdana" w:cs="Verdana"/>
          <w:color w:val="000000" w:themeColor="text1"/>
          <w:sz w:val="18"/>
          <w:szCs w:val="18"/>
        </w:rPr>
        <w:t xml:space="preserve"> </w:t>
      </w:r>
      <w:r w:rsidRPr="578226A3">
        <w:rPr>
          <w:rFonts w:ascii="Verdana" w:hAnsi="Verdana" w:eastAsia="Verdana" w:cs="Verdana"/>
          <w:color w:val="000000" w:themeColor="text1"/>
          <w:sz w:val="18"/>
          <w:szCs w:val="18"/>
        </w:rPr>
        <w:t xml:space="preserve">laatste prognose </w:t>
      </w:r>
      <w:r>
        <w:rPr>
          <w:rFonts w:ascii="Verdana" w:hAnsi="Verdana" w:eastAsia="Verdana" w:cs="Verdana"/>
          <w:color w:val="000000" w:themeColor="text1"/>
          <w:sz w:val="18"/>
          <w:szCs w:val="18"/>
        </w:rPr>
        <w:t>dat er</w:t>
      </w:r>
      <w:r w:rsidRPr="578226A3">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 xml:space="preserve">in het komende jaar </w:t>
      </w:r>
      <w:r w:rsidRPr="578226A3">
        <w:rPr>
          <w:rFonts w:ascii="Verdana" w:hAnsi="Verdana" w:eastAsia="Verdana" w:cs="Verdana"/>
          <w:color w:val="000000" w:themeColor="text1"/>
          <w:sz w:val="18"/>
          <w:szCs w:val="18"/>
        </w:rPr>
        <w:t xml:space="preserve">een forse toename van 7% (40 bcm) </w:t>
      </w:r>
      <w:r>
        <w:rPr>
          <w:rFonts w:ascii="Verdana" w:hAnsi="Verdana" w:eastAsia="Verdana" w:cs="Verdana"/>
          <w:color w:val="000000" w:themeColor="text1"/>
          <w:sz w:val="18"/>
          <w:szCs w:val="18"/>
        </w:rPr>
        <w:t>zal zijn in het aanbod op de mondiale gasmarkt, vanwege een toename in de LNG-productie.</w:t>
      </w:r>
      <w:r w:rsidRPr="000F313F" w:rsidR="00B17595">
        <w:rPr>
          <w:rStyle w:val="Voetnootmarkering"/>
          <w:rFonts w:ascii="Verdana" w:hAnsi="Verdana" w:eastAsia="Verdana" w:cs="Verdana"/>
          <w:color w:val="000000" w:themeColor="text1"/>
          <w:sz w:val="18"/>
          <w:szCs w:val="18"/>
          <w:lang w:val="en-US"/>
        </w:rPr>
        <w:footnoteReference w:id="3"/>
      </w:r>
      <w:r w:rsidRPr="008705CE">
        <w:rPr>
          <w:rStyle w:val="Voetnootmarkering"/>
          <w:rFonts w:eastAsia="Verdana"/>
        </w:rPr>
        <w:t xml:space="preserve"> </w:t>
      </w:r>
      <w:r>
        <w:rPr>
          <w:rFonts w:ascii="Verdana" w:hAnsi="Verdana" w:eastAsia="Verdana" w:cs="Verdana"/>
          <w:color w:val="000000" w:themeColor="text1"/>
          <w:sz w:val="18"/>
          <w:szCs w:val="18"/>
        </w:rPr>
        <w:t xml:space="preserve">Hierdoor is de verwachting dat de markt </w:t>
      </w:r>
      <w:r w:rsidR="000A21DF">
        <w:rPr>
          <w:rFonts w:ascii="Verdana" w:hAnsi="Verdana" w:eastAsia="Verdana" w:cs="Verdana"/>
          <w:color w:val="000000" w:themeColor="text1"/>
          <w:sz w:val="18"/>
          <w:szCs w:val="18"/>
        </w:rPr>
        <w:t>ruimer</w:t>
      </w:r>
      <w:r>
        <w:rPr>
          <w:rFonts w:ascii="Verdana" w:hAnsi="Verdana" w:eastAsia="Verdana" w:cs="Verdana"/>
          <w:color w:val="000000" w:themeColor="text1"/>
          <w:sz w:val="18"/>
          <w:szCs w:val="18"/>
        </w:rPr>
        <w:t xml:space="preserve"> wordt.</w:t>
      </w:r>
      <w:r w:rsidR="001D0B97">
        <w:rPr>
          <w:rFonts w:ascii="Verdana" w:hAnsi="Verdana" w:eastAsia="Verdana" w:cs="Verdana"/>
          <w:color w:val="000000" w:themeColor="text1"/>
          <w:sz w:val="18"/>
          <w:szCs w:val="18"/>
        </w:rPr>
        <w:t xml:space="preserve"> </w:t>
      </w:r>
    </w:p>
    <w:p w:rsidR="001D0B97" w:rsidP="001D0B97" w:rsidRDefault="001D0B97" w14:paraId="0A0ADC79" w14:textId="77777777">
      <w:pPr>
        <w:pStyle w:val="Normaalweb"/>
        <w:spacing w:before="0" w:beforeAutospacing="0" w:after="0" w:afterAutospacing="0" w:line="240" w:lineRule="atLeast"/>
        <w:rPr>
          <w:rFonts w:ascii="Verdana" w:hAnsi="Verdana" w:eastAsia="Verdana" w:cs="Verdana"/>
          <w:i/>
          <w:iCs/>
          <w:color w:val="000000" w:themeColor="text1"/>
          <w:sz w:val="18"/>
          <w:szCs w:val="18"/>
        </w:rPr>
      </w:pPr>
    </w:p>
    <w:p w:rsidRPr="005A7F05" w:rsidR="00B17595" w:rsidP="001D0B97" w:rsidRDefault="00B17595" w14:paraId="45E0F322" w14:textId="053980B2">
      <w:pPr>
        <w:pStyle w:val="Normaalweb"/>
        <w:spacing w:before="0" w:beforeAutospacing="0" w:after="0" w:afterAutospacing="0" w:line="240" w:lineRule="atLeast"/>
        <w:rPr>
          <w:rFonts w:ascii="Verdana" w:hAnsi="Verdana" w:eastAsia="Verdana" w:cs="Verdana"/>
          <w:i/>
          <w:iCs/>
          <w:color w:val="000000" w:themeColor="text1"/>
          <w:sz w:val="18"/>
          <w:szCs w:val="18"/>
        </w:rPr>
      </w:pPr>
      <w:r>
        <w:rPr>
          <w:rFonts w:ascii="Verdana" w:hAnsi="Verdana" w:eastAsia="Verdana" w:cs="Verdana"/>
          <w:i/>
          <w:iCs/>
          <w:color w:val="000000" w:themeColor="text1"/>
          <w:sz w:val="18"/>
          <w:szCs w:val="18"/>
        </w:rPr>
        <w:t xml:space="preserve">Vulgraden gasopslagen </w:t>
      </w:r>
    </w:p>
    <w:p w:rsidR="00B17595" w:rsidP="001D0B97" w:rsidRDefault="00B17595" w14:paraId="61DC2D46" w14:textId="5B13113D">
      <w:pPr>
        <w:pStyle w:val="Normaalweb"/>
        <w:spacing w:before="0" w:beforeAutospacing="0" w:after="0" w:afterAutospacing="0" w:line="240" w:lineRule="atLeast"/>
        <w:rPr>
          <w:rFonts w:ascii="Verdana" w:hAnsi="Verdana" w:eastAsia="Verdana" w:cs="Verdana"/>
          <w:color w:val="000000" w:themeColor="text1"/>
          <w:sz w:val="18"/>
          <w:szCs w:val="18"/>
        </w:rPr>
      </w:pPr>
      <w:r w:rsidRPr="776F2791">
        <w:rPr>
          <w:rFonts w:ascii="Verdana" w:hAnsi="Verdana" w:eastAsia="Verdana" w:cs="Verdana"/>
          <w:color w:val="000000" w:themeColor="text1"/>
          <w:sz w:val="18"/>
          <w:szCs w:val="18"/>
        </w:rPr>
        <w:t>De</w:t>
      </w:r>
      <w:r>
        <w:rPr>
          <w:rFonts w:ascii="Verdana" w:hAnsi="Verdana" w:eastAsia="Verdana" w:cs="Verdana"/>
          <w:color w:val="000000" w:themeColor="text1"/>
          <w:sz w:val="18"/>
          <w:szCs w:val="18"/>
        </w:rPr>
        <w:t xml:space="preserve"> hiervoor genoemde </w:t>
      </w:r>
      <w:r w:rsidRPr="776F2791">
        <w:rPr>
          <w:rFonts w:ascii="Verdana" w:hAnsi="Verdana" w:eastAsia="Verdana" w:cs="Verdana"/>
          <w:color w:val="000000" w:themeColor="text1"/>
          <w:sz w:val="18"/>
          <w:szCs w:val="18"/>
        </w:rPr>
        <w:t xml:space="preserve">stabiele aanvoer </w:t>
      </w:r>
      <w:r>
        <w:rPr>
          <w:rFonts w:ascii="Verdana" w:hAnsi="Verdana" w:eastAsia="Verdana" w:cs="Verdana"/>
          <w:color w:val="000000" w:themeColor="text1"/>
          <w:sz w:val="18"/>
          <w:szCs w:val="18"/>
        </w:rPr>
        <w:t xml:space="preserve">van gas naar Europa </w:t>
      </w:r>
      <w:r w:rsidRPr="776F2791">
        <w:rPr>
          <w:rFonts w:ascii="Verdana" w:hAnsi="Verdana" w:eastAsia="Verdana" w:cs="Verdana"/>
          <w:color w:val="000000" w:themeColor="text1"/>
          <w:sz w:val="18"/>
          <w:szCs w:val="18"/>
        </w:rPr>
        <w:t xml:space="preserve">maakt </w:t>
      </w:r>
      <w:r w:rsidR="00DC7148">
        <w:rPr>
          <w:rFonts w:ascii="Verdana" w:hAnsi="Verdana" w:eastAsia="Verdana" w:cs="Verdana"/>
          <w:color w:val="000000" w:themeColor="text1"/>
          <w:sz w:val="18"/>
          <w:szCs w:val="18"/>
        </w:rPr>
        <w:t xml:space="preserve">het </w:t>
      </w:r>
      <w:r w:rsidRPr="776F2791">
        <w:rPr>
          <w:rFonts w:ascii="Verdana" w:hAnsi="Verdana" w:eastAsia="Verdana" w:cs="Verdana"/>
          <w:color w:val="000000" w:themeColor="text1"/>
          <w:sz w:val="18"/>
          <w:szCs w:val="18"/>
        </w:rPr>
        <w:t xml:space="preserve">mogelijk, dat de gasopslagen goed </w:t>
      </w:r>
      <w:r>
        <w:rPr>
          <w:rFonts w:ascii="Verdana" w:hAnsi="Verdana" w:eastAsia="Verdana" w:cs="Verdana"/>
          <w:color w:val="000000" w:themeColor="text1"/>
          <w:sz w:val="18"/>
          <w:szCs w:val="18"/>
        </w:rPr>
        <w:t>worden</w:t>
      </w:r>
      <w:r w:rsidRPr="776F2791">
        <w:rPr>
          <w:rFonts w:ascii="Verdana" w:hAnsi="Verdana" w:eastAsia="Verdana" w:cs="Verdana"/>
          <w:color w:val="000000" w:themeColor="text1"/>
          <w:sz w:val="18"/>
          <w:szCs w:val="18"/>
        </w:rPr>
        <w:t xml:space="preserve"> gevuld (zie </w:t>
      </w:r>
      <w:r>
        <w:rPr>
          <w:rFonts w:ascii="Verdana" w:hAnsi="Verdana" w:eastAsia="Verdana" w:cs="Verdana"/>
          <w:color w:val="000000" w:themeColor="text1"/>
          <w:sz w:val="18"/>
          <w:szCs w:val="18"/>
        </w:rPr>
        <w:t>ook hierna</w:t>
      </w:r>
      <w:r w:rsidRPr="776F2791">
        <w:rPr>
          <w:rFonts w:ascii="Verdana" w:hAnsi="Verdana" w:eastAsia="Verdana" w:cs="Verdana"/>
          <w:color w:val="000000" w:themeColor="text1"/>
          <w:sz w:val="18"/>
          <w:szCs w:val="18"/>
        </w:rPr>
        <w:t xml:space="preserve">). </w:t>
      </w:r>
      <w:r w:rsidRPr="00784357">
        <w:rPr>
          <w:rFonts w:ascii="Verdana" w:hAnsi="Verdana" w:eastAsia="Verdana" w:cs="Verdana"/>
          <w:color w:val="000000" w:themeColor="text1"/>
          <w:sz w:val="18"/>
          <w:szCs w:val="18"/>
        </w:rPr>
        <w:t>De Nederlandse gasopslagen waren op 1 september voor 65%</w:t>
      </w:r>
      <w:r>
        <w:rPr>
          <w:rFonts w:ascii="Verdana" w:hAnsi="Verdana" w:eastAsia="Verdana" w:cs="Verdana"/>
          <w:color w:val="000000" w:themeColor="text1"/>
          <w:sz w:val="18"/>
          <w:szCs w:val="18"/>
        </w:rPr>
        <w:t xml:space="preserve"> gevuld</w:t>
      </w:r>
      <w:r w:rsidRPr="00784357">
        <w:rPr>
          <w:rFonts w:ascii="Verdana" w:hAnsi="Verdana" w:eastAsia="Verdana" w:cs="Verdana"/>
          <w:color w:val="000000" w:themeColor="text1"/>
          <w:sz w:val="18"/>
          <w:szCs w:val="18"/>
        </w:rPr>
        <w:t xml:space="preserve">. Hiermee is ruim voldaan aan de tussentijdse </w:t>
      </w:r>
      <w:r w:rsidR="00DD11A6">
        <w:rPr>
          <w:rFonts w:ascii="Verdana" w:hAnsi="Verdana" w:eastAsia="Verdana" w:cs="Verdana"/>
          <w:color w:val="000000" w:themeColor="text1"/>
          <w:sz w:val="18"/>
          <w:szCs w:val="18"/>
        </w:rPr>
        <w:t>EU-</w:t>
      </w:r>
      <w:r w:rsidRPr="00784357">
        <w:rPr>
          <w:rFonts w:ascii="Verdana" w:hAnsi="Verdana" w:eastAsia="Verdana" w:cs="Verdana"/>
          <w:color w:val="000000" w:themeColor="text1"/>
          <w:sz w:val="18"/>
          <w:szCs w:val="18"/>
        </w:rPr>
        <w:t xml:space="preserve">vulverplichting </w:t>
      </w:r>
      <w:r w:rsidR="0022428F">
        <w:rPr>
          <w:rFonts w:ascii="Verdana" w:hAnsi="Verdana" w:eastAsia="Verdana" w:cs="Verdana"/>
          <w:color w:val="000000" w:themeColor="text1"/>
          <w:sz w:val="18"/>
          <w:szCs w:val="18"/>
        </w:rPr>
        <w:t xml:space="preserve">van </w:t>
      </w:r>
      <w:r w:rsidRPr="00784357">
        <w:rPr>
          <w:rFonts w:ascii="Verdana" w:hAnsi="Verdana" w:eastAsia="Verdana" w:cs="Verdana"/>
          <w:color w:val="000000" w:themeColor="text1"/>
          <w:sz w:val="18"/>
          <w:szCs w:val="18"/>
        </w:rPr>
        <w:t xml:space="preserve">59% per 1 september 2025. </w:t>
      </w:r>
      <w:r>
        <w:rPr>
          <w:rFonts w:ascii="Verdana" w:hAnsi="Verdana" w:eastAsia="Verdana" w:cs="Verdana"/>
          <w:color w:val="000000" w:themeColor="text1"/>
          <w:sz w:val="18"/>
          <w:szCs w:val="18"/>
        </w:rPr>
        <w:t xml:space="preserve">De vulgraad op </w:t>
      </w:r>
      <w:r w:rsidR="00A01531">
        <w:rPr>
          <w:rFonts w:ascii="Verdana" w:hAnsi="Verdana" w:eastAsia="Verdana" w:cs="Verdana"/>
          <w:color w:val="000000" w:themeColor="text1"/>
          <w:sz w:val="18"/>
          <w:szCs w:val="18"/>
        </w:rPr>
        <w:t xml:space="preserve">27 </w:t>
      </w:r>
      <w:r w:rsidRPr="00A61539">
        <w:rPr>
          <w:rFonts w:ascii="Verdana" w:hAnsi="Verdana" w:eastAsia="Verdana" w:cs="Verdana"/>
          <w:color w:val="000000" w:themeColor="text1"/>
          <w:sz w:val="18"/>
          <w:szCs w:val="18"/>
        </w:rPr>
        <w:t>september</w:t>
      </w:r>
      <w:r>
        <w:rPr>
          <w:rFonts w:ascii="Verdana" w:hAnsi="Verdana" w:eastAsia="Verdana" w:cs="Verdana"/>
          <w:color w:val="000000" w:themeColor="text1"/>
          <w:sz w:val="18"/>
          <w:szCs w:val="18"/>
        </w:rPr>
        <w:t xml:space="preserve"> </w:t>
      </w:r>
      <w:r w:rsidR="00A01531">
        <w:rPr>
          <w:rFonts w:ascii="Verdana" w:hAnsi="Verdana" w:eastAsia="Verdana" w:cs="Verdana"/>
          <w:color w:val="000000" w:themeColor="text1"/>
          <w:sz w:val="18"/>
          <w:szCs w:val="18"/>
        </w:rPr>
        <w:t>was 70%</w:t>
      </w:r>
      <w:r>
        <w:rPr>
          <w:rFonts w:ascii="Verdana" w:hAnsi="Verdana" w:eastAsia="Verdana" w:cs="Verdana"/>
          <w:color w:val="000000" w:themeColor="text1"/>
          <w:sz w:val="18"/>
          <w:szCs w:val="18"/>
        </w:rPr>
        <w:t xml:space="preserve">. </w:t>
      </w:r>
      <w:r w:rsidRPr="00784357">
        <w:rPr>
          <w:rFonts w:ascii="Verdana" w:hAnsi="Verdana" w:eastAsia="Verdana" w:cs="Verdana"/>
          <w:color w:val="000000" w:themeColor="text1"/>
          <w:sz w:val="18"/>
          <w:szCs w:val="18"/>
        </w:rPr>
        <w:t xml:space="preserve">Nederland ligt hiermee op schema om aan de voor Nederland geldende EU-vulverplichting te voldoen </w:t>
      </w:r>
      <w:r>
        <w:rPr>
          <w:rFonts w:ascii="Verdana" w:hAnsi="Verdana" w:eastAsia="Verdana" w:cs="Verdana"/>
          <w:color w:val="000000" w:themeColor="text1"/>
          <w:sz w:val="18"/>
          <w:szCs w:val="18"/>
        </w:rPr>
        <w:t xml:space="preserve">per </w:t>
      </w:r>
      <w:r w:rsidR="00173938">
        <w:rPr>
          <w:rFonts w:ascii="Verdana" w:hAnsi="Verdana" w:eastAsia="Verdana" w:cs="Verdana"/>
          <w:color w:val="000000" w:themeColor="text1"/>
          <w:sz w:val="18"/>
          <w:szCs w:val="18"/>
        </w:rPr>
        <w:t xml:space="preserve">uiterlijk 1 december 2025 </w:t>
      </w:r>
      <w:r w:rsidRPr="00784357">
        <w:rPr>
          <w:rFonts w:ascii="Verdana" w:hAnsi="Verdana" w:eastAsia="Verdana" w:cs="Verdana"/>
          <w:color w:val="000000" w:themeColor="text1"/>
          <w:sz w:val="18"/>
          <w:szCs w:val="18"/>
        </w:rPr>
        <w:t>(een gemiddelde vulgraad van 74%)</w:t>
      </w:r>
      <w:r>
        <w:rPr>
          <w:rFonts w:ascii="Verdana" w:hAnsi="Verdana" w:eastAsia="Verdana" w:cs="Verdana"/>
          <w:color w:val="000000" w:themeColor="text1"/>
          <w:sz w:val="18"/>
          <w:szCs w:val="18"/>
        </w:rPr>
        <w:t xml:space="preserve"> en om het nationale vuldoel van het kabinet van 80% te halen</w:t>
      </w:r>
      <w:r w:rsidRPr="00784357">
        <w:rPr>
          <w:rFonts w:ascii="Verdana" w:hAnsi="Verdana" w:eastAsia="Verdana" w:cs="Verdana"/>
          <w:color w:val="000000" w:themeColor="text1"/>
          <w:sz w:val="18"/>
          <w:szCs w:val="18"/>
        </w:rPr>
        <w:t xml:space="preserve">. Ook in de rest van Europa worden de gasopslagen goed gevuld. Op </w:t>
      </w:r>
      <w:r w:rsidR="00A01531">
        <w:rPr>
          <w:rFonts w:ascii="Verdana" w:hAnsi="Verdana" w:eastAsia="Verdana" w:cs="Verdana"/>
          <w:color w:val="000000" w:themeColor="text1"/>
          <w:sz w:val="18"/>
          <w:szCs w:val="18"/>
        </w:rPr>
        <w:t>27</w:t>
      </w:r>
      <w:r w:rsidRPr="00784357">
        <w:rPr>
          <w:rFonts w:ascii="Verdana" w:hAnsi="Verdana" w:eastAsia="Verdana" w:cs="Verdana"/>
          <w:color w:val="000000" w:themeColor="text1"/>
          <w:sz w:val="18"/>
          <w:szCs w:val="18"/>
        </w:rPr>
        <w:t xml:space="preserve"> september was de gemiddelde vulgraad in de EU ruim </w:t>
      </w:r>
      <w:r w:rsidR="00A01531">
        <w:rPr>
          <w:rFonts w:ascii="Verdana" w:hAnsi="Verdana" w:eastAsia="Verdana" w:cs="Verdana"/>
          <w:color w:val="000000" w:themeColor="text1"/>
          <w:sz w:val="18"/>
          <w:szCs w:val="18"/>
        </w:rPr>
        <w:t>82</w:t>
      </w:r>
      <w:r w:rsidRPr="00784357">
        <w:rPr>
          <w:rFonts w:ascii="Verdana" w:hAnsi="Verdana" w:eastAsia="Verdana" w:cs="Verdana"/>
          <w:color w:val="000000" w:themeColor="text1"/>
          <w:sz w:val="18"/>
          <w:szCs w:val="18"/>
        </w:rPr>
        <w:t xml:space="preserve">%. </w:t>
      </w:r>
    </w:p>
    <w:p w:rsidRPr="00784357" w:rsidR="00EE5A93" w:rsidP="001D0B97" w:rsidRDefault="00EE5A93" w14:paraId="07ABDDA6" w14:textId="77777777">
      <w:pPr>
        <w:pStyle w:val="Normaalweb"/>
        <w:spacing w:before="0" w:beforeAutospacing="0" w:after="0" w:afterAutospacing="0" w:line="240" w:lineRule="atLeast"/>
        <w:rPr>
          <w:rFonts w:ascii="Verdana" w:hAnsi="Verdana" w:eastAsia="Verdana" w:cs="Verdana"/>
          <w:color w:val="000000" w:themeColor="text1"/>
          <w:sz w:val="18"/>
          <w:szCs w:val="18"/>
        </w:rPr>
      </w:pPr>
    </w:p>
    <w:p w:rsidR="00B17595" w:rsidP="001D0B97" w:rsidRDefault="00B17595" w14:paraId="56C1D309" w14:textId="348267C9">
      <w:pPr>
        <w:pStyle w:val="Normaalweb"/>
        <w:spacing w:before="0" w:beforeAutospacing="0" w:after="0" w:afterAutospacing="0" w:line="240" w:lineRule="atLeast"/>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Gasopslagen worden gevuld door marktpartijen om te kunnen voldoen aan hun leveringsverplichtingen in de winter (in combinatie met andere manieren waarop zij aan hun leveringsverplichtingen kunnen voldoen, zoals inkoop van </w:t>
      </w:r>
      <w:r w:rsidR="00811663">
        <w:rPr>
          <w:rFonts w:ascii="Verdana" w:hAnsi="Verdana" w:eastAsia="Verdana" w:cs="Verdana"/>
          <w:color w:val="000000" w:themeColor="text1"/>
          <w:sz w:val="18"/>
          <w:szCs w:val="18"/>
        </w:rPr>
        <w:t xml:space="preserve">gas </w:t>
      </w:r>
      <w:r w:rsidR="00CC4C6B">
        <w:rPr>
          <w:rFonts w:ascii="Verdana" w:hAnsi="Verdana" w:eastAsia="Verdana" w:cs="Verdana"/>
          <w:color w:val="000000" w:themeColor="text1"/>
          <w:sz w:val="18"/>
          <w:szCs w:val="18"/>
        </w:rPr>
        <w:t>op een handelsplaats</w:t>
      </w:r>
      <w:r>
        <w:rPr>
          <w:rFonts w:ascii="Verdana" w:hAnsi="Verdana" w:eastAsia="Verdana" w:cs="Verdana"/>
          <w:color w:val="000000" w:themeColor="text1"/>
          <w:sz w:val="18"/>
          <w:szCs w:val="18"/>
        </w:rPr>
        <w:t xml:space="preserve">). Daarnaast is </w:t>
      </w:r>
      <w:r w:rsidR="005C7DAE">
        <w:rPr>
          <w:rFonts w:ascii="Verdana" w:hAnsi="Verdana" w:eastAsia="Verdana" w:cs="Verdana"/>
          <w:color w:val="000000" w:themeColor="text1"/>
          <w:sz w:val="18"/>
          <w:szCs w:val="18"/>
        </w:rPr>
        <w:t xml:space="preserve">de gasprijs </w:t>
      </w:r>
      <w:r>
        <w:rPr>
          <w:rFonts w:ascii="Verdana" w:hAnsi="Verdana" w:eastAsia="Verdana" w:cs="Verdana"/>
          <w:color w:val="000000" w:themeColor="text1"/>
          <w:sz w:val="18"/>
          <w:szCs w:val="18"/>
        </w:rPr>
        <w:t>een belangrijke prikkel voor het vullen, in het bijzonder het verschil</w:t>
      </w:r>
      <w:r w:rsidRPr="00E75BF3">
        <w:rPr>
          <w:rFonts w:ascii="Verdana" w:hAnsi="Verdana" w:eastAsia="Verdana" w:cs="Verdana"/>
          <w:color w:val="000000" w:themeColor="text1"/>
          <w:sz w:val="18"/>
          <w:szCs w:val="18"/>
        </w:rPr>
        <w:t xml:space="preserve"> tussen de prijs voor gas die </w:t>
      </w:r>
      <w:r w:rsidR="0074628B">
        <w:rPr>
          <w:rFonts w:ascii="Verdana" w:hAnsi="Verdana" w:eastAsia="Verdana" w:cs="Verdana"/>
          <w:color w:val="000000" w:themeColor="text1"/>
          <w:sz w:val="18"/>
          <w:szCs w:val="18"/>
        </w:rPr>
        <w:t>in de z</w:t>
      </w:r>
      <w:r w:rsidR="00CB35C4">
        <w:rPr>
          <w:rFonts w:ascii="Verdana" w:hAnsi="Verdana" w:eastAsia="Verdana" w:cs="Verdana"/>
          <w:color w:val="000000" w:themeColor="text1"/>
          <w:sz w:val="18"/>
          <w:szCs w:val="18"/>
        </w:rPr>
        <w:t>omer</w:t>
      </w:r>
      <w:r w:rsidRPr="00E75BF3">
        <w:rPr>
          <w:rFonts w:ascii="Verdana" w:hAnsi="Verdana" w:eastAsia="Verdana" w:cs="Verdana"/>
          <w:color w:val="000000" w:themeColor="text1"/>
          <w:sz w:val="18"/>
          <w:szCs w:val="18"/>
        </w:rPr>
        <w:t xml:space="preserve"> moet worden betaald, </w:t>
      </w:r>
      <w:r w:rsidR="00F920E7">
        <w:rPr>
          <w:rFonts w:ascii="Verdana" w:hAnsi="Verdana" w:eastAsia="Verdana" w:cs="Verdana"/>
          <w:color w:val="000000" w:themeColor="text1"/>
          <w:sz w:val="18"/>
          <w:szCs w:val="18"/>
        </w:rPr>
        <w:t>en</w:t>
      </w:r>
      <w:r w:rsidRPr="00E75BF3">
        <w:rPr>
          <w:rFonts w:ascii="Verdana" w:hAnsi="Verdana" w:eastAsia="Verdana" w:cs="Verdana"/>
          <w:color w:val="000000" w:themeColor="text1"/>
          <w:sz w:val="18"/>
          <w:szCs w:val="18"/>
        </w:rPr>
        <w:t xml:space="preserve"> de prijs voor volgende winter (de zogenoemde ‘spread’).</w:t>
      </w:r>
      <w:r>
        <w:rPr>
          <w:rFonts w:ascii="Verdana" w:hAnsi="Verdana" w:eastAsia="Verdana" w:cs="Verdana"/>
          <w:color w:val="000000" w:themeColor="text1"/>
          <w:sz w:val="18"/>
          <w:szCs w:val="18"/>
        </w:rPr>
        <w:t xml:space="preserve"> </w:t>
      </w:r>
      <w:r w:rsidRPr="00784357" w:rsidDel="00B52806">
        <w:rPr>
          <w:rFonts w:ascii="Verdana" w:hAnsi="Verdana" w:eastAsia="Verdana" w:cs="Verdana"/>
          <w:color w:val="000000" w:themeColor="text1"/>
          <w:sz w:val="18"/>
          <w:szCs w:val="18"/>
        </w:rPr>
        <w:t>Begin</w:t>
      </w:r>
      <w:r w:rsidRPr="00784357">
        <w:rPr>
          <w:rFonts w:ascii="Verdana" w:hAnsi="Verdana" w:eastAsia="Verdana" w:cs="Verdana"/>
          <w:color w:val="000000" w:themeColor="text1"/>
          <w:sz w:val="18"/>
          <w:szCs w:val="18"/>
        </w:rPr>
        <w:t xml:space="preserve"> dit jaar was er sprake van een negatieve spread (een hogere zomerprijs ten opzichte van de prijs in de winter daarna).</w:t>
      </w:r>
      <w:r w:rsidRPr="000F313F">
        <w:rPr>
          <w:rStyle w:val="Voetnootmarkering"/>
          <w:rFonts w:ascii="Verdana" w:hAnsi="Verdana" w:eastAsia="Verdana" w:cs="Verdana"/>
          <w:color w:val="000000" w:themeColor="text1"/>
          <w:sz w:val="18"/>
          <w:szCs w:val="18"/>
          <w:lang w:val="en-US"/>
        </w:rPr>
        <w:footnoteReference w:id="4"/>
      </w:r>
      <w:r w:rsidRPr="000F313F">
        <w:rPr>
          <w:rStyle w:val="Voetnootmarkering"/>
          <w:rFonts w:eastAsia="Verdana"/>
        </w:rPr>
        <w:t xml:space="preserve"> </w:t>
      </w:r>
      <w:r w:rsidRPr="00784357">
        <w:rPr>
          <w:rFonts w:ascii="Verdana" w:hAnsi="Verdana" w:eastAsia="Verdana" w:cs="Verdana"/>
          <w:color w:val="000000" w:themeColor="text1"/>
          <w:sz w:val="18"/>
          <w:szCs w:val="18"/>
        </w:rPr>
        <w:t xml:space="preserve">Vanaf april </w:t>
      </w:r>
      <w:r>
        <w:rPr>
          <w:rFonts w:ascii="Verdana" w:hAnsi="Verdana" w:eastAsia="Verdana" w:cs="Verdana"/>
          <w:color w:val="000000" w:themeColor="text1"/>
          <w:sz w:val="18"/>
          <w:szCs w:val="18"/>
        </w:rPr>
        <w:t xml:space="preserve">2025 </w:t>
      </w:r>
      <w:r w:rsidRPr="00784357">
        <w:rPr>
          <w:rFonts w:ascii="Verdana" w:hAnsi="Verdana" w:eastAsia="Verdana" w:cs="Verdana"/>
          <w:color w:val="000000" w:themeColor="text1"/>
          <w:sz w:val="18"/>
          <w:szCs w:val="18"/>
        </w:rPr>
        <w:t xml:space="preserve">is er sprake </w:t>
      </w:r>
      <w:r>
        <w:rPr>
          <w:rFonts w:ascii="Verdana" w:hAnsi="Verdana" w:eastAsia="Verdana" w:cs="Verdana"/>
          <w:color w:val="000000" w:themeColor="text1"/>
          <w:sz w:val="18"/>
          <w:szCs w:val="18"/>
        </w:rPr>
        <w:t xml:space="preserve">geweest </w:t>
      </w:r>
      <w:r w:rsidRPr="00784357">
        <w:rPr>
          <w:rFonts w:ascii="Verdana" w:hAnsi="Verdana" w:eastAsia="Verdana" w:cs="Verdana"/>
          <w:color w:val="000000" w:themeColor="text1"/>
          <w:sz w:val="18"/>
          <w:szCs w:val="18"/>
        </w:rPr>
        <w:t>van een (beperkt) positieve spread met een verschil van ca. 1,5 euro</w:t>
      </w:r>
      <w:r w:rsidR="000D6A20">
        <w:rPr>
          <w:rFonts w:ascii="Verdana" w:hAnsi="Verdana" w:eastAsia="Verdana" w:cs="Verdana"/>
          <w:color w:val="000000" w:themeColor="text1"/>
          <w:sz w:val="18"/>
          <w:szCs w:val="18"/>
        </w:rPr>
        <w:t xml:space="preserve"> per MWh</w:t>
      </w:r>
      <w:r w:rsidRPr="00784357">
        <w:rPr>
          <w:rFonts w:ascii="Verdana" w:hAnsi="Verdana" w:eastAsia="Verdana" w:cs="Verdana"/>
          <w:color w:val="000000" w:themeColor="text1"/>
          <w:sz w:val="18"/>
          <w:szCs w:val="18"/>
        </w:rPr>
        <w:t>.</w:t>
      </w:r>
      <w:r w:rsidRPr="000F313F">
        <w:rPr>
          <w:rStyle w:val="Voetnootmarkering"/>
          <w:rFonts w:ascii="Verdana" w:hAnsi="Verdana" w:eastAsia="Verdana" w:cs="Verdana"/>
          <w:color w:val="000000" w:themeColor="text1"/>
          <w:sz w:val="18"/>
          <w:szCs w:val="18"/>
          <w:lang w:val="en-US"/>
        </w:rPr>
        <w:footnoteReference w:id="5"/>
      </w:r>
      <w:r w:rsidRPr="000F313F">
        <w:rPr>
          <w:rStyle w:val="Voetnootmarkering"/>
          <w:rFonts w:ascii="Verdana" w:hAnsi="Verdana" w:eastAsia="Verdana" w:cs="Verdana"/>
          <w:color w:val="000000" w:themeColor="text1"/>
          <w:sz w:val="18"/>
          <w:szCs w:val="18"/>
        </w:rPr>
        <w:t xml:space="preserve"> </w:t>
      </w:r>
      <w:bookmarkStart w:name="OLE_LINK3" w:id="2"/>
      <w:r>
        <w:rPr>
          <w:rFonts w:ascii="Verdana" w:hAnsi="Verdana" w:eastAsia="Verdana" w:cs="Verdana"/>
          <w:color w:val="000000" w:themeColor="text1"/>
          <w:sz w:val="18"/>
          <w:szCs w:val="18"/>
        </w:rPr>
        <w:t xml:space="preserve">ACER wijst er in </w:t>
      </w:r>
      <w:r w:rsidR="00F920E7">
        <w:rPr>
          <w:rFonts w:ascii="Verdana" w:hAnsi="Verdana" w:eastAsia="Verdana" w:cs="Verdana"/>
          <w:color w:val="000000" w:themeColor="text1"/>
          <w:sz w:val="18"/>
          <w:szCs w:val="18"/>
        </w:rPr>
        <w:t xml:space="preserve">zijn </w:t>
      </w:r>
      <w:r>
        <w:rPr>
          <w:rFonts w:ascii="Verdana" w:hAnsi="Verdana" w:eastAsia="Verdana" w:cs="Verdana"/>
          <w:color w:val="000000" w:themeColor="text1"/>
          <w:sz w:val="18"/>
          <w:szCs w:val="18"/>
        </w:rPr>
        <w:t xml:space="preserve">recente rapport van 18 juli jl. op dat de zomer-winter spread over deze </w:t>
      </w:r>
      <w:r w:rsidR="00251C8C">
        <w:rPr>
          <w:rFonts w:ascii="Verdana" w:hAnsi="Verdana" w:eastAsia="Verdana" w:cs="Verdana"/>
          <w:color w:val="000000" w:themeColor="text1"/>
          <w:sz w:val="18"/>
          <w:szCs w:val="18"/>
        </w:rPr>
        <w:t>ge</w:t>
      </w:r>
      <w:r>
        <w:rPr>
          <w:rFonts w:ascii="Verdana" w:hAnsi="Verdana" w:eastAsia="Verdana" w:cs="Verdana"/>
          <w:color w:val="000000" w:themeColor="text1"/>
          <w:sz w:val="18"/>
          <w:szCs w:val="18"/>
        </w:rPr>
        <w:t>hele zomer minder positief was dan in voorgaande jaren.</w:t>
      </w:r>
      <w:r>
        <w:rPr>
          <w:rStyle w:val="Voetnootmarkering"/>
          <w:rFonts w:ascii="Verdana" w:hAnsi="Verdana" w:eastAsia="Verdana" w:cs="Verdana"/>
          <w:color w:val="000000" w:themeColor="text1"/>
          <w:sz w:val="18"/>
          <w:szCs w:val="18"/>
          <w:lang w:val="en-US"/>
        </w:rPr>
        <w:footnoteReference w:id="6"/>
      </w:r>
      <w:r w:rsidR="001D0B97">
        <w:rPr>
          <w:rFonts w:ascii="Verdana" w:hAnsi="Verdana" w:eastAsia="Verdana" w:cs="Verdana"/>
          <w:color w:val="000000" w:themeColor="text1"/>
          <w:sz w:val="18"/>
          <w:szCs w:val="18"/>
        </w:rPr>
        <w:t xml:space="preserve"> </w:t>
      </w:r>
      <w:bookmarkEnd w:id="2"/>
    </w:p>
    <w:p w:rsidR="001D0B97" w:rsidP="001D0B97" w:rsidRDefault="001D0B97" w14:paraId="026182BB" w14:textId="77777777">
      <w:pPr>
        <w:rPr>
          <w:rFonts w:eastAsia="Verdana" w:cs="Verdana"/>
          <w:b/>
          <w:bCs/>
          <w:color w:val="000000" w:themeColor="text1"/>
          <w:szCs w:val="18"/>
        </w:rPr>
      </w:pPr>
    </w:p>
    <w:p w:rsidRPr="00CB48A7" w:rsidR="00B17595" w:rsidP="001D0B97" w:rsidRDefault="00B17595" w14:paraId="64C9DCBB" w14:textId="6496A5BF">
      <w:pPr>
        <w:rPr>
          <w:rFonts w:eastAsia="Verdana" w:cs="Verdana"/>
          <w:b/>
          <w:bCs/>
          <w:color w:val="000000" w:themeColor="text1"/>
          <w:szCs w:val="18"/>
        </w:rPr>
      </w:pPr>
      <w:r w:rsidRPr="3734B5DC">
        <w:rPr>
          <w:rFonts w:eastAsia="Verdana" w:cs="Verdana"/>
          <w:b/>
          <w:bCs/>
          <w:color w:val="000000" w:themeColor="text1"/>
          <w:szCs w:val="18"/>
        </w:rPr>
        <w:t>GTS gasleveringszekerheidsoverzicht met vooruitblik op 2026-2027</w:t>
      </w:r>
    </w:p>
    <w:p w:rsidR="00B17595" w:rsidP="001D0B97" w:rsidRDefault="00B17595" w14:paraId="2F25D152" w14:textId="2C014007">
      <w:pPr>
        <w:rPr>
          <w:rFonts w:eastAsia="Verdana" w:cs="Verdana"/>
          <w:color w:val="000000" w:themeColor="text1"/>
          <w:szCs w:val="18"/>
        </w:rPr>
      </w:pPr>
      <w:r>
        <w:rPr>
          <w:rFonts w:eastAsia="Verdana" w:cs="Verdana"/>
          <w:color w:val="000000" w:themeColor="text1"/>
          <w:szCs w:val="18"/>
        </w:rPr>
        <w:t>GTS heeft de wettelijke taak om jaarlijks een overzicht op te stellen van de leveringszekerheid van gas.</w:t>
      </w:r>
      <w:r>
        <w:rPr>
          <w:rStyle w:val="Voetnootmarkering"/>
          <w:rFonts w:eastAsia="Verdana" w:cs="Verdana"/>
          <w:color w:val="000000" w:themeColor="text1"/>
          <w:szCs w:val="18"/>
        </w:rPr>
        <w:footnoteReference w:id="7"/>
      </w:r>
      <w:r>
        <w:rPr>
          <w:rFonts w:eastAsia="Verdana" w:cs="Verdana"/>
          <w:color w:val="000000" w:themeColor="text1"/>
          <w:szCs w:val="18"/>
        </w:rPr>
        <w:t xml:space="preserve"> Op 12 september heeft GTS </w:t>
      </w:r>
      <w:r w:rsidR="00127EE5">
        <w:rPr>
          <w:rFonts w:eastAsia="Verdana" w:cs="Verdana"/>
          <w:color w:val="000000" w:themeColor="text1"/>
          <w:szCs w:val="18"/>
        </w:rPr>
        <w:t xml:space="preserve">dit </w:t>
      </w:r>
      <w:r>
        <w:rPr>
          <w:rFonts w:eastAsia="Verdana" w:cs="Verdana"/>
          <w:color w:val="000000" w:themeColor="text1"/>
          <w:szCs w:val="18"/>
        </w:rPr>
        <w:t xml:space="preserve">overzicht met toelichting met </w:t>
      </w:r>
      <w:r w:rsidR="00F920E7">
        <w:rPr>
          <w:rFonts w:eastAsia="Verdana" w:cs="Verdana"/>
          <w:color w:val="000000" w:themeColor="text1"/>
          <w:szCs w:val="18"/>
        </w:rPr>
        <w:t xml:space="preserve">het kabinet </w:t>
      </w:r>
      <w:r>
        <w:rPr>
          <w:rFonts w:eastAsia="Verdana" w:cs="Verdana"/>
          <w:color w:val="000000" w:themeColor="text1"/>
          <w:szCs w:val="18"/>
        </w:rPr>
        <w:t xml:space="preserve">gedeeld, zoals bijgevoegd bij deze Kamerbrief. </w:t>
      </w:r>
      <w:r w:rsidRPr="3A976AA4">
        <w:rPr>
          <w:rFonts w:eastAsia="Verdana" w:cs="Verdana"/>
          <w:color w:val="000000" w:themeColor="text1"/>
          <w:szCs w:val="18"/>
        </w:rPr>
        <w:t xml:space="preserve">In dit overzicht kijkt GTS vooruit naar </w:t>
      </w:r>
      <w:r>
        <w:rPr>
          <w:rFonts w:eastAsia="Verdana" w:cs="Verdana"/>
          <w:color w:val="000000" w:themeColor="text1"/>
          <w:szCs w:val="18"/>
        </w:rPr>
        <w:t>volgend gasjaar</w:t>
      </w:r>
      <w:r w:rsidRPr="3A976AA4">
        <w:rPr>
          <w:rFonts w:eastAsia="Verdana" w:cs="Verdana"/>
          <w:color w:val="000000" w:themeColor="text1"/>
          <w:szCs w:val="18"/>
        </w:rPr>
        <w:t xml:space="preserve"> 2026-2027</w:t>
      </w:r>
      <w:r>
        <w:rPr>
          <w:rFonts w:eastAsia="Verdana" w:cs="Verdana"/>
          <w:color w:val="000000" w:themeColor="text1"/>
          <w:szCs w:val="18"/>
        </w:rPr>
        <w:t xml:space="preserve"> en maakt GTS een analyse op basis van de </w:t>
      </w:r>
      <w:r w:rsidR="00E33E84">
        <w:rPr>
          <w:rFonts w:eastAsia="Verdana" w:cs="Verdana"/>
          <w:color w:val="000000" w:themeColor="text1"/>
          <w:szCs w:val="18"/>
        </w:rPr>
        <w:t xml:space="preserve">volgens </w:t>
      </w:r>
      <w:r w:rsidR="001470F2">
        <w:rPr>
          <w:rFonts w:eastAsia="Verdana" w:cs="Verdana"/>
          <w:color w:val="000000" w:themeColor="text1"/>
          <w:szCs w:val="18"/>
        </w:rPr>
        <w:t xml:space="preserve">haar </w:t>
      </w:r>
      <w:r>
        <w:rPr>
          <w:rFonts w:eastAsia="Verdana" w:cs="Verdana"/>
          <w:color w:val="000000" w:themeColor="text1"/>
          <w:szCs w:val="18"/>
        </w:rPr>
        <w:t xml:space="preserve">relevante ontwikkelingen ten aanzien van de vraag en beschikbaar aanbod. Daarbij hanteert GTS specifieke aannames en uitgangspunten die GTS vooraf in de markt heeft geconsulteerd. </w:t>
      </w:r>
    </w:p>
    <w:p w:rsidR="00B17595" w:rsidP="001D0B97" w:rsidRDefault="00B17595" w14:paraId="58DBF308" w14:textId="26E31D73">
      <w:pPr>
        <w:rPr>
          <w:rFonts w:eastAsia="Verdana" w:cs="Verdana"/>
          <w:color w:val="000000" w:themeColor="text1"/>
          <w:szCs w:val="18"/>
        </w:rPr>
      </w:pPr>
      <w:bookmarkStart w:name="OLE_LINK4" w:id="3"/>
      <w:r>
        <w:rPr>
          <w:rFonts w:eastAsia="Verdana" w:cs="Verdana"/>
          <w:color w:val="000000" w:themeColor="text1"/>
          <w:szCs w:val="18"/>
        </w:rPr>
        <w:lastRenderedPageBreak/>
        <w:t xml:space="preserve">De drie belangrijkste </w:t>
      </w:r>
      <w:r w:rsidR="00FD32D8">
        <w:rPr>
          <w:rFonts w:eastAsia="Verdana" w:cs="Verdana"/>
          <w:color w:val="000000" w:themeColor="text1"/>
          <w:szCs w:val="18"/>
        </w:rPr>
        <w:t xml:space="preserve">analyses </w:t>
      </w:r>
      <w:r>
        <w:rPr>
          <w:rFonts w:eastAsia="Verdana" w:cs="Verdana"/>
          <w:color w:val="000000" w:themeColor="text1"/>
          <w:szCs w:val="18"/>
        </w:rPr>
        <w:t>uit het overzicht zijn: 1) volume: of er in een koud jaar</w:t>
      </w:r>
      <w:r>
        <w:rPr>
          <w:rStyle w:val="Voetnootmarkering"/>
          <w:rFonts w:eastAsia="Verdana" w:cs="Verdana"/>
          <w:color w:val="000000" w:themeColor="text1"/>
          <w:szCs w:val="18"/>
        </w:rPr>
        <w:footnoteReference w:id="8"/>
      </w:r>
      <w:r>
        <w:rPr>
          <w:rFonts w:eastAsia="Verdana" w:cs="Verdana"/>
          <w:color w:val="000000" w:themeColor="text1"/>
          <w:szCs w:val="18"/>
        </w:rPr>
        <w:t xml:space="preserve"> voldoende gas beschikbaar </w:t>
      </w:r>
      <w:r w:rsidR="000F5DC9">
        <w:rPr>
          <w:rFonts w:eastAsia="Verdana" w:cs="Verdana"/>
          <w:color w:val="000000" w:themeColor="text1"/>
          <w:szCs w:val="18"/>
        </w:rPr>
        <w:t>ka</w:t>
      </w:r>
      <w:r w:rsidR="009F4955">
        <w:rPr>
          <w:rFonts w:eastAsia="Verdana" w:cs="Verdana"/>
          <w:color w:val="000000" w:themeColor="text1"/>
          <w:szCs w:val="18"/>
        </w:rPr>
        <w:t>n komen</w:t>
      </w:r>
      <w:r>
        <w:rPr>
          <w:rFonts w:eastAsia="Verdana" w:cs="Verdana"/>
          <w:color w:val="000000" w:themeColor="text1"/>
          <w:szCs w:val="18"/>
        </w:rPr>
        <w:t xml:space="preserve"> om aan de gasvraag te kunnen voldoen; 2) capaciteit: of alle eindafnemers op een koude dag</w:t>
      </w:r>
      <w:r>
        <w:rPr>
          <w:rStyle w:val="Voetnootmarkering"/>
          <w:rFonts w:eastAsia="Verdana" w:cs="Verdana"/>
          <w:color w:val="000000" w:themeColor="text1"/>
          <w:szCs w:val="18"/>
        </w:rPr>
        <w:footnoteReference w:id="9"/>
      </w:r>
      <w:r>
        <w:rPr>
          <w:rFonts w:eastAsia="Verdana" w:cs="Verdana"/>
          <w:color w:val="000000" w:themeColor="text1"/>
          <w:szCs w:val="18"/>
        </w:rPr>
        <w:t xml:space="preserve"> van gas kunnen worden voorzien, ook wanneer de grootste bron uit zou vallen; en 3) hoeveel gas</w:t>
      </w:r>
      <w:r w:rsidDel="00024400">
        <w:rPr>
          <w:rFonts w:eastAsia="Verdana" w:cs="Verdana"/>
          <w:color w:val="000000" w:themeColor="text1"/>
          <w:szCs w:val="18"/>
        </w:rPr>
        <w:t xml:space="preserve"> </w:t>
      </w:r>
      <w:r>
        <w:rPr>
          <w:rFonts w:eastAsia="Verdana" w:cs="Verdana"/>
          <w:color w:val="000000" w:themeColor="text1"/>
          <w:szCs w:val="18"/>
        </w:rPr>
        <w:t>er in de seizoensopslagen aanwezig moet zijn voor de winter 2026-2027.</w:t>
      </w:r>
    </w:p>
    <w:bookmarkEnd w:id="3"/>
    <w:p w:rsidR="00B17595" w:rsidP="001D0B97" w:rsidRDefault="00FD32D8" w14:paraId="0907553F" w14:textId="34F82F7E">
      <w:pPr>
        <w:rPr>
          <w:rFonts w:eastAsia="Verdana" w:cs="Verdana"/>
          <w:color w:val="000000" w:themeColor="text1"/>
          <w:szCs w:val="18"/>
        </w:rPr>
      </w:pPr>
      <w:r>
        <w:rPr>
          <w:rFonts w:eastAsia="Verdana" w:cs="Verdana"/>
          <w:color w:val="000000" w:themeColor="text1"/>
          <w:szCs w:val="18"/>
        </w:rPr>
        <w:t xml:space="preserve">Uitkomst is dat </w:t>
      </w:r>
      <w:r w:rsidR="00B17595">
        <w:rPr>
          <w:rFonts w:eastAsia="Verdana" w:cs="Verdana"/>
          <w:color w:val="000000" w:themeColor="text1"/>
          <w:szCs w:val="18"/>
        </w:rPr>
        <w:t xml:space="preserve">de </w:t>
      </w:r>
      <w:r w:rsidR="001D6EED">
        <w:rPr>
          <w:rFonts w:eastAsia="Verdana" w:cs="Verdana"/>
          <w:color w:val="000000" w:themeColor="text1"/>
          <w:szCs w:val="18"/>
        </w:rPr>
        <w:t>algemene situatie</w:t>
      </w:r>
      <w:r w:rsidR="00B17595">
        <w:rPr>
          <w:rFonts w:eastAsia="Verdana" w:cs="Verdana"/>
          <w:color w:val="000000" w:themeColor="text1"/>
          <w:szCs w:val="18"/>
        </w:rPr>
        <w:t xml:space="preserve"> is verbeterd ten opzichte van de bevindingen in het vorige overzicht leveringszekerheid van september 2024. </w:t>
      </w:r>
    </w:p>
    <w:p w:rsidR="00EE5A93" w:rsidP="001D0B97" w:rsidRDefault="00EE5A93" w14:paraId="209C3612" w14:textId="77777777">
      <w:pPr>
        <w:rPr>
          <w:rFonts w:eastAsia="Verdana" w:cs="Verdana"/>
          <w:color w:val="000000" w:themeColor="text1"/>
          <w:szCs w:val="18"/>
        </w:rPr>
      </w:pPr>
    </w:p>
    <w:p w:rsidR="00B17595" w:rsidP="001D0B97" w:rsidRDefault="056EF373" w14:paraId="795E1578" w14:textId="37A471AF">
      <w:pPr>
        <w:rPr>
          <w:rFonts w:eastAsia="Verdana" w:cs="Verdana"/>
          <w:color w:val="000000" w:themeColor="text1"/>
        </w:rPr>
      </w:pPr>
      <w:r w:rsidRPr="2EE548B6">
        <w:rPr>
          <w:rFonts w:eastAsia="Verdana" w:cs="Verdana"/>
          <w:color w:val="000000" w:themeColor="text1"/>
        </w:rPr>
        <w:t xml:space="preserve">Wat betreft volume constateert GTS </w:t>
      </w:r>
      <w:r w:rsidRPr="2EE548B6" w:rsidR="00C75E5B">
        <w:rPr>
          <w:rFonts w:eastAsia="Verdana" w:cs="Verdana"/>
          <w:color w:val="000000" w:themeColor="text1"/>
        </w:rPr>
        <w:t xml:space="preserve">in de analyse </w:t>
      </w:r>
      <w:r w:rsidRPr="2EE548B6">
        <w:rPr>
          <w:rFonts w:eastAsia="Verdana" w:cs="Verdana"/>
          <w:color w:val="000000" w:themeColor="text1"/>
        </w:rPr>
        <w:t>dat er geen scenario’s meer zijn waarbij er tekorten ontstaan, ook niet bij een koud jaar en een hogere gasvraag. In het overzicht leveringszekerheid van september 2024 was nog sprake van een tekort in het scenario van een koud jaar in combinatie met een verminderd aanbod. Om dit te mitigeren adviseerde GTS om de LNG-infrastructuur te handhaven of uit te breiden</w:t>
      </w:r>
      <w:r w:rsidR="007A335A">
        <w:rPr>
          <w:rFonts w:eastAsia="Verdana" w:cs="Verdana"/>
          <w:color w:val="000000" w:themeColor="text1"/>
        </w:rPr>
        <w:t xml:space="preserve">. </w:t>
      </w:r>
      <w:r w:rsidR="00004766">
        <w:rPr>
          <w:rFonts w:eastAsia="Verdana" w:cs="Verdana"/>
          <w:color w:val="000000" w:themeColor="text1"/>
        </w:rPr>
        <w:t>Hierna wordt o</w:t>
      </w:r>
      <w:r w:rsidR="007A335A">
        <w:rPr>
          <w:rFonts w:eastAsia="Verdana" w:cs="Verdana"/>
          <w:color w:val="000000" w:themeColor="text1"/>
        </w:rPr>
        <w:t>nder het kopje LNG-importcapaciteit</w:t>
      </w:r>
      <w:r w:rsidR="001D0B97">
        <w:rPr>
          <w:rFonts w:eastAsia="Verdana" w:cs="Verdana"/>
          <w:color w:val="000000" w:themeColor="text1"/>
        </w:rPr>
        <w:t xml:space="preserve"> </w:t>
      </w:r>
      <w:r w:rsidR="00D139EC">
        <w:rPr>
          <w:rFonts w:eastAsia="Verdana" w:cs="Verdana"/>
          <w:color w:val="000000" w:themeColor="text1"/>
        </w:rPr>
        <w:t xml:space="preserve">het beleid hierop verder toegelicht. </w:t>
      </w:r>
    </w:p>
    <w:p w:rsidR="00B17595" w:rsidP="001D0B97" w:rsidRDefault="056EF373" w14:paraId="296A96A7" w14:textId="6DDE360C">
      <w:pPr>
        <w:rPr>
          <w:szCs w:val="18"/>
        </w:rPr>
      </w:pPr>
      <w:r w:rsidRPr="2EE548B6">
        <w:rPr>
          <w:rFonts w:eastAsia="Verdana" w:cs="Verdana"/>
          <w:color w:val="000000" w:themeColor="text1"/>
        </w:rPr>
        <w:t>Ook het beeld dat GTS schetst met betrekking tot capaciteit laat een betere uitgangspositie zien dan vorig jaar: in 2026-2027 is er een overschot aan capaciteit beschikbaar van</w:t>
      </w:r>
      <w:r w:rsidRPr="2EE548B6">
        <w:t xml:space="preserve"> 34,2</w:t>
      </w:r>
      <w:r>
        <w:rPr>
          <w:szCs w:val="18"/>
        </w:rPr>
        <w:t xml:space="preserve"> </w:t>
      </w:r>
      <w:r w:rsidRPr="2EE548B6">
        <w:t>GW</w:t>
      </w:r>
      <w:r>
        <w:rPr>
          <w:szCs w:val="18"/>
        </w:rPr>
        <w:t>.</w:t>
      </w:r>
      <w:r w:rsidRPr="2EE548B6" w:rsidR="00B17595">
        <w:rPr>
          <w:rStyle w:val="Voetnootmarkering"/>
        </w:rPr>
        <w:footnoteReference w:id="10"/>
      </w:r>
      <w:r w:rsidRPr="2EE548B6">
        <w:t xml:space="preserve"> In het vorige overzicht van 2024 werd het overschot voor het gasjaar 2026-2027 nog op 14,9 GW geschat. Dit verschil komt met name omdat GTS nu uitgaat van een lagere prognose </w:t>
      </w:r>
      <w:r w:rsidR="00C116A1">
        <w:t>voor</w:t>
      </w:r>
      <w:r w:rsidRPr="2EE548B6">
        <w:t xml:space="preserve"> de export van hoogcalorisch gas naar Duitsland en een bijstelling van de productiecapaciteit voor de gasopslag Bergermeer.</w:t>
      </w:r>
      <w:r w:rsidRPr="3A976AA4">
        <w:rPr>
          <w:szCs w:val="18"/>
        </w:rPr>
        <w:t xml:space="preserve"> </w:t>
      </w:r>
    </w:p>
    <w:p w:rsidRPr="006A42DC" w:rsidR="00EE5A93" w:rsidP="001D0B97" w:rsidRDefault="00EE5A93" w14:paraId="6B047D05" w14:textId="77777777">
      <w:pPr>
        <w:rPr>
          <w:rFonts w:eastAsia="Verdana" w:cs="Verdana"/>
          <w:color w:val="000000" w:themeColor="text1"/>
        </w:rPr>
      </w:pPr>
    </w:p>
    <w:p w:rsidR="00B17595" w:rsidP="001D0B97" w:rsidRDefault="056EF373" w14:paraId="79225A75" w14:textId="3BE7CA7D">
      <w:r>
        <w:t>Wat betreft gasopslag constateert GTS dat er aan het begin van de winter 2026-2027 minimaal 115 TWh aan seizoensflexibiliteit beschikbaar moet zijn.</w:t>
      </w:r>
      <w:r w:rsidR="59459E88">
        <w:t xml:space="preserve"> </w:t>
      </w:r>
      <w:r>
        <w:t xml:space="preserve">Seizoensflexibiliteit is </w:t>
      </w:r>
      <w:r w:rsidR="00DA36D0">
        <w:t>nodig om te voorzien</w:t>
      </w:r>
      <w:r>
        <w:t xml:space="preserve"> </w:t>
      </w:r>
      <w:r w:rsidR="00E810A5">
        <w:t xml:space="preserve">in </w:t>
      </w:r>
      <w:r w:rsidR="0F2F913B">
        <w:t xml:space="preserve">de </w:t>
      </w:r>
      <w:r w:rsidR="2B156874">
        <w:t>extra</w:t>
      </w:r>
      <w:r w:rsidR="0F2F913B">
        <w:t xml:space="preserve"> gasvraag in de wintermaanden, ten opzichte van de jaargemiddelde vraag. </w:t>
      </w:r>
      <w:r>
        <w:t xml:space="preserve">Een </w:t>
      </w:r>
      <w:r w:rsidR="4A50C7A8">
        <w:t xml:space="preserve">manier om </w:t>
      </w:r>
      <w:r w:rsidR="0F2F913B">
        <w:t xml:space="preserve">deze seizoensflexibiliteit te kunnen bieden is door middel van </w:t>
      </w:r>
      <w:r w:rsidR="00C75E5B">
        <w:t xml:space="preserve">het vullen van </w:t>
      </w:r>
      <w:r>
        <w:t>de seizoensopslagen</w:t>
      </w:r>
      <w:r w:rsidR="00E66E56">
        <w:t xml:space="preserve"> (Norg, Grijpskerk en Bergermeer)</w:t>
      </w:r>
      <w:r>
        <w:t xml:space="preserve">. </w:t>
      </w:r>
      <w:r w:rsidR="00C94BA6">
        <w:t xml:space="preserve">GTS </w:t>
      </w:r>
      <w:r w:rsidR="006B1860">
        <w:t>adviseert om de 115 TWh in d</w:t>
      </w:r>
      <w:r w:rsidR="006C2D69">
        <w:t>e seizoensopslagen</w:t>
      </w:r>
      <w:r w:rsidR="00C21869">
        <w:t xml:space="preserve"> en de PGI Alkmaar</w:t>
      </w:r>
      <w:r w:rsidR="006C2D69">
        <w:t xml:space="preserve"> </w:t>
      </w:r>
      <w:r w:rsidR="004D71EF">
        <w:t xml:space="preserve">op te slaan. </w:t>
      </w:r>
      <w:r>
        <w:t>Dit komt neer op een vuldoel van 84% van de hiervoor genoemde specifieke gasopslagen tezamen en 80% van de totale gasopslagcapacitei</w:t>
      </w:r>
      <w:r w:rsidR="00AE1EFB">
        <w:t>t die direct aan het Nederlandse</w:t>
      </w:r>
      <w:r w:rsidR="0007237D">
        <w:t xml:space="preserve"> </w:t>
      </w:r>
      <w:r w:rsidR="00921250">
        <w:t>gastransportnet is verb</w:t>
      </w:r>
      <w:r w:rsidR="00420C09">
        <w:t>onden</w:t>
      </w:r>
      <w:r>
        <w:t>. Het kabinet onderschrijft dit vuldoel voor 2026-2027</w:t>
      </w:r>
      <w:r w:rsidR="005C2A81">
        <w:t xml:space="preserve"> op basis van de analyse van GTS</w:t>
      </w:r>
      <w:r>
        <w:t xml:space="preserve">. Verderop in deze brief gaat het kabinet hier nader op in. </w:t>
      </w:r>
    </w:p>
    <w:p w:rsidR="00EE5A93" w:rsidP="001D0B97" w:rsidRDefault="00EE5A93" w14:paraId="0A3AC08B" w14:textId="77777777"/>
    <w:p w:rsidR="00B17595" w:rsidP="001D0B97" w:rsidRDefault="056EF373" w14:paraId="35F539E2" w14:textId="48473FE3">
      <w:pPr>
        <w:rPr>
          <w:rFonts w:eastAsia="Verdana" w:cs="Verdana"/>
          <w:color w:val="000000" w:themeColor="text1"/>
        </w:rPr>
      </w:pPr>
      <w:r w:rsidRPr="2EE548B6">
        <w:rPr>
          <w:rFonts w:eastAsia="Verdana" w:cs="Verdana"/>
          <w:color w:val="000000" w:themeColor="text1"/>
        </w:rPr>
        <w:t xml:space="preserve">Wat betreft de ontwikkeling in de gasvraag constateert GTS dat nog steeds wordt voorzien dat de totale gasvraag daalt en zal blijven dalen, maar </w:t>
      </w:r>
      <w:r w:rsidR="00A16292">
        <w:rPr>
          <w:rFonts w:eastAsia="Verdana" w:cs="Verdana"/>
          <w:color w:val="000000" w:themeColor="text1"/>
        </w:rPr>
        <w:t xml:space="preserve">dat </w:t>
      </w:r>
      <w:r w:rsidRPr="2EE548B6">
        <w:rPr>
          <w:rFonts w:eastAsia="Verdana" w:cs="Verdana"/>
          <w:color w:val="000000" w:themeColor="text1"/>
        </w:rPr>
        <w:t xml:space="preserve">de daling minder groot is dan een aantal jaren geleden werd voorzien. </w:t>
      </w:r>
      <w:bookmarkStart w:name="_Hlk210125681" w:id="4"/>
      <w:r w:rsidRPr="2EE548B6">
        <w:rPr>
          <w:rFonts w:eastAsia="Verdana" w:cs="Verdana"/>
          <w:color w:val="000000" w:themeColor="text1"/>
        </w:rPr>
        <w:t>GTS gaat in het huidige overzicht uit van de</w:t>
      </w:r>
      <w:r w:rsidR="00FF5DF0">
        <w:rPr>
          <w:rFonts w:eastAsia="Verdana" w:cs="Verdana"/>
          <w:color w:val="000000" w:themeColor="text1"/>
        </w:rPr>
        <w:t xml:space="preserve"> cijf</w:t>
      </w:r>
      <w:r w:rsidR="00D72B68">
        <w:rPr>
          <w:rFonts w:eastAsia="Verdana" w:cs="Verdana"/>
          <w:color w:val="000000" w:themeColor="text1"/>
        </w:rPr>
        <w:t>ers uit de</w:t>
      </w:r>
      <w:r w:rsidRPr="2EE548B6">
        <w:rPr>
          <w:rFonts w:eastAsia="Verdana" w:cs="Verdana"/>
          <w:color w:val="000000" w:themeColor="text1"/>
        </w:rPr>
        <w:t xml:space="preserve"> KEV 202</w:t>
      </w:r>
      <w:r w:rsidR="00D72B68">
        <w:rPr>
          <w:rFonts w:eastAsia="Verdana" w:cs="Verdana"/>
          <w:color w:val="000000" w:themeColor="text1"/>
        </w:rPr>
        <w:t xml:space="preserve">4. Daarin </w:t>
      </w:r>
      <w:r w:rsidR="00AE6B6C">
        <w:rPr>
          <w:rFonts w:eastAsia="Verdana" w:cs="Verdana"/>
          <w:color w:val="000000" w:themeColor="text1"/>
        </w:rPr>
        <w:t xml:space="preserve">is de binnenlandse gasvraag in een gemiddeld gasjaar hoger dan in </w:t>
      </w:r>
      <w:r w:rsidR="00DB5DD2">
        <w:rPr>
          <w:rFonts w:eastAsia="Verdana" w:cs="Verdana"/>
          <w:color w:val="000000" w:themeColor="text1"/>
        </w:rPr>
        <w:t xml:space="preserve">het vorige overzicht gasleveringszekerheid </w:t>
      </w:r>
      <w:r w:rsidR="00AE6B6C">
        <w:rPr>
          <w:rFonts w:eastAsia="Verdana" w:cs="Verdana"/>
          <w:color w:val="000000" w:themeColor="text1"/>
        </w:rPr>
        <w:t>werd aangenomen</w:t>
      </w:r>
      <w:r w:rsidR="00DB5DD2">
        <w:rPr>
          <w:rStyle w:val="Voetnootmarkering"/>
          <w:rFonts w:eastAsia="Verdana" w:cs="Verdana"/>
          <w:color w:val="000000" w:themeColor="text1"/>
        </w:rPr>
        <w:footnoteReference w:id="11"/>
      </w:r>
      <w:r w:rsidR="00AE6B6C">
        <w:rPr>
          <w:rFonts w:eastAsia="Verdana" w:cs="Verdana"/>
          <w:color w:val="000000" w:themeColor="text1"/>
        </w:rPr>
        <w:t>.</w:t>
      </w:r>
      <w:r w:rsidR="001D0B97">
        <w:rPr>
          <w:rFonts w:eastAsia="Verdana" w:cs="Verdana"/>
          <w:color w:val="000000" w:themeColor="text1"/>
        </w:rPr>
        <w:t xml:space="preserve"> </w:t>
      </w:r>
    </w:p>
    <w:bookmarkEnd w:id="4"/>
    <w:p w:rsidRPr="00696F67" w:rsidR="00DB5DD2" w:rsidP="001D0B97" w:rsidRDefault="00DB5DD2" w14:paraId="5A500E12" w14:textId="77777777">
      <w:pPr>
        <w:rPr>
          <w:rFonts w:eastAsia="Verdana" w:cs="Verdana"/>
          <w:color w:val="000000" w:themeColor="text1"/>
        </w:rPr>
      </w:pPr>
    </w:p>
    <w:p w:rsidRPr="00D35ACD" w:rsidR="00D35ACD" w:rsidP="001D0B97" w:rsidRDefault="056EF373" w14:paraId="2B3FE526" w14:textId="2D4F4BC3">
      <w:pPr>
        <w:rPr>
          <w:szCs w:val="18"/>
        </w:rPr>
      </w:pPr>
      <w:r>
        <w:t xml:space="preserve">Tot slot geeft GTS in het overzicht ook een doorkijk wat betreft volume, capaciteit en verwachte benodigde seizoensflexibiliteit in de komende 5 jaar. Wat betreft volume neemt de vraag de komende jaren zowel in een koud als een normaal jaar </w:t>
      </w:r>
      <w:r>
        <w:lastRenderedPageBreak/>
        <w:t xml:space="preserve">af. Het overschot op de capaciteitsbalans neem toe tot 48,3 GW in 2029/30. </w:t>
      </w:r>
      <w:r w:rsidR="4B3A10E0">
        <w:t xml:space="preserve">De </w:t>
      </w:r>
      <w:r>
        <w:t>vraag naar seizoensflexibiliteit</w:t>
      </w:r>
      <w:r w:rsidR="4B3A10E0">
        <w:t xml:space="preserve"> neemt</w:t>
      </w:r>
      <w:r>
        <w:t xml:space="preserve"> de komende jaren af. Dit betekent dat op termijn ook het volume dat voor seizoensflexibiliteit in de gasopslagen beschikbaar moet zijn in de winter zal dalen.</w:t>
      </w:r>
      <w:r w:rsidR="009225E7">
        <w:t xml:space="preserve"> GTS geeft aan dat de</w:t>
      </w:r>
      <w:r w:rsidRPr="009225E7" w:rsidR="009225E7">
        <w:t xml:space="preserve"> effecten van extreme gebeurtenissen </w:t>
      </w:r>
      <w:r w:rsidR="009225E7">
        <w:t>b</w:t>
      </w:r>
      <w:r w:rsidRPr="009225E7" w:rsidR="009225E7">
        <w:t>uiten de analyse</w:t>
      </w:r>
      <w:r w:rsidR="009225E7">
        <w:t xml:space="preserve"> voor het overzicht leveringszekerheid zijn</w:t>
      </w:r>
      <w:r w:rsidRPr="009225E7" w:rsidR="009225E7">
        <w:t xml:space="preserve"> gebleven</w:t>
      </w:r>
      <w:r w:rsidR="009225E7">
        <w:t>.</w:t>
      </w:r>
    </w:p>
    <w:p w:rsidR="001D0B97" w:rsidP="001D0B97" w:rsidRDefault="001D0B97" w14:paraId="3916D78F" w14:textId="77777777">
      <w:pPr>
        <w:rPr>
          <w:b/>
          <w:bCs/>
          <w:szCs w:val="18"/>
        </w:rPr>
      </w:pPr>
    </w:p>
    <w:p w:rsidR="00B17595" w:rsidP="001D0B97" w:rsidRDefault="00B17595" w14:paraId="34BC56E8" w14:textId="1A333221">
      <w:pPr>
        <w:rPr>
          <w:b/>
          <w:bCs/>
          <w:szCs w:val="18"/>
        </w:rPr>
      </w:pPr>
      <w:r>
        <w:rPr>
          <w:b/>
          <w:bCs/>
          <w:szCs w:val="18"/>
        </w:rPr>
        <w:t>M</w:t>
      </w:r>
      <w:r w:rsidRPr="169D31EF">
        <w:rPr>
          <w:b/>
          <w:bCs/>
          <w:szCs w:val="18"/>
        </w:rPr>
        <w:t>aatregelen om de gasleveringszekerheid te borgen</w:t>
      </w:r>
    </w:p>
    <w:p w:rsidR="001D0B97" w:rsidP="001D0B97" w:rsidRDefault="001D0B97" w14:paraId="0800CE2E" w14:textId="77777777">
      <w:pPr>
        <w:rPr>
          <w:i/>
          <w:iCs/>
          <w:szCs w:val="18"/>
        </w:rPr>
      </w:pPr>
    </w:p>
    <w:p w:rsidR="00B17595" w:rsidP="001D0B97" w:rsidRDefault="00B17595" w14:paraId="385ECE69" w14:textId="34C86CC0">
      <w:pPr>
        <w:rPr>
          <w:rFonts w:eastAsia="Verdana" w:cs="Verdana"/>
          <w:color w:val="000000" w:themeColor="text1"/>
          <w:szCs w:val="18"/>
        </w:rPr>
      </w:pPr>
      <w:r w:rsidRPr="169D31EF">
        <w:rPr>
          <w:i/>
          <w:iCs/>
          <w:szCs w:val="18"/>
        </w:rPr>
        <w:t>Gaswinning uit kleine velden</w:t>
      </w:r>
    </w:p>
    <w:p w:rsidR="00B17595" w:rsidP="001D0B97" w:rsidRDefault="00B17595" w14:paraId="28215A9A" w14:textId="7AC4A629">
      <w:pPr>
        <w:rPr>
          <w:rFonts w:eastAsia="Verdana" w:cs="Verdana"/>
          <w:color w:val="000000" w:themeColor="text1"/>
        </w:rPr>
      </w:pPr>
      <w:bookmarkStart w:name="OLE_LINK6" w:id="6"/>
      <w:r w:rsidRPr="62A3274F">
        <w:rPr>
          <w:rFonts w:eastAsia="Verdana" w:cs="Verdana"/>
          <w:color w:val="000000" w:themeColor="text1"/>
        </w:rPr>
        <w:t>Met</w:t>
      </w:r>
      <w:r w:rsidRPr="5483B340">
        <w:rPr>
          <w:rFonts w:eastAsia="Verdana" w:cs="Verdana"/>
          <w:color w:val="000000" w:themeColor="text1"/>
        </w:rPr>
        <w:t xml:space="preserve"> de Kamerbrief van 14 juli 2025</w:t>
      </w:r>
      <w:r w:rsidRPr="5483B340">
        <w:rPr>
          <w:rStyle w:val="Voetnootmarkering"/>
          <w:rFonts w:eastAsia="Verdana" w:cs="Verdana"/>
          <w:color w:val="000000" w:themeColor="text1"/>
        </w:rPr>
        <w:footnoteReference w:id="12"/>
      </w:r>
      <w:r w:rsidRPr="5483B340">
        <w:rPr>
          <w:rFonts w:eastAsia="Verdana" w:cs="Verdana"/>
          <w:color w:val="000000" w:themeColor="text1"/>
        </w:rPr>
        <w:t xml:space="preserve"> is de Kamer geïnformeerd over het op 23 april jl. gesloten sectorakkoord gaswinning in de energietransitie en de voortgang van de nadere afspraken die specifiek zien op gaswinning op land, </w:t>
      </w:r>
      <w:bookmarkStart w:name="OLE_LINK1" w:id="7"/>
      <w:bookmarkEnd w:id="6"/>
      <w:r w:rsidRPr="5483B340">
        <w:rPr>
          <w:rFonts w:eastAsia="Verdana" w:cs="Verdana"/>
          <w:color w:val="000000" w:themeColor="text1"/>
        </w:rPr>
        <w:t xml:space="preserve">waarin een balans </w:t>
      </w:r>
      <w:r w:rsidR="00173938">
        <w:rPr>
          <w:rFonts w:eastAsia="Verdana" w:cs="Verdana"/>
          <w:color w:val="000000" w:themeColor="text1"/>
        </w:rPr>
        <w:t>wordt</w:t>
      </w:r>
      <w:r w:rsidRPr="5483B340" w:rsidR="00284F06">
        <w:rPr>
          <w:rFonts w:eastAsia="Verdana" w:cs="Verdana"/>
          <w:color w:val="000000" w:themeColor="text1"/>
        </w:rPr>
        <w:t xml:space="preserve"> gezoc</w:t>
      </w:r>
      <w:r w:rsidRPr="5483B340" w:rsidR="00960E3F">
        <w:rPr>
          <w:rFonts w:eastAsia="Verdana" w:cs="Verdana"/>
          <w:color w:val="000000" w:themeColor="text1"/>
        </w:rPr>
        <w:t>h</w:t>
      </w:r>
      <w:r w:rsidRPr="5483B340" w:rsidR="00284F06">
        <w:rPr>
          <w:rFonts w:eastAsia="Verdana" w:cs="Verdana"/>
          <w:color w:val="000000" w:themeColor="text1"/>
        </w:rPr>
        <w:t xml:space="preserve">t </w:t>
      </w:r>
      <w:r w:rsidRPr="5483B340">
        <w:rPr>
          <w:rFonts w:eastAsia="Verdana" w:cs="Verdana"/>
          <w:color w:val="000000" w:themeColor="text1"/>
        </w:rPr>
        <w:t>tussen enerzijds het tegemoetkomen aan de zorgen van inwoners en regionale bestuurders en anderzijds het erkennen van de belangrijke functie die gaswinning op land nog vervult.</w:t>
      </w:r>
      <w:bookmarkEnd w:id="7"/>
    </w:p>
    <w:p w:rsidR="00EE5A93" w:rsidP="001D0B97" w:rsidRDefault="00EE5A93" w14:paraId="325C3FE8" w14:textId="77777777">
      <w:pPr>
        <w:rPr>
          <w:rFonts w:eastAsia="Verdana" w:cs="Verdana"/>
          <w:color w:val="000000" w:themeColor="text1"/>
        </w:rPr>
      </w:pPr>
    </w:p>
    <w:p w:rsidRPr="005E3B29" w:rsidR="00B17595" w:rsidP="001D0B97" w:rsidRDefault="00B17595" w14:paraId="229D9239" w14:textId="0A9897A5">
      <w:pPr>
        <w:rPr>
          <w:rFonts w:eastAsiaTheme="minorEastAsia"/>
          <w:szCs w:val="18"/>
        </w:rPr>
      </w:pPr>
      <w:r w:rsidRPr="67FF4175">
        <w:rPr>
          <w:rFonts w:eastAsia="Verdana" w:cs="Verdana"/>
          <w:color w:val="000000" w:themeColor="text1"/>
          <w:szCs w:val="18"/>
        </w:rPr>
        <w:t xml:space="preserve">Op 27 augustus jl. is het bilaterale Verdrag tussen Nederland en Duitsland door beide landen </w:t>
      </w:r>
      <w:r w:rsidRPr="005E3B29">
        <w:rPr>
          <w:rFonts w:eastAsia="Verdana" w:cs="Verdana"/>
          <w:color w:val="000000" w:themeColor="text1"/>
          <w:szCs w:val="18"/>
        </w:rPr>
        <w:t>ondertekend.</w:t>
      </w:r>
      <w:r>
        <w:rPr>
          <w:rStyle w:val="Voetnootmarkering"/>
          <w:rFonts w:eastAsia="Verdana" w:cs="Verdana"/>
          <w:color w:val="000000" w:themeColor="text1"/>
          <w:szCs w:val="18"/>
        </w:rPr>
        <w:footnoteReference w:id="13"/>
      </w:r>
      <w:r w:rsidRPr="005E3B29">
        <w:rPr>
          <w:rFonts w:eastAsia="Verdana" w:cs="Verdana"/>
          <w:color w:val="000000" w:themeColor="text1"/>
          <w:szCs w:val="18"/>
        </w:rPr>
        <w:t xml:space="preserve"> Dit Verdrag ziet op nadere afspraken over </w:t>
      </w:r>
      <w:r w:rsidRPr="005E3B29">
        <w:rPr>
          <w:rFonts w:eastAsia="Verdana" w:cs="Verdana"/>
          <w:szCs w:val="18"/>
        </w:rPr>
        <w:t>de gezamenlijke exploitatie van grensoverschrijdende koolwaterstoffenvelden in de territoriale zee tussen 3 en 12 zeemijlen, gelegen ten noorden van het Eems-Dollard gebied</w:t>
      </w:r>
      <w:r>
        <w:rPr>
          <w:rFonts w:eastAsia="Verdana" w:cs="Verdana"/>
          <w:szCs w:val="18"/>
        </w:rPr>
        <w:t>.</w:t>
      </w:r>
      <w:r w:rsidRPr="005E3B29">
        <w:rPr>
          <w:rFonts w:eastAsia="Verdana" w:cs="Verdana"/>
          <w:szCs w:val="18"/>
        </w:rPr>
        <w:t xml:space="preserve"> Op 1 september jl. is de Kamer tevens geïnformeerd over de voorlopige toepassing van het Verdrag vooruitlopend op het parlementaire goedkeuringsproces</w:t>
      </w:r>
      <w:r>
        <w:rPr>
          <w:rFonts w:eastAsia="Verdana" w:cs="Verdana"/>
          <w:szCs w:val="18"/>
        </w:rPr>
        <w:t>.</w:t>
      </w:r>
      <w:r>
        <w:rPr>
          <w:rStyle w:val="Voetnootmarkering"/>
          <w:rFonts w:eastAsia="Verdana" w:cs="Verdana"/>
          <w:szCs w:val="18"/>
        </w:rPr>
        <w:footnoteReference w:id="14"/>
      </w:r>
      <w:r w:rsidRPr="005E3B29">
        <w:rPr>
          <w:rFonts w:eastAsiaTheme="minorEastAsia"/>
          <w:szCs w:val="18"/>
        </w:rPr>
        <w:t xml:space="preserve"> Dit Verdrag ziet mede op het N05-A gasveld waarvan door de operator ONE-Dyas, samen met de omringende velden die men in dat gebied wil ontwikkelen, een totale winning van circa 50 miljard m³ aardgas wordt verwacht in de komende 20 jaar. De gaswinning in dit gebied draagt daarmee direct bij aan het doel van het kabinet om de gasleveringszekerheid voor West-Europa en </w:t>
      </w:r>
      <w:r w:rsidRPr="005E3B29" w:rsidR="001D7AC8">
        <w:rPr>
          <w:rFonts w:eastAsiaTheme="minorEastAsia"/>
          <w:szCs w:val="18"/>
        </w:rPr>
        <w:t xml:space="preserve">in het bijzonder </w:t>
      </w:r>
      <w:r w:rsidRPr="005E3B29">
        <w:rPr>
          <w:rFonts w:eastAsiaTheme="minorEastAsia"/>
          <w:szCs w:val="18"/>
        </w:rPr>
        <w:t>Nederland en Duitsland te borgen.</w:t>
      </w:r>
    </w:p>
    <w:p w:rsidR="001D0B97" w:rsidP="001D0B97" w:rsidRDefault="001D0B97" w14:paraId="53ABB167" w14:textId="77777777">
      <w:pPr>
        <w:rPr>
          <w:rFonts w:eastAsia="Verdana" w:cs="Verdana"/>
          <w:i/>
          <w:iCs/>
          <w:color w:val="000000" w:themeColor="text1"/>
          <w:szCs w:val="18"/>
        </w:rPr>
      </w:pPr>
    </w:p>
    <w:p w:rsidRPr="00836443" w:rsidR="00B17595" w:rsidP="001D0B97" w:rsidRDefault="00B17595" w14:paraId="0EBC887C" w14:textId="3322A89F">
      <w:pPr>
        <w:rPr>
          <w:rFonts w:eastAsia="Verdana" w:cs="Verdana"/>
          <w:i/>
          <w:iCs/>
          <w:color w:val="000000" w:themeColor="text1"/>
          <w:szCs w:val="18"/>
        </w:rPr>
      </w:pPr>
      <w:r>
        <w:rPr>
          <w:rFonts w:eastAsia="Verdana" w:cs="Verdana"/>
          <w:i/>
          <w:iCs/>
          <w:color w:val="000000" w:themeColor="text1"/>
          <w:szCs w:val="18"/>
        </w:rPr>
        <w:t>LNG-importcapaciteit</w:t>
      </w:r>
    </w:p>
    <w:p w:rsidR="00B17595" w:rsidP="001D0B97" w:rsidRDefault="056EF373" w14:paraId="71CCADD3" w14:textId="57901BB0">
      <w:pPr>
        <w:rPr>
          <w:rFonts w:eastAsia="Verdana" w:cs="Verdana"/>
          <w:color w:val="000000" w:themeColor="text1"/>
        </w:rPr>
      </w:pPr>
      <w:r w:rsidRPr="2EE548B6">
        <w:rPr>
          <w:rFonts w:eastAsia="Verdana" w:cs="Verdana"/>
          <w:color w:val="000000" w:themeColor="text1"/>
        </w:rPr>
        <w:t xml:space="preserve">Nederland is netto-importeur van gas. Voor dit kabinet blijft het faciliteren van een zo divers mogelijke import een belangrijke prioriteit. Een van de randvoorwaarden daarvoor is het faciliteren en op peil houden van voldoende LNG-importcapaciteit. </w:t>
      </w:r>
    </w:p>
    <w:p w:rsidR="00EE5A93" w:rsidP="001D0B97" w:rsidRDefault="00EE5A93" w14:paraId="42900959" w14:textId="77777777">
      <w:pPr>
        <w:rPr>
          <w:rFonts w:eastAsia="Verdana" w:cs="Verdana"/>
          <w:color w:val="000000" w:themeColor="text1"/>
        </w:rPr>
      </w:pPr>
    </w:p>
    <w:p w:rsidRPr="00324733" w:rsidR="00B17595" w:rsidP="001D0B97" w:rsidRDefault="00B17595" w14:paraId="54355B02" w14:textId="6D3A205B">
      <w:pPr>
        <w:rPr>
          <w:rFonts w:eastAsia="Verdana" w:cs="Verdana"/>
          <w:szCs w:val="18"/>
        </w:rPr>
      </w:pPr>
      <w:r>
        <w:rPr>
          <w:rFonts w:eastAsia="Verdana" w:cs="Verdana"/>
          <w:color w:val="000000" w:themeColor="text1"/>
          <w:szCs w:val="18"/>
        </w:rPr>
        <w:t xml:space="preserve">Zoals in eerdere brieven gemeld, wordt de </w:t>
      </w:r>
      <w:r w:rsidR="001915CF">
        <w:rPr>
          <w:rFonts w:eastAsia="Verdana" w:cs="Verdana"/>
          <w:color w:val="000000" w:themeColor="text1"/>
          <w:szCs w:val="18"/>
        </w:rPr>
        <w:t>door</w:t>
      </w:r>
      <w:r w:rsidR="006754AD">
        <w:rPr>
          <w:rFonts w:eastAsia="Verdana" w:cs="Verdana"/>
          <w:color w:val="000000" w:themeColor="text1"/>
          <w:szCs w:val="18"/>
        </w:rPr>
        <w:t xml:space="preserve">voercapaciteit </w:t>
      </w:r>
      <w:r w:rsidR="00F313E5">
        <w:rPr>
          <w:rFonts w:eastAsia="Verdana" w:cs="Verdana"/>
          <w:color w:val="000000" w:themeColor="text1"/>
          <w:szCs w:val="18"/>
        </w:rPr>
        <w:t xml:space="preserve">van de </w:t>
      </w:r>
      <w:r>
        <w:rPr>
          <w:rFonts w:eastAsia="Verdana" w:cs="Verdana"/>
          <w:color w:val="000000" w:themeColor="text1"/>
          <w:szCs w:val="18"/>
        </w:rPr>
        <w:t>grootste LNG-importterminal in Nederland, de Gate Terminal in Rotterdam, vanaf oktober 2026 uitgebreid van 16 naar 20 bcm per jaar. De werkzaamheden voor deze</w:t>
      </w:r>
      <w:r w:rsidRPr="00324733">
        <w:rPr>
          <w:rFonts w:eastAsia="Verdana" w:cs="Verdana"/>
          <w:color w:val="000000" w:themeColor="text1"/>
          <w:szCs w:val="18"/>
        </w:rPr>
        <w:t xml:space="preserve"> uitbreiding </w:t>
      </w:r>
      <w:r>
        <w:rPr>
          <w:rFonts w:eastAsia="Verdana" w:cs="Verdana"/>
          <w:color w:val="000000" w:themeColor="text1"/>
          <w:szCs w:val="18"/>
        </w:rPr>
        <w:t>verlopen</w:t>
      </w:r>
      <w:r w:rsidRPr="00324733">
        <w:rPr>
          <w:rFonts w:eastAsia="Verdana" w:cs="Verdana"/>
          <w:color w:val="000000" w:themeColor="text1"/>
          <w:szCs w:val="18"/>
        </w:rPr>
        <w:t xml:space="preserve"> volgens planning. In de tweede helft van 2026 moet de extra capaciteit van 4 bcm </w:t>
      </w:r>
      <w:r>
        <w:rPr>
          <w:rFonts w:eastAsia="Verdana" w:cs="Verdana"/>
          <w:color w:val="000000" w:themeColor="text1"/>
          <w:szCs w:val="18"/>
        </w:rPr>
        <w:t xml:space="preserve">per jaar </w:t>
      </w:r>
      <w:r w:rsidRPr="00324733">
        <w:rPr>
          <w:rFonts w:eastAsia="Verdana" w:cs="Verdana"/>
          <w:color w:val="000000" w:themeColor="text1"/>
          <w:szCs w:val="18"/>
        </w:rPr>
        <w:t>operationeel zijn.</w:t>
      </w:r>
      <w:r>
        <w:rPr>
          <w:rStyle w:val="Voetnootmarkering"/>
          <w:rFonts w:eastAsia="Verdana" w:cs="Verdana"/>
          <w:color w:val="000000" w:themeColor="text1"/>
          <w:szCs w:val="18"/>
        </w:rPr>
        <w:footnoteReference w:id="15"/>
      </w:r>
      <w:r>
        <w:rPr>
          <w:rFonts w:eastAsia="Verdana" w:cs="Verdana"/>
          <w:color w:val="000000" w:themeColor="text1"/>
          <w:szCs w:val="18"/>
        </w:rPr>
        <w:t xml:space="preserve"> Zoals ook eerder gemeld</w:t>
      </w:r>
      <w:r w:rsidR="00173938">
        <w:rPr>
          <w:rFonts w:eastAsia="Verdana" w:cs="Verdana"/>
          <w:color w:val="000000" w:themeColor="text1"/>
          <w:szCs w:val="18"/>
        </w:rPr>
        <w:t>,</w:t>
      </w:r>
      <w:r>
        <w:rPr>
          <w:rFonts w:eastAsia="Verdana" w:cs="Verdana"/>
          <w:color w:val="000000" w:themeColor="text1"/>
          <w:szCs w:val="18"/>
        </w:rPr>
        <w:t xml:space="preserve"> werkt EemsEnergyTerminal, de beheerder van de tijdelijke LNG-terminal in de Eemshaven, aan een tijdelijke verlenging van deze terminal vanaf oktober 2027. </w:t>
      </w:r>
    </w:p>
    <w:p w:rsidR="00173938" w:rsidP="00725A47" w:rsidRDefault="00B17595" w14:paraId="23A748B8" w14:textId="620F4D7E">
      <w:pPr>
        <w:rPr>
          <w:rFonts w:eastAsia="Verdana" w:cs="Verdana"/>
          <w:i/>
          <w:iCs/>
          <w:szCs w:val="18"/>
        </w:rPr>
      </w:pPr>
      <w:r>
        <w:rPr>
          <w:rFonts w:eastAsia="Verdana" w:cs="Verdana"/>
          <w:color w:val="000000" w:themeColor="text1"/>
          <w:szCs w:val="18"/>
        </w:rPr>
        <w:t>Ten slotte wordt ook gewerkt aan het</w:t>
      </w:r>
      <w:r w:rsidRPr="00836443">
        <w:rPr>
          <w:rFonts w:eastAsia="Verdana" w:cs="Verdana"/>
          <w:color w:val="000000" w:themeColor="text1"/>
          <w:szCs w:val="18"/>
        </w:rPr>
        <w:t xml:space="preserve"> initiatief van VTTI B.</w:t>
      </w:r>
      <w:r w:rsidRPr="28B65876">
        <w:rPr>
          <w:rFonts w:eastAsia="Verdana" w:cs="Verdana"/>
          <w:color w:val="000000" w:themeColor="text1"/>
          <w:szCs w:val="18"/>
        </w:rPr>
        <w:t>V</w:t>
      </w:r>
      <w:r w:rsidRPr="00836443">
        <w:rPr>
          <w:rFonts w:eastAsia="Verdana" w:cs="Verdana"/>
          <w:color w:val="000000" w:themeColor="text1"/>
          <w:szCs w:val="18"/>
        </w:rPr>
        <w:t xml:space="preserve">. en Höegh Evi </w:t>
      </w:r>
      <w:r>
        <w:rPr>
          <w:rFonts w:eastAsia="Verdana" w:cs="Verdana"/>
          <w:color w:val="000000" w:themeColor="text1"/>
          <w:szCs w:val="18"/>
        </w:rPr>
        <w:t>voor</w:t>
      </w:r>
      <w:r w:rsidRPr="00836443">
        <w:rPr>
          <w:rFonts w:eastAsia="Verdana" w:cs="Verdana"/>
          <w:color w:val="000000" w:themeColor="text1"/>
          <w:szCs w:val="18"/>
        </w:rPr>
        <w:t xml:space="preserve"> een mogelijke </w:t>
      </w:r>
      <w:r>
        <w:rPr>
          <w:rFonts w:eastAsia="Verdana" w:cs="Verdana"/>
          <w:color w:val="000000" w:themeColor="text1"/>
          <w:szCs w:val="18"/>
        </w:rPr>
        <w:t>LNG-</w:t>
      </w:r>
      <w:r w:rsidRPr="00836443">
        <w:rPr>
          <w:rFonts w:eastAsia="Verdana" w:cs="Verdana"/>
          <w:color w:val="000000" w:themeColor="text1"/>
          <w:szCs w:val="18"/>
        </w:rPr>
        <w:t xml:space="preserve">terminal in Zeeland, </w:t>
      </w:r>
      <w:r>
        <w:rPr>
          <w:rFonts w:eastAsia="Verdana" w:cs="Verdana"/>
          <w:color w:val="000000" w:themeColor="text1"/>
          <w:szCs w:val="18"/>
        </w:rPr>
        <w:t>de</w:t>
      </w:r>
      <w:r w:rsidRPr="00836443">
        <w:rPr>
          <w:rFonts w:eastAsia="Verdana" w:cs="Verdana"/>
          <w:color w:val="000000" w:themeColor="text1"/>
          <w:szCs w:val="18"/>
        </w:rPr>
        <w:t xml:space="preserve"> Zeeland Energy Terminal (ZET). Het </w:t>
      </w:r>
      <w:r>
        <w:rPr>
          <w:rFonts w:eastAsia="Verdana" w:cs="Verdana"/>
          <w:color w:val="000000" w:themeColor="text1"/>
          <w:szCs w:val="18"/>
        </w:rPr>
        <w:t>‘</w:t>
      </w:r>
      <w:r w:rsidRPr="00836443">
        <w:rPr>
          <w:rFonts w:eastAsia="Verdana" w:cs="Verdana"/>
          <w:color w:val="000000" w:themeColor="text1"/>
          <w:szCs w:val="18"/>
        </w:rPr>
        <w:t>Voornemen en voorstel voor Participatie</w:t>
      </w:r>
      <w:r>
        <w:rPr>
          <w:rFonts w:eastAsia="Verdana" w:cs="Verdana"/>
          <w:color w:val="000000" w:themeColor="text1"/>
          <w:szCs w:val="18"/>
        </w:rPr>
        <w:t>’</w:t>
      </w:r>
      <w:r w:rsidRPr="00836443">
        <w:rPr>
          <w:rStyle w:val="Voetnootmarkering"/>
          <w:rFonts w:eastAsia="Verdana" w:cs="Verdana"/>
          <w:color w:val="000000" w:themeColor="text1"/>
          <w:szCs w:val="18"/>
        </w:rPr>
        <w:t xml:space="preserve"> </w:t>
      </w:r>
      <w:r w:rsidRPr="00836443">
        <w:rPr>
          <w:rFonts w:eastAsia="Verdana" w:cs="Verdana"/>
          <w:color w:val="000000" w:themeColor="text1"/>
          <w:szCs w:val="18"/>
        </w:rPr>
        <w:t xml:space="preserve">(V&amp;P) is op 1 mei </w:t>
      </w:r>
      <w:r>
        <w:rPr>
          <w:rFonts w:eastAsia="Verdana" w:cs="Verdana"/>
          <w:color w:val="000000" w:themeColor="text1"/>
          <w:szCs w:val="18"/>
        </w:rPr>
        <w:t>2025</w:t>
      </w:r>
      <w:r w:rsidRPr="00836443">
        <w:rPr>
          <w:rFonts w:eastAsia="Verdana" w:cs="Verdana"/>
          <w:color w:val="000000" w:themeColor="text1"/>
          <w:szCs w:val="18"/>
        </w:rPr>
        <w:t xml:space="preserve"> gepubliceerd en ter inzage gelegd.</w:t>
      </w:r>
      <w:r w:rsidRPr="422FEE42">
        <w:rPr>
          <w:rStyle w:val="Voetnootmarkering"/>
          <w:rFonts w:eastAsia="Verdana" w:cs="Verdana"/>
          <w:color w:val="000000" w:themeColor="text1"/>
          <w:szCs w:val="18"/>
          <w:lang w:val="en-US"/>
        </w:rPr>
        <w:footnoteReference w:id="16"/>
      </w:r>
      <w:r w:rsidRPr="00836443">
        <w:rPr>
          <w:rFonts w:eastAsia="Verdana" w:cs="Verdana"/>
          <w:color w:val="000000" w:themeColor="text1"/>
          <w:szCs w:val="18"/>
        </w:rPr>
        <w:t xml:space="preserve"> Op dit moment worden alle ontvangen reacties verwerkt en meegenomen in de concept </w:t>
      </w:r>
      <w:r w:rsidRPr="00836443">
        <w:rPr>
          <w:rFonts w:eastAsia="Verdana" w:cs="Verdana"/>
          <w:szCs w:val="18"/>
        </w:rPr>
        <w:t xml:space="preserve">Notitie Reikwijdte en Detailniveau (concept-NRD). De concept-NRD zal naar verwachting eind dit jaar ter inzage </w:t>
      </w:r>
      <w:r>
        <w:rPr>
          <w:rFonts w:eastAsia="Verdana" w:cs="Verdana"/>
          <w:szCs w:val="18"/>
        </w:rPr>
        <w:t xml:space="preserve">worden gelegd. </w:t>
      </w:r>
    </w:p>
    <w:p w:rsidR="00B17595" w:rsidP="001D0B97" w:rsidRDefault="00B17595" w14:paraId="48D1D6A9" w14:textId="57138A23">
      <w:pPr>
        <w:rPr>
          <w:rFonts w:eastAsia="Verdana" w:cs="Verdana"/>
          <w:i/>
          <w:iCs/>
          <w:szCs w:val="18"/>
        </w:rPr>
      </w:pPr>
      <w:r w:rsidRPr="4985C36D">
        <w:rPr>
          <w:rFonts w:eastAsia="Verdana" w:cs="Verdana"/>
          <w:i/>
          <w:iCs/>
          <w:szCs w:val="18"/>
        </w:rPr>
        <w:lastRenderedPageBreak/>
        <w:t>Gasopslag</w:t>
      </w:r>
      <w:r w:rsidRPr="6C29F69D">
        <w:rPr>
          <w:rFonts w:eastAsia="Verdana" w:cs="Verdana"/>
          <w:i/>
          <w:iCs/>
          <w:szCs w:val="18"/>
        </w:rPr>
        <w:t xml:space="preserve"> </w:t>
      </w:r>
    </w:p>
    <w:p w:rsidR="0075382C" w:rsidP="001D0B97" w:rsidRDefault="0075382C" w14:paraId="5B68BF48" w14:textId="77777777">
      <w:pPr>
        <w:rPr>
          <w:rFonts w:eastAsia="Verdana" w:cs="Verdana"/>
          <w:szCs w:val="18"/>
          <w:u w:val="single"/>
        </w:rPr>
      </w:pPr>
    </w:p>
    <w:p w:rsidRPr="0082444C" w:rsidR="00B17595" w:rsidP="001D0B97" w:rsidRDefault="00B17595" w14:paraId="3524E098" w14:textId="20619A4A">
      <w:pPr>
        <w:rPr>
          <w:rFonts w:eastAsia="Verdana" w:cs="Verdana"/>
          <w:szCs w:val="18"/>
          <w:u w:val="single"/>
        </w:rPr>
      </w:pPr>
      <w:r w:rsidRPr="0082444C">
        <w:rPr>
          <w:rFonts w:eastAsia="Verdana" w:cs="Verdana"/>
          <w:szCs w:val="18"/>
          <w:u w:val="single"/>
        </w:rPr>
        <w:t>Nationaal vuldoel</w:t>
      </w:r>
      <w:r>
        <w:rPr>
          <w:rFonts w:eastAsia="Verdana" w:cs="Verdana"/>
          <w:szCs w:val="18"/>
          <w:u w:val="single"/>
        </w:rPr>
        <w:t xml:space="preserve"> en maatregelen</w:t>
      </w:r>
    </w:p>
    <w:p w:rsidR="00B17595" w:rsidP="001D0B97" w:rsidRDefault="056EF373" w14:paraId="5431CE82" w14:textId="4E26C378">
      <w:pPr>
        <w:rPr>
          <w:rFonts w:eastAsia="Verdana" w:cs="Verdana"/>
        </w:rPr>
      </w:pPr>
      <w:r w:rsidRPr="2EE548B6">
        <w:rPr>
          <w:rFonts w:eastAsia="Verdana" w:cs="Verdana"/>
        </w:rPr>
        <w:t xml:space="preserve">De afgelopen jaren heeft het kabinet steeds jaarlijks een vulambitie uitgesproken voor het vullen van de gasopslagen in Nederland voor de volgende winter. </w:t>
      </w:r>
      <w:r w:rsidR="00381BB2">
        <w:rPr>
          <w:rFonts w:eastAsia="Verdana" w:cs="Verdana"/>
        </w:rPr>
        <w:t>H</w:t>
      </w:r>
      <w:r w:rsidRPr="2EE548B6">
        <w:rPr>
          <w:rFonts w:eastAsia="Verdana" w:cs="Verdana"/>
        </w:rPr>
        <w:t xml:space="preserve">et kabinet </w:t>
      </w:r>
      <w:r w:rsidR="00381BB2">
        <w:rPr>
          <w:rFonts w:eastAsia="Verdana" w:cs="Verdana"/>
        </w:rPr>
        <w:t xml:space="preserve">volgt voor volgend jaar wederom </w:t>
      </w:r>
      <w:r w:rsidRPr="2EE548B6">
        <w:rPr>
          <w:rFonts w:eastAsia="Verdana" w:cs="Verdana"/>
        </w:rPr>
        <w:t>het advies van GTS</w:t>
      </w:r>
      <w:r w:rsidR="005C2A81">
        <w:rPr>
          <w:rFonts w:eastAsia="Verdana" w:cs="Verdana"/>
        </w:rPr>
        <w:t xml:space="preserve"> en de onderliggende analyse</w:t>
      </w:r>
      <w:r w:rsidRPr="2EE548B6">
        <w:rPr>
          <w:rFonts w:eastAsia="Verdana" w:cs="Verdana"/>
        </w:rPr>
        <w:t xml:space="preserve">. </w:t>
      </w:r>
      <w:r w:rsidR="009A619A">
        <w:rPr>
          <w:rFonts w:eastAsia="Verdana" w:cs="Verdana"/>
        </w:rPr>
        <w:t xml:space="preserve">Dit betekent </w:t>
      </w:r>
      <w:r w:rsidR="00E7152E">
        <w:rPr>
          <w:rFonts w:eastAsia="Verdana" w:cs="Verdana"/>
        </w:rPr>
        <w:t>een vuldoel van</w:t>
      </w:r>
      <w:r w:rsidR="004B329E">
        <w:rPr>
          <w:rFonts w:eastAsia="Verdana" w:cs="Verdana"/>
        </w:rPr>
        <w:t xml:space="preserve"> </w:t>
      </w:r>
      <w:r w:rsidR="00AF4B93">
        <w:rPr>
          <w:rFonts w:eastAsia="Verdana" w:cs="Verdana"/>
        </w:rPr>
        <w:t>115 TWh</w:t>
      </w:r>
      <w:r w:rsidR="00E7152E">
        <w:rPr>
          <w:rFonts w:eastAsia="Verdana" w:cs="Verdana"/>
        </w:rPr>
        <w:t xml:space="preserve"> op 1 november 2026</w:t>
      </w:r>
      <w:r w:rsidR="00AF4B93">
        <w:rPr>
          <w:rFonts w:eastAsia="Verdana" w:cs="Verdana"/>
        </w:rPr>
        <w:t xml:space="preserve"> </w:t>
      </w:r>
      <w:r w:rsidR="0052445E">
        <w:rPr>
          <w:rFonts w:eastAsia="Verdana" w:cs="Verdana"/>
        </w:rPr>
        <w:t>in de seizoensopslagen</w:t>
      </w:r>
      <w:r w:rsidR="009A619A">
        <w:rPr>
          <w:rFonts w:eastAsia="Verdana" w:cs="Verdana"/>
        </w:rPr>
        <w:t>.</w:t>
      </w:r>
      <w:r w:rsidR="000E76FB">
        <w:rPr>
          <w:rFonts w:eastAsia="Verdana" w:cs="Verdana"/>
        </w:rPr>
        <w:t xml:space="preserve"> </w:t>
      </w:r>
      <w:r w:rsidR="0075382C">
        <w:rPr>
          <w:rFonts w:eastAsia="Verdana" w:cs="Verdana"/>
        </w:rPr>
        <w:t>Daarmee ligt het vuldoel op nagenoeg hetzelfde niveau als dit jaar (110 TWh).</w:t>
      </w:r>
    </w:p>
    <w:p w:rsidR="00EE5A93" w:rsidP="001D0B97" w:rsidRDefault="00EE5A93" w14:paraId="4209E3B8" w14:textId="77777777">
      <w:pPr>
        <w:rPr>
          <w:rFonts w:eastAsia="Verdana" w:cs="Verdana"/>
        </w:rPr>
      </w:pPr>
    </w:p>
    <w:p w:rsidR="00B17595" w:rsidP="001D0B97" w:rsidRDefault="006D6B4D" w14:paraId="15CC36FB" w14:textId="3A03137C">
      <w:pPr>
        <w:rPr>
          <w:rFonts w:eastAsia="Verdana" w:cs="Verdana"/>
          <w:szCs w:val="18"/>
        </w:rPr>
      </w:pPr>
      <w:r>
        <w:rPr>
          <w:rFonts w:eastAsia="Verdana" w:cs="Verdana"/>
          <w:szCs w:val="18"/>
        </w:rPr>
        <w:t>H</w:t>
      </w:r>
      <w:r w:rsidR="00B17595">
        <w:rPr>
          <w:rFonts w:eastAsia="Verdana" w:cs="Verdana"/>
          <w:szCs w:val="18"/>
        </w:rPr>
        <w:t xml:space="preserve">et kabinet </w:t>
      </w:r>
      <w:r>
        <w:rPr>
          <w:rFonts w:eastAsia="Verdana" w:cs="Verdana"/>
          <w:szCs w:val="18"/>
        </w:rPr>
        <w:t xml:space="preserve">werkt </w:t>
      </w:r>
      <w:r w:rsidR="00B17595">
        <w:rPr>
          <w:rFonts w:eastAsia="Verdana" w:cs="Verdana"/>
          <w:szCs w:val="18"/>
        </w:rPr>
        <w:t xml:space="preserve">voortdurend, in een publiek-privaat samenspel met de relevante marktpartijen en stakeholders, aan </w:t>
      </w:r>
      <w:r>
        <w:rPr>
          <w:rFonts w:eastAsia="Verdana" w:cs="Verdana"/>
          <w:szCs w:val="18"/>
        </w:rPr>
        <w:t xml:space="preserve">het realiseren van het nationale vuldoel </w:t>
      </w:r>
      <w:r w:rsidR="0012748D">
        <w:rPr>
          <w:rFonts w:eastAsia="Verdana" w:cs="Verdana"/>
          <w:szCs w:val="18"/>
        </w:rPr>
        <w:t xml:space="preserve">middels </w:t>
      </w:r>
      <w:r w:rsidR="00B17595">
        <w:rPr>
          <w:rFonts w:eastAsia="Verdana" w:cs="Verdana"/>
          <w:szCs w:val="18"/>
        </w:rPr>
        <w:t xml:space="preserve">twee pijlers: </w:t>
      </w:r>
      <w:r w:rsidR="000A6ADB">
        <w:rPr>
          <w:rFonts w:eastAsia="Verdana" w:cs="Verdana"/>
          <w:szCs w:val="18"/>
        </w:rPr>
        <w:t>1</w:t>
      </w:r>
      <w:r w:rsidR="00B17595">
        <w:rPr>
          <w:rFonts w:eastAsia="Verdana" w:cs="Verdana"/>
          <w:szCs w:val="18"/>
        </w:rPr>
        <w:t>) ervoor zorgen dat er, zo lang als nodig is, voldoende gasop</w:t>
      </w:r>
      <w:r w:rsidR="00661DF0">
        <w:rPr>
          <w:rFonts w:eastAsia="Verdana" w:cs="Verdana"/>
          <w:szCs w:val="18"/>
        </w:rPr>
        <w:t>s</w:t>
      </w:r>
      <w:r w:rsidR="00B17595">
        <w:rPr>
          <w:rFonts w:eastAsia="Verdana" w:cs="Verdana"/>
          <w:szCs w:val="18"/>
        </w:rPr>
        <w:t>lagcapaciteit beschikbaar en toegankelijk blijft in de benodigde gaskwaliteit en functionaliteit (seizoensopslag, multi-cycle-opslag voor balancering van het net, opslag voor pieklevering en opslag voor een noodvoorraad)</w:t>
      </w:r>
      <w:r w:rsidR="000A6ADB">
        <w:rPr>
          <w:rFonts w:eastAsia="Verdana" w:cs="Verdana"/>
          <w:szCs w:val="18"/>
        </w:rPr>
        <w:t xml:space="preserve"> en 2) het vullen van de gasopslagen.</w:t>
      </w:r>
    </w:p>
    <w:p w:rsidR="00EE5A93" w:rsidP="001D0B97" w:rsidRDefault="00EE5A93" w14:paraId="67C19C9E" w14:textId="77777777">
      <w:pPr>
        <w:rPr>
          <w:rFonts w:eastAsia="Verdana" w:cs="Verdana"/>
          <w:szCs w:val="18"/>
        </w:rPr>
      </w:pPr>
    </w:p>
    <w:p w:rsidRPr="00661DF0" w:rsidR="00661DF0" w:rsidP="00661DF0" w:rsidRDefault="00B17595" w14:paraId="58C8956A" w14:textId="77777777">
      <w:pPr>
        <w:rPr>
          <w:rFonts w:eastAsia="Verdana" w:cs="Verdana"/>
          <w:i/>
          <w:iCs/>
          <w:szCs w:val="18"/>
        </w:rPr>
      </w:pPr>
      <w:r>
        <w:rPr>
          <w:rFonts w:eastAsia="Verdana" w:cs="Verdana"/>
          <w:szCs w:val="18"/>
        </w:rPr>
        <w:t>In de Kamerbrief van 14 juli jl. heeft het kabinet per individuele gasopslag toegelicht welke maatregelen en ontwikkelingen</w:t>
      </w:r>
      <w:r w:rsidR="00AF290F">
        <w:rPr>
          <w:rFonts w:eastAsia="Verdana" w:cs="Verdana"/>
          <w:szCs w:val="18"/>
        </w:rPr>
        <w:t xml:space="preserve"> </w:t>
      </w:r>
      <w:r>
        <w:rPr>
          <w:rFonts w:eastAsia="Verdana" w:cs="Verdana"/>
          <w:szCs w:val="18"/>
        </w:rPr>
        <w:t>op dit vlak lopen. Aanvullend heeft het kabinet op 16 september jl.</w:t>
      </w:r>
      <w:r w:rsidR="009678E6">
        <w:rPr>
          <w:rStyle w:val="Voetnootmarkering"/>
          <w:rFonts w:eastAsia="Verdana" w:cs="Verdana"/>
          <w:szCs w:val="18"/>
        </w:rPr>
        <w:footnoteReference w:id="17"/>
      </w:r>
      <w:r>
        <w:rPr>
          <w:rFonts w:eastAsia="Verdana" w:cs="Verdana"/>
          <w:szCs w:val="18"/>
        </w:rPr>
        <w:t xml:space="preserve"> </w:t>
      </w:r>
      <w:r w:rsidR="009E4C04">
        <w:rPr>
          <w:rFonts w:eastAsia="Verdana" w:cs="Verdana"/>
          <w:szCs w:val="18"/>
        </w:rPr>
        <w:t>de</w:t>
      </w:r>
      <w:r>
        <w:rPr>
          <w:rFonts w:eastAsia="Verdana" w:cs="Verdana"/>
          <w:szCs w:val="18"/>
        </w:rPr>
        <w:t xml:space="preserve"> Kamer nader geïnformeerd over de vultaak die EBN </w:t>
      </w:r>
      <w:r w:rsidR="001B1505">
        <w:rPr>
          <w:rFonts w:eastAsia="Verdana" w:cs="Verdana"/>
          <w:szCs w:val="18"/>
        </w:rPr>
        <w:t>voor</w:t>
      </w:r>
      <w:r>
        <w:rPr>
          <w:rFonts w:eastAsia="Verdana" w:cs="Verdana"/>
          <w:szCs w:val="18"/>
        </w:rPr>
        <w:t xml:space="preserve"> 2025-2026 en 2026-2027 heeft gekregen en welke middelen daarvoor beschikbaar zijn gemaakt</w:t>
      </w:r>
      <w:r w:rsidR="00D23F98">
        <w:rPr>
          <w:rFonts w:eastAsia="Verdana" w:cs="Verdana"/>
          <w:szCs w:val="18"/>
        </w:rPr>
        <w:t xml:space="preserve">. </w:t>
      </w:r>
      <w:r w:rsidR="003E1EA8">
        <w:rPr>
          <w:rFonts w:eastAsia="Verdana" w:cs="Verdana"/>
          <w:szCs w:val="18"/>
        </w:rPr>
        <w:t xml:space="preserve">Met deze middelen </w:t>
      </w:r>
      <w:r w:rsidR="00011AEB">
        <w:rPr>
          <w:rFonts w:eastAsia="Verdana" w:cs="Verdana"/>
          <w:szCs w:val="18"/>
        </w:rPr>
        <w:t>wordt EBN,</w:t>
      </w:r>
      <w:r w:rsidRPr="00011AEB" w:rsidR="00011AEB">
        <w:rPr>
          <w:rFonts w:eastAsia="Verdana" w:cs="Verdana"/>
          <w:szCs w:val="18"/>
        </w:rPr>
        <w:t xml:space="preserve"> indien nodig</w:t>
      </w:r>
      <w:r w:rsidR="00011AEB">
        <w:rPr>
          <w:rFonts w:eastAsia="Verdana" w:cs="Verdana"/>
          <w:szCs w:val="18"/>
        </w:rPr>
        <w:t>,</w:t>
      </w:r>
      <w:r w:rsidRPr="00011AEB" w:rsidR="00011AEB">
        <w:rPr>
          <w:rFonts w:eastAsia="Verdana" w:cs="Verdana"/>
          <w:szCs w:val="18"/>
        </w:rPr>
        <w:t xml:space="preserve"> ook in staat</w:t>
      </w:r>
      <w:r w:rsidR="00011AEB">
        <w:rPr>
          <w:rFonts w:eastAsia="Verdana" w:cs="Verdana"/>
          <w:szCs w:val="18"/>
        </w:rPr>
        <w:t xml:space="preserve"> </w:t>
      </w:r>
      <w:r w:rsidRPr="00011AEB" w:rsidR="00011AEB">
        <w:rPr>
          <w:rFonts w:eastAsia="Verdana" w:cs="Verdana"/>
          <w:szCs w:val="18"/>
        </w:rPr>
        <w:t>gesteld commerciële transacties te verrichten die leiden tot een hogere vulgraad van de gasopslagen Norg en Grijpskerk</w:t>
      </w:r>
      <w:r w:rsidR="005C7FD7">
        <w:rPr>
          <w:rFonts w:eastAsia="Verdana" w:cs="Verdana"/>
          <w:szCs w:val="18"/>
        </w:rPr>
        <w:t xml:space="preserve"> in 2025-2026</w:t>
      </w:r>
      <w:r w:rsidRPr="00011AEB" w:rsidR="00011AEB">
        <w:rPr>
          <w:rFonts w:eastAsia="Verdana" w:cs="Verdana"/>
          <w:szCs w:val="18"/>
        </w:rPr>
        <w:t>.</w:t>
      </w:r>
      <w:r>
        <w:rPr>
          <w:rFonts w:eastAsia="Verdana" w:cs="Verdana"/>
          <w:szCs w:val="18"/>
        </w:rPr>
        <w:t xml:space="preserve"> </w:t>
      </w:r>
      <w:r w:rsidRPr="00661DF0" w:rsidR="00321B35">
        <w:rPr>
          <w:rFonts w:eastAsia="Verdana" w:cs="Verdana"/>
          <w:szCs w:val="18"/>
        </w:rPr>
        <w:t xml:space="preserve">Voor het jaar 2026-2027 </w:t>
      </w:r>
      <w:r w:rsidRPr="00661DF0" w:rsidR="006E19EE">
        <w:rPr>
          <w:rFonts w:eastAsia="Verdana" w:cs="Verdana"/>
          <w:szCs w:val="18"/>
        </w:rPr>
        <w:t xml:space="preserve">is overleg met de aandeelhouders van NAM </w:t>
      </w:r>
      <w:r w:rsidRPr="00661DF0" w:rsidR="00321B35">
        <w:rPr>
          <w:rFonts w:eastAsia="Verdana" w:cs="Verdana"/>
          <w:szCs w:val="18"/>
        </w:rPr>
        <w:t xml:space="preserve">nog altijd gaande </w:t>
      </w:r>
      <w:r w:rsidRPr="00661DF0" w:rsidR="006E19EE">
        <w:rPr>
          <w:rFonts w:eastAsia="Verdana" w:cs="Verdana"/>
          <w:szCs w:val="18"/>
        </w:rPr>
        <w:t>om te komen tot afspraken over de toegang tot Norg en Grijpskerk</w:t>
      </w:r>
      <w:r w:rsidRPr="00661DF0" w:rsidR="00EA3C32">
        <w:rPr>
          <w:rFonts w:eastAsia="Verdana" w:cs="Verdana"/>
          <w:szCs w:val="18"/>
        </w:rPr>
        <w:t xml:space="preserve"> nu GasTerra </w:t>
      </w:r>
      <w:r w:rsidRPr="00661DF0" w:rsidR="007A0370">
        <w:rPr>
          <w:rFonts w:eastAsia="Verdana" w:cs="Verdana"/>
          <w:szCs w:val="18"/>
        </w:rPr>
        <w:t>haar operatione</w:t>
      </w:r>
      <w:r w:rsidRPr="00661DF0" w:rsidR="00BE532A">
        <w:rPr>
          <w:rFonts w:eastAsia="Verdana" w:cs="Verdana"/>
          <w:szCs w:val="18"/>
        </w:rPr>
        <w:t>le activiteiten per 1 oktober 2026 beëin</w:t>
      </w:r>
      <w:r w:rsidRPr="00661DF0" w:rsidR="00F6485D">
        <w:rPr>
          <w:rFonts w:eastAsia="Verdana" w:cs="Verdana"/>
          <w:szCs w:val="18"/>
        </w:rPr>
        <w:t>digt</w:t>
      </w:r>
      <w:r w:rsidRPr="00661DF0" w:rsidR="006E19EE">
        <w:rPr>
          <w:rFonts w:eastAsia="Verdana" w:cs="Verdana"/>
          <w:szCs w:val="18"/>
        </w:rPr>
        <w:t>.</w:t>
      </w:r>
      <w:r w:rsidR="006E19EE">
        <w:rPr>
          <w:rFonts w:eastAsia="Verdana" w:cs="Verdana"/>
          <w:szCs w:val="18"/>
        </w:rPr>
        <w:t xml:space="preserve"> </w:t>
      </w:r>
      <w:r w:rsidRPr="00725A47" w:rsidR="00661DF0">
        <w:rPr>
          <w:rFonts w:eastAsia="Verdana" w:cs="Verdana"/>
          <w:szCs w:val="18"/>
        </w:rPr>
        <w:t>Daarnaast wordt er gewerkt aan een ‘Regeling nadere invulling technische of economische noodzaak derdentoegang gasopslaginstallaties’ waarin wordt verduidelijkt wanneer onderhandelde derdentoegang van toepassing is. De verwachting is dat deze regeling op zeer korte termijn wordt vastgesteld en gepubliceerd in de Staatscourant. Dit helpt om marktpartijen in staat te stellen de gasopslagen te vullen en indien nodig EBN in staat te stellen haar vultaak, waar nodig, ook concreet uit te voeren.</w:t>
      </w:r>
    </w:p>
    <w:p w:rsidR="001D0B97" w:rsidP="001D0B97" w:rsidRDefault="001D0B97" w14:paraId="36BD559D" w14:textId="77777777">
      <w:pPr>
        <w:rPr>
          <w:rFonts w:eastAsia="Verdana" w:cs="Verdana"/>
          <w:szCs w:val="18"/>
          <w:u w:val="single"/>
        </w:rPr>
      </w:pPr>
    </w:p>
    <w:p w:rsidRPr="0082444C" w:rsidR="00B17595" w:rsidP="001D0B97" w:rsidRDefault="00B17595" w14:paraId="2358AED7" w14:textId="0721CCE0">
      <w:pPr>
        <w:rPr>
          <w:rFonts w:eastAsia="Verdana" w:cs="Verdana"/>
          <w:szCs w:val="18"/>
          <w:u w:val="single"/>
        </w:rPr>
      </w:pPr>
      <w:r w:rsidRPr="0082444C">
        <w:rPr>
          <w:rFonts w:eastAsia="Verdana" w:cs="Verdana"/>
          <w:szCs w:val="18"/>
          <w:u w:val="single"/>
        </w:rPr>
        <w:t>Europese vulverplichting</w:t>
      </w:r>
    </w:p>
    <w:p w:rsidRPr="00640FE5" w:rsidR="00B17595" w:rsidP="001D0B97" w:rsidRDefault="00B17595" w14:paraId="31DD1240" w14:textId="7FB359FA">
      <w:pPr>
        <w:rPr>
          <w:rFonts w:eastAsia="Verdana" w:cs="Verdana"/>
          <w:szCs w:val="18"/>
        </w:rPr>
      </w:pPr>
      <w:r w:rsidRPr="00A558B2">
        <w:rPr>
          <w:rFonts w:eastAsia="Verdana" w:cs="Verdana"/>
          <w:szCs w:val="18"/>
        </w:rPr>
        <w:t xml:space="preserve">Naast </w:t>
      </w:r>
      <w:r>
        <w:rPr>
          <w:rFonts w:eastAsia="Verdana" w:cs="Verdana"/>
          <w:szCs w:val="18"/>
        </w:rPr>
        <w:t xml:space="preserve">het nationale vuldoel voor de gasopslagen, gelden voor Nederland ook EU-vulverplichtingen op grond van de EU Verordening gasleveringszekerheid. Op 27 mei en 14 juli jl. heeft het kabinet </w:t>
      </w:r>
      <w:r w:rsidR="003D3B1A">
        <w:rPr>
          <w:rFonts w:eastAsia="Verdana" w:cs="Verdana"/>
          <w:szCs w:val="18"/>
        </w:rPr>
        <w:t xml:space="preserve">de Kamer </w:t>
      </w:r>
      <w:r>
        <w:rPr>
          <w:rFonts w:eastAsia="Verdana" w:cs="Verdana"/>
          <w:szCs w:val="18"/>
        </w:rPr>
        <w:t xml:space="preserve">geïnformeerd over de verlenging </w:t>
      </w:r>
      <w:r w:rsidR="00546AD3">
        <w:rPr>
          <w:rFonts w:eastAsia="Verdana" w:cs="Verdana"/>
          <w:szCs w:val="18"/>
        </w:rPr>
        <w:t xml:space="preserve">en </w:t>
      </w:r>
      <w:r>
        <w:rPr>
          <w:rFonts w:eastAsia="Verdana" w:cs="Verdana"/>
          <w:szCs w:val="18"/>
        </w:rPr>
        <w:t>wijziging van deze EU-vulverplichtingen.</w:t>
      </w:r>
      <w:r>
        <w:rPr>
          <w:rStyle w:val="Voetnootmarkering"/>
          <w:rFonts w:eastAsia="Verdana" w:cs="Verdana"/>
          <w:szCs w:val="18"/>
        </w:rPr>
        <w:footnoteReference w:id="18"/>
      </w:r>
      <w:r>
        <w:rPr>
          <w:rFonts w:eastAsia="Verdana" w:cs="Verdana"/>
          <w:szCs w:val="18"/>
        </w:rPr>
        <w:t xml:space="preserve"> Op 11 september jl. zijn de wijzigingen in werking getreden.</w:t>
      </w:r>
      <w:r>
        <w:rPr>
          <w:rStyle w:val="Voetnootmarkering"/>
          <w:rFonts w:eastAsia="Verdana" w:cs="Verdana"/>
          <w:color w:val="000000" w:themeColor="text1"/>
          <w:szCs w:val="18"/>
        </w:rPr>
        <w:footnoteReference w:id="19"/>
      </w:r>
      <w:r>
        <w:rPr>
          <w:rFonts w:eastAsia="Verdana" w:cs="Verdana"/>
          <w:szCs w:val="18"/>
        </w:rPr>
        <w:t xml:space="preserve"> Hiermee zijn de EU-vulverplichtingen tot eind 2027 verlengd, vooruitlopend op een algehele herziening van </w:t>
      </w:r>
      <w:r>
        <w:rPr>
          <w:rFonts w:eastAsia="Verdana" w:cs="Verdana"/>
          <w:color w:val="000000" w:themeColor="text1"/>
          <w:szCs w:val="18"/>
        </w:rPr>
        <w:t xml:space="preserve">EU-wetgevend kader voor de leveringszekerheid van gas en elektriciteit. Tegelijkertijd is er in deze bepalingen meer flexibiliteit ingebouwd, om het daadwerkelijk vullen en behalen van de doelen te vergemakkelijken. </w:t>
      </w:r>
    </w:p>
    <w:p w:rsidR="00BD7E69" w:rsidP="001D0B97" w:rsidRDefault="00BD7E69" w14:paraId="7F47A160" w14:textId="77777777">
      <w:pPr>
        <w:rPr>
          <w:rFonts w:eastAsia="Verdana" w:cs="Verdana"/>
          <w:szCs w:val="18"/>
        </w:rPr>
      </w:pPr>
    </w:p>
    <w:p w:rsidR="0075382C" w:rsidP="001D0B97" w:rsidRDefault="056EF373" w14:paraId="341D2553" w14:textId="77777777">
      <w:pPr>
        <w:rPr>
          <w:rFonts w:eastAsia="Verdana" w:cs="Verdana"/>
        </w:rPr>
      </w:pPr>
      <w:bookmarkStart w:name="_Hlk208863150" w:id="9"/>
      <w:r w:rsidRPr="2EE548B6">
        <w:rPr>
          <w:rFonts w:eastAsia="Verdana" w:cs="Verdana"/>
        </w:rPr>
        <w:t xml:space="preserve">Het vertrekpunt blijft dat alle lidstaten verplicht zijn een vuldoel te halen van 90%. Voor een aantal lidstaten met specifieke omstandigheden, waaronder </w:t>
      </w:r>
      <w:r w:rsidRPr="2EE548B6">
        <w:rPr>
          <w:rFonts w:eastAsia="Verdana" w:cs="Verdana"/>
        </w:rPr>
        <w:lastRenderedPageBreak/>
        <w:t xml:space="preserve">Nederland, geldt een </w:t>
      </w:r>
      <w:r w:rsidR="00FE7986">
        <w:rPr>
          <w:rFonts w:eastAsia="Verdana" w:cs="Verdana"/>
        </w:rPr>
        <w:t>correctie op dit doel</w:t>
      </w:r>
      <w:r w:rsidRPr="2EE548B6">
        <w:rPr>
          <w:rFonts w:eastAsia="Verdana" w:cs="Verdana"/>
        </w:rPr>
        <w:t>. Voor Nederland geldt</w:t>
      </w:r>
      <w:r w:rsidR="00690590">
        <w:rPr>
          <w:rFonts w:eastAsia="Verdana" w:cs="Verdana"/>
        </w:rPr>
        <w:t xml:space="preserve"> daarom</w:t>
      </w:r>
      <w:r w:rsidRPr="2EE548B6">
        <w:rPr>
          <w:rFonts w:eastAsia="Verdana" w:cs="Verdana"/>
        </w:rPr>
        <w:t xml:space="preserve">, net als in voorgaande jaren, een EU-vulverplichting van 74%. </w:t>
      </w:r>
      <w:r w:rsidR="00690590">
        <w:rPr>
          <w:rFonts w:eastAsia="Verdana" w:cs="Verdana"/>
        </w:rPr>
        <w:br/>
      </w:r>
    </w:p>
    <w:p w:rsidRPr="001D25D8" w:rsidR="00B17595" w:rsidP="001D0B97" w:rsidRDefault="00D0097E" w14:paraId="05365B94" w14:textId="306F2CF9">
      <w:pPr>
        <w:rPr>
          <w:rFonts w:eastAsia="Verdana" w:cs="Verdana"/>
        </w:rPr>
      </w:pPr>
      <w:r>
        <w:rPr>
          <w:rFonts w:eastAsia="Verdana" w:cs="Verdana"/>
        </w:rPr>
        <w:t>Vanaf d</w:t>
      </w:r>
      <w:r w:rsidR="00FE7986">
        <w:rPr>
          <w:rFonts w:eastAsia="Verdana" w:cs="Verdana"/>
        </w:rPr>
        <w:t>it jaar is flexibiliteit ingebouwd</w:t>
      </w:r>
      <w:r w:rsidR="00063785">
        <w:rPr>
          <w:rFonts w:eastAsia="Verdana" w:cs="Verdana"/>
        </w:rPr>
        <w:t xml:space="preserve"> ten aanzien van deze verplichting</w:t>
      </w:r>
      <w:r w:rsidR="00FE7986">
        <w:rPr>
          <w:rFonts w:eastAsia="Verdana" w:cs="Verdana"/>
        </w:rPr>
        <w:t xml:space="preserve">. </w:t>
      </w:r>
      <w:r w:rsidRPr="2EE548B6" w:rsidR="056EF373">
        <w:rPr>
          <w:rFonts w:eastAsia="Verdana" w:cs="Verdana"/>
        </w:rPr>
        <w:t xml:space="preserve">Ten eerste hoeft het vuldoel niet meer op 1 november behaald te worden maar in de periode tussen 1 oktober </w:t>
      </w:r>
      <w:r w:rsidR="003D3B1A">
        <w:rPr>
          <w:rFonts w:eastAsia="Verdana" w:cs="Verdana"/>
        </w:rPr>
        <w:t>en</w:t>
      </w:r>
      <w:r w:rsidRPr="2EE548B6" w:rsidR="003D3B1A">
        <w:rPr>
          <w:rFonts w:eastAsia="Verdana" w:cs="Verdana"/>
        </w:rPr>
        <w:t xml:space="preserve"> </w:t>
      </w:r>
      <w:r w:rsidRPr="2EE548B6" w:rsidR="056EF373">
        <w:rPr>
          <w:rFonts w:eastAsia="Verdana" w:cs="Verdana"/>
        </w:rPr>
        <w:t>1 december. Ten tweede mogen l</w:t>
      </w:r>
      <w:r w:rsidRPr="2EE548B6" w:rsidR="056EF373">
        <w:rPr>
          <w:rFonts w:eastAsia="Verdana" w:cs="Verdana"/>
          <w:color w:val="000000" w:themeColor="text1"/>
        </w:rPr>
        <w:t>idstaten 10%-punt afwijken van de te behalen vuldoelstelling</w:t>
      </w:r>
      <w:r w:rsidR="056EF373">
        <w:t xml:space="preserve"> </w:t>
      </w:r>
      <w:r w:rsidRPr="2EE548B6" w:rsidR="056EF373">
        <w:rPr>
          <w:rFonts w:eastAsia="Verdana" w:cs="Verdana"/>
          <w:color w:val="000000" w:themeColor="text1"/>
        </w:rPr>
        <w:t xml:space="preserve">indien er sprake is van moeilijke omstandigheden die het vermogen beperken om ondergrondse gasopslaginstallaties overeenkomstig de verordening te vullen. De Commissie krijgt de bevoegdheid om dit afwijkingsniveau met maximaal 5%-punt te verhogen in geval van aanhoudende ongunstige marktomstandigheden en op voorwaarde dat de leveringszekerheid van de Unie en de lidstaten niet wordt ondermijnd. Lidstaten mogen naast de flexibiliteit die wordt geboden rondom moeilijke marktomstandigheden, nogmaals 5%-punt afwijken van de te behalen vuldoelstelling indien (a) de nationale gasproductie hoger is dan hun gemiddelde jaarlijks gasverbruik in de voorgaande twee jaar; of (b) specifieke technische kenmerken van een individuele ondergrondse opslaginstallatie </w:t>
      </w:r>
      <w:r w:rsidR="00E0051D">
        <w:rPr>
          <w:rFonts w:eastAsia="Verdana" w:cs="Verdana"/>
          <w:color w:val="000000" w:themeColor="text1"/>
        </w:rPr>
        <w:t xml:space="preserve">tot </w:t>
      </w:r>
      <w:r w:rsidRPr="2EE548B6" w:rsidR="056EF373">
        <w:rPr>
          <w:rFonts w:eastAsia="Verdana" w:cs="Verdana"/>
          <w:color w:val="000000" w:themeColor="text1"/>
        </w:rPr>
        <w:t xml:space="preserve">een uitzonderlijk lange injectieperiode </w:t>
      </w:r>
      <w:r w:rsidR="00E0051D">
        <w:rPr>
          <w:rFonts w:eastAsia="Verdana" w:cs="Verdana"/>
          <w:color w:val="000000" w:themeColor="text1"/>
        </w:rPr>
        <w:t>leiden</w:t>
      </w:r>
      <w:r w:rsidRPr="2EE548B6" w:rsidR="056EF373">
        <w:rPr>
          <w:rFonts w:eastAsia="Verdana" w:cs="Verdana"/>
          <w:color w:val="000000" w:themeColor="text1"/>
        </w:rPr>
        <w:t xml:space="preserve">. </w:t>
      </w:r>
    </w:p>
    <w:p w:rsidR="00B17595" w:rsidP="001D0B97" w:rsidRDefault="00B17595" w14:paraId="1163EBF9" w14:textId="77777777">
      <w:pPr>
        <w:rPr>
          <w:rFonts w:eastAsia="Verdana" w:cs="Verdana"/>
          <w:szCs w:val="18"/>
        </w:rPr>
      </w:pPr>
    </w:p>
    <w:bookmarkEnd w:id="9"/>
    <w:p w:rsidRPr="00B72EC0" w:rsidR="00B17595" w:rsidP="001D0B97" w:rsidRDefault="00B17595" w14:paraId="2C3E5FCA" w14:textId="24C7850A">
      <w:pPr>
        <w:rPr>
          <w:rFonts w:eastAsia="Verdana" w:cs="Verdana"/>
          <w:szCs w:val="18"/>
        </w:rPr>
      </w:pPr>
      <w:r>
        <w:rPr>
          <w:rFonts w:eastAsia="Verdana" w:cs="Verdana"/>
          <w:szCs w:val="18"/>
        </w:rPr>
        <w:t xml:space="preserve">Verder geldt dat de Commissie niet langer een uitvoeringshandeling vaststelt met tussentijdse vuldoelen per lidstaat. Lidstaten moeten de Commissie nog </w:t>
      </w:r>
      <w:r w:rsidR="00D75D06">
        <w:rPr>
          <w:rFonts w:eastAsia="Verdana" w:cs="Verdana"/>
          <w:szCs w:val="18"/>
        </w:rPr>
        <w:t xml:space="preserve">wel </w:t>
      </w:r>
      <w:r>
        <w:rPr>
          <w:rFonts w:eastAsia="Verdana" w:cs="Verdana"/>
          <w:szCs w:val="18"/>
        </w:rPr>
        <w:t>jaarlijks op 15 september informeren over</w:t>
      </w:r>
      <w:r w:rsidRPr="001A3694">
        <w:rPr>
          <w:rFonts w:eastAsia="Verdana" w:cs="Verdana"/>
          <w:color w:val="000000" w:themeColor="text1"/>
          <w:szCs w:val="18"/>
        </w:rPr>
        <w:t xml:space="preserve"> </w:t>
      </w:r>
      <w:r>
        <w:rPr>
          <w:rFonts w:eastAsia="Verdana" w:cs="Verdana"/>
          <w:color w:val="000000" w:themeColor="text1"/>
          <w:szCs w:val="18"/>
        </w:rPr>
        <w:t>hoe het vultraject voor de op hun grondgebied aanwezige ondergrondse opslagcapaciteit er voor het komend</w:t>
      </w:r>
      <w:r w:rsidR="003D3B1A">
        <w:rPr>
          <w:rFonts w:eastAsia="Verdana" w:cs="Verdana"/>
          <w:color w:val="000000" w:themeColor="text1"/>
          <w:szCs w:val="18"/>
        </w:rPr>
        <w:t>e</w:t>
      </w:r>
      <w:r>
        <w:rPr>
          <w:rFonts w:eastAsia="Verdana" w:cs="Verdana"/>
          <w:color w:val="000000" w:themeColor="text1"/>
          <w:szCs w:val="18"/>
        </w:rPr>
        <w:t xml:space="preserve"> jaar uitziet, maar de tussentijdse doelen die de Commissie op basis hiervan formuleert, zijn vanaf nu indicatief en worden niet openbaar gemaakt.</w:t>
      </w:r>
      <w:bookmarkStart w:name="OLE_LINK7" w:id="10"/>
      <w:r w:rsidR="00B72EC0">
        <w:rPr>
          <w:rFonts w:eastAsia="Verdana" w:cs="Verdana"/>
          <w:color w:val="000000" w:themeColor="text1"/>
          <w:szCs w:val="18"/>
        </w:rPr>
        <w:t xml:space="preserve"> </w:t>
      </w:r>
      <w:r>
        <w:rPr>
          <w:rFonts w:eastAsia="Verdana" w:cs="Verdana"/>
          <w:color w:val="000000" w:themeColor="text1"/>
          <w:szCs w:val="18"/>
        </w:rPr>
        <w:t xml:space="preserve">Deze aanpassingen zijn vooral ingegeven door de wens om het handelen van (markt)partijen die de opslagen vullen minder voorspelbaar te maken en zo minder gevoelig te maken voor speculatie. </w:t>
      </w:r>
    </w:p>
    <w:bookmarkEnd w:id="10"/>
    <w:p w:rsidR="00B17595" w:rsidP="001D0B97" w:rsidRDefault="00B17595" w14:paraId="6FED8140" w14:textId="77777777">
      <w:pPr>
        <w:rPr>
          <w:rFonts w:eastAsia="Verdana" w:cs="Verdana"/>
          <w:i/>
          <w:color w:val="000000" w:themeColor="text1"/>
          <w:szCs w:val="18"/>
        </w:rPr>
      </w:pPr>
    </w:p>
    <w:p w:rsidRPr="005E3B29" w:rsidR="00B17595" w:rsidP="001D0B97" w:rsidRDefault="00B17595" w14:paraId="05846F49" w14:textId="73295C4C">
      <w:pPr>
        <w:rPr>
          <w:rFonts w:eastAsia="Verdana" w:cs="Verdana"/>
          <w:color w:val="000000" w:themeColor="text1"/>
          <w:szCs w:val="18"/>
        </w:rPr>
      </w:pPr>
      <w:r w:rsidRPr="00836443">
        <w:rPr>
          <w:rFonts w:eastAsia="Verdana" w:cs="Verdana"/>
          <w:i/>
          <w:iCs/>
          <w:color w:val="000000" w:themeColor="text1"/>
          <w:szCs w:val="18"/>
        </w:rPr>
        <w:t xml:space="preserve">Update </w:t>
      </w:r>
      <w:r w:rsidR="00A21D9F">
        <w:rPr>
          <w:rFonts w:eastAsia="Verdana" w:cs="Verdana"/>
          <w:i/>
          <w:iCs/>
          <w:color w:val="000000" w:themeColor="text1"/>
          <w:szCs w:val="18"/>
        </w:rPr>
        <w:t>voorstel voor de Wet</w:t>
      </w:r>
      <w:r w:rsidRPr="00836443">
        <w:rPr>
          <w:rFonts w:eastAsia="Verdana" w:cs="Verdana"/>
          <w:i/>
          <w:iCs/>
          <w:color w:val="000000" w:themeColor="text1"/>
          <w:szCs w:val="18"/>
        </w:rPr>
        <w:t xml:space="preserve"> bestrijden energieleveringscrisis</w:t>
      </w:r>
      <w:r w:rsidRPr="00836443">
        <w:rPr>
          <w:rFonts w:eastAsia="Verdana" w:cs="Verdana"/>
          <w:color w:val="000000" w:themeColor="text1"/>
          <w:szCs w:val="18"/>
        </w:rPr>
        <w:t>       </w:t>
      </w:r>
    </w:p>
    <w:p w:rsidRPr="00836443" w:rsidR="00B17595" w:rsidP="001D0B97" w:rsidRDefault="00746CB2" w14:paraId="44AE00E3" w14:textId="2538EBB3">
      <w:pPr>
        <w:rPr>
          <w:rFonts w:eastAsia="Verdana" w:cs="Verdana"/>
          <w:color w:val="000000" w:themeColor="text1"/>
        </w:rPr>
      </w:pPr>
      <w:r w:rsidRPr="00746CB2">
        <w:rPr>
          <w:rFonts w:eastAsia="Verdana" w:cs="Verdana"/>
          <w:color w:val="000000" w:themeColor="text1"/>
        </w:rPr>
        <w:t>Met het voorstel voor de Wet bestrijden energieleveringscrisis (</w:t>
      </w:r>
      <w:r w:rsidR="008F66B9">
        <w:rPr>
          <w:rFonts w:eastAsia="Verdana" w:cs="Verdana"/>
          <w:color w:val="000000" w:themeColor="text1"/>
        </w:rPr>
        <w:t>W</w:t>
      </w:r>
      <w:r w:rsidRPr="00746CB2">
        <w:rPr>
          <w:rFonts w:eastAsia="Verdana" w:cs="Verdana"/>
          <w:color w:val="000000" w:themeColor="text1"/>
        </w:rPr>
        <w:t>be) wil het kabinet de weerbaarheid van het gassysteem verbeteren en een duidelijk kader opstellen op welke manier de overheid kan ingrijpen als dat nodig is.</w:t>
      </w:r>
      <w:r>
        <w:rPr>
          <w:rFonts w:eastAsia="Verdana" w:cs="Verdana"/>
          <w:color w:val="000000" w:themeColor="text1"/>
        </w:rPr>
        <w:t xml:space="preserve"> </w:t>
      </w:r>
      <w:r w:rsidRPr="2EE548B6" w:rsidR="056EF373">
        <w:rPr>
          <w:rFonts w:eastAsia="Verdana" w:cs="Verdana"/>
          <w:color w:val="000000" w:themeColor="text1"/>
        </w:rPr>
        <w:t>Momenteel bevindt het voorstel voor de Wet bestrijden energieleveringscrisis zich in de toetsingsfase.</w:t>
      </w:r>
      <w:r w:rsidRPr="0075382C" w:rsidR="0075382C">
        <w:rPr>
          <w:rFonts w:cs="Aptos" w:eastAsiaTheme="minorHAnsi"/>
          <w:szCs w:val="18"/>
          <w:lang w:eastAsia="en-US"/>
          <w14:ligatures w14:val="standardContextual"/>
        </w:rPr>
        <w:t xml:space="preserve"> </w:t>
      </w:r>
      <w:r w:rsidRPr="0075382C" w:rsidR="0075382C">
        <w:rPr>
          <w:rFonts w:eastAsia="Verdana" w:cs="Verdana"/>
          <w:color w:val="000000" w:themeColor="text1"/>
        </w:rPr>
        <w:t xml:space="preserve">Dit betekent dat verschillende instanties het wetsvoorstel moeten toetsen, onder andere met het oog op het beoordelen van de kwaliteit van het wetsvoorstel, de uitvoerbaarheid, </w:t>
      </w:r>
      <w:r w:rsidR="0075382C">
        <w:rPr>
          <w:rFonts w:eastAsia="Verdana" w:cs="Verdana"/>
          <w:color w:val="000000" w:themeColor="text1"/>
        </w:rPr>
        <w:t xml:space="preserve">de </w:t>
      </w:r>
      <w:r w:rsidRPr="0075382C" w:rsidR="0075382C">
        <w:rPr>
          <w:rFonts w:eastAsia="Verdana" w:cs="Verdana"/>
          <w:color w:val="000000" w:themeColor="text1"/>
        </w:rPr>
        <w:t>handhaafbaarheid en de impact daarvan op de samenleving en de overheid.</w:t>
      </w:r>
      <w:r w:rsidR="0075382C">
        <w:rPr>
          <w:rFonts w:eastAsia="Verdana" w:cs="Verdana"/>
          <w:color w:val="000000" w:themeColor="text1"/>
        </w:rPr>
        <w:t xml:space="preserve"> </w:t>
      </w:r>
      <w:r w:rsidR="00012365">
        <w:rPr>
          <w:rFonts w:eastAsia="Verdana" w:cs="Verdana"/>
          <w:color w:val="000000" w:themeColor="text1"/>
        </w:rPr>
        <w:t>Zo heeft de</w:t>
      </w:r>
      <w:r w:rsidR="00B64E94">
        <w:rPr>
          <w:rFonts w:eastAsia="Verdana" w:cs="Verdana"/>
          <w:color w:val="000000" w:themeColor="text1"/>
        </w:rPr>
        <w:t xml:space="preserve"> ACM</w:t>
      </w:r>
      <w:r w:rsidR="001127E2">
        <w:rPr>
          <w:rFonts w:eastAsia="Verdana" w:cs="Verdana"/>
          <w:color w:val="000000" w:themeColor="text1"/>
        </w:rPr>
        <w:t xml:space="preserve"> haar </w:t>
      </w:r>
      <w:r w:rsidRPr="004E6A56" w:rsidR="004E6A56">
        <w:rPr>
          <w:rFonts w:eastAsia="Verdana" w:cs="Verdana"/>
          <w:color w:val="000000" w:themeColor="text1"/>
        </w:rPr>
        <w:t>uitvoerbaarheids- en handhaafbaarheidstoets</w:t>
      </w:r>
      <w:r w:rsidR="00B64E94">
        <w:rPr>
          <w:rFonts w:eastAsia="Verdana" w:cs="Verdana"/>
          <w:color w:val="000000" w:themeColor="text1"/>
        </w:rPr>
        <w:t xml:space="preserve"> vastgesteld</w:t>
      </w:r>
      <w:r w:rsidR="00012365">
        <w:rPr>
          <w:rFonts w:eastAsia="Verdana" w:cs="Verdana"/>
          <w:color w:val="000000" w:themeColor="text1"/>
        </w:rPr>
        <w:t xml:space="preserve"> op 26 augustus 2025. H</w:t>
      </w:r>
      <w:r w:rsidR="00B64E94">
        <w:rPr>
          <w:rFonts w:eastAsia="Verdana" w:cs="Verdana"/>
          <w:color w:val="000000" w:themeColor="text1"/>
        </w:rPr>
        <w:t xml:space="preserve">et kabinet onderzoekt hoe de aandachtspunten </w:t>
      </w:r>
      <w:r w:rsidR="001127E2">
        <w:rPr>
          <w:rFonts w:eastAsia="Verdana" w:cs="Verdana"/>
          <w:color w:val="000000" w:themeColor="text1"/>
        </w:rPr>
        <w:t xml:space="preserve">die </w:t>
      </w:r>
      <w:r w:rsidR="00262A27">
        <w:rPr>
          <w:rFonts w:eastAsia="Verdana" w:cs="Verdana"/>
          <w:color w:val="000000" w:themeColor="text1"/>
        </w:rPr>
        <w:t xml:space="preserve">de </w:t>
      </w:r>
      <w:r w:rsidR="0075382C">
        <w:rPr>
          <w:rFonts w:eastAsia="Verdana" w:cs="Verdana"/>
          <w:color w:val="000000" w:themeColor="text1"/>
        </w:rPr>
        <w:t>toetsingsinstanties aankaarten</w:t>
      </w:r>
      <w:r w:rsidR="001127E2">
        <w:rPr>
          <w:rFonts w:eastAsia="Verdana" w:cs="Verdana"/>
          <w:color w:val="000000" w:themeColor="text1"/>
        </w:rPr>
        <w:t xml:space="preserve"> </w:t>
      </w:r>
      <w:r w:rsidR="00B64E94">
        <w:rPr>
          <w:rFonts w:eastAsia="Verdana" w:cs="Verdana"/>
          <w:color w:val="000000" w:themeColor="text1"/>
        </w:rPr>
        <w:t>ku</w:t>
      </w:r>
      <w:r w:rsidR="002A14B8">
        <w:rPr>
          <w:rFonts w:eastAsia="Verdana" w:cs="Verdana"/>
          <w:color w:val="000000" w:themeColor="text1"/>
        </w:rPr>
        <w:t xml:space="preserve">nnen worden verwerkt in het wetsvoorstel. </w:t>
      </w:r>
      <w:r w:rsidRPr="2EE548B6" w:rsidR="056EF373">
        <w:rPr>
          <w:rFonts w:eastAsia="Verdana" w:cs="Verdana"/>
          <w:color w:val="000000" w:themeColor="text1"/>
        </w:rPr>
        <w:t xml:space="preserve">Het kabinet verwacht begin 2026 het voorstel ter advisering voor te leggen aan de Afdeling advisering van de Raad van State. </w:t>
      </w:r>
    </w:p>
    <w:p w:rsidR="00BD7E69" w:rsidP="001D0B97" w:rsidRDefault="00BD7E69" w14:paraId="20ADE752" w14:textId="77777777">
      <w:pPr>
        <w:rPr>
          <w:rFonts w:eastAsia="Verdana" w:cs="Verdana"/>
          <w:i/>
          <w:iCs/>
          <w:color w:val="000000" w:themeColor="text1"/>
          <w:szCs w:val="18"/>
        </w:rPr>
      </w:pPr>
    </w:p>
    <w:p w:rsidRPr="000A6ADB" w:rsidR="000A6ADB" w:rsidP="001D0B97" w:rsidRDefault="000A6ADB" w14:paraId="6461B1C2" w14:textId="207FF165">
      <w:pPr>
        <w:rPr>
          <w:rFonts w:eastAsia="Verdana" w:cs="Verdana"/>
          <w:b/>
          <w:bCs/>
          <w:color w:val="000000" w:themeColor="text1"/>
          <w:szCs w:val="18"/>
        </w:rPr>
      </w:pPr>
      <w:r>
        <w:rPr>
          <w:rFonts w:eastAsia="Verdana" w:cs="Verdana"/>
          <w:b/>
          <w:bCs/>
          <w:color w:val="000000" w:themeColor="text1"/>
          <w:szCs w:val="18"/>
        </w:rPr>
        <w:t>Relevante EU-ontwikkelingen</w:t>
      </w:r>
    </w:p>
    <w:p w:rsidR="00690590" w:rsidP="001D0B97" w:rsidRDefault="00690590" w14:paraId="73B69D0C" w14:textId="77777777">
      <w:pPr>
        <w:rPr>
          <w:rFonts w:eastAsia="Verdana" w:cs="Verdana"/>
          <w:i/>
          <w:iCs/>
          <w:color w:val="000000" w:themeColor="text1"/>
          <w:szCs w:val="18"/>
        </w:rPr>
      </w:pPr>
    </w:p>
    <w:p w:rsidR="00B17595" w:rsidP="001D0B97" w:rsidRDefault="00B17595" w14:paraId="6264D53C" w14:textId="17069CB6">
      <w:pPr>
        <w:rPr>
          <w:rFonts w:eastAsia="Verdana" w:cs="Verdana"/>
          <w:i/>
          <w:iCs/>
          <w:color w:val="000000" w:themeColor="text1"/>
          <w:szCs w:val="18"/>
        </w:rPr>
      </w:pPr>
      <w:r w:rsidRPr="47692F54">
        <w:rPr>
          <w:rFonts w:eastAsia="Verdana" w:cs="Verdana"/>
          <w:i/>
          <w:iCs/>
          <w:color w:val="000000" w:themeColor="text1"/>
          <w:szCs w:val="18"/>
        </w:rPr>
        <w:t>RePowerE</w:t>
      </w:r>
      <w:r>
        <w:rPr>
          <w:rFonts w:eastAsia="Verdana" w:cs="Verdana"/>
          <w:i/>
          <w:iCs/>
          <w:color w:val="000000" w:themeColor="text1"/>
          <w:szCs w:val="18"/>
        </w:rPr>
        <w:t>U</w:t>
      </w:r>
    </w:p>
    <w:p w:rsidR="00B17595" w:rsidP="001D0B97" w:rsidRDefault="00B17595" w14:paraId="515557A8" w14:textId="4D2EFF87">
      <w:pPr>
        <w:rPr>
          <w:rFonts w:eastAsia="Verdana" w:cs="Verdana"/>
          <w:color w:val="000000" w:themeColor="text1"/>
          <w:szCs w:val="18"/>
        </w:rPr>
      </w:pPr>
      <w:r w:rsidRPr="0B070F45">
        <w:rPr>
          <w:rFonts w:eastAsia="Verdana" w:cs="Verdana"/>
          <w:color w:val="000000" w:themeColor="text1"/>
          <w:szCs w:val="18"/>
        </w:rPr>
        <w:t xml:space="preserve">Op 11 juli 2025 </w:t>
      </w:r>
      <w:r>
        <w:rPr>
          <w:rFonts w:eastAsia="Verdana" w:cs="Verdana"/>
          <w:color w:val="000000" w:themeColor="text1"/>
          <w:szCs w:val="18"/>
        </w:rPr>
        <w:t xml:space="preserve">heeft het Kabinet </w:t>
      </w:r>
      <w:r w:rsidR="003D3B1A">
        <w:rPr>
          <w:rFonts w:eastAsia="Verdana" w:cs="Verdana"/>
          <w:color w:val="000000" w:themeColor="text1"/>
          <w:szCs w:val="18"/>
        </w:rPr>
        <w:t>de Kamer</w:t>
      </w:r>
      <w:r w:rsidRPr="0B070F45" w:rsidR="003D3B1A">
        <w:rPr>
          <w:rFonts w:eastAsia="Verdana" w:cs="Verdana"/>
          <w:color w:val="000000" w:themeColor="text1"/>
          <w:szCs w:val="18"/>
        </w:rPr>
        <w:t xml:space="preserve"> </w:t>
      </w:r>
      <w:r w:rsidRPr="0B070F45">
        <w:rPr>
          <w:rFonts w:eastAsia="Verdana" w:cs="Verdana"/>
          <w:color w:val="000000" w:themeColor="text1"/>
          <w:szCs w:val="18"/>
        </w:rPr>
        <w:t xml:space="preserve">geïnformeerd over het standpunt van het Nederlandse kabinet ten aanzien van het wetgevingsvoorstel </w:t>
      </w:r>
      <w:r>
        <w:rPr>
          <w:rFonts w:eastAsia="Verdana" w:cs="Verdana"/>
          <w:color w:val="000000" w:themeColor="text1"/>
          <w:szCs w:val="18"/>
        </w:rPr>
        <w:t xml:space="preserve">van de Europese Commissie voor een Verordening </w:t>
      </w:r>
      <w:r w:rsidRPr="0B070F45">
        <w:rPr>
          <w:rFonts w:eastAsia="Verdana" w:cs="Verdana"/>
          <w:color w:val="000000" w:themeColor="text1"/>
          <w:szCs w:val="18"/>
        </w:rPr>
        <w:t>ter beëindiging van de invoer van Russisch gas en olie tegen eind 2027.</w:t>
      </w:r>
      <w:r>
        <w:rPr>
          <w:rStyle w:val="Voetnootmarkering"/>
          <w:rFonts w:eastAsia="Verdana" w:cs="Verdana"/>
          <w:color w:val="000000" w:themeColor="text1"/>
          <w:szCs w:val="18"/>
        </w:rPr>
        <w:footnoteReference w:id="20"/>
      </w:r>
      <w:r w:rsidRPr="0B070F45">
        <w:rPr>
          <w:rFonts w:eastAsia="Verdana" w:cs="Verdana"/>
          <w:color w:val="000000" w:themeColor="text1"/>
          <w:szCs w:val="18"/>
        </w:rPr>
        <w:t xml:space="preserve"> </w:t>
      </w:r>
      <w:r w:rsidR="005D6319">
        <w:rPr>
          <w:rFonts w:eastAsia="Verdana" w:cs="Verdana"/>
          <w:color w:val="000000" w:themeColor="text1"/>
          <w:szCs w:val="18"/>
        </w:rPr>
        <w:t xml:space="preserve">Nederland steunt dit voorstel. </w:t>
      </w:r>
      <w:r>
        <w:rPr>
          <w:rFonts w:eastAsia="Verdana" w:cs="Verdana"/>
          <w:color w:val="000000" w:themeColor="text1"/>
          <w:szCs w:val="18"/>
        </w:rPr>
        <w:t>Over dit wetgevings</w:t>
      </w:r>
      <w:r w:rsidRPr="0B070F45">
        <w:rPr>
          <w:rFonts w:eastAsia="Verdana" w:cs="Verdana"/>
          <w:color w:val="000000" w:themeColor="text1"/>
          <w:szCs w:val="18"/>
        </w:rPr>
        <w:t xml:space="preserve">voorstel </w:t>
      </w:r>
      <w:r>
        <w:rPr>
          <w:rFonts w:eastAsia="Verdana" w:cs="Verdana"/>
          <w:color w:val="000000" w:themeColor="text1"/>
          <w:szCs w:val="18"/>
        </w:rPr>
        <w:t xml:space="preserve">lopen momenteel onderhandelingen in Brussel, met als intentie om later dit najaar tot een akkoord in de Raad te komen. Het kabinet zal </w:t>
      </w:r>
      <w:r w:rsidR="003D3B1A">
        <w:rPr>
          <w:rFonts w:eastAsia="Verdana" w:cs="Verdana"/>
          <w:color w:val="000000" w:themeColor="text1"/>
          <w:szCs w:val="18"/>
        </w:rPr>
        <w:lastRenderedPageBreak/>
        <w:t>de Kamer</w:t>
      </w:r>
      <w:r>
        <w:rPr>
          <w:rFonts w:eastAsia="Verdana" w:cs="Verdana"/>
          <w:color w:val="000000" w:themeColor="text1"/>
          <w:szCs w:val="18"/>
        </w:rPr>
        <w:t xml:space="preserve">, in aanloop naar de Energieraad op </w:t>
      </w:r>
      <w:r w:rsidR="002A0157">
        <w:rPr>
          <w:rFonts w:eastAsia="Verdana" w:cs="Verdana"/>
          <w:color w:val="000000" w:themeColor="text1"/>
          <w:szCs w:val="18"/>
        </w:rPr>
        <w:t>20</w:t>
      </w:r>
      <w:r>
        <w:rPr>
          <w:rFonts w:eastAsia="Verdana" w:cs="Verdana"/>
          <w:color w:val="000000" w:themeColor="text1"/>
          <w:szCs w:val="18"/>
        </w:rPr>
        <w:t xml:space="preserve"> oktober, hierover nader informeren. </w:t>
      </w:r>
    </w:p>
    <w:p w:rsidR="00EE5A93" w:rsidP="001D0B97" w:rsidRDefault="00EE5A93" w14:paraId="6F09F76F" w14:textId="77777777">
      <w:pPr>
        <w:rPr>
          <w:rFonts w:eastAsia="Verdana" w:cs="Verdana"/>
          <w:color w:val="000000" w:themeColor="text1"/>
          <w:szCs w:val="18"/>
        </w:rPr>
      </w:pPr>
    </w:p>
    <w:p w:rsidRPr="00EE5A93" w:rsidR="00EE5A93" w:rsidP="001D0B97" w:rsidRDefault="0075382C" w14:paraId="64B7CB73" w14:textId="43117624">
      <w:pPr>
        <w:rPr>
          <w:rFonts w:eastAsia="Verdana" w:cs="Verdana"/>
          <w:color w:val="000000" w:themeColor="text1"/>
          <w:szCs w:val="18"/>
        </w:rPr>
      </w:pPr>
      <w:r>
        <w:rPr>
          <w:rFonts w:eastAsia="Verdana" w:cs="Verdana"/>
          <w:color w:val="000000" w:themeColor="text1"/>
          <w:szCs w:val="18"/>
        </w:rPr>
        <w:t>Tot slot: a</w:t>
      </w:r>
      <w:r w:rsidR="00EE5A93">
        <w:rPr>
          <w:rFonts w:eastAsia="Verdana" w:cs="Verdana"/>
          <w:color w:val="000000" w:themeColor="text1"/>
          <w:szCs w:val="18"/>
        </w:rPr>
        <w:t xml:space="preserve">an de vooravond van de winter liggen we op schema </w:t>
      </w:r>
      <w:r w:rsidRPr="00EE5A93" w:rsidR="00EE5A93">
        <w:rPr>
          <w:rFonts w:eastAsia="Verdana" w:cs="Verdana"/>
          <w:color w:val="000000" w:themeColor="text1"/>
          <w:szCs w:val="18"/>
        </w:rPr>
        <w:t xml:space="preserve">met het vullen van de opslagen. </w:t>
      </w:r>
      <w:r w:rsidR="00EE5A93">
        <w:rPr>
          <w:rFonts w:eastAsia="Verdana" w:cs="Verdana"/>
          <w:color w:val="000000" w:themeColor="text1"/>
          <w:szCs w:val="18"/>
        </w:rPr>
        <w:t xml:space="preserve">In deze kamerbrief is toegelicht dat het kabinet nu al maatregelen treft om voor te bereiden op de volgende winter. </w:t>
      </w:r>
    </w:p>
    <w:p w:rsidR="00B17595" w:rsidP="001D0B97" w:rsidRDefault="00B17595" w14:paraId="5210A158" w14:textId="77777777">
      <w:pPr>
        <w:rPr>
          <w:rFonts w:eastAsia="Verdana" w:cs="Verdana"/>
          <w:szCs w:val="18"/>
        </w:rPr>
      </w:pPr>
    </w:p>
    <w:p w:rsidR="00D22441" w:rsidP="001D0B97" w:rsidRDefault="00D22441" w14:paraId="325B8639" w14:textId="77777777">
      <w:pPr>
        <w:pStyle w:val="Voetnoottekst"/>
        <w:spacing w:line="240" w:lineRule="atLeast"/>
      </w:pPr>
    </w:p>
    <w:p w:rsidR="00C75B52" w:rsidP="001D0B97" w:rsidRDefault="00C75B52" w14:paraId="34709F82" w14:textId="77777777">
      <w:pPr>
        <w:pStyle w:val="Voetnoottekst"/>
        <w:spacing w:line="240" w:lineRule="atLeast"/>
      </w:pPr>
    </w:p>
    <w:p w:rsidR="00D22441" w:rsidP="001D0B97" w:rsidRDefault="00D22441" w14:paraId="70263CDE" w14:textId="77777777"/>
    <w:p w:rsidR="00D22441" w:rsidP="001D0B97" w:rsidRDefault="00D22441" w14:paraId="05F9F308" w14:textId="77777777"/>
    <w:p w:rsidR="00D22441" w:rsidP="001D0B97" w:rsidRDefault="00337AB3" w14:paraId="60ED4069" w14:textId="28C62BBF">
      <w:pPr>
        <w:rPr>
          <w:szCs w:val="18"/>
        </w:rPr>
      </w:pPr>
      <w:r w:rsidRPr="005461DA">
        <w:rPr>
          <w:szCs w:val="18"/>
        </w:rPr>
        <w:t>Sophie Hermans</w:t>
      </w:r>
    </w:p>
    <w:p w:rsidRPr="005461DA" w:rsidR="004E505E" w:rsidP="001D0B97" w:rsidRDefault="00337AB3" w14:paraId="2940966E" w14:textId="21648017">
      <w:pPr>
        <w:rPr>
          <w:szCs w:val="18"/>
        </w:rPr>
      </w:pPr>
      <w:r>
        <w:rPr>
          <w:szCs w:val="18"/>
        </w:rPr>
        <w:t>Minister van Klimaat en Groene Groei</w:t>
      </w: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5C95" w14:textId="77777777" w:rsidR="00C376C5" w:rsidRDefault="00C376C5">
      <w:r>
        <w:separator/>
      </w:r>
    </w:p>
    <w:p w14:paraId="0A9F655F" w14:textId="77777777" w:rsidR="00C376C5" w:rsidRDefault="00C376C5"/>
  </w:endnote>
  <w:endnote w:type="continuationSeparator" w:id="0">
    <w:p w14:paraId="54C22959" w14:textId="77777777" w:rsidR="00C376C5" w:rsidRDefault="00C376C5">
      <w:r>
        <w:continuationSeparator/>
      </w:r>
    </w:p>
    <w:p w14:paraId="37B90F1A" w14:textId="77777777" w:rsidR="00C376C5" w:rsidRDefault="00C37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3DD8" w14:textId="77777777" w:rsidR="003A0E46" w:rsidRDefault="003A0E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44380"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0D0E57EB" w:rsidR="00527BD4" w:rsidRPr="00645414" w:rsidRDefault="00337A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47CAE">
            <w:t>7</w:t>
          </w:r>
          <w:r w:rsidR="00BC222D">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44380"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79960548" w:rsidR="00527BD4" w:rsidRPr="00ED539E" w:rsidRDefault="00337A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247CAE">
            <w:t>7</w:t>
          </w:r>
          <w:r w:rsidR="00BC222D">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00CC" w14:textId="77777777" w:rsidR="00C376C5" w:rsidRDefault="00C376C5">
      <w:r>
        <w:separator/>
      </w:r>
    </w:p>
    <w:p w14:paraId="6B135C5C" w14:textId="77777777" w:rsidR="00C376C5" w:rsidRDefault="00C376C5"/>
  </w:footnote>
  <w:footnote w:type="continuationSeparator" w:id="0">
    <w:p w14:paraId="6EDDAC8E" w14:textId="77777777" w:rsidR="00C376C5" w:rsidRDefault="00C376C5">
      <w:r>
        <w:continuationSeparator/>
      </w:r>
    </w:p>
    <w:p w14:paraId="4931C4E9" w14:textId="77777777" w:rsidR="00C376C5" w:rsidRDefault="00C376C5"/>
  </w:footnote>
  <w:footnote w:id="1">
    <w:p w14:paraId="36034B2D" w14:textId="77777777" w:rsidR="00B17595" w:rsidRPr="00A61539" w:rsidRDefault="00B17595" w:rsidP="00B17595">
      <w:pPr>
        <w:pStyle w:val="Voetnoottekst"/>
        <w:rPr>
          <w:sz w:val="14"/>
          <w:szCs w:val="14"/>
        </w:rPr>
      </w:pPr>
      <w:r w:rsidRPr="00B24CF8">
        <w:rPr>
          <w:rStyle w:val="Voetnootmarkering"/>
          <w:sz w:val="14"/>
          <w:szCs w:val="14"/>
        </w:rPr>
        <w:footnoteRef/>
      </w:r>
      <w:r w:rsidRPr="00B24CF8">
        <w:rPr>
          <w:sz w:val="14"/>
          <w:szCs w:val="14"/>
          <w:lang w:val="en-US"/>
        </w:rPr>
        <w:t xml:space="preserve"> </w:t>
      </w:r>
      <w:r w:rsidRPr="006842B3">
        <w:rPr>
          <w:szCs w:val="13"/>
          <w:lang w:val="en-US"/>
        </w:rPr>
        <w:t xml:space="preserve">ACER key developments in European gas wholesale markets 2025 Market Monitoring Report, 18 juli 2025. </w:t>
      </w:r>
      <w:hyperlink r:id="rId1" w:history="1">
        <w:r w:rsidRPr="00A61539">
          <w:rPr>
            <w:rStyle w:val="Hyperlink"/>
            <w:szCs w:val="13"/>
          </w:rPr>
          <w:t>www.acer.europa.eu/key-developments-european-gas-wholesale-markets-q2-2025</w:t>
        </w:r>
      </w:hyperlink>
      <w:r w:rsidRPr="00A61539">
        <w:rPr>
          <w:szCs w:val="13"/>
        </w:rPr>
        <w:t xml:space="preserve">. </w:t>
      </w:r>
    </w:p>
  </w:footnote>
  <w:footnote w:id="2">
    <w:p w14:paraId="3767C01C" w14:textId="77777777" w:rsidR="00B17595" w:rsidRPr="002C63CC" w:rsidRDefault="00B17595" w:rsidP="00B17595">
      <w:pPr>
        <w:pStyle w:val="Voetnoottekst"/>
      </w:pPr>
      <w:r>
        <w:rPr>
          <w:rStyle w:val="Voetnootmarkering"/>
        </w:rPr>
        <w:footnoteRef/>
      </w:r>
      <w:r w:rsidRPr="002C63CC">
        <w:t xml:space="preserve"> </w:t>
      </w:r>
      <w:r w:rsidRPr="006842B3">
        <w:rPr>
          <w:szCs w:val="13"/>
        </w:rPr>
        <w:t>De TTF is de meest liquide en belangrijkste handelsplaats in de EU, waarop 82,9% van de totale Europese gasvolumes wordt verhandeld.</w:t>
      </w:r>
      <w:r w:rsidRPr="002C63CC">
        <w:rPr>
          <w:sz w:val="14"/>
          <w:szCs w:val="14"/>
        </w:rPr>
        <w:t xml:space="preserve"> </w:t>
      </w:r>
    </w:p>
  </w:footnote>
  <w:footnote w:id="3">
    <w:p w14:paraId="2241C5F2" w14:textId="7F836C64" w:rsidR="00B17595" w:rsidRPr="00DB5DD2" w:rsidRDefault="00B17595" w:rsidP="00B17595">
      <w:pPr>
        <w:pStyle w:val="Voetnoottekst"/>
        <w:rPr>
          <w:lang w:val="en-US"/>
        </w:rPr>
      </w:pPr>
      <w:r w:rsidRPr="00B24CF8">
        <w:rPr>
          <w:rStyle w:val="Voetnootmarkering"/>
          <w:sz w:val="14"/>
          <w:szCs w:val="14"/>
        </w:rPr>
        <w:footnoteRef/>
      </w:r>
      <w:r w:rsidRPr="00DB5DD2">
        <w:rPr>
          <w:sz w:val="14"/>
          <w:szCs w:val="14"/>
          <w:lang w:val="en-US"/>
        </w:rPr>
        <w:t xml:space="preserve"> </w:t>
      </w:r>
      <w:r w:rsidRPr="00DB5DD2">
        <w:rPr>
          <w:szCs w:val="13"/>
          <w:lang w:val="en-US"/>
        </w:rPr>
        <w:t>IEA Gas Market Report, Q3-2025, 22 juli 2025:</w:t>
      </w:r>
      <w:r w:rsidR="008B1504" w:rsidRPr="00DB5DD2">
        <w:rPr>
          <w:szCs w:val="13"/>
          <w:lang w:val="en-US"/>
        </w:rPr>
        <w:t xml:space="preserve"> </w:t>
      </w:r>
      <w:bookmarkStart w:id="1" w:name="OLE_LINK9"/>
      <w:r w:rsidR="008B1504">
        <w:fldChar w:fldCharType="begin"/>
      </w:r>
      <w:r w:rsidR="008B1504" w:rsidRPr="00DB5DD2">
        <w:rPr>
          <w:lang w:val="en-US"/>
        </w:rPr>
        <w:instrText>HYPERLINK "http://www.iea.org/reports/gas-market-report-q3-2025"</w:instrText>
      </w:r>
      <w:r w:rsidR="008B1504">
        <w:fldChar w:fldCharType="separate"/>
      </w:r>
      <w:r w:rsidR="008B1504" w:rsidRPr="00DB5DD2">
        <w:rPr>
          <w:rStyle w:val="Hyperlink"/>
          <w:lang w:val="en-US"/>
        </w:rPr>
        <w:t>http://www.iea.org/reports/gas-market-report-q3-2025</w:t>
      </w:r>
      <w:r w:rsidR="008B1504">
        <w:fldChar w:fldCharType="end"/>
      </w:r>
      <w:bookmarkEnd w:id="1"/>
      <w:r w:rsidR="008B1504" w:rsidRPr="00DB5DD2">
        <w:rPr>
          <w:szCs w:val="13"/>
          <w:lang w:val="en-US"/>
        </w:rPr>
        <w:t xml:space="preserve"> </w:t>
      </w:r>
    </w:p>
  </w:footnote>
  <w:footnote w:id="4">
    <w:p w14:paraId="50538B3D" w14:textId="4630716F" w:rsidR="00B17595" w:rsidRPr="00BA2570" w:rsidRDefault="00B17595" w:rsidP="00B17595">
      <w:pPr>
        <w:pStyle w:val="Voetnoottekst"/>
        <w:rPr>
          <w:sz w:val="14"/>
          <w:szCs w:val="14"/>
        </w:rPr>
      </w:pPr>
      <w:r w:rsidRPr="00B24CF8">
        <w:rPr>
          <w:rStyle w:val="Voetnootmarkering"/>
          <w:sz w:val="14"/>
          <w:szCs w:val="14"/>
        </w:rPr>
        <w:footnoteRef/>
      </w:r>
      <w:r w:rsidRPr="00BA2570">
        <w:rPr>
          <w:sz w:val="14"/>
          <w:szCs w:val="14"/>
        </w:rPr>
        <w:t xml:space="preserve"> </w:t>
      </w:r>
      <w:r w:rsidRPr="00BA2570">
        <w:rPr>
          <w:szCs w:val="13"/>
        </w:rPr>
        <w:t>Kamerstuk</w:t>
      </w:r>
      <w:r w:rsidR="00DD611E">
        <w:rPr>
          <w:szCs w:val="13"/>
        </w:rPr>
        <w:t xml:space="preserve"> </w:t>
      </w:r>
      <w:r w:rsidRPr="00BA2570">
        <w:rPr>
          <w:szCs w:val="13"/>
        </w:rPr>
        <w:t xml:space="preserve">29 023, nr. 531, 532 </w:t>
      </w:r>
      <w:r w:rsidR="006842B3" w:rsidRPr="00BA2570">
        <w:rPr>
          <w:szCs w:val="13"/>
        </w:rPr>
        <w:t>en</w:t>
      </w:r>
      <w:r w:rsidRPr="00BA2570">
        <w:rPr>
          <w:szCs w:val="13"/>
        </w:rPr>
        <w:t xml:space="preserve"> 554.</w:t>
      </w:r>
    </w:p>
  </w:footnote>
  <w:footnote w:id="5">
    <w:p w14:paraId="30117116" w14:textId="7D3D74C1" w:rsidR="00B17595" w:rsidRPr="00A77AB8" w:rsidRDefault="00B17595" w:rsidP="00B17595">
      <w:pPr>
        <w:pStyle w:val="Voetnoottekst"/>
        <w:rPr>
          <w:sz w:val="14"/>
          <w:szCs w:val="14"/>
        </w:rPr>
      </w:pPr>
      <w:r w:rsidRPr="00B24CF8">
        <w:rPr>
          <w:rStyle w:val="Voetnootmarkering"/>
          <w:sz w:val="14"/>
          <w:szCs w:val="14"/>
        </w:rPr>
        <w:footnoteRef/>
      </w:r>
      <w:r w:rsidRPr="00A77AB8">
        <w:rPr>
          <w:sz w:val="14"/>
          <w:szCs w:val="14"/>
        </w:rPr>
        <w:t xml:space="preserve"> </w:t>
      </w:r>
      <w:r w:rsidRPr="006842B3">
        <w:rPr>
          <w:szCs w:val="13"/>
        </w:rPr>
        <w:t>Kamerstuk</w:t>
      </w:r>
      <w:r w:rsidR="00DD611E">
        <w:rPr>
          <w:szCs w:val="13"/>
        </w:rPr>
        <w:t xml:space="preserve"> </w:t>
      </w:r>
      <w:r w:rsidRPr="006842B3">
        <w:rPr>
          <w:szCs w:val="13"/>
        </w:rPr>
        <w:t>29 023, nr. 591.</w:t>
      </w:r>
    </w:p>
  </w:footnote>
  <w:footnote w:id="6">
    <w:p w14:paraId="282C2F3D" w14:textId="77777777" w:rsidR="00B17595" w:rsidRPr="00A61539" w:rsidRDefault="00B17595" w:rsidP="00B17595">
      <w:pPr>
        <w:pStyle w:val="Voetnoottekst"/>
        <w:rPr>
          <w:szCs w:val="13"/>
        </w:rPr>
      </w:pPr>
      <w:r w:rsidRPr="006842B3">
        <w:rPr>
          <w:rStyle w:val="Voetnootmarkering"/>
          <w:szCs w:val="13"/>
        </w:rPr>
        <w:footnoteRef/>
      </w:r>
      <w:r w:rsidRPr="006842B3">
        <w:rPr>
          <w:szCs w:val="13"/>
          <w:lang w:val="en-US"/>
        </w:rPr>
        <w:t xml:space="preserve"> ACER key developments in European gas wholesale markets 2025 Market Monitoring Report, 18 juli 2025. </w:t>
      </w:r>
      <w:hyperlink r:id="rId2" w:history="1">
        <w:r w:rsidRPr="00A61539">
          <w:rPr>
            <w:rStyle w:val="Hyperlink"/>
            <w:szCs w:val="13"/>
          </w:rPr>
          <w:t>www.acer.europa.eu/key-developments-european-gas-wholesale-markets-q2-2025</w:t>
        </w:r>
      </w:hyperlink>
      <w:r w:rsidRPr="00A61539">
        <w:rPr>
          <w:szCs w:val="13"/>
        </w:rPr>
        <w:t xml:space="preserve">. </w:t>
      </w:r>
    </w:p>
  </w:footnote>
  <w:footnote w:id="7">
    <w:p w14:paraId="421CED42" w14:textId="77777777" w:rsidR="00B17595" w:rsidRPr="006842B3" w:rsidRDefault="00B17595" w:rsidP="00B17595">
      <w:pPr>
        <w:pStyle w:val="Voetnoottekst"/>
        <w:rPr>
          <w:szCs w:val="13"/>
        </w:rPr>
      </w:pPr>
      <w:r w:rsidRPr="006842B3">
        <w:rPr>
          <w:szCs w:val="13"/>
          <w:vertAlign w:val="superscript"/>
          <w:lang w:val="de-DE"/>
        </w:rPr>
        <w:footnoteRef/>
      </w:r>
      <w:r w:rsidRPr="006842B3">
        <w:rPr>
          <w:szCs w:val="13"/>
        </w:rPr>
        <w:t xml:space="preserve"> Artikel 10, eerste lid, onderdeel q, Gaswet.</w:t>
      </w:r>
    </w:p>
  </w:footnote>
  <w:footnote w:id="8">
    <w:p w14:paraId="6AC6DC5C" w14:textId="77777777" w:rsidR="00B17595" w:rsidRPr="006842B3" w:rsidRDefault="00B17595" w:rsidP="00B17595">
      <w:pPr>
        <w:pStyle w:val="Voetnoottekst"/>
        <w:rPr>
          <w:szCs w:val="13"/>
        </w:rPr>
      </w:pPr>
      <w:r w:rsidRPr="006842B3">
        <w:rPr>
          <w:rStyle w:val="Voetnootmarkering"/>
          <w:szCs w:val="13"/>
        </w:rPr>
        <w:footnoteRef/>
      </w:r>
      <w:r w:rsidRPr="006842B3">
        <w:rPr>
          <w:szCs w:val="13"/>
        </w:rPr>
        <w:t xml:space="preserve"> Een koud gasjaar is gedefinieerd als het gasjaar met het hoogste aantal graaddagen dat is waargenomen in de dertig meest recente gasjaren. Hiermee hanteert Nederland een strengere norm dan bijvoorbeeld ENTSOG die een norm van eens in de 20 jaar gebruikt. </w:t>
      </w:r>
    </w:p>
  </w:footnote>
  <w:footnote w:id="9">
    <w:p w14:paraId="6A009806" w14:textId="77777777" w:rsidR="00B17595" w:rsidRPr="003D3698" w:rsidRDefault="00B17595" w:rsidP="00B17595">
      <w:pPr>
        <w:pStyle w:val="Voetnoottekst"/>
      </w:pPr>
      <w:r w:rsidRPr="006842B3">
        <w:rPr>
          <w:rStyle w:val="Voetnootmarkering"/>
          <w:szCs w:val="13"/>
        </w:rPr>
        <w:footnoteRef/>
      </w:r>
      <w:r w:rsidRPr="006842B3">
        <w:rPr>
          <w:szCs w:val="13"/>
        </w:rPr>
        <w:t xml:space="preserve"> Een koude dag is een dag die met een statische waarschijnlijkheid van eens in de 20 jaar voorkomt.</w:t>
      </w:r>
      <w:r>
        <w:t xml:space="preserve"> </w:t>
      </w:r>
    </w:p>
  </w:footnote>
  <w:footnote w:id="10">
    <w:p w14:paraId="33D51FE2" w14:textId="3BCDED93" w:rsidR="00B17595" w:rsidRPr="000936D2" w:rsidRDefault="00B17595" w:rsidP="00B17595">
      <w:pPr>
        <w:pStyle w:val="Voetnoottekst"/>
      </w:pPr>
      <w:r w:rsidRPr="006842B3">
        <w:rPr>
          <w:szCs w:val="13"/>
          <w:vertAlign w:val="superscript"/>
        </w:rPr>
        <w:footnoteRef/>
      </w:r>
      <w:r w:rsidRPr="006842B3">
        <w:rPr>
          <w:szCs w:val="13"/>
        </w:rPr>
        <w:t xml:space="preserve"> Dit overschot wordt geconstateerd bij een effectieve etmaaltemperatuur die eens in de twintig jaar voorkomt (-14 graden </w:t>
      </w:r>
      <w:r w:rsidR="00CC5054">
        <w:rPr>
          <w:szCs w:val="13"/>
        </w:rPr>
        <w:t>Celsius</w:t>
      </w:r>
      <w:r w:rsidRPr="006842B3">
        <w:rPr>
          <w:szCs w:val="13"/>
        </w:rPr>
        <w:t xml:space="preserve"> of kouder) gecombineerd met uitval van een hoeveelheid capaciteit gelijk aan die van de grootste individuele bron van capaciteit (hier wordt uitgegaan van gasopslag Norg).</w:t>
      </w:r>
    </w:p>
  </w:footnote>
  <w:footnote w:id="11">
    <w:p w14:paraId="706ACFD6" w14:textId="0EEC34A6" w:rsidR="00DB5DD2" w:rsidRDefault="00DB5DD2">
      <w:pPr>
        <w:pStyle w:val="Voetnoottekst"/>
      </w:pPr>
      <w:bookmarkStart w:id="5" w:name="_Hlk210125669"/>
      <w:r>
        <w:rPr>
          <w:rStyle w:val="Voetnootmarkering"/>
        </w:rPr>
        <w:footnoteRef/>
      </w:r>
      <w:r>
        <w:t xml:space="preserve"> In het vorige overzicht gasleveringszekerheid ging GTS uit van een 10% lagere gasvraag in het regionale net ten opzichte van de KEV 2022. Dit werd ingegeven door de lagere gasvraag die werd waargenomen na het beëindigen van levering van Russisch pijpleidinggas. </w:t>
      </w:r>
      <w:bookmarkEnd w:id="5"/>
    </w:p>
  </w:footnote>
  <w:footnote w:id="12">
    <w:p w14:paraId="1234E4B1" w14:textId="2CE0E99A" w:rsidR="00B17595" w:rsidRPr="00B06D6D" w:rsidRDefault="00B17595" w:rsidP="00B17595">
      <w:pPr>
        <w:pStyle w:val="Voetnoottekst"/>
      </w:pPr>
      <w:r>
        <w:rPr>
          <w:rStyle w:val="Voetnootmarkering"/>
        </w:rPr>
        <w:footnoteRef/>
      </w:r>
      <w:r w:rsidRPr="00166B90">
        <w:rPr>
          <w:szCs w:val="13"/>
        </w:rPr>
        <w:t xml:space="preserve"> Kamerstuk</w:t>
      </w:r>
      <w:r w:rsidR="00DD611E">
        <w:rPr>
          <w:szCs w:val="13"/>
        </w:rPr>
        <w:t xml:space="preserve"> </w:t>
      </w:r>
      <w:r w:rsidRPr="00166B90">
        <w:rPr>
          <w:szCs w:val="13"/>
        </w:rPr>
        <w:t>29 023, nr. 591.</w:t>
      </w:r>
    </w:p>
  </w:footnote>
  <w:footnote w:id="13">
    <w:p w14:paraId="123607A3" w14:textId="77777777" w:rsidR="00B17595" w:rsidRDefault="00B17595" w:rsidP="00B17595">
      <w:pPr>
        <w:pStyle w:val="Voetnoottekst"/>
      </w:pPr>
      <w:r w:rsidRPr="00166B90">
        <w:rPr>
          <w:szCs w:val="13"/>
          <w:vertAlign w:val="superscript"/>
        </w:rPr>
        <w:footnoteRef/>
      </w:r>
      <w:r w:rsidRPr="00166B90">
        <w:rPr>
          <w:szCs w:val="13"/>
        </w:rPr>
        <w:t xml:space="preserve"> Tractatenblad 2025, 68.</w:t>
      </w:r>
      <w:r>
        <w:t xml:space="preserve"> </w:t>
      </w:r>
    </w:p>
  </w:footnote>
  <w:footnote w:id="14">
    <w:p w14:paraId="3DCFA792" w14:textId="78B1BDCD" w:rsidR="00B17595" w:rsidRDefault="00B17595" w:rsidP="00B17595">
      <w:pPr>
        <w:pStyle w:val="Voetnoottekst"/>
      </w:pPr>
      <w:r>
        <w:rPr>
          <w:rStyle w:val="Voetnootmarkering"/>
        </w:rPr>
        <w:footnoteRef/>
      </w:r>
      <w:r w:rsidRPr="00166B90">
        <w:rPr>
          <w:szCs w:val="13"/>
        </w:rPr>
        <w:t xml:space="preserve"> </w:t>
      </w:r>
      <w:r w:rsidR="00FB3DBC">
        <w:rPr>
          <w:szCs w:val="13"/>
        </w:rPr>
        <w:t>Kamerstuk</w:t>
      </w:r>
      <w:r w:rsidR="00DD611E">
        <w:rPr>
          <w:szCs w:val="13"/>
        </w:rPr>
        <w:t xml:space="preserve"> </w:t>
      </w:r>
      <w:r w:rsidR="00FB3DBC">
        <w:rPr>
          <w:szCs w:val="13"/>
        </w:rPr>
        <w:t>36 802</w:t>
      </w:r>
      <w:r w:rsidR="00B1277F">
        <w:rPr>
          <w:szCs w:val="13"/>
        </w:rPr>
        <w:t>, nr. 1.</w:t>
      </w:r>
    </w:p>
  </w:footnote>
  <w:footnote w:id="15">
    <w:p w14:paraId="625C5E15" w14:textId="007A7100" w:rsidR="00B17595" w:rsidRDefault="00B17595" w:rsidP="00B17595">
      <w:pPr>
        <w:pStyle w:val="Voetnoottekst"/>
      </w:pPr>
      <w:r>
        <w:rPr>
          <w:rStyle w:val="Voetnootmarkering"/>
        </w:rPr>
        <w:footnoteRef/>
      </w:r>
      <w:r>
        <w:t xml:space="preserve"> Kamerstuk</w:t>
      </w:r>
      <w:r w:rsidR="00DD611E">
        <w:t xml:space="preserve"> </w:t>
      </w:r>
      <w:r>
        <w:t>29 023, nr. 519.</w:t>
      </w:r>
    </w:p>
  </w:footnote>
  <w:footnote w:id="16">
    <w:p w14:paraId="0C9247DD" w14:textId="77777777" w:rsidR="00B17595" w:rsidRPr="00B1277F" w:rsidRDefault="00B17595" w:rsidP="00B17595">
      <w:pPr>
        <w:pStyle w:val="Voetnoottekst"/>
        <w:rPr>
          <w:color w:val="154273"/>
          <w:szCs w:val="13"/>
        </w:rPr>
      </w:pPr>
      <w:r w:rsidRPr="00B1277F">
        <w:rPr>
          <w:rStyle w:val="Voetnootmarkering"/>
          <w:color w:val="000000" w:themeColor="text1"/>
          <w:szCs w:val="13"/>
        </w:rPr>
        <w:footnoteRef/>
      </w:r>
      <w:r w:rsidRPr="00B1277F">
        <w:rPr>
          <w:color w:val="000000" w:themeColor="text1"/>
          <w:szCs w:val="13"/>
        </w:rPr>
        <w:t xml:space="preserve"> Staatscourant 2025, nr. 15288.</w:t>
      </w:r>
    </w:p>
  </w:footnote>
  <w:footnote w:id="17">
    <w:p w14:paraId="46CF9EBF" w14:textId="14CE0A04" w:rsidR="009678E6" w:rsidRDefault="009678E6">
      <w:pPr>
        <w:pStyle w:val="Voetnoottekst"/>
      </w:pPr>
      <w:r>
        <w:rPr>
          <w:rStyle w:val="Voetnootmarkering"/>
        </w:rPr>
        <w:footnoteRef/>
      </w:r>
      <w:r>
        <w:t xml:space="preserve"> Kamerstuk</w:t>
      </w:r>
      <w:r w:rsidR="003343E6">
        <w:t xml:space="preserve"> </w:t>
      </w:r>
      <w:r w:rsidR="003343E6" w:rsidRPr="003343E6">
        <w:t>29</w:t>
      </w:r>
      <w:r w:rsidR="003343E6">
        <w:t xml:space="preserve"> </w:t>
      </w:r>
      <w:r w:rsidR="003343E6" w:rsidRPr="003343E6">
        <w:t>02</w:t>
      </w:r>
      <w:r w:rsidR="003343E6">
        <w:t>3</w:t>
      </w:r>
      <w:r w:rsidR="00281C21">
        <w:t xml:space="preserve">, </w:t>
      </w:r>
      <w:r w:rsidR="003343E6">
        <w:t xml:space="preserve"> nr. </w:t>
      </w:r>
      <w:r w:rsidR="003343E6" w:rsidRPr="003343E6">
        <w:t>594</w:t>
      </w:r>
      <w:r w:rsidR="003343E6">
        <w:t>.</w:t>
      </w:r>
    </w:p>
  </w:footnote>
  <w:footnote w:id="18">
    <w:p w14:paraId="62DBA2E7" w14:textId="58145924" w:rsidR="00B17595" w:rsidRDefault="00B17595" w:rsidP="00B17595">
      <w:pPr>
        <w:pStyle w:val="Voetnoottekst"/>
      </w:pPr>
      <w:r>
        <w:rPr>
          <w:rStyle w:val="Voetnootmarkering"/>
        </w:rPr>
        <w:footnoteRef/>
      </w:r>
      <w:r>
        <w:t xml:space="preserve"> </w:t>
      </w:r>
      <w:bookmarkStart w:id="8" w:name="OLE_LINK2"/>
      <w:r w:rsidRPr="00D4098C">
        <w:t>Kamerstuk</w:t>
      </w:r>
      <w:r w:rsidR="00DD611E">
        <w:t xml:space="preserve"> </w:t>
      </w:r>
      <w:r w:rsidRPr="00D4098C">
        <w:t>21 501-33, nr. 1132</w:t>
      </w:r>
      <w:r>
        <w:t xml:space="preserve"> </w:t>
      </w:r>
      <w:bookmarkEnd w:id="8"/>
      <w:r>
        <w:t>en Kamerstukken II 2024/25, 29 023, nr. 591.</w:t>
      </w:r>
    </w:p>
  </w:footnote>
  <w:footnote w:id="19">
    <w:p w14:paraId="1F056BE9" w14:textId="77777777" w:rsidR="00B17595" w:rsidRPr="00BF65E4" w:rsidRDefault="00B17595" w:rsidP="00B17595">
      <w:pPr>
        <w:pStyle w:val="Voetnoottekst"/>
      </w:pPr>
      <w:r>
        <w:rPr>
          <w:rStyle w:val="Voetnootmarkering"/>
        </w:rPr>
        <w:footnoteRef/>
      </w:r>
      <w:r>
        <w:t xml:space="preserve"> V</w:t>
      </w:r>
      <w:r w:rsidRPr="00BF65E4">
        <w:t>erordening (EU) 2025/1733 van het Europees Parlement en de Raad van 18 juli 2025 tot wijziging van Verordening (EU) 2017/1938 wat betreft de rol van gasopslag voor het veiligstellen van de gasvoorziening in de aanloop naar het winterseizoen</w:t>
      </w:r>
      <w:r>
        <w:t xml:space="preserve"> (PbEU L 2025/1733).</w:t>
      </w:r>
    </w:p>
  </w:footnote>
  <w:footnote w:id="20">
    <w:p w14:paraId="2E098404" w14:textId="605C22B5" w:rsidR="00B17595" w:rsidRPr="005B3AF9" w:rsidRDefault="00B17595" w:rsidP="00B17595">
      <w:pPr>
        <w:pStyle w:val="Voetnoottekst"/>
      </w:pPr>
      <w:r>
        <w:rPr>
          <w:rStyle w:val="Voetnootmarkering"/>
        </w:rPr>
        <w:footnoteRef/>
      </w:r>
      <w:r>
        <w:t xml:space="preserve"> Kamerstuk</w:t>
      </w:r>
      <w:r w:rsidR="00DD611E">
        <w:t xml:space="preserve"> </w:t>
      </w:r>
      <w:r>
        <w:t>22 112, nr. 4106</w:t>
      </w:r>
      <w:r w:rsidR="00CB2340">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3F60" w14:textId="77777777" w:rsidR="003A0E46" w:rsidRDefault="003A0E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44380" w14:paraId="3909255B" w14:textId="77777777" w:rsidTr="00A50CF6">
      <w:tc>
        <w:tcPr>
          <w:tcW w:w="2156" w:type="dxa"/>
        </w:tcPr>
        <w:p w14:paraId="0D48B309" w14:textId="1057D9A0" w:rsidR="00527BD4" w:rsidRPr="005819CE" w:rsidRDefault="00337AB3" w:rsidP="00A50CF6">
          <w:pPr>
            <w:pStyle w:val="Huisstijl-Adres"/>
            <w:rPr>
              <w:b/>
            </w:rPr>
          </w:pPr>
          <w:r>
            <w:rPr>
              <w:b/>
            </w:rPr>
            <w:t>Directoraat-generaal Klimaat en Energie</w:t>
          </w:r>
          <w:r w:rsidRPr="005819CE">
            <w:rPr>
              <w:b/>
            </w:rPr>
            <w:br/>
          </w:r>
          <w:r>
            <w:t>Directie Energiemarkt</w:t>
          </w:r>
        </w:p>
      </w:tc>
    </w:tr>
    <w:tr w:rsidR="00444380" w14:paraId="02AD4526" w14:textId="77777777" w:rsidTr="00A50CF6">
      <w:trPr>
        <w:trHeight w:hRule="exact" w:val="200"/>
      </w:trPr>
      <w:tc>
        <w:tcPr>
          <w:tcW w:w="2156" w:type="dxa"/>
        </w:tcPr>
        <w:p w14:paraId="2EEAD9AB" w14:textId="77777777" w:rsidR="00527BD4" w:rsidRPr="005819CE" w:rsidRDefault="00527BD4" w:rsidP="00A50CF6"/>
      </w:tc>
    </w:tr>
    <w:tr w:rsidR="00444380" w14:paraId="137B027F" w14:textId="77777777" w:rsidTr="00502512">
      <w:trPr>
        <w:trHeight w:hRule="exact" w:val="774"/>
      </w:trPr>
      <w:tc>
        <w:tcPr>
          <w:tcW w:w="2156" w:type="dxa"/>
        </w:tcPr>
        <w:p w14:paraId="4C4275FB" w14:textId="4F41A877" w:rsidR="00527BD4" w:rsidRDefault="00337AB3" w:rsidP="003A5290">
          <w:pPr>
            <w:pStyle w:val="Huisstijl-Kopje"/>
          </w:pPr>
          <w:r>
            <w:t>Ons kenmerk</w:t>
          </w:r>
        </w:p>
        <w:p w14:paraId="2CB4FA59" w14:textId="426CF0F6" w:rsidR="00502512" w:rsidRPr="00502512" w:rsidRDefault="00337AB3" w:rsidP="003A5290">
          <w:pPr>
            <w:pStyle w:val="Huisstijl-Kopje"/>
            <w:rPr>
              <w:b w:val="0"/>
            </w:rPr>
          </w:pPr>
          <w:r>
            <w:rPr>
              <w:b w:val="0"/>
            </w:rPr>
            <w:t>DGKE-DE</w:t>
          </w:r>
          <w:r w:rsidRPr="00502512">
            <w:rPr>
              <w:b w:val="0"/>
            </w:rPr>
            <w:t xml:space="preserve"> / </w:t>
          </w:r>
          <w:r w:rsidR="001D0B97" w:rsidRPr="001D0B97">
            <w:rPr>
              <w:rFonts w:cs="Helvetica"/>
              <w:b w:val="0"/>
              <w:bCs/>
              <w:color w:val="000000"/>
              <w:szCs w:val="13"/>
              <w:bdr w:val="none" w:sz="0" w:space="0" w:color="auto" w:frame="1"/>
            </w:rPr>
            <w:t>101327391</w:t>
          </w:r>
        </w:p>
        <w:p w14:paraId="35F502D9" w14:textId="77777777" w:rsidR="00527BD4" w:rsidRPr="005819CE" w:rsidRDefault="00527BD4" w:rsidP="00361A56">
          <w:pPr>
            <w:pStyle w:val="Huisstijl-Kopje"/>
          </w:pPr>
        </w:p>
      </w:tc>
    </w:tr>
  </w:tbl>
  <w:p w14:paraId="7E5841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4380"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6288EDFF" w:rsidR="00527BD4" w:rsidRDefault="00337AB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BD6F1AE" wp14:editId="50024D9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44380" w:rsidRPr="001D0B97" w14:paraId="13D0458E" w14:textId="77777777" w:rsidTr="00A50CF6">
      <w:tc>
        <w:tcPr>
          <w:tcW w:w="2160" w:type="dxa"/>
        </w:tcPr>
        <w:p w14:paraId="6507531A" w14:textId="6DADE560" w:rsidR="00527BD4" w:rsidRPr="005819CE" w:rsidRDefault="00337AB3" w:rsidP="00A50CF6">
          <w:pPr>
            <w:pStyle w:val="Huisstijl-Adres"/>
            <w:rPr>
              <w:b/>
            </w:rPr>
          </w:pPr>
          <w:r>
            <w:rPr>
              <w:b/>
            </w:rPr>
            <w:t>Directoraat-generaal Klimaat en Energie</w:t>
          </w:r>
          <w:r w:rsidRPr="005819CE">
            <w:rPr>
              <w:b/>
            </w:rPr>
            <w:br/>
          </w:r>
          <w:r>
            <w:t>Directie Energiemarkt</w:t>
          </w:r>
        </w:p>
        <w:p w14:paraId="650C04C7" w14:textId="400310E2" w:rsidR="00527BD4" w:rsidRPr="00BE5ED9" w:rsidRDefault="00337AB3" w:rsidP="00A50CF6">
          <w:pPr>
            <w:pStyle w:val="Huisstijl-Adres"/>
          </w:pPr>
          <w:r>
            <w:rPr>
              <w:b/>
            </w:rPr>
            <w:t>Bezoekadres</w:t>
          </w:r>
          <w:r>
            <w:rPr>
              <w:b/>
            </w:rPr>
            <w:br/>
          </w:r>
          <w:r>
            <w:t>Bezuidenhoutseweg 73</w:t>
          </w:r>
          <w:r w:rsidRPr="005819CE">
            <w:br/>
          </w:r>
          <w:r>
            <w:t>2594 AC Den Haag</w:t>
          </w:r>
        </w:p>
        <w:p w14:paraId="3385D13B" w14:textId="77777777" w:rsidR="00EF495B" w:rsidRDefault="00337AB3"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337AB3" w:rsidP="0098788A">
          <w:pPr>
            <w:pStyle w:val="Huisstijl-Adres"/>
          </w:pPr>
          <w:r>
            <w:rPr>
              <w:b/>
            </w:rPr>
            <w:t>Overheidsidentificatienr</w:t>
          </w:r>
          <w:r>
            <w:rPr>
              <w:b/>
            </w:rPr>
            <w:br/>
          </w:r>
          <w:r w:rsidR="002D0DDB" w:rsidRPr="002D0DDB">
            <w:t>00000003952069570000</w:t>
          </w:r>
        </w:p>
        <w:p w14:paraId="04999AB2" w14:textId="0652A000" w:rsidR="00527BD4" w:rsidRPr="001D0B97" w:rsidRDefault="00337AB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44380" w:rsidRPr="001D0B97" w14:paraId="4FB02182" w14:textId="77777777" w:rsidTr="001D0B97">
      <w:trPr>
        <w:trHeight w:hRule="exact" w:val="80"/>
      </w:trPr>
      <w:tc>
        <w:tcPr>
          <w:tcW w:w="2160" w:type="dxa"/>
        </w:tcPr>
        <w:p w14:paraId="3809167A" w14:textId="77777777" w:rsidR="00527BD4" w:rsidRPr="00661DF0" w:rsidRDefault="00527BD4" w:rsidP="00A50CF6"/>
      </w:tc>
    </w:tr>
    <w:tr w:rsidR="00444380" w14:paraId="30880088" w14:textId="77777777" w:rsidTr="00A50CF6">
      <w:tc>
        <w:tcPr>
          <w:tcW w:w="2160" w:type="dxa"/>
        </w:tcPr>
        <w:p w14:paraId="3302543D" w14:textId="03F42770" w:rsidR="000C0163" w:rsidRPr="005819CE" w:rsidRDefault="00337AB3" w:rsidP="000C0163">
          <w:pPr>
            <w:pStyle w:val="Huisstijl-Kopje"/>
          </w:pPr>
          <w:r>
            <w:t>Ons kenmerk</w:t>
          </w:r>
          <w:r w:rsidRPr="005819CE">
            <w:t xml:space="preserve"> </w:t>
          </w:r>
        </w:p>
        <w:p w14:paraId="3466E979" w14:textId="6F6EDD92" w:rsidR="004A0FFB" w:rsidRDefault="00337AB3" w:rsidP="004A0FFB">
          <w:pPr>
            <w:shd w:val="clear" w:color="auto" w:fill="FFFFFF"/>
            <w:spacing w:line="240" w:lineRule="auto"/>
            <w:textAlignment w:val="baseline"/>
            <w:rPr>
              <w:rFonts w:cs="Helvetica"/>
              <w:color w:val="000000"/>
              <w:sz w:val="13"/>
              <w:szCs w:val="13"/>
              <w:bdr w:val="none" w:sz="0" w:space="0" w:color="auto" w:frame="1"/>
            </w:rPr>
          </w:pPr>
          <w:r w:rsidRPr="001D0B97">
            <w:rPr>
              <w:sz w:val="13"/>
              <w:szCs w:val="13"/>
            </w:rPr>
            <w:t>DGKE-DE</w:t>
          </w:r>
          <w:r w:rsidR="00926AE2" w:rsidRPr="001D0B97">
            <w:rPr>
              <w:sz w:val="13"/>
              <w:szCs w:val="13"/>
            </w:rPr>
            <w:t xml:space="preserve"> / </w:t>
          </w:r>
          <w:r w:rsidR="001D0B97" w:rsidRPr="001D0B97">
            <w:rPr>
              <w:rFonts w:cs="Helvetica"/>
              <w:color w:val="000000"/>
              <w:sz w:val="13"/>
              <w:szCs w:val="13"/>
              <w:bdr w:val="none" w:sz="0" w:space="0" w:color="auto" w:frame="1"/>
            </w:rPr>
            <w:t>101327391</w:t>
          </w:r>
        </w:p>
        <w:p w14:paraId="2DB05291" w14:textId="77777777" w:rsidR="004A0FFB" w:rsidRPr="004A0FFB" w:rsidRDefault="004A0FFB" w:rsidP="004A0FFB">
          <w:pPr>
            <w:shd w:val="clear" w:color="auto" w:fill="FFFFFF"/>
            <w:spacing w:line="240" w:lineRule="auto"/>
            <w:textAlignment w:val="baseline"/>
            <w:rPr>
              <w:rFonts w:cs="Helvetica"/>
              <w:color w:val="000000"/>
              <w:sz w:val="13"/>
              <w:szCs w:val="13"/>
            </w:rPr>
          </w:pPr>
        </w:p>
        <w:p w14:paraId="7B668418" w14:textId="7FA6931E" w:rsidR="000C0163" w:rsidRPr="004A0FFB" w:rsidRDefault="004A0FFB" w:rsidP="004A0FFB">
          <w:pPr>
            <w:pStyle w:val="Huisstijl-Gegeven"/>
            <w:spacing w:after="0"/>
            <w:rPr>
              <w:b/>
              <w:bCs/>
            </w:rPr>
          </w:pPr>
          <w:r w:rsidRPr="004A0FFB">
            <w:rPr>
              <w:b/>
              <w:bCs/>
            </w:rPr>
            <w:t>Bijlage(n)</w:t>
          </w:r>
        </w:p>
        <w:p w14:paraId="07CFA5CA" w14:textId="269FA76B" w:rsidR="004A0FFB" w:rsidRPr="005819CE" w:rsidRDefault="004A0FFB" w:rsidP="004A0FFB">
          <w:pPr>
            <w:pStyle w:val="Huisstijl-Gegeven"/>
            <w:spacing w:after="0"/>
          </w:pPr>
          <w:r>
            <w:t>2</w:t>
          </w:r>
        </w:p>
        <w:p w14:paraId="7376D2F5" w14:textId="17D3BBA6" w:rsidR="00527BD4" w:rsidRPr="005819CE" w:rsidRDefault="00527BD4" w:rsidP="001D0B97">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44380" w:rsidRPr="00661DF0" w14:paraId="4353ABBE" w14:textId="77777777" w:rsidTr="007610AA">
      <w:trPr>
        <w:trHeight w:val="400"/>
      </w:trPr>
      <w:tc>
        <w:tcPr>
          <w:tcW w:w="7520" w:type="dxa"/>
          <w:gridSpan w:val="2"/>
        </w:tcPr>
        <w:p w14:paraId="6898A736" w14:textId="712B4096" w:rsidR="00527BD4" w:rsidRPr="00A61539" w:rsidRDefault="00337AB3" w:rsidP="00A50CF6">
          <w:pPr>
            <w:pStyle w:val="Huisstijl-Retouradres"/>
            <w:rPr>
              <w:lang w:val="de-DE"/>
            </w:rPr>
          </w:pPr>
          <w:r w:rsidRPr="00A61539">
            <w:rPr>
              <w:lang w:val="de-DE"/>
            </w:rPr>
            <w:t>&gt; Retouradres Postbus 20401 2500 EK Den Haag</w:t>
          </w:r>
        </w:p>
      </w:tc>
    </w:tr>
    <w:tr w:rsidR="00444380" w:rsidRPr="00661DF0" w14:paraId="5164276F" w14:textId="77777777" w:rsidTr="007610AA">
      <w:tc>
        <w:tcPr>
          <w:tcW w:w="7520" w:type="dxa"/>
          <w:gridSpan w:val="2"/>
        </w:tcPr>
        <w:p w14:paraId="7BF06BCA" w14:textId="6CD2AB28" w:rsidR="00527BD4" w:rsidRPr="00A61539" w:rsidRDefault="00527BD4" w:rsidP="00A50CF6">
          <w:pPr>
            <w:pStyle w:val="Huisstijl-Rubricering"/>
            <w:rPr>
              <w:lang w:val="de-DE"/>
            </w:rPr>
          </w:pPr>
        </w:p>
      </w:tc>
    </w:tr>
    <w:tr w:rsidR="00444380" w14:paraId="44D89C5D" w14:textId="77777777" w:rsidTr="007610AA">
      <w:trPr>
        <w:trHeight w:hRule="exact" w:val="2440"/>
      </w:trPr>
      <w:tc>
        <w:tcPr>
          <w:tcW w:w="7520" w:type="dxa"/>
          <w:gridSpan w:val="2"/>
        </w:tcPr>
        <w:p w14:paraId="5FBC3816" w14:textId="77777777" w:rsidR="00527BD4" w:rsidRDefault="00337AB3" w:rsidP="00A50CF6">
          <w:pPr>
            <w:pStyle w:val="Huisstijl-NAW"/>
          </w:pPr>
          <w:r>
            <w:t xml:space="preserve">De </w:t>
          </w:r>
          <w:r w:rsidR="001D0B97">
            <w:t>V</w:t>
          </w:r>
          <w:r>
            <w:t>oorzitter van de Tweede Kamer</w:t>
          </w:r>
        </w:p>
        <w:p w14:paraId="6B3B8BC5" w14:textId="77777777" w:rsidR="001D0B97" w:rsidRDefault="001D0B97" w:rsidP="00A50CF6">
          <w:pPr>
            <w:pStyle w:val="Huisstijl-NAW"/>
          </w:pPr>
          <w:r>
            <w:t>der Staten-Generaal</w:t>
          </w:r>
        </w:p>
        <w:p w14:paraId="4F747F02" w14:textId="77777777" w:rsidR="001D0B97" w:rsidRDefault="001D0B97" w:rsidP="00A50CF6">
          <w:pPr>
            <w:pStyle w:val="Huisstijl-NAW"/>
          </w:pPr>
          <w:r>
            <w:t>Prinses Irenestraat 6</w:t>
          </w:r>
        </w:p>
        <w:p w14:paraId="0A499B54" w14:textId="65282D77" w:rsidR="001D0B97" w:rsidRDefault="001D0B97" w:rsidP="00A50CF6">
          <w:pPr>
            <w:pStyle w:val="Huisstijl-NAW"/>
          </w:pPr>
          <w:r>
            <w:t>2595 BD  DEN HAAG</w:t>
          </w:r>
        </w:p>
      </w:tc>
    </w:tr>
    <w:tr w:rsidR="00444380"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44380" w14:paraId="5ED9E2F1" w14:textId="77777777" w:rsidTr="007610AA">
      <w:trPr>
        <w:trHeight w:val="240"/>
      </w:trPr>
      <w:tc>
        <w:tcPr>
          <w:tcW w:w="900" w:type="dxa"/>
        </w:tcPr>
        <w:p w14:paraId="7BB2C1AF" w14:textId="7DE3B017" w:rsidR="00527BD4" w:rsidRPr="007709EF" w:rsidRDefault="00337AB3" w:rsidP="00A50CF6">
          <w:pPr>
            <w:rPr>
              <w:szCs w:val="18"/>
            </w:rPr>
          </w:pPr>
          <w:r>
            <w:rPr>
              <w:szCs w:val="18"/>
            </w:rPr>
            <w:t>Datum</w:t>
          </w:r>
        </w:p>
      </w:tc>
      <w:tc>
        <w:tcPr>
          <w:tcW w:w="6620" w:type="dxa"/>
        </w:tcPr>
        <w:p w14:paraId="13BD43AC" w14:textId="02B8FDA4" w:rsidR="00527BD4" w:rsidRPr="007709EF" w:rsidRDefault="00247CAE" w:rsidP="00A50CF6">
          <w:r>
            <w:t>30 september</w:t>
          </w:r>
          <w:r w:rsidR="00093353">
            <w:t xml:space="preserve"> 2025</w:t>
          </w:r>
        </w:p>
      </w:tc>
    </w:tr>
    <w:tr w:rsidR="00444380" w14:paraId="35FBB112" w14:textId="77777777" w:rsidTr="007610AA">
      <w:trPr>
        <w:trHeight w:val="240"/>
      </w:trPr>
      <w:tc>
        <w:tcPr>
          <w:tcW w:w="900" w:type="dxa"/>
        </w:tcPr>
        <w:p w14:paraId="67E42000" w14:textId="6DF421F8" w:rsidR="00527BD4" w:rsidRPr="007709EF" w:rsidRDefault="00337AB3" w:rsidP="00A50CF6">
          <w:pPr>
            <w:rPr>
              <w:szCs w:val="18"/>
            </w:rPr>
          </w:pPr>
          <w:r>
            <w:rPr>
              <w:szCs w:val="18"/>
            </w:rPr>
            <w:t>Betreft</w:t>
          </w:r>
        </w:p>
      </w:tc>
      <w:tc>
        <w:tcPr>
          <w:tcW w:w="6620" w:type="dxa"/>
        </w:tcPr>
        <w:p w14:paraId="35AC81C8" w14:textId="67C7ADE5" w:rsidR="00527BD4" w:rsidRPr="007709EF" w:rsidRDefault="00337AB3" w:rsidP="00A50CF6">
          <w:r>
            <w:t>Update gasleveringszekerheid Q3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F6798F"/>
    <w:multiLevelType w:val="hybridMultilevel"/>
    <w:tmpl w:val="7A7A12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F94B86E">
      <w:start w:val="1"/>
      <w:numFmt w:val="bullet"/>
      <w:pStyle w:val="Lijstopsomteken"/>
      <w:lvlText w:val="•"/>
      <w:lvlJc w:val="left"/>
      <w:pPr>
        <w:tabs>
          <w:tab w:val="num" w:pos="227"/>
        </w:tabs>
        <w:ind w:left="227" w:hanging="227"/>
      </w:pPr>
      <w:rPr>
        <w:rFonts w:ascii="Verdana" w:hAnsi="Verdana" w:hint="default"/>
        <w:sz w:val="18"/>
        <w:szCs w:val="18"/>
      </w:rPr>
    </w:lvl>
    <w:lvl w:ilvl="1" w:tplc="0540A6F4" w:tentative="1">
      <w:start w:val="1"/>
      <w:numFmt w:val="bullet"/>
      <w:lvlText w:val="o"/>
      <w:lvlJc w:val="left"/>
      <w:pPr>
        <w:tabs>
          <w:tab w:val="num" w:pos="1440"/>
        </w:tabs>
        <w:ind w:left="1440" w:hanging="360"/>
      </w:pPr>
      <w:rPr>
        <w:rFonts w:ascii="Courier New" w:hAnsi="Courier New" w:cs="Courier New" w:hint="default"/>
      </w:rPr>
    </w:lvl>
    <w:lvl w:ilvl="2" w:tplc="654ECF6A" w:tentative="1">
      <w:start w:val="1"/>
      <w:numFmt w:val="bullet"/>
      <w:lvlText w:val=""/>
      <w:lvlJc w:val="left"/>
      <w:pPr>
        <w:tabs>
          <w:tab w:val="num" w:pos="2160"/>
        </w:tabs>
        <w:ind w:left="2160" w:hanging="360"/>
      </w:pPr>
      <w:rPr>
        <w:rFonts w:ascii="Wingdings" w:hAnsi="Wingdings" w:hint="default"/>
      </w:rPr>
    </w:lvl>
    <w:lvl w:ilvl="3" w:tplc="8D2EA102" w:tentative="1">
      <w:start w:val="1"/>
      <w:numFmt w:val="bullet"/>
      <w:lvlText w:val=""/>
      <w:lvlJc w:val="left"/>
      <w:pPr>
        <w:tabs>
          <w:tab w:val="num" w:pos="2880"/>
        </w:tabs>
        <w:ind w:left="2880" w:hanging="360"/>
      </w:pPr>
      <w:rPr>
        <w:rFonts w:ascii="Symbol" w:hAnsi="Symbol" w:hint="default"/>
      </w:rPr>
    </w:lvl>
    <w:lvl w:ilvl="4" w:tplc="6734C094" w:tentative="1">
      <w:start w:val="1"/>
      <w:numFmt w:val="bullet"/>
      <w:lvlText w:val="o"/>
      <w:lvlJc w:val="left"/>
      <w:pPr>
        <w:tabs>
          <w:tab w:val="num" w:pos="3600"/>
        </w:tabs>
        <w:ind w:left="3600" w:hanging="360"/>
      </w:pPr>
      <w:rPr>
        <w:rFonts w:ascii="Courier New" w:hAnsi="Courier New" w:cs="Courier New" w:hint="default"/>
      </w:rPr>
    </w:lvl>
    <w:lvl w:ilvl="5" w:tplc="644E8250" w:tentative="1">
      <w:start w:val="1"/>
      <w:numFmt w:val="bullet"/>
      <w:lvlText w:val=""/>
      <w:lvlJc w:val="left"/>
      <w:pPr>
        <w:tabs>
          <w:tab w:val="num" w:pos="4320"/>
        </w:tabs>
        <w:ind w:left="4320" w:hanging="360"/>
      </w:pPr>
      <w:rPr>
        <w:rFonts w:ascii="Wingdings" w:hAnsi="Wingdings" w:hint="default"/>
      </w:rPr>
    </w:lvl>
    <w:lvl w:ilvl="6" w:tplc="CC06941A" w:tentative="1">
      <w:start w:val="1"/>
      <w:numFmt w:val="bullet"/>
      <w:lvlText w:val=""/>
      <w:lvlJc w:val="left"/>
      <w:pPr>
        <w:tabs>
          <w:tab w:val="num" w:pos="5040"/>
        </w:tabs>
        <w:ind w:left="5040" w:hanging="360"/>
      </w:pPr>
      <w:rPr>
        <w:rFonts w:ascii="Symbol" w:hAnsi="Symbol" w:hint="default"/>
      </w:rPr>
    </w:lvl>
    <w:lvl w:ilvl="7" w:tplc="538CA516" w:tentative="1">
      <w:start w:val="1"/>
      <w:numFmt w:val="bullet"/>
      <w:lvlText w:val="o"/>
      <w:lvlJc w:val="left"/>
      <w:pPr>
        <w:tabs>
          <w:tab w:val="num" w:pos="5760"/>
        </w:tabs>
        <w:ind w:left="5760" w:hanging="360"/>
      </w:pPr>
      <w:rPr>
        <w:rFonts w:ascii="Courier New" w:hAnsi="Courier New" w:cs="Courier New" w:hint="default"/>
      </w:rPr>
    </w:lvl>
    <w:lvl w:ilvl="8" w:tplc="C3982C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4BAC5D4">
      <w:start w:val="1"/>
      <w:numFmt w:val="bullet"/>
      <w:pStyle w:val="Lijstopsomteken2"/>
      <w:lvlText w:val="–"/>
      <w:lvlJc w:val="left"/>
      <w:pPr>
        <w:tabs>
          <w:tab w:val="num" w:pos="227"/>
        </w:tabs>
        <w:ind w:left="227" w:firstLine="0"/>
      </w:pPr>
      <w:rPr>
        <w:rFonts w:ascii="Verdana" w:hAnsi="Verdana" w:hint="default"/>
      </w:rPr>
    </w:lvl>
    <w:lvl w:ilvl="1" w:tplc="C8867926" w:tentative="1">
      <w:start w:val="1"/>
      <w:numFmt w:val="bullet"/>
      <w:lvlText w:val="o"/>
      <w:lvlJc w:val="left"/>
      <w:pPr>
        <w:tabs>
          <w:tab w:val="num" w:pos="1440"/>
        </w:tabs>
        <w:ind w:left="1440" w:hanging="360"/>
      </w:pPr>
      <w:rPr>
        <w:rFonts w:ascii="Courier New" w:hAnsi="Courier New" w:cs="Courier New" w:hint="default"/>
      </w:rPr>
    </w:lvl>
    <w:lvl w:ilvl="2" w:tplc="421E0A7E" w:tentative="1">
      <w:start w:val="1"/>
      <w:numFmt w:val="bullet"/>
      <w:lvlText w:val=""/>
      <w:lvlJc w:val="left"/>
      <w:pPr>
        <w:tabs>
          <w:tab w:val="num" w:pos="2160"/>
        </w:tabs>
        <w:ind w:left="2160" w:hanging="360"/>
      </w:pPr>
      <w:rPr>
        <w:rFonts w:ascii="Wingdings" w:hAnsi="Wingdings" w:hint="default"/>
      </w:rPr>
    </w:lvl>
    <w:lvl w:ilvl="3" w:tplc="C62C1888" w:tentative="1">
      <w:start w:val="1"/>
      <w:numFmt w:val="bullet"/>
      <w:lvlText w:val=""/>
      <w:lvlJc w:val="left"/>
      <w:pPr>
        <w:tabs>
          <w:tab w:val="num" w:pos="2880"/>
        </w:tabs>
        <w:ind w:left="2880" w:hanging="360"/>
      </w:pPr>
      <w:rPr>
        <w:rFonts w:ascii="Symbol" w:hAnsi="Symbol" w:hint="default"/>
      </w:rPr>
    </w:lvl>
    <w:lvl w:ilvl="4" w:tplc="7162379C" w:tentative="1">
      <w:start w:val="1"/>
      <w:numFmt w:val="bullet"/>
      <w:lvlText w:val="o"/>
      <w:lvlJc w:val="left"/>
      <w:pPr>
        <w:tabs>
          <w:tab w:val="num" w:pos="3600"/>
        </w:tabs>
        <w:ind w:left="3600" w:hanging="360"/>
      </w:pPr>
      <w:rPr>
        <w:rFonts w:ascii="Courier New" w:hAnsi="Courier New" w:cs="Courier New" w:hint="default"/>
      </w:rPr>
    </w:lvl>
    <w:lvl w:ilvl="5" w:tplc="B9D22AFC" w:tentative="1">
      <w:start w:val="1"/>
      <w:numFmt w:val="bullet"/>
      <w:lvlText w:val=""/>
      <w:lvlJc w:val="left"/>
      <w:pPr>
        <w:tabs>
          <w:tab w:val="num" w:pos="4320"/>
        </w:tabs>
        <w:ind w:left="4320" w:hanging="360"/>
      </w:pPr>
      <w:rPr>
        <w:rFonts w:ascii="Wingdings" w:hAnsi="Wingdings" w:hint="default"/>
      </w:rPr>
    </w:lvl>
    <w:lvl w:ilvl="6" w:tplc="6F741F22" w:tentative="1">
      <w:start w:val="1"/>
      <w:numFmt w:val="bullet"/>
      <w:lvlText w:val=""/>
      <w:lvlJc w:val="left"/>
      <w:pPr>
        <w:tabs>
          <w:tab w:val="num" w:pos="5040"/>
        </w:tabs>
        <w:ind w:left="5040" w:hanging="360"/>
      </w:pPr>
      <w:rPr>
        <w:rFonts w:ascii="Symbol" w:hAnsi="Symbol" w:hint="default"/>
      </w:rPr>
    </w:lvl>
    <w:lvl w:ilvl="7" w:tplc="A44A3788" w:tentative="1">
      <w:start w:val="1"/>
      <w:numFmt w:val="bullet"/>
      <w:lvlText w:val="o"/>
      <w:lvlJc w:val="left"/>
      <w:pPr>
        <w:tabs>
          <w:tab w:val="num" w:pos="5760"/>
        </w:tabs>
        <w:ind w:left="5760" w:hanging="360"/>
      </w:pPr>
      <w:rPr>
        <w:rFonts w:ascii="Courier New" w:hAnsi="Courier New" w:cs="Courier New" w:hint="default"/>
      </w:rPr>
    </w:lvl>
    <w:lvl w:ilvl="8" w:tplc="D8CA4F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D4422"/>
    <w:multiLevelType w:val="multilevel"/>
    <w:tmpl w:val="03786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9F122F"/>
    <w:multiLevelType w:val="multilevel"/>
    <w:tmpl w:val="AB489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74201"/>
    <w:multiLevelType w:val="multilevel"/>
    <w:tmpl w:val="AD64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8A03F2"/>
    <w:multiLevelType w:val="hybridMultilevel"/>
    <w:tmpl w:val="2EACFB04"/>
    <w:lvl w:ilvl="0" w:tplc="890E8116">
      <w:start w:val="1"/>
      <w:numFmt w:val="decimal"/>
      <w:lvlText w:val="%1."/>
      <w:lvlJc w:val="left"/>
      <w:pPr>
        <w:ind w:left="1020" w:hanging="360"/>
      </w:pPr>
    </w:lvl>
    <w:lvl w:ilvl="1" w:tplc="CFBC164C">
      <w:start w:val="1"/>
      <w:numFmt w:val="decimal"/>
      <w:lvlText w:val="%2."/>
      <w:lvlJc w:val="left"/>
      <w:pPr>
        <w:ind w:left="1020" w:hanging="360"/>
      </w:pPr>
    </w:lvl>
    <w:lvl w:ilvl="2" w:tplc="A61C0A10">
      <w:start w:val="1"/>
      <w:numFmt w:val="decimal"/>
      <w:lvlText w:val="%3."/>
      <w:lvlJc w:val="left"/>
      <w:pPr>
        <w:ind w:left="1020" w:hanging="360"/>
      </w:pPr>
    </w:lvl>
    <w:lvl w:ilvl="3" w:tplc="5846CF96">
      <w:start w:val="1"/>
      <w:numFmt w:val="decimal"/>
      <w:lvlText w:val="%4."/>
      <w:lvlJc w:val="left"/>
      <w:pPr>
        <w:ind w:left="1020" w:hanging="360"/>
      </w:pPr>
    </w:lvl>
    <w:lvl w:ilvl="4" w:tplc="63982F02">
      <w:start w:val="1"/>
      <w:numFmt w:val="decimal"/>
      <w:lvlText w:val="%5."/>
      <w:lvlJc w:val="left"/>
      <w:pPr>
        <w:ind w:left="1020" w:hanging="360"/>
      </w:pPr>
    </w:lvl>
    <w:lvl w:ilvl="5" w:tplc="CC52E58C">
      <w:start w:val="1"/>
      <w:numFmt w:val="decimal"/>
      <w:lvlText w:val="%6."/>
      <w:lvlJc w:val="left"/>
      <w:pPr>
        <w:ind w:left="1020" w:hanging="360"/>
      </w:pPr>
    </w:lvl>
    <w:lvl w:ilvl="6" w:tplc="AFB669BC">
      <w:start w:val="1"/>
      <w:numFmt w:val="decimal"/>
      <w:lvlText w:val="%7."/>
      <w:lvlJc w:val="left"/>
      <w:pPr>
        <w:ind w:left="1020" w:hanging="360"/>
      </w:pPr>
    </w:lvl>
    <w:lvl w:ilvl="7" w:tplc="DB88B38A">
      <w:start w:val="1"/>
      <w:numFmt w:val="decimal"/>
      <w:lvlText w:val="%8."/>
      <w:lvlJc w:val="left"/>
      <w:pPr>
        <w:ind w:left="1020" w:hanging="360"/>
      </w:pPr>
    </w:lvl>
    <w:lvl w:ilvl="8" w:tplc="50A08668">
      <w:start w:val="1"/>
      <w:numFmt w:val="decimal"/>
      <w:lvlText w:val="%9."/>
      <w:lvlJc w:val="left"/>
      <w:pPr>
        <w:ind w:left="1020" w:hanging="360"/>
      </w:pPr>
    </w:lvl>
  </w:abstractNum>
  <w:abstractNum w:abstractNumId="19" w15:restartNumberingAfterBreak="0">
    <w:nsid w:val="77B6477C"/>
    <w:multiLevelType w:val="multilevel"/>
    <w:tmpl w:val="6D666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971439">
    <w:abstractNumId w:val="11"/>
  </w:num>
  <w:num w:numId="2" w16cid:durableId="425734296">
    <w:abstractNumId w:val="7"/>
  </w:num>
  <w:num w:numId="3" w16cid:durableId="366026338">
    <w:abstractNumId w:val="6"/>
  </w:num>
  <w:num w:numId="4" w16cid:durableId="54159855">
    <w:abstractNumId w:val="5"/>
  </w:num>
  <w:num w:numId="5" w16cid:durableId="459342934">
    <w:abstractNumId w:val="4"/>
  </w:num>
  <w:num w:numId="6" w16cid:durableId="2001158928">
    <w:abstractNumId w:val="8"/>
  </w:num>
  <w:num w:numId="7" w16cid:durableId="604315336">
    <w:abstractNumId w:val="3"/>
  </w:num>
  <w:num w:numId="8" w16cid:durableId="1696927917">
    <w:abstractNumId w:val="2"/>
  </w:num>
  <w:num w:numId="9" w16cid:durableId="1366323549">
    <w:abstractNumId w:val="1"/>
  </w:num>
  <w:num w:numId="10" w16cid:durableId="471943440">
    <w:abstractNumId w:val="0"/>
  </w:num>
  <w:num w:numId="11" w16cid:durableId="916982673">
    <w:abstractNumId w:val="10"/>
  </w:num>
  <w:num w:numId="12" w16cid:durableId="267197651">
    <w:abstractNumId w:val="12"/>
  </w:num>
  <w:num w:numId="13" w16cid:durableId="76949952">
    <w:abstractNumId w:val="15"/>
  </w:num>
  <w:num w:numId="14" w16cid:durableId="483787741">
    <w:abstractNumId w:val="13"/>
  </w:num>
  <w:num w:numId="15" w16cid:durableId="299119836">
    <w:abstractNumId w:val="17"/>
  </w:num>
  <w:num w:numId="16" w16cid:durableId="1867713738">
    <w:abstractNumId w:val="19"/>
  </w:num>
  <w:num w:numId="17" w16cid:durableId="1468665261">
    <w:abstractNumId w:val="14"/>
  </w:num>
  <w:num w:numId="18" w16cid:durableId="1271738040">
    <w:abstractNumId w:val="16"/>
  </w:num>
  <w:num w:numId="19" w16cid:durableId="756443920">
    <w:abstractNumId w:val="9"/>
  </w:num>
  <w:num w:numId="20" w16cid:durableId="154810198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B78"/>
    <w:rsid w:val="00002A26"/>
    <w:rsid w:val="00002F96"/>
    <w:rsid w:val="00004766"/>
    <w:rsid w:val="000049FB"/>
    <w:rsid w:val="000051C7"/>
    <w:rsid w:val="00006A4D"/>
    <w:rsid w:val="0001174C"/>
    <w:rsid w:val="00011AEB"/>
    <w:rsid w:val="00012365"/>
    <w:rsid w:val="00013862"/>
    <w:rsid w:val="00013F6D"/>
    <w:rsid w:val="00016012"/>
    <w:rsid w:val="00017382"/>
    <w:rsid w:val="00020189"/>
    <w:rsid w:val="00020EE4"/>
    <w:rsid w:val="00023E9A"/>
    <w:rsid w:val="00026455"/>
    <w:rsid w:val="00031523"/>
    <w:rsid w:val="00032E48"/>
    <w:rsid w:val="00033CDD"/>
    <w:rsid w:val="00034A84"/>
    <w:rsid w:val="00035E67"/>
    <w:rsid w:val="00036488"/>
    <w:rsid w:val="000366F3"/>
    <w:rsid w:val="0004143B"/>
    <w:rsid w:val="000475C8"/>
    <w:rsid w:val="00050334"/>
    <w:rsid w:val="0005158D"/>
    <w:rsid w:val="000532D3"/>
    <w:rsid w:val="0005360C"/>
    <w:rsid w:val="0006024D"/>
    <w:rsid w:val="00063785"/>
    <w:rsid w:val="0006622C"/>
    <w:rsid w:val="000705F6"/>
    <w:rsid w:val="00071193"/>
    <w:rsid w:val="00071F28"/>
    <w:rsid w:val="0007237D"/>
    <w:rsid w:val="00074079"/>
    <w:rsid w:val="00080DDD"/>
    <w:rsid w:val="00081DEB"/>
    <w:rsid w:val="000823CD"/>
    <w:rsid w:val="00083174"/>
    <w:rsid w:val="00083B9E"/>
    <w:rsid w:val="00083C08"/>
    <w:rsid w:val="000846B5"/>
    <w:rsid w:val="00091030"/>
    <w:rsid w:val="00092799"/>
    <w:rsid w:val="00092C5F"/>
    <w:rsid w:val="00093353"/>
    <w:rsid w:val="000954F1"/>
    <w:rsid w:val="00096680"/>
    <w:rsid w:val="000A0F36"/>
    <w:rsid w:val="000A15BF"/>
    <w:rsid w:val="000A174A"/>
    <w:rsid w:val="000A21DF"/>
    <w:rsid w:val="000A3E0A"/>
    <w:rsid w:val="000A5B30"/>
    <w:rsid w:val="000A65AC"/>
    <w:rsid w:val="000A6ADB"/>
    <w:rsid w:val="000A7159"/>
    <w:rsid w:val="000A7C3B"/>
    <w:rsid w:val="000B088F"/>
    <w:rsid w:val="000B5C27"/>
    <w:rsid w:val="000B7281"/>
    <w:rsid w:val="000B7648"/>
    <w:rsid w:val="000B7FAB"/>
    <w:rsid w:val="000C0163"/>
    <w:rsid w:val="000C15C4"/>
    <w:rsid w:val="000C1BA1"/>
    <w:rsid w:val="000C3EA9"/>
    <w:rsid w:val="000C422F"/>
    <w:rsid w:val="000C4EFD"/>
    <w:rsid w:val="000D0225"/>
    <w:rsid w:val="000D0E15"/>
    <w:rsid w:val="000D12F6"/>
    <w:rsid w:val="000D213A"/>
    <w:rsid w:val="000D6A20"/>
    <w:rsid w:val="000D754E"/>
    <w:rsid w:val="000E3A30"/>
    <w:rsid w:val="000E4326"/>
    <w:rsid w:val="000E4A3C"/>
    <w:rsid w:val="000E6ACB"/>
    <w:rsid w:val="000E76FB"/>
    <w:rsid w:val="000E7895"/>
    <w:rsid w:val="000F161D"/>
    <w:rsid w:val="000F1CB0"/>
    <w:rsid w:val="000F3CAA"/>
    <w:rsid w:val="000F5DC9"/>
    <w:rsid w:val="000F69B2"/>
    <w:rsid w:val="00102ABB"/>
    <w:rsid w:val="00103B6A"/>
    <w:rsid w:val="00106850"/>
    <w:rsid w:val="00106B80"/>
    <w:rsid w:val="001127E2"/>
    <w:rsid w:val="00121645"/>
    <w:rsid w:val="00121BF0"/>
    <w:rsid w:val="00123704"/>
    <w:rsid w:val="001247F9"/>
    <w:rsid w:val="001270C7"/>
    <w:rsid w:val="0012748D"/>
    <w:rsid w:val="00127EE5"/>
    <w:rsid w:val="0013249D"/>
    <w:rsid w:val="00132540"/>
    <w:rsid w:val="001325A6"/>
    <w:rsid w:val="001331A1"/>
    <w:rsid w:val="001339D2"/>
    <w:rsid w:val="00133F0F"/>
    <w:rsid w:val="00137387"/>
    <w:rsid w:val="00143DD3"/>
    <w:rsid w:val="001470F2"/>
    <w:rsid w:val="0014786A"/>
    <w:rsid w:val="001503CC"/>
    <w:rsid w:val="001516A4"/>
    <w:rsid w:val="00151888"/>
    <w:rsid w:val="00151E5F"/>
    <w:rsid w:val="00153E28"/>
    <w:rsid w:val="001543D4"/>
    <w:rsid w:val="001569AB"/>
    <w:rsid w:val="00157BE5"/>
    <w:rsid w:val="00161332"/>
    <w:rsid w:val="00164D63"/>
    <w:rsid w:val="0016620E"/>
    <w:rsid w:val="00166B90"/>
    <w:rsid w:val="001670E7"/>
    <w:rsid w:val="0016725C"/>
    <w:rsid w:val="001726F3"/>
    <w:rsid w:val="001738B1"/>
    <w:rsid w:val="00173938"/>
    <w:rsid w:val="00173C51"/>
    <w:rsid w:val="00174CC2"/>
    <w:rsid w:val="0017659E"/>
    <w:rsid w:val="00176CC6"/>
    <w:rsid w:val="001772E5"/>
    <w:rsid w:val="00181BE4"/>
    <w:rsid w:val="00182B78"/>
    <w:rsid w:val="00185255"/>
    <w:rsid w:val="00185576"/>
    <w:rsid w:val="00185951"/>
    <w:rsid w:val="00187492"/>
    <w:rsid w:val="00187FB3"/>
    <w:rsid w:val="0019143C"/>
    <w:rsid w:val="001915CF"/>
    <w:rsid w:val="0019458A"/>
    <w:rsid w:val="00196B8B"/>
    <w:rsid w:val="00197319"/>
    <w:rsid w:val="001A0140"/>
    <w:rsid w:val="001A2A88"/>
    <w:rsid w:val="001A2BEA"/>
    <w:rsid w:val="001A4498"/>
    <w:rsid w:val="001A6ABF"/>
    <w:rsid w:val="001A6D93"/>
    <w:rsid w:val="001A71F0"/>
    <w:rsid w:val="001B0879"/>
    <w:rsid w:val="001B1505"/>
    <w:rsid w:val="001B774E"/>
    <w:rsid w:val="001C32EC"/>
    <w:rsid w:val="001C38BD"/>
    <w:rsid w:val="001C4D5A"/>
    <w:rsid w:val="001C5A12"/>
    <w:rsid w:val="001C78F7"/>
    <w:rsid w:val="001C79ED"/>
    <w:rsid w:val="001C7D2E"/>
    <w:rsid w:val="001D0B97"/>
    <w:rsid w:val="001D156E"/>
    <w:rsid w:val="001D1FAA"/>
    <w:rsid w:val="001D1FC2"/>
    <w:rsid w:val="001D25D8"/>
    <w:rsid w:val="001D5C19"/>
    <w:rsid w:val="001D6EED"/>
    <w:rsid w:val="001D71CA"/>
    <w:rsid w:val="001D7AC8"/>
    <w:rsid w:val="001E1AE8"/>
    <w:rsid w:val="001E2095"/>
    <w:rsid w:val="001E34C6"/>
    <w:rsid w:val="001E5581"/>
    <w:rsid w:val="001E7847"/>
    <w:rsid w:val="001E79A6"/>
    <w:rsid w:val="001E7FE9"/>
    <w:rsid w:val="001F3C70"/>
    <w:rsid w:val="001F4A36"/>
    <w:rsid w:val="001F682B"/>
    <w:rsid w:val="0020067D"/>
    <w:rsid w:val="00200D88"/>
    <w:rsid w:val="00201F68"/>
    <w:rsid w:val="0020441E"/>
    <w:rsid w:val="00205BAE"/>
    <w:rsid w:val="0020740A"/>
    <w:rsid w:val="00211CA6"/>
    <w:rsid w:val="002125F6"/>
    <w:rsid w:val="00212D3D"/>
    <w:rsid w:val="00212F2A"/>
    <w:rsid w:val="00213C71"/>
    <w:rsid w:val="00214531"/>
    <w:rsid w:val="00214F2B"/>
    <w:rsid w:val="00215644"/>
    <w:rsid w:val="00216319"/>
    <w:rsid w:val="00217880"/>
    <w:rsid w:val="00222D66"/>
    <w:rsid w:val="00223B39"/>
    <w:rsid w:val="0022428F"/>
    <w:rsid w:val="00224A8A"/>
    <w:rsid w:val="0022684F"/>
    <w:rsid w:val="00227C5C"/>
    <w:rsid w:val="002309A8"/>
    <w:rsid w:val="00231FCB"/>
    <w:rsid w:val="00232A99"/>
    <w:rsid w:val="002349DE"/>
    <w:rsid w:val="00236CFE"/>
    <w:rsid w:val="002370AD"/>
    <w:rsid w:val="00237EE3"/>
    <w:rsid w:val="00240684"/>
    <w:rsid w:val="00242645"/>
    <w:rsid w:val="002428E3"/>
    <w:rsid w:val="00242938"/>
    <w:rsid w:val="00243031"/>
    <w:rsid w:val="00247AD8"/>
    <w:rsid w:val="00247B0D"/>
    <w:rsid w:val="00247CAE"/>
    <w:rsid w:val="00251C8C"/>
    <w:rsid w:val="0025284A"/>
    <w:rsid w:val="00252C57"/>
    <w:rsid w:val="00252E98"/>
    <w:rsid w:val="0025510E"/>
    <w:rsid w:val="00260BAF"/>
    <w:rsid w:val="00262A27"/>
    <w:rsid w:val="002650F7"/>
    <w:rsid w:val="002654A6"/>
    <w:rsid w:val="0026581D"/>
    <w:rsid w:val="00265F71"/>
    <w:rsid w:val="00266772"/>
    <w:rsid w:val="00267C4B"/>
    <w:rsid w:val="00270BB3"/>
    <w:rsid w:val="00270DBD"/>
    <w:rsid w:val="00271A8E"/>
    <w:rsid w:val="00272E14"/>
    <w:rsid w:val="00273F3B"/>
    <w:rsid w:val="00274DB7"/>
    <w:rsid w:val="00275984"/>
    <w:rsid w:val="00280F74"/>
    <w:rsid w:val="00281C21"/>
    <w:rsid w:val="002822CA"/>
    <w:rsid w:val="00282A0C"/>
    <w:rsid w:val="00284F06"/>
    <w:rsid w:val="002867AD"/>
    <w:rsid w:val="00286998"/>
    <w:rsid w:val="00291AB7"/>
    <w:rsid w:val="00291D04"/>
    <w:rsid w:val="00291F70"/>
    <w:rsid w:val="00292EB2"/>
    <w:rsid w:val="00293372"/>
    <w:rsid w:val="0029422B"/>
    <w:rsid w:val="0029615B"/>
    <w:rsid w:val="002A0157"/>
    <w:rsid w:val="002A0938"/>
    <w:rsid w:val="002A14B8"/>
    <w:rsid w:val="002A1570"/>
    <w:rsid w:val="002A6055"/>
    <w:rsid w:val="002A6328"/>
    <w:rsid w:val="002A6D5C"/>
    <w:rsid w:val="002A7B23"/>
    <w:rsid w:val="002B153C"/>
    <w:rsid w:val="002B52FC"/>
    <w:rsid w:val="002B60DF"/>
    <w:rsid w:val="002C11B1"/>
    <w:rsid w:val="002C2830"/>
    <w:rsid w:val="002C347C"/>
    <w:rsid w:val="002C4465"/>
    <w:rsid w:val="002C5957"/>
    <w:rsid w:val="002D001A"/>
    <w:rsid w:val="002D0DDB"/>
    <w:rsid w:val="002D28E2"/>
    <w:rsid w:val="002D317B"/>
    <w:rsid w:val="002D3587"/>
    <w:rsid w:val="002D3BF2"/>
    <w:rsid w:val="002D502D"/>
    <w:rsid w:val="002D6E1A"/>
    <w:rsid w:val="002D737F"/>
    <w:rsid w:val="002D7670"/>
    <w:rsid w:val="002D771D"/>
    <w:rsid w:val="002E02B9"/>
    <w:rsid w:val="002E0A46"/>
    <w:rsid w:val="002E0F69"/>
    <w:rsid w:val="002E56EE"/>
    <w:rsid w:val="002E5AFF"/>
    <w:rsid w:val="002F428D"/>
    <w:rsid w:val="002F471E"/>
    <w:rsid w:val="002F5147"/>
    <w:rsid w:val="002F664A"/>
    <w:rsid w:val="002F696B"/>
    <w:rsid w:val="002F7431"/>
    <w:rsid w:val="002F7ABD"/>
    <w:rsid w:val="00300C83"/>
    <w:rsid w:val="00301C7E"/>
    <w:rsid w:val="00304FF9"/>
    <w:rsid w:val="00311F52"/>
    <w:rsid w:val="00312597"/>
    <w:rsid w:val="00314045"/>
    <w:rsid w:val="00315603"/>
    <w:rsid w:val="0031668C"/>
    <w:rsid w:val="00320F43"/>
    <w:rsid w:val="00321B35"/>
    <w:rsid w:val="00326531"/>
    <w:rsid w:val="00327BA5"/>
    <w:rsid w:val="00332216"/>
    <w:rsid w:val="0033326F"/>
    <w:rsid w:val="00334154"/>
    <w:rsid w:val="003343E6"/>
    <w:rsid w:val="0033497B"/>
    <w:rsid w:val="003360FC"/>
    <w:rsid w:val="00336A2B"/>
    <w:rsid w:val="003372C4"/>
    <w:rsid w:val="00337AB3"/>
    <w:rsid w:val="00340ECA"/>
    <w:rsid w:val="00341FA0"/>
    <w:rsid w:val="00342DA8"/>
    <w:rsid w:val="003436F0"/>
    <w:rsid w:val="0034444D"/>
    <w:rsid w:val="00344683"/>
    <w:rsid w:val="00344F3D"/>
    <w:rsid w:val="00345299"/>
    <w:rsid w:val="0034588D"/>
    <w:rsid w:val="00346BE4"/>
    <w:rsid w:val="0034708F"/>
    <w:rsid w:val="0035083C"/>
    <w:rsid w:val="00351A8D"/>
    <w:rsid w:val="003526BB"/>
    <w:rsid w:val="00352BCF"/>
    <w:rsid w:val="00352DFB"/>
    <w:rsid w:val="00353718"/>
    <w:rsid w:val="00353932"/>
    <w:rsid w:val="0035464B"/>
    <w:rsid w:val="003578DE"/>
    <w:rsid w:val="00361A56"/>
    <w:rsid w:val="0036252A"/>
    <w:rsid w:val="00364D9A"/>
    <w:rsid w:val="00364D9D"/>
    <w:rsid w:val="00371048"/>
    <w:rsid w:val="003712C1"/>
    <w:rsid w:val="0037396C"/>
    <w:rsid w:val="0037421D"/>
    <w:rsid w:val="00376093"/>
    <w:rsid w:val="0038018D"/>
    <w:rsid w:val="00381474"/>
    <w:rsid w:val="00381BB2"/>
    <w:rsid w:val="00382C41"/>
    <w:rsid w:val="00383DA1"/>
    <w:rsid w:val="00385F30"/>
    <w:rsid w:val="00391EE2"/>
    <w:rsid w:val="00393696"/>
    <w:rsid w:val="00393963"/>
    <w:rsid w:val="0039520B"/>
    <w:rsid w:val="00395575"/>
    <w:rsid w:val="00395672"/>
    <w:rsid w:val="003967A9"/>
    <w:rsid w:val="003A06C8"/>
    <w:rsid w:val="003A0D7C"/>
    <w:rsid w:val="003A0E46"/>
    <w:rsid w:val="003A5290"/>
    <w:rsid w:val="003A5DF9"/>
    <w:rsid w:val="003B0155"/>
    <w:rsid w:val="003B113C"/>
    <w:rsid w:val="003B13F5"/>
    <w:rsid w:val="003B2BAB"/>
    <w:rsid w:val="003B7EE7"/>
    <w:rsid w:val="003C0B27"/>
    <w:rsid w:val="003C2CCB"/>
    <w:rsid w:val="003C61B2"/>
    <w:rsid w:val="003C7D78"/>
    <w:rsid w:val="003D1D29"/>
    <w:rsid w:val="003D2F24"/>
    <w:rsid w:val="003D3040"/>
    <w:rsid w:val="003D39EC"/>
    <w:rsid w:val="003D3B1A"/>
    <w:rsid w:val="003D4ED5"/>
    <w:rsid w:val="003D52B9"/>
    <w:rsid w:val="003D5DED"/>
    <w:rsid w:val="003E1D91"/>
    <w:rsid w:val="003E1EA8"/>
    <w:rsid w:val="003E2C35"/>
    <w:rsid w:val="003E3DD5"/>
    <w:rsid w:val="003E56B1"/>
    <w:rsid w:val="003E6D21"/>
    <w:rsid w:val="003F07C6"/>
    <w:rsid w:val="003F1F6B"/>
    <w:rsid w:val="003F3757"/>
    <w:rsid w:val="003F38BD"/>
    <w:rsid w:val="003F44B7"/>
    <w:rsid w:val="004008E9"/>
    <w:rsid w:val="00404F9C"/>
    <w:rsid w:val="00407AE0"/>
    <w:rsid w:val="00407DA1"/>
    <w:rsid w:val="00410DDB"/>
    <w:rsid w:val="0041168D"/>
    <w:rsid w:val="00412A2C"/>
    <w:rsid w:val="00413B2E"/>
    <w:rsid w:val="00413D48"/>
    <w:rsid w:val="00415FD4"/>
    <w:rsid w:val="004168BE"/>
    <w:rsid w:val="00417931"/>
    <w:rsid w:val="00417DC6"/>
    <w:rsid w:val="00420C09"/>
    <w:rsid w:val="0042129A"/>
    <w:rsid w:val="0042180F"/>
    <w:rsid w:val="004236CC"/>
    <w:rsid w:val="00425D8F"/>
    <w:rsid w:val="0042797E"/>
    <w:rsid w:val="00427EB6"/>
    <w:rsid w:val="00430064"/>
    <w:rsid w:val="004304FA"/>
    <w:rsid w:val="0043111D"/>
    <w:rsid w:val="004317CD"/>
    <w:rsid w:val="004351BE"/>
    <w:rsid w:val="00437873"/>
    <w:rsid w:val="00437D6E"/>
    <w:rsid w:val="00441AC2"/>
    <w:rsid w:val="00442136"/>
    <w:rsid w:val="0044249B"/>
    <w:rsid w:val="00442A82"/>
    <w:rsid w:val="00444380"/>
    <w:rsid w:val="00444C3B"/>
    <w:rsid w:val="0045023C"/>
    <w:rsid w:val="00450F4B"/>
    <w:rsid w:val="00451A5B"/>
    <w:rsid w:val="00452BCD"/>
    <w:rsid w:val="00452CEA"/>
    <w:rsid w:val="0045602E"/>
    <w:rsid w:val="004566AA"/>
    <w:rsid w:val="0046152B"/>
    <w:rsid w:val="00465B52"/>
    <w:rsid w:val="00466CB0"/>
    <w:rsid w:val="0046708E"/>
    <w:rsid w:val="004711F6"/>
    <w:rsid w:val="00472A65"/>
    <w:rsid w:val="00474463"/>
    <w:rsid w:val="00474B75"/>
    <w:rsid w:val="00474CF4"/>
    <w:rsid w:val="0047704F"/>
    <w:rsid w:val="00477A07"/>
    <w:rsid w:val="00483C7B"/>
    <w:rsid w:val="00483F0B"/>
    <w:rsid w:val="0048609A"/>
    <w:rsid w:val="004940BF"/>
    <w:rsid w:val="004940E2"/>
    <w:rsid w:val="00495968"/>
    <w:rsid w:val="00496319"/>
    <w:rsid w:val="00497279"/>
    <w:rsid w:val="004979D5"/>
    <w:rsid w:val="004A09B2"/>
    <w:rsid w:val="004A0FFB"/>
    <w:rsid w:val="004A163B"/>
    <w:rsid w:val="004A3205"/>
    <w:rsid w:val="004A670A"/>
    <w:rsid w:val="004A70D0"/>
    <w:rsid w:val="004B0178"/>
    <w:rsid w:val="004B329E"/>
    <w:rsid w:val="004B4ECF"/>
    <w:rsid w:val="004B5465"/>
    <w:rsid w:val="004B70F0"/>
    <w:rsid w:val="004C0DF9"/>
    <w:rsid w:val="004C21A8"/>
    <w:rsid w:val="004C3A92"/>
    <w:rsid w:val="004C3CE5"/>
    <w:rsid w:val="004C788A"/>
    <w:rsid w:val="004D0B33"/>
    <w:rsid w:val="004D2ADA"/>
    <w:rsid w:val="004D30B8"/>
    <w:rsid w:val="004D359B"/>
    <w:rsid w:val="004D505E"/>
    <w:rsid w:val="004D71EF"/>
    <w:rsid w:val="004D72CA"/>
    <w:rsid w:val="004E0966"/>
    <w:rsid w:val="004E1443"/>
    <w:rsid w:val="004E2242"/>
    <w:rsid w:val="004E505E"/>
    <w:rsid w:val="004E6A56"/>
    <w:rsid w:val="004F125C"/>
    <w:rsid w:val="004F42FF"/>
    <w:rsid w:val="004F44C2"/>
    <w:rsid w:val="004F63B0"/>
    <w:rsid w:val="004F6871"/>
    <w:rsid w:val="00501BA1"/>
    <w:rsid w:val="00502512"/>
    <w:rsid w:val="00503FD2"/>
    <w:rsid w:val="005040DF"/>
    <w:rsid w:val="00505262"/>
    <w:rsid w:val="00511831"/>
    <w:rsid w:val="00512549"/>
    <w:rsid w:val="0051481E"/>
    <w:rsid w:val="00516022"/>
    <w:rsid w:val="00516FA9"/>
    <w:rsid w:val="0051728B"/>
    <w:rsid w:val="00517C74"/>
    <w:rsid w:val="00521CEE"/>
    <w:rsid w:val="00522C4B"/>
    <w:rsid w:val="005233C7"/>
    <w:rsid w:val="005239DD"/>
    <w:rsid w:val="0052445E"/>
    <w:rsid w:val="00524FB4"/>
    <w:rsid w:val="005259F1"/>
    <w:rsid w:val="00526995"/>
    <w:rsid w:val="00527BD4"/>
    <w:rsid w:val="00531B38"/>
    <w:rsid w:val="00537095"/>
    <w:rsid w:val="005373BA"/>
    <w:rsid w:val="005403C8"/>
    <w:rsid w:val="0054043E"/>
    <w:rsid w:val="00541868"/>
    <w:rsid w:val="005429DC"/>
    <w:rsid w:val="005460FF"/>
    <w:rsid w:val="005461DA"/>
    <w:rsid w:val="005466F0"/>
    <w:rsid w:val="00546AD3"/>
    <w:rsid w:val="005472A4"/>
    <w:rsid w:val="00553077"/>
    <w:rsid w:val="005565F9"/>
    <w:rsid w:val="00556F70"/>
    <w:rsid w:val="00557BA8"/>
    <w:rsid w:val="00557CCD"/>
    <w:rsid w:val="00567467"/>
    <w:rsid w:val="0057102F"/>
    <w:rsid w:val="00573041"/>
    <w:rsid w:val="00575B80"/>
    <w:rsid w:val="0057620F"/>
    <w:rsid w:val="005762A3"/>
    <w:rsid w:val="005809EB"/>
    <w:rsid w:val="00580AF2"/>
    <w:rsid w:val="005819CE"/>
    <w:rsid w:val="0058298D"/>
    <w:rsid w:val="00583C5B"/>
    <w:rsid w:val="00584C1A"/>
    <w:rsid w:val="00585BDE"/>
    <w:rsid w:val="005906D6"/>
    <w:rsid w:val="00592399"/>
    <w:rsid w:val="0059338D"/>
    <w:rsid w:val="00593C2B"/>
    <w:rsid w:val="00594447"/>
    <w:rsid w:val="00595231"/>
    <w:rsid w:val="00595CCB"/>
    <w:rsid w:val="00596166"/>
    <w:rsid w:val="005967D6"/>
    <w:rsid w:val="00596B6E"/>
    <w:rsid w:val="005973E3"/>
    <w:rsid w:val="00597F64"/>
    <w:rsid w:val="005A207F"/>
    <w:rsid w:val="005A2136"/>
    <w:rsid w:val="005A2F35"/>
    <w:rsid w:val="005A2FC4"/>
    <w:rsid w:val="005A67CF"/>
    <w:rsid w:val="005B22C8"/>
    <w:rsid w:val="005B3814"/>
    <w:rsid w:val="005B463E"/>
    <w:rsid w:val="005B4EE5"/>
    <w:rsid w:val="005B579B"/>
    <w:rsid w:val="005C1436"/>
    <w:rsid w:val="005C2A81"/>
    <w:rsid w:val="005C2C0A"/>
    <w:rsid w:val="005C34E1"/>
    <w:rsid w:val="005C3FE0"/>
    <w:rsid w:val="005C46D6"/>
    <w:rsid w:val="005C607F"/>
    <w:rsid w:val="005C740C"/>
    <w:rsid w:val="005C7DAE"/>
    <w:rsid w:val="005C7FD7"/>
    <w:rsid w:val="005D2B17"/>
    <w:rsid w:val="005D4A13"/>
    <w:rsid w:val="005D625B"/>
    <w:rsid w:val="005D6319"/>
    <w:rsid w:val="005D7E39"/>
    <w:rsid w:val="005E644F"/>
    <w:rsid w:val="005E73F9"/>
    <w:rsid w:val="005F4D94"/>
    <w:rsid w:val="005F62D3"/>
    <w:rsid w:val="005F6D11"/>
    <w:rsid w:val="00600CF0"/>
    <w:rsid w:val="006048F4"/>
    <w:rsid w:val="00604B8F"/>
    <w:rsid w:val="0060660A"/>
    <w:rsid w:val="00607C82"/>
    <w:rsid w:val="006130D3"/>
    <w:rsid w:val="00613B1D"/>
    <w:rsid w:val="00615566"/>
    <w:rsid w:val="006156BB"/>
    <w:rsid w:val="00617A44"/>
    <w:rsid w:val="006202B6"/>
    <w:rsid w:val="00625CD0"/>
    <w:rsid w:val="0062627D"/>
    <w:rsid w:val="00627432"/>
    <w:rsid w:val="00627C04"/>
    <w:rsid w:val="006350A6"/>
    <w:rsid w:val="00637263"/>
    <w:rsid w:val="00637F9F"/>
    <w:rsid w:val="00640FE5"/>
    <w:rsid w:val="006448E4"/>
    <w:rsid w:val="00645414"/>
    <w:rsid w:val="00651CEE"/>
    <w:rsid w:val="00653606"/>
    <w:rsid w:val="006540F9"/>
    <w:rsid w:val="00654C56"/>
    <w:rsid w:val="006610E9"/>
    <w:rsid w:val="00661591"/>
    <w:rsid w:val="00661DF0"/>
    <w:rsid w:val="006625E1"/>
    <w:rsid w:val="006638B0"/>
    <w:rsid w:val="00664678"/>
    <w:rsid w:val="0066632F"/>
    <w:rsid w:val="00670B23"/>
    <w:rsid w:val="006718A4"/>
    <w:rsid w:val="006739C1"/>
    <w:rsid w:val="00674A89"/>
    <w:rsid w:val="00674F3D"/>
    <w:rsid w:val="006750E6"/>
    <w:rsid w:val="006754AD"/>
    <w:rsid w:val="00681410"/>
    <w:rsid w:val="006842B3"/>
    <w:rsid w:val="00685545"/>
    <w:rsid w:val="0068609C"/>
    <w:rsid w:val="006860C2"/>
    <w:rsid w:val="006864B3"/>
    <w:rsid w:val="00690590"/>
    <w:rsid w:val="00692D64"/>
    <w:rsid w:val="006937A4"/>
    <w:rsid w:val="006939E9"/>
    <w:rsid w:val="006959C7"/>
    <w:rsid w:val="00695B1C"/>
    <w:rsid w:val="006A10F8"/>
    <w:rsid w:val="006A2100"/>
    <w:rsid w:val="006A2CC7"/>
    <w:rsid w:val="006A5C3B"/>
    <w:rsid w:val="006A6108"/>
    <w:rsid w:val="006A7117"/>
    <w:rsid w:val="006A72E0"/>
    <w:rsid w:val="006B0BF3"/>
    <w:rsid w:val="006B0DA8"/>
    <w:rsid w:val="006B12E2"/>
    <w:rsid w:val="006B1860"/>
    <w:rsid w:val="006B775E"/>
    <w:rsid w:val="006B7BC7"/>
    <w:rsid w:val="006B7F30"/>
    <w:rsid w:val="006C1721"/>
    <w:rsid w:val="006C23FE"/>
    <w:rsid w:val="006C2535"/>
    <w:rsid w:val="006C2B0F"/>
    <w:rsid w:val="006C2D69"/>
    <w:rsid w:val="006C387A"/>
    <w:rsid w:val="006C441E"/>
    <w:rsid w:val="006C4B90"/>
    <w:rsid w:val="006D1016"/>
    <w:rsid w:val="006D17F2"/>
    <w:rsid w:val="006D1BB7"/>
    <w:rsid w:val="006D2853"/>
    <w:rsid w:val="006D4EB4"/>
    <w:rsid w:val="006D6B4D"/>
    <w:rsid w:val="006E19EE"/>
    <w:rsid w:val="006E1C69"/>
    <w:rsid w:val="006E3546"/>
    <w:rsid w:val="006E3FA9"/>
    <w:rsid w:val="006E43E7"/>
    <w:rsid w:val="006E48C8"/>
    <w:rsid w:val="006E5BCF"/>
    <w:rsid w:val="006E692C"/>
    <w:rsid w:val="006E7D82"/>
    <w:rsid w:val="006E7EEB"/>
    <w:rsid w:val="006F038F"/>
    <w:rsid w:val="006F0F93"/>
    <w:rsid w:val="006F0FB3"/>
    <w:rsid w:val="006F31F2"/>
    <w:rsid w:val="006F7494"/>
    <w:rsid w:val="006F751F"/>
    <w:rsid w:val="00701E32"/>
    <w:rsid w:val="007028D0"/>
    <w:rsid w:val="00703184"/>
    <w:rsid w:val="00705433"/>
    <w:rsid w:val="0070669D"/>
    <w:rsid w:val="00712957"/>
    <w:rsid w:val="00712CA7"/>
    <w:rsid w:val="00714DC5"/>
    <w:rsid w:val="00715237"/>
    <w:rsid w:val="00721AE1"/>
    <w:rsid w:val="007249B3"/>
    <w:rsid w:val="00724BA4"/>
    <w:rsid w:val="007254A5"/>
    <w:rsid w:val="00725748"/>
    <w:rsid w:val="00725A47"/>
    <w:rsid w:val="007269E3"/>
    <w:rsid w:val="00730343"/>
    <w:rsid w:val="007309E6"/>
    <w:rsid w:val="00731860"/>
    <w:rsid w:val="00731BA7"/>
    <w:rsid w:val="0073205E"/>
    <w:rsid w:val="00733968"/>
    <w:rsid w:val="00735D88"/>
    <w:rsid w:val="007371C7"/>
    <w:rsid w:val="0073720D"/>
    <w:rsid w:val="007372AD"/>
    <w:rsid w:val="00737507"/>
    <w:rsid w:val="00740712"/>
    <w:rsid w:val="00742AB9"/>
    <w:rsid w:val="00743B10"/>
    <w:rsid w:val="00743EFD"/>
    <w:rsid w:val="0074628B"/>
    <w:rsid w:val="00746C31"/>
    <w:rsid w:val="00746CB2"/>
    <w:rsid w:val="00750A60"/>
    <w:rsid w:val="00751150"/>
    <w:rsid w:val="00751A6A"/>
    <w:rsid w:val="0075382C"/>
    <w:rsid w:val="00754FBF"/>
    <w:rsid w:val="007610AA"/>
    <w:rsid w:val="007634D5"/>
    <w:rsid w:val="007709EF"/>
    <w:rsid w:val="00770C57"/>
    <w:rsid w:val="007808E6"/>
    <w:rsid w:val="00780FAD"/>
    <w:rsid w:val="00781A67"/>
    <w:rsid w:val="00782701"/>
    <w:rsid w:val="00783559"/>
    <w:rsid w:val="007850AD"/>
    <w:rsid w:val="007859EF"/>
    <w:rsid w:val="00791AB4"/>
    <w:rsid w:val="007932D1"/>
    <w:rsid w:val="007945A0"/>
    <w:rsid w:val="0079551B"/>
    <w:rsid w:val="00796AE1"/>
    <w:rsid w:val="00796E41"/>
    <w:rsid w:val="00797AA5"/>
    <w:rsid w:val="007A0370"/>
    <w:rsid w:val="007A0F19"/>
    <w:rsid w:val="007A26BD"/>
    <w:rsid w:val="007A2F4A"/>
    <w:rsid w:val="007A335A"/>
    <w:rsid w:val="007A4105"/>
    <w:rsid w:val="007B296F"/>
    <w:rsid w:val="007B30C0"/>
    <w:rsid w:val="007B39B6"/>
    <w:rsid w:val="007B4503"/>
    <w:rsid w:val="007C3692"/>
    <w:rsid w:val="007C406E"/>
    <w:rsid w:val="007C5183"/>
    <w:rsid w:val="007C53DC"/>
    <w:rsid w:val="007C72D1"/>
    <w:rsid w:val="007C7573"/>
    <w:rsid w:val="007D1181"/>
    <w:rsid w:val="007D2AC2"/>
    <w:rsid w:val="007D53B4"/>
    <w:rsid w:val="007E0704"/>
    <w:rsid w:val="007E074C"/>
    <w:rsid w:val="007E2B20"/>
    <w:rsid w:val="007E5960"/>
    <w:rsid w:val="007E7786"/>
    <w:rsid w:val="007F1FE4"/>
    <w:rsid w:val="007F2F13"/>
    <w:rsid w:val="007F439C"/>
    <w:rsid w:val="007F5331"/>
    <w:rsid w:val="007F5B40"/>
    <w:rsid w:val="007F7AF4"/>
    <w:rsid w:val="007F7E21"/>
    <w:rsid w:val="00800980"/>
    <w:rsid w:val="00800CCA"/>
    <w:rsid w:val="00802FE8"/>
    <w:rsid w:val="00803061"/>
    <w:rsid w:val="00805B85"/>
    <w:rsid w:val="00806120"/>
    <w:rsid w:val="00806F63"/>
    <w:rsid w:val="00807900"/>
    <w:rsid w:val="00810C93"/>
    <w:rsid w:val="00810DF2"/>
    <w:rsid w:val="00811215"/>
    <w:rsid w:val="00811663"/>
    <w:rsid w:val="00812028"/>
    <w:rsid w:val="00812DD8"/>
    <w:rsid w:val="00813082"/>
    <w:rsid w:val="00814D03"/>
    <w:rsid w:val="00820371"/>
    <w:rsid w:val="00820CAC"/>
    <w:rsid w:val="00821FC1"/>
    <w:rsid w:val="008234AC"/>
    <w:rsid w:val="00823AE2"/>
    <w:rsid w:val="008247A2"/>
    <w:rsid w:val="00826600"/>
    <w:rsid w:val="0083178B"/>
    <w:rsid w:val="00831CE9"/>
    <w:rsid w:val="00831D97"/>
    <w:rsid w:val="00831EE4"/>
    <w:rsid w:val="00833695"/>
    <w:rsid w:val="008336B7"/>
    <w:rsid w:val="00833A8E"/>
    <w:rsid w:val="00836ACA"/>
    <w:rsid w:val="0083779F"/>
    <w:rsid w:val="00842BE6"/>
    <w:rsid w:val="00842CD8"/>
    <w:rsid w:val="008431FA"/>
    <w:rsid w:val="00847444"/>
    <w:rsid w:val="008517C6"/>
    <w:rsid w:val="00851D87"/>
    <w:rsid w:val="008547BA"/>
    <w:rsid w:val="008553C7"/>
    <w:rsid w:val="00855843"/>
    <w:rsid w:val="008573A4"/>
    <w:rsid w:val="00857FEB"/>
    <w:rsid w:val="008601AF"/>
    <w:rsid w:val="0086148E"/>
    <w:rsid w:val="00862310"/>
    <w:rsid w:val="008654EB"/>
    <w:rsid w:val="00866594"/>
    <w:rsid w:val="00872271"/>
    <w:rsid w:val="0087478C"/>
    <w:rsid w:val="00874DC5"/>
    <w:rsid w:val="00875683"/>
    <w:rsid w:val="00881774"/>
    <w:rsid w:val="00883137"/>
    <w:rsid w:val="008873D4"/>
    <w:rsid w:val="00894A3B"/>
    <w:rsid w:val="00894F1B"/>
    <w:rsid w:val="00895508"/>
    <w:rsid w:val="00896367"/>
    <w:rsid w:val="0089683C"/>
    <w:rsid w:val="00897254"/>
    <w:rsid w:val="00897526"/>
    <w:rsid w:val="008A1F5D"/>
    <w:rsid w:val="008A28F5"/>
    <w:rsid w:val="008A50BF"/>
    <w:rsid w:val="008A5950"/>
    <w:rsid w:val="008A6CCF"/>
    <w:rsid w:val="008B0B00"/>
    <w:rsid w:val="008B1198"/>
    <w:rsid w:val="008B1504"/>
    <w:rsid w:val="008B2810"/>
    <w:rsid w:val="008B3471"/>
    <w:rsid w:val="008B3929"/>
    <w:rsid w:val="008B4125"/>
    <w:rsid w:val="008B4CB3"/>
    <w:rsid w:val="008B5495"/>
    <w:rsid w:val="008B567B"/>
    <w:rsid w:val="008B7180"/>
    <w:rsid w:val="008B7B24"/>
    <w:rsid w:val="008C356D"/>
    <w:rsid w:val="008C414F"/>
    <w:rsid w:val="008C6FCE"/>
    <w:rsid w:val="008D0871"/>
    <w:rsid w:val="008D43B5"/>
    <w:rsid w:val="008D4C77"/>
    <w:rsid w:val="008D4CE2"/>
    <w:rsid w:val="008D5B64"/>
    <w:rsid w:val="008E0B3F"/>
    <w:rsid w:val="008E2C5B"/>
    <w:rsid w:val="008E49AD"/>
    <w:rsid w:val="008E59FC"/>
    <w:rsid w:val="008E698E"/>
    <w:rsid w:val="008E76EC"/>
    <w:rsid w:val="008F143B"/>
    <w:rsid w:val="008F2584"/>
    <w:rsid w:val="008F3216"/>
    <w:rsid w:val="008F3246"/>
    <w:rsid w:val="008F3C1B"/>
    <w:rsid w:val="008F4C3D"/>
    <w:rsid w:val="008F508C"/>
    <w:rsid w:val="008F66B9"/>
    <w:rsid w:val="00901BE9"/>
    <w:rsid w:val="0090271B"/>
    <w:rsid w:val="00906F5C"/>
    <w:rsid w:val="00910642"/>
    <w:rsid w:val="00910701"/>
    <w:rsid w:val="00910DDF"/>
    <w:rsid w:val="009171EE"/>
    <w:rsid w:val="00917FF0"/>
    <w:rsid w:val="0092074F"/>
    <w:rsid w:val="009207B2"/>
    <w:rsid w:val="00920914"/>
    <w:rsid w:val="00921250"/>
    <w:rsid w:val="009213E1"/>
    <w:rsid w:val="00922290"/>
    <w:rsid w:val="009225E7"/>
    <w:rsid w:val="00924B5A"/>
    <w:rsid w:val="00926AE2"/>
    <w:rsid w:val="0092714B"/>
    <w:rsid w:val="00930B13"/>
    <w:rsid w:val="009311C8"/>
    <w:rsid w:val="00933376"/>
    <w:rsid w:val="009339EF"/>
    <w:rsid w:val="00933A2F"/>
    <w:rsid w:val="0093545B"/>
    <w:rsid w:val="0093571D"/>
    <w:rsid w:val="009376B6"/>
    <w:rsid w:val="009513C8"/>
    <w:rsid w:val="009513C9"/>
    <w:rsid w:val="00952953"/>
    <w:rsid w:val="00952BF7"/>
    <w:rsid w:val="009545E2"/>
    <w:rsid w:val="00960E3F"/>
    <w:rsid w:val="009678E6"/>
    <w:rsid w:val="009706A5"/>
    <w:rsid w:val="009716D8"/>
    <w:rsid w:val="009718F9"/>
    <w:rsid w:val="00971F42"/>
    <w:rsid w:val="00972FB9"/>
    <w:rsid w:val="009730B5"/>
    <w:rsid w:val="00975112"/>
    <w:rsid w:val="00976732"/>
    <w:rsid w:val="00976D1A"/>
    <w:rsid w:val="00981768"/>
    <w:rsid w:val="00981DB0"/>
    <w:rsid w:val="00983735"/>
    <w:rsid w:val="00983E8F"/>
    <w:rsid w:val="00984B84"/>
    <w:rsid w:val="009853E2"/>
    <w:rsid w:val="0098788A"/>
    <w:rsid w:val="009878EE"/>
    <w:rsid w:val="00991C45"/>
    <w:rsid w:val="00991FCF"/>
    <w:rsid w:val="00994FDA"/>
    <w:rsid w:val="009975FB"/>
    <w:rsid w:val="009A2D4D"/>
    <w:rsid w:val="009A31BF"/>
    <w:rsid w:val="009A39B7"/>
    <w:rsid w:val="009A3B71"/>
    <w:rsid w:val="009A619A"/>
    <w:rsid w:val="009A61BC"/>
    <w:rsid w:val="009A70AA"/>
    <w:rsid w:val="009B0138"/>
    <w:rsid w:val="009B0FE9"/>
    <w:rsid w:val="009B173A"/>
    <w:rsid w:val="009B4111"/>
    <w:rsid w:val="009B6A15"/>
    <w:rsid w:val="009B6D25"/>
    <w:rsid w:val="009B7A7B"/>
    <w:rsid w:val="009C3F20"/>
    <w:rsid w:val="009C637F"/>
    <w:rsid w:val="009C7CA1"/>
    <w:rsid w:val="009D043D"/>
    <w:rsid w:val="009D52C2"/>
    <w:rsid w:val="009E0054"/>
    <w:rsid w:val="009E2D4F"/>
    <w:rsid w:val="009E3C59"/>
    <w:rsid w:val="009E4117"/>
    <w:rsid w:val="009E4C04"/>
    <w:rsid w:val="009E7085"/>
    <w:rsid w:val="009E725E"/>
    <w:rsid w:val="009E7765"/>
    <w:rsid w:val="009F29BF"/>
    <w:rsid w:val="009F3259"/>
    <w:rsid w:val="009F4955"/>
    <w:rsid w:val="009F4ADD"/>
    <w:rsid w:val="009F4C8A"/>
    <w:rsid w:val="009F5912"/>
    <w:rsid w:val="00A0083F"/>
    <w:rsid w:val="00A01210"/>
    <w:rsid w:val="00A01531"/>
    <w:rsid w:val="00A02F14"/>
    <w:rsid w:val="00A037D5"/>
    <w:rsid w:val="00A0529A"/>
    <w:rsid w:val="00A05612"/>
    <w:rsid w:val="00A056DE"/>
    <w:rsid w:val="00A057EF"/>
    <w:rsid w:val="00A128AD"/>
    <w:rsid w:val="00A1497E"/>
    <w:rsid w:val="00A159F0"/>
    <w:rsid w:val="00A16292"/>
    <w:rsid w:val="00A16D7E"/>
    <w:rsid w:val="00A2063E"/>
    <w:rsid w:val="00A21D9F"/>
    <w:rsid w:val="00A21E76"/>
    <w:rsid w:val="00A2394C"/>
    <w:rsid w:val="00A23BC8"/>
    <w:rsid w:val="00A245F8"/>
    <w:rsid w:val="00A25BB4"/>
    <w:rsid w:val="00A25F7E"/>
    <w:rsid w:val="00A30259"/>
    <w:rsid w:val="00A30E68"/>
    <w:rsid w:val="00A31933"/>
    <w:rsid w:val="00A32635"/>
    <w:rsid w:val="00A329D2"/>
    <w:rsid w:val="00A34AA0"/>
    <w:rsid w:val="00A36E61"/>
    <w:rsid w:val="00A3715C"/>
    <w:rsid w:val="00A413B4"/>
    <w:rsid w:val="00A41FE2"/>
    <w:rsid w:val="00A44CA2"/>
    <w:rsid w:val="00A45E48"/>
    <w:rsid w:val="00A46FEF"/>
    <w:rsid w:val="00A47746"/>
    <w:rsid w:val="00A47948"/>
    <w:rsid w:val="00A50CF6"/>
    <w:rsid w:val="00A512CD"/>
    <w:rsid w:val="00A55EF1"/>
    <w:rsid w:val="00A56946"/>
    <w:rsid w:val="00A61394"/>
    <w:rsid w:val="00A61539"/>
    <w:rsid w:val="00A6170E"/>
    <w:rsid w:val="00A61A4E"/>
    <w:rsid w:val="00A62388"/>
    <w:rsid w:val="00A6260D"/>
    <w:rsid w:val="00A63B8C"/>
    <w:rsid w:val="00A66B0F"/>
    <w:rsid w:val="00A67A53"/>
    <w:rsid w:val="00A67E92"/>
    <w:rsid w:val="00A715F8"/>
    <w:rsid w:val="00A774CE"/>
    <w:rsid w:val="00A77F6F"/>
    <w:rsid w:val="00A81986"/>
    <w:rsid w:val="00A831FD"/>
    <w:rsid w:val="00A83352"/>
    <w:rsid w:val="00A850A2"/>
    <w:rsid w:val="00A86266"/>
    <w:rsid w:val="00A91FA3"/>
    <w:rsid w:val="00A927D3"/>
    <w:rsid w:val="00A9784A"/>
    <w:rsid w:val="00A97B6D"/>
    <w:rsid w:val="00A97BBF"/>
    <w:rsid w:val="00A97E03"/>
    <w:rsid w:val="00AA192E"/>
    <w:rsid w:val="00AA2848"/>
    <w:rsid w:val="00AA6025"/>
    <w:rsid w:val="00AA6AAA"/>
    <w:rsid w:val="00AA7E65"/>
    <w:rsid w:val="00AA7FC9"/>
    <w:rsid w:val="00AB237D"/>
    <w:rsid w:val="00AB5933"/>
    <w:rsid w:val="00AB7059"/>
    <w:rsid w:val="00AB7131"/>
    <w:rsid w:val="00AC12B0"/>
    <w:rsid w:val="00AC19FE"/>
    <w:rsid w:val="00AC3718"/>
    <w:rsid w:val="00AC68B2"/>
    <w:rsid w:val="00AC74EF"/>
    <w:rsid w:val="00AC7881"/>
    <w:rsid w:val="00AD185A"/>
    <w:rsid w:val="00AD1F4A"/>
    <w:rsid w:val="00AD40FB"/>
    <w:rsid w:val="00AD7DC7"/>
    <w:rsid w:val="00AE013D"/>
    <w:rsid w:val="00AE11B7"/>
    <w:rsid w:val="00AE1EFB"/>
    <w:rsid w:val="00AE1F2E"/>
    <w:rsid w:val="00AE5980"/>
    <w:rsid w:val="00AE6205"/>
    <w:rsid w:val="00AE6B6C"/>
    <w:rsid w:val="00AE7F68"/>
    <w:rsid w:val="00AF2321"/>
    <w:rsid w:val="00AF290F"/>
    <w:rsid w:val="00AF45E7"/>
    <w:rsid w:val="00AF4B93"/>
    <w:rsid w:val="00AF52F6"/>
    <w:rsid w:val="00AF52FD"/>
    <w:rsid w:val="00AF54A8"/>
    <w:rsid w:val="00AF6AB4"/>
    <w:rsid w:val="00AF7237"/>
    <w:rsid w:val="00AF7A7E"/>
    <w:rsid w:val="00B0043A"/>
    <w:rsid w:val="00B00D75"/>
    <w:rsid w:val="00B06399"/>
    <w:rsid w:val="00B070CB"/>
    <w:rsid w:val="00B114BD"/>
    <w:rsid w:val="00B12456"/>
    <w:rsid w:val="00B1277F"/>
    <w:rsid w:val="00B12F01"/>
    <w:rsid w:val="00B145F0"/>
    <w:rsid w:val="00B17595"/>
    <w:rsid w:val="00B20118"/>
    <w:rsid w:val="00B259C8"/>
    <w:rsid w:val="00B26CCF"/>
    <w:rsid w:val="00B30FC2"/>
    <w:rsid w:val="00B331A2"/>
    <w:rsid w:val="00B3470D"/>
    <w:rsid w:val="00B36970"/>
    <w:rsid w:val="00B36BC9"/>
    <w:rsid w:val="00B404FA"/>
    <w:rsid w:val="00B40DE4"/>
    <w:rsid w:val="00B425F0"/>
    <w:rsid w:val="00B42DFA"/>
    <w:rsid w:val="00B45154"/>
    <w:rsid w:val="00B45998"/>
    <w:rsid w:val="00B471B5"/>
    <w:rsid w:val="00B51497"/>
    <w:rsid w:val="00B51B12"/>
    <w:rsid w:val="00B52427"/>
    <w:rsid w:val="00B5313D"/>
    <w:rsid w:val="00B531DD"/>
    <w:rsid w:val="00B55014"/>
    <w:rsid w:val="00B55D6F"/>
    <w:rsid w:val="00B60B5E"/>
    <w:rsid w:val="00B62232"/>
    <w:rsid w:val="00B64E94"/>
    <w:rsid w:val="00B652CF"/>
    <w:rsid w:val="00B671F3"/>
    <w:rsid w:val="00B70BF3"/>
    <w:rsid w:val="00B71DC2"/>
    <w:rsid w:val="00B728DB"/>
    <w:rsid w:val="00B72EC0"/>
    <w:rsid w:val="00B762FF"/>
    <w:rsid w:val="00B7721A"/>
    <w:rsid w:val="00B849F5"/>
    <w:rsid w:val="00B876F4"/>
    <w:rsid w:val="00B87858"/>
    <w:rsid w:val="00B91CFC"/>
    <w:rsid w:val="00B93191"/>
    <w:rsid w:val="00B93893"/>
    <w:rsid w:val="00BA1397"/>
    <w:rsid w:val="00BA17DF"/>
    <w:rsid w:val="00BA2570"/>
    <w:rsid w:val="00BA2716"/>
    <w:rsid w:val="00BA47B9"/>
    <w:rsid w:val="00BA7E0A"/>
    <w:rsid w:val="00BB31BD"/>
    <w:rsid w:val="00BB4A26"/>
    <w:rsid w:val="00BB6ACC"/>
    <w:rsid w:val="00BC15CD"/>
    <w:rsid w:val="00BC215F"/>
    <w:rsid w:val="00BC222D"/>
    <w:rsid w:val="00BC22E1"/>
    <w:rsid w:val="00BC2C00"/>
    <w:rsid w:val="00BC3B53"/>
    <w:rsid w:val="00BC3B96"/>
    <w:rsid w:val="00BC4AE3"/>
    <w:rsid w:val="00BC5B28"/>
    <w:rsid w:val="00BC629A"/>
    <w:rsid w:val="00BD04E0"/>
    <w:rsid w:val="00BD09B1"/>
    <w:rsid w:val="00BD2370"/>
    <w:rsid w:val="00BD306B"/>
    <w:rsid w:val="00BD4304"/>
    <w:rsid w:val="00BD50EA"/>
    <w:rsid w:val="00BD61B4"/>
    <w:rsid w:val="00BD7E69"/>
    <w:rsid w:val="00BE1656"/>
    <w:rsid w:val="00BE1A1C"/>
    <w:rsid w:val="00BE2BEA"/>
    <w:rsid w:val="00BE3F88"/>
    <w:rsid w:val="00BE4756"/>
    <w:rsid w:val="00BE4ED3"/>
    <w:rsid w:val="00BE532A"/>
    <w:rsid w:val="00BE5ED9"/>
    <w:rsid w:val="00BE5FFA"/>
    <w:rsid w:val="00BE6604"/>
    <w:rsid w:val="00BE7367"/>
    <w:rsid w:val="00BE7B41"/>
    <w:rsid w:val="00BF27E0"/>
    <w:rsid w:val="00BF3323"/>
    <w:rsid w:val="00BF64C3"/>
    <w:rsid w:val="00BF6BAC"/>
    <w:rsid w:val="00C03BCD"/>
    <w:rsid w:val="00C0442B"/>
    <w:rsid w:val="00C06242"/>
    <w:rsid w:val="00C116A1"/>
    <w:rsid w:val="00C11B94"/>
    <w:rsid w:val="00C148DA"/>
    <w:rsid w:val="00C14D87"/>
    <w:rsid w:val="00C15424"/>
    <w:rsid w:val="00C15A91"/>
    <w:rsid w:val="00C16677"/>
    <w:rsid w:val="00C16A51"/>
    <w:rsid w:val="00C206F1"/>
    <w:rsid w:val="00C20B6B"/>
    <w:rsid w:val="00C213A4"/>
    <w:rsid w:val="00C217E1"/>
    <w:rsid w:val="00C21869"/>
    <w:rsid w:val="00C219B1"/>
    <w:rsid w:val="00C24C07"/>
    <w:rsid w:val="00C25324"/>
    <w:rsid w:val="00C26A5E"/>
    <w:rsid w:val="00C26BC1"/>
    <w:rsid w:val="00C33E88"/>
    <w:rsid w:val="00C35593"/>
    <w:rsid w:val="00C376C5"/>
    <w:rsid w:val="00C4015B"/>
    <w:rsid w:val="00C40B09"/>
    <w:rsid w:val="00C40C60"/>
    <w:rsid w:val="00C41C78"/>
    <w:rsid w:val="00C43001"/>
    <w:rsid w:val="00C43FE6"/>
    <w:rsid w:val="00C45659"/>
    <w:rsid w:val="00C46233"/>
    <w:rsid w:val="00C5178B"/>
    <w:rsid w:val="00C5258E"/>
    <w:rsid w:val="00C530C9"/>
    <w:rsid w:val="00C55F14"/>
    <w:rsid w:val="00C576DB"/>
    <w:rsid w:val="00C610B4"/>
    <w:rsid w:val="00C619A7"/>
    <w:rsid w:val="00C6221B"/>
    <w:rsid w:val="00C64B46"/>
    <w:rsid w:val="00C661A8"/>
    <w:rsid w:val="00C73059"/>
    <w:rsid w:val="00C73D5F"/>
    <w:rsid w:val="00C757E2"/>
    <w:rsid w:val="00C75B52"/>
    <w:rsid w:val="00C75E3F"/>
    <w:rsid w:val="00C75E5B"/>
    <w:rsid w:val="00C76459"/>
    <w:rsid w:val="00C82AFE"/>
    <w:rsid w:val="00C83DBC"/>
    <w:rsid w:val="00C8595F"/>
    <w:rsid w:val="00C874E9"/>
    <w:rsid w:val="00C9346A"/>
    <w:rsid w:val="00C94BA6"/>
    <w:rsid w:val="00C97069"/>
    <w:rsid w:val="00C97C80"/>
    <w:rsid w:val="00CA47D3"/>
    <w:rsid w:val="00CA6533"/>
    <w:rsid w:val="00CA687F"/>
    <w:rsid w:val="00CA6A25"/>
    <w:rsid w:val="00CA6A3F"/>
    <w:rsid w:val="00CA7C99"/>
    <w:rsid w:val="00CB0648"/>
    <w:rsid w:val="00CB2340"/>
    <w:rsid w:val="00CB26BC"/>
    <w:rsid w:val="00CB35C4"/>
    <w:rsid w:val="00CB3CDE"/>
    <w:rsid w:val="00CB51E8"/>
    <w:rsid w:val="00CC4684"/>
    <w:rsid w:val="00CC4C6B"/>
    <w:rsid w:val="00CC5054"/>
    <w:rsid w:val="00CC6290"/>
    <w:rsid w:val="00CC6947"/>
    <w:rsid w:val="00CC6B8D"/>
    <w:rsid w:val="00CC7B6B"/>
    <w:rsid w:val="00CD1556"/>
    <w:rsid w:val="00CD233D"/>
    <w:rsid w:val="00CD28D1"/>
    <w:rsid w:val="00CD2D09"/>
    <w:rsid w:val="00CD3499"/>
    <w:rsid w:val="00CD362D"/>
    <w:rsid w:val="00CD3B15"/>
    <w:rsid w:val="00CD4060"/>
    <w:rsid w:val="00CD5088"/>
    <w:rsid w:val="00CD5766"/>
    <w:rsid w:val="00CE101D"/>
    <w:rsid w:val="00CE1814"/>
    <w:rsid w:val="00CE1A95"/>
    <w:rsid w:val="00CE1C84"/>
    <w:rsid w:val="00CE258B"/>
    <w:rsid w:val="00CE36FB"/>
    <w:rsid w:val="00CE458F"/>
    <w:rsid w:val="00CE4FDF"/>
    <w:rsid w:val="00CE5055"/>
    <w:rsid w:val="00CE575B"/>
    <w:rsid w:val="00CE7F9E"/>
    <w:rsid w:val="00CF030E"/>
    <w:rsid w:val="00CF053F"/>
    <w:rsid w:val="00CF1A17"/>
    <w:rsid w:val="00CF36FF"/>
    <w:rsid w:val="00CF54A2"/>
    <w:rsid w:val="00D0097E"/>
    <w:rsid w:val="00D016A8"/>
    <w:rsid w:val="00D01EB8"/>
    <w:rsid w:val="00D02C27"/>
    <w:rsid w:val="00D0375A"/>
    <w:rsid w:val="00D0609E"/>
    <w:rsid w:val="00D078E1"/>
    <w:rsid w:val="00D100E9"/>
    <w:rsid w:val="00D12523"/>
    <w:rsid w:val="00D139EC"/>
    <w:rsid w:val="00D13CAF"/>
    <w:rsid w:val="00D17942"/>
    <w:rsid w:val="00D21117"/>
    <w:rsid w:val="00D2183A"/>
    <w:rsid w:val="00D21E4B"/>
    <w:rsid w:val="00D22441"/>
    <w:rsid w:val="00D23522"/>
    <w:rsid w:val="00D23F98"/>
    <w:rsid w:val="00D264D6"/>
    <w:rsid w:val="00D26B80"/>
    <w:rsid w:val="00D32830"/>
    <w:rsid w:val="00D3377E"/>
    <w:rsid w:val="00D33BF0"/>
    <w:rsid w:val="00D33DE0"/>
    <w:rsid w:val="00D35801"/>
    <w:rsid w:val="00D35900"/>
    <w:rsid w:val="00D35ACD"/>
    <w:rsid w:val="00D36447"/>
    <w:rsid w:val="00D37D77"/>
    <w:rsid w:val="00D427D2"/>
    <w:rsid w:val="00D434CC"/>
    <w:rsid w:val="00D516BE"/>
    <w:rsid w:val="00D51E56"/>
    <w:rsid w:val="00D52B9E"/>
    <w:rsid w:val="00D52F1B"/>
    <w:rsid w:val="00D5423B"/>
    <w:rsid w:val="00D548EC"/>
    <w:rsid w:val="00D54E6A"/>
    <w:rsid w:val="00D54F4E"/>
    <w:rsid w:val="00D55BAD"/>
    <w:rsid w:val="00D56CD9"/>
    <w:rsid w:val="00D56E01"/>
    <w:rsid w:val="00D57A56"/>
    <w:rsid w:val="00D57D50"/>
    <w:rsid w:val="00D57F6E"/>
    <w:rsid w:val="00D604B3"/>
    <w:rsid w:val="00D605B0"/>
    <w:rsid w:val="00D60BA4"/>
    <w:rsid w:val="00D62419"/>
    <w:rsid w:val="00D6450F"/>
    <w:rsid w:val="00D646D7"/>
    <w:rsid w:val="00D72B68"/>
    <w:rsid w:val="00D72FD3"/>
    <w:rsid w:val="00D741D3"/>
    <w:rsid w:val="00D7515F"/>
    <w:rsid w:val="00D75D06"/>
    <w:rsid w:val="00D77870"/>
    <w:rsid w:val="00D77BA2"/>
    <w:rsid w:val="00D77EF8"/>
    <w:rsid w:val="00D80977"/>
    <w:rsid w:val="00D80CCE"/>
    <w:rsid w:val="00D82714"/>
    <w:rsid w:val="00D8694D"/>
    <w:rsid w:val="00D86EEA"/>
    <w:rsid w:val="00D87D03"/>
    <w:rsid w:val="00D9360B"/>
    <w:rsid w:val="00D93B4C"/>
    <w:rsid w:val="00D95C88"/>
    <w:rsid w:val="00D97B2E"/>
    <w:rsid w:val="00DA02B6"/>
    <w:rsid w:val="00DA1308"/>
    <w:rsid w:val="00DA241E"/>
    <w:rsid w:val="00DA36D0"/>
    <w:rsid w:val="00DA6A97"/>
    <w:rsid w:val="00DB1AD9"/>
    <w:rsid w:val="00DB2DF5"/>
    <w:rsid w:val="00DB36FE"/>
    <w:rsid w:val="00DB533A"/>
    <w:rsid w:val="00DB5DD2"/>
    <w:rsid w:val="00DB60AE"/>
    <w:rsid w:val="00DB6307"/>
    <w:rsid w:val="00DC3D5E"/>
    <w:rsid w:val="00DC5437"/>
    <w:rsid w:val="00DC7148"/>
    <w:rsid w:val="00DD11A6"/>
    <w:rsid w:val="00DD1DCD"/>
    <w:rsid w:val="00DD338F"/>
    <w:rsid w:val="00DD377B"/>
    <w:rsid w:val="00DD611E"/>
    <w:rsid w:val="00DD6226"/>
    <w:rsid w:val="00DD62AA"/>
    <w:rsid w:val="00DD66F2"/>
    <w:rsid w:val="00DE351C"/>
    <w:rsid w:val="00DE3FE0"/>
    <w:rsid w:val="00DE578A"/>
    <w:rsid w:val="00DE5904"/>
    <w:rsid w:val="00DE62E5"/>
    <w:rsid w:val="00DE6B6A"/>
    <w:rsid w:val="00DF1779"/>
    <w:rsid w:val="00DF2583"/>
    <w:rsid w:val="00DF3091"/>
    <w:rsid w:val="00DF3CA5"/>
    <w:rsid w:val="00DF54D9"/>
    <w:rsid w:val="00DF576F"/>
    <w:rsid w:val="00DF6CF7"/>
    <w:rsid w:val="00DF7283"/>
    <w:rsid w:val="00E00376"/>
    <w:rsid w:val="00E0051D"/>
    <w:rsid w:val="00E01A59"/>
    <w:rsid w:val="00E0382C"/>
    <w:rsid w:val="00E109DA"/>
    <w:rsid w:val="00E10DC6"/>
    <w:rsid w:val="00E11F8E"/>
    <w:rsid w:val="00E15881"/>
    <w:rsid w:val="00E16A8F"/>
    <w:rsid w:val="00E16D07"/>
    <w:rsid w:val="00E212E0"/>
    <w:rsid w:val="00E21DE3"/>
    <w:rsid w:val="00E22384"/>
    <w:rsid w:val="00E23FED"/>
    <w:rsid w:val="00E2636F"/>
    <w:rsid w:val="00E26AE7"/>
    <w:rsid w:val="00E273C5"/>
    <w:rsid w:val="00E275A0"/>
    <w:rsid w:val="00E307D1"/>
    <w:rsid w:val="00E30B4D"/>
    <w:rsid w:val="00E32640"/>
    <w:rsid w:val="00E33E84"/>
    <w:rsid w:val="00E364B3"/>
    <w:rsid w:val="00E3731D"/>
    <w:rsid w:val="00E439FF"/>
    <w:rsid w:val="00E44A5E"/>
    <w:rsid w:val="00E5068E"/>
    <w:rsid w:val="00E51469"/>
    <w:rsid w:val="00E51550"/>
    <w:rsid w:val="00E53C57"/>
    <w:rsid w:val="00E557EB"/>
    <w:rsid w:val="00E55E10"/>
    <w:rsid w:val="00E575D7"/>
    <w:rsid w:val="00E575E7"/>
    <w:rsid w:val="00E60790"/>
    <w:rsid w:val="00E6151E"/>
    <w:rsid w:val="00E61652"/>
    <w:rsid w:val="00E617BF"/>
    <w:rsid w:val="00E62154"/>
    <w:rsid w:val="00E634E3"/>
    <w:rsid w:val="00E6569C"/>
    <w:rsid w:val="00E66E56"/>
    <w:rsid w:val="00E671E7"/>
    <w:rsid w:val="00E7152E"/>
    <w:rsid w:val="00E717C4"/>
    <w:rsid w:val="00E72331"/>
    <w:rsid w:val="00E7464A"/>
    <w:rsid w:val="00E74DE8"/>
    <w:rsid w:val="00E77E18"/>
    <w:rsid w:val="00E77F89"/>
    <w:rsid w:val="00E80330"/>
    <w:rsid w:val="00E806C5"/>
    <w:rsid w:val="00E80E71"/>
    <w:rsid w:val="00E810A5"/>
    <w:rsid w:val="00E816CD"/>
    <w:rsid w:val="00E850D3"/>
    <w:rsid w:val="00E853D6"/>
    <w:rsid w:val="00E86329"/>
    <w:rsid w:val="00E876B9"/>
    <w:rsid w:val="00E91B9A"/>
    <w:rsid w:val="00E93384"/>
    <w:rsid w:val="00E95BAF"/>
    <w:rsid w:val="00E97B36"/>
    <w:rsid w:val="00EA00E7"/>
    <w:rsid w:val="00EA272E"/>
    <w:rsid w:val="00EA2914"/>
    <w:rsid w:val="00EA2C6A"/>
    <w:rsid w:val="00EA3C32"/>
    <w:rsid w:val="00EA4809"/>
    <w:rsid w:val="00EA5F0A"/>
    <w:rsid w:val="00EA6AA9"/>
    <w:rsid w:val="00EA7D0D"/>
    <w:rsid w:val="00EB1D8C"/>
    <w:rsid w:val="00EB216C"/>
    <w:rsid w:val="00EB3A8A"/>
    <w:rsid w:val="00EC0DFF"/>
    <w:rsid w:val="00EC237D"/>
    <w:rsid w:val="00EC2918"/>
    <w:rsid w:val="00EC2CB9"/>
    <w:rsid w:val="00EC4D0E"/>
    <w:rsid w:val="00EC4E2B"/>
    <w:rsid w:val="00ED072A"/>
    <w:rsid w:val="00ED2A50"/>
    <w:rsid w:val="00ED394E"/>
    <w:rsid w:val="00ED4164"/>
    <w:rsid w:val="00ED4995"/>
    <w:rsid w:val="00ED539E"/>
    <w:rsid w:val="00ED5E3C"/>
    <w:rsid w:val="00ED610D"/>
    <w:rsid w:val="00ED65D1"/>
    <w:rsid w:val="00EE095F"/>
    <w:rsid w:val="00EE4A1F"/>
    <w:rsid w:val="00EE4C2D"/>
    <w:rsid w:val="00EE5A93"/>
    <w:rsid w:val="00EE6799"/>
    <w:rsid w:val="00EE6A27"/>
    <w:rsid w:val="00EE7F53"/>
    <w:rsid w:val="00EF1AE3"/>
    <w:rsid w:val="00EF1B5A"/>
    <w:rsid w:val="00EF24FB"/>
    <w:rsid w:val="00EF2CCA"/>
    <w:rsid w:val="00EF495B"/>
    <w:rsid w:val="00EF60DC"/>
    <w:rsid w:val="00F00F54"/>
    <w:rsid w:val="00F03882"/>
    <w:rsid w:val="00F03963"/>
    <w:rsid w:val="00F0396A"/>
    <w:rsid w:val="00F0436B"/>
    <w:rsid w:val="00F07809"/>
    <w:rsid w:val="00F11068"/>
    <w:rsid w:val="00F1256D"/>
    <w:rsid w:val="00F13A4E"/>
    <w:rsid w:val="00F14BAE"/>
    <w:rsid w:val="00F15181"/>
    <w:rsid w:val="00F16B33"/>
    <w:rsid w:val="00F172BB"/>
    <w:rsid w:val="00F17B10"/>
    <w:rsid w:val="00F209B1"/>
    <w:rsid w:val="00F21BEF"/>
    <w:rsid w:val="00F2315B"/>
    <w:rsid w:val="00F313E5"/>
    <w:rsid w:val="00F31FB2"/>
    <w:rsid w:val="00F3351B"/>
    <w:rsid w:val="00F34805"/>
    <w:rsid w:val="00F35C6B"/>
    <w:rsid w:val="00F41A6F"/>
    <w:rsid w:val="00F43B7F"/>
    <w:rsid w:val="00F4423F"/>
    <w:rsid w:val="00F4589C"/>
    <w:rsid w:val="00F45A25"/>
    <w:rsid w:val="00F50142"/>
    <w:rsid w:val="00F50F86"/>
    <w:rsid w:val="00F53F91"/>
    <w:rsid w:val="00F5649C"/>
    <w:rsid w:val="00F5B499"/>
    <w:rsid w:val="00F61569"/>
    <w:rsid w:val="00F61A72"/>
    <w:rsid w:val="00F62B67"/>
    <w:rsid w:val="00F62F06"/>
    <w:rsid w:val="00F645E0"/>
    <w:rsid w:val="00F6485D"/>
    <w:rsid w:val="00F66F13"/>
    <w:rsid w:val="00F731B1"/>
    <w:rsid w:val="00F74073"/>
    <w:rsid w:val="00F75603"/>
    <w:rsid w:val="00F808AE"/>
    <w:rsid w:val="00F80C14"/>
    <w:rsid w:val="00F81A78"/>
    <w:rsid w:val="00F845B4"/>
    <w:rsid w:val="00F85DD1"/>
    <w:rsid w:val="00F8713B"/>
    <w:rsid w:val="00F87C89"/>
    <w:rsid w:val="00F920E7"/>
    <w:rsid w:val="00F93F9E"/>
    <w:rsid w:val="00F956BF"/>
    <w:rsid w:val="00FA2CD7"/>
    <w:rsid w:val="00FA39AC"/>
    <w:rsid w:val="00FA51EE"/>
    <w:rsid w:val="00FA5E5E"/>
    <w:rsid w:val="00FA7770"/>
    <w:rsid w:val="00FB06ED"/>
    <w:rsid w:val="00FB1208"/>
    <w:rsid w:val="00FB30EE"/>
    <w:rsid w:val="00FB39FC"/>
    <w:rsid w:val="00FB3DBC"/>
    <w:rsid w:val="00FC15CA"/>
    <w:rsid w:val="00FC2311"/>
    <w:rsid w:val="00FC3165"/>
    <w:rsid w:val="00FC36AB"/>
    <w:rsid w:val="00FC3872"/>
    <w:rsid w:val="00FC4300"/>
    <w:rsid w:val="00FC78AF"/>
    <w:rsid w:val="00FC7F66"/>
    <w:rsid w:val="00FD25D6"/>
    <w:rsid w:val="00FD32D8"/>
    <w:rsid w:val="00FD5776"/>
    <w:rsid w:val="00FD62E0"/>
    <w:rsid w:val="00FE196D"/>
    <w:rsid w:val="00FE1CB6"/>
    <w:rsid w:val="00FE486B"/>
    <w:rsid w:val="00FE4F08"/>
    <w:rsid w:val="00FE50BB"/>
    <w:rsid w:val="00FE69F5"/>
    <w:rsid w:val="00FE7986"/>
    <w:rsid w:val="00FF0BF0"/>
    <w:rsid w:val="00FF192E"/>
    <w:rsid w:val="00FF430B"/>
    <w:rsid w:val="00FF4F0F"/>
    <w:rsid w:val="00FF563A"/>
    <w:rsid w:val="00FF5DF0"/>
    <w:rsid w:val="0430E382"/>
    <w:rsid w:val="04F09C4B"/>
    <w:rsid w:val="056EF373"/>
    <w:rsid w:val="0F2F913B"/>
    <w:rsid w:val="116BF7C1"/>
    <w:rsid w:val="14B3531F"/>
    <w:rsid w:val="17FCDF8C"/>
    <w:rsid w:val="1B105473"/>
    <w:rsid w:val="1DF8FAF7"/>
    <w:rsid w:val="29A29012"/>
    <w:rsid w:val="2B156874"/>
    <w:rsid w:val="2BB15F8C"/>
    <w:rsid w:val="2C0CF509"/>
    <w:rsid w:val="2EE548B6"/>
    <w:rsid w:val="329AE218"/>
    <w:rsid w:val="3C130F83"/>
    <w:rsid w:val="3C61705C"/>
    <w:rsid w:val="3D2A1030"/>
    <w:rsid w:val="4A50C7A8"/>
    <w:rsid w:val="4B3A10E0"/>
    <w:rsid w:val="5060D27E"/>
    <w:rsid w:val="520F0E8A"/>
    <w:rsid w:val="52295858"/>
    <w:rsid w:val="5483B340"/>
    <w:rsid w:val="58CB7386"/>
    <w:rsid w:val="59459E88"/>
    <w:rsid w:val="5D55387F"/>
    <w:rsid w:val="6170382F"/>
    <w:rsid w:val="6237AAE6"/>
    <w:rsid w:val="62A3274F"/>
    <w:rsid w:val="6B7FB48F"/>
    <w:rsid w:val="6D255FCB"/>
    <w:rsid w:val="6F4B0F45"/>
    <w:rsid w:val="7230854B"/>
    <w:rsid w:val="73810941"/>
    <w:rsid w:val="77EB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17595"/>
    <w:rPr>
      <w:vertAlign w:val="superscript"/>
    </w:rPr>
  </w:style>
  <w:style w:type="character" w:styleId="Verwijzingopmerking">
    <w:name w:val="annotation reference"/>
    <w:basedOn w:val="Standaardalinea-lettertype"/>
    <w:uiPriority w:val="99"/>
    <w:semiHidden/>
    <w:unhideWhenUsed/>
    <w:rsid w:val="00B17595"/>
    <w:rPr>
      <w:sz w:val="16"/>
      <w:szCs w:val="16"/>
    </w:rPr>
  </w:style>
  <w:style w:type="paragraph" w:styleId="Tekstopmerking">
    <w:name w:val="annotation text"/>
    <w:basedOn w:val="Standaard"/>
    <w:link w:val="TekstopmerkingChar"/>
    <w:uiPriority w:val="99"/>
    <w:unhideWhenUsed/>
    <w:rsid w:val="00B17595"/>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B17595"/>
    <w:rPr>
      <w:rFonts w:asciiTheme="minorHAnsi" w:eastAsiaTheme="minorHAnsi" w:hAnsiTheme="minorHAnsi" w:cstheme="minorBidi"/>
      <w:lang w:val="nl-NL"/>
    </w:rPr>
  </w:style>
  <w:style w:type="paragraph" w:styleId="Normaalweb">
    <w:name w:val="Normal (Web)"/>
    <w:basedOn w:val="Standaard"/>
    <w:uiPriority w:val="99"/>
    <w:unhideWhenUsed/>
    <w:rsid w:val="00B17595"/>
    <w:pPr>
      <w:spacing w:before="100" w:beforeAutospacing="1" w:after="100" w:afterAutospacing="1" w:line="240" w:lineRule="auto"/>
    </w:pPr>
    <w:rPr>
      <w:rFonts w:ascii="Times New Roman" w:hAnsi="Times New Roman"/>
      <w:sz w:val="24"/>
    </w:rPr>
  </w:style>
  <w:style w:type="paragraph" w:styleId="Onderwerpvanopmerking">
    <w:name w:val="annotation subject"/>
    <w:basedOn w:val="Tekstopmerking"/>
    <w:next w:val="Tekstopmerking"/>
    <w:link w:val="OnderwerpvanopmerkingChar"/>
    <w:semiHidden/>
    <w:unhideWhenUsed/>
    <w:rsid w:val="00382C41"/>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382C41"/>
    <w:rPr>
      <w:rFonts w:ascii="Verdana" w:eastAsiaTheme="minorHAnsi" w:hAnsi="Verdana" w:cstheme="minorBidi"/>
      <w:b/>
      <w:bCs/>
      <w:lang w:val="nl-NL" w:eastAsia="nl-NL"/>
    </w:rPr>
  </w:style>
  <w:style w:type="character" w:styleId="Vermelding">
    <w:name w:val="Mention"/>
    <w:basedOn w:val="Standaardalinea-lettertype"/>
    <w:uiPriority w:val="99"/>
    <w:unhideWhenUsed/>
    <w:rsid w:val="00382C41"/>
    <w:rPr>
      <w:color w:val="2B579A"/>
      <w:shd w:val="clear" w:color="auto" w:fill="E1DFDD"/>
    </w:rPr>
  </w:style>
  <w:style w:type="paragraph" w:styleId="Revisie">
    <w:name w:val="Revision"/>
    <w:hidden/>
    <w:uiPriority w:val="99"/>
    <w:semiHidden/>
    <w:rsid w:val="00DF177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B1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117">
      <w:bodyDiv w:val="1"/>
      <w:marLeft w:val="0"/>
      <w:marRight w:val="0"/>
      <w:marTop w:val="0"/>
      <w:marBottom w:val="0"/>
      <w:divBdr>
        <w:top w:val="none" w:sz="0" w:space="0" w:color="auto"/>
        <w:left w:val="none" w:sz="0" w:space="0" w:color="auto"/>
        <w:bottom w:val="none" w:sz="0" w:space="0" w:color="auto"/>
        <w:right w:val="none" w:sz="0" w:space="0" w:color="auto"/>
      </w:divBdr>
    </w:div>
    <w:div w:id="443811977">
      <w:bodyDiv w:val="1"/>
      <w:marLeft w:val="0"/>
      <w:marRight w:val="0"/>
      <w:marTop w:val="0"/>
      <w:marBottom w:val="0"/>
      <w:divBdr>
        <w:top w:val="none" w:sz="0" w:space="0" w:color="auto"/>
        <w:left w:val="none" w:sz="0" w:space="0" w:color="auto"/>
        <w:bottom w:val="none" w:sz="0" w:space="0" w:color="auto"/>
        <w:right w:val="none" w:sz="0" w:space="0" w:color="auto"/>
      </w:divBdr>
      <w:divsChild>
        <w:div w:id="40833271">
          <w:marLeft w:val="0"/>
          <w:marRight w:val="0"/>
          <w:marTop w:val="0"/>
          <w:marBottom w:val="0"/>
          <w:divBdr>
            <w:top w:val="none" w:sz="0" w:space="0" w:color="auto"/>
            <w:left w:val="none" w:sz="0" w:space="0" w:color="auto"/>
            <w:bottom w:val="none" w:sz="0" w:space="0" w:color="auto"/>
            <w:right w:val="none" w:sz="0" w:space="0" w:color="auto"/>
          </w:divBdr>
        </w:div>
        <w:div w:id="84810766">
          <w:marLeft w:val="0"/>
          <w:marRight w:val="0"/>
          <w:marTop w:val="0"/>
          <w:marBottom w:val="0"/>
          <w:divBdr>
            <w:top w:val="none" w:sz="0" w:space="0" w:color="auto"/>
            <w:left w:val="none" w:sz="0" w:space="0" w:color="auto"/>
            <w:bottom w:val="none" w:sz="0" w:space="0" w:color="auto"/>
            <w:right w:val="none" w:sz="0" w:space="0" w:color="auto"/>
          </w:divBdr>
        </w:div>
        <w:div w:id="98523643">
          <w:marLeft w:val="0"/>
          <w:marRight w:val="0"/>
          <w:marTop w:val="0"/>
          <w:marBottom w:val="0"/>
          <w:divBdr>
            <w:top w:val="none" w:sz="0" w:space="0" w:color="auto"/>
            <w:left w:val="none" w:sz="0" w:space="0" w:color="auto"/>
            <w:bottom w:val="none" w:sz="0" w:space="0" w:color="auto"/>
            <w:right w:val="none" w:sz="0" w:space="0" w:color="auto"/>
          </w:divBdr>
        </w:div>
        <w:div w:id="112288652">
          <w:marLeft w:val="0"/>
          <w:marRight w:val="0"/>
          <w:marTop w:val="0"/>
          <w:marBottom w:val="0"/>
          <w:divBdr>
            <w:top w:val="none" w:sz="0" w:space="0" w:color="auto"/>
            <w:left w:val="none" w:sz="0" w:space="0" w:color="auto"/>
            <w:bottom w:val="none" w:sz="0" w:space="0" w:color="auto"/>
            <w:right w:val="none" w:sz="0" w:space="0" w:color="auto"/>
          </w:divBdr>
        </w:div>
        <w:div w:id="153104423">
          <w:marLeft w:val="0"/>
          <w:marRight w:val="0"/>
          <w:marTop w:val="0"/>
          <w:marBottom w:val="0"/>
          <w:divBdr>
            <w:top w:val="none" w:sz="0" w:space="0" w:color="auto"/>
            <w:left w:val="none" w:sz="0" w:space="0" w:color="auto"/>
            <w:bottom w:val="none" w:sz="0" w:space="0" w:color="auto"/>
            <w:right w:val="none" w:sz="0" w:space="0" w:color="auto"/>
          </w:divBdr>
        </w:div>
        <w:div w:id="163981604">
          <w:marLeft w:val="0"/>
          <w:marRight w:val="0"/>
          <w:marTop w:val="0"/>
          <w:marBottom w:val="0"/>
          <w:divBdr>
            <w:top w:val="none" w:sz="0" w:space="0" w:color="auto"/>
            <w:left w:val="none" w:sz="0" w:space="0" w:color="auto"/>
            <w:bottom w:val="none" w:sz="0" w:space="0" w:color="auto"/>
            <w:right w:val="none" w:sz="0" w:space="0" w:color="auto"/>
          </w:divBdr>
        </w:div>
        <w:div w:id="177357090">
          <w:marLeft w:val="0"/>
          <w:marRight w:val="0"/>
          <w:marTop w:val="0"/>
          <w:marBottom w:val="0"/>
          <w:divBdr>
            <w:top w:val="none" w:sz="0" w:space="0" w:color="auto"/>
            <w:left w:val="none" w:sz="0" w:space="0" w:color="auto"/>
            <w:bottom w:val="none" w:sz="0" w:space="0" w:color="auto"/>
            <w:right w:val="none" w:sz="0" w:space="0" w:color="auto"/>
          </w:divBdr>
        </w:div>
        <w:div w:id="323895579">
          <w:marLeft w:val="0"/>
          <w:marRight w:val="0"/>
          <w:marTop w:val="0"/>
          <w:marBottom w:val="0"/>
          <w:divBdr>
            <w:top w:val="none" w:sz="0" w:space="0" w:color="auto"/>
            <w:left w:val="none" w:sz="0" w:space="0" w:color="auto"/>
            <w:bottom w:val="none" w:sz="0" w:space="0" w:color="auto"/>
            <w:right w:val="none" w:sz="0" w:space="0" w:color="auto"/>
          </w:divBdr>
          <w:divsChild>
            <w:div w:id="161748603">
              <w:marLeft w:val="0"/>
              <w:marRight w:val="0"/>
              <w:marTop w:val="0"/>
              <w:marBottom w:val="0"/>
              <w:divBdr>
                <w:top w:val="none" w:sz="0" w:space="0" w:color="auto"/>
                <w:left w:val="none" w:sz="0" w:space="0" w:color="auto"/>
                <w:bottom w:val="none" w:sz="0" w:space="0" w:color="auto"/>
                <w:right w:val="none" w:sz="0" w:space="0" w:color="auto"/>
              </w:divBdr>
            </w:div>
            <w:div w:id="205869643">
              <w:marLeft w:val="0"/>
              <w:marRight w:val="0"/>
              <w:marTop w:val="0"/>
              <w:marBottom w:val="0"/>
              <w:divBdr>
                <w:top w:val="none" w:sz="0" w:space="0" w:color="auto"/>
                <w:left w:val="none" w:sz="0" w:space="0" w:color="auto"/>
                <w:bottom w:val="none" w:sz="0" w:space="0" w:color="auto"/>
                <w:right w:val="none" w:sz="0" w:space="0" w:color="auto"/>
              </w:divBdr>
            </w:div>
            <w:div w:id="234559501">
              <w:marLeft w:val="0"/>
              <w:marRight w:val="0"/>
              <w:marTop w:val="0"/>
              <w:marBottom w:val="0"/>
              <w:divBdr>
                <w:top w:val="none" w:sz="0" w:space="0" w:color="auto"/>
                <w:left w:val="none" w:sz="0" w:space="0" w:color="auto"/>
                <w:bottom w:val="none" w:sz="0" w:space="0" w:color="auto"/>
                <w:right w:val="none" w:sz="0" w:space="0" w:color="auto"/>
              </w:divBdr>
            </w:div>
            <w:div w:id="423650187">
              <w:marLeft w:val="0"/>
              <w:marRight w:val="0"/>
              <w:marTop w:val="0"/>
              <w:marBottom w:val="0"/>
              <w:divBdr>
                <w:top w:val="none" w:sz="0" w:space="0" w:color="auto"/>
                <w:left w:val="none" w:sz="0" w:space="0" w:color="auto"/>
                <w:bottom w:val="none" w:sz="0" w:space="0" w:color="auto"/>
                <w:right w:val="none" w:sz="0" w:space="0" w:color="auto"/>
              </w:divBdr>
            </w:div>
            <w:div w:id="809246280">
              <w:marLeft w:val="0"/>
              <w:marRight w:val="0"/>
              <w:marTop w:val="0"/>
              <w:marBottom w:val="0"/>
              <w:divBdr>
                <w:top w:val="none" w:sz="0" w:space="0" w:color="auto"/>
                <w:left w:val="none" w:sz="0" w:space="0" w:color="auto"/>
                <w:bottom w:val="none" w:sz="0" w:space="0" w:color="auto"/>
                <w:right w:val="none" w:sz="0" w:space="0" w:color="auto"/>
              </w:divBdr>
            </w:div>
            <w:div w:id="811210447">
              <w:marLeft w:val="0"/>
              <w:marRight w:val="0"/>
              <w:marTop w:val="0"/>
              <w:marBottom w:val="0"/>
              <w:divBdr>
                <w:top w:val="none" w:sz="0" w:space="0" w:color="auto"/>
                <w:left w:val="none" w:sz="0" w:space="0" w:color="auto"/>
                <w:bottom w:val="none" w:sz="0" w:space="0" w:color="auto"/>
                <w:right w:val="none" w:sz="0" w:space="0" w:color="auto"/>
              </w:divBdr>
            </w:div>
            <w:div w:id="853032095">
              <w:marLeft w:val="0"/>
              <w:marRight w:val="0"/>
              <w:marTop w:val="0"/>
              <w:marBottom w:val="0"/>
              <w:divBdr>
                <w:top w:val="none" w:sz="0" w:space="0" w:color="auto"/>
                <w:left w:val="none" w:sz="0" w:space="0" w:color="auto"/>
                <w:bottom w:val="none" w:sz="0" w:space="0" w:color="auto"/>
                <w:right w:val="none" w:sz="0" w:space="0" w:color="auto"/>
              </w:divBdr>
            </w:div>
            <w:div w:id="868761165">
              <w:marLeft w:val="0"/>
              <w:marRight w:val="0"/>
              <w:marTop w:val="0"/>
              <w:marBottom w:val="0"/>
              <w:divBdr>
                <w:top w:val="none" w:sz="0" w:space="0" w:color="auto"/>
                <w:left w:val="none" w:sz="0" w:space="0" w:color="auto"/>
                <w:bottom w:val="none" w:sz="0" w:space="0" w:color="auto"/>
                <w:right w:val="none" w:sz="0" w:space="0" w:color="auto"/>
              </w:divBdr>
            </w:div>
            <w:div w:id="987631280">
              <w:marLeft w:val="0"/>
              <w:marRight w:val="0"/>
              <w:marTop w:val="0"/>
              <w:marBottom w:val="0"/>
              <w:divBdr>
                <w:top w:val="none" w:sz="0" w:space="0" w:color="auto"/>
                <w:left w:val="none" w:sz="0" w:space="0" w:color="auto"/>
                <w:bottom w:val="none" w:sz="0" w:space="0" w:color="auto"/>
                <w:right w:val="none" w:sz="0" w:space="0" w:color="auto"/>
              </w:divBdr>
            </w:div>
            <w:div w:id="1087731497">
              <w:marLeft w:val="0"/>
              <w:marRight w:val="0"/>
              <w:marTop w:val="0"/>
              <w:marBottom w:val="0"/>
              <w:divBdr>
                <w:top w:val="none" w:sz="0" w:space="0" w:color="auto"/>
                <w:left w:val="none" w:sz="0" w:space="0" w:color="auto"/>
                <w:bottom w:val="none" w:sz="0" w:space="0" w:color="auto"/>
                <w:right w:val="none" w:sz="0" w:space="0" w:color="auto"/>
              </w:divBdr>
            </w:div>
            <w:div w:id="1091507822">
              <w:marLeft w:val="0"/>
              <w:marRight w:val="0"/>
              <w:marTop w:val="0"/>
              <w:marBottom w:val="0"/>
              <w:divBdr>
                <w:top w:val="none" w:sz="0" w:space="0" w:color="auto"/>
                <w:left w:val="none" w:sz="0" w:space="0" w:color="auto"/>
                <w:bottom w:val="none" w:sz="0" w:space="0" w:color="auto"/>
                <w:right w:val="none" w:sz="0" w:space="0" w:color="auto"/>
              </w:divBdr>
            </w:div>
            <w:div w:id="1094396534">
              <w:marLeft w:val="0"/>
              <w:marRight w:val="0"/>
              <w:marTop w:val="0"/>
              <w:marBottom w:val="0"/>
              <w:divBdr>
                <w:top w:val="none" w:sz="0" w:space="0" w:color="auto"/>
                <w:left w:val="none" w:sz="0" w:space="0" w:color="auto"/>
                <w:bottom w:val="none" w:sz="0" w:space="0" w:color="auto"/>
                <w:right w:val="none" w:sz="0" w:space="0" w:color="auto"/>
              </w:divBdr>
            </w:div>
            <w:div w:id="1095174866">
              <w:marLeft w:val="0"/>
              <w:marRight w:val="0"/>
              <w:marTop w:val="0"/>
              <w:marBottom w:val="0"/>
              <w:divBdr>
                <w:top w:val="none" w:sz="0" w:space="0" w:color="auto"/>
                <w:left w:val="none" w:sz="0" w:space="0" w:color="auto"/>
                <w:bottom w:val="none" w:sz="0" w:space="0" w:color="auto"/>
                <w:right w:val="none" w:sz="0" w:space="0" w:color="auto"/>
              </w:divBdr>
            </w:div>
            <w:div w:id="1217398110">
              <w:marLeft w:val="0"/>
              <w:marRight w:val="0"/>
              <w:marTop w:val="0"/>
              <w:marBottom w:val="0"/>
              <w:divBdr>
                <w:top w:val="none" w:sz="0" w:space="0" w:color="auto"/>
                <w:left w:val="none" w:sz="0" w:space="0" w:color="auto"/>
                <w:bottom w:val="none" w:sz="0" w:space="0" w:color="auto"/>
                <w:right w:val="none" w:sz="0" w:space="0" w:color="auto"/>
              </w:divBdr>
            </w:div>
            <w:div w:id="1226187011">
              <w:marLeft w:val="0"/>
              <w:marRight w:val="0"/>
              <w:marTop w:val="0"/>
              <w:marBottom w:val="0"/>
              <w:divBdr>
                <w:top w:val="none" w:sz="0" w:space="0" w:color="auto"/>
                <w:left w:val="none" w:sz="0" w:space="0" w:color="auto"/>
                <w:bottom w:val="none" w:sz="0" w:space="0" w:color="auto"/>
                <w:right w:val="none" w:sz="0" w:space="0" w:color="auto"/>
              </w:divBdr>
            </w:div>
            <w:div w:id="1295600861">
              <w:marLeft w:val="0"/>
              <w:marRight w:val="0"/>
              <w:marTop w:val="0"/>
              <w:marBottom w:val="0"/>
              <w:divBdr>
                <w:top w:val="none" w:sz="0" w:space="0" w:color="auto"/>
                <w:left w:val="none" w:sz="0" w:space="0" w:color="auto"/>
                <w:bottom w:val="none" w:sz="0" w:space="0" w:color="auto"/>
                <w:right w:val="none" w:sz="0" w:space="0" w:color="auto"/>
              </w:divBdr>
            </w:div>
            <w:div w:id="1757288773">
              <w:marLeft w:val="0"/>
              <w:marRight w:val="0"/>
              <w:marTop w:val="0"/>
              <w:marBottom w:val="0"/>
              <w:divBdr>
                <w:top w:val="none" w:sz="0" w:space="0" w:color="auto"/>
                <w:left w:val="none" w:sz="0" w:space="0" w:color="auto"/>
                <w:bottom w:val="none" w:sz="0" w:space="0" w:color="auto"/>
                <w:right w:val="none" w:sz="0" w:space="0" w:color="auto"/>
              </w:divBdr>
            </w:div>
            <w:div w:id="1773743545">
              <w:marLeft w:val="0"/>
              <w:marRight w:val="0"/>
              <w:marTop w:val="0"/>
              <w:marBottom w:val="0"/>
              <w:divBdr>
                <w:top w:val="none" w:sz="0" w:space="0" w:color="auto"/>
                <w:left w:val="none" w:sz="0" w:space="0" w:color="auto"/>
                <w:bottom w:val="none" w:sz="0" w:space="0" w:color="auto"/>
                <w:right w:val="none" w:sz="0" w:space="0" w:color="auto"/>
              </w:divBdr>
            </w:div>
            <w:div w:id="1791779565">
              <w:marLeft w:val="0"/>
              <w:marRight w:val="0"/>
              <w:marTop w:val="0"/>
              <w:marBottom w:val="0"/>
              <w:divBdr>
                <w:top w:val="none" w:sz="0" w:space="0" w:color="auto"/>
                <w:left w:val="none" w:sz="0" w:space="0" w:color="auto"/>
                <w:bottom w:val="none" w:sz="0" w:space="0" w:color="auto"/>
                <w:right w:val="none" w:sz="0" w:space="0" w:color="auto"/>
              </w:divBdr>
            </w:div>
            <w:div w:id="1845701697">
              <w:marLeft w:val="0"/>
              <w:marRight w:val="0"/>
              <w:marTop w:val="0"/>
              <w:marBottom w:val="0"/>
              <w:divBdr>
                <w:top w:val="none" w:sz="0" w:space="0" w:color="auto"/>
                <w:left w:val="none" w:sz="0" w:space="0" w:color="auto"/>
                <w:bottom w:val="none" w:sz="0" w:space="0" w:color="auto"/>
                <w:right w:val="none" w:sz="0" w:space="0" w:color="auto"/>
              </w:divBdr>
            </w:div>
            <w:div w:id="1921909387">
              <w:marLeft w:val="0"/>
              <w:marRight w:val="0"/>
              <w:marTop w:val="0"/>
              <w:marBottom w:val="0"/>
              <w:divBdr>
                <w:top w:val="none" w:sz="0" w:space="0" w:color="auto"/>
                <w:left w:val="none" w:sz="0" w:space="0" w:color="auto"/>
                <w:bottom w:val="none" w:sz="0" w:space="0" w:color="auto"/>
                <w:right w:val="none" w:sz="0" w:space="0" w:color="auto"/>
              </w:divBdr>
            </w:div>
            <w:div w:id="1998610727">
              <w:marLeft w:val="0"/>
              <w:marRight w:val="0"/>
              <w:marTop w:val="0"/>
              <w:marBottom w:val="0"/>
              <w:divBdr>
                <w:top w:val="none" w:sz="0" w:space="0" w:color="auto"/>
                <w:left w:val="none" w:sz="0" w:space="0" w:color="auto"/>
                <w:bottom w:val="none" w:sz="0" w:space="0" w:color="auto"/>
                <w:right w:val="none" w:sz="0" w:space="0" w:color="auto"/>
              </w:divBdr>
            </w:div>
            <w:div w:id="2121222379">
              <w:marLeft w:val="0"/>
              <w:marRight w:val="0"/>
              <w:marTop w:val="0"/>
              <w:marBottom w:val="0"/>
              <w:divBdr>
                <w:top w:val="none" w:sz="0" w:space="0" w:color="auto"/>
                <w:left w:val="none" w:sz="0" w:space="0" w:color="auto"/>
                <w:bottom w:val="none" w:sz="0" w:space="0" w:color="auto"/>
                <w:right w:val="none" w:sz="0" w:space="0" w:color="auto"/>
              </w:divBdr>
            </w:div>
          </w:divsChild>
        </w:div>
        <w:div w:id="325785170">
          <w:marLeft w:val="0"/>
          <w:marRight w:val="0"/>
          <w:marTop w:val="0"/>
          <w:marBottom w:val="0"/>
          <w:divBdr>
            <w:top w:val="none" w:sz="0" w:space="0" w:color="auto"/>
            <w:left w:val="none" w:sz="0" w:space="0" w:color="auto"/>
            <w:bottom w:val="none" w:sz="0" w:space="0" w:color="auto"/>
            <w:right w:val="none" w:sz="0" w:space="0" w:color="auto"/>
          </w:divBdr>
        </w:div>
        <w:div w:id="366221861">
          <w:marLeft w:val="0"/>
          <w:marRight w:val="0"/>
          <w:marTop w:val="0"/>
          <w:marBottom w:val="0"/>
          <w:divBdr>
            <w:top w:val="none" w:sz="0" w:space="0" w:color="auto"/>
            <w:left w:val="none" w:sz="0" w:space="0" w:color="auto"/>
            <w:bottom w:val="none" w:sz="0" w:space="0" w:color="auto"/>
            <w:right w:val="none" w:sz="0" w:space="0" w:color="auto"/>
          </w:divBdr>
        </w:div>
        <w:div w:id="406461954">
          <w:marLeft w:val="0"/>
          <w:marRight w:val="0"/>
          <w:marTop w:val="0"/>
          <w:marBottom w:val="0"/>
          <w:divBdr>
            <w:top w:val="none" w:sz="0" w:space="0" w:color="auto"/>
            <w:left w:val="none" w:sz="0" w:space="0" w:color="auto"/>
            <w:bottom w:val="none" w:sz="0" w:space="0" w:color="auto"/>
            <w:right w:val="none" w:sz="0" w:space="0" w:color="auto"/>
          </w:divBdr>
        </w:div>
        <w:div w:id="459805406">
          <w:marLeft w:val="0"/>
          <w:marRight w:val="0"/>
          <w:marTop w:val="0"/>
          <w:marBottom w:val="0"/>
          <w:divBdr>
            <w:top w:val="none" w:sz="0" w:space="0" w:color="auto"/>
            <w:left w:val="none" w:sz="0" w:space="0" w:color="auto"/>
            <w:bottom w:val="none" w:sz="0" w:space="0" w:color="auto"/>
            <w:right w:val="none" w:sz="0" w:space="0" w:color="auto"/>
          </w:divBdr>
        </w:div>
        <w:div w:id="525214345">
          <w:marLeft w:val="0"/>
          <w:marRight w:val="0"/>
          <w:marTop w:val="0"/>
          <w:marBottom w:val="0"/>
          <w:divBdr>
            <w:top w:val="none" w:sz="0" w:space="0" w:color="auto"/>
            <w:left w:val="none" w:sz="0" w:space="0" w:color="auto"/>
            <w:bottom w:val="none" w:sz="0" w:space="0" w:color="auto"/>
            <w:right w:val="none" w:sz="0" w:space="0" w:color="auto"/>
          </w:divBdr>
        </w:div>
        <w:div w:id="542444005">
          <w:marLeft w:val="0"/>
          <w:marRight w:val="0"/>
          <w:marTop w:val="0"/>
          <w:marBottom w:val="0"/>
          <w:divBdr>
            <w:top w:val="none" w:sz="0" w:space="0" w:color="auto"/>
            <w:left w:val="none" w:sz="0" w:space="0" w:color="auto"/>
            <w:bottom w:val="none" w:sz="0" w:space="0" w:color="auto"/>
            <w:right w:val="none" w:sz="0" w:space="0" w:color="auto"/>
          </w:divBdr>
        </w:div>
        <w:div w:id="610547299">
          <w:marLeft w:val="0"/>
          <w:marRight w:val="0"/>
          <w:marTop w:val="0"/>
          <w:marBottom w:val="0"/>
          <w:divBdr>
            <w:top w:val="none" w:sz="0" w:space="0" w:color="auto"/>
            <w:left w:val="none" w:sz="0" w:space="0" w:color="auto"/>
            <w:bottom w:val="none" w:sz="0" w:space="0" w:color="auto"/>
            <w:right w:val="none" w:sz="0" w:space="0" w:color="auto"/>
          </w:divBdr>
        </w:div>
        <w:div w:id="657348089">
          <w:marLeft w:val="0"/>
          <w:marRight w:val="0"/>
          <w:marTop w:val="0"/>
          <w:marBottom w:val="0"/>
          <w:divBdr>
            <w:top w:val="none" w:sz="0" w:space="0" w:color="auto"/>
            <w:left w:val="none" w:sz="0" w:space="0" w:color="auto"/>
            <w:bottom w:val="none" w:sz="0" w:space="0" w:color="auto"/>
            <w:right w:val="none" w:sz="0" w:space="0" w:color="auto"/>
          </w:divBdr>
        </w:div>
        <w:div w:id="666135657">
          <w:marLeft w:val="0"/>
          <w:marRight w:val="0"/>
          <w:marTop w:val="0"/>
          <w:marBottom w:val="0"/>
          <w:divBdr>
            <w:top w:val="none" w:sz="0" w:space="0" w:color="auto"/>
            <w:left w:val="none" w:sz="0" w:space="0" w:color="auto"/>
            <w:bottom w:val="none" w:sz="0" w:space="0" w:color="auto"/>
            <w:right w:val="none" w:sz="0" w:space="0" w:color="auto"/>
          </w:divBdr>
        </w:div>
        <w:div w:id="855196063">
          <w:marLeft w:val="0"/>
          <w:marRight w:val="0"/>
          <w:marTop w:val="0"/>
          <w:marBottom w:val="0"/>
          <w:divBdr>
            <w:top w:val="none" w:sz="0" w:space="0" w:color="auto"/>
            <w:left w:val="none" w:sz="0" w:space="0" w:color="auto"/>
            <w:bottom w:val="none" w:sz="0" w:space="0" w:color="auto"/>
            <w:right w:val="none" w:sz="0" w:space="0" w:color="auto"/>
          </w:divBdr>
        </w:div>
        <w:div w:id="871579302">
          <w:marLeft w:val="0"/>
          <w:marRight w:val="0"/>
          <w:marTop w:val="0"/>
          <w:marBottom w:val="0"/>
          <w:divBdr>
            <w:top w:val="none" w:sz="0" w:space="0" w:color="auto"/>
            <w:left w:val="none" w:sz="0" w:space="0" w:color="auto"/>
            <w:bottom w:val="none" w:sz="0" w:space="0" w:color="auto"/>
            <w:right w:val="none" w:sz="0" w:space="0" w:color="auto"/>
          </w:divBdr>
        </w:div>
        <w:div w:id="876505209">
          <w:marLeft w:val="0"/>
          <w:marRight w:val="0"/>
          <w:marTop w:val="0"/>
          <w:marBottom w:val="0"/>
          <w:divBdr>
            <w:top w:val="none" w:sz="0" w:space="0" w:color="auto"/>
            <w:left w:val="none" w:sz="0" w:space="0" w:color="auto"/>
            <w:bottom w:val="none" w:sz="0" w:space="0" w:color="auto"/>
            <w:right w:val="none" w:sz="0" w:space="0" w:color="auto"/>
          </w:divBdr>
        </w:div>
        <w:div w:id="903835309">
          <w:marLeft w:val="0"/>
          <w:marRight w:val="0"/>
          <w:marTop w:val="0"/>
          <w:marBottom w:val="0"/>
          <w:divBdr>
            <w:top w:val="none" w:sz="0" w:space="0" w:color="auto"/>
            <w:left w:val="none" w:sz="0" w:space="0" w:color="auto"/>
            <w:bottom w:val="none" w:sz="0" w:space="0" w:color="auto"/>
            <w:right w:val="none" w:sz="0" w:space="0" w:color="auto"/>
          </w:divBdr>
        </w:div>
        <w:div w:id="981424391">
          <w:marLeft w:val="0"/>
          <w:marRight w:val="0"/>
          <w:marTop w:val="0"/>
          <w:marBottom w:val="0"/>
          <w:divBdr>
            <w:top w:val="none" w:sz="0" w:space="0" w:color="auto"/>
            <w:left w:val="none" w:sz="0" w:space="0" w:color="auto"/>
            <w:bottom w:val="none" w:sz="0" w:space="0" w:color="auto"/>
            <w:right w:val="none" w:sz="0" w:space="0" w:color="auto"/>
          </w:divBdr>
        </w:div>
        <w:div w:id="1168011790">
          <w:marLeft w:val="0"/>
          <w:marRight w:val="0"/>
          <w:marTop w:val="0"/>
          <w:marBottom w:val="0"/>
          <w:divBdr>
            <w:top w:val="none" w:sz="0" w:space="0" w:color="auto"/>
            <w:left w:val="none" w:sz="0" w:space="0" w:color="auto"/>
            <w:bottom w:val="none" w:sz="0" w:space="0" w:color="auto"/>
            <w:right w:val="none" w:sz="0" w:space="0" w:color="auto"/>
          </w:divBdr>
        </w:div>
        <w:div w:id="1279144841">
          <w:marLeft w:val="0"/>
          <w:marRight w:val="0"/>
          <w:marTop w:val="0"/>
          <w:marBottom w:val="0"/>
          <w:divBdr>
            <w:top w:val="none" w:sz="0" w:space="0" w:color="auto"/>
            <w:left w:val="none" w:sz="0" w:space="0" w:color="auto"/>
            <w:bottom w:val="none" w:sz="0" w:space="0" w:color="auto"/>
            <w:right w:val="none" w:sz="0" w:space="0" w:color="auto"/>
          </w:divBdr>
        </w:div>
        <w:div w:id="1360354016">
          <w:marLeft w:val="0"/>
          <w:marRight w:val="0"/>
          <w:marTop w:val="0"/>
          <w:marBottom w:val="0"/>
          <w:divBdr>
            <w:top w:val="none" w:sz="0" w:space="0" w:color="auto"/>
            <w:left w:val="none" w:sz="0" w:space="0" w:color="auto"/>
            <w:bottom w:val="none" w:sz="0" w:space="0" w:color="auto"/>
            <w:right w:val="none" w:sz="0" w:space="0" w:color="auto"/>
          </w:divBdr>
        </w:div>
        <w:div w:id="1423335955">
          <w:marLeft w:val="0"/>
          <w:marRight w:val="0"/>
          <w:marTop w:val="0"/>
          <w:marBottom w:val="0"/>
          <w:divBdr>
            <w:top w:val="none" w:sz="0" w:space="0" w:color="auto"/>
            <w:left w:val="none" w:sz="0" w:space="0" w:color="auto"/>
            <w:bottom w:val="none" w:sz="0" w:space="0" w:color="auto"/>
            <w:right w:val="none" w:sz="0" w:space="0" w:color="auto"/>
          </w:divBdr>
        </w:div>
        <w:div w:id="1424641460">
          <w:marLeft w:val="0"/>
          <w:marRight w:val="0"/>
          <w:marTop w:val="0"/>
          <w:marBottom w:val="0"/>
          <w:divBdr>
            <w:top w:val="none" w:sz="0" w:space="0" w:color="auto"/>
            <w:left w:val="none" w:sz="0" w:space="0" w:color="auto"/>
            <w:bottom w:val="none" w:sz="0" w:space="0" w:color="auto"/>
            <w:right w:val="none" w:sz="0" w:space="0" w:color="auto"/>
          </w:divBdr>
        </w:div>
        <w:div w:id="1434860689">
          <w:marLeft w:val="0"/>
          <w:marRight w:val="0"/>
          <w:marTop w:val="0"/>
          <w:marBottom w:val="0"/>
          <w:divBdr>
            <w:top w:val="none" w:sz="0" w:space="0" w:color="auto"/>
            <w:left w:val="none" w:sz="0" w:space="0" w:color="auto"/>
            <w:bottom w:val="none" w:sz="0" w:space="0" w:color="auto"/>
            <w:right w:val="none" w:sz="0" w:space="0" w:color="auto"/>
          </w:divBdr>
        </w:div>
        <w:div w:id="1437168755">
          <w:marLeft w:val="0"/>
          <w:marRight w:val="0"/>
          <w:marTop w:val="0"/>
          <w:marBottom w:val="0"/>
          <w:divBdr>
            <w:top w:val="none" w:sz="0" w:space="0" w:color="auto"/>
            <w:left w:val="none" w:sz="0" w:space="0" w:color="auto"/>
            <w:bottom w:val="none" w:sz="0" w:space="0" w:color="auto"/>
            <w:right w:val="none" w:sz="0" w:space="0" w:color="auto"/>
          </w:divBdr>
        </w:div>
        <w:div w:id="1443722642">
          <w:marLeft w:val="0"/>
          <w:marRight w:val="0"/>
          <w:marTop w:val="0"/>
          <w:marBottom w:val="0"/>
          <w:divBdr>
            <w:top w:val="none" w:sz="0" w:space="0" w:color="auto"/>
            <w:left w:val="none" w:sz="0" w:space="0" w:color="auto"/>
            <w:bottom w:val="none" w:sz="0" w:space="0" w:color="auto"/>
            <w:right w:val="none" w:sz="0" w:space="0" w:color="auto"/>
          </w:divBdr>
        </w:div>
        <w:div w:id="1531920123">
          <w:marLeft w:val="0"/>
          <w:marRight w:val="0"/>
          <w:marTop w:val="0"/>
          <w:marBottom w:val="0"/>
          <w:divBdr>
            <w:top w:val="none" w:sz="0" w:space="0" w:color="auto"/>
            <w:left w:val="none" w:sz="0" w:space="0" w:color="auto"/>
            <w:bottom w:val="none" w:sz="0" w:space="0" w:color="auto"/>
            <w:right w:val="none" w:sz="0" w:space="0" w:color="auto"/>
          </w:divBdr>
        </w:div>
        <w:div w:id="1567690047">
          <w:marLeft w:val="0"/>
          <w:marRight w:val="0"/>
          <w:marTop w:val="0"/>
          <w:marBottom w:val="0"/>
          <w:divBdr>
            <w:top w:val="none" w:sz="0" w:space="0" w:color="auto"/>
            <w:left w:val="none" w:sz="0" w:space="0" w:color="auto"/>
            <w:bottom w:val="none" w:sz="0" w:space="0" w:color="auto"/>
            <w:right w:val="none" w:sz="0" w:space="0" w:color="auto"/>
          </w:divBdr>
        </w:div>
        <w:div w:id="1727872897">
          <w:marLeft w:val="0"/>
          <w:marRight w:val="0"/>
          <w:marTop w:val="0"/>
          <w:marBottom w:val="0"/>
          <w:divBdr>
            <w:top w:val="none" w:sz="0" w:space="0" w:color="auto"/>
            <w:left w:val="none" w:sz="0" w:space="0" w:color="auto"/>
            <w:bottom w:val="none" w:sz="0" w:space="0" w:color="auto"/>
            <w:right w:val="none" w:sz="0" w:space="0" w:color="auto"/>
          </w:divBdr>
        </w:div>
        <w:div w:id="1829517214">
          <w:marLeft w:val="0"/>
          <w:marRight w:val="0"/>
          <w:marTop w:val="0"/>
          <w:marBottom w:val="0"/>
          <w:divBdr>
            <w:top w:val="none" w:sz="0" w:space="0" w:color="auto"/>
            <w:left w:val="none" w:sz="0" w:space="0" w:color="auto"/>
            <w:bottom w:val="none" w:sz="0" w:space="0" w:color="auto"/>
            <w:right w:val="none" w:sz="0" w:space="0" w:color="auto"/>
          </w:divBdr>
        </w:div>
        <w:div w:id="1941252516">
          <w:marLeft w:val="0"/>
          <w:marRight w:val="0"/>
          <w:marTop w:val="0"/>
          <w:marBottom w:val="0"/>
          <w:divBdr>
            <w:top w:val="none" w:sz="0" w:space="0" w:color="auto"/>
            <w:left w:val="none" w:sz="0" w:space="0" w:color="auto"/>
            <w:bottom w:val="none" w:sz="0" w:space="0" w:color="auto"/>
            <w:right w:val="none" w:sz="0" w:space="0" w:color="auto"/>
          </w:divBdr>
        </w:div>
        <w:div w:id="2138840846">
          <w:marLeft w:val="0"/>
          <w:marRight w:val="0"/>
          <w:marTop w:val="0"/>
          <w:marBottom w:val="0"/>
          <w:divBdr>
            <w:top w:val="none" w:sz="0" w:space="0" w:color="auto"/>
            <w:left w:val="none" w:sz="0" w:space="0" w:color="auto"/>
            <w:bottom w:val="none" w:sz="0" w:space="0" w:color="auto"/>
            <w:right w:val="none" w:sz="0" w:space="0" w:color="auto"/>
          </w:divBdr>
        </w:div>
      </w:divsChild>
    </w:div>
    <w:div w:id="518083005">
      <w:bodyDiv w:val="1"/>
      <w:marLeft w:val="0"/>
      <w:marRight w:val="0"/>
      <w:marTop w:val="0"/>
      <w:marBottom w:val="0"/>
      <w:divBdr>
        <w:top w:val="none" w:sz="0" w:space="0" w:color="auto"/>
        <w:left w:val="none" w:sz="0" w:space="0" w:color="auto"/>
        <w:bottom w:val="none" w:sz="0" w:space="0" w:color="auto"/>
        <w:right w:val="none" w:sz="0" w:space="0" w:color="auto"/>
      </w:divBdr>
    </w:div>
    <w:div w:id="1011956032">
      <w:bodyDiv w:val="1"/>
      <w:marLeft w:val="0"/>
      <w:marRight w:val="0"/>
      <w:marTop w:val="0"/>
      <w:marBottom w:val="0"/>
      <w:divBdr>
        <w:top w:val="none" w:sz="0" w:space="0" w:color="auto"/>
        <w:left w:val="none" w:sz="0" w:space="0" w:color="auto"/>
        <w:bottom w:val="none" w:sz="0" w:space="0" w:color="auto"/>
        <w:right w:val="none" w:sz="0" w:space="0" w:color="auto"/>
      </w:divBdr>
    </w:div>
    <w:div w:id="1209564166">
      <w:bodyDiv w:val="1"/>
      <w:marLeft w:val="0"/>
      <w:marRight w:val="0"/>
      <w:marTop w:val="0"/>
      <w:marBottom w:val="0"/>
      <w:divBdr>
        <w:top w:val="none" w:sz="0" w:space="0" w:color="auto"/>
        <w:left w:val="none" w:sz="0" w:space="0" w:color="auto"/>
        <w:bottom w:val="none" w:sz="0" w:space="0" w:color="auto"/>
        <w:right w:val="none" w:sz="0" w:space="0" w:color="auto"/>
      </w:divBdr>
    </w:div>
    <w:div w:id="1377117322">
      <w:bodyDiv w:val="1"/>
      <w:marLeft w:val="0"/>
      <w:marRight w:val="0"/>
      <w:marTop w:val="0"/>
      <w:marBottom w:val="0"/>
      <w:divBdr>
        <w:top w:val="none" w:sz="0" w:space="0" w:color="auto"/>
        <w:left w:val="none" w:sz="0" w:space="0" w:color="auto"/>
        <w:bottom w:val="none" w:sz="0" w:space="0" w:color="auto"/>
        <w:right w:val="none" w:sz="0" w:space="0" w:color="auto"/>
      </w:divBdr>
    </w:div>
    <w:div w:id="1380470402">
      <w:bodyDiv w:val="1"/>
      <w:marLeft w:val="0"/>
      <w:marRight w:val="0"/>
      <w:marTop w:val="0"/>
      <w:marBottom w:val="0"/>
      <w:divBdr>
        <w:top w:val="none" w:sz="0" w:space="0" w:color="auto"/>
        <w:left w:val="none" w:sz="0" w:space="0" w:color="auto"/>
        <w:bottom w:val="none" w:sz="0" w:space="0" w:color="auto"/>
        <w:right w:val="none" w:sz="0" w:space="0" w:color="auto"/>
      </w:divBdr>
      <w:divsChild>
        <w:div w:id="12659672">
          <w:marLeft w:val="0"/>
          <w:marRight w:val="0"/>
          <w:marTop w:val="0"/>
          <w:marBottom w:val="0"/>
          <w:divBdr>
            <w:top w:val="none" w:sz="0" w:space="0" w:color="auto"/>
            <w:left w:val="none" w:sz="0" w:space="0" w:color="auto"/>
            <w:bottom w:val="none" w:sz="0" w:space="0" w:color="auto"/>
            <w:right w:val="none" w:sz="0" w:space="0" w:color="auto"/>
          </w:divBdr>
          <w:divsChild>
            <w:div w:id="112870133">
              <w:marLeft w:val="0"/>
              <w:marRight w:val="0"/>
              <w:marTop w:val="0"/>
              <w:marBottom w:val="0"/>
              <w:divBdr>
                <w:top w:val="none" w:sz="0" w:space="0" w:color="auto"/>
                <w:left w:val="none" w:sz="0" w:space="0" w:color="auto"/>
                <w:bottom w:val="none" w:sz="0" w:space="0" w:color="auto"/>
                <w:right w:val="none" w:sz="0" w:space="0" w:color="auto"/>
              </w:divBdr>
            </w:div>
            <w:div w:id="150489312">
              <w:marLeft w:val="0"/>
              <w:marRight w:val="0"/>
              <w:marTop w:val="0"/>
              <w:marBottom w:val="0"/>
              <w:divBdr>
                <w:top w:val="none" w:sz="0" w:space="0" w:color="auto"/>
                <w:left w:val="none" w:sz="0" w:space="0" w:color="auto"/>
                <w:bottom w:val="none" w:sz="0" w:space="0" w:color="auto"/>
                <w:right w:val="none" w:sz="0" w:space="0" w:color="auto"/>
              </w:divBdr>
            </w:div>
            <w:div w:id="239104730">
              <w:marLeft w:val="0"/>
              <w:marRight w:val="0"/>
              <w:marTop w:val="0"/>
              <w:marBottom w:val="0"/>
              <w:divBdr>
                <w:top w:val="none" w:sz="0" w:space="0" w:color="auto"/>
                <w:left w:val="none" w:sz="0" w:space="0" w:color="auto"/>
                <w:bottom w:val="none" w:sz="0" w:space="0" w:color="auto"/>
                <w:right w:val="none" w:sz="0" w:space="0" w:color="auto"/>
              </w:divBdr>
            </w:div>
            <w:div w:id="305093316">
              <w:marLeft w:val="0"/>
              <w:marRight w:val="0"/>
              <w:marTop w:val="0"/>
              <w:marBottom w:val="0"/>
              <w:divBdr>
                <w:top w:val="none" w:sz="0" w:space="0" w:color="auto"/>
                <w:left w:val="none" w:sz="0" w:space="0" w:color="auto"/>
                <w:bottom w:val="none" w:sz="0" w:space="0" w:color="auto"/>
                <w:right w:val="none" w:sz="0" w:space="0" w:color="auto"/>
              </w:divBdr>
            </w:div>
            <w:div w:id="442892676">
              <w:marLeft w:val="0"/>
              <w:marRight w:val="0"/>
              <w:marTop w:val="0"/>
              <w:marBottom w:val="0"/>
              <w:divBdr>
                <w:top w:val="none" w:sz="0" w:space="0" w:color="auto"/>
                <w:left w:val="none" w:sz="0" w:space="0" w:color="auto"/>
                <w:bottom w:val="none" w:sz="0" w:space="0" w:color="auto"/>
                <w:right w:val="none" w:sz="0" w:space="0" w:color="auto"/>
              </w:divBdr>
            </w:div>
            <w:div w:id="476412123">
              <w:marLeft w:val="0"/>
              <w:marRight w:val="0"/>
              <w:marTop w:val="0"/>
              <w:marBottom w:val="0"/>
              <w:divBdr>
                <w:top w:val="none" w:sz="0" w:space="0" w:color="auto"/>
                <w:left w:val="none" w:sz="0" w:space="0" w:color="auto"/>
                <w:bottom w:val="none" w:sz="0" w:space="0" w:color="auto"/>
                <w:right w:val="none" w:sz="0" w:space="0" w:color="auto"/>
              </w:divBdr>
            </w:div>
            <w:div w:id="594097532">
              <w:marLeft w:val="0"/>
              <w:marRight w:val="0"/>
              <w:marTop w:val="0"/>
              <w:marBottom w:val="0"/>
              <w:divBdr>
                <w:top w:val="none" w:sz="0" w:space="0" w:color="auto"/>
                <w:left w:val="none" w:sz="0" w:space="0" w:color="auto"/>
                <w:bottom w:val="none" w:sz="0" w:space="0" w:color="auto"/>
                <w:right w:val="none" w:sz="0" w:space="0" w:color="auto"/>
              </w:divBdr>
            </w:div>
            <w:div w:id="710959101">
              <w:marLeft w:val="0"/>
              <w:marRight w:val="0"/>
              <w:marTop w:val="0"/>
              <w:marBottom w:val="0"/>
              <w:divBdr>
                <w:top w:val="none" w:sz="0" w:space="0" w:color="auto"/>
                <w:left w:val="none" w:sz="0" w:space="0" w:color="auto"/>
                <w:bottom w:val="none" w:sz="0" w:space="0" w:color="auto"/>
                <w:right w:val="none" w:sz="0" w:space="0" w:color="auto"/>
              </w:divBdr>
            </w:div>
            <w:div w:id="789544046">
              <w:marLeft w:val="0"/>
              <w:marRight w:val="0"/>
              <w:marTop w:val="0"/>
              <w:marBottom w:val="0"/>
              <w:divBdr>
                <w:top w:val="none" w:sz="0" w:space="0" w:color="auto"/>
                <w:left w:val="none" w:sz="0" w:space="0" w:color="auto"/>
                <w:bottom w:val="none" w:sz="0" w:space="0" w:color="auto"/>
                <w:right w:val="none" w:sz="0" w:space="0" w:color="auto"/>
              </w:divBdr>
            </w:div>
            <w:div w:id="1006789178">
              <w:marLeft w:val="0"/>
              <w:marRight w:val="0"/>
              <w:marTop w:val="0"/>
              <w:marBottom w:val="0"/>
              <w:divBdr>
                <w:top w:val="none" w:sz="0" w:space="0" w:color="auto"/>
                <w:left w:val="none" w:sz="0" w:space="0" w:color="auto"/>
                <w:bottom w:val="none" w:sz="0" w:space="0" w:color="auto"/>
                <w:right w:val="none" w:sz="0" w:space="0" w:color="auto"/>
              </w:divBdr>
            </w:div>
            <w:div w:id="1068385141">
              <w:marLeft w:val="0"/>
              <w:marRight w:val="0"/>
              <w:marTop w:val="0"/>
              <w:marBottom w:val="0"/>
              <w:divBdr>
                <w:top w:val="none" w:sz="0" w:space="0" w:color="auto"/>
                <w:left w:val="none" w:sz="0" w:space="0" w:color="auto"/>
                <w:bottom w:val="none" w:sz="0" w:space="0" w:color="auto"/>
                <w:right w:val="none" w:sz="0" w:space="0" w:color="auto"/>
              </w:divBdr>
            </w:div>
            <w:div w:id="1100759270">
              <w:marLeft w:val="0"/>
              <w:marRight w:val="0"/>
              <w:marTop w:val="0"/>
              <w:marBottom w:val="0"/>
              <w:divBdr>
                <w:top w:val="none" w:sz="0" w:space="0" w:color="auto"/>
                <w:left w:val="none" w:sz="0" w:space="0" w:color="auto"/>
                <w:bottom w:val="none" w:sz="0" w:space="0" w:color="auto"/>
                <w:right w:val="none" w:sz="0" w:space="0" w:color="auto"/>
              </w:divBdr>
            </w:div>
            <w:div w:id="1143348129">
              <w:marLeft w:val="0"/>
              <w:marRight w:val="0"/>
              <w:marTop w:val="0"/>
              <w:marBottom w:val="0"/>
              <w:divBdr>
                <w:top w:val="none" w:sz="0" w:space="0" w:color="auto"/>
                <w:left w:val="none" w:sz="0" w:space="0" w:color="auto"/>
                <w:bottom w:val="none" w:sz="0" w:space="0" w:color="auto"/>
                <w:right w:val="none" w:sz="0" w:space="0" w:color="auto"/>
              </w:divBdr>
            </w:div>
            <w:div w:id="1188328971">
              <w:marLeft w:val="0"/>
              <w:marRight w:val="0"/>
              <w:marTop w:val="0"/>
              <w:marBottom w:val="0"/>
              <w:divBdr>
                <w:top w:val="none" w:sz="0" w:space="0" w:color="auto"/>
                <w:left w:val="none" w:sz="0" w:space="0" w:color="auto"/>
                <w:bottom w:val="none" w:sz="0" w:space="0" w:color="auto"/>
                <w:right w:val="none" w:sz="0" w:space="0" w:color="auto"/>
              </w:divBdr>
            </w:div>
            <w:div w:id="1198393958">
              <w:marLeft w:val="0"/>
              <w:marRight w:val="0"/>
              <w:marTop w:val="0"/>
              <w:marBottom w:val="0"/>
              <w:divBdr>
                <w:top w:val="none" w:sz="0" w:space="0" w:color="auto"/>
                <w:left w:val="none" w:sz="0" w:space="0" w:color="auto"/>
                <w:bottom w:val="none" w:sz="0" w:space="0" w:color="auto"/>
                <w:right w:val="none" w:sz="0" w:space="0" w:color="auto"/>
              </w:divBdr>
            </w:div>
            <w:div w:id="1300113879">
              <w:marLeft w:val="0"/>
              <w:marRight w:val="0"/>
              <w:marTop w:val="0"/>
              <w:marBottom w:val="0"/>
              <w:divBdr>
                <w:top w:val="none" w:sz="0" w:space="0" w:color="auto"/>
                <w:left w:val="none" w:sz="0" w:space="0" w:color="auto"/>
                <w:bottom w:val="none" w:sz="0" w:space="0" w:color="auto"/>
                <w:right w:val="none" w:sz="0" w:space="0" w:color="auto"/>
              </w:divBdr>
            </w:div>
            <w:div w:id="1315911944">
              <w:marLeft w:val="0"/>
              <w:marRight w:val="0"/>
              <w:marTop w:val="0"/>
              <w:marBottom w:val="0"/>
              <w:divBdr>
                <w:top w:val="none" w:sz="0" w:space="0" w:color="auto"/>
                <w:left w:val="none" w:sz="0" w:space="0" w:color="auto"/>
                <w:bottom w:val="none" w:sz="0" w:space="0" w:color="auto"/>
                <w:right w:val="none" w:sz="0" w:space="0" w:color="auto"/>
              </w:divBdr>
            </w:div>
            <w:div w:id="1389841785">
              <w:marLeft w:val="0"/>
              <w:marRight w:val="0"/>
              <w:marTop w:val="0"/>
              <w:marBottom w:val="0"/>
              <w:divBdr>
                <w:top w:val="none" w:sz="0" w:space="0" w:color="auto"/>
                <w:left w:val="none" w:sz="0" w:space="0" w:color="auto"/>
                <w:bottom w:val="none" w:sz="0" w:space="0" w:color="auto"/>
                <w:right w:val="none" w:sz="0" w:space="0" w:color="auto"/>
              </w:divBdr>
            </w:div>
            <w:div w:id="1602178671">
              <w:marLeft w:val="0"/>
              <w:marRight w:val="0"/>
              <w:marTop w:val="0"/>
              <w:marBottom w:val="0"/>
              <w:divBdr>
                <w:top w:val="none" w:sz="0" w:space="0" w:color="auto"/>
                <w:left w:val="none" w:sz="0" w:space="0" w:color="auto"/>
                <w:bottom w:val="none" w:sz="0" w:space="0" w:color="auto"/>
                <w:right w:val="none" w:sz="0" w:space="0" w:color="auto"/>
              </w:divBdr>
            </w:div>
            <w:div w:id="1614898030">
              <w:marLeft w:val="0"/>
              <w:marRight w:val="0"/>
              <w:marTop w:val="0"/>
              <w:marBottom w:val="0"/>
              <w:divBdr>
                <w:top w:val="none" w:sz="0" w:space="0" w:color="auto"/>
                <w:left w:val="none" w:sz="0" w:space="0" w:color="auto"/>
                <w:bottom w:val="none" w:sz="0" w:space="0" w:color="auto"/>
                <w:right w:val="none" w:sz="0" w:space="0" w:color="auto"/>
              </w:divBdr>
            </w:div>
            <w:div w:id="1637107701">
              <w:marLeft w:val="0"/>
              <w:marRight w:val="0"/>
              <w:marTop w:val="0"/>
              <w:marBottom w:val="0"/>
              <w:divBdr>
                <w:top w:val="none" w:sz="0" w:space="0" w:color="auto"/>
                <w:left w:val="none" w:sz="0" w:space="0" w:color="auto"/>
                <w:bottom w:val="none" w:sz="0" w:space="0" w:color="auto"/>
                <w:right w:val="none" w:sz="0" w:space="0" w:color="auto"/>
              </w:divBdr>
            </w:div>
            <w:div w:id="1675693570">
              <w:marLeft w:val="0"/>
              <w:marRight w:val="0"/>
              <w:marTop w:val="0"/>
              <w:marBottom w:val="0"/>
              <w:divBdr>
                <w:top w:val="none" w:sz="0" w:space="0" w:color="auto"/>
                <w:left w:val="none" w:sz="0" w:space="0" w:color="auto"/>
                <w:bottom w:val="none" w:sz="0" w:space="0" w:color="auto"/>
                <w:right w:val="none" w:sz="0" w:space="0" w:color="auto"/>
              </w:divBdr>
            </w:div>
            <w:div w:id="2065903852">
              <w:marLeft w:val="0"/>
              <w:marRight w:val="0"/>
              <w:marTop w:val="0"/>
              <w:marBottom w:val="0"/>
              <w:divBdr>
                <w:top w:val="none" w:sz="0" w:space="0" w:color="auto"/>
                <w:left w:val="none" w:sz="0" w:space="0" w:color="auto"/>
                <w:bottom w:val="none" w:sz="0" w:space="0" w:color="auto"/>
                <w:right w:val="none" w:sz="0" w:space="0" w:color="auto"/>
              </w:divBdr>
            </w:div>
          </w:divsChild>
        </w:div>
        <w:div w:id="141628234">
          <w:marLeft w:val="0"/>
          <w:marRight w:val="0"/>
          <w:marTop w:val="0"/>
          <w:marBottom w:val="0"/>
          <w:divBdr>
            <w:top w:val="none" w:sz="0" w:space="0" w:color="auto"/>
            <w:left w:val="none" w:sz="0" w:space="0" w:color="auto"/>
            <w:bottom w:val="none" w:sz="0" w:space="0" w:color="auto"/>
            <w:right w:val="none" w:sz="0" w:space="0" w:color="auto"/>
          </w:divBdr>
        </w:div>
        <w:div w:id="356544724">
          <w:marLeft w:val="0"/>
          <w:marRight w:val="0"/>
          <w:marTop w:val="0"/>
          <w:marBottom w:val="0"/>
          <w:divBdr>
            <w:top w:val="none" w:sz="0" w:space="0" w:color="auto"/>
            <w:left w:val="none" w:sz="0" w:space="0" w:color="auto"/>
            <w:bottom w:val="none" w:sz="0" w:space="0" w:color="auto"/>
            <w:right w:val="none" w:sz="0" w:space="0" w:color="auto"/>
          </w:divBdr>
        </w:div>
        <w:div w:id="375013101">
          <w:marLeft w:val="0"/>
          <w:marRight w:val="0"/>
          <w:marTop w:val="0"/>
          <w:marBottom w:val="0"/>
          <w:divBdr>
            <w:top w:val="none" w:sz="0" w:space="0" w:color="auto"/>
            <w:left w:val="none" w:sz="0" w:space="0" w:color="auto"/>
            <w:bottom w:val="none" w:sz="0" w:space="0" w:color="auto"/>
            <w:right w:val="none" w:sz="0" w:space="0" w:color="auto"/>
          </w:divBdr>
        </w:div>
        <w:div w:id="460077343">
          <w:marLeft w:val="0"/>
          <w:marRight w:val="0"/>
          <w:marTop w:val="0"/>
          <w:marBottom w:val="0"/>
          <w:divBdr>
            <w:top w:val="none" w:sz="0" w:space="0" w:color="auto"/>
            <w:left w:val="none" w:sz="0" w:space="0" w:color="auto"/>
            <w:bottom w:val="none" w:sz="0" w:space="0" w:color="auto"/>
            <w:right w:val="none" w:sz="0" w:space="0" w:color="auto"/>
          </w:divBdr>
        </w:div>
        <w:div w:id="468982758">
          <w:marLeft w:val="0"/>
          <w:marRight w:val="0"/>
          <w:marTop w:val="0"/>
          <w:marBottom w:val="0"/>
          <w:divBdr>
            <w:top w:val="none" w:sz="0" w:space="0" w:color="auto"/>
            <w:left w:val="none" w:sz="0" w:space="0" w:color="auto"/>
            <w:bottom w:val="none" w:sz="0" w:space="0" w:color="auto"/>
            <w:right w:val="none" w:sz="0" w:space="0" w:color="auto"/>
          </w:divBdr>
        </w:div>
        <w:div w:id="489953100">
          <w:marLeft w:val="0"/>
          <w:marRight w:val="0"/>
          <w:marTop w:val="0"/>
          <w:marBottom w:val="0"/>
          <w:divBdr>
            <w:top w:val="none" w:sz="0" w:space="0" w:color="auto"/>
            <w:left w:val="none" w:sz="0" w:space="0" w:color="auto"/>
            <w:bottom w:val="none" w:sz="0" w:space="0" w:color="auto"/>
            <w:right w:val="none" w:sz="0" w:space="0" w:color="auto"/>
          </w:divBdr>
        </w:div>
        <w:div w:id="501235919">
          <w:marLeft w:val="0"/>
          <w:marRight w:val="0"/>
          <w:marTop w:val="0"/>
          <w:marBottom w:val="0"/>
          <w:divBdr>
            <w:top w:val="none" w:sz="0" w:space="0" w:color="auto"/>
            <w:left w:val="none" w:sz="0" w:space="0" w:color="auto"/>
            <w:bottom w:val="none" w:sz="0" w:space="0" w:color="auto"/>
            <w:right w:val="none" w:sz="0" w:space="0" w:color="auto"/>
          </w:divBdr>
        </w:div>
        <w:div w:id="526409143">
          <w:marLeft w:val="0"/>
          <w:marRight w:val="0"/>
          <w:marTop w:val="0"/>
          <w:marBottom w:val="0"/>
          <w:divBdr>
            <w:top w:val="none" w:sz="0" w:space="0" w:color="auto"/>
            <w:left w:val="none" w:sz="0" w:space="0" w:color="auto"/>
            <w:bottom w:val="none" w:sz="0" w:space="0" w:color="auto"/>
            <w:right w:val="none" w:sz="0" w:space="0" w:color="auto"/>
          </w:divBdr>
        </w:div>
        <w:div w:id="526725027">
          <w:marLeft w:val="0"/>
          <w:marRight w:val="0"/>
          <w:marTop w:val="0"/>
          <w:marBottom w:val="0"/>
          <w:divBdr>
            <w:top w:val="none" w:sz="0" w:space="0" w:color="auto"/>
            <w:left w:val="none" w:sz="0" w:space="0" w:color="auto"/>
            <w:bottom w:val="none" w:sz="0" w:space="0" w:color="auto"/>
            <w:right w:val="none" w:sz="0" w:space="0" w:color="auto"/>
          </w:divBdr>
        </w:div>
        <w:div w:id="544409344">
          <w:marLeft w:val="0"/>
          <w:marRight w:val="0"/>
          <w:marTop w:val="0"/>
          <w:marBottom w:val="0"/>
          <w:divBdr>
            <w:top w:val="none" w:sz="0" w:space="0" w:color="auto"/>
            <w:left w:val="none" w:sz="0" w:space="0" w:color="auto"/>
            <w:bottom w:val="none" w:sz="0" w:space="0" w:color="auto"/>
            <w:right w:val="none" w:sz="0" w:space="0" w:color="auto"/>
          </w:divBdr>
        </w:div>
        <w:div w:id="625544519">
          <w:marLeft w:val="0"/>
          <w:marRight w:val="0"/>
          <w:marTop w:val="0"/>
          <w:marBottom w:val="0"/>
          <w:divBdr>
            <w:top w:val="none" w:sz="0" w:space="0" w:color="auto"/>
            <w:left w:val="none" w:sz="0" w:space="0" w:color="auto"/>
            <w:bottom w:val="none" w:sz="0" w:space="0" w:color="auto"/>
            <w:right w:val="none" w:sz="0" w:space="0" w:color="auto"/>
          </w:divBdr>
        </w:div>
        <w:div w:id="645940966">
          <w:marLeft w:val="0"/>
          <w:marRight w:val="0"/>
          <w:marTop w:val="0"/>
          <w:marBottom w:val="0"/>
          <w:divBdr>
            <w:top w:val="none" w:sz="0" w:space="0" w:color="auto"/>
            <w:left w:val="none" w:sz="0" w:space="0" w:color="auto"/>
            <w:bottom w:val="none" w:sz="0" w:space="0" w:color="auto"/>
            <w:right w:val="none" w:sz="0" w:space="0" w:color="auto"/>
          </w:divBdr>
        </w:div>
        <w:div w:id="749932531">
          <w:marLeft w:val="0"/>
          <w:marRight w:val="0"/>
          <w:marTop w:val="0"/>
          <w:marBottom w:val="0"/>
          <w:divBdr>
            <w:top w:val="none" w:sz="0" w:space="0" w:color="auto"/>
            <w:left w:val="none" w:sz="0" w:space="0" w:color="auto"/>
            <w:bottom w:val="none" w:sz="0" w:space="0" w:color="auto"/>
            <w:right w:val="none" w:sz="0" w:space="0" w:color="auto"/>
          </w:divBdr>
        </w:div>
        <w:div w:id="826870150">
          <w:marLeft w:val="0"/>
          <w:marRight w:val="0"/>
          <w:marTop w:val="0"/>
          <w:marBottom w:val="0"/>
          <w:divBdr>
            <w:top w:val="none" w:sz="0" w:space="0" w:color="auto"/>
            <w:left w:val="none" w:sz="0" w:space="0" w:color="auto"/>
            <w:bottom w:val="none" w:sz="0" w:space="0" w:color="auto"/>
            <w:right w:val="none" w:sz="0" w:space="0" w:color="auto"/>
          </w:divBdr>
        </w:div>
        <w:div w:id="836001481">
          <w:marLeft w:val="0"/>
          <w:marRight w:val="0"/>
          <w:marTop w:val="0"/>
          <w:marBottom w:val="0"/>
          <w:divBdr>
            <w:top w:val="none" w:sz="0" w:space="0" w:color="auto"/>
            <w:left w:val="none" w:sz="0" w:space="0" w:color="auto"/>
            <w:bottom w:val="none" w:sz="0" w:space="0" w:color="auto"/>
            <w:right w:val="none" w:sz="0" w:space="0" w:color="auto"/>
          </w:divBdr>
        </w:div>
        <w:div w:id="973831600">
          <w:marLeft w:val="0"/>
          <w:marRight w:val="0"/>
          <w:marTop w:val="0"/>
          <w:marBottom w:val="0"/>
          <w:divBdr>
            <w:top w:val="none" w:sz="0" w:space="0" w:color="auto"/>
            <w:left w:val="none" w:sz="0" w:space="0" w:color="auto"/>
            <w:bottom w:val="none" w:sz="0" w:space="0" w:color="auto"/>
            <w:right w:val="none" w:sz="0" w:space="0" w:color="auto"/>
          </w:divBdr>
        </w:div>
        <w:div w:id="1004549338">
          <w:marLeft w:val="0"/>
          <w:marRight w:val="0"/>
          <w:marTop w:val="0"/>
          <w:marBottom w:val="0"/>
          <w:divBdr>
            <w:top w:val="none" w:sz="0" w:space="0" w:color="auto"/>
            <w:left w:val="none" w:sz="0" w:space="0" w:color="auto"/>
            <w:bottom w:val="none" w:sz="0" w:space="0" w:color="auto"/>
            <w:right w:val="none" w:sz="0" w:space="0" w:color="auto"/>
          </w:divBdr>
        </w:div>
        <w:div w:id="1089540894">
          <w:marLeft w:val="0"/>
          <w:marRight w:val="0"/>
          <w:marTop w:val="0"/>
          <w:marBottom w:val="0"/>
          <w:divBdr>
            <w:top w:val="none" w:sz="0" w:space="0" w:color="auto"/>
            <w:left w:val="none" w:sz="0" w:space="0" w:color="auto"/>
            <w:bottom w:val="none" w:sz="0" w:space="0" w:color="auto"/>
            <w:right w:val="none" w:sz="0" w:space="0" w:color="auto"/>
          </w:divBdr>
        </w:div>
        <w:div w:id="1281692129">
          <w:marLeft w:val="0"/>
          <w:marRight w:val="0"/>
          <w:marTop w:val="0"/>
          <w:marBottom w:val="0"/>
          <w:divBdr>
            <w:top w:val="none" w:sz="0" w:space="0" w:color="auto"/>
            <w:left w:val="none" w:sz="0" w:space="0" w:color="auto"/>
            <w:bottom w:val="none" w:sz="0" w:space="0" w:color="auto"/>
            <w:right w:val="none" w:sz="0" w:space="0" w:color="auto"/>
          </w:divBdr>
        </w:div>
        <w:div w:id="1335183331">
          <w:marLeft w:val="0"/>
          <w:marRight w:val="0"/>
          <w:marTop w:val="0"/>
          <w:marBottom w:val="0"/>
          <w:divBdr>
            <w:top w:val="none" w:sz="0" w:space="0" w:color="auto"/>
            <w:left w:val="none" w:sz="0" w:space="0" w:color="auto"/>
            <w:bottom w:val="none" w:sz="0" w:space="0" w:color="auto"/>
            <w:right w:val="none" w:sz="0" w:space="0" w:color="auto"/>
          </w:divBdr>
        </w:div>
        <w:div w:id="1405646448">
          <w:marLeft w:val="0"/>
          <w:marRight w:val="0"/>
          <w:marTop w:val="0"/>
          <w:marBottom w:val="0"/>
          <w:divBdr>
            <w:top w:val="none" w:sz="0" w:space="0" w:color="auto"/>
            <w:left w:val="none" w:sz="0" w:space="0" w:color="auto"/>
            <w:bottom w:val="none" w:sz="0" w:space="0" w:color="auto"/>
            <w:right w:val="none" w:sz="0" w:space="0" w:color="auto"/>
          </w:divBdr>
        </w:div>
        <w:div w:id="1537237679">
          <w:marLeft w:val="0"/>
          <w:marRight w:val="0"/>
          <w:marTop w:val="0"/>
          <w:marBottom w:val="0"/>
          <w:divBdr>
            <w:top w:val="none" w:sz="0" w:space="0" w:color="auto"/>
            <w:left w:val="none" w:sz="0" w:space="0" w:color="auto"/>
            <w:bottom w:val="none" w:sz="0" w:space="0" w:color="auto"/>
            <w:right w:val="none" w:sz="0" w:space="0" w:color="auto"/>
          </w:divBdr>
        </w:div>
        <w:div w:id="1539001490">
          <w:marLeft w:val="0"/>
          <w:marRight w:val="0"/>
          <w:marTop w:val="0"/>
          <w:marBottom w:val="0"/>
          <w:divBdr>
            <w:top w:val="none" w:sz="0" w:space="0" w:color="auto"/>
            <w:left w:val="none" w:sz="0" w:space="0" w:color="auto"/>
            <w:bottom w:val="none" w:sz="0" w:space="0" w:color="auto"/>
            <w:right w:val="none" w:sz="0" w:space="0" w:color="auto"/>
          </w:divBdr>
        </w:div>
        <w:div w:id="1575555025">
          <w:marLeft w:val="0"/>
          <w:marRight w:val="0"/>
          <w:marTop w:val="0"/>
          <w:marBottom w:val="0"/>
          <w:divBdr>
            <w:top w:val="none" w:sz="0" w:space="0" w:color="auto"/>
            <w:left w:val="none" w:sz="0" w:space="0" w:color="auto"/>
            <w:bottom w:val="none" w:sz="0" w:space="0" w:color="auto"/>
            <w:right w:val="none" w:sz="0" w:space="0" w:color="auto"/>
          </w:divBdr>
        </w:div>
        <w:div w:id="1610548813">
          <w:marLeft w:val="0"/>
          <w:marRight w:val="0"/>
          <w:marTop w:val="0"/>
          <w:marBottom w:val="0"/>
          <w:divBdr>
            <w:top w:val="none" w:sz="0" w:space="0" w:color="auto"/>
            <w:left w:val="none" w:sz="0" w:space="0" w:color="auto"/>
            <w:bottom w:val="none" w:sz="0" w:space="0" w:color="auto"/>
            <w:right w:val="none" w:sz="0" w:space="0" w:color="auto"/>
          </w:divBdr>
        </w:div>
        <w:div w:id="1702901308">
          <w:marLeft w:val="0"/>
          <w:marRight w:val="0"/>
          <w:marTop w:val="0"/>
          <w:marBottom w:val="0"/>
          <w:divBdr>
            <w:top w:val="none" w:sz="0" w:space="0" w:color="auto"/>
            <w:left w:val="none" w:sz="0" w:space="0" w:color="auto"/>
            <w:bottom w:val="none" w:sz="0" w:space="0" w:color="auto"/>
            <w:right w:val="none" w:sz="0" w:space="0" w:color="auto"/>
          </w:divBdr>
        </w:div>
        <w:div w:id="1729110266">
          <w:marLeft w:val="0"/>
          <w:marRight w:val="0"/>
          <w:marTop w:val="0"/>
          <w:marBottom w:val="0"/>
          <w:divBdr>
            <w:top w:val="none" w:sz="0" w:space="0" w:color="auto"/>
            <w:left w:val="none" w:sz="0" w:space="0" w:color="auto"/>
            <w:bottom w:val="none" w:sz="0" w:space="0" w:color="auto"/>
            <w:right w:val="none" w:sz="0" w:space="0" w:color="auto"/>
          </w:divBdr>
        </w:div>
        <w:div w:id="1766151115">
          <w:marLeft w:val="0"/>
          <w:marRight w:val="0"/>
          <w:marTop w:val="0"/>
          <w:marBottom w:val="0"/>
          <w:divBdr>
            <w:top w:val="none" w:sz="0" w:space="0" w:color="auto"/>
            <w:left w:val="none" w:sz="0" w:space="0" w:color="auto"/>
            <w:bottom w:val="none" w:sz="0" w:space="0" w:color="auto"/>
            <w:right w:val="none" w:sz="0" w:space="0" w:color="auto"/>
          </w:divBdr>
        </w:div>
        <w:div w:id="1781535149">
          <w:marLeft w:val="0"/>
          <w:marRight w:val="0"/>
          <w:marTop w:val="0"/>
          <w:marBottom w:val="0"/>
          <w:divBdr>
            <w:top w:val="none" w:sz="0" w:space="0" w:color="auto"/>
            <w:left w:val="none" w:sz="0" w:space="0" w:color="auto"/>
            <w:bottom w:val="none" w:sz="0" w:space="0" w:color="auto"/>
            <w:right w:val="none" w:sz="0" w:space="0" w:color="auto"/>
          </w:divBdr>
        </w:div>
        <w:div w:id="1939828167">
          <w:marLeft w:val="0"/>
          <w:marRight w:val="0"/>
          <w:marTop w:val="0"/>
          <w:marBottom w:val="0"/>
          <w:divBdr>
            <w:top w:val="none" w:sz="0" w:space="0" w:color="auto"/>
            <w:left w:val="none" w:sz="0" w:space="0" w:color="auto"/>
            <w:bottom w:val="none" w:sz="0" w:space="0" w:color="auto"/>
            <w:right w:val="none" w:sz="0" w:space="0" w:color="auto"/>
          </w:divBdr>
        </w:div>
        <w:div w:id="1948778587">
          <w:marLeft w:val="0"/>
          <w:marRight w:val="0"/>
          <w:marTop w:val="0"/>
          <w:marBottom w:val="0"/>
          <w:divBdr>
            <w:top w:val="none" w:sz="0" w:space="0" w:color="auto"/>
            <w:left w:val="none" w:sz="0" w:space="0" w:color="auto"/>
            <w:bottom w:val="none" w:sz="0" w:space="0" w:color="auto"/>
            <w:right w:val="none" w:sz="0" w:space="0" w:color="auto"/>
          </w:divBdr>
        </w:div>
        <w:div w:id="2009557336">
          <w:marLeft w:val="0"/>
          <w:marRight w:val="0"/>
          <w:marTop w:val="0"/>
          <w:marBottom w:val="0"/>
          <w:divBdr>
            <w:top w:val="none" w:sz="0" w:space="0" w:color="auto"/>
            <w:left w:val="none" w:sz="0" w:space="0" w:color="auto"/>
            <w:bottom w:val="none" w:sz="0" w:space="0" w:color="auto"/>
            <w:right w:val="none" w:sz="0" w:space="0" w:color="auto"/>
          </w:divBdr>
        </w:div>
        <w:div w:id="2041977036">
          <w:marLeft w:val="0"/>
          <w:marRight w:val="0"/>
          <w:marTop w:val="0"/>
          <w:marBottom w:val="0"/>
          <w:divBdr>
            <w:top w:val="none" w:sz="0" w:space="0" w:color="auto"/>
            <w:left w:val="none" w:sz="0" w:space="0" w:color="auto"/>
            <w:bottom w:val="none" w:sz="0" w:space="0" w:color="auto"/>
            <w:right w:val="none" w:sz="0" w:space="0" w:color="auto"/>
          </w:divBdr>
        </w:div>
        <w:div w:id="2052457533">
          <w:marLeft w:val="0"/>
          <w:marRight w:val="0"/>
          <w:marTop w:val="0"/>
          <w:marBottom w:val="0"/>
          <w:divBdr>
            <w:top w:val="none" w:sz="0" w:space="0" w:color="auto"/>
            <w:left w:val="none" w:sz="0" w:space="0" w:color="auto"/>
            <w:bottom w:val="none" w:sz="0" w:space="0" w:color="auto"/>
            <w:right w:val="none" w:sz="0" w:space="0" w:color="auto"/>
          </w:divBdr>
        </w:div>
        <w:div w:id="2091611758">
          <w:marLeft w:val="0"/>
          <w:marRight w:val="0"/>
          <w:marTop w:val="0"/>
          <w:marBottom w:val="0"/>
          <w:divBdr>
            <w:top w:val="none" w:sz="0" w:space="0" w:color="auto"/>
            <w:left w:val="none" w:sz="0" w:space="0" w:color="auto"/>
            <w:bottom w:val="none" w:sz="0" w:space="0" w:color="auto"/>
            <w:right w:val="none" w:sz="0" w:space="0" w:color="auto"/>
          </w:divBdr>
        </w:div>
      </w:divsChild>
    </w:div>
    <w:div w:id="1396584864">
      <w:bodyDiv w:val="1"/>
      <w:marLeft w:val="0"/>
      <w:marRight w:val="0"/>
      <w:marTop w:val="0"/>
      <w:marBottom w:val="0"/>
      <w:divBdr>
        <w:top w:val="none" w:sz="0" w:space="0" w:color="auto"/>
        <w:left w:val="none" w:sz="0" w:space="0" w:color="auto"/>
        <w:bottom w:val="none" w:sz="0" w:space="0" w:color="auto"/>
        <w:right w:val="none" w:sz="0" w:space="0" w:color="auto"/>
      </w:divBdr>
    </w:div>
    <w:div w:id="18910696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cer.europa.eu/key-developments-european-gas-wholesale-markets-q2-2025" TargetMode="External"/><Relationship Id="rId1" Type="http://schemas.openxmlformats.org/officeDocument/2006/relationships/hyperlink" Target="http://www.acer.europa.eu/key-developments-european-gas-wholesale-markets-q2-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2682</ap:Words>
  <ap:Characters>15040</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2025-09-30T13:27:00.0000000Z</dcterms:created>
  <dcterms:modified xsi:type="dcterms:W3CDTF">2025-09-30T15:39:00.0000000Z</dcterms:modified>
  <dc:description>------------------------</dc:description>
  <version/>
  <category/>
</coreProperties>
</file>