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B0F" w:rsidR="00A65F09" w:rsidRDefault="00B039EC" w14:paraId="09020B17" w14:textId="63BF9CB6">
      <w:pPr>
        <w:rPr>
          <w:rFonts w:ascii="Calibri" w:hAnsi="Calibri" w:cs="Calibri"/>
        </w:rPr>
      </w:pPr>
      <w:r w:rsidRPr="001D6B0F">
        <w:rPr>
          <w:rFonts w:ascii="Calibri" w:hAnsi="Calibri" w:eastAsia="Verdana" w:cs="Calibri"/>
        </w:rPr>
        <w:t>33</w:t>
      </w:r>
      <w:r w:rsidRPr="001D6B0F" w:rsidR="001D6B0F">
        <w:rPr>
          <w:rFonts w:ascii="Calibri" w:hAnsi="Calibri" w:eastAsia="Verdana" w:cs="Calibri"/>
        </w:rPr>
        <w:t xml:space="preserve"> </w:t>
      </w:r>
      <w:r w:rsidRPr="001D6B0F">
        <w:rPr>
          <w:rFonts w:ascii="Calibri" w:hAnsi="Calibri" w:eastAsia="Verdana" w:cs="Calibri"/>
        </w:rPr>
        <w:t>118</w:t>
      </w:r>
      <w:r w:rsidRPr="001D6B0F" w:rsidR="00A65F09">
        <w:rPr>
          <w:rFonts w:ascii="Calibri" w:hAnsi="Calibri" w:eastAsia="Verdana" w:cs="Calibri"/>
        </w:rPr>
        <w:tab/>
      </w:r>
      <w:r w:rsidRPr="001D6B0F" w:rsidR="00A65F09">
        <w:rPr>
          <w:rFonts w:ascii="Calibri" w:hAnsi="Calibri" w:eastAsia="Verdana" w:cs="Calibri"/>
        </w:rPr>
        <w:tab/>
      </w:r>
      <w:r w:rsidRPr="001D6B0F" w:rsidR="00A65F09">
        <w:rPr>
          <w:rFonts w:ascii="Calibri" w:hAnsi="Calibri" w:cs="Calibri"/>
        </w:rPr>
        <w:t>Omgevingsrecht</w:t>
      </w:r>
    </w:p>
    <w:p w:rsidRPr="001D6B0F" w:rsidR="00A65F09" w:rsidP="00A65F09" w:rsidRDefault="00A65F09" w14:paraId="45D8B68A" w14:textId="481EE18C">
      <w:pPr>
        <w:rPr>
          <w:rFonts w:ascii="Calibri" w:hAnsi="Calibri" w:cs="Calibri"/>
        </w:rPr>
      </w:pPr>
      <w:r w:rsidRPr="001D6B0F">
        <w:rPr>
          <w:rFonts w:ascii="Calibri" w:hAnsi="Calibri" w:eastAsia="Verdana" w:cs="Calibri"/>
        </w:rPr>
        <w:t>31</w:t>
      </w:r>
      <w:r w:rsidRPr="001D6B0F" w:rsidR="001D6B0F">
        <w:rPr>
          <w:rFonts w:ascii="Calibri" w:hAnsi="Calibri" w:eastAsia="Verdana" w:cs="Calibri"/>
        </w:rPr>
        <w:t xml:space="preserve"> </w:t>
      </w:r>
      <w:r w:rsidRPr="001D6B0F">
        <w:rPr>
          <w:rFonts w:ascii="Calibri" w:hAnsi="Calibri" w:eastAsia="Verdana" w:cs="Calibri"/>
        </w:rPr>
        <w:t>239</w:t>
      </w:r>
      <w:r w:rsidRPr="001D6B0F">
        <w:rPr>
          <w:rFonts w:ascii="Calibri" w:hAnsi="Calibri" w:eastAsia="Verdana" w:cs="Calibri"/>
        </w:rPr>
        <w:tab/>
      </w:r>
      <w:r w:rsidRPr="001D6B0F">
        <w:rPr>
          <w:rFonts w:ascii="Calibri" w:hAnsi="Calibri" w:eastAsia="Verdana" w:cs="Calibri"/>
        </w:rPr>
        <w:tab/>
      </w:r>
      <w:r w:rsidRPr="001D6B0F">
        <w:rPr>
          <w:rFonts w:ascii="Calibri" w:hAnsi="Calibri" w:cs="Calibri"/>
        </w:rPr>
        <w:t xml:space="preserve">Stimulering duurzame energieproductie </w:t>
      </w:r>
    </w:p>
    <w:p w:rsidRPr="001D6B0F" w:rsidR="00A65F09" w:rsidP="00B6655D" w:rsidRDefault="00A65F09" w14:paraId="2E88B487" w14:textId="77777777">
      <w:pPr>
        <w:rPr>
          <w:rFonts w:ascii="Calibri" w:hAnsi="Calibri" w:eastAsia="Verdana" w:cs="Calibri"/>
        </w:rPr>
      </w:pPr>
      <w:r w:rsidRPr="001D6B0F">
        <w:rPr>
          <w:rFonts w:ascii="Calibri" w:hAnsi="Calibri" w:eastAsia="Verdana" w:cs="Calibri"/>
        </w:rPr>
        <w:t xml:space="preserve">Nr. </w:t>
      </w:r>
      <w:r w:rsidRPr="001D6B0F" w:rsidR="00B039EC">
        <w:rPr>
          <w:rFonts w:ascii="Calibri" w:hAnsi="Calibri" w:eastAsia="Verdana" w:cs="Calibri"/>
        </w:rPr>
        <w:t>304</w:t>
      </w:r>
      <w:r w:rsidRPr="001D6B0F">
        <w:rPr>
          <w:rFonts w:ascii="Calibri" w:hAnsi="Calibri" w:eastAsia="Verdana" w:cs="Calibri"/>
        </w:rPr>
        <w:tab/>
      </w:r>
      <w:r w:rsidRPr="001D6B0F">
        <w:rPr>
          <w:rFonts w:ascii="Calibri" w:hAnsi="Calibri" w:eastAsia="Verdana" w:cs="Calibri"/>
        </w:rPr>
        <w:tab/>
        <w:t>Brief van de minister van Klimaat en Groene Groei</w:t>
      </w:r>
    </w:p>
    <w:p w:rsidRPr="001D6B0F" w:rsidR="00A65F09" w:rsidP="00B6655D" w:rsidRDefault="00A65F09" w14:paraId="51D46EDE" w14:textId="77777777">
      <w:pPr>
        <w:rPr>
          <w:rFonts w:ascii="Calibri" w:hAnsi="Calibri" w:eastAsia="Verdana" w:cs="Calibri"/>
        </w:rPr>
      </w:pPr>
      <w:r w:rsidRPr="001D6B0F">
        <w:rPr>
          <w:rFonts w:ascii="Calibri" w:hAnsi="Calibri" w:eastAsia="Verdana" w:cs="Calibri"/>
        </w:rPr>
        <w:t>Aan de Voorzitter van de Tweede Kamer der Staten-Generaal</w:t>
      </w:r>
    </w:p>
    <w:p w:rsidRPr="001D6B0F" w:rsidR="00A65F09" w:rsidRDefault="00A65F09" w14:paraId="3C99DEE5" w14:textId="2BE9DD3A">
      <w:pPr>
        <w:rPr>
          <w:rFonts w:ascii="Calibri" w:hAnsi="Calibri" w:cs="Calibri"/>
        </w:rPr>
      </w:pPr>
      <w:r w:rsidRPr="001D6B0F">
        <w:rPr>
          <w:rFonts w:ascii="Calibri" w:hAnsi="Calibri" w:eastAsia="Verdana" w:cs="Calibri"/>
        </w:rPr>
        <w:t>Den Haag, 26 september 2025</w:t>
      </w:r>
      <w:r w:rsidRPr="001D6B0F" w:rsidR="004605F7">
        <w:rPr>
          <w:rFonts w:ascii="Calibri" w:hAnsi="Calibri" w:eastAsia="Verdana" w:cs="Calibri"/>
        </w:rPr>
        <w:br/>
      </w:r>
    </w:p>
    <w:p w:rsidRPr="001D6B0F" w:rsidR="00B6655D" w:rsidP="00B6655D" w:rsidRDefault="00B6655D" w14:paraId="0531F94C" w14:textId="443EDA39">
      <w:pPr>
        <w:rPr>
          <w:rFonts w:ascii="Calibri" w:hAnsi="Calibri" w:cs="Calibri"/>
        </w:rPr>
      </w:pPr>
      <w:r w:rsidRPr="001D6B0F">
        <w:rPr>
          <w:rFonts w:ascii="Calibri" w:hAnsi="Calibri" w:eastAsia="Verdana" w:cs="Calibri"/>
        </w:rPr>
        <w:t>Hierbij biedt het kabinet u aan het ontwerpbesluit houdende wijziging van het Omgevingsbesluit in verband met de aanwijzing van besluiten van bepaalde elektriciteitsprojecten waarvan de versnelde uitvoering noodzakelijk is vanwege zwaarwegende maatschappelijke belangen (Besluit procedurele versnellingen elektriciteitsprojecten). Voor de inhoud verwijst het kabinet u naar het ontwerpbesluit en de nota van toelichting in de bijlage. Tevens zijn bijgesloten de ontvangen reacties van de Afdeling bestuursrechtspraak van de Raad van State en van de Raad voor de rechtspraak:</w:t>
      </w:r>
    </w:p>
    <w:p w:rsidRPr="001D6B0F" w:rsidR="00B6655D" w:rsidP="00B6655D" w:rsidRDefault="00B6655D" w14:paraId="69357B13" w14:textId="77777777">
      <w:pPr>
        <w:pStyle w:val="Lijstalinea"/>
        <w:numPr>
          <w:ilvl w:val="0"/>
          <w:numId w:val="2"/>
        </w:numPr>
        <w:spacing w:after="0" w:line="240" w:lineRule="atLeast"/>
        <w:ind w:left="360"/>
        <w:rPr>
          <w:rFonts w:ascii="Calibri" w:hAnsi="Calibri" w:eastAsia="Verdana" w:cs="Calibri"/>
        </w:rPr>
      </w:pPr>
      <w:r w:rsidRPr="001D6B0F">
        <w:rPr>
          <w:rFonts w:ascii="Calibri" w:hAnsi="Calibri" w:eastAsia="Verdana" w:cs="Calibri"/>
        </w:rPr>
        <w:t>Afdeling bestuursrechtspraak van de Raad van State, ‘brief van de voorzitter van de Afdeling bestuursrechtspraak met een reactie op het consultatieverzoek over het Besluit procedurele versnellingen elektriciteitsprojecten’, d.d. 8 juli 2024</w:t>
      </w:r>
    </w:p>
    <w:p w:rsidRPr="001D6B0F" w:rsidR="00B6655D" w:rsidP="00B6655D" w:rsidRDefault="00B6655D" w14:paraId="43BF7705" w14:textId="77777777">
      <w:pPr>
        <w:pStyle w:val="Lijstalinea"/>
        <w:numPr>
          <w:ilvl w:val="0"/>
          <w:numId w:val="2"/>
        </w:numPr>
        <w:spacing w:after="0" w:line="240" w:lineRule="atLeast"/>
        <w:ind w:left="360"/>
        <w:rPr>
          <w:rFonts w:ascii="Calibri" w:hAnsi="Calibri" w:eastAsia="Verdana" w:cs="Calibri"/>
        </w:rPr>
      </w:pPr>
      <w:r w:rsidRPr="001D6B0F">
        <w:rPr>
          <w:rFonts w:ascii="Calibri" w:hAnsi="Calibri" w:eastAsia="Verdana" w:cs="Calibri"/>
        </w:rPr>
        <w:t xml:space="preserve">Raad voor de rechtspraak, ‘Advies inzake het ontwerpbesluit procedurele versnellingen elektriciteitsprojecten’, d.d. 5 september 2024  </w:t>
      </w:r>
    </w:p>
    <w:p w:rsidRPr="001D6B0F" w:rsidR="00B6655D" w:rsidP="00B6655D" w:rsidRDefault="00B6655D" w14:paraId="2345E2F8" w14:textId="77777777">
      <w:pPr>
        <w:rPr>
          <w:rFonts w:ascii="Calibri" w:hAnsi="Calibri" w:cs="Calibri"/>
        </w:rPr>
      </w:pPr>
      <w:r w:rsidRPr="001D6B0F">
        <w:rPr>
          <w:rFonts w:ascii="Calibri" w:hAnsi="Calibri" w:eastAsia="Verdana" w:cs="Calibri"/>
        </w:rPr>
        <w:t xml:space="preserve"> </w:t>
      </w:r>
    </w:p>
    <w:p w:rsidRPr="001D6B0F" w:rsidR="00B6655D" w:rsidP="00B6655D" w:rsidRDefault="00B6655D" w14:paraId="4B210A00" w14:textId="77777777">
      <w:pPr>
        <w:rPr>
          <w:rFonts w:ascii="Calibri" w:hAnsi="Calibri" w:cs="Calibri"/>
        </w:rPr>
      </w:pPr>
      <w:r w:rsidRPr="001D6B0F">
        <w:rPr>
          <w:rFonts w:ascii="Calibri" w:hAnsi="Calibri" w:eastAsia="Verdana" w:cs="Calibri"/>
        </w:rPr>
        <w:t>In aanvulling op bovenstaande reacties is het van belang op te merken dat verschillende andere geconsulteerde partijen te kennen hebben gegeven geen aanleiding te zien voor een advies. Hieronder treft u een overzicht aan van deze reacties.</w:t>
      </w:r>
    </w:p>
    <w:p w:rsidRPr="001D6B0F" w:rsidR="00B6655D" w:rsidP="00B6655D" w:rsidRDefault="00B6655D" w14:paraId="4D898DE5" w14:textId="77777777">
      <w:pPr>
        <w:pStyle w:val="Lijstalinea"/>
        <w:numPr>
          <w:ilvl w:val="0"/>
          <w:numId w:val="1"/>
        </w:numPr>
        <w:spacing w:after="0" w:line="240" w:lineRule="atLeast"/>
        <w:ind w:left="360"/>
        <w:rPr>
          <w:rFonts w:ascii="Calibri" w:hAnsi="Calibri" w:eastAsia="Verdana" w:cs="Calibri"/>
        </w:rPr>
      </w:pPr>
      <w:r w:rsidRPr="001D6B0F">
        <w:rPr>
          <w:rFonts w:ascii="Calibri" w:hAnsi="Calibri" w:eastAsia="Verdana" w:cs="Calibri"/>
        </w:rPr>
        <w:t xml:space="preserve">De afdeling wetgevingstoetsing van het ministerie van Justitie en Veiligheid liet op 3 mei 2024 weten toetsing van dit dossier, gelet op het nieuwe toetsingskader, niet nodig te vinden. </w:t>
      </w:r>
    </w:p>
    <w:p w:rsidRPr="001D6B0F" w:rsidR="00B6655D" w:rsidP="00B6655D" w:rsidRDefault="00B6655D" w14:paraId="3115799C" w14:textId="77777777">
      <w:pPr>
        <w:pStyle w:val="Lijstalinea"/>
        <w:numPr>
          <w:ilvl w:val="0"/>
          <w:numId w:val="1"/>
        </w:numPr>
        <w:spacing w:after="0" w:line="240" w:lineRule="atLeast"/>
        <w:ind w:left="360"/>
        <w:rPr>
          <w:rFonts w:ascii="Calibri" w:hAnsi="Calibri" w:eastAsia="Verdana" w:cs="Calibri"/>
        </w:rPr>
      </w:pPr>
      <w:r w:rsidRPr="001D6B0F">
        <w:rPr>
          <w:rFonts w:ascii="Calibri" w:hAnsi="Calibri" w:eastAsia="Verdana" w:cs="Calibri"/>
        </w:rPr>
        <w:t>De adviescommissie toetsing regeldruk (ATR) gaf op 19 juni 2024 aan het besluit niet te selecteren voor een formeel advies, omdat het dossier geen gevolgen heeft door de regeldruk.</w:t>
      </w:r>
    </w:p>
    <w:p w:rsidRPr="001D6B0F" w:rsidR="00B6655D" w:rsidP="00B6655D" w:rsidRDefault="00B6655D" w14:paraId="1FE73356" w14:textId="77777777">
      <w:pPr>
        <w:pStyle w:val="Lijstalinea"/>
        <w:numPr>
          <w:ilvl w:val="0"/>
          <w:numId w:val="1"/>
        </w:numPr>
        <w:spacing w:after="0" w:line="240" w:lineRule="atLeast"/>
        <w:ind w:left="360"/>
        <w:rPr>
          <w:rFonts w:ascii="Calibri" w:hAnsi="Calibri" w:eastAsia="Verdana" w:cs="Calibri"/>
        </w:rPr>
      </w:pPr>
      <w:r w:rsidRPr="001D6B0F">
        <w:rPr>
          <w:rFonts w:ascii="Calibri" w:hAnsi="Calibri" w:eastAsia="Verdana" w:cs="Calibri"/>
        </w:rPr>
        <w:t>De notificatie-coördinator van het ministerie van KGG heeft op 22 juli 2024 laten weten dat geen sprake is van voorschriften die genotificeerd moeten worden als technische voorschriften dan wel op grond van de Dienstenrichtlijn.</w:t>
      </w:r>
    </w:p>
    <w:p w:rsidRPr="001D6B0F" w:rsidR="00B6655D" w:rsidP="00B6655D" w:rsidRDefault="00B6655D" w14:paraId="03A91FAC" w14:textId="77777777">
      <w:pPr>
        <w:pStyle w:val="Lijstalinea"/>
        <w:numPr>
          <w:ilvl w:val="0"/>
          <w:numId w:val="1"/>
        </w:numPr>
        <w:spacing w:after="0" w:line="240" w:lineRule="atLeast"/>
        <w:ind w:left="360"/>
        <w:rPr>
          <w:rFonts w:ascii="Calibri" w:hAnsi="Calibri" w:eastAsia="Verdana" w:cs="Calibri"/>
        </w:rPr>
      </w:pPr>
      <w:r w:rsidRPr="001D6B0F">
        <w:rPr>
          <w:rFonts w:ascii="Calibri" w:hAnsi="Calibri" w:eastAsia="Verdana" w:cs="Calibri"/>
        </w:rPr>
        <w:t>Ten slotte heeft de Vereniging voor rechtspraak op 15 augustus 2024 laten weten dat haar wetenschappelijke commissie geen aanleiding ziet om een advies uit te brengen.</w:t>
      </w:r>
    </w:p>
    <w:p w:rsidRPr="001D6B0F" w:rsidR="00B6655D" w:rsidP="00B6655D" w:rsidRDefault="00B6655D" w14:paraId="0A30AA28" w14:textId="77777777">
      <w:pPr>
        <w:rPr>
          <w:rFonts w:ascii="Calibri" w:hAnsi="Calibri" w:cs="Calibri"/>
        </w:rPr>
      </w:pPr>
      <w:r w:rsidRPr="001D6B0F">
        <w:rPr>
          <w:rFonts w:ascii="Calibri" w:hAnsi="Calibri" w:eastAsia="Verdana" w:cs="Calibri"/>
        </w:rPr>
        <w:t xml:space="preserve"> </w:t>
      </w:r>
    </w:p>
    <w:p w:rsidRPr="001D6B0F" w:rsidR="00B6655D" w:rsidP="00B6655D" w:rsidRDefault="00B6655D" w14:paraId="07FC7B81" w14:textId="77777777">
      <w:pPr>
        <w:rPr>
          <w:rFonts w:ascii="Calibri" w:hAnsi="Calibri" w:cs="Calibri"/>
        </w:rPr>
      </w:pPr>
      <w:r w:rsidRPr="001D6B0F">
        <w:rPr>
          <w:rFonts w:ascii="Calibri" w:hAnsi="Calibri" w:eastAsia="Verdana" w:cs="Calibri"/>
        </w:rPr>
        <w:t xml:space="preserve">De voorlegging geschiedt in het kader van de wettelijk voorgeschreven voorhangprocedure (artikel 23.5 van de Omgevingswet) en biedt uw Kamer de mogelijkheid zich uit te spreken over het ontwerpbesluit voordat het aan de </w:t>
      </w:r>
      <w:r w:rsidRPr="001D6B0F">
        <w:rPr>
          <w:rFonts w:ascii="Calibri" w:hAnsi="Calibri" w:eastAsia="Verdana" w:cs="Calibri"/>
        </w:rPr>
        <w:lastRenderedPageBreak/>
        <w:t>Afdeling advisering van de Raad van State zal worden voorgelegd en vervolgens zal worden vastgesteld.</w:t>
      </w:r>
    </w:p>
    <w:p w:rsidRPr="001D6B0F" w:rsidR="00B6655D" w:rsidP="00B6655D" w:rsidRDefault="00B6655D" w14:paraId="7C1AB576" w14:textId="77777777">
      <w:pPr>
        <w:tabs>
          <w:tab w:val="left" w:pos="426"/>
        </w:tabs>
        <w:rPr>
          <w:rFonts w:ascii="Calibri" w:hAnsi="Calibri" w:cs="Calibri"/>
        </w:rPr>
      </w:pPr>
      <w:r w:rsidRPr="001D6B0F">
        <w:rPr>
          <w:rFonts w:ascii="Calibri" w:hAnsi="Calibri" w:eastAsia="Verdana" w:cs="Calibri"/>
        </w:rPr>
        <w:t xml:space="preserve"> </w:t>
      </w:r>
    </w:p>
    <w:p w:rsidRPr="001D6B0F" w:rsidR="00B6655D" w:rsidP="00B6655D" w:rsidRDefault="00B6655D" w14:paraId="27B07983" w14:textId="29165855">
      <w:pPr>
        <w:tabs>
          <w:tab w:val="left" w:pos="426"/>
        </w:tabs>
        <w:rPr>
          <w:rFonts w:ascii="Calibri" w:hAnsi="Calibri" w:cs="Calibri"/>
        </w:rPr>
      </w:pPr>
      <w:r w:rsidRPr="001D6B0F">
        <w:rPr>
          <w:rFonts w:ascii="Calibri" w:hAnsi="Calibri" w:eastAsia="Verdana" w:cs="Calibri"/>
        </w:rPr>
        <w:t>Op grond van de aangehaalde bepalingen geschiedt de voordracht aan de Koning ter verkrijging van het advies van de Afdeling advisering van de Raad van State niet eerder dan vier weken nadat het ontwerpbesluit aan beide Kamers der Staten-Generaal is overgelegd. In overeenstemming met de regel dat ten minste drie vierde deel van de voorhangtermijn buiten een reces valt, wordt deze termijn in verband met het verkiezingsreces van de Tweede Kamer verlengd tot en met  21 november 2025.</w:t>
      </w:r>
    </w:p>
    <w:p w:rsidRPr="001D6B0F" w:rsidR="00B6655D" w:rsidP="00B6655D" w:rsidRDefault="00B6655D" w14:paraId="383263FE" w14:textId="77777777">
      <w:pPr>
        <w:tabs>
          <w:tab w:val="left" w:pos="426"/>
        </w:tabs>
        <w:rPr>
          <w:rFonts w:ascii="Calibri" w:hAnsi="Calibri" w:cs="Calibri"/>
        </w:rPr>
      </w:pPr>
      <w:r w:rsidRPr="001D6B0F">
        <w:rPr>
          <w:rFonts w:ascii="Calibri" w:hAnsi="Calibri" w:eastAsia="Verdana" w:cs="Calibri"/>
        </w:rPr>
        <w:t xml:space="preserve"> </w:t>
      </w:r>
    </w:p>
    <w:p w:rsidRPr="001D6B0F" w:rsidR="00B6655D" w:rsidP="00B6655D" w:rsidRDefault="00B6655D" w14:paraId="0032D31B" w14:textId="77777777">
      <w:pPr>
        <w:tabs>
          <w:tab w:val="left" w:pos="426"/>
        </w:tabs>
        <w:rPr>
          <w:rFonts w:ascii="Calibri" w:hAnsi="Calibri" w:cs="Calibri"/>
        </w:rPr>
      </w:pPr>
      <w:r w:rsidRPr="001D6B0F">
        <w:rPr>
          <w:rFonts w:ascii="Calibri" w:hAnsi="Calibri" w:cs="Calibri"/>
        </w:rPr>
        <w:t>Een gelijkluidende brief is verzonden aan de voorzitter van de Eerste Kamer der Staten-Generaal.</w:t>
      </w:r>
    </w:p>
    <w:p w:rsidRPr="001D6B0F" w:rsidR="001D6B0F" w:rsidP="00B6655D" w:rsidRDefault="001D6B0F" w14:paraId="1C522AF7" w14:textId="77777777">
      <w:pPr>
        <w:rPr>
          <w:rFonts w:ascii="Calibri" w:hAnsi="Calibri" w:cs="Calibri"/>
        </w:rPr>
      </w:pPr>
    </w:p>
    <w:p w:rsidRPr="001D6B0F" w:rsidR="001D6B0F" w:rsidP="00B70593" w:rsidRDefault="001D6B0F" w14:paraId="17471229" w14:textId="67DA3959">
      <w:pPr>
        <w:spacing w:after="0" w:line="240" w:lineRule="auto"/>
        <w:rPr>
          <w:rFonts w:ascii="Calibri" w:hAnsi="Calibri" w:cs="Calibri"/>
        </w:rPr>
      </w:pPr>
      <w:r w:rsidRPr="001D6B0F">
        <w:rPr>
          <w:rFonts w:ascii="Calibri" w:hAnsi="Calibri" w:cs="Calibri"/>
        </w:rPr>
        <w:t>De m</w:t>
      </w:r>
      <w:r w:rsidRPr="001D6B0F">
        <w:rPr>
          <w:rFonts w:ascii="Calibri" w:hAnsi="Calibri" w:cs="Calibri"/>
        </w:rPr>
        <w:t>inister van Klimaat en Groene Groei</w:t>
      </w:r>
      <w:r w:rsidRPr="001D6B0F">
        <w:rPr>
          <w:rFonts w:ascii="Calibri" w:hAnsi="Calibri" w:cs="Calibri"/>
        </w:rPr>
        <w:t>,</w:t>
      </w:r>
    </w:p>
    <w:p w:rsidRPr="001D6B0F" w:rsidR="00B6655D" w:rsidP="00B70593" w:rsidRDefault="00B6655D" w14:paraId="1A9A345C" w14:textId="031BD204">
      <w:pPr>
        <w:spacing w:after="0" w:line="240" w:lineRule="auto"/>
        <w:rPr>
          <w:rFonts w:ascii="Calibri" w:hAnsi="Calibri" w:cs="Calibri"/>
        </w:rPr>
      </w:pPr>
      <w:r w:rsidRPr="001D6B0F">
        <w:rPr>
          <w:rFonts w:ascii="Calibri" w:hAnsi="Calibri" w:cs="Calibri"/>
        </w:rPr>
        <w:t>S</w:t>
      </w:r>
      <w:r w:rsidRPr="001D6B0F" w:rsidR="001D6B0F">
        <w:rPr>
          <w:rFonts w:ascii="Calibri" w:hAnsi="Calibri" w:cs="Calibri"/>
        </w:rPr>
        <w:t xml:space="preserve">.T.M. </w:t>
      </w:r>
      <w:r w:rsidRPr="001D6B0F">
        <w:rPr>
          <w:rFonts w:ascii="Calibri" w:hAnsi="Calibri" w:cs="Calibri"/>
        </w:rPr>
        <w:t>Hermans</w:t>
      </w:r>
    </w:p>
    <w:p w:rsidRPr="001D6B0F" w:rsidR="001D6B0F" w:rsidP="00B6655D" w:rsidRDefault="001D6B0F" w14:paraId="03801D66" w14:textId="77777777">
      <w:pPr>
        <w:rPr>
          <w:rFonts w:ascii="Calibri" w:hAnsi="Calibri" w:cs="Calibri"/>
          <w:szCs w:val="18"/>
        </w:rPr>
      </w:pPr>
    </w:p>
    <w:p w:rsidRPr="001D6B0F" w:rsidR="00B6655D" w:rsidP="00B6655D" w:rsidRDefault="00B6655D" w14:paraId="62071665" w14:textId="240D30D0">
      <w:pPr>
        <w:spacing w:line="140" w:lineRule="atLeast"/>
        <w:rPr>
          <w:rFonts w:ascii="Calibri" w:hAnsi="Calibri" w:cs="Calibri"/>
          <w:sz w:val="20"/>
          <w:szCs w:val="20"/>
        </w:rPr>
      </w:pPr>
      <w:r w:rsidRPr="001D6B0F">
        <w:rPr>
          <w:rFonts w:ascii="Calibri" w:hAnsi="Calibri" w:cs="Calibri"/>
          <w:sz w:val="20"/>
          <w:szCs w:val="20"/>
        </w:rPr>
        <w:t>Ontvangen ter Griffie op 26 september 2025.</w:t>
      </w:r>
    </w:p>
    <w:p w:rsidRPr="001D6B0F" w:rsidR="00B6655D" w:rsidP="00B6655D" w:rsidRDefault="00B6655D" w14:paraId="39371CEE" w14:textId="0484C679">
      <w:pPr>
        <w:spacing w:line="140" w:lineRule="atLeast"/>
        <w:rPr>
          <w:rFonts w:ascii="Calibri" w:hAnsi="Calibri" w:cs="Calibri"/>
          <w:sz w:val="20"/>
          <w:szCs w:val="20"/>
        </w:rPr>
      </w:pPr>
      <w:r w:rsidRPr="001D6B0F">
        <w:rPr>
          <w:rFonts w:ascii="Calibri" w:hAnsi="Calibri" w:cs="Calibri"/>
          <w:sz w:val="20"/>
          <w:szCs w:val="20"/>
        </w:rPr>
        <w:t xml:space="preserve">De voordracht voor de vast te stellen </w:t>
      </w:r>
      <w:r w:rsidRPr="001D6B0F">
        <w:rPr>
          <w:rFonts w:ascii="Calibri" w:hAnsi="Calibri" w:cs="Calibri"/>
          <w:sz w:val="20"/>
          <w:szCs w:val="20"/>
        </w:rPr>
        <w:br/>
        <w:t xml:space="preserve">algemene maatregel van bestuur is </w:t>
      </w:r>
      <w:r w:rsidRPr="001D6B0F">
        <w:rPr>
          <w:rFonts w:ascii="Calibri" w:hAnsi="Calibri" w:cs="Calibri"/>
          <w:sz w:val="20"/>
          <w:szCs w:val="20"/>
        </w:rPr>
        <w:br/>
        <w:t xml:space="preserve">aan de Kamer overgelegd tot en met </w:t>
      </w:r>
      <w:r w:rsidRPr="001D6B0F">
        <w:rPr>
          <w:rFonts w:ascii="Calibri" w:hAnsi="Calibri" w:cs="Calibri"/>
          <w:sz w:val="20"/>
          <w:szCs w:val="20"/>
        </w:rPr>
        <w:br/>
      </w:r>
      <w:r w:rsidRPr="001D6B0F" w:rsidR="007410DA">
        <w:rPr>
          <w:rFonts w:ascii="Calibri" w:hAnsi="Calibri" w:cs="Calibri"/>
          <w:sz w:val="20"/>
          <w:szCs w:val="20"/>
        </w:rPr>
        <w:t>21</w:t>
      </w:r>
      <w:r w:rsidRPr="001D6B0F">
        <w:rPr>
          <w:rFonts w:ascii="Calibri" w:hAnsi="Calibri" w:cs="Calibri"/>
          <w:sz w:val="20"/>
          <w:szCs w:val="20"/>
        </w:rPr>
        <w:t xml:space="preserve"> november 2025.</w:t>
      </w:r>
    </w:p>
    <w:p w:rsidRPr="001D6B0F" w:rsidR="00B6655D" w:rsidP="00B6655D" w:rsidRDefault="00B6655D" w14:paraId="125DB8C5" w14:textId="6A88E49E">
      <w:pPr>
        <w:spacing w:line="140" w:lineRule="atLeast"/>
        <w:rPr>
          <w:rFonts w:ascii="Calibri" w:hAnsi="Calibri" w:cs="Calibri"/>
          <w:sz w:val="20"/>
          <w:szCs w:val="20"/>
        </w:rPr>
      </w:pPr>
      <w:r w:rsidRPr="001D6B0F">
        <w:rPr>
          <w:rFonts w:ascii="Calibri" w:hAnsi="Calibri" w:cs="Calibri"/>
          <w:sz w:val="20"/>
          <w:szCs w:val="20"/>
        </w:rPr>
        <w:t xml:space="preserve">De voordracht voor de vast te stellen </w:t>
      </w:r>
      <w:r w:rsidRPr="001D6B0F">
        <w:rPr>
          <w:rFonts w:ascii="Calibri" w:hAnsi="Calibri" w:cs="Calibri"/>
          <w:sz w:val="20"/>
          <w:szCs w:val="20"/>
        </w:rPr>
        <w:br/>
        <w:t xml:space="preserve">algemene maatregel van bestuur kan </w:t>
      </w:r>
      <w:r w:rsidRPr="001D6B0F">
        <w:rPr>
          <w:rFonts w:ascii="Calibri" w:hAnsi="Calibri" w:cs="Calibri"/>
          <w:sz w:val="20"/>
          <w:szCs w:val="20"/>
        </w:rPr>
        <w:br/>
        <w:t xml:space="preserve">niet eerder worden gedaan dan op </w:t>
      </w:r>
      <w:r w:rsidRPr="001D6B0F">
        <w:rPr>
          <w:rFonts w:ascii="Calibri" w:hAnsi="Calibri" w:cs="Calibri"/>
          <w:sz w:val="20"/>
          <w:szCs w:val="20"/>
        </w:rPr>
        <w:br/>
      </w:r>
      <w:r w:rsidRPr="001D6B0F" w:rsidR="007410DA">
        <w:rPr>
          <w:rFonts w:ascii="Calibri" w:hAnsi="Calibri" w:cs="Calibri"/>
          <w:sz w:val="20"/>
          <w:szCs w:val="20"/>
        </w:rPr>
        <w:t>22</w:t>
      </w:r>
      <w:r w:rsidRPr="001D6B0F">
        <w:rPr>
          <w:rFonts w:ascii="Calibri" w:hAnsi="Calibri" w:cs="Calibri"/>
          <w:sz w:val="20"/>
          <w:szCs w:val="20"/>
        </w:rPr>
        <w:t xml:space="preserve"> november 202</w:t>
      </w:r>
      <w:r w:rsidRPr="001D6B0F" w:rsidR="00B039EC">
        <w:rPr>
          <w:rFonts w:ascii="Calibri" w:hAnsi="Calibri" w:cs="Calibri"/>
          <w:sz w:val="20"/>
          <w:szCs w:val="20"/>
        </w:rPr>
        <w:t>5</w:t>
      </w:r>
      <w:r w:rsidRPr="001D6B0F">
        <w:rPr>
          <w:rFonts w:ascii="Calibri" w:hAnsi="Calibri" w:cs="Calibri"/>
          <w:sz w:val="20"/>
          <w:szCs w:val="20"/>
        </w:rPr>
        <w:t>.</w:t>
      </w:r>
    </w:p>
    <w:p w:rsidRPr="001D6B0F" w:rsidR="00B039EC" w:rsidP="00B039EC" w:rsidRDefault="00B039EC" w14:paraId="258F923B" w14:textId="56E18AFC">
      <w:pPr>
        <w:rPr>
          <w:rFonts w:ascii="Calibri" w:hAnsi="Calibri" w:cs="Calibri"/>
          <w:b/>
          <w:bCs/>
          <w:i/>
          <w:sz w:val="20"/>
          <w:szCs w:val="20"/>
        </w:rPr>
      </w:pPr>
      <w:r w:rsidRPr="001D6B0F">
        <w:rPr>
          <w:rFonts w:ascii="Calibri" w:hAnsi="Calibri" w:cs="Calibri"/>
          <w:b/>
          <w:bCs/>
          <w:i/>
          <w:sz w:val="20"/>
          <w:szCs w:val="20"/>
        </w:rPr>
        <w:t xml:space="preserve">Bij deze termijn is rekening gehouden </w:t>
      </w:r>
      <w:r w:rsidRPr="001D6B0F">
        <w:rPr>
          <w:rFonts w:ascii="Calibri" w:hAnsi="Calibri" w:cs="Calibri"/>
          <w:b/>
          <w:bCs/>
          <w:i/>
          <w:sz w:val="20"/>
          <w:szCs w:val="20"/>
        </w:rPr>
        <w:br/>
        <w:t>met de recesperiode van de Tweede Kamer</w:t>
      </w:r>
    </w:p>
    <w:p w:rsidRPr="001D6B0F" w:rsidR="006F53E6" w:rsidRDefault="006F53E6" w14:paraId="42E62181" w14:textId="77777777">
      <w:pPr>
        <w:rPr>
          <w:rFonts w:ascii="Calibri" w:hAnsi="Calibri" w:cs="Calibri"/>
        </w:rPr>
      </w:pPr>
    </w:p>
    <w:sectPr w:rsidRPr="001D6B0F" w:rsidR="006F53E6" w:rsidSect="00B6655D">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C30D" w14:textId="77777777" w:rsidR="00B6655D" w:rsidRDefault="00B6655D" w:rsidP="00B6655D">
      <w:pPr>
        <w:spacing w:after="0" w:line="240" w:lineRule="auto"/>
      </w:pPr>
      <w:r>
        <w:separator/>
      </w:r>
    </w:p>
  </w:endnote>
  <w:endnote w:type="continuationSeparator" w:id="0">
    <w:p w14:paraId="63A4D3FC" w14:textId="77777777" w:rsidR="00B6655D" w:rsidRDefault="00B6655D" w:rsidP="00B6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28FF" w14:textId="77777777" w:rsidR="00B6655D" w:rsidRPr="00B6655D" w:rsidRDefault="00B6655D" w:rsidP="00B665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9859" w14:textId="77777777" w:rsidR="00B6655D" w:rsidRPr="00B6655D" w:rsidRDefault="00B6655D" w:rsidP="00B665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2941" w14:textId="77777777" w:rsidR="00B6655D" w:rsidRPr="00B6655D" w:rsidRDefault="00B6655D" w:rsidP="00B66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FFD4" w14:textId="77777777" w:rsidR="00B6655D" w:rsidRDefault="00B6655D" w:rsidP="00B6655D">
      <w:pPr>
        <w:spacing w:after="0" w:line="240" w:lineRule="auto"/>
      </w:pPr>
      <w:r>
        <w:separator/>
      </w:r>
    </w:p>
  </w:footnote>
  <w:footnote w:type="continuationSeparator" w:id="0">
    <w:p w14:paraId="22C0E945" w14:textId="77777777" w:rsidR="00B6655D" w:rsidRDefault="00B6655D" w:rsidP="00B6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3DB0" w14:textId="77777777" w:rsidR="00B6655D" w:rsidRPr="00B6655D" w:rsidRDefault="00B6655D" w:rsidP="00B665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FAA8" w14:textId="77777777" w:rsidR="00B6655D" w:rsidRPr="00B6655D" w:rsidRDefault="00B6655D" w:rsidP="00B665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D76C" w14:textId="77777777" w:rsidR="00B6655D" w:rsidRPr="00B6655D" w:rsidRDefault="00B6655D" w:rsidP="00B665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A5970"/>
    <w:multiLevelType w:val="hybridMultilevel"/>
    <w:tmpl w:val="0C2AE9BA"/>
    <w:lvl w:ilvl="0" w:tplc="06787556">
      <w:start w:val="1"/>
      <w:numFmt w:val="bullet"/>
      <w:lvlText w:val="-"/>
      <w:lvlJc w:val="left"/>
      <w:pPr>
        <w:ind w:left="720" w:hanging="360"/>
      </w:pPr>
      <w:rPr>
        <w:rFonts w:ascii="Symbol" w:hAnsi="Symbol" w:hint="default"/>
      </w:rPr>
    </w:lvl>
    <w:lvl w:ilvl="1" w:tplc="FBBE5DD6">
      <w:start w:val="1"/>
      <w:numFmt w:val="bullet"/>
      <w:lvlText w:val="o"/>
      <w:lvlJc w:val="left"/>
      <w:pPr>
        <w:ind w:left="1440" w:hanging="360"/>
      </w:pPr>
      <w:rPr>
        <w:rFonts w:ascii="Courier New" w:hAnsi="Courier New" w:hint="default"/>
      </w:rPr>
    </w:lvl>
    <w:lvl w:ilvl="2" w:tplc="482A0178">
      <w:start w:val="1"/>
      <w:numFmt w:val="bullet"/>
      <w:lvlText w:val=""/>
      <w:lvlJc w:val="left"/>
      <w:pPr>
        <w:ind w:left="2160" w:hanging="360"/>
      </w:pPr>
      <w:rPr>
        <w:rFonts w:ascii="Wingdings" w:hAnsi="Wingdings" w:hint="default"/>
      </w:rPr>
    </w:lvl>
    <w:lvl w:ilvl="3" w:tplc="AA261118">
      <w:start w:val="1"/>
      <w:numFmt w:val="bullet"/>
      <w:lvlText w:val=""/>
      <w:lvlJc w:val="left"/>
      <w:pPr>
        <w:ind w:left="2880" w:hanging="360"/>
      </w:pPr>
      <w:rPr>
        <w:rFonts w:ascii="Symbol" w:hAnsi="Symbol" w:hint="default"/>
      </w:rPr>
    </w:lvl>
    <w:lvl w:ilvl="4" w:tplc="1A0CBA00">
      <w:start w:val="1"/>
      <w:numFmt w:val="bullet"/>
      <w:lvlText w:val="o"/>
      <w:lvlJc w:val="left"/>
      <w:pPr>
        <w:ind w:left="3600" w:hanging="360"/>
      </w:pPr>
      <w:rPr>
        <w:rFonts w:ascii="Courier New" w:hAnsi="Courier New" w:hint="default"/>
      </w:rPr>
    </w:lvl>
    <w:lvl w:ilvl="5" w:tplc="187820FA">
      <w:start w:val="1"/>
      <w:numFmt w:val="bullet"/>
      <w:lvlText w:val=""/>
      <w:lvlJc w:val="left"/>
      <w:pPr>
        <w:ind w:left="4320" w:hanging="360"/>
      </w:pPr>
      <w:rPr>
        <w:rFonts w:ascii="Wingdings" w:hAnsi="Wingdings" w:hint="default"/>
      </w:rPr>
    </w:lvl>
    <w:lvl w:ilvl="6" w:tplc="811EE238">
      <w:start w:val="1"/>
      <w:numFmt w:val="bullet"/>
      <w:lvlText w:val=""/>
      <w:lvlJc w:val="left"/>
      <w:pPr>
        <w:ind w:left="5040" w:hanging="360"/>
      </w:pPr>
      <w:rPr>
        <w:rFonts w:ascii="Symbol" w:hAnsi="Symbol" w:hint="default"/>
      </w:rPr>
    </w:lvl>
    <w:lvl w:ilvl="7" w:tplc="3F306EBC">
      <w:start w:val="1"/>
      <w:numFmt w:val="bullet"/>
      <w:lvlText w:val="o"/>
      <w:lvlJc w:val="left"/>
      <w:pPr>
        <w:ind w:left="5760" w:hanging="360"/>
      </w:pPr>
      <w:rPr>
        <w:rFonts w:ascii="Courier New" w:hAnsi="Courier New" w:hint="default"/>
      </w:rPr>
    </w:lvl>
    <w:lvl w:ilvl="8" w:tplc="A3103E14">
      <w:start w:val="1"/>
      <w:numFmt w:val="bullet"/>
      <w:lvlText w:val=""/>
      <w:lvlJc w:val="left"/>
      <w:pPr>
        <w:ind w:left="6480" w:hanging="360"/>
      </w:pPr>
      <w:rPr>
        <w:rFonts w:ascii="Wingdings" w:hAnsi="Wingdings" w:hint="default"/>
      </w:rPr>
    </w:lvl>
  </w:abstractNum>
  <w:abstractNum w:abstractNumId="1" w15:restartNumberingAfterBreak="0">
    <w:nsid w:val="6EE9D276"/>
    <w:multiLevelType w:val="hybridMultilevel"/>
    <w:tmpl w:val="1FBA79CA"/>
    <w:lvl w:ilvl="0" w:tplc="A1D00F4E">
      <w:start w:val="1"/>
      <w:numFmt w:val="bullet"/>
      <w:lvlText w:val="·"/>
      <w:lvlJc w:val="left"/>
      <w:pPr>
        <w:ind w:left="720" w:hanging="360"/>
      </w:pPr>
      <w:rPr>
        <w:rFonts w:ascii="Symbol" w:hAnsi="Symbol" w:hint="default"/>
      </w:rPr>
    </w:lvl>
    <w:lvl w:ilvl="1" w:tplc="7312184E">
      <w:start w:val="1"/>
      <w:numFmt w:val="bullet"/>
      <w:lvlText w:val="o"/>
      <w:lvlJc w:val="left"/>
      <w:pPr>
        <w:ind w:left="1440" w:hanging="360"/>
      </w:pPr>
      <w:rPr>
        <w:rFonts w:ascii="Courier New" w:hAnsi="Courier New" w:hint="default"/>
      </w:rPr>
    </w:lvl>
    <w:lvl w:ilvl="2" w:tplc="D95401CE">
      <w:start w:val="1"/>
      <w:numFmt w:val="bullet"/>
      <w:lvlText w:val=""/>
      <w:lvlJc w:val="left"/>
      <w:pPr>
        <w:ind w:left="2160" w:hanging="360"/>
      </w:pPr>
      <w:rPr>
        <w:rFonts w:ascii="Wingdings" w:hAnsi="Wingdings" w:hint="default"/>
      </w:rPr>
    </w:lvl>
    <w:lvl w:ilvl="3" w:tplc="7D2A2644">
      <w:start w:val="1"/>
      <w:numFmt w:val="bullet"/>
      <w:lvlText w:val=""/>
      <w:lvlJc w:val="left"/>
      <w:pPr>
        <w:ind w:left="2880" w:hanging="360"/>
      </w:pPr>
      <w:rPr>
        <w:rFonts w:ascii="Symbol" w:hAnsi="Symbol" w:hint="default"/>
      </w:rPr>
    </w:lvl>
    <w:lvl w:ilvl="4" w:tplc="824868E0">
      <w:start w:val="1"/>
      <w:numFmt w:val="bullet"/>
      <w:lvlText w:val="o"/>
      <w:lvlJc w:val="left"/>
      <w:pPr>
        <w:ind w:left="3600" w:hanging="360"/>
      </w:pPr>
      <w:rPr>
        <w:rFonts w:ascii="Courier New" w:hAnsi="Courier New" w:hint="default"/>
      </w:rPr>
    </w:lvl>
    <w:lvl w:ilvl="5" w:tplc="B5564D30">
      <w:start w:val="1"/>
      <w:numFmt w:val="bullet"/>
      <w:lvlText w:val=""/>
      <w:lvlJc w:val="left"/>
      <w:pPr>
        <w:ind w:left="4320" w:hanging="360"/>
      </w:pPr>
      <w:rPr>
        <w:rFonts w:ascii="Wingdings" w:hAnsi="Wingdings" w:hint="default"/>
      </w:rPr>
    </w:lvl>
    <w:lvl w:ilvl="6" w:tplc="BEFAF4AE">
      <w:start w:val="1"/>
      <w:numFmt w:val="bullet"/>
      <w:lvlText w:val=""/>
      <w:lvlJc w:val="left"/>
      <w:pPr>
        <w:ind w:left="5040" w:hanging="360"/>
      </w:pPr>
      <w:rPr>
        <w:rFonts w:ascii="Symbol" w:hAnsi="Symbol" w:hint="default"/>
      </w:rPr>
    </w:lvl>
    <w:lvl w:ilvl="7" w:tplc="5ACCAFB4">
      <w:start w:val="1"/>
      <w:numFmt w:val="bullet"/>
      <w:lvlText w:val="o"/>
      <w:lvlJc w:val="left"/>
      <w:pPr>
        <w:ind w:left="5760" w:hanging="360"/>
      </w:pPr>
      <w:rPr>
        <w:rFonts w:ascii="Courier New" w:hAnsi="Courier New" w:hint="default"/>
      </w:rPr>
    </w:lvl>
    <w:lvl w:ilvl="8" w:tplc="1D7C8800">
      <w:start w:val="1"/>
      <w:numFmt w:val="bullet"/>
      <w:lvlText w:val=""/>
      <w:lvlJc w:val="left"/>
      <w:pPr>
        <w:ind w:left="6480" w:hanging="360"/>
      </w:pPr>
      <w:rPr>
        <w:rFonts w:ascii="Wingdings" w:hAnsi="Wingdings" w:hint="default"/>
      </w:rPr>
    </w:lvl>
  </w:abstractNum>
  <w:num w:numId="1" w16cid:durableId="246614404">
    <w:abstractNumId w:val="0"/>
  </w:num>
  <w:num w:numId="2" w16cid:durableId="138813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5D"/>
    <w:rsid w:val="000B5BEC"/>
    <w:rsid w:val="000C33A6"/>
    <w:rsid w:val="001D6B0F"/>
    <w:rsid w:val="00206721"/>
    <w:rsid w:val="004605F7"/>
    <w:rsid w:val="006F53E6"/>
    <w:rsid w:val="007410DA"/>
    <w:rsid w:val="009E04D0"/>
    <w:rsid w:val="00A65F09"/>
    <w:rsid w:val="00B039EC"/>
    <w:rsid w:val="00B6655D"/>
    <w:rsid w:val="00B7059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1758"/>
  <w15:chartTrackingRefBased/>
  <w15:docId w15:val="{A8F6A001-6488-435A-89D2-4DD541CA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6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6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65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65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65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65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65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65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65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65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65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65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65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65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65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65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65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655D"/>
    <w:rPr>
      <w:rFonts w:eastAsiaTheme="majorEastAsia" w:cstheme="majorBidi"/>
      <w:color w:val="272727" w:themeColor="text1" w:themeTint="D8"/>
    </w:rPr>
  </w:style>
  <w:style w:type="paragraph" w:styleId="Titel">
    <w:name w:val="Title"/>
    <w:basedOn w:val="Standaard"/>
    <w:next w:val="Standaard"/>
    <w:link w:val="TitelChar"/>
    <w:uiPriority w:val="10"/>
    <w:qFormat/>
    <w:rsid w:val="00B66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65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65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65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65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655D"/>
    <w:rPr>
      <w:i/>
      <w:iCs/>
      <w:color w:val="404040" w:themeColor="text1" w:themeTint="BF"/>
    </w:rPr>
  </w:style>
  <w:style w:type="paragraph" w:styleId="Lijstalinea">
    <w:name w:val="List Paragraph"/>
    <w:basedOn w:val="Standaard"/>
    <w:uiPriority w:val="34"/>
    <w:qFormat/>
    <w:rsid w:val="00B6655D"/>
    <w:pPr>
      <w:ind w:left="720"/>
      <w:contextualSpacing/>
    </w:pPr>
  </w:style>
  <w:style w:type="character" w:styleId="Intensievebenadrukking">
    <w:name w:val="Intense Emphasis"/>
    <w:basedOn w:val="Standaardalinea-lettertype"/>
    <w:uiPriority w:val="21"/>
    <w:qFormat/>
    <w:rsid w:val="00B6655D"/>
    <w:rPr>
      <w:i/>
      <w:iCs/>
      <w:color w:val="0F4761" w:themeColor="accent1" w:themeShade="BF"/>
    </w:rPr>
  </w:style>
  <w:style w:type="paragraph" w:styleId="Duidelijkcitaat">
    <w:name w:val="Intense Quote"/>
    <w:basedOn w:val="Standaard"/>
    <w:next w:val="Standaard"/>
    <w:link w:val="DuidelijkcitaatChar"/>
    <w:uiPriority w:val="30"/>
    <w:qFormat/>
    <w:rsid w:val="00B66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655D"/>
    <w:rPr>
      <w:i/>
      <w:iCs/>
      <w:color w:val="0F4761" w:themeColor="accent1" w:themeShade="BF"/>
    </w:rPr>
  </w:style>
  <w:style w:type="character" w:styleId="Intensieveverwijzing">
    <w:name w:val="Intense Reference"/>
    <w:basedOn w:val="Standaardalinea-lettertype"/>
    <w:uiPriority w:val="32"/>
    <w:qFormat/>
    <w:rsid w:val="00B6655D"/>
    <w:rPr>
      <w:b/>
      <w:bCs/>
      <w:smallCaps/>
      <w:color w:val="0F4761" w:themeColor="accent1" w:themeShade="BF"/>
      <w:spacing w:val="5"/>
    </w:rPr>
  </w:style>
  <w:style w:type="paragraph" w:styleId="Koptekst">
    <w:name w:val="header"/>
    <w:basedOn w:val="Standaard"/>
    <w:link w:val="KoptekstChar1"/>
    <w:rsid w:val="00B665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6655D"/>
  </w:style>
  <w:style w:type="paragraph" w:styleId="Voettekst">
    <w:name w:val="footer"/>
    <w:basedOn w:val="Standaard"/>
    <w:link w:val="VoettekstChar1"/>
    <w:rsid w:val="00B665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6655D"/>
  </w:style>
  <w:style w:type="paragraph" w:customStyle="1" w:styleId="Huisstijl-Adres">
    <w:name w:val="Huisstijl-Adres"/>
    <w:basedOn w:val="Standaard"/>
    <w:link w:val="Huisstijl-AdresChar"/>
    <w:uiPriority w:val="99"/>
    <w:rsid w:val="00B665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uiPriority w:val="99"/>
    <w:rsid w:val="00B6655D"/>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B665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665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6655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B6655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uiPriority w:val="99"/>
    <w:rsid w:val="00B6655D"/>
    <w:pPr>
      <w:spacing w:after="0"/>
    </w:pPr>
    <w:rPr>
      <w:b/>
    </w:rPr>
  </w:style>
  <w:style w:type="paragraph" w:customStyle="1" w:styleId="Huisstijl-Paginanummering">
    <w:name w:val="Huisstijl-Paginanummering"/>
    <w:basedOn w:val="Standaard"/>
    <w:rsid w:val="00B6655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6655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6655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6655D"/>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541</ap:Words>
  <ap:Characters>2981</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2025-09-30T13:31:00.0000000Z</dcterms:created>
  <dcterms:modified xsi:type="dcterms:W3CDTF">2025-09-30T13:31:00.0000000Z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