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A5119" w:rsidP="00BA5119" w:rsidRDefault="00BA5119" w14:paraId="0B432504" w14:textId="27F461E1">
      <w:pPr>
        <w:ind w:left="1410" w:hanging="1410"/>
        <w:rPr>
          <w:rFonts w:ascii="Times New Roman" w:hAnsi="Times New Roman" w:cs="Times New Roman"/>
          <w:b/>
          <w:bCs/>
        </w:rPr>
      </w:pPr>
      <w:r w:rsidRPr="00BA5119">
        <w:rPr>
          <w:rFonts w:ascii="Times New Roman" w:hAnsi="Times New Roman" w:cs="Times New Roman"/>
          <w:b/>
        </w:rPr>
        <w:t xml:space="preserve">36 </w:t>
      </w:r>
      <w:r w:rsidR="001339F4">
        <w:rPr>
          <w:rFonts w:ascii="Times New Roman" w:hAnsi="Times New Roman" w:cs="Times New Roman"/>
          <w:b/>
        </w:rPr>
        <w:t>779</w:t>
      </w:r>
      <w:r w:rsidRPr="00BA5119">
        <w:rPr>
          <w:rFonts w:ascii="Times New Roman" w:hAnsi="Times New Roman" w:cs="Times New Roman"/>
          <w:b/>
        </w:rPr>
        <w:tab/>
      </w:r>
      <w:r w:rsidRPr="001339F4" w:rsidR="001339F4">
        <w:rPr>
          <w:rFonts w:ascii="Times New Roman" w:hAnsi="Times New Roman" w:cs="Times New Roman"/>
          <w:b/>
          <w:bCs/>
        </w:rPr>
        <w:t>Wijziging van de Algemene wet inkomensafhankelijke regelingen en enkele andere wetten met het oog op het verbeteren van het toeslagenstelsel (Wet verbetermaatregelen toeslagen)</w:t>
      </w:r>
      <w:r w:rsidR="001339F4">
        <w:rPr>
          <w:rFonts w:ascii="Times New Roman" w:hAnsi="Times New Roman" w:cs="Times New Roman"/>
          <w:b/>
          <w:bCs/>
        </w:rPr>
        <w:t xml:space="preserve"> </w:t>
      </w:r>
    </w:p>
    <w:p w:rsidRPr="00BA5119" w:rsidR="0009713F" w:rsidP="00BA5119" w:rsidRDefault="0009713F" w14:paraId="74327FA1" w14:textId="77777777">
      <w:pPr>
        <w:ind w:left="1410" w:hanging="1410"/>
        <w:rPr>
          <w:rFonts w:ascii="Times New Roman" w:hAnsi="Times New Roman" w:cs="Times New Roman"/>
          <w:b/>
        </w:rPr>
      </w:pPr>
    </w:p>
    <w:p w:rsidRPr="00BA5119" w:rsidR="00321766" w:rsidP="00BA5119" w:rsidRDefault="00BA5119" w14:paraId="174F95FD" w14:textId="579E4048">
      <w:pPr>
        <w:ind w:left="1410" w:hanging="1410"/>
        <w:rPr>
          <w:rFonts w:ascii="Times New Roman" w:hAnsi="Times New Roman" w:cs="Times New Roman"/>
        </w:rPr>
      </w:pPr>
      <w:r w:rsidRPr="00BA5119">
        <w:rPr>
          <w:rFonts w:ascii="Times New Roman" w:hAnsi="Times New Roman" w:cs="Times New Roman"/>
          <w:b/>
        </w:rPr>
        <w:t xml:space="preserve">Nr. </w:t>
      </w:r>
      <w:r w:rsidR="00E238B5">
        <w:rPr>
          <w:rFonts w:ascii="Times New Roman" w:hAnsi="Times New Roman" w:cs="Times New Roman"/>
          <w:b/>
        </w:rPr>
        <w:t>5</w:t>
      </w:r>
      <w:r w:rsidRPr="00BA5119">
        <w:rPr>
          <w:rFonts w:ascii="Times New Roman" w:hAnsi="Times New Roman" w:cs="Times New Roman"/>
          <w:b/>
        </w:rPr>
        <w:tab/>
      </w:r>
      <w:r w:rsidRPr="00BA5119" w:rsidR="00321766">
        <w:rPr>
          <w:rFonts w:ascii="Times New Roman" w:hAnsi="Times New Roman" w:cs="Times New Roman"/>
          <w:b/>
        </w:rPr>
        <w:t xml:space="preserve">BRIEF VAN </w:t>
      </w:r>
      <w:r w:rsidR="00863366">
        <w:rPr>
          <w:rFonts w:ascii="Times New Roman" w:hAnsi="Times New Roman" w:cs="Times New Roman"/>
          <w:b/>
        </w:rPr>
        <w:t>DE TIJDELIJKE COMMISSIE GRONDRECHTEN EN CONSTITUTIONELE TOETSING</w:t>
      </w:r>
    </w:p>
    <w:p w:rsidRPr="00AB3391" w:rsidR="00BA5119" w:rsidP="00321766" w:rsidRDefault="00BA5119" w14:paraId="3BABE34C" w14:textId="77777777">
      <w:pPr>
        <w:pStyle w:val="Basis"/>
        <w:spacing w:before="213"/>
        <w:rPr>
          <w:rFonts w:ascii="Times New Roman" w:hAnsi="Times New Roman" w:cs="Times New Roman"/>
          <w:b/>
          <w:sz w:val="24"/>
          <w:szCs w:val="24"/>
        </w:rPr>
      </w:pPr>
    </w:p>
    <w:p w:rsidRPr="002B7C70" w:rsidR="004527F6" w:rsidP="002B7C70" w:rsidRDefault="00321766" w14:paraId="2D210876" w14:textId="14D52638">
      <w:pPr>
        <w:rPr>
          <w:rFonts w:ascii="Times New Roman" w:hAnsi="Times New Roman" w:cs="Times New Roman"/>
        </w:rPr>
      </w:pPr>
      <w:r w:rsidRPr="002B7C70">
        <w:rPr>
          <w:rFonts w:ascii="Times New Roman" w:hAnsi="Times New Roman" w:cs="Times New Roman"/>
        </w:rPr>
        <w:t>Aan de Leden</w:t>
      </w:r>
      <w:r w:rsidRPr="002B7C70" w:rsidR="00CB7C0F">
        <w:rPr>
          <w:rFonts w:ascii="Times New Roman" w:hAnsi="Times New Roman" w:cs="Times New Roman"/>
        </w:rPr>
        <w:br/>
      </w:r>
      <w:r w:rsidRPr="002B7C70" w:rsidR="00AB3391">
        <w:rPr>
          <w:rFonts w:ascii="Times New Roman" w:hAnsi="Times New Roman" w:cs="Times New Roman"/>
        </w:rPr>
        <w:br/>
      </w:r>
      <w:r w:rsidRPr="002B7C70" w:rsidR="00CB7C0F">
        <w:rPr>
          <w:rFonts w:ascii="Times New Roman" w:hAnsi="Times New Roman" w:cs="Times New Roman"/>
        </w:rPr>
        <w:br/>
      </w:r>
      <w:r w:rsidRPr="002B7C70">
        <w:rPr>
          <w:rFonts w:ascii="Times New Roman" w:hAnsi="Times New Roman" w:cs="Times New Roman"/>
        </w:rPr>
        <w:t xml:space="preserve">Den Haag, </w:t>
      </w:r>
      <w:r w:rsidRPr="002B7C70" w:rsidR="000B3D4D">
        <w:rPr>
          <w:rFonts w:ascii="Times New Roman" w:hAnsi="Times New Roman" w:cs="Times New Roman"/>
        </w:rPr>
        <w:t>25 september</w:t>
      </w:r>
      <w:r w:rsidRPr="002B7C70" w:rsidR="00D370B0">
        <w:rPr>
          <w:rFonts w:ascii="Times New Roman" w:hAnsi="Times New Roman" w:cs="Times New Roman"/>
        </w:rPr>
        <w:t xml:space="preserve"> </w:t>
      </w:r>
      <w:r w:rsidRPr="002B7C70" w:rsidR="00863366">
        <w:rPr>
          <w:rFonts w:ascii="Times New Roman" w:hAnsi="Times New Roman" w:cs="Times New Roman"/>
        </w:rPr>
        <w:t>2025</w:t>
      </w:r>
      <w:r w:rsidRPr="002B7C70" w:rsidR="00CB7C0F">
        <w:rPr>
          <w:rFonts w:ascii="Times New Roman" w:hAnsi="Times New Roman" w:eastAsia="DejaVu Sans" w:cs="Times New Roman"/>
          <w:color w:val="000000"/>
          <w:kern w:val="0"/>
          <w:lang w:eastAsia="nl-NL"/>
        </w:rPr>
        <w:br/>
      </w:r>
      <w:r w:rsidRPr="002B7C70" w:rsidR="00AB3391">
        <w:rPr>
          <w:rFonts w:ascii="Times New Roman" w:hAnsi="Times New Roman" w:eastAsia="DejaVu Sans" w:cs="Times New Roman"/>
          <w:color w:val="000000"/>
          <w:kern w:val="0"/>
          <w:lang w:eastAsia="nl-NL"/>
        </w:rPr>
        <w:br/>
      </w:r>
      <w:r w:rsidRPr="002B7C70" w:rsidR="00A80636">
        <w:rPr>
          <w:rFonts w:ascii="Times New Roman" w:hAnsi="Times New Roman" w:eastAsia="DejaVu Sans" w:cs="Times New Roman"/>
          <w:color w:val="000000"/>
          <w:kern w:val="0"/>
          <w:lang w:eastAsia="nl-NL"/>
        </w:rPr>
        <w:br/>
      </w:r>
      <w:r w:rsidRPr="002B7C70" w:rsidR="002B7C70">
        <w:rPr>
          <w:rFonts w:ascii="Times New Roman" w:hAnsi="Times New Roman" w:cs="Times New Roman"/>
        </w:rPr>
        <w:t xml:space="preserve">De tijdelijke commissie Grondrechten en constitutionele toetsing </w:t>
      </w:r>
      <w:bookmarkStart w:name="_Hlk194931289" w:id="0"/>
      <w:r w:rsidRPr="002B7C70" w:rsidR="002B7C70">
        <w:rPr>
          <w:rFonts w:ascii="Times New Roman" w:hAnsi="Times New Roman" w:cs="Times New Roman"/>
        </w:rPr>
        <w:t xml:space="preserve">(hierna: de tijdelijke commissie) </w:t>
      </w:r>
      <w:bookmarkEnd w:id="0"/>
      <w:r w:rsidRPr="002B7C70" w:rsidR="002B7C70">
        <w:rPr>
          <w:rFonts w:ascii="Times New Roman" w:hAnsi="Times New Roman" w:cs="Times New Roman"/>
        </w:rPr>
        <w:t xml:space="preserve">heeft tijdens haar procedurevergadering van 3 juli 2025 besloten, gelet op het dictum en het advies van de Afdeling advisering van de Raad van State, een adviestraject te starten voor het wetsvoorstel Wet verbetermaatregelen toeslagen (36779). De vaste commissie voor Financiën is hierover geïnformeerd met een brief van 3 juli 2025 (2025Z14042). Hierbij biedt de tijdelijke commissie haar advies aan. </w:t>
      </w:r>
      <w:r w:rsidR="002B7C70">
        <w:rPr>
          <w:rFonts w:ascii="Times New Roman" w:hAnsi="Times New Roman" w:cs="Times New Roman"/>
        </w:rPr>
        <w:br/>
      </w:r>
      <w:r w:rsidR="002B7C70">
        <w:rPr>
          <w:rFonts w:ascii="Times New Roman" w:hAnsi="Times New Roman" w:cs="Times New Roman"/>
        </w:rPr>
        <w:br/>
      </w:r>
      <w:r w:rsidRPr="002B7C70" w:rsidR="002B7C70">
        <w:rPr>
          <w:rFonts w:ascii="Times New Roman" w:hAnsi="Times New Roman" w:cs="Times New Roman"/>
        </w:rPr>
        <w:t>Het wetsvoorstel bevat verschillende maatregelen om het toeslagenstelsel te verbeteren. Het wijzigt daarvoor de Algemene wet inkomensafhankelijke regelingen (</w:t>
      </w:r>
      <w:proofErr w:type="spellStart"/>
      <w:r w:rsidRPr="002B7C70" w:rsidR="002B7C70">
        <w:rPr>
          <w:rFonts w:ascii="Times New Roman" w:hAnsi="Times New Roman" w:cs="Times New Roman"/>
        </w:rPr>
        <w:t>Awir</w:t>
      </w:r>
      <w:proofErr w:type="spellEnd"/>
      <w:r w:rsidRPr="002B7C70" w:rsidR="002B7C70">
        <w:rPr>
          <w:rFonts w:ascii="Times New Roman" w:hAnsi="Times New Roman" w:cs="Times New Roman"/>
        </w:rPr>
        <w:t xml:space="preserve">) en enkele andere wetten. De Raad van State maakte in zijn advies twee constitutionele opmerkingen bij een delegatiebepaling uit het wetsvoorstel die voor de tijdelijke commissie van belang zijn. Door het wetsvoorstel op beide punten te wijzigen, heeft de regering de adviezen van de Raad van State opgevolgd, zoals hierna nader aan de orde komt. </w:t>
      </w:r>
      <w:r w:rsidRPr="002B7C70" w:rsidR="002B7C70">
        <w:rPr>
          <w:rFonts w:ascii="Times New Roman" w:hAnsi="Times New Roman" w:cs="Times New Roman"/>
          <w:b/>
          <w:bCs/>
        </w:rPr>
        <w:t xml:space="preserve">De tijdelijke commissie heeft geen verdere opmerkingen bij het wetsvoorstel. </w:t>
      </w:r>
      <w:r w:rsidR="002B7C70">
        <w:rPr>
          <w:rFonts w:ascii="Times New Roman" w:hAnsi="Times New Roman" w:cs="Times New Roman"/>
        </w:rPr>
        <w:br/>
      </w:r>
      <w:r w:rsidR="002B7C70">
        <w:rPr>
          <w:rFonts w:ascii="Times New Roman" w:hAnsi="Times New Roman" w:cs="Times New Roman"/>
        </w:rPr>
        <w:br/>
      </w:r>
      <w:r w:rsidRPr="002B7C70" w:rsidR="002B7C70">
        <w:rPr>
          <w:rFonts w:ascii="Times New Roman" w:hAnsi="Times New Roman" w:cs="Times New Roman"/>
          <w:i/>
          <w:iCs/>
        </w:rPr>
        <w:t>Vrijwel ongeclausuleerde delegatiebevoegdheid: opgevolgd</w:t>
      </w:r>
      <w:r w:rsidR="002B7C70">
        <w:rPr>
          <w:rFonts w:ascii="Times New Roman" w:hAnsi="Times New Roman" w:cs="Times New Roman"/>
        </w:rPr>
        <w:br/>
      </w:r>
      <w:r w:rsidRPr="002B7C70" w:rsidR="002B7C70">
        <w:rPr>
          <w:rFonts w:ascii="Times New Roman" w:hAnsi="Times New Roman" w:cs="Times New Roman"/>
        </w:rPr>
        <w:t xml:space="preserve">Op dit moment kunnen beschikkingen met terugwerkende kracht van een andere overheidsorganisatie dan de Dienst Toeslagen negatieve gevolgen hebben voor het recht op toeslag. Dit kan leiden tot een terugvordering. Het wetsvoorstel zoals dat aan de Raad van State is voorgelegd, bevatte een delegatiebepaling op grond waarvan de regering bepaalde gevallen kon aanwijzen waarbij niet wordt teruggekomen op toeslagen uit het verleden als dat in het nadeel van de toeslaggerechtigde is. </w:t>
      </w:r>
      <w:r w:rsidR="002B7C70">
        <w:rPr>
          <w:rFonts w:ascii="Times New Roman" w:hAnsi="Times New Roman" w:cs="Times New Roman"/>
        </w:rPr>
        <w:br/>
      </w:r>
      <w:r w:rsidR="002B7C70">
        <w:rPr>
          <w:rFonts w:ascii="Times New Roman" w:hAnsi="Times New Roman" w:cs="Times New Roman"/>
        </w:rPr>
        <w:br/>
      </w:r>
      <w:r w:rsidRPr="002B7C70" w:rsidR="002B7C70">
        <w:rPr>
          <w:rFonts w:ascii="Times New Roman" w:hAnsi="Times New Roman" w:cs="Times New Roman"/>
        </w:rPr>
        <w:t xml:space="preserve">De Raad van State merkt op dat op grond van de voorgestelde delegatiebepaling een vrijwel ongeclausuleerde bevoegdheid ontstaat om bij algemene maatregel van bestuur (hierna: </w:t>
      </w:r>
      <w:proofErr w:type="spellStart"/>
      <w:r w:rsidRPr="002B7C70" w:rsidR="002B7C70">
        <w:rPr>
          <w:rFonts w:ascii="Times New Roman" w:hAnsi="Times New Roman" w:cs="Times New Roman"/>
        </w:rPr>
        <w:t>amvb</w:t>
      </w:r>
      <w:proofErr w:type="spellEnd"/>
      <w:r w:rsidRPr="002B7C70" w:rsidR="002B7C70">
        <w:rPr>
          <w:rFonts w:ascii="Times New Roman" w:hAnsi="Times New Roman" w:cs="Times New Roman"/>
        </w:rPr>
        <w:t xml:space="preserve">), dus door een besluit van de regering, gevallen aan te wijzen waarbij rechtsgeldige beschikkingen, voor zover deze terugwerkende kracht hebben, voor het recht op toeslagen buiten beschouwing kunnen worden gelaten. De Raad van State adviseert de delegatiebepaling in te perken in overeenstemming met het beoogde toepassingsbereik ervan. </w:t>
      </w:r>
      <w:r w:rsidRPr="002B7C70" w:rsidR="002B7C70">
        <w:rPr>
          <w:rFonts w:ascii="Times New Roman" w:hAnsi="Times New Roman" w:cs="Times New Roman"/>
        </w:rPr>
        <w:lastRenderedPageBreak/>
        <w:t xml:space="preserve">Hoewel de Raad van State geen directe koppeling legt met het legaliteitsbeginsel, moet de grondslag voor delegatie op grond van dit beginsel voldoende specifiek en afgebakend zijn. De kern van het legaliteitsbeginsel is immers dat overheidsoptreden gebaseerd moet zijn op een voorafgaande, wettelijke grondslag. Op basis van een wettelijke delegatiebepaling, die door regering en Staten-Generaal wordt vastgesteld op grond van artikel 81 Grondwet, moet duidelijk zijn wat via een lagere regeling geregeld mag worden. Daarbij past geen vrijwel ongeclausuleerde delegatiebevoegdheid. </w:t>
      </w:r>
      <w:r w:rsidR="002B7C70">
        <w:rPr>
          <w:rFonts w:ascii="Times New Roman" w:hAnsi="Times New Roman" w:cs="Times New Roman"/>
        </w:rPr>
        <w:br/>
      </w:r>
      <w:r w:rsidR="002B7C70">
        <w:rPr>
          <w:rFonts w:ascii="Times New Roman" w:hAnsi="Times New Roman" w:cs="Times New Roman"/>
        </w:rPr>
        <w:br/>
      </w:r>
      <w:r w:rsidRPr="002B7C70" w:rsidR="002B7C70">
        <w:rPr>
          <w:rFonts w:ascii="Times New Roman" w:hAnsi="Times New Roman" w:cs="Times New Roman"/>
        </w:rPr>
        <w:t>De regering heeft dit advies van de Raad van State ter harte genomen en de delegatiegrondslag nader afgebakend.</w:t>
      </w:r>
      <w:r w:rsidRPr="002B7C70" w:rsidR="002B7C70">
        <w:rPr>
          <w:rStyle w:val="Voetnootmarkering"/>
          <w:rFonts w:ascii="Times New Roman" w:hAnsi="Times New Roman" w:cs="Times New Roman"/>
        </w:rPr>
        <w:footnoteReference w:id="1"/>
      </w:r>
      <w:r w:rsidRPr="002B7C70" w:rsidR="002B7C70">
        <w:rPr>
          <w:rFonts w:ascii="Times New Roman" w:hAnsi="Times New Roman" w:cs="Times New Roman"/>
        </w:rPr>
        <w:t xml:space="preserve"> </w:t>
      </w:r>
      <w:r w:rsidR="002B7C70">
        <w:rPr>
          <w:rFonts w:ascii="Times New Roman" w:hAnsi="Times New Roman" w:cs="Times New Roman"/>
        </w:rPr>
        <w:br/>
      </w:r>
      <w:r w:rsidR="002B7C70">
        <w:rPr>
          <w:rFonts w:ascii="Times New Roman" w:hAnsi="Times New Roman" w:cs="Times New Roman"/>
        </w:rPr>
        <w:br/>
      </w:r>
      <w:proofErr w:type="spellStart"/>
      <w:r w:rsidRPr="002B7C70" w:rsidR="002B7C70">
        <w:rPr>
          <w:rFonts w:ascii="Times New Roman" w:hAnsi="Times New Roman" w:cs="Times New Roman"/>
          <w:i/>
          <w:iCs/>
        </w:rPr>
        <w:t>Kan-bepaling</w:t>
      </w:r>
      <w:proofErr w:type="spellEnd"/>
      <w:r w:rsidRPr="002B7C70" w:rsidR="002B7C70">
        <w:rPr>
          <w:rFonts w:ascii="Times New Roman" w:hAnsi="Times New Roman" w:cs="Times New Roman"/>
          <w:i/>
          <w:iCs/>
        </w:rPr>
        <w:t xml:space="preserve"> niet nodig en niet passend: opgevolgd</w:t>
      </w:r>
      <w:r w:rsidR="002B7C70">
        <w:rPr>
          <w:rFonts w:ascii="Times New Roman" w:hAnsi="Times New Roman" w:cs="Times New Roman"/>
        </w:rPr>
        <w:br/>
      </w:r>
      <w:r w:rsidRPr="002B7C70" w:rsidR="002B7C70">
        <w:rPr>
          <w:rFonts w:ascii="Times New Roman" w:hAnsi="Times New Roman" w:cs="Times New Roman"/>
        </w:rPr>
        <w:t xml:space="preserve">Ten tweede merkt de Raad van State op dat de voorgestelde delegatiebepaling is vormgegeven als een </w:t>
      </w:r>
      <w:proofErr w:type="spellStart"/>
      <w:r w:rsidRPr="002B7C70" w:rsidR="002B7C70">
        <w:rPr>
          <w:rFonts w:ascii="Times New Roman" w:hAnsi="Times New Roman" w:cs="Times New Roman"/>
        </w:rPr>
        <w:t>kan-bepaling</w:t>
      </w:r>
      <w:proofErr w:type="spellEnd"/>
      <w:r w:rsidRPr="002B7C70" w:rsidR="002B7C70">
        <w:rPr>
          <w:rFonts w:ascii="Times New Roman" w:hAnsi="Times New Roman" w:cs="Times New Roman"/>
        </w:rPr>
        <w:t xml:space="preserve">: in de bij </w:t>
      </w:r>
      <w:proofErr w:type="spellStart"/>
      <w:r w:rsidRPr="002B7C70" w:rsidR="002B7C70">
        <w:rPr>
          <w:rFonts w:ascii="Times New Roman" w:hAnsi="Times New Roman" w:cs="Times New Roman"/>
        </w:rPr>
        <w:t>amvb</w:t>
      </w:r>
      <w:proofErr w:type="spellEnd"/>
      <w:r w:rsidRPr="002B7C70" w:rsidR="002B7C70">
        <w:rPr>
          <w:rFonts w:ascii="Times New Roman" w:hAnsi="Times New Roman" w:cs="Times New Roman"/>
        </w:rPr>
        <w:t xml:space="preserve"> bepaalde gevallen kan de Dienst Toeslagen een beschikking met een negatief effect op toeslagen voor het verleden buiten beschouwing laten. Deze </w:t>
      </w:r>
      <w:proofErr w:type="spellStart"/>
      <w:r w:rsidRPr="002B7C70" w:rsidR="002B7C70">
        <w:rPr>
          <w:rFonts w:ascii="Times New Roman" w:hAnsi="Times New Roman" w:cs="Times New Roman"/>
        </w:rPr>
        <w:t>kan-bepaling</w:t>
      </w:r>
      <w:proofErr w:type="spellEnd"/>
      <w:r w:rsidRPr="002B7C70" w:rsidR="002B7C70">
        <w:rPr>
          <w:rFonts w:ascii="Times New Roman" w:hAnsi="Times New Roman" w:cs="Times New Roman"/>
        </w:rPr>
        <w:t xml:space="preserve"> is, gelet op het doel van het wetsvoorstel, niet nodig en niet passend, aldus de Raad van State. </w:t>
      </w:r>
      <w:r w:rsidR="002B7C70">
        <w:rPr>
          <w:rFonts w:ascii="Times New Roman" w:hAnsi="Times New Roman" w:cs="Times New Roman"/>
        </w:rPr>
        <w:br/>
      </w:r>
      <w:r w:rsidR="002B7C70">
        <w:rPr>
          <w:rFonts w:ascii="Times New Roman" w:hAnsi="Times New Roman" w:cs="Times New Roman"/>
        </w:rPr>
        <w:br/>
      </w:r>
      <w:r w:rsidRPr="002B7C70" w:rsidR="002B7C70">
        <w:rPr>
          <w:rFonts w:ascii="Times New Roman" w:hAnsi="Times New Roman" w:cs="Times New Roman"/>
        </w:rPr>
        <w:t xml:space="preserve">In het nader rapport merkt de regering op dat de </w:t>
      </w:r>
      <w:proofErr w:type="spellStart"/>
      <w:r w:rsidRPr="002B7C70" w:rsidR="002B7C70">
        <w:rPr>
          <w:rFonts w:ascii="Times New Roman" w:hAnsi="Times New Roman" w:cs="Times New Roman"/>
        </w:rPr>
        <w:t>kan-bepaling</w:t>
      </w:r>
      <w:proofErr w:type="spellEnd"/>
      <w:r w:rsidRPr="002B7C70" w:rsidR="002B7C70">
        <w:rPr>
          <w:rFonts w:ascii="Times New Roman" w:hAnsi="Times New Roman" w:cs="Times New Roman"/>
        </w:rPr>
        <w:t xml:space="preserve"> inderdaad overbodig is en daarom is geschrapt. </w:t>
      </w:r>
      <w:r w:rsidR="002B7C70">
        <w:rPr>
          <w:rFonts w:ascii="Times New Roman" w:hAnsi="Times New Roman" w:cs="Times New Roman"/>
        </w:rPr>
        <w:br/>
      </w:r>
      <w:r w:rsidR="002B7C70">
        <w:rPr>
          <w:rFonts w:ascii="Times New Roman" w:hAnsi="Times New Roman" w:cs="Times New Roman"/>
        </w:rPr>
        <w:br/>
      </w:r>
      <w:r w:rsidRPr="002B7C70" w:rsidR="002B7C70">
        <w:rPr>
          <w:rFonts w:ascii="Times New Roman" w:hAnsi="Times New Roman" w:cs="Times New Roman"/>
        </w:rPr>
        <w:t xml:space="preserve">Met bovengenoemde wijzigingen van het wetsvoorstel heeft de regering beide constitutionele adviezen van de Raad van State opgevolgd. De tijdelijke commissie heeft geen verdere opmerkingen bij het wetsvoorstel. </w:t>
      </w:r>
      <w:r w:rsidR="002B7C70">
        <w:rPr>
          <w:rFonts w:ascii="Times New Roman" w:hAnsi="Times New Roman" w:cs="Times New Roman"/>
        </w:rPr>
        <w:br/>
      </w:r>
      <w:r w:rsidR="002B7C70">
        <w:rPr>
          <w:rFonts w:ascii="Times New Roman" w:hAnsi="Times New Roman" w:cs="Times New Roman"/>
        </w:rPr>
        <w:br/>
      </w:r>
      <w:r w:rsidR="002B7C70">
        <w:rPr>
          <w:rFonts w:ascii="Times New Roman" w:hAnsi="Times New Roman" w:cs="Times New Roman"/>
        </w:rPr>
        <w:br/>
      </w:r>
      <w:r w:rsidRPr="002B7C70" w:rsidR="000B3D4D">
        <w:rPr>
          <w:rFonts w:ascii="Times New Roman" w:hAnsi="Times New Roman" w:cs="Times New Roman"/>
        </w:rPr>
        <w:t xml:space="preserve">De voorzitter van de </w:t>
      </w:r>
      <w:bookmarkStart w:name="_Hlk190098863" w:id="1"/>
      <w:r w:rsidRPr="002B7C70" w:rsidR="000B3D4D">
        <w:rPr>
          <w:rFonts w:ascii="Times New Roman" w:hAnsi="Times New Roman" w:cs="Times New Roman"/>
        </w:rPr>
        <w:t>tijdelijke commissie Grondrechten en constitutionele toetsing</w:t>
      </w:r>
      <w:bookmarkEnd w:id="1"/>
      <w:r w:rsidRPr="002B7C70" w:rsidR="000B3D4D">
        <w:rPr>
          <w:rFonts w:ascii="Times New Roman" w:hAnsi="Times New Roman" w:cs="Times New Roman"/>
        </w:rPr>
        <w:t>,</w:t>
      </w:r>
      <w:r w:rsidRPr="002B7C70" w:rsidR="000B3D4D">
        <w:rPr>
          <w:rFonts w:ascii="Times New Roman" w:hAnsi="Times New Roman" w:cs="Times New Roman"/>
        </w:rPr>
        <w:br/>
        <w:t>Van Nispen</w:t>
      </w:r>
      <w:r w:rsidR="002B7C70">
        <w:rPr>
          <w:rFonts w:ascii="Times New Roman" w:hAnsi="Times New Roman" w:cs="Times New Roman"/>
        </w:rPr>
        <w:br/>
      </w:r>
      <w:r w:rsidR="002B7C70">
        <w:rPr>
          <w:rFonts w:ascii="Times New Roman" w:hAnsi="Times New Roman" w:cs="Times New Roman"/>
        </w:rPr>
        <w:br/>
      </w:r>
      <w:r w:rsidRPr="002B7C70" w:rsidR="000B3D4D">
        <w:rPr>
          <w:rFonts w:ascii="Times New Roman" w:hAnsi="Times New Roman" w:cs="Times New Roman"/>
        </w:rPr>
        <w:t>De griffier van de tijdelijke commissie Grondrechten en constitutionele toetsing,</w:t>
      </w:r>
      <w:r w:rsidRPr="002B7C70" w:rsidR="000B3D4D">
        <w:rPr>
          <w:rFonts w:ascii="Times New Roman" w:hAnsi="Times New Roman" w:cs="Times New Roman"/>
        </w:rPr>
        <w:br/>
        <w:t>Kling</w:t>
      </w:r>
    </w:p>
    <w:sectPr w:rsidRPr="002B7C70" w:rsidR="004527F6">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F74E2" w14:textId="77777777" w:rsidR="004527F6" w:rsidRDefault="004527F6" w:rsidP="004527F6">
      <w:pPr>
        <w:spacing w:after="0" w:line="240" w:lineRule="auto"/>
      </w:pPr>
      <w:r>
        <w:separator/>
      </w:r>
    </w:p>
  </w:endnote>
  <w:endnote w:type="continuationSeparator" w:id="0">
    <w:p w14:paraId="1280212C" w14:textId="77777777" w:rsidR="004527F6" w:rsidRDefault="004527F6" w:rsidP="00452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CCD54" w14:textId="77777777" w:rsidR="004527F6" w:rsidRDefault="004527F6" w:rsidP="004527F6">
      <w:pPr>
        <w:spacing w:after="0" w:line="240" w:lineRule="auto"/>
      </w:pPr>
      <w:r>
        <w:separator/>
      </w:r>
    </w:p>
  </w:footnote>
  <w:footnote w:type="continuationSeparator" w:id="0">
    <w:p w14:paraId="47A76B2B" w14:textId="77777777" w:rsidR="004527F6" w:rsidRDefault="004527F6" w:rsidP="004527F6">
      <w:pPr>
        <w:spacing w:after="0" w:line="240" w:lineRule="auto"/>
      </w:pPr>
      <w:r>
        <w:continuationSeparator/>
      </w:r>
    </w:p>
  </w:footnote>
  <w:footnote w:id="1">
    <w:p w14:paraId="53AA6A5E" w14:textId="77777777" w:rsidR="002B7C70" w:rsidRPr="002B7C70" w:rsidRDefault="002B7C70" w:rsidP="002B7C70">
      <w:pPr>
        <w:pStyle w:val="Voetnoottekst"/>
        <w:rPr>
          <w:rFonts w:ascii="Times New Roman" w:hAnsi="Times New Roman"/>
        </w:rPr>
      </w:pPr>
      <w:r w:rsidRPr="002B7C70">
        <w:rPr>
          <w:rStyle w:val="Voetnootmarkering"/>
          <w:rFonts w:ascii="Times New Roman" w:hAnsi="Times New Roman"/>
        </w:rPr>
        <w:footnoteRef/>
      </w:r>
      <w:r w:rsidRPr="002B7C70">
        <w:rPr>
          <w:rFonts w:ascii="Times New Roman" w:hAnsi="Times New Roman"/>
        </w:rPr>
        <w:t xml:space="preserve"> Toegevoegd is dat het moet gaan om een beschikking die ertoe leidt dat een belanghebbende niet (meer) voldoet aan de voorwaarden voor aanspraak op een toeslag. Daarnaast is toegevoegd dat de delegatiebevoegdheid niet van toepassing is ten aanzien van beschikkingen gegeven door de Dienst Toeslagen of de Belastingdienst.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766"/>
    <w:rsid w:val="000139D7"/>
    <w:rsid w:val="0009713F"/>
    <w:rsid w:val="000B3D4D"/>
    <w:rsid w:val="000D6A03"/>
    <w:rsid w:val="001339F4"/>
    <w:rsid w:val="001451AB"/>
    <w:rsid w:val="00287F4A"/>
    <w:rsid w:val="002B7C70"/>
    <w:rsid w:val="00321766"/>
    <w:rsid w:val="00397B98"/>
    <w:rsid w:val="003B326E"/>
    <w:rsid w:val="004527F6"/>
    <w:rsid w:val="00463FA8"/>
    <w:rsid w:val="005160DC"/>
    <w:rsid w:val="00552EE8"/>
    <w:rsid w:val="005B76B3"/>
    <w:rsid w:val="005E3F57"/>
    <w:rsid w:val="006506AF"/>
    <w:rsid w:val="006D71D9"/>
    <w:rsid w:val="006F5890"/>
    <w:rsid w:val="007413C3"/>
    <w:rsid w:val="00823144"/>
    <w:rsid w:val="0084053C"/>
    <w:rsid w:val="00851E16"/>
    <w:rsid w:val="00856C85"/>
    <w:rsid w:val="00863366"/>
    <w:rsid w:val="008B709C"/>
    <w:rsid w:val="0092177C"/>
    <w:rsid w:val="00925F2D"/>
    <w:rsid w:val="009B37AE"/>
    <w:rsid w:val="00A651CF"/>
    <w:rsid w:val="00A7609F"/>
    <w:rsid w:val="00A80636"/>
    <w:rsid w:val="00AB3391"/>
    <w:rsid w:val="00AB38B8"/>
    <w:rsid w:val="00B57E49"/>
    <w:rsid w:val="00BA5119"/>
    <w:rsid w:val="00BD4559"/>
    <w:rsid w:val="00BF71A9"/>
    <w:rsid w:val="00C37458"/>
    <w:rsid w:val="00CB7C0F"/>
    <w:rsid w:val="00CF2477"/>
    <w:rsid w:val="00D2718A"/>
    <w:rsid w:val="00D370B0"/>
    <w:rsid w:val="00DC2153"/>
    <w:rsid w:val="00E20618"/>
    <w:rsid w:val="00E238B5"/>
    <w:rsid w:val="00E26ECA"/>
    <w:rsid w:val="00E42E76"/>
    <w:rsid w:val="00F07137"/>
    <w:rsid w:val="00F374FB"/>
    <w:rsid w:val="00FE6B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E2491"/>
  <w15:chartTrackingRefBased/>
  <w15:docId w15:val="{9C944EA4-4E80-48E6-A1E3-2208BB636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
    <w:name w:val="Basis"/>
    <w:basedOn w:val="Standaard"/>
    <w:rsid w:val="00321766"/>
    <w:pPr>
      <w:autoSpaceDN w:val="0"/>
      <w:spacing w:after="0" w:line="240" w:lineRule="auto"/>
    </w:pPr>
    <w:rPr>
      <w:rFonts w:ascii="DejaVu Sans" w:eastAsiaTheme="minorEastAsia" w:hAnsi="DejaVu Sans"/>
      <w:kern w:val="3"/>
      <w:sz w:val="18"/>
      <w:szCs w:val="20"/>
      <w14:ligatures w14:val="none"/>
    </w:rPr>
  </w:style>
  <w:style w:type="character" w:styleId="Verwijzingopmerking">
    <w:name w:val="annotation reference"/>
    <w:basedOn w:val="Standaardalinea-lettertype"/>
    <w:uiPriority w:val="99"/>
    <w:semiHidden/>
    <w:rsid w:val="004527F6"/>
    <w:rPr>
      <w:sz w:val="16"/>
      <w:szCs w:val="16"/>
    </w:rPr>
  </w:style>
  <w:style w:type="paragraph" w:styleId="Voetnoottekst">
    <w:name w:val="footnote text"/>
    <w:aliases w:val="Voetnoottekst Openbaar Ministerie"/>
    <w:basedOn w:val="Standaard"/>
    <w:link w:val="VoetnoottekstChar"/>
    <w:uiPriority w:val="99"/>
    <w:unhideWhenUsed/>
    <w:rsid w:val="004527F6"/>
    <w:pPr>
      <w:spacing w:after="0" w:line="240" w:lineRule="auto"/>
    </w:pPr>
    <w:rPr>
      <w:rFonts w:ascii="Verdana" w:eastAsia="Times New Roman" w:hAnsi="Verdana" w:cs="Times New Roman"/>
      <w:kern w:val="0"/>
      <w:sz w:val="20"/>
      <w:szCs w:val="20"/>
      <w:lang w:eastAsia="nl-NL"/>
      <w14:ligatures w14:val="none"/>
    </w:rPr>
  </w:style>
  <w:style w:type="character" w:customStyle="1" w:styleId="VoetnoottekstChar">
    <w:name w:val="Voetnoottekst Char"/>
    <w:aliases w:val="Voetnoottekst Openbaar Ministerie Char"/>
    <w:basedOn w:val="Standaardalinea-lettertype"/>
    <w:link w:val="Voetnoottekst"/>
    <w:uiPriority w:val="99"/>
    <w:rsid w:val="004527F6"/>
    <w:rPr>
      <w:rFonts w:ascii="Verdana" w:eastAsia="Times New Roman" w:hAnsi="Verdana" w:cs="Times New Roman"/>
      <w:kern w:val="0"/>
      <w:sz w:val="20"/>
      <w:szCs w:val="20"/>
      <w:lang w:eastAsia="nl-NL"/>
      <w14:ligatures w14:val="none"/>
    </w:rPr>
  </w:style>
  <w:style w:type="character" w:styleId="Voetnootmarkering">
    <w:name w:val="footnote reference"/>
    <w:basedOn w:val="Standaardalinea-lettertype"/>
    <w:uiPriority w:val="99"/>
    <w:unhideWhenUsed/>
    <w:rsid w:val="004527F6"/>
    <w:rPr>
      <w:vertAlign w:val="superscript"/>
    </w:rPr>
  </w:style>
  <w:style w:type="character" w:styleId="Hyperlink">
    <w:name w:val="Hyperlink"/>
    <w:basedOn w:val="Standaardalinea-lettertype"/>
    <w:uiPriority w:val="99"/>
    <w:unhideWhenUsed/>
    <w:rsid w:val="000B3D4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95763">
      <w:bodyDiv w:val="1"/>
      <w:marLeft w:val="0"/>
      <w:marRight w:val="0"/>
      <w:marTop w:val="0"/>
      <w:marBottom w:val="0"/>
      <w:divBdr>
        <w:top w:val="none" w:sz="0" w:space="0" w:color="auto"/>
        <w:left w:val="none" w:sz="0" w:space="0" w:color="auto"/>
        <w:bottom w:val="none" w:sz="0" w:space="0" w:color="auto"/>
        <w:right w:val="none" w:sz="0" w:space="0" w:color="auto"/>
      </w:divBdr>
    </w:div>
    <w:div w:id="199362299">
      <w:bodyDiv w:val="1"/>
      <w:marLeft w:val="0"/>
      <w:marRight w:val="0"/>
      <w:marTop w:val="0"/>
      <w:marBottom w:val="0"/>
      <w:divBdr>
        <w:top w:val="none" w:sz="0" w:space="0" w:color="auto"/>
        <w:left w:val="none" w:sz="0" w:space="0" w:color="auto"/>
        <w:bottom w:val="none" w:sz="0" w:space="0" w:color="auto"/>
        <w:right w:val="none" w:sz="0" w:space="0" w:color="auto"/>
      </w:divBdr>
    </w:div>
    <w:div w:id="322196855">
      <w:bodyDiv w:val="1"/>
      <w:marLeft w:val="0"/>
      <w:marRight w:val="0"/>
      <w:marTop w:val="0"/>
      <w:marBottom w:val="0"/>
      <w:divBdr>
        <w:top w:val="none" w:sz="0" w:space="0" w:color="auto"/>
        <w:left w:val="none" w:sz="0" w:space="0" w:color="auto"/>
        <w:bottom w:val="none" w:sz="0" w:space="0" w:color="auto"/>
        <w:right w:val="none" w:sz="0" w:space="0" w:color="auto"/>
      </w:divBdr>
    </w:div>
    <w:div w:id="568348258">
      <w:bodyDiv w:val="1"/>
      <w:marLeft w:val="0"/>
      <w:marRight w:val="0"/>
      <w:marTop w:val="0"/>
      <w:marBottom w:val="0"/>
      <w:divBdr>
        <w:top w:val="none" w:sz="0" w:space="0" w:color="auto"/>
        <w:left w:val="none" w:sz="0" w:space="0" w:color="auto"/>
        <w:bottom w:val="none" w:sz="0" w:space="0" w:color="auto"/>
        <w:right w:val="none" w:sz="0" w:space="0" w:color="auto"/>
      </w:divBdr>
    </w:div>
    <w:div w:id="1930119274">
      <w:bodyDiv w:val="1"/>
      <w:marLeft w:val="0"/>
      <w:marRight w:val="0"/>
      <w:marTop w:val="0"/>
      <w:marBottom w:val="0"/>
      <w:divBdr>
        <w:top w:val="none" w:sz="0" w:space="0" w:color="auto"/>
        <w:left w:val="none" w:sz="0" w:space="0" w:color="auto"/>
        <w:bottom w:val="none" w:sz="0" w:space="0" w:color="auto"/>
        <w:right w:val="none" w:sz="0" w:space="0" w:color="auto"/>
      </w:divBdr>
    </w:div>
    <w:div w:id="1956909526">
      <w:bodyDiv w:val="1"/>
      <w:marLeft w:val="0"/>
      <w:marRight w:val="0"/>
      <w:marTop w:val="0"/>
      <w:marBottom w:val="0"/>
      <w:divBdr>
        <w:top w:val="none" w:sz="0" w:space="0" w:color="auto"/>
        <w:left w:val="none" w:sz="0" w:space="0" w:color="auto"/>
        <w:bottom w:val="none" w:sz="0" w:space="0" w:color="auto"/>
        <w:right w:val="none" w:sz="0" w:space="0" w:color="auto"/>
      </w:divBdr>
    </w:div>
    <w:div w:id="214121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631</ap:Words>
  <ap:Characters>3473</ap:Characters>
  <ap:DocSecurity>0</ap:DocSecurity>
  <ap:Lines>28</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4096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2024-10-23T12:34:00.0000000Z</lastPrinted>
  <dcterms:created xsi:type="dcterms:W3CDTF">2025-09-25T08:29:00.0000000Z</dcterms:created>
  <dcterms:modified xsi:type="dcterms:W3CDTF">2025-09-25T08:29:00.0000000Z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0x010100D0F2624A7BC0E74EBA432F6C6E81DF38</vt:lpwstr>
  </property>
  <property fmtid="{D5CDD505-2E9C-101B-9397-08002B2CF9AE}" pid="3" name="_dlc_DocIdItemGuid">
    <vt:lpwstr>b6cad387-82c4-4d29-be67-f7e16b4893f6</vt:lpwstr>
  </property>
</Properties>
</file>