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2025Z17448</w:t>
        <w:br/>
      </w:r>
      <w:proofErr w:type="spellEnd"/>
    </w:p>
    <w:p>
      <w:pPr>
        <w:pStyle w:val="Normal"/>
        <w:rPr>
          <w:b w:val="1"/>
          <w:bCs w:val="1"/>
        </w:rPr>
      </w:pPr>
      <w:r w:rsidR="250AE766">
        <w:rPr>
          <w:b w:val="0"/>
          <w:bCs w:val="0"/>
        </w:rPr>
        <w:t>(ingezonden 22 september 2025)</w:t>
        <w:br/>
      </w:r>
    </w:p>
    <w:p>
      <w:r>
        <w:t xml:space="preserve">Vragen van het lid Van Nispen (SP) aan de ministers van Justitie en Veiligheid en van Binnenlandse Zaken en Koninkrijksrelaties over het niet- publiceren van een kritisch onderzoek naar corruptiebestrijding.</w:t>
      </w:r>
      <w:r>
        <w:br/>
      </w:r>
    </w:p>
    <w:p>
      <w:pPr>
        <w:pStyle w:val="ListParagraph"/>
        <w:numPr>
          <w:ilvl w:val="0"/>
          <w:numId w:val="100487100"/>
        </w:numPr>
        <w:ind w:left="360"/>
      </w:pPr>
      <w:r>
        <w:t xml:space="preserve">Bent u bekend met het artikel van Follow the Money (FTM) “Ministerie hield kritisch rapport over corruptie onder de pet”? 1)</w:t>
      </w:r>
      <w:r>
        <w:br/>
      </w:r>
    </w:p>
    <w:p>
      <w:pPr>
        <w:pStyle w:val="ListParagraph"/>
        <w:numPr>
          <w:ilvl w:val="0"/>
          <w:numId w:val="100487100"/>
        </w:numPr>
        <w:ind w:left="360"/>
      </w:pPr>
      <w:r>
        <w:t xml:space="preserve">Hoe verklaart u dat het ministerie de kwaliteit van het rapport 'Is de Nederlandse overheid bestand tegen corruptie?</w:t>
      </w:r>
      <w:r>
        <w:rPr>
          <w:i w:val="1"/>
          <w:iCs w:val="1"/>
        </w:rPr>
        <w:t xml:space="preserve">'</w:t>
      </w:r>
      <w:r>
        <w:rPr/>
        <w:t xml:space="preserve"> als ondermaats beoordeelde en het daarom niet publiceerde, terwijl meerdere onafhankelijke experts, waaronder tegenlezers zoals de Rijksrecherche, het juist als gedegen bestempelden?</w:t>
      </w:r>
      <w:r>
        <w:br/>
      </w:r>
    </w:p>
    <w:p>
      <w:pPr>
        <w:pStyle w:val="ListParagraph"/>
        <w:numPr>
          <w:ilvl w:val="0"/>
          <w:numId w:val="100487100"/>
        </w:numPr>
        <w:ind w:left="360"/>
      </w:pPr>
      <w:r>
        <w:t xml:space="preserve">Hoe valt het te verklaren dat de methodologie van het rapport nu bekritiseerd wordt, terwijl de directoraat-generaal (DG) Ondermijning zelf om het verkennend onderzoek heeft gevraagd en vóór openbaarmaking (na het Wet open overheid-verzoek van FTM) nooit kritiek op de gehanteerde methodologie heeft geuit richting de auteurs?</w:t>
      </w:r>
      <w:r>
        <w:br/>
      </w:r>
    </w:p>
    <w:p>
      <w:pPr>
        <w:pStyle w:val="ListParagraph"/>
        <w:numPr>
          <w:ilvl w:val="0"/>
          <w:numId w:val="100487100"/>
        </w:numPr>
        <w:ind w:left="360"/>
      </w:pPr>
      <w:r>
        <w:t xml:space="preserve">De auteurs zelf noemen het een eindverslag van een verkennend onderzoek, waarom wordt er vanuit het ministerie de suggestie gewekt dat het een wetenschappelijke rapportage zou zijn?  </w:t>
      </w:r>
      <w:r>
        <w:br/>
      </w:r>
    </w:p>
    <w:p>
      <w:pPr>
        <w:pStyle w:val="ListParagraph"/>
        <w:numPr>
          <w:ilvl w:val="0"/>
          <w:numId w:val="100487100"/>
        </w:numPr>
        <w:ind w:left="360"/>
      </w:pPr>
      <w:r>
        <w:t xml:space="preserve">Het ministerie stelt dat het rapport feitelijke onjuistheden bevatte; kunt u concreet aangeven om welke onjuistheden het gaat? Ook wordt gesteld dat informatie ontbreekt in het rapport; kunt u toelichten welke informatie dit betreft?</w:t>
      </w:r>
      <w:r>
        <w:br/>
      </w:r>
    </w:p>
    <w:p>
      <w:pPr>
        <w:pStyle w:val="ListParagraph"/>
        <w:numPr>
          <w:ilvl w:val="0"/>
          <w:numId w:val="100487100"/>
        </w:numPr>
        <w:ind w:left="360"/>
      </w:pPr>
      <w:r>
        <w:t xml:space="preserve">Waarom stelt het ministerie dat in het rapport te veel de mening van de auteurs doorklinkt, terwijl de aanbevelingen en conclusies grotendeels aansluiten bij die van internationale instituties?</w:t>
      </w:r>
      <w:r>
        <w:br/>
      </w:r>
    </w:p>
    <w:p>
      <w:pPr>
        <w:pStyle w:val="ListParagraph"/>
        <w:numPr>
          <w:ilvl w:val="0"/>
          <w:numId w:val="100487100"/>
        </w:numPr>
        <w:ind w:left="360"/>
      </w:pPr>
      <w:r>
        <w:t xml:space="preserve">Waarom is in het rapport</w:t>
      </w:r>
      <w:r>
        <w:rPr>
          <w:i w:val="1"/>
          <w:iCs w:val="1"/>
        </w:rPr>
        <w:t xml:space="preserve"> </w:t>
      </w:r>
      <w:r>
        <w:rPr/>
        <w:t xml:space="preserve">één van slotconclusies</w:t>
      </w:r>
      <w:r>
        <w:rPr>
          <w:i w:val="1"/>
          <w:iCs w:val="1"/>
        </w:rPr>
        <w:t xml:space="preserve"> </w:t>
      </w:r>
      <w:r>
        <w:rPr/>
        <w:t xml:space="preserve">“Bestuurlijke verantwoordelijkheid is onvoldoende en leiderschap schiet tekort” bij openbaarmaking weggelakt?</w:t>
      </w:r>
      <w:r>
        <w:br/>
      </w:r>
    </w:p>
    <w:p>
      <w:pPr>
        <w:pStyle w:val="ListParagraph"/>
        <w:numPr>
          <w:ilvl w:val="0"/>
          <w:numId w:val="100487100"/>
        </w:numPr>
        <w:ind w:left="360"/>
      </w:pPr>
      <w:r>
        <w:t xml:space="preserve">Herkent u zich in het beeld dat de auteur van het rapport schetst, namelijk dat niemand van het DG Ondermijning contact heeft opgenomen met hem, bijvoorbeeld met klachten over de kwaliteit?</w:t>
      </w:r>
      <w:r>
        <w:br/>
      </w:r>
    </w:p>
    <w:p>
      <w:pPr>
        <w:pStyle w:val="ListParagraph"/>
        <w:numPr>
          <w:ilvl w:val="0"/>
          <w:numId w:val="100487100"/>
        </w:numPr>
        <w:ind w:left="360"/>
      </w:pPr>
      <w:r>
        <w:t xml:space="preserve">Gezien het feit dat in het rapport aandacht wordt besteed aan de Nota Corruptiepreventie uit 2005, welke was gebaseerd op het WODC-onderzoek van Huberts en Nelen uit datzelfde jaar en in die nota talrijke actiepunten zijngeformuleerd over samenwerking tussen het ministerie van Justitie en Veiligheid en het ministerie van Binnenlandse Zaken en Koninkrijksrelaties, onder meer op het gebied van voorlichting over de aangifteplicht van ambtenaren en de klokkenluidersregeling; wat vindt u van de constatering dat een groot deel van die actiepunten en problemen uit die nota uit 2005 nog steeds actueel en niet opgelost zijn? Wat gaat u daaraan doen?</w:t>
      </w:r>
      <w:r>
        <w:br/>
      </w:r>
    </w:p>
    <w:p>
      <w:pPr>
        <w:pStyle w:val="ListParagraph"/>
        <w:numPr>
          <w:ilvl w:val="0"/>
          <w:numId w:val="100487100"/>
        </w:numPr>
        <w:ind w:left="360"/>
      </w:pPr>
      <w:r>
        <w:t xml:space="preserve">Klopt het dat het Platform Corruptiebestrijding nog steeds bestaat, maar niet gebruikt wordt en dat diverse instanties binnen de overheid niet eens op de hoogte zijn van het bestaan? Hoe kan dit?</w:t>
      </w:r>
      <w:r>
        <w:br/>
      </w:r>
    </w:p>
    <w:p>
      <w:pPr>
        <w:pStyle w:val="ListParagraph"/>
        <w:numPr>
          <w:ilvl w:val="0"/>
          <w:numId w:val="100487100"/>
        </w:numPr>
        <w:ind w:left="360"/>
      </w:pPr>
      <w:r>
        <w:t xml:space="preserve">Deelt u de analyse dat de dalende positie van Nederland op de Corruption Perceptions Index, samen met kritiek van organisaties als GRECO en de Open State Foundation, wijst op een groeiend corruptierisico? Bent u bereid om werk te maken van een overheidsbreed anti-corruptiebeleid, bijvoorbeeld via een onafhankelijke anti-corruptieautoriteit?</w:t>
      </w:r>
      <w:r>
        <w:br/>
      </w:r>
    </w:p>
    <w:p>
      <w:pPr>
        <w:pStyle w:val="ListParagraph"/>
        <w:numPr>
          <w:ilvl w:val="0"/>
          <w:numId w:val="100487100"/>
        </w:numPr>
        <w:ind w:left="360"/>
      </w:pPr>
      <w:r>
        <w:t xml:space="preserve">Bent u bereid het pleidooi van de Rijksrecherche en het Openbaar Ministerie om ‘handel in invloed’ strafbaar te stellen opnieuw te overwegen en dit in wetgeving op te nemen?</w:t>
      </w:r>
      <w:r>
        <w:br/>
      </w:r>
    </w:p>
    <w:p>
      <w:pPr>
        <w:pStyle w:val="ListParagraph"/>
        <w:numPr>
          <w:ilvl w:val="0"/>
          <w:numId w:val="100487100"/>
        </w:numPr>
        <w:ind w:left="360"/>
      </w:pPr>
      <w:r>
        <w:t xml:space="preserve">Welke stappen gaat u nemen om te voorkomen dat studies – met mogelijk relevante conclusies voor de Kamer - in het vervolg openbaar worden gemaakt en niet worden achtergehouden of beïnvloed door politiek-bestuurlijke overwegingen?</w:t>
      </w:r>
      <w:r>
        <w:br/>
      </w:r>
    </w:p>
    <w:p>
      <w:r>
        <w:t xml:space="preserve"> </w:t>
      </w:r>
      <w:r>
        <w:br/>
      </w:r>
    </w:p>
    <w:p>
      <w:r>
        <w:t xml:space="preserve">1) Follow the Money, 15 september 2025, Ministerie hield kritisch rapport over corruptie onder de pet (www.ftm.nl/artikelen/ministerie-hield-kritisch-rapport-over-corruptie-onder-de-pet?share=Xzwdrft%2BEWnC%2BbV4qwrCiYRzvG9F1aTbUi2d3cf7OsrZv8yidei4V%2B5MkA%2BZTvM%3D).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70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7080">
    <w:abstractNumId w:val="1004870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