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5549F3" w:rsidR="00AF4210" w:rsidP="00AF4210" w14:paraId="6B07F60B" w14:textId="77777777">
      <w:pPr>
        <w:autoSpaceDE w:val="0"/>
        <w:adjustRightInd w:val="0"/>
        <w:spacing w:line="240" w:lineRule="auto"/>
      </w:pPr>
      <w:r w:rsidRPr="005549F3">
        <w:t xml:space="preserve">Met deze brief licht ik uw Kamer in over de opzet en vraagstelling van de </w:t>
      </w:r>
      <w:r w:rsidR="002C2949">
        <w:t>Periodieke rapportage</w:t>
      </w:r>
      <w:r w:rsidRPr="005549F3">
        <w:t xml:space="preserve"> van artikel 2.1 Energietransitie en duurzaamheid van de begroting van het ministerie van Volkshuisvesting en ruimtelijke Ordening (HXII VRO) die in 2026 naar uw Kamer zal worden gestuurd. Hiermee voldoe ik aan de motie Harbers (Kamerstukken II, 2014-2015, 34 000, nr. 36) om de Kamer voorafgaand aan de uitvoering van </w:t>
      </w:r>
      <w:r w:rsidR="00F875D5">
        <w:t>de Periodieke rapportage</w:t>
      </w:r>
      <w:r w:rsidRPr="005549F3">
        <w:t xml:space="preserve"> te informeren over de opzet, vraagstelling en het proces.</w:t>
      </w:r>
    </w:p>
    <w:p w:rsidRPr="005549F3" w:rsidR="00AF4210" w:rsidP="00AF4210" w14:paraId="2B77077F" w14:textId="77777777">
      <w:pPr>
        <w:autoSpaceDE w:val="0"/>
        <w:adjustRightInd w:val="0"/>
        <w:spacing w:line="240" w:lineRule="auto"/>
      </w:pPr>
    </w:p>
    <w:p w:rsidRPr="005549F3" w:rsidR="00AF4210" w:rsidP="00AF4210" w14:paraId="10676496" w14:textId="77777777">
      <w:pPr>
        <w:pStyle w:val="Stijl1"/>
        <w:rPr>
          <w:b/>
          <w:bCs w:val="0"/>
        </w:rPr>
      </w:pPr>
      <w:r w:rsidRPr="005549F3">
        <w:rPr>
          <w:b/>
          <w:bCs w:val="0"/>
        </w:rPr>
        <w:t>Doel en vraagstelling</w:t>
      </w:r>
    </w:p>
    <w:p w:rsidR="00AF4210" w:rsidP="00AF4210" w14:paraId="698A92F9" w14:textId="77777777">
      <w:r w:rsidRPr="005549F3">
        <w:t xml:space="preserve">Doel van de </w:t>
      </w:r>
      <w:r w:rsidR="00692981">
        <w:t>Periodieke rapportage</w:t>
      </w:r>
      <w:r w:rsidRPr="005549F3">
        <w:t xml:space="preserve"> is inzicht te geven in doeltreffendheid en doelmatigheid van het gevoerde beleid van artikel 2.1 van de begroting van het ministerie van Volkshuisvesting en Ruimtelijke Ordening (VRO) over de periode 2021 tot en met 2025 conform de kwaliteitseisen van de Regeling Periodiek Evaluatieonderzoek (RPE) conform artikel 4 lid 5.</w:t>
      </w:r>
    </w:p>
    <w:p w:rsidRPr="005549F3" w:rsidR="005549F3" w:rsidP="00AF4210" w14:paraId="04355B6A" w14:textId="77777777"/>
    <w:p w:rsidR="00AF4210" w:rsidP="00AF4210" w14:paraId="0E0095C7" w14:textId="77777777">
      <w:r w:rsidRPr="005549F3">
        <w:t xml:space="preserve">De centrale vraagstelling in de uit te voeren </w:t>
      </w:r>
      <w:r w:rsidR="00692981">
        <w:t>Periodieke rapportage</w:t>
      </w:r>
      <w:r w:rsidRPr="005549F3">
        <w:t xml:space="preserve"> luidt:</w:t>
      </w:r>
    </w:p>
    <w:p w:rsidRPr="005549F3" w:rsidR="005549F3" w:rsidP="00AF4210" w14:paraId="477EA379" w14:textId="77777777"/>
    <w:p w:rsidRPr="00006678" w:rsidR="00AF4210" w:rsidP="007B4485" w14:paraId="60522AED" w14:textId="77777777">
      <w:pPr>
        <w:ind w:left="284"/>
        <w:rPr>
          <w:i/>
          <w:sz w:val="16"/>
          <w:szCs w:val="16"/>
        </w:rPr>
      </w:pPr>
      <w:r w:rsidRPr="00006678">
        <w:rPr>
          <w:i/>
          <w:sz w:val="16"/>
          <w:szCs w:val="16"/>
        </w:rPr>
        <w:t xml:space="preserve">In hoeverre is het beleid op artikel 2.1 ‘Energietransitie en duurzaamheid’ gericht op het </w:t>
      </w:r>
      <w:r w:rsidRPr="009C3B07" w:rsidR="009C3B07">
        <w:rPr>
          <w:i/>
          <w:iCs/>
          <w:sz w:val="16"/>
          <w:szCs w:val="16"/>
        </w:rPr>
        <w:t>CO</w:t>
      </w:r>
      <w:r w:rsidRPr="009C3B07" w:rsidR="009C3B07">
        <w:rPr>
          <w:i/>
          <w:iCs/>
          <w:sz w:val="16"/>
          <w:szCs w:val="16"/>
          <w:vertAlign w:val="subscript"/>
        </w:rPr>
        <w:t>2</w:t>
      </w:r>
      <w:r w:rsidRPr="00006678">
        <w:rPr>
          <w:i/>
          <w:sz w:val="16"/>
          <w:szCs w:val="16"/>
        </w:rPr>
        <w:t>-neutraal maken van de gebouwde omgeving in 2050, doeltreffend en doelmatig geweest in de periode 2021 tot en met 2025?</w:t>
      </w:r>
    </w:p>
    <w:p w:rsidRPr="005549F3" w:rsidR="005549F3" w:rsidP="00AF4210" w14:paraId="4B45BB5C" w14:textId="77777777">
      <w:pPr>
        <w:ind w:left="708"/>
        <w:rPr>
          <w:i/>
        </w:rPr>
      </w:pPr>
    </w:p>
    <w:p w:rsidR="00AF4210" w:rsidP="00AF4210" w14:paraId="4D319C87" w14:textId="77777777">
      <w:pPr>
        <w:rPr>
          <w:iCs/>
        </w:rPr>
      </w:pPr>
      <w:r w:rsidRPr="005549F3">
        <w:rPr>
          <w:iCs/>
        </w:rPr>
        <w:t xml:space="preserve">In een </w:t>
      </w:r>
      <w:r w:rsidR="00692981">
        <w:rPr>
          <w:iCs/>
        </w:rPr>
        <w:t>Periodieke rapportage</w:t>
      </w:r>
      <w:r w:rsidRPr="005549F3">
        <w:rPr>
          <w:iCs/>
        </w:rPr>
        <w:t xml:space="preserve"> is ook ruimte om aanvullende vragen te stellen. De volgende aanvullende onderzoeksvragen zijn geformuleerd:</w:t>
      </w:r>
    </w:p>
    <w:p w:rsidRPr="005549F3" w:rsidR="005549F3" w:rsidP="00AF4210" w14:paraId="034EB44C" w14:textId="77777777">
      <w:pPr>
        <w:rPr>
          <w:iCs/>
        </w:rPr>
      </w:pPr>
    </w:p>
    <w:p w:rsidRPr="007B4485" w:rsidR="00AF4210" w:rsidP="007B4485" w14:paraId="7D67857F" w14:textId="77777777">
      <w:pPr>
        <w:pStyle w:val="ListParagraph"/>
        <w:numPr>
          <w:ilvl w:val="0"/>
          <w:numId w:val="5"/>
        </w:numPr>
        <w:spacing w:after="0"/>
        <w:ind w:left="851" w:hanging="284"/>
        <w:rPr>
          <w:i/>
          <w:iCs/>
          <w:sz w:val="16"/>
          <w:szCs w:val="16"/>
          <w:lang w:val="nl-NL"/>
        </w:rPr>
      </w:pPr>
      <w:r w:rsidRPr="007B4485">
        <w:rPr>
          <w:i/>
          <w:iCs/>
          <w:sz w:val="16"/>
          <w:szCs w:val="16"/>
          <w:lang w:val="nl-NL"/>
        </w:rPr>
        <w:t xml:space="preserve">Welke aannamen lagen ten grondslag aan het beleid? </w:t>
      </w:r>
    </w:p>
    <w:p w:rsidRPr="007B4485" w:rsidR="00AF4210" w:rsidP="007B4485" w14:paraId="07795AB2" w14:textId="77777777">
      <w:pPr>
        <w:ind w:left="851" w:hanging="284"/>
        <w:rPr>
          <w:i/>
          <w:iCs/>
          <w:sz w:val="16"/>
          <w:szCs w:val="16"/>
        </w:rPr>
      </w:pPr>
    </w:p>
    <w:p w:rsidRPr="007B4485" w:rsidR="00AF4210" w:rsidP="007B4485" w14:paraId="559904F4" w14:textId="77777777">
      <w:pPr>
        <w:pStyle w:val="ListParagraph"/>
        <w:numPr>
          <w:ilvl w:val="0"/>
          <w:numId w:val="5"/>
        </w:numPr>
        <w:spacing w:after="0"/>
        <w:ind w:left="851" w:hanging="284"/>
        <w:rPr>
          <w:i/>
          <w:iCs/>
          <w:sz w:val="16"/>
          <w:szCs w:val="16"/>
          <w:lang w:val="nl-NL"/>
        </w:rPr>
      </w:pPr>
      <w:r w:rsidRPr="007B4485">
        <w:rPr>
          <w:i/>
          <w:iCs/>
          <w:sz w:val="16"/>
          <w:szCs w:val="16"/>
          <w:lang w:val="nl-NL"/>
        </w:rPr>
        <w:t xml:space="preserve">Hoe heeft men bepaald wat er nodig was om de doelen te bereiken, hoe is de doelbereiking onderweg gemonitord, hoe is er bijgestuurd en wat heeft ertoe geleid dat de doelen al dan niet zijn gerealiseerd? </w:t>
      </w:r>
    </w:p>
    <w:p w:rsidRPr="007B4485" w:rsidR="00AF4210" w:rsidP="007B4485" w14:paraId="6A5FD782" w14:textId="77777777">
      <w:pPr>
        <w:ind w:left="851" w:hanging="284"/>
        <w:rPr>
          <w:i/>
          <w:iCs/>
          <w:sz w:val="16"/>
          <w:szCs w:val="16"/>
        </w:rPr>
      </w:pPr>
    </w:p>
    <w:p w:rsidRPr="007B4485" w:rsidR="00AF4210" w:rsidP="007B4485" w14:paraId="79DB9261" w14:textId="77777777">
      <w:pPr>
        <w:pStyle w:val="ListParagraph"/>
        <w:numPr>
          <w:ilvl w:val="0"/>
          <w:numId w:val="5"/>
        </w:numPr>
        <w:spacing w:after="0"/>
        <w:ind w:left="851" w:hanging="284"/>
        <w:rPr>
          <w:i/>
          <w:iCs/>
          <w:sz w:val="16"/>
          <w:szCs w:val="16"/>
          <w:lang w:val="nl-NL"/>
        </w:rPr>
      </w:pPr>
      <w:r w:rsidRPr="007B4485">
        <w:rPr>
          <w:i/>
          <w:iCs/>
          <w:sz w:val="16"/>
          <w:szCs w:val="16"/>
          <w:lang w:val="nl-NL"/>
        </w:rPr>
        <w:t>Welke beleidsafspraken zijn gemaakt?</w:t>
      </w:r>
    </w:p>
    <w:p w:rsidRPr="007B4485" w:rsidR="00AF4210" w:rsidP="007B4485" w14:paraId="778B929D" w14:textId="77777777">
      <w:pPr>
        <w:ind w:left="851" w:hanging="284"/>
        <w:rPr>
          <w:i/>
          <w:iCs/>
          <w:sz w:val="16"/>
          <w:szCs w:val="16"/>
        </w:rPr>
      </w:pPr>
    </w:p>
    <w:p w:rsidRPr="007B4485" w:rsidR="00AF4210" w:rsidP="007B4485" w14:paraId="40848925" w14:textId="77777777">
      <w:pPr>
        <w:pStyle w:val="ListParagraph"/>
        <w:numPr>
          <w:ilvl w:val="0"/>
          <w:numId w:val="5"/>
        </w:numPr>
        <w:spacing w:after="0"/>
        <w:ind w:left="851" w:hanging="284"/>
        <w:rPr>
          <w:i/>
          <w:iCs/>
          <w:sz w:val="16"/>
          <w:szCs w:val="16"/>
          <w:lang w:val="nl-NL"/>
        </w:rPr>
      </w:pPr>
      <w:r w:rsidRPr="007B4485">
        <w:rPr>
          <w:i/>
          <w:iCs/>
          <w:sz w:val="16"/>
          <w:szCs w:val="16"/>
          <w:lang w:val="nl-NL"/>
        </w:rPr>
        <w:t xml:space="preserve">Welke beleidsinstrumenten en welke budgetten zijn hiervoor ingezet? </w:t>
      </w:r>
    </w:p>
    <w:p w:rsidRPr="007B4485" w:rsidR="00AF4210" w:rsidP="007B4485" w14:paraId="378E30E0" w14:textId="77777777">
      <w:pPr>
        <w:ind w:left="851" w:hanging="284"/>
        <w:rPr>
          <w:i/>
          <w:iCs/>
          <w:sz w:val="16"/>
          <w:szCs w:val="16"/>
        </w:rPr>
      </w:pPr>
    </w:p>
    <w:p w:rsidRPr="007B4485" w:rsidR="00AF4210" w:rsidP="007B4485" w14:paraId="64F5D272" w14:textId="77777777">
      <w:pPr>
        <w:pStyle w:val="ListParagraph"/>
        <w:numPr>
          <w:ilvl w:val="0"/>
          <w:numId w:val="5"/>
        </w:numPr>
        <w:spacing w:after="0"/>
        <w:ind w:left="851" w:hanging="284"/>
        <w:rPr>
          <w:i/>
          <w:iCs/>
          <w:sz w:val="16"/>
          <w:szCs w:val="16"/>
          <w:lang w:val="nl-NL"/>
        </w:rPr>
      </w:pPr>
      <w:r w:rsidRPr="007B4485">
        <w:rPr>
          <w:i/>
          <w:iCs/>
          <w:sz w:val="16"/>
          <w:szCs w:val="16"/>
          <w:lang w:val="nl-NL"/>
        </w:rPr>
        <w:t>Welke actoren zijn verantwoordelijk voor een goede uitvoering van het beleid: rijk, provincies, gemeenten, belangenverenigingen, gebouweigenaren, et cetera?</w:t>
      </w:r>
    </w:p>
    <w:p w:rsidRPr="007B4485" w:rsidR="00AF4210" w:rsidP="007B4485" w14:paraId="45974DC9" w14:textId="77777777">
      <w:pPr>
        <w:ind w:left="851" w:hanging="284"/>
        <w:rPr>
          <w:i/>
          <w:iCs/>
          <w:sz w:val="16"/>
          <w:szCs w:val="16"/>
        </w:rPr>
      </w:pPr>
    </w:p>
    <w:p w:rsidRPr="007B4485" w:rsidR="00AF4210" w:rsidP="007B4485" w14:paraId="588FE0D9" w14:textId="77777777">
      <w:pPr>
        <w:pStyle w:val="ListParagraph"/>
        <w:numPr>
          <w:ilvl w:val="0"/>
          <w:numId w:val="5"/>
        </w:numPr>
        <w:spacing w:after="0"/>
        <w:ind w:left="851" w:hanging="284"/>
        <w:rPr>
          <w:i/>
          <w:iCs/>
          <w:sz w:val="16"/>
          <w:szCs w:val="16"/>
          <w:lang w:val="nl-NL"/>
        </w:rPr>
      </w:pPr>
      <w:r w:rsidRPr="007B4485">
        <w:rPr>
          <w:i/>
          <w:iCs/>
          <w:sz w:val="16"/>
          <w:szCs w:val="16"/>
          <w:lang w:val="nl-NL"/>
        </w:rPr>
        <w:t>Welke (tussen)doelen zijn geformuleerd?</w:t>
      </w:r>
    </w:p>
    <w:p w:rsidRPr="007B4485" w:rsidR="00AF4210" w:rsidP="007B4485" w14:paraId="22B1D3F4" w14:textId="77777777">
      <w:pPr>
        <w:ind w:left="851" w:hanging="284"/>
        <w:rPr>
          <w:i/>
          <w:iCs/>
          <w:sz w:val="16"/>
          <w:szCs w:val="16"/>
        </w:rPr>
      </w:pPr>
    </w:p>
    <w:p w:rsidRPr="007B4485" w:rsidR="00AF4210" w:rsidP="007B4485" w14:paraId="1B1CF96E" w14:textId="77777777">
      <w:pPr>
        <w:pStyle w:val="ListParagraph"/>
        <w:numPr>
          <w:ilvl w:val="0"/>
          <w:numId w:val="5"/>
        </w:numPr>
        <w:spacing w:after="0"/>
        <w:ind w:left="851" w:hanging="284"/>
        <w:rPr>
          <w:i/>
          <w:iCs/>
          <w:sz w:val="16"/>
          <w:szCs w:val="16"/>
          <w:lang w:val="nl-NL"/>
        </w:rPr>
      </w:pPr>
      <w:r w:rsidRPr="007B4485">
        <w:rPr>
          <w:i/>
          <w:iCs/>
          <w:sz w:val="16"/>
          <w:szCs w:val="16"/>
          <w:lang w:val="nl-NL"/>
        </w:rPr>
        <w:t>Van welke actoren wordt welke gedragsverandering verwacht, en welke impliciete vooronderstellingen en (mens)beelden liggen ten grondslag aan het beleid en in hoeverre zijn deze getoetst aan de leefwereld van burgers?</w:t>
      </w:r>
    </w:p>
    <w:p w:rsidRPr="007B4485" w:rsidR="00AF4210" w:rsidP="007B4485" w14:paraId="4199B6DF" w14:textId="77777777">
      <w:pPr>
        <w:ind w:left="851" w:hanging="284"/>
        <w:rPr>
          <w:i/>
          <w:iCs/>
          <w:sz w:val="16"/>
          <w:szCs w:val="16"/>
        </w:rPr>
      </w:pPr>
    </w:p>
    <w:p w:rsidRPr="007B4485" w:rsidR="00AF4210" w:rsidP="007B4485" w14:paraId="41094E8C" w14:textId="77777777">
      <w:pPr>
        <w:pStyle w:val="ListParagraph"/>
        <w:numPr>
          <w:ilvl w:val="0"/>
          <w:numId w:val="5"/>
        </w:numPr>
        <w:spacing w:after="0"/>
        <w:ind w:left="851" w:hanging="284"/>
        <w:rPr>
          <w:i/>
          <w:iCs/>
          <w:sz w:val="16"/>
          <w:szCs w:val="16"/>
          <w:lang w:val="nl-NL"/>
        </w:rPr>
      </w:pPr>
      <w:r w:rsidRPr="007B4485">
        <w:rPr>
          <w:i/>
          <w:iCs/>
          <w:sz w:val="16"/>
          <w:szCs w:val="16"/>
          <w:lang w:val="nl-NL"/>
        </w:rPr>
        <w:t>In hoeverre draagt de inzet (van de mix) van beleidsinstrumenten bij aan andere publieke waarden, zoals bestrijding van energiearmoede, behoud van draagvlak voor de energietransitie</w:t>
      </w:r>
      <w:r w:rsidR="00693FAD">
        <w:rPr>
          <w:i/>
          <w:iCs/>
          <w:sz w:val="16"/>
          <w:szCs w:val="16"/>
          <w:lang w:val="nl-NL"/>
        </w:rPr>
        <w:t>,</w:t>
      </w:r>
      <w:r w:rsidRPr="007B4485">
        <w:rPr>
          <w:i/>
          <w:iCs/>
          <w:sz w:val="16"/>
          <w:szCs w:val="16"/>
          <w:lang w:val="nl-NL"/>
        </w:rPr>
        <w:t xml:space="preserve"> </w:t>
      </w:r>
      <w:r w:rsidR="00693FAD">
        <w:rPr>
          <w:i/>
          <w:iCs/>
          <w:sz w:val="16"/>
          <w:szCs w:val="16"/>
          <w:lang w:val="nl-NL"/>
        </w:rPr>
        <w:t xml:space="preserve">economische groei en </w:t>
      </w:r>
      <w:r w:rsidR="00693FAD">
        <w:rPr>
          <w:i/>
          <w:iCs/>
          <w:sz w:val="16"/>
          <w:szCs w:val="16"/>
          <w:lang w:val="nl-NL"/>
        </w:rPr>
        <w:t>waardecreatie</w:t>
      </w:r>
      <w:r w:rsidRPr="007B4485">
        <w:rPr>
          <w:i/>
          <w:iCs/>
          <w:sz w:val="16"/>
          <w:szCs w:val="16"/>
          <w:lang w:val="nl-NL"/>
        </w:rPr>
        <w:t>?</w:t>
      </w:r>
    </w:p>
    <w:p w:rsidRPr="007B4485" w:rsidR="00AF4210" w:rsidP="007B4485" w14:paraId="1D1719EB" w14:textId="77777777">
      <w:pPr>
        <w:pStyle w:val="ListParagraph"/>
        <w:spacing w:after="0"/>
        <w:ind w:left="851" w:hanging="284"/>
        <w:rPr>
          <w:i/>
          <w:iCs/>
          <w:sz w:val="16"/>
          <w:szCs w:val="16"/>
          <w:lang w:val="nl-NL"/>
        </w:rPr>
      </w:pPr>
    </w:p>
    <w:p w:rsidRPr="007B4485" w:rsidR="00AF4210" w:rsidP="007B4485" w14:paraId="1A4A03AC" w14:textId="77777777">
      <w:pPr>
        <w:pStyle w:val="ListParagraph"/>
        <w:numPr>
          <w:ilvl w:val="0"/>
          <w:numId w:val="5"/>
        </w:numPr>
        <w:spacing w:after="0"/>
        <w:ind w:left="851" w:hanging="284"/>
        <w:rPr>
          <w:i/>
          <w:iCs/>
          <w:sz w:val="16"/>
          <w:szCs w:val="16"/>
          <w:lang w:val="nl-NL"/>
        </w:rPr>
      </w:pPr>
      <w:r w:rsidRPr="007B4485">
        <w:rPr>
          <w:i/>
          <w:iCs/>
          <w:sz w:val="16"/>
          <w:szCs w:val="16"/>
          <w:lang w:val="nl-NL"/>
        </w:rPr>
        <w:t xml:space="preserve">Welke aanbevelingen zijn er op het gebied van monitoring en evaluatie met </w:t>
      </w:r>
      <w:r w:rsidR="00006678">
        <w:rPr>
          <w:i/>
          <w:iCs/>
          <w:sz w:val="16"/>
          <w:szCs w:val="16"/>
          <w:lang w:val="nl-NL"/>
        </w:rPr>
        <w:t xml:space="preserve">het </w:t>
      </w:r>
      <w:r w:rsidRPr="007B4485">
        <w:rPr>
          <w:i/>
          <w:iCs/>
          <w:sz w:val="16"/>
          <w:szCs w:val="16"/>
          <w:lang w:val="nl-NL"/>
        </w:rPr>
        <w:t xml:space="preserve">oog op een volgende </w:t>
      </w:r>
      <w:r w:rsidR="00692981">
        <w:rPr>
          <w:i/>
          <w:iCs/>
          <w:sz w:val="16"/>
          <w:szCs w:val="16"/>
          <w:lang w:val="nl-NL"/>
        </w:rPr>
        <w:t>Periodieke rapportage</w:t>
      </w:r>
      <w:r w:rsidRPr="007B4485">
        <w:rPr>
          <w:i/>
          <w:iCs/>
          <w:sz w:val="16"/>
          <w:szCs w:val="16"/>
          <w:lang w:val="nl-NL"/>
        </w:rPr>
        <w:t>?</w:t>
      </w:r>
    </w:p>
    <w:p w:rsidRPr="005549F3" w:rsidR="005549F3" w:rsidP="007B4485" w14:paraId="247B92E9" w14:textId="77777777">
      <w:pPr>
        <w:ind w:left="851" w:hanging="284"/>
        <w:rPr>
          <w:i/>
          <w:iCs/>
        </w:rPr>
      </w:pPr>
    </w:p>
    <w:p w:rsidRPr="005549F3" w:rsidR="00AF4210" w:rsidP="00AF4210" w14:paraId="33BFBBAD" w14:textId="77777777">
      <w:r w:rsidRPr="005549F3">
        <w:t>Deze beleidsevaluatie wordt opgezet conform de richtlijnen van de RPE. Dit onderzoek betreft een synthese van bestaande en nog uit te voeren evaluaties van beleidsinstrumenten en zal leiden tot een overkoepelende analyse van het verduurzamingsbeleid voor de gebouwde omgeving van 2021 tot en met 2025 op basis waarvan lessen voor toekomstig beleid kunnen worden getrokken en mogelijk ook lessen voor de wijze van monitoring en evaluatie van het beleid.</w:t>
      </w:r>
    </w:p>
    <w:p w:rsidRPr="005549F3" w:rsidR="00AF4210" w:rsidP="00AF4210" w14:paraId="5D8FBD2E" w14:textId="77777777"/>
    <w:p w:rsidRPr="005549F3" w:rsidR="00AF4210" w:rsidP="00AF4210" w14:paraId="6E5965AD" w14:textId="77777777">
      <w:pPr>
        <w:pStyle w:val="Stijl1"/>
        <w:rPr>
          <w:b/>
          <w:bCs w:val="0"/>
        </w:rPr>
      </w:pPr>
      <w:r w:rsidRPr="005549F3">
        <w:rPr>
          <w:b/>
          <w:bCs w:val="0"/>
        </w:rPr>
        <w:t xml:space="preserve">Afbakening </w:t>
      </w:r>
    </w:p>
    <w:p w:rsidR="00AF4210" w:rsidP="00AF4210" w14:paraId="769E8120" w14:textId="77777777">
      <w:r w:rsidRPr="005549F3">
        <w:rPr>
          <w:bCs/>
        </w:rPr>
        <w:t xml:space="preserve">De </w:t>
      </w:r>
      <w:r w:rsidR="00692981">
        <w:rPr>
          <w:bCs/>
        </w:rPr>
        <w:t>Periodieke rapportage</w:t>
      </w:r>
      <w:r w:rsidRPr="005549F3">
        <w:rPr>
          <w:bCs/>
        </w:rPr>
        <w:t xml:space="preserve"> heeft betrekking op </w:t>
      </w:r>
      <w:r w:rsidRPr="005549F3">
        <w:t>alle beleid uitgevoerd onder het begrotingsartikel 2.1 VRO (2025) en artikel 4.1 BZK (2021 t/m 2024).</w:t>
      </w:r>
      <w:r>
        <w:rPr>
          <w:rStyle w:val="FootnoteReference"/>
        </w:rPr>
        <w:footnoteReference w:id="2"/>
      </w:r>
      <w:r w:rsidRPr="005549F3">
        <w:t xml:space="preserve"> In tabel 1 is een samenvatting gegeven van de belangrijkste beleidsinstrumenten onder deze begrotingsartikelen en de realisatie in de jaren 2021 tot en met 2024 en het budget volgens de begroting van 2025.</w:t>
      </w:r>
    </w:p>
    <w:p w:rsidRPr="005549F3" w:rsidR="00006678" w:rsidP="00AF4210" w14:paraId="39CC9C64" w14:textId="77777777"/>
    <w:p w:rsidR="00AF4210" w:rsidP="00AF4210" w14:paraId="7998743A" w14:textId="77777777">
      <w:r w:rsidRPr="005549F3">
        <w:t xml:space="preserve">In de onderzoeksperiode is het beleid onder beide artikelen vormgegeven door het klimaatakkoord in de gebouwde omgeving (van 2019) en het programma versnelling verduurzaming gebouwde omgeving (van 2022). Dat laatste programma heeft als hoofddoel het reduceren van de uitstoot van broeikasgassen in 2030 tot 55 procent van de uitstoot in 1990, te weten 13,2 </w:t>
      </w:r>
      <w:r w:rsidRPr="005549F3">
        <w:t>Mton</w:t>
      </w:r>
      <w:r w:rsidRPr="005549F3">
        <w:t xml:space="preserve"> </w:t>
      </w:r>
      <w:r w:rsidRPr="005549F3" w:rsidR="009C3B07">
        <w:t>CO</w:t>
      </w:r>
      <w:r w:rsidRPr="00006678" w:rsidR="009C3B07">
        <w:rPr>
          <w:vertAlign w:val="subscript"/>
        </w:rPr>
        <w:t>2</w:t>
      </w:r>
      <w:r w:rsidRPr="005549F3">
        <w:t>-equivalenten. Daar zijn doelen aan toegevoegd als de betaalbaarheid van de energierekening, bestrijding van energiearmoede en energieonafhankelijkheid.</w:t>
      </w:r>
    </w:p>
    <w:p w:rsidRPr="005549F3" w:rsidR="00006678" w:rsidP="00AF4210" w14:paraId="68AFD558" w14:textId="77777777"/>
    <w:p w:rsidR="00AF4210" w:rsidP="00AF4210" w14:paraId="3C988FF9" w14:textId="77777777">
      <w:bookmarkStart w:name="_Hlk204851610" w:id="0"/>
      <w:r w:rsidRPr="005549F3">
        <w:t xml:space="preserve">Het beleid is gericht op zowel de woning- als utiliteitsbouw en kent </w:t>
      </w:r>
      <w:r w:rsidR="002661AF">
        <w:t xml:space="preserve">op hoofdlijnen </w:t>
      </w:r>
      <w:r w:rsidRPr="005549F3">
        <w:t>een individueel en een collectief spoor. Via de individuele aanpak worden eigenaren van gebouwen via onder andere normering, subsidies en voorlichting gestimuleerd en gefaciliteerd om te investeren in energiebesparing en verduurzaming. Via de collectieve en gebiedsgerichte aanpak worden gemeenten ondersteund en in staat gesteld om wijk voor wijk aardgasvrij te maken.</w:t>
      </w:r>
      <w:bookmarkEnd w:id="0"/>
      <w:r w:rsidR="005549F3">
        <w:t xml:space="preserve"> </w:t>
      </w:r>
      <w:r w:rsidRPr="005549F3">
        <w:t xml:space="preserve">In de </w:t>
      </w:r>
      <w:r w:rsidR="00692981">
        <w:t>Periodieke rapportage</w:t>
      </w:r>
      <w:r w:rsidRPr="005549F3">
        <w:t xml:space="preserve"> wordt het Europees beleid, voor zover relevant, ook meegenomen om de samenhang met en doorwerking van Nederlands beleid te beoordelen. Ook vallen enkele sector</w:t>
      </w:r>
      <w:r w:rsidR="009C3B07">
        <w:t xml:space="preserve"> </w:t>
      </w:r>
      <w:r w:rsidRPr="005549F3">
        <w:t>overstijgende instrumenten, zoals de ISDE (KGG) en de Wet Milieubeheer (I&amp;W) binnen scope.</w:t>
      </w:r>
    </w:p>
    <w:p w:rsidRPr="005549F3" w:rsidR="00006678" w:rsidP="00AF4210" w14:paraId="43D818BA" w14:textId="77777777"/>
    <w:p w:rsidR="00AF4210" w:rsidP="00AF4210" w14:paraId="5439662B" w14:textId="77777777">
      <w:r w:rsidRPr="005549F3">
        <w:t xml:space="preserve">De </w:t>
      </w:r>
      <w:r w:rsidR="00692981">
        <w:t>Periodieke rapportage</w:t>
      </w:r>
      <w:r w:rsidRPr="005549F3">
        <w:t xml:space="preserve"> 2021-2025 betreft in hoofdzaak een synthese-onderzoek. Dat wil zeggen dat vooral gebruik zal worden gemaakt van secundaire bronnen, namelijk bestaande evaluaties van instrumenten en ander bestaand onderzoeksmateriaal, zoals beleidsmonitors en de beleidsdoorlichting van artikel 4.1 uit 2022 over de periode 2015-2020</w:t>
      </w:r>
      <w:r>
        <w:rPr>
          <w:rStyle w:val="FootnoteReference"/>
        </w:rPr>
        <w:footnoteReference w:id="3"/>
      </w:r>
      <w:r w:rsidRPr="005549F3">
        <w:t>.</w:t>
      </w:r>
    </w:p>
    <w:p w:rsidRPr="005549F3" w:rsidR="005549F3" w:rsidP="00AF4210" w14:paraId="39116E37" w14:textId="77777777"/>
    <w:p w:rsidRPr="005549F3" w:rsidR="00AF4210" w:rsidP="00AF4210" w14:paraId="6CBE11B7" w14:textId="77777777">
      <w:r w:rsidRPr="00E37D21">
        <w:t>Het syntheseonderzoek van het nationale klimaatbeleid dat in 2024 is gepubliceerd door de minister van EZK</w:t>
      </w:r>
      <w:r>
        <w:rPr>
          <w:rStyle w:val="FootnoteReference"/>
        </w:rPr>
        <w:footnoteReference w:id="4"/>
      </w:r>
      <w:r w:rsidRPr="00E37D21">
        <w:t xml:space="preserve"> kan als basis dienen voor deze </w:t>
      </w:r>
      <w:r w:rsidRPr="00E37D21" w:rsidR="00692981">
        <w:t>Periodieke rapportage</w:t>
      </w:r>
      <w:r w:rsidRPr="00E37D21">
        <w:t xml:space="preserve">. De toegevoegde waarde van de </w:t>
      </w:r>
      <w:r w:rsidRPr="00E37D21" w:rsidR="00692981">
        <w:t>Periodieke rapportage</w:t>
      </w:r>
      <w:r w:rsidRPr="00E37D21">
        <w:t xml:space="preserve"> ligt in het sindsdien beschikbaar gekomen evaluatiemateriaal, </w:t>
      </w:r>
      <w:r w:rsidRPr="00E37D21" w:rsidR="0029619A">
        <w:t xml:space="preserve">het toetsen van vooronderstellingen in de beleidstheorie, </w:t>
      </w:r>
      <w:r w:rsidRPr="00E37D21">
        <w:t xml:space="preserve">in de aandacht voor andere publieke waarden dan doeltreffend- en doelmatigheid en in de focus op de sector gebouwde omgeving en het daardoor beter aansluiten op de specifieke beleidsdoelen in deze sector. Zo nam het syntheseonderzoek uit 2024 in veel analyses </w:t>
      </w:r>
      <w:r w:rsidRPr="00E37D21" w:rsidR="009C3B07">
        <w:t>CO</w:t>
      </w:r>
      <w:r w:rsidRPr="00E37D21" w:rsidR="009C3B07">
        <w:rPr>
          <w:vertAlign w:val="subscript"/>
        </w:rPr>
        <w:t>2</w:t>
      </w:r>
      <w:r w:rsidRPr="00E37D21">
        <w:t xml:space="preserve">-uitstoot door zowel aardgasgebruik als elektriciteitsgebruik mee in de evaluatie. In de </w:t>
      </w:r>
      <w:r w:rsidRPr="00E37D21" w:rsidR="00692981">
        <w:t>Periodieke rapportage</w:t>
      </w:r>
      <w:r w:rsidRPr="00E37D21">
        <w:t xml:space="preserve"> zal de analyse van het beleid in de sector gebouwde omgeving zich voornamelijk richten op </w:t>
      </w:r>
      <w:r w:rsidRPr="00E37D21" w:rsidR="009C3B07">
        <w:t>CO</w:t>
      </w:r>
      <w:r w:rsidRPr="00E37D21" w:rsidR="009C3B07">
        <w:rPr>
          <w:vertAlign w:val="subscript"/>
        </w:rPr>
        <w:t>2</w:t>
      </w:r>
      <w:r w:rsidRPr="00E37D21">
        <w:t>-uitstoot als gevolg van aardgasgebruik, conform de formulering van de beleidsdoelen in deze sector.</w:t>
      </w:r>
    </w:p>
    <w:p w:rsidRPr="005549F3" w:rsidR="00AF4210" w:rsidP="00AF4210" w14:paraId="52BA7C3C" w14:textId="77777777"/>
    <w:p w:rsidRPr="005549F3" w:rsidR="00AF4210" w:rsidP="00AF4210" w14:paraId="573CF338" w14:textId="77777777">
      <w:pPr>
        <w:rPr>
          <w:b/>
          <w:bCs/>
        </w:rPr>
      </w:pPr>
      <w:r w:rsidRPr="005549F3">
        <w:rPr>
          <w:b/>
          <w:bCs/>
        </w:rPr>
        <w:t xml:space="preserve">Tabel 1 </w:t>
      </w:r>
      <w:r w:rsidRPr="005549F3">
        <w:t>Overzicht van artikel 2.1 van VRO: in 2021 t/m 2024 gerealiseerde en</w:t>
      </w:r>
      <w:r w:rsidRPr="005549F3" w:rsidR="005549F3">
        <w:t xml:space="preserve"> </w:t>
      </w:r>
      <w:r w:rsidRPr="005549F3">
        <w:t>voor 2025 begrote uitgaven (*€1000)</w:t>
      </w:r>
    </w:p>
    <w:p w:rsidRPr="005549F3" w:rsidR="00AF4210" w:rsidP="00AF4210" w14:paraId="584B9AFC" w14:textId="77777777">
      <w:pPr>
        <w:rPr>
          <w:b/>
          <w:bCs/>
        </w:rPr>
      </w:pPr>
    </w:p>
    <w:tbl>
      <w:tblPr>
        <w:tblStyle w:val="GridTable1Light"/>
        <w:tblW w:w="8931" w:type="dxa"/>
        <w:tblLayout w:type="fixed"/>
        <w:tblLook w:val="04A0"/>
      </w:tblPr>
      <w:tblGrid>
        <w:gridCol w:w="2689"/>
        <w:gridCol w:w="1219"/>
        <w:gridCol w:w="1219"/>
        <w:gridCol w:w="1252"/>
        <w:gridCol w:w="1276"/>
        <w:gridCol w:w="1276"/>
      </w:tblGrid>
      <w:tr w:rsidTr="005549F3" w14:paraId="578D2BE2" w14:textId="77777777">
        <w:tblPrEx>
          <w:tblW w:w="8931" w:type="dxa"/>
          <w:tblLayout w:type="fixed"/>
          <w:tblLook w:val="04A0"/>
        </w:tblPrEx>
        <w:trPr>
          <w:trHeight w:val="375"/>
        </w:trPr>
        <w:tc>
          <w:tcPr>
            <w:tcW w:w="2689" w:type="dxa"/>
            <w:hideMark/>
          </w:tcPr>
          <w:p w:rsidRPr="005549F3" w:rsidR="00AF4210" w:rsidP="005C00F1" w14:paraId="6785A81C" w14:textId="77777777">
            <w:pPr>
              <w:rPr>
                <w:b w:val="0"/>
                <w:bCs w:val="0"/>
                <w:sz w:val="16"/>
                <w:szCs w:val="16"/>
              </w:rPr>
            </w:pPr>
            <w:r w:rsidRPr="005549F3">
              <w:rPr>
                <w:sz w:val="16"/>
                <w:szCs w:val="16"/>
              </w:rPr>
              <w:t>Omschrijving</w:t>
            </w:r>
          </w:p>
        </w:tc>
        <w:tc>
          <w:tcPr>
            <w:tcW w:w="1219" w:type="dxa"/>
            <w:hideMark/>
          </w:tcPr>
          <w:p w:rsidRPr="005549F3" w:rsidR="00AF4210" w:rsidP="005549F3" w14:paraId="0D8F2FF6" w14:textId="77777777">
            <w:pPr>
              <w:jc w:val="center"/>
              <w:rPr>
                <w:b w:val="0"/>
                <w:bCs w:val="0"/>
                <w:sz w:val="16"/>
                <w:szCs w:val="16"/>
              </w:rPr>
            </w:pPr>
            <w:r w:rsidRPr="005549F3">
              <w:rPr>
                <w:sz w:val="16"/>
                <w:szCs w:val="16"/>
              </w:rPr>
              <w:t>2021</w:t>
            </w:r>
          </w:p>
        </w:tc>
        <w:tc>
          <w:tcPr>
            <w:tcW w:w="1219" w:type="dxa"/>
            <w:hideMark/>
          </w:tcPr>
          <w:p w:rsidRPr="005549F3" w:rsidR="00AF4210" w:rsidP="005549F3" w14:paraId="492FB886" w14:textId="77777777">
            <w:pPr>
              <w:jc w:val="center"/>
              <w:rPr>
                <w:b w:val="0"/>
                <w:bCs w:val="0"/>
                <w:sz w:val="16"/>
                <w:szCs w:val="16"/>
              </w:rPr>
            </w:pPr>
            <w:r w:rsidRPr="005549F3">
              <w:rPr>
                <w:sz w:val="16"/>
                <w:szCs w:val="16"/>
              </w:rPr>
              <w:t>2022</w:t>
            </w:r>
          </w:p>
        </w:tc>
        <w:tc>
          <w:tcPr>
            <w:tcW w:w="1252" w:type="dxa"/>
            <w:hideMark/>
          </w:tcPr>
          <w:p w:rsidRPr="005549F3" w:rsidR="00AF4210" w:rsidP="005549F3" w14:paraId="46C6C372" w14:textId="77777777">
            <w:pPr>
              <w:jc w:val="center"/>
              <w:rPr>
                <w:b w:val="0"/>
                <w:bCs w:val="0"/>
                <w:sz w:val="16"/>
                <w:szCs w:val="16"/>
              </w:rPr>
            </w:pPr>
            <w:r w:rsidRPr="005549F3">
              <w:rPr>
                <w:sz w:val="16"/>
                <w:szCs w:val="16"/>
              </w:rPr>
              <w:t>2023</w:t>
            </w:r>
          </w:p>
        </w:tc>
        <w:tc>
          <w:tcPr>
            <w:tcW w:w="1276" w:type="dxa"/>
            <w:hideMark/>
          </w:tcPr>
          <w:p w:rsidRPr="005549F3" w:rsidR="00AF4210" w:rsidP="005549F3" w14:paraId="5244D34A" w14:textId="77777777">
            <w:pPr>
              <w:jc w:val="center"/>
              <w:rPr>
                <w:b w:val="0"/>
                <w:bCs w:val="0"/>
                <w:sz w:val="16"/>
                <w:szCs w:val="16"/>
              </w:rPr>
            </w:pPr>
            <w:r w:rsidRPr="005549F3">
              <w:rPr>
                <w:sz w:val="16"/>
                <w:szCs w:val="16"/>
              </w:rPr>
              <w:t>2024</w:t>
            </w:r>
          </w:p>
        </w:tc>
        <w:tc>
          <w:tcPr>
            <w:tcW w:w="1276" w:type="dxa"/>
          </w:tcPr>
          <w:p w:rsidRPr="005549F3" w:rsidR="00AF4210" w:rsidP="005549F3" w14:paraId="356AA6C9" w14:textId="77777777">
            <w:pPr>
              <w:jc w:val="center"/>
              <w:rPr>
                <w:b w:val="0"/>
                <w:bCs w:val="0"/>
                <w:sz w:val="16"/>
                <w:szCs w:val="16"/>
              </w:rPr>
            </w:pPr>
            <w:r w:rsidRPr="005549F3">
              <w:rPr>
                <w:sz w:val="16"/>
                <w:szCs w:val="16"/>
              </w:rPr>
              <w:t>2025</w:t>
            </w:r>
          </w:p>
        </w:tc>
      </w:tr>
      <w:tr w:rsidTr="005549F3" w14:paraId="2BA01F07" w14:textId="77777777">
        <w:tblPrEx>
          <w:tblW w:w="8931" w:type="dxa"/>
          <w:tblLayout w:type="fixed"/>
          <w:tblLook w:val="04A0"/>
        </w:tblPrEx>
        <w:trPr>
          <w:trHeight w:val="195"/>
        </w:trPr>
        <w:tc>
          <w:tcPr>
            <w:tcW w:w="2689" w:type="dxa"/>
            <w:hideMark/>
          </w:tcPr>
          <w:p w:rsidRPr="005549F3" w:rsidR="00AF4210" w:rsidP="005C00F1" w14:paraId="5DD96626" w14:textId="77777777">
            <w:pPr>
              <w:rPr>
                <w:b w:val="0"/>
                <w:bCs w:val="0"/>
                <w:sz w:val="16"/>
                <w:szCs w:val="16"/>
              </w:rPr>
            </w:pPr>
            <w:r w:rsidRPr="005549F3">
              <w:rPr>
                <w:sz w:val="16"/>
                <w:szCs w:val="16"/>
              </w:rPr>
              <w:t>Subsidies (regelingen)</w:t>
            </w:r>
          </w:p>
        </w:tc>
        <w:tc>
          <w:tcPr>
            <w:tcW w:w="1219" w:type="dxa"/>
            <w:hideMark/>
          </w:tcPr>
          <w:p w:rsidRPr="005549F3" w:rsidR="00AF4210" w:rsidP="005C00F1" w14:paraId="7830B2F7" w14:textId="77777777">
            <w:pPr>
              <w:jc w:val="right"/>
              <w:rPr>
                <w:sz w:val="16"/>
                <w:szCs w:val="16"/>
              </w:rPr>
            </w:pPr>
            <w:r w:rsidRPr="005549F3">
              <w:rPr>
                <w:sz w:val="16"/>
                <w:szCs w:val="16"/>
              </w:rPr>
              <w:t>165.762</w:t>
            </w:r>
          </w:p>
        </w:tc>
        <w:tc>
          <w:tcPr>
            <w:tcW w:w="1219" w:type="dxa"/>
            <w:hideMark/>
          </w:tcPr>
          <w:p w:rsidRPr="005549F3" w:rsidR="00AF4210" w:rsidP="005C00F1" w14:paraId="7F4EB4E6" w14:textId="77777777">
            <w:pPr>
              <w:jc w:val="right"/>
              <w:rPr>
                <w:sz w:val="16"/>
                <w:szCs w:val="16"/>
              </w:rPr>
            </w:pPr>
            <w:r w:rsidRPr="005549F3">
              <w:rPr>
                <w:sz w:val="16"/>
                <w:szCs w:val="16"/>
              </w:rPr>
              <w:t>176.761</w:t>
            </w:r>
          </w:p>
        </w:tc>
        <w:tc>
          <w:tcPr>
            <w:tcW w:w="1252" w:type="dxa"/>
            <w:hideMark/>
          </w:tcPr>
          <w:p w:rsidRPr="005549F3" w:rsidR="00AF4210" w:rsidP="005C00F1" w14:paraId="097ECF79" w14:textId="77777777">
            <w:pPr>
              <w:jc w:val="right"/>
              <w:rPr>
                <w:sz w:val="16"/>
                <w:szCs w:val="16"/>
              </w:rPr>
            </w:pPr>
            <w:r w:rsidRPr="005549F3">
              <w:rPr>
                <w:sz w:val="16"/>
                <w:szCs w:val="16"/>
              </w:rPr>
              <w:t>357.212</w:t>
            </w:r>
          </w:p>
        </w:tc>
        <w:tc>
          <w:tcPr>
            <w:tcW w:w="1276" w:type="dxa"/>
            <w:hideMark/>
          </w:tcPr>
          <w:p w:rsidRPr="005549F3" w:rsidR="00AF4210" w:rsidP="005C00F1" w14:paraId="60EA086E" w14:textId="77777777">
            <w:pPr>
              <w:jc w:val="right"/>
              <w:rPr>
                <w:sz w:val="16"/>
                <w:szCs w:val="16"/>
              </w:rPr>
            </w:pPr>
            <w:r w:rsidRPr="005549F3">
              <w:rPr>
                <w:sz w:val="16"/>
                <w:szCs w:val="16"/>
              </w:rPr>
              <w:t>521.804</w:t>
            </w:r>
          </w:p>
        </w:tc>
        <w:tc>
          <w:tcPr>
            <w:tcW w:w="1276" w:type="dxa"/>
          </w:tcPr>
          <w:p w:rsidRPr="005549F3" w:rsidR="00AF4210" w:rsidP="005C00F1" w14:paraId="0D525C00" w14:textId="77777777">
            <w:pPr>
              <w:jc w:val="right"/>
              <w:rPr>
                <w:sz w:val="16"/>
                <w:szCs w:val="16"/>
              </w:rPr>
            </w:pPr>
            <w:r w:rsidRPr="005549F3">
              <w:rPr>
                <w:sz w:val="16"/>
                <w:szCs w:val="16"/>
              </w:rPr>
              <w:t>331.333</w:t>
            </w:r>
          </w:p>
        </w:tc>
      </w:tr>
      <w:tr w:rsidTr="005549F3" w14:paraId="5C6B5AE0" w14:textId="77777777">
        <w:tblPrEx>
          <w:tblW w:w="8931" w:type="dxa"/>
          <w:tblLayout w:type="fixed"/>
          <w:tblLook w:val="04A0"/>
        </w:tblPrEx>
        <w:trPr>
          <w:trHeight w:val="195"/>
        </w:trPr>
        <w:tc>
          <w:tcPr>
            <w:tcW w:w="2689" w:type="dxa"/>
            <w:hideMark/>
          </w:tcPr>
          <w:p w:rsidRPr="005549F3" w:rsidR="00AF4210" w:rsidP="005C00F1" w14:paraId="38D31DC5" w14:textId="77777777">
            <w:pPr>
              <w:rPr>
                <w:b w:val="0"/>
                <w:bCs w:val="0"/>
                <w:sz w:val="16"/>
                <w:szCs w:val="16"/>
              </w:rPr>
            </w:pPr>
            <w:r w:rsidRPr="005549F3">
              <w:rPr>
                <w:sz w:val="16"/>
                <w:szCs w:val="16"/>
              </w:rPr>
              <w:t>Opdrachten</w:t>
            </w:r>
          </w:p>
        </w:tc>
        <w:tc>
          <w:tcPr>
            <w:tcW w:w="1219" w:type="dxa"/>
            <w:hideMark/>
          </w:tcPr>
          <w:p w:rsidRPr="005549F3" w:rsidR="00AF4210" w:rsidP="005C00F1" w14:paraId="1629DA52" w14:textId="77777777">
            <w:pPr>
              <w:jc w:val="right"/>
              <w:rPr>
                <w:sz w:val="16"/>
                <w:szCs w:val="16"/>
              </w:rPr>
            </w:pPr>
            <w:r w:rsidRPr="005549F3">
              <w:rPr>
                <w:sz w:val="16"/>
                <w:szCs w:val="16"/>
              </w:rPr>
              <w:t>4.880</w:t>
            </w:r>
          </w:p>
        </w:tc>
        <w:tc>
          <w:tcPr>
            <w:tcW w:w="1219" w:type="dxa"/>
            <w:hideMark/>
          </w:tcPr>
          <w:p w:rsidRPr="005549F3" w:rsidR="00AF4210" w:rsidP="005C00F1" w14:paraId="5EA947C4" w14:textId="77777777">
            <w:pPr>
              <w:jc w:val="right"/>
              <w:rPr>
                <w:sz w:val="16"/>
                <w:szCs w:val="16"/>
              </w:rPr>
            </w:pPr>
            <w:r w:rsidRPr="005549F3">
              <w:rPr>
                <w:sz w:val="16"/>
                <w:szCs w:val="16"/>
              </w:rPr>
              <w:t>5.681</w:t>
            </w:r>
          </w:p>
        </w:tc>
        <w:tc>
          <w:tcPr>
            <w:tcW w:w="1252" w:type="dxa"/>
            <w:hideMark/>
          </w:tcPr>
          <w:p w:rsidRPr="005549F3" w:rsidR="00AF4210" w:rsidP="005C00F1" w14:paraId="1F330B16" w14:textId="77777777">
            <w:pPr>
              <w:jc w:val="right"/>
              <w:rPr>
                <w:sz w:val="16"/>
                <w:szCs w:val="16"/>
              </w:rPr>
            </w:pPr>
            <w:r w:rsidRPr="005549F3">
              <w:rPr>
                <w:sz w:val="16"/>
                <w:szCs w:val="16"/>
              </w:rPr>
              <w:t>2.950</w:t>
            </w:r>
          </w:p>
        </w:tc>
        <w:tc>
          <w:tcPr>
            <w:tcW w:w="1276" w:type="dxa"/>
            <w:hideMark/>
          </w:tcPr>
          <w:p w:rsidRPr="005549F3" w:rsidR="00AF4210" w:rsidP="005C00F1" w14:paraId="043D1F84" w14:textId="77777777">
            <w:pPr>
              <w:jc w:val="right"/>
              <w:rPr>
                <w:sz w:val="16"/>
                <w:szCs w:val="16"/>
              </w:rPr>
            </w:pPr>
            <w:r w:rsidRPr="005549F3">
              <w:rPr>
                <w:sz w:val="16"/>
                <w:szCs w:val="16"/>
              </w:rPr>
              <w:t>5.265</w:t>
            </w:r>
          </w:p>
        </w:tc>
        <w:tc>
          <w:tcPr>
            <w:tcW w:w="1276" w:type="dxa"/>
          </w:tcPr>
          <w:p w:rsidRPr="005549F3" w:rsidR="00AF4210" w:rsidP="005C00F1" w14:paraId="37EEBA3C" w14:textId="77777777">
            <w:pPr>
              <w:jc w:val="right"/>
              <w:rPr>
                <w:sz w:val="16"/>
                <w:szCs w:val="16"/>
              </w:rPr>
            </w:pPr>
            <w:r w:rsidRPr="005549F3">
              <w:rPr>
                <w:sz w:val="16"/>
                <w:szCs w:val="16"/>
              </w:rPr>
              <w:t>4.068</w:t>
            </w:r>
          </w:p>
        </w:tc>
      </w:tr>
      <w:tr w:rsidTr="005549F3" w14:paraId="3DCBF2CC" w14:textId="77777777">
        <w:tblPrEx>
          <w:tblW w:w="8931" w:type="dxa"/>
          <w:tblLayout w:type="fixed"/>
          <w:tblLook w:val="04A0"/>
        </w:tblPrEx>
        <w:trPr>
          <w:trHeight w:val="195"/>
        </w:trPr>
        <w:tc>
          <w:tcPr>
            <w:tcW w:w="2689" w:type="dxa"/>
            <w:hideMark/>
          </w:tcPr>
          <w:p w:rsidRPr="005549F3" w:rsidR="00AF4210" w:rsidP="005C00F1" w14:paraId="1D8A1D5E" w14:textId="77777777">
            <w:pPr>
              <w:rPr>
                <w:b w:val="0"/>
                <w:bCs w:val="0"/>
                <w:sz w:val="16"/>
                <w:szCs w:val="16"/>
              </w:rPr>
            </w:pPr>
            <w:r w:rsidRPr="005549F3">
              <w:rPr>
                <w:sz w:val="16"/>
                <w:szCs w:val="16"/>
              </w:rPr>
              <w:t>Bijdrage aan ZBO's/</w:t>
            </w:r>
            <w:r w:rsidRPr="005549F3">
              <w:rPr>
                <w:sz w:val="16"/>
                <w:szCs w:val="16"/>
              </w:rPr>
              <w:t>RWT's</w:t>
            </w:r>
          </w:p>
        </w:tc>
        <w:tc>
          <w:tcPr>
            <w:tcW w:w="1219" w:type="dxa"/>
            <w:hideMark/>
          </w:tcPr>
          <w:p w:rsidRPr="005549F3" w:rsidR="00AF4210" w:rsidP="005C00F1" w14:paraId="56955865" w14:textId="77777777">
            <w:pPr>
              <w:jc w:val="right"/>
              <w:rPr>
                <w:sz w:val="16"/>
                <w:szCs w:val="16"/>
              </w:rPr>
            </w:pPr>
            <w:r w:rsidRPr="005549F3">
              <w:rPr>
                <w:sz w:val="16"/>
                <w:szCs w:val="16"/>
              </w:rPr>
              <w:t>4.277</w:t>
            </w:r>
          </w:p>
        </w:tc>
        <w:tc>
          <w:tcPr>
            <w:tcW w:w="1219" w:type="dxa"/>
            <w:hideMark/>
          </w:tcPr>
          <w:p w:rsidRPr="005549F3" w:rsidR="00AF4210" w:rsidP="005C00F1" w14:paraId="3A6CEBD7" w14:textId="77777777">
            <w:pPr>
              <w:jc w:val="right"/>
              <w:rPr>
                <w:sz w:val="16"/>
                <w:szCs w:val="16"/>
              </w:rPr>
            </w:pPr>
            <w:r w:rsidRPr="005549F3">
              <w:rPr>
                <w:sz w:val="16"/>
                <w:szCs w:val="16"/>
              </w:rPr>
              <w:t>74</w:t>
            </w:r>
          </w:p>
        </w:tc>
        <w:tc>
          <w:tcPr>
            <w:tcW w:w="1252" w:type="dxa"/>
            <w:hideMark/>
          </w:tcPr>
          <w:p w:rsidRPr="005549F3" w:rsidR="00AF4210" w:rsidP="005C00F1" w14:paraId="7FA06614" w14:textId="77777777">
            <w:pPr>
              <w:jc w:val="right"/>
              <w:rPr>
                <w:sz w:val="16"/>
                <w:szCs w:val="16"/>
              </w:rPr>
            </w:pPr>
            <w:r w:rsidRPr="005549F3">
              <w:rPr>
                <w:sz w:val="16"/>
                <w:szCs w:val="16"/>
              </w:rPr>
              <w:t>1.967</w:t>
            </w:r>
          </w:p>
        </w:tc>
        <w:tc>
          <w:tcPr>
            <w:tcW w:w="1276" w:type="dxa"/>
            <w:hideMark/>
          </w:tcPr>
          <w:p w:rsidRPr="005549F3" w:rsidR="00AF4210" w:rsidP="005C00F1" w14:paraId="4778F857" w14:textId="77777777">
            <w:pPr>
              <w:jc w:val="right"/>
              <w:rPr>
                <w:sz w:val="16"/>
                <w:szCs w:val="16"/>
              </w:rPr>
            </w:pPr>
            <w:r w:rsidRPr="005549F3">
              <w:rPr>
                <w:sz w:val="16"/>
                <w:szCs w:val="16"/>
              </w:rPr>
              <w:t>736</w:t>
            </w:r>
          </w:p>
        </w:tc>
        <w:tc>
          <w:tcPr>
            <w:tcW w:w="1276" w:type="dxa"/>
          </w:tcPr>
          <w:p w:rsidRPr="005549F3" w:rsidR="00AF4210" w:rsidP="005C00F1" w14:paraId="06DBEAD0" w14:textId="77777777">
            <w:pPr>
              <w:jc w:val="right"/>
              <w:rPr>
                <w:sz w:val="16"/>
                <w:szCs w:val="16"/>
              </w:rPr>
            </w:pPr>
            <w:r w:rsidRPr="005549F3">
              <w:rPr>
                <w:sz w:val="16"/>
                <w:szCs w:val="16"/>
              </w:rPr>
              <w:t>226</w:t>
            </w:r>
          </w:p>
        </w:tc>
      </w:tr>
      <w:tr w:rsidTr="005549F3" w14:paraId="729ED000" w14:textId="77777777">
        <w:tblPrEx>
          <w:tblW w:w="8931" w:type="dxa"/>
          <w:tblLayout w:type="fixed"/>
          <w:tblLook w:val="04A0"/>
        </w:tblPrEx>
        <w:trPr>
          <w:trHeight w:val="195"/>
        </w:trPr>
        <w:tc>
          <w:tcPr>
            <w:tcW w:w="2689" w:type="dxa"/>
            <w:hideMark/>
          </w:tcPr>
          <w:p w:rsidRPr="005549F3" w:rsidR="00AF4210" w:rsidP="005C00F1" w14:paraId="542E4FA7" w14:textId="77777777">
            <w:pPr>
              <w:rPr>
                <w:b w:val="0"/>
                <w:bCs w:val="0"/>
                <w:sz w:val="16"/>
                <w:szCs w:val="16"/>
              </w:rPr>
            </w:pPr>
            <w:r w:rsidRPr="005549F3">
              <w:rPr>
                <w:sz w:val="16"/>
                <w:szCs w:val="16"/>
              </w:rPr>
              <w:t>Bijdrage aan medeoverheden</w:t>
            </w:r>
          </w:p>
        </w:tc>
        <w:tc>
          <w:tcPr>
            <w:tcW w:w="1219" w:type="dxa"/>
            <w:hideMark/>
          </w:tcPr>
          <w:p w:rsidRPr="005549F3" w:rsidR="00AF4210" w:rsidP="005C00F1" w14:paraId="0FB2A7D1" w14:textId="77777777">
            <w:pPr>
              <w:jc w:val="right"/>
              <w:rPr>
                <w:sz w:val="16"/>
                <w:szCs w:val="16"/>
              </w:rPr>
            </w:pPr>
            <w:r w:rsidRPr="005549F3">
              <w:rPr>
                <w:sz w:val="16"/>
                <w:szCs w:val="16"/>
              </w:rPr>
              <w:t>291.349</w:t>
            </w:r>
          </w:p>
        </w:tc>
        <w:tc>
          <w:tcPr>
            <w:tcW w:w="1219" w:type="dxa"/>
            <w:hideMark/>
          </w:tcPr>
          <w:p w:rsidRPr="005549F3" w:rsidR="00AF4210" w:rsidP="005C00F1" w14:paraId="53DCB0DA" w14:textId="77777777">
            <w:pPr>
              <w:jc w:val="right"/>
              <w:rPr>
                <w:sz w:val="16"/>
                <w:szCs w:val="16"/>
              </w:rPr>
            </w:pPr>
            <w:r w:rsidRPr="005549F3">
              <w:rPr>
                <w:sz w:val="16"/>
                <w:szCs w:val="16"/>
              </w:rPr>
              <w:t>511.258</w:t>
            </w:r>
          </w:p>
        </w:tc>
        <w:tc>
          <w:tcPr>
            <w:tcW w:w="1252" w:type="dxa"/>
            <w:hideMark/>
          </w:tcPr>
          <w:p w:rsidRPr="005549F3" w:rsidR="00AF4210" w:rsidP="005C00F1" w14:paraId="54797050" w14:textId="77777777">
            <w:pPr>
              <w:jc w:val="right"/>
              <w:rPr>
                <w:sz w:val="16"/>
                <w:szCs w:val="16"/>
              </w:rPr>
            </w:pPr>
            <w:r w:rsidRPr="005549F3">
              <w:rPr>
                <w:sz w:val="16"/>
                <w:szCs w:val="16"/>
              </w:rPr>
              <w:t>608.024</w:t>
            </w:r>
          </w:p>
        </w:tc>
        <w:tc>
          <w:tcPr>
            <w:tcW w:w="1276" w:type="dxa"/>
            <w:hideMark/>
          </w:tcPr>
          <w:p w:rsidRPr="005549F3" w:rsidR="00AF4210" w:rsidP="005C00F1" w14:paraId="51D69417" w14:textId="77777777">
            <w:pPr>
              <w:jc w:val="right"/>
              <w:rPr>
                <w:sz w:val="16"/>
                <w:szCs w:val="16"/>
              </w:rPr>
            </w:pPr>
            <w:r w:rsidRPr="005549F3">
              <w:rPr>
                <w:sz w:val="16"/>
                <w:szCs w:val="16"/>
              </w:rPr>
              <w:t>845.837</w:t>
            </w:r>
          </w:p>
        </w:tc>
        <w:tc>
          <w:tcPr>
            <w:tcW w:w="1276" w:type="dxa"/>
          </w:tcPr>
          <w:p w:rsidRPr="005549F3" w:rsidR="00AF4210" w:rsidP="005C00F1" w14:paraId="2FFC06D4" w14:textId="77777777">
            <w:pPr>
              <w:jc w:val="right"/>
              <w:rPr>
                <w:sz w:val="16"/>
                <w:szCs w:val="16"/>
              </w:rPr>
            </w:pPr>
            <w:r w:rsidRPr="005549F3">
              <w:rPr>
                <w:sz w:val="16"/>
                <w:szCs w:val="16"/>
              </w:rPr>
              <w:t>623.336</w:t>
            </w:r>
          </w:p>
        </w:tc>
      </w:tr>
      <w:tr w:rsidTr="005549F3" w14:paraId="1340EF25" w14:textId="77777777">
        <w:tblPrEx>
          <w:tblW w:w="8931" w:type="dxa"/>
          <w:tblLayout w:type="fixed"/>
          <w:tblLook w:val="04A0"/>
        </w:tblPrEx>
        <w:trPr>
          <w:trHeight w:val="195"/>
        </w:trPr>
        <w:tc>
          <w:tcPr>
            <w:tcW w:w="2689" w:type="dxa"/>
            <w:hideMark/>
          </w:tcPr>
          <w:p w:rsidRPr="005549F3" w:rsidR="00AF4210" w:rsidP="005C00F1" w14:paraId="519E79CC" w14:textId="77777777">
            <w:pPr>
              <w:rPr>
                <w:b w:val="0"/>
                <w:bCs w:val="0"/>
                <w:sz w:val="16"/>
                <w:szCs w:val="16"/>
              </w:rPr>
            </w:pPr>
            <w:r w:rsidRPr="005549F3">
              <w:rPr>
                <w:sz w:val="16"/>
                <w:szCs w:val="16"/>
              </w:rPr>
              <w:t>Bijdrage aan agentschappen</w:t>
            </w:r>
          </w:p>
        </w:tc>
        <w:tc>
          <w:tcPr>
            <w:tcW w:w="1219" w:type="dxa"/>
            <w:hideMark/>
          </w:tcPr>
          <w:p w:rsidRPr="005549F3" w:rsidR="00AF4210" w:rsidP="005C00F1" w14:paraId="47B3733B" w14:textId="77777777">
            <w:pPr>
              <w:jc w:val="right"/>
              <w:rPr>
                <w:sz w:val="16"/>
                <w:szCs w:val="16"/>
              </w:rPr>
            </w:pPr>
            <w:r w:rsidRPr="005549F3">
              <w:rPr>
                <w:sz w:val="16"/>
                <w:szCs w:val="16"/>
              </w:rPr>
              <w:t>31.873</w:t>
            </w:r>
          </w:p>
        </w:tc>
        <w:tc>
          <w:tcPr>
            <w:tcW w:w="1219" w:type="dxa"/>
            <w:hideMark/>
          </w:tcPr>
          <w:p w:rsidRPr="005549F3" w:rsidR="00AF4210" w:rsidP="005C00F1" w14:paraId="4A587C65" w14:textId="77777777">
            <w:pPr>
              <w:jc w:val="right"/>
              <w:rPr>
                <w:sz w:val="16"/>
                <w:szCs w:val="16"/>
              </w:rPr>
            </w:pPr>
            <w:r w:rsidRPr="005549F3">
              <w:rPr>
                <w:sz w:val="16"/>
                <w:szCs w:val="16"/>
              </w:rPr>
              <w:t>40.683</w:t>
            </w:r>
          </w:p>
        </w:tc>
        <w:tc>
          <w:tcPr>
            <w:tcW w:w="1252" w:type="dxa"/>
            <w:hideMark/>
          </w:tcPr>
          <w:p w:rsidRPr="005549F3" w:rsidR="00AF4210" w:rsidP="005C00F1" w14:paraId="3FA8FFFD" w14:textId="77777777">
            <w:pPr>
              <w:jc w:val="right"/>
              <w:rPr>
                <w:sz w:val="16"/>
                <w:szCs w:val="16"/>
              </w:rPr>
            </w:pPr>
            <w:r w:rsidRPr="005549F3">
              <w:rPr>
                <w:sz w:val="16"/>
                <w:szCs w:val="16"/>
              </w:rPr>
              <w:t>33.609</w:t>
            </w:r>
          </w:p>
        </w:tc>
        <w:tc>
          <w:tcPr>
            <w:tcW w:w="1276" w:type="dxa"/>
            <w:hideMark/>
          </w:tcPr>
          <w:p w:rsidRPr="005549F3" w:rsidR="00AF4210" w:rsidP="005C00F1" w14:paraId="517169D2" w14:textId="77777777">
            <w:pPr>
              <w:jc w:val="right"/>
              <w:rPr>
                <w:sz w:val="16"/>
                <w:szCs w:val="16"/>
              </w:rPr>
            </w:pPr>
            <w:r w:rsidRPr="005549F3">
              <w:rPr>
                <w:sz w:val="16"/>
                <w:szCs w:val="16"/>
              </w:rPr>
              <w:t>53.555</w:t>
            </w:r>
          </w:p>
        </w:tc>
        <w:tc>
          <w:tcPr>
            <w:tcW w:w="1276" w:type="dxa"/>
          </w:tcPr>
          <w:p w:rsidRPr="005549F3" w:rsidR="00AF4210" w:rsidP="005C00F1" w14:paraId="06F58020" w14:textId="77777777">
            <w:pPr>
              <w:jc w:val="right"/>
              <w:rPr>
                <w:sz w:val="16"/>
                <w:szCs w:val="16"/>
              </w:rPr>
            </w:pPr>
            <w:r w:rsidRPr="005549F3">
              <w:rPr>
                <w:sz w:val="16"/>
                <w:szCs w:val="16"/>
              </w:rPr>
              <w:t>62.471</w:t>
            </w:r>
          </w:p>
        </w:tc>
      </w:tr>
      <w:tr w:rsidTr="005549F3" w14:paraId="3FF33FEB" w14:textId="77777777">
        <w:tblPrEx>
          <w:tblW w:w="8931" w:type="dxa"/>
          <w:tblLayout w:type="fixed"/>
          <w:tblLook w:val="04A0"/>
        </w:tblPrEx>
        <w:trPr>
          <w:trHeight w:val="195"/>
        </w:trPr>
        <w:tc>
          <w:tcPr>
            <w:tcW w:w="2689" w:type="dxa"/>
          </w:tcPr>
          <w:p w:rsidRPr="005549F3" w:rsidR="00AF4210" w:rsidP="005C00F1" w14:paraId="3D2315AA" w14:textId="77777777">
            <w:pPr>
              <w:rPr>
                <w:b w:val="0"/>
                <w:bCs w:val="0"/>
                <w:sz w:val="16"/>
                <w:szCs w:val="16"/>
              </w:rPr>
            </w:pPr>
            <w:r w:rsidRPr="005549F3">
              <w:rPr>
                <w:sz w:val="16"/>
                <w:szCs w:val="16"/>
              </w:rPr>
              <w:t>Totaal</w:t>
            </w:r>
          </w:p>
        </w:tc>
        <w:tc>
          <w:tcPr>
            <w:tcW w:w="1219" w:type="dxa"/>
          </w:tcPr>
          <w:p w:rsidRPr="005549F3" w:rsidR="00AF4210" w:rsidP="005C00F1" w14:paraId="0602EF95" w14:textId="77777777">
            <w:pPr>
              <w:jc w:val="right"/>
              <w:rPr>
                <w:b/>
                <w:bCs/>
                <w:sz w:val="16"/>
                <w:szCs w:val="16"/>
              </w:rPr>
            </w:pPr>
            <w:r w:rsidRPr="005549F3">
              <w:rPr>
                <w:b/>
                <w:bCs/>
                <w:sz w:val="16"/>
                <w:szCs w:val="16"/>
              </w:rPr>
              <w:t>498.141</w:t>
            </w:r>
          </w:p>
        </w:tc>
        <w:tc>
          <w:tcPr>
            <w:tcW w:w="1219" w:type="dxa"/>
          </w:tcPr>
          <w:p w:rsidRPr="005549F3" w:rsidR="00AF4210" w:rsidP="005C00F1" w14:paraId="39ADCBEB" w14:textId="77777777">
            <w:pPr>
              <w:jc w:val="right"/>
              <w:rPr>
                <w:b/>
                <w:bCs/>
                <w:sz w:val="16"/>
                <w:szCs w:val="16"/>
              </w:rPr>
            </w:pPr>
            <w:r w:rsidRPr="005549F3">
              <w:rPr>
                <w:b/>
                <w:bCs/>
                <w:sz w:val="16"/>
                <w:szCs w:val="16"/>
              </w:rPr>
              <w:t>734.457</w:t>
            </w:r>
          </w:p>
        </w:tc>
        <w:tc>
          <w:tcPr>
            <w:tcW w:w="1252" w:type="dxa"/>
          </w:tcPr>
          <w:p w:rsidRPr="005549F3" w:rsidR="00AF4210" w:rsidP="005C00F1" w14:paraId="5B74D754" w14:textId="77777777">
            <w:pPr>
              <w:jc w:val="right"/>
              <w:rPr>
                <w:b/>
                <w:bCs/>
                <w:sz w:val="16"/>
                <w:szCs w:val="16"/>
              </w:rPr>
            </w:pPr>
            <w:r w:rsidRPr="005549F3">
              <w:rPr>
                <w:b/>
                <w:bCs/>
                <w:sz w:val="16"/>
                <w:szCs w:val="16"/>
              </w:rPr>
              <w:t>1.003.762</w:t>
            </w:r>
          </w:p>
        </w:tc>
        <w:tc>
          <w:tcPr>
            <w:tcW w:w="1276" w:type="dxa"/>
          </w:tcPr>
          <w:p w:rsidRPr="005549F3" w:rsidR="00AF4210" w:rsidP="005C00F1" w14:paraId="2C758D01" w14:textId="77777777">
            <w:pPr>
              <w:jc w:val="right"/>
              <w:rPr>
                <w:b/>
                <w:bCs/>
                <w:sz w:val="16"/>
                <w:szCs w:val="16"/>
              </w:rPr>
            </w:pPr>
            <w:r w:rsidRPr="005549F3">
              <w:rPr>
                <w:b/>
                <w:bCs/>
                <w:sz w:val="16"/>
                <w:szCs w:val="16"/>
              </w:rPr>
              <w:t>1.427.197</w:t>
            </w:r>
          </w:p>
        </w:tc>
        <w:tc>
          <w:tcPr>
            <w:tcW w:w="1276" w:type="dxa"/>
          </w:tcPr>
          <w:p w:rsidRPr="005549F3" w:rsidR="00AF4210" w:rsidP="005C00F1" w14:paraId="34AF30E3" w14:textId="77777777">
            <w:pPr>
              <w:jc w:val="right"/>
              <w:rPr>
                <w:b/>
                <w:bCs/>
                <w:sz w:val="16"/>
                <w:szCs w:val="16"/>
              </w:rPr>
            </w:pPr>
            <w:r w:rsidRPr="005549F3">
              <w:rPr>
                <w:b/>
                <w:bCs/>
                <w:sz w:val="16"/>
                <w:szCs w:val="16"/>
              </w:rPr>
              <w:t>1.444.687</w:t>
            </w:r>
          </w:p>
        </w:tc>
      </w:tr>
    </w:tbl>
    <w:p w:rsidRPr="005549F3" w:rsidR="00AF4210" w:rsidP="00AF4210" w14:paraId="71E7F0D6" w14:textId="77777777"/>
    <w:p w:rsidRPr="005549F3" w:rsidR="00AF4210" w:rsidP="00AF4210" w14:paraId="6A0F331B" w14:textId="77777777">
      <w:pPr>
        <w:pStyle w:val="Stijl1"/>
        <w:rPr>
          <w:b/>
          <w:bCs w:val="0"/>
        </w:rPr>
      </w:pPr>
      <w:r w:rsidRPr="005549F3">
        <w:rPr>
          <w:b/>
          <w:bCs w:val="0"/>
        </w:rPr>
        <w:t>Bestaand evaluatiemateriaal en witte vlekken</w:t>
      </w:r>
    </w:p>
    <w:p w:rsidRPr="005549F3" w:rsidR="00AF4210" w:rsidP="00AF4210" w14:paraId="64288C44" w14:textId="77777777">
      <w:r w:rsidRPr="005549F3">
        <w:t>Het synthese-onderzoek kan gebruik maken van het bestaande</w:t>
      </w:r>
      <w:r w:rsidR="00BF6C9F">
        <w:t xml:space="preserve"> </w:t>
      </w:r>
      <w:r w:rsidRPr="005549F3">
        <w:t>evaluatie</w:t>
      </w:r>
      <w:r w:rsidR="00BF6C9F">
        <w:softHyphen/>
      </w:r>
      <w:r w:rsidRPr="005549F3">
        <w:t xml:space="preserve">materiaal. Voor een overzicht van de bestaande en reeds geplande evaluaties zie tabel 2. </w:t>
      </w:r>
    </w:p>
    <w:p w:rsidRPr="005549F3" w:rsidR="00AF4210" w:rsidP="00AF4210" w14:paraId="0299F768" w14:textId="77777777"/>
    <w:p w:rsidRPr="00BF6C9F" w:rsidR="00AF4210" w:rsidP="00BF6C9F" w14:paraId="67B4F711" w14:textId="77777777">
      <w:pPr>
        <w:spacing w:line="240" w:lineRule="auto"/>
        <w:ind w:right="-1106"/>
      </w:pPr>
      <w:r w:rsidRPr="005549F3">
        <w:rPr>
          <w:b/>
          <w:bCs/>
          <w:i/>
          <w:iCs/>
        </w:rPr>
        <w:t xml:space="preserve">Tabel 2 </w:t>
      </w:r>
      <w:r w:rsidRPr="00BF6C9F">
        <w:t xml:space="preserve">Overzicht uitgevoerde en geplande evaluaties </w:t>
      </w:r>
      <w:r w:rsidR="00006678">
        <w:t>&amp;</w:t>
      </w:r>
      <w:r w:rsidRPr="00BF6C9F">
        <w:t xml:space="preserve"> monitors </w:t>
      </w:r>
      <w:r w:rsidR="00006678">
        <w:t xml:space="preserve">op </w:t>
      </w:r>
      <w:r w:rsidRPr="00BF6C9F">
        <w:t>artikel 2.1</w:t>
      </w:r>
      <w:r w:rsidR="00006678">
        <w:t xml:space="preserve"> VRO</w:t>
      </w:r>
    </w:p>
    <w:p w:rsidRPr="00BF6C9F" w:rsidR="00AF4210" w:rsidP="00AF4210" w14:paraId="2477406A" w14:textId="77777777">
      <w:pPr>
        <w:rPr>
          <w:b/>
          <w:bCs/>
        </w:rPr>
      </w:pPr>
    </w:p>
    <w:tbl>
      <w:tblPr>
        <w:tblStyle w:val="GridTable1Light"/>
        <w:tblW w:w="7650" w:type="dxa"/>
        <w:tblLook w:val="04A0"/>
      </w:tblPr>
      <w:tblGrid>
        <w:gridCol w:w="5098"/>
        <w:gridCol w:w="1276"/>
        <w:gridCol w:w="1276"/>
      </w:tblGrid>
      <w:tr w:rsidTr="00BF6C9F" w14:paraId="24238CD3" w14:textId="77777777">
        <w:tblPrEx>
          <w:tblW w:w="7650" w:type="dxa"/>
          <w:tblLook w:val="04A0"/>
        </w:tblPrEx>
        <w:trPr>
          <w:trHeight w:val="288"/>
        </w:trPr>
        <w:tc>
          <w:tcPr>
            <w:tcW w:w="5098" w:type="dxa"/>
            <w:noWrap/>
          </w:tcPr>
          <w:p w:rsidRPr="005549F3" w:rsidR="00AF4210" w:rsidP="005C00F1" w14:paraId="0DEEE8F2" w14:textId="77777777">
            <w:pPr>
              <w:rPr>
                <w:b w:val="0"/>
                <w:bCs w:val="0"/>
                <w:sz w:val="16"/>
                <w:szCs w:val="16"/>
              </w:rPr>
            </w:pPr>
            <w:r>
              <w:rPr>
                <w:sz w:val="16"/>
                <w:szCs w:val="16"/>
              </w:rPr>
              <w:t>Onderzoeken</w:t>
            </w:r>
            <w:r w:rsidRPr="005549F3">
              <w:rPr>
                <w:sz w:val="16"/>
                <w:szCs w:val="16"/>
              </w:rPr>
              <w:t xml:space="preserve"> in Strategische Evaluatie Agenda per begrotingsjaar</w:t>
            </w:r>
          </w:p>
        </w:tc>
        <w:tc>
          <w:tcPr>
            <w:tcW w:w="1276" w:type="dxa"/>
            <w:noWrap/>
          </w:tcPr>
          <w:p w:rsidRPr="005549F3" w:rsidR="00AF4210" w:rsidP="005C00F1" w14:paraId="216B3580" w14:textId="77777777">
            <w:pPr>
              <w:rPr>
                <w:b w:val="0"/>
                <w:bCs w:val="0"/>
                <w:sz w:val="16"/>
                <w:szCs w:val="16"/>
              </w:rPr>
            </w:pPr>
            <w:r w:rsidRPr="005549F3">
              <w:rPr>
                <w:sz w:val="16"/>
                <w:szCs w:val="16"/>
              </w:rPr>
              <w:t>Soort evaluatie</w:t>
            </w:r>
          </w:p>
        </w:tc>
        <w:tc>
          <w:tcPr>
            <w:tcW w:w="1276" w:type="dxa"/>
            <w:noWrap/>
          </w:tcPr>
          <w:p w:rsidRPr="005549F3" w:rsidR="00AF4210" w:rsidP="005C00F1" w14:paraId="28F04213" w14:textId="77777777">
            <w:pPr>
              <w:rPr>
                <w:b w:val="0"/>
                <w:bCs w:val="0"/>
                <w:sz w:val="16"/>
                <w:szCs w:val="16"/>
              </w:rPr>
            </w:pPr>
            <w:r w:rsidRPr="005549F3">
              <w:rPr>
                <w:sz w:val="16"/>
                <w:szCs w:val="16"/>
              </w:rPr>
              <w:t>Jaar van publicatie/ start onderzoek</w:t>
            </w:r>
          </w:p>
        </w:tc>
      </w:tr>
      <w:tr w:rsidTr="00BF6C9F" w14:paraId="3B0E7BA0" w14:textId="77777777">
        <w:tblPrEx>
          <w:tblW w:w="7650" w:type="dxa"/>
          <w:tblLook w:val="04A0"/>
        </w:tblPrEx>
        <w:trPr>
          <w:trHeight w:val="288"/>
        </w:trPr>
        <w:tc>
          <w:tcPr>
            <w:tcW w:w="5098" w:type="dxa"/>
            <w:noWrap/>
            <w:hideMark/>
          </w:tcPr>
          <w:p w:rsidRPr="005549F3" w:rsidR="00AF4210" w:rsidP="005C00F1" w14:paraId="02DE3DCB" w14:textId="77777777">
            <w:pPr>
              <w:rPr>
                <w:b w:val="0"/>
                <w:bCs w:val="0"/>
                <w:sz w:val="16"/>
                <w:szCs w:val="16"/>
              </w:rPr>
            </w:pPr>
            <w:r w:rsidRPr="005549F3">
              <w:rPr>
                <w:sz w:val="16"/>
                <w:szCs w:val="16"/>
              </w:rPr>
              <w:t>2025</w:t>
            </w:r>
          </w:p>
        </w:tc>
        <w:tc>
          <w:tcPr>
            <w:tcW w:w="1276" w:type="dxa"/>
            <w:noWrap/>
            <w:hideMark/>
          </w:tcPr>
          <w:p w:rsidRPr="005549F3" w:rsidR="00AF4210" w:rsidP="005C00F1" w14:paraId="22F53EA2" w14:textId="77777777">
            <w:pPr>
              <w:rPr>
                <w:b/>
                <w:bCs/>
                <w:sz w:val="16"/>
                <w:szCs w:val="16"/>
              </w:rPr>
            </w:pPr>
          </w:p>
        </w:tc>
        <w:tc>
          <w:tcPr>
            <w:tcW w:w="1276" w:type="dxa"/>
            <w:noWrap/>
            <w:hideMark/>
          </w:tcPr>
          <w:p w:rsidRPr="005549F3" w:rsidR="00AF4210" w:rsidP="005C00F1" w14:paraId="357094F0" w14:textId="77777777">
            <w:pPr>
              <w:rPr>
                <w:sz w:val="16"/>
                <w:szCs w:val="16"/>
              </w:rPr>
            </w:pPr>
          </w:p>
        </w:tc>
      </w:tr>
      <w:tr w:rsidTr="00BF6C9F" w14:paraId="3A949853" w14:textId="77777777">
        <w:tblPrEx>
          <w:tblW w:w="7650" w:type="dxa"/>
          <w:tblLook w:val="04A0"/>
        </w:tblPrEx>
        <w:trPr>
          <w:trHeight w:val="288"/>
        </w:trPr>
        <w:tc>
          <w:tcPr>
            <w:tcW w:w="5098" w:type="dxa"/>
            <w:noWrap/>
          </w:tcPr>
          <w:p w:rsidRPr="005549F3" w:rsidR="00AF4210" w:rsidP="005C00F1" w14:paraId="35A98B0F" w14:textId="77777777">
            <w:pPr>
              <w:rPr>
                <w:sz w:val="16"/>
                <w:szCs w:val="16"/>
              </w:rPr>
            </w:pPr>
            <w:r w:rsidRPr="005549F3">
              <w:rPr>
                <w:sz w:val="16"/>
                <w:szCs w:val="16"/>
              </w:rPr>
              <w:t>Evaluatie SPUK Aanpak Energiearmoede</w:t>
            </w:r>
          </w:p>
        </w:tc>
        <w:tc>
          <w:tcPr>
            <w:tcW w:w="1276" w:type="dxa"/>
            <w:noWrap/>
          </w:tcPr>
          <w:p w:rsidRPr="005549F3" w:rsidR="00AF4210" w:rsidP="005C00F1" w14:paraId="4448816F" w14:textId="77777777">
            <w:pPr>
              <w:rPr>
                <w:sz w:val="16"/>
                <w:szCs w:val="16"/>
              </w:rPr>
            </w:pPr>
            <w:r w:rsidRPr="005549F3">
              <w:rPr>
                <w:sz w:val="16"/>
                <w:szCs w:val="16"/>
              </w:rPr>
              <w:t>Ex post</w:t>
            </w:r>
          </w:p>
        </w:tc>
        <w:tc>
          <w:tcPr>
            <w:tcW w:w="1276" w:type="dxa"/>
            <w:noWrap/>
          </w:tcPr>
          <w:p w:rsidRPr="005549F3" w:rsidR="00AF4210" w:rsidP="005C00F1" w14:paraId="2C9A6800" w14:textId="77777777">
            <w:pPr>
              <w:rPr>
                <w:sz w:val="16"/>
                <w:szCs w:val="16"/>
              </w:rPr>
            </w:pPr>
            <w:r w:rsidRPr="005549F3">
              <w:rPr>
                <w:sz w:val="16"/>
                <w:szCs w:val="16"/>
              </w:rPr>
              <w:t>2026 (start)</w:t>
            </w:r>
          </w:p>
        </w:tc>
      </w:tr>
      <w:tr w:rsidTr="00BF6C9F" w14:paraId="4564D81B" w14:textId="77777777">
        <w:tblPrEx>
          <w:tblW w:w="7650" w:type="dxa"/>
          <w:tblLook w:val="04A0"/>
        </w:tblPrEx>
        <w:trPr>
          <w:trHeight w:val="288"/>
        </w:trPr>
        <w:tc>
          <w:tcPr>
            <w:tcW w:w="5098" w:type="dxa"/>
            <w:noWrap/>
            <w:hideMark/>
          </w:tcPr>
          <w:p w:rsidRPr="005549F3" w:rsidR="00AF4210" w:rsidP="005C00F1" w14:paraId="71A47733" w14:textId="77777777">
            <w:pPr>
              <w:rPr>
                <w:sz w:val="16"/>
                <w:szCs w:val="16"/>
              </w:rPr>
            </w:pPr>
            <w:r>
              <w:rPr>
                <w:sz w:val="16"/>
                <w:szCs w:val="16"/>
              </w:rPr>
              <w:t>E</w:t>
            </w:r>
            <w:r w:rsidRPr="005549F3">
              <w:rPr>
                <w:sz w:val="16"/>
                <w:szCs w:val="16"/>
              </w:rPr>
              <w:t>valuatie tranche subsidieregeling DUMAVA</w:t>
            </w:r>
          </w:p>
        </w:tc>
        <w:tc>
          <w:tcPr>
            <w:tcW w:w="1276" w:type="dxa"/>
            <w:noWrap/>
            <w:hideMark/>
          </w:tcPr>
          <w:p w:rsidRPr="005549F3" w:rsidR="00AF4210" w:rsidP="005C00F1" w14:paraId="4D7DD191" w14:textId="77777777">
            <w:pPr>
              <w:rPr>
                <w:sz w:val="16"/>
                <w:szCs w:val="16"/>
              </w:rPr>
            </w:pPr>
            <w:r w:rsidRPr="005549F3">
              <w:rPr>
                <w:sz w:val="16"/>
                <w:szCs w:val="16"/>
              </w:rPr>
              <w:t xml:space="preserve">Ex </w:t>
            </w:r>
            <w:r w:rsidRPr="005549F3">
              <w:rPr>
                <w:sz w:val="16"/>
                <w:szCs w:val="16"/>
              </w:rPr>
              <w:t>durante</w:t>
            </w:r>
          </w:p>
        </w:tc>
        <w:tc>
          <w:tcPr>
            <w:tcW w:w="1276" w:type="dxa"/>
            <w:noWrap/>
            <w:hideMark/>
          </w:tcPr>
          <w:p w:rsidRPr="005549F3" w:rsidR="00AF4210" w:rsidP="005C00F1" w14:paraId="6EDD9332" w14:textId="77777777">
            <w:pPr>
              <w:rPr>
                <w:sz w:val="16"/>
                <w:szCs w:val="16"/>
              </w:rPr>
            </w:pPr>
            <w:r w:rsidRPr="005549F3">
              <w:rPr>
                <w:sz w:val="16"/>
                <w:szCs w:val="16"/>
              </w:rPr>
              <w:t>Jaarlijks</w:t>
            </w:r>
          </w:p>
        </w:tc>
      </w:tr>
      <w:tr w:rsidTr="00BF6C9F" w14:paraId="7C201A88" w14:textId="77777777">
        <w:tblPrEx>
          <w:tblW w:w="7650" w:type="dxa"/>
          <w:tblLook w:val="04A0"/>
        </w:tblPrEx>
        <w:trPr>
          <w:trHeight w:val="288"/>
        </w:trPr>
        <w:tc>
          <w:tcPr>
            <w:tcW w:w="5098" w:type="dxa"/>
            <w:noWrap/>
            <w:hideMark/>
          </w:tcPr>
          <w:p w:rsidRPr="005549F3" w:rsidR="00AF4210" w:rsidP="005C00F1" w14:paraId="48C34FDC" w14:textId="77777777">
            <w:pPr>
              <w:rPr>
                <w:sz w:val="16"/>
                <w:szCs w:val="16"/>
              </w:rPr>
            </w:pPr>
            <w:r w:rsidRPr="005549F3">
              <w:rPr>
                <w:sz w:val="16"/>
                <w:szCs w:val="16"/>
              </w:rPr>
              <w:t>Evaluatie subsidieregeling SEEH</w:t>
            </w:r>
          </w:p>
        </w:tc>
        <w:tc>
          <w:tcPr>
            <w:tcW w:w="1276" w:type="dxa"/>
            <w:noWrap/>
            <w:hideMark/>
          </w:tcPr>
          <w:p w:rsidRPr="005549F3" w:rsidR="00AF4210" w:rsidP="005C00F1" w14:paraId="07DB92C7" w14:textId="77777777">
            <w:pPr>
              <w:rPr>
                <w:sz w:val="16"/>
                <w:szCs w:val="16"/>
              </w:rPr>
            </w:pPr>
            <w:r w:rsidRPr="005549F3">
              <w:rPr>
                <w:sz w:val="16"/>
                <w:szCs w:val="16"/>
              </w:rPr>
              <w:t>Ex post</w:t>
            </w:r>
          </w:p>
        </w:tc>
        <w:tc>
          <w:tcPr>
            <w:tcW w:w="1276" w:type="dxa"/>
            <w:noWrap/>
            <w:hideMark/>
          </w:tcPr>
          <w:p w:rsidRPr="005549F3" w:rsidR="00AF4210" w:rsidP="005C00F1" w14:paraId="0D9A8655" w14:textId="77777777">
            <w:pPr>
              <w:rPr>
                <w:sz w:val="16"/>
                <w:szCs w:val="16"/>
              </w:rPr>
            </w:pPr>
            <w:r w:rsidRPr="005549F3">
              <w:rPr>
                <w:sz w:val="16"/>
                <w:szCs w:val="16"/>
              </w:rPr>
              <w:t>2026</w:t>
            </w:r>
          </w:p>
        </w:tc>
      </w:tr>
      <w:tr w:rsidTr="00BF6C9F" w14:paraId="7FE21601" w14:textId="77777777">
        <w:tblPrEx>
          <w:tblW w:w="7650" w:type="dxa"/>
          <w:tblLook w:val="04A0"/>
        </w:tblPrEx>
        <w:trPr>
          <w:trHeight w:val="288"/>
        </w:trPr>
        <w:tc>
          <w:tcPr>
            <w:tcW w:w="5098" w:type="dxa"/>
            <w:noWrap/>
            <w:hideMark/>
          </w:tcPr>
          <w:p w:rsidRPr="005549F3" w:rsidR="00AF4210" w:rsidP="005C00F1" w14:paraId="76A6C153" w14:textId="77777777">
            <w:pPr>
              <w:rPr>
                <w:sz w:val="16"/>
                <w:szCs w:val="16"/>
              </w:rPr>
            </w:pPr>
            <w:r w:rsidRPr="005549F3">
              <w:rPr>
                <w:sz w:val="16"/>
                <w:szCs w:val="16"/>
              </w:rPr>
              <w:t>Evaluatie subsidieregeling NIP</w:t>
            </w:r>
          </w:p>
        </w:tc>
        <w:tc>
          <w:tcPr>
            <w:tcW w:w="1276" w:type="dxa"/>
            <w:noWrap/>
            <w:hideMark/>
          </w:tcPr>
          <w:p w:rsidRPr="005549F3" w:rsidR="00AF4210" w:rsidP="005C00F1" w14:paraId="765378F9" w14:textId="77777777">
            <w:pPr>
              <w:rPr>
                <w:sz w:val="16"/>
                <w:szCs w:val="16"/>
              </w:rPr>
            </w:pPr>
            <w:r w:rsidRPr="005549F3">
              <w:rPr>
                <w:sz w:val="16"/>
                <w:szCs w:val="16"/>
              </w:rPr>
              <w:t>Ex post</w:t>
            </w:r>
          </w:p>
        </w:tc>
        <w:tc>
          <w:tcPr>
            <w:tcW w:w="1276" w:type="dxa"/>
            <w:noWrap/>
            <w:hideMark/>
          </w:tcPr>
          <w:p w:rsidRPr="005549F3" w:rsidR="00AF4210" w:rsidP="005C00F1" w14:paraId="7B54D0FB" w14:textId="77777777">
            <w:pPr>
              <w:rPr>
                <w:sz w:val="16"/>
                <w:szCs w:val="16"/>
              </w:rPr>
            </w:pPr>
            <w:r w:rsidRPr="005549F3">
              <w:rPr>
                <w:sz w:val="16"/>
                <w:szCs w:val="16"/>
              </w:rPr>
              <w:t>2027 (start)</w:t>
            </w:r>
          </w:p>
        </w:tc>
      </w:tr>
      <w:tr w:rsidTr="00BF6C9F" w14:paraId="0BAA707E" w14:textId="77777777">
        <w:tblPrEx>
          <w:tblW w:w="7650" w:type="dxa"/>
          <w:tblLook w:val="04A0"/>
        </w:tblPrEx>
        <w:trPr>
          <w:trHeight w:val="288"/>
        </w:trPr>
        <w:tc>
          <w:tcPr>
            <w:tcW w:w="5098" w:type="dxa"/>
            <w:noWrap/>
          </w:tcPr>
          <w:p w:rsidRPr="005549F3" w:rsidR="00AF4210" w:rsidP="005C00F1" w14:paraId="1F732910" w14:textId="77777777">
            <w:pPr>
              <w:rPr>
                <w:sz w:val="16"/>
                <w:szCs w:val="16"/>
              </w:rPr>
            </w:pPr>
            <w:r w:rsidRPr="005549F3">
              <w:rPr>
                <w:sz w:val="16"/>
                <w:szCs w:val="16"/>
              </w:rPr>
              <w:t>Monitor ISDE en NWF 2023</w:t>
            </w:r>
          </w:p>
        </w:tc>
        <w:tc>
          <w:tcPr>
            <w:tcW w:w="1276" w:type="dxa"/>
            <w:noWrap/>
          </w:tcPr>
          <w:p w:rsidRPr="005549F3" w:rsidR="00AF4210" w:rsidP="005C00F1" w14:paraId="1FFB18AA" w14:textId="77777777">
            <w:pPr>
              <w:rPr>
                <w:sz w:val="16"/>
                <w:szCs w:val="16"/>
              </w:rPr>
            </w:pPr>
            <w:r w:rsidRPr="005549F3">
              <w:rPr>
                <w:sz w:val="16"/>
                <w:szCs w:val="16"/>
              </w:rPr>
              <w:t xml:space="preserve">Ex </w:t>
            </w:r>
            <w:r w:rsidRPr="005549F3">
              <w:rPr>
                <w:sz w:val="16"/>
                <w:szCs w:val="16"/>
              </w:rPr>
              <w:t>durante</w:t>
            </w:r>
          </w:p>
        </w:tc>
        <w:tc>
          <w:tcPr>
            <w:tcW w:w="1276" w:type="dxa"/>
            <w:noWrap/>
          </w:tcPr>
          <w:p w:rsidRPr="005549F3" w:rsidR="00AF4210" w:rsidP="005C00F1" w14:paraId="7EEE0107" w14:textId="77777777">
            <w:pPr>
              <w:rPr>
                <w:sz w:val="16"/>
                <w:szCs w:val="16"/>
              </w:rPr>
            </w:pPr>
            <w:r w:rsidRPr="005549F3">
              <w:rPr>
                <w:sz w:val="16"/>
                <w:szCs w:val="16"/>
              </w:rPr>
              <w:t>2 x per jaar</w:t>
            </w:r>
          </w:p>
        </w:tc>
      </w:tr>
      <w:tr w:rsidTr="00BF6C9F" w14:paraId="0E38840C" w14:textId="77777777">
        <w:tblPrEx>
          <w:tblW w:w="7650" w:type="dxa"/>
          <w:tblLook w:val="04A0"/>
        </w:tblPrEx>
        <w:trPr>
          <w:trHeight w:val="288"/>
        </w:trPr>
        <w:tc>
          <w:tcPr>
            <w:tcW w:w="5098" w:type="dxa"/>
            <w:noWrap/>
          </w:tcPr>
          <w:p w:rsidRPr="005549F3" w:rsidR="00AF4210" w:rsidP="005C00F1" w14:paraId="24AA4A7F" w14:textId="77777777">
            <w:pPr>
              <w:rPr>
                <w:b w:val="0"/>
                <w:bCs w:val="0"/>
                <w:sz w:val="16"/>
                <w:szCs w:val="16"/>
              </w:rPr>
            </w:pPr>
            <w:r w:rsidRPr="005549F3">
              <w:rPr>
                <w:sz w:val="16"/>
                <w:szCs w:val="16"/>
              </w:rPr>
              <w:t>Evaluatie Nationaal Warmtefonds (NWF)</w:t>
            </w:r>
          </w:p>
        </w:tc>
        <w:tc>
          <w:tcPr>
            <w:tcW w:w="1276" w:type="dxa"/>
            <w:noWrap/>
          </w:tcPr>
          <w:p w:rsidRPr="005549F3" w:rsidR="00AF4210" w:rsidP="005C00F1" w14:paraId="33F8B0DF" w14:textId="77777777">
            <w:pPr>
              <w:rPr>
                <w:b/>
                <w:bCs/>
                <w:sz w:val="16"/>
                <w:szCs w:val="16"/>
              </w:rPr>
            </w:pPr>
            <w:r w:rsidRPr="005549F3">
              <w:rPr>
                <w:sz w:val="16"/>
                <w:szCs w:val="16"/>
              </w:rPr>
              <w:t xml:space="preserve">Ex </w:t>
            </w:r>
            <w:r w:rsidRPr="005549F3">
              <w:rPr>
                <w:sz w:val="16"/>
                <w:szCs w:val="16"/>
              </w:rPr>
              <w:t>durante</w:t>
            </w:r>
          </w:p>
        </w:tc>
        <w:tc>
          <w:tcPr>
            <w:tcW w:w="1276" w:type="dxa"/>
            <w:noWrap/>
          </w:tcPr>
          <w:p w:rsidRPr="005549F3" w:rsidR="00AF4210" w:rsidP="005C00F1" w14:paraId="66A62078" w14:textId="77777777">
            <w:pPr>
              <w:rPr>
                <w:sz w:val="16"/>
                <w:szCs w:val="16"/>
              </w:rPr>
            </w:pPr>
            <w:r w:rsidRPr="005549F3">
              <w:rPr>
                <w:sz w:val="16"/>
                <w:szCs w:val="16"/>
              </w:rPr>
              <w:t>2024 (start)</w:t>
            </w:r>
          </w:p>
        </w:tc>
      </w:tr>
      <w:tr w:rsidTr="00BF6C9F" w14:paraId="4D8FE459" w14:textId="77777777">
        <w:tblPrEx>
          <w:tblW w:w="7650" w:type="dxa"/>
          <w:tblLook w:val="04A0"/>
        </w:tblPrEx>
        <w:trPr>
          <w:trHeight w:val="288"/>
        </w:trPr>
        <w:tc>
          <w:tcPr>
            <w:tcW w:w="5098" w:type="dxa"/>
            <w:noWrap/>
          </w:tcPr>
          <w:p w:rsidRPr="005549F3" w:rsidR="00AF4210" w:rsidP="005C00F1" w14:paraId="292E7BC7" w14:textId="77777777">
            <w:pPr>
              <w:rPr>
                <w:b w:val="0"/>
                <w:bCs w:val="0"/>
                <w:sz w:val="16"/>
                <w:szCs w:val="16"/>
              </w:rPr>
            </w:pPr>
            <w:r w:rsidRPr="005549F3">
              <w:rPr>
                <w:sz w:val="16"/>
                <w:szCs w:val="16"/>
              </w:rPr>
              <w:t>Evaluatie Programma Aardgasvrije wijken (PAW)</w:t>
            </w:r>
          </w:p>
        </w:tc>
        <w:tc>
          <w:tcPr>
            <w:tcW w:w="1276" w:type="dxa"/>
            <w:noWrap/>
          </w:tcPr>
          <w:p w:rsidRPr="005549F3" w:rsidR="00AF4210" w:rsidP="005C00F1" w14:paraId="774F5CB4" w14:textId="77777777">
            <w:pPr>
              <w:rPr>
                <w:b/>
                <w:bCs/>
                <w:sz w:val="16"/>
                <w:szCs w:val="16"/>
              </w:rPr>
            </w:pPr>
            <w:r w:rsidRPr="005549F3">
              <w:rPr>
                <w:sz w:val="16"/>
                <w:szCs w:val="16"/>
              </w:rPr>
              <w:t>Ex post</w:t>
            </w:r>
          </w:p>
        </w:tc>
        <w:tc>
          <w:tcPr>
            <w:tcW w:w="1276" w:type="dxa"/>
            <w:noWrap/>
          </w:tcPr>
          <w:p w:rsidRPr="005549F3" w:rsidR="00AF4210" w:rsidP="005C00F1" w14:paraId="3AA4564F" w14:textId="77777777">
            <w:pPr>
              <w:rPr>
                <w:sz w:val="16"/>
                <w:szCs w:val="16"/>
              </w:rPr>
            </w:pPr>
            <w:r w:rsidRPr="005549F3">
              <w:rPr>
                <w:sz w:val="16"/>
                <w:szCs w:val="16"/>
              </w:rPr>
              <w:t xml:space="preserve">2024 </w:t>
            </w:r>
          </w:p>
        </w:tc>
      </w:tr>
      <w:tr w:rsidTr="00BF6C9F" w14:paraId="5C9D292D" w14:textId="77777777">
        <w:tblPrEx>
          <w:tblW w:w="7650" w:type="dxa"/>
          <w:tblLook w:val="04A0"/>
        </w:tblPrEx>
        <w:trPr>
          <w:trHeight w:val="288"/>
        </w:trPr>
        <w:tc>
          <w:tcPr>
            <w:tcW w:w="5098" w:type="dxa"/>
            <w:noWrap/>
          </w:tcPr>
          <w:p w:rsidRPr="005549F3" w:rsidR="00AF4210" w:rsidP="005C00F1" w14:paraId="24380765" w14:textId="77777777">
            <w:pPr>
              <w:rPr>
                <w:sz w:val="16"/>
                <w:szCs w:val="16"/>
              </w:rPr>
            </w:pPr>
            <w:r w:rsidRPr="005549F3">
              <w:rPr>
                <w:sz w:val="16"/>
                <w:szCs w:val="16"/>
              </w:rPr>
              <w:t xml:space="preserve">Evaluatie </w:t>
            </w:r>
            <w:r w:rsidR="00006678">
              <w:rPr>
                <w:sz w:val="16"/>
                <w:szCs w:val="16"/>
              </w:rPr>
              <w:t xml:space="preserve">subsidieregeling </w:t>
            </w:r>
            <w:r w:rsidRPr="005549F3">
              <w:rPr>
                <w:sz w:val="16"/>
                <w:szCs w:val="16"/>
              </w:rPr>
              <w:t>SVVE</w:t>
            </w:r>
          </w:p>
        </w:tc>
        <w:tc>
          <w:tcPr>
            <w:tcW w:w="1276" w:type="dxa"/>
            <w:noWrap/>
          </w:tcPr>
          <w:p w:rsidRPr="005549F3" w:rsidR="00AF4210" w:rsidP="005C00F1" w14:paraId="14807819" w14:textId="77777777">
            <w:pPr>
              <w:rPr>
                <w:sz w:val="16"/>
                <w:szCs w:val="16"/>
              </w:rPr>
            </w:pPr>
            <w:r w:rsidRPr="005549F3">
              <w:rPr>
                <w:sz w:val="16"/>
                <w:szCs w:val="16"/>
              </w:rPr>
              <w:t>Ex post</w:t>
            </w:r>
          </w:p>
        </w:tc>
        <w:tc>
          <w:tcPr>
            <w:tcW w:w="1276" w:type="dxa"/>
            <w:noWrap/>
          </w:tcPr>
          <w:p w:rsidRPr="005549F3" w:rsidR="00AF4210" w:rsidP="005C00F1" w14:paraId="1F8C18B9" w14:textId="77777777">
            <w:pPr>
              <w:rPr>
                <w:sz w:val="16"/>
                <w:szCs w:val="16"/>
              </w:rPr>
            </w:pPr>
            <w:r w:rsidRPr="005549F3">
              <w:rPr>
                <w:sz w:val="16"/>
                <w:szCs w:val="16"/>
              </w:rPr>
              <w:t>2028 (start)</w:t>
            </w:r>
          </w:p>
        </w:tc>
      </w:tr>
      <w:tr w:rsidTr="00BF6C9F" w14:paraId="597424B5" w14:textId="77777777">
        <w:tblPrEx>
          <w:tblW w:w="7650" w:type="dxa"/>
          <w:tblLook w:val="04A0"/>
        </w:tblPrEx>
        <w:trPr>
          <w:trHeight w:val="288"/>
        </w:trPr>
        <w:tc>
          <w:tcPr>
            <w:tcW w:w="5098" w:type="dxa"/>
            <w:noWrap/>
            <w:hideMark/>
          </w:tcPr>
          <w:p w:rsidRPr="005549F3" w:rsidR="00AF4210" w:rsidP="005C00F1" w14:paraId="1441977D" w14:textId="77777777">
            <w:pPr>
              <w:rPr>
                <w:b w:val="0"/>
                <w:bCs w:val="0"/>
                <w:sz w:val="16"/>
                <w:szCs w:val="16"/>
              </w:rPr>
            </w:pPr>
            <w:r w:rsidRPr="005549F3">
              <w:rPr>
                <w:sz w:val="16"/>
                <w:szCs w:val="16"/>
              </w:rPr>
              <w:t>2024</w:t>
            </w:r>
          </w:p>
        </w:tc>
        <w:tc>
          <w:tcPr>
            <w:tcW w:w="1276" w:type="dxa"/>
            <w:noWrap/>
            <w:hideMark/>
          </w:tcPr>
          <w:p w:rsidRPr="005549F3" w:rsidR="00AF4210" w:rsidP="005C00F1" w14:paraId="335D5EB8" w14:textId="77777777">
            <w:pPr>
              <w:rPr>
                <w:b/>
                <w:bCs/>
                <w:sz w:val="16"/>
                <w:szCs w:val="16"/>
              </w:rPr>
            </w:pPr>
          </w:p>
        </w:tc>
        <w:tc>
          <w:tcPr>
            <w:tcW w:w="1276" w:type="dxa"/>
            <w:noWrap/>
            <w:hideMark/>
          </w:tcPr>
          <w:p w:rsidRPr="005549F3" w:rsidR="00AF4210" w:rsidP="005C00F1" w14:paraId="20077730" w14:textId="77777777">
            <w:pPr>
              <w:rPr>
                <w:sz w:val="16"/>
                <w:szCs w:val="16"/>
              </w:rPr>
            </w:pPr>
          </w:p>
        </w:tc>
      </w:tr>
      <w:tr w:rsidTr="00BF6C9F" w14:paraId="6B6F5A5A" w14:textId="77777777">
        <w:tblPrEx>
          <w:tblW w:w="7650" w:type="dxa"/>
          <w:tblLook w:val="04A0"/>
        </w:tblPrEx>
        <w:trPr>
          <w:trHeight w:val="288"/>
        </w:trPr>
        <w:tc>
          <w:tcPr>
            <w:tcW w:w="5098" w:type="dxa"/>
            <w:noWrap/>
            <w:hideMark/>
          </w:tcPr>
          <w:p w:rsidRPr="005549F3" w:rsidR="00AF4210" w:rsidP="005C00F1" w14:paraId="57B11D67" w14:textId="77777777">
            <w:pPr>
              <w:rPr>
                <w:sz w:val="16"/>
                <w:szCs w:val="16"/>
              </w:rPr>
            </w:pPr>
            <w:r w:rsidRPr="005549F3">
              <w:rPr>
                <w:sz w:val="16"/>
                <w:szCs w:val="16"/>
              </w:rPr>
              <w:t>Monitor Nationaal Warmtefonds (2023-I)</w:t>
            </w:r>
          </w:p>
        </w:tc>
        <w:tc>
          <w:tcPr>
            <w:tcW w:w="1276" w:type="dxa"/>
            <w:noWrap/>
            <w:hideMark/>
          </w:tcPr>
          <w:p w:rsidRPr="005549F3" w:rsidR="00AF4210" w:rsidP="005C00F1" w14:paraId="40C1D69A" w14:textId="77777777">
            <w:pPr>
              <w:rPr>
                <w:sz w:val="16"/>
                <w:szCs w:val="16"/>
              </w:rPr>
            </w:pPr>
            <w:r w:rsidRPr="005549F3">
              <w:rPr>
                <w:sz w:val="16"/>
                <w:szCs w:val="16"/>
              </w:rPr>
              <w:t xml:space="preserve">Ex </w:t>
            </w:r>
            <w:r w:rsidRPr="005549F3">
              <w:rPr>
                <w:sz w:val="16"/>
                <w:szCs w:val="16"/>
              </w:rPr>
              <w:t>durante</w:t>
            </w:r>
          </w:p>
        </w:tc>
        <w:tc>
          <w:tcPr>
            <w:tcW w:w="1276" w:type="dxa"/>
            <w:noWrap/>
            <w:hideMark/>
          </w:tcPr>
          <w:p w:rsidRPr="005549F3" w:rsidR="00AF4210" w:rsidP="005C00F1" w14:paraId="6752B825" w14:textId="77777777">
            <w:pPr>
              <w:rPr>
                <w:sz w:val="16"/>
                <w:szCs w:val="16"/>
              </w:rPr>
            </w:pPr>
            <w:r w:rsidRPr="005549F3">
              <w:rPr>
                <w:sz w:val="16"/>
                <w:szCs w:val="16"/>
              </w:rPr>
              <w:t>2024</w:t>
            </w:r>
          </w:p>
        </w:tc>
      </w:tr>
      <w:tr w:rsidTr="00BF6C9F" w14:paraId="0D208D6F" w14:textId="77777777">
        <w:tblPrEx>
          <w:tblW w:w="7650" w:type="dxa"/>
          <w:tblLook w:val="04A0"/>
        </w:tblPrEx>
        <w:trPr>
          <w:trHeight w:val="288"/>
        </w:trPr>
        <w:tc>
          <w:tcPr>
            <w:tcW w:w="5098" w:type="dxa"/>
            <w:noWrap/>
            <w:hideMark/>
          </w:tcPr>
          <w:p w:rsidRPr="005549F3" w:rsidR="00AF4210" w:rsidP="005C00F1" w14:paraId="29EA12A7" w14:textId="77777777">
            <w:pPr>
              <w:rPr>
                <w:sz w:val="16"/>
                <w:szCs w:val="16"/>
              </w:rPr>
            </w:pPr>
            <w:r w:rsidRPr="005549F3">
              <w:rPr>
                <w:sz w:val="16"/>
                <w:szCs w:val="16"/>
              </w:rPr>
              <w:t>Evaluatie tweede tranche Subsidieregeling Duurzaam Maatschappelijk Vastgoed (DUMAVA)</w:t>
            </w:r>
          </w:p>
        </w:tc>
        <w:tc>
          <w:tcPr>
            <w:tcW w:w="1276" w:type="dxa"/>
            <w:noWrap/>
            <w:hideMark/>
          </w:tcPr>
          <w:p w:rsidRPr="005549F3" w:rsidR="00AF4210" w:rsidP="005C00F1" w14:paraId="13DA5023" w14:textId="77777777">
            <w:pPr>
              <w:rPr>
                <w:sz w:val="16"/>
                <w:szCs w:val="16"/>
              </w:rPr>
            </w:pPr>
            <w:r w:rsidRPr="005549F3">
              <w:rPr>
                <w:sz w:val="16"/>
                <w:szCs w:val="16"/>
              </w:rPr>
              <w:t xml:space="preserve">Ex </w:t>
            </w:r>
            <w:r w:rsidRPr="005549F3">
              <w:rPr>
                <w:sz w:val="16"/>
                <w:szCs w:val="16"/>
              </w:rPr>
              <w:t>durante</w:t>
            </w:r>
          </w:p>
        </w:tc>
        <w:tc>
          <w:tcPr>
            <w:tcW w:w="1276" w:type="dxa"/>
            <w:noWrap/>
            <w:hideMark/>
          </w:tcPr>
          <w:p w:rsidRPr="005549F3" w:rsidR="00AF4210" w:rsidP="005C00F1" w14:paraId="3940FC6C" w14:textId="77777777">
            <w:pPr>
              <w:rPr>
                <w:sz w:val="16"/>
                <w:szCs w:val="16"/>
              </w:rPr>
            </w:pPr>
            <w:r w:rsidRPr="005549F3">
              <w:rPr>
                <w:sz w:val="16"/>
                <w:szCs w:val="16"/>
              </w:rPr>
              <w:t>2024</w:t>
            </w:r>
          </w:p>
        </w:tc>
      </w:tr>
      <w:tr w:rsidTr="00BF6C9F" w14:paraId="43B2D892" w14:textId="77777777">
        <w:tblPrEx>
          <w:tblW w:w="7650" w:type="dxa"/>
          <w:tblLook w:val="04A0"/>
        </w:tblPrEx>
        <w:trPr>
          <w:trHeight w:val="288"/>
        </w:trPr>
        <w:tc>
          <w:tcPr>
            <w:tcW w:w="5098" w:type="dxa"/>
            <w:noWrap/>
            <w:hideMark/>
          </w:tcPr>
          <w:p w:rsidRPr="005549F3" w:rsidR="00AF4210" w:rsidP="005C00F1" w14:paraId="34DE98C4" w14:textId="77777777">
            <w:pPr>
              <w:rPr>
                <w:sz w:val="16"/>
                <w:szCs w:val="16"/>
              </w:rPr>
            </w:pPr>
            <w:r w:rsidRPr="005549F3">
              <w:rPr>
                <w:sz w:val="16"/>
                <w:szCs w:val="16"/>
              </w:rPr>
              <w:t>Evaluatie programma Reductie Energiegebruik</w:t>
            </w:r>
          </w:p>
        </w:tc>
        <w:tc>
          <w:tcPr>
            <w:tcW w:w="1276" w:type="dxa"/>
            <w:noWrap/>
            <w:hideMark/>
          </w:tcPr>
          <w:p w:rsidRPr="005549F3" w:rsidR="00AF4210" w:rsidP="005C00F1" w14:paraId="5A976EF1" w14:textId="77777777">
            <w:pPr>
              <w:rPr>
                <w:sz w:val="16"/>
                <w:szCs w:val="16"/>
              </w:rPr>
            </w:pPr>
            <w:r w:rsidRPr="005549F3">
              <w:rPr>
                <w:sz w:val="16"/>
                <w:szCs w:val="16"/>
              </w:rPr>
              <w:t>Ex post</w:t>
            </w:r>
          </w:p>
        </w:tc>
        <w:tc>
          <w:tcPr>
            <w:tcW w:w="1276" w:type="dxa"/>
            <w:noWrap/>
            <w:hideMark/>
          </w:tcPr>
          <w:p w:rsidRPr="005549F3" w:rsidR="00AF4210" w:rsidP="005C00F1" w14:paraId="7E880849" w14:textId="77777777">
            <w:pPr>
              <w:rPr>
                <w:sz w:val="16"/>
                <w:szCs w:val="16"/>
              </w:rPr>
            </w:pPr>
            <w:r w:rsidRPr="005549F3">
              <w:rPr>
                <w:sz w:val="16"/>
                <w:szCs w:val="16"/>
              </w:rPr>
              <w:t>2023</w:t>
            </w:r>
          </w:p>
        </w:tc>
      </w:tr>
      <w:tr w:rsidTr="00BF6C9F" w14:paraId="1C344E46" w14:textId="77777777">
        <w:tblPrEx>
          <w:tblW w:w="7650" w:type="dxa"/>
          <w:tblLook w:val="04A0"/>
        </w:tblPrEx>
        <w:trPr>
          <w:trHeight w:val="288"/>
        </w:trPr>
        <w:tc>
          <w:tcPr>
            <w:tcW w:w="5098" w:type="dxa"/>
            <w:noWrap/>
            <w:hideMark/>
          </w:tcPr>
          <w:p w:rsidRPr="005549F3" w:rsidR="00AF4210" w:rsidP="005C00F1" w14:paraId="3F2B4336" w14:textId="77777777">
            <w:pPr>
              <w:rPr>
                <w:sz w:val="16"/>
                <w:szCs w:val="16"/>
              </w:rPr>
            </w:pPr>
            <w:r w:rsidRPr="005549F3">
              <w:rPr>
                <w:sz w:val="16"/>
                <w:szCs w:val="16"/>
              </w:rPr>
              <w:t>Monitor programma Aardgasvrije Wijken (PAW)</w:t>
            </w:r>
          </w:p>
        </w:tc>
        <w:tc>
          <w:tcPr>
            <w:tcW w:w="1276" w:type="dxa"/>
            <w:noWrap/>
            <w:hideMark/>
          </w:tcPr>
          <w:p w:rsidRPr="005549F3" w:rsidR="00AF4210" w:rsidP="005C00F1" w14:paraId="79BE5737" w14:textId="77777777">
            <w:pPr>
              <w:rPr>
                <w:sz w:val="16"/>
                <w:szCs w:val="16"/>
              </w:rPr>
            </w:pPr>
            <w:r w:rsidRPr="005549F3">
              <w:rPr>
                <w:sz w:val="16"/>
                <w:szCs w:val="16"/>
              </w:rPr>
              <w:t xml:space="preserve">Ex </w:t>
            </w:r>
            <w:r w:rsidRPr="005549F3">
              <w:rPr>
                <w:sz w:val="16"/>
                <w:szCs w:val="16"/>
              </w:rPr>
              <w:t>durante</w:t>
            </w:r>
          </w:p>
        </w:tc>
        <w:tc>
          <w:tcPr>
            <w:tcW w:w="1276" w:type="dxa"/>
            <w:noWrap/>
            <w:hideMark/>
          </w:tcPr>
          <w:p w:rsidRPr="005549F3" w:rsidR="00AF4210" w:rsidP="005C00F1" w14:paraId="1624C8B4" w14:textId="77777777">
            <w:pPr>
              <w:rPr>
                <w:sz w:val="16"/>
                <w:szCs w:val="16"/>
              </w:rPr>
            </w:pPr>
            <w:r w:rsidRPr="005549F3">
              <w:rPr>
                <w:sz w:val="16"/>
                <w:szCs w:val="16"/>
              </w:rPr>
              <w:t>2023</w:t>
            </w:r>
          </w:p>
        </w:tc>
      </w:tr>
      <w:tr w:rsidTr="00BF6C9F" w14:paraId="48A8E178" w14:textId="77777777">
        <w:tblPrEx>
          <w:tblW w:w="7650" w:type="dxa"/>
          <w:tblLook w:val="04A0"/>
        </w:tblPrEx>
        <w:trPr>
          <w:trHeight w:val="288"/>
        </w:trPr>
        <w:tc>
          <w:tcPr>
            <w:tcW w:w="5098" w:type="dxa"/>
            <w:noWrap/>
          </w:tcPr>
          <w:p w:rsidRPr="005549F3" w:rsidR="00AF4210" w:rsidP="005C00F1" w14:paraId="1DABA5B4" w14:textId="77777777">
            <w:pPr>
              <w:rPr>
                <w:sz w:val="16"/>
                <w:szCs w:val="16"/>
              </w:rPr>
            </w:pPr>
            <w:r w:rsidRPr="005549F3">
              <w:rPr>
                <w:sz w:val="16"/>
                <w:szCs w:val="16"/>
              </w:rPr>
              <w:t>Monitor ISDE (2023-I)</w:t>
            </w:r>
          </w:p>
        </w:tc>
        <w:tc>
          <w:tcPr>
            <w:tcW w:w="1276" w:type="dxa"/>
            <w:noWrap/>
          </w:tcPr>
          <w:p w:rsidRPr="005549F3" w:rsidR="00AF4210" w:rsidP="005C00F1" w14:paraId="5D00AECC" w14:textId="77777777">
            <w:pPr>
              <w:rPr>
                <w:sz w:val="16"/>
                <w:szCs w:val="16"/>
              </w:rPr>
            </w:pPr>
            <w:r w:rsidRPr="005549F3">
              <w:rPr>
                <w:sz w:val="16"/>
                <w:szCs w:val="16"/>
              </w:rPr>
              <w:t xml:space="preserve">Ex </w:t>
            </w:r>
            <w:r w:rsidRPr="005549F3">
              <w:rPr>
                <w:sz w:val="16"/>
                <w:szCs w:val="16"/>
              </w:rPr>
              <w:t>durante</w:t>
            </w:r>
          </w:p>
        </w:tc>
        <w:tc>
          <w:tcPr>
            <w:tcW w:w="1276" w:type="dxa"/>
            <w:noWrap/>
          </w:tcPr>
          <w:p w:rsidRPr="005549F3" w:rsidR="00AF4210" w:rsidP="005C00F1" w14:paraId="7E3EC217" w14:textId="77777777">
            <w:pPr>
              <w:rPr>
                <w:sz w:val="16"/>
                <w:szCs w:val="16"/>
              </w:rPr>
            </w:pPr>
            <w:r w:rsidRPr="005549F3">
              <w:rPr>
                <w:sz w:val="16"/>
                <w:szCs w:val="16"/>
              </w:rPr>
              <w:t>2024</w:t>
            </w:r>
          </w:p>
        </w:tc>
      </w:tr>
      <w:tr w:rsidTr="00BF6C9F" w14:paraId="591AC609" w14:textId="77777777">
        <w:tblPrEx>
          <w:tblW w:w="7650" w:type="dxa"/>
          <w:tblLook w:val="04A0"/>
        </w:tblPrEx>
        <w:trPr>
          <w:trHeight w:val="288"/>
        </w:trPr>
        <w:tc>
          <w:tcPr>
            <w:tcW w:w="5098" w:type="dxa"/>
            <w:noWrap/>
            <w:hideMark/>
          </w:tcPr>
          <w:p w:rsidRPr="005549F3" w:rsidR="00AF4210" w:rsidP="005C00F1" w14:paraId="11DE8ED7" w14:textId="77777777">
            <w:pPr>
              <w:rPr>
                <w:b w:val="0"/>
                <w:bCs w:val="0"/>
                <w:sz w:val="16"/>
                <w:szCs w:val="16"/>
              </w:rPr>
            </w:pPr>
            <w:r w:rsidRPr="005549F3">
              <w:rPr>
                <w:sz w:val="16"/>
                <w:szCs w:val="16"/>
              </w:rPr>
              <w:t>2023</w:t>
            </w:r>
          </w:p>
        </w:tc>
        <w:tc>
          <w:tcPr>
            <w:tcW w:w="1276" w:type="dxa"/>
            <w:noWrap/>
            <w:hideMark/>
          </w:tcPr>
          <w:p w:rsidRPr="005549F3" w:rsidR="00AF4210" w:rsidP="005C00F1" w14:paraId="221A8435" w14:textId="77777777">
            <w:pPr>
              <w:rPr>
                <w:b/>
                <w:bCs/>
                <w:sz w:val="16"/>
                <w:szCs w:val="16"/>
              </w:rPr>
            </w:pPr>
          </w:p>
        </w:tc>
        <w:tc>
          <w:tcPr>
            <w:tcW w:w="1276" w:type="dxa"/>
            <w:noWrap/>
            <w:hideMark/>
          </w:tcPr>
          <w:p w:rsidRPr="005549F3" w:rsidR="00AF4210" w:rsidP="005C00F1" w14:paraId="6E4E9E46" w14:textId="77777777">
            <w:pPr>
              <w:rPr>
                <w:sz w:val="16"/>
                <w:szCs w:val="16"/>
              </w:rPr>
            </w:pPr>
          </w:p>
        </w:tc>
      </w:tr>
      <w:tr w:rsidTr="00BF6C9F" w14:paraId="6BF7C504" w14:textId="77777777">
        <w:tblPrEx>
          <w:tblW w:w="7650" w:type="dxa"/>
          <w:tblLook w:val="04A0"/>
        </w:tblPrEx>
        <w:trPr>
          <w:trHeight w:val="288"/>
        </w:trPr>
        <w:tc>
          <w:tcPr>
            <w:tcW w:w="5098" w:type="dxa"/>
            <w:noWrap/>
            <w:hideMark/>
          </w:tcPr>
          <w:p w:rsidRPr="005549F3" w:rsidR="00AF4210" w:rsidP="005C00F1" w14:paraId="732C229B" w14:textId="77777777">
            <w:pPr>
              <w:rPr>
                <w:sz w:val="16"/>
                <w:szCs w:val="16"/>
              </w:rPr>
            </w:pPr>
            <w:r w:rsidRPr="005549F3">
              <w:rPr>
                <w:sz w:val="16"/>
                <w:szCs w:val="16"/>
              </w:rPr>
              <w:t>Monitor programma Aardgasvrije Wijken (PAW)</w:t>
            </w:r>
          </w:p>
        </w:tc>
        <w:tc>
          <w:tcPr>
            <w:tcW w:w="1276" w:type="dxa"/>
            <w:noWrap/>
            <w:hideMark/>
          </w:tcPr>
          <w:p w:rsidRPr="005549F3" w:rsidR="00AF4210" w:rsidP="005C00F1" w14:paraId="7F387E41" w14:textId="77777777">
            <w:pPr>
              <w:rPr>
                <w:sz w:val="16"/>
                <w:szCs w:val="16"/>
              </w:rPr>
            </w:pPr>
            <w:r w:rsidRPr="005549F3">
              <w:rPr>
                <w:sz w:val="16"/>
                <w:szCs w:val="16"/>
              </w:rPr>
              <w:t xml:space="preserve">Ex </w:t>
            </w:r>
            <w:r w:rsidRPr="005549F3">
              <w:rPr>
                <w:sz w:val="16"/>
                <w:szCs w:val="16"/>
              </w:rPr>
              <w:t>durante</w:t>
            </w:r>
          </w:p>
        </w:tc>
        <w:tc>
          <w:tcPr>
            <w:tcW w:w="1276" w:type="dxa"/>
            <w:noWrap/>
            <w:hideMark/>
          </w:tcPr>
          <w:p w:rsidRPr="005549F3" w:rsidR="00AF4210" w:rsidP="005C00F1" w14:paraId="35507DD3" w14:textId="77777777">
            <w:pPr>
              <w:rPr>
                <w:sz w:val="16"/>
                <w:szCs w:val="16"/>
              </w:rPr>
            </w:pPr>
            <w:r w:rsidRPr="005549F3">
              <w:rPr>
                <w:sz w:val="16"/>
                <w:szCs w:val="16"/>
              </w:rPr>
              <w:t>2022</w:t>
            </w:r>
          </w:p>
        </w:tc>
      </w:tr>
      <w:tr w:rsidTr="00BF6C9F" w14:paraId="45FA3C21" w14:textId="77777777">
        <w:tblPrEx>
          <w:tblW w:w="7650" w:type="dxa"/>
          <w:tblLook w:val="04A0"/>
        </w:tblPrEx>
        <w:trPr>
          <w:trHeight w:val="288"/>
        </w:trPr>
        <w:tc>
          <w:tcPr>
            <w:tcW w:w="5098" w:type="dxa"/>
            <w:noWrap/>
            <w:hideMark/>
          </w:tcPr>
          <w:p w:rsidRPr="005549F3" w:rsidR="00AF4210" w:rsidP="005C00F1" w14:paraId="1B4E2197" w14:textId="77777777">
            <w:pPr>
              <w:rPr>
                <w:sz w:val="16"/>
                <w:szCs w:val="16"/>
              </w:rPr>
            </w:pPr>
            <w:r w:rsidRPr="005549F3">
              <w:rPr>
                <w:sz w:val="16"/>
                <w:szCs w:val="16"/>
              </w:rPr>
              <w:t>Evaluatie programma Aardgasvrije Wijken (PAW)</w:t>
            </w:r>
          </w:p>
        </w:tc>
        <w:tc>
          <w:tcPr>
            <w:tcW w:w="1276" w:type="dxa"/>
            <w:noWrap/>
            <w:hideMark/>
          </w:tcPr>
          <w:p w:rsidRPr="005549F3" w:rsidR="00AF4210" w:rsidP="005C00F1" w14:paraId="1F6B7081" w14:textId="77777777">
            <w:pPr>
              <w:rPr>
                <w:sz w:val="16"/>
                <w:szCs w:val="16"/>
              </w:rPr>
            </w:pPr>
            <w:r w:rsidRPr="005549F3">
              <w:rPr>
                <w:sz w:val="16"/>
                <w:szCs w:val="16"/>
              </w:rPr>
              <w:t>Ex post</w:t>
            </w:r>
          </w:p>
        </w:tc>
        <w:tc>
          <w:tcPr>
            <w:tcW w:w="1276" w:type="dxa"/>
            <w:noWrap/>
            <w:hideMark/>
          </w:tcPr>
          <w:p w:rsidRPr="005549F3" w:rsidR="00AF4210" w:rsidP="005C00F1" w14:paraId="77C7C5C0" w14:textId="77777777">
            <w:pPr>
              <w:rPr>
                <w:sz w:val="16"/>
                <w:szCs w:val="16"/>
              </w:rPr>
            </w:pPr>
            <w:r w:rsidRPr="005549F3">
              <w:rPr>
                <w:sz w:val="16"/>
                <w:szCs w:val="16"/>
              </w:rPr>
              <w:t>2022</w:t>
            </w:r>
          </w:p>
        </w:tc>
      </w:tr>
      <w:tr w:rsidTr="00BF6C9F" w14:paraId="71909A00" w14:textId="77777777">
        <w:tblPrEx>
          <w:tblW w:w="7650" w:type="dxa"/>
          <w:tblLook w:val="04A0"/>
        </w:tblPrEx>
        <w:trPr>
          <w:trHeight w:val="288"/>
        </w:trPr>
        <w:tc>
          <w:tcPr>
            <w:tcW w:w="5098" w:type="dxa"/>
            <w:noWrap/>
            <w:hideMark/>
          </w:tcPr>
          <w:p w:rsidRPr="005549F3" w:rsidR="00AF4210" w:rsidP="005C00F1" w14:paraId="2BE18EB0" w14:textId="77777777">
            <w:pPr>
              <w:rPr>
                <w:sz w:val="16"/>
                <w:szCs w:val="16"/>
              </w:rPr>
            </w:pPr>
            <w:r w:rsidRPr="005549F3">
              <w:rPr>
                <w:sz w:val="16"/>
                <w:szCs w:val="16"/>
              </w:rPr>
              <w:t>Monitor Klimaatbeleid - hoofdstuk Gebouwde Omgeving</w:t>
            </w:r>
          </w:p>
        </w:tc>
        <w:tc>
          <w:tcPr>
            <w:tcW w:w="1276" w:type="dxa"/>
            <w:noWrap/>
            <w:hideMark/>
          </w:tcPr>
          <w:p w:rsidRPr="005549F3" w:rsidR="00AF4210" w:rsidP="005C00F1" w14:paraId="072BC178" w14:textId="77777777">
            <w:pPr>
              <w:rPr>
                <w:sz w:val="16"/>
                <w:szCs w:val="16"/>
              </w:rPr>
            </w:pPr>
            <w:r w:rsidRPr="005549F3">
              <w:rPr>
                <w:sz w:val="16"/>
                <w:szCs w:val="16"/>
              </w:rPr>
              <w:t xml:space="preserve">Ex </w:t>
            </w:r>
            <w:r w:rsidRPr="005549F3">
              <w:rPr>
                <w:sz w:val="16"/>
                <w:szCs w:val="16"/>
              </w:rPr>
              <w:t>durante</w:t>
            </w:r>
          </w:p>
        </w:tc>
        <w:tc>
          <w:tcPr>
            <w:tcW w:w="1276" w:type="dxa"/>
            <w:noWrap/>
            <w:hideMark/>
          </w:tcPr>
          <w:p w:rsidRPr="005549F3" w:rsidR="00AF4210" w:rsidP="005C00F1" w14:paraId="34A9CFAB" w14:textId="77777777">
            <w:pPr>
              <w:rPr>
                <w:sz w:val="16"/>
                <w:szCs w:val="16"/>
              </w:rPr>
            </w:pPr>
            <w:r w:rsidRPr="005549F3">
              <w:rPr>
                <w:sz w:val="16"/>
                <w:szCs w:val="16"/>
              </w:rPr>
              <w:t>2022</w:t>
            </w:r>
          </w:p>
        </w:tc>
      </w:tr>
      <w:tr w:rsidTr="00BF6C9F" w14:paraId="181A0F12" w14:textId="77777777">
        <w:tblPrEx>
          <w:tblW w:w="7650" w:type="dxa"/>
          <w:tblLook w:val="04A0"/>
        </w:tblPrEx>
        <w:trPr>
          <w:trHeight w:val="288"/>
        </w:trPr>
        <w:tc>
          <w:tcPr>
            <w:tcW w:w="5098" w:type="dxa"/>
            <w:noWrap/>
            <w:hideMark/>
          </w:tcPr>
          <w:p w:rsidRPr="005549F3" w:rsidR="00AF4210" w:rsidP="005C00F1" w14:paraId="5370EBC2" w14:textId="77777777">
            <w:pPr>
              <w:rPr>
                <w:sz w:val="16"/>
                <w:szCs w:val="16"/>
              </w:rPr>
            </w:pPr>
            <w:r w:rsidRPr="005549F3">
              <w:rPr>
                <w:sz w:val="16"/>
                <w:szCs w:val="16"/>
              </w:rPr>
              <w:t>Tweejaarlijkse voortgangsrapportage sectorale routekaarten maatschappelijk vastgoed</w:t>
            </w:r>
          </w:p>
        </w:tc>
        <w:tc>
          <w:tcPr>
            <w:tcW w:w="1276" w:type="dxa"/>
            <w:noWrap/>
            <w:hideMark/>
          </w:tcPr>
          <w:p w:rsidRPr="005549F3" w:rsidR="00AF4210" w:rsidP="005C00F1" w14:paraId="2E1151C3" w14:textId="77777777">
            <w:pPr>
              <w:rPr>
                <w:sz w:val="16"/>
                <w:szCs w:val="16"/>
              </w:rPr>
            </w:pPr>
            <w:r w:rsidRPr="005549F3">
              <w:rPr>
                <w:sz w:val="16"/>
                <w:szCs w:val="16"/>
              </w:rPr>
              <w:t xml:space="preserve">Ex </w:t>
            </w:r>
            <w:r w:rsidRPr="005549F3">
              <w:rPr>
                <w:sz w:val="16"/>
                <w:szCs w:val="16"/>
              </w:rPr>
              <w:t>durante</w:t>
            </w:r>
          </w:p>
        </w:tc>
        <w:tc>
          <w:tcPr>
            <w:tcW w:w="1276" w:type="dxa"/>
            <w:noWrap/>
            <w:hideMark/>
          </w:tcPr>
          <w:p w:rsidRPr="005549F3" w:rsidR="00AF4210" w:rsidP="005C00F1" w14:paraId="697A68F9" w14:textId="77777777">
            <w:pPr>
              <w:rPr>
                <w:sz w:val="16"/>
                <w:szCs w:val="16"/>
              </w:rPr>
            </w:pPr>
            <w:r w:rsidRPr="005549F3">
              <w:rPr>
                <w:sz w:val="16"/>
                <w:szCs w:val="16"/>
              </w:rPr>
              <w:t>2022</w:t>
            </w:r>
          </w:p>
        </w:tc>
      </w:tr>
      <w:tr w:rsidTr="00BF6C9F" w14:paraId="3EC2C070" w14:textId="77777777">
        <w:tblPrEx>
          <w:tblW w:w="7650" w:type="dxa"/>
          <w:tblLook w:val="04A0"/>
        </w:tblPrEx>
        <w:trPr>
          <w:trHeight w:val="288"/>
        </w:trPr>
        <w:tc>
          <w:tcPr>
            <w:tcW w:w="5098" w:type="dxa"/>
            <w:noWrap/>
            <w:hideMark/>
          </w:tcPr>
          <w:p w:rsidRPr="005549F3" w:rsidR="00AF4210" w:rsidP="005C00F1" w14:paraId="3AC0ED9F" w14:textId="77777777">
            <w:pPr>
              <w:rPr>
                <w:sz w:val="16"/>
                <w:szCs w:val="16"/>
              </w:rPr>
            </w:pPr>
            <w:r w:rsidRPr="005549F3">
              <w:rPr>
                <w:sz w:val="16"/>
                <w:szCs w:val="16"/>
              </w:rPr>
              <w:t>Monitor programma Aardgasvrije Wijken (PAW)</w:t>
            </w:r>
          </w:p>
        </w:tc>
        <w:tc>
          <w:tcPr>
            <w:tcW w:w="1276" w:type="dxa"/>
            <w:noWrap/>
            <w:hideMark/>
          </w:tcPr>
          <w:p w:rsidRPr="005549F3" w:rsidR="00AF4210" w:rsidP="005C00F1" w14:paraId="1668BC90" w14:textId="77777777">
            <w:pPr>
              <w:rPr>
                <w:sz w:val="16"/>
                <w:szCs w:val="16"/>
              </w:rPr>
            </w:pPr>
            <w:r w:rsidRPr="005549F3">
              <w:rPr>
                <w:sz w:val="16"/>
                <w:szCs w:val="16"/>
              </w:rPr>
              <w:t xml:space="preserve">Ex </w:t>
            </w:r>
            <w:r w:rsidRPr="005549F3">
              <w:rPr>
                <w:sz w:val="16"/>
                <w:szCs w:val="16"/>
              </w:rPr>
              <w:t>durante</w:t>
            </w:r>
          </w:p>
        </w:tc>
        <w:tc>
          <w:tcPr>
            <w:tcW w:w="1276" w:type="dxa"/>
            <w:noWrap/>
            <w:hideMark/>
          </w:tcPr>
          <w:p w:rsidRPr="005549F3" w:rsidR="00AF4210" w:rsidP="005C00F1" w14:paraId="4B16A4F2" w14:textId="77777777">
            <w:pPr>
              <w:rPr>
                <w:sz w:val="16"/>
                <w:szCs w:val="16"/>
              </w:rPr>
            </w:pPr>
            <w:r w:rsidRPr="005549F3">
              <w:rPr>
                <w:sz w:val="16"/>
                <w:szCs w:val="16"/>
              </w:rPr>
              <w:t>2023</w:t>
            </w:r>
          </w:p>
        </w:tc>
      </w:tr>
      <w:tr w:rsidTr="00BF6C9F" w14:paraId="7690F896" w14:textId="77777777">
        <w:tblPrEx>
          <w:tblW w:w="7650" w:type="dxa"/>
          <w:tblLook w:val="04A0"/>
        </w:tblPrEx>
        <w:trPr>
          <w:trHeight w:val="288"/>
        </w:trPr>
        <w:tc>
          <w:tcPr>
            <w:tcW w:w="5098" w:type="dxa"/>
            <w:noWrap/>
            <w:hideMark/>
          </w:tcPr>
          <w:p w:rsidRPr="005549F3" w:rsidR="00AF4210" w:rsidP="005C00F1" w14:paraId="505D7170" w14:textId="77777777">
            <w:pPr>
              <w:rPr>
                <w:sz w:val="16"/>
                <w:szCs w:val="16"/>
              </w:rPr>
            </w:pPr>
            <w:r w:rsidRPr="005549F3">
              <w:rPr>
                <w:sz w:val="16"/>
                <w:szCs w:val="16"/>
              </w:rPr>
              <w:t>Evaluatie programma Reductie Energiegebruik</w:t>
            </w:r>
          </w:p>
        </w:tc>
        <w:tc>
          <w:tcPr>
            <w:tcW w:w="1276" w:type="dxa"/>
            <w:noWrap/>
            <w:hideMark/>
          </w:tcPr>
          <w:p w:rsidRPr="005549F3" w:rsidR="00AF4210" w:rsidP="005C00F1" w14:paraId="2BD5ACFB" w14:textId="77777777">
            <w:pPr>
              <w:rPr>
                <w:sz w:val="16"/>
                <w:szCs w:val="16"/>
              </w:rPr>
            </w:pPr>
            <w:r w:rsidRPr="005549F3">
              <w:rPr>
                <w:sz w:val="16"/>
                <w:szCs w:val="16"/>
              </w:rPr>
              <w:t>Ex post</w:t>
            </w:r>
          </w:p>
        </w:tc>
        <w:tc>
          <w:tcPr>
            <w:tcW w:w="1276" w:type="dxa"/>
            <w:noWrap/>
            <w:hideMark/>
          </w:tcPr>
          <w:p w:rsidRPr="005549F3" w:rsidR="00AF4210" w:rsidP="005C00F1" w14:paraId="3F59E41D" w14:textId="77777777">
            <w:pPr>
              <w:rPr>
                <w:sz w:val="16"/>
                <w:szCs w:val="16"/>
              </w:rPr>
            </w:pPr>
            <w:r w:rsidRPr="005549F3">
              <w:rPr>
                <w:sz w:val="16"/>
                <w:szCs w:val="16"/>
              </w:rPr>
              <w:t>2023</w:t>
            </w:r>
          </w:p>
        </w:tc>
      </w:tr>
      <w:tr w:rsidTr="00BF6C9F" w14:paraId="5B3D2AF5" w14:textId="77777777">
        <w:tblPrEx>
          <w:tblW w:w="7650" w:type="dxa"/>
          <w:tblLook w:val="04A0"/>
        </w:tblPrEx>
        <w:trPr>
          <w:trHeight w:val="288"/>
        </w:trPr>
        <w:tc>
          <w:tcPr>
            <w:tcW w:w="5098" w:type="dxa"/>
            <w:noWrap/>
            <w:hideMark/>
          </w:tcPr>
          <w:p w:rsidRPr="005549F3" w:rsidR="00AF4210" w:rsidP="005C00F1" w14:paraId="329D7A58" w14:textId="77777777">
            <w:pPr>
              <w:rPr>
                <w:sz w:val="16"/>
                <w:szCs w:val="16"/>
              </w:rPr>
            </w:pPr>
            <w:r w:rsidRPr="005549F3">
              <w:rPr>
                <w:sz w:val="16"/>
                <w:szCs w:val="16"/>
              </w:rPr>
              <w:t>Evaluatie ISDE 2016-2022 (Algemene Rekenkamer)</w:t>
            </w:r>
          </w:p>
        </w:tc>
        <w:tc>
          <w:tcPr>
            <w:tcW w:w="1276" w:type="dxa"/>
            <w:noWrap/>
            <w:hideMark/>
          </w:tcPr>
          <w:p w:rsidRPr="005549F3" w:rsidR="00AF4210" w:rsidP="005C00F1" w14:paraId="5E6B5284" w14:textId="77777777">
            <w:pPr>
              <w:rPr>
                <w:sz w:val="16"/>
                <w:szCs w:val="16"/>
              </w:rPr>
            </w:pPr>
            <w:r w:rsidRPr="005549F3">
              <w:rPr>
                <w:sz w:val="16"/>
                <w:szCs w:val="16"/>
              </w:rPr>
              <w:t xml:space="preserve">Ex </w:t>
            </w:r>
            <w:r w:rsidRPr="005549F3">
              <w:rPr>
                <w:sz w:val="16"/>
                <w:szCs w:val="16"/>
              </w:rPr>
              <w:t>durante</w:t>
            </w:r>
          </w:p>
        </w:tc>
        <w:tc>
          <w:tcPr>
            <w:tcW w:w="1276" w:type="dxa"/>
            <w:noWrap/>
            <w:hideMark/>
          </w:tcPr>
          <w:p w:rsidRPr="005549F3" w:rsidR="00AF4210" w:rsidP="005C00F1" w14:paraId="564975E8" w14:textId="77777777">
            <w:pPr>
              <w:rPr>
                <w:sz w:val="16"/>
                <w:szCs w:val="16"/>
              </w:rPr>
            </w:pPr>
            <w:r w:rsidRPr="005549F3">
              <w:rPr>
                <w:sz w:val="16"/>
                <w:szCs w:val="16"/>
              </w:rPr>
              <w:t>2024</w:t>
            </w:r>
          </w:p>
        </w:tc>
      </w:tr>
      <w:tr w:rsidTr="00BF6C9F" w14:paraId="27651C76" w14:textId="77777777">
        <w:tblPrEx>
          <w:tblW w:w="7650" w:type="dxa"/>
          <w:tblLook w:val="04A0"/>
        </w:tblPrEx>
        <w:trPr>
          <w:trHeight w:val="288"/>
        </w:trPr>
        <w:tc>
          <w:tcPr>
            <w:tcW w:w="5098" w:type="dxa"/>
            <w:noWrap/>
            <w:hideMark/>
          </w:tcPr>
          <w:p w:rsidRPr="005549F3" w:rsidR="00AF4210" w:rsidP="005C00F1" w14:paraId="54A5E580" w14:textId="77777777">
            <w:pPr>
              <w:rPr>
                <w:sz w:val="16"/>
                <w:szCs w:val="16"/>
              </w:rPr>
            </w:pPr>
            <w:r w:rsidRPr="005549F3">
              <w:rPr>
                <w:sz w:val="16"/>
                <w:szCs w:val="16"/>
              </w:rPr>
              <w:t>Monitor ISDE, SEEH en Warmtefonds 2021&amp;2022</w:t>
            </w:r>
          </w:p>
        </w:tc>
        <w:tc>
          <w:tcPr>
            <w:tcW w:w="1276" w:type="dxa"/>
            <w:noWrap/>
            <w:hideMark/>
          </w:tcPr>
          <w:p w:rsidRPr="005549F3" w:rsidR="00AF4210" w:rsidP="005C00F1" w14:paraId="7B6239EF" w14:textId="77777777">
            <w:pPr>
              <w:rPr>
                <w:sz w:val="16"/>
                <w:szCs w:val="16"/>
              </w:rPr>
            </w:pPr>
            <w:r w:rsidRPr="005549F3">
              <w:rPr>
                <w:sz w:val="16"/>
                <w:szCs w:val="16"/>
              </w:rPr>
              <w:t xml:space="preserve">Ex </w:t>
            </w:r>
            <w:r w:rsidRPr="005549F3">
              <w:rPr>
                <w:sz w:val="16"/>
                <w:szCs w:val="16"/>
              </w:rPr>
              <w:t>durante</w:t>
            </w:r>
          </w:p>
        </w:tc>
        <w:tc>
          <w:tcPr>
            <w:tcW w:w="1276" w:type="dxa"/>
            <w:noWrap/>
            <w:hideMark/>
          </w:tcPr>
          <w:p w:rsidRPr="005549F3" w:rsidR="00AF4210" w:rsidP="005C00F1" w14:paraId="02558F3F" w14:textId="77777777">
            <w:pPr>
              <w:rPr>
                <w:sz w:val="16"/>
                <w:szCs w:val="16"/>
              </w:rPr>
            </w:pPr>
            <w:r w:rsidRPr="005549F3">
              <w:rPr>
                <w:sz w:val="16"/>
                <w:szCs w:val="16"/>
              </w:rPr>
              <w:t>2023</w:t>
            </w:r>
          </w:p>
        </w:tc>
      </w:tr>
      <w:tr w:rsidTr="00BF6C9F" w14:paraId="498CFE39" w14:textId="77777777">
        <w:tblPrEx>
          <w:tblW w:w="7650" w:type="dxa"/>
          <w:tblLook w:val="04A0"/>
        </w:tblPrEx>
        <w:trPr>
          <w:trHeight w:val="288"/>
        </w:trPr>
        <w:tc>
          <w:tcPr>
            <w:tcW w:w="5098" w:type="dxa"/>
            <w:noWrap/>
            <w:hideMark/>
          </w:tcPr>
          <w:p w:rsidRPr="005549F3" w:rsidR="00AF4210" w:rsidP="005C00F1" w14:paraId="6D0193AA" w14:textId="77777777">
            <w:pPr>
              <w:rPr>
                <w:b w:val="0"/>
                <w:bCs w:val="0"/>
                <w:sz w:val="16"/>
                <w:szCs w:val="16"/>
              </w:rPr>
            </w:pPr>
            <w:r w:rsidRPr="005549F3">
              <w:rPr>
                <w:sz w:val="16"/>
                <w:szCs w:val="16"/>
              </w:rPr>
              <w:t>2022</w:t>
            </w:r>
          </w:p>
        </w:tc>
        <w:tc>
          <w:tcPr>
            <w:tcW w:w="1276" w:type="dxa"/>
            <w:noWrap/>
            <w:hideMark/>
          </w:tcPr>
          <w:p w:rsidRPr="005549F3" w:rsidR="00AF4210" w:rsidP="005C00F1" w14:paraId="708AC575" w14:textId="77777777">
            <w:pPr>
              <w:rPr>
                <w:b/>
                <w:bCs/>
                <w:sz w:val="16"/>
                <w:szCs w:val="16"/>
              </w:rPr>
            </w:pPr>
          </w:p>
        </w:tc>
        <w:tc>
          <w:tcPr>
            <w:tcW w:w="1276" w:type="dxa"/>
            <w:noWrap/>
            <w:hideMark/>
          </w:tcPr>
          <w:p w:rsidRPr="005549F3" w:rsidR="00AF4210" w:rsidP="005C00F1" w14:paraId="16C61E81" w14:textId="77777777">
            <w:pPr>
              <w:rPr>
                <w:sz w:val="16"/>
                <w:szCs w:val="16"/>
              </w:rPr>
            </w:pPr>
          </w:p>
        </w:tc>
      </w:tr>
      <w:tr w:rsidTr="00BF6C9F" w14:paraId="7BDA3EF3" w14:textId="77777777">
        <w:tblPrEx>
          <w:tblW w:w="7650" w:type="dxa"/>
          <w:tblLook w:val="04A0"/>
        </w:tblPrEx>
        <w:trPr>
          <w:trHeight w:val="288"/>
        </w:trPr>
        <w:tc>
          <w:tcPr>
            <w:tcW w:w="5098" w:type="dxa"/>
            <w:noWrap/>
            <w:hideMark/>
          </w:tcPr>
          <w:p w:rsidRPr="005549F3" w:rsidR="00AF4210" w:rsidP="005C00F1" w14:paraId="4101B5DC" w14:textId="77777777">
            <w:pPr>
              <w:rPr>
                <w:sz w:val="16"/>
                <w:szCs w:val="16"/>
              </w:rPr>
            </w:pPr>
            <w:r w:rsidRPr="005549F3">
              <w:rPr>
                <w:sz w:val="16"/>
                <w:szCs w:val="16"/>
              </w:rPr>
              <w:t>Evaluatie Subsidie Energiebesparing Eigen Huis (SEEH)</w:t>
            </w:r>
          </w:p>
        </w:tc>
        <w:tc>
          <w:tcPr>
            <w:tcW w:w="1276" w:type="dxa"/>
            <w:noWrap/>
            <w:hideMark/>
          </w:tcPr>
          <w:p w:rsidRPr="005549F3" w:rsidR="00AF4210" w:rsidP="005C00F1" w14:paraId="79AA9B00" w14:textId="77777777">
            <w:pPr>
              <w:rPr>
                <w:sz w:val="16"/>
                <w:szCs w:val="16"/>
              </w:rPr>
            </w:pPr>
            <w:r w:rsidRPr="005549F3">
              <w:rPr>
                <w:sz w:val="16"/>
                <w:szCs w:val="16"/>
              </w:rPr>
              <w:t>Ex-post</w:t>
            </w:r>
          </w:p>
        </w:tc>
        <w:tc>
          <w:tcPr>
            <w:tcW w:w="1276" w:type="dxa"/>
            <w:noWrap/>
            <w:hideMark/>
          </w:tcPr>
          <w:p w:rsidRPr="005549F3" w:rsidR="00AF4210" w:rsidP="005C00F1" w14:paraId="2109464A" w14:textId="77777777">
            <w:pPr>
              <w:rPr>
                <w:sz w:val="16"/>
                <w:szCs w:val="16"/>
              </w:rPr>
            </w:pPr>
            <w:r w:rsidRPr="005549F3">
              <w:rPr>
                <w:sz w:val="16"/>
                <w:szCs w:val="16"/>
              </w:rPr>
              <w:t>2021</w:t>
            </w:r>
          </w:p>
        </w:tc>
      </w:tr>
      <w:tr w:rsidTr="00BF6C9F" w14:paraId="07831202" w14:textId="77777777">
        <w:tblPrEx>
          <w:tblW w:w="7650" w:type="dxa"/>
          <w:tblLook w:val="04A0"/>
        </w:tblPrEx>
        <w:trPr>
          <w:trHeight w:val="288"/>
        </w:trPr>
        <w:tc>
          <w:tcPr>
            <w:tcW w:w="5098" w:type="dxa"/>
            <w:noWrap/>
            <w:hideMark/>
          </w:tcPr>
          <w:p w:rsidRPr="005549F3" w:rsidR="00AF4210" w:rsidP="005C00F1" w14:paraId="7EADE7B6" w14:textId="77777777">
            <w:pPr>
              <w:rPr>
                <w:sz w:val="16"/>
                <w:szCs w:val="16"/>
              </w:rPr>
            </w:pPr>
            <w:r w:rsidRPr="005549F3">
              <w:rPr>
                <w:sz w:val="16"/>
                <w:szCs w:val="16"/>
              </w:rPr>
              <w:t xml:space="preserve">Evaluatie Nationaal </w:t>
            </w:r>
            <w:r w:rsidRPr="005549F3">
              <w:rPr>
                <w:sz w:val="16"/>
                <w:szCs w:val="16"/>
              </w:rPr>
              <w:t>Energiebespaarfonds</w:t>
            </w:r>
            <w:r w:rsidRPr="005549F3">
              <w:rPr>
                <w:sz w:val="16"/>
                <w:szCs w:val="16"/>
              </w:rPr>
              <w:t xml:space="preserve"> (NEF)</w:t>
            </w:r>
          </w:p>
        </w:tc>
        <w:tc>
          <w:tcPr>
            <w:tcW w:w="1276" w:type="dxa"/>
            <w:noWrap/>
            <w:hideMark/>
          </w:tcPr>
          <w:p w:rsidRPr="005549F3" w:rsidR="00AF4210" w:rsidP="005C00F1" w14:paraId="709F1FA2" w14:textId="77777777">
            <w:pPr>
              <w:rPr>
                <w:sz w:val="16"/>
                <w:szCs w:val="16"/>
              </w:rPr>
            </w:pPr>
            <w:r w:rsidRPr="005549F3">
              <w:rPr>
                <w:sz w:val="16"/>
                <w:szCs w:val="16"/>
              </w:rPr>
              <w:t>Ex-post</w:t>
            </w:r>
          </w:p>
        </w:tc>
        <w:tc>
          <w:tcPr>
            <w:tcW w:w="1276" w:type="dxa"/>
            <w:noWrap/>
            <w:hideMark/>
          </w:tcPr>
          <w:p w:rsidRPr="005549F3" w:rsidR="00AF4210" w:rsidP="005C00F1" w14:paraId="238D870F" w14:textId="77777777">
            <w:pPr>
              <w:rPr>
                <w:sz w:val="16"/>
                <w:szCs w:val="16"/>
              </w:rPr>
            </w:pPr>
            <w:r w:rsidRPr="005549F3">
              <w:rPr>
                <w:sz w:val="16"/>
                <w:szCs w:val="16"/>
              </w:rPr>
              <w:t>2021</w:t>
            </w:r>
          </w:p>
        </w:tc>
      </w:tr>
      <w:tr w:rsidTr="00BF6C9F" w14:paraId="52F16F13" w14:textId="77777777">
        <w:tblPrEx>
          <w:tblW w:w="7650" w:type="dxa"/>
          <w:tblLook w:val="04A0"/>
        </w:tblPrEx>
        <w:trPr>
          <w:trHeight w:val="288"/>
        </w:trPr>
        <w:tc>
          <w:tcPr>
            <w:tcW w:w="5098" w:type="dxa"/>
            <w:noWrap/>
            <w:hideMark/>
          </w:tcPr>
          <w:p w:rsidRPr="005549F3" w:rsidR="00AF4210" w:rsidP="005C00F1" w14:paraId="4A569C1C" w14:textId="77777777">
            <w:pPr>
              <w:rPr>
                <w:sz w:val="16"/>
                <w:szCs w:val="16"/>
              </w:rPr>
            </w:pPr>
            <w:r w:rsidRPr="005549F3">
              <w:rPr>
                <w:sz w:val="16"/>
                <w:szCs w:val="16"/>
              </w:rPr>
              <w:t>Monitor Programma Aardgasvrij Wijken (PAW)</w:t>
            </w:r>
          </w:p>
        </w:tc>
        <w:tc>
          <w:tcPr>
            <w:tcW w:w="1276" w:type="dxa"/>
            <w:noWrap/>
            <w:hideMark/>
          </w:tcPr>
          <w:p w:rsidRPr="005549F3" w:rsidR="00AF4210" w:rsidP="005C00F1" w14:paraId="77AFBFA7" w14:textId="77777777">
            <w:pPr>
              <w:rPr>
                <w:sz w:val="16"/>
                <w:szCs w:val="16"/>
              </w:rPr>
            </w:pPr>
            <w:r w:rsidRPr="005549F3">
              <w:rPr>
                <w:sz w:val="16"/>
                <w:szCs w:val="16"/>
              </w:rPr>
              <w:t>Ex-</w:t>
            </w:r>
            <w:r w:rsidRPr="005549F3">
              <w:rPr>
                <w:sz w:val="16"/>
                <w:szCs w:val="16"/>
              </w:rPr>
              <w:t>durante</w:t>
            </w:r>
          </w:p>
        </w:tc>
        <w:tc>
          <w:tcPr>
            <w:tcW w:w="1276" w:type="dxa"/>
            <w:noWrap/>
            <w:hideMark/>
          </w:tcPr>
          <w:p w:rsidRPr="005549F3" w:rsidR="00AF4210" w:rsidP="005C00F1" w14:paraId="2C584F92" w14:textId="77777777">
            <w:pPr>
              <w:rPr>
                <w:sz w:val="16"/>
                <w:szCs w:val="16"/>
              </w:rPr>
            </w:pPr>
            <w:r w:rsidRPr="005549F3">
              <w:rPr>
                <w:sz w:val="16"/>
                <w:szCs w:val="16"/>
              </w:rPr>
              <w:t>2022</w:t>
            </w:r>
          </w:p>
        </w:tc>
      </w:tr>
      <w:tr w:rsidTr="00BF6C9F" w14:paraId="2952004B" w14:textId="77777777">
        <w:tblPrEx>
          <w:tblW w:w="7650" w:type="dxa"/>
          <w:tblLook w:val="04A0"/>
        </w:tblPrEx>
        <w:trPr>
          <w:trHeight w:val="288"/>
        </w:trPr>
        <w:tc>
          <w:tcPr>
            <w:tcW w:w="5098" w:type="dxa"/>
            <w:noWrap/>
            <w:hideMark/>
          </w:tcPr>
          <w:p w:rsidRPr="005549F3" w:rsidR="00AF4210" w:rsidP="005C00F1" w14:paraId="133F2058" w14:textId="77777777">
            <w:pPr>
              <w:rPr>
                <w:sz w:val="16"/>
                <w:szCs w:val="16"/>
              </w:rPr>
            </w:pPr>
            <w:r w:rsidRPr="005549F3">
              <w:rPr>
                <w:sz w:val="16"/>
                <w:szCs w:val="16"/>
              </w:rPr>
              <w:t>Evaluatie Programma Aardgasvrije Wijken (PAW)</w:t>
            </w:r>
          </w:p>
        </w:tc>
        <w:tc>
          <w:tcPr>
            <w:tcW w:w="1276" w:type="dxa"/>
            <w:noWrap/>
            <w:hideMark/>
          </w:tcPr>
          <w:p w:rsidRPr="005549F3" w:rsidR="00AF4210" w:rsidP="005C00F1" w14:paraId="77C88DC8" w14:textId="77777777">
            <w:pPr>
              <w:rPr>
                <w:sz w:val="16"/>
                <w:szCs w:val="16"/>
              </w:rPr>
            </w:pPr>
            <w:r w:rsidRPr="005549F3">
              <w:rPr>
                <w:sz w:val="16"/>
                <w:szCs w:val="16"/>
              </w:rPr>
              <w:t>Ex-post</w:t>
            </w:r>
          </w:p>
        </w:tc>
        <w:tc>
          <w:tcPr>
            <w:tcW w:w="1276" w:type="dxa"/>
            <w:noWrap/>
            <w:hideMark/>
          </w:tcPr>
          <w:p w:rsidRPr="005549F3" w:rsidR="00AF4210" w:rsidP="005C00F1" w14:paraId="63F42C3D" w14:textId="77777777">
            <w:pPr>
              <w:rPr>
                <w:sz w:val="16"/>
                <w:szCs w:val="16"/>
              </w:rPr>
            </w:pPr>
            <w:r w:rsidRPr="005549F3">
              <w:rPr>
                <w:sz w:val="16"/>
                <w:szCs w:val="16"/>
              </w:rPr>
              <w:t>2022</w:t>
            </w:r>
          </w:p>
        </w:tc>
      </w:tr>
      <w:tr w:rsidTr="00BF6C9F" w14:paraId="449E13B2" w14:textId="77777777">
        <w:tblPrEx>
          <w:tblW w:w="7650" w:type="dxa"/>
          <w:tblLook w:val="04A0"/>
        </w:tblPrEx>
        <w:trPr>
          <w:trHeight w:val="288"/>
        </w:trPr>
        <w:tc>
          <w:tcPr>
            <w:tcW w:w="5098" w:type="dxa"/>
            <w:noWrap/>
            <w:hideMark/>
          </w:tcPr>
          <w:p w:rsidRPr="005549F3" w:rsidR="00AF4210" w:rsidP="005C00F1" w14:paraId="49E218CF" w14:textId="77777777">
            <w:pPr>
              <w:rPr>
                <w:sz w:val="16"/>
                <w:szCs w:val="16"/>
              </w:rPr>
            </w:pPr>
            <w:r w:rsidRPr="005549F3">
              <w:rPr>
                <w:sz w:val="16"/>
                <w:szCs w:val="16"/>
              </w:rPr>
              <w:t>Monitor Klimaatbeleid – Hoofdstuk Gebouwde Omgeving</w:t>
            </w:r>
          </w:p>
        </w:tc>
        <w:tc>
          <w:tcPr>
            <w:tcW w:w="1276" w:type="dxa"/>
            <w:noWrap/>
            <w:hideMark/>
          </w:tcPr>
          <w:p w:rsidRPr="005549F3" w:rsidR="00AF4210" w:rsidP="005C00F1" w14:paraId="01DE95B2" w14:textId="77777777">
            <w:pPr>
              <w:rPr>
                <w:sz w:val="16"/>
                <w:szCs w:val="16"/>
              </w:rPr>
            </w:pPr>
            <w:r w:rsidRPr="005549F3">
              <w:rPr>
                <w:sz w:val="16"/>
                <w:szCs w:val="16"/>
              </w:rPr>
              <w:t>Ex-</w:t>
            </w:r>
            <w:r w:rsidRPr="005549F3">
              <w:rPr>
                <w:sz w:val="16"/>
                <w:szCs w:val="16"/>
              </w:rPr>
              <w:t>durante</w:t>
            </w:r>
          </w:p>
        </w:tc>
        <w:tc>
          <w:tcPr>
            <w:tcW w:w="1276" w:type="dxa"/>
            <w:noWrap/>
            <w:hideMark/>
          </w:tcPr>
          <w:p w:rsidRPr="005549F3" w:rsidR="00AF4210" w:rsidP="005C00F1" w14:paraId="53216EA2" w14:textId="77777777">
            <w:pPr>
              <w:rPr>
                <w:sz w:val="16"/>
                <w:szCs w:val="16"/>
              </w:rPr>
            </w:pPr>
            <w:r w:rsidRPr="005549F3">
              <w:rPr>
                <w:sz w:val="16"/>
                <w:szCs w:val="16"/>
              </w:rPr>
              <w:t>2022</w:t>
            </w:r>
          </w:p>
        </w:tc>
      </w:tr>
      <w:tr w:rsidTr="00BF6C9F" w14:paraId="728893B0" w14:textId="77777777">
        <w:tblPrEx>
          <w:tblW w:w="7650" w:type="dxa"/>
          <w:tblLook w:val="04A0"/>
        </w:tblPrEx>
        <w:trPr>
          <w:trHeight w:val="288"/>
        </w:trPr>
        <w:tc>
          <w:tcPr>
            <w:tcW w:w="5098" w:type="dxa"/>
            <w:noWrap/>
            <w:hideMark/>
          </w:tcPr>
          <w:p w:rsidRPr="005549F3" w:rsidR="00AF4210" w:rsidP="005C00F1" w14:paraId="7F667225" w14:textId="77777777">
            <w:pPr>
              <w:rPr>
                <w:sz w:val="16"/>
                <w:szCs w:val="16"/>
              </w:rPr>
            </w:pPr>
            <w:r w:rsidRPr="005549F3">
              <w:rPr>
                <w:sz w:val="16"/>
                <w:szCs w:val="16"/>
              </w:rPr>
              <w:t>Tweejaarlijkse voortgangsrapportage sectorale routekaarten maatschappelijk vastgoed</w:t>
            </w:r>
          </w:p>
        </w:tc>
        <w:tc>
          <w:tcPr>
            <w:tcW w:w="1276" w:type="dxa"/>
            <w:noWrap/>
            <w:hideMark/>
          </w:tcPr>
          <w:p w:rsidRPr="005549F3" w:rsidR="00AF4210" w:rsidP="005C00F1" w14:paraId="1835F785" w14:textId="77777777">
            <w:pPr>
              <w:rPr>
                <w:sz w:val="16"/>
                <w:szCs w:val="16"/>
              </w:rPr>
            </w:pPr>
            <w:r w:rsidRPr="005549F3">
              <w:rPr>
                <w:sz w:val="16"/>
                <w:szCs w:val="16"/>
              </w:rPr>
              <w:t>Ex-</w:t>
            </w:r>
            <w:r w:rsidRPr="005549F3">
              <w:rPr>
                <w:sz w:val="16"/>
                <w:szCs w:val="16"/>
              </w:rPr>
              <w:t>durante</w:t>
            </w:r>
          </w:p>
        </w:tc>
        <w:tc>
          <w:tcPr>
            <w:tcW w:w="1276" w:type="dxa"/>
            <w:noWrap/>
            <w:hideMark/>
          </w:tcPr>
          <w:p w:rsidRPr="005549F3" w:rsidR="00AF4210" w:rsidP="005C00F1" w14:paraId="69656961" w14:textId="77777777">
            <w:pPr>
              <w:rPr>
                <w:sz w:val="16"/>
                <w:szCs w:val="16"/>
              </w:rPr>
            </w:pPr>
            <w:r w:rsidRPr="005549F3">
              <w:rPr>
                <w:sz w:val="16"/>
                <w:szCs w:val="16"/>
              </w:rPr>
              <w:t>2022</w:t>
            </w:r>
          </w:p>
        </w:tc>
      </w:tr>
      <w:tr w:rsidTr="00BF6C9F" w14:paraId="6EB722FB" w14:textId="77777777">
        <w:tblPrEx>
          <w:tblW w:w="7650" w:type="dxa"/>
          <w:tblLook w:val="04A0"/>
        </w:tblPrEx>
        <w:trPr>
          <w:trHeight w:val="288"/>
        </w:trPr>
        <w:tc>
          <w:tcPr>
            <w:tcW w:w="5098" w:type="dxa"/>
            <w:noWrap/>
            <w:hideMark/>
          </w:tcPr>
          <w:p w:rsidRPr="005549F3" w:rsidR="00AF4210" w:rsidP="005C00F1" w14:paraId="7C96C4E3" w14:textId="77777777">
            <w:pPr>
              <w:rPr>
                <w:b w:val="0"/>
                <w:bCs w:val="0"/>
                <w:sz w:val="16"/>
                <w:szCs w:val="16"/>
              </w:rPr>
            </w:pPr>
            <w:r w:rsidRPr="005549F3">
              <w:rPr>
                <w:sz w:val="16"/>
                <w:szCs w:val="16"/>
              </w:rPr>
              <w:t>2021</w:t>
            </w:r>
          </w:p>
        </w:tc>
        <w:tc>
          <w:tcPr>
            <w:tcW w:w="1276" w:type="dxa"/>
            <w:noWrap/>
            <w:hideMark/>
          </w:tcPr>
          <w:p w:rsidRPr="005549F3" w:rsidR="00AF4210" w:rsidP="005C00F1" w14:paraId="3F0C45B4" w14:textId="77777777">
            <w:pPr>
              <w:rPr>
                <w:b/>
                <w:bCs/>
                <w:sz w:val="16"/>
                <w:szCs w:val="16"/>
              </w:rPr>
            </w:pPr>
          </w:p>
        </w:tc>
        <w:tc>
          <w:tcPr>
            <w:tcW w:w="1276" w:type="dxa"/>
            <w:noWrap/>
            <w:hideMark/>
          </w:tcPr>
          <w:p w:rsidRPr="005549F3" w:rsidR="00AF4210" w:rsidP="005C00F1" w14:paraId="54DAF35D" w14:textId="77777777">
            <w:pPr>
              <w:rPr>
                <w:sz w:val="16"/>
                <w:szCs w:val="16"/>
              </w:rPr>
            </w:pPr>
          </w:p>
        </w:tc>
      </w:tr>
      <w:tr w:rsidTr="00BF6C9F" w14:paraId="55ADDFB2" w14:textId="77777777">
        <w:tblPrEx>
          <w:tblW w:w="7650" w:type="dxa"/>
          <w:tblLook w:val="04A0"/>
        </w:tblPrEx>
        <w:trPr>
          <w:trHeight w:val="288"/>
        </w:trPr>
        <w:tc>
          <w:tcPr>
            <w:tcW w:w="5098" w:type="dxa"/>
            <w:noWrap/>
            <w:hideMark/>
          </w:tcPr>
          <w:p w:rsidRPr="005549F3" w:rsidR="00AF4210" w:rsidP="005C00F1" w14:paraId="02C5DC1E" w14:textId="77777777">
            <w:pPr>
              <w:rPr>
                <w:sz w:val="16"/>
                <w:szCs w:val="16"/>
              </w:rPr>
            </w:pPr>
            <w:r w:rsidRPr="005549F3">
              <w:rPr>
                <w:sz w:val="16"/>
                <w:szCs w:val="16"/>
              </w:rPr>
              <w:t>Evaluatie aanvraag- en selectieproces PAW 2020</w:t>
            </w:r>
          </w:p>
        </w:tc>
        <w:tc>
          <w:tcPr>
            <w:tcW w:w="1276" w:type="dxa"/>
            <w:noWrap/>
            <w:hideMark/>
          </w:tcPr>
          <w:p w:rsidRPr="005549F3" w:rsidR="00AF4210" w:rsidP="005C00F1" w14:paraId="7B9A11C8" w14:textId="77777777">
            <w:pPr>
              <w:rPr>
                <w:sz w:val="16"/>
                <w:szCs w:val="16"/>
              </w:rPr>
            </w:pPr>
            <w:r w:rsidRPr="005549F3">
              <w:rPr>
                <w:sz w:val="16"/>
                <w:szCs w:val="16"/>
              </w:rPr>
              <w:t>Ex-post</w:t>
            </w:r>
          </w:p>
        </w:tc>
        <w:tc>
          <w:tcPr>
            <w:tcW w:w="1276" w:type="dxa"/>
            <w:noWrap/>
            <w:hideMark/>
          </w:tcPr>
          <w:p w:rsidRPr="005549F3" w:rsidR="00AF4210" w:rsidP="005C00F1" w14:paraId="60A93046" w14:textId="77777777">
            <w:pPr>
              <w:rPr>
                <w:sz w:val="16"/>
                <w:szCs w:val="16"/>
              </w:rPr>
            </w:pPr>
            <w:r w:rsidRPr="005549F3">
              <w:rPr>
                <w:sz w:val="16"/>
                <w:szCs w:val="16"/>
              </w:rPr>
              <w:t>2020</w:t>
            </w:r>
          </w:p>
        </w:tc>
      </w:tr>
      <w:tr w:rsidTr="00BF6C9F" w14:paraId="72530352" w14:textId="77777777">
        <w:tblPrEx>
          <w:tblW w:w="7650" w:type="dxa"/>
          <w:tblLook w:val="04A0"/>
        </w:tblPrEx>
        <w:trPr>
          <w:trHeight w:val="288"/>
        </w:trPr>
        <w:tc>
          <w:tcPr>
            <w:tcW w:w="5098" w:type="dxa"/>
            <w:noWrap/>
            <w:hideMark/>
          </w:tcPr>
          <w:p w:rsidRPr="005549F3" w:rsidR="00AF4210" w:rsidP="005C00F1" w14:paraId="0A6B8995" w14:textId="77777777">
            <w:pPr>
              <w:rPr>
                <w:sz w:val="16"/>
                <w:szCs w:val="16"/>
              </w:rPr>
            </w:pPr>
            <w:r w:rsidRPr="005549F3">
              <w:rPr>
                <w:sz w:val="16"/>
                <w:szCs w:val="16"/>
              </w:rPr>
              <w:t>Monitor Warmtefonds/NEF</w:t>
            </w:r>
          </w:p>
        </w:tc>
        <w:tc>
          <w:tcPr>
            <w:tcW w:w="1276" w:type="dxa"/>
            <w:noWrap/>
            <w:hideMark/>
          </w:tcPr>
          <w:p w:rsidRPr="005549F3" w:rsidR="00AF4210" w:rsidP="005C00F1" w14:paraId="5A89CB68" w14:textId="77777777">
            <w:pPr>
              <w:rPr>
                <w:sz w:val="16"/>
                <w:szCs w:val="16"/>
              </w:rPr>
            </w:pPr>
          </w:p>
        </w:tc>
        <w:tc>
          <w:tcPr>
            <w:tcW w:w="1276" w:type="dxa"/>
            <w:noWrap/>
            <w:hideMark/>
          </w:tcPr>
          <w:p w:rsidRPr="005549F3" w:rsidR="00AF4210" w:rsidP="005C00F1" w14:paraId="734D2A0C" w14:textId="77777777">
            <w:pPr>
              <w:rPr>
                <w:sz w:val="16"/>
                <w:szCs w:val="16"/>
              </w:rPr>
            </w:pPr>
            <w:r w:rsidRPr="005549F3">
              <w:rPr>
                <w:sz w:val="16"/>
                <w:szCs w:val="16"/>
              </w:rPr>
              <w:t>2021</w:t>
            </w:r>
          </w:p>
        </w:tc>
      </w:tr>
      <w:tr w:rsidTr="00BF6C9F" w14:paraId="0A568AF4" w14:textId="77777777">
        <w:tblPrEx>
          <w:tblW w:w="7650" w:type="dxa"/>
          <w:tblLook w:val="04A0"/>
        </w:tblPrEx>
        <w:trPr>
          <w:trHeight w:val="288"/>
        </w:trPr>
        <w:tc>
          <w:tcPr>
            <w:tcW w:w="5098" w:type="dxa"/>
            <w:noWrap/>
            <w:hideMark/>
          </w:tcPr>
          <w:p w:rsidRPr="005549F3" w:rsidR="00AF4210" w:rsidP="005C00F1" w14:paraId="75B34F75" w14:textId="77777777">
            <w:pPr>
              <w:rPr>
                <w:sz w:val="16"/>
                <w:szCs w:val="16"/>
              </w:rPr>
            </w:pPr>
            <w:r w:rsidRPr="005549F3">
              <w:rPr>
                <w:sz w:val="16"/>
                <w:szCs w:val="16"/>
              </w:rPr>
              <w:t>Beleidsdoorlichting artikel 4.1 Energietransitie en duurzaamheid: Energieakkoord 2015-2020</w:t>
            </w:r>
          </w:p>
        </w:tc>
        <w:tc>
          <w:tcPr>
            <w:tcW w:w="1276" w:type="dxa"/>
            <w:noWrap/>
            <w:hideMark/>
          </w:tcPr>
          <w:p w:rsidRPr="005549F3" w:rsidR="00AF4210" w:rsidP="005C00F1" w14:paraId="7AFC2047" w14:textId="77777777">
            <w:pPr>
              <w:rPr>
                <w:sz w:val="16"/>
                <w:szCs w:val="16"/>
              </w:rPr>
            </w:pPr>
            <w:r w:rsidRPr="005549F3">
              <w:rPr>
                <w:sz w:val="16"/>
                <w:szCs w:val="16"/>
              </w:rPr>
              <w:t>Ex-post</w:t>
            </w:r>
          </w:p>
        </w:tc>
        <w:tc>
          <w:tcPr>
            <w:tcW w:w="1276" w:type="dxa"/>
            <w:noWrap/>
            <w:hideMark/>
          </w:tcPr>
          <w:p w:rsidRPr="005549F3" w:rsidR="00AF4210" w:rsidP="005C00F1" w14:paraId="356F4FD6" w14:textId="77777777">
            <w:pPr>
              <w:rPr>
                <w:sz w:val="16"/>
                <w:szCs w:val="16"/>
              </w:rPr>
            </w:pPr>
            <w:r w:rsidRPr="005549F3">
              <w:rPr>
                <w:sz w:val="16"/>
                <w:szCs w:val="16"/>
              </w:rPr>
              <w:t>2022</w:t>
            </w:r>
          </w:p>
        </w:tc>
      </w:tr>
    </w:tbl>
    <w:p w:rsidRPr="005549F3" w:rsidR="00AF4210" w:rsidP="00AF4210" w14:paraId="351D6DAF" w14:textId="77777777"/>
    <w:p w:rsidRPr="005549F3" w:rsidR="00AF4210" w:rsidP="00AF4210" w14:paraId="4505B182" w14:textId="77777777">
      <w:bookmarkStart w:name="_Hlk201786460" w:id="1"/>
      <w:r w:rsidRPr="005549F3">
        <w:t xml:space="preserve">Er zijn een aantal beleidsinstrumenten onder artikel 2.1 met een substantieel budget die </w:t>
      </w:r>
      <w:r>
        <w:t>na afronding van deze Periodieke rapportage</w:t>
      </w:r>
      <w:r w:rsidRPr="005549F3">
        <w:t xml:space="preserve"> nog geëvalueerd worden</w:t>
      </w:r>
      <w:r w:rsidRPr="007B7797">
        <w:t xml:space="preserve">. Reeds bestaande inzichten over deze </w:t>
      </w:r>
      <w:r>
        <w:t xml:space="preserve">beleidsinstrumenten </w:t>
      </w:r>
      <w:r w:rsidRPr="007B7797">
        <w:t xml:space="preserve">worden wel betrokken. </w:t>
      </w:r>
      <w:r w:rsidRPr="005549F3">
        <w:t xml:space="preserve">Dit </w:t>
      </w:r>
      <w:r w:rsidRPr="005549F3">
        <w:t xml:space="preserve">betreft de SPUK Lokale Aanpak Isolatie van het Nationaal Isolatieprogramma (€1,57 </w:t>
      </w:r>
      <w:r w:rsidRPr="005549F3">
        <w:t>mrd</w:t>
      </w:r>
      <w:r w:rsidR="00006678">
        <w:t>.</w:t>
      </w:r>
      <w:r w:rsidRPr="005549F3">
        <w:t>), de SPUK Aanpak Energiearmoede (€550 mln</w:t>
      </w:r>
      <w:r w:rsidR="00006678">
        <w:t>.</w:t>
      </w:r>
      <w:r w:rsidRPr="005549F3">
        <w:t>) en de SPUK Ventilatie in scholen (€200 mln</w:t>
      </w:r>
      <w:r w:rsidR="00006678">
        <w:t>.</w:t>
      </w:r>
      <w:r w:rsidRPr="005549F3">
        <w:t xml:space="preserve">). </w:t>
      </w:r>
    </w:p>
    <w:p w:rsidRPr="005549F3" w:rsidR="00AF4210" w:rsidP="00AF4210" w14:paraId="0677A764" w14:textId="77777777"/>
    <w:p w:rsidRPr="005549F3" w:rsidR="00AF4210" w:rsidP="00AF4210" w14:paraId="375D4EAB" w14:textId="77777777">
      <w:r w:rsidRPr="004D3472">
        <w:t>Van de SPUK Lokale Aanpak Isolati</w:t>
      </w:r>
      <w:r w:rsidRPr="004D3472" w:rsidR="00206197">
        <w:t>e</w:t>
      </w:r>
      <w:r w:rsidRPr="004D3472">
        <w:t xml:space="preserve">, de omvangrijkste subsidie binnen het Nationaal Isolatieprogramma, kan de eerste tranche nog tot eind 2028 worden besteed door gemeenten. Van deze subsidieregeling gestart in 2023 zal in 2026 nog geen beleidsevaluatie voorhanden zijn. Wel zijn er rapportages en onderzoeksmateriaal over de uitvoering van deze regeling die kunnen worden meegenomen in de </w:t>
      </w:r>
      <w:r w:rsidRPr="004D3472" w:rsidR="00692981">
        <w:t>Periodieke rapportage</w:t>
      </w:r>
      <w:r w:rsidRPr="004D3472">
        <w:t>.</w:t>
      </w:r>
    </w:p>
    <w:p w:rsidRPr="005549F3" w:rsidR="00AF4210" w:rsidP="00AF4210" w14:paraId="119FB776" w14:textId="77777777">
      <w:r w:rsidRPr="005549F3">
        <w:t xml:space="preserve">Ook de termijn waarbinnen de SPUK-middelen in het kader van de regeling Ventilatie in scholen kan worden aangewend is nog niet verstreken en is </w:t>
      </w:r>
      <w:r w:rsidRPr="005549F3">
        <w:t xml:space="preserve">bovendien onlangs verlengd. Tot en met eind februari 2027 kunnen deze subsidies worden besteed. Vandaar dat een volledige evaluatie van deze regeling pas na die datum zal starten. </w:t>
      </w:r>
    </w:p>
    <w:p w:rsidRPr="005549F3" w:rsidR="00AF4210" w:rsidP="00AF4210" w14:paraId="374DEC54" w14:textId="77777777">
      <w:r w:rsidRPr="004D3472">
        <w:t>De SPUK Aanpak Energiearmoede, gestart in 2022, betreft een uitkering aan gemeenten om middelen in te zetten om energiearmoede te bestrijden in de gemeente. Deze middelen kunnen nog tot en met 31 december 2027 worden ingezet. De evaluatie start in 2026 en is uiterlijk 2027 gereed</w:t>
      </w:r>
      <w:r w:rsidRPr="004D3472" w:rsidR="00DB64C8">
        <w:t xml:space="preserve"> en zal worden meegenomen in een volgende Periodieke rapportage</w:t>
      </w:r>
    </w:p>
    <w:bookmarkEnd w:id="1"/>
    <w:p w:rsidR="007B4485" w:rsidP="00AF4210" w14:paraId="437030C7" w14:textId="77777777">
      <w:pPr>
        <w:rPr>
          <w:b/>
          <w:i/>
          <w:iCs/>
        </w:rPr>
      </w:pPr>
    </w:p>
    <w:p w:rsidRPr="005549F3" w:rsidR="00AF4210" w:rsidP="00AF4210" w14:paraId="420C091A" w14:textId="77777777">
      <w:pPr>
        <w:rPr>
          <w:b/>
          <w:i/>
          <w:iCs/>
        </w:rPr>
      </w:pPr>
      <w:r w:rsidRPr="005549F3">
        <w:rPr>
          <w:b/>
          <w:i/>
          <w:iCs/>
        </w:rPr>
        <w:t>Onderzoeksaanpak</w:t>
      </w:r>
    </w:p>
    <w:p w:rsidRPr="005549F3" w:rsidR="00AF4210" w:rsidP="00AF4210" w14:paraId="62C5F6DF" w14:textId="77777777">
      <w:r w:rsidRPr="005549F3">
        <w:t xml:space="preserve">Hoofddoelstelling van het duurzaamheidsbeleid in de gebouwde omgeving is de reductie van de uitstoot van broeikasgassen tot 13,2 </w:t>
      </w:r>
      <w:r w:rsidRPr="005549F3">
        <w:t>Mton</w:t>
      </w:r>
      <w:r w:rsidRPr="005549F3">
        <w:t xml:space="preserve"> aan CO</w:t>
      </w:r>
      <w:r w:rsidRPr="00006678">
        <w:rPr>
          <w:vertAlign w:val="subscript"/>
        </w:rPr>
        <w:t>2</w:t>
      </w:r>
      <w:r w:rsidRPr="005549F3">
        <w:t xml:space="preserve">-equivalenten. </w:t>
      </w:r>
      <w:r w:rsidR="004D46EB">
        <w:t>He</w:t>
      </w:r>
      <w:r w:rsidRPr="00CC45A0" w:rsidR="00263BF7">
        <w:t>t bereiken van de doelen in termen van CO</w:t>
      </w:r>
      <w:r w:rsidRPr="00CC45A0" w:rsidR="00263BF7">
        <w:rPr>
          <w:vertAlign w:val="subscript"/>
        </w:rPr>
        <w:t>2</w:t>
      </w:r>
      <w:r w:rsidRPr="00CC45A0" w:rsidR="00263BF7">
        <w:t xml:space="preserve">-uitstoot en energiebesparing wordt in de </w:t>
      </w:r>
      <w:r w:rsidRPr="00CC45A0">
        <w:t>Klimaat- en Energieverkenning</w:t>
      </w:r>
      <w:r w:rsidRPr="00CC45A0" w:rsidR="00263BF7">
        <w:t xml:space="preserve"> van </w:t>
      </w:r>
      <w:r w:rsidRPr="00CC45A0" w:rsidR="00263BF7">
        <w:t xml:space="preserve">PBL </w:t>
      </w:r>
      <w:r w:rsidRPr="00CC45A0" w:rsidR="00CC45A0">
        <w:t>periodiek</w:t>
      </w:r>
      <w:r w:rsidRPr="00CC45A0" w:rsidR="00CC45A0">
        <w:t xml:space="preserve"> geanalyseerd</w:t>
      </w:r>
      <w:r w:rsidRPr="00CC45A0" w:rsidR="00263BF7">
        <w:t xml:space="preserve">. </w:t>
      </w:r>
      <w:r w:rsidR="00AB4303">
        <w:t>Ook in het genoemde breed</w:t>
      </w:r>
      <w:r w:rsidRPr="00E37D21" w:rsidR="00AB4303">
        <w:t xml:space="preserve"> syntheseonderzoek van het nationale klimaatbeleid </w:t>
      </w:r>
      <w:r w:rsidR="00AB4303">
        <w:t xml:space="preserve">is </w:t>
      </w:r>
      <w:r w:rsidR="00AB4303">
        <w:t>hier op</w:t>
      </w:r>
      <w:r w:rsidR="00AB4303">
        <w:t xml:space="preserve"> ingegaan. </w:t>
      </w:r>
      <w:r w:rsidRPr="00CC45A0" w:rsidR="00263BF7">
        <w:t xml:space="preserve">Om </w:t>
      </w:r>
      <w:r w:rsidRPr="00CC45A0">
        <w:t>aan de</w:t>
      </w:r>
      <w:r w:rsidRPr="00CC45A0" w:rsidR="00263BF7">
        <w:t>ze</w:t>
      </w:r>
      <w:r w:rsidRPr="00CC45A0">
        <w:t xml:space="preserve"> evaluatie van het </w:t>
      </w:r>
      <w:r w:rsidRPr="005549F3" w:rsidR="00AB4303">
        <w:t xml:space="preserve">duurzaamheidsbeleid in de gebouwde omgeving </w:t>
      </w:r>
      <w:r w:rsidR="004D46EB">
        <w:t xml:space="preserve">nadere </w:t>
      </w:r>
      <w:r w:rsidRPr="00CC45A0" w:rsidR="00CC45A0">
        <w:t xml:space="preserve">diepgang te geven, </w:t>
      </w:r>
      <w:r w:rsidRPr="00CC45A0" w:rsidR="00263BF7">
        <w:t xml:space="preserve">wordt </w:t>
      </w:r>
      <w:r w:rsidR="00CC45A0">
        <w:t xml:space="preserve">ook </w:t>
      </w:r>
      <w:r w:rsidRPr="00CC45A0" w:rsidR="00263BF7">
        <w:t>ingegaa</w:t>
      </w:r>
      <w:r w:rsidRPr="00CC45A0" w:rsidR="00CC45A0">
        <w:t>n op het hoe en waarom het beleid in deze vorm tot stand is gekomen, hoe dat proces is verlopen en welke</w:t>
      </w:r>
      <w:r w:rsidRPr="005549F3" w:rsidR="00CC45A0">
        <w:t xml:space="preserve"> afwegingen daarbij zijn gemaakt.</w:t>
      </w:r>
      <w:r w:rsidRPr="005549F3">
        <w:t xml:space="preserve"> Immers, de context speelt bij de uitvoering vaak een dominante rol en heeft dikwijls ook een sterke en vooraf onvoorspelbare invloed op de uitkomsten van beleid. </w:t>
      </w:r>
    </w:p>
    <w:p w:rsidRPr="005549F3" w:rsidR="00AF4210" w:rsidP="00AF4210" w14:paraId="5F9CAD57" w14:textId="77777777"/>
    <w:p w:rsidRPr="005549F3" w:rsidR="00AF4210" w:rsidP="00AF4210" w14:paraId="18B2C4C4" w14:textId="77777777">
      <w:r w:rsidRPr="005549F3">
        <w:t xml:space="preserve">Om een kader te hebben waarbinnen de doelbereiking kan worden geplaatst, zullen de belangrijkste factoren die in de onderzoeksperiode van invloed zijn geweest op het behalen van het centrale doel, de reductie van de </w:t>
      </w:r>
      <w:r w:rsidRPr="005549F3" w:rsidR="00006678">
        <w:t>CO</w:t>
      </w:r>
      <w:r w:rsidRPr="00006678" w:rsidR="00006678">
        <w:rPr>
          <w:vertAlign w:val="subscript"/>
        </w:rPr>
        <w:t>2</w:t>
      </w:r>
      <w:r w:rsidRPr="005549F3">
        <w:t xml:space="preserve">-uitstoot in de gebouwde omgeving, zowel kwalitatief als kwantitatief in kaart worden gebracht. De kwantitatieve analyse kan de vorm aannemen van een decompositie-analyse waarin de bijdrage van verschillende factoren aan de reductie van de </w:t>
      </w:r>
      <w:r w:rsidRPr="005549F3" w:rsidR="009C3B07">
        <w:t>CO</w:t>
      </w:r>
      <w:r w:rsidRPr="00006678" w:rsidR="009C3B07">
        <w:rPr>
          <w:vertAlign w:val="subscript"/>
        </w:rPr>
        <w:t>2</w:t>
      </w:r>
      <w:r w:rsidRPr="005549F3">
        <w:t xml:space="preserve">-emissie door aardgasgebruik zo goed mogelijk kwantitatief in beeld wordt gebracht. Daarbij gaat het om factoren als demografie, ontwikkeling woningvoorraad, gedragsverandering, energiebesparende maatregelen, </w:t>
      </w:r>
      <w:r w:rsidRPr="005549F3" w:rsidR="009C3B07">
        <w:t>CO</w:t>
      </w:r>
      <w:r w:rsidRPr="00006678" w:rsidR="009C3B07">
        <w:rPr>
          <w:vertAlign w:val="subscript"/>
        </w:rPr>
        <w:t>2</w:t>
      </w:r>
      <w:r w:rsidRPr="005549F3">
        <w:t xml:space="preserve">-intensiteit van fossiele energiedragers en energie-efficiëntie. Het is daarbij van belang om de invloed te benoemen </w:t>
      </w:r>
      <w:r w:rsidR="00FA2C52">
        <w:t>v</w:t>
      </w:r>
      <w:r w:rsidRPr="005549F3">
        <w:t>an factoren die niet door het gevoerde klimaatbeleid (kunnen) worden beïnvloed, zoals de demografische ontwikkeling of de stijging van de gasprijzen sinds de Russische inval in Oekraïne.</w:t>
      </w:r>
    </w:p>
    <w:p w:rsidRPr="005549F3" w:rsidR="00AF4210" w:rsidP="00AF4210" w14:paraId="1D3344BC" w14:textId="77777777"/>
    <w:p w:rsidRPr="005549F3" w:rsidR="00AF4210" w:rsidP="00AF4210" w14:paraId="52E0963F" w14:textId="77777777">
      <w:r w:rsidRPr="005549F3">
        <w:t xml:space="preserve">De </w:t>
      </w:r>
      <w:r w:rsidR="00692981">
        <w:t>Periodieke rapportage</w:t>
      </w:r>
      <w:r w:rsidRPr="005549F3">
        <w:t xml:space="preserve"> start met de reconstructie van de beleidstheorie en de wijze waarop deze tot stand is gebracht. Op basis van documentanalyse en interviews met betrokkenen kan de beleidstheorie nader uitgewerkt worden. Als vertrekpunt voor deze reconstructie kan de reeds opgestelde beleidstheorie voor de monitoring van het Klimaatbeleid gelden (zie ook </w:t>
      </w:r>
      <w:hyperlink w:history="1" r:id="rId7">
        <w:r w:rsidRPr="005549F3">
          <w:rPr>
            <w:rStyle w:val="Hyperlink"/>
          </w:rPr>
          <w:t>www.Dashboardklimaatbeleid.nl</w:t>
        </w:r>
      </w:hyperlink>
      <w:r w:rsidRPr="005549F3">
        <w:t>) en de reconstructie in het kader van het Syntheseonderzoek klimaatbeleid uit 2024</w:t>
      </w:r>
      <w:r>
        <w:rPr>
          <w:rStyle w:val="FootnoteReference"/>
        </w:rPr>
        <w:footnoteReference w:id="5"/>
      </w:r>
      <w:r w:rsidRPr="005549F3">
        <w:t>. Oogmerk is het achterhalen op welke vooronderstellingen en causale redeneringen het beleid sinds 2021 is gebaseerd en eventueel onderweg is bijgesteld.</w:t>
      </w:r>
    </w:p>
    <w:p w:rsidRPr="005549F3" w:rsidR="00AF4210" w:rsidP="00AF4210" w14:paraId="0CF0C056" w14:textId="77777777"/>
    <w:p w:rsidR="00AF4210" w:rsidP="00AF4210" w14:paraId="0B0F67BB" w14:textId="77777777">
      <w:r w:rsidRPr="005549F3">
        <w:t xml:space="preserve">Bij deze reconstructie is het waardevol om inzichtelijk te maken welke onderliggende aannames en (mens)beelden ten grondslag liggen aan de beleidstheorie, in hoeverre die geëxpliciteerd zijn in beleidsdocumenten en in hoeverre deze empirisch getoetst zijn aan de leefwereld van burgers. Doel hiervan is om onuitgesproken aannames die het beleid sturen beter zichtbaar te </w:t>
      </w:r>
      <w:r w:rsidRPr="005549F3">
        <w:t>maken en om te toetsen of deze kloppen met hoe te beïnvloeden actoren werkelijk denken, leven en handelen. Dit gaat onder andere over de capaciteiten van burgers om te voldoen aan de eisen die het beleid stelt (</w:t>
      </w:r>
      <w:r w:rsidRPr="005549F3">
        <w:t>doenvermogen</w:t>
      </w:r>
      <w:r w:rsidRPr="005549F3">
        <w:t>). Maar het gaat ook over (individuele) belemmeringen voor burgers om hun woning (of bedrijfsgebouw) te gaan verduurzamen, zoals een tekort aan financieel vermogen of een onzeker verblijfsduurperspectief vanwege ouderdom en een kwetsbare gezondheid.</w:t>
      </w:r>
    </w:p>
    <w:p w:rsidRPr="005549F3" w:rsidR="00242CBD" w:rsidP="00AF4210" w14:paraId="690B2528" w14:textId="77777777"/>
    <w:p w:rsidR="007B4485" w:rsidP="00AF4210" w14:paraId="6B9D6085" w14:textId="77777777">
      <w:r w:rsidRPr="005549F3">
        <w:t xml:space="preserve">Op basis van de gereconstrueerde beleidstheorie kunnen nog een aantal relevante aspecten van de ingezette beleidsinstrumenten worden benoemd die volgens de literatuur een verklaring zouden kunnen vormen voor de effectiviteit van het beleid. De vraag die hiermee beantwoord kan worden is welke aspecten van beleidsinstrumenten samenhangen met meer of minder effectief of efficiënt beleid. Voorbeelden van dergelijke aspecten houden verband met het generieke versus het gebiedsgerichte of het verplichtende (‘stok’) versus het verleidende (‘wortel’) karakter van instrumenten. </w:t>
      </w:r>
    </w:p>
    <w:p w:rsidRPr="005549F3" w:rsidR="00AF4210" w:rsidP="00AF4210" w14:paraId="0F8CCB3A" w14:textId="77777777">
      <w:r w:rsidRPr="005549F3">
        <w:t xml:space="preserve">Aspecten kunnen ook te maken hebben met de </w:t>
      </w:r>
      <w:r w:rsidRPr="005549F3">
        <w:t>governance</w:t>
      </w:r>
      <w:r w:rsidRPr="005549F3">
        <w:t xml:space="preserve">: wie voert de maatregelen uit en wie is verantwoordelijk voor het welslagen? De </w:t>
      </w:r>
      <w:r w:rsidR="00692981">
        <w:t>Periodieke rapportage</w:t>
      </w:r>
      <w:r w:rsidRPr="005549F3">
        <w:t xml:space="preserve"> kan inzicht bieden in effectiviteit en efficiëntie van individuele instrumenten, maar mogelijk ook laten zien in hoeverre bepaalde combinaties van instrumenten elkaar versterken of juist tegenwerken. </w:t>
      </w:r>
    </w:p>
    <w:p w:rsidRPr="005549F3" w:rsidR="00AF4210" w:rsidP="00AF4210" w14:paraId="275D1BC1" w14:textId="77777777"/>
    <w:p w:rsidRPr="005549F3" w:rsidR="00AF4210" w:rsidP="00AF4210" w14:paraId="39FE90FB" w14:textId="77777777">
      <w:r w:rsidRPr="005549F3">
        <w:t xml:space="preserve">De </w:t>
      </w:r>
      <w:r w:rsidR="00692981">
        <w:t>Periodieke rapportage</w:t>
      </w:r>
      <w:r w:rsidRPr="005549F3">
        <w:t xml:space="preserve"> dient tevens een beschouwing te bevatten over maatregelen die kunnen worden genomen om de doelmatigheid en doeltreffendheid van het verduurzamingsbeleid ook op de lange termijn te waarborgen. Daarbij spe</w:t>
      </w:r>
      <w:r w:rsidR="00F875D5">
        <w:t>elt</w:t>
      </w:r>
      <w:r w:rsidRPr="005549F3">
        <w:t xml:space="preserve"> behoud van draagvlak bij burgers </w:t>
      </w:r>
      <w:r w:rsidR="00F875D5">
        <w:t>voor</w:t>
      </w:r>
      <w:r w:rsidRPr="005549F3">
        <w:t xml:space="preserve"> het klimaatbeleid in de gebouwde omgeving een belangrijke rol.</w:t>
      </w:r>
    </w:p>
    <w:p w:rsidRPr="005549F3" w:rsidR="00AF4210" w:rsidP="00AF4210" w14:paraId="760CCD2A" w14:textId="77777777"/>
    <w:p w:rsidRPr="005549F3" w:rsidR="00AF4210" w:rsidP="00AF4210" w14:paraId="6427B83F" w14:textId="77777777">
      <w:pPr>
        <w:rPr>
          <w:b/>
          <w:bCs/>
          <w:i/>
          <w:iCs/>
        </w:rPr>
      </w:pPr>
      <w:r w:rsidRPr="005549F3">
        <w:rPr>
          <w:b/>
          <w:bCs/>
          <w:i/>
          <w:iCs/>
        </w:rPr>
        <w:t>Proces</w:t>
      </w:r>
    </w:p>
    <w:p w:rsidRPr="005549F3" w:rsidR="00AF4210" w:rsidP="00AF4210" w14:paraId="62D4299E" w14:textId="77777777">
      <w:r w:rsidRPr="005549F3">
        <w:t xml:space="preserve">Gekozen is de </w:t>
      </w:r>
      <w:r w:rsidR="00692981">
        <w:t>Periodieke rapportage</w:t>
      </w:r>
      <w:r w:rsidRPr="005549F3">
        <w:t xml:space="preserve"> te laten uitvoeren door een onderzoeksbureau met expertise op het gebied van de energietransitie in de gebouwde omgeving.</w:t>
      </w:r>
    </w:p>
    <w:p w:rsidRPr="005549F3" w:rsidR="00AF4210" w:rsidP="00AF4210" w14:paraId="004D7F59" w14:textId="77777777"/>
    <w:p w:rsidRPr="005549F3" w:rsidR="00AF4210" w:rsidP="00AF4210" w14:paraId="381B30DB" w14:textId="77777777">
      <w:r w:rsidRPr="005549F3">
        <w:t>Het ministerie van VRO levert zelf een bijdrage aan de informatievoorziening en dataverzameling en neemt deel aan inhoudelijke bijeenkomsten over de beleidstheorie en de opzet van de analyse. Voor het onderzoek wordt gebruik gemaakt van voorhanden zijnde evaluaties en rapporten. Aan de hand van diverse kamerbrieven en andere beleidsdocumenten zal daarbij worden geduid waar deze onderzoeken en evaluaties van invloed zijn geweest op veranderingen in het beleid. Daarnaast zullen interviews met belanghebbenden en beleidsmakers worden gevoerd.</w:t>
      </w:r>
    </w:p>
    <w:p w:rsidRPr="005549F3" w:rsidR="00AF4210" w:rsidP="00AF4210" w14:paraId="062E0BE5" w14:textId="77777777"/>
    <w:p w:rsidRPr="005549F3" w:rsidR="00AF4210" w:rsidP="00AF4210" w14:paraId="2F8AF2E2" w14:textId="77777777">
      <w:pPr>
        <w:rPr>
          <w:b/>
          <w:bCs/>
          <w:i/>
          <w:iCs/>
        </w:rPr>
      </w:pPr>
      <w:r w:rsidRPr="005549F3">
        <w:rPr>
          <w:b/>
          <w:bCs/>
          <w:i/>
          <w:iCs/>
        </w:rPr>
        <w:t>Bezuinigingsvariant</w:t>
      </w:r>
    </w:p>
    <w:p w:rsidRPr="005549F3" w:rsidR="00AF4210" w:rsidP="00AF4210" w14:paraId="0094A5C4" w14:textId="77777777">
      <w:pPr>
        <w:rPr>
          <w:b/>
          <w:bCs/>
          <w:i/>
          <w:iCs/>
        </w:rPr>
      </w:pPr>
      <w:r w:rsidRPr="005549F3">
        <w:t xml:space="preserve">De RPE vereist dat aan de </w:t>
      </w:r>
      <w:r w:rsidR="00692981">
        <w:t>Periodieke rapportage</w:t>
      </w:r>
      <w:r w:rsidRPr="005549F3">
        <w:t xml:space="preserve"> een analyse wordt toegevoegd waaruit blijkt welke beleidsopties resteren in een situatie waarin significant minder budget (minus 20%) voorhanden zou zijn. De vraag is dus welke instrumenten zouden kunnen worden ingezet om in geval van substantieel lagere budgetten toch de beleidsdoelen te halen.</w:t>
      </w:r>
    </w:p>
    <w:p w:rsidRPr="005549F3" w:rsidR="00AF4210" w:rsidP="00AF4210" w14:paraId="61A805A0" w14:textId="77777777">
      <w:pPr>
        <w:rPr>
          <w:b/>
          <w:bCs/>
          <w:i/>
          <w:iCs/>
        </w:rPr>
      </w:pPr>
    </w:p>
    <w:p w:rsidRPr="005549F3" w:rsidR="00AF4210" w:rsidP="00AF4210" w14:paraId="05ECB886" w14:textId="77777777">
      <w:pPr>
        <w:rPr>
          <w:b/>
          <w:bCs/>
        </w:rPr>
      </w:pPr>
      <w:r w:rsidRPr="005549F3">
        <w:rPr>
          <w:b/>
          <w:bCs/>
          <w:i/>
          <w:iCs/>
        </w:rPr>
        <w:t xml:space="preserve">Verbeterparagraaf </w:t>
      </w:r>
    </w:p>
    <w:p w:rsidRPr="005549F3" w:rsidR="00AF4210" w:rsidP="00AF4210" w14:paraId="656FB31C" w14:textId="77777777">
      <w:r w:rsidRPr="005549F3">
        <w:t xml:space="preserve">De verbeterparagraaf biedt reflectie op de uitvoering van de periodieke rapportage met als doel in de toekomst beter zicht te krijgen op zowel </w:t>
      </w:r>
      <w:r w:rsidRPr="005549F3">
        <w:t>doeltreffendheid als doelmatigheid van het beleid. Speciale aandacht dient hier te worden geschonken aan de vraag in hoeverre de doeltreffendheid en doelmatigheid van de geëvalueerde beleidsinstrumenten naar verwachting in de toekomst hetzelfde zal blijven. Zo kan een instrument aan doeltreffendheid en doelmatigheid verliezen bij opschaling in verband met de schaarste aan</w:t>
      </w:r>
      <w:r w:rsidR="00206197">
        <w:t xml:space="preserve"> </w:t>
      </w:r>
      <w:r w:rsidRPr="005549F3">
        <w:t xml:space="preserve">arbeid en grondstoffen, minder effectief zijn in nieuwe fasen van de energietransitie of als gevolg van exogene ontwikkelingen. </w:t>
      </w:r>
    </w:p>
    <w:p w:rsidRPr="005549F3" w:rsidR="00AF4210" w:rsidP="00AF4210" w14:paraId="09372F7D" w14:textId="77777777"/>
    <w:p w:rsidRPr="005549F3" w:rsidR="00AF4210" w:rsidP="00AF4210" w14:paraId="25257A9F" w14:textId="77777777">
      <w:r w:rsidRPr="005549F3">
        <w:t>Het kabinet zal in een beleidsreactie aangeven hoe het in de komende periode de geleerde lessen en de daaruit voortkomende aanbevelingen zal gaan implementeren in het beleid.</w:t>
      </w:r>
    </w:p>
    <w:p w:rsidRPr="005549F3" w:rsidR="00AF4210" w:rsidP="00AF4210" w14:paraId="29DDDFAF" w14:textId="77777777"/>
    <w:p w:rsidRPr="005549F3" w:rsidR="00AF4210" w:rsidP="00AF4210" w14:paraId="3FDAFFB6" w14:textId="77777777">
      <w:pPr>
        <w:rPr>
          <w:b/>
          <w:bCs/>
        </w:rPr>
      </w:pPr>
      <w:r w:rsidRPr="005549F3">
        <w:rPr>
          <w:b/>
          <w:bCs/>
          <w:i/>
          <w:iCs/>
        </w:rPr>
        <w:t xml:space="preserve">Kwaliteitsborging </w:t>
      </w:r>
    </w:p>
    <w:p w:rsidR="00B85202" w:rsidP="00AF4210" w14:paraId="4F90B95D" w14:textId="77777777">
      <w:r w:rsidRPr="005549F3">
        <w:t xml:space="preserve">Een begeleidingscommissie bewaakt de kwaliteit en de voortgang van de </w:t>
      </w:r>
      <w:r w:rsidR="00692981">
        <w:t>Periodieke rapportage</w:t>
      </w:r>
      <w:r w:rsidRPr="005549F3">
        <w:t xml:space="preserve">. Deze commissie bestaat uit vertegenwoordigers van het ministerie van VRO en het ministerie van Financiën. Binnen de richtlijnen van de RPE is een belangrijke rol toebedeeld aan </w:t>
      </w:r>
      <w:r w:rsidR="0036245E">
        <w:t>éé</w:t>
      </w:r>
      <w:r w:rsidRPr="005549F3">
        <w:t>n of meer onafhankelijke deskundige</w:t>
      </w:r>
      <w:r>
        <w:t>n</w:t>
      </w:r>
      <w:r w:rsidRPr="005549F3">
        <w:t xml:space="preserve">. De onafhankelijke deskundige </w:t>
      </w:r>
      <w:r>
        <w:t>zal</w:t>
      </w:r>
      <w:r w:rsidRPr="005549F3">
        <w:t xml:space="preserve"> toezien op de kwaliteit van de onderzoeksmethodiek, onder andere door deel te nemen aan de bijeenkomsten van de begeleidingscommissie, en een oordeel vellen over de kwaliteit van het onderzoek. De onafhankelijk deskundige z</w:t>
      </w:r>
      <w:r>
        <w:t>al</w:t>
      </w:r>
      <w:r w:rsidRPr="005549F3">
        <w:t xml:space="preserve"> een adviserende rol krijgen bij het tot stand komen van de definitieve onderzoeksopzet van de </w:t>
      </w:r>
      <w:r w:rsidR="00692981">
        <w:t>Periodieke rapportage</w:t>
      </w:r>
      <w:r w:rsidRPr="005549F3">
        <w:t>.</w:t>
      </w:r>
      <w:r>
        <w:t xml:space="preserve"> </w:t>
      </w:r>
    </w:p>
    <w:p w:rsidRPr="00B85202" w:rsidR="00AF4210" w:rsidP="00AF4210" w14:paraId="7E24133A" w14:textId="77777777">
      <w:r w:rsidRPr="00CE335F">
        <w:t xml:space="preserve">De heer ir. Jaco </w:t>
      </w:r>
      <w:r w:rsidRPr="00CE335F">
        <w:t>Stremler</w:t>
      </w:r>
      <w:r w:rsidRPr="00CE335F">
        <w:t>, sectorhoofd Klimaat, Lucht en Energie bij het PBL</w:t>
      </w:r>
      <w:r w:rsidRPr="00CE335F">
        <w:rPr>
          <w:b/>
          <w:bCs/>
        </w:rPr>
        <w:t xml:space="preserve">, </w:t>
      </w:r>
      <w:r w:rsidRPr="00CE335F">
        <w:t>heeft toegezegd te willen optreden als onafhankelijk deskundige bij dit onderzoek.</w:t>
      </w:r>
    </w:p>
    <w:p w:rsidRPr="005549F3" w:rsidR="00AF4210" w:rsidP="00AF4210" w14:paraId="49028E3B" w14:textId="77777777"/>
    <w:p w:rsidRPr="005549F3" w:rsidR="00AF4210" w:rsidP="00AF4210" w14:paraId="02175883" w14:textId="77777777">
      <w:pPr>
        <w:pStyle w:val="Stijl1"/>
        <w:rPr>
          <w:b/>
          <w:bCs w:val="0"/>
        </w:rPr>
      </w:pPr>
      <w:r w:rsidRPr="005549F3">
        <w:rPr>
          <w:b/>
          <w:bCs w:val="0"/>
        </w:rPr>
        <w:t>Tijdpad</w:t>
      </w:r>
    </w:p>
    <w:p w:rsidRPr="005549F3" w:rsidR="00AF4210" w:rsidP="00AF4210" w14:paraId="54AB3C5B" w14:textId="77777777">
      <w:pPr>
        <w:pStyle w:val="Stijl1"/>
        <w:rPr>
          <w:i w:val="0"/>
          <w:iCs w:val="0"/>
        </w:rPr>
      </w:pPr>
      <w:r w:rsidRPr="005549F3">
        <w:rPr>
          <w:i w:val="0"/>
          <w:iCs w:val="0"/>
        </w:rPr>
        <w:t xml:space="preserve">Het streven is de </w:t>
      </w:r>
      <w:r w:rsidR="00692981">
        <w:rPr>
          <w:i w:val="0"/>
          <w:iCs w:val="0"/>
        </w:rPr>
        <w:t>Periodieke rapportage</w:t>
      </w:r>
      <w:r w:rsidRPr="005549F3">
        <w:rPr>
          <w:i w:val="0"/>
          <w:iCs w:val="0"/>
        </w:rPr>
        <w:t xml:space="preserve"> begin 2026 te starten en uiterlijk in het laatste kwartaal van 2026 naar uw Kamer te sturen vergezeld van het advies van de onafhankelijke adviseurs en een kabinetsreactie.</w:t>
      </w:r>
    </w:p>
    <w:p w:rsidRPr="005549F3" w:rsidR="00F5266C" w14:paraId="483753B1" w14:textId="77777777"/>
    <w:p w:rsidRPr="005549F3" w:rsidR="00AF4210" w14:paraId="0D92759C" w14:textId="77777777"/>
    <w:p w:rsidRPr="005549F3" w:rsidR="00F5266C" w14:paraId="46B6A003" w14:textId="77777777">
      <w:r w:rsidRPr="005549F3">
        <w:t>De minister van Volkshuisvesting en Ruimtelijke Ordening,</w:t>
      </w:r>
    </w:p>
    <w:p w:rsidRPr="005549F3" w:rsidR="00F5266C" w14:paraId="672571B9" w14:textId="77777777"/>
    <w:p w:rsidRPr="005549F3" w:rsidR="00F5266C" w14:paraId="2288AFDC" w14:textId="77777777"/>
    <w:p w:rsidRPr="005549F3" w:rsidR="00F5266C" w14:paraId="70CF42BE" w14:textId="77777777"/>
    <w:p w:rsidRPr="005549F3" w:rsidR="00F5266C" w14:paraId="5A405939" w14:textId="77777777"/>
    <w:p w:rsidRPr="005549F3" w:rsidR="00F5266C" w14:paraId="71ABD69E" w14:textId="77777777">
      <w:r w:rsidRPr="005549F3">
        <w:t>Mona Keijzer</w:t>
      </w:r>
    </w:p>
    <w:p w:rsidRPr="005549F3" w:rsidR="00F5266C" w14:paraId="68554F5A" w14:textId="77777777"/>
    <w:p w:rsidR="00F5266C" w14:paraId="2BD21586" w14:textId="77777777">
      <w:pPr>
        <w:pStyle w:val="WitregelW1bodytekst"/>
      </w:pPr>
    </w:p>
    <w:p w:rsidR="00F5266C" w14:paraId="359089C0" w14:textId="77777777"/>
    <w:p w:rsidR="00F5266C" w14:paraId="05015CF3" w14:textId="77777777"/>
    <w:p w:rsidR="00F5266C" w14:paraId="205793B9" w14:textId="77777777"/>
    <w:p w:rsidR="00F5266C" w14:paraId="5ACAD195" w14:textId="77777777"/>
    <w:p w:rsidR="00F5266C" w14:paraId="31D735DE" w14:textId="77777777"/>
    <w:p w:rsidR="00F5266C" w14:paraId="283A5F57" w14:textId="77777777"/>
    <w:p w:rsidR="00F5266C" w14:paraId="62685057" w14:textId="77777777"/>
    <w:p w:rsidR="00F5266C" w14:paraId="56DEFB3C" w14:textId="77777777"/>
    <w:sectPr w:rsidSect="00BF6C9F">
      <w:headerReference w:type="default" r:id="rId8"/>
      <w:footerReference w:type="default" r:id="rId9"/>
      <w:headerReference w:type="first" r:id="rId10"/>
      <w:pgSz w:w="11905" w:h="16837"/>
      <w:pgMar w:top="3050" w:right="2833"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266C" w14:paraId="5A76ABE8" w14:textId="7777777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B15B2" w14:paraId="11AEAA61" w14:textId="77777777">
      <w:pPr>
        <w:spacing w:line="240" w:lineRule="auto"/>
      </w:pPr>
      <w:r>
        <w:separator/>
      </w:r>
    </w:p>
  </w:footnote>
  <w:footnote w:type="continuationSeparator" w:id="1">
    <w:p w:rsidR="00AB15B2" w14:paraId="2DB9A033" w14:textId="77777777">
      <w:pPr>
        <w:spacing w:line="240" w:lineRule="auto"/>
      </w:pPr>
      <w:r>
        <w:continuationSeparator/>
      </w:r>
    </w:p>
  </w:footnote>
  <w:footnote w:id="2">
    <w:p w:rsidR="00DB64C8" w:rsidRPr="002661AF" w14:paraId="04D34A4F" w14:textId="77777777">
      <w:pPr>
        <w:pStyle w:val="FootnoteText"/>
        <w:rPr>
          <w:sz w:val="16"/>
          <w:szCs w:val="16"/>
          <w:lang w:val="nl-NL"/>
        </w:rPr>
      </w:pPr>
      <w:r w:rsidRPr="002661AF">
        <w:rPr>
          <w:rStyle w:val="FootnoteReference"/>
          <w:sz w:val="16"/>
          <w:szCs w:val="16"/>
        </w:rPr>
        <w:footnoteRef/>
      </w:r>
      <w:r w:rsidRPr="002661AF">
        <w:rPr>
          <w:sz w:val="16"/>
          <w:szCs w:val="16"/>
          <w:lang w:val="nl-NL"/>
        </w:rPr>
        <w:t xml:space="preserve"> </w:t>
      </w:r>
      <w:r w:rsidRPr="002661AF">
        <w:rPr>
          <w:sz w:val="16"/>
          <w:szCs w:val="16"/>
          <w:lang w:val="nl-NL"/>
        </w:rPr>
        <w:t>beleidsartikel</w:t>
      </w:r>
      <w:r w:rsidRPr="002661AF">
        <w:rPr>
          <w:sz w:val="16"/>
          <w:szCs w:val="16"/>
          <w:lang w:val="nl-NL"/>
        </w:rPr>
        <w:t xml:space="preserve"> 4.1 van de BZK begroting is in 2024 overgeheveld naar artikel 2.1 van de VRO begroting </w:t>
      </w:r>
    </w:p>
  </w:footnote>
  <w:footnote w:id="3">
    <w:p w:rsidR="00AF4210" w:rsidRPr="002661AF" w:rsidP="00AF4210" w14:paraId="38D65A45" w14:textId="77777777">
      <w:pPr>
        <w:pStyle w:val="FootnoteText"/>
        <w:rPr>
          <w:sz w:val="16"/>
          <w:szCs w:val="16"/>
          <w:lang w:val="nl-NL"/>
        </w:rPr>
      </w:pPr>
      <w:r w:rsidRPr="002661AF">
        <w:rPr>
          <w:rStyle w:val="FootnoteReference"/>
          <w:sz w:val="16"/>
          <w:szCs w:val="16"/>
        </w:rPr>
        <w:footnoteRef/>
      </w:r>
      <w:r w:rsidRPr="002661AF">
        <w:rPr>
          <w:sz w:val="16"/>
          <w:szCs w:val="16"/>
          <w:lang w:val="nl-NL"/>
        </w:rPr>
        <w:t xml:space="preserve"> </w:t>
      </w:r>
      <w:hyperlink r:id="rId1" w:history="1">
        <w:r w:rsidRPr="002661AF">
          <w:rPr>
            <w:rStyle w:val="Hyperlink"/>
            <w:sz w:val="16"/>
            <w:szCs w:val="16"/>
            <w:lang w:val="nl-NL"/>
          </w:rPr>
          <w:t xml:space="preserve">Beleidsdoorlichting artikel 4.1 BZK Energietransitie en duurzaamheid (2022) CE Delft </w:t>
        </w:r>
      </w:hyperlink>
    </w:p>
  </w:footnote>
  <w:footnote w:id="4">
    <w:p w:rsidR="00AF4210" w:rsidRPr="002661AF" w:rsidP="00AF4210" w14:paraId="1251CAEE" w14:textId="77777777">
      <w:pPr>
        <w:pStyle w:val="FootnoteText"/>
        <w:rPr>
          <w:sz w:val="16"/>
          <w:szCs w:val="16"/>
          <w:lang w:val="nl-NL"/>
        </w:rPr>
      </w:pPr>
      <w:r w:rsidRPr="002661AF">
        <w:rPr>
          <w:rStyle w:val="FootnoteReference"/>
          <w:sz w:val="16"/>
          <w:szCs w:val="16"/>
        </w:rPr>
        <w:footnoteRef/>
      </w:r>
      <w:r w:rsidRPr="002661AF">
        <w:rPr>
          <w:sz w:val="16"/>
          <w:szCs w:val="16"/>
          <w:lang w:val="nl-NL"/>
        </w:rPr>
        <w:t xml:space="preserve"> </w:t>
      </w:r>
      <w:hyperlink r:id="rId2" w:history="1">
        <w:r w:rsidRPr="002661AF">
          <w:rPr>
            <w:rStyle w:val="Hyperlink"/>
            <w:sz w:val="16"/>
            <w:szCs w:val="16"/>
            <w:lang w:val="nl-NL"/>
          </w:rPr>
          <w:t xml:space="preserve">Syntheseonderzoek klimaatbeleid (2024) CE Delft </w:t>
        </w:r>
      </w:hyperlink>
    </w:p>
  </w:footnote>
  <w:footnote w:id="5">
    <w:p w:rsidR="00AF4210" w:rsidRPr="002661AF" w:rsidP="00AF4210" w14:paraId="66E2D956" w14:textId="77777777">
      <w:pPr>
        <w:pStyle w:val="FootnoteText"/>
        <w:rPr>
          <w:sz w:val="16"/>
          <w:szCs w:val="16"/>
          <w:lang w:val="nl-NL"/>
        </w:rPr>
      </w:pPr>
      <w:r w:rsidRPr="002661AF">
        <w:rPr>
          <w:rStyle w:val="FootnoteReference"/>
          <w:sz w:val="16"/>
          <w:szCs w:val="16"/>
        </w:rPr>
        <w:footnoteRef/>
      </w:r>
      <w:r w:rsidRPr="002661AF">
        <w:rPr>
          <w:sz w:val="16"/>
          <w:szCs w:val="16"/>
          <w:lang w:val="nl-NL"/>
        </w:rPr>
        <w:t xml:space="preserve"> </w:t>
      </w:r>
      <w:hyperlink r:id="rId2" w:history="1">
        <w:r w:rsidRPr="002661AF" w:rsidR="00F3313A">
          <w:rPr>
            <w:rStyle w:val="Hyperlink"/>
            <w:sz w:val="16"/>
            <w:szCs w:val="16"/>
            <w:lang w:val="nl-NL"/>
          </w:rPr>
          <w:t xml:space="preserve">CE Delft (2024) Syntheseonderzoek klimaatbeleid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266C" w14:paraId="0CF17072"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5266C" w14:textId="77777777">
                          <w:pPr>
                            <w:pStyle w:val="Referentiegegevensbold"/>
                          </w:pPr>
                          <w:r>
                            <w:t>DG Volkshuisvesting en Bouwen</w:t>
                          </w:r>
                        </w:p>
                        <w:p w:rsidR="00F5266C" w14:textId="77777777">
                          <w:pPr>
                            <w:pStyle w:val="Referentiegegevens"/>
                          </w:pPr>
                          <w:r>
                            <w:t>Directie Bouwen &amp; Energie</w:t>
                          </w:r>
                        </w:p>
                        <w:p w:rsidR="00F5266C" w14:textId="77777777">
                          <w:pPr>
                            <w:pStyle w:val="WitregelW2"/>
                          </w:pPr>
                        </w:p>
                        <w:p w:rsidR="00F5266C" w14:textId="77777777">
                          <w:pPr>
                            <w:pStyle w:val="Referentiegegevensbold"/>
                          </w:pPr>
                          <w:r>
                            <w:t>Datum</w:t>
                          </w:r>
                        </w:p>
                        <w:p w:rsidR="00F5266C" w14:textId="5092CD06">
                          <w:pPr>
                            <w:pStyle w:val="Referentiegegevens"/>
                          </w:pPr>
                        </w:p>
                        <w:p w:rsidR="00F5266C" w14:textId="77777777">
                          <w:pPr>
                            <w:pStyle w:val="WitregelW1"/>
                          </w:pPr>
                        </w:p>
                        <w:p w:rsidR="00F5266C" w14:textId="77777777">
                          <w:pPr>
                            <w:pStyle w:val="Referentiegegevensbold"/>
                          </w:pPr>
                          <w:r>
                            <w:t>Onze referentie</w:t>
                          </w:r>
                        </w:p>
                        <w:p w:rsidR="002E4610" w14:textId="11958194">
                          <w:pPr>
                            <w:pStyle w:val="Referentiegegevens"/>
                          </w:pPr>
                          <w:r>
                            <w:fldChar w:fldCharType="begin"/>
                          </w:r>
                          <w:r>
                            <w:instrText xml:space="preserve"> DOCPROPERTY  "Kenmerk"  \* MERGEFORMAT </w:instrText>
                          </w:r>
                          <w:r>
                            <w:fldChar w:fldCharType="separate"/>
                          </w:r>
                          <w:r w:rsidR="00A936D6">
                            <w:t>2025-0000519502</w:t>
                          </w:r>
                          <w:r w:rsidR="00A936D6">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F5266C" w14:paraId="70DFA93E" w14:textId="77777777">
                    <w:pPr>
                      <w:pStyle w:val="Referentiegegevensbold"/>
                    </w:pPr>
                    <w:r>
                      <w:t>DG Volkshuisvesting en Bouwen</w:t>
                    </w:r>
                  </w:p>
                  <w:p w:rsidR="00F5266C" w14:paraId="4F6CB006" w14:textId="77777777">
                    <w:pPr>
                      <w:pStyle w:val="Referentiegegevens"/>
                    </w:pPr>
                    <w:r>
                      <w:t>Directie Bouwen &amp; Energie</w:t>
                    </w:r>
                  </w:p>
                  <w:p w:rsidR="00F5266C" w14:paraId="17A9C3CD" w14:textId="77777777">
                    <w:pPr>
                      <w:pStyle w:val="WitregelW2"/>
                    </w:pPr>
                  </w:p>
                  <w:p w:rsidR="00F5266C" w14:paraId="66C95F58" w14:textId="77777777">
                    <w:pPr>
                      <w:pStyle w:val="Referentiegegevensbold"/>
                    </w:pPr>
                    <w:r>
                      <w:t>Datum</w:t>
                    </w:r>
                  </w:p>
                  <w:p w:rsidR="00F5266C" w14:paraId="565BA4EF" w14:textId="5092CD06">
                    <w:pPr>
                      <w:pStyle w:val="Referentiegegevens"/>
                    </w:pPr>
                  </w:p>
                  <w:p w:rsidR="00F5266C" w14:paraId="14D3493B" w14:textId="77777777">
                    <w:pPr>
                      <w:pStyle w:val="WitregelW1"/>
                    </w:pPr>
                  </w:p>
                  <w:p w:rsidR="00F5266C" w14:paraId="08AD1F33" w14:textId="77777777">
                    <w:pPr>
                      <w:pStyle w:val="Referentiegegevensbold"/>
                    </w:pPr>
                    <w:r>
                      <w:t>Onze referentie</w:t>
                    </w:r>
                  </w:p>
                  <w:p w:rsidR="002E4610" w14:paraId="749294EE" w14:textId="11958194">
                    <w:pPr>
                      <w:pStyle w:val="Referentiegegevens"/>
                    </w:pPr>
                    <w:r>
                      <w:fldChar w:fldCharType="begin"/>
                    </w:r>
                    <w:r>
                      <w:instrText xml:space="preserve"> DOCPROPERTY  "Kenmerk"  \* MERGEFORMAT </w:instrText>
                    </w:r>
                    <w:r>
                      <w:fldChar w:fldCharType="separate"/>
                    </w:r>
                    <w:r w:rsidR="00A936D6">
                      <w:t>2025-0000519502</w:t>
                    </w:r>
                    <w:r w:rsidR="00A936D6">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9C3B07"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9C3B07" w14:paraId="5FD77C97"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2E461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2E4610" w14:paraId="1664868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266C" w14:paraId="4499474E"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F5266C" w14:textId="77777777">
                          <w:r>
                            <w:t>Aan de voorzitter van de Tweede Kamer der Staten-Generaal</w:t>
                          </w:r>
                        </w:p>
                        <w:p w:rsidR="00F5266C" w14:textId="77777777">
                          <w:r>
                            <w:t>Postbus 20018</w:t>
                          </w:r>
                        </w:p>
                        <w:p w:rsidR="00F5266C" w14:textId="77777777">
                          <w: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F5266C" w14:paraId="14AA0634" w14:textId="77777777">
                    <w:r>
                      <w:t>Aan de voorzitter van de Tweede Kamer der Staten-Generaal</w:t>
                    </w:r>
                  </w:p>
                  <w:p w:rsidR="00F5266C" w14:paraId="59BCBF9F" w14:textId="77777777">
                    <w:r>
                      <w:t>Postbus 20018</w:t>
                    </w:r>
                  </w:p>
                  <w:p w:rsidR="00F5266C" w14:paraId="39102296" w14:textId="77777777">
                    <w: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1009015</wp:posOffset>
              </wp:positionH>
              <wp:positionV relativeFrom="paragraph">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323850"/>
                      </a:xfrm>
                      <a:prstGeom prst="rect">
                        <a:avLst/>
                      </a:prstGeom>
                      <a:noFill/>
                    </wps:spPr>
                    <wps:txbx>
                      <w:txbxContent>
                        <w:tbl>
                          <w:tblPr>
                            <w:tblW w:w="0" w:type="auto"/>
                            <w:tblInd w:w="-120" w:type="dxa"/>
                            <w:tblLayout w:type="fixed"/>
                            <w:tblLook w:val="07E0"/>
                          </w:tblPr>
                          <w:tblGrid>
                            <w:gridCol w:w="1140"/>
                            <w:gridCol w:w="5918"/>
                          </w:tblGrid>
                          <w:tr w14:paraId="3429BAFD" w14:textId="77777777">
                            <w:tblPrEx>
                              <w:tblW w:w="0" w:type="auto"/>
                              <w:tblInd w:w="-120" w:type="dxa"/>
                              <w:tblLayout w:type="fixed"/>
                              <w:tblLook w:val="07E0"/>
                            </w:tblPrEx>
                            <w:trPr>
                              <w:trHeight w:val="240"/>
                            </w:trPr>
                            <w:tc>
                              <w:tcPr>
                                <w:tcW w:w="1140" w:type="dxa"/>
                              </w:tcPr>
                              <w:p w:rsidR="00F5266C" w14:textId="77777777">
                                <w:r>
                                  <w:t>Datum</w:t>
                                </w:r>
                              </w:p>
                            </w:tc>
                            <w:tc>
                              <w:tcPr>
                                <w:tcW w:w="5918" w:type="dxa"/>
                              </w:tcPr>
                              <w:p w:rsidR="00F5266C" w14:textId="0BA9283C">
                                <w:r>
                                  <w:t>19 september 2025</w:t>
                                </w:r>
                              </w:p>
                            </w:tc>
                          </w:tr>
                          <w:tr w14:paraId="4159977A" w14:textId="77777777">
                            <w:tblPrEx>
                              <w:tblW w:w="0" w:type="auto"/>
                              <w:tblInd w:w="-120" w:type="dxa"/>
                              <w:tblLayout w:type="fixed"/>
                              <w:tblLook w:val="07E0"/>
                            </w:tblPrEx>
                            <w:trPr>
                              <w:trHeight w:val="240"/>
                            </w:trPr>
                            <w:tc>
                              <w:tcPr>
                                <w:tcW w:w="1140" w:type="dxa"/>
                              </w:tcPr>
                              <w:p w:rsidR="00F5266C" w14:textId="77777777">
                                <w:r>
                                  <w:t>Betreft</w:t>
                                </w:r>
                              </w:p>
                            </w:tc>
                            <w:tc>
                              <w:tcPr>
                                <w:tcW w:w="5918" w:type="dxa"/>
                              </w:tcPr>
                              <w:p w:rsidR="00F5266C" w14:textId="77777777">
                                <w:bookmarkStart w:id="2" w:name="_Hlk209099058"/>
                                <w:r>
                                  <w:t xml:space="preserve">Opzet </w:t>
                                </w:r>
                                <w:r w:rsidR="00692981">
                                  <w:t>Periodieke rapportage</w:t>
                                </w:r>
                                <w:r>
                                  <w:t xml:space="preserve"> artikel 2.1 VRO 2021-2025</w:t>
                                </w:r>
                                <w:bookmarkEnd w:id="2"/>
                              </w:p>
                            </w:tc>
                          </w:tr>
                        </w:tbl>
                        <w:p w:rsidR="009C3B07" w14:textId="77777777"/>
                      </w:txbxContent>
                    </wps:txbx>
                    <wps:bodyPr vert="horz" wrap="square" lIns="0" tIns="0" rIns="0" bIns="0" anchor="t" anchorCtr="0"/>
                  </wps:wsp>
                </a:graphicData>
              </a:graphic>
            </wp:anchor>
          </w:drawing>
        </mc:Choice>
        <mc:Fallback>
          <w:pict>
            <v:shape id="46feebd0-aa3c-11ea-a756-beb5f67e67be" o:spid="_x0000_s2053" type="#_x0000_t202" style="width:377pt;height:25.5pt;margin-top:264.15pt;margin-left:79.45pt;mso-position-horizontal-relative:page;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3429BAFC" w14:textId="77777777">
                      <w:tblPrEx>
                        <w:tblW w:w="0" w:type="auto"/>
                        <w:tblInd w:w="-120" w:type="dxa"/>
                        <w:tblLayout w:type="fixed"/>
                        <w:tblLook w:val="07E0"/>
                      </w:tblPrEx>
                      <w:trPr>
                        <w:trHeight w:val="240"/>
                      </w:trPr>
                      <w:tc>
                        <w:tcPr>
                          <w:tcW w:w="1140" w:type="dxa"/>
                        </w:tcPr>
                        <w:p w:rsidR="00F5266C" w14:paraId="469C8D8C" w14:textId="77777777">
                          <w:r>
                            <w:t>Datum</w:t>
                          </w:r>
                        </w:p>
                      </w:tc>
                      <w:tc>
                        <w:tcPr>
                          <w:tcW w:w="5918" w:type="dxa"/>
                        </w:tcPr>
                        <w:p w:rsidR="00F5266C" w14:paraId="7EEF0F45" w14:textId="0BA9283C">
                          <w:r>
                            <w:t>19 september 2025</w:t>
                          </w:r>
                        </w:p>
                      </w:tc>
                    </w:tr>
                    <w:tr w14:paraId="41599779" w14:textId="77777777">
                      <w:tblPrEx>
                        <w:tblW w:w="0" w:type="auto"/>
                        <w:tblInd w:w="-120" w:type="dxa"/>
                        <w:tblLayout w:type="fixed"/>
                        <w:tblLook w:val="07E0"/>
                      </w:tblPrEx>
                      <w:trPr>
                        <w:trHeight w:val="240"/>
                      </w:trPr>
                      <w:tc>
                        <w:tcPr>
                          <w:tcW w:w="1140" w:type="dxa"/>
                        </w:tcPr>
                        <w:p w:rsidR="00F5266C" w14:paraId="3FF72532" w14:textId="77777777">
                          <w:r>
                            <w:t>Betreft</w:t>
                          </w:r>
                        </w:p>
                      </w:tc>
                      <w:tc>
                        <w:tcPr>
                          <w:tcW w:w="5918" w:type="dxa"/>
                        </w:tcPr>
                        <w:p w:rsidR="00F5266C" w14:paraId="075ACC3B" w14:textId="77777777">
                          <w:bookmarkStart w:id="2" w:name="_Hlk209099058"/>
                          <w:r>
                            <w:t xml:space="preserve">Opzet </w:t>
                          </w:r>
                          <w:r w:rsidR="00692981">
                            <w:t>Periodieke rapportage</w:t>
                          </w:r>
                          <w:r>
                            <w:t xml:space="preserve"> artikel 2.1 VRO 2021-2025</w:t>
                          </w:r>
                          <w:bookmarkEnd w:id="2"/>
                        </w:p>
                      </w:tc>
                    </w:tr>
                  </w:tbl>
                  <w:p w:rsidR="009C3B07" w14:paraId="2514E4F6"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5266C" w14:textId="77777777">
                          <w:pPr>
                            <w:pStyle w:val="Referentiegegevensbold"/>
                          </w:pPr>
                          <w:r>
                            <w:t>DG Volkshuisvesting en Bouwen</w:t>
                          </w:r>
                        </w:p>
                        <w:p w:rsidR="00F5266C" w14:textId="77777777">
                          <w:pPr>
                            <w:pStyle w:val="Referentiegegevens"/>
                          </w:pPr>
                          <w:r>
                            <w:t>Directie Bouwen &amp; Energie</w:t>
                          </w:r>
                        </w:p>
                        <w:p w:rsidR="00F5266C" w14:textId="77777777">
                          <w:pPr>
                            <w:pStyle w:val="WitregelW1"/>
                          </w:pPr>
                        </w:p>
                        <w:p w:rsidR="00F5266C" w14:textId="77777777">
                          <w:pPr>
                            <w:pStyle w:val="Referentiegegevens"/>
                          </w:pPr>
                          <w:r>
                            <w:t xml:space="preserve">  </w:t>
                          </w:r>
                        </w:p>
                        <w:p w:rsidR="00F5266C" w:rsidRPr="00AF4210" w14:textId="77777777">
                          <w:pPr>
                            <w:pStyle w:val="Referentiegegevens"/>
                            <w:rPr>
                              <w:lang w:val="de-DE"/>
                            </w:rPr>
                          </w:pPr>
                          <w:r w:rsidRPr="00AF4210">
                            <w:rPr>
                              <w:lang w:val="de-DE"/>
                            </w:rPr>
                            <w:t>Turfmarkt</w:t>
                          </w:r>
                          <w:r w:rsidRPr="00AF4210">
                            <w:rPr>
                              <w:lang w:val="de-DE"/>
                            </w:rPr>
                            <w:t xml:space="preserve"> 147</w:t>
                          </w:r>
                        </w:p>
                        <w:p w:rsidR="00F5266C" w:rsidRPr="00AF4210" w14:textId="77777777">
                          <w:pPr>
                            <w:pStyle w:val="Referentiegegevens"/>
                            <w:rPr>
                              <w:lang w:val="de-DE"/>
                            </w:rPr>
                          </w:pPr>
                          <w:r w:rsidRPr="00AF4210">
                            <w:rPr>
                              <w:lang w:val="de-DE"/>
                            </w:rPr>
                            <w:t>2511 DP Den Haag</w:t>
                          </w:r>
                        </w:p>
                        <w:p w:rsidR="00F5266C" w:rsidRPr="00AF4210" w14:textId="77777777">
                          <w:pPr>
                            <w:pStyle w:val="Referentiegegevens"/>
                            <w:rPr>
                              <w:lang w:val="de-DE"/>
                            </w:rPr>
                          </w:pPr>
                          <w:r w:rsidRPr="00AF4210">
                            <w:rPr>
                              <w:lang w:val="de-DE"/>
                            </w:rPr>
                            <w:t>Postbus 20011</w:t>
                          </w:r>
                        </w:p>
                        <w:p w:rsidR="00F5266C" w14:textId="77777777">
                          <w:pPr>
                            <w:pStyle w:val="Referentiegegevens"/>
                          </w:pPr>
                          <w:r>
                            <w:t>2500 EA  Den Haag</w:t>
                          </w:r>
                        </w:p>
                        <w:p w:rsidR="00F5266C" w14:textId="77777777">
                          <w:pPr>
                            <w:pStyle w:val="WitregelW2"/>
                          </w:pPr>
                        </w:p>
                        <w:p w:rsidR="00F5266C" w14:textId="77777777">
                          <w:pPr>
                            <w:pStyle w:val="Referentiegegevensbold"/>
                          </w:pPr>
                          <w:r>
                            <w:t>Onze referentie</w:t>
                          </w:r>
                        </w:p>
                        <w:bookmarkStart w:id="3" w:name="_Hlk209099080"/>
                        <w:p w:rsidR="002E4610" w14:textId="113D2868">
                          <w:pPr>
                            <w:pStyle w:val="Referentiegegevens"/>
                          </w:pPr>
                          <w:r>
                            <w:fldChar w:fldCharType="begin"/>
                          </w:r>
                          <w:r>
                            <w:instrText xml:space="preserve"> DOCPROPERTY  "Kenmerk"  \* MERGEFORMAT </w:instrText>
                          </w:r>
                          <w:r>
                            <w:fldChar w:fldCharType="separate"/>
                          </w:r>
                          <w:r w:rsidR="00A936D6">
                            <w:t>2025-0000519502</w:t>
                          </w:r>
                          <w:r>
                            <w:fldChar w:fldCharType="end"/>
                          </w:r>
                        </w:p>
                        <w:bookmarkEnd w:id="3"/>
                        <w:p w:rsidR="00F5266C" w14:textId="77777777">
                          <w:pPr>
                            <w:pStyle w:val="WitregelW1"/>
                          </w:pPr>
                        </w:p>
                        <w:p w:rsidR="00F5266C" w14:textId="77777777">
                          <w:pPr>
                            <w:pStyle w:val="Referentiegegevensbold"/>
                          </w:pPr>
                          <w:r>
                            <w:t>Bijlage(n)</w:t>
                          </w:r>
                        </w:p>
                        <w:p w:rsidR="00F5266C" w14:textId="77777777">
                          <w:pPr>
                            <w:pStyle w:val="Referentiegegevens"/>
                          </w:pPr>
                          <w:r>
                            <w:t>0</w:t>
                          </w:r>
                        </w:p>
                        <w:p w:rsidR="00F5266C" w14:textId="77777777">
                          <w:pPr>
                            <w:pStyle w:val="WitregelW2"/>
                          </w:pPr>
                        </w:p>
                        <w:p w:rsidR="00F5266C"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F5266C" w14:paraId="7DF5FC61" w14:textId="77777777">
                    <w:pPr>
                      <w:pStyle w:val="Referentiegegevensbold"/>
                    </w:pPr>
                    <w:r>
                      <w:t>DG Volkshuisvesting en Bouwen</w:t>
                    </w:r>
                  </w:p>
                  <w:p w:rsidR="00F5266C" w14:paraId="60E003E8" w14:textId="77777777">
                    <w:pPr>
                      <w:pStyle w:val="Referentiegegevens"/>
                    </w:pPr>
                    <w:r>
                      <w:t>Directie Bouwen &amp; Energie</w:t>
                    </w:r>
                  </w:p>
                  <w:p w:rsidR="00F5266C" w14:paraId="0D02C010" w14:textId="77777777">
                    <w:pPr>
                      <w:pStyle w:val="WitregelW1"/>
                    </w:pPr>
                  </w:p>
                  <w:p w:rsidR="00F5266C" w14:paraId="3D8EE50D" w14:textId="77777777">
                    <w:pPr>
                      <w:pStyle w:val="Referentiegegevens"/>
                    </w:pPr>
                    <w:r>
                      <w:t xml:space="preserve">  </w:t>
                    </w:r>
                  </w:p>
                  <w:p w:rsidR="00F5266C" w:rsidRPr="00AF4210" w14:paraId="2DF60940" w14:textId="77777777">
                    <w:pPr>
                      <w:pStyle w:val="Referentiegegevens"/>
                      <w:rPr>
                        <w:lang w:val="de-DE"/>
                      </w:rPr>
                    </w:pPr>
                    <w:r w:rsidRPr="00AF4210">
                      <w:rPr>
                        <w:lang w:val="de-DE"/>
                      </w:rPr>
                      <w:t>Turfmarkt</w:t>
                    </w:r>
                    <w:r w:rsidRPr="00AF4210">
                      <w:rPr>
                        <w:lang w:val="de-DE"/>
                      </w:rPr>
                      <w:t xml:space="preserve"> 147</w:t>
                    </w:r>
                  </w:p>
                  <w:p w:rsidR="00F5266C" w:rsidRPr="00AF4210" w14:paraId="52CDBACF" w14:textId="77777777">
                    <w:pPr>
                      <w:pStyle w:val="Referentiegegevens"/>
                      <w:rPr>
                        <w:lang w:val="de-DE"/>
                      </w:rPr>
                    </w:pPr>
                    <w:r w:rsidRPr="00AF4210">
                      <w:rPr>
                        <w:lang w:val="de-DE"/>
                      </w:rPr>
                      <w:t>2511 DP Den Haag</w:t>
                    </w:r>
                  </w:p>
                  <w:p w:rsidR="00F5266C" w:rsidRPr="00AF4210" w14:paraId="398479E1" w14:textId="77777777">
                    <w:pPr>
                      <w:pStyle w:val="Referentiegegevens"/>
                      <w:rPr>
                        <w:lang w:val="de-DE"/>
                      </w:rPr>
                    </w:pPr>
                    <w:r w:rsidRPr="00AF4210">
                      <w:rPr>
                        <w:lang w:val="de-DE"/>
                      </w:rPr>
                      <w:t>Postbus 20011</w:t>
                    </w:r>
                  </w:p>
                  <w:p w:rsidR="00F5266C" w14:paraId="2A448F0C" w14:textId="77777777">
                    <w:pPr>
                      <w:pStyle w:val="Referentiegegevens"/>
                    </w:pPr>
                    <w:r>
                      <w:t>2500 EA  Den Haag</w:t>
                    </w:r>
                  </w:p>
                  <w:p w:rsidR="00F5266C" w14:paraId="23307ED3" w14:textId="77777777">
                    <w:pPr>
                      <w:pStyle w:val="WitregelW2"/>
                    </w:pPr>
                  </w:p>
                  <w:p w:rsidR="00F5266C" w14:paraId="167E38BA" w14:textId="77777777">
                    <w:pPr>
                      <w:pStyle w:val="Referentiegegevensbold"/>
                    </w:pPr>
                    <w:r>
                      <w:t>Onze referentie</w:t>
                    </w:r>
                  </w:p>
                  <w:bookmarkStart w:id="3" w:name="_Hlk209099080"/>
                  <w:p w:rsidR="002E4610" w14:paraId="0352E368" w14:textId="113D2868">
                    <w:pPr>
                      <w:pStyle w:val="Referentiegegevens"/>
                    </w:pPr>
                    <w:r>
                      <w:fldChar w:fldCharType="begin"/>
                    </w:r>
                    <w:r>
                      <w:instrText xml:space="preserve"> DOCPROPERTY  "Kenmerk"  \* MERGEFORMAT </w:instrText>
                    </w:r>
                    <w:r>
                      <w:fldChar w:fldCharType="separate"/>
                    </w:r>
                    <w:r w:rsidR="00A936D6">
                      <w:t>2025-0000519502</w:t>
                    </w:r>
                    <w:r>
                      <w:fldChar w:fldCharType="end"/>
                    </w:r>
                  </w:p>
                  <w:bookmarkEnd w:id="3"/>
                  <w:p w:rsidR="00F5266C" w14:paraId="1DEACA3A" w14:textId="77777777">
                    <w:pPr>
                      <w:pStyle w:val="WitregelW1"/>
                    </w:pPr>
                  </w:p>
                  <w:p w:rsidR="00F5266C" w14:paraId="535CC473" w14:textId="77777777">
                    <w:pPr>
                      <w:pStyle w:val="Referentiegegevensbold"/>
                    </w:pPr>
                    <w:r>
                      <w:t>Bijlage(n)</w:t>
                    </w:r>
                  </w:p>
                  <w:p w:rsidR="00F5266C" w14:paraId="28E95528" w14:textId="77777777">
                    <w:pPr>
                      <w:pStyle w:val="Referentiegegevens"/>
                    </w:pPr>
                    <w:r>
                      <w:t>0</w:t>
                    </w:r>
                  </w:p>
                  <w:p w:rsidR="00F5266C" w14:paraId="1A74B028" w14:textId="77777777">
                    <w:pPr>
                      <w:pStyle w:val="WitregelW2"/>
                    </w:pPr>
                  </w:p>
                  <w:p w:rsidR="00F5266C" w14:paraId="0996B318"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C3B07"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9C3B07" w14:paraId="32E98984"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2E461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2E4610" w14:paraId="6800105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F5266C" w14:textId="77777777">
                          <w:pPr>
                            <w:spacing w:line="240" w:lineRule="auto"/>
                          </w:pPr>
                          <w:r>
                            <w:rPr>
                              <w:noProof/>
                            </w:rPr>
                            <w:drawing>
                              <wp:inline distT="0" distB="0" distL="0" distR="0">
                                <wp:extent cx="467995" cy="1583865"/>
                                <wp:effectExtent l="0" t="0" r="0" b="0"/>
                                <wp:docPr id="151047754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51047754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F5266C" w14:paraId="63FBEDDC" w14:textId="77777777">
                    <w:pPr>
                      <w:spacing w:line="240" w:lineRule="auto"/>
                    </w:pPr>
                    <w:drawing>
                      <wp:inline distT="0" distB="0" distL="0" distR="0">
                        <wp:extent cx="467995" cy="1583865"/>
                        <wp:effectExtent l="0" t="0" r="0" b="0"/>
                        <wp:docPr id="60451012"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0451012"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F5266C" w14:textId="77777777">
                          <w:pPr>
                            <w:spacing w:line="240" w:lineRule="auto"/>
                          </w:pPr>
                          <w:r>
                            <w:rPr>
                              <w:noProof/>
                            </w:rPr>
                            <w:drawing>
                              <wp:inline distT="0" distB="0" distL="0" distR="0">
                                <wp:extent cx="2339975" cy="1582834"/>
                                <wp:effectExtent l="0" t="0" r="0" b="0"/>
                                <wp:docPr id="1346899390"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346899390"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F5266C" w14:paraId="1A4D447F" w14:textId="77777777">
                    <w:pPr>
                      <w:spacing w:line="240" w:lineRule="auto"/>
                    </w:pPr>
                    <w:drawing>
                      <wp:inline distT="0" distB="0" distL="0" distR="0">
                        <wp:extent cx="2339975" cy="1582834"/>
                        <wp:effectExtent l="0" t="0" r="0" b="0"/>
                        <wp:docPr id="480810451"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480810451"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5266C"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F5266C" w14:paraId="1B2E95FC"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CD6853BB"/>
    <w:multiLevelType w:val="multilevel"/>
    <w:tmpl w:val="3ACAF240"/>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0AFD28B4"/>
    <w:multiLevelType w:val="multilevel"/>
    <w:tmpl w:val="E9EEDF1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10409863"/>
    <w:multiLevelType w:val="multilevel"/>
    <w:tmpl w:val="A233859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2B610C72"/>
    <w:multiLevelType w:val="multilevel"/>
    <w:tmpl w:val="3E2A28BD"/>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5D4B44D6"/>
    <w:multiLevelType w:val="hybridMultilevel"/>
    <w:tmpl w:val="373E8EA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62917037">
    <w:abstractNumId w:val="2"/>
  </w:num>
  <w:num w:numId="2" w16cid:durableId="1110399163">
    <w:abstractNumId w:val="1"/>
  </w:num>
  <w:num w:numId="3" w16cid:durableId="1235167191">
    <w:abstractNumId w:val="0"/>
  </w:num>
  <w:num w:numId="4" w16cid:durableId="922490431">
    <w:abstractNumId w:val="3"/>
  </w:num>
  <w:num w:numId="5" w16cid:durableId="175847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10"/>
    <w:rsid w:val="00000C14"/>
    <w:rsid w:val="00006678"/>
    <w:rsid w:val="00013DEF"/>
    <w:rsid w:val="0004514B"/>
    <w:rsid w:val="00096786"/>
    <w:rsid w:val="00127F08"/>
    <w:rsid w:val="0013573D"/>
    <w:rsid w:val="00204B50"/>
    <w:rsid w:val="00206197"/>
    <w:rsid w:val="0021371C"/>
    <w:rsid w:val="00241D82"/>
    <w:rsid w:val="00242CBD"/>
    <w:rsid w:val="0025036E"/>
    <w:rsid w:val="00263BF7"/>
    <w:rsid w:val="002661AF"/>
    <w:rsid w:val="002663CD"/>
    <w:rsid w:val="0029619A"/>
    <w:rsid w:val="002C2949"/>
    <w:rsid w:val="002D655F"/>
    <w:rsid w:val="002E4610"/>
    <w:rsid w:val="00350AE3"/>
    <w:rsid w:val="003607ED"/>
    <w:rsid w:val="0036245E"/>
    <w:rsid w:val="0040300E"/>
    <w:rsid w:val="004323F9"/>
    <w:rsid w:val="004B4259"/>
    <w:rsid w:val="004D3472"/>
    <w:rsid w:val="004D46EB"/>
    <w:rsid w:val="00501E63"/>
    <w:rsid w:val="005549F3"/>
    <w:rsid w:val="005935F0"/>
    <w:rsid w:val="005B6489"/>
    <w:rsid w:val="005C00F1"/>
    <w:rsid w:val="005E1F39"/>
    <w:rsid w:val="005F5AFF"/>
    <w:rsid w:val="00692981"/>
    <w:rsid w:val="00693FAD"/>
    <w:rsid w:val="006A6524"/>
    <w:rsid w:val="006A6DAC"/>
    <w:rsid w:val="006B65B6"/>
    <w:rsid w:val="006C376F"/>
    <w:rsid w:val="00704019"/>
    <w:rsid w:val="007436B2"/>
    <w:rsid w:val="00751100"/>
    <w:rsid w:val="007B4485"/>
    <w:rsid w:val="007B7797"/>
    <w:rsid w:val="008255AC"/>
    <w:rsid w:val="008342C5"/>
    <w:rsid w:val="00890D2A"/>
    <w:rsid w:val="008A0B57"/>
    <w:rsid w:val="008B4346"/>
    <w:rsid w:val="00916B46"/>
    <w:rsid w:val="009C3B07"/>
    <w:rsid w:val="009D04E4"/>
    <w:rsid w:val="009D160D"/>
    <w:rsid w:val="00A01B17"/>
    <w:rsid w:val="00A40C1F"/>
    <w:rsid w:val="00A936D6"/>
    <w:rsid w:val="00AA5F46"/>
    <w:rsid w:val="00AB15B2"/>
    <w:rsid w:val="00AB4303"/>
    <w:rsid w:val="00AC2887"/>
    <w:rsid w:val="00AD2290"/>
    <w:rsid w:val="00AD5AD2"/>
    <w:rsid w:val="00AF4210"/>
    <w:rsid w:val="00B3136B"/>
    <w:rsid w:val="00B77E43"/>
    <w:rsid w:val="00B85202"/>
    <w:rsid w:val="00BB157E"/>
    <w:rsid w:val="00BF28EE"/>
    <w:rsid w:val="00BF6C9F"/>
    <w:rsid w:val="00C00875"/>
    <w:rsid w:val="00C534CC"/>
    <w:rsid w:val="00CA7A70"/>
    <w:rsid w:val="00CC45A0"/>
    <w:rsid w:val="00CE335F"/>
    <w:rsid w:val="00D526AB"/>
    <w:rsid w:val="00DB64C8"/>
    <w:rsid w:val="00DC1308"/>
    <w:rsid w:val="00DC7C5F"/>
    <w:rsid w:val="00E207B7"/>
    <w:rsid w:val="00E2468A"/>
    <w:rsid w:val="00E37D21"/>
    <w:rsid w:val="00ED5AF3"/>
    <w:rsid w:val="00ED6947"/>
    <w:rsid w:val="00EE3B21"/>
    <w:rsid w:val="00F116B5"/>
    <w:rsid w:val="00F15502"/>
    <w:rsid w:val="00F3313A"/>
    <w:rsid w:val="00F5266C"/>
    <w:rsid w:val="00F57527"/>
    <w:rsid w:val="00F875D5"/>
    <w:rsid w:val="00FA2C52"/>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2A16221"/>
  <w15:docId w15:val="{D9DEE10D-BD26-4324-A4B5-976878C4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AF4210"/>
    <w:pPr>
      <w:tabs>
        <w:tab w:val="center" w:pos="4536"/>
        <w:tab w:val="right" w:pos="9072"/>
      </w:tabs>
      <w:spacing w:line="240" w:lineRule="auto"/>
    </w:pPr>
  </w:style>
  <w:style w:type="character" w:customStyle="1" w:styleId="KoptekstChar">
    <w:name w:val="Koptekst Char"/>
    <w:basedOn w:val="DefaultParagraphFont"/>
    <w:link w:val="Header"/>
    <w:uiPriority w:val="99"/>
    <w:rsid w:val="00AF4210"/>
    <w:rPr>
      <w:rFonts w:ascii="Verdana" w:hAnsi="Verdana"/>
      <w:color w:val="000000"/>
      <w:sz w:val="18"/>
      <w:szCs w:val="18"/>
    </w:rPr>
  </w:style>
  <w:style w:type="paragraph" w:styleId="Footer">
    <w:name w:val="footer"/>
    <w:basedOn w:val="Normal"/>
    <w:link w:val="VoettekstChar"/>
    <w:uiPriority w:val="99"/>
    <w:unhideWhenUsed/>
    <w:rsid w:val="00AF4210"/>
    <w:pPr>
      <w:tabs>
        <w:tab w:val="center" w:pos="4536"/>
        <w:tab w:val="right" w:pos="9072"/>
      </w:tabs>
      <w:spacing w:line="240" w:lineRule="auto"/>
    </w:pPr>
  </w:style>
  <w:style w:type="character" w:customStyle="1" w:styleId="VoettekstChar">
    <w:name w:val="Voettekst Char"/>
    <w:basedOn w:val="DefaultParagraphFont"/>
    <w:link w:val="Footer"/>
    <w:uiPriority w:val="99"/>
    <w:rsid w:val="00AF4210"/>
    <w:rPr>
      <w:rFonts w:ascii="Verdana" w:hAnsi="Verdana"/>
      <w:color w:val="000000"/>
      <w:sz w:val="18"/>
      <w:szCs w:val="18"/>
    </w:rPr>
  </w:style>
  <w:style w:type="paragraph" w:styleId="ListParagraph">
    <w:name w:val="List Paragraph"/>
    <w:basedOn w:val="Normal"/>
    <w:uiPriority w:val="34"/>
    <w:qFormat/>
    <w:rsid w:val="00AF4210"/>
    <w:pPr>
      <w:autoSpaceDN/>
      <w:spacing w:after="160" w:line="259" w:lineRule="auto"/>
      <w:ind w:left="720"/>
      <w:contextualSpacing/>
      <w:textAlignment w:val="auto"/>
    </w:pPr>
    <w:rPr>
      <w:rFonts w:eastAsiaTheme="minorHAnsi" w:cstheme="minorBidi"/>
      <w:color w:val="auto"/>
      <w:szCs w:val="22"/>
      <w:lang w:val="en-US" w:eastAsia="en-US"/>
    </w:rPr>
  </w:style>
  <w:style w:type="paragraph" w:customStyle="1" w:styleId="Stijl1">
    <w:name w:val="Stijl1"/>
    <w:basedOn w:val="Normal"/>
    <w:link w:val="Stijl1Char"/>
    <w:qFormat/>
    <w:rsid w:val="00AF4210"/>
    <w:pPr>
      <w:autoSpaceDN/>
      <w:spacing w:line="259" w:lineRule="auto"/>
      <w:textAlignment w:val="auto"/>
    </w:pPr>
    <w:rPr>
      <w:rFonts w:eastAsiaTheme="minorHAnsi" w:cstheme="minorBidi"/>
      <w:bCs/>
      <w:i/>
      <w:iCs/>
      <w:color w:val="auto"/>
      <w:szCs w:val="22"/>
      <w:lang w:eastAsia="en-US"/>
    </w:rPr>
  </w:style>
  <w:style w:type="character" w:customStyle="1" w:styleId="Stijl1Char">
    <w:name w:val="Stijl1 Char"/>
    <w:basedOn w:val="DefaultParagraphFont"/>
    <w:link w:val="Stijl1"/>
    <w:rsid w:val="00AF4210"/>
    <w:rPr>
      <w:rFonts w:ascii="Verdana" w:hAnsi="Verdana" w:eastAsiaTheme="minorHAnsi" w:cstheme="minorBidi"/>
      <w:bCs/>
      <w:i/>
      <w:iCs/>
      <w:sz w:val="18"/>
      <w:szCs w:val="22"/>
      <w:lang w:eastAsia="en-US"/>
    </w:rPr>
  </w:style>
  <w:style w:type="paragraph" w:styleId="FootnoteText">
    <w:name w:val="footnote text"/>
    <w:basedOn w:val="Normal"/>
    <w:link w:val="VoetnoottekstChar"/>
    <w:uiPriority w:val="99"/>
    <w:semiHidden/>
    <w:unhideWhenUsed/>
    <w:rsid w:val="00AF4210"/>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DefaultParagraphFont"/>
    <w:link w:val="FootnoteText"/>
    <w:uiPriority w:val="99"/>
    <w:semiHidden/>
    <w:rsid w:val="00AF4210"/>
    <w:rPr>
      <w:rFonts w:ascii="Verdana" w:hAnsi="Verdana" w:eastAsiaTheme="minorHAnsi" w:cstheme="minorBidi"/>
      <w:lang w:val="en-US" w:eastAsia="en-US"/>
    </w:rPr>
  </w:style>
  <w:style w:type="character" w:styleId="FootnoteReference">
    <w:name w:val="footnote reference"/>
    <w:basedOn w:val="DefaultParagraphFont"/>
    <w:uiPriority w:val="99"/>
    <w:semiHidden/>
    <w:unhideWhenUsed/>
    <w:rsid w:val="00AF4210"/>
    <w:rPr>
      <w:vertAlign w:val="superscript"/>
    </w:rPr>
  </w:style>
  <w:style w:type="character" w:styleId="CommentReference">
    <w:name w:val="annotation reference"/>
    <w:basedOn w:val="DefaultParagraphFont"/>
    <w:uiPriority w:val="99"/>
    <w:semiHidden/>
    <w:unhideWhenUsed/>
    <w:rsid w:val="00AF4210"/>
    <w:rPr>
      <w:sz w:val="16"/>
      <w:szCs w:val="16"/>
    </w:rPr>
  </w:style>
  <w:style w:type="paragraph" w:styleId="CommentText">
    <w:name w:val="annotation text"/>
    <w:basedOn w:val="Normal"/>
    <w:link w:val="TekstopmerkingChar"/>
    <w:uiPriority w:val="99"/>
    <w:unhideWhenUsed/>
    <w:rsid w:val="00AF4210"/>
    <w:pPr>
      <w:autoSpaceDN/>
      <w:spacing w:after="160" w:line="240" w:lineRule="auto"/>
      <w:textAlignment w:val="auto"/>
    </w:pPr>
    <w:rPr>
      <w:rFonts w:eastAsiaTheme="minorHAnsi" w:cstheme="minorBidi"/>
      <w:color w:val="auto"/>
      <w:sz w:val="20"/>
      <w:szCs w:val="20"/>
      <w:lang w:val="en-US" w:eastAsia="en-US"/>
    </w:rPr>
  </w:style>
  <w:style w:type="character" w:customStyle="1" w:styleId="TekstopmerkingChar">
    <w:name w:val="Tekst opmerking Char"/>
    <w:basedOn w:val="DefaultParagraphFont"/>
    <w:link w:val="CommentText"/>
    <w:uiPriority w:val="99"/>
    <w:rsid w:val="00AF4210"/>
    <w:rPr>
      <w:rFonts w:ascii="Verdana" w:hAnsi="Verdana" w:eastAsiaTheme="minorHAnsi" w:cstheme="minorBidi"/>
      <w:lang w:val="en-US" w:eastAsia="en-US"/>
    </w:rPr>
  </w:style>
  <w:style w:type="table" w:styleId="GridTable2">
    <w:name w:val="Grid Table 2"/>
    <w:basedOn w:val="TableNormal"/>
    <w:uiPriority w:val="47"/>
    <w:rsid w:val="00AF421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AF421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AF421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OnderwerpvanopmerkingChar"/>
    <w:uiPriority w:val="99"/>
    <w:semiHidden/>
    <w:unhideWhenUsed/>
    <w:rsid w:val="00242CBD"/>
    <w:pPr>
      <w:autoSpaceDN w:val="0"/>
      <w:spacing w:after="0"/>
      <w:textAlignment w:val="baseline"/>
    </w:pPr>
    <w:rPr>
      <w:rFonts w:eastAsia="DejaVu Sans" w:cs="Lohit Hindi"/>
      <w:b/>
      <w:bCs/>
      <w:color w:val="000000"/>
      <w:lang w:val="nl-NL" w:eastAsia="nl-NL"/>
    </w:rPr>
  </w:style>
  <w:style w:type="character" w:customStyle="1" w:styleId="OnderwerpvanopmerkingChar">
    <w:name w:val="Onderwerp van opmerking Char"/>
    <w:basedOn w:val="TekstopmerkingChar"/>
    <w:link w:val="CommentSubject"/>
    <w:uiPriority w:val="99"/>
    <w:semiHidden/>
    <w:rsid w:val="00242CBD"/>
    <w:rPr>
      <w:rFonts w:ascii="Verdana" w:hAnsi="Verdana" w:eastAsiaTheme="minorHAnsi" w:cstheme="minorBidi"/>
      <w:b/>
      <w:bCs/>
      <w:color w:val="000000"/>
      <w:lang w:val="en-US" w:eastAsia="en-US"/>
    </w:rPr>
  </w:style>
  <w:style w:type="character" w:styleId="UnresolvedMention">
    <w:name w:val="Unresolved Mention"/>
    <w:basedOn w:val="DefaultParagraphFont"/>
    <w:uiPriority w:val="99"/>
    <w:semiHidden/>
    <w:unhideWhenUsed/>
    <w:rsid w:val="00242CBD"/>
    <w:rPr>
      <w:color w:val="605E5C"/>
      <w:shd w:val="clear" w:color="auto" w:fill="E1DFDD"/>
    </w:rPr>
  </w:style>
  <w:style w:type="paragraph" w:styleId="Revision">
    <w:name w:val="Revision"/>
    <w:hidden/>
    <w:uiPriority w:val="99"/>
    <w:semiHidden/>
    <w:rsid w:val="00242CB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2.xml" Id="rId10" /><Relationship Type="http://schemas.openxmlformats.org/officeDocument/2006/relationships/theme" Target="theme/theme1.xml" Id="rId11" /><Relationship Type="http://schemas.openxmlformats.org/officeDocument/2006/relationships/numbering" Target="numbering.xml" Id="rId12" /><Relationship Type="http://schemas.openxmlformats.org/officeDocument/2006/relationships/styles" Target="styles.xml" Id="rId13"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yperlink" Target="http://www.Dashboardklimaatbeleid.nl" TargetMode="External" Id="rId7" /><Relationship Type="http://schemas.openxmlformats.org/officeDocument/2006/relationships/header" Target="header1.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open.overheid.nl/documenten/ronl-5471531871460563552097a825f0d38e7113d8e1/pdf" TargetMode="External" /><Relationship Id="rId2" Type="http://schemas.openxmlformats.org/officeDocument/2006/relationships/hyperlink" Target="https://ce.nl/wp-content/uploads/2024/06/Syntheseonderzoek-klimaatbeleid.pdf"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aan%20Parlement%20(1).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2741</ap:Words>
  <ap:Characters>15081</ap:Characters>
  <ap:DocSecurity>0</ap:DocSecurity>
  <ap:Lines>125</ap:Lines>
  <ap:Paragraphs>35</ap:Paragraphs>
  <ap:ScaleCrop>false</ap:ScaleCrop>
  <ap:HeadingPairs>
    <vt:vector baseType="variant" size="2">
      <vt:variant>
        <vt:lpstr>Titel</vt:lpstr>
      </vt:variant>
      <vt:variant>
        <vt:i4>1</vt:i4>
      </vt:variant>
    </vt:vector>
  </ap:HeadingPairs>
  <ap:TitlesOfParts>
    <vt:vector baseType="lpstr" size="1">
      <vt:lpstr>Brief aan Parlement - Opzet periodieke rapportage artikel 2.1 VRO 2021-2025</vt:lpstr>
    </vt:vector>
  </ap:TitlesOfParts>
  <ap:LinksUpToDate>false</ap:LinksUpToDate>
  <ap:CharactersWithSpaces>17787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2025-09-18T12:45:00.0000000Z</lastPrinted>
  <dcterms:created xsi:type="dcterms:W3CDTF">2025-08-13T14:28:00.0000000Z</dcterms:created>
  <dcterms:modified xsi:type="dcterms:W3CDTF">2025-09-18T12:45:00.0000000Z</dcterms:modified>
  <dc:creator/>
  <lastModifiedBy/>
  <dc:description>------------------------</dc:description>
  <dc:subject/>
  <keywords/>
  <version/>
  <category/>
</coreProperties>
</file>