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4EA" w:rsidP="008B24EA" w:rsidRDefault="008B24EA" w14:paraId="616802A4" w14:textId="77777777">
      <w:pPr>
        <w:pStyle w:val="Geenafstand"/>
        <w:spacing w:line="240" w:lineRule="atLeast"/>
        <w:rPr>
          <w:rFonts w:ascii="Verdana" w:hAnsi="Verdana"/>
          <w:sz w:val="18"/>
          <w:szCs w:val="18"/>
        </w:rPr>
      </w:pPr>
    </w:p>
    <w:p w:rsidR="00BC44B8" w:rsidP="008B24EA" w:rsidRDefault="00BC44B8" w14:paraId="2F8E618B" w14:textId="43DBC6D7">
      <w:pPr>
        <w:pStyle w:val="Geenafstand"/>
        <w:spacing w:line="240" w:lineRule="atLeast"/>
        <w:rPr>
          <w:rFonts w:ascii="Verdana" w:hAnsi="Verdana"/>
          <w:sz w:val="18"/>
          <w:szCs w:val="18"/>
        </w:rPr>
      </w:pPr>
      <w:r w:rsidRPr="00693925">
        <w:rPr>
          <w:rFonts w:ascii="Verdana" w:hAnsi="Verdana"/>
          <w:sz w:val="18"/>
          <w:szCs w:val="18"/>
        </w:rPr>
        <w:t xml:space="preserve">Geachte </w:t>
      </w:r>
      <w:r w:rsidR="008B24EA">
        <w:rPr>
          <w:rFonts w:ascii="Verdana" w:hAnsi="Verdana"/>
          <w:sz w:val="18"/>
          <w:szCs w:val="18"/>
        </w:rPr>
        <w:t>V</w:t>
      </w:r>
      <w:r w:rsidRPr="00693925">
        <w:rPr>
          <w:rFonts w:ascii="Verdana" w:hAnsi="Verdana"/>
          <w:sz w:val="18"/>
          <w:szCs w:val="18"/>
        </w:rPr>
        <w:t xml:space="preserve">oorzitter, </w:t>
      </w:r>
    </w:p>
    <w:p w:rsidRPr="00693925" w:rsidR="00BC44B8" w:rsidP="008B24EA" w:rsidRDefault="00BC44B8" w14:paraId="0440E233" w14:textId="77777777">
      <w:pPr>
        <w:pStyle w:val="Geenafstand"/>
        <w:spacing w:line="240" w:lineRule="atLeast"/>
        <w:rPr>
          <w:rFonts w:ascii="Verdana" w:hAnsi="Verdana"/>
          <w:sz w:val="18"/>
          <w:szCs w:val="18"/>
        </w:rPr>
      </w:pPr>
    </w:p>
    <w:p w:rsidR="00BC44B8" w:rsidP="008B24EA" w:rsidRDefault="00BC44B8" w14:paraId="483263B1" w14:textId="2B5E2E9A">
      <w:pPr>
        <w:pStyle w:val="Geenafstand"/>
        <w:spacing w:line="240" w:lineRule="atLeast"/>
        <w:rPr>
          <w:rFonts w:ascii="Verdana" w:hAnsi="Verdana"/>
          <w:sz w:val="18"/>
          <w:szCs w:val="18"/>
        </w:rPr>
      </w:pPr>
      <w:r>
        <w:rPr>
          <w:rFonts w:ascii="Verdana" w:hAnsi="Verdana"/>
          <w:sz w:val="18"/>
          <w:szCs w:val="18"/>
        </w:rPr>
        <w:t xml:space="preserve">Hierbij </w:t>
      </w:r>
      <w:proofErr w:type="gramStart"/>
      <w:r w:rsidRPr="00693925">
        <w:rPr>
          <w:rFonts w:ascii="Verdana" w:hAnsi="Verdana"/>
          <w:sz w:val="18"/>
          <w:szCs w:val="18"/>
        </w:rPr>
        <w:t>bied</w:t>
      </w:r>
      <w:proofErr w:type="gramEnd"/>
      <w:r w:rsidRPr="00693925">
        <w:rPr>
          <w:rFonts w:ascii="Verdana" w:hAnsi="Verdana"/>
          <w:sz w:val="18"/>
          <w:szCs w:val="18"/>
        </w:rPr>
        <w:t xml:space="preserve"> </w:t>
      </w:r>
      <w:r w:rsidR="00456509">
        <w:rPr>
          <w:rFonts w:ascii="Verdana" w:hAnsi="Verdana"/>
          <w:sz w:val="18"/>
          <w:szCs w:val="18"/>
        </w:rPr>
        <w:t>het kabinet</w:t>
      </w:r>
      <w:r w:rsidRPr="00693925">
        <w:rPr>
          <w:rFonts w:ascii="Verdana" w:hAnsi="Verdana"/>
          <w:sz w:val="18"/>
          <w:szCs w:val="18"/>
        </w:rPr>
        <w:t xml:space="preserve"> </w:t>
      </w:r>
      <w:r w:rsidR="00456509">
        <w:rPr>
          <w:rFonts w:ascii="Verdana" w:hAnsi="Verdana"/>
          <w:sz w:val="18"/>
          <w:szCs w:val="18"/>
        </w:rPr>
        <w:t>de</w:t>
      </w:r>
      <w:r>
        <w:rPr>
          <w:rFonts w:ascii="Verdana" w:hAnsi="Verdana"/>
          <w:sz w:val="18"/>
          <w:szCs w:val="18"/>
        </w:rPr>
        <w:t xml:space="preserve"> Kamer </w:t>
      </w:r>
      <w:r w:rsidRPr="00693925">
        <w:rPr>
          <w:rFonts w:ascii="Verdana" w:hAnsi="Verdana"/>
          <w:sz w:val="18"/>
          <w:szCs w:val="18"/>
        </w:rPr>
        <w:t xml:space="preserve">een overzicht aan van de nieuwe beleidsuitgaven die zijn opgenomen in de Ontwerpbegroting 2026 van het ministerie van Klimaat en Groene Groei. </w:t>
      </w:r>
      <w:r w:rsidRPr="005F5911" w:rsidR="005F5911">
        <w:rPr>
          <w:rFonts w:ascii="Verdana" w:hAnsi="Verdana"/>
          <w:sz w:val="18"/>
          <w:szCs w:val="18"/>
        </w:rPr>
        <w:t>In de bijlage zijn alleen uitgaven voor 2026 opgenomen, omdat alleen deze uitgaven ingevolge artikel 105 van de Grondwet ter autorisatie aan het parlement worden voorgelegd.</w:t>
      </w:r>
    </w:p>
    <w:p w:rsidRPr="00693925" w:rsidR="00BC44B8" w:rsidP="008B24EA" w:rsidRDefault="00BC44B8" w14:paraId="50275ABC" w14:textId="77777777">
      <w:pPr>
        <w:pStyle w:val="Geenafstand"/>
        <w:spacing w:line="240" w:lineRule="atLeast"/>
        <w:rPr>
          <w:rFonts w:ascii="Verdana" w:hAnsi="Verdana"/>
          <w:sz w:val="18"/>
          <w:szCs w:val="18"/>
        </w:rPr>
      </w:pPr>
    </w:p>
    <w:p w:rsidR="00BC44B8" w:rsidP="008B24EA" w:rsidRDefault="00BC44B8" w14:paraId="10D0CB8C" w14:textId="215A64D0">
      <w:pPr>
        <w:pStyle w:val="Geenafstand"/>
        <w:spacing w:line="240" w:lineRule="atLeast"/>
        <w:rPr>
          <w:rFonts w:ascii="Verdana" w:hAnsi="Verdana"/>
          <w:sz w:val="18"/>
          <w:szCs w:val="18"/>
        </w:rPr>
      </w:pPr>
      <w:r w:rsidRPr="00693925">
        <w:rPr>
          <w:rFonts w:ascii="Verdana" w:hAnsi="Verdana"/>
          <w:sz w:val="18"/>
          <w:szCs w:val="18"/>
        </w:rPr>
        <w:t>De KGG-begroting</w:t>
      </w:r>
      <w:r>
        <w:rPr>
          <w:rFonts w:ascii="Verdana" w:hAnsi="Verdana"/>
          <w:sz w:val="18"/>
          <w:szCs w:val="18"/>
        </w:rPr>
        <w:t xml:space="preserve"> 2026</w:t>
      </w:r>
      <w:r w:rsidRPr="00693925">
        <w:rPr>
          <w:rFonts w:ascii="Verdana" w:hAnsi="Verdana"/>
          <w:sz w:val="18"/>
          <w:szCs w:val="18"/>
        </w:rPr>
        <w:t xml:space="preserve"> bevat de budgettaire verwerking van een aantal beleidsbesluiten. Er </w:t>
      </w:r>
      <w:r>
        <w:rPr>
          <w:rFonts w:ascii="Verdana" w:hAnsi="Verdana"/>
          <w:sz w:val="18"/>
          <w:szCs w:val="18"/>
        </w:rPr>
        <w:t>zijn</w:t>
      </w:r>
      <w:r w:rsidRPr="00693925">
        <w:rPr>
          <w:rFonts w:ascii="Verdana" w:hAnsi="Verdana"/>
          <w:sz w:val="18"/>
          <w:szCs w:val="18"/>
        </w:rPr>
        <w:t xml:space="preserve"> enkele nieuwe uitgaven binnen de KGG-begroting </w:t>
      </w:r>
      <w:r>
        <w:rPr>
          <w:rFonts w:ascii="Verdana" w:hAnsi="Verdana"/>
          <w:sz w:val="18"/>
          <w:szCs w:val="18"/>
        </w:rPr>
        <w:t>geraamd</w:t>
      </w:r>
      <w:r w:rsidRPr="00693925">
        <w:rPr>
          <w:rFonts w:ascii="Verdana" w:hAnsi="Verdana"/>
          <w:sz w:val="18"/>
          <w:szCs w:val="18"/>
        </w:rPr>
        <w:t xml:space="preserve">, waaronder </w:t>
      </w:r>
      <w:r>
        <w:rPr>
          <w:rFonts w:ascii="Verdana" w:hAnsi="Verdana"/>
          <w:sz w:val="18"/>
          <w:szCs w:val="18"/>
        </w:rPr>
        <w:t>middelen voor de verduurzaming van de</w:t>
      </w:r>
      <w:r w:rsidRPr="00C85791">
        <w:rPr>
          <w:rFonts w:ascii="Verdana" w:hAnsi="Verdana"/>
          <w:sz w:val="18"/>
          <w:szCs w:val="18"/>
        </w:rPr>
        <w:t xml:space="preserve"> </w:t>
      </w:r>
      <w:r>
        <w:rPr>
          <w:rFonts w:ascii="Verdana" w:hAnsi="Verdana"/>
          <w:sz w:val="18"/>
          <w:szCs w:val="18"/>
        </w:rPr>
        <w:t xml:space="preserve">industrie, </w:t>
      </w:r>
      <w:r w:rsidR="007468EF">
        <w:rPr>
          <w:rFonts w:ascii="Verdana" w:hAnsi="Verdana"/>
          <w:sz w:val="18"/>
          <w:szCs w:val="18"/>
        </w:rPr>
        <w:t xml:space="preserve">de aanpak van </w:t>
      </w:r>
      <w:r>
        <w:rPr>
          <w:rFonts w:ascii="Verdana" w:hAnsi="Verdana"/>
          <w:sz w:val="18"/>
          <w:szCs w:val="18"/>
        </w:rPr>
        <w:t>netcongestie en uitgaven die nodig zijn om de uitrol van warmtenetten te kunnen realiseren.</w:t>
      </w:r>
    </w:p>
    <w:p w:rsidRPr="00693925" w:rsidR="00BC44B8" w:rsidP="008B24EA" w:rsidRDefault="00BC44B8" w14:paraId="351D66E4" w14:textId="77777777">
      <w:pPr>
        <w:pStyle w:val="Geenafstand"/>
        <w:spacing w:line="240" w:lineRule="atLeast"/>
        <w:rPr>
          <w:rFonts w:ascii="Verdana" w:hAnsi="Verdana"/>
          <w:sz w:val="18"/>
          <w:szCs w:val="18"/>
        </w:rPr>
      </w:pPr>
    </w:p>
    <w:p w:rsidRPr="00693925" w:rsidR="00BC44B8" w:rsidP="008B24EA" w:rsidRDefault="00BC44B8" w14:paraId="44011909" w14:textId="4FC37756">
      <w:pPr>
        <w:pStyle w:val="Geenafstand"/>
        <w:spacing w:line="240" w:lineRule="atLeast"/>
        <w:rPr>
          <w:rFonts w:ascii="Verdana" w:hAnsi="Verdana"/>
          <w:sz w:val="18"/>
          <w:szCs w:val="18"/>
        </w:rPr>
      </w:pPr>
      <w:r>
        <w:rPr>
          <w:rFonts w:ascii="Verdana" w:hAnsi="Verdana"/>
          <w:sz w:val="18"/>
          <w:szCs w:val="18"/>
        </w:rPr>
        <w:t xml:space="preserve">In de bijlage treft </w:t>
      </w:r>
      <w:r w:rsidR="00456509">
        <w:rPr>
          <w:rFonts w:ascii="Verdana" w:hAnsi="Verdana"/>
          <w:sz w:val="18"/>
          <w:szCs w:val="18"/>
        </w:rPr>
        <w:t xml:space="preserve">u </w:t>
      </w:r>
      <w:r>
        <w:rPr>
          <w:rFonts w:ascii="Verdana" w:hAnsi="Verdana"/>
          <w:sz w:val="18"/>
          <w:szCs w:val="18"/>
        </w:rPr>
        <w:t>e</w:t>
      </w:r>
      <w:r w:rsidRPr="00693925">
        <w:rPr>
          <w:rFonts w:ascii="Verdana" w:hAnsi="Verdana"/>
          <w:sz w:val="18"/>
          <w:szCs w:val="18"/>
        </w:rPr>
        <w:t>en volledig</w:t>
      </w:r>
      <w:r>
        <w:rPr>
          <w:rFonts w:ascii="Verdana" w:hAnsi="Verdana"/>
          <w:sz w:val="18"/>
          <w:szCs w:val="18"/>
        </w:rPr>
        <w:t xml:space="preserve"> overzicht </w:t>
      </w:r>
      <w:r w:rsidRPr="00693925">
        <w:rPr>
          <w:rFonts w:ascii="Verdana" w:hAnsi="Verdana"/>
          <w:sz w:val="18"/>
          <w:szCs w:val="18"/>
        </w:rPr>
        <w:t>van maatregelen die zonder tijdige autorisatie</w:t>
      </w:r>
      <w:r>
        <w:rPr>
          <w:rFonts w:ascii="Verdana" w:hAnsi="Verdana"/>
          <w:sz w:val="18"/>
          <w:szCs w:val="18"/>
        </w:rPr>
        <w:t xml:space="preserve"> niet tot rechtmatige besteding kunnen komen en daardoor vertraging in de uitvoering oplopen</w:t>
      </w:r>
      <w:r w:rsidRPr="00693925">
        <w:rPr>
          <w:rFonts w:ascii="Verdana" w:hAnsi="Verdana"/>
          <w:sz w:val="18"/>
          <w:szCs w:val="18"/>
        </w:rPr>
        <w:t xml:space="preserve">. </w:t>
      </w:r>
    </w:p>
    <w:p w:rsidR="00BC44B8" w:rsidP="008B24EA" w:rsidRDefault="00BC44B8" w14:paraId="792A50CC" w14:textId="77777777">
      <w:pPr>
        <w:pStyle w:val="Geenafstand"/>
        <w:spacing w:line="240" w:lineRule="atLeast"/>
        <w:rPr>
          <w:rFonts w:ascii="Verdana" w:hAnsi="Verdana"/>
          <w:sz w:val="18"/>
          <w:szCs w:val="18"/>
        </w:rPr>
      </w:pPr>
    </w:p>
    <w:p w:rsidRPr="007326A3" w:rsidR="00BC44B8" w:rsidP="008B24EA" w:rsidRDefault="00BC44B8" w14:paraId="676A9CD7" w14:textId="77777777">
      <w:pPr>
        <w:pStyle w:val="Geenafstand"/>
        <w:spacing w:line="240" w:lineRule="atLeast"/>
        <w:rPr>
          <w:rFonts w:ascii="Verdana" w:hAnsi="Verdana"/>
          <w:i/>
          <w:iCs/>
          <w:sz w:val="18"/>
          <w:szCs w:val="18"/>
        </w:rPr>
      </w:pPr>
      <w:r w:rsidRPr="007326A3">
        <w:rPr>
          <w:rFonts w:ascii="Verdana" w:hAnsi="Verdana"/>
          <w:i/>
          <w:iCs/>
          <w:sz w:val="18"/>
          <w:szCs w:val="18"/>
        </w:rPr>
        <w:t>Betrouwbare overheid</w:t>
      </w:r>
    </w:p>
    <w:p w:rsidRPr="00693925" w:rsidR="00BC44B8" w:rsidP="008B24EA" w:rsidRDefault="00BC44B8" w14:paraId="000FD254" w14:textId="568A4F4A">
      <w:pPr>
        <w:pStyle w:val="Geenafstand"/>
        <w:spacing w:line="240" w:lineRule="atLeast"/>
        <w:rPr>
          <w:rFonts w:ascii="Verdana" w:hAnsi="Verdana"/>
          <w:sz w:val="18"/>
          <w:szCs w:val="18"/>
        </w:rPr>
      </w:pPr>
      <w:r>
        <w:rPr>
          <w:rFonts w:ascii="Verdana" w:hAnsi="Verdana"/>
          <w:sz w:val="18"/>
          <w:szCs w:val="18"/>
        </w:rPr>
        <w:t>Een aantal</w:t>
      </w:r>
      <w:r w:rsidRPr="007326A3">
        <w:rPr>
          <w:rFonts w:ascii="Verdana" w:hAnsi="Verdana"/>
          <w:sz w:val="18"/>
          <w:szCs w:val="18"/>
        </w:rPr>
        <w:t xml:space="preserve"> van de nieuwe uitgaven vloei</w:t>
      </w:r>
      <w:r w:rsidR="00351476">
        <w:rPr>
          <w:rFonts w:ascii="Verdana" w:hAnsi="Verdana"/>
          <w:sz w:val="18"/>
          <w:szCs w:val="18"/>
        </w:rPr>
        <w:t>t</w:t>
      </w:r>
      <w:r w:rsidRPr="007326A3">
        <w:rPr>
          <w:rFonts w:ascii="Verdana" w:hAnsi="Verdana"/>
          <w:sz w:val="18"/>
          <w:szCs w:val="18"/>
        </w:rPr>
        <w:t xml:space="preserve"> voort uit toezeggingen die eerder aan burgers, bedrijven en regio’s zijn gedaan. Het gaat daarbij om regelingen en </w:t>
      </w:r>
      <w:proofErr w:type="gramStart"/>
      <w:r w:rsidRPr="007326A3">
        <w:rPr>
          <w:rFonts w:ascii="Verdana" w:hAnsi="Verdana"/>
          <w:sz w:val="18"/>
          <w:szCs w:val="18"/>
        </w:rPr>
        <w:t>investeringen</w:t>
      </w:r>
      <w:proofErr w:type="gramEnd"/>
      <w:r w:rsidRPr="007326A3">
        <w:rPr>
          <w:rFonts w:ascii="Verdana" w:hAnsi="Verdana"/>
          <w:sz w:val="18"/>
          <w:szCs w:val="18"/>
        </w:rPr>
        <w:t xml:space="preserve"> die inwoners ondersteunen bij verduurzaming, </w:t>
      </w:r>
      <w:r w:rsidR="00351476">
        <w:rPr>
          <w:rFonts w:ascii="Verdana" w:hAnsi="Verdana"/>
          <w:sz w:val="18"/>
          <w:szCs w:val="18"/>
        </w:rPr>
        <w:t xml:space="preserve">die </w:t>
      </w:r>
      <w:r w:rsidRPr="007326A3">
        <w:rPr>
          <w:rFonts w:ascii="Verdana" w:hAnsi="Verdana"/>
          <w:sz w:val="18"/>
          <w:szCs w:val="18"/>
        </w:rPr>
        <w:t xml:space="preserve">bedrijven duidelijkheid geven voor hun investeringsbeslissingen en </w:t>
      </w:r>
      <w:r w:rsidR="00351476">
        <w:rPr>
          <w:rFonts w:ascii="Verdana" w:hAnsi="Verdana"/>
          <w:sz w:val="18"/>
          <w:szCs w:val="18"/>
        </w:rPr>
        <w:t xml:space="preserve">die </w:t>
      </w:r>
      <w:r w:rsidRPr="007326A3">
        <w:rPr>
          <w:rFonts w:ascii="Verdana" w:hAnsi="Verdana"/>
          <w:sz w:val="18"/>
          <w:szCs w:val="18"/>
        </w:rPr>
        <w:t xml:space="preserve">regio’s zekerheid bieden dat gemaakte afspraken worden nagekomen. Door deze middelen tijdig te autoriseren, kan het kabinet gedane beloften </w:t>
      </w:r>
      <w:r w:rsidR="00351476">
        <w:rPr>
          <w:rFonts w:ascii="Verdana" w:hAnsi="Verdana"/>
          <w:sz w:val="18"/>
          <w:szCs w:val="18"/>
        </w:rPr>
        <w:t xml:space="preserve">nakomen. </w:t>
      </w:r>
      <w:r>
        <w:rPr>
          <w:rFonts w:ascii="Verdana" w:hAnsi="Verdana"/>
          <w:sz w:val="18"/>
          <w:szCs w:val="18"/>
        </w:rPr>
        <w:t>Daarnaast zal d</w:t>
      </w:r>
      <w:r w:rsidRPr="00693925">
        <w:rPr>
          <w:rFonts w:ascii="Verdana" w:hAnsi="Verdana"/>
          <w:sz w:val="18"/>
          <w:szCs w:val="18"/>
        </w:rPr>
        <w:t>e vertraging die ontstaat indien het parlement de KGG-begroting niet zou autoriseren voor 1 januari</w:t>
      </w:r>
      <w:r>
        <w:rPr>
          <w:rFonts w:ascii="Verdana" w:hAnsi="Verdana"/>
          <w:sz w:val="18"/>
          <w:szCs w:val="18"/>
        </w:rPr>
        <w:t xml:space="preserve"> 2026</w:t>
      </w:r>
      <w:r w:rsidRPr="00693925">
        <w:rPr>
          <w:rFonts w:ascii="Verdana" w:hAnsi="Verdana"/>
          <w:sz w:val="18"/>
          <w:szCs w:val="18"/>
        </w:rPr>
        <w:t xml:space="preserve"> het bereiken van een aantal urgente beleidsdoelen bemoeilijken.</w:t>
      </w:r>
    </w:p>
    <w:p w:rsidRPr="00693925" w:rsidR="00BC44B8" w:rsidP="008B24EA" w:rsidRDefault="00BC44B8" w14:paraId="7A049B68" w14:textId="77777777">
      <w:pPr>
        <w:pStyle w:val="Geenafstand"/>
        <w:spacing w:line="240" w:lineRule="atLeast"/>
        <w:rPr>
          <w:rFonts w:ascii="Verdana" w:hAnsi="Verdana"/>
          <w:sz w:val="18"/>
          <w:szCs w:val="18"/>
        </w:rPr>
      </w:pPr>
    </w:p>
    <w:p w:rsidRPr="00693925" w:rsidR="00BC44B8" w:rsidP="00CF22FB" w:rsidRDefault="00BC44B8" w14:paraId="1DCADC25" w14:textId="347D389E">
      <w:pPr>
        <w:spacing w:line="240" w:lineRule="auto"/>
        <w:rPr>
          <w:i/>
          <w:iCs/>
          <w:szCs w:val="18"/>
        </w:rPr>
      </w:pPr>
      <w:r w:rsidRPr="00693925">
        <w:rPr>
          <w:i/>
          <w:iCs/>
          <w:szCs w:val="18"/>
        </w:rPr>
        <w:t>Klimaatfonds</w:t>
      </w:r>
    </w:p>
    <w:p w:rsidR="00BC44B8" w:rsidP="008B24EA" w:rsidRDefault="00BC44B8" w14:paraId="3634483B" w14:textId="16858670">
      <w:pPr>
        <w:pStyle w:val="Geenafstand"/>
        <w:spacing w:line="240" w:lineRule="atLeast"/>
      </w:pPr>
      <w:r>
        <w:rPr>
          <w:rFonts w:ascii="Verdana" w:hAnsi="Verdana"/>
          <w:sz w:val="18"/>
          <w:szCs w:val="18"/>
        </w:rPr>
        <w:t>Tot slot</w:t>
      </w:r>
      <w:r w:rsidRPr="00693925">
        <w:rPr>
          <w:rFonts w:ascii="Verdana" w:hAnsi="Verdana"/>
          <w:sz w:val="18"/>
          <w:szCs w:val="18"/>
        </w:rPr>
        <w:t xml:space="preserve"> wil </w:t>
      </w:r>
      <w:r w:rsidR="00456509">
        <w:rPr>
          <w:rFonts w:ascii="Verdana" w:hAnsi="Verdana"/>
          <w:sz w:val="18"/>
          <w:szCs w:val="18"/>
        </w:rPr>
        <w:t>het kabinet</w:t>
      </w:r>
      <w:r w:rsidRPr="00693925">
        <w:rPr>
          <w:rFonts w:ascii="Verdana" w:hAnsi="Verdana"/>
          <w:sz w:val="18"/>
          <w:szCs w:val="18"/>
        </w:rPr>
        <w:t xml:space="preserve"> </w:t>
      </w:r>
      <w:r w:rsidR="00456509">
        <w:rPr>
          <w:rFonts w:ascii="Verdana" w:hAnsi="Verdana"/>
          <w:sz w:val="18"/>
          <w:szCs w:val="18"/>
        </w:rPr>
        <w:t>de</w:t>
      </w:r>
      <w:r w:rsidRPr="00693925">
        <w:rPr>
          <w:rFonts w:ascii="Verdana" w:hAnsi="Verdana"/>
          <w:sz w:val="18"/>
          <w:szCs w:val="18"/>
        </w:rPr>
        <w:t xml:space="preserve"> Kamer erop wijzen dat de KGG-begroting en de K</w:t>
      </w:r>
      <w:r>
        <w:rPr>
          <w:rFonts w:ascii="Verdana" w:hAnsi="Verdana"/>
          <w:sz w:val="18"/>
          <w:szCs w:val="18"/>
        </w:rPr>
        <w:t>limaatfonds</w:t>
      </w:r>
      <w:r w:rsidRPr="00693925">
        <w:rPr>
          <w:rFonts w:ascii="Verdana" w:hAnsi="Verdana"/>
          <w:sz w:val="18"/>
          <w:szCs w:val="18"/>
        </w:rPr>
        <w:t xml:space="preserve">-begroting technisch </w:t>
      </w:r>
      <w:r>
        <w:rPr>
          <w:rFonts w:ascii="Verdana" w:hAnsi="Verdana"/>
          <w:sz w:val="18"/>
          <w:szCs w:val="18"/>
        </w:rPr>
        <w:t>nauw</w:t>
      </w:r>
      <w:r w:rsidRPr="00693925">
        <w:rPr>
          <w:rFonts w:ascii="Verdana" w:hAnsi="Verdana"/>
          <w:sz w:val="18"/>
          <w:szCs w:val="18"/>
        </w:rPr>
        <w:t xml:space="preserve"> met elkaar verbonden zijn. De begrotingen worden daarom idealiter tegelijk behandeld.</w:t>
      </w:r>
      <w:r w:rsidRPr="00844A08">
        <w:t xml:space="preserve"> </w:t>
      </w:r>
    </w:p>
    <w:p w:rsidR="00BC44B8" w:rsidP="008B24EA" w:rsidRDefault="00BC44B8" w14:paraId="0EC3DDFF" w14:textId="77777777"/>
    <w:p w:rsidR="008B24EA" w:rsidP="008B24EA" w:rsidRDefault="008B24EA" w14:paraId="5CC60F33" w14:textId="77777777">
      <w:pPr>
        <w:rPr>
          <w:szCs w:val="18"/>
        </w:rPr>
      </w:pPr>
    </w:p>
    <w:p w:rsidR="00F63F94" w:rsidP="008B24EA" w:rsidRDefault="00F63F94" w14:paraId="3E0FEE8D" w14:textId="77777777">
      <w:pPr>
        <w:rPr>
          <w:szCs w:val="18"/>
        </w:rPr>
      </w:pPr>
    </w:p>
    <w:p w:rsidR="008B24EA" w:rsidP="008B24EA" w:rsidRDefault="00CF22FB" w14:paraId="427A4CBA" w14:textId="0420EF39">
      <w:pPr>
        <w:rPr>
          <w:szCs w:val="18"/>
        </w:rPr>
      </w:pPr>
      <w:r>
        <w:rPr>
          <w:szCs w:val="18"/>
        </w:rPr>
        <w:lastRenderedPageBreak/>
        <w:t>Hoogachtend,</w:t>
      </w:r>
    </w:p>
    <w:p w:rsidR="008B24EA" w:rsidP="008B24EA" w:rsidRDefault="008B24EA" w14:paraId="5FA55603" w14:textId="77777777">
      <w:pPr>
        <w:rPr>
          <w:szCs w:val="18"/>
        </w:rPr>
      </w:pPr>
    </w:p>
    <w:p w:rsidR="008B24EA" w:rsidP="008B24EA" w:rsidRDefault="008B24EA" w14:paraId="218D5844" w14:textId="77777777">
      <w:pPr>
        <w:rPr>
          <w:szCs w:val="18"/>
        </w:rPr>
      </w:pPr>
    </w:p>
    <w:p w:rsidR="00CF22FB" w:rsidP="008B24EA" w:rsidRDefault="00CF22FB" w14:paraId="012D2FA9" w14:textId="77777777">
      <w:pPr>
        <w:rPr>
          <w:szCs w:val="18"/>
        </w:rPr>
      </w:pPr>
    </w:p>
    <w:p w:rsidR="00CF22FB" w:rsidP="008B24EA" w:rsidRDefault="00CF22FB" w14:paraId="3BE6545A" w14:textId="77777777">
      <w:pPr>
        <w:rPr>
          <w:szCs w:val="18"/>
        </w:rPr>
      </w:pPr>
    </w:p>
    <w:p w:rsidR="00CF22FB" w:rsidP="008B24EA" w:rsidRDefault="00CF22FB" w14:paraId="6BC41B88" w14:textId="77777777">
      <w:pPr>
        <w:rPr>
          <w:szCs w:val="18"/>
        </w:rPr>
      </w:pPr>
    </w:p>
    <w:p w:rsidR="00BC44B8" w:rsidP="008B24EA" w:rsidRDefault="00BC44B8" w14:paraId="0B283BF5" w14:textId="0285A4E4">
      <w:pPr>
        <w:rPr>
          <w:szCs w:val="18"/>
        </w:rPr>
      </w:pPr>
      <w:r w:rsidRPr="005461DA">
        <w:rPr>
          <w:szCs w:val="18"/>
        </w:rPr>
        <w:t>Sophie Hermans</w:t>
      </w:r>
    </w:p>
    <w:p w:rsidRPr="005461DA" w:rsidR="00BC44B8" w:rsidP="008B24EA" w:rsidRDefault="00BC44B8" w14:paraId="2190E1F3" w14:textId="77777777">
      <w:pPr>
        <w:rPr>
          <w:szCs w:val="18"/>
        </w:rPr>
      </w:pPr>
      <w:r>
        <w:rPr>
          <w:szCs w:val="18"/>
        </w:rPr>
        <w:t>Minister van Klimaat en Groene Groei</w:t>
      </w:r>
    </w:p>
    <w:p w:rsidR="00BC44B8" w:rsidP="008B24EA" w:rsidRDefault="00BC44B8" w14:paraId="4E38E6BE" w14:textId="77777777">
      <w:pPr>
        <w:rPr>
          <w:szCs w:val="18"/>
        </w:rPr>
      </w:pPr>
      <w:r>
        <w:rPr>
          <w:szCs w:val="18"/>
        </w:rPr>
        <w:br w:type="page"/>
      </w:r>
    </w:p>
    <w:p w:rsidR="00BC44B8" w:rsidP="008B24EA" w:rsidRDefault="00BC44B8" w14:paraId="77F8DB17" w14:textId="77777777">
      <w:pPr>
        <w:rPr>
          <w:b/>
          <w:bCs/>
        </w:rPr>
      </w:pPr>
      <w:r w:rsidRPr="18979248">
        <w:rPr>
          <w:b/>
          <w:bCs/>
        </w:rPr>
        <w:lastRenderedPageBreak/>
        <w:t>Bijlage: overzicht nieuwe beleidsmatige uitgaven 2026</w:t>
      </w:r>
    </w:p>
    <w:p w:rsidRPr="006D32B0" w:rsidR="00BC44B8" w:rsidP="008B24EA" w:rsidRDefault="00BC44B8" w14:paraId="20F9F9EB" w14:textId="77777777">
      <w:pPr>
        <w:rPr>
          <w:rFonts w:eastAsiaTheme="minorHAnsi" w:cstheme="minorBidi"/>
          <w:color w:val="000000" w:themeColor="text1"/>
          <w:kern w:val="2"/>
          <w:szCs w:val="18"/>
          <w:lang w:eastAsia="en-US"/>
          <w14:ligatures w14:val="standardContextual"/>
        </w:rPr>
      </w:pPr>
    </w:p>
    <w:p w:rsidRPr="006D32B0" w:rsidR="00BC44B8" w:rsidP="008B24EA" w:rsidRDefault="005F5911" w14:paraId="30F569E3" w14:textId="2FD8CF86">
      <w:pPr>
        <w:rPr>
          <w:rFonts w:eastAsiaTheme="minorHAnsi" w:cstheme="minorBidi"/>
          <w:color w:val="000000" w:themeColor="text1"/>
          <w:kern w:val="2"/>
          <w:szCs w:val="18"/>
          <w:lang w:eastAsia="en-US"/>
          <w14:ligatures w14:val="standardContextual"/>
        </w:rPr>
      </w:pPr>
      <w:r w:rsidRPr="005F5911">
        <w:rPr>
          <w:rFonts w:eastAsiaTheme="minorHAnsi" w:cstheme="minorBidi"/>
          <w:color w:val="000000" w:themeColor="text1"/>
          <w:kern w:val="2"/>
          <w:szCs w:val="18"/>
          <w:lang w:eastAsia="en-US"/>
          <w14:ligatures w14:val="standardContextual"/>
        </w:rPr>
        <w:t>Noot vooraf: in het onderstaande overzicht zijn alleen uitgaven voor 2026 opgenomen, omdat alleen deze uitgaven ingevolge artikel 105 van de Grondwet ter autorisatie aan het parlement worden voorgelegd.</w:t>
      </w:r>
      <w:r w:rsidR="00B75C8A">
        <w:rPr>
          <w:rFonts w:eastAsiaTheme="minorHAnsi" w:cstheme="minorBidi"/>
          <w:color w:val="000000" w:themeColor="text1"/>
          <w:kern w:val="2"/>
          <w:szCs w:val="18"/>
          <w:lang w:eastAsia="en-US"/>
          <w14:ligatures w14:val="standardContextual"/>
        </w:rPr>
        <w:t xml:space="preserve"> </w:t>
      </w:r>
      <w:r w:rsidRPr="006D32B0" w:rsidR="00BC44B8">
        <w:rPr>
          <w:rFonts w:eastAsiaTheme="minorHAnsi" w:cstheme="minorBidi"/>
          <w:color w:val="000000" w:themeColor="text1"/>
          <w:kern w:val="2"/>
          <w:szCs w:val="18"/>
          <w:lang w:eastAsia="en-US"/>
          <w14:ligatures w14:val="standardContextual"/>
        </w:rPr>
        <w:t>Het betref</w:t>
      </w:r>
      <w:r w:rsidRPr="006D32B0" w:rsidR="001B43E9">
        <w:rPr>
          <w:rFonts w:eastAsiaTheme="minorHAnsi" w:cstheme="minorBidi"/>
          <w:color w:val="000000" w:themeColor="text1"/>
          <w:kern w:val="2"/>
          <w:szCs w:val="18"/>
          <w:lang w:eastAsia="en-US"/>
          <w14:ligatures w14:val="standardContextual"/>
        </w:rPr>
        <w:t>t</w:t>
      </w:r>
      <w:r w:rsidRPr="006D32B0" w:rsidR="00BC44B8">
        <w:rPr>
          <w:rFonts w:eastAsiaTheme="minorHAnsi" w:cstheme="minorBidi"/>
          <w:color w:val="000000" w:themeColor="text1"/>
          <w:kern w:val="2"/>
          <w:szCs w:val="18"/>
          <w:lang w:eastAsia="en-US"/>
          <w14:ligatures w14:val="standardContextual"/>
        </w:rPr>
        <w:t xml:space="preserve"> kasuitgaven op </w:t>
      </w:r>
      <w:r w:rsidRPr="006D32B0" w:rsidR="001B43E9">
        <w:rPr>
          <w:rFonts w:eastAsiaTheme="minorHAnsi" w:cstheme="minorBidi"/>
          <w:color w:val="000000" w:themeColor="text1"/>
          <w:kern w:val="2"/>
          <w:szCs w:val="18"/>
          <w:lang w:eastAsia="en-US"/>
          <w14:ligatures w14:val="standardContextual"/>
        </w:rPr>
        <w:t>het</w:t>
      </w:r>
      <w:r w:rsidRPr="006D32B0" w:rsidR="00BC44B8">
        <w:rPr>
          <w:rFonts w:eastAsiaTheme="minorHAnsi" w:cstheme="minorBidi"/>
          <w:color w:val="000000" w:themeColor="text1"/>
          <w:kern w:val="2"/>
          <w:szCs w:val="18"/>
          <w:lang w:eastAsia="en-US"/>
          <w14:ligatures w14:val="standardContextual"/>
        </w:rPr>
        <w:t xml:space="preserve"> beleidsartikel van nieuw beleid of significante aanvullingen op lopend beleid waar</w:t>
      </w:r>
      <w:r w:rsidRPr="006D32B0" w:rsidR="001B43E9">
        <w:rPr>
          <w:rFonts w:eastAsiaTheme="minorHAnsi" w:cstheme="minorBidi"/>
          <w:color w:val="000000" w:themeColor="text1"/>
          <w:kern w:val="2"/>
          <w:szCs w:val="18"/>
          <w:lang w:eastAsia="en-US"/>
          <w14:ligatures w14:val="standardContextual"/>
        </w:rPr>
        <w:t>toe</w:t>
      </w:r>
      <w:r w:rsidRPr="006D32B0" w:rsidR="00BC44B8">
        <w:rPr>
          <w:rFonts w:eastAsiaTheme="minorHAnsi" w:cstheme="minorBidi"/>
          <w:color w:val="000000" w:themeColor="text1"/>
          <w:kern w:val="2"/>
          <w:szCs w:val="18"/>
          <w:lang w:eastAsia="en-US"/>
          <w14:ligatures w14:val="standardContextual"/>
        </w:rPr>
        <w:t xml:space="preserve"> sinds de 1e suppletoire begroting van KGG over 2025 door het kabinet is besloten. In het overzicht zijn daarom geen technische of autonome wijzigingen van lopend beleid opgenomen, zoals de uitgekeerde loon- en prijsbijstelling of het verevenen van mee- en tegenvallers.</w:t>
      </w:r>
    </w:p>
    <w:p w:rsidRPr="006D32B0" w:rsidR="00BC44B8" w:rsidP="008B24EA" w:rsidRDefault="00BC44B8" w14:paraId="51EC082C" w14:textId="77777777">
      <w:pPr>
        <w:rPr>
          <w:rFonts w:eastAsiaTheme="minorHAnsi" w:cstheme="minorBidi"/>
          <w:color w:val="000000" w:themeColor="text1"/>
          <w:kern w:val="2"/>
          <w:szCs w:val="18"/>
          <w:lang w:eastAsia="en-US"/>
          <w14:ligatures w14:val="standardContextual"/>
        </w:rPr>
      </w:pPr>
    </w:p>
    <w:p w:rsidR="00BC44B8" w:rsidP="008B24EA" w:rsidRDefault="00BC44B8" w14:paraId="67027099" w14:textId="77777777">
      <w:pPr>
        <w:rPr>
          <w:szCs w:val="18"/>
        </w:rPr>
      </w:pPr>
      <w:r w:rsidRPr="00344FCC">
        <w:rPr>
          <w:szCs w:val="18"/>
        </w:rPr>
        <w:t xml:space="preserve"> </w:t>
      </w:r>
      <w:r w:rsidRPr="00165FD3">
        <w:rPr>
          <w:szCs w:val="18"/>
        </w:rPr>
        <w:t xml:space="preserve"> </w:t>
      </w:r>
      <w:r w:rsidRPr="00165FD3">
        <w:rPr>
          <w:noProof/>
        </w:rPr>
        <w:drawing>
          <wp:inline distT="0" distB="0" distL="0" distR="0" wp14:anchorId="022148F8" wp14:editId="51F8FE60">
            <wp:extent cx="4591050" cy="1724025"/>
            <wp:effectExtent l="0" t="0" r="0" b="9525"/>
            <wp:docPr id="6150596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1724025"/>
                    </a:xfrm>
                    <a:prstGeom prst="rect">
                      <a:avLst/>
                    </a:prstGeom>
                    <a:noFill/>
                    <a:ln>
                      <a:noFill/>
                    </a:ln>
                  </pic:spPr>
                </pic:pic>
              </a:graphicData>
            </a:graphic>
          </wp:inline>
        </w:drawing>
      </w:r>
    </w:p>
    <w:p w:rsidRPr="00FF153A" w:rsidR="00BC44B8" w:rsidP="008B24EA" w:rsidRDefault="00BC44B8" w14:paraId="63A69E02" w14:textId="77777777">
      <w:pPr>
        <w:pStyle w:val="Geenafstand"/>
        <w:spacing w:line="240" w:lineRule="atLeast"/>
        <w:rPr>
          <w:rFonts w:ascii="Verdana" w:hAnsi="Verdana"/>
          <w:color w:val="000000" w:themeColor="text1"/>
          <w:sz w:val="18"/>
          <w:szCs w:val="18"/>
        </w:rPr>
      </w:pPr>
    </w:p>
    <w:p w:rsidRPr="00FF153A" w:rsidR="00BC44B8" w:rsidP="008B24EA" w:rsidRDefault="00BC44B8" w14:paraId="0A08994F" w14:textId="77777777">
      <w:pPr>
        <w:pStyle w:val="Geenafstand"/>
        <w:spacing w:line="240" w:lineRule="atLeast"/>
        <w:rPr>
          <w:rFonts w:ascii="Verdana" w:hAnsi="Verdana"/>
          <w:i/>
          <w:iCs/>
          <w:color w:val="000000" w:themeColor="text1"/>
          <w:sz w:val="18"/>
          <w:szCs w:val="18"/>
        </w:rPr>
      </w:pPr>
      <w:r w:rsidRPr="00FF153A">
        <w:rPr>
          <w:rFonts w:ascii="Verdana" w:hAnsi="Verdana"/>
          <w:i/>
          <w:iCs/>
          <w:color w:val="000000" w:themeColor="text1"/>
          <w:sz w:val="18"/>
          <w:szCs w:val="18"/>
        </w:rPr>
        <w:t>1) Schadeafhandeling mijnbouw Limburg</w:t>
      </w:r>
    </w:p>
    <w:p w:rsidR="00BC44B8" w:rsidP="008B24EA" w:rsidRDefault="00BC44B8" w14:paraId="06EE125E" w14:textId="77777777">
      <w:pPr>
        <w:pStyle w:val="Geenafstand"/>
        <w:spacing w:line="240" w:lineRule="atLeast"/>
        <w:rPr>
          <w:rFonts w:ascii="Verdana" w:hAnsi="Verdana"/>
          <w:color w:val="000000" w:themeColor="text1"/>
          <w:sz w:val="18"/>
          <w:szCs w:val="18"/>
        </w:rPr>
      </w:pPr>
      <w:r w:rsidRPr="00006500">
        <w:rPr>
          <w:rFonts w:ascii="Verdana" w:hAnsi="Verdana"/>
          <w:color w:val="000000" w:themeColor="text1"/>
          <w:sz w:val="18"/>
          <w:szCs w:val="18"/>
        </w:rPr>
        <w:t xml:space="preserve">Betreft middelen voor een tegemoetkoming aan bewoners in Zuid-Limburg die schade ondervinden van voormalige steenkoolwinning. De tegemoetkoming is aangekondigd in oktober 2023, maar kon nog niet worden uitgevoerd omdat geen bestaande </w:t>
      </w:r>
      <w:r>
        <w:rPr>
          <w:rFonts w:ascii="Verdana" w:hAnsi="Verdana"/>
          <w:color w:val="000000" w:themeColor="text1"/>
          <w:sz w:val="18"/>
          <w:szCs w:val="18"/>
        </w:rPr>
        <w:t>uitvoerings</w:t>
      </w:r>
      <w:r w:rsidRPr="00006500">
        <w:rPr>
          <w:rFonts w:ascii="Verdana" w:hAnsi="Verdana"/>
          <w:color w:val="000000" w:themeColor="text1"/>
          <w:sz w:val="18"/>
          <w:szCs w:val="18"/>
        </w:rPr>
        <w:t>organisatie dit kon afhandelen. Zonder autorisatie ontstaat verdere vertraging in het herstel van woningen en blijft een eerdere toezegging aan de regio ongedekt.</w:t>
      </w:r>
    </w:p>
    <w:p w:rsidRPr="00FF153A" w:rsidR="00BC44B8" w:rsidP="008B24EA" w:rsidRDefault="00BC44B8" w14:paraId="76434922" w14:textId="77777777">
      <w:pPr>
        <w:pStyle w:val="Geenafstand"/>
        <w:spacing w:line="240" w:lineRule="atLeast"/>
        <w:rPr>
          <w:rFonts w:ascii="Verdana" w:hAnsi="Verdana"/>
          <w:color w:val="000000" w:themeColor="text1"/>
          <w:sz w:val="18"/>
          <w:szCs w:val="18"/>
        </w:rPr>
      </w:pPr>
    </w:p>
    <w:p w:rsidR="00BC44B8" w:rsidP="008B24EA" w:rsidRDefault="00BC44B8" w14:paraId="0E5984E8" w14:textId="77777777">
      <w:pPr>
        <w:pStyle w:val="Geenafstand"/>
        <w:spacing w:line="240" w:lineRule="atLeast"/>
        <w:rPr>
          <w:rFonts w:ascii="Verdana" w:hAnsi="Verdana"/>
          <w:i/>
          <w:iCs/>
          <w:color w:val="000000" w:themeColor="text1"/>
          <w:sz w:val="18"/>
          <w:szCs w:val="18"/>
        </w:rPr>
      </w:pPr>
      <w:r w:rsidRPr="00FF153A">
        <w:rPr>
          <w:rFonts w:ascii="Verdana" w:hAnsi="Verdana"/>
          <w:i/>
          <w:iCs/>
          <w:color w:val="000000" w:themeColor="text1"/>
          <w:sz w:val="18"/>
          <w:szCs w:val="18"/>
        </w:rPr>
        <w:t xml:space="preserve">2) </w:t>
      </w:r>
      <w:r>
        <w:rPr>
          <w:rFonts w:ascii="Verdana" w:hAnsi="Verdana"/>
          <w:i/>
          <w:iCs/>
          <w:color w:val="000000" w:themeColor="text1"/>
          <w:sz w:val="18"/>
          <w:szCs w:val="18"/>
        </w:rPr>
        <w:t>Maatwerkafspraken v</w:t>
      </w:r>
      <w:r w:rsidRPr="00FF153A">
        <w:rPr>
          <w:rFonts w:ascii="Verdana" w:hAnsi="Verdana"/>
          <w:i/>
          <w:iCs/>
          <w:color w:val="000000" w:themeColor="text1"/>
          <w:sz w:val="18"/>
          <w:szCs w:val="18"/>
        </w:rPr>
        <w:t>erduurzaming industrie</w:t>
      </w:r>
    </w:p>
    <w:p w:rsidRPr="00006500" w:rsidR="00BC44B8" w:rsidP="008B24EA" w:rsidRDefault="00BC44B8" w14:paraId="1B4C6CF5" w14:textId="77777777">
      <w:pPr>
        <w:pStyle w:val="Geenafstand"/>
        <w:spacing w:line="240" w:lineRule="atLeast"/>
        <w:rPr>
          <w:rFonts w:ascii="Verdana" w:hAnsi="Verdana"/>
          <w:color w:val="000000" w:themeColor="text1"/>
          <w:sz w:val="18"/>
          <w:szCs w:val="18"/>
        </w:rPr>
      </w:pPr>
      <w:r w:rsidRPr="00006500">
        <w:rPr>
          <w:rFonts w:ascii="Verdana" w:hAnsi="Verdana"/>
          <w:color w:val="000000" w:themeColor="text1"/>
          <w:sz w:val="18"/>
          <w:szCs w:val="18"/>
        </w:rPr>
        <w:t xml:space="preserve">Betreft een </w:t>
      </w:r>
      <w:proofErr w:type="spellStart"/>
      <w:r w:rsidRPr="00006500">
        <w:rPr>
          <w:rFonts w:ascii="Verdana" w:hAnsi="Verdana"/>
          <w:color w:val="000000" w:themeColor="text1"/>
          <w:sz w:val="18"/>
          <w:szCs w:val="18"/>
        </w:rPr>
        <w:t>opboeking</w:t>
      </w:r>
      <w:proofErr w:type="spellEnd"/>
      <w:r w:rsidRPr="00006500">
        <w:rPr>
          <w:rFonts w:ascii="Verdana" w:hAnsi="Verdana"/>
          <w:color w:val="000000" w:themeColor="text1"/>
          <w:sz w:val="18"/>
          <w:szCs w:val="18"/>
        </w:rPr>
        <w:t xml:space="preserve"> vanuit het Klimaatfonds voor de uitvoering van inspanningsverplichtingen die volgen uit recent ondertekende Joint Letters of </w:t>
      </w:r>
      <w:proofErr w:type="spellStart"/>
      <w:r w:rsidRPr="00006500">
        <w:rPr>
          <w:rFonts w:ascii="Verdana" w:hAnsi="Verdana"/>
          <w:color w:val="000000" w:themeColor="text1"/>
          <w:sz w:val="18"/>
          <w:szCs w:val="18"/>
        </w:rPr>
        <w:t>Intent</w:t>
      </w:r>
      <w:proofErr w:type="spellEnd"/>
      <w:r w:rsidRPr="00006500">
        <w:rPr>
          <w:rFonts w:ascii="Verdana" w:hAnsi="Verdana"/>
          <w:color w:val="000000" w:themeColor="text1"/>
          <w:sz w:val="18"/>
          <w:szCs w:val="18"/>
        </w:rPr>
        <w:t xml:space="preserve"> (</w:t>
      </w:r>
      <w:proofErr w:type="spellStart"/>
      <w:r w:rsidRPr="00006500">
        <w:rPr>
          <w:rFonts w:ascii="Verdana" w:hAnsi="Verdana"/>
          <w:color w:val="000000" w:themeColor="text1"/>
          <w:sz w:val="18"/>
          <w:szCs w:val="18"/>
        </w:rPr>
        <w:t>JLoI</w:t>
      </w:r>
      <w:proofErr w:type="spellEnd"/>
      <w:r w:rsidRPr="00006500">
        <w:rPr>
          <w:rFonts w:ascii="Verdana" w:hAnsi="Verdana"/>
          <w:color w:val="000000" w:themeColor="text1"/>
          <w:sz w:val="18"/>
          <w:szCs w:val="18"/>
        </w:rPr>
        <w:t xml:space="preserve">) met </w:t>
      </w:r>
      <w:r>
        <w:rPr>
          <w:rFonts w:ascii="Verdana" w:hAnsi="Verdana"/>
          <w:color w:val="000000" w:themeColor="text1"/>
          <w:sz w:val="18"/>
          <w:szCs w:val="18"/>
        </w:rPr>
        <w:t>bedrijven waarmee maatwerkafspraken worden afgesloten</w:t>
      </w:r>
      <w:r w:rsidRPr="00006500">
        <w:rPr>
          <w:rFonts w:ascii="Verdana" w:hAnsi="Verdana"/>
          <w:color w:val="000000" w:themeColor="text1"/>
          <w:sz w:val="18"/>
          <w:szCs w:val="18"/>
        </w:rPr>
        <w:t xml:space="preserve">. Deze middelen zijn nodig om de overeengekomen vervolgstappen te kunnen zetten en toe te werken naar mogelijke bindende afspraken over de inzet van Klimaatfondsmiddelen. Zonder autorisatie kunnen </w:t>
      </w:r>
      <w:r w:rsidRPr="00497AE7">
        <w:rPr>
          <w:rFonts w:ascii="Verdana" w:hAnsi="Verdana"/>
          <w:color w:val="000000" w:themeColor="text1"/>
          <w:sz w:val="18"/>
          <w:szCs w:val="18"/>
        </w:rPr>
        <w:t>de bindende maatwerkafspraken niet getekend worden</w:t>
      </w:r>
      <w:r>
        <w:rPr>
          <w:rFonts w:ascii="Verdana" w:hAnsi="Verdana"/>
          <w:color w:val="000000" w:themeColor="text1"/>
          <w:sz w:val="18"/>
          <w:szCs w:val="18"/>
        </w:rPr>
        <w:t>.</w:t>
      </w:r>
    </w:p>
    <w:p w:rsidRPr="00FF153A" w:rsidR="00BC44B8" w:rsidP="008B24EA" w:rsidRDefault="00BC44B8" w14:paraId="5DFCC114" w14:textId="77777777">
      <w:pPr>
        <w:pStyle w:val="Geenafstand"/>
        <w:spacing w:line="240" w:lineRule="atLeast"/>
        <w:rPr>
          <w:rFonts w:ascii="Verdana" w:hAnsi="Verdana"/>
          <w:i/>
          <w:iCs/>
          <w:color w:val="000000" w:themeColor="text1"/>
          <w:sz w:val="18"/>
          <w:szCs w:val="18"/>
        </w:rPr>
      </w:pPr>
    </w:p>
    <w:p w:rsidR="00BC44B8" w:rsidP="008B24EA" w:rsidRDefault="00BC44B8" w14:paraId="44880072" w14:textId="77777777">
      <w:pPr>
        <w:pStyle w:val="Geenafstand"/>
        <w:spacing w:line="240" w:lineRule="atLeast"/>
        <w:rPr>
          <w:rFonts w:ascii="Verdana" w:hAnsi="Verdana"/>
          <w:i/>
          <w:iCs/>
          <w:color w:val="000000" w:themeColor="text1"/>
          <w:sz w:val="18"/>
          <w:szCs w:val="18"/>
        </w:rPr>
      </w:pPr>
      <w:r w:rsidRPr="00FF153A">
        <w:rPr>
          <w:rFonts w:ascii="Verdana" w:hAnsi="Verdana"/>
          <w:i/>
          <w:iCs/>
          <w:color w:val="000000" w:themeColor="text1"/>
          <w:sz w:val="18"/>
          <w:szCs w:val="18"/>
        </w:rPr>
        <w:t>3) Flankerend beleid SDE+</w:t>
      </w:r>
    </w:p>
    <w:p w:rsidRPr="00B35AFD" w:rsidR="00BC44B8" w:rsidP="008B24EA" w:rsidRDefault="00BC44B8" w14:paraId="3085E9A2" w14:textId="390D27C4">
      <w:pPr>
        <w:pStyle w:val="Geenafstand"/>
        <w:spacing w:line="240" w:lineRule="atLeast"/>
        <w:rPr>
          <w:rFonts w:ascii="Verdana" w:hAnsi="Verdana"/>
          <w:color w:val="000000" w:themeColor="text1"/>
          <w:sz w:val="18"/>
          <w:szCs w:val="18"/>
        </w:rPr>
      </w:pPr>
      <w:r>
        <w:rPr>
          <w:rFonts w:ascii="Verdana" w:hAnsi="Verdana"/>
          <w:color w:val="000000" w:themeColor="text1"/>
          <w:sz w:val="18"/>
          <w:szCs w:val="18"/>
        </w:rPr>
        <w:t>Betreft middelen ter</w:t>
      </w:r>
      <w:r w:rsidRPr="00B81824">
        <w:rPr>
          <w:rFonts w:ascii="Verdana" w:hAnsi="Verdana"/>
          <w:color w:val="000000" w:themeColor="text1"/>
          <w:sz w:val="18"/>
          <w:szCs w:val="18"/>
        </w:rPr>
        <w:t xml:space="preserve"> </w:t>
      </w:r>
      <w:r>
        <w:rPr>
          <w:rFonts w:ascii="Verdana" w:hAnsi="Verdana"/>
          <w:color w:val="000000" w:themeColor="text1"/>
          <w:sz w:val="18"/>
          <w:szCs w:val="18"/>
        </w:rPr>
        <w:t>realisatie</w:t>
      </w:r>
      <w:r w:rsidRPr="00B81824">
        <w:rPr>
          <w:rFonts w:ascii="Verdana" w:hAnsi="Verdana"/>
          <w:color w:val="000000" w:themeColor="text1"/>
          <w:sz w:val="18"/>
          <w:szCs w:val="18"/>
        </w:rPr>
        <w:t xml:space="preserve"> van de energietransitie op de </w:t>
      </w:r>
      <w:r>
        <w:rPr>
          <w:rFonts w:ascii="Verdana" w:hAnsi="Verdana"/>
          <w:sz w:val="18"/>
          <w:szCs w:val="18"/>
        </w:rPr>
        <w:t xml:space="preserve">eilanden Aruba, Curaçao en </w:t>
      </w:r>
      <w:proofErr w:type="gramStart"/>
      <w:r>
        <w:rPr>
          <w:rFonts w:ascii="Verdana" w:hAnsi="Verdana"/>
          <w:sz w:val="18"/>
          <w:szCs w:val="18"/>
        </w:rPr>
        <w:t>Sint Maarten</w:t>
      </w:r>
      <w:proofErr w:type="gramEnd"/>
      <w:r>
        <w:rPr>
          <w:rFonts w:ascii="Verdana" w:hAnsi="Verdana"/>
          <w:color w:val="000000" w:themeColor="text1"/>
          <w:sz w:val="18"/>
          <w:szCs w:val="18"/>
        </w:rPr>
        <w:t>, hiervoor</w:t>
      </w:r>
      <w:r w:rsidRPr="00B81824">
        <w:rPr>
          <w:rFonts w:ascii="Verdana" w:hAnsi="Verdana"/>
          <w:color w:val="000000" w:themeColor="text1"/>
          <w:sz w:val="18"/>
          <w:szCs w:val="18"/>
        </w:rPr>
        <w:t xml:space="preserve"> staat </w:t>
      </w:r>
      <w:r>
        <w:rPr>
          <w:rFonts w:ascii="Verdana" w:hAnsi="Verdana"/>
          <w:color w:val="000000" w:themeColor="text1"/>
          <w:sz w:val="18"/>
          <w:szCs w:val="18"/>
        </w:rPr>
        <w:t xml:space="preserve">€ </w:t>
      </w:r>
      <w:r w:rsidRPr="00B81824">
        <w:rPr>
          <w:rFonts w:ascii="Verdana" w:hAnsi="Verdana"/>
          <w:color w:val="000000" w:themeColor="text1"/>
          <w:sz w:val="18"/>
          <w:szCs w:val="18"/>
        </w:rPr>
        <w:t xml:space="preserve">150 </w:t>
      </w:r>
      <w:proofErr w:type="spellStart"/>
      <w:r w:rsidRPr="00B81824">
        <w:rPr>
          <w:rFonts w:ascii="Verdana" w:hAnsi="Verdana"/>
          <w:color w:val="000000" w:themeColor="text1"/>
          <w:sz w:val="18"/>
          <w:szCs w:val="18"/>
        </w:rPr>
        <w:t>mln</w:t>
      </w:r>
      <w:proofErr w:type="spellEnd"/>
      <w:r w:rsidRPr="00B81824">
        <w:rPr>
          <w:rFonts w:ascii="Verdana" w:hAnsi="Verdana"/>
          <w:color w:val="000000" w:themeColor="text1"/>
          <w:sz w:val="18"/>
          <w:szCs w:val="18"/>
        </w:rPr>
        <w:t xml:space="preserve"> gereserveerd op de aanvullende post. Hiervan wordt </w:t>
      </w:r>
      <w:r>
        <w:rPr>
          <w:rFonts w:ascii="Verdana" w:hAnsi="Verdana"/>
          <w:color w:val="000000" w:themeColor="text1"/>
          <w:sz w:val="18"/>
          <w:szCs w:val="18"/>
        </w:rPr>
        <w:t xml:space="preserve">€ </w:t>
      </w:r>
      <w:r w:rsidRPr="00B81824">
        <w:rPr>
          <w:rFonts w:ascii="Verdana" w:hAnsi="Verdana"/>
          <w:color w:val="000000" w:themeColor="text1"/>
          <w:sz w:val="18"/>
          <w:szCs w:val="18"/>
        </w:rPr>
        <w:t xml:space="preserve">116 </w:t>
      </w:r>
      <w:proofErr w:type="spellStart"/>
      <w:r w:rsidRPr="00B81824">
        <w:rPr>
          <w:rFonts w:ascii="Verdana" w:hAnsi="Verdana"/>
          <w:color w:val="000000" w:themeColor="text1"/>
          <w:sz w:val="18"/>
          <w:szCs w:val="18"/>
        </w:rPr>
        <w:t>mln</w:t>
      </w:r>
      <w:proofErr w:type="spellEnd"/>
      <w:r w:rsidRPr="00B81824">
        <w:rPr>
          <w:rFonts w:ascii="Verdana" w:hAnsi="Verdana"/>
          <w:color w:val="000000" w:themeColor="text1"/>
          <w:sz w:val="18"/>
          <w:szCs w:val="18"/>
        </w:rPr>
        <w:t xml:space="preserve"> euro opgevraagd voor Aruba en Curaçao om </w:t>
      </w:r>
      <w:proofErr w:type="spellStart"/>
      <w:r w:rsidRPr="00B81824">
        <w:rPr>
          <w:rFonts w:ascii="Verdana" w:hAnsi="Verdana"/>
          <w:color w:val="000000" w:themeColor="text1"/>
          <w:sz w:val="18"/>
          <w:szCs w:val="18"/>
        </w:rPr>
        <w:t>randvoorwaardelijke</w:t>
      </w:r>
      <w:proofErr w:type="spellEnd"/>
      <w:r w:rsidRPr="00B81824">
        <w:rPr>
          <w:rFonts w:ascii="Verdana" w:hAnsi="Verdana"/>
          <w:color w:val="000000" w:themeColor="text1"/>
          <w:sz w:val="18"/>
          <w:szCs w:val="18"/>
        </w:rPr>
        <w:t xml:space="preserve"> projecten ten behoeve van de energietransitie te subsidiëren</w:t>
      </w:r>
      <w:r>
        <w:rPr>
          <w:rFonts w:ascii="Verdana" w:hAnsi="Verdana"/>
          <w:color w:val="000000" w:themeColor="text1"/>
          <w:sz w:val="18"/>
          <w:szCs w:val="18"/>
        </w:rPr>
        <w:t xml:space="preserve">, hiervan worden de uitgaven in 2026 op € 49 </w:t>
      </w:r>
      <w:proofErr w:type="spellStart"/>
      <w:r>
        <w:rPr>
          <w:rFonts w:ascii="Verdana" w:hAnsi="Verdana"/>
          <w:color w:val="000000" w:themeColor="text1"/>
          <w:sz w:val="18"/>
          <w:szCs w:val="18"/>
        </w:rPr>
        <w:t>mln</w:t>
      </w:r>
      <w:proofErr w:type="spellEnd"/>
      <w:r>
        <w:rPr>
          <w:rFonts w:ascii="Verdana" w:hAnsi="Verdana"/>
          <w:color w:val="000000" w:themeColor="text1"/>
          <w:sz w:val="18"/>
          <w:szCs w:val="18"/>
        </w:rPr>
        <w:t xml:space="preserve"> begroot</w:t>
      </w:r>
      <w:r w:rsidRPr="00B81824">
        <w:rPr>
          <w:rFonts w:ascii="Verdana" w:hAnsi="Verdana"/>
          <w:color w:val="000000" w:themeColor="text1"/>
          <w:sz w:val="18"/>
          <w:szCs w:val="18"/>
        </w:rPr>
        <w:t>. Deze middelen worden toegevoegd aan het flankerend beleid SDE+ budget. De Kamer zal binnenkort een CW3.1 kader ontvangen.</w:t>
      </w:r>
      <w:r w:rsidR="00127E1B">
        <w:rPr>
          <w:rFonts w:ascii="Verdana" w:hAnsi="Verdana"/>
          <w:color w:val="000000" w:themeColor="text1"/>
          <w:sz w:val="18"/>
          <w:szCs w:val="18"/>
        </w:rPr>
        <w:t xml:space="preserve"> Zonder autorisatie kunnen de gemaakte afspraken met de eilanden niet nagekomen worden.</w:t>
      </w:r>
      <w:r w:rsidRPr="00B35AFD">
        <w:rPr>
          <w:rFonts w:ascii="Verdana" w:hAnsi="Verdana"/>
          <w:color w:val="000000" w:themeColor="text1"/>
          <w:sz w:val="18"/>
          <w:szCs w:val="18"/>
        </w:rPr>
        <w:tab/>
        <w:t> </w:t>
      </w:r>
      <w:r w:rsidRPr="00B35AFD">
        <w:rPr>
          <w:rFonts w:ascii="Verdana" w:hAnsi="Verdana"/>
          <w:color w:val="000000" w:themeColor="text1"/>
          <w:sz w:val="18"/>
          <w:szCs w:val="18"/>
        </w:rPr>
        <w:tab/>
        <w:t> </w:t>
      </w:r>
      <w:r w:rsidRPr="00B35AFD">
        <w:rPr>
          <w:rFonts w:ascii="Verdana" w:hAnsi="Verdana"/>
          <w:color w:val="000000" w:themeColor="text1"/>
          <w:sz w:val="18"/>
          <w:szCs w:val="18"/>
        </w:rPr>
        <w:tab/>
        <w:t> </w:t>
      </w:r>
      <w:r w:rsidRPr="00B35AFD">
        <w:rPr>
          <w:rFonts w:ascii="Verdana" w:hAnsi="Verdana"/>
          <w:color w:val="000000" w:themeColor="text1"/>
          <w:sz w:val="18"/>
          <w:szCs w:val="18"/>
        </w:rPr>
        <w:tab/>
        <w:t> </w:t>
      </w:r>
      <w:r w:rsidRPr="00B35AFD">
        <w:rPr>
          <w:rFonts w:ascii="Verdana" w:hAnsi="Verdana"/>
          <w:color w:val="000000" w:themeColor="text1"/>
          <w:sz w:val="18"/>
          <w:szCs w:val="18"/>
        </w:rPr>
        <w:tab/>
        <w:t> </w:t>
      </w:r>
    </w:p>
    <w:p w:rsidR="00BC44B8" w:rsidP="008B24EA" w:rsidRDefault="00BC44B8" w14:paraId="1C60CBFD" w14:textId="77777777">
      <w:pPr>
        <w:pStyle w:val="Geenafstand"/>
        <w:spacing w:line="240" w:lineRule="atLeast"/>
        <w:rPr>
          <w:rFonts w:ascii="Verdana" w:hAnsi="Verdana"/>
          <w:i/>
          <w:iCs/>
          <w:color w:val="000000" w:themeColor="text1"/>
          <w:sz w:val="18"/>
          <w:szCs w:val="18"/>
        </w:rPr>
      </w:pPr>
    </w:p>
    <w:p w:rsidRPr="00FF153A" w:rsidR="00CF22FB" w:rsidP="008B24EA" w:rsidRDefault="00CF22FB" w14:paraId="074FDFA2" w14:textId="77777777">
      <w:pPr>
        <w:pStyle w:val="Geenafstand"/>
        <w:spacing w:line="240" w:lineRule="atLeast"/>
        <w:rPr>
          <w:rFonts w:ascii="Verdana" w:hAnsi="Verdana"/>
          <w:i/>
          <w:iCs/>
          <w:color w:val="000000" w:themeColor="text1"/>
          <w:sz w:val="18"/>
          <w:szCs w:val="18"/>
        </w:rPr>
      </w:pPr>
    </w:p>
    <w:p w:rsidR="00BC44B8" w:rsidP="008B24EA" w:rsidRDefault="00BC44B8" w14:paraId="487E5E1C" w14:textId="77777777">
      <w:pPr>
        <w:pStyle w:val="Geenafstand"/>
        <w:spacing w:line="240" w:lineRule="atLeast"/>
        <w:rPr>
          <w:rFonts w:ascii="Verdana" w:hAnsi="Verdana"/>
          <w:i/>
          <w:iCs/>
          <w:color w:val="000000" w:themeColor="text1"/>
          <w:sz w:val="18"/>
          <w:szCs w:val="18"/>
        </w:rPr>
      </w:pPr>
      <w:r>
        <w:rPr>
          <w:rFonts w:ascii="Verdana" w:hAnsi="Verdana"/>
          <w:i/>
          <w:iCs/>
          <w:color w:val="000000" w:themeColor="text1"/>
          <w:sz w:val="18"/>
          <w:szCs w:val="18"/>
        </w:rPr>
        <w:lastRenderedPageBreak/>
        <w:t>4</w:t>
      </w:r>
      <w:r w:rsidRPr="00FF153A">
        <w:rPr>
          <w:rFonts w:ascii="Verdana" w:hAnsi="Verdana"/>
          <w:i/>
          <w:iCs/>
          <w:color w:val="000000" w:themeColor="text1"/>
          <w:sz w:val="18"/>
          <w:szCs w:val="18"/>
        </w:rPr>
        <w:t xml:space="preserve">) </w:t>
      </w:r>
      <w:r>
        <w:rPr>
          <w:rFonts w:ascii="Verdana" w:hAnsi="Verdana"/>
          <w:i/>
          <w:iCs/>
          <w:color w:val="000000" w:themeColor="text1"/>
          <w:sz w:val="18"/>
          <w:szCs w:val="18"/>
        </w:rPr>
        <w:t xml:space="preserve">Bijdrage aan </w:t>
      </w:r>
      <w:r w:rsidRPr="00FF153A">
        <w:rPr>
          <w:rFonts w:ascii="Verdana" w:hAnsi="Verdana"/>
          <w:i/>
          <w:iCs/>
          <w:color w:val="000000" w:themeColor="text1"/>
          <w:sz w:val="18"/>
          <w:szCs w:val="18"/>
        </w:rPr>
        <w:t xml:space="preserve">TNO </w:t>
      </w:r>
      <w:r>
        <w:rPr>
          <w:rFonts w:ascii="Verdana" w:hAnsi="Verdana"/>
          <w:i/>
          <w:iCs/>
          <w:color w:val="000000" w:themeColor="text1"/>
          <w:sz w:val="18"/>
          <w:szCs w:val="18"/>
        </w:rPr>
        <w:t xml:space="preserve">vanuit </w:t>
      </w:r>
      <w:r w:rsidRPr="00FF153A">
        <w:rPr>
          <w:rFonts w:ascii="Verdana" w:hAnsi="Verdana"/>
          <w:i/>
          <w:iCs/>
          <w:color w:val="000000" w:themeColor="text1"/>
          <w:sz w:val="18"/>
          <w:szCs w:val="18"/>
        </w:rPr>
        <w:t>kerndepartement</w:t>
      </w:r>
    </w:p>
    <w:p w:rsidR="00BC44B8" w:rsidP="008B24EA" w:rsidRDefault="00BC44B8" w14:paraId="32ED30AA" w14:textId="77777777">
      <w:pPr>
        <w:pStyle w:val="Geenafstand"/>
        <w:spacing w:line="240" w:lineRule="atLeast"/>
        <w:rPr>
          <w:rFonts w:ascii="Verdana" w:hAnsi="Verdana"/>
          <w:color w:val="000000" w:themeColor="text1"/>
          <w:sz w:val="18"/>
          <w:szCs w:val="18"/>
        </w:rPr>
      </w:pPr>
      <w:r w:rsidRPr="00006500">
        <w:rPr>
          <w:rFonts w:ascii="Verdana" w:hAnsi="Verdana"/>
          <w:color w:val="000000" w:themeColor="text1"/>
          <w:sz w:val="18"/>
          <w:szCs w:val="18"/>
        </w:rPr>
        <w:t xml:space="preserve">Betreft middelen voor de nieuwbouw van het Kernhuis van de Geologische Dienst Nederland. Hiermee kan </w:t>
      </w:r>
      <w:proofErr w:type="gramStart"/>
      <w:r w:rsidRPr="00006500">
        <w:rPr>
          <w:rFonts w:ascii="Verdana" w:hAnsi="Verdana"/>
          <w:color w:val="000000" w:themeColor="text1"/>
          <w:sz w:val="18"/>
          <w:szCs w:val="18"/>
        </w:rPr>
        <w:t>TNO uitvoering</w:t>
      </w:r>
      <w:proofErr w:type="gramEnd"/>
      <w:r w:rsidRPr="00006500">
        <w:rPr>
          <w:rFonts w:ascii="Verdana" w:hAnsi="Verdana"/>
          <w:color w:val="000000" w:themeColor="text1"/>
          <w:sz w:val="18"/>
          <w:szCs w:val="18"/>
        </w:rPr>
        <w:t xml:space="preserve"> geven aan de wettelijke taak om fysiek materiaal uit de diepe ondergrond, dat eigendom is van de Staat, te beheren en op te slaan. Zonder autorisatie van deze middelen ontstaat vertraging in de bouw en daarmee in het veiligstellen en beschikbaar houden van dit materiaal.</w:t>
      </w:r>
    </w:p>
    <w:p w:rsidRPr="00FF153A" w:rsidR="00BC44B8" w:rsidP="008B24EA" w:rsidRDefault="00BC44B8" w14:paraId="0E469633" w14:textId="77777777">
      <w:pPr>
        <w:pStyle w:val="Geenafstand"/>
        <w:spacing w:line="240" w:lineRule="atLeast"/>
        <w:rPr>
          <w:rFonts w:ascii="Verdana" w:hAnsi="Verdana"/>
          <w:i/>
          <w:iCs/>
          <w:color w:val="000000" w:themeColor="text1"/>
          <w:sz w:val="18"/>
          <w:szCs w:val="18"/>
        </w:rPr>
      </w:pPr>
    </w:p>
    <w:p w:rsidR="00BC44B8" w:rsidP="008B24EA" w:rsidRDefault="00BC44B8" w14:paraId="44FCEA02" w14:textId="77777777">
      <w:pPr>
        <w:pStyle w:val="Geenafstand"/>
        <w:spacing w:line="240" w:lineRule="atLeast"/>
        <w:rPr>
          <w:rFonts w:ascii="Verdana" w:hAnsi="Verdana"/>
          <w:i/>
          <w:iCs/>
          <w:color w:val="000000" w:themeColor="text1"/>
          <w:sz w:val="18"/>
          <w:szCs w:val="18"/>
        </w:rPr>
      </w:pPr>
      <w:r>
        <w:rPr>
          <w:rFonts w:ascii="Verdana" w:hAnsi="Verdana"/>
          <w:i/>
          <w:iCs/>
          <w:color w:val="000000" w:themeColor="text1"/>
          <w:sz w:val="18"/>
          <w:szCs w:val="18"/>
        </w:rPr>
        <w:t>5</w:t>
      </w:r>
      <w:r w:rsidRPr="00FF153A">
        <w:rPr>
          <w:rFonts w:ascii="Verdana" w:hAnsi="Verdana"/>
          <w:i/>
          <w:iCs/>
          <w:color w:val="000000" w:themeColor="text1"/>
          <w:sz w:val="18"/>
          <w:szCs w:val="18"/>
        </w:rPr>
        <w:t>) Uitvoeringskosten klimaat medeoverheden</w:t>
      </w:r>
    </w:p>
    <w:p w:rsidRPr="00006500" w:rsidR="00BC44B8" w:rsidP="008B24EA" w:rsidRDefault="00BC44B8" w14:paraId="35AA3382" w14:textId="77777777">
      <w:pPr>
        <w:pStyle w:val="Geenafstand"/>
        <w:spacing w:line="240" w:lineRule="atLeast"/>
        <w:rPr>
          <w:rFonts w:ascii="Verdana" w:hAnsi="Verdana"/>
          <w:color w:val="000000" w:themeColor="text1"/>
          <w:sz w:val="18"/>
          <w:szCs w:val="18"/>
        </w:rPr>
      </w:pPr>
      <w:r w:rsidRPr="00006500">
        <w:rPr>
          <w:rFonts w:ascii="Verdana" w:hAnsi="Verdana"/>
          <w:color w:val="000000" w:themeColor="text1"/>
          <w:sz w:val="18"/>
          <w:szCs w:val="18"/>
        </w:rPr>
        <w:t xml:space="preserve">Betreft middelen uit het Klimaatfonds voor gebiedsinvesteringen die samenhangen met hoogspanningsprojecten op land. Deze investeringen zijn bedoeld om de </w:t>
      </w:r>
      <w:r>
        <w:rPr>
          <w:rFonts w:ascii="Verdana" w:hAnsi="Verdana"/>
          <w:color w:val="000000" w:themeColor="text1"/>
          <w:sz w:val="18"/>
          <w:szCs w:val="18"/>
        </w:rPr>
        <w:t xml:space="preserve">medeoverheden </w:t>
      </w:r>
      <w:r w:rsidRPr="00006500">
        <w:rPr>
          <w:rFonts w:ascii="Verdana" w:hAnsi="Verdana"/>
          <w:color w:val="000000" w:themeColor="text1"/>
          <w:sz w:val="18"/>
          <w:szCs w:val="18"/>
        </w:rPr>
        <w:t xml:space="preserve">te </w:t>
      </w:r>
      <w:r>
        <w:rPr>
          <w:rFonts w:ascii="Verdana" w:hAnsi="Verdana"/>
          <w:color w:val="000000" w:themeColor="text1"/>
          <w:sz w:val="18"/>
          <w:szCs w:val="18"/>
        </w:rPr>
        <w:t>ondersteunen voor o.a. hun (extra) taken</w:t>
      </w:r>
      <w:r w:rsidRPr="00006500">
        <w:rPr>
          <w:rFonts w:ascii="Verdana" w:hAnsi="Verdana"/>
          <w:color w:val="000000" w:themeColor="text1"/>
          <w:sz w:val="18"/>
          <w:szCs w:val="18"/>
        </w:rPr>
        <w:t xml:space="preserve"> </w:t>
      </w:r>
      <w:r>
        <w:rPr>
          <w:rFonts w:ascii="Verdana" w:hAnsi="Verdana"/>
          <w:color w:val="000000" w:themeColor="text1"/>
          <w:sz w:val="18"/>
          <w:szCs w:val="18"/>
        </w:rPr>
        <w:t xml:space="preserve">bij de inpassing van </w:t>
      </w:r>
      <w:r w:rsidRPr="00006500">
        <w:rPr>
          <w:rFonts w:ascii="Verdana" w:hAnsi="Verdana"/>
          <w:color w:val="000000" w:themeColor="text1"/>
          <w:sz w:val="18"/>
          <w:szCs w:val="18"/>
        </w:rPr>
        <w:t xml:space="preserve">nationale hoogspanningsinfrastructuur en </w:t>
      </w:r>
      <w:r>
        <w:rPr>
          <w:rFonts w:ascii="Verdana" w:hAnsi="Verdana"/>
          <w:color w:val="000000" w:themeColor="text1"/>
          <w:sz w:val="18"/>
          <w:szCs w:val="18"/>
        </w:rPr>
        <w:t>om</w:t>
      </w:r>
      <w:r w:rsidRPr="00006500">
        <w:rPr>
          <w:rFonts w:ascii="Verdana" w:hAnsi="Verdana"/>
          <w:color w:val="000000" w:themeColor="text1"/>
          <w:sz w:val="18"/>
          <w:szCs w:val="18"/>
        </w:rPr>
        <w:t xml:space="preserve"> regionaal draagvlak </w:t>
      </w:r>
      <w:r>
        <w:rPr>
          <w:rFonts w:ascii="Verdana" w:hAnsi="Verdana"/>
          <w:color w:val="000000" w:themeColor="text1"/>
          <w:sz w:val="18"/>
          <w:szCs w:val="18"/>
        </w:rPr>
        <w:t>hier</w:t>
      </w:r>
      <w:r w:rsidRPr="00006500">
        <w:rPr>
          <w:rFonts w:ascii="Verdana" w:hAnsi="Verdana"/>
          <w:color w:val="000000" w:themeColor="text1"/>
          <w:sz w:val="18"/>
          <w:szCs w:val="18"/>
        </w:rPr>
        <w:t>voor te behouden. Zonder autorisatie kunnen de investeringen niet worden gedaan, met het risico op vertraging in de procedures voor het inpassen van hoogspanningsprojecten.</w:t>
      </w:r>
    </w:p>
    <w:p w:rsidRPr="00FF153A" w:rsidR="00BC44B8" w:rsidP="008B24EA" w:rsidRDefault="00BC44B8" w14:paraId="5D86C177" w14:textId="77777777">
      <w:pPr>
        <w:pStyle w:val="Geenafstand"/>
        <w:spacing w:line="240" w:lineRule="atLeast"/>
        <w:rPr>
          <w:rFonts w:ascii="Verdana" w:hAnsi="Verdana"/>
          <w:i/>
          <w:iCs/>
          <w:color w:val="000000" w:themeColor="text1"/>
          <w:sz w:val="18"/>
          <w:szCs w:val="18"/>
        </w:rPr>
      </w:pPr>
    </w:p>
    <w:p w:rsidR="00BC44B8" w:rsidP="008B24EA" w:rsidRDefault="00BC44B8" w14:paraId="15B8D7C3" w14:textId="77777777">
      <w:pPr>
        <w:pStyle w:val="Geenafstand"/>
        <w:spacing w:line="240" w:lineRule="atLeast"/>
        <w:rPr>
          <w:rFonts w:ascii="Verdana" w:hAnsi="Verdana"/>
          <w:i/>
          <w:iCs/>
          <w:color w:val="000000" w:themeColor="text1"/>
          <w:sz w:val="18"/>
          <w:szCs w:val="18"/>
        </w:rPr>
      </w:pPr>
      <w:bookmarkStart w:name="_Hlk207788636" w:id="0"/>
      <w:r>
        <w:rPr>
          <w:rFonts w:ascii="Verdana" w:hAnsi="Verdana"/>
          <w:i/>
          <w:iCs/>
          <w:color w:val="000000" w:themeColor="text1"/>
          <w:sz w:val="18"/>
          <w:szCs w:val="18"/>
        </w:rPr>
        <w:t>6</w:t>
      </w:r>
      <w:r w:rsidRPr="00FF153A">
        <w:rPr>
          <w:rFonts w:ascii="Verdana" w:hAnsi="Verdana"/>
          <w:i/>
          <w:iCs/>
          <w:color w:val="000000" w:themeColor="text1"/>
          <w:sz w:val="18"/>
          <w:szCs w:val="18"/>
        </w:rPr>
        <w:t>) Storting in begrotingsreserve Garantieregeling Warmtenetten</w:t>
      </w:r>
    </w:p>
    <w:p w:rsidRPr="00FF153A" w:rsidR="00BC44B8" w:rsidP="008B24EA" w:rsidRDefault="00BC44B8" w14:paraId="6F3A0C09" w14:textId="77777777">
      <w:pPr>
        <w:pStyle w:val="Geenafstand"/>
        <w:spacing w:line="240" w:lineRule="atLeast"/>
        <w:rPr>
          <w:rFonts w:ascii="Verdana" w:hAnsi="Verdana"/>
          <w:i/>
          <w:iCs/>
          <w:color w:val="000000" w:themeColor="text1"/>
          <w:sz w:val="18"/>
          <w:szCs w:val="18"/>
        </w:rPr>
      </w:pPr>
      <w:r w:rsidRPr="000F1B17">
        <w:rPr>
          <w:rFonts w:ascii="Verdana" w:hAnsi="Verdana"/>
          <w:color w:val="000000" w:themeColor="text1"/>
          <w:sz w:val="18"/>
          <w:szCs w:val="18"/>
        </w:rPr>
        <w:t xml:space="preserve">Betreft middelen uit het Klimaatfonds voor de overheveling van de toekenning voor het Waarborgfonds Warmtenetten naar de KGG-begroting. Deze middelen zijn bedoeld voor de inrichting van een garantieregeling die nodig is om investeringen in warmtenetten mogelijk te maken. </w:t>
      </w:r>
      <w:r>
        <w:rPr>
          <w:rFonts w:ascii="Verdana" w:hAnsi="Verdana"/>
          <w:color w:val="000000" w:themeColor="text1"/>
          <w:sz w:val="18"/>
          <w:szCs w:val="18"/>
        </w:rPr>
        <w:t xml:space="preserve">Daarnaast worden voor de Nationale Deelneming Warmte (NDW) mogelijk nog middelen aan de KGG-begroting toegevoegd middels een Nota van Wijziging. Dit is afhankelijk van de instemming door de Eerste Kamer van de Wet Collectieve Warmte (WCW). </w:t>
      </w:r>
      <w:r w:rsidRPr="000F1B17">
        <w:rPr>
          <w:rFonts w:ascii="Verdana" w:hAnsi="Verdana"/>
          <w:color w:val="000000" w:themeColor="text1"/>
          <w:sz w:val="18"/>
          <w:szCs w:val="18"/>
        </w:rPr>
        <w:t xml:space="preserve">Zonder autorisatie </w:t>
      </w:r>
      <w:r>
        <w:rPr>
          <w:rFonts w:ascii="Verdana" w:hAnsi="Verdana"/>
          <w:color w:val="000000" w:themeColor="text1"/>
          <w:sz w:val="18"/>
          <w:szCs w:val="18"/>
        </w:rPr>
        <w:t>kunnen</w:t>
      </w:r>
      <w:r w:rsidRPr="000F1B17">
        <w:rPr>
          <w:rFonts w:ascii="Verdana" w:hAnsi="Verdana"/>
          <w:color w:val="000000" w:themeColor="text1"/>
          <w:sz w:val="18"/>
          <w:szCs w:val="18"/>
        </w:rPr>
        <w:t xml:space="preserve"> de</w:t>
      </w:r>
      <w:r>
        <w:rPr>
          <w:rFonts w:ascii="Verdana" w:hAnsi="Verdana"/>
          <w:color w:val="000000" w:themeColor="text1"/>
          <w:sz w:val="18"/>
          <w:szCs w:val="18"/>
        </w:rPr>
        <w:t>ze</w:t>
      </w:r>
      <w:r w:rsidRPr="000F1B17">
        <w:rPr>
          <w:rFonts w:ascii="Verdana" w:hAnsi="Verdana"/>
          <w:color w:val="000000" w:themeColor="text1"/>
          <w:sz w:val="18"/>
          <w:szCs w:val="18"/>
        </w:rPr>
        <w:t xml:space="preserve"> overheveling</w:t>
      </w:r>
      <w:r>
        <w:rPr>
          <w:rFonts w:ascii="Verdana" w:hAnsi="Verdana"/>
          <w:color w:val="000000" w:themeColor="text1"/>
          <w:sz w:val="18"/>
          <w:szCs w:val="18"/>
        </w:rPr>
        <w:t>en</w:t>
      </w:r>
      <w:r w:rsidRPr="000F1B17">
        <w:rPr>
          <w:rFonts w:ascii="Verdana" w:hAnsi="Verdana"/>
          <w:color w:val="000000" w:themeColor="text1"/>
          <w:sz w:val="18"/>
          <w:szCs w:val="18"/>
        </w:rPr>
        <w:t xml:space="preserve"> niet plaatsvinden, waardoor de ontwikkeling van nieuwe warmtenetten vertraging oploopt en bewoners langer moeten wachten op een betaalbaar en duurzaam alternatief voor aardgas.</w:t>
      </w:r>
      <w:r>
        <w:rPr>
          <w:rFonts w:ascii="Verdana" w:hAnsi="Verdana"/>
          <w:color w:val="000000" w:themeColor="text1"/>
          <w:sz w:val="18"/>
          <w:szCs w:val="18"/>
        </w:rPr>
        <w:t xml:space="preserve"> </w:t>
      </w:r>
    </w:p>
    <w:bookmarkEnd w:id="0"/>
    <w:p w:rsidR="00BC44B8" w:rsidP="008B24EA" w:rsidRDefault="00BC44B8" w14:paraId="20EC97F4" w14:textId="77777777"/>
    <w:p w:rsidRPr="00351476" w:rsidR="00BC44B8" w:rsidP="008B24EA" w:rsidRDefault="00BC44B8" w14:paraId="2F8E27A9" w14:textId="77777777">
      <w:pPr>
        <w:pStyle w:val="Geenafstand"/>
        <w:spacing w:line="240" w:lineRule="atLeast"/>
        <w:rPr>
          <w:rFonts w:ascii="Verdana" w:hAnsi="Verdana"/>
          <w:i/>
          <w:iCs/>
          <w:sz w:val="18"/>
          <w:szCs w:val="18"/>
        </w:rPr>
      </w:pPr>
      <w:r w:rsidRPr="00351476">
        <w:rPr>
          <w:rFonts w:ascii="Verdana" w:hAnsi="Verdana"/>
          <w:i/>
          <w:iCs/>
          <w:sz w:val="18"/>
          <w:szCs w:val="18"/>
        </w:rPr>
        <w:t>7) Verduurzaming industrie (lening)</w:t>
      </w:r>
    </w:p>
    <w:p w:rsidR="008B24EA" w:rsidP="008B24EA" w:rsidRDefault="00BC44B8" w14:paraId="2FACFE46" w14:textId="77777777">
      <w:pPr>
        <w:pStyle w:val="Geenafstand"/>
        <w:spacing w:line="240" w:lineRule="atLeast"/>
        <w:rPr>
          <w:rFonts w:ascii="Verdana" w:hAnsi="Verdana"/>
          <w:color w:val="000000" w:themeColor="text1"/>
          <w:sz w:val="18"/>
          <w:szCs w:val="18"/>
        </w:rPr>
      </w:pPr>
      <w:r w:rsidRPr="003500C7">
        <w:rPr>
          <w:rFonts w:ascii="Verdana" w:hAnsi="Verdana"/>
          <w:sz w:val="18"/>
          <w:szCs w:val="18"/>
        </w:rPr>
        <w:t xml:space="preserve">Betreft een nieuwe regeling naar aanleiding van </w:t>
      </w:r>
      <w:r w:rsidR="00127E1B">
        <w:rPr>
          <w:rFonts w:ascii="Verdana" w:hAnsi="Verdana"/>
          <w:sz w:val="18"/>
          <w:szCs w:val="18"/>
        </w:rPr>
        <w:t xml:space="preserve">twee </w:t>
      </w:r>
      <w:r w:rsidRPr="003500C7">
        <w:rPr>
          <w:rFonts w:ascii="Verdana" w:hAnsi="Verdana"/>
          <w:sz w:val="18"/>
          <w:szCs w:val="18"/>
        </w:rPr>
        <w:t>motie</w:t>
      </w:r>
      <w:r w:rsidR="00127E1B">
        <w:rPr>
          <w:rFonts w:ascii="Verdana" w:hAnsi="Verdana"/>
          <w:sz w:val="18"/>
          <w:szCs w:val="18"/>
        </w:rPr>
        <w:t>s</w:t>
      </w:r>
      <w:r w:rsidRPr="003500C7">
        <w:rPr>
          <w:rFonts w:ascii="Verdana" w:hAnsi="Verdana"/>
          <w:sz w:val="18"/>
          <w:szCs w:val="18"/>
        </w:rPr>
        <w:t xml:space="preserve"> van de Tweede Kamer om circulaire plasticrecyclingbedrijven met tijdelijke liquiditeitsproblemen te ondersteunen</w:t>
      </w:r>
      <w:r w:rsidR="00127E1B">
        <w:rPr>
          <w:rStyle w:val="Voetnootmarkering"/>
          <w:rFonts w:ascii="Verdana" w:hAnsi="Verdana"/>
          <w:sz w:val="18"/>
          <w:szCs w:val="18"/>
        </w:rPr>
        <w:footnoteReference w:id="1"/>
      </w:r>
      <w:r w:rsidRPr="003500C7">
        <w:rPr>
          <w:rFonts w:ascii="Verdana" w:hAnsi="Verdana"/>
          <w:sz w:val="18"/>
          <w:szCs w:val="18"/>
        </w:rPr>
        <w:t>. Het doel is om voldoende recyclingcapaciteit in stand te houden</w:t>
      </w:r>
      <w:r w:rsidR="00B37830">
        <w:rPr>
          <w:rFonts w:ascii="Verdana" w:hAnsi="Verdana"/>
          <w:sz w:val="18"/>
          <w:szCs w:val="18"/>
        </w:rPr>
        <w:t xml:space="preserve">. </w:t>
      </w:r>
      <w:r w:rsidRPr="003500C7">
        <w:rPr>
          <w:rFonts w:ascii="Verdana" w:hAnsi="Verdana"/>
          <w:sz w:val="18"/>
          <w:szCs w:val="18"/>
        </w:rPr>
        <w:t xml:space="preserve">Voor deze maatregel is vanuit het Klimaatfonds € 20 </w:t>
      </w:r>
      <w:proofErr w:type="spellStart"/>
      <w:r w:rsidRPr="003500C7">
        <w:rPr>
          <w:rFonts w:ascii="Verdana" w:hAnsi="Verdana"/>
          <w:sz w:val="18"/>
          <w:szCs w:val="18"/>
        </w:rPr>
        <w:t>mln</w:t>
      </w:r>
      <w:proofErr w:type="spellEnd"/>
      <w:r w:rsidRPr="003500C7">
        <w:rPr>
          <w:rFonts w:ascii="Verdana" w:hAnsi="Verdana"/>
          <w:sz w:val="18"/>
          <w:szCs w:val="18"/>
        </w:rPr>
        <w:t xml:space="preserve"> beschikbaar gesteld voor de periode 2026–2028</w:t>
      </w:r>
      <w:r>
        <w:rPr>
          <w:rFonts w:ascii="Verdana" w:hAnsi="Verdana"/>
          <w:sz w:val="18"/>
          <w:szCs w:val="18"/>
        </w:rPr>
        <w:t xml:space="preserve">, </w:t>
      </w:r>
      <w:r>
        <w:rPr>
          <w:rFonts w:ascii="Verdana" w:hAnsi="Verdana"/>
          <w:color w:val="000000" w:themeColor="text1"/>
          <w:sz w:val="18"/>
          <w:szCs w:val="18"/>
        </w:rPr>
        <w:t xml:space="preserve">hiervan worden de uitgaven in 2026 op </w:t>
      </w:r>
    </w:p>
    <w:p w:rsidR="00BC44B8" w:rsidP="008B24EA" w:rsidRDefault="00BC44B8" w14:paraId="7B9444D3" w14:textId="22B5B351">
      <w:pPr>
        <w:pStyle w:val="Geenafstand"/>
        <w:spacing w:line="240" w:lineRule="atLeast"/>
      </w:pPr>
      <w:r>
        <w:rPr>
          <w:rFonts w:ascii="Verdana" w:hAnsi="Verdana"/>
          <w:color w:val="000000" w:themeColor="text1"/>
          <w:sz w:val="18"/>
          <w:szCs w:val="18"/>
        </w:rPr>
        <w:t xml:space="preserve">€ 6,5 </w:t>
      </w:r>
      <w:proofErr w:type="spellStart"/>
      <w:r>
        <w:rPr>
          <w:rFonts w:ascii="Verdana" w:hAnsi="Verdana"/>
          <w:color w:val="000000" w:themeColor="text1"/>
          <w:sz w:val="18"/>
          <w:szCs w:val="18"/>
        </w:rPr>
        <w:t>mln</w:t>
      </w:r>
      <w:proofErr w:type="spellEnd"/>
      <w:r>
        <w:rPr>
          <w:rFonts w:ascii="Verdana" w:hAnsi="Verdana"/>
          <w:color w:val="000000" w:themeColor="text1"/>
          <w:sz w:val="18"/>
          <w:szCs w:val="18"/>
        </w:rPr>
        <w:t xml:space="preserve"> begroot.</w:t>
      </w:r>
      <w:r w:rsidR="00127E1B">
        <w:rPr>
          <w:rFonts w:ascii="Verdana" w:hAnsi="Verdana"/>
          <w:color w:val="000000" w:themeColor="text1"/>
          <w:sz w:val="18"/>
          <w:szCs w:val="18"/>
        </w:rPr>
        <w:t xml:space="preserve"> Zonder autorisatie kan het krediet niet aan de diverse bedrijven beschikbaar gesteld worden.</w:t>
      </w:r>
    </w:p>
    <w:p w:rsidR="00BC222D" w:rsidP="008B24EA" w:rsidRDefault="00BC222D" w14:paraId="0BFC5434"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6651" w14:textId="77777777" w:rsidR="00396B2E" w:rsidRDefault="00396B2E">
      <w:r>
        <w:separator/>
      </w:r>
    </w:p>
    <w:p w14:paraId="01260E44" w14:textId="77777777" w:rsidR="00396B2E" w:rsidRDefault="00396B2E"/>
  </w:endnote>
  <w:endnote w:type="continuationSeparator" w:id="0">
    <w:p w14:paraId="49C124E4" w14:textId="77777777" w:rsidR="00396B2E" w:rsidRDefault="00396B2E">
      <w:r>
        <w:continuationSeparator/>
      </w:r>
    </w:p>
    <w:p w14:paraId="11B1278B" w14:textId="77777777" w:rsidR="00396B2E" w:rsidRDefault="00396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FF4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07EA8" w14:paraId="77A91890" w14:textId="77777777" w:rsidTr="00CA6A25">
      <w:trPr>
        <w:trHeight w:hRule="exact" w:val="240"/>
      </w:trPr>
      <w:tc>
        <w:tcPr>
          <w:tcW w:w="7601" w:type="dxa"/>
          <w:shd w:val="clear" w:color="auto" w:fill="auto"/>
        </w:tcPr>
        <w:p w14:paraId="27C5E3B0" w14:textId="77777777" w:rsidR="00527BD4" w:rsidRDefault="00527BD4" w:rsidP="003F1F6B">
          <w:pPr>
            <w:pStyle w:val="Huisstijl-Rubricering"/>
          </w:pPr>
        </w:p>
      </w:tc>
      <w:tc>
        <w:tcPr>
          <w:tcW w:w="2156" w:type="dxa"/>
        </w:tcPr>
        <w:p w14:paraId="6DBC9B92" w14:textId="071B53F5" w:rsidR="00527BD4" w:rsidRPr="00645414" w:rsidRDefault="00B1447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601BE3">
            <w:t>4</w:t>
          </w:r>
          <w:r w:rsidR="00BC222D">
            <w:fldChar w:fldCharType="end"/>
          </w:r>
        </w:p>
      </w:tc>
    </w:tr>
  </w:tbl>
  <w:p w14:paraId="2D20352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07EA8" w14:paraId="7777F408" w14:textId="77777777" w:rsidTr="00CA6A25">
      <w:trPr>
        <w:trHeight w:hRule="exact" w:val="240"/>
      </w:trPr>
      <w:tc>
        <w:tcPr>
          <w:tcW w:w="7601" w:type="dxa"/>
          <w:shd w:val="clear" w:color="auto" w:fill="auto"/>
        </w:tcPr>
        <w:p w14:paraId="3FFEC7ED" w14:textId="77777777" w:rsidR="00527BD4" w:rsidRDefault="00527BD4" w:rsidP="008C356D">
          <w:pPr>
            <w:pStyle w:val="Huisstijl-Rubricering"/>
          </w:pPr>
        </w:p>
      </w:tc>
      <w:tc>
        <w:tcPr>
          <w:tcW w:w="2170" w:type="dxa"/>
        </w:tcPr>
        <w:p w14:paraId="2C48948F" w14:textId="4F9AA9F4" w:rsidR="00527BD4" w:rsidRPr="00ED539E" w:rsidRDefault="00B1447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601BE3">
            <w:t>4</w:t>
          </w:r>
          <w:r w:rsidR="00BC222D">
            <w:fldChar w:fldCharType="end"/>
          </w:r>
        </w:p>
      </w:tc>
    </w:tr>
  </w:tbl>
  <w:p w14:paraId="4FD9DF0D" w14:textId="77777777" w:rsidR="00527BD4" w:rsidRPr="00BC3B53" w:rsidRDefault="00527BD4" w:rsidP="008C356D">
    <w:pPr>
      <w:pStyle w:val="Voettekst"/>
      <w:spacing w:line="240" w:lineRule="auto"/>
      <w:rPr>
        <w:sz w:val="2"/>
        <w:szCs w:val="2"/>
      </w:rPr>
    </w:pPr>
  </w:p>
  <w:p w14:paraId="744ED13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1A59" w14:textId="77777777" w:rsidR="00396B2E" w:rsidRDefault="00396B2E">
      <w:r>
        <w:separator/>
      </w:r>
    </w:p>
    <w:p w14:paraId="7E948399" w14:textId="77777777" w:rsidR="00396B2E" w:rsidRDefault="00396B2E"/>
  </w:footnote>
  <w:footnote w:type="continuationSeparator" w:id="0">
    <w:p w14:paraId="0EDD9A2F" w14:textId="77777777" w:rsidR="00396B2E" w:rsidRDefault="00396B2E">
      <w:r>
        <w:continuationSeparator/>
      </w:r>
    </w:p>
    <w:p w14:paraId="6670B378" w14:textId="77777777" w:rsidR="00396B2E" w:rsidRDefault="00396B2E"/>
  </w:footnote>
  <w:footnote w:id="1">
    <w:p w14:paraId="030B95A3" w14:textId="7ACFC749" w:rsidR="00127E1B" w:rsidRDefault="00127E1B">
      <w:pPr>
        <w:pStyle w:val="Voetnoottekst"/>
      </w:pPr>
      <w:r>
        <w:rPr>
          <w:rStyle w:val="Voetnootmarkering"/>
        </w:rPr>
        <w:footnoteRef/>
      </w:r>
      <w:r>
        <w:t xml:space="preserve"> </w:t>
      </w:r>
      <w:r w:rsidRPr="00127E1B">
        <w:t>1 Kamerstukken II 2024/25, 32 813, nr. 1458.</w:t>
      </w:r>
      <w:r>
        <w:t>;</w:t>
      </w:r>
      <w:r w:rsidRPr="00127E1B">
        <w:t xml:space="preserve"> 2 Kamerstukken II 2024/25, 32 852, nr. 342.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07EA8" w14:paraId="3C06E913" w14:textId="77777777" w:rsidTr="00A50CF6">
      <w:tc>
        <w:tcPr>
          <w:tcW w:w="2156" w:type="dxa"/>
          <w:shd w:val="clear" w:color="auto" w:fill="auto"/>
        </w:tcPr>
        <w:p w14:paraId="2FDFE953" w14:textId="77777777" w:rsidR="00527BD4" w:rsidRPr="005819CE" w:rsidRDefault="00B14472" w:rsidP="00A50CF6">
          <w:pPr>
            <w:pStyle w:val="Huisstijl-Adres"/>
            <w:rPr>
              <w:b/>
            </w:rPr>
          </w:pPr>
          <w:r>
            <w:rPr>
              <w:b/>
            </w:rPr>
            <w:t>Directie Financieel Economische Zaken</w:t>
          </w:r>
          <w:r w:rsidRPr="005819CE">
            <w:rPr>
              <w:b/>
            </w:rPr>
            <w:br/>
          </w:r>
        </w:p>
      </w:tc>
    </w:tr>
    <w:tr w:rsidR="00007EA8" w14:paraId="537F0AF1" w14:textId="77777777" w:rsidTr="00A50CF6">
      <w:trPr>
        <w:trHeight w:hRule="exact" w:val="200"/>
      </w:trPr>
      <w:tc>
        <w:tcPr>
          <w:tcW w:w="2156" w:type="dxa"/>
          <w:shd w:val="clear" w:color="auto" w:fill="auto"/>
        </w:tcPr>
        <w:p w14:paraId="70284229" w14:textId="77777777" w:rsidR="00527BD4" w:rsidRPr="005819CE" w:rsidRDefault="00527BD4" w:rsidP="00A50CF6"/>
      </w:tc>
    </w:tr>
    <w:tr w:rsidR="00007EA8" w14:paraId="47D61341" w14:textId="77777777" w:rsidTr="00502512">
      <w:trPr>
        <w:trHeight w:hRule="exact" w:val="774"/>
      </w:trPr>
      <w:tc>
        <w:tcPr>
          <w:tcW w:w="2156" w:type="dxa"/>
          <w:shd w:val="clear" w:color="auto" w:fill="auto"/>
        </w:tcPr>
        <w:p w14:paraId="4BD396B1" w14:textId="77777777" w:rsidR="00527BD4" w:rsidRDefault="00B14472" w:rsidP="003A5290">
          <w:pPr>
            <w:pStyle w:val="Huisstijl-Kopje"/>
          </w:pPr>
          <w:r>
            <w:t>Ons kenmerk</w:t>
          </w:r>
        </w:p>
        <w:p w14:paraId="0F48E7A9" w14:textId="77777777" w:rsidR="00502512" w:rsidRPr="00502512" w:rsidRDefault="00B14472" w:rsidP="003A5290">
          <w:pPr>
            <w:pStyle w:val="Huisstijl-Kopje"/>
            <w:rPr>
              <w:b w:val="0"/>
            </w:rPr>
          </w:pPr>
          <w:r>
            <w:rPr>
              <w:b w:val="0"/>
            </w:rPr>
            <w:t>FEZ</w:t>
          </w:r>
          <w:r w:rsidRPr="00502512">
            <w:rPr>
              <w:b w:val="0"/>
            </w:rPr>
            <w:t xml:space="preserve"> / </w:t>
          </w:r>
          <w:r>
            <w:rPr>
              <w:b w:val="0"/>
            </w:rPr>
            <w:t>100930522</w:t>
          </w:r>
        </w:p>
        <w:p w14:paraId="7AEBEC53" w14:textId="77777777" w:rsidR="00527BD4" w:rsidRPr="005819CE" w:rsidRDefault="00527BD4" w:rsidP="00361A56">
          <w:pPr>
            <w:pStyle w:val="Huisstijl-Kopje"/>
          </w:pPr>
        </w:p>
      </w:tc>
    </w:tr>
  </w:tbl>
  <w:p w14:paraId="7AAD7C0D" w14:textId="77777777" w:rsidR="00527BD4" w:rsidRDefault="00527BD4" w:rsidP="004F44C2">
    <w:pPr>
      <w:spacing w:line="0" w:lineRule="atLeast"/>
      <w:rPr>
        <w:sz w:val="2"/>
        <w:szCs w:val="2"/>
      </w:rPr>
    </w:pPr>
  </w:p>
  <w:p w14:paraId="19A43A14" w14:textId="77777777" w:rsidR="008B24EA" w:rsidRDefault="008B24EA" w:rsidP="004F44C2">
    <w:pPr>
      <w:spacing w:line="0" w:lineRule="atLeast"/>
      <w:rPr>
        <w:sz w:val="2"/>
        <w:szCs w:val="2"/>
      </w:rPr>
    </w:pPr>
  </w:p>
  <w:p w14:paraId="70E111E2" w14:textId="77777777" w:rsidR="008B24EA" w:rsidRDefault="008B24EA" w:rsidP="004F44C2">
    <w:pPr>
      <w:spacing w:line="0" w:lineRule="atLeast"/>
      <w:rPr>
        <w:sz w:val="2"/>
        <w:szCs w:val="2"/>
      </w:rPr>
    </w:pPr>
  </w:p>
  <w:p w14:paraId="50BE3D35" w14:textId="77777777" w:rsidR="008B24EA" w:rsidRDefault="008B24EA" w:rsidP="004F44C2">
    <w:pPr>
      <w:spacing w:line="0" w:lineRule="atLeast"/>
      <w:rPr>
        <w:sz w:val="2"/>
        <w:szCs w:val="2"/>
      </w:rPr>
    </w:pPr>
  </w:p>
  <w:p w14:paraId="7583D93F" w14:textId="77777777" w:rsidR="008B24EA" w:rsidRDefault="008B24EA" w:rsidP="004F44C2">
    <w:pPr>
      <w:spacing w:line="0" w:lineRule="atLeast"/>
      <w:rPr>
        <w:sz w:val="2"/>
        <w:szCs w:val="2"/>
      </w:rPr>
    </w:pPr>
  </w:p>
  <w:p w14:paraId="3E833770" w14:textId="77777777" w:rsidR="008B24EA" w:rsidRDefault="008B24EA" w:rsidP="004F44C2">
    <w:pPr>
      <w:spacing w:line="0" w:lineRule="atLeast"/>
      <w:rPr>
        <w:sz w:val="2"/>
        <w:szCs w:val="2"/>
      </w:rPr>
    </w:pPr>
  </w:p>
  <w:p w14:paraId="3BE67348" w14:textId="77777777" w:rsidR="008B24EA" w:rsidRDefault="008B24EA" w:rsidP="004F44C2">
    <w:pPr>
      <w:spacing w:line="0" w:lineRule="atLeast"/>
      <w:rPr>
        <w:sz w:val="2"/>
        <w:szCs w:val="2"/>
      </w:rPr>
    </w:pPr>
  </w:p>
  <w:p w14:paraId="6E67D812" w14:textId="77777777" w:rsidR="008B24EA" w:rsidRDefault="008B24EA" w:rsidP="004F44C2">
    <w:pPr>
      <w:spacing w:line="0" w:lineRule="atLeast"/>
      <w:rPr>
        <w:sz w:val="2"/>
        <w:szCs w:val="2"/>
      </w:rPr>
    </w:pPr>
  </w:p>
  <w:p w14:paraId="51D6C685" w14:textId="77777777" w:rsidR="008B24EA" w:rsidRDefault="008B24EA" w:rsidP="004F44C2">
    <w:pPr>
      <w:spacing w:line="0" w:lineRule="atLeast"/>
      <w:rPr>
        <w:sz w:val="2"/>
        <w:szCs w:val="2"/>
      </w:rPr>
    </w:pPr>
  </w:p>
  <w:p w14:paraId="5DF9BF88" w14:textId="77777777" w:rsidR="008B24EA" w:rsidRDefault="008B24EA" w:rsidP="004F44C2">
    <w:pPr>
      <w:spacing w:line="0" w:lineRule="atLeast"/>
      <w:rPr>
        <w:sz w:val="2"/>
        <w:szCs w:val="2"/>
      </w:rPr>
    </w:pPr>
  </w:p>
  <w:p w14:paraId="36372EE8" w14:textId="77777777" w:rsidR="008B24EA" w:rsidRDefault="008B24EA" w:rsidP="004F44C2">
    <w:pPr>
      <w:spacing w:line="0" w:lineRule="atLeast"/>
      <w:rPr>
        <w:sz w:val="2"/>
        <w:szCs w:val="2"/>
      </w:rPr>
    </w:pPr>
  </w:p>
  <w:p w14:paraId="71FA6138" w14:textId="77777777" w:rsidR="008B24EA" w:rsidRDefault="008B24EA" w:rsidP="004F44C2">
    <w:pPr>
      <w:spacing w:line="0" w:lineRule="atLeast"/>
      <w:rPr>
        <w:sz w:val="2"/>
        <w:szCs w:val="2"/>
      </w:rPr>
    </w:pPr>
  </w:p>
  <w:p w14:paraId="524BE820" w14:textId="77777777" w:rsidR="008B24EA" w:rsidRDefault="008B24EA" w:rsidP="004F44C2">
    <w:pPr>
      <w:spacing w:line="0" w:lineRule="atLeast"/>
      <w:rPr>
        <w:sz w:val="2"/>
        <w:szCs w:val="2"/>
      </w:rPr>
    </w:pPr>
  </w:p>
  <w:p w14:paraId="51E63D5F" w14:textId="77777777" w:rsidR="008B24EA" w:rsidRDefault="008B24EA" w:rsidP="004F44C2">
    <w:pPr>
      <w:spacing w:line="0" w:lineRule="atLeast"/>
      <w:rPr>
        <w:sz w:val="2"/>
        <w:szCs w:val="2"/>
      </w:rPr>
    </w:pPr>
  </w:p>
  <w:p w14:paraId="263E99ED" w14:textId="77777777" w:rsidR="008B24EA" w:rsidRDefault="008B24EA" w:rsidP="004F44C2">
    <w:pPr>
      <w:spacing w:line="0" w:lineRule="atLeast"/>
      <w:rPr>
        <w:sz w:val="2"/>
        <w:szCs w:val="2"/>
      </w:rPr>
    </w:pPr>
  </w:p>
  <w:p w14:paraId="0D0DC57C" w14:textId="77777777" w:rsidR="008B24EA" w:rsidRDefault="008B24EA" w:rsidP="004F44C2">
    <w:pPr>
      <w:spacing w:line="0" w:lineRule="atLeast"/>
      <w:rPr>
        <w:sz w:val="2"/>
        <w:szCs w:val="2"/>
      </w:rPr>
    </w:pPr>
  </w:p>
  <w:p w14:paraId="46648F6A" w14:textId="77777777" w:rsidR="008B24EA" w:rsidRDefault="008B24EA" w:rsidP="004F44C2">
    <w:pPr>
      <w:spacing w:line="0" w:lineRule="atLeast"/>
      <w:rPr>
        <w:sz w:val="2"/>
        <w:szCs w:val="2"/>
      </w:rPr>
    </w:pPr>
  </w:p>
  <w:p w14:paraId="5AE1881B" w14:textId="77777777" w:rsidR="008B24EA" w:rsidRDefault="008B24EA" w:rsidP="004F44C2">
    <w:pPr>
      <w:spacing w:line="0" w:lineRule="atLeast"/>
      <w:rPr>
        <w:sz w:val="2"/>
        <w:szCs w:val="2"/>
      </w:rPr>
    </w:pPr>
  </w:p>
  <w:p w14:paraId="467DAE15" w14:textId="77777777" w:rsidR="008B24EA" w:rsidRDefault="008B24EA" w:rsidP="004F44C2">
    <w:pPr>
      <w:spacing w:line="0" w:lineRule="atLeast"/>
      <w:rPr>
        <w:sz w:val="2"/>
        <w:szCs w:val="2"/>
      </w:rPr>
    </w:pPr>
  </w:p>
  <w:p w14:paraId="50943E95" w14:textId="77777777" w:rsidR="008B24EA" w:rsidRDefault="008B24EA" w:rsidP="004F44C2">
    <w:pPr>
      <w:spacing w:line="0" w:lineRule="atLeast"/>
      <w:rPr>
        <w:sz w:val="2"/>
        <w:szCs w:val="2"/>
      </w:rPr>
    </w:pPr>
  </w:p>
  <w:p w14:paraId="2AE59F55" w14:textId="77777777" w:rsidR="008B24EA" w:rsidRDefault="008B24EA" w:rsidP="004F44C2">
    <w:pPr>
      <w:spacing w:line="0" w:lineRule="atLeast"/>
      <w:rPr>
        <w:sz w:val="2"/>
        <w:szCs w:val="2"/>
      </w:rPr>
    </w:pPr>
  </w:p>
  <w:p w14:paraId="748D41AC" w14:textId="77777777" w:rsidR="008B24EA" w:rsidRDefault="008B24EA" w:rsidP="004F44C2">
    <w:pPr>
      <w:spacing w:line="0" w:lineRule="atLeast"/>
      <w:rPr>
        <w:sz w:val="2"/>
        <w:szCs w:val="2"/>
      </w:rPr>
    </w:pPr>
  </w:p>
  <w:p w14:paraId="052161B4" w14:textId="77777777" w:rsidR="008B24EA" w:rsidRDefault="008B24EA" w:rsidP="004F44C2">
    <w:pPr>
      <w:spacing w:line="0" w:lineRule="atLeast"/>
      <w:rPr>
        <w:sz w:val="2"/>
        <w:szCs w:val="2"/>
      </w:rPr>
    </w:pPr>
  </w:p>
  <w:p w14:paraId="2E27D3BD" w14:textId="77777777" w:rsidR="008B24EA" w:rsidRDefault="008B24EA" w:rsidP="004F44C2">
    <w:pPr>
      <w:spacing w:line="0" w:lineRule="atLeast"/>
      <w:rPr>
        <w:sz w:val="2"/>
        <w:szCs w:val="2"/>
      </w:rPr>
    </w:pPr>
  </w:p>
  <w:p w14:paraId="3719568F" w14:textId="77777777" w:rsidR="008B24EA" w:rsidRDefault="008B24EA" w:rsidP="004F44C2">
    <w:pPr>
      <w:spacing w:line="0" w:lineRule="atLeast"/>
      <w:rPr>
        <w:sz w:val="2"/>
        <w:szCs w:val="2"/>
      </w:rPr>
    </w:pPr>
  </w:p>
  <w:p w14:paraId="2B274F1D" w14:textId="77777777" w:rsidR="008B24EA" w:rsidRDefault="008B24EA" w:rsidP="004F44C2">
    <w:pPr>
      <w:spacing w:line="0" w:lineRule="atLeast"/>
      <w:rPr>
        <w:sz w:val="2"/>
        <w:szCs w:val="2"/>
      </w:rPr>
    </w:pPr>
  </w:p>
  <w:p w14:paraId="20BF1977" w14:textId="77777777" w:rsidR="008B24EA" w:rsidRDefault="008B24EA" w:rsidP="004F44C2">
    <w:pPr>
      <w:spacing w:line="0" w:lineRule="atLeast"/>
      <w:rPr>
        <w:sz w:val="2"/>
        <w:szCs w:val="2"/>
      </w:rPr>
    </w:pPr>
  </w:p>
  <w:p w14:paraId="180F3FF5" w14:textId="77777777" w:rsidR="008B24EA" w:rsidRPr="00217880" w:rsidRDefault="008B24EA"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07EA8" w14:paraId="2C2B07C5" w14:textId="77777777" w:rsidTr="00751A6A">
      <w:trPr>
        <w:trHeight w:val="2636"/>
      </w:trPr>
      <w:tc>
        <w:tcPr>
          <w:tcW w:w="737" w:type="dxa"/>
          <w:shd w:val="clear" w:color="auto" w:fill="auto"/>
        </w:tcPr>
        <w:p w14:paraId="615BE67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DA684CF" w14:textId="77777777" w:rsidR="00527BD4" w:rsidRDefault="00B1447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A1EADE0" wp14:editId="1601358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841B78B" w14:textId="77777777" w:rsidR="007269E3" w:rsidRDefault="007269E3" w:rsidP="00651CEE">
          <w:pPr>
            <w:framePr w:w="6340" w:h="2750" w:hRule="exact" w:hSpace="180" w:wrap="around" w:vAnchor="page" w:hAnchor="text" w:x="3873" w:y="-140"/>
            <w:spacing w:line="240" w:lineRule="auto"/>
          </w:pPr>
        </w:p>
      </w:tc>
    </w:tr>
  </w:tbl>
  <w:p w14:paraId="09D5D3DB" w14:textId="77777777" w:rsidR="00527BD4" w:rsidRDefault="00527BD4" w:rsidP="00D0609E">
    <w:pPr>
      <w:framePr w:w="6340" w:h="2750" w:hRule="exact" w:hSpace="180" w:wrap="around" w:vAnchor="page" w:hAnchor="text" w:x="3873" w:y="-140"/>
    </w:pPr>
  </w:p>
  <w:p w14:paraId="6B2D306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07EA8" w14:paraId="5DC81E5B" w14:textId="77777777" w:rsidTr="00A50CF6">
      <w:tc>
        <w:tcPr>
          <w:tcW w:w="2160" w:type="dxa"/>
          <w:shd w:val="clear" w:color="auto" w:fill="auto"/>
        </w:tcPr>
        <w:p w14:paraId="3FA5DF71" w14:textId="77777777" w:rsidR="00527BD4" w:rsidRPr="005819CE" w:rsidRDefault="00B14472" w:rsidP="00A50CF6">
          <w:pPr>
            <w:pStyle w:val="Huisstijl-Adres"/>
            <w:rPr>
              <w:b/>
            </w:rPr>
          </w:pPr>
          <w:r>
            <w:rPr>
              <w:b/>
            </w:rPr>
            <w:t>Directie Financieel Economische Zaken</w:t>
          </w:r>
          <w:r w:rsidRPr="005819CE">
            <w:rPr>
              <w:b/>
            </w:rPr>
            <w:br/>
          </w:r>
        </w:p>
        <w:p w14:paraId="5979C299" w14:textId="77777777" w:rsidR="00527BD4" w:rsidRPr="00BE5ED9" w:rsidRDefault="00B14472" w:rsidP="00A50CF6">
          <w:pPr>
            <w:pStyle w:val="Huisstijl-Adres"/>
          </w:pPr>
          <w:r>
            <w:rPr>
              <w:b/>
            </w:rPr>
            <w:t>Bezoekadres</w:t>
          </w:r>
          <w:r>
            <w:rPr>
              <w:b/>
            </w:rPr>
            <w:br/>
          </w:r>
          <w:r>
            <w:t>Bezuidenhoutseweg 73</w:t>
          </w:r>
          <w:r w:rsidRPr="005819CE">
            <w:br/>
          </w:r>
          <w:r>
            <w:t>2594 AC Den Haag</w:t>
          </w:r>
        </w:p>
        <w:p w14:paraId="2F2B4B8A" w14:textId="77777777" w:rsidR="00EF495B" w:rsidRDefault="00B14472" w:rsidP="0098788A">
          <w:pPr>
            <w:pStyle w:val="Huisstijl-Adres"/>
          </w:pPr>
          <w:r>
            <w:rPr>
              <w:b/>
            </w:rPr>
            <w:t>Postadres</w:t>
          </w:r>
          <w:r>
            <w:rPr>
              <w:b/>
            </w:rPr>
            <w:br/>
          </w:r>
          <w:r>
            <w:t>Postbus 20401</w:t>
          </w:r>
          <w:r w:rsidRPr="005819CE">
            <w:br/>
            <w:t>2500 E</w:t>
          </w:r>
          <w:r>
            <w:t>K</w:t>
          </w:r>
          <w:r w:rsidRPr="005819CE">
            <w:t xml:space="preserve"> Den Haag</w:t>
          </w:r>
        </w:p>
        <w:p w14:paraId="2AFDAC73" w14:textId="77777777" w:rsidR="00EF495B" w:rsidRPr="005B3814" w:rsidRDefault="00B14472" w:rsidP="0098788A">
          <w:pPr>
            <w:pStyle w:val="Huisstijl-Adres"/>
          </w:pPr>
          <w:r>
            <w:rPr>
              <w:b/>
            </w:rPr>
            <w:t>Overheidsidentificatienr</w:t>
          </w:r>
          <w:r>
            <w:rPr>
              <w:b/>
            </w:rPr>
            <w:br/>
          </w:r>
          <w:r w:rsidR="002D0DDB" w:rsidRPr="002D0DDB">
            <w:t>00000003952069570000</w:t>
          </w:r>
        </w:p>
        <w:p w14:paraId="0C48BEB0" w14:textId="1775E74F" w:rsidR="00527BD4" w:rsidRPr="008B24EA" w:rsidRDefault="00B1447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07EA8" w14:paraId="28F10FE3" w14:textId="77777777" w:rsidTr="00A50CF6">
      <w:trPr>
        <w:trHeight w:hRule="exact" w:val="200"/>
      </w:trPr>
      <w:tc>
        <w:tcPr>
          <w:tcW w:w="2160" w:type="dxa"/>
          <w:shd w:val="clear" w:color="auto" w:fill="auto"/>
        </w:tcPr>
        <w:p w14:paraId="614180A4" w14:textId="77777777" w:rsidR="00527BD4" w:rsidRPr="005819CE" w:rsidRDefault="00527BD4" w:rsidP="00A50CF6"/>
      </w:tc>
    </w:tr>
    <w:tr w:rsidR="00007EA8" w14:paraId="35E8CEB4" w14:textId="77777777" w:rsidTr="00A50CF6">
      <w:tc>
        <w:tcPr>
          <w:tcW w:w="2160" w:type="dxa"/>
          <w:shd w:val="clear" w:color="auto" w:fill="auto"/>
        </w:tcPr>
        <w:p w14:paraId="42FB380E" w14:textId="77777777" w:rsidR="000C0163" w:rsidRPr="005819CE" w:rsidRDefault="00B14472" w:rsidP="000C0163">
          <w:pPr>
            <w:pStyle w:val="Huisstijl-Kopje"/>
          </w:pPr>
          <w:r>
            <w:t>Ons kenmerk</w:t>
          </w:r>
          <w:r w:rsidRPr="005819CE">
            <w:t xml:space="preserve"> </w:t>
          </w:r>
        </w:p>
        <w:p w14:paraId="7E7A5BA7" w14:textId="77777777" w:rsidR="00527BD4" w:rsidRDefault="00B14472" w:rsidP="008B24EA">
          <w:pPr>
            <w:pStyle w:val="Huisstijl-Gegeven"/>
          </w:pPr>
          <w:r>
            <w:t>FEZ</w:t>
          </w:r>
          <w:r w:rsidR="00926AE2">
            <w:t xml:space="preserve"> / </w:t>
          </w:r>
          <w:r>
            <w:t>100930522</w:t>
          </w:r>
        </w:p>
        <w:p w14:paraId="39764E5D" w14:textId="77777777" w:rsidR="008B24EA" w:rsidRDefault="008B24EA" w:rsidP="008B24EA">
          <w:pPr>
            <w:pStyle w:val="Huisstijl-Gegeven"/>
          </w:pPr>
        </w:p>
        <w:p w14:paraId="6D101DA4" w14:textId="77777777" w:rsidR="008B24EA" w:rsidRDefault="008B24EA" w:rsidP="008B24EA">
          <w:pPr>
            <w:pStyle w:val="Huisstijl-Gegeven"/>
            <w:rPr>
              <w:b/>
              <w:bCs/>
            </w:rPr>
          </w:pPr>
          <w:r>
            <w:rPr>
              <w:b/>
              <w:bCs/>
            </w:rPr>
            <w:t>Bijlage(n)</w:t>
          </w:r>
        </w:p>
        <w:p w14:paraId="32244E9E" w14:textId="71A3EC0F" w:rsidR="008B24EA" w:rsidRPr="008B24EA" w:rsidRDefault="008B24EA" w:rsidP="008B24EA">
          <w:pPr>
            <w:pStyle w:val="Huisstijl-Gegeven"/>
          </w:pPr>
          <w:r>
            <w:t>1</w:t>
          </w:r>
        </w:p>
      </w:tc>
    </w:tr>
  </w:tbl>
  <w:p w14:paraId="3F4E97E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07EA8" w14:paraId="06036E75" w14:textId="77777777" w:rsidTr="007610AA">
      <w:trPr>
        <w:trHeight w:val="400"/>
      </w:trPr>
      <w:tc>
        <w:tcPr>
          <w:tcW w:w="7520" w:type="dxa"/>
          <w:gridSpan w:val="2"/>
          <w:shd w:val="clear" w:color="auto" w:fill="auto"/>
        </w:tcPr>
        <w:p w14:paraId="45270BFB" w14:textId="77777777" w:rsidR="00527BD4" w:rsidRPr="00BC3B53" w:rsidRDefault="00B14472" w:rsidP="00A50CF6">
          <w:pPr>
            <w:pStyle w:val="Huisstijl-Retouradres"/>
          </w:pPr>
          <w:r>
            <w:t>&gt; Retouradres Postbus 20401 2500 EK Den Haag</w:t>
          </w:r>
        </w:p>
      </w:tc>
    </w:tr>
    <w:tr w:rsidR="00007EA8" w14:paraId="4760DEA1" w14:textId="77777777" w:rsidTr="007610AA">
      <w:tc>
        <w:tcPr>
          <w:tcW w:w="7520" w:type="dxa"/>
          <w:gridSpan w:val="2"/>
          <w:shd w:val="clear" w:color="auto" w:fill="auto"/>
        </w:tcPr>
        <w:p w14:paraId="4CB142EA" w14:textId="77777777" w:rsidR="00527BD4" w:rsidRPr="00983E8F" w:rsidRDefault="00527BD4" w:rsidP="00A50CF6">
          <w:pPr>
            <w:pStyle w:val="Huisstijl-Rubricering"/>
          </w:pPr>
        </w:p>
      </w:tc>
    </w:tr>
    <w:tr w:rsidR="00007EA8" w14:paraId="473C649E" w14:textId="77777777" w:rsidTr="007610AA">
      <w:trPr>
        <w:trHeight w:hRule="exact" w:val="2440"/>
      </w:trPr>
      <w:tc>
        <w:tcPr>
          <w:tcW w:w="7520" w:type="dxa"/>
          <w:gridSpan w:val="2"/>
          <w:shd w:val="clear" w:color="auto" w:fill="auto"/>
        </w:tcPr>
        <w:p w14:paraId="6A49953C" w14:textId="77777777" w:rsidR="00527BD4" w:rsidRDefault="00B14472" w:rsidP="00A50CF6">
          <w:pPr>
            <w:pStyle w:val="Huisstijl-NAW"/>
          </w:pPr>
          <w:r>
            <w:t>De Voorzitter van de Tweede Kamer</w:t>
          </w:r>
        </w:p>
        <w:p w14:paraId="23EF1B54" w14:textId="77777777" w:rsidR="00007EA8" w:rsidRDefault="00B14472">
          <w:pPr>
            <w:pStyle w:val="Huisstijl-NAW"/>
          </w:pPr>
          <w:r>
            <w:t>der Staten-Generaal</w:t>
          </w:r>
        </w:p>
        <w:p w14:paraId="26F83B03" w14:textId="77777777" w:rsidR="00007EA8" w:rsidRDefault="00B14472">
          <w:pPr>
            <w:pStyle w:val="Huisstijl-NAW"/>
          </w:pPr>
          <w:r>
            <w:t>Prinses Irenestraat 6</w:t>
          </w:r>
        </w:p>
        <w:p w14:paraId="1BFC9F3C" w14:textId="77777777" w:rsidR="00007EA8" w:rsidRDefault="00B14472">
          <w:pPr>
            <w:pStyle w:val="Huisstijl-NAW"/>
          </w:pPr>
          <w:r>
            <w:t>2595 BD DEN HAAG</w:t>
          </w:r>
        </w:p>
        <w:p w14:paraId="45757CAA" w14:textId="77777777" w:rsidR="00007EA8" w:rsidRDefault="00007EA8">
          <w:pPr>
            <w:pStyle w:val="Huisstijl-NAW"/>
          </w:pPr>
        </w:p>
      </w:tc>
    </w:tr>
    <w:tr w:rsidR="00007EA8" w14:paraId="036447AE" w14:textId="77777777" w:rsidTr="007610AA">
      <w:trPr>
        <w:trHeight w:hRule="exact" w:val="400"/>
      </w:trPr>
      <w:tc>
        <w:tcPr>
          <w:tcW w:w="7520" w:type="dxa"/>
          <w:gridSpan w:val="2"/>
          <w:shd w:val="clear" w:color="auto" w:fill="auto"/>
        </w:tcPr>
        <w:p w14:paraId="72ECD99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07EA8" w14:paraId="6C365461" w14:textId="77777777" w:rsidTr="007610AA">
      <w:trPr>
        <w:trHeight w:val="240"/>
      </w:trPr>
      <w:tc>
        <w:tcPr>
          <w:tcW w:w="900" w:type="dxa"/>
          <w:shd w:val="clear" w:color="auto" w:fill="auto"/>
        </w:tcPr>
        <w:p w14:paraId="391E9F2D" w14:textId="77777777" w:rsidR="00527BD4" w:rsidRPr="007709EF" w:rsidRDefault="00B14472" w:rsidP="00A50CF6">
          <w:pPr>
            <w:rPr>
              <w:szCs w:val="18"/>
            </w:rPr>
          </w:pPr>
          <w:r>
            <w:rPr>
              <w:szCs w:val="18"/>
            </w:rPr>
            <w:t>Datum</w:t>
          </w:r>
        </w:p>
      </w:tc>
      <w:tc>
        <w:tcPr>
          <w:tcW w:w="6620" w:type="dxa"/>
          <w:shd w:val="clear" w:color="auto" w:fill="auto"/>
        </w:tcPr>
        <w:p w14:paraId="66CD4754" w14:textId="2B58587E" w:rsidR="00527BD4" w:rsidRPr="007709EF" w:rsidRDefault="00157598" w:rsidP="00A50CF6">
          <w:r>
            <w:t>16 september 2025</w:t>
          </w:r>
        </w:p>
      </w:tc>
    </w:tr>
    <w:tr w:rsidR="00007EA8" w14:paraId="4F2D202D" w14:textId="77777777" w:rsidTr="007610AA">
      <w:trPr>
        <w:trHeight w:val="240"/>
      </w:trPr>
      <w:tc>
        <w:tcPr>
          <w:tcW w:w="900" w:type="dxa"/>
          <w:shd w:val="clear" w:color="auto" w:fill="auto"/>
        </w:tcPr>
        <w:p w14:paraId="7B4FF888" w14:textId="77777777" w:rsidR="00527BD4" w:rsidRPr="007709EF" w:rsidRDefault="00B14472" w:rsidP="00A50CF6">
          <w:pPr>
            <w:rPr>
              <w:szCs w:val="18"/>
            </w:rPr>
          </w:pPr>
          <w:r>
            <w:rPr>
              <w:szCs w:val="18"/>
            </w:rPr>
            <w:t>Betreft</w:t>
          </w:r>
        </w:p>
      </w:tc>
      <w:tc>
        <w:tcPr>
          <w:tcW w:w="6620" w:type="dxa"/>
          <w:shd w:val="clear" w:color="auto" w:fill="auto"/>
        </w:tcPr>
        <w:p w14:paraId="45FE7DCE" w14:textId="77777777" w:rsidR="00527BD4" w:rsidRPr="007709EF" w:rsidRDefault="00B14472" w:rsidP="00A50CF6">
          <w:r>
            <w:t>Gevolgen uitgestelde behandeling KGG-begroting en KF-begroting</w:t>
          </w:r>
        </w:p>
      </w:tc>
    </w:tr>
  </w:tbl>
  <w:p w14:paraId="11383E1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7C0886C">
      <w:start w:val="1"/>
      <w:numFmt w:val="bullet"/>
      <w:pStyle w:val="Lijstopsomteken"/>
      <w:lvlText w:val="•"/>
      <w:lvlJc w:val="left"/>
      <w:pPr>
        <w:tabs>
          <w:tab w:val="num" w:pos="227"/>
        </w:tabs>
        <w:ind w:left="227" w:hanging="227"/>
      </w:pPr>
      <w:rPr>
        <w:rFonts w:ascii="Verdana" w:hAnsi="Verdana" w:hint="default"/>
        <w:sz w:val="18"/>
        <w:szCs w:val="18"/>
      </w:rPr>
    </w:lvl>
    <w:lvl w:ilvl="1" w:tplc="12DE3510" w:tentative="1">
      <w:start w:val="1"/>
      <w:numFmt w:val="bullet"/>
      <w:lvlText w:val="o"/>
      <w:lvlJc w:val="left"/>
      <w:pPr>
        <w:tabs>
          <w:tab w:val="num" w:pos="1440"/>
        </w:tabs>
        <w:ind w:left="1440" w:hanging="360"/>
      </w:pPr>
      <w:rPr>
        <w:rFonts w:ascii="Courier New" w:hAnsi="Courier New" w:cs="Courier New" w:hint="default"/>
      </w:rPr>
    </w:lvl>
    <w:lvl w:ilvl="2" w:tplc="10226D84" w:tentative="1">
      <w:start w:val="1"/>
      <w:numFmt w:val="bullet"/>
      <w:lvlText w:val=""/>
      <w:lvlJc w:val="left"/>
      <w:pPr>
        <w:tabs>
          <w:tab w:val="num" w:pos="2160"/>
        </w:tabs>
        <w:ind w:left="2160" w:hanging="360"/>
      </w:pPr>
      <w:rPr>
        <w:rFonts w:ascii="Wingdings" w:hAnsi="Wingdings" w:hint="default"/>
      </w:rPr>
    </w:lvl>
    <w:lvl w:ilvl="3" w:tplc="BA42289C" w:tentative="1">
      <w:start w:val="1"/>
      <w:numFmt w:val="bullet"/>
      <w:lvlText w:val=""/>
      <w:lvlJc w:val="left"/>
      <w:pPr>
        <w:tabs>
          <w:tab w:val="num" w:pos="2880"/>
        </w:tabs>
        <w:ind w:left="2880" w:hanging="360"/>
      </w:pPr>
      <w:rPr>
        <w:rFonts w:ascii="Symbol" w:hAnsi="Symbol" w:hint="default"/>
      </w:rPr>
    </w:lvl>
    <w:lvl w:ilvl="4" w:tplc="4354742E" w:tentative="1">
      <w:start w:val="1"/>
      <w:numFmt w:val="bullet"/>
      <w:lvlText w:val="o"/>
      <w:lvlJc w:val="left"/>
      <w:pPr>
        <w:tabs>
          <w:tab w:val="num" w:pos="3600"/>
        </w:tabs>
        <w:ind w:left="3600" w:hanging="360"/>
      </w:pPr>
      <w:rPr>
        <w:rFonts w:ascii="Courier New" w:hAnsi="Courier New" w:cs="Courier New" w:hint="default"/>
      </w:rPr>
    </w:lvl>
    <w:lvl w:ilvl="5" w:tplc="6E423320" w:tentative="1">
      <w:start w:val="1"/>
      <w:numFmt w:val="bullet"/>
      <w:lvlText w:val=""/>
      <w:lvlJc w:val="left"/>
      <w:pPr>
        <w:tabs>
          <w:tab w:val="num" w:pos="4320"/>
        </w:tabs>
        <w:ind w:left="4320" w:hanging="360"/>
      </w:pPr>
      <w:rPr>
        <w:rFonts w:ascii="Wingdings" w:hAnsi="Wingdings" w:hint="default"/>
      </w:rPr>
    </w:lvl>
    <w:lvl w:ilvl="6" w:tplc="A3F2158E" w:tentative="1">
      <w:start w:val="1"/>
      <w:numFmt w:val="bullet"/>
      <w:lvlText w:val=""/>
      <w:lvlJc w:val="left"/>
      <w:pPr>
        <w:tabs>
          <w:tab w:val="num" w:pos="5040"/>
        </w:tabs>
        <w:ind w:left="5040" w:hanging="360"/>
      </w:pPr>
      <w:rPr>
        <w:rFonts w:ascii="Symbol" w:hAnsi="Symbol" w:hint="default"/>
      </w:rPr>
    </w:lvl>
    <w:lvl w:ilvl="7" w:tplc="309ACD4E" w:tentative="1">
      <w:start w:val="1"/>
      <w:numFmt w:val="bullet"/>
      <w:lvlText w:val="o"/>
      <w:lvlJc w:val="left"/>
      <w:pPr>
        <w:tabs>
          <w:tab w:val="num" w:pos="5760"/>
        </w:tabs>
        <w:ind w:left="5760" w:hanging="360"/>
      </w:pPr>
      <w:rPr>
        <w:rFonts w:ascii="Courier New" w:hAnsi="Courier New" w:cs="Courier New" w:hint="default"/>
      </w:rPr>
    </w:lvl>
    <w:lvl w:ilvl="8" w:tplc="D062CB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14064E2">
      <w:start w:val="1"/>
      <w:numFmt w:val="bullet"/>
      <w:pStyle w:val="Lijstopsomteken2"/>
      <w:lvlText w:val="–"/>
      <w:lvlJc w:val="left"/>
      <w:pPr>
        <w:tabs>
          <w:tab w:val="num" w:pos="227"/>
        </w:tabs>
        <w:ind w:left="227" w:firstLine="0"/>
      </w:pPr>
      <w:rPr>
        <w:rFonts w:ascii="Verdana" w:hAnsi="Verdana" w:hint="default"/>
      </w:rPr>
    </w:lvl>
    <w:lvl w:ilvl="1" w:tplc="904676CE" w:tentative="1">
      <w:start w:val="1"/>
      <w:numFmt w:val="bullet"/>
      <w:lvlText w:val="o"/>
      <w:lvlJc w:val="left"/>
      <w:pPr>
        <w:tabs>
          <w:tab w:val="num" w:pos="1440"/>
        </w:tabs>
        <w:ind w:left="1440" w:hanging="360"/>
      </w:pPr>
      <w:rPr>
        <w:rFonts w:ascii="Courier New" w:hAnsi="Courier New" w:cs="Courier New" w:hint="default"/>
      </w:rPr>
    </w:lvl>
    <w:lvl w:ilvl="2" w:tplc="4A5E77E8" w:tentative="1">
      <w:start w:val="1"/>
      <w:numFmt w:val="bullet"/>
      <w:lvlText w:val=""/>
      <w:lvlJc w:val="left"/>
      <w:pPr>
        <w:tabs>
          <w:tab w:val="num" w:pos="2160"/>
        </w:tabs>
        <w:ind w:left="2160" w:hanging="360"/>
      </w:pPr>
      <w:rPr>
        <w:rFonts w:ascii="Wingdings" w:hAnsi="Wingdings" w:hint="default"/>
      </w:rPr>
    </w:lvl>
    <w:lvl w:ilvl="3" w:tplc="76004228" w:tentative="1">
      <w:start w:val="1"/>
      <w:numFmt w:val="bullet"/>
      <w:lvlText w:val=""/>
      <w:lvlJc w:val="left"/>
      <w:pPr>
        <w:tabs>
          <w:tab w:val="num" w:pos="2880"/>
        </w:tabs>
        <w:ind w:left="2880" w:hanging="360"/>
      </w:pPr>
      <w:rPr>
        <w:rFonts w:ascii="Symbol" w:hAnsi="Symbol" w:hint="default"/>
      </w:rPr>
    </w:lvl>
    <w:lvl w:ilvl="4" w:tplc="84843076" w:tentative="1">
      <w:start w:val="1"/>
      <w:numFmt w:val="bullet"/>
      <w:lvlText w:val="o"/>
      <w:lvlJc w:val="left"/>
      <w:pPr>
        <w:tabs>
          <w:tab w:val="num" w:pos="3600"/>
        </w:tabs>
        <w:ind w:left="3600" w:hanging="360"/>
      </w:pPr>
      <w:rPr>
        <w:rFonts w:ascii="Courier New" w:hAnsi="Courier New" w:cs="Courier New" w:hint="default"/>
      </w:rPr>
    </w:lvl>
    <w:lvl w:ilvl="5" w:tplc="6F3CF204" w:tentative="1">
      <w:start w:val="1"/>
      <w:numFmt w:val="bullet"/>
      <w:lvlText w:val=""/>
      <w:lvlJc w:val="left"/>
      <w:pPr>
        <w:tabs>
          <w:tab w:val="num" w:pos="4320"/>
        </w:tabs>
        <w:ind w:left="4320" w:hanging="360"/>
      </w:pPr>
      <w:rPr>
        <w:rFonts w:ascii="Wingdings" w:hAnsi="Wingdings" w:hint="default"/>
      </w:rPr>
    </w:lvl>
    <w:lvl w:ilvl="6" w:tplc="124EB324" w:tentative="1">
      <w:start w:val="1"/>
      <w:numFmt w:val="bullet"/>
      <w:lvlText w:val=""/>
      <w:lvlJc w:val="left"/>
      <w:pPr>
        <w:tabs>
          <w:tab w:val="num" w:pos="5040"/>
        </w:tabs>
        <w:ind w:left="5040" w:hanging="360"/>
      </w:pPr>
      <w:rPr>
        <w:rFonts w:ascii="Symbol" w:hAnsi="Symbol" w:hint="default"/>
      </w:rPr>
    </w:lvl>
    <w:lvl w:ilvl="7" w:tplc="065A1F0C" w:tentative="1">
      <w:start w:val="1"/>
      <w:numFmt w:val="bullet"/>
      <w:lvlText w:val="o"/>
      <w:lvlJc w:val="left"/>
      <w:pPr>
        <w:tabs>
          <w:tab w:val="num" w:pos="5760"/>
        </w:tabs>
        <w:ind w:left="5760" w:hanging="360"/>
      </w:pPr>
      <w:rPr>
        <w:rFonts w:ascii="Courier New" w:hAnsi="Courier New" w:cs="Courier New" w:hint="default"/>
      </w:rPr>
    </w:lvl>
    <w:lvl w:ilvl="8" w:tplc="4F18A1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92992859">
    <w:abstractNumId w:val="10"/>
  </w:num>
  <w:num w:numId="2" w16cid:durableId="1391923373">
    <w:abstractNumId w:val="7"/>
  </w:num>
  <w:num w:numId="3" w16cid:durableId="1528370961">
    <w:abstractNumId w:val="6"/>
  </w:num>
  <w:num w:numId="4" w16cid:durableId="1129082765">
    <w:abstractNumId w:val="5"/>
  </w:num>
  <w:num w:numId="5" w16cid:durableId="1598174902">
    <w:abstractNumId w:val="4"/>
  </w:num>
  <w:num w:numId="6" w16cid:durableId="516966943">
    <w:abstractNumId w:val="8"/>
  </w:num>
  <w:num w:numId="7" w16cid:durableId="867452613">
    <w:abstractNumId w:val="3"/>
  </w:num>
  <w:num w:numId="8" w16cid:durableId="326128251">
    <w:abstractNumId w:val="2"/>
  </w:num>
  <w:num w:numId="9" w16cid:durableId="1754470044">
    <w:abstractNumId w:val="1"/>
  </w:num>
  <w:num w:numId="10" w16cid:durableId="1161971191">
    <w:abstractNumId w:val="0"/>
  </w:num>
  <w:num w:numId="11" w16cid:durableId="418521727">
    <w:abstractNumId w:val="9"/>
  </w:num>
  <w:num w:numId="12" w16cid:durableId="355421988">
    <w:abstractNumId w:val="11"/>
  </w:num>
  <w:num w:numId="13" w16cid:durableId="871040506">
    <w:abstractNumId w:val="13"/>
  </w:num>
  <w:num w:numId="14" w16cid:durableId="184755446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EA8"/>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4C2C"/>
    <w:rsid w:val="000E7895"/>
    <w:rsid w:val="000F161D"/>
    <w:rsid w:val="000F3CAA"/>
    <w:rsid w:val="00102ABB"/>
    <w:rsid w:val="00121BF0"/>
    <w:rsid w:val="00123704"/>
    <w:rsid w:val="001270C7"/>
    <w:rsid w:val="00127E1B"/>
    <w:rsid w:val="00132540"/>
    <w:rsid w:val="00133F0F"/>
    <w:rsid w:val="0014786A"/>
    <w:rsid w:val="001516A4"/>
    <w:rsid w:val="00151E5F"/>
    <w:rsid w:val="00153E28"/>
    <w:rsid w:val="001569AB"/>
    <w:rsid w:val="00157598"/>
    <w:rsid w:val="00164D63"/>
    <w:rsid w:val="0016725C"/>
    <w:rsid w:val="001726F3"/>
    <w:rsid w:val="00173C51"/>
    <w:rsid w:val="00174CC2"/>
    <w:rsid w:val="00176CC6"/>
    <w:rsid w:val="00181BE4"/>
    <w:rsid w:val="00183AC7"/>
    <w:rsid w:val="00184CB0"/>
    <w:rsid w:val="00185576"/>
    <w:rsid w:val="00185951"/>
    <w:rsid w:val="00196B8B"/>
    <w:rsid w:val="001A2BEA"/>
    <w:rsid w:val="001A6D93"/>
    <w:rsid w:val="001B43E9"/>
    <w:rsid w:val="001C32EC"/>
    <w:rsid w:val="001C38BD"/>
    <w:rsid w:val="001C4D5A"/>
    <w:rsid w:val="001E34C6"/>
    <w:rsid w:val="001E51CC"/>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1EE1"/>
    <w:rsid w:val="0033326F"/>
    <w:rsid w:val="00334154"/>
    <w:rsid w:val="003372C4"/>
    <w:rsid w:val="00340ECA"/>
    <w:rsid w:val="00341FA0"/>
    <w:rsid w:val="00344F3D"/>
    <w:rsid w:val="00345299"/>
    <w:rsid w:val="00351476"/>
    <w:rsid w:val="00351A8D"/>
    <w:rsid w:val="003526BB"/>
    <w:rsid w:val="00352BCF"/>
    <w:rsid w:val="00352DFB"/>
    <w:rsid w:val="00353932"/>
    <w:rsid w:val="0035464B"/>
    <w:rsid w:val="00361A56"/>
    <w:rsid w:val="0036252A"/>
    <w:rsid w:val="00364D9D"/>
    <w:rsid w:val="00371048"/>
    <w:rsid w:val="0037396C"/>
    <w:rsid w:val="0037421D"/>
    <w:rsid w:val="00376093"/>
    <w:rsid w:val="00383159"/>
    <w:rsid w:val="00383DA1"/>
    <w:rsid w:val="00385F30"/>
    <w:rsid w:val="00393696"/>
    <w:rsid w:val="00393963"/>
    <w:rsid w:val="00395575"/>
    <w:rsid w:val="00395672"/>
    <w:rsid w:val="00396B2E"/>
    <w:rsid w:val="003A06C8"/>
    <w:rsid w:val="003A0D7C"/>
    <w:rsid w:val="003A5290"/>
    <w:rsid w:val="003B0155"/>
    <w:rsid w:val="003B2BAB"/>
    <w:rsid w:val="003B2FF3"/>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56509"/>
    <w:rsid w:val="00464C4C"/>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1678"/>
    <w:rsid w:val="004F42FF"/>
    <w:rsid w:val="004F44C2"/>
    <w:rsid w:val="00502512"/>
    <w:rsid w:val="00503FD2"/>
    <w:rsid w:val="00505262"/>
    <w:rsid w:val="00512549"/>
    <w:rsid w:val="00516022"/>
    <w:rsid w:val="005162B9"/>
    <w:rsid w:val="00521CEE"/>
    <w:rsid w:val="00524FB4"/>
    <w:rsid w:val="00527BD4"/>
    <w:rsid w:val="0053656A"/>
    <w:rsid w:val="00537095"/>
    <w:rsid w:val="005403C8"/>
    <w:rsid w:val="005429DC"/>
    <w:rsid w:val="005461DA"/>
    <w:rsid w:val="0055489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5911"/>
    <w:rsid w:val="005F62D3"/>
    <w:rsid w:val="005F6D11"/>
    <w:rsid w:val="00600CF0"/>
    <w:rsid w:val="00601BE3"/>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093C"/>
    <w:rsid w:val="00674A89"/>
    <w:rsid w:val="00674F3D"/>
    <w:rsid w:val="00685545"/>
    <w:rsid w:val="006864B3"/>
    <w:rsid w:val="00692D64"/>
    <w:rsid w:val="00695E5E"/>
    <w:rsid w:val="006A10F8"/>
    <w:rsid w:val="006A2100"/>
    <w:rsid w:val="006A5C3B"/>
    <w:rsid w:val="006A72E0"/>
    <w:rsid w:val="006B0BF3"/>
    <w:rsid w:val="006B775E"/>
    <w:rsid w:val="006B7BC7"/>
    <w:rsid w:val="006C2535"/>
    <w:rsid w:val="006C441E"/>
    <w:rsid w:val="006C4B90"/>
    <w:rsid w:val="006D1016"/>
    <w:rsid w:val="006D17F2"/>
    <w:rsid w:val="006D32B0"/>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8EF"/>
    <w:rsid w:val="00746C31"/>
    <w:rsid w:val="00751A6A"/>
    <w:rsid w:val="00754FBF"/>
    <w:rsid w:val="007610AA"/>
    <w:rsid w:val="007709EF"/>
    <w:rsid w:val="00782701"/>
    <w:rsid w:val="00783559"/>
    <w:rsid w:val="0079551B"/>
    <w:rsid w:val="00797AA5"/>
    <w:rsid w:val="007A030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083F"/>
    <w:rsid w:val="00894A3B"/>
    <w:rsid w:val="008A1F5D"/>
    <w:rsid w:val="008A28F5"/>
    <w:rsid w:val="008A5950"/>
    <w:rsid w:val="008B1198"/>
    <w:rsid w:val="008B24EA"/>
    <w:rsid w:val="008B3471"/>
    <w:rsid w:val="008B3929"/>
    <w:rsid w:val="008B4125"/>
    <w:rsid w:val="008B4CB3"/>
    <w:rsid w:val="008B567B"/>
    <w:rsid w:val="008B7B24"/>
    <w:rsid w:val="008C356D"/>
    <w:rsid w:val="008D43B5"/>
    <w:rsid w:val="008E0B3F"/>
    <w:rsid w:val="008E49AD"/>
    <w:rsid w:val="008E5E6E"/>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42923"/>
    <w:rsid w:val="0095123D"/>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1D39"/>
    <w:rsid w:val="00A56946"/>
    <w:rsid w:val="00A6170E"/>
    <w:rsid w:val="00A63B8C"/>
    <w:rsid w:val="00A715F8"/>
    <w:rsid w:val="00A739FD"/>
    <w:rsid w:val="00A77F6F"/>
    <w:rsid w:val="00A831FD"/>
    <w:rsid w:val="00A83352"/>
    <w:rsid w:val="00A850A2"/>
    <w:rsid w:val="00A91FA3"/>
    <w:rsid w:val="00A927D3"/>
    <w:rsid w:val="00AA7FC9"/>
    <w:rsid w:val="00AB237D"/>
    <w:rsid w:val="00AB3F5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472"/>
    <w:rsid w:val="00B145F0"/>
    <w:rsid w:val="00B259C8"/>
    <w:rsid w:val="00B26CCF"/>
    <w:rsid w:val="00B30FC2"/>
    <w:rsid w:val="00B331A2"/>
    <w:rsid w:val="00B37830"/>
    <w:rsid w:val="00B425F0"/>
    <w:rsid w:val="00B42DFA"/>
    <w:rsid w:val="00B531DD"/>
    <w:rsid w:val="00B55014"/>
    <w:rsid w:val="00B62232"/>
    <w:rsid w:val="00B70BF3"/>
    <w:rsid w:val="00B71DC2"/>
    <w:rsid w:val="00B75C8A"/>
    <w:rsid w:val="00B849F5"/>
    <w:rsid w:val="00B91CFC"/>
    <w:rsid w:val="00B93893"/>
    <w:rsid w:val="00BA1397"/>
    <w:rsid w:val="00BA7E0A"/>
    <w:rsid w:val="00BB47BB"/>
    <w:rsid w:val="00BC222D"/>
    <w:rsid w:val="00BC2C00"/>
    <w:rsid w:val="00BC3B53"/>
    <w:rsid w:val="00BC3B96"/>
    <w:rsid w:val="00BC44B8"/>
    <w:rsid w:val="00BC4AE3"/>
    <w:rsid w:val="00BC5B28"/>
    <w:rsid w:val="00BD2370"/>
    <w:rsid w:val="00BE1A1C"/>
    <w:rsid w:val="00BE3F88"/>
    <w:rsid w:val="00BE4756"/>
    <w:rsid w:val="00BE5ED9"/>
    <w:rsid w:val="00BE7B41"/>
    <w:rsid w:val="00BF0CFC"/>
    <w:rsid w:val="00C15A91"/>
    <w:rsid w:val="00C206F1"/>
    <w:rsid w:val="00C217E1"/>
    <w:rsid w:val="00C219B1"/>
    <w:rsid w:val="00C4015B"/>
    <w:rsid w:val="00C40C60"/>
    <w:rsid w:val="00C43FE6"/>
    <w:rsid w:val="00C5258E"/>
    <w:rsid w:val="00C530C9"/>
    <w:rsid w:val="00C56467"/>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CF22FB"/>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45F8"/>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4260"/>
    <w:rsid w:val="00E15881"/>
    <w:rsid w:val="00E16A8F"/>
    <w:rsid w:val="00E21DE3"/>
    <w:rsid w:val="00E273C5"/>
    <w:rsid w:val="00E307D1"/>
    <w:rsid w:val="00E3731D"/>
    <w:rsid w:val="00E51469"/>
    <w:rsid w:val="00E52EAF"/>
    <w:rsid w:val="00E634E3"/>
    <w:rsid w:val="00E717C4"/>
    <w:rsid w:val="00E74E81"/>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3F94"/>
    <w:rsid w:val="00F66F13"/>
    <w:rsid w:val="00F74073"/>
    <w:rsid w:val="00F75603"/>
    <w:rsid w:val="00F845B4"/>
    <w:rsid w:val="00F8713B"/>
    <w:rsid w:val="00F93F9E"/>
    <w:rsid w:val="00FA2CD7"/>
    <w:rsid w:val="00FB06ED"/>
    <w:rsid w:val="00FC1F0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4FA47E"/>
  <w15:docId w15:val="{80E76845-B66E-4301-885A-26B7318F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1E51CC"/>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semiHidden/>
    <w:unhideWhenUsed/>
    <w:rsid w:val="00351476"/>
    <w:rPr>
      <w:sz w:val="16"/>
      <w:szCs w:val="16"/>
    </w:rPr>
  </w:style>
  <w:style w:type="paragraph" w:styleId="Tekstopmerking">
    <w:name w:val="annotation text"/>
    <w:basedOn w:val="Standaard"/>
    <w:link w:val="TekstopmerkingChar"/>
    <w:unhideWhenUsed/>
    <w:rsid w:val="00351476"/>
    <w:pPr>
      <w:spacing w:line="240" w:lineRule="auto"/>
    </w:pPr>
    <w:rPr>
      <w:sz w:val="20"/>
      <w:szCs w:val="20"/>
    </w:rPr>
  </w:style>
  <w:style w:type="character" w:customStyle="1" w:styleId="TekstopmerkingChar">
    <w:name w:val="Tekst opmerking Char"/>
    <w:basedOn w:val="Standaardalinea-lettertype"/>
    <w:link w:val="Tekstopmerking"/>
    <w:rsid w:val="0035147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51476"/>
    <w:rPr>
      <w:b/>
      <w:bCs/>
    </w:rPr>
  </w:style>
  <w:style w:type="character" w:customStyle="1" w:styleId="OnderwerpvanopmerkingChar">
    <w:name w:val="Onderwerp van opmerking Char"/>
    <w:basedOn w:val="TekstopmerkingChar"/>
    <w:link w:val="Onderwerpvanopmerking"/>
    <w:semiHidden/>
    <w:rsid w:val="00351476"/>
    <w:rPr>
      <w:rFonts w:ascii="Verdana" w:hAnsi="Verdana"/>
      <w:b/>
      <w:bCs/>
      <w:lang w:val="nl-NL" w:eastAsia="nl-NL"/>
    </w:rPr>
  </w:style>
  <w:style w:type="character" w:styleId="Voetnootmarkering">
    <w:name w:val="footnote reference"/>
    <w:basedOn w:val="Standaardalinea-lettertype"/>
    <w:semiHidden/>
    <w:unhideWhenUsed/>
    <w:rsid w:val="00127E1B"/>
    <w:rPr>
      <w:vertAlign w:val="superscript"/>
    </w:rPr>
  </w:style>
  <w:style w:type="paragraph" w:styleId="Revisie">
    <w:name w:val="Revision"/>
    <w:hidden/>
    <w:uiPriority w:val="99"/>
    <w:semiHidden/>
    <w:rsid w:val="005F591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877</ap:Words>
  <ap:Characters>5440</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2025-09-11T10:47:00.0000000Z</lastPrinted>
  <dcterms:created xsi:type="dcterms:W3CDTF">2025-09-16T08:42:00.0000000Z</dcterms:created>
  <dcterms:modified xsi:type="dcterms:W3CDTF">2025-09-16T08:42:00.0000000Z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nagelgastw2</vt:lpwstr>
  </property>
  <property fmtid="{D5CDD505-2E9C-101B-9397-08002B2CF9AE}" pid="3" name="AUTHOR_ID">
    <vt:lpwstr>nagelgastw2</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Gevolgen uitgestelde behandeling KGG-begroting en KF-begroting</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nagelgastw2</vt:lpwstr>
  </property>
  <property fmtid="{D5CDD505-2E9C-101B-9397-08002B2CF9AE}" pid="16" name="ContentTypeId">
    <vt:lpwstr>0x010100B16FD3810CAF3841ABC475024D241355</vt:lpwstr>
  </property>
  <property fmtid="{D5CDD505-2E9C-101B-9397-08002B2CF9AE}" pid="17" name="MSIP_Label_35ad6b54-f757-49c9-8c83-ef7f8aa67172_Enabled">
    <vt:lpwstr>true</vt:lpwstr>
  </property>
  <property fmtid="{D5CDD505-2E9C-101B-9397-08002B2CF9AE}" pid="18" name="MSIP_Label_35ad6b54-f757-49c9-8c83-ef7f8aa67172_SetDate">
    <vt:lpwstr>2025-09-15T20:10:31Z</vt:lpwstr>
  </property>
  <property fmtid="{D5CDD505-2E9C-101B-9397-08002B2CF9AE}" pid="19" name="MSIP_Label_35ad6b54-f757-49c9-8c83-ef7f8aa67172_Method">
    <vt:lpwstr>Standard</vt:lpwstr>
  </property>
  <property fmtid="{D5CDD505-2E9C-101B-9397-08002B2CF9AE}" pid="20" name="MSIP_Label_35ad6b54-f757-49c9-8c83-ef7f8aa67172_Name">
    <vt:lpwstr>FIN-DGRB-Rijksoverheid</vt:lpwstr>
  </property>
  <property fmtid="{D5CDD505-2E9C-101B-9397-08002B2CF9AE}" pid="21" name="MSIP_Label_35ad6b54-f757-49c9-8c83-ef7f8aa67172_SiteId">
    <vt:lpwstr>84712536-f524-40a0-913b-5d25ba502732</vt:lpwstr>
  </property>
  <property fmtid="{D5CDD505-2E9C-101B-9397-08002B2CF9AE}" pid="22" name="MSIP_Label_35ad6b54-f757-49c9-8c83-ef7f8aa67172_ActionId">
    <vt:lpwstr>8ad1cc0a-35de-4339-a88b-21b8de4130df</vt:lpwstr>
  </property>
  <property fmtid="{D5CDD505-2E9C-101B-9397-08002B2CF9AE}" pid="23" name="MSIP_Label_35ad6b54-f757-49c9-8c83-ef7f8aa67172_ContentBits">
    <vt:lpwstr>0</vt:lpwstr>
  </property>
</Properties>
</file>