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10F" w:rsidRDefault="00E06604" w14:paraId="57C5CC6C" w14:textId="77777777">
      <w:pPr>
        <w:pStyle w:val="StandaardAanhef"/>
      </w:pPr>
      <w:r>
        <w:t>Geachte voorzitter,</w:t>
      </w:r>
    </w:p>
    <w:p w:rsidR="00647E65" w:rsidP="00647E65" w:rsidRDefault="00647E65" w14:paraId="5A404165" w14:textId="77777777">
      <w:r w:rsidRPr="00F52AA7">
        <w:t xml:space="preserve">Via deze brief bieden wij u een toelichting op de </w:t>
      </w:r>
      <w:r>
        <w:t xml:space="preserve">gemaakte </w:t>
      </w:r>
      <w:r w:rsidRPr="00F52AA7">
        <w:t xml:space="preserve">beleidskeuzes, </w:t>
      </w:r>
      <w:r>
        <w:t>overeenkomstig</w:t>
      </w:r>
      <w:r w:rsidRPr="00F52AA7">
        <w:t xml:space="preserve"> artikel 3.1 van de Comptabiliteitswet 2016.</w:t>
      </w:r>
      <w:r>
        <w:t xml:space="preserve"> Voor alle (nieuwe) beleidsvoorstellen met financiële gevolgen van meer dan € 20 mln. in enig jaar </w:t>
      </w:r>
      <w:r w:rsidR="00D85B29">
        <w:t xml:space="preserve">stuurt de regering </w:t>
      </w:r>
      <w:r>
        <w:t xml:space="preserve">het </w:t>
      </w:r>
      <w:r w:rsidR="00D85B29">
        <w:t xml:space="preserve">ingevulde </w:t>
      </w:r>
      <w:r>
        <w:t xml:space="preserve">kader Beleidskeuzes uitgelegd (CW3.1) aan het parlement. Voor de begroting van IX </w:t>
      </w:r>
      <w:r w:rsidRPr="00F52AA7">
        <w:t>Financiën en Nationale Schuld</w:t>
      </w:r>
      <w:r>
        <w:t xml:space="preserve"> 2026 gaat het om één mutatie waarvoor dit kader is opgesteld. Het betreft de herallocatie van middelen van</w:t>
      </w:r>
      <w:r w:rsidRPr="00F52AA7">
        <w:t xml:space="preserve"> Invest</w:t>
      </w:r>
      <w:r>
        <w:t>-</w:t>
      </w:r>
      <w:r w:rsidRPr="00F52AA7">
        <w:t>NL naar Invest International.</w:t>
      </w:r>
      <w:r>
        <w:t xml:space="preserve"> Alle CW3.1-kaders bijhorend </w:t>
      </w:r>
      <w:proofErr w:type="gramStart"/>
      <w:r>
        <w:t>bij</w:t>
      </w:r>
      <w:proofErr w:type="gramEnd"/>
      <w:r>
        <w:t xml:space="preserve"> de fiscale maatregelen ontvangt het parlement bij het Belastingplan 2026.</w:t>
      </w:r>
    </w:p>
    <w:p w:rsidRPr="00F52AA7" w:rsidR="00612582" w:rsidP="00612582" w:rsidRDefault="00612582" w14:paraId="6E19AAB0" w14:textId="77777777"/>
    <w:p w:rsidRPr="00F52AA7" w:rsidR="00612582" w:rsidP="00612582" w:rsidRDefault="00612582" w14:paraId="69B60A76" w14:textId="77777777">
      <w:pPr>
        <w:rPr>
          <w:b/>
          <w:bCs/>
        </w:rPr>
      </w:pPr>
      <w:r w:rsidRPr="00F52AA7">
        <w:rPr>
          <w:b/>
          <w:bCs/>
        </w:rPr>
        <w:t xml:space="preserve">Toelichting </w:t>
      </w:r>
      <w:r>
        <w:rPr>
          <w:b/>
          <w:bCs/>
        </w:rPr>
        <w:t>herallocatie van</w:t>
      </w:r>
      <w:r w:rsidRPr="00F52AA7">
        <w:rPr>
          <w:b/>
          <w:bCs/>
        </w:rPr>
        <w:t xml:space="preserve"> Invest</w:t>
      </w:r>
      <w:r>
        <w:rPr>
          <w:b/>
          <w:bCs/>
        </w:rPr>
        <w:t>-</w:t>
      </w:r>
      <w:r w:rsidRPr="00F52AA7">
        <w:rPr>
          <w:b/>
          <w:bCs/>
        </w:rPr>
        <w:t xml:space="preserve">NL naar Invest International </w:t>
      </w:r>
    </w:p>
    <w:p w:rsidRPr="00CD4A24" w:rsidR="00612582" w:rsidP="00612582" w:rsidRDefault="00612582" w14:paraId="07BC39B2" w14:textId="77777777">
      <w:pPr>
        <w:rPr>
          <w:rFonts w:ascii="Aptos" w:hAnsi="Aptos"/>
          <w:color w:val="auto"/>
          <w:sz w:val="24"/>
          <w:szCs w:val="24"/>
        </w:rPr>
      </w:pPr>
      <w:r w:rsidRPr="00F52AA7">
        <w:t xml:space="preserve">Het kabinet heeft besloten </w:t>
      </w:r>
      <w:r>
        <w:t>tot een operationele, financiële en organisatorische integratie van Invest-NL en Invest International. Hierbij zullen de randvoorwaarden zoals gedefinieerd in het integratieonderzoek in acht worden genomen. Het doel is om per 1 januari 2028 tot een integratie van beide organisaties te komen</w:t>
      </w:r>
      <w:r w:rsidRPr="00F52AA7">
        <w:t>. Hierover is u</w:t>
      </w:r>
      <w:r>
        <w:t>w</w:t>
      </w:r>
      <w:r w:rsidRPr="00F52AA7">
        <w:t xml:space="preserve"> kamer geïnformeerd op 4 juli 2025.</w:t>
      </w:r>
      <w:r w:rsidRPr="00F52AA7">
        <w:rPr>
          <w:rStyle w:val="Voetnootmarkering"/>
        </w:rPr>
        <w:footnoteReference w:id="1"/>
      </w:r>
      <w:r>
        <w:t xml:space="preserve"> </w:t>
      </w:r>
    </w:p>
    <w:p w:rsidR="00612582" w:rsidP="00612582" w:rsidRDefault="00612582" w14:paraId="5AFE198F" w14:textId="77777777"/>
    <w:p w:rsidR="00612582" w:rsidP="00612582" w:rsidRDefault="00612582" w14:paraId="6127701E" w14:textId="77777777">
      <w:r w:rsidRPr="00F52AA7">
        <w:t>Om het voortbestaan van Invest International op korte termijn te waarborgen, wordt een deel van de begrot</w:t>
      </w:r>
      <w:r>
        <w:t xml:space="preserve">e </w:t>
      </w:r>
      <w:r w:rsidRPr="00F52AA7">
        <w:t xml:space="preserve">middelen voor Invest-NL uit 2028 en 2029 </w:t>
      </w:r>
      <w:r>
        <w:t xml:space="preserve">geheralloceerd naar </w:t>
      </w:r>
      <w:r w:rsidRPr="00F52AA7">
        <w:t xml:space="preserve">Invest International </w:t>
      </w:r>
      <w:r>
        <w:t>in de jaren 2026 en 2027</w:t>
      </w:r>
      <w:r w:rsidRPr="00F52AA7">
        <w:t>.</w:t>
      </w:r>
      <w:r>
        <w:t xml:space="preserve"> De middelen zorgen ervoor dat Invest International </w:t>
      </w:r>
      <w:r w:rsidRPr="00173EBA">
        <w:t xml:space="preserve">ondersteuning </w:t>
      </w:r>
      <w:r>
        <w:t>kan blijven</w:t>
      </w:r>
      <w:r w:rsidRPr="00173EBA">
        <w:t xml:space="preserve"> bieden </w:t>
      </w:r>
      <w:r>
        <w:t>aan</w:t>
      </w:r>
      <w:r w:rsidRPr="00173EBA">
        <w:t xml:space="preserve"> ondernemingen </w:t>
      </w:r>
      <w:r>
        <w:t xml:space="preserve">bij hun op het buitenland gerichte activiteiten </w:t>
      </w:r>
      <w:r w:rsidRPr="00173EBA">
        <w:t>en internationale projecten die een bijdrage leveren aan de Nederlandse economie door het verbeteren van de internationale concurrentiepositie en het verdienvermogen, en voor internationale projecten die voorzien in oplossingen voor wereldwijde vraagstukken zoals bijdragen aan duurzame economische ontwikkeling</w:t>
      </w:r>
      <w:r>
        <w:t xml:space="preserve">. Doordat de middelen voor Invest International voortkomen uit het gereserveerde kernkapitaal van Invest-NL betekent dit dat Invest-NL in 2028 en 2029 vooralsnog verminderd in staat is om innovatieve bedrijven </w:t>
      </w:r>
      <w:bookmarkStart w:name="_Hlk207177746" w:id="0"/>
      <w:r>
        <w:t xml:space="preserve">(startups en </w:t>
      </w:r>
      <w:proofErr w:type="spellStart"/>
      <w:r>
        <w:t>scale</w:t>
      </w:r>
      <w:proofErr w:type="spellEnd"/>
      <w:r>
        <w:t xml:space="preserve">-ups) </w:t>
      </w:r>
      <w:bookmarkEnd w:id="0"/>
      <w:r>
        <w:t xml:space="preserve">middels financiering te ondersteunen </w:t>
      </w:r>
      <w:bookmarkStart w:name="_Hlk207177756" w:id="1"/>
      <w:r>
        <w:t xml:space="preserve">en bij te dragen aan de innovatie en transitiedoelstellingen voor Nederland. </w:t>
      </w:r>
      <w:bookmarkEnd w:id="1"/>
    </w:p>
    <w:p w:rsidRPr="00B50856" w:rsidR="00612582" w:rsidP="00612582" w:rsidRDefault="00612582" w14:paraId="410521B0" w14:textId="77777777">
      <w:pPr>
        <w:rPr>
          <w:vertAlign w:val="superscript"/>
        </w:rPr>
      </w:pPr>
    </w:p>
    <w:p w:rsidRPr="00F52AA7" w:rsidR="00612582" w:rsidP="00612582" w:rsidRDefault="00612582" w14:paraId="7CEA4143" w14:textId="77777777">
      <w:r>
        <w:lastRenderedPageBreak/>
        <w:t xml:space="preserve">De herallocatie die aan uw Kamer wordt voorgelegd bij de Ontwerpbegroting 2026 van het Ministerie van Financiën is in de tabel weergegeven. Doordat de middelen voor Invest NL en Invest International allebei naar verwachting niet EMU-saldorelevant zijn, zal er geen </w:t>
      </w:r>
      <w:proofErr w:type="spellStart"/>
      <w:r>
        <w:t>saldoeffect</w:t>
      </w:r>
      <w:proofErr w:type="spellEnd"/>
      <w:r>
        <w:t xml:space="preserve"> plaatsvinden door de herallocatie. </w:t>
      </w:r>
    </w:p>
    <w:p w:rsidRPr="00F52AA7" w:rsidR="00612582" w:rsidP="00612582" w:rsidRDefault="00612582" w14:paraId="41D6AFDC" w14:textId="77777777"/>
    <w:tbl>
      <w:tblPr>
        <w:tblStyle w:val="Tabelraster"/>
        <w:tblW w:w="0" w:type="auto"/>
        <w:tblLook w:val="04A0" w:firstRow="1" w:lastRow="0" w:firstColumn="1" w:lastColumn="0" w:noHBand="0" w:noVBand="1"/>
      </w:tblPr>
      <w:tblGrid>
        <w:gridCol w:w="3329"/>
        <w:gridCol w:w="674"/>
        <w:gridCol w:w="674"/>
        <w:gridCol w:w="674"/>
        <w:gridCol w:w="674"/>
        <w:gridCol w:w="847"/>
      </w:tblGrid>
      <w:tr w:rsidRPr="00F52AA7" w:rsidR="00612582" w:rsidTr="00776759" w14:paraId="08B54B96" w14:textId="77777777">
        <w:tc>
          <w:tcPr>
            <w:tcW w:w="3329" w:type="dxa"/>
            <w:hideMark/>
          </w:tcPr>
          <w:p w:rsidRPr="00F52AA7" w:rsidR="00612582" w:rsidP="00776759" w:rsidRDefault="00612582" w14:paraId="642562F6" w14:textId="77777777">
            <w:pPr>
              <w:spacing w:line="276" w:lineRule="auto"/>
              <w:rPr>
                <w:i/>
                <w:iCs/>
              </w:rPr>
            </w:pPr>
            <w:r w:rsidRPr="00F52AA7">
              <w:rPr>
                <w:i/>
                <w:iCs/>
              </w:rPr>
              <w:t>In € mln.</w:t>
            </w:r>
          </w:p>
        </w:tc>
        <w:tc>
          <w:tcPr>
            <w:tcW w:w="674" w:type="dxa"/>
            <w:hideMark/>
          </w:tcPr>
          <w:p w:rsidRPr="00F52AA7" w:rsidR="00612582" w:rsidP="00776759" w:rsidRDefault="00612582" w14:paraId="0952619F" w14:textId="77777777">
            <w:pPr>
              <w:autoSpaceDN w:val="0"/>
              <w:spacing w:line="276" w:lineRule="auto"/>
            </w:pPr>
            <w:r w:rsidRPr="00F52AA7">
              <w:t>2026</w:t>
            </w:r>
          </w:p>
        </w:tc>
        <w:tc>
          <w:tcPr>
            <w:tcW w:w="674" w:type="dxa"/>
            <w:hideMark/>
          </w:tcPr>
          <w:p w:rsidRPr="00F52AA7" w:rsidR="00612582" w:rsidP="00776759" w:rsidRDefault="00612582" w14:paraId="3877B39B" w14:textId="77777777">
            <w:pPr>
              <w:autoSpaceDN w:val="0"/>
              <w:spacing w:line="276" w:lineRule="auto"/>
            </w:pPr>
            <w:r w:rsidRPr="00F52AA7">
              <w:t>2027</w:t>
            </w:r>
          </w:p>
        </w:tc>
        <w:tc>
          <w:tcPr>
            <w:tcW w:w="674" w:type="dxa"/>
            <w:hideMark/>
          </w:tcPr>
          <w:p w:rsidRPr="00F52AA7" w:rsidR="00612582" w:rsidP="00776759" w:rsidRDefault="00612582" w14:paraId="6332068A" w14:textId="77777777">
            <w:pPr>
              <w:autoSpaceDN w:val="0"/>
              <w:spacing w:line="276" w:lineRule="auto"/>
            </w:pPr>
            <w:r w:rsidRPr="00F52AA7">
              <w:t>2028</w:t>
            </w:r>
          </w:p>
        </w:tc>
        <w:tc>
          <w:tcPr>
            <w:tcW w:w="674" w:type="dxa"/>
            <w:hideMark/>
          </w:tcPr>
          <w:p w:rsidRPr="00F52AA7" w:rsidR="00612582" w:rsidP="00776759" w:rsidRDefault="00612582" w14:paraId="1131D60B" w14:textId="77777777">
            <w:pPr>
              <w:autoSpaceDN w:val="0"/>
              <w:spacing w:line="276" w:lineRule="auto"/>
            </w:pPr>
            <w:r w:rsidRPr="00F52AA7">
              <w:t>2029</w:t>
            </w:r>
          </w:p>
        </w:tc>
        <w:tc>
          <w:tcPr>
            <w:tcW w:w="847" w:type="dxa"/>
            <w:hideMark/>
          </w:tcPr>
          <w:p w:rsidRPr="00F52AA7" w:rsidR="00612582" w:rsidP="00776759" w:rsidRDefault="00612582" w14:paraId="3FED2BC7" w14:textId="77777777">
            <w:pPr>
              <w:autoSpaceDN w:val="0"/>
              <w:spacing w:line="276" w:lineRule="auto"/>
              <w:rPr>
                <w:b/>
                <w:bCs/>
              </w:rPr>
            </w:pPr>
            <w:r w:rsidRPr="00F52AA7">
              <w:rPr>
                <w:b/>
                <w:bCs/>
              </w:rPr>
              <w:t>Totaal</w:t>
            </w:r>
          </w:p>
        </w:tc>
      </w:tr>
      <w:tr w:rsidRPr="00F52AA7" w:rsidR="00612582" w:rsidTr="00776759" w14:paraId="485CE2CF" w14:textId="77777777">
        <w:tc>
          <w:tcPr>
            <w:tcW w:w="3329" w:type="dxa"/>
            <w:hideMark/>
          </w:tcPr>
          <w:p w:rsidRPr="00F52AA7" w:rsidR="00612582" w:rsidP="00776759" w:rsidRDefault="00612582" w14:paraId="2E216840" w14:textId="77777777">
            <w:pPr>
              <w:autoSpaceDN w:val="0"/>
              <w:spacing w:line="276" w:lineRule="auto"/>
            </w:pPr>
            <w:r w:rsidRPr="00F52AA7">
              <w:t>Kernkapitaal Invest International</w:t>
            </w:r>
          </w:p>
        </w:tc>
        <w:tc>
          <w:tcPr>
            <w:tcW w:w="674" w:type="dxa"/>
            <w:shd w:val="clear" w:color="auto" w:fill="D1D1D1" w:themeFill="background2" w:themeFillShade="E6"/>
          </w:tcPr>
          <w:p w:rsidRPr="00F52AA7" w:rsidR="00612582" w:rsidP="00776759" w:rsidRDefault="00612582" w14:paraId="52A91FEA" w14:textId="77777777">
            <w:pPr>
              <w:autoSpaceDN w:val="0"/>
              <w:spacing w:line="276" w:lineRule="auto"/>
            </w:pPr>
            <w:r w:rsidRPr="00F52AA7">
              <w:t>150</w:t>
            </w:r>
          </w:p>
        </w:tc>
        <w:tc>
          <w:tcPr>
            <w:tcW w:w="674" w:type="dxa"/>
            <w:shd w:val="clear" w:color="auto" w:fill="D1D1D1" w:themeFill="background2" w:themeFillShade="E6"/>
            <w:hideMark/>
          </w:tcPr>
          <w:p w:rsidRPr="00F52AA7" w:rsidR="00612582" w:rsidP="00776759" w:rsidRDefault="00612582" w14:paraId="3D3A247B" w14:textId="77777777">
            <w:pPr>
              <w:autoSpaceDN w:val="0"/>
              <w:spacing w:line="276" w:lineRule="auto"/>
            </w:pPr>
            <w:r w:rsidRPr="00F52AA7">
              <w:t>100</w:t>
            </w:r>
          </w:p>
        </w:tc>
        <w:tc>
          <w:tcPr>
            <w:tcW w:w="674" w:type="dxa"/>
            <w:shd w:val="clear" w:color="auto" w:fill="D1D1D1" w:themeFill="background2" w:themeFillShade="E6"/>
            <w:hideMark/>
          </w:tcPr>
          <w:p w:rsidRPr="00F52AA7" w:rsidR="00612582" w:rsidP="00776759" w:rsidRDefault="00612582" w14:paraId="7A965FAB" w14:textId="77777777">
            <w:pPr>
              <w:autoSpaceDN w:val="0"/>
              <w:spacing w:line="276" w:lineRule="auto"/>
            </w:pPr>
          </w:p>
        </w:tc>
        <w:tc>
          <w:tcPr>
            <w:tcW w:w="674" w:type="dxa"/>
            <w:shd w:val="clear" w:color="auto" w:fill="D1D1D1" w:themeFill="background2" w:themeFillShade="E6"/>
            <w:hideMark/>
          </w:tcPr>
          <w:p w:rsidRPr="00F52AA7" w:rsidR="00612582" w:rsidP="00776759" w:rsidRDefault="00612582" w14:paraId="75E10CEB" w14:textId="77777777">
            <w:pPr>
              <w:autoSpaceDN w:val="0"/>
              <w:spacing w:line="276" w:lineRule="auto"/>
            </w:pPr>
          </w:p>
        </w:tc>
        <w:tc>
          <w:tcPr>
            <w:tcW w:w="847" w:type="dxa"/>
            <w:shd w:val="clear" w:color="auto" w:fill="D1D1D1" w:themeFill="background2" w:themeFillShade="E6"/>
            <w:hideMark/>
          </w:tcPr>
          <w:p w:rsidRPr="00F52AA7" w:rsidR="00612582" w:rsidP="00776759" w:rsidRDefault="00612582" w14:paraId="55B97F7E" w14:textId="77777777">
            <w:pPr>
              <w:autoSpaceDN w:val="0"/>
              <w:spacing w:line="276" w:lineRule="auto"/>
              <w:rPr>
                <w:b/>
                <w:bCs/>
              </w:rPr>
            </w:pPr>
            <w:r w:rsidRPr="00F52AA7">
              <w:rPr>
                <w:b/>
                <w:bCs/>
              </w:rPr>
              <w:t>250</w:t>
            </w:r>
          </w:p>
        </w:tc>
      </w:tr>
      <w:tr w:rsidRPr="00F52AA7" w:rsidR="00612582" w:rsidTr="00776759" w14:paraId="512EB6FA" w14:textId="77777777">
        <w:tc>
          <w:tcPr>
            <w:tcW w:w="3329" w:type="dxa"/>
          </w:tcPr>
          <w:p w:rsidRPr="00F52AA7" w:rsidR="00612582" w:rsidP="00776759" w:rsidRDefault="00612582" w14:paraId="2E75F777" w14:textId="77777777">
            <w:pPr>
              <w:autoSpaceDN w:val="0"/>
              <w:spacing w:line="276" w:lineRule="auto"/>
            </w:pPr>
            <w:r w:rsidRPr="00F52AA7">
              <w:t>Kernkapitaal Invest -NL</w:t>
            </w:r>
          </w:p>
        </w:tc>
        <w:tc>
          <w:tcPr>
            <w:tcW w:w="674" w:type="dxa"/>
            <w:shd w:val="clear" w:color="auto" w:fill="D1D1D1" w:themeFill="background2" w:themeFillShade="E6"/>
          </w:tcPr>
          <w:p w:rsidRPr="00F52AA7" w:rsidR="00612582" w:rsidP="00776759" w:rsidRDefault="00612582" w14:paraId="7EA36904" w14:textId="77777777">
            <w:pPr>
              <w:autoSpaceDN w:val="0"/>
              <w:spacing w:line="276" w:lineRule="auto"/>
            </w:pPr>
          </w:p>
        </w:tc>
        <w:tc>
          <w:tcPr>
            <w:tcW w:w="674" w:type="dxa"/>
            <w:shd w:val="clear" w:color="auto" w:fill="D1D1D1" w:themeFill="background2" w:themeFillShade="E6"/>
          </w:tcPr>
          <w:p w:rsidRPr="00F52AA7" w:rsidR="00612582" w:rsidP="00776759" w:rsidRDefault="00612582" w14:paraId="5E00C805" w14:textId="77777777">
            <w:pPr>
              <w:autoSpaceDN w:val="0"/>
              <w:spacing w:line="276" w:lineRule="auto"/>
            </w:pPr>
          </w:p>
        </w:tc>
        <w:tc>
          <w:tcPr>
            <w:tcW w:w="674" w:type="dxa"/>
            <w:shd w:val="clear" w:color="auto" w:fill="D1D1D1" w:themeFill="background2" w:themeFillShade="E6"/>
          </w:tcPr>
          <w:p w:rsidRPr="00F52AA7" w:rsidR="00612582" w:rsidP="00776759" w:rsidRDefault="00612582" w14:paraId="5F065489" w14:textId="77777777">
            <w:pPr>
              <w:autoSpaceDN w:val="0"/>
              <w:spacing w:line="276" w:lineRule="auto"/>
            </w:pPr>
            <w:r w:rsidRPr="00F52AA7">
              <w:t xml:space="preserve">-50 </w:t>
            </w:r>
          </w:p>
        </w:tc>
        <w:tc>
          <w:tcPr>
            <w:tcW w:w="674" w:type="dxa"/>
            <w:shd w:val="clear" w:color="auto" w:fill="D1D1D1" w:themeFill="background2" w:themeFillShade="E6"/>
          </w:tcPr>
          <w:p w:rsidRPr="00F52AA7" w:rsidR="00612582" w:rsidP="00776759" w:rsidRDefault="00612582" w14:paraId="10E5FB1E" w14:textId="77777777">
            <w:pPr>
              <w:autoSpaceDN w:val="0"/>
              <w:spacing w:line="276" w:lineRule="auto"/>
            </w:pPr>
            <w:r w:rsidRPr="00F52AA7">
              <w:t>-200</w:t>
            </w:r>
          </w:p>
        </w:tc>
        <w:tc>
          <w:tcPr>
            <w:tcW w:w="847" w:type="dxa"/>
            <w:shd w:val="clear" w:color="auto" w:fill="D1D1D1" w:themeFill="background2" w:themeFillShade="E6"/>
          </w:tcPr>
          <w:p w:rsidRPr="00F52AA7" w:rsidR="00612582" w:rsidP="00776759" w:rsidRDefault="00612582" w14:paraId="61DF5E3A" w14:textId="77777777">
            <w:pPr>
              <w:autoSpaceDN w:val="0"/>
              <w:spacing w:line="276" w:lineRule="auto"/>
              <w:rPr>
                <w:b/>
                <w:bCs/>
              </w:rPr>
            </w:pPr>
            <w:r w:rsidRPr="00F52AA7">
              <w:rPr>
                <w:b/>
                <w:bCs/>
              </w:rPr>
              <w:t>-250</w:t>
            </w:r>
          </w:p>
        </w:tc>
      </w:tr>
    </w:tbl>
    <w:p w:rsidRPr="00F52AA7" w:rsidR="00612582" w:rsidP="00612582" w:rsidRDefault="00612582" w14:paraId="082E81D8" w14:textId="77777777"/>
    <w:p w:rsidR="00612582" w:rsidP="00612582" w:rsidRDefault="00612582" w14:paraId="7B37F9F5" w14:textId="77777777">
      <w:r w:rsidRPr="00F52AA7">
        <w:t xml:space="preserve">Deze </w:t>
      </w:r>
      <w:r>
        <w:t xml:space="preserve">herallocatie van </w:t>
      </w:r>
      <w:r w:rsidRPr="00F52AA7">
        <w:t xml:space="preserve">budgettaire middelen </w:t>
      </w:r>
      <w:r>
        <w:t>vindt plaats onder voorbehoud van parlementaire goedkeuring</w:t>
      </w:r>
      <w:r w:rsidRPr="00F52AA7">
        <w:t xml:space="preserve">. In </w:t>
      </w:r>
      <w:r>
        <w:t xml:space="preserve">de </w:t>
      </w:r>
      <w:r w:rsidRPr="00F52AA7">
        <w:t xml:space="preserve">bijlage </w:t>
      </w:r>
      <w:r w:rsidRPr="00F52AA7">
        <w:rPr>
          <w:bCs/>
        </w:rPr>
        <w:t>van deze brief</w:t>
      </w:r>
      <w:r>
        <w:rPr>
          <w:bCs/>
        </w:rPr>
        <w:t xml:space="preserve"> </w:t>
      </w:r>
      <w:r w:rsidRPr="00F52AA7">
        <w:t>(</w:t>
      </w:r>
      <w:r>
        <w:t xml:space="preserve">“Herallocatie </w:t>
      </w:r>
      <w:r w:rsidRPr="00F52AA7">
        <w:t>Invest</w:t>
      </w:r>
      <w:r>
        <w:t>-</w:t>
      </w:r>
      <w:r w:rsidRPr="00F52AA7">
        <w:t>NL naar Invest International</w:t>
      </w:r>
      <w:r>
        <w:t>”</w:t>
      </w:r>
      <w:r w:rsidRPr="00F52AA7">
        <w:t xml:space="preserve">) </w:t>
      </w:r>
      <w:r w:rsidRPr="00F52AA7">
        <w:rPr>
          <w:bCs/>
        </w:rPr>
        <w:t>treft</w:t>
      </w:r>
      <w:r w:rsidRPr="00F52AA7">
        <w:t xml:space="preserve"> u </w:t>
      </w:r>
      <w:r>
        <w:t>het ingevulde</w:t>
      </w:r>
      <w:r w:rsidRPr="00F52AA7">
        <w:t xml:space="preserve"> </w:t>
      </w:r>
      <w:r w:rsidRPr="00593300">
        <w:t xml:space="preserve">kader Beleidskeuzes </w:t>
      </w:r>
      <w:proofErr w:type="gramStart"/>
      <w:r w:rsidRPr="00593300">
        <w:t xml:space="preserve">uitgelegd </w:t>
      </w:r>
      <w:r w:rsidRPr="00F52AA7">
        <w:t xml:space="preserve"> (</w:t>
      </w:r>
      <w:proofErr w:type="gramEnd"/>
      <w:r w:rsidRPr="00F52AA7">
        <w:t>CW3.1) aan waarin de</w:t>
      </w:r>
      <w:r>
        <w:t xml:space="preserve"> beleidskeuzes ten aanzien van deze middelen nader worden toegelicht.</w:t>
      </w:r>
    </w:p>
    <w:p w:rsidR="00E06604" w:rsidP="00E06604" w:rsidRDefault="00E06604" w14:paraId="2D7D1894" w14:textId="77777777"/>
    <w:p w:rsidR="00E06604" w:rsidP="00E06604" w:rsidRDefault="00E06604" w14:paraId="3324A0E3" w14:textId="77777777">
      <w:pPr>
        <w:pStyle w:val="StandaardSlotzin"/>
      </w:pPr>
      <w:r>
        <w:t>Hoogachtend,</w:t>
      </w:r>
    </w:p>
    <w:p w:rsidR="00E06604" w:rsidP="00E06604" w:rsidRDefault="00E06604" w14:paraId="1F3CE40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06604" w:rsidTr="000945EA" w14:paraId="55B32C1A" w14:textId="77777777">
        <w:tc>
          <w:tcPr>
            <w:tcW w:w="3592" w:type="dxa"/>
          </w:tcPr>
          <w:p w:rsidR="00E06604" w:rsidP="000945EA" w:rsidRDefault="00E06604" w14:paraId="7E03D566"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E06604" w:rsidP="000945EA" w:rsidRDefault="00E06604" w14:paraId="741E9E7E" w14:textId="77777777"/>
        </w:tc>
      </w:tr>
    </w:tbl>
    <w:p w:rsidR="00E06604" w:rsidP="00E06604" w:rsidRDefault="00E06604" w14:paraId="55AFC3AD" w14:textId="77777777"/>
    <w:p w:rsidR="0057410F" w:rsidRDefault="0057410F" w14:paraId="52F2A2B5" w14:textId="77777777"/>
    <w:p w:rsidR="00E06604" w:rsidRDefault="00E06604" w14:paraId="4158D1F2" w14:textId="77777777"/>
    <w:p w:rsidR="00E06604" w:rsidRDefault="00E06604" w14:paraId="077B02BD" w14:textId="77777777"/>
    <w:p w:rsidR="00E06604" w:rsidRDefault="00E06604" w14:paraId="1524CDA0" w14:textId="77777777"/>
    <w:p w:rsidR="00E06604" w:rsidRDefault="00E06604" w14:paraId="3FF1391C" w14:textId="77777777"/>
    <w:p w:rsidR="00E06604" w:rsidRDefault="00E06604" w14:paraId="2428B3AD" w14:textId="77777777">
      <w:pPr>
        <w:spacing w:line="240" w:lineRule="auto"/>
      </w:pPr>
      <w:r>
        <w:br w:type="page"/>
      </w:r>
    </w:p>
    <w:p w:rsidR="00E06604" w:rsidP="00E06604" w:rsidRDefault="00E06604" w14:paraId="4881B8C8" w14:textId="77777777">
      <w:pPr>
        <w:rPr>
          <w:b/>
        </w:rPr>
      </w:pPr>
      <w:r>
        <w:rPr>
          <w:b/>
        </w:rPr>
        <w:lastRenderedPageBreak/>
        <w:t xml:space="preserve">Bijlage 1 </w:t>
      </w:r>
      <w:proofErr w:type="gramStart"/>
      <w:r>
        <w:rPr>
          <w:b/>
        </w:rPr>
        <w:t xml:space="preserve">-  </w:t>
      </w:r>
      <w:r w:rsidRPr="0032749A" w:rsidR="00D41659">
        <w:rPr>
          <w:b/>
          <w:bCs/>
        </w:rPr>
        <w:t>Onderbouwing</w:t>
      </w:r>
      <w:proofErr w:type="gramEnd"/>
      <w:r w:rsidRPr="0032749A" w:rsidR="00D41659">
        <w:rPr>
          <w:b/>
          <w:bCs/>
        </w:rPr>
        <w:t xml:space="preserve"> en </w:t>
      </w:r>
      <w:r w:rsidR="00D41659">
        <w:rPr>
          <w:b/>
          <w:bCs/>
        </w:rPr>
        <w:t>e</w:t>
      </w:r>
      <w:r w:rsidRPr="0032749A" w:rsidR="00D41659">
        <w:rPr>
          <w:b/>
          <w:bCs/>
        </w:rPr>
        <w:t xml:space="preserve">valuatie van </w:t>
      </w:r>
      <w:r w:rsidR="00D41659">
        <w:rPr>
          <w:b/>
          <w:bCs/>
        </w:rPr>
        <w:t xml:space="preserve">de herallocatie van middelen van Invest – NL naar Invest International in het kader van de integratie van beide staatsdeelnemingen </w:t>
      </w:r>
      <w:r w:rsidRPr="0032749A" w:rsidR="00D41659">
        <w:rPr>
          <w:b/>
          <w:bCs/>
        </w:rPr>
        <w:t>(CW3.1)</w:t>
      </w:r>
    </w:p>
    <w:p w:rsidR="00E06604" w:rsidP="00E06604" w:rsidRDefault="00E06604" w14:paraId="339AAEB1" w14:textId="77777777">
      <w:pPr>
        <w:rPr>
          <w:b/>
        </w:rPr>
      </w:pPr>
    </w:p>
    <w:p w:rsidR="00E06604" w:rsidP="00E06604" w:rsidRDefault="00E06604" w14:paraId="502C9491" w14:textId="77777777">
      <w:r>
        <w:rPr>
          <w:b/>
        </w:rPr>
        <w:t>Invulling artikel 3.1 van de Comptabiliteitswet (CW3.1)</w:t>
      </w:r>
    </w:p>
    <w:p w:rsidRPr="0032749A" w:rsidR="00612582" w:rsidP="00612582" w:rsidRDefault="00612582" w14:paraId="594C5777" w14:textId="77777777">
      <w:r w:rsidRPr="0032749A">
        <w:t xml:space="preserve">Op basis van Artikel 3.1 in de Comptabiliteitswet </w:t>
      </w:r>
      <w:r>
        <w:t xml:space="preserve">krijgt de Kamer bij </w:t>
      </w:r>
      <w:r w:rsidRPr="0032749A">
        <w:t xml:space="preserve">voorstellen </w:t>
      </w:r>
      <w:r>
        <w:t xml:space="preserve">die impact hebben op de Rijksbegroting </w:t>
      </w:r>
      <w:r w:rsidRPr="0032749A">
        <w:t>een toelichting op nagestreefde doelstellingen, doeltreffendheid, doelmatigheid, ingezette beleidsinstrumenten en financiële gevolgen voor het Rijk en, waar mogelijk, maatschappelijke sectoren.</w:t>
      </w:r>
      <w:r w:rsidR="006F6010">
        <w:rPr>
          <w:rStyle w:val="Voetnootmarkering"/>
        </w:rPr>
        <w:footnoteReference w:id="2"/>
      </w:r>
      <w:r w:rsidRPr="0032749A">
        <w:t xml:space="preserve"> </w:t>
      </w:r>
    </w:p>
    <w:p w:rsidR="00612582" w:rsidP="00612582" w:rsidRDefault="00612582" w14:paraId="60C4536F" w14:textId="77777777">
      <w:r w:rsidRPr="0032749A">
        <w:t>In onderstaand overzicht is de toelichting opgenomen met betrekking tot de</w:t>
      </w:r>
      <w:r>
        <w:t xml:space="preserve"> herallocatie van Invest-NL en Invest International in verband met het besluit tot integratie van beide staatsdeelnemingen. </w:t>
      </w:r>
    </w:p>
    <w:p w:rsidR="00612582" w:rsidP="00612582" w:rsidRDefault="00612582" w14:paraId="66C1B60B" w14:textId="77777777"/>
    <w:p w:rsidRPr="0032749A" w:rsidR="00612582" w:rsidP="00612582" w:rsidRDefault="00612582" w14:paraId="3071B357" w14:textId="77777777">
      <w:r>
        <w:t>De Kamer is op vrijdag 4 juli</w:t>
      </w:r>
      <w:r>
        <w:rPr>
          <w:rStyle w:val="Voetnootmarkering"/>
        </w:rPr>
        <w:footnoteReference w:id="3"/>
      </w:r>
      <w:r>
        <w:t xml:space="preserve"> geïnformeerd over dit besluit. </w:t>
      </w:r>
    </w:p>
    <w:p w:rsidR="00E06604" w:rsidP="00E06604" w:rsidRDefault="00E06604" w14:paraId="14F9E74D" w14:textId="77777777"/>
    <w:tbl>
      <w:tblPr>
        <w:tblStyle w:val="Standaardtabelmetlijn"/>
        <w:tblW w:w="7650" w:type="dxa"/>
        <w:tblInd w:w="0" w:type="dxa"/>
        <w:tblLayout w:type="fixed"/>
        <w:tblLook w:val="07E0" w:firstRow="1" w:lastRow="1" w:firstColumn="1" w:lastColumn="1" w:noHBand="1" w:noVBand="1"/>
      </w:tblPr>
      <w:tblGrid>
        <w:gridCol w:w="1980"/>
        <w:gridCol w:w="5670"/>
      </w:tblGrid>
      <w:tr w:rsidR="00E06604" w:rsidTr="000945EA" w14:paraId="5DA46AF9" w14:textId="77777777">
        <w:tc>
          <w:tcPr>
            <w:tcW w:w="7650" w:type="dxa"/>
            <w:gridSpan w:val="2"/>
          </w:tcPr>
          <w:p w:rsidR="00E06604" w:rsidP="000945EA" w:rsidRDefault="00E06604" w14:paraId="522B2E84" w14:textId="77777777">
            <w:r>
              <w:rPr>
                <w:b/>
              </w:rPr>
              <w:t>Beleidskeuzes uitgelegd</w:t>
            </w:r>
            <w:r>
              <w:br/>
              <w:t>Onderbouwing doeltreffendheid, doelmatigheid en evaluatie (CW 3.1)</w:t>
            </w:r>
          </w:p>
        </w:tc>
      </w:tr>
      <w:tr w:rsidR="00E06604" w:rsidTr="000945EA" w14:paraId="7C27925B" w14:textId="77777777">
        <w:tc>
          <w:tcPr>
            <w:tcW w:w="1980" w:type="dxa"/>
          </w:tcPr>
          <w:p w:rsidR="00E06604" w:rsidP="000945EA" w:rsidRDefault="006F6010" w14:paraId="07A8B750" w14:textId="77777777">
            <w:pPr>
              <w:rPr>
                <w:b/>
              </w:rPr>
            </w:pPr>
            <w:r>
              <w:rPr>
                <w:b/>
              </w:rPr>
              <w:t>Doelen</w:t>
            </w:r>
          </w:p>
          <w:p w:rsidR="006F6010" w:rsidP="000945EA" w:rsidRDefault="006F6010" w14:paraId="6E8D3E45" w14:textId="77777777"/>
        </w:tc>
        <w:tc>
          <w:tcPr>
            <w:tcW w:w="5670" w:type="dxa"/>
          </w:tcPr>
          <w:p w:rsidR="00E06604" w:rsidP="000945EA" w:rsidRDefault="00E06604" w14:paraId="3B9ABE79" w14:textId="77777777">
            <w:pPr>
              <w:rPr>
                <w:u w:val="single"/>
              </w:rPr>
            </w:pPr>
            <w:r w:rsidRPr="008C69BF">
              <w:rPr>
                <w:u w:val="single"/>
              </w:rPr>
              <w:t>Aanleiding</w:t>
            </w:r>
          </w:p>
          <w:p w:rsidRPr="00612582" w:rsidR="00612582" w:rsidP="00612582" w:rsidRDefault="00612582" w14:paraId="3A8A06E4" w14:textId="77777777">
            <w:pPr>
              <w:spacing w:line="240" w:lineRule="auto"/>
            </w:pPr>
            <w:bookmarkStart w:name="_Hlk204002070" w:id="2"/>
            <w:r w:rsidRPr="00612582">
              <w:t>Het kabinet heeft besloten tot een operationele, financiële en organisatorische integratie van Invest-NL en Invest International. Hierbij zullen de randvoorwaarden zoals gedefinieerd in het integratieonderzoek in acht worden genomen. Het doel is om per 1 januari 2028 tot een integratie van beide organisaties te komen.</w:t>
            </w:r>
          </w:p>
          <w:p w:rsidR="00612582" w:rsidP="00612582" w:rsidRDefault="00612582" w14:paraId="5C3737FC" w14:textId="77777777">
            <w:pPr>
              <w:spacing w:line="240" w:lineRule="auto"/>
            </w:pPr>
            <w:bookmarkStart w:name="_Hlk204002056" w:id="3"/>
            <w:bookmarkEnd w:id="2"/>
          </w:p>
          <w:p w:rsidRPr="00612582" w:rsidR="00612582" w:rsidP="00612582" w:rsidRDefault="00612582" w14:paraId="4D6BB29C" w14:textId="77777777">
            <w:pPr>
              <w:spacing w:line="240" w:lineRule="auto"/>
            </w:pPr>
            <w:r w:rsidRPr="00612582">
              <w:t>Om voortzetting van de activiteiten van Invest International op korte termijn te waarborgen, en om te voorkomen dat de organisatie in afwachting van integratie moet afschalen, wordt een deel van de begrotingsmiddelen voor Invest-NL uit 2028 en 2029 naar voren gehaald in 2026 en 2027 en aan Invest International toegekend.</w:t>
            </w:r>
          </w:p>
          <w:bookmarkEnd w:id="3"/>
          <w:p w:rsidR="00E06604" w:rsidP="000945EA" w:rsidRDefault="00E06604" w14:paraId="37AFF260" w14:textId="77777777"/>
          <w:p w:rsidR="00E06604" w:rsidP="000945EA" w:rsidRDefault="00E06604" w14:paraId="73F20F55" w14:textId="77777777">
            <w:pPr>
              <w:rPr>
                <w:u w:val="single"/>
              </w:rPr>
            </w:pPr>
            <w:r>
              <w:rPr>
                <w:u w:val="single"/>
              </w:rPr>
              <w:t>Doelstelling van het geld dat naar Invest International gaat:</w:t>
            </w:r>
          </w:p>
          <w:p w:rsidRPr="00715168" w:rsidR="00612582" w:rsidP="00612582" w:rsidRDefault="00612582" w14:paraId="28433481" w14:textId="77777777">
            <w:r w:rsidRPr="00715168">
              <w:t>Door de toezegging van deze middelen kan Invest International tot het moment van integratie ondersteuning blijven bieden aan ondernemingen bij hun op het buitenland gerichte activiteiten en internationale projecten die een bijdrage leveren aan de Nederlandse economie, de internationale concurrentiepositie en bijdragen aan duurzame economische ontwikkeling.</w:t>
            </w:r>
          </w:p>
          <w:p w:rsidR="00E06604" w:rsidP="000945EA" w:rsidRDefault="00E06604" w14:paraId="3541FFD2" w14:textId="77777777"/>
          <w:p w:rsidRPr="00654A40" w:rsidR="00E06604" w:rsidP="000945EA" w:rsidRDefault="00E06604" w14:paraId="3FFFF5A7" w14:textId="77777777">
            <w:pPr>
              <w:spacing w:line="276" w:lineRule="auto"/>
              <w:rPr>
                <w:u w:val="single"/>
              </w:rPr>
            </w:pPr>
            <w:r w:rsidRPr="00654A40">
              <w:rPr>
                <w:u w:val="single"/>
              </w:rPr>
              <w:t>Voorstel</w:t>
            </w:r>
          </w:p>
          <w:p w:rsidR="00612582" w:rsidP="00612582" w:rsidRDefault="00612582" w14:paraId="597FE3C1" w14:textId="77777777">
            <w:bookmarkStart w:name="_Hlk204001902" w:id="4"/>
            <w:r w:rsidRPr="00F828DC">
              <w:t>Vanaf 2026 heeft Invest International onvoldoende kernkapitaal voor de investeringsactiviteiten</w:t>
            </w:r>
            <w:r>
              <w:t xml:space="preserve">. </w:t>
            </w:r>
            <w:r w:rsidRPr="0032749A">
              <w:t xml:space="preserve">De </w:t>
            </w:r>
            <w:r>
              <w:t>herallocatie waarborgt het voortbestaan van Invest International in afwachting van integratie</w:t>
            </w:r>
            <w:r w:rsidRPr="00654A40">
              <w:t>:</w:t>
            </w:r>
          </w:p>
          <w:bookmarkEnd w:id="4"/>
          <w:p w:rsidRPr="00654A40" w:rsidR="00E06604" w:rsidP="000945EA" w:rsidRDefault="00E06604" w14:paraId="1A514605" w14:textId="77777777"/>
          <w:tbl>
            <w:tblPr>
              <w:tblStyle w:val="Tabelraster"/>
              <w:tblW w:w="5550" w:type="dxa"/>
              <w:tblLook w:val="04A0" w:firstRow="1" w:lastRow="0" w:firstColumn="1" w:lastColumn="0" w:noHBand="0" w:noVBand="1"/>
            </w:tblPr>
            <w:tblGrid>
              <w:gridCol w:w="1594"/>
              <w:gridCol w:w="725"/>
              <w:gridCol w:w="725"/>
              <w:gridCol w:w="725"/>
              <w:gridCol w:w="725"/>
              <w:gridCol w:w="1056"/>
            </w:tblGrid>
            <w:tr w:rsidRPr="00654A40" w:rsidR="00E06604" w:rsidTr="00612582" w14:paraId="1CD23545" w14:textId="77777777">
              <w:tc>
                <w:tcPr>
                  <w:tcW w:w="1594" w:type="dxa"/>
                  <w:hideMark/>
                </w:tcPr>
                <w:p w:rsidRPr="00AD0CDD" w:rsidR="00E06604" w:rsidP="000945EA" w:rsidRDefault="00E06604" w14:paraId="3AF7FEAA" w14:textId="77777777">
                  <w:pPr>
                    <w:spacing w:line="276" w:lineRule="auto"/>
                    <w:rPr>
                      <w:i/>
                      <w:iCs/>
                      <w:sz w:val="16"/>
                      <w:szCs w:val="16"/>
                    </w:rPr>
                  </w:pPr>
                  <w:r w:rsidRPr="00AD0CDD">
                    <w:rPr>
                      <w:i/>
                      <w:iCs/>
                      <w:sz w:val="16"/>
                      <w:szCs w:val="16"/>
                    </w:rPr>
                    <w:t>In € mln.</w:t>
                  </w:r>
                </w:p>
              </w:tc>
              <w:tc>
                <w:tcPr>
                  <w:tcW w:w="725" w:type="dxa"/>
                  <w:hideMark/>
                </w:tcPr>
                <w:p w:rsidRPr="00AD0CDD" w:rsidR="00E06604" w:rsidP="000945EA" w:rsidRDefault="00E06604" w14:paraId="56F19939" w14:textId="77777777">
                  <w:pPr>
                    <w:autoSpaceDN w:val="0"/>
                    <w:spacing w:line="276" w:lineRule="auto"/>
                    <w:jc w:val="right"/>
                    <w:rPr>
                      <w:sz w:val="16"/>
                      <w:szCs w:val="16"/>
                    </w:rPr>
                  </w:pPr>
                  <w:r w:rsidRPr="00AD0CDD">
                    <w:rPr>
                      <w:sz w:val="16"/>
                      <w:szCs w:val="16"/>
                    </w:rPr>
                    <w:t>2026</w:t>
                  </w:r>
                </w:p>
              </w:tc>
              <w:tc>
                <w:tcPr>
                  <w:tcW w:w="725" w:type="dxa"/>
                  <w:hideMark/>
                </w:tcPr>
                <w:p w:rsidRPr="00AD0CDD" w:rsidR="00E06604" w:rsidP="000945EA" w:rsidRDefault="00E06604" w14:paraId="0D8FF4E7" w14:textId="77777777">
                  <w:pPr>
                    <w:autoSpaceDN w:val="0"/>
                    <w:spacing w:line="276" w:lineRule="auto"/>
                    <w:jc w:val="right"/>
                    <w:rPr>
                      <w:sz w:val="16"/>
                      <w:szCs w:val="16"/>
                    </w:rPr>
                  </w:pPr>
                  <w:r w:rsidRPr="00AD0CDD">
                    <w:rPr>
                      <w:sz w:val="16"/>
                      <w:szCs w:val="16"/>
                    </w:rPr>
                    <w:t>2027</w:t>
                  </w:r>
                </w:p>
              </w:tc>
              <w:tc>
                <w:tcPr>
                  <w:tcW w:w="725" w:type="dxa"/>
                  <w:hideMark/>
                </w:tcPr>
                <w:p w:rsidRPr="00AD0CDD" w:rsidR="00E06604" w:rsidP="000945EA" w:rsidRDefault="00E06604" w14:paraId="66B3098C" w14:textId="77777777">
                  <w:pPr>
                    <w:autoSpaceDN w:val="0"/>
                    <w:spacing w:line="276" w:lineRule="auto"/>
                    <w:jc w:val="right"/>
                    <w:rPr>
                      <w:sz w:val="16"/>
                      <w:szCs w:val="16"/>
                    </w:rPr>
                  </w:pPr>
                  <w:r w:rsidRPr="00AD0CDD">
                    <w:rPr>
                      <w:sz w:val="16"/>
                      <w:szCs w:val="16"/>
                    </w:rPr>
                    <w:t>2028</w:t>
                  </w:r>
                </w:p>
              </w:tc>
              <w:tc>
                <w:tcPr>
                  <w:tcW w:w="725" w:type="dxa"/>
                  <w:hideMark/>
                </w:tcPr>
                <w:p w:rsidRPr="00AD0CDD" w:rsidR="00E06604" w:rsidP="000945EA" w:rsidRDefault="00E06604" w14:paraId="7D823292" w14:textId="77777777">
                  <w:pPr>
                    <w:autoSpaceDN w:val="0"/>
                    <w:spacing w:line="276" w:lineRule="auto"/>
                    <w:jc w:val="right"/>
                    <w:rPr>
                      <w:sz w:val="16"/>
                      <w:szCs w:val="16"/>
                    </w:rPr>
                  </w:pPr>
                  <w:r w:rsidRPr="00AD0CDD">
                    <w:rPr>
                      <w:sz w:val="16"/>
                      <w:szCs w:val="16"/>
                    </w:rPr>
                    <w:t>2029</w:t>
                  </w:r>
                </w:p>
              </w:tc>
              <w:tc>
                <w:tcPr>
                  <w:tcW w:w="1056" w:type="dxa"/>
                  <w:hideMark/>
                </w:tcPr>
                <w:p w:rsidRPr="00AD0CDD" w:rsidR="00E06604" w:rsidP="000945EA" w:rsidRDefault="00E06604" w14:paraId="06DB0EC4" w14:textId="77777777">
                  <w:pPr>
                    <w:autoSpaceDN w:val="0"/>
                    <w:spacing w:line="276" w:lineRule="auto"/>
                    <w:jc w:val="right"/>
                    <w:rPr>
                      <w:b/>
                      <w:bCs/>
                      <w:sz w:val="16"/>
                      <w:szCs w:val="16"/>
                    </w:rPr>
                  </w:pPr>
                  <w:r w:rsidRPr="00AD0CDD">
                    <w:rPr>
                      <w:b/>
                      <w:bCs/>
                      <w:sz w:val="16"/>
                      <w:szCs w:val="16"/>
                    </w:rPr>
                    <w:t>Totaal</w:t>
                  </w:r>
                </w:p>
              </w:tc>
            </w:tr>
            <w:tr w:rsidRPr="00654A40" w:rsidR="00E06604" w:rsidTr="00612582" w14:paraId="774B1AA6" w14:textId="77777777">
              <w:tc>
                <w:tcPr>
                  <w:tcW w:w="1594" w:type="dxa"/>
                  <w:hideMark/>
                </w:tcPr>
                <w:p w:rsidRPr="00AD0CDD" w:rsidR="00E06604" w:rsidP="000945EA" w:rsidRDefault="00E06604" w14:paraId="47525728" w14:textId="77777777">
                  <w:pPr>
                    <w:autoSpaceDN w:val="0"/>
                    <w:spacing w:line="276" w:lineRule="auto"/>
                    <w:rPr>
                      <w:sz w:val="16"/>
                      <w:szCs w:val="16"/>
                    </w:rPr>
                  </w:pPr>
                  <w:r w:rsidRPr="00AD0CDD">
                    <w:rPr>
                      <w:sz w:val="16"/>
                      <w:szCs w:val="16"/>
                    </w:rPr>
                    <w:lastRenderedPageBreak/>
                    <w:t>Kernkapitaal Invest International</w:t>
                  </w:r>
                </w:p>
              </w:tc>
              <w:tc>
                <w:tcPr>
                  <w:tcW w:w="725" w:type="dxa"/>
                  <w:shd w:val="clear" w:color="auto" w:fill="auto"/>
                </w:tcPr>
                <w:p w:rsidRPr="00AD0CDD" w:rsidR="00E06604" w:rsidP="000945EA" w:rsidRDefault="00E06604" w14:paraId="3CE6711F" w14:textId="77777777">
                  <w:pPr>
                    <w:autoSpaceDN w:val="0"/>
                    <w:spacing w:line="276" w:lineRule="auto"/>
                    <w:jc w:val="right"/>
                    <w:rPr>
                      <w:sz w:val="16"/>
                      <w:szCs w:val="16"/>
                    </w:rPr>
                  </w:pPr>
                  <w:r w:rsidRPr="00AD0CDD">
                    <w:rPr>
                      <w:sz w:val="16"/>
                      <w:szCs w:val="16"/>
                    </w:rPr>
                    <w:t>150</w:t>
                  </w:r>
                </w:p>
              </w:tc>
              <w:tc>
                <w:tcPr>
                  <w:tcW w:w="725" w:type="dxa"/>
                  <w:shd w:val="clear" w:color="auto" w:fill="auto"/>
                  <w:hideMark/>
                </w:tcPr>
                <w:p w:rsidRPr="00AD0CDD" w:rsidR="00E06604" w:rsidP="000945EA" w:rsidRDefault="00E06604" w14:paraId="6F8E9910" w14:textId="77777777">
                  <w:pPr>
                    <w:autoSpaceDN w:val="0"/>
                    <w:spacing w:line="276" w:lineRule="auto"/>
                    <w:jc w:val="right"/>
                    <w:rPr>
                      <w:sz w:val="16"/>
                      <w:szCs w:val="16"/>
                    </w:rPr>
                  </w:pPr>
                  <w:r w:rsidRPr="00AD0CDD">
                    <w:rPr>
                      <w:sz w:val="16"/>
                      <w:szCs w:val="16"/>
                    </w:rPr>
                    <w:t>100</w:t>
                  </w:r>
                </w:p>
              </w:tc>
              <w:tc>
                <w:tcPr>
                  <w:tcW w:w="725" w:type="dxa"/>
                  <w:shd w:val="clear" w:color="auto" w:fill="auto"/>
                  <w:hideMark/>
                </w:tcPr>
                <w:p w:rsidRPr="00AD0CDD" w:rsidR="00E06604" w:rsidP="000945EA" w:rsidRDefault="00E06604" w14:paraId="4C92DCBE" w14:textId="77777777">
                  <w:pPr>
                    <w:autoSpaceDN w:val="0"/>
                    <w:spacing w:line="276" w:lineRule="auto"/>
                    <w:jc w:val="right"/>
                    <w:rPr>
                      <w:sz w:val="16"/>
                      <w:szCs w:val="16"/>
                    </w:rPr>
                  </w:pPr>
                </w:p>
              </w:tc>
              <w:tc>
                <w:tcPr>
                  <w:tcW w:w="725" w:type="dxa"/>
                  <w:shd w:val="clear" w:color="auto" w:fill="auto"/>
                  <w:hideMark/>
                </w:tcPr>
                <w:p w:rsidRPr="00AD0CDD" w:rsidR="00E06604" w:rsidP="000945EA" w:rsidRDefault="00E06604" w14:paraId="392B4E73" w14:textId="77777777">
                  <w:pPr>
                    <w:autoSpaceDN w:val="0"/>
                    <w:spacing w:line="276" w:lineRule="auto"/>
                    <w:jc w:val="right"/>
                    <w:rPr>
                      <w:sz w:val="16"/>
                      <w:szCs w:val="16"/>
                    </w:rPr>
                  </w:pPr>
                </w:p>
              </w:tc>
              <w:tc>
                <w:tcPr>
                  <w:tcW w:w="1056" w:type="dxa"/>
                  <w:shd w:val="clear" w:color="auto" w:fill="auto"/>
                  <w:hideMark/>
                </w:tcPr>
                <w:p w:rsidRPr="00AD0CDD" w:rsidR="00E06604" w:rsidP="000945EA" w:rsidRDefault="00E06604" w14:paraId="4D6D5B0F" w14:textId="77777777">
                  <w:pPr>
                    <w:autoSpaceDN w:val="0"/>
                    <w:spacing w:line="276" w:lineRule="auto"/>
                    <w:jc w:val="right"/>
                    <w:rPr>
                      <w:b/>
                      <w:bCs/>
                      <w:sz w:val="16"/>
                      <w:szCs w:val="16"/>
                    </w:rPr>
                  </w:pPr>
                  <w:r w:rsidRPr="00AD0CDD">
                    <w:rPr>
                      <w:b/>
                      <w:bCs/>
                      <w:sz w:val="16"/>
                      <w:szCs w:val="16"/>
                    </w:rPr>
                    <w:t>250</w:t>
                  </w:r>
                </w:p>
              </w:tc>
            </w:tr>
            <w:tr w:rsidRPr="00654A40" w:rsidR="00E06604" w:rsidTr="00612582" w14:paraId="76646178" w14:textId="77777777">
              <w:tc>
                <w:tcPr>
                  <w:tcW w:w="1594" w:type="dxa"/>
                </w:tcPr>
                <w:p w:rsidRPr="00AD0CDD" w:rsidR="00E06604" w:rsidP="000945EA" w:rsidRDefault="00E06604" w14:paraId="174A4818" w14:textId="77777777">
                  <w:pPr>
                    <w:autoSpaceDN w:val="0"/>
                    <w:spacing w:line="276" w:lineRule="auto"/>
                    <w:rPr>
                      <w:sz w:val="16"/>
                      <w:szCs w:val="16"/>
                    </w:rPr>
                  </w:pPr>
                  <w:r w:rsidRPr="00AD0CDD">
                    <w:rPr>
                      <w:sz w:val="16"/>
                      <w:szCs w:val="16"/>
                    </w:rPr>
                    <w:t>Kernkapitaal Invest -NL</w:t>
                  </w:r>
                </w:p>
              </w:tc>
              <w:tc>
                <w:tcPr>
                  <w:tcW w:w="725" w:type="dxa"/>
                  <w:shd w:val="clear" w:color="auto" w:fill="auto"/>
                </w:tcPr>
                <w:p w:rsidRPr="00AD0CDD" w:rsidR="00E06604" w:rsidP="000945EA" w:rsidRDefault="00E06604" w14:paraId="17BC88E1" w14:textId="77777777">
                  <w:pPr>
                    <w:autoSpaceDN w:val="0"/>
                    <w:spacing w:line="276" w:lineRule="auto"/>
                    <w:jc w:val="right"/>
                    <w:rPr>
                      <w:sz w:val="16"/>
                      <w:szCs w:val="16"/>
                    </w:rPr>
                  </w:pPr>
                </w:p>
              </w:tc>
              <w:tc>
                <w:tcPr>
                  <w:tcW w:w="725" w:type="dxa"/>
                  <w:shd w:val="clear" w:color="auto" w:fill="auto"/>
                </w:tcPr>
                <w:p w:rsidRPr="00AD0CDD" w:rsidR="00E06604" w:rsidP="000945EA" w:rsidRDefault="00E06604" w14:paraId="36DBD025" w14:textId="77777777">
                  <w:pPr>
                    <w:autoSpaceDN w:val="0"/>
                    <w:spacing w:line="276" w:lineRule="auto"/>
                    <w:jc w:val="right"/>
                    <w:rPr>
                      <w:sz w:val="16"/>
                      <w:szCs w:val="16"/>
                    </w:rPr>
                  </w:pPr>
                </w:p>
              </w:tc>
              <w:tc>
                <w:tcPr>
                  <w:tcW w:w="725" w:type="dxa"/>
                  <w:shd w:val="clear" w:color="auto" w:fill="auto"/>
                </w:tcPr>
                <w:p w:rsidRPr="00AD0CDD" w:rsidR="00E06604" w:rsidP="000945EA" w:rsidRDefault="00E06604" w14:paraId="29CCDBF5" w14:textId="77777777">
                  <w:pPr>
                    <w:autoSpaceDN w:val="0"/>
                    <w:spacing w:line="276" w:lineRule="auto"/>
                    <w:jc w:val="right"/>
                    <w:rPr>
                      <w:sz w:val="16"/>
                      <w:szCs w:val="16"/>
                    </w:rPr>
                  </w:pPr>
                  <w:r w:rsidRPr="00AD0CDD">
                    <w:rPr>
                      <w:sz w:val="16"/>
                      <w:szCs w:val="16"/>
                    </w:rPr>
                    <w:t xml:space="preserve">-50 </w:t>
                  </w:r>
                </w:p>
              </w:tc>
              <w:tc>
                <w:tcPr>
                  <w:tcW w:w="725" w:type="dxa"/>
                  <w:shd w:val="clear" w:color="auto" w:fill="auto"/>
                </w:tcPr>
                <w:p w:rsidRPr="00AD0CDD" w:rsidR="00E06604" w:rsidP="000945EA" w:rsidRDefault="00E06604" w14:paraId="331F088B" w14:textId="77777777">
                  <w:pPr>
                    <w:autoSpaceDN w:val="0"/>
                    <w:spacing w:line="276" w:lineRule="auto"/>
                    <w:jc w:val="right"/>
                    <w:rPr>
                      <w:sz w:val="16"/>
                      <w:szCs w:val="16"/>
                    </w:rPr>
                  </w:pPr>
                  <w:r w:rsidRPr="00AD0CDD">
                    <w:rPr>
                      <w:sz w:val="16"/>
                      <w:szCs w:val="16"/>
                    </w:rPr>
                    <w:t>-200</w:t>
                  </w:r>
                </w:p>
              </w:tc>
              <w:tc>
                <w:tcPr>
                  <w:tcW w:w="1056" w:type="dxa"/>
                  <w:shd w:val="clear" w:color="auto" w:fill="auto"/>
                </w:tcPr>
                <w:p w:rsidRPr="00AD0CDD" w:rsidR="00E06604" w:rsidP="000945EA" w:rsidRDefault="00E06604" w14:paraId="48977B5C" w14:textId="77777777">
                  <w:pPr>
                    <w:autoSpaceDN w:val="0"/>
                    <w:spacing w:line="276" w:lineRule="auto"/>
                    <w:jc w:val="right"/>
                    <w:rPr>
                      <w:b/>
                      <w:bCs/>
                      <w:sz w:val="16"/>
                      <w:szCs w:val="16"/>
                    </w:rPr>
                  </w:pPr>
                  <w:r w:rsidRPr="00AD0CDD">
                    <w:rPr>
                      <w:b/>
                      <w:bCs/>
                      <w:sz w:val="16"/>
                      <w:szCs w:val="16"/>
                    </w:rPr>
                    <w:t>-250</w:t>
                  </w:r>
                </w:p>
              </w:tc>
            </w:tr>
          </w:tbl>
          <w:p w:rsidR="00E06604" w:rsidP="000945EA" w:rsidRDefault="00E06604" w14:paraId="03FC2BC3" w14:textId="77777777"/>
        </w:tc>
      </w:tr>
      <w:tr w:rsidR="00E06604" w:rsidTr="000945EA" w14:paraId="024DD576" w14:textId="77777777">
        <w:tc>
          <w:tcPr>
            <w:tcW w:w="1980" w:type="dxa"/>
          </w:tcPr>
          <w:p w:rsidR="00E06604" w:rsidP="000945EA" w:rsidRDefault="00E06604" w14:paraId="1526A7F2" w14:textId="77777777">
            <w:r>
              <w:rPr>
                <w:b/>
              </w:rPr>
              <w:lastRenderedPageBreak/>
              <w:t>Beleidsinstrument(en)</w:t>
            </w:r>
          </w:p>
        </w:tc>
        <w:tc>
          <w:tcPr>
            <w:tcW w:w="5670" w:type="dxa"/>
          </w:tcPr>
          <w:p w:rsidRPr="002E20C9" w:rsidR="00612582" w:rsidP="00612582" w:rsidRDefault="00612582" w14:paraId="07059E33" w14:textId="77777777">
            <w:pPr>
              <w:pStyle w:val="Geenafstand"/>
              <w:spacing w:line="276" w:lineRule="auto"/>
              <w:rPr>
                <w:rFonts w:ascii="Verdana" w:hAnsi="Verdana" w:eastAsia="Times New Roman" w:cs="Times New Roman"/>
                <w:sz w:val="18"/>
                <w:szCs w:val="18"/>
                <w:lang w:eastAsia="nl-NL"/>
              </w:rPr>
            </w:pPr>
            <w:r w:rsidRPr="002E20C9">
              <w:rPr>
                <w:rFonts w:ascii="Verdana" w:hAnsi="Verdana" w:eastAsia="Times New Roman" w:cs="Times New Roman"/>
                <w:sz w:val="18"/>
                <w:szCs w:val="18"/>
                <w:lang w:eastAsia="nl-NL"/>
              </w:rPr>
              <w:t>De Machtigingswet oprichting Invest International (“Machtigingswet”) beschrijft de volgende taken van Invest International:</w:t>
            </w:r>
          </w:p>
          <w:p w:rsidRPr="002E20C9" w:rsidR="00612582" w:rsidP="00612582" w:rsidRDefault="00612582" w14:paraId="7D92AF3D" w14:textId="77777777">
            <w:pPr>
              <w:pStyle w:val="Geenafstand"/>
              <w:numPr>
                <w:ilvl w:val="0"/>
                <w:numId w:val="9"/>
              </w:numPr>
              <w:spacing w:line="276" w:lineRule="auto"/>
              <w:rPr>
                <w:rFonts w:ascii="Verdana" w:hAnsi="Verdana" w:eastAsia="Times New Roman" w:cs="Times New Roman"/>
                <w:sz w:val="18"/>
                <w:szCs w:val="18"/>
                <w:lang w:eastAsia="nl-NL"/>
              </w:rPr>
            </w:pPr>
            <w:r w:rsidRPr="002E20C9">
              <w:rPr>
                <w:rFonts w:ascii="Verdana" w:hAnsi="Verdana" w:eastAsia="Times New Roman" w:cs="Times New Roman"/>
                <w:sz w:val="18"/>
                <w:szCs w:val="18"/>
                <w:u w:val="single"/>
                <w:lang w:eastAsia="nl-NL"/>
              </w:rPr>
              <w:t>Een investeringstaak</w:t>
            </w:r>
            <w:r w:rsidRPr="002E20C9">
              <w:rPr>
                <w:rFonts w:ascii="Verdana" w:hAnsi="Verdana" w:eastAsia="Times New Roman" w:cs="Times New Roman"/>
                <w:sz w:val="18"/>
                <w:szCs w:val="18"/>
                <w:lang w:eastAsia="nl-NL"/>
              </w:rPr>
              <w:t xml:space="preserve">: Het voor eigen rekening en risico direct of indirect financieren van internationale projecten, internationale activiteiten van Nederlandse bedrijven, en buitenlandse overheden. </w:t>
            </w:r>
          </w:p>
          <w:p w:rsidRPr="002E20C9" w:rsidR="00612582" w:rsidP="00612582" w:rsidRDefault="00612582" w14:paraId="7F59B782" w14:textId="77777777">
            <w:pPr>
              <w:pStyle w:val="Geenafstand"/>
              <w:numPr>
                <w:ilvl w:val="0"/>
                <w:numId w:val="9"/>
              </w:numPr>
              <w:spacing w:line="276" w:lineRule="auto"/>
              <w:rPr>
                <w:rFonts w:ascii="Verdana" w:hAnsi="Verdana" w:eastAsia="Times New Roman" w:cs="Times New Roman"/>
                <w:sz w:val="18"/>
                <w:szCs w:val="18"/>
                <w:lang w:eastAsia="nl-NL"/>
              </w:rPr>
            </w:pPr>
            <w:r w:rsidRPr="002E20C9">
              <w:rPr>
                <w:rFonts w:ascii="Verdana" w:hAnsi="Verdana" w:eastAsia="Times New Roman" w:cs="Times New Roman"/>
                <w:sz w:val="18"/>
                <w:szCs w:val="18"/>
                <w:u w:val="single"/>
                <w:lang w:eastAsia="nl-NL"/>
              </w:rPr>
              <w:t>Een ontwikkeltaak</w:t>
            </w:r>
            <w:r w:rsidRPr="002E20C9">
              <w:rPr>
                <w:rFonts w:ascii="Verdana" w:hAnsi="Verdana" w:eastAsia="Times New Roman" w:cs="Times New Roman"/>
                <w:sz w:val="18"/>
                <w:szCs w:val="18"/>
                <w:lang w:eastAsia="nl-NL"/>
              </w:rPr>
              <w:t>: Het direct of indirect ondersteunen van businessplannen gericht op activiteiten in het buitenland en het ontwikkelen van nieuwe business- en financieringsconcepten gericht op activiteiten in het buitenland.</w:t>
            </w:r>
          </w:p>
          <w:p w:rsidRPr="002E20C9" w:rsidR="00612582" w:rsidP="00612582" w:rsidRDefault="00612582" w14:paraId="2FE1FC46" w14:textId="77777777">
            <w:pPr>
              <w:pStyle w:val="Geenafstand"/>
              <w:numPr>
                <w:ilvl w:val="0"/>
                <w:numId w:val="9"/>
              </w:numPr>
              <w:spacing w:line="276" w:lineRule="auto"/>
              <w:rPr>
                <w:rFonts w:ascii="Verdana" w:hAnsi="Verdana" w:eastAsia="Times New Roman" w:cs="Times New Roman"/>
                <w:sz w:val="18"/>
                <w:szCs w:val="18"/>
                <w:lang w:eastAsia="nl-NL"/>
              </w:rPr>
            </w:pPr>
            <w:r w:rsidRPr="002E20C9">
              <w:rPr>
                <w:rFonts w:ascii="Verdana" w:hAnsi="Verdana" w:eastAsia="Times New Roman" w:cs="Times New Roman"/>
                <w:sz w:val="18"/>
                <w:szCs w:val="18"/>
                <w:u w:val="single"/>
                <w:lang w:eastAsia="nl-NL"/>
              </w:rPr>
              <w:t>Een regelingentaa</w:t>
            </w:r>
            <w:r w:rsidRPr="002E20C9">
              <w:rPr>
                <w:rFonts w:ascii="Verdana" w:hAnsi="Verdana" w:eastAsia="Times New Roman" w:cs="Times New Roman"/>
                <w:sz w:val="18"/>
                <w:szCs w:val="18"/>
                <w:lang w:eastAsia="nl-NL"/>
              </w:rPr>
              <w:t xml:space="preserve">k: Het verstrekken van subsidies voor de financiering van internationale projecten, internationale activiteiten van Nederlandse bedrijven, en buitenlandse overheden. Invest International doet dit door middel van een door de Minister van Buitenlandse Handel en Ontwikkelingshulp verstrekt mandaat. </w:t>
            </w:r>
          </w:p>
          <w:p w:rsidR="00E06604" w:rsidP="000945EA" w:rsidRDefault="00E06604" w14:paraId="0B97E1A0" w14:textId="77777777">
            <w:pPr>
              <w:pStyle w:val="Geenafstand"/>
              <w:spacing w:line="276" w:lineRule="auto"/>
              <w:rPr>
                <w:rFonts w:ascii="Verdana" w:hAnsi="Verdana" w:eastAsia="Times New Roman" w:cs="Times New Roman"/>
                <w:sz w:val="18"/>
                <w:szCs w:val="18"/>
                <w:lang w:eastAsia="nl-NL"/>
              </w:rPr>
            </w:pPr>
          </w:p>
          <w:p w:rsidR="00E06604" w:rsidP="000945EA" w:rsidRDefault="00612582" w14:paraId="5CB76295" w14:textId="77777777">
            <w:r w:rsidRPr="0015379A">
              <w:t xml:space="preserve">De herallocatie stelt Invest International in staat om direct voor eigen rekening (vanuit het “kernkapitaal”) meer ondernemingen te financieren, zoals beschreven in de investeringstaak.  </w:t>
            </w:r>
          </w:p>
        </w:tc>
      </w:tr>
      <w:tr w:rsidR="00E06604" w:rsidTr="000945EA" w14:paraId="27203D31" w14:textId="77777777">
        <w:tc>
          <w:tcPr>
            <w:tcW w:w="1980" w:type="dxa"/>
          </w:tcPr>
          <w:p w:rsidR="00E06604" w:rsidP="000945EA" w:rsidRDefault="00E06604" w14:paraId="7F02AF7C" w14:textId="77777777">
            <w:r>
              <w:rPr>
                <w:b/>
              </w:rPr>
              <w:t>Financiële gevolgen voor het Rijk</w:t>
            </w:r>
          </w:p>
        </w:tc>
        <w:tc>
          <w:tcPr>
            <w:tcW w:w="5670" w:type="dxa"/>
          </w:tcPr>
          <w:p w:rsidR="00612582" w:rsidP="00612582" w:rsidRDefault="00612582" w14:paraId="25131AEB" w14:textId="77777777">
            <w:pPr>
              <w:spacing w:line="240" w:lineRule="auto"/>
            </w:pPr>
            <w:r w:rsidRPr="00612582">
              <w:t xml:space="preserve">De staat doet twee incidentele kapitaalstortingen van </w:t>
            </w:r>
            <w:r w:rsidRPr="00612582">
              <w:rPr>
                <w:rFonts w:cs="Times New Roman"/>
              </w:rPr>
              <w:t>€</w:t>
            </w:r>
            <w:r w:rsidRPr="00612582">
              <w:t xml:space="preserve"> 150. mln. in 2026 en van </w:t>
            </w:r>
            <w:r w:rsidRPr="00612582">
              <w:rPr>
                <w:rFonts w:cs="Times New Roman"/>
              </w:rPr>
              <w:t>€100 mln. in 2027</w:t>
            </w:r>
            <w:r w:rsidRPr="00612582">
              <w:t xml:space="preserve"> aan Invest International uit de bestaande middelen die in de Miljoenennota 2025 gereserveerd werden in 2028 en 2029 voor Invest-NL. </w:t>
            </w:r>
          </w:p>
          <w:p w:rsidRPr="00612582" w:rsidR="00612582" w:rsidP="00612582" w:rsidRDefault="00612582" w14:paraId="68FC5EF1" w14:textId="77777777">
            <w:pPr>
              <w:spacing w:line="240" w:lineRule="auto"/>
            </w:pPr>
          </w:p>
          <w:p w:rsidR="00E06604" w:rsidP="00612582" w:rsidRDefault="00612582" w14:paraId="34D33EE2" w14:textId="77777777">
            <w:pPr>
              <w:spacing w:line="240" w:lineRule="auto"/>
            </w:pPr>
            <w:r w:rsidRPr="00332269">
              <w:t xml:space="preserve">Deze stortingen zijn naar verwachting niet EMU-saldorelevant en niet kaderrelevant. </w:t>
            </w:r>
          </w:p>
        </w:tc>
      </w:tr>
      <w:tr w:rsidR="00E06604" w:rsidTr="000945EA" w14:paraId="02DA9749" w14:textId="77777777">
        <w:tc>
          <w:tcPr>
            <w:tcW w:w="1980" w:type="dxa"/>
          </w:tcPr>
          <w:p w:rsidRPr="00612582" w:rsidR="00E06604" w:rsidP="000945EA" w:rsidRDefault="00E06604" w14:paraId="1AD85985" w14:textId="77777777">
            <w:pPr>
              <w:rPr>
                <w:b/>
                <w:bCs/>
                <w:color w:val="000000" w:themeColor="text1"/>
              </w:rPr>
            </w:pPr>
            <w:r w:rsidRPr="00612582">
              <w:rPr>
                <w:b/>
                <w:color w:val="000000" w:themeColor="text1"/>
              </w:rPr>
              <w:t>Financiële gevolgen voor maatschappelij</w:t>
            </w:r>
            <w:r w:rsidR="006F6010">
              <w:rPr>
                <w:b/>
                <w:color w:val="000000" w:themeColor="text1"/>
              </w:rPr>
              <w:t>k</w:t>
            </w:r>
            <w:r w:rsidRPr="00612582">
              <w:rPr>
                <w:b/>
                <w:color w:val="000000" w:themeColor="text1"/>
              </w:rPr>
              <w:t>e sectoren</w:t>
            </w:r>
            <w:r w:rsidRPr="00612582" w:rsidR="00612582">
              <w:rPr>
                <w:b/>
                <w:color w:val="000000" w:themeColor="text1"/>
              </w:rPr>
              <w:t xml:space="preserve"> </w:t>
            </w:r>
          </w:p>
        </w:tc>
        <w:tc>
          <w:tcPr>
            <w:tcW w:w="5670" w:type="dxa"/>
          </w:tcPr>
          <w:p w:rsidRPr="00612582" w:rsidR="00E06604" w:rsidP="000945EA" w:rsidRDefault="00612582" w14:paraId="78EEF930" w14:textId="77777777">
            <w:pPr>
              <w:rPr>
                <w:color w:val="000000" w:themeColor="text1"/>
              </w:rPr>
            </w:pPr>
            <w:r w:rsidRPr="00612582">
              <w:rPr>
                <w:color w:val="000000" w:themeColor="text1"/>
              </w:rPr>
              <w:t>De kasschuif van Invest-NL aan Invest International heeft geen negatieve financiële gevolgen voor maatschappelijke sectoren.</w:t>
            </w:r>
          </w:p>
        </w:tc>
      </w:tr>
      <w:tr w:rsidR="00E06604" w:rsidTr="000945EA" w14:paraId="5AEDE87F" w14:textId="77777777">
        <w:tc>
          <w:tcPr>
            <w:tcW w:w="1980" w:type="dxa"/>
          </w:tcPr>
          <w:p w:rsidR="00E06604" w:rsidP="000945EA" w:rsidRDefault="00E06604" w14:paraId="16EA6DEA" w14:textId="77777777">
            <w:r>
              <w:rPr>
                <w:b/>
              </w:rPr>
              <w:t>Nagestreefde doeltreffendheid</w:t>
            </w:r>
          </w:p>
        </w:tc>
        <w:tc>
          <w:tcPr>
            <w:tcW w:w="5670" w:type="dxa"/>
          </w:tcPr>
          <w:p w:rsidRPr="00E340A3" w:rsidR="00612582" w:rsidP="00612582" w:rsidRDefault="00612582" w14:paraId="3A876BCC" w14:textId="77777777">
            <w:pPr>
              <w:rPr>
                <w:i/>
                <w:iCs/>
              </w:rPr>
            </w:pPr>
            <w:r>
              <w:rPr>
                <w:i/>
                <w:iCs/>
              </w:rPr>
              <w:t xml:space="preserve">Tussentijdse evaluatie </w:t>
            </w:r>
            <w:proofErr w:type="spellStart"/>
            <w:r>
              <w:rPr>
                <w:i/>
                <w:iCs/>
              </w:rPr>
              <w:t>Dialogic</w:t>
            </w:r>
            <w:proofErr w:type="spellEnd"/>
          </w:p>
          <w:p w:rsidR="00612582" w:rsidP="00612582" w:rsidRDefault="00612582" w14:paraId="783F4E04" w14:textId="77777777">
            <w:pPr>
              <w:pStyle w:val="Lijstalinea"/>
              <w:numPr>
                <w:ilvl w:val="0"/>
                <w:numId w:val="10"/>
              </w:numPr>
              <w:spacing w:after="0" w:line="240" w:lineRule="auto"/>
              <w:ind w:left="720"/>
              <w:rPr>
                <w:rFonts w:ascii="Verdana" w:hAnsi="Verdana"/>
                <w:sz w:val="18"/>
                <w:szCs w:val="18"/>
              </w:rPr>
            </w:pPr>
            <w:r w:rsidRPr="00332269">
              <w:rPr>
                <w:rFonts w:ascii="Verdana" w:hAnsi="Verdana"/>
                <w:sz w:val="18"/>
                <w:szCs w:val="18"/>
              </w:rPr>
              <w:t xml:space="preserve">De tussentijdse evaluatie van </w:t>
            </w:r>
            <w:proofErr w:type="spellStart"/>
            <w:r w:rsidRPr="00332269">
              <w:rPr>
                <w:rFonts w:ascii="Verdana" w:hAnsi="Verdana"/>
                <w:sz w:val="18"/>
                <w:szCs w:val="18"/>
              </w:rPr>
              <w:t>Invest</w:t>
            </w:r>
            <w:proofErr w:type="spellEnd"/>
            <w:r w:rsidRPr="00332269">
              <w:rPr>
                <w:rFonts w:ascii="Verdana" w:hAnsi="Verdana"/>
                <w:sz w:val="18"/>
                <w:szCs w:val="18"/>
              </w:rPr>
              <w:t xml:space="preserve"> International van </w:t>
            </w:r>
            <w:proofErr w:type="spellStart"/>
            <w:r w:rsidRPr="00332269">
              <w:rPr>
                <w:rFonts w:ascii="Verdana" w:hAnsi="Verdana"/>
                <w:sz w:val="18"/>
                <w:szCs w:val="18"/>
              </w:rPr>
              <w:t>Dialogic</w:t>
            </w:r>
            <w:proofErr w:type="spellEnd"/>
            <w:r w:rsidRPr="0032749A">
              <w:rPr>
                <w:rStyle w:val="Voetnootmarkering"/>
                <w:rFonts w:ascii="Verdana" w:hAnsi="Verdana"/>
                <w:sz w:val="18"/>
                <w:szCs w:val="18"/>
              </w:rPr>
              <w:footnoteReference w:id="4"/>
            </w:r>
            <w:r w:rsidRPr="00332269">
              <w:rPr>
                <w:rFonts w:ascii="Verdana" w:hAnsi="Verdana"/>
                <w:sz w:val="18"/>
                <w:szCs w:val="18"/>
              </w:rPr>
              <w:t xml:space="preserve"> toont aan dat Invest International een slagvaardige organisatie is die invulling geeft aan de doelen als omschreven in de Machtigingswet. </w:t>
            </w:r>
          </w:p>
          <w:p w:rsidR="00612582" w:rsidP="00612582" w:rsidRDefault="00612582" w14:paraId="2FA0F8A6" w14:textId="77777777"/>
          <w:p w:rsidRPr="002E4728" w:rsidR="00612582" w:rsidP="00612582" w:rsidRDefault="00612582" w14:paraId="4D6FC242" w14:textId="77777777">
            <w:pPr>
              <w:rPr>
                <w:i/>
                <w:iCs/>
              </w:rPr>
            </w:pPr>
            <w:r>
              <w:rPr>
                <w:i/>
                <w:iCs/>
              </w:rPr>
              <w:t>Monitoring resultaten</w:t>
            </w:r>
          </w:p>
          <w:p w:rsidRPr="00332269" w:rsidR="00612582" w:rsidP="00612582" w:rsidRDefault="00612582" w14:paraId="537C4288" w14:textId="77777777">
            <w:pPr>
              <w:pStyle w:val="Lijstalinea"/>
              <w:numPr>
                <w:ilvl w:val="0"/>
                <w:numId w:val="11"/>
              </w:numPr>
              <w:spacing w:after="0" w:line="240" w:lineRule="auto"/>
              <w:ind w:left="720"/>
              <w:rPr>
                <w:rFonts w:ascii="Verdana" w:hAnsi="Verdana"/>
                <w:sz w:val="18"/>
                <w:szCs w:val="18"/>
              </w:rPr>
            </w:pPr>
            <w:r w:rsidRPr="00332269">
              <w:rPr>
                <w:rFonts w:ascii="Verdana" w:hAnsi="Verdana"/>
                <w:sz w:val="18"/>
                <w:szCs w:val="18"/>
              </w:rPr>
              <w:t xml:space="preserve">Invest International meet </w:t>
            </w:r>
            <w:r>
              <w:rPr>
                <w:rFonts w:ascii="Verdana" w:hAnsi="Verdana"/>
                <w:sz w:val="18"/>
                <w:szCs w:val="18"/>
              </w:rPr>
              <w:t xml:space="preserve">of </w:t>
            </w:r>
            <w:r w:rsidRPr="00332269">
              <w:rPr>
                <w:rFonts w:ascii="Verdana" w:hAnsi="Verdana"/>
                <w:sz w:val="18"/>
                <w:szCs w:val="18"/>
              </w:rPr>
              <w:t xml:space="preserve">de beoogde resultaten van gefinancierde projecten bereikt worden, en rapporteert </w:t>
            </w:r>
            <w:r>
              <w:rPr>
                <w:rFonts w:ascii="Verdana" w:hAnsi="Verdana"/>
                <w:sz w:val="18"/>
                <w:szCs w:val="18"/>
              </w:rPr>
              <w:t xml:space="preserve">hierover en over de financiële resultaten </w:t>
            </w:r>
            <w:r w:rsidRPr="00332269">
              <w:rPr>
                <w:rFonts w:ascii="Verdana" w:hAnsi="Verdana"/>
                <w:sz w:val="18"/>
                <w:szCs w:val="18"/>
              </w:rPr>
              <w:t xml:space="preserve">in </w:t>
            </w:r>
            <w:r>
              <w:rPr>
                <w:rFonts w:ascii="Verdana" w:hAnsi="Verdana"/>
                <w:sz w:val="18"/>
                <w:szCs w:val="18"/>
              </w:rPr>
              <w:t xml:space="preserve">haar </w:t>
            </w:r>
            <w:r w:rsidRPr="00332269">
              <w:rPr>
                <w:rFonts w:ascii="Verdana" w:hAnsi="Verdana"/>
                <w:sz w:val="18"/>
                <w:szCs w:val="18"/>
              </w:rPr>
              <w:t xml:space="preserve">jaarverslag. De staat neemt dit </w:t>
            </w:r>
            <w:r w:rsidRPr="00332269">
              <w:rPr>
                <w:rFonts w:ascii="Verdana" w:hAnsi="Verdana"/>
                <w:sz w:val="18"/>
                <w:szCs w:val="18"/>
              </w:rPr>
              <w:lastRenderedPageBreak/>
              <w:t xml:space="preserve">mee in de overleggen die zij met Invest International voert en vraagt de onderneming bij te sturen wanneer nodig. </w:t>
            </w:r>
          </w:p>
          <w:p w:rsidR="00612582" w:rsidP="00612582" w:rsidRDefault="00612582" w14:paraId="61112C1A" w14:textId="77777777"/>
          <w:p w:rsidRPr="002E4728" w:rsidR="00612582" w:rsidP="00612582" w:rsidRDefault="00612582" w14:paraId="6AD5D356" w14:textId="77777777">
            <w:pPr>
              <w:rPr>
                <w:i/>
                <w:iCs/>
              </w:rPr>
            </w:pPr>
            <w:r>
              <w:rPr>
                <w:i/>
                <w:iCs/>
              </w:rPr>
              <w:t>Doeltreffendheid additionele middelen</w:t>
            </w:r>
          </w:p>
          <w:p w:rsidR="00612582" w:rsidP="00612582" w:rsidRDefault="00612582" w14:paraId="281967AE" w14:textId="77777777">
            <w:pPr>
              <w:pStyle w:val="Lijstalinea"/>
              <w:numPr>
                <w:ilvl w:val="0"/>
                <w:numId w:val="11"/>
              </w:numPr>
              <w:spacing w:after="0" w:line="240" w:lineRule="auto"/>
              <w:ind w:left="720"/>
              <w:rPr>
                <w:rFonts w:ascii="Verdana" w:hAnsi="Verdana"/>
                <w:sz w:val="18"/>
                <w:szCs w:val="18"/>
              </w:rPr>
            </w:pPr>
            <w:r w:rsidRPr="00332269">
              <w:rPr>
                <w:rFonts w:ascii="Verdana" w:hAnsi="Verdana"/>
                <w:sz w:val="18"/>
                <w:szCs w:val="18"/>
              </w:rPr>
              <w:t xml:space="preserve">De additionele middelen voor het kapitaalkernkapitaal zorgen ervoor dat Invest International meer bedrijven en projecten kan ondersteunen met financiering. </w:t>
            </w:r>
          </w:p>
          <w:p w:rsidRPr="0015379A" w:rsidR="00612582" w:rsidP="00612582" w:rsidRDefault="00612582" w14:paraId="71AB452A" w14:textId="77777777">
            <w:pPr>
              <w:pStyle w:val="Lijstalinea"/>
              <w:numPr>
                <w:ilvl w:val="0"/>
                <w:numId w:val="11"/>
              </w:numPr>
              <w:spacing w:after="0" w:line="240" w:lineRule="auto"/>
              <w:ind w:left="720"/>
              <w:rPr>
                <w:rFonts w:ascii="Verdana" w:hAnsi="Verdana"/>
                <w:sz w:val="18"/>
                <w:szCs w:val="18"/>
              </w:rPr>
            </w:pPr>
            <w:r>
              <w:rPr>
                <w:rFonts w:ascii="Verdana" w:hAnsi="Verdana"/>
                <w:sz w:val="18"/>
                <w:szCs w:val="18"/>
              </w:rPr>
              <w:t xml:space="preserve">Indien Invest International geen middelen krijgt in 2026 en 2027, zorgt dat ervoor dat ze capaciteit moeten afschalen op de korte termijn om vervolgens op de langere termijn na integratie met Invest-NL  weer op te schalen. </w:t>
            </w:r>
          </w:p>
          <w:p w:rsidR="00612582" w:rsidP="00612582" w:rsidRDefault="00612582" w14:paraId="52895CFC" w14:textId="77777777">
            <w:pPr>
              <w:pStyle w:val="Lijstalinea"/>
              <w:numPr>
                <w:ilvl w:val="0"/>
                <w:numId w:val="11"/>
              </w:numPr>
              <w:spacing w:after="0" w:line="240" w:lineRule="auto"/>
              <w:ind w:left="720"/>
              <w:rPr>
                <w:rFonts w:ascii="Verdana" w:hAnsi="Verdana"/>
                <w:sz w:val="18"/>
                <w:szCs w:val="18"/>
              </w:rPr>
            </w:pPr>
            <w:r w:rsidRPr="00332269">
              <w:rPr>
                <w:rFonts w:ascii="Verdana" w:hAnsi="Verdana"/>
                <w:sz w:val="18"/>
                <w:szCs w:val="18"/>
              </w:rPr>
              <w:t xml:space="preserve">Invest International streeft </w:t>
            </w:r>
            <w:r>
              <w:rPr>
                <w:rFonts w:ascii="Verdana" w:hAnsi="Verdana"/>
                <w:sz w:val="18"/>
                <w:szCs w:val="18"/>
              </w:rPr>
              <w:t xml:space="preserve">ernaar </w:t>
            </w:r>
            <w:r w:rsidRPr="00332269">
              <w:rPr>
                <w:rFonts w:ascii="Verdana" w:hAnsi="Verdana"/>
                <w:sz w:val="18"/>
                <w:szCs w:val="18"/>
              </w:rPr>
              <w:t xml:space="preserve">om doeltreffend te zijn door projecten te selecteren </w:t>
            </w:r>
            <w:r>
              <w:rPr>
                <w:rFonts w:ascii="Verdana" w:hAnsi="Verdana"/>
                <w:sz w:val="18"/>
                <w:szCs w:val="18"/>
              </w:rPr>
              <w:t xml:space="preserve">die additioneel aan de markt zijn </w:t>
            </w:r>
            <w:r w:rsidRPr="00332269">
              <w:rPr>
                <w:rFonts w:ascii="Verdana" w:hAnsi="Verdana"/>
                <w:sz w:val="18"/>
                <w:szCs w:val="18"/>
              </w:rPr>
              <w:t xml:space="preserve">met een duidelijke bijdrage aan de Nederlandse economie en internationale uitdagingen. Dit laatste is in de praktijk geoperationaliseerd door te beoordelen wat de bijdrage is aan de </w:t>
            </w:r>
            <w:proofErr w:type="spellStart"/>
            <w:r w:rsidRPr="00332269">
              <w:rPr>
                <w:rFonts w:ascii="Verdana" w:hAnsi="Verdana"/>
                <w:i/>
                <w:iCs/>
                <w:sz w:val="18"/>
                <w:szCs w:val="18"/>
              </w:rPr>
              <w:t>Sustainable</w:t>
            </w:r>
            <w:proofErr w:type="spellEnd"/>
            <w:r w:rsidRPr="00332269">
              <w:rPr>
                <w:rFonts w:ascii="Verdana" w:hAnsi="Verdana"/>
                <w:i/>
                <w:iCs/>
                <w:sz w:val="18"/>
                <w:szCs w:val="18"/>
              </w:rPr>
              <w:t xml:space="preserve"> </w:t>
            </w:r>
            <w:proofErr w:type="spellStart"/>
            <w:r w:rsidRPr="00332269">
              <w:rPr>
                <w:rFonts w:ascii="Verdana" w:hAnsi="Verdana"/>
                <w:i/>
                <w:iCs/>
                <w:sz w:val="18"/>
                <w:szCs w:val="18"/>
              </w:rPr>
              <w:t>Develoment</w:t>
            </w:r>
            <w:proofErr w:type="spellEnd"/>
            <w:r w:rsidRPr="00332269">
              <w:rPr>
                <w:rFonts w:ascii="Verdana" w:hAnsi="Verdana"/>
                <w:i/>
                <w:iCs/>
                <w:sz w:val="18"/>
                <w:szCs w:val="18"/>
              </w:rPr>
              <w:t xml:space="preserve"> Goals</w:t>
            </w:r>
            <w:r w:rsidRPr="00332269">
              <w:rPr>
                <w:rFonts w:ascii="Verdana" w:hAnsi="Verdana"/>
                <w:sz w:val="18"/>
                <w:szCs w:val="18"/>
              </w:rPr>
              <w:t xml:space="preserve"> (</w:t>
            </w:r>
            <w:proofErr w:type="spellStart"/>
            <w:r w:rsidRPr="00332269">
              <w:rPr>
                <w:rFonts w:ascii="Verdana" w:hAnsi="Verdana"/>
                <w:sz w:val="18"/>
                <w:szCs w:val="18"/>
              </w:rPr>
              <w:t>SDG’s</w:t>
            </w:r>
            <w:proofErr w:type="spellEnd"/>
            <w:r w:rsidRPr="00332269">
              <w:rPr>
                <w:rFonts w:ascii="Verdana" w:hAnsi="Verdana"/>
                <w:sz w:val="18"/>
                <w:szCs w:val="18"/>
              </w:rPr>
              <w:t xml:space="preserve">). </w:t>
            </w:r>
          </w:p>
          <w:p w:rsidRPr="00612582" w:rsidR="00E06604" w:rsidP="00612582" w:rsidRDefault="00612582" w14:paraId="7AC10BC8" w14:textId="77777777">
            <w:pPr>
              <w:pStyle w:val="Lijstalinea"/>
              <w:numPr>
                <w:ilvl w:val="0"/>
                <w:numId w:val="11"/>
              </w:numPr>
              <w:spacing w:after="0" w:line="240" w:lineRule="auto"/>
              <w:ind w:left="720"/>
              <w:rPr>
                <w:rFonts w:ascii="Verdana" w:hAnsi="Verdana"/>
                <w:sz w:val="18"/>
                <w:szCs w:val="18"/>
              </w:rPr>
            </w:pPr>
            <w:r w:rsidRPr="00612582">
              <w:rPr>
                <w:rFonts w:ascii="Verdana" w:hAnsi="Verdana"/>
                <w:sz w:val="18"/>
                <w:szCs w:val="18"/>
              </w:rPr>
              <w:t xml:space="preserve">Omdat de additionele middelen voor Invest </w:t>
            </w:r>
            <w:proofErr w:type="gramStart"/>
            <w:r w:rsidRPr="00612582">
              <w:rPr>
                <w:rFonts w:ascii="Verdana" w:hAnsi="Verdana"/>
                <w:sz w:val="18"/>
                <w:szCs w:val="18"/>
              </w:rPr>
              <w:t>International  in</w:t>
            </w:r>
            <w:proofErr w:type="gramEnd"/>
            <w:r w:rsidRPr="00612582">
              <w:rPr>
                <w:rFonts w:ascii="Verdana" w:hAnsi="Verdana"/>
                <w:sz w:val="18"/>
                <w:szCs w:val="18"/>
              </w:rPr>
              <w:t xml:space="preserve"> 2026 en 2027 uit het gereserveerde kernkapitaal van Invest-NL komen betekent dit vooralsnog dat Invest-NL in 2028 en 2029 deze middelen niet kan investeren in lijn met haar doelstelling: bijdragen aan het financieren en realiseren van maatschappelijke transitieopgaven door ondernemingen en aan het bieden van toegang tot ondernemingsfinanciering. Deze middelen zijn echter nog niet gecommitteerd, dus er gaan geen investeringen verloren. Separaat wordt bekeken of op een later moment additionele middelen beschikbaar komen voor de beleidsdoelen waar Invest-NL uitvoering aan geeft.</w:t>
            </w:r>
            <w:r w:rsidR="003C6972">
              <w:rPr>
                <w:rFonts w:ascii="Verdana" w:hAnsi="Verdana"/>
                <w:sz w:val="18"/>
                <w:szCs w:val="18"/>
              </w:rPr>
              <w:t xml:space="preserve"> Deze herallocatie zorgt er zo voor dat </w:t>
            </w:r>
            <w:r w:rsidRPr="0088787D" w:rsidR="003C6972">
              <w:rPr>
                <w:rFonts w:ascii="Verdana" w:hAnsi="Verdana"/>
                <w:sz w:val="18"/>
                <w:szCs w:val="18"/>
              </w:rPr>
              <w:t xml:space="preserve">buitenlandse activiteiten die een bijdrage aan de Nederlandse economie leveren </w:t>
            </w:r>
            <w:r w:rsidR="003C6972">
              <w:rPr>
                <w:rFonts w:ascii="Verdana" w:hAnsi="Verdana"/>
                <w:sz w:val="18"/>
                <w:szCs w:val="18"/>
              </w:rPr>
              <w:t xml:space="preserve">ook in 2026 en 2027 gefinancierd kunnen blijven worden. </w:t>
            </w:r>
            <w:r w:rsidRPr="00094405" w:rsidR="003C6972">
              <w:t xml:space="preserve">  </w:t>
            </w:r>
          </w:p>
        </w:tc>
      </w:tr>
      <w:tr w:rsidR="00E06604" w:rsidTr="000945EA" w14:paraId="0E7259B8" w14:textId="77777777">
        <w:tc>
          <w:tcPr>
            <w:tcW w:w="1980" w:type="dxa"/>
          </w:tcPr>
          <w:p w:rsidR="00E06604" w:rsidP="000945EA" w:rsidRDefault="00E06604" w14:paraId="73FD3F41" w14:textId="77777777">
            <w:r>
              <w:rPr>
                <w:b/>
              </w:rPr>
              <w:lastRenderedPageBreak/>
              <w:t>Nagestreefde doelmatigheid</w:t>
            </w:r>
          </w:p>
        </w:tc>
        <w:tc>
          <w:tcPr>
            <w:tcW w:w="5670" w:type="dxa"/>
          </w:tcPr>
          <w:p w:rsidR="00612582" w:rsidP="00612582" w:rsidRDefault="00612582" w14:paraId="557088C3" w14:textId="77777777">
            <w:pPr>
              <w:pStyle w:val="Normaalweb"/>
              <w:rPr>
                <w:rFonts w:ascii="Verdana" w:hAnsi="Verdana"/>
                <w:i/>
                <w:iCs/>
                <w:sz w:val="18"/>
                <w:szCs w:val="18"/>
              </w:rPr>
            </w:pPr>
            <w:r w:rsidRPr="00715168">
              <w:rPr>
                <w:rFonts w:ascii="Verdana" w:hAnsi="Verdana"/>
                <w:i/>
                <w:iCs/>
                <w:sz w:val="18"/>
                <w:szCs w:val="18"/>
              </w:rPr>
              <w:t xml:space="preserve">Tussentijdse evaluatie Alvarez en </w:t>
            </w:r>
            <w:proofErr w:type="spellStart"/>
            <w:r w:rsidRPr="00715168">
              <w:rPr>
                <w:rFonts w:ascii="Verdana" w:hAnsi="Verdana"/>
                <w:i/>
                <w:iCs/>
                <w:sz w:val="18"/>
                <w:szCs w:val="18"/>
              </w:rPr>
              <w:t>Marsall</w:t>
            </w:r>
            <w:proofErr w:type="spellEnd"/>
            <w:r w:rsidRPr="00715168">
              <w:rPr>
                <w:rFonts w:ascii="Verdana" w:hAnsi="Verdana"/>
                <w:i/>
                <w:iCs/>
                <w:sz w:val="18"/>
                <w:szCs w:val="18"/>
              </w:rPr>
              <w:t>:</w:t>
            </w:r>
          </w:p>
          <w:p w:rsidR="00612582" w:rsidP="00D74ABB" w:rsidRDefault="00612582" w14:paraId="593B8D43" w14:textId="77777777">
            <w:pPr>
              <w:pStyle w:val="Lijstalinea"/>
              <w:numPr>
                <w:ilvl w:val="0"/>
                <w:numId w:val="11"/>
              </w:numPr>
              <w:spacing w:after="0" w:line="240" w:lineRule="auto"/>
              <w:ind w:left="720"/>
              <w:rPr>
                <w:rFonts w:ascii="Verdana" w:hAnsi="Verdana"/>
                <w:sz w:val="18"/>
                <w:szCs w:val="18"/>
              </w:rPr>
            </w:pPr>
            <w:r w:rsidRPr="00332269">
              <w:rPr>
                <w:rFonts w:ascii="Verdana" w:hAnsi="Verdana"/>
                <w:sz w:val="18"/>
                <w:szCs w:val="18"/>
              </w:rPr>
              <w:t xml:space="preserve">Uit de evaluatie van Alvarez en </w:t>
            </w:r>
            <w:proofErr w:type="spellStart"/>
            <w:r w:rsidRPr="00332269">
              <w:rPr>
                <w:rFonts w:ascii="Verdana" w:hAnsi="Verdana"/>
                <w:sz w:val="18"/>
                <w:szCs w:val="18"/>
              </w:rPr>
              <w:t>Marsal</w:t>
            </w:r>
            <w:proofErr w:type="spellEnd"/>
            <w:r w:rsidRPr="00D74ABB">
              <w:footnoteReference w:id="5"/>
            </w:r>
            <w:r w:rsidRPr="00332269">
              <w:rPr>
                <w:rFonts w:ascii="Verdana" w:hAnsi="Verdana"/>
                <w:sz w:val="18"/>
                <w:szCs w:val="18"/>
              </w:rPr>
              <w:t xml:space="preserve"> volgt dat er vanuit het Nederlandse bedrijfsleven een additionele vraag aan financiering is en dat Invest International in korte tijd een volwassen organisatie heeft neergezet op commercieel gebied en op het gebied van risicobeoordeling. </w:t>
            </w:r>
          </w:p>
          <w:p w:rsidRPr="00332269" w:rsidR="00D74ABB" w:rsidP="00D74ABB" w:rsidRDefault="00D74ABB" w14:paraId="5CA716CF" w14:textId="77777777">
            <w:pPr>
              <w:pStyle w:val="Lijstalinea"/>
              <w:spacing w:after="0" w:line="240" w:lineRule="auto"/>
              <w:rPr>
                <w:rFonts w:ascii="Verdana" w:hAnsi="Verdana"/>
                <w:sz w:val="18"/>
                <w:szCs w:val="18"/>
              </w:rPr>
            </w:pPr>
          </w:p>
          <w:p w:rsidRPr="00715168" w:rsidR="00612582" w:rsidP="00612582" w:rsidRDefault="00612582" w14:paraId="1122EA61" w14:textId="77777777">
            <w:pPr>
              <w:pStyle w:val="Normaalweb"/>
              <w:rPr>
                <w:rFonts w:ascii="Verdana" w:hAnsi="Verdana"/>
                <w:i/>
                <w:iCs/>
                <w:sz w:val="18"/>
                <w:szCs w:val="18"/>
              </w:rPr>
            </w:pPr>
            <w:r w:rsidRPr="00715168">
              <w:rPr>
                <w:rFonts w:ascii="Verdana" w:hAnsi="Verdana"/>
                <w:i/>
                <w:iCs/>
                <w:sz w:val="18"/>
                <w:szCs w:val="18"/>
              </w:rPr>
              <w:t>Om doelmatig te opereren, hanteert Invest International de volgende aanpak:</w:t>
            </w:r>
          </w:p>
          <w:p w:rsidRPr="0032749A" w:rsidR="00612582" w:rsidP="00D74ABB" w:rsidRDefault="00612582" w14:paraId="0386434A" w14:textId="77777777">
            <w:pPr>
              <w:pStyle w:val="Lijstalinea"/>
              <w:numPr>
                <w:ilvl w:val="0"/>
                <w:numId w:val="11"/>
              </w:numPr>
              <w:spacing w:after="0" w:line="240" w:lineRule="auto"/>
              <w:ind w:left="720"/>
              <w:rPr>
                <w:rFonts w:ascii="Verdana" w:hAnsi="Verdana"/>
                <w:sz w:val="18"/>
                <w:szCs w:val="18"/>
              </w:rPr>
            </w:pPr>
            <w:r w:rsidRPr="0032749A">
              <w:rPr>
                <w:rFonts w:ascii="Verdana" w:hAnsi="Verdana"/>
                <w:sz w:val="18"/>
                <w:szCs w:val="18"/>
              </w:rPr>
              <w:t xml:space="preserve">Efficiënt inzetten van middelen door duidelijke criteria en procedures voor projectselectie en </w:t>
            </w:r>
            <w:r w:rsidRPr="0032749A">
              <w:rPr>
                <w:rFonts w:ascii="Verdana" w:hAnsi="Verdana"/>
                <w:sz w:val="18"/>
                <w:szCs w:val="18"/>
              </w:rPr>
              <w:lastRenderedPageBreak/>
              <w:t>financiering. Door alleen bedrijven te financieren met een businessmodel en (potentieel) positieve business case financiert de onderneming bedrijven die impact maken met een kansrijke toekomst.</w:t>
            </w:r>
          </w:p>
          <w:p w:rsidRPr="0032749A" w:rsidR="00612582" w:rsidP="00D74ABB" w:rsidRDefault="00612582" w14:paraId="50D01C43" w14:textId="77777777">
            <w:pPr>
              <w:pStyle w:val="Lijstalinea"/>
              <w:numPr>
                <w:ilvl w:val="0"/>
                <w:numId w:val="11"/>
              </w:numPr>
              <w:spacing w:after="0" w:line="240" w:lineRule="auto"/>
              <w:ind w:left="720"/>
              <w:rPr>
                <w:rFonts w:ascii="Verdana" w:hAnsi="Verdana"/>
                <w:sz w:val="18"/>
                <w:szCs w:val="18"/>
              </w:rPr>
            </w:pPr>
            <w:r w:rsidRPr="0032749A">
              <w:rPr>
                <w:rFonts w:ascii="Verdana" w:hAnsi="Verdana"/>
                <w:sz w:val="18"/>
                <w:szCs w:val="18"/>
              </w:rPr>
              <w:t>Samenwerken met andere financieringsinstellingen en partners om synergiën te benutten en overlap te voorkomen.</w:t>
            </w:r>
          </w:p>
          <w:p w:rsidR="00612582" w:rsidP="00D74ABB" w:rsidRDefault="00612582" w14:paraId="5AD920E3" w14:textId="77777777">
            <w:pPr>
              <w:pStyle w:val="Lijstalinea"/>
              <w:numPr>
                <w:ilvl w:val="0"/>
                <w:numId w:val="11"/>
              </w:numPr>
              <w:spacing w:after="0" w:line="240" w:lineRule="auto"/>
              <w:ind w:left="720"/>
              <w:rPr>
                <w:rFonts w:ascii="Verdana" w:hAnsi="Verdana"/>
                <w:sz w:val="18"/>
                <w:szCs w:val="18"/>
              </w:rPr>
            </w:pPr>
            <w:r w:rsidRPr="0032749A">
              <w:rPr>
                <w:rFonts w:ascii="Verdana" w:hAnsi="Verdana"/>
                <w:sz w:val="18"/>
                <w:szCs w:val="18"/>
              </w:rPr>
              <w:t>Continu verbeteren van interne processen en systemen om operationele kosten te minimaliseren en effectiviteit te verhogen.</w:t>
            </w:r>
          </w:p>
          <w:p w:rsidRPr="00D74ABB" w:rsidR="00D74ABB" w:rsidP="00D74ABB" w:rsidRDefault="00D74ABB" w14:paraId="56CF898B" w14:textId="77777777">
            <w:pPr>
              <w:pStyle w:val="Lijstalinea"/>
              <w:spacing w:after="0" w:line="240" w:lineRule="auto"/>
              <w:rPr>
                <w:rFonts w:ascii="Verdana" w:hAnsi="Verdana"/>
                <w:sz w:val="18"/>
                <w:szCs w:val="18"/>
              </w:rPr>
            </w:pPr>
          </w:p>
          <w:p w:rsidRPr="00612582" w:rsidR="00E06604" w:rsidP="00612582" w:rsidRDefault="00612582" w14:paraId="72DC749B" w14:textId="77777777">
            <w:pPr>
              <w:pStyle w:val="Normaalweb"/>
              <w:rPr>
                <w:rFonts w:ascii="Verdana" w:hAnsi="Verdana"/>
                <w:i/>
                <w:iCs/>
                <w:sz w:val="18"/>
                <w:szCs w:val="18"/>
              </w:rPr>
            </w:pPr>
            <w:r>
              <w:rPr>
                <w:rFonts w:ascii="Verdana" w:hAnsi="Verdana"/>
                <w:sz w:val="18"/>
                <w:szCs w:val="18"/>
              </w:rPr>
              <w:t>Het</w:t>
            </w:r>
            <w:r w:rsidRPr="0032749A">
              <w:rPr>
                <w:rFonts w:ascii="Verdana" w:hAnsi="Verdana"/>
                <w:sz w:val="18"/>
                <w:szCs w:val="18"/>
              </w:rPr>
              <w:t xml:space="preserve"> portfolio moet op de lange termijn </w:t>
            </w:r>
            <w:proofErr w:type="spellStart"/>
            <w:r w:rsidRPr="0032749A">
              <w:rPr>
                <w:rFonts w:ascii="Verdana" w:hAnsi="Verdana"/>
                <w:sz w:val="18"/>
                <w:szCs w:val="18"/>
              </w:rPr>
              <w:t>revolverend</w:t>
            </w:r>
            <w:proofErr w:type="spellEnd"/>
            <w:r w:rsidRPr="0032749A">
              <w:rPr>
                <w:rFonts w:ascii="Verdana" w:hAnsi="Verdana"/>
                <w:sz w:val="18"/>
                <w:szCs w:val="18"/>
              </w:rPr>
              <w:t xml:space="preserve"> zijn, zodat de onderneming zichzelf financieel in stand kan houden en er geen structurele bijdrage nodig is voor de continuïteit. De staat heeft met Invest International afgesproken dat de organisatie een positief rendement moet behalen</w:t>
            </w:r>
            <w:r>
              <w:rPr>
                <w:rFonts w:ascii="Verdana" w:hAnsi="Verdana"/>
                <w:sz w:val="18"/>
                <w:szCs w:val="18"/>
              </w:rPr>
              <w:t xml:space="preserve">. Dit heeft </w:t>
            </w:r>
            <w:r w:rsidRPr="0032749A">
              <w:rPr>
                <w:rFonts w:ascii="Verdana" w:hAnsi="Verdana"/>
                <w:sz w:val="18"/>
                <w:szCs w:val="18"/>
              </w:rPr>
              <w:t xml:space="preserve">Invest International </w:t>
            </w:r>
            <w:r>
              <w:rPr>
                <w:rFonts w:ascii="Verdana" w:hAnsi="Verdana"/>
                <w:sz w:val="18"/>
                <w:szCs w:val="18"/>
              </w:rPr>
              <w:t>al sinds 2023, eerder dan begroot</w:t>
            </w:r>
            <w:r w:rsidRPr="0032749A">
              <w:rPr>
                <w:rFonts w:ascii="Verdana" w:hAnsi="Verdana"/>
                <w:sz w:val="18"/>
                <w:szCs w:val="18"/>
              </w:rPr>
              <w:t>.</w:t>
            </w:r>
          </w:p>
        </w:tc>
      </w:tr>
      <w:tr w:rsidR="00E06604" w:rsidTr="000945EA" w14:paraId="7017F6AC" w14:textId="77777777">
        <w:tc>
          <w:tcPr>
            <w:tcW w:w="1980" w:type="dxa"/>
          </w:tcPr>
          <w:p w:rsidR="00E06604" w:rsidP="000945EA" w:rsidRDefault="00E06604" w14:paraId="53E8A19D" w14:textId="77777777">
            <w:r>
              <w:rPr>
                <w:b/>
              </w:rPr>
              <w:lastRenderedPageBreak/>
              <w:t>Evaluatie-paragraaf</w:t>
            </w:r>
          </w:p>
        </w:tc>
        <w:tc>
          <w:tcPr>
            <w:tcW w:w="5670" w:type="dxa"/>
          </w:tcPr>
          <w:p w:rsidRPr="009A711D" w:rsidR="00D74ABB" w:rsidP="00612582" w:rsidRDefault="00612582" w14:paraId="1E8CDF9A" w14:textId="77777777">
            <w:pPr>
              <w:pStyle w:val="Normaalweb"/>
              <w:spacing w:after="0" w:afterAutospacing="0"/>
              <w:rPr>
                <w:rFonts w:ascii="Verdana" w:hAnsi="Verdana"/>
                <w:i/>
                <w:iCs/>
                <w:sz w:val="18"/>
                <w:szCs w:val="18"/>
              </w:rPr>
            </w:pPr>
            <w:r w:rsidRPr="009A711D">
              <w:rPr>
                <w:rFonts w:ascii="Verdana" w:hAnsi="Verdana"/>
                <w:i/>
                <w:iCs/>
                <w:sz w:val="18"/>
                <w:szCs w:val="18"/>
              </w:rPr>
              <w:t>Toekomstige evaluaties van Invest International</w:t>
            </w:r>
          </w:p>
          <w:p w:rsidRPr="0032749A" w:rsidR="00612582" w:rsidP="00D74ABB" w:rsidRDefault="00612582" w14:paraId="1D6AC913" w14:textId="77777777">
            <w:pPr>
              <w:pStyle w:val="Lijstalinea"/>
              <w:numPr>
                <w:ilvl w:val="0"/>
                <w:numId w:val="11"/>
              </w:numPr>
              <w:spacing w:after="0" w:line="240" w:lineRule="auto"/>
              <w:ind w:left="720"/>
              <w:rPr>
                <w:rFonts w:ascii="Verdana" w:hAnsi="Verdana"/>
                <w:sz w:val="18"/>
                <w:szCs w:val="18"/>
              </w:rPr>
            </w:pPr>
            <w:r w:rsidRPr="0032749A">
              <w:rPr>
                <w:rFonts w:ascii="Verdana" w:hAnsi="Verdana"/>
                <w:sz w:val="18"/>
                <w:szCs w:val="18"/>
              </w:rPr>
              <w:t>Vanaf 2021 vindt elke 7 jaar een evaluatie plaats, waarin doeltreffendheid, doelmatigheid en de effecten van de wet in de praktijk worden beoordeeld</w:t>
            </w:r>
            <w:r w:rsidRPr="0032749A" w:rsidDel="001C703E">
              <w:rPr>
                <w:rFonts w:ascii="Verdana" w:hAnsi="Verdana"/>
                <w:sz w:val="18"/>
                <w:szCs w:val="18"/>
              </w:rPr>
              <w:t xml:space="preserve"> </w:t>
            </w:r>
          </w:p>
          <w:p w:rsidRPr="0032749A" w:rsidR="00612582" w:rsidP="00D74ABB" w:rsidRDefault="00612582" w14:paraId="24B0A53C" w14:textId="77777777">
            <w:pPr>
              <w:pStyle w:val="Lijstalinea"/>
              <w:numPr>
                <w:ilvl w:val="0"/>
                <w:numId w:val="11"/>
              </w:numPr>
              <w:spacing w:after="0" w:line="240" w:lineRule="auto"/>
              <w:ind w:left="720"/>
              <w:rPr>
                <w:rFonts w:ascii="Verdana" w:hAnsi="Verdana"/>
                <w:sz w:val="18"/>
                <w:szCs w:val="18"/>
              </w:rPr>
            </w:pPr>
            <w:r w:rsidRPr="0032749A">
              <w:rPr>
                <w:rFonts w:ascii="Verdana" w:hAnsi="Verdana"/>
                <w:sz w:val="18"/>
                <w:szCs w:val="18"/>
              </w:rPr>
              <w:t xml:space="preserve">Het verantwoordelijke beleidsministerie van Buitenlandse Zaken (BZ) treedt onder andere op kwartaalbasis in overleg met Invest International waarbij BZ onder andere de doeltreffendheid van de onderneming monitort. </w:t>
            </w:r>
          </w:p>
          <w:p w:rsidR="00612582" w:rsidP="00D74ABB" w:rsidRDefault="00612582" w14:paraId="27BFC5A4" w14:textId="77777777">
            <w:pPr>
              <w:pStyle w:val="Lijstalinea"/>
              <w:numPr>
                <w:ilvl w:val="0"/>
                <w:numId w:val="11"/>
              </w:numPr>
              <w:spacing w:after="0" w:line="240" w:lineRule="auto"/>
              <w:ind w:left="720"/>
              <w:rPr>
                <w:rFonts w:ascii="Verdana" w:hAnsi="Verdana"/>
                <w:sz w:val="18"/>
                <w:szCs w:val="18"/>
              </w:rPr>
            </w:pPr>
            <w:r w:rsidRPr="0032749A">
              <w:rPr>
                <w:rFonts w:ascii="Verdana" w:hAnsi="Verdana"/>
                <w:sz w:val="18"/>
                <w:szCs w:val="18"/>
              </w:rPr>
              <w:t xml:space="preserve">Het Ministerie van Financiën voert als aandeelhouder onder andere elk kwartaal </w:t>
            </w:r>
            <w:proofErr w:type="spellStart"/>
            <w:r w:rsidRPr="0032749A">
              <w:rPr>
                <w:rFonts w:ascii="Verdana" w:hAnsi="Verdana"/>
                <w:sz w:val="18"/>
                <w:szCs w:val="18"/>
              </w:rPr>
              <w:t>aandeelhoudersoverleggen</w:t>
            </w:r>
            <w:proofErr w:type="spellEnd"/>
            <w:r w:rsidRPr="0032749A">
              <w:rPr>
                <w:rFonts w:ascii="Verdana" w:hAnsi="Verdana"/>
                <w:sz w:val="18"/>
                <w:szCs w:val="18"/>
              </w:rPr>
              <w:t xml:space="preserve"> met de raad van bestuur van Invest International en halfjaarlijks met de raad van commissarissen. Hier ligt de focus meer op de financiële prestaties van de onderneming en goed bestuur. </w:t>
            </w:r>
          </w:p>
          <w:p w:rsidR="00D74ABB" w:rsidP="00D74ABB" w:rsidRDefault="00D74ABB" w14:paraId="030DEC10" w14:textId="77777777">
            <w:pPr>
              <w:pStyle w:val="Lijstalinea"/>
              <w:numPr>
                <w:ilvl w:val="0"/>
                <w:numId w:val="11"/>
              </w:numPr>
              <w:spacing w:after="0" w:line="240" w:lineRule="auto"/>
              <w:ind w:left="720"/>
              <w:rPr>
                <w:rFonts w:ascii="Verdana" w:hAnsi="Verdana"/>
                <w:sz w:val="18"/>
                <w:szCs w:val="18"/>
              </w:rPr>
            </w:pPr>
          </w:p>
          <w:p w:rsidRPr="00612582" w:rsidR="00E06604" w:rsidP="00612582" w:rsidRDefault="00612582" w14:paraId="4825E03A" w14:textId="77777777">
            <w:pPr>
              <w:pStyle w:val="Normaalweb"/>
              <w:spacing w:after="0" w:afterAutospacing="0"/>
              <w:rPr>
                <w:rFonts w:ascii="Verdana" w:hAnsi="Verdana"/>
                <w:i/>
                <w:iCs/>
                <w:sz w:val="18"/>
                <w:szCs w:val="18"/>
              </w:rPr>
            </w:pPr>
            <w:r>
              <w:rPr>
                <w:rFonts w:ascii="Verdana" w:hAnsi="Verdana"/>
                <w:sz w:val="18"/>
                <w:szCs w:val="18"/>
              </w:rPr>
              <w:t>Terugkijkend hebben zoals hierboven beschreven al twee deel-evaluaties plaatsgevonden over de doeltreffendheid en de volwassenheid van de organisatie.</w:t>
            </w:r>
          </w:p>
        </w:tc>
      </w:tr>
    </w:tbl>
    <w:p w:rsidR="00E06604" w:rsidP="00E06604" w:rsidRDefault="00E06604" w14:paraId="625F210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06604" w:rsidTr="000945EA" w14:paraId="4EB3ED08" w14:textId="77777777">
        <w:tc>
          <w:tcPr>
            <w:tcW w:w="3592" w:type="dxa"/>
          </w:tcPr>
          <w:p w:rsidR="00E06604" w:rsidP="000945EA" w:rsidRDefault="00E06604" w14:paraId="76826C18" w14:textId="77777777">
            <w:pPr>
              <w:spacing w:line="240" w:lineRule="auto"/>
            </w:pPr>
          </w:p>
        </w:tc>
        <w:tc>
          <w:tcPr>
            <w:tcW w:w="3892" w:type="dxa"/>
          </w:tcPr>
          <w:p w:rsidR="00E06604" w:rsidP="000945EA" w:rsidRDefault="00E06604" w14:paraId="0479C62A" w14:textId="77777777"/>
        </w:tc>
      </w:tr>
    </w:tbl>
    <w:p w:rsidR="00E06604" w:rsidP="00E06604" w:rsidRDefault="00E06604" w14:paraId="67993973" w14:textId="77777777">
      <w:pPr>
        <w:pStyle w:val="WitregelW1bodytekst"/>
      </w:pPr>
    </w:p>
    <w:p w:rsidR="00E06604" w:rsidP="00E06604" w:rsidRDefault="00E06604" w14:paraId="7C3DE00B" w14:textId="77777777">
      <w:pPr>
        <w:pStyle w:val="Verdana7"/>
      </w:pPr>
    </w:p>
    <w:p w:rsidR="00E06604" w:rsidRDefault="00E06604" w14:paraId="6CC8FC15" w14:textId="77777777"/>
    <w:sectPr w:rsidR="00E06604">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E1A6" w14:textId="77777777" w:rsidR="00E06604" w:rsidRDefault="00E06604">
      <w:pPr>
        <w:spacing w:line="240" w:lineRule="auto"/>
      </w:pPr>
      <w:r>
        <w:separator/>
      </w:r>
    </w:p>
  </w:endnote>
  <w:endnote w:type="continuationSeparator" w:id="0">
    <w:p w14:paraId="572CBC53" w14:textId="77777777" w:rsidR="00E06604" w:rsidRDefault="00E06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E5F3" w14:textId="77777777" w:rsidR="00E06604" w:rsidRDefault="00E06604">
      <w:pPr>
        <w:spacing w:line="240" w:lineRule="auto"/>
      </w:pPr>
      <w:r>
        <w:separator/>
      </w:r>
    </w:p>
  </w:footnote>
  <w:footnote w:type="continuationSeparator" w:id="0">
    <w:p w14:paraId="34EB86DB" w14:textId="77777777" w:rsidR="00E06604" w:rsidRDefault="00E06604">
      <w:pPr>
        <w:spacing w:line="240" w:lineRule="auto"/>
      </w:pPr>
      <w:r>
        <w:continuationSeparator/>
      </w:r>
    </w:p>
  </w:footnote>
  <w:footnote w:id="1">
    <w:p w14:paraId="625C5F5F" w14:textId="77777777" w:rsidR="00612582" w:rsidRDefault="00612582" w:rsidP="00612582">
      <w:pPr>
        <w:pStyle w:val="Voetnoottekst"/>
      </w:pPr>
      <w:r>
        <w:rPr>
          <w:rStyle w:val="Voetnootmarkering"/>
        </w:rPr>
        <w:footnoteRef/>
      </w:r>
      <w:r>
        <w:t xml:space="preserve"> </w:t>
      </w:r>
      <w:r w:rsidRPr="00F52AA7">
        <w:t>Kamerstukken II, 2024-2025, 35123 nr. 44</w:t>
      </w:r>
    </w:p>
  </w:footnote>
  <w:footnote w:id="2">
    <w:p w14:paraId="0CC399F4" w14:textId="77777777" w:rsidR="006F6010" w:rsidRDefault="006F6010">
      <w:pPr>
        <w:pStyle w:val="Voetnoottekst"/>
      </w:pPr>
      <w:r>
        <w:rPr>
          <w:rStyle w:val="Voetnootmarkering"/>
        </w:rPr>
        <w:footnoteRef/>
      </w:r>
      <w:r>
        <w:t xml:space="preserve"> Kamerstukken II 2021/22, 31865, nr. 198.</w:t>
      </w:r>
    </w:p>
  </w:footnote>
  <w:footnote w:id="3">
    <w:p w14:paraId="46F5E255" w14:textId="77777777" w:rsidR="00612582" w:rsidRPr="00435AB5" w:rsidRDefault="00612582" w:rsidP="00612582">
      <w:pPr>
        <w:pStyle w:val="Voetnoottekst"/>
      </w:pPr>
      <w:r w:rsidRPr="00435AB5">
        <w:rPr>
          <w:rStyle w:val="Voetnootmarkering"/>
        </w:rPr>
        <w:footnoteRef/>
      </w:r>
      <w:r w:rsidRPr="00435AB5">
        <w:t xml:space="preserve"> Kamerstukken II, 2024-2025, 35123 nr. 44</w:t>
      </w:r>
    </w:p>
  </w:footnote>
  <w:footnote w:id="4">
    <w:p w14:paraId="61F8B5A9" w14:textId="77777777" w:rsidR="00612582" w:rsidRPr="00435AB5" w:rsidRDefault="00612582" w:rsidP="00612582">
      <w:pPr>
        <w:pStyle w:val="Voetnoottekst"/>
      </w:pPr>
      <w:r w:rsidRPr="00435AB5">
        <w:rPr>
          <w:rStyle w:val="Voetnootmarkering"/>
        </w:rPr>
        <w:footnoteRef/>
      </w:r>
      <w:r w:rsidRPr="00435AB5">
        <w:t xml:space="preserve"> Kamerstukken II 2023-2024, 35 529, 24</w:t>
      </w:r>
    </w:p>
  </w:footnote>
  <w:footnote w:id="5">
    <w:p w14:paraId="1D5E0BFC" w14:textId="77777777" w:rsidR="00612582" w:rsidRDefault="00612582" w:rsidP="00612582">
      <w:pPr>
        <w:pStyle w:val="Voetnoottekst"/>
      </w:pPr>
      <w:r w:rsidRPr="00435AB5">
        <w:rPr>
          <w:rStyle w:val="Voetnootmarkering"/>
        </w:rPr>
        <w:footnoteRef/>
      </w:r>
      <w:r w:rsidRPr="00435AB5">
        <w:t xml:space="preserve"> Kamerstukken II 2024-2025, 35 529,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E0F0" w14:textId="77777777" w:rsidR="0057410F" w:rsidRDefault="00E06604">
    <w:r>
      <w:rPr>
        <w:noProof/>
      </w:rPr>
      <mc:AlternateContent>
        <mc:Choice Requires="wps">
          <w:drawing>
            <wp:anchor distT="0" distB="0" distL="0" distR="0" simplePos="0" relativeHeight="251652096" behindDoc="0" locked="1" layoutInCell="1" allowOverlap="1" wp14:anchorId="776EE12A" wp14:editId="73C0FC3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6D1C94" w14:textId="77777777" w:rsidR="0057410F" w:rsidRDefault="00E06604">
                          <w:pPr>
                            <w:pStyle w:val="StandaardReferentiegegevensKop"/>
                          </w:pPr>
                          <w:r>
                            <w:t>Directie Financieel-Economische Zaken</w:t>
                          </w:r>
                        </w:p>
                        <w:p w14:paraId="13EE2346" w14:textId="77777777" w:rsidR="0057410F" w:rsidRDefault="0057410F">
                          <w:pPr>
                            <w:pStyle w:val="WitregelW1"/>
                          </w:pPr>
                        </w:p>
                        <w:p w14:paraId="31CBEF2D" w14:textId="77777777" w:rsidR="0057410F" w:rsidRDefault="00E06604">
                          <w:pPr>
                            <w:pStyle w:val="StandaardReferentiegegevensKop"/>
                          </w:pPr>
                          <w:r>
                            <w:t>Ons kenmerk</w:t>
                          </w:r>
                        </w:p>
                        <w:p w14:paraId="77A35468" w14:textId="29491C29" w:rsidR="004827EE" w:rsidRDefault="0042686D">
                          <w:pPr>
                            <w:pStyle w:val="StandaardReferentiegegevens"/>
                          </w:pPr>
                          <w:r>
                            <w:fldChar w:fldCharType="begin"/>
                          </w:r>
                          <w:r>
                            <w:instrText xml:space="preserve"> DOCPROPERTY  "Kenmerk"  \* MERGEFORMAT </w:instrText>
                          </w:r>
                          <w:r>
                            <w:fldChar w:fldCharType="separate"/>
                          </w:r>
                          <w:r>
                            <w:t>2025-0000204278</w:t>
                          </w:r>
                          <w:r>
                            <w:fldChar w:fldCharType="end"/>
                          </w:r>
                        </w:p>
                      </w:txbxContent>
                    </wps:txbx>
                    <wps:bodyPr vert="horz" wrap="square" lIns="0" tIns="0" rIns="0" bIns="0" anchor="t" anchorCtr="0"/>
                  </wps:wsp>
                </a:graphicData>
              </a:graphic>
            </wp:anchor>
          </w:drawing>
        </mc:Choice>
        <mc:Fallback>
          <w:pict>
            <v:shapetype w14:anchorId="776EE12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B6D1C94" w14:textId="77777777" w:rsidR="0057410F" w:rsidRDefault="00E06604">
                    <w:pPr>
                      <w:pStyle w:val="StandaardReferentiegegevensKop"/>
                    </w:pPr>
                    <w:r>
                      <w:t>Directie Financieel-Economische Zaken</w:t>
                    </w:r>
                  </w:p>
                  <w:p w14:paraId="13EE2346" w14:textId="77777777" w:rsidR="0057410F" w:rsidRDefault="0057410F">
                    <w:pPr>
                      <w:pStyle w:val="WitregelW1"/>
                    </w:pPr>
                  </w:p>
                  <w:p w14:paraId="31CBEF2D" w14:textId="77777777" w:rsidR="0057410F" w:rsidRDefault="00E06604">
                    <w:pPr>
                      <w:pStyle w:val="StandaardReferentiegegevensKop"/>
                    </w:pPr>
                    <w:r>
                      <w:t>Ons kenmerk</w:t>
                    </w:r>
                  </w:p>
                  <w:p w14:paraId="77A35468" w14:textId="29491C29" w:rsidR="004827EE" w:rsidRDefault="0042686D">
                    <w:pPr>
                      <w:pStyle w:val="StandaardReferentiegegevens"/>
                    </w:pPr>
                    <w:r>
                      <w:fldChar w:fldCharType="begin"/>
                    </w:r>
                    <w:r>
                      <w:instrText xml:space="preserve"> DOCPROPERTY  "Kenmerk"  \* MERGEFORMAT </w:instrText>
                    </w:r>
                    <w:r>
                      <w:fldChar w:fldCharType="separate"/>
                    </w:r>
                    <w:r>
                      <w:t>2025-0000204278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99DD9E" wp14:editId="22D7E36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07866F3" w14:textId="77777777" w:rsidR="004827EE" w:rsidRDefault="0042686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D99DD9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07866F3" w14:textId="77777777" w:rsidR="004827EE" w:rsidRDefault="0042686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F3C64B9" wp14:editId="5AF0F9C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86C347F" w14:textId="07A5E4B3" w:rsidR="004827EE" w:rsidRDefault="0042686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F3C64B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86C347F" w14:textId="07A5E4B3" w:rsidR="004827EE" w:rsidRDefault="0042686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969E" w14:textId="77777777" w:rsidR="0057410F" w:rsidRDefault="00E06604">
    <w:pPr>
      <w:spacing w:after="7029" w:line="14" w:lineRule="exact"/>
    </w:pPr>
    <w:r>
      <w:rPr>
        <w:noProof/>
      </w:rPr>
      <mc:AlternateContent>
        <mc:Choice Requires="wps">
          <w:drawing>
            <wp:anchor distT="0" distB="0" distL="0" distR="0" simplePos="0" relativeHeight="251655168" behindDoc="0" locked="1" layoutInCell="1" allowOverlap="1" wp14:anchorId="69AB28B3" wp14:editId="664539F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66CFFB7" w14:textId="77777777" w:rsidR="0057410F" w:rsidRDefault="00E06604">
                          <w:pPr>
                            <w:spacing w:line="240" w:lineRule="auto"/>
                          </w:pPr>
                          <w:r>
                            <w:rPr>
                              <w:noProof/>
                            </w:rPr>
                            <w:drawing>
                              <wp:inline distT="0" distB="0" distL="0" distR="0" wp14:anchorId="00E045E4" wp14:editId="36E5E07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9AB28B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66CFFB7" w14:textId="77777777" w:rsidR="0057410F" w:rsidRDefault="00E06604">
                    <w:pPr>
                      <w:spacing w:line="240" w:lineRule="auto"/>
                    </w:pPr>
                    <w:r>
                      <w:rPr>
                        <w:noProof/>
                      </w:rPr>
                      <w:drawing>
                        <wp:inline distT="0" distB="0" distL="0" distR="0" wp14:anchorId="00E045E4" wp14:editId="36E5E07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8CD7188" wp14:editId="4C8915B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9CA4B88" w14:textId="77777777" w:rsidR="00E06604" w:rsidRDefault="00E06604"/>
                      </w:txbxContent>
                    </wps:txbx>
                    <wps:bodyPr vert="horz" wrap="square" lIns="0" tIns="0" rIns="0" bIns="0" anchor="t" anchorCtr="0"/>
                  </wps:wsp>
                </a:graphicData>
              </a:graphic>
            </wp:anchor>
          </w:drawing>
        </mc:Choice>
        <mc:Fallback>
          <w:pict>
            <v:shape w14:anchorId="08CD718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9CA4B88" w14:textId="77777777" w:rsidR="00E06604" w:rsidRDefault="00E0660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21401B9" wp14:editId="1492FF0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235BF0A" w14:textId="77777777" w:rsidR="0057410F" w:rsidRDefault="00E06604">
                          <w:pPr>
                            <w:pStyle w:val="StandaardReferentiegegevensKop"/>
                          </w:pPr>
                          <w:r>
                            <w:t>Directie Financieel-Economische Zaken</w:t>
                          </w:r>
                        </w:p>
                        <w:p w14:paraId="62EE8A31" w14:textId="77777777" w:rsidR="0057410F" w:rsidRDefault="0057410F">
                          <w:pPr>
                            <w:pStyle w:val="WitregelW1"/>
                          </w:pPr>
                        </w:p>
                        <w:p w14:paraId="74387668" w14:textId="77777777" w:rsidR="0057410F" w:rsidRDefault="00E06604">
                          <w:pPr>
                            <w:pStyle w:val="StandaardReferentiegegevens"/>
                          </w:pPr>
                          <w:r>
                            <w:t>Korte Voorhout 7</w:t>
                          </w:r>
                        </w:p>
                        <w:p w14:paraId="3523673F" w14:textId="77777777" w:rsidR="0057410F" w:rsidRDefault="00E06604">
                          <w:pPr>
                            <w:pStyle w:val="StandaardReferentiegegevens"/>
                          </w:pPr>
                          <w:r>
                            <w:t>2511 CW  'S-GRAVENHAGE</w:t>
                          </w:r>
                        </w:p>
                        <w:p w14:paraId="2A3CB248" w14:textId="77777777" w:rsidR="0057410F" w:rsidRDefault="00E06604">
                          <w:pPr>
                            <w:pStyle w:val="StandaardReferentiegegevens"/>
                          </w:pPr>
                          <w:r>
                            <w:t>POSTBUS 20201</w:t>
                          </w:r>
                        </w:p>
                        <w:p w14:paraId="75903830" w14:textId="77777777" w:rsidR="0057410F" w:rsidRDefault="00E06604">
                          <w:pPr>
                            <w:pStyle w:val="StandaardReferentiegegevens"/>
                          </w:pPr>
                          <w:r>
                            <w:t>2500 EE  'S-GRAVENHAGE</w:t>
                          </w:r>
                        </w:p>
                        <w:p w14:paraId="38C886F1" w14:textId="77777777" w:rsidR="0057410F" w:rsidRDefault="00E06604">
                          <w:pPr>
                            <w:pStyle w:val="StandaardReferentiegegevens"/>
                          </w:pPr>
                          <w:proofErr w:type="gramStart"/>
                          <w:r>
                            <w:t>www.rijksoverheid.nl/fin</w:t>
                          </w:r>
                          <w:proofErr w:type="gramEnd"/>
                        </w:p>
                        <w:p w14:paraId="7FEDAEFA" w14:textId="77777777" w:rsidR="0057410F" w:rsidRDefault="0057410F">
                          <w:pPr>
                            <w:pStyle w:val="WitregelW2"/>
                          </w:pPr>
                        </w:p>
                        <w:p w14:paraId="5C5EAE72" w14:textId="77777777" w:rsidR="0057410F" w:rsidRDefault="00E06604">
                          <w:pPr>
                            <w:pStyle w:val="StandaardReferentiegegevensKop"/>
                          </w:pPr>
                          <w:r>
                            <w:t>Ons kenmerk</w:t>
                          </w:r>
                        </w:p>
                        <w:p w14:paraId="37572E8C" w14:textId="6FD3B76D" w:rsidR="004827EE" w:rsidRDefault="0042686D">
                          <w:pPr>
                            <w:pStyle w:val="StandaardReferentiegegevens"/>
                          </w:pPr>
                          <w:r>
                            <w:fldChar w:fldCharType="begin"/>
                          </w:r>
                          <w:r>
                            <w:instrText xml:space="preserve"> DOCPROPERTY  "Kenmerk"  \* MERGEFORMAT </w:instrText>
                          </w:r>
                          <w:r>
                            <w:fldChar w:fldCharType="separate"/>
                          </w:r>
                          <w:r>
                            <w:t>2025-0000204278</w:t>
                          </w:r>
                          <w:r>
                            <w:fldChar w:fldCharType="end"/>
                          </w:r>
                        </w:p>
                        <w:p w14:paraId="26A17040" w14:textId="77777777" w:rsidR="0057410F" w:rsidRDefault="0057410F">
                          <w:pPr>
                            <w:pStyle w:val="WitregelW1"/>
                          </w:pPr>
                        </w:p>
                        <w:p w14:paraId="1A5C145B" w14:textId="77777777" w:rsidR="0057410F" w:rsidRDefault="00E06604">
                          <w:pPr>
                            <w:pStyle w:val="StandaardReferentiegegevensKop"/>
                          </w:pPr>
                          <w:r>
                            <w:t>Uw brief (kenmerk)</w:t>
                          </w:r>
                        </w:p>
                        <w:p w14:paraId="59859703" w14:textId="70D61307" w:rsidR="004827EE" w:rsidRDefault="0042686D">
                          <w:pPr>
                            <w:pStyle w:val="StandaardReferentiegegevens"/>
                          </w:pPr>
                          <w:r>
                            <w:fldChar w:fldCharType="begin"/>
                          </w:r>
                          <w:r>
                            <w:instrText xml:space="preserve"> DOCPROPERTY  "UwKenmerk"  \* MERGEFORMAT </w:instrText>
                          </w:r>
                          <w:r>
                            <w:fldChar w:fldCharType="end"/>
                          </w:r>
                        </w:p>
                        <w:p w14:paraId="74FF3184" w14:textId="77777777" w:rsidR="0057410F" w:rsidRDefault="0057410F">
                          <w:pPr>
                            <w:pStyle w:val="WitregelW1"/>
                          </w:pPr>
                        </w:p>
                        <w:p w14:paraId="7D1B9693" w14:textId="77777777" w:rsidR="0057410F" w:rsidRDefault="00E06604">
                          <w:pPr>
                            <w:pStyle w:val="StandaardReferentiegegevensKop"/>
                          </w:pPr>
                          <w:r>
                            <w:t>Bijlagen</w:t>
                          </w:r>
                        </w:p>
                        <w:p w14:paraId="266C8EE6" w14:textId="77777777" w:rsidR="0057410F" w:rsidRDefault="00E06604">
                          <w:pPr>
                            <w:pStyle w:val="StandaardReferentiegegevens"/>
                          </w:pPr>
                          <w:r>
                            <w:t xml:space="preserve">1. CW3.1 kader </w:t>
                          </w:r>
                          <w:r w:rsidR="00D41659">
                            <w:t xml:space="preserve">herallocatie </w:t>
                          </w:r>
                          <w:r>
                            <w:t>Invest-NL</w:t>
                          </w:r>
                          <w:r w:rsidR="00D41659">
                            <w:t xml:space="preserve"> naar Invest-I</w:t>
                          </w:r>
                        </w:p>
                      </w:txbxContent>
                    </wps:txbx>
                    <wps:bodyPr vert="horz" wrap="square" lIns="0" tIns="0" rIns="0" bIns="0" anchor="t" anchorCtr="0"/>
                  </wps:wsp>
                </a:graphicData>
              </a:graphic>
            </wp:anchor>
          </w:drawing>
        </mc:Choice>
        <mc:Fallback>
          <w:pict>
            <v:shape w14:anchorId="421401B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235BF0A" w14:textId="77777777" w:rsidR="0057410F" w:rsidRDefault="00E06604">
                    <w:pPr>
                      <w:pStyle w:val="StandaardReferentiegegevensKop"/>
                    </w:pPr>
                    <w:r>
                      <w:t>Directie Financieel-Economische Zaken</w:t>
                    </w:r>
                  </w:p>
                  <w:p w14:paraId="62EE8A31" w14:textId="77777777" w:rsidR="0057410F" w:rsidRDefault="0057410F">
                    <w:pPr>
                      <w:pStyle w:val="WitregelW1"/>
                    </w:pPr>
                  </w:p>
                  <w:p w14:paraId="74387668" w14:textId="77777777" w:rsidR="0057410F" w:rsidRDefault="00E06604">
                    <w:pPr>
                      <w:pStyle w:val="StandaardReferentiegegevens"/>
                    </w:pPr>
                    <w:r>
                      <w:t>Korte Voorhout 7</w:t>
                    </w:r>
                  </w:p>
                  <w:p w14:paraId="3523673F" w14:textId="77777777" w:rsidR="0057410F" w:rsidRDefault="00E06604">
                    <w:pPr>
                      <w:pStyle w:val="StandaardReferentiegegevens"/>
                    </w:pPr>
                    <w:r>
                      <w:t>2511 CW  'S-GRAVENHAGE</w:t>
                    </w:r>
                  </w:p>
                  <w:p w14:paraId="2A3CB248" w14:textId="77777777" w:rsidR="0057410F" w:rsidRDefault="00E06604">
                    <w:pPr>
                      <w:pStyle w:val="StandaardReferentiegegevens"/>
                    </w:pPr>
                    <w:r>
                      <w:t>POSTBUS 20201</w:t>
                    </w:r>
                  </w:p>
                  <w:p w14:paraId="75903830" w14:textId="77777777" w:rsidR="0057410F" w:rsidRDefault="00E06604">
                    <w:pPr>
                      <w:pStyle w:val="StandaardReferentiegegevens"/>
                    </w:pPr>
                    <w:r>
                      <w:t>2500 EE  'S-GRAVENHAGE</w:t>
                    </w:r>
                  </w:p>
                  <w:p w14:paraId="38C886F1" w14:textId="77777777" w:rsidR="0057410F" w:rsidRDefault="00E06604">
                    <w:pPr>
                      <w:pStyle w:val="StandaardReferentiegegevens"/>
                    </w:pPr>
                    <w:proofErr w:type="gramStart"/>
                    <w:r>
                      <w:t>www.rijksoverheid.nl/fin</w:t>
                    </w:r>
                    <w:proofErr w:type="gramEnd"/>
                  </w:p>
                  <w:p w14:paraId="7FEDAEFA" w14:textId="77777777" w:rsidR="0057410F" w:rsidRDefault="0057410F">
                    <w:pPr>
                      <w:pStyle w:val="WitregelW2"/>
                    </w:pPr>
                  </w:p>
                  <w:p w14:paraId="5C5EAE72" w14:textId="77777777" w:rsidR="0057410F" w:rsidRDefault="00E06604">
                    <w:pPr>
                      <w:pStyle w:val="StandaardReferentiegegevensKop"/>
                    </w:pPr>
                    <w:r>
                      <w:t>Ons kenmerk</w:t>
                    </w:r>
                  </w:p>
                  <w:p w14:paraId="37572E8C" w14:textId="6FD3B76D" w:rsidR="004827EE" w:rsidRDefault="0042686D">
                    <w:pPr>
                      <w:pStyle w:val="StandaardReferentiegegevens"/>
                    </w:pPr>
                    <w:r>
                      <w:fldChar w:fldCharType="begin"/>
                    </w:r>
                    <w:r>
                      <w:instrText xml:space="preserve"> DOCPROPERTY  "Kenmerk"  \* MERGEFORMAT </w:instrText>
                    </w:r>
                    <w:r>
                      <w:fldChar w:fldCharType="separate"/>
                    </w:r>
                    <w:r>
                      <w:t>2025-0000204278</w:t>
                    </w:r>
                    <w:r>
                      <w:fldChar w:fldCharType="end"/>
                    </w:r>
                  </w:p>
                  <w:p w14:paraId="26A17040" w14:textId="77777777" w:rsidR="0057410F" w:rsidRDefault="0057410F">
                    <w:pPr>
                      <w:pStyle w:val="WitregelW1"/>
                    </w:pPr>
                  </w:p>
                  <w:p w14:paraId="1A5C145B" w14:textId="77777777" w:rsidR="0057410F" w:rsidRDefault="00E06604">
                    <w:pPr>
                      <w:pStyle w:val="StandaardReferentiegegevensKop"/>
                    </w:pPr>
                    <w:r>
                      <w:t>Uw brief (kenmerk)</w:t>
                    </w:r>
                  </w:p>
                  <w:p w14:paraId="59859703" w14:textId="70D61307" w:rsidR="004827EE" w:rsidRDefault="0042686D">
                    <w:pPr>
                      <w:pStyle w:val="StandaardReferentiegegevens"/>
                    </w:pPr>
                    <w:r>
                      <w:fldChar w:fldCharType="begin"/>
                    </w:r>
                    <w:r>
                      <w:instrText xml:space="preserve"> DOCPROPERTY  "UwKenmerk"  \* MERGEFORMAT </w:instrText>
                    </w:r>
                    <w:r>
                      <w:fldChar w:fldCharType="end"/>
                    </w:r>
                  </w:p>
                  <w:p w14:paraId="74FF3184" w14:textId="77777777" w:rsidR="0057410F" w:rsidRDefault="0057410F">
                    <w:pPr>
                      <w:pStyle w:val="WitregelW1"/>
                    </w:pPr>
                  </w:p>
                  <w:p w14:paraId="7D1B9693" w14:textId="77777777" w:rsidR="0057410F" w:rsidRDefault="00E06604">
                    <w:pPr>
                      <w:pStyle w:val="StandaardReferentiegegevensKop"/>
                    </w:pPr>
                    <w:r>
                      <w:t>Bijlagen</w:t>
                    </w:r>
                  </w:p>
                  <w:p w14:paraId="266C8EE6" w14:textId="77777777" w:rsidR="0057410F" w:rsidRDefault="00E06604">
                    <w:pPr>
                      <w:pStyle w:val="StandaardReferentiegegevens"/>
                    </w:pPr>
                    <w:r>
                      <w:t xml:space="preserve">1. CW3.1 kader </w:t>
                    </w:r>
                    <w:r w:rsidR="00D41659">
                      <w:t xml:space="preserve">herallocatie </w:t>
                    </w:r>
                    <w:r>
                      <w:t>Invest-NL</w:t>
                    </w:r>
                    <w:r w:rsidR="00D41659">
                      <w:t xml:space="preserve"> naar Invest-I</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4EB42A" wp14:editId="74629C6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F700CE3" w14:textId="77777777" w:rsidR="0057410F" w:rsidRDefault="00E0660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64EB42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F700CE3" w14:textId="77777777" w:rsidR="0057410F" w:rsidRDefault="00E0660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617F464" wp14:editId="60075E4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AC36132" w14:textId="558F5F10" w:rsidR="004827EE" w:rsidRDefault="0042686D">
                          <w:pPr>
                            <w:pStyle w:val="Rubricering"/>
                          </w:pPr>
                          <w:r>
                            <w:fldChar w:fldCharType="begin"/>
                          </w:r>
                          <w:r>
                            <w:instrText xml:space="preserve"> DOCPROPERTY  "Rubricering"  \* MERGEFORMAT </w:instrText>
                          </w:r>
                          <w:r>
                            <w:fldChar w:fldCharType="end"/>
                          </w:r>
                        </w:p>
                        <w:p w14:paraId="6474B944" w14:textId="77777777" w:rsidR="0057410F" w:rsidRDefault="00E0660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617F464"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AC36132" w14:textId="558F5F10" w:rsidR="004827EE" w:rsidRDefault="0042686D">
                    <w:pPr>
                      <w:pStyle w:val="Rubricering"/>
                    </w:pPr>
                    <w:r>
                      <w:fldChar w:fldCharType="begin"/>
                    </w:r>
                    <w:r>
                      <w:instrText xml:space="preserve"> DOCPROPERTY  "Rubricering"  \* MERGEFORMAT </w:instrText>
                    </w:r>
                    <w:r>
                      <w:fldChar w:fldCharType="end"/>
                    </w:r>
                  </w:p>
                  <w:p w14:paraId="6474B944" w14:textId="77777777" w:rsidR="0057410F" w:rsidRDefault="00E0660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5B94568" wp14:editId="7FA8584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53E7ABD" w14:textId="77777777" w:rsidR="004827EE" w:rsidRDefault="0042686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5B9456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53E7ABD" w14:textId="77777777" w:rsidR="004827EE" w:rsidRDefault="0042686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850AB02" wp14:editId="49BD638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7410F" w14:paraId="0E9C4A11" w14:textId="77777777">
                            <w:trPr>
                              <w:trHeight w:val="200"/>
                            </w:trPr>
                            <w:tc>
                              <w:tcPr>
                                <w:tcW w:w="1140" w:type="dxa"/>
                              </w:tcPr>
                              <w:p w14:paraId="4C2F6A0E" w14:textId="77777777" w:rsidR="0057410F" w:rsidRDefault="0057410F"/>
                            </w:tc>
                            <w:tc>
                              <w:tcPr>
                                <w:tcW w:w="5400" w:type="dxa"/>
                              </w:tcPr>
                              <w:p w14:paraId="52046B7C" w14:textId="77777777" w:rsidR="0057410F" w:rsidRDefault="0057410F"/>
                            </w:tc>
                          </w:tr>
                          <w:tr w:rsidR="0057410F" w14:paraId="69F91EB1" w14:textId="77777777">
                            <w:trPr>
                              <w:trHeight w:val="240"/>
                            </w:trPr>
                            <w:tc>
                              <w:tcPr>
                                <w:tcW w:w="1140" w:type="dxa"/>
                              </w:tcPr>
                              <w:p w14:paraId="1CD235BC" w14:textId="77777777" w:rsidR="0057410F" w:rsidRDefault="00E06604">
                                <w:r>
                                  <w:t>Datum</w:t>
                                </w:r>
                              </w:p>
                            </w:tc>
                            <w:tc>
                              <w:tcPr>
                                <w:tcW w:w="5400" w:type="dxa"/>
                              </w:tcPr>
                              <w:p w14:paraId="476432AE" w14:textId="489BEB32" w:rsidR="0057410F" w:rsidRDefault="004C370C">
                                <w:r>
                                  <w:t>16 september 2025</w:t>
                                </w:r>
                              </w:p>
                            </w:tc>
                          </w:tr>
                          <w:tr w:rsidR="0057410F" w14:paraId="6E2BCB89" w14:textId="77777777">
                            <w:trPr>
                              <w:trHeight w:val="240"/>
                            </w:trPr>
                            <w:tc>
                              <w:tcPr>
                                <w:tcW w:w="1140" w:type="dxa"/>
                              </w:tcPr>
                              <w:p w14:paraId="151B5235" w14:textId="77777777" w:rsidR="0057410F" w:rsidRDefault="00E06604">
                                <w:r>
                                  <w:t>Betreft</w:t>
                                </w:r>
                              </w:p>
                            </w:tc>
                            <w:tc>
                              <w:tcPr>
                                <w:tcW w:w="5400" w:type="dxa"/>
                              </w:tcPr>
                              <w:p w14:paraId="542D6FED" w14:textId="1B006F5E" w:rsidR="004827EE" w:rsidRDefault="0042686D">
                                <w:r>
                                  <w:fldChar w:fldCharType="begin"/>
                                </w:r>
                                <w:r>
                                  <w:instrText xml:space="preserve"> DOCPROPERTY  "Onderwerp"  \* MERGEFORMAT </w:instrText>
                                </w:r>
                                <w:r>
                                  <w:fldChar w:fldCharType="separate"/>
                                </w:r>
                                <w:r>
                                  <w:t>Beleidsvoorstellen uit de begroting Financiën en Nationale Schuld 2026 met CW3.1 kaders (Beleidskeuzes Uitgelegd)</w:t>
                                </w:r>
                                <w:r>
                                  <w:fldChar w:fldCharType="end"/>
                                </w:r>
                              </w:p>
                            </w:tc>
                          </w:tr>
                          <w:tr w:rsidR="0057410F" w14:paraId="47E94824" w14:textId="77777777">
                            <w:trPr>
                              <w:trHeight w:val="200"/>
                            </w:trPr>
                            <w:tc>
                              <w:tcPr>
                                <w:tcW w:w="1140" w:type="dxa"/>
                              </w:tcPr>
                              <w:p w14:paraId="212C2AF3" w14:textId="77777777" w:rsidR="0057410F" w:rsidRDefault="0057410F"/>
                            </w:tc>
                            <w:tc>
                              <w:tcPr>
                                <w:tcW w:w="4738" w:type="dxa"/>
                              </w:tcPr>
                              <w:p w14:paraId="36788093" w14:textId="77777777" w:rsidR="0057410F" w:rsidRDefault="0057410F"/>
                            </w:tc>
                          </w:tr>
                        </w:tbl>
                        <w:p w14:paraId="5B816485" w14:textId="77777777" w:rsidR="00E06604" w:rsidRDefault="00E06604"/>
                      </w:txbxContent>
                    </wps:txbx>
                    <wps:bodyPr vert="horz" wrap="square" lIns="0" tIns="0" rIns="0" bIns="0" anchor="t" anchorCtr="0"/>
                  </wps:wsp>
                </a:graphicData>
              </a:graphic>
            </wp:anchor>
          </w:drawing>
        </mc:Choice>
        <mc:Fallback>
          <w:pict>
            <v:shape w14:anchorId="7850AB0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7410F" w14:paraId="0E9C4A11" w14:textId="77777777">
                      <w:trPr>
                        <w:trHeight w:val="200"/>
                      </w:trPr>
                      <w:tc>
                        <w:tcPr>
                          <w:tcW w:w="1140" w:type="dxa"/>
                        </w:tcPr>
                        <w:p w14:paraId="4C2F6A0E" w14:textId="77777777" w:rsidR="0057410F" w:rsidRDefault="0057410F"/>
                      </w:tc>
                      <w:tc>
                        <w:tcPr>
                          <w:tcW w:w="5400" w:type="dxa"/>
                        </w:tcPr>
                        <w:p w14:paraId="52046B7C" w14:textId="77777777" w:rsidR="0057410F" w:rsidRDefault="0057410F"/>
                      </w:tc>
                    </w:tr>
                    <w:tr w:rsidR="0057410F" w14:paraId="69F91EB1" w14:textId="77777777">
                      <w:trPr>
                        <w:trHeight w:val="240"/>
                      </w:trPr>
                      <w:tc>
                        <w:tcPr>
                          <w:tcW w:w="1140" w:type="dxa"/>
                        </w:tcPr>
                        <w:p w14:paraId="1CD235BC" w14:textId="77777777" w:rsidR="0057410F" w:rsidRDefault="00E06604">
                          <w:r>
                            <w:t>Datum</w:t>
                          </w:r>
                        </w:p>
                      </w:tc>
                      <w:tc>
                        <w:tcPr>
                          <w:tcW w:w="5400" w:type="dxa"/>
                        </w:tcPr>
                        <w:p w14:paraId="476432AE" w14:textId="489BEB32" w:rsidR="0057410F" w:rsidRDefault="004C370C">
                          <w:r>
                            <w:t>16 september 2025</w:t>
                          </w:r>
                        </w:p>
                      </w:tc>
                    </w:tr>
                    <w:tr w:rsidR="0057410F" w14:paraId="6E2BCB89" w14:textId="77777777">
                      <w:trPr>
                        <w:trHeight w:val="240"/>
                      </w:trPr>
                      <w:tc>
                        <w:tcPr>
                          <w:tcW w:w="1140" w:type="dxa"/>
                        </w:tcPr>
                        <w:p w14:paraId="151B5235" w14:textId="77777777" w:rsidR="0057410F" w:rsidRDefault="00E06604">
                          <w:r>
                            <w:t>Betreft</w:t>
                          </w:r>
                        </w:p>
                      </w:tc>
                      <w:tc>
                        <w:tcPr>
                          <w:tcW w:w="5400" w:type="dxa"/>
                        </w:tcPr>
                        <w:p w14:paraId="542D6FED" w14:textId="1B006F5E" w:rsidR="004827EE" w:rsidRDefault="0042686D">
                          <w:r>
                            <w:fldChar w:fldCharType="begin"/>
                          </w:r>
                          <w:r>
                            <w:instrText xml:space="preserve"> DOCPROPERTY  "Onderwerp"  \* MERGEFORMAT </w:instrText>
                          </w:r>
                          <w:r>
                            <w:fldChar w:fldCharType="separate"/>
                          </w:r>
                          <w:r>
                            <w:t>Beleidsvoorstellen uit de begroting Financiën en Nationale Schuld 2026 met CW3.1 kaders (Beleidskeuzes Uitgelegd)</w:t>
                          </w:r>
                          <w:r>
                            <w:fldChar w:fldCharType="end"/>
                          </w:r>
                        </w:p>
                      </w:tc>
                    </w:tr>
                    <w:tr w:rsidR="0057410F" w14:paraId="47E94824" w14:textId="77777777">
                      <w:trPr>
                        <w:trHeight w:val="200"/>
                      </w:trPr>
                      <w:tc>
                        <w:tcPr>
                          <w:tcW w:w="1140" w:type="dxa"/>
                        </w:tcPr>
                        <w:p w14:paraId="212C2AF3" w14:textId="77777777" w:rsidR="0057410F" w:rsidRDefault="0057410F"/>
                      </w:tc>
                      <w:tc>
                        <w:tcPr>
                          <w:tcW w:w="4738" w:type="dxa"/>
                        </w:tcPr>
                        <w:p w14:paraId="36788093" w14:textId="77777777" w:rsidR="0057410F" w:rsidRDefault="0057410F"/>
                      </w:tc>
                    </w:tr>
                  </w:tbl>
                  <w:p w14:paraId="5B816485" w14:textId="77777777" w:rsidR="00E06604" w:rsidRDefault="00E0660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1A069B2" wp14:editId="02038CD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EF19DE2" w14:textId="46FC9565" w:rsidR="004827EE" w:rsidRDefault="0042686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1A069B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EF19DE2" w14:textId="46FC9565" w:rsidR="004827EE" w:rsidRDefault="0042686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D3F9A6E" wp14:editId="6C14506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C26F5BE" w14:textId="77777777" w:rsidR="00E06604" w:rsidRDefault="00E06604"/>
                      </w:txbxContent>
                    </wps:txbx>
                    <wps:bodyPr vert="horz" wrap="square" lIns="0" tIns="0" rIns="0" bIns="0" anchor="t" anchorCtr="0"/>
                  </wps:wsp>
                </a:graphicData>
              </a:graphic>
            </wp:anchor>
          </w:drawing>
        </mc:Choice>
        <mc:Fallback>
          <w:pict>
            <v:shape w14:anchorId="5D3F9A6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C26F5BE" w14:textId="77777777" w:rsidR="00E06604" w:rsidRDefault="00E0660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F5081B"/>
    <w:multiLevelType w:val="multilevel"/>
    <w:tmpl w:val="CAF0685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43A6BD7"/>
    <w:multiLevelType w:val="multilevel"/>
    <w:tmpl w:val="9EB7D72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C00F3"/>
    <w:multiLevelType w:val="multilevel"/>
    <w:tmpl w:val="C1D110D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E5C45"/>
    <w:multiLevelType w:val="multilevel"/>
    <w:tmpl w:val="723878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B8858A8"/>
    <w:multiLevelType w:val="multilevel"/>
    <w:tmpl w:val="0A36871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13533"/>
    <w:multiLevelType w:val="hybridMultilevel"/>
    <w:tmpl w:val="BFDE1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5B3597A"/>
    <w:multiLevelType w:val="hybridMultilevel"/>
    <w:tmpl w:val="EA36C6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E602EB0"/>
    <w:multiLevelType w:val="hybridMultilevel"/>
    <w:tmpl w:val="BC5E1D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44AEE644"/>
    <w:multiLevelType w:val="multilevel"/>
    <w:tmpl w:val="269E7B1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471004D2"/>
    <w:multiLevelType w:val="hybridMultilevel"/>
    <w:tmpl w:val="F62A6D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C4703E9"/>
    <w:multiLevelType w:val="hybridMultilevel"/>
    <w:tmpl w:val="47A04A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66E0DEC"/>
    <w:multiLevelType w:val="hybridMultilevel"/>
    <w:tmpl w:val="033C83A0"/>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5D7C18BA"/>
    <w:multiLevelType w:val="hybridMultilevel"/>
    <w:tmpl w:val="C0A27B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9730C4F"/>
    <w:multiLevelType w:val="hybridMultilevel"/>
    <w:tmpl w:val="A6BC1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8347100">
    <w:abstractNumId w:val="1"/>
  </w:num>
  <w:num w:numId="2" w16cid:durableId="1786997806">
    <w:abstractNumId w:val="0"/>
  </w:num>
  <w:num w:numId="3" w16cid:durableId="103350799">
    <w:abstractNumId w:val="8"/>
  </w:num>
  <w:num w:numId="4" w16cid:durableId="318853368">
    <w:abstractNumId w:val="3"/>
  </w:num>
  <w:num w:numId="5" w16cid:durableId="1231382964">
    <w:abstractNumId w:val="4"/>
  </w:num>
  <w:num w:numId="6" w16cid:durableId="191454724">
    <w:abstractNumId w:val="2"/>
  </w:num>
  <w:num w:numId="7" w16cid:durableId="436677720">
    <w:abstractNumId w:val="12"/>
  </w:num>
  <w:num w:numId="8" w16cid:durableId="1367558337">
    <w:abstractNumId w:val="9"/>
  </w:num>
  <w:num w:numId="9" w16cid:durableId="1084646667">
    <w:abstractNumId w:val="11"/>
    <w:lvlOverride w:ilvl="0">
      <w:startOverride w:val="1"/>
    </w:lvlOverride>
    <w:lvlOverride w:ilvl="1"/>
    <w:lvlOverride w:ilvl="2"/>
    <w:lvlOverride w:ilvl="3"/>
    <w:lvlOverride w:ilvl="4"/>
    <w:lvlOverride w:ilvl="5"/>
    <w:lvlOverride w:ilvl="6"/>
    <w:lvlOverride w:ilvl="7"/>
    <w:lvlOverride w:ilvl="8"/>
  </w:num>
  <w:num w:numId="10" w16cid:durableId="513543977">
    <w:abstractNumId w:val="10"/>
  </w:num>
  <w:num w:numId="11" w16cid:durableId="242447678">
    <w:abstractNumId w:val="5"/>
  </w:num>
  <w:num w:numId="12" w16cid:durableId="1686204422">
    <w:abstractNumId w:val="7"/>
  </w:num>
  <w:num w:numId="13" w16cid:durableId="760175820">
    <w:abstractNumId w:val="6"/>
  </w:num>
  <w:num w:numId="14" w16cid:durableId="2107386943">
    <w:abstractNumId w:val="11"/>
  </w:num>
  <w:num w:numId="15" w16cid:durableId="1300725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0F"/>
    <w:rsid w:val="00011AFB"/>
    <w:rsid w:val="001C1DF3"/>
    <w:rsid w:val="00242645"/>
    <w:rsid w:val="002F3AAF"/>
    <w:rsid w:val="003C6972"/>
    <w:rsid w:val="0042686D"/>
    <w:rsid w:val="004827EE"/>
    <w:rsid w:val="004A1D82"/>
    <w:rsid w:val="004C370C"/>
    <w:rsid w:val="0057410F"/>
    <w:rsid w:val="00612582"/>
    <w:rsid w:val="00647E65"/>
    <w:rsid w:val="006F6010"/>
    <w:rsid w:val="007274F8"/>
    <w:rsid w:val="00A0539B"/>
    <w:rsid w:val="00C27757"/>
    <w:rsid w:val="00C3498B"/>
    <w:rsid w:val="00D21626"/>
    <w:rsid w:val="00D41659"/>
    <w:rsid w:val="00D74ABB"/>
    <w:rsid w:val="00D85B29"/>
    <w:rsid w:val="00D92DEA"/>
    <w:rsid w:val="00E0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59B9C30"/>
  <w15:docId w15:val="{4639956B-E885-4BEE-8B5A-C03CD395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066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6604"/>
    <w:rPr>
      <w:rFonts w:ascii="Verdana" w:hAnsi="Verdana"/>
      <w:color w:val="000000"/>
      <w:sz w:val="18"/>
      <w:szCs w:val="18"/>
    </w:rPr>
  </w:style>
  <w:style w:type="paragraph" w:styleId="Voettekst">
    <w:name w:val="footer"/>
    <w:basedOn w:val="Standaard"/>
    <w:link w:val="VoettekstChar"/>
    <w:uiPriority w:val="99"/>
    <w:unhideWhenUsed/>
    <w:rsid w:val="00E066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6604"/>
    <w:rPr>
      <w:rFonts w:ascii="Verdana" w:hAnsi="Verdana"/>
      <w:color w:val="000000"/>
      <w:sz w:val="18"/>
      <w:szCs w:val="18"/>
    </w:rPr>
  </w:style>
  <w:style w:type="paragraph" w:styleId="Lijstalinea">
    <w:name w:val="List Paragraph"/>
    <w:basedOn w:val="Standaard"/>
    <w:uiPriority w:val="34"/>
    <w:qFormat/>
    <w:rsid w:val="00E06604"/>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table" w:styleId="Tabelraster">
    <w:name w:val="Table Grid"/>
    <w:basedOn w:val="Standaardtabel"/>
    <w:uiPriority w:val="39"/>
    <w:rsid w:val="00E06604"/>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06604"/>
    <w:pPr>
      <w:autoSpaceDN/>
      <w:textAlignment w:val="auto"/>
    </w:pPr>
    <w:rPr>
      <w:rFonts w:asciiTheme="minorHAnsi" w:eastAsiaTheme="minorHAnsi" w:hAnsiTheme="minorHAnsi" w:cstheme="minorBidi"/>
      <w:sz w:val="22"/>
      <w:szCs w:val="22"/>
      <w:lang w:eastAsia="en-US"/>
    </w:rPr>
  </w:style>
  <w:style w:type="paragraph" w:styleId="Voetnoottekst">
    <w:name w:val="footnote text"/>
    <w:aliases w:val="LNV Noot,DTE-Voetnoottekst,Codata Voetnoottekst,(NECG) Footnote Text,ALTS FOOTNOTE,AR Footnote Text,Voetnootteksta,07_Foot note,Footnotetext,Footnotetext1,ftx,Footnotetext2,ftx1,Footnotetext3,ftx2,Footnotetext4,ftx3,Footnotetext5,ftx4,ftx5"/>
    <w:basedOn w:val="Standaard"/>
    <w:link w:val="VoetnoottekstChar"/>
    <w:uiPriority w:val="99"/>
    <w:unhideWhenUsed/>
    <w:qFormat/>
    <w:rsid w:val="00E0660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aliases w:val="LNV Noot Char,DTE-Voetnoottekst Char,Codata Voetnoottekst Char,(NECG) Footnote Text Char,ALTS FOOTNOTE Char,AR Footnote Text Char,Voetnootteksta Char,07_Foot note Char,Footnotetext Char,Footnotetext1 Char,ftx Char,Footnotetext2 Char"/>
    <w:basedOn w:val="Standaardalinea-lettertype"/>
    <w:link w:val="Voetnoottekst"/>
    <w:uiPriority w:val="99"/>
    <w:rsid w:val="00E06604"/>
    <w:rPr>
      <w:rFonts w:asciiTheme="minorHAnsi" w:eastAsiaTheme="minorHAnsi" w:hAnsiTheme="minorHAnsi" w:cstheme="minorBidi"/>
      <w:lang w:eastAsia="en-US"/>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uiPriority w:val="99"/>
    <w:unhideWhenUsed/>
    <w:qFormat/>
    <w:rsid w:val="00E06604"/>
    <w:rPr>
      <w:vertAlign w:val="superscript"/>
    </w:rPr>
  </w:style>
  <w:style w:type="paragraph" w:styleId="Normaalweb">
    <w:name w:val="Normal (Web)"/>
    <w:basedOn w:val="Standaard"/>
    <w:uiPriority w:val="99"/>
    <w:unhideWhenUsed/>
    <w:rsid w:val="00E0660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E06604"/>
    <w:rPr>
      <w:sz w:val="16"/>
      <w:szCs w:val="16"/>
    </w:rPr>
  </w:style>
  <w:style w:type="paragraph" w:styleId="Tekstopmerking">
    <w:name w:val="annotation text"/>
    <w:basedOn w:val="Standaard"/>
    <w:link w:val="TekstopmerkingChar"/>
    <w:uiPriority w:val="99"/>
    <w:unhideWhenUsed/>
    <w:rsid w:val="00E06604"/>
    <w:pPr>
      <w:spacing w:line="240" w:lineRule="auto"/>
    </w:pPr>
    <w:rPr>
      <w:sz w:val="20"/>
      <w:szCs w:val="20"/>
    </w:rPr>
  </w:style>
  <w:style w:type="character" w:customStyle="1" w:styleId="TekstopmerkingChar">
    <w:name w:val="Tekst opmerking Char"/>
    <w:basedOn w:val="Standaardalinea-lettertype"/>
    <w:link w:val="Tekstopmerking"/>
    <w:uiPriority w:val="99"/>
    <w:rsid w:val="00E0660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06604"/>
    <w:rPr>
      <w:b/>
      <w:bCs/>
    </w:rPr>
  </w:style>
  <w:style w:type="character" w:customStyle="1" w:styleId="OnderwerpvanopmerkingChar">
    <w:name w:val="Onderwerp van opmerking Char"/>
    <w:basedOn w:val="TekstopmerkingChar"/>
    <w:link w:val="Onderwerpvanopmerking"/>
    <w:uiPriority w:val="99"/>
    <w:semiHidden/>
    <w:rsid w:val="00E0660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1733</ap:Words>
  <ap:Characters>9535</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aan Eerste of Tweede Kamer - Beleidsvoorstellen uit de begroting Financiën en Nationale Schuld 2026 met CW3.1 kaders (Beleidskeuzes Uitgelegd)</vt:lpstr>
    </vt:vector>
  </ap:TitlesOfParts>
  <ap:LinksUpToDate>false</ap:LinksUpToDate>
  <ap:CharactersWithSpaces>11246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2025-09-15T13:36:00.0000000Z</lastPrinted>
  <dcterms:created xsi:type="dcterms:W3CDTF">2025-09-15T13:36:00.0000000Z</dcterms:created>
  <dcterms:modified xsi:type="dcterms:W3CDTF">2025-09-15T13:37:00.0000000Z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Beleidsvoorstellen uit de begroting Financiën en Nationale Schuld 2026 met CW3.1 kaders (Beleidskeuzes Uitgelegd)</vt:lpwstr>
  </property>
  <property fmtid="{D5CDD505-2E9C-101B-9397-08002B2CF9AE}" pid="5" name="Publicatiedatum">
    <vt:lpwstr/>
  </property>
  <property fmtid="{D5CDD505-2E9C-101B-9397-08002B2CF9AE}" pid="6" name="Verantwoordelijke organisatie">
    <vt:lpwstr>Directie Financieel-Economische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15 juli 2025</vt:lpwstr>
  </property>
  <property fmtid="{D5CDD505-2E9C-101B-9397-08002B2CF9AE}" pid="13" name="Opgesteld door, Naam">
    <vt:lpwstr/>
  </property>
  <property fmtid="{D5CDD505-2E9C-101B-9397-08002B2CF9AE}" pid="14" name="Opgesteld door, Telefoonnummer">
    <vt:lpwstr>088-4428420</vt:lpwstr>
  </property>
  <property fmtid="{D5CDD505-2E9C-101B-9397-08002B2CF9AE}" pid="15" name="Kenmerk">
    <vt:lpwstr>2025-0000204278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Beleidsvoorstellen uit de begroting Financiën en Nationale Schuld 2026 met CW3.1 kaders (Beleidskeuzes Uitgelegd)</vt:lpwstr>
  </property>
  <property fmtid="{D5CDD505-2E9C-101B-9397-08002B2CF9AE}" pid="30" name="UwKenmerk">
    <vt:lpwstr/>
  </property>
  <property fmtid="{D5CDD505-2E9C-101B-9397-08002B2CF9AE}" pid="31" name="MSIP_Label_0b3866f6-513b-41e9-9aa1-311b4823e2dc_Enabled">
    <vt:lpwstr>true</vt:lpwstr>
  </property>
  <property fmtid="{D5CDD505-2E9C-101B-9397-08002B2CF9AE}" pid="32" name="MSIP_Label_0b3866f6-513b-41e9-9aa1-311b4823e2dc_SetDate">
    <vt:lpwstr>2025-07-15T14:55:48Z</vt:lpwstr>
  </property>
  <property fmtid="{D5CDD505-2E9C-101B-9397-08002B2CF9AE}" pid="33" name="MSIP_Label_0b3866f6-513b-41e9-9aa1-311b4823e2dc_Method">
    <vt:lpwstr>Standard</vt:lpwstr>
  </property>
  <property fmtid="{D5CDD505-2E9C-101B-9397-08002B2CF9AE}" pid="34" name="MSIP_Label_0b3866f6-513b-41e9-9aa1-311b4823e2dc_Name">
    <vt:lpwstr>FIN-BEDR-Rijksoverheid</vt:lpwstr>
  </property>
  <property fmtid="{D5CDD505-2E9C-101B-9397-08002B2CF9AE}" pid="35" name="MSIP_Label_0b3866f6-513b-41e9-9aa1-311b4823e2dc_SiteId">
    <vt:lpwstr>84712536-f524-40a0-913b-5d25ba502732</vt:lpwstr>
  </property>
  <property fmtid="{D5CDD505-2E9C-101B-9397-08002B2CF9AE}" pid="36" name="MSIP_Label_0b3866f6-513b-41e9-9aa1-311b4823e2dc_ActionId">
    <vt:lpwstr>8f7a35c9-5fea-4ba8-bd88-249f9bd1f98d</vt:lpwstr>
  </property>
  <property fmtid="{D5CDD505-2E9C-101B-9397-08002B2CF9AE}" pid="37" name="MSIP_Label_0b3866f6-513b-41e9-9aa1-311b4823e2dc_ContentBits">
    <vt:lpwstr>0</vt:lpwstr>
  </property>
</Properties>
</file>