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44C70" w:rsidP="00444C70" w:rsidRDefault="0064006A" w14:paraId="4212FDA8" w14:textId="7B6E980C">
      <w:pPr>
        <w:pStyle w:val="Heading1"/>
        <w:numPr>
          <w:ilvl w:val="0"/>
          <w:numId w:val="0"/>
        </w:numPr>
        <w:spacing w:after="0" w:line="360" w:lineRule="auto"/>
        <w:rPr>
          <w:rFonts w:ascii="Verdana" w:hAnsi="Verdana"/>
          <w:sz w:val="18"/>
          <w:szCs w:val="18"/>
        </w:rPr>
      </w:pPr>
      <w:r w:rsidRPr="453C4A2B">
        <w:rPr>
          <w:rFonts w:ascii="Verdana" w:hAnsi="Verdana"/>
          <w:b/>
          <w:bCs/>
          <w:sz w:val="18"/>
          <w:szCs w:val="18"/>
        </w:rPr>
        <w:t>F</w:t>
      </w:r>
      <w:r w:rsidRPr="453C4A2B" w:rsidR="00F54AFF">
        <w:rPr>
          <w:rFonts w:ascii="Verdana" w:hAnsi="Verdana"/>
          <w:b/>
          <w:bCs/>
          <w:sz w:val="18"/>
          <w:szCs w:val="18"/>
        </w:rPr>
        <w:t>iche</w:t>
      </w:r>
      <w:r w:rsidR="00B554F1">
        <w:rPr>
          <w:rFonts w:ascii="Verdana" w:hAnsi="Verdana"/>
          <w:b/>
          <w:bCs/>
          <w:sz w:val="18"/>
          <w:szCs w:val="18"/>
        </w:rPr>
        <w:t xml:space="preserve"> 1</w:t>
      </w:r>
      <w:r w:rsidR="00D77727">
        <w:rPr>
          <w:rFonts w:ascii="Verdana" w:hAnsi="Verdana"/>
          <w:b/>
          <w:bCs/>
          <w:sz w:val="18"/>
          <w:szCs w:val="18"/>
        </w:rPr>
        <w:t>8</w:t>
      </w:r>
      <w:r w:rsidRPr="453C4A2B" w:rsidR="00F7798C">
        <w:rPr>
          <w:rFonts w:ascii="Verdana" w:hAnsi="Verdana"/>
          <w:b/>
          <w:bCs/>
          <w:sz w:val="18"/>
          <w:szCs w:val="18"/>
        </w:rPr>
        <w:t>: Chemie Actieplan</w:t>
      </w:r>
    </w:p>
    <w:p w:rsidRPr="00444C70" w:rsidR="00444C70" w:rsidP="00444C70" w:rsidRDefault="00444C70" w14:paraId="46322892" w14:textId="77777777"/>
    <w:p w:rsidRPr="000D01B7" w:rsidR="000D01B7" w:rsidP="000D01B7" w:rsidRDefault="00F54AFF" w14:paraId="0D4B4607" w14:textId="3E5CFABC">
      <w:pPr>
        <w:numPr>
          <w:ilvl w:val="0"/>
          <w:numId w:val="15"/>
        </w:numPr>
        <w:spacing w:line="360" w:lineRule="auto"/>
        <w:rPr>
          <w:rFonts w:ascii="Verdana" w:hAnsi="Verdana"/>
          <w:b/>
          <w:sz w:val="18"/>
          <w:szCs w:val="18"/>
        </w:rPr>
      </w:pPr>
      <w:r w:rsidRPr="0064352A">
        <w:rPr>
          <w:rFonts w:ascii="Verdana" w:hAnsi="Verdana"/>
          <w:b/>
          <w:sz w:val="18"/>
          <w:szCs w:val="18"/>
        </w:rPr>
        <w:t>Algemene gegevens</w:t>
      </w:r>
    </w:p>
    <w:p w:rsidRPr="0059235B" w:rsidR="00444C70" w:rsidP="0059235B" w:rsidRDefault="00F54AFF" w14:paraId="1BCA3DFB" w14:textId="77777777">
      <w:pPr>
        <w:numPr>
          <w:ilvl w:val="0"/>
          <w:numId w:val="19"/>
        </w:numPr>
        <w:spacing w:line="360" w:lineRule="auto"/>
        <w:rPr>
          <w:rFonts w:ascii="Verdana" w:hAnsi="Verdana"/>
          <w:i/>
          <w:iCs/>
          <w:sz w:val="18"/>
          <w:szCs w:val="18"/>
        </w:rPr>
      </w:pPr>
      <w:r w:rsidRPr="00EF5C95">
        <w:rPr>
          <w:rFonts w:ascii="Verdana" w:hAnsi="Verdana"/>
          <w:i/>
          <w:iCs/>
          <w:sz w:val="18"/>
          <w:szCs w:val="18"/>
        </w:rPr>
        <w:t>Titel voorstel</w:t>
      </w:r>
    </w:p>
    <w:p w:rsidR="007D7964" w:rsidP="00444C70" w:rsidRDefault="007D7964" w14:paraId="778D2E0D" w14:textId="77777777">
      <w:pPr>
        <w:spacing w:line="360" w:lineRule="auto"/>
        <w:rPr>
          <w:rFonts w:ascii="Verdana" w:hAnsi="Verdana"/>
          <w:iCs/>
          <w:sz w:val="18"/>
          <w:szCs w:val="18"/>
          <w:lang w:val="en-US"/>
        </w:rPr>
      </w:pPr>
      <w:r w:rsidRPr="00685271">
        <w:rPr>
          <w:rFonts w:ascii="Verdana" w:hAnsi="Verdana"/>
          <w:iCs/>
          <w:sz w:val="18"/>
          <w:szCs w:val="18"/>
          <w:lang w:val="en-US"/>
        </w:rPr>
        <w:t>COMMUNICATION FROM THE COMMISSION TO THE EUROPEAN PARLIAMENT, THE COUNCIL, THE EUROPEAN ECONOMIC AND SOCIAL COMMITTEE AND THE COMMITTEE OF THE REGIONS</w:t>
      </w:r>
      <w:r>
        <w:rPr>
          <w:rFonts w:ascii="Verdana" w:hAnsi="Verdana"/>
          <w:iCs/>
          <w:sz w:val="18"/>
          <w:szCs w:val="18"/>
          <w:lang w:val="en-US"/>
        </w:rPr>
        <w:t xml:space="preserve"> </w:t>
      </w:r>
    </w:p>
    <w:p w:rsidRPr="00883351" w:rsidR="00444C70" w:rsidP="00444C70" w:rsidRDefault="00256CDD" w14:paraId="1ADD7A83" w14:textId="7D77C9FF">
      <w:pPr>
        <w:spacing w:line="360" w:lineRule="auto"/>
        <w:rPr>
          <w:rFonts w:ascii="Verdana" w:hAnsi="Verdana"/>
          <w:iCs/>
          <w:sz w:val="18"/>
          <w:szCs w:val="18"/>
          <w:lang w:val="en-US"/>
        </w:rPr>
      </w:pPr>
      <w:r w:rsidRPr="00883351">
        <w:rPr>
          <w:rFonts w:ascii="Verdana" w:hAnsi="Verdana"/>
          <w:iCs/>
          <w:sz w:val="18"/>
          <w:szCs w:val="18"/>
          <w:lang w:val="en-US"/>
        </w:rPr>
        <w:t>A European Chemicals Industry Action Plan</w:t>
      </w:r>
    </w:p>
    <w:p w:rsidRPr="00883351" w:rsidR="00256CDD" w:rsidP="00444C70" w:rsidRDefault="00256CDD" w14:paraId="2865FB5A" w14:textId="77777777">
      <w:pPr>
        <w:spacing w:line="360" w:lineRule="auto"/>
        <w:rPr>
          <w:rFonts w:ascii="Verdana" w:hAnsi="Verdana"/>
          <w:sz w:val="18"/>
          <w:szCs w:val="18"/>
          <w:lang w:val="en-US"/>
        </w:rPr>
      </w:pPr>
    </w:p>
    <w:p w:rsidR="00444C70" w:rsidP="00444C70" w:rsidRDefault="00F54AFF" w14:paraId="3DB1C4E3" w14:textId="77777777">
      <w:pPr>
        <w:numPr>
          <w:ilvl w:val="0"/>
          <w:numId w:val="19"/>
        </w:numPr>
        <w:spacing w:line="360" w:lineRule="auto"/>
        <w:rPr>
          <w:rFonts w:ascii="Verdana" w:hAnsi="Verdana"/>
          <w:i/>
          <w:iCs/>
          <w:sz w:val="18"/>
          <w:szCs w:val="18"/>
        </w:rPr>
      </w:pPr>
      <w:r w:rsidRPr="00EF5C95">
        <w:rPr>
          <w:rFonts w:ascii="Verdana" w:hAnsi="Verdana"/>
          <w:i/>
          <w:iCs/>
          <w:sz w:val="18"/>
          <w:szCs w:val="18"/>
        </w:rPr>
        <w:t xml:space="preserve">Datum </w:t>
      </w:r>
      <w:r w:rsidRPr="00EF5C95" w:rsidR="00513C1E">
        <w:rPr>
          <w:rFonts w:ascii="Verdana" w:hAnsi="Verdana"/>
          <w:i/>
          <w:iCs/>
          <w:sz w:val="18"/>
          <w:szCs w:val="18"/>
        </w:rPr>
        <w:t xml:space="preserve">ontvangst </w:t>
      </w:r>
      <w:r w:rsidRPr="00EF5C95">
        <w:rPr>
          <w:rFonts w:ascii="Verdana" w:hAnsi="Verdana"/>
          <w:i/>
          <w:iCs/>
          <w:sz w:val="18"/>
          <w:szCs w:val="18"/>
        </w:rPr>
        <w:t>Commissiedocument</w:t>
      </w:r>
    </w:p>
    <w:p w:rsidRPr="00256CDD" w:rsidR="00444C70" w:rsidP="00444C70" w:rsidRDefault="00256CDD" w14:paraId="5ACFE6B4" w14:textId="478C2399">
      <w:pPr>
        <w:spacing w:line="360" w:lineRule="auto"/>
        <w:rPr>
          <w:rFonts w:ascii="Verdana" w:hAnsi="Verdana"/>
          <w:sz w:val="18"/>
          <w:szCs w:val="18"/>
        </w:rPr>
      </w:pPr>
      <w:r w:rsidRPr="00256CDD">
        <w:rPr>
          <w:rFonts w:ascii="Verdana" w:hAnsi="Verdana"/>
          <w:sz w:val="18"/>
          <w:szCs w:val="18"/>
        </w:rPr>
        <w:t>8 juli 2025</w:t>
      </w:r>
    </w:p>
    <w:p w:rsidRPr="00444C70" w:rsidR="00C02B61" w:rsidP="00444C70" w:rsidRDefault="00C02B61" w14:paraId="32A63D5F" w14:textId="77777777">
      <w:pPr>
        <w:spacing w:line="360" w:lineRule="auto"/>
        <w:rPr>
          <w:rFonts w:ascii="Verdana" w:hAnsi="Verdana"/>
          <w:sz w:val="18"/>
          <w:szCs w:val="18"/>
        </w:rPr>
      </w:pPr>
    </w:p>
    <w:p w:rsidR="0059235B" w:rsidP="0059235B" w:rsidRDefault="00F54AFF" w14:paraId="74D277A1" w14:textId="77777777">
      <w:pPr>
        <w:numPr>
          <w:ilvl w:val="0"/>
          <w:numId w:val="19"/>
        </w:numPr>
        <w:spacing w:line="360" w:lineRule="auto"/>
        <w:rPr>
          <w:rFonts w:ascii="Verdana" w:hAnsi="Verdana"/>
          <w:i/>
          <w:iCs/>
          <w:sz w:val="18"/>
          <w:szCs w:val="18"/>
        </w:rPr>
      </w:pPr>
      <w:r w:rsidRPr="00EF5C95">
        <w:rPr>
          <w:rFonts w:ascii="Verdana" w:hAnsi="Verdana"/>
          <w:i/>
          <w:iCs/>
          <w:sz w:val="18"/>
          <w:szCs w:val="18"/>
        </w:rPr>
        <w:t>Nr. Commissiedocument</w:t>
      </w:r>
    </w:p>
    <w:p w:rsidRPr="00256CDD" w:rsidR="0059235B" w:rsidP="0059235B" w:rsidRDefault="00256CDD" w14:paraId="49445F70" w14:textId="02261959">
      <w:pPr>
        <w:spacing w:line="360" w:lineRule="auto"/>
        <w:rPr>
          <w:rFonts w:ascii="Verdana" w:hAnsi="Verdana"/>
          <w:iCs/>
          <w:sz w:val="18"/>
          <w:szCs w:val="18"/>
        </w:rPr>
      </w:pPr>
      <w:r w:rsidRPr="00256CDD">
        <w:rPr>
          <w:rFonts w:ascii="Verdana" w:hAnsi="Verdana"/>
          <w:iCs/>
          <w:sz w:val="18"/>
          <w:szCs w:val="18"/>
        </w:rPr>
        <w:t>COM(2025) 530</w:t>
      </w:r>
    </w:p>
    <w:p w:rsidRPr="0059235B" w:rsidR="0059235B" w:rsidP="0059235B" w:rsidRDefault="0059235B" w14:paraId="5F0E2094" w14:textId="77777777">
      <w:pPr>
        <w:spacing w:line="360" w:lineRule="auto"/>
        <w:rPr>
          <w:rFonts w:ascii="Verdana" w:hAnsi="Verdana"/>
          <w:sz w:val="18"/>
          <w:szCs w:val="18"/>
        </w:rPr>
      </w:pPr>
    </w:p>
    <w:p w:rsidR="00F54AFF" w:rsidP="00EF5C95" w:rsidRDefault="001D558D" w14:paraId="3C04C640" w14:textId="77777777">
      <w:pPr>
        <w:numPr>
          <w:ilvl w:val="0"/>
          <w:numId w:val="19"/>
        </w:numPr>
        <w:spacing w:line="360" w:lineRule="auto"/>
        <w:rPr>
          <w:rFonts w:ascii="Verdana" w:hAnsi="Verdana"/>
          <w:i/>
          <w:iCs/>
          <w:sz w:val="18"/>
          <w:szCs w:val="18"/>
        </w:rPr>
      </w:pPr>
      <w:r>
        <w:rPr>
          <w:rFonts w:ascii="Verdana" w:hAnsi="Verdana"/>
          <w:i/>
          <w:iCs/>
          <w:sz w:val="18"/>
          <w:szCs w:val="18"/>
        </w:rPr>
        <w:t>EUR</w:t>
      </w:r>
      <w:r w:rsidRPr="00EF5C95" w:rsidR="00F54AFF">
        <w:rPr>
          <w:rFonts w:ascii="Verdana" w:hAnsi="Verdana"/>
          <w:i/>
          <w:iCs/>
          <w:sz w:val="18"/>
          <w:szCs w:val="18"/>
        </w:rPr>
        <w:t>-</w:t>
      </w:r>
      <w:r>
        <w:rPr>
          <w:rFonts w:ascii="Verdana" w:hAnsi="Verdana"/>
          <w:i/>
          <w:iCs/>
          <w:sz w:val="18"/>
          <w:szCs w:val="18"/>
        </w:rPr>
        <w:t>L</w:t>
      </w:r>
      <w:r w:rsidRPr="00EF5C95" w:rsidR="00F54AFF">
        <w:rPr>
          <w:rFonts w:ascii="Verdana" w:hAnsi="Verdana"/>
          <w:i/>
          <w:iCs/>
          <w:sz w:val="18"/>
          <w:szCs w:val="18"/>
        </w:rPr>
        <w:t>ex</w:t>
      </w:r>
    </w:p>
    <w:p w:rsidRPr="00D460BF" w:rsidR="00292A51" w:rsidP="0059235B" w:rsidRDefault="00335264" w14:paraId="275DC1DB" w14:textId="5B0AF4ED">
      <w:pPr>
        <w:spacing w:line="360" w:lineRule="auto"/>
        <w:rPr>
          <w:rFonts w:ascii="Verdana" w:hAnsi="Verdana"/>
          <w:sz w:val="18"/>
          <w:szCs w:val="18"/>
          <w:lang w:val="fr-BE"/>
        </w:rPr>
      </w:pPr>
      <w:hyperlink w:history="1" r:id="rId13">
        <w:r w:rsidRPr="00D460BF" w:rsidR="00EA6F61">
          <w:rPr>
            <w:rStyle w:val="Hyperlink"/>
            <w:rFonts w:ascii="Verdana" w:hAnsi="Verdana"/>
            <w:sz w:val="18"/>
            <w:szCs w:val="18"/>
            <w:lang w:val="fr-BE"/>
          </w:rPr>
          <w:t>EUR-Lex - 52025DC0530 - EN - EUR-Lex</w:t>
        </w:r>
      </w:hyperlink>
    </w:p>
    <w:p w:rsidRPr="00D460BF" w:rsidR="00EA6F61" w:rsidP="0059235B" w:rsidRDefault="00EA6F61" w14:paraId="080141F3" w14:textId="77777777">
      <w:pPr>
        <w:spacing w:line="360" w:lineRule="auto"/>
        <w:rPr>
          <w:rFonts w:ascii="Verdana" w:hAnsi="Verdana"/>
          <w:sz w:val="18"/>
          <w:szCs w:val="18"/>
          <w:lang w:val="fr-BE"/>
        </w:rPr>
      </w:pPr>
    </w:p>
    <w:p w:rsidR="00EA4C91" w:rsidP="00EA4C91" w:rsidRDefault="00F54AFF" w14:paraId="52E2BC8F" w14:textId="77777777">
      <w:pPr>
        <w:numPr>
          <w:ilvl w:val="0"/>
          <w:numId w:val="19"/>
        </w:numPr>
        <w:spacing w:line="360" w:lineRule="auto"/>
        <w:rPr>
          <w:rFonts w:ascii="Verdana" w:hAnsi="Verdana"/>
          <w:i/>
          <w:iCs/>
          <w:sz w:val="18"/>
          <w:szCs w:val="18"/>
          <w:lang w:val="fr-FR"/>
        </w:rPr>
      </w:pPr>
      <w:r w:rsidRPr="00EA4C91">
        <w:rPr>
          <w:rFonts w:ascii="Verdana" w:hAnsi="Verdana"/>
          <w:i/>
          <w:iCs/>
          <w:sz w:val="18"/>
          <w:szCs w:val="18"/>
          <w:lang w:val="fr-FR"/>
        </w:rPr>
        <w:t xml:space="preserve">Nr. impact </w:t>
      </w:r>
      <w:proofErr w:type="spellStart"/>
      <w:r w:rsidRPr="00EA4C91">
        <w:rPr>
          <w:rFonts w:ascii="Verdana" w:hAnsi="Verdana"/>
          <w:i/>
          <w:iCs/>
          <w:sz w:val="18"/>
          <w:szCs w:val="18"/>
          <w:lang w:val="fr-FR"/>
        </w:rPr>
        <w:t>assessment</w:t>
      </w:r>
      <w:proofErr w:type="spellEnd"/>
      <w:r w:rsidRPr="00EA4C91">
        <w:rPr>
          <w:rFonts w:ascii="Verdana" w:hAnsi="Verdana"/>
          <w:i/>
          <w:iCs/>
          <w:sz w:val="18"/>
          <w:szCs w:val="18"/>
          <w:lang w:val="fr-FR"/>
        </w:rPr>
        <w:t xml:space="preserve"> Commissie en </w:t>
      </w:r>
      <w:proofErr w:type="spellStart"/>
      <w:r w:rsidRPr="00EA4C91">
        <w:rPr>
          <w:rFonts w:ascii="Verdana" w:hAnsi="Verdana"/>
          <w:i/>
          <w:iCs/>
          <w:sz w:val="18"/>
          <w:szCs w:val="18"/>
          <w:lang w:val="fr-FR"/>
        </w:rPr>
        <w:t>Opinie</w:t>
      </w:r>
      <w:proofErr w:type="spellEnd"/>
      <w:r w:rsidRPr="00EA4C91" w:rsidR="00FE7565">
        <w:rPr>
          <w:rFonts w:ascii="Verdana" w:hAnsi="Verdana"/>
          <w:i/>
          <w:iCs/>
          <w:sz w:val="18"/>
          <w:szCs w:val="18"/>
          <w:lang w:val="fr-FR"/>
        </w:rPr>
        <w:t xml:space="preserve"> </w:t>
      </w:r>
    </w:p>
    <w:p w:rsidRPr="00256CDD" w:rsidR="00292A51" w:rsidP="00292A51" w:rsidRDefault="00256CDD" w14:paraId="5F689729" w14:textId="501435BD">
      <w:pPr>
        <w:spacing w:line="360" w:lineRule="auto"/>
        <w:rPr>
          <w:rFonts w:ascii="Verdana" w:hAnsi="Verdana"/>
          <w:sz w:val="18"/>
          <w:szCs w:val="18"/>
        </w:rPr>
      </w:pPr>
      <w:r w:rsidRPr="00256CDD">
        <w:rPr>
          <w:rFonts w:ascii="Verdana" w:hAnsi="Verdana"/>
          <w:sz w:val="18"/>
          <w:szCs w:val="18"/>
        </w:rPr>
        <w:t>Niet opgesteld</w:t>
      </w:r>
    </w:p>
    <w:p w:rsidRPr="00C02B61" w:rsidR="00292A51" w:rsidP="00292A51" w:rsidRDefault="00292A51" w14:paraId="4A7BD83C" w14:textId="77777777">
      <w:pPr>
        <w:spacing w:line="360" w:lineRule="auto"/>
        <w:rPr>
          <w:rFonts w:ascii="Verdana" w:hAnsi="Verdana"/>
          <w:i/>
          <w:iCs/>
          <w:sz w:val="18"/>
          <w:szCs w:val="18"/>
        </w:rPr>
      </w:pPr>
    </w:p>
    <w:p w:rsidR="00F54AFF" w:rsidP="00EA4C91" w:rsidRDefault="00F54AFF" w14:paraId="0C23558F" w14:textId="77777777">
      <w:pPr>
        <w:numPr>
          <w:ilvl w:val="0"/>
          <w:numId w:val="19"/>
        </w:numPr>
        <w:spacing w:line="360" w:lineRule="auto"/>
        <w:rPr>
          <w:rFonts w:ascii="Verdana" w:hAnsi="Verdana"/>
          <w:i/>
          <w:iCs/>
          <w:sz w:val="18"/>
          <w:szCs w:val="18"/>
        </w:rPr>
      </w:pPr>
      <w:r w:rsidRPr="00EA4C91">
        <w:rPr>
          <w:rFonts w:ascii="Verdana" w:hAnsi="Verdana"/>
          <w:i/>
          <w:iCs/>
          <w:sz w:val="18"/>
          <w:szCs w:val="18"/>
        </w:rPr>
        <w:t>Behandelingstraject Raad</w:t>
      </w:r>
    </w:p>
    <w:p w:rsidR="00292A51" w:rsidP="00292A51" w:rsidRDefault="00256CDD" w14:paraId="10B11838" w14:textId="0F956136">
      <w:pPr>
        <w:spacing w:line="360" w:lineRule="auto"/>
        <w:rPr>
          <w:rFonts w:ascii="Verdana" w:hAnsi="Verdana"/>
          <w:iCs/>
          <w:sz w:val="18"/>
          <w:szCs w:val="18"/>
        </w:rPr>
      </w:pPr>
      <w:r>
        <w:rPr>
          <w:rFonts w:ascii="Verdana" w:hAnsi="Verdana"/>
          <w:iCs/>
          <w:sz w:val="18"/>
          <w:szCs w:val="18"/>
        </w:rPr>
        <w:t>Raad voor Concurrentievermogen</w:t>
      </w:r>
    </w:p>
    <w:p w:rsidRPr="00256CDD" w:rsidR="00256CDD" w:rsidP="00292A51" w:rsidRDefault="00256CDD" w14:paraId="6EAB8F99" w14:textId="77777777">
      <w:pPr>
        <w:spacing w:line="360" w:lineRule="auto"/>
        <w:rPr>
          <w:rFonts w:ascii="Verdana" w:hAnsi="Verdana"/>
          <w:i/>
          <w:iCs/>
          <w:sz w:val="18"/>
          <w:szCs w:val="18"/>
        </w:rPr>
      </w:pPr>
    </w:p>
    <w:p w:rsidRPr="00EF5C95" w:rsidR="000D01B7" w:rsidP="00EF5C95" w:rsidRDefault="000D01B7" w14:paraId="74FAE1CD" w14:textId="77777777">
      <w:pPr>
        <w:numPr>
          <w:ilvl w:val="0"/>
          <w:numId w:val="19"/>
        </w:numPr>
        <w:spacing w:line="360" w:lineRule="auto"/>
        <w:rPr>
          <w:rFonts w:ascii="Verdana" w:hAnsi="Verdana"/>
          <w:i/>
          <w:sz w:val="18"/>
          <w:szCs w:val="18"/>
        </w:rPr>
      </w:pPr>
      <w:r w:rsidRPr="577DB20A">
        <w:rPr>
          <w:rFonts w:ascii="Verdana" w:hAnsi="Verdana"/>
          <w:i/>
          <w:iCs/>
          <w:sz w:val="18"/>
          <w:szCs w:val="18"/>
        </w:rPr>
        <w:t>Eerstverantwoordelijk ministerie</w:t>
      </w:r>
    </w:p>
    <w:p w:rsidRPr="00066C36" w:rsidR="00066C36" w:rsidP="577DB20A" w:rsidRDefault="2E384B8A" w14:paraId="34BAB630" w14:textId="25540717">
      <w:pPr>
        <w:spacing w:line="360" w:lineRule="auto"/>
        <w:rPr>
          <w:rFonts w:ascii="Verdana" w:hAnsi="Verdana"/>
          <w:sz w:val="18"/>
          <w:szCs w:val="18"/>
          <w:lang w:eastAsia="nl-NL"/>
        </w:rPr>
      </w:pPr>
      <w:r w:rsidRPr="577DB20A">
        <w:rPr>
          <w:rFonts w:ascii="Verdana" w:hAnsi="Verdana"/>
          <w:sz w:val="18"/>
          <w:szCs w:val="18"/>
          <w:lang w:eastAsia="nl-NL"/>
        </w:rPr>
        <w:t>Ministerie van Klimaat en Groene Groei, in nauwe samenwerking met het ministerie van Economische Zaken</w:t>
      </w:r>
    </w:p>
    <w:p w:rsidRPr="00066C36" w:rsidR="00066C36" w:rsidP="577DB20A" w:rsidRDefault="00066C36" w14:paraId="63E108AA" w14:textId="25D3199A">
      <w:pPr>
        <w:spacing w:line="360" w:lineRule="auto"/>
        <w:rPr>
          <w:rFonts w:ascii="Verdana" w:hAnsi="Verdana"/>
          <w:sz w:val="18"/>
          <w:szCs w:val="18"/>
          <w:lang w:eastAsia="nl-NL"/>
        </w:rPr>
      </w:pPr>
    </w:p>
    <w:p w:rsidR="00F54AFF" w:rsidP="000D01B7" w:rsidRDefault="008528D9" w14:paraId="4B164B1B" w14:textId="77777777">
      <w:pPr>
        <w:numPr>
          <w:ilvl w:val="0"/>
          <w:numId w:val="15"/>
        </w:numPr>
        <w:spacing w:line="360" w:lineRule="auto"/>
        <w:rPr>
          <w:rFonts w:ascii="Verdana" w:hAnsi="Verdana"/>
          <w:b/>
          <w:sz w:val="18"/>
          <w:szCs w:val="18"/>
        </w:rPr>
      </w:pPr>
      <w:r>
        <w:rPr>
          <w:rFonts w:ascii="Verdana" w:hAnsi="Verdana"/>
          <w:b/>
          <w:sz w:val="18"/>
          <w:szCs w:val="18"/>
        </w:rPr>
        <w:t>Essentie</w:t>
      </w:r>
      <w:r w:rsidR="000D01B7">
        <w:rPr>
          <w:rFonts w:ascii="Verdana" w:hAnsi="Verdana"/>
          <w:b/>
          <w:sz w:val="18"/>
          <w:szCs w:val="18"/>
        </w:rPr>
        <w:t xml:space="preserve"> voorstel</w:t>
      </w:r>
    </w:p>
    <w:p w:rsidR="00CE63AA" w:rsidP="0064352A" w:rsidRDefault="00CE63AA" w14:paraId="3A01666E" w14:textId="77777777">
      <w:pPr>
        <w:tabs>
          <w:tab w:val="left" w:pos="360"/>
          <w:tab w:val="left" w:pos="4500"/>
          <w:tab w:val="left" w:pos="5580"/>
        </w:tabs>
        <w:spacing w:line="360" w:lineRule="auto"/>
        <w:rPr>
          <w:rFonts w:ascii="Verdana" w:hAnsi="Verdana"/>
          <w:sz w:val="18"/>
          <w:szCs w:val="18"/>
        </w:rPr>
      </w:pPr>
    </w:p>
    <w:p w:rsidR="00F7798C" w:rsidP="00F7798C" w:rsidRDefault="00F7798C" w14:paraId="4B743375" w14:textId="23A0CFDB">
      <w:pPr>
        <w:tabs>
          <w:tab w:val="left" w:pos="360"/>
          <w:tab w:val="left" w:pos="4500"/>
          <w:tab w:val="left" w:pos="5580"/>
        </w:tabs>
        <w:spacing w:line="360" w:lineRule="auto"/>
        <w:rPr>
          <w:rFonts w:ascii="Verdana" w:hAnsi="Verdana"/>
          <w:sz w:val="18"/>
          <w:szCs w:val="18"/>
        </w:rPr>
      </w:pPr>
      <w:r w:rsidRPr="00F7798C">
        <w:rPr>
          <w:rFonts w:ascii="Verdana" w:hAnsi="Verdana"/>
          <w:sz w:val="18"/>
          <w:szCs w:val="18"/>
        </w:rPr>
        <w:t>Op 8 juli 2025 publiceerde de Europese Commissie</w:t>
      </w:r>
      <w:r>
        <w:rPr>
          <w:rFonts w:ascii="Verdana" w:hAnsi="Verdana"/>
          <w:sz w:val="18"/>
          <w:szCs w:val="18"/>
        </w:rPr>
        <w:t xml:space="preserve"> (hierna: de Commissie)</w:t>
      </w:r>
      <w:r w:rsidRPr="00F7798C">
        <w:rPr>
          <w:rFonts w:ascii="Verdana" w:hAnsi="Verdana"/>
          <w:sz w:val="18"/>
          <w:szCs w:val="18"/>
        </w:rPr>
        <w:t xml:space="preserve"> een actieplan voor de chemische industrie. Dit sectorspecifieke plan is ingebed in de bredere </w:t>
      </w:r>
      <w:r w:rsidRPr="00335264">
        <w:rPr>
          <w:rFonts w:ascii="Verdana" w:hAnsi="Verdana"/>
          <w:i/>
          <w:iCs/>
          <w:sz w:val="18"/>
          <w:szCs w:val="18"/>
        </w:rPr>
        <w:t>Clean Industrial Deal</w:t>
      </w:r>
      <w:r w:rsidRPr="00335264" w:rsidR="00B2701F">
        <w:rPr>
          <w:rFonts w:ascii="Verdana" w:hAnsi="Verdana"/>
          <w:i/>
          <w:iCs/>
          <w:sz w:val="18"/>
          <w:szCs w:val="18"/>
        </w:rPr>
        <w:t xml:space="preserve"> </w:t>
      </w:r>
      <w:r w:rsidR="00B2701F">
        <w:rPr>
          <w:rFonts w:ascii="Verdana" w:hAnsi="Verdana"/>
          <w:sz w:val="18"/>
          <w:szCs w:val="18"/>
        </w:rPr>
        <w:t>(CID)</w:t>
      </w:r>
      <w:r w:rsidR="7D725E97">
        <w:rPr>
          <w:rFonts w:ascii="Verdana" w:hAnsi="Verdana"/>
          <w:sz w:val="18"/>
          <w:szCs w:val="18"/>
        </w:rPr>
        <w:t xml:space="preserve"> </w:t>
      </w:r>
      <w:r w:rsidRPr="00F7798C">
        <w:rPr>
          <w:rFonts w:ascii="Verdana" w:hAnsi="Verdana"/>
          <w:sz w:val="18"/>
          <w:szCs w:val="18"/>
        </w:rPr>
        <w:t xml:space="preserve">en het EU </w:t>
      </w:r>
      <w:r w:rsidR="00F81A59">
        <w:rPr>
          <w:rFonts w:ascii="Verdana" w:hAnsi="Verdana"/>
          <w:sz w:val="18"/>
          <w:szCs w:val="18"/>
        </w:rPr>
        <w:t>Kompas voor c</w:t>
      </w:r>
      <w:r w:rsidR="002F4E03">
        <w:rPr>
          <w:rFonts w:ascii="Verdana" w:hAnsi="Verdana"/>
          <w:sz w:val="18"/>
          <w:szCs w:val="18"/>
        </w:rPr>
        <w:t>o</w:t>
      </w:r>
      <w:r w:rsidR="00F81A59">
        <w:rPr>
          <w:rFonts w:ascii="Verdana" w:hAnsi="Verdana"/>
          <w:sz w:val="18"/>
          <w:szCs w:val="18"/>
        </w:rPr>
        <w:t>n</w:t>
      </w:r>
      <w:r w:rsidR="002F4E03">
        <w:rPr>
          <w:rFonts w:ascii="Verdana" w:hAnsi="Verdana"/>
          <w:sz w:val="18"/>
          <w:szCs w:val="18"/>
        </w:rPr>
        <w:t>currentievermogen</w:t>
      </w:r>
      <w:r w:rsidR="00C72E39">
        <w:rPr>
          <w:rStyle w:val="FootnoteReference"/>
          <w:rFonts w:ascii="Verdana" w:hAnsi="Verdana"/>
          <w:sz w:val="18"/>
          <w:szCs w:val="18"/>
        </w:rPr>
        <w:footnoteReference w:id="2"/>
      </w:r>
      <w:r w:rsidRPr="57EB3157" w:rsidR="50340A60">
        <w:rPr>
          <w:rFonts w:ascii="Verdana" w:hAnsi="Verdana" w:eastAsia="Verdana" w:cs="Verdana"/>
          <w:sz w:val="18"/>
          <w:szCs w:val="18"/>
        </w:rPr>
        <w:t xml:space="preserve"> en is gelijktijdig gepubliceerd met een chemie-omnibus</w:t>
      </w:r>
      <w:r w:rsidR="00592E76">
        <w:rPr>
          <w:rFonts w:ascii="Verdana" w:hAnsi="Verdana" w:eastAsia="Verdana" w:cs="Verdana"/>
          <w:sz w:val="18"/>
          <w:szCs w:val="18"/>
        </w:rPr>
        <w:t>verordening</w:t>
      </w:r>
      <w:r w:rsidR="00512860">
        <w:rPr>
          <w:rStyle w:val="FootnoteReference"/>
          <w:rFonts w:ascii="Verdana" w:hAnsi="Verdana" w:eastAsia="Verdana" w:cs="Verdana"/>
          <w:sz w:val="18"/>
          <w:szCs w:val="18"/>
        </w:rPr>
        <w:footnoteReference w:id="3"/>
      </w:r>
      <w:r w:rsidRPr="57EB3157" w:rsidR="50340A60">
        <w:rPr>
          <w:rFonts w:ascii="Verdana" w:hAnsi="Verdana" w:eastAsia="Verdana" w:cs="Verdana"/>
          <w:sz w:val="18"/>
          <w:szCs w:val="18"/>
        </w:rPr>
        <w:t xml:space="preserve"> en een verordening over het </w:t>
      </w:r>
      <w:r w:rsidR="00592E76">
        <w:rPr>
          <w:rFonts w:ascii="Verdana" w:hAnsi="Verdana" w:eastAsia="Verdana" w:cs="Verdana"/>
          <w:sz w:val="18"/>
          <w:szCs w:val="18"/>
        </w:rPr>
        <w:t>Europees Agentschap voor Chemische Stoffen (ECHA)</w:t>
      </w:r>
      <w:r w:rsidR="00512860">
        <w:rPr>
          <w:rStyle w:val="FootnoteReference"/>
          <w:rFonts w:ascii="Verdana" w:hAnsi="Verdana" w:eastAsia="Verdana" w:cs="Verdana"/>
          <w:sz w:val="18"/>
          <w:szCs w:val="18"/>
        </w:rPr>
        <w:footnoteReference w:id="4"/>
      </w:r>
      <w:r w:rsidRPr="00F7798C">
        <w:rPr>
          <w:rFonts w:ascii="Verdana" w:hAnsi="Verdana"/>
          <w:sz w:val="18"/>
          <w:szCs w:val="18"/>
        </w:rPr>
        <w:t xml:space="preserve">. </w:t>
      </w:r>
      <w:r>
        <w:rPr>
          <w:rFonts w:ascii="Verdana" w:hAnsi="Verdana"/>
          <w:sz w:val="18"/>
          <w:szCs w:val="18"/>
        </w:rPr>
        <w:t>De Commissie geeft aan dat</w:t>
      </w:r>
      <w:r w:rsidRPr="00F7798C">
        <w:rPr>
          <w:rFonts w:ascii="Verdana" w:hAnsi="Verdana"/>
          <w:sz w:val="18"/>
          <w:szCs w:val="18"/>
        </w:rPr>
        <w:t xml:space="preserve"> de chemische industrie een strategische pijler van het Europese industriële ecosysteem</w:t>
      </w:r>
      <w:r>
        <w:rPr>
          <w:rFonts w:ascii="Verdana" w:hAnsi="Verdana"/>
          <w:sz w:val="18"/>
          <w:szCs w:val="18"/>
        </w:rPr>
        <w:t xml:space="preserve"> is</w:t>
      </w:r>
      <w:r w:rsidRPr="00F7798C">
        <w:rPr>
          <w:rFonts w:ascii="Verdana" w:hAnsi="Verdana"/>
          <w:sz w:val="18"/>
          <w:szCs w:val="18"/>
        </w:rPr>
        <w:t xml:space="preserve">, met sterke verwevenheid in </w:t>
      </w:r>
      <w:proofErr w:type="spellStart"/>
      <w:r w:rsidRPr="00F7798C">
        <w:rPr>
          <w:rFonts w:ascii="Verdana" w:hAnsi="Verdana"/>
          <w:sz w:val="18"/>
          <w:szCs w:val="18"/>
        </w:rPr>
        <w:t>waardeketens</w:t>
      </w:r>
      <w:proofErr w:type="spellEnd"/>
      <w:r w:rsidRPr="00F7798C">
        <w:rPr>
          <w:rFonts w:ascii="Verdana" w:hAnsi="Verdana"/>
          <w:sz w:val="18"/>
          <w:szCs w:val="18"/>
        </w:rPr>
        <w:t xml:space="preserve"> als defensie, </w:t>
      </w:r>
      <w:proofErr w:type="spellStart"/>
      <w:r w:rsidRPr="00F7798C">
        <w:rPr>
          <w:rFonts w:ascii="Verdana" w:hAnsi="Verdana"/>
          <w:sz w:val="18"/>
          <w:szCs w:val="18"/>
        </w:rPr>
        <w:t>cleantech</w:t>
      </w:r>
      <w:proofErr w:type="spellEnd"/>
      <w:r w:rsidR="00C36B6B">
        <w:rPr>
          <w:rFonts w:ascii="Verdana" w:hAnsi="Verdana"/>
          <w:sz w:val="18"/>
          <w:szCs w:val="18"/>
        </w:rPr>
        <w:t xml:space="preserve"> en digitale toepassingen</w:t>
      </w:r>
      <w:r w:rsidRPr="58BD48B3" w:rsidR="68BA2913">
        <w:rPr>
          <w:rFonts w:ascii="Verdana" w:hAnsi="Verdana" w:eastAsia="Verdana" w:cs="Verdana"/>
          <w:sz w:val="18"/>
          <w:szCs w:val="18"/>
        </w:rPr>
        <w:t xml:space="preserve">, waardoor </w:t>
      </w:r>
      <w:r w:rsidR="0003403F">
        <w:rPr>
          <w:rFonts w:ascii="Verdana" w:hAnsi="Verdana" w:eastAsia="Verdana" w:cs="Verdana"/>
          <w:sz w:val="18"/>
          <w:szCs w:val="18"/>
        </w:rPr>
        <w:t xml:space="preserve">zij </w:t>
      </w:r>
      <w:r w:rsidR="00980883">
        <w:rPr>
          <w:rFonts w:ascii="Verdana" w:hAnsi="Verdana" w:eastAsia="Verdana" w:cs="Verdana"/>
          <w:sz w:val="18"/>
          <w:szCs w:val="18"/>
        </w:rPr>
        <w:t>bijdraagt</w:t>
      </w:r>
      <w:r w:rsidRPr="58BD48B3" w:rsidR="68BA2913">
        <w:rPr>
          <w:rFonts w:ascii="Verdana" w:hAnsi="Verdana" w:eastAsia="Verdana" w:cs="Verdana"/>
          <w:sz w:val="18"/>
          <w:szCs w:val="18"/>
        </w:rPr>
        <w:t xml:space="preserve"> aan </w:t>
      </w:r>
      <w:r w:rsidR="00143275">
        <w:rPr>
          <w:rFonts w:ascii="Verdana" w:hAnsi="Verdana" w:eastAsia="Verdana" w:cs="Verdana"/>
          <w:sz w:val="18"/>
          <w:szCs w:val="18"/>
        </w:rPr>
        <w:t xml:space="preserve">meer dan </w:t>
      </w:r>
      <w:r w:rsidRPr="58BD48B3" w:rsidR="68BA2913">
        <w:rPr>
          <w:rFonts w:ascii="Verdana" w:hAnsi="Verdana" w:eastAsia="Verdana" w:cs="Verdana"/>
          <w:sz w:val="18"/>
          <w:szCs w:val="18"/>
        </w:rPr>
        <w:t xml:space="preserve">96% van </w:t>
      </w:r>
      <w:r w:rsidR="00980883">
        <w:rPr>
          <w:rFonts w:ascii="Verdana" w:hAnsi="Verdana" w:eastAsia="Verdana" w:cs="Verdana"/>
          <w:sz w:val="18"/>
          <w:szCs w:val="18"/>
        </w:rPr>
        <w:t>alle</w:t>
      </w:r>
      <w:r w:rsidRPr="58BD48B3" w:rsidR="00980883">
        <w:rPr>
          <w:rFonts w:ascii="Verdana" w:hAnsi="Verdana" w:eastAsia="Verdana" w:cs="Verdana"/>
          <w:sz w:val="18"/>
          <w:szCs w:val="18"/>
        </w:rPr>
        <w:t xml:space="preserve"> </w:t>
      </w:r>
      <w:r w:rsidR="009D7C5B">
        <w:rPr>
          <w:rFonts w:ascii="Verdana" w:hAnsi="Verdana" w:eastAsia="Verdana" w:cs="Verdana"/>
          <w:sz w:val="18"/>
          <w:szCs w:val="18"/>
        </w:rPr>
        <w:t>vervaardigde</w:t>
      </w:r>
      <w:r w:rsidRPr="58BD48B3" w:rsidR="009D7C5B">
        <w:rPr>
          <w:rFonts w:ascii="Verdana" w:hAnsi="Verdana" w:eastAsia="Verdana" w:cs="Verdana"/>
          <w:sz w:val="18"/>
          <w:szCs w:val="18"/>
        </w:rPr>
        <w:t xml:space="preserve"> </w:t>
      </w:r>
      <w:r w:rsidRPr="58BD48B3" w:rsidR="68BA2913">
        <w:rPr>
          <w:rFonts w:ascii="Verdana" w:hAnsi="Verdana" w:eastAsia="Verdana" w:cs="Verdana"/>
          <w:sz w:val="18"/>
          <w:szCs w:val="18"/>
        </w:rPr>
        <w:t>goederen</w:t>
      </w:r>
      <w:r w:rsidRPr="00F7798C">
        <w:rPr>
          <w:rFonts w:ascii="Verdana" w:hAnsi="Verdana"/>
          <w:sz w:val="18"/>
          <w:szCs w:val="18"/>
        </w:rPr>
        <w:t xml:space="preserve">. Tegelijkertijd signaleert de Commissie een verslechterend concurrentie- en investeringsklimaat. De sector </w:t>
      </w:r>
      <w:r>
        <w:rPr>
          <w:rFonts w:ascii="Verdana" w:hAnsi="Verdana"/>
          <w:sz w:val="18"/>
          <w:szCs w:val="18"/>
        </w:rPr>
        <w:t>wordt</w:t>
      </w:r>
      <w:r w:rsidRPr="00F7798C">
        <w:rPr>
          <w:rFonts w:ascii="Verdana" w:hAnsi="Verdana"/>
          <w:sz w:val="18"/>
          <w:szCs w:val="18"/>
        </w:rPr>
        <w:t xml:space="preserve"> geconfronteerd met </w:t>
      </w:r>
      <w:r w:rsidR="000E7E54">
        <w:rPr>
          <w:rFonts w:ascii="Verdana" w:hAnsi="Verdana"/>
          <w:sz w:val="18"/>
          <w:szCs w:val="18"/>
        </w:rPr>
        <w:t>sig</w:t>
      </w:r>
      <w:r w:rsidR="00C25B0D">
        <w:rPr>
          <w:rFonts w:ascii="Verdana" w:hAnsi="Verdana"/>
          <w:sz w:val="18"/>
          <w:szCs w:val="18"/>
        </w:rPr>
        <w:t>nificante</w:t>
      </w:r>
      <w:r w:rsidRPr="00F7798C" w:rsidR="000E7E54">
        <w:rPr>
          <w:rFonts w:ascii="Verdana" w:hAnsi="Verdana"/>
          <w:sz w:val="18"/>
          <w:szCs w:val="18"/>
        </w:rPr>
        <w:t xml:space="preserve"> </w:t>
      </w:r>
      <w:r w:rsidRPr="00F7798C">
        <w:rPr>
          <w:rFonts w:ascii="Verdana" w:hAnsi="Verdana"/>
          <w:sz w:val="18"/>
          <w:szCs w:val="18"/>
        </w:rPr>
        <w:t>uitdagingen als hoge energieprijzen, een stijgende afhankelijkheid van derde landen, achterblijvende innovatie-</w:t>
      </w:r>
      <w:r w:rsidRPr="00F7798C">
        <w:rPr>
          <w:rFonts w:ascii="Verdana" w:hAnsi="Verdana"/>
          <w:sz w:val="18"/>
          <w:szCs w:val="18"/>
        </w:rPr>
        <w:lastRenderedPageBreak/>
        <w:t>investeringen</w:t>
      </w:r>
      <w:r w:rsidR="00337003">
        <w:rPr>
          <w:rFonts w:ascii="Verdana" w:hAnsi="Verdana"/>
          <w:sz w:val="18"/>
          <w:szCs w:val="18"/>
        </w:rPr>
        <w:t>, lage marktvraag</w:t>
      </w:r>
      <w:r w:rsidRPr="00F7798C">
        <w:rPr>
          <w:rFonts w:ascii="Verdana" w:hAnsi="Verdana"/>
          <w:sz w:val="18"/>
          <w:szCs w:val="18"/>
        </w:rPr>
        <w:t xml:space="preserve"> en toenemende regeldruk. Het mondiale marktaandeel van de Europese chemie is de afgelopen twintig jaar gehalveerd, en de EU dreigt belangrijke </w:t>
      </w:r>
      <w:r w:rsidRPr="2876F6D4">
        <w:rPr>
          <w:rFonts w:ascii="Verdana" w:hAnsi="Verdana"/>
          <w:sz w:val="18"/>
          <w:szCs w:val="18"/>
        </w:rPr>
        <w:t xml:space="preserve">schakelposities </w:t>
      </w:r>
      <w:r w:rsidRPr="00F7798C">
        <w:rPr>
          <w:rFonts w:ascii="Verdana" w:hAnsi="Verdana"/>
          <w:sz w:val="18"/>
          <w:szCs w:val="18"/>
        </w:rPr>
        <w:t>in de waardeketen te verliezen.</w:t>
      </w:r>
      <w:r w:rsidRPr="009768FE" w:rsidR="009768FE">
        <w:rPr>
          <w:rFonts w:ascii="Verdana" w:hAnsi="Verdana"/>
          <w:sz w:val="18"/>
          <w:szCs w:val="18"/>
        </w:rPr>
        <w:t xml:space="preserve"> </w:t>
      </w:r>
      <w:r w:rsidR="009768FE">
        <w:rPr>
          <w:rFonts w:ascii="Verdana" w:hAnsi="Verdana"/>
          <w:sz w:val="18"/>
          <w:szCs w:val="18"/>
        </w:rPr>
        <w:t xml:space="preserve">Tegelijkertijd moet de industrie omschakelen naar een schoon en circulair model, dat innovatie omarmt, mondiaal concurrentievermogen versterkt en </w:t>
      </w:r>
      <w:r w:rsidR="009443A4">
        <w:rPr>
          <w:rFonts w:ascii="Verdana" w:hAnsi="Verdana"/>
          <w:sz w:val="18"/>
          <w:szCs w:val="18"/>
        </w:rPr>
        <w:t xml:space="preserve">de volksgezondheid en </w:t>
      </w:r>
      <w:r w:rsidR="009768FE">
        <w:rPr>
          <w:rFonts w:ascii="Verdana" w:hAnsi="Verdana"/>
          <w:sz w:val="18"/>
          <w:szCs w:val="18"/>
        </w:rPr>
        <w:t>leefomgeving beschermt.</w:t>
      </w:r>
    </w:p>
    <w:p w:rsidRPr="00F7798C" w:rsidR="00F7798C" w:rsidP="00F7798C" w:rsidRDefault="00F7798C" w14:paraId="38A5F37B" w14:textId="77777777">
      <w:pPr>
        <w:tabs>
          <w:tab w:val="left" w:pos="360"/>
          <w:tab w:val="left" w:pos="4500"/>
          <w:tab w:val="left" w:pos="5580"/>
        </w:tabs>
        <w:spacing w:line="360" w:lineRule="auto"/>
        <w:rPr>
          <w:rFonts w:ascii="Verdana" w:hAnsi="Verdana"/>
          <w:sz w:val="18"/>
          <w:szCs w:val="18"/>
        </w:rPr>
      </w:pPr>
    </w:p>
    <w:p w:rsidRPr="00F7798C" w:rsidR="00F7798C" w:rsidP="00F7798C" w:rsidRDefault="48E88FB6" w14:paraId="43E6DF61" w14:textId="7D91DF18">
      <w:pPr>
        <w:tabs>
          <w:tab w:val="left" w:pos="360"/>
          <w:tab w:val="left" w:pos="4500"/>
          <w:tab w:val="left" w:pos="5580"/>
        </w:tabs>
        <w:spacing w:line="360" w:lineRule="auto"/>
        <w:rPr>
          <w:rFonts w:ascii="Verdana" w:hAnsi="Verdana"/>
          <w:sz w:val="18"/>
          <w:szCs w:val="18"/>
        </w:rPr>
      </w:pPr>
      <w:r w:rsidRPr="7DAB08D3">
        <w:rPr>
          <w:rFonts w:ascii="Verdana" w:hAnsi="Verdana"/>
          <w:sz w:val="18"/>
          <w:szCs w:val="18"/>
        </w:rPr>
        <w:t>Het actieplan bestaat uit vier sporen</w:t>
      </w:r>
      <w:r w:rsidRPr="7DAB08D3" w:rsidR="7E4669A8">
        <w:rPr>
          <w:rFonts w:ascii="Verdana" w:hAnsi="Verdana"/>
          <w:sz w:val="18"/>
          <w:szCs w:val="18"/>
        </w:rPr>
        <w:t xml:space="preserve">: 1) versterken van de veerkracht; 2) </w:t>
      </w:r>
      <w:r w:rsidR="00CC50B0">
        <w:rPr>
          <w:rFonts w:ascii="Verdana" w:hAnsi="Verdana"/>
          <w:sz w:val="18"/>
          <w:szCs w:val="18"/>
        </w:rPr>
        <w:t xml:space="preserve">verzekeren van </w:t>
      </w:r>
      <w:r w:rsidR="003D1BA0">
        <w:rPr>
          <w:rFonts w:ascii="Verdana" w:hAnsi="Verdana"/>
          <w:sz w:val="18"/>
          <w:szCs w:val="18"/>
        </w:rPr>
        <w:t xml:space="preserve">een </w:t>
      </w:r>
      <w:r w:rsidR="00A229E9">
        <w:rPr>
          <w:rFonts w:ascii="Verdana" w:hAnsi="Verdana"/>
          <w:sz w:val="18"/>
          <w:szCs w:val="18"/>
        </w:rPr>
        <w:t xml:space="preserve">betaalbare </w:t>
      </w:r>
      <w:r w:rsidR="00972C6C">
        <w:rPr>
          <w:rFonts w:ascii="Verdana" w:hAnsi="Verdana"/>
          <w:sz w:val="18"/>
          <w:szCs w:val="18"/>
        </w:rPr>
        <w:t>energie</w:t>
      </w:r>
      <w:r w:rsidR="003D1BA0">
        <w:rPr>
          <w:rFonts w:ascii="Verdana" w:hAnsi="Verdana"/>
          <w:sz w:val="18"/>
          <w:szCs w:val="18"/>
        </w:rPr>
        <w:t>voorziening</w:t>
      </w:r>
      <w:r w:rsidR="00972C6C">
        <w:rPr>
          <w:rFonts w:ascii="Verdana" w:hAnsi="Verdana"/>
          <w:sz w:val="18"/>
          <w:szCs w:val="18"/>
        </w:rPr>
        <w:t xml:space="preserve">, </w:t>
      </w:r>
      <w:r w:rsidR="00DD0FCB">
        <w:rPr>
          <w:rFonts w:ascii="Verdana" w:hAnsi="Verdana"/>
          <w:sz w:val="18"/>
          <w:szCs w:val="18"/>
        </w:rPr>
        <w:t xml:space="preserve">ondersteunen van </w:t>
      </w:r>
      <w:proofErr w:type="spellStart"/>
      <w:r w:rsidR="00DD0FCB">
        <w:rPr>
          <w:rFonts w:ascii="Verdana" w:hAnsi="Verdana"/>
          <w:sz w:val="18"/>
          <w:szCs w:val="18"/>
        </w:rPr>
        <w:t>decarbonisatie</w:t>
      </w:r>
      <w:proofErr w:type="spellEnd"/>
      <w:r w:rsidR="00DD0FCB">
        <w:rPr>
          <w:rFonts w:ascii="Verdana" w:hAnsi="Verdana"/>
          <w:sz w:val="18"/>
          <w:szCs w:val="18"/>
        </w:rPr>
        <w:t xml:space="preserve"> en </w:t>
      </w:r>
      <w:r w:rsidR="00B55C37">
        <w:rPr>
          <w:rFonts w:ascii="Verdana" w:hAnsi="Verdana"/>
          <w:sz w:val="18"/>
          <w:szCs w:val="18"/>
        </w:rPr>
        <w:t>verschuiv</w:t>
      </w:r>
      <w:r w:rsidR="00A3039E">
        <w:rPr>
          <w:rFonts w:ascii="Verdana" w:hAnsi="Verdana"/>
          <w:sz w:val="18"/>
          <w:szCs w:val="18"/>
        </w:rPr>
        <w:t>en naar een schone en circulaire economie; 3</w:t>
      </w:r>
      <w:r w:rsidRPr="7DAB08D3" w:rsidR="1EAC0262">
        <w:rPr>
          <w:rFonts w:ascii="Verdana" w:hAnsi="Verdana"/>
          <w:sz w:val="18"/>
          <w:szCs w:val="18"/>
        </w:rPr>
        <w:t>)</w:t>
      </w:r>
      <w:r w:rsidR="00173A7A">
        <w:rPr>
          <w:rFonts w:ascii="Verdana" w:hAnsi="Verdana"/>
          <w:sz w:val="18"/>
          <w:szCs w:val="18"/>
        </w:rPr>
        <w:t xml:space="preserve"> </w:t>
      </w:r>
      <w:r w:rsidR="00B44529">
        <w:rPr>
          <w:rFonts w:ascii="Verdana" w:hAnsi="Verdana"/>
          <w:sz w:val="18"/>
          <w:szCs w:val="18"/>
        </w:rPr>
        <w:t>marktcreatie</w:t>
      </w:r>
      <w:r w:rsidR="009E42C4">
        <w:rPr>
          <w:rFonts w:ascii="Verdana" w:hAnsi="Verdana"/>
          <w:sz w:val="18"/>
          <w:szCs w:val="18"/>
        </w:rPr>
        <w:t xml:space="preserve"> en </w:t>
      </w:r>
      <w:r w:rsidR="006B62E6">
        <w:rPr>
          <w:rFonts w:ascii="Verdana" w:hAnsi="Verdana"/>
          <w:sz w:val="18"/>
          <w:szCs w:val="18"/>
        </w:rPr>
        <w:t xml:space="preserve">promoten van innovatie; en 4) </w:t>
      </w:r>
      <w:r w:rsidR="00A9508D">
        <w:rPr>
          <w:rFonts w:ascii="Verdana" w:hAnsi="Verdana"/>
          <w:sz w:val="18"/>
          <w:szCs w:val="18"/>
        </w:rPr>
        <w:t xml:space="preserve">vereenvoudiging </w:t>
      </w:r>
      <w:r w:rsidR="006B62E6">
        <w:rPr>
          <w:rFonts w:ascii="Verdana" w:hAnsi="Verdana"/>
          <w:sz w:val="18"/>
          <w:szCs w:val="18"/>
        </w:rPr>
        <w:t xml:space="preserve">van </w:t>
      </w:r>
      <w:r w:rsidR="00CC2224">
        <w:rPr>
          <w:rFonts w:ascii="Verdana" w:hAnsi="Verdana"/>
          <w:sz w:val="18"/>
          <w:szCs w:val="18"/>
        </w:rPr>
        <w:t>regelgeving</w:t>
      </w:r>
      <w:r w:rsidR="00F230D0">
        <w:rPr>
          <w:rFonts w:ascii="Verdana" w:hAnsi="Verdana"/>
          <w:sz w:val="18"/>
          <w:szCs w:val="18"/>
        </w:rPr>
        <w:t>.</w:t>
      </w:r>
      <w:r w:rsidR="00050B9E">
        <w:rPr>
          <w:rFonts w:ascii="Verdana" w:hAnsi="Verdana"/>
          <w:sz w:val="18"/>
          <w:szCs w:val="18"/>
        </w:rPr>
        <w:t xml:space="preserve"> Onder deze vier sporen</w:t>
      </w:r>
      <w:r w:rsidR="00BB2ED2">
        <w:rPr>
          <w:rFonts w:ascii="Verdana" w:hAnsi="Verdana"/>
          <w:sz w:val="18"/>
          <w:szCs w:val="18"/>
        </w:rPr>
        <w:t xml:space="preserve"> worden</w:t>
      </w:r>
      <w:r w:rsidRPr="7DAB08D3">
        <w:rPr>
          <w:rFonts w:ascii="Verdana" w:hAnsi="Verdana"/>
          <w:sz w:val="18"/>
          <w:szCs w:val="18"/>
        </w:rPr>
        <w:t xml:space="preserve"> verscheidene maatregelen geschaard</w:t>
      </w:r>
      <w:r w:rsidR="00BB2ED2">
        <w:rPr>
          <w:rFonts w:ascii="Verdana" w:hAnsi="Verdana"/>
          <w:sz w:val="18"/>
          <w:szCs w:val="18"/>
        </w:rPr>
        <w:t>,</w:t>
      </w:r>
      <w:r w:rsidRPr="7DAB08D3">
        <w:rPr>
          <w:rFonts w:ascii="Verdana" w:hAnsi="Verdana"/>
          <w:sz w:val="18"/>
          <w:szCs w:val="18"/>
        </w:rPr>
        <w:t xml:space="preserve"> die deels via wetgevingsvoorstellen en deels via beleidsinitiatieven zullen worden uitgewerkt.</w:t>
      </w:r>
    </w:p>
    <w:p w:rsidRPr="00F7798C" w:rsidR="00F7798C" w:rsidP="00F7798C" w:rsidRDefault="00F7798C" w14:paraId="0B1457D8" w14:textId="77777777">
      <w:pPr>
        <w:tabs>
          <w:tab w:val="left" w:pos="360"/>
          <w:tab w:val="left" w:pos="4500"/>
          <w:tab w:val="left" w:pos="5580"/>
        </w:tabs>
        <w:spacing w:line="360" w:lineRule="auto"/>
        <w:rPr>
          <w:rFonts w:ascii="Verdana" w:hAnsi="Verdana"/>
          <w:sz w:val="18"/>
          <w:szCs w:val="18"/>
        </w:rPr>
      </w:pPr>
    </w:p>
    <w:p w:rsidR="00F7798C" w:rsidP="00F7798C" w:rsidRDefault="00F7798C" w14:paraId="1D2B5378" w14:textId="7BBE83E6">
      <w:pPr>
        <w:tabs>
          <w:tab w:val="left" w:pos="360"/>
          <w:tab w:val="left" w:pos="4500"/>
          <w:tab w:val="left" w:pos="5580"/>
        </w:tabs>
        <w:spacing w:line="360" w:lineRule="auto"/>
        <w:rPr>
          <w:rFonts w:ascii="Verdana" w:hAnsi="Verdana"/>
          <w:sz w:val="18"/>
          <w:szCs w:val="18"/>
        </w:rPr>
      </w:pPr>
      <w:r w:rsidRPr="00F7798C">
        <w:rPr>
          <w:rFonts w:ascii="Verdana" w:hAnsi="Verdana"/>
          <w:sz w:val="18"/>
          <w:szCs w:val="18"/>
        </w:rPr>
        <w:t>In het eerste spoor staa</w:t>
      </w:r>
      <w:r w:rsidR="00E72D20">
        <w:rPr>
          <w:rFonts w:ascii="Verdana" w:hAnsi="Verdana"/>
          <w:sz w:val="18"/>
          <w:szCs w:val="18"/>
        </w:rPr>
        <w:t>n</w:t>
      </w:r>
      <w:r w:rsidR="00CE3CD7">
        <w:rPr>
          <w:rFonts w:ascii="Verdana" w:hAnsi="Verdana"/>
          <w:sz w:val="18"/>
          <w:szCs w:val="18"/>
        </w:rPr>
        <w:t xml:space="preserve"> veerkracht en</w:t>
      </w:r>
      <w:r w:rsidRPr="00F7798C">
        <w:rPr>
          <w:rFonts w:ascii="Verdana" w:hAnsi="Verdana"/>
          <w:sz w:val="18"/>
          <w:szCs w:val="18"/>
        </w:rPr>
        <w:t xml:space="preserve"> het behoud en herstel van strategische productiecapaciteit in Europa centraal. De Commissie kondigt de oprichting aan van een </w:t>
      </w:r>
      <w:r w:rsidRPr="00E05554">
        <w:rPr>
          <w:rFonts w:ascii="Verdana" w:hAnsi="Verdana"/>
          <w:i/>
          <w:iCs/>
          <w:sz w:val="18"/>
          <w:szCs w:val="18"/>
        </w:rPr>
        <w:t xml:space="preserve">Critical </w:t>
      </w:r>
      <w:proofErr w:type="spellStart"/>
      <w:r w:rsidRPr="00E05554">
        <w:rPr>
          <w:rFonts w:ascii="Verdana" w:hAnsi="Verdana"/>
          <w:i/>
          <w:iCs/>
          <w:sz w:val="18"/>
          <w:szCs w:val="18"/>
        </w:rPr>
        <w:t>Chemicals</w:t>
      </w:r>
      <w:proofErr w:type="spellEnd"/>
      <w:r w:rsidRPr="00E05554">
        <w:rPr>
          <w:rFonts w:ascii="Verdana" w:hAnsi="Verdana"/>
          <w:i/>
          <w:iCs/>
          <w:sz w:val="18"/>
          <w:szCs w:val="18"/>
        </w:rPr>
        <w:t xml:space="preserve"> Alliance</w:t>
      </w:r>
      <w:r w:rsidRPr="00F7798C">
        <w:rPr>
          <w:rFonts w:ascii="Verdana" w:hAnsi="Verdana"/>
          <w:sz w:val="18"/>
          <w:szCs w:val="18"/>
        </w:rPr>
        <w:t>, die tot doel heeft om samen met lidstaten</w:t>
      </w:r>
      <w:r w:rsidR="00493C8A">
        <w:rPr>
          <w:rFonts w:ascii="Verdana" w:hAnsi="Verdana"/>
          <w:sz w:val="18"/>
          <w:szCs w:val="18"/>
        </w:rPr>
        <w:t xml:space="preserve"> en stakeholders </w:t>
      </w:r>
      <w:r w:rsidRPr="00F7798C">
        <w:rPr>
          <w:rFonts w:ascii="Verdana" w:hAnsi="Verdana"/>
          <w:sz w:val="18"/>
          <w:szCs w:val="18"/>
        </w:rPr>
        <w:t>knelpunten in cruciale chemieproductie</w:t>
      </w:r>
      <w:r w:rsidR="007E233A">
        <w:rPr>
          <w:rFonts w:ascii="Verdana" w:hAnsi="Verdana"/>
          <w:sz w:val="18"/>
          <w:szCs w:val="18"/>
        </w:rPr>
        <w:t>, risico’s van sluitingen</w:t>
      </w:r>
      <w:r w:rsidRPr="00F7798C">
        <w:rPr>
          <w:rFonts w:ascii="Verdana" w:hAnsi="Verdana"/>
          <w:sz w:val="18"/>
          <w:szCs w:val="18"/>
        </w:rPr>
        <w:t xml:space="preserve"> </w:t>
      </w:r>
      <w:r w:rsidR="00493C8A">
        <w:rPr>
          <w:rFonts w:ascii="Verdana" w:hAnsi="Verdana"/>
          <w:sz w:val="18"/>
          <w:szCs w:val="18"/>
        </w:rPr>
        <w:t xml:space="preserve">en verstoringen in handelsstromen </w:t>
      </w:r>
      <w:r w:rsidRPr="00F7798C">
        <w:rPr>
          <w:rFonts w:ascii="Verdana" w:hAnsi="Verdana"/>
          <w:sz w:val="18"/>
          <w:szCs w:val="18"/>
        </w:rPr>
        <w:t>te identificeren</w:t>
      </w:r>
      <w:r w:rsidR="00493C8A">
        <w:rPr>
          <w:rFonts w:ascii="Verdana" w:hAnsi="Verdana"/>
          <w:sz w:val="18"/>
          <w:szCs w:val="18"/>
        </w:rPr>
        <w:t xml:space="preserve">. Daarnaast zal de Alliantie criteria ontwikkelen om moleculen </w:t>
      </w:r>
      <w:r w:rsidR="003C5C81">
        <w:rPr>
          <w:rFonts w:ascii="Verdana" w:hAnsi="Verdana"/>
          <w:sz w:val="18"/>
          <w:szCs w:val="18"/>
        </w:rPr>
        <w:t>en chemie</w:t>
      </w:r>
      <w:r w:rsidR="00C72E39">
        <w:rPr>
          <w:rFonts w:ascii="Verdana" w:hAnsi="Verdana"/>
          <w:sz w:val="18"/>
          <w:szCs w:val="18"/>
        </w:rPr>
        <w:t>-</w:t>
      </w:r>
      <w:r w:rsidR="003C5C81">
        <w:rPr>
          <w:rFonts w:ascii="Verdana" w:hAnsi="Verdana"/>
          <w:sz w:val="18"/>
          <w:szCs w:val="18"/>
        </w:rPr>
        <w:t xml:space="preserve">installaties </w:t>
      </w:r>
      <w:r w:rsidR="00D43D2E">
        <w:rPr>
          <w:rFonts w:ascii="Verdana" w:hAnsi="Verdana"/>
          <w:sz w:val="18"/>
          <w:szCs w:val="18"/>
        </w:rPr>
        <w:t>(</w:t>
      </w:r>
      <w:r w:rsidRPr="00BD7CE0" w:rsidR="000E74DF">
        <w:rPr>
          <w:rFonts w:ascii="Verdana" w:hAnsi="Verdana"/>
          <w:i/>
          <w:iCs/>
          <w:sz w:val="18"/>
          <w:szCs w:val="18"/>
        </w:rPr>
        <w:t xml:space="preserve">EU </w:t>
      </w:r>
      <w:r w:rsidR="000E74DF">
        <w:rPr>
          <w:rFonts w:ascii="Verdana" w:hAnsi="Verdana"/>
          <w:i/>
          <w:iCs/>
          <w:sz w:val="18"/>
          <w:szCs w:val="18"/>
        </w:rPr>
        <w:t xml:space="preserve">Critical </w:t>
      </w:r>
      <w:proofErr w:type="spellStart"/>
      <w:r w:rsidR="000E74DF">
        <w:rPr>
          <w:rFonts w:ascii="Verdana" w:hAnsi="Verdana"/>
          <w:i/>
          <w:iCs/>
          <w:sz w:val="18"/>
          <w:szCs w:val="18"/>
        </w:rPr>
        <w:t>Chemicals</w:t>
      </w:r>
      <w:proofErr w:type="spellEnd"/>
      <w:r w:rsidR="000E74DF">
        <w:rPr>
          <w:rFonts w:ascii="Verdana" w:hAnsi="Verdana"/>
          <w:i/>
          <w:iCs/>
          <w:sz w:val="18"/>
          <w:szCs w:val="18"/>
        </w:rPr>
        <w:t xml:space="preserve"> Sites</w:t>
      </w:r>
      <w:r w:rsidR="000E74DF">
        <w:rPr>
          <w:rFonts w:ascii="Verdana" w:hAnsi="Verdana"/>
          <w:sz w:val="18"/>
          <w:szCs w:val="18"/>
        </w:rPr>
        <w:t xml:space="preserve">; NL: </w:t>
      </w:r>
      <w:r w:rsidRPr="2876F6D4" w:rsidR="000E74DF">
        <w:rPr>
          <w:rFonts w:ascii="Verdana" w:hAnsi="Verdana"/>
          <w:sz w:val="18"/>
          <w:szCs w:val="18"/>
        </w:rPr>
        <w:t xml:space="preserve">Kritieke Chemische </w:t>
      </w:r>
      <w:r w:rsidR="000E74DF">
        <w:rPr>
          <w:rFonts w:ascii="Verdana" w:hAnsi="Verdana"/>
          <w:sz w:val="18"/>
          <w:szCs w:val="18"/>
        </w:rPr>
        <w:t>Productlocaties</w:t>
      </w:r>
      <w:r w:rsidR="00D43D2E">
        <w:rPr>
          <w:rFonts w:ascii="Verdana" w:hAnsi="Verdana"/>
          <w:sz w:val="18"/>
          <w:szCs w:val="18"/>
        </w:rPr>
        <w:t xml:space="preserve">) </w:t>
      </w:r>
      <w:r w:rsidR="00493C8A">
        <w:rPr>
          <w:rFonts w:ascii="Verdana" w:hAnsi="Verdana"/>
          <w:sz w:val="18"/>
          <w:szCs w:val="18"/>
        </w:rPr>
        <w:t xml:space="preserve">te </w:t>
      </w:r>
      <w:r w:rsidR="002E7D9C">
        <w:rPr>
          <w:rFonts w:ascii="Verdana" w:hAnsi="Verdana"/>
          <w:sz w:val="18"/>
          <w:szCs w:val="18"/>
        </w:rPr>
        <w:t>identificeren</w:t>
      </w:r>
      <w:r w:rsidR="00493C8A">
        <w:rPr>
          <w:rFonts w:ascii="Verdana" w:hAnsi="Verdana"/>
          <w:sz w:val="18"/>
          <w:szCs w:val="18"/>
        </w:rPr>
        <w:t xml:space="preserve"> die kritiek zijn voor de strategische doelen van de EU. Deze aanduiding zou als basis kunnen dienen voor een mogelijk wetgevend voorstel. </w:t>
      </w:r>
      <w:r w:rsidR="003C5C81">
        <w:rPr>
          <w:rFonts w:ascii="Verdana" w:hAnsi="Verdana"/>
          <w:sz w:val="18"/>
          <w:szCs w:val="18"/>
        </w:rPr>
        <w:t xml:space="preserve">Ook </w:t>
      </w:r>
      <w:r w:rsidR="00473542">
        <w:rPr>
          <w:rFonts w:ascii="Verdana" w:hAnsi="Verdana"/>
          <w:sz w:val="18"/>
          <w:szCs w:val="18"/>
        </w:rPr>
        <w:t>het in lijn brengen van EU- en lidstaat</w:t>
      </w:r>
      <w:r w:rsidR="003C5C81">
        <w:rPr>
          <w:rFonts w:ascii="Verdana" w:hAnsi="Verdana"/>
          <w:sz w:val="18"/>
          <w:szCs w:val="18"/>
        </w:rPr>
        <w:t>investeringen (o.a. via IPCEI-trajecten</w:t>
      </w:r>
      <w:r w:rsidR="00C069C5">
        <w:rPr>
          <w:rStyle w:val="FootnoteReference"/>
          <w:rFonts w:ascii="Verdana" w:hAnsi="Verdana"/>
          <w:sz w:val="18"/>
          <w:szCs w:val="18"/>
        </w:rPr>
        <w:footnoteReference w:id="5"/>
      </w:r>
      <w:r w:rsidR="003C5C81">
        <w:rPr>
          <w:rFonts w:ascii="Verdana" w:hAnsi="Verdana"/>
          <w:sz w:val="18"/>
          <w:szCs w:val="18"/>
        </w:rPr>
        <w:t xml:space="preserve">) </w:t>
      </w:r>
      <w:r w:rsidR="00473542">
        <w:rPr>
          <w:rFonts w:ascii="Verdana" w:hAnsi="Verdana"/>
          <w:sz w:val="18"/>
          <w:szCs w:val="18"/>
        </w:rPr>
        <w:t xml:space="preserve">zal </w:t>
      </w:r>
      <w:r w:rsidR="00A400ED">
        <w:rPr>
          <w:rFonts w:ascii="Verdana" w:hAnsi="Verdana"/>
          <w:sz w:val="18"/>
          <w:szCs w:val="18"/>
        </w:rPr>
        <w:t xml:space="preserve">worden </w:t>
      </w:r>
      <w:r w:rsidR="003C5C81">
        <w:rPr>
          <w:rFonts w:ascii="Verdana" w:hAnsi="Verdana"/>
          <w:sz w:val="18"/>
          <w:szCs w:val="18"/>
        </w:rPr>
        <w:t xml:space="preserve">ondersteund door de </w:t>
      </w:r>
      <w:r w:rsidR="00883351">
        <w:rPr>
          <w:rFonts w:ascii="Verdana" w:hAnsi="Verdana"/>
          <w:sz w:val="18"/>
          <w:szCs w:val="18"/>
        </w:rPr>
        <w:t>A</w:t>
      </w:r>
      <w:r w:rsidR="003C5C81">
        <w:rPr>
          <w:rFonts w:ascii="Verdana" w:hAnsi="Verdana"/>
          <w:sz w:val="18"/>
          <w:szCs w:val="18"/>
        </w:rPr>
        <w:t xml:space="preserve">lliantie. </w:t>
      </w:r>
    </w:p>
    <w:p w:rsidRPr="00F7798C" w:rsidR="008548A7" w:rsidP="00F7798C" w:rsidRDefault="008548A7" w14:paraId="2CCA2020" w14:textId="77777777">
      <w:pPr>
        <w:tabs>
          <w:tab w:val="left" w:pos="360"/>
          <w:tab w:val="left" w:pos="4500"/>
          <w:tab w:val="left" w:pos="5580"/>
        </w:tabs>
        <w:spacing w:line="360" w:lineRule="auto"/>
        <w:rPr>
          <w:rFonts w:ascii="Verdana" w:hAnsi="Verdana"/>
          <w:sz w:val="18"/>
          <w:szCs w:val="18"/>
        </w:rPr>
      </w:pPr>
    </w:p>
    <w:p w:rsidRPr="00F7798C" w:rsidR="00F7798C" w:rsidP="00F7798C" w:rsidRDefault="00F7798C" w14:paraId="222DD8EB" w14:textId="7B95576F">
      <w:pPr>
        <w:tabs>
          <w:tab w:val="left" w:pos="360"/>
          <w:tab w:val="left" w:pos="4500"/>
          <w:tab w:val="left" w:pos="5580"/>
        </w:tabs>
        <w:spacing w:line="360" w:lineRule="auto"/>
        <w:rPr>
          <w:rFonts w:ascii="Verdana" w:hAnsi="Verdana"/>
          <w:sz w:val="18"/>
          <w:szCs w:val="18"/>
        </w:rPr>
      </w:pPr>
      <w:r w:rsidRPr="00F7798C">
        <w:rPr>
          <w:rFonts w:ascii="Verdana" w:hAnsi="Verdana"/>
          <w:sz w:val="18"/>
          <w:szCs w:val="18"/>
        </w:rPr>
        <w:t xml:space="preserve">Tegelijkertijd wil de Commissie </w:t>
      </w:r>
      <w:r w:rsidR="002B0745">
        <w:rPr>
          <w:rFonts w:ascii="Verdana" w:hAnsi="Verdana"/>
          <w:sz w:val="18"/>
          <w:szCs w:val="18"/>
        </w:rPr>
        <w:t>toegang tot exportmarkten veiligstellen, alsook</w:t>
      </w:r>
      <w:r w:rsidR="00E05554">
        <w:rPr>
          <w:rFonts w:ascii="Verdana" w:hAnsi="Verdana"/>
          <w:sz w:val="18"/>
          <w:szCs w:val="18"/>
        </w:rPr>
        <w:t xml:space="preserve"> </w:t>
      </w:r>
      <w:r w:rsidRPr="00F7798C">
        <w:rPr>
          <w:rFonts w:ascii="Verdana" w:hAnsi="Verdana"/>
          <w:sz w:val="18"/>
          <w:szCs w:val="18"/>
        </w:rPr>
        <w:t>de Europese handelsinstrumenten aanscherpen</w:t>
      </w:r>
      <w:r w:rsidR="00681D8C">
        <w:rPr>
          <w:rFonts w:ascii="Verdana" w:hAnsi="Verdana"/>
          <w:sz w:val="18"/>
          <w:szCs w:val="18"/>
        </w:rPr>
        <w:t xml:space="preserve"> ten behoeve van de chemische industrie</w:t>
      </w:r>
      <w:r w:rsidRPr="00F7798C">
        <w:rPr>
          <w:rFonts w:ascii="Verdana" w:hAnsi="Verdana"/>
          <w:sz w:val="18"/>
          <w:szCs w:val="18"/>
        </w:rPr>
        <w:t xml:space="preserve">. Zij stelt voor om </w:t>
      </w:r>
      <w:r w:rsidR="00BE6C4F">
        <w:rPr>
          <w:rFonts w:ascii="Verdana" w:hAnsi="Verdana"/>
          <w:sz w:val="18"/>
          <w:szCs w:val="18"/>
        </w:rPr>
        <w:t xml:space="preserve">het netwerk van vrijhandelsovereenkomsten uit te breiden, </w:t>
      </w:r>
      <w:r w:rsidRPr="00F7798C">
        <w:rPr>
          <w:rFonts w:ascii="Verdana" w:hAnsi="Verdana"/>
          <w:sz w:val="18"/>
          <w:szCs w:val="18"/>
        </w:rPr>
        <w:t xml:space="preserve">het gebruik van antidumpingmaatregelen te versnellen, anti-ontwijkingsprocedures </w:t>
      </w:r>
      <w:proofErr w:type="spellStart"/>
      <w:r w:rsidRPr="00F7798C">
        <w:rPr>
          <w:rFonts w:ascii="Verdana" w:hAnsi="Verdana"/>
          <w:sz w:val="18"/>
          <w:szCs w:val="18"/>
        </w:rPr>
        <w:t>proactiever</w:t>
      </w:r>
      <w:proofErr w:type="spellEnd"/>
      <w:r w:rsidRPr="00F7798C">
        <w:rPr>
          <w:rFonts w:ascii="Verdana" w:hAnsi="Verdana"/>
          <w:sz w:val="18"/>
          <w:szCs w:val="18"/>
        </w:rPr>
        <w:t xml:space="preserve"> toe te passen en bestaande importmonitoringsmechanismen actiever in te zetten</w:t>
      </w:r>
      <w:r w:rsidR="00775256">
        <w:rPr>
          <w:rFonts w:ascii="Verdana" w:hAnsi="Verdana"/>
          <w:sz w:val="18"/>
          <w:szCs w:val="18"/>
        </w:rPr>
        <w:t xml:space="preserve">. Snelle bescherming bij marktverstoring staat hierbij centraal. </w:t>
      </w:r>
      <w:r w:rsidR="00014DAD">
        <w:rPr>
          <w:rFonts w:ascii="Verdana" w:hAnsi="Verdana"/>
          <w:sz w:val="18"/>
          <w:szCs w:val="18"/>
        </w:rPr>
        <w:t xml:space="preserve">Ook </w:t>
      </w:r>
      <w:r w:rsidRPr="006A1806" w:rsidR="00014DAD">
        <w:rPr>
          <w:rFonts w:ascii="Verdana" w:hAnsi="Verdana"/>
          <w:sz w:val="18"/>
          <w:szCs w:val="18"/>
        </w:rPr>
        <w:t>kunnen</w:t>
      </w:r>
      <w:r w:rsidR="00014DAD">
        <w:rPr>
          <w:rFonts w:ascii="Verdana" w:hAnsi="Verdana"/>
          <w:sz w:val="18"/>
          <w:szCs w:val="18"/>
        </w:rPr>
        <w:t xml:space="preserve"> bijvoorbeeld</w:t>
      </w:r>
      <w:r w:rsidRPr="006A1806" w:rsidR="00014DAD">
        <w:rPr>
          <w:rFonts w:ascii="Verdana" w:hAnsi="Verdana"/>
          <w:sz w:val="18"/>
          <w:szCs w:val="18"/>
        </w:rPr>
        <w:t xml:space="preserve"> strategische partnerschappen rond kritieke grondstoffen </w:t>
      </w:r>
      <w:r w:rsidR="00E957B2">
        <w:rPr>
          <w:rFonts w:ascii="Verdana" w:hAnsi="Verdana"/>
          <w:sz w:val="18"/>
          <w:szCs w:val="18"/>
        </w:rPr>
        <w:t xml:space="preserve">worden </w:t>
      </w:r>
      <w:r w:rsidR="009840E8">
        <w:rPr>
          <w:rFonts w:ascii="Verdana" w:hAnsi="Verdana"/>
          <w:sz w:val="18"/>
          <w:szCs w:val="18"/>
        </w:rPr>
        <w:t>gesloten</w:t>
      </w:r>
      <w:r w:rsidRPr="006A1806" w:rsidR="00014DAD">
        <w:rPr>
          <w:rFonts w:ascii="Verdana" w:hAnsi="Verdana"/>
          <w:sz w:val="18"/>
          <w:szCs w:val="18"/>
        </w:rPr>
        <w:t xml:space="preserve">, om de toeleveringsketens voor </w:t>
      </w:r>
      <w:r w:rsidR="00014DAD">
        <w:rPr>
          <w:rFonts w:ascii="Verdana" w:hAnsi="Verdana"/>
          <w:sz w:val="18"/>
          <w:szCs w:val="18"/>
        </w:rPr>
        <w:t>kritieke</w:t>
      </w:r>
      <w:r w:rsidRPr="006A1806" w:rsidR="00014DAD">
        <w:rPr>
          <w:rFonts w:ascii="Verdana" w:hAnsi="Verdana"/>
          <w:sz w:val="18"/>
          <w:szCs w:val="18"/>
        </w:rPr>
        <w:t xml:space="preserve"> grondstoffen te versterken en te </w:t>
      </w:r>
      <w:r w:rsidR="00014DAD">
        <w:rPr>
          <w:rFonts w:ascii="Verdana" w:hAnsi="Verdana"/>
          <w:sz w:val="18"/>
          <w:szCs w:val="18"/>
        </w:rPr>
        <w:t>diversifiëren</w:t>
      </w:r>
      <w:r w:rsidRPr="006A1806" w:rsidR="00014DAD">
        <w:rPr>
          <w:rFonts w:ascii="Verdana" w:hAnsi="Verdana"/>
          <w:sz w:val="18"/>
          <w:szCs w:val="18"/>
        </w:rPr>
        <w:t>.</w:t>
      </w:r>
      <w:r w:rsidR="00014DAD">
        <w:rPr>
          <w:rFonts w:ascii="Verdana" w:hAnsi="Verdana"/>
          <w:sz w:val="18"/>
          <w:szCs w:val="18"/>
        </w:rPr>
        <w:t xml:space="preserve"> </w:t>
      </w:r>
      <w:r w:rsidRPr="00F7798C">
        <w:rPr>
          <w:rFonts w:ascii="Verdana" w:hAnsi="Verdana"/>
          <w:sz w:val="18"/>
          <w:szCs w:val="18"/>
        </w:rPr>
        <w:t>De Commissie kondigt tevens een evaluatie aan van het exportcontrolekader voor chemische stoffen.</w:t>
      </w:r>
    </w:p>
    <w:p w:rsidRPr="00F7798C" w:rsidR="00F7798C" w:rsidP="00F7798C" w:rsidRDefault="00F7798C" w14:paraId="53E77D4C" w14:textId="77777777">
      <w:pPr>
        <w:tabs>
          <w:tab w:val="left" w:pos="360"/>
          <w:tab w:val="left" w:pos="4500"/>
          <w:tab w:val="left" w:pos="5580"/>
        </w:tabs>
        <w:spacing w:line="360" w:lineRule="auto"/>
        <w:rPr>
          <w:rFonts w:ascii="Verdana" w:hAnsi="Verdana"/>
          <w:sz w:val="18"/>
          <w:szCs w:val="18"/>
        </w:rPr>
      </w:pPr>
    </w:p>
    <w:p w:rsidR="00025B31" w:rsidP="00025B31" w:rsidRDefault="00F7798C" w14:paraId="3A906630" w14:textId="0E1ECB60">
      <w:pPr>
        <w:tabs>
          <w:tab w:val="left" w:pos="360"/>
          <w:tab w:val="left" w:pos="4500"/>
          <w:tab w:val="left" w:pos="5580"/>
        </w:tabs>
        <w:spacing w:line="360" w:lineRule="auto"/>
        <w:rPr>
          <w:rFonts w:ascii="Verdana" w:hAnsi="Verdana"/>
          <w:sz w:val="18"/>
          <w:szCs w:val="18"/>
        </w:rPr>
      </w:pPr>
      <w:r w:rsidRPr="00775256">
        <w:rPr>
          <w:rFonts w:ascii="Verdana" w:hAnsi="Verdana"/>
          <w:sz w:val="18"/>
          <w:szCs w:val="18"/>
        </w:rPr>
        <w:t>Het tweede spoor richt zich op het verbeteren van de randvoorwaarden voor transitie-investeringen in de chemie</w:t>
      </w:r>
      <w:r w:rsidRPr="00775256" w:rsidR="00CE3CD7">
        <w:rPr>
          <w:rFonts w:ascii="Verdana" w:hAnsi="Verdana"/>
          <w:sz w:val="18"/>
          <w:szCs w:val="18"/>
        </w:rPr>
        <w:t>: betaalbare energie, infrastructuur en versnelde verduurzaming</w:t>
      </w:r>
      <w:r w:rsidRPr="00775256">
        <w:rPr>
          <w:rFonts w:ascii="Verdana" w:hAnsi="Verdana"/>
          <w:sz w:val="18"/>
          <w:szCs w:val="18"/>
        </w:rPr>
        <w:t>.</w:t>
      </w:r>
      <w:r w:rsidR="00025B31">
        <w:rPr>
          <w:rFonts w:ascii="Verdana" w:hAnsi="Verdana"/>
          <w:sz w:val="18"/>
          <w:szCs w:val="18"/>
        </w:rPr>
        <w:t xml:space="preserve"> </w:t>
      </w:r>
      <w:r w:rsidRPr="00025B31" w:rsidR="00025B31">
        <w:rPr>
          <w:rFonts w:ascii="Verdana" w:hAnsi="Verdana"/>
          <w:sz w:val="18"/>
          <w:szCs w:val="18"/>
        </w:rPr>
        <w:t xml:space="preserve">De Commissie benadrukt de unieke positie van de chemische industrie, die niet alleen afhankelijk is van energie, maar ook van </w:t>
      </w:r>
      <w:r w:rsidR="00A142C7">
        <w:rPr>
          <w:rFonts w:ascii="Verdana" w:hAnsi="Verdana"/>
          <w:sz w:val="18"/>
          <w:szCs w:val="18"/>
        </w:rPr>
        <w:t>(</w:t>
      </w:r>
      <w:r w:rsidRPr="00025B31" w:rsidR="00025B31">
        <w:rPr>
          <w:rFonts w:ascii="Verdana" w:hAnsi="Verdana"/>
          <w:sz w:val="18"/>
          <w:szCs w:val="18"/>
        </w:rPr>
        <w:t>fossiele</w:t>
      </w:r>
      <w:r w:rsidR="00A142C7">
        <w:rPr>
          <w:rFonts w:ascii="Verdana" w:hAnsi="Verdana"/>
          <w:sz w:val="18"/>
          <w:szCs w:val="18"/>
        </w:rPr>
        <w:t>)</w:t>
      </w:r>
      <w:r w:rsidRPr="00025B31" w:rsidR="00025B31">
        <w:rPr>
          <w:rFonts w:ascii="Verdana" w:hAnsi="Verdana"/>
          <w:sz w:val="18"/>
          <w:szCs w:val="18"/>
        </w:rPr>
        <w:t xml:space="preserve"> </w:t>
      </w:r>
      <w:r w:rsidR="00314B02">
        <w:rPr>
          <w:rFonts w:ascii="Verdana" w:hAnsi="Verdana"/>
          <w:sz w:val="18"/>
          <w:szCs w:val="18"/>
        </w:rPr>
        <w:t>grondstof</w:t>
      </w:r>
      <w:r w:rsidR="00DF69A5">
        <w:rPr>
          <w:rFonts w:ascii="Verdana" w:hAnsi="Verdana"/>
          <w:sz w:val="18"/>
          <w:szCs w:val="18"/>
        </w:rPr>
        <w:t>fen</w:t>
      </w:r>
      <w:r w:rsidRPr="00025B31" w:rsidR="00025B31">
        <w:rPr>
          <w:rFonts w:ascii="Verdana" w:hAnsi="Verdana"/>
          <w:sz w:val="18"/>
          <w:szCs w:val="18"/>
        </w:rPr>
        <w:t>. Deze dubbele afhankelijkheid moet volgens haar het uitgangspunt vormen voor maatregelen die de sector in staat stellen de transitie te maken.</w:t>
      </w:r>
    </w:p>
    <w:p w:rsidR="00C72E39" w:rsidP="00F7798C" w:rsidRDefault="00C72E39" w14:paraId="4061C787" w14:textId="77777777">
      <w:pPr>
        <w:tabs>
          <w:tab w:val="left" w:pos="360"/>
          <w:tab w:val="left" w:pos="4500"/>
          <w:tab w:val="left" w:pos="5580"/>
        </w:tabs>
        <w:spacing w:line="360" w:lineRule="auto"/>
        <w:rPr>
          <w:rFonts w:ascii="Verdana" w:hAnsi="Verdana"/>
          <w:sz w:val="18"/>
          <w:szCs w:val="18"/>
        </w:rPr>
      </w:pPr>
    </w:p>
    <w:p w:rsidR="00025B31" w:rsidP="00F7798C" w:rsidRDefault="00F7798C" w14:paraId="78289D19" w14:textId="1BFA3F5D">
      <w:pPr>
        <w:tabs>
          <w:tab w:val="left" w:pos="360"/>
          <w:tab w:val="left" w:pos="4500"/>
          <w:tab w:val="left" w:pos="5580"/>
        </w:tabs>
        <w:spacing w:line="360" w:lineRule="auto"/>
        <w:rPr>
          <w:rFonts w:ascii="Verdana" w:hAnsi="Verdana"/>
          <w:sz w:val="18"/>
          <w:szCs w:val="18"/>
        </w:rPr>
      </w:pPr>
      <w:r w:rsidRPr="00775256">
        <w:rPr>
          <w:rFonts w:ascii="Verdana" w:hAnsi="Verdana"/>
          <w:sz w:val="18"/>
          <w:szCs w:val="18"/>
        </w:rPr>
        <w:lastRenderedPageBreak/>
        <w:t>De Commissie erkent dat de sector zwaar getroffen wordt door de gestegen energieprijzen en</w:t>
      </w:r>
      <w:r w:rsidRPr="00775256" w:rsidR="00775256">
        <w:rPr>
          <w:rFonts w:ascii="Verdana" w:hAnsi="Verdana"/>
          <w:sz w:val="18"/>
          <w:szCs w:val="18"/>
        </w:rPr>
        <w:t xml:space="preserve"> verwijst naar haar eerder gepresenteerde Actieplan voor betaalbare energie</w:t>
      </w:r>
      <w:r w:rsidR="00C72E39">
        <w:rPr>
          <w:rFonts w:ascii="Verdana" w:hAnsi="Verdana"/>
          <w:sz w:val="18"/>
          <w:szCs w:val="18"/>
        </w:rPr>
        <w:t>.</w:t>
      </w:r>
      <w:r w:rsidR="00C72E39">
        <w:rPr>
          <w:rStyle w:val="FootnoteReference"/>
          <w:rFonts w:ascii="Verdana" w:hAnsi="Verdana"/>
          <w:sz w:val="18"/>
          <w:szCs w:val="18"/>
        </w:rPr>
        <w:footnoteReference w:id="6"/>
      </w:r>
      <w:r w:rsidR="00C72E39">
        <w:rPr>
          <w:rFonts w:ascii="Verdana" w:hAnsi="Verdana"/>
          <w:sz w:val="18"/>
          <w:szCs w:val="18"/>
        </w:rPr>
        <w:t xml:space="preserve"> </w:t>
      </w:r>
      <w:r w:rsidR="00775256">
        <w:rPr>
          <w:rFonts w:ascii="Verdana" w:hAnsi="Verdana"/>
          <w:sz w:val="18"/>
          <w:szCs w:val="18"/>
        </w:rPr>
        <w:t xml:space="preserve">De Commissie </w:t>
      </w:r>
      <w:r w:rsidRPr="00775256">
        <w:rPr>
          <w:rFonts w:ascii="Verdana" w:hAnsi="Verdana"/>
          <w:sz w:val="18"/>
          <w:szCs w:val="18"/>
        </w:rPr>
        <w:t xml:space="preserve">kondigt </w:t>
      </w:r>
      <w:r w:rsidR="00775256">
        <w:rPr>
          <w:rFonts w:ascii="Verdana" w:hAnsi="Verdana"/>
          <w:sz w:val="18"/>
          <w:szCs w:val="18"/>
        </w:rPr>
        <w:t xml:space="preserve">daarnaast </w:t>
      </w:r>
      <w:r w:rsidRPr="00775256">
        <w:rPr>
          <w:rFonts w:ascii="Verdana" w:hAnsi="Verdana"/>
          <w:sz w:val="18"/>
          <w:szCs w:val="18"/>
        </w:rPr>
        <w:t>aan de staatssteunrichtsnoeren voor indirecte</w:t>
      </w:r>
      <w:r w:rsidRPr="7C3BAE9D" w:rsidR="0054623A">
        <w:rPr>
          <w:rFonts w:ascii="Verdana" w:hAnsi="Verdana"/>
          <w:i/>
          <w:iCs/>
          <w:sz w:val="18"/>
          <w:szCs w:val="18"/>
        </w:rPr>
        <w:t xml:space="preserve"> </w:t>
      </w:r>
      <w:proofErr w:type="spellStart"/>
      <w:r w:rsidRPr="7C3BAE9D" w:rsidR="0054623A">
        <w:rPr>
          <w:rFonts w:ascii="Verdana" w:hAnsi="Verdana"/>
          <w:i/>
          <w:iCs/>
          <w:sz w:val="18"/>
          <w:szCs w:val="18"/>
        </w:rPr>
        <w:t>Emissions</w:t>
      </w:r>
      <w:proofErr w:type="spellEnd"/>
      <w:r w:rsidRPr="7C3BAE9D" w:rsidR="0054623A">
        <w:rPr>
          <w:rFonts w:ascii="Verdana" w:hAnsi="Verdana"/>
          <w:i/>
          <w:iCs/>
          <w:sz w:val="18"/>
          <w:szCs w:val="18"/>
        </w:rPr>
        <w:t xml:space="preserve"> </w:t>
      </w:r>
      <w:proofErr w:type="spellStart"/>
      <w:r w:rsidRPr="7C3BAE9D" w:rsidR="0054623A">
        <w:rPr>
          <w:rFonts w:ascii="Verdana" w:hAnsi="Verdana"/>
          <w:i/>
          <w:iCs/>
          <w:sz w:val="18"/>
          <w:szCs w:val="18"/>
        </w:rPr>
        <w:t>Trading</w:t>
      </w:r>
      <w:proofErr w:type="spellEnd"/>
      <w:r w:rsidRPr="7C3BAE9D" w:rsidR="0054623A">
        <w:rPr>
          <w:rFonts w:ascii="Verdana" w:hAnsi="Verdana"/>
          <w:i/>
          <w:iCs/>
          <w:sz w:val="18"/>
          <w:szCs w:val="18"/>
        </w:rPr>
        <w:t xml:space="preserve"> System</w:t>
      </w:r>
      <w:r w:rsidRPr="00775256">
        <w:rPr>
          <w:rFonts w:ascii="Verdana" w:hAnsi="Verdana"/>
          <w:sz w:val="18"/>
          <w:szCs w:val="18"/>
        </w:rPr>
        <w:t xml:space="preserve"> </w:t>
      </w:r>
      <w:r w:rsidR="0054623A">
        <w:rPr>
          <w:rFonts w:ascii="Verdana" w:hAnsi="Verdana"/>
          <w:sz w:val="18"/>
          <w:szCs w:val="18"/>
        </w:rPr>
        <w:t>(</w:t>
      </w:r>
      <w:r w:rsidRPr="00775256">
        <w:rPr>
          <w:rFonts w:ascii="Verdana" w:hAnsi="Verdana"/>
          <w:sz w:val="18"/>
          <w:szCs w:val="18"/>
        </w:rPr>
        <w:t>ETS</w:t>
      </w:r>
      <w:r w:rsidR="00BD10E3">
        <w:rPr>
          <w:rFonts w:ascii="Verdana" w:hAnsi="Verdana"/>
          <w:sz w:val="18"/>
          <w:szCs w:val="18"/>
        </w:rPr>
        <w:t>)</w:t>
      </w:r>
      <w:r w:rsidRPr="00775256">
        <w:rPr>
          <w:rFonts w:ascii="Verdana" w:hAnsi="Verdana"/>
          <w:sz w:val="18"/>
          <w:szCs w:val="18"/>
        </w:rPr>
        <w:t xml:space="preserve">-kosten </w:t>
      </w:r>
      <w:r w:rsidRPr="00775256" w:rsidR="00775256">
        <w:rPr>
          <w:rFonts w:ascii="Verdana" w:hAnsi="Verdana"/>
          <w:sz w:val="18"/>
          <w:szCs w:val="18"/>
        </w:rPr>
        <w:t xml:space="preserve">(IKC) </w:t>
      </w:r>
      <w:r w:rsidRPr="00775256">
        <w:rPr>
          <w:rFonts w:ascii="Verdana" w:hAnsi="Verdana"/>
          <w:sz w:val="18"/>
          <w:szCs w:val="18"/>
        </w:rPr>
        <w:t xml:space="preserve">aan te passen, met het oog op uitbreiding van het aantal in aanmerking komende </w:t>
      </w:r>
      <w:proofErr w:type="spellStart"/>
      <w:r w:rsidRPr="00775256">
        <w:rPr>
          <w:rFonts w:ascii="Verdana" w:hAnsi="Verdana"/>
          <w:sz w:val="18"/>
          <w:szCs w:val="18"/>
        </w:rPr>
        <w:t>subsectoren</w:t>
      </w:r>
      <w:proofErr w:type="spellEnd"/>
      <w:r w:rsidRPr="2876F6D4" w:rsidR="00BE6C4F">
        <w:rPr>
          <w:rFonts w:ascii="Verdana" w:hAnsi="Verdana"/>
          <w:sz w:val="18"/>
          <w:szCs w:val="18"/>
        </w:rPr>
        <w:t xml:space="preserve">, zoals </w:t>
      </w:r>
      <w:r w:rsidRPr="2876F6D4" w:rsidR="29853EF8">
        <w:rPr>
          <w:rFonts w:ascii="Verdana" w:hAnsi="Verdana"/>
          <w:sz w:val="18"/>
          <w:szCs w:val="18"/>
        </w:rPr>
        <w:t>deel</w:t>
      </w:r>
      <w:r w:rsidRPr="2876F6D4" w:rsidR="00BE6C4F">
        <w:rPr>
          <w:rFonts w:ascii="Verdana" w:hAnsi="Verdana"/>
          <w:sz w:val="18"/>
          <w:szCs w:val="18"/>
        </w:rPr>
        <w:t>sectoren</w:t>
      </w:r>
      <w:r w:rsidRPr="2876F6D4" w:rsidR="6AC83DF0">
        <w:rPr>
          <w:rFonts w:ascii="Verdana" w:hAnsi="Verdana"/>
          <w:sz w:val="18"/>
          <w:szCs w:val="18"/>
        </w:rPr>
        <w:t xml:space="preserve"> binnen de chemie</w:t>
      </w:r>
      <w:r w:rsidR="00775256">
        <w:rPr>
          <w:rFonts w:ascii="Verdana" w:hAnsi="Verdana"/>
          <w:sz w:val="18"/>
          <w:szCs w:val="18"/>
        </w:rPr>
        <w:t xml:space="preserve"> </w:t>
      </w:r>
      <w:r w:rsidRPr="00775256">
        <w:rPr>
          <w:rFonts w:ascii="Verdana" w:hAnsi="Verdana"/>
          <w:sz w:val="18"/>
          <w:szCs w:val="18"/>
        </w:rPr>
        <w:t>(Q4 2025).</w:t>
      </w:r>
      <w:r w:rsidR="00C72E39">
        <w:rPr>
          <w:rFonts w:ascii="Verdana" w:hAnsi="Verdana"/>
          <w:sz w:val="18"/>
          <w:szCs w:val="18"/>
        </w:rPr>
        <w:t xml:space="preserve"> Ook wijst de Commissie op de verbrede mogelijkheden voor het geven van staatssteun onder het </w:t>
      </w:r>
      <w:r w:rsidRPr="7C3BAE9D" w:rsidR="00C72E39">
        <w:rPr>
          <w:rFonts w:ascii="Verdana" w:hAnsi="Verdana"/>
          <w:i/>
          <w:iCs/>
          <w:sz w:val="18"/>
          <w:szCs w:val="18"/>
        </w:rPr>
        <w:t xml:space="preserve">Clean Industrial Deal State </w:t>
      </w:r>
      <w:proofErr w:type="spellStart"/>
      <w:r w:rsidRPr="7C3BAE9D" w:rsidR="00C72E39">
        <w:rPr>
          <w:rFonts w:ascii="Verdana" w:hAnsi="Verdana"/>
          <w:i/>
          <w:iCs/>
          <w:sz w:val="18"/>
          <w:szCs w:val="18"/>
        </w:rPr>
        <w:t>Aid</w:t>
      </w:r>
      <w:proofErr w:type="spellEnd"/>
      <w:r w:rsidRPr="7C3BAE9D" w:rsidR="00C72E39">
        <w:rPr>
          <w:rFonts w:ascii="Verdana" w:hAnsi="Verdana"/>
          <w:i/>
          <w:iCs/>
          <w:sz w:val="18"/>
          <w:szCs w:val="18"/>
        </w:rPr>
        <w:t xml:space="preserve"> Framework</w:t>
      </w:r>
      <w:r w:rsidR="00C72E39">
        <w:rPr>
          <w:rFonts w:ascii="Verdana" w:hAnsi="Verdana"/>
          <w:sz w:val="18"/>
          <w:szCs w:val="18"/>
        </w:rPr>
        <w:t xml:space="preserve"> (CISAF)</w:t>
      </w:r>
      <w:r w:rsidR="003132BB">
        <w:rPr>
          <w:rStyle w:val="FootnoteReference"/>
          <w:rFonts w:ascii="Verdana" w:hAnsi="Verdana"/>
          <w:sz w:val="18"/>
          <w:szCs w:val="18"/>
        </w:rPr>
        <w:footnoteReference w:id="7"/>
      </w:r>
      <w:r w:rsidRPr="0054491D" w:rsidR="00C72E39">
        <w:rPr>
          <w:rFonts w:ascii="Verdana" w:hAnsi="Verdana"/>
          <w:sz w:val="18"/>
          <w:szCs w:val="18"/>
        </w:rPr>
        <w:t xml:space="preserve">, waaronder </w:t>
      </w:r>
      <w:r w:rsidR="0054491D">
        <w:rPr>
          <w:rFonts w:ascii="Verdana" w:hAnsi="Verdana"/>
          <w:sz w:val="18"/>
          <w:szCs w:val="18"/>
        </w:rPr>
        <w:t>het bieden van t</w:t>
      </w:r>
      <w:r w:rsidRPr="0054491D" w:rsidR="0054491D">
        <w:rPr>
          <w:rFonts w:ascii="Verdana" w:hAnsi="Verdana"/>
          <w:sz w:val="18"/>
          <w:szCs w:val="18"/>
        </w:rPr>
        <w:t>ijdelijke verlichting</w:t>
      </w:r>
      <w:r w:rsidR="0054491D">
        <w:rPr>
          <w:rFonts w:ascii="Verdana" w:hAnsi="Verdana"/>
          <w:sz w:val="18"/>
          <w:szCs w:val="18"/>
        </w:rPr>
        <w:t xml:space="preserve"> </w:t>
      </w:r>
      <w:r w:rsidRPr="0054491D" w:rsidR="0054491D">
        <w:rPr>
          <w:rFonts w:ascii="Verdana" w:hAnsi="Verdana"/>
          <w:sz w:val="18"/>
          <w:szCs w:val="18"/>
        </w:rPr>
        <w:t>van elektriciteitskosten voor energie-intensieve, aan internationale concurrentie blootgestelde industrieën</w:t>
      </w:r>
      <w:r w:rsidR="0054491D">
        <w:rPr>
          <w:rFonts w:ascii="Verdana" w:hAnsi="Verdana"/>
          <w:sz w:val="18"/>
          <w:szCs w:val="18"/>
        </w:rPr>
        <w:t xml:space="preserve">, </w:t>
      </w:r>
      <w:r w:rsidRPr="0054491D" w:rsidR="0054491D">
        <w:rPr>
          <w:rFonts w:ascii="Verdana" w:hAnsi="Verdana"/>
          <w:sz w:val="18"/>
          <w:szCs w:val="18"/>
        </w:rPr>
        <w:t xml:space="preserve">op voorwaarde dat zij herinvesteren in verduurzaming. Het kader maakt ook staatssteun mogelijk voor de uitrol van een breed scala aan </w:t>
      </w:r>
      <w:proofErr w:type="spellStart"/>
      <w:r w:rsidRPr="0054491D" w:rsidR="0054491D">
        <w:rPr>
          <w:rFonts w:ascii="Verdana" w:hAnsi="Verdana"/>
          <w:sz w:val="18"/>
          <w:szCs w:val="18"/>
        </w:rPr>
        <w:t>decarbonisatietechnologieën</w:t>
      </w:r>
      <w:proofErr w:type="spellEnd"/>
      <w:r w:rsidRPr="0054491D" w:rsidR="0054491D">
        <w:rPr>
          <w:rFonts w:ascii="Verdana" w:hAnsi="Verdana"/>
          <w:sz w:val="18"/>
          <w:szCs w:val="18"/>
        </w:rPr>
        <w:t>, zoals elektrificatie, waterstof, biomassa</w:t>
      </w:r>
      <w:r w:rsidR="000C4F57">
        <w:rPr>
          <w:rFonts w:ascii="Verdana" w:hAnsi="Verdana"/>
          <w:sz w:val="18"/>
          <w:szCs w:val="18"/>
        </w:rPr>
        <w:t xml:space="preserve"> en</w:t>
      </w:r>
      <w:r w:rsidRPr="0054491D" w:rsidR="0054491D">
        <w:rPr>
          <w:rFonts w:ascii="Verdana" w:hAnsi="Verdana"/>
          <w:sz w:val="18"/>
          <w:szCs w:val="18"/>
        </w:rPr>
        <w:t xml:space="preserve"> </w:t>
      </w:r>
      <w:proofErr w:type="spellStart"/>
      <w:r w:rsidRPr="0054491D" w:rsidR="0054491D">
        <w:rPr>
          <w:rFonts w:ascii="Verdana" w:hAnsi="Verdana"/>
          <w:sz w:val="18"/>
          <w:szCs w:val="18"/>
        </w:rPr>
        <w:t>koolstofafvang</w:t>
      </w:r>
      <w:proofErr w:type="spellEnd"/>
      <w:r w:rsidRPr="0054491D" w:rsidR="0054491D">
        <w:rPr>
          <w:rFonts w:ascii="Verdana" w:hAnsi="Verdana"/>
          <w:sz w:val="18"/>
          <w:szCs w:val="18"/>
        </w:rPr>
        <w:t>, -gebruik en -opslag</w:t>
      </w:r>
      <w:r w:rsidRPr="7C3BAE9D" w:rsidR="0054491D">
        <w:rPr>
          <w:rFonts w:ascii="Verdana" w:hAnsi="Verdana"/>
          <w:sz w:val="18"/>
          <w:szCs w:val="18"/>
        </w:rPr>
        <w:t xml:space="preserve"> (CCUS), evenals het afdekken van risico’s bij investeringen in schone energie of </w:t>
      </w:r>
      <w:proofErr w:type="spellStart"/>
      <w:r w:rsidRPr="7C3BAE9D" w:rsidR="0054491D">
        <w:rPr>
          <w:rFonts w:ascii="Verdana" w:hAnsi="Verdana"/>
          <w:sz w:val="18"/>
          <w:szCs w:val="18"/>
        </w:rPr>
        <w:t>decarbonisatieprojecten</w:t>
      </w:r>
      <w:proofErr w:type="spellEnd"/>
      <w:r w:rsidRPr="7C3BAE9D" w:rsidR="0054491D">
        <w:rPr>
          <w:rFonts w:ascii="Verdana" w:hAnsi="Verdana"/>
          <w:sz w:val="18"/>
          <w:szCs w:val="18"/>
        </w:rPr>
        <w:t>.</w:t>
      </w:r>
    </w:p>
    <w:p w:rsidRPr="00CC79E6" w:rsidR="00025B31" w:rsidP="00F7798C" w:rsidRDefault="00025B31" w14:paraId="18929DE2" w14:textId="77777777">
      <w:pPr>
        <w:tabs>
          <w:tab w:val="left" w:pos="360"/>
          <w:tab w:val="left" w:pos="4500"/>
          <w:tab w:val="left" w:pos="5580"/>
        </w:tabs>
        <w:spacing w:line="360" w:lineRule="auto"/>
        <w:rPr>
          <w:rFonts w:ascii="Verdana" w:hAnsi="Verdana"/>
          <w:sz w:val="18"/>
          <w:szCs w:val="18"/>
          <w:highlight w:val="red"/>
        </w:rPr>
      </w:pPr>
    </w:p>
    <w:p w:rsidR="005915B2" w:rsidP="00F7798C" w:rsidRDefault="00025B31" w14:paraId="0056BA0B" w14:textId="228BD48D">
      <w:pPr>
        <w:tabs>
          <w:tab w:val="left" w:pos="360"/>
          <w:tab w:val="left" w:pos="4500"/>
          <w:tab w:val="left" w:pos="5580"/>
        </w:tabs>
        <w:spacing w:line="360" w:lineRule="auto"/>
        <w:rPr>
          <w:rFonts w:ascii="Verdana" w:hAnsi="Verdana"/>
          <w:sz w:val="18"/>
          <w:szCs w:val="18"/>
          <w:highlight w:val="red"/>
        </w:rPr>
      </w:pPr>
      <w:r>
        <w:rPr>
          <w:rFonts w:ascii="Verdana" w:hAnsi="Verdana"/>
          <w:sz w:val="18"/>
          <w:szCs w:val="18"/>
        </w:rPr>
        <w:t>Om de benodigde transitie te kunnen maken moeten in de</w:t>
      </w:r>
      <w:r w:rsidRPr="00025B31">
        <w:rPr>
          <w:rFonts w:ascii="Verdana" w:hAnsi="Verdana"/>
          <w:sz w:val="18"/>
          <w:szCs w:val="18"/>
        </w:rPr>
        <w:t xml:space="preserve"> chemische industrie vaak nieuwe installaties worden gebouwd of bestaande infrastructuur worden aangepast en gemoderniseerd</w:t>
      </w:r>
      <w:r>
        <w:rPr>
          <w:rFonts w:ascii="Verdana" w:hAnsi="Verdana"/>
          <w:sz w:val="18"/>
          <w:szCs w:val="18"/>
        </w:rPr>
        <w:t xml:space="preserve">. Hiervoor zijn vergunningen benodigd. </w:t>
      </w:r>
      <w:r w:rsidR="00D73EF2">
        <w:rPr>
          <w:rFonts w:ascii="Verdana" w:hAnsi="Verdana"/>
          <w:sz w:val="18"/>
          <w:szCs w:val="18"/>
        </w:rPr>
        <w:t>Naast reeds genomen maatregelen i</w:t>
      </w:r>
      <w:r w:rsidRPr="007420AB" w:rsidR="007420AB">
        <w:rPr>
          <w:rFonts w:ascii="Verdana" w:hAnsi="Verdana"/>
          <w:sz w:val="18"/>
          <w:szCs w:val="18"/>
        </w:rPr>
        <w:t xml:space="preserve">s </w:t>
      </w:r>
      <w:r>
        <w:rPr>
          <w:rFonts w:ascii="Verdana" w:hAnsi="Verdana"/>
          <w:sz w:val="18"/>
          <w:szCs w:val="18"/>
        </w:rPr>
        <w:t>eerder</w:t>
      </w:r>
      <w:r w:rsidRPr="007420AB" w:rsidR="007420AB">
        <w:rPr>
          <w:rFonts w:ascii="Verdana" w:hAnsi="Verdana"/>
          <w:sz w:val="18"/>
          <w:szCs w:val="18"/>
        </w:rPr>
        <w:t xml:space="preserve"> aangekondigd onder </w:t>
      </w:r>
      <w:r>
        <w:rPr>
          <w:rFonts w:ascii="Verdana" w:hAnsi="Verdana"/>
          <w:sz w:val="18"/>
          <w:szCs w:val="18"/>
        </w:rPr>
        <w:t>de CID-</w:t>
      </w:r>
      <w:r w:rsidR="00987F23">
        <w:rPr>
          <w:rFonts w:ascii="Verdana" w:hAnsi="Verdana"/>
          <w:sz w:val="18"/>
          <w:szCs w:val="18"/>
        </w:rPr>
        <w:t>mededeling</w:t>
      </w:r>
      <w:r w:rsidRPr="007420AB" w:rsidR="00987F23">
        <w:rPr>
          <w:rFonts w:ascii="Verdana" w:hAnsi="Verdana"/>
          <w:sz w:val="18"/>
          <w:szCs w:val="18"/>
        </w:rPr>
        <w:t xml:space="preserve"> </w:t>
      </w:r>
      <w:r w:rsidR="00D73EF2">
        <w:rPr>
          <w:rFonts w:ascii="Verdana" w:hAnsi="Verdana"/>
          <w:sz w:val="18"/>
          <w:szCs w:val="18"/>
        </w:rPr>
        <w:t xml:space="preserve">dat </w:t>
      </w:r>
      <w:r w:rsidRPr="007420AB" w:rsidR="007420AB">
        <w:rPr>
          <w:rFonts w:ascii="Verdana" w:hAnsi="Verdana"/>
          <w:sz w:val="18"/>
          <w:szCs w:val="18"/>
        </w:rPr>
        <w:t>de Commissie</w:t>
      </w:r>
      <w:r w:rsidR="008F234F">
        <w:rPr>
          <w:rFonts w:ascii="Verdana" w:hAnsi="Verdana"/>
          <w:sz w:val="18"/>
          <w:szCs w:val="18"/>
        </w:rPr>
        <w:t xml:space="preserve"> met</w:t>
      </w:r>
      <w:r w:rsidRPr="007420AB" w:rsidR="007420AB">
        <w:rPr>
          <w:rFonts w:ascii="Verdana" w:hAnsi="Verdana"/>
          <w:sz w:val="18"/>
          <w:szCs w:val="18"/>
        </w:rPr>
        <w:t xml:space="preserve"> </w:t>
      </w:r>
      <w:r w:rsidRPr="007420AB" w:rsidR="00F7798C">
        <w:rPr>
          <w:rFonts w:ascii="Verdana" w:hAnsi="Verdana"/>
          <w:sz w:val="18"/>
          <w:szCs w:val="18"/>
        </w:rPr>
        <w:t xml:space="preserve">een voorstel voor een </w:t>
      </w:r>
      <w:r w:rsidRPr="00776A21" w:rsidR="00F7798C">
        <w:rPr>
          <w:rFonts w:ascii="Verdana" w:hAnsi="Verdana"/>
          <w:i/>
          <w:iCs/>
          <w:sz w:val="18"/>
          <w:szCs w:val="18"/>
        </w:rPr>
        <w:t>Industrial</w:t>
      </w:r>
      <w:r w:rsidRPr="007420AB" w:rsidR="00F7798C">
        <w:rPr>
          <w:rFonts w:ascii="Verdana" w:hAnsi="Verdana"/>
          <w:sz w:val="18"/>
          <w:szCs w:val="18"/>
        </w:rPr>
        <w:t xml:space="preserve"> </w:t>
      </w:r>
      <w:proofErr w:type="spellStart"/>
      <w:r w:rsidRPr="00776A21" w:rsidR="00F7798C">
        <w:rPr>
          <w:rFonts w:ascii="Verdana" w:hAnsi="Verdana"/>
          <w:i/>
          <w:iCs/>
          <w:sz w:val="18"/>
          <w:szCs w:val="18"/>
        </w:rPr>
        <w:t>Decarbonisation</w:t>
      </w:r>
      <w:proofErr w:type="spellEnd"/>
      <w:r w:rsidRPr="00776A21" w:rsidR="00F7798C">
        <w:rPr>
          <w:rFonts w:ascii="Verdana" w:hAnsi="Verdana"/>
          <w:i/>
          <w:iCs/>
          <w:sz w:val="18"/>
          <w:szCs w:val="18"/>
        </w:rPr>
        <w:t xml:space="preserve"> Accelerator Act</w:t>
      </w:r>
      <w:r w:rsidRPr="005915B2" w:rsidR="00D73EF2">
        <w:rPr>
          <w:rFonts w:ascii="Verdana" w:hAnsi="Verdana"/>
          <w:sz w:val="18"/>
          <w:szCs w:val="18"/>
        </w:rPr>
        <w:t xml:space="preserve"> zal komen</w:t>
      </w:r>
      <w:r w:rsidRPr="005915B2" w:rsidR="00F7798C">
        <w:rPr>
          <w:rFonts w:ascii="Verdana" w:hAnsi="Verdana"/>
          <w:sz w:val="18"/>
          <w:szCs w:val="18"/>
        </w:rPr>
        <w:t xml:space="preserve">, </w:t>
      </w:r>
      <w:r w:rsidR="00962F7F">
        <w:rPr>
          <w:rFonts w:ascii="Verdana" w:hAnsi="Verdana"/>
          <w:sz w:val="18"/>
          <w:szCs w:val="18"/>
        </w:rPr>
        <w:t xml:space="preserve">met </w:t>
      </w:r>
      <w:r w:rsidR="009D03C8">
        <w:rPr>
          <w:rFonts w:ascii="Verdana" w:hAnsi="Verdana"/>
          <w:sz w:val="18"/>
          <w:szCs w:val="18"/>
        </w:rPr>
        <w:t xml:space="preserve">concrete maatregelen om de knelpunten bij </w:t>
      </w:r>
      <w:r w:rsidRPr="005915B2" w:rsidR="00F7798C">
        <w:rPr>
          <w:rFonts w:ascii="Verdana" w:hAnsi="Verdana"/>
          <w:sz w:val="18"/>
          <w:szCs w:val="18"/>
        </w:rPr>
        <w:t xml:space="preserve">vergunningsprocedures voor emissiereductieprojecten </w:t>
      </w:r>
      <w:r w:rsidR="009D03C8">
        <w:rPr>
          <w:rFonts w:ascii="Verdana" w:hAnsi="Verdana"/>
          <w:sz w:val="18"/>
          <w:szCs w:val="18"/>
        </w:rPr>
        <w:t>van energie-intensieve industrieën te adresseren</w:t>
      </w:r>
      <w:r w:rsidRPr="005915B2" w:rsidR="00F7798C">
        <w:rPr>
          <w:rFonts w:ascii="Verdana" w:hAnsi="Verdana"/>
          <w:sz w:val="18"/>
          <w:szCs w:val="18"/>
        </w:rPr>
        <w:t>.</w:t>
      </w:r>
      <w:r w:rsidR="00BE6C4F">
        <w:rPr>
          <w:rFonts w:ascii="Verdana" w:hAnsi="Verdana"/>
          <w:sz w:val="18"/>
          <w:szCs w:val="18"/>
        </w:rPr>
        <w:t xml:space="preserve"> </w:t>
      </w:r>
      <w:r w:rsidRPr="00892372" w:rsidR="0021204A">
        <w:rPr>
          <w:rFonts w:ascii="Verdana" w:hAnsi="Verdana"/>
          <w:sz w:val="18"/>
          <w:szCs w:val="18"/>
        </w:rPr>
        <w:t>Om de uitrol van elektrificatieprojecten te versnellen, is het essentieel om de toegang tot het elektriciteitsnet voor chemische installaties te bespoedigen</w:t>
      </w:r>
      <w:r w:rsidR="0021204A">
        <w:rPr>
          <w:rFonts w:ascii="Verdana" w:hAnsi="Verdana"/>
          <w:sz w:val="18"/>
          <w:szCs w:val="18"/>
        </w:rPr>
        <w:t xml:space="preserve">. </w:t>
      </w:r>
      <w:r w:rsidR="00BE6C4F">
        <w:rPr>
          <w:rFonts w:ascii="Verdana" w:hAnsi="Verdana"/>
          <w:sz w:val="18"/>
          <w:szCs w:val="18"/>
        </w:rPr>
        <w:t xml:space="preserve">De Commissie zal </w:t>
      </w:r>
      <w:r w:rsidR="00594B4A">
        <w:rPr>
          <w:rFonts w:ascii="Verdana" w:hAnsi="Verdana"/>
          <w:sz w:val="18"/>
          <w:szCs w:val="18"/>
        </w:rPr>
        <w:t xml:space="preserve">eind 2025 </w:t>
      </w:r>
      <w:r w:rsidR="003565E2">
        <w:rPr>
          <w:rFonts w:ascii="Verdana" w:hAnsi="Verdana"/>
          <w:sz w:val="18"/>
          <w:szCs w:val="18"/>
        </w:rPr>
        <w:t xml:space="preserve">in het kader van het </w:t>
      </w:r>
      <w:r w:rsidR="00756B26">
        <w:rPr>
          <w:rFonts w:ascii="Verdana" w:hAnsi="Verdana"/>
          <w:i/>
          <w:iCs/>
          <w:sz w:val="18"/>
          <w:szCs w:val="18"/>
        </w:rPr>
        <w:t xml:space="preserve">European </w:t>
      </w:r>
      <w:proofErr w:type="spellStart"/>
      <w:r w:rsidRPr="0088196A" w:rsidR="003565E2">
        <w:rPr>
          <w:rFonts w:ascii="Verdana" w:hAnsi="Verdana"/>
          <w:i/>
          <w:iCs/>
          <w:sz w:val="18"/>
          <w:szCs w:val="18"/>
        </w:rPr>
        <w:t>Grid</w:t>
      </w:r>
      <w:proofErr w:type="spellEnd"/>
      <w:r w:rsidRPr="0088196A" w:rsidR="003565E2">
        <w:rPr>
          <w:rFonts w:ascii="Verdana" w:hAnsi="Verdana"/>
          <w:i/>
          <w:iCs/>
          <w:sz w:val="18"/>
          <w:szCs w:val="18"/>
        </w:rPr>
        <w:t xml:space="preserve"> Package</w:t>
      </w:r>
      <w:r w:rsidR="003565E2">
        <w:rPr>
          <w:rFonts w:ascii="Verdana" w:hAnsi="Verdana"/>
          <w:sz w:val="18"/>
          <w:szCs w:val="18"/>
        </w:rPr>
        <w:t xml:space="preserve"> </w:t>
      </w:r>
      <w:r w:rsidR="00BE6C4F">
        <w:rPr>
          <w:rFonts w:ascii="Verdana" w:hAnsi="Verdana"/>
          <w:sz w:val="18"/>
          <w:szCs w:val="18"/>
        </w:rPr>
        <w:t>met voorstellen komen om de toegang tot het elektriciteitsnet te versnellen.</w:t>
      </w:r>
      <w:r w:rsidRPr="005915B2" w:rsidR="00F7798C">
        <w:rPr>
          <w:rFonts w:ascii="Verdana" w:hAnsi="Verdana"/>
          <w:sz w:val="18"/>
          <w:szCs w:val="18"/>
        </w:rPr>
        <w:t xml:space="preserve"> </w:t>
      </w:r>
      <w:r w:rsidRPr="005915B2" w:rsidR="005915B2">
        <w:rPr>
          <w:rFonts w:ascii="Verdana" w:hAnsi="Verdana"/>
          <w:sz w:val="18"/>
          <w:szCs w:val="18"/>
        </w:rPr>
        <w:t>Parallel wordt op verschillende manieren gewerkt aan o</w:t>
      </w:r>
      <w:r w:rsidRPr="005915B2" w:rsidR="00F7798C">
        <w:rPr>
          <w:rFonts w:ascii="Verdana" w:hAnsi="Verdana"/>
          <w:sz w:val="18"/>
          <w:szCs w:val="18"/>
        </w:rPr>
        <w:t xml:space="preserve">ndersteuning voor </w:t>
      </w:r>
      <w:r w:rsidR="00D85399">
        <w:rPr>
          <w:rFonts w:ascii="Verdana" w:hAnsi="Verdana"/>
          <w:sz w:val="18"/>
          <w:szCs w:val="18"/>
        </w:rPr>
        <w:t>de opschaling van</w:t>
      </w:r>
      <w:r w:rsidRPr="005915B2" w:rsidR="005915B2">
        <w:rPr>
          <w:rFonts w:ascii="Verdana" w:hAnsi="Verdana"/>
          <w:sz w:val="18"/>
          <w:szCs w:val="18"/>
        </w:rPr>
        <w:t xml:space="preserve"> zowel hernieuwbar</w:t>
      </w:r>
      <w:r w:rsidR="0011020B">
        <w:rPr>
          <w:rFonts w:ascii="Verdana" w:hAnsi="Verdana"/>
          <w:sz w:val="18"/>
          <w:szCs w:val="18"/>
        </w:rPr>
        <w:t>e</w:t>
      </w:r>
      <w:r w:rsidRPr="005915B2" w:rsidR="005915B2">
        <w:rPr>
          <w:rFonts w:ascii="Verdana" w:hAnsi="Verdana"/>
          <w:sz w:val="18"/>
          <w:szCs w:val="18"/>
        </w:rPr>
        <w:t xml:space="preserve"> als </w:t>
      </w:r>
      <w:r w:rsidR="00B52CF0">
        <w:rPr>
          <w:rFonts w:ascii="Verdana" w:hAnsi="Verdana"/>
          <w:sz w:val="18"/>
          <w:szCs w:val="18"/>
        </w:rPr>
        <w:t>koolstofarm</w:t>
      </w:r>
      <w:r w:rsidR="0011020B">
        <w:rPr>
          <w:rFonts w:ascii="Verdana" w:hAnsi="Verdana"/>
          <w:sz w:val="18"/>
          <w:szCs w:val="18"/>
        </w:rPr>
        <w:t>e waterstof en de nodige infrastructuur</w:t>
      </w:r>
      <w:r w:rsidRPr="005915B2" w:rsidR="005915B2">
        <w:rPr>
          <w:rFonts w:ascii="Verdana" w:hAnsi="Verdana"/>
          <w:sz w:val="18"/>
          <w:szCs w:val="18"/>
        </w:rPr>
        <w:t xml:space="preserve">, omdat ook die ontwikkelingen moeten </w:t>
      </w:r>
      <w:r w:rsidR="00581092">
        <w:rPr>
          <w:rFonts w:ascii="Verdana" w:hAnsi="Verdana"/>
          <w:sz w:val="18"/>
          <w:szCs w:val="18"/>
        </w:rPr>
        <w:t>bij</w:t>
      </w:r>
      <w:r w:rsidRPr="005915B2" w:rsidR="005915B2">
        <w:rPr>
          <w:rFonts w:ascii="Verdana" w:hAnsi="Verdana"/>
          <w:sz w:val="18"/>
          <w:szCs w:val="18"/>
        </w:rPr>
        <w:t xml:space="preserve">dragen aan de transitie van de chemische industrie. </w:t>
      </w:r>
    </w:p>
    <w:p w:rsidR="005915B2" w:rsidP="00F7798C" w:rsidRDefault="005915B2" w14:paraId="1F93EE0D" w14:textId="77777777">
      <w:pPr>
        <w:tabs>
          <w:tab w:val="left" w:pos="360"/>
          <w:tab w:val="left" w:pos="4500"/>
          <w:tab w:val="left" w:pos="5580"/>
        </w:tabs>
        <w:spacing w:line="360" w:lineRule="auto"/>
        <w:rPr>
          <w:rFonts w:ascii="Verdana" w:hAnsi="Verdana"/>
          <w:sz w:val="18"/>
          <w:szCs w:val="18"/>
          <w:highlight w:val="red"/>
        </w:rPr>
      </w:pPr>
    </w:p>
    <w:p w:rsidRPr="00025B31" w:rsidR="00F7798C" w:rsidP="00F7798C" w:rsidRDefault="00872DA3" w14:paraId="7C7009DA" w14:textId="6A5D9744">
      <w:pPr>
        <w:tabs>
          <w:tab w:val="left" w:pos="360"/>
          <w:tab w:val="left" w:pos="4500"/>
          <w:tab w:val="left" w:pos="5580"/>
        </w:tabs>
        <w:spacing w:line="360" w:lineRule="auto"/>
        <w:rPr>
          <w:rFonts w:ascii="Verdana" w:hAnsi="Verdana"/>
          <w:sz w:val="18"/>
          <w:szCs w:val="18"/>
        </w:rPr>
      </w:pPr>
      <w:r>
        <w:rPr>
          <w:rFonts w:ascii="Verdana" w:hAnsi="Verdana"/>
          <w:sz w:val="18"/>
          <w:szCs w:val="18"/>
        </w:rPr>
        <w:t>Investeringen zijn nodig o</w:t>
      </w:r>
      <w:r w:rsidRPr="00DE2378" w:rsidR="00DE2378">
        <w:rPr>
          <w:rFonts w:ascii="Verdana" w:hAnsi="Verdana"/>
          <w:sz w:val="18"/>
          <w:szCs w:val="18"/>
        </w:rPr>
        <w:t xml:space="preserve">m de klimaatdoelen </w:t>
      </w:r>
      <w:r w:rsidR="00DE2378">
        <w:rPr>
          <w:rFonts w:ascii="Verdana" w:hAnsi="Verdana"/>
          <w:sz w:val="18"/>
          <w:szCs w:val="18"/>
        </w:rPr>
        <w:t>alsook</w:t>
      </w:r>
      <w:r w:rsidRPr="00DE2378" w:rsidR="00DE2378">
        <w:rPr>
          <w:rFonts w:ascii="Verdana" w:hAnsi="Verdana"/>
          <w:sz w:val="18"/>
          <w:szCs w:val="18"/>
        </w:rPr>
        <w:t xml:space="preserve"> de circulaire economie te realiseren</w:t>
      </w:r>
      <w:r>
        <w:rPr>
          <w:rFonts w:ascii="Verdana" w:hAnsi="Verdana"/>
          <w:sz w:val="18"/>
          <w:szCs w:val="18"/>
        </w:rPr>
        <w:t>.</w:t>
      </w:r>
      <w:r w:rsidRPr="00DE2378" w:rsidR="00DE2378">
        <w:rPr>
          <w:rFonts w:ascii="Verdana" w:hAnsi="Verdana"/>
          <w:sz w:val="18"/>
          <w:szCs w:val="18"/>
        </w:rPr>
        <w:t xml:space="preserve"> De transitie naar duurzame chemicaliën biedt </w:t>
      </w:r>
      <w:r>
        <w:rPr>
          <w:rFonts w:ascii="Verdana" w:hAnsi="Verdana"/>
          <w:sz w:val="18"/>
          <w:szCs w:val="18"/>
        </w:rPr>
        <w:t>daarbij</w:t>
      </w:r>
      <w:r w:rsidRPr="00DE2378" w:rsidR="00DE2378">
        <w:rPr>
          <w:rFonts w:ascii="Verdana" w:hAnsi="Verdana"/>
          <w:sz w:val="18"/>
          <w:szCs w:val="18"/>
        </w:rPr>
        <w:t xml:space="preserve"> kansen voor de Europese chemiesector. Gezien de moeilijkheid van verduurzaming in deze sector is een </w:t>
      </w:r>
      <w:proofErr w:type="spellStart"/>
      <w:r w:rsidRPr="00DE2378" w:rsidR="00DE2378">
        <w:rPr>
          <w:rFonts w:ascii="Verdana" w:hAnsi="Verdana"/>
          <w:sz w:val="18"/>
          <w:szCs w:val="18"/>
        </w:rPr>
        <w:t>technologieneutrale</w:t>
      </w:r>
      <w:proofErr w:type="spellEnd"/>
      <w:r w:rsidRPr="00DE2378" w:rsidR="00DE2378">
        <w:rPr>
          <w:rFonts w:ascii="Verdana" w:hAnsi="Verdana"/>
          <w:sz w:val="18"/>
          <w:szCs w:val="18"/>
        </w:rPr>
        <w:t>, gefaseerde aanpak nodig,</w:t>
      </w:r>
      <w:r w:rsidR="0054491D">
        <w:rPr>
          <w:rFonts w:ascii="Verdana" w:hAnsi="Verdana"/>
          <w:sz w:val="18"/>
          <w:szCs w:val="18"/>
        </w:rPr>
        <w:t xml:space="preserve"> zo stelt de Commissie,</w:t>
      </w:r>
      <w:r w:rsidRPr="00DE2378" w:rsidR="00DE2378">
        <w:rPr>
          <w:rFonts w:ascii="Verdana" w:hAnsi="Verdana"/>
          <w:sz w:val="18"/>
          <w:szCs w:val="18"/>
        </w:rPr>
        <w:t xml:space="preserve"> waarbij ook tijdelijke oplossingen zoals ethaankrakers een rol spelen. De overgang naar netto nul en minder afhankelijkheid van fossiele bronnen vereist een stapsgewijze afbouw van fossiele energie én </w:t>
      </w:r>
      <w:r w:rsidR="005C18D9">
        <w:rPr>
          <w:rFonts w:ascii="Verdana" w:hAnsi="Verdana"/>
          <w:sz w:val="18"/>
          <w:szCs w:val="18"/>
        </w:rPr>
        <w:t>primaire</w:t>
      </w:r>
      <w:r w:rsidRPr="00DE2378" w:rsidR="005C18D9">
        <w:rPr>
          <w:rFonts w:ascii="Verdana" w:hAnsi="Verdana"/>
          <w:sz w:val="18"/>
          <w:szCs w:val="18"/>
        </w:rPr>
        <w:t xml:space="preserve"> </w:t>
      </w:r>
      <w:r w:rsidRPr="00DE2378" w:rsidR="00DE2378">
        <w:rPr>
          <w:rFonts w:ascii="Verdana" w:hAnsi="Verdana"/>
          <w:sz w:val="18"/>
          <w:szCs w:val="18"/>
        </w:rPr>
        <w:t xml:space="preserve">fossiele grondstoffen, waar dit technisch en economisch uitvoerbaar is. Alternatieve koolstofbronnen zoals biomassa, gerecycled afval en </w:t>
      </w:r>
      <w:r w:rsidR="00655E81">
        <w:rPr>
          <w:rFonts w:ascii="Verdana" w:hAnsi="Verdana"/>
          <w:sz w:val="18"/>
          <w:szCs w:val="18"/>
        </w:rPr>
        <w:t>afgevangen CO</w:t>
      </w:r>
      <w:r w:rsidRPr="0088196A" w:rsidR="00655E81">
        <w:rPr>
          <w:rFonts w:ascii="Verdana" w:hAnsi="Verdana"/>
          <w:sz w:val="18"/>
          <w:szCs w:val="18"/>
          <w:vertAlign w:val="subscript"/>
        </w:rPr>
        <w:t>2</w:t>
      </w:r>
      <w:r w:rsidR="00655E81">
        <w:rPr>
          <w:rFonts w:ascii="Verdana" w:hAnsi="Verdana"/>
          <w:sz w:val="18"/>
          <w:szCs w:val="18"/>
        </w:rPr>
        <w:t xml:space="preserve"> (</w:t>
      </w:r>
      <w:r w:rsidR="00280797">
        <w:rPr>
          <w:rFonts w:ascii="Verdana" w:hAnsi="Verdana"/>
          <w:sz w:val="18"/>
          <w:szCs w:val="18"/>
        </w:rPr>
        <w:t>via CCU)</w:t>
      </w:r>
      <w:r w:rsidRPr="00DE2378" w:rsidR="00655E81">
        <w:rPr>
          <w:rFonts w:ascii="Verdana" w:hAnsi="Verdana"/>
          <w:sz w:val="18"/>
          <w:szCs w:val="18"/>
        </w:rPr>
        <w:t xml:space="preserve"> </w:t>
      </w:r>
      <w:r w:rsidRPr="00DE2378" w:rsidR="00DE2378">
        <w:rPr>
          <w:rFonts w:ascii="Verdana" w:hAnsi="Verdana"/>
          <w:sz w:val="18"/>
          <w:szCs w:val="18"/>
        </w:rPr>
        <w:t>zijn hierbij cruciaal. De Commissie zal stimuleringsmaatregelen ontwikkelen om deze transitie economisch aantrekkelijk te maken</w:t>
      </w:r>
      <w:r w:rsidR="00E00189">
        <w:rPr>
          <w:rFonts w:ascii="Verdana" w:hAnsi="Verdana"/>
          <w:sz w:val="18"/>
          <w:szCs w:val="18"/>
        </w:rPr>
        <w:t xml:space="preserve">, </w:t>
      </w:r>
      <w:r w:rsidR="005707E3">
        <w:rPr>
          <w:rFonts w:ascii="Verdana" w:hAnsi="Verdana"/>
          <w:sz w:val="18"/>
          <w:szCs w:val="18"/>
        </w:rPr>
        <w:t xml:space="preserve">o.a. door </w:t>
      </w:r>
      <w:r w:rsidR="008C5C90">
        <w:rPr>
          <w:rFonts w:ascii="Verdana" w:hAnsi="Verdana"/>
          <w:sz w:val="18"/>
          <w:szCs w:val="18"/>
        </w:rPr>
        <w:t xml:space="preserve">met </w:t>
      </w:r>
      <w:r w:rsidR="00E00189">
        <w:rPr>
          <w:rFonts w:ascii="Verdana" w:hAnsi="Verdana"/>
          <w:sz w:val="18"/>
          <w:szCs w:val="18"/>
        </w:rPr>
        <w:t xml:space="preserve">een </w:t>
      </w:r>
      <w:r w:rsidRPr="00FA3ACD" w:rsidR="00E00189">
        <w:rPr>
          <w:rFonts w:ascii="Verdana" w:hAnsi="Verdana"/>
          <w:i/>
          <w:iCs/>
          <w:sz w:val="18"/>
          <w:szCs w:val="18"/>
        </w:rPr>
        <w:t xml:space="preserve">EU </w:t>
      </w:r>
      <w:proofErr w:type="spellStart"/>
      <w:r w:rsidRPr="00FA3ACD" w:rsidR="00E00189">
        <w:rPr>
          <w:rFonts w:ascii="Verdana" w:hAnsi="Verdana"/>
          <w:i/>
          <w:iCs/>
          <w:sz w:val="18"/>
          <w:szCs w:val="18"/>
        </w:rPr>
        <w:t>Bioeconomy</w:t>
      </w:r>
      <w:proofErr w:type="spellEnd"/>
      <w:r w:rsidRPr="00FA3ACD" w:rsidR="00E00189">
        <w:rPr>
          <w:rFonts w:ascii="Verdana" w:hAnsi="Verdana"/>
          <w:i/>
          <w:iCs/>
          <w:sz w:val="18"/>
          <w:szCs w:val="18"/>
        </w:rPr>
        <w:t xml:space="preserve"> </w:t>
      </w:r>
      <w:proofErr w:type="spellStart"/>
      <w:r w:rsidRPr="00FA3ACD" w:rsidR="00E00189">
        <w:rPr>
          <w:rFonts w:ascii="Verdana" w:hAnsi="Verdana"/>
          <w:i/>
          <w:iCs/>
          <w:sz w:val="18"/>
          <w:szCs w:val="18"/>
        </w:rPr>
        <w:t>Strategy</w:t>
      </w:r>
      <w:proofErr w:type="spellEnd"/>
      <w:r w:rsidR="00E00189">
        <w:rPr>
          <w:rFonts w:ascii="Verdana" w:hAnsi="Verdana"/>
          <w:sz w:val="18"/>
          <w:szCs w:val="18"/>
        </w:rPr>
        <w:t xml:space="preserve"> en een</w:t>
      </w:r>
      <w:r w:rsidR="00955FCE">
        <w:rPr>
          <w:rFonts w:ascii="Verdana" w:hAnsi="Verdana"/>
          <w:sz w:val="18"/>
          <w:szCs w:val="18"/>
        </w:rPr>
        <w:t xml:space="preserve"> </w:t>
      </w:r>
      <w:proofErr w:type="spellStart"/>
      <w:r w:rsidRPr="00FA3ACD" w:rsidR="00955FCE">
        <w:rPr>
          <w:rFonts w:ascii="Verdana" w:hAnsi="Verdana"/>
          <w:i/>
          <w:iCs/>
          <w:sz w:val="18"/>
          <w:szCs w:val="18"/>
        </w:rPr>
        <w:t>Circular</w:t>
      </w:r>
      <w:proofErr w:type="spellEnd"/>
      <w:r w:rsidRPr="00FA3ACD" w:rsidR="00955FCE">
        <w:rPr>
          <w:rFonts w:ascii="Verdana" w:hAnsi="Verdana"/>
          <w:i/>
          <w:iCs/>
          <w:sz w:val="18"/>
          <w:szCs w:val="18"/>
        </w:rPr>
        <w:t xml:space="preserve"> </w:t>
      </w:r>
      <w:proofErr w:type="spellStart"/>
      <w:r w:rsidRPr="00FA3ACD" w:rsidR="00955FCE">
        <w:rPr>
          <w:rFonts w:ascii="Verdana" w:hAnsi="Verdana"/>
          <w:i/>
          <w:iCs/>
          <w:sz w:val="18"/>
          <w:szCs w:val="18"/>
        </w:rPr>
        <w:t>Economy</w:t>
      </w:r>
      <w:proofErr w:type="spellEnd"/>
      <w:r w:rsidRPr="00FA3ACD" w:rsidR="00955FCE">
        <w:rPr>
          <w:rFonts w:ascii="Verdana" w:hAnsi="Verdana"/>
          <w:i/>
          <w:iCs/>
          <w:sz w:val="18"/>
          <w:szCs w:val="18"/>
        </w:rPr>
        <w:t xml:space="preserve"> Act</w:t>
      </w:r>
      <w:r w:rsidR="005707E3">
        <w:rPr>
          <w:rFonts w:ascii="Verdana" w:hAnsi="Verdana"/>
          <w:sz w:val="18"/>
          <w:szCs w:val="18"/>
        </w:rPr>
        <w:t xml:space="preserve"> te komen</w:t>
      </w:r>
      <w:r w:rsidRPr="00DE2378" w:rsidR="00DE2378">
        <w:rPr>
          <w:rFonts w:ascii="Verdana" w:hAnsi="Verdana"/>
          <w:sz w:val="18"/>
          <w:szCs w:val="18"/>
        </w:rPr>
        <w:t>.</w:t>
      </w:r>
    </w:p>
    <w:p w:rsidRPr="00CC79E6" w:rsidR="00F7798C" w:rsidP="00F7798C" w:rsidRDefault="00F7798C" w14:paraId="7136E9CD" w14:textId="77777777">
      <w:pPr>
        <w:tabs>
          <w:tab w:val="left" w:pos="360"/>
          <w:tab w:val="left" w:pos="4500"/>
          <w:tab w:val="left" w:pos="5580"/>
        </w:tabs>
        <w:spacing w:line="360" w:lineRule="auto"/>
        <w:rPr>
          <w:rFonts w:ascii="Verdana" w:hAnsi="Verdana"/>
          <w:sz w:val="18"/>
          <w:szCs w:val="18"/>
          <w:highlight w:val="red"/>
        </w:rPr>
      </w:pPr>
    </w:p>
    <w:p w:rsidR="00DE2378" w:rsidP="00F7798C" w:rsidRDefault="00F7798C" w14:paraId="75EA36AF" w14:textId="58189EB4">
      <w:pPr>
        <w:tabs>
          <w:tab w:val="left" w:pos="360"/>
          <w:tab w:val="left" w:pos="4500"/>
          <w:tab w:val="left" w:pos="5580"/>
        </w:tabs>
        <w:spacing w:line="360" w:lineRule="auto"/>
        <w:rPr>
          <w:rFonts w:ascii="Verdana" w:hAnsi="Verdana"/>
          <w:sz w:val="18"/>
          <w:szCs w:val="18"/>
        </w:rPr>
      </w:pPr>
      <w:r w:rsidRPr="00DE2378">
        <w:rPr>
          <w:rFonts w:ascii="Verdana" w:hAnsi="Verdana"/>
          <w:sz w:val="18"/>
          <w:szCs w:val="18"/>
        </w:rPr>
        <w:lastRenderedPageBreak/>
        <w:t>Het derde spoor zet in op versterking van het vermogen</w:t>
      </w:r>
      <w:r w:rsidR="00C27FCC">
        <w:rPr>
          <w:rFonts w:ascii="Verdana" w:hAnsi="Verdana"/>
          <w:sz w:val="18"/>
          <w:szCs w:val="18"/>
        </w:rPr>
        <w:t xml:space="preserve"> tot innovatie</w:t>
      </w:r>
      <w:r w:rsidRPr="00DE2378">
        <w:rPr>
          <w:rFonts w:ascii="Verdana" w:hAnsi="Verdana"/>
          <w:sz w:val="18"/>
          <w:szCs w:val="18"/>
        </w:rPr>
        <w:t xml:space="preserve"> van de chemische sector</w:t>
      </w:r>
      <w:r w:rsidRPr="00DE2378" w:rsidR="00CE3CD7">
        <w:rPr>
          <w:rFonts w:ascii="Verdana" w:hAnsi="Verdana"/>
          <w:sz w:val="18"/>
          <w:szCs w:val="18"/>
        </w:rPr>
        <w:t>, alsook marktcreatie en waardeketenontwikkeling</w:t>
      </w:r>
      <w:r w:rsidRPr="00DE2378">
        <w:rPr>
          <w:rFonts w:ascii="Verdana" w:hAnsi="Verdana"/>
          <w:sz w:val="18"/>
          <w:szCs w:val="18"/>
        </w:rPr>
        <w:t xml:space="preserve">. </w:t>
      </w:r>
      <w:r w:rsidRPr="00DE2378" w:rsidR="00DE2378">
        <w:rPr>
          <w:rFonts w:ascii="Verdana" w:hAnsi="Verdana"/>
          <w:sz w:val="18"/>
          <w:szCs w:val="18"/>
        </w:rPr>
        <w:t xml:space="preserve">Investeringen in niet-fossiele grondstoffen en koolstofarme technologieën worden vaak belemmerd door een gebrek aan afnemers, waardoor koplopers moeite hebben om rendement te halen. Daarom wil de Commissie via de </w:t>
      </w:r>
      <w:r w:rsidRPr="00776A21" w:rsidR="00DE2378">
        <w:rPr>
          <w:rFonts w:ascii="Verdana" w:hAnsi="Verdana"/>
          <w:i/>
          <w:iCs/>
          <w:sz w:val="18"/>
          <w:szCs w:val="18"/>
        </w:rPr>
        <w:t xml:space="preserve">Industrial </w:t>
      </w:r>
      <w:proofErr w:type="spellStart"/>
      <w:r w:rsidRPr="00776A21" w:rsidR="00DE2378">
        <w:rPr>
          <w:rFonts w:ascii="Verdana" w:hAnsi="Verdana"/>
          <w:i/>
          <w:iCs/>
          <w:sz w:val="18"/>
          <w:szCs w:val="18"/>
        </w:rPr>
        <w:t>Decarbonisation</w:t>
      </w:r>
      <w:proofErr w:type="spellEnd"/>
      <w:r w:rsidRPr="00776A21" w:rsidR="00DE2378">
        <w:rPr>
          <w:rFonts w:ascii="Verdana" w:hAnsi="Verdana"/>
          <w:i/>
          <w:iCs/>
          <w:sz w:val="18"/>
          <w:szCs w:val="18"/>
        </w:rPr>
        <w:t xml:space="preserve"> Accelerator Act</w:t>
      </w:r>
      <w:r w:rsidRPr="00DE2378" w:rsidR="00DE2378">
        <w:rPr>
          <w:rFonts w:ascii="Verdana" w:hAnsi="Verdana"/>
          <w:sz w:val="18"/>
          <w:szCs w:val="18"/>
        </w:rPr>
        <w:t xml:space="preserve">, in het kader van </w:t>
      </w:r>
      <w:r w:rsidR="000A61F5">
        <w:rPr>
          <w:rFonts w:ascii="Verdana" w:hAnsi="Verdana"/>
          <w:sz w:val="18"/>
          <w:szCs w:val="18"/>
        </w:rPr>
        <w:t>aankomende</w:t>
      </w:r>
      <w:r w:rsidRPr="00DE2378" w:rsidR="00DE2378">
        <w:rPr>
          <w:rFonts w:ascii="Verdana" w:hAnsi="Verdana"/>
          <w:sz w:val="18"/>
          <w:szCs w:val="18"/>
        </w:rPr>
        <w:t xml:space="preserve"> hervorming van </w:t>
      </w:r>
      <w:r w:rsidR="00511317">
        <w:rPr>
          <w:rFonts w:ascii="Verdana" w:hAnsi="Verdana"/>
          <w:sz w:val="18"/>
          <w:szCs w:val="18"/>
        </w:rPr>
        <w:t xml:space="preserve">publieke </w:t>
      </w:r>
      <w:r w:rsidRPr="00DE2378" w:rsidR="00DE2378">
        <w:rPr>
          <w:rFonts w:ascii="Verdana" w:hAnsi="Verdana"/>
          <w:sz w:val="18"/>
          <w:szCs w:val="18"/>
        </w:rPr>
        <w:t>aanbesteding</w:t>
      </w:r>
      <w:r w:rsidR="00FF0910">
        <w:rPr>
          <w:rFonts w:ascii="Verdana" w:hAnsi="Verdana"/>
          <w:sz w:val="18"/>
          <w:szCs w:val="18"/>
        </w:rPr>
        <w:t>sregelgeving</w:t>
      </w:r>
      <w:r w:rsidRPr="00DE2378" w:rsidR="00DE2378">
        <w:rPr>
          <w:rFonts w:ascii="Verdana" w:hAnsi="Verdana"/>
          <w:sz w:val="18"/>
          <w:szCs w:val="18"/>
        </w:rPr>
        <w:t xml:space="preserve">, </w:t>
      </w:r>
      <w:r w:rsidRPr="002165DA" w:rsidR="00DE2378">
        <w:rPr>
          <w:rFonts w:ascii="Verdana" w:hAnsi="Verdana"/>
          <w:sz w:val="18"/>
          <w:szCs w:val="18"/>
        </w:rPr>
        <w:t>EU-content</w:t>
      </w:r>
      <w:r w:rsidRPr="002165DA" w:rsidR="002165DA">
        <w:rPr>
          <w:rFonts w:ascii="Verdana" w:hAnsi="Verdana"/>
          <w:sz w:val="18"/>
          <w:szCs w:val="18"/>
        </w:rPr>
        <w:t>vereisten</w:t>
      </w:r>
      <w:r w:rsidRPr="00DE2378" w:rsidR="00DE2378">
        <w:rPr>
          <w:rFonts w:ascii="Verdana" w:hAnsi="Verdana"/>
          <w:sz w:val="18"/>
          <w:szCs w:val="18"/>
        </w:rPr>
        <w:t xml:space="preserve"> </w:t>
      </w:r>
      <w:r w:rsidR="000A61F5">
        <w:rPr>
          <w:rFonts w:ascii="Verdana" w:hAnsi="Verdana"/>
          <w:sz w:val="18"/>
          <w:szCs w:val="18"/>
        </w:rPr>
        <w:t xml:space="preserve">(in lijn met internationale verplichtingen) </w:t>
      </w:r>
      <w:r w:rsidRPr="00DE2378" w:rsidR="00DE2378">
        <w:rPr>
          <w:rFonts w:ascii="Verdana" w:hAnsi="Verdana"/>
          <w:sz w:val="18"/>
          <w:szCs w:val="18"/>
        </w:rPr>
        <w:t>en duurzaamheidscriteria invoeren om schone Europese productie en vraag te stimuleren. Daarnaast moedigt de Commissie via een aanbeveling over fiscale stimulansen het gebruik van belastingkredieten en versnelde afschrijving aan om investeringen in schone technologieën in o.a. de chemische sector te bevorderen</w:t>
      </w:r>
      <w:r w:rsidR="000A61F5">
        <w:rPr>
          <w:rFonts w:ascii="Verdana" w:hAnsi="Verdana"/>
          <w:sz w:val="18"/>
          <w:szCs w:val="18"/>
        </w:rPr>
        <w:t>.</w:t>
      </w:r>
      <w:r w:rsidR="000A61F5">
        <w:rPr>
          <w:rStyle w:val="FootnoteReference"/>
          <w:rFonts w:ascii="Verdana" w:hAnsi="Verdana"/>
          <w:sz w:val="18"/>
          <w:szCs w:val="18"/>
        </w:rPr>
        <w:footnoteReference w:id="8"/>
      </w:r>
    </w:p>
    <w:p w:rsidRPr="00776A21" w:rsidR="00DE2378" w:rsidP="00F7798C" w:rsidRDefault="00DE2378" w14:paraId="13E7BBF0" w14:textId="77777777">
      <w:pPr>
        <w:tabs>
          <w:tab w:val="left" w:pos="360"/>
          <w:tab w:val="left" w:pos="4500"/>
          <w:tab w:val="left" w:pos="5580"/>
        </w:tabs>
        <w:spacing w:line="360" w:lineRule="auto"/>
        <w:rPr>
          <w:rFonts w:ascii="Verdana" w:hAnsi="Verdana"/>
          <w:sz w:val="18"/>
          <w:szCs w:val="18"/>
        </w:rPr>
      </w:pPr>
    </w:p>
    <w:p w:rsidRPr="00E155BC" w:rsidR="00F7798C" w:rsidP="00F7798C" w:rsidRDefault="00F7798C" w14:paraId="302F5583" w14:textId="6ED084FD">
      <w:pPr>
        <w:tabs>
          <w:tab w:val="left" w:pos="360"/>
          <w:tab w:val="left" w:pos="4500"/>
          <w:tab w:val="left" w:pos="5580"/>
        </w:tabs>
        <w:spacing w:line="360" w:lineRule="auto"/>
        <w:rPr>
          <w:rFonts w:ascii="Verdana" w:hAnsi="Verdana"/>
          <w:sz w:val="18"/>
          <w:szCs w:val="18"/>
        </w:rPr>
      </w:pPr>
      <w:r w:rsidRPr="00776A21">
        <w:rPr>
          <w:rFonts w:ascii="Verdana" w:hAnsi="Verdana"/>
          <w:sz w:val="18"/>
          <w:szCs w:val="18"/>
        </w:rPr>
        <w:t xml:space="preserve">De Commissie kondigt </w:t>
      </w:r>
      <w:r w:rsidRPr="00776A21" w:rsidR="00D962AA">
        <w:rPr>
          <w:rFonts w:ascii="Verdana" w:hAnsi="Verdana"/>
          <w:sz w:val="18"/>
          <w:szCs w:val="18"/>
        </w:rPr>
        <w:t xml:space="preserve">o.a. </w:t>
      </w:r>
      <w:r w:rsidRPr="00776A21">
        <w:rPr>
          <w:rFonts w:ascii="Verdana" w:hAnsi="Verdana"/>
          <w:sz w:val="18"/>
          <w:szCs w:val="18"/>
        </w:rPr>
        <w:t xml:space="preserve">een </w:t>
      </w:r>
      <w:r w:rsidRPr="00776A21">
        <w:rPr>
          <w:rFonts w:ascii="Verdana" w:hAnsi="Verdana"/>
          <w:i/>
          <w:iCs/>
          <w:sz w:val="18"/>
          <w:szCs w:val="18"/>
        </w:rPr>
        <w:t xml:space="preserve">Advanced </w:t>
      </w:r>
      <w:proofErr w:type="spellStart"/>
      <w:r w:rsidRPr="00776A21">
        <w:rPr>
          <w:rFonts w:ascii="Verdana" w:hAnsi="Verdana"/>
          <w:i/>
          <w:iCs/>
          <w:sz w:val="18"/>
          <w:szCs w:val="18"/>
        </w:rPr>
        <w:t>Materials</w:t>
      </w:r>
      <w:proofErr w:type="spellEnd"/>
      <w:r w:rsidRPr="00776A21">
        <w:rPr>
          <w:rFonts w:ascii="Verdana" w:hAnsi="Verdana"/>
          <w:i/>
          <w:iCs/>
          <w:sz w:val="18"/>
          <w:szCs w:val="18"/>
        </w:rPr>
        <w:t xml:space="preserve"> Act </w:t>
      </w:r>
      <w:r w:rsidRPr="00D962AA">
        <w:rPr>
          <w:rFonts w:ascii="Verdana" w:hAnsi="Verdana"/>
          <w:sz w:val="18"/>
          <w:szCs w:val="18"/>
        </w:rPr>
        <w:t xml:space="preserve">aan (2026), die technologische ontwikkeling </w:t>
      </w:r>
      <w:r w:rsidR="00D962AA">
        <w:rPr>
          <w:rFonts w:ascii="Verdana" w:hAnsi="Verdana"/>
          <w:sz w:val="18"/>
          <w:szCs w:val="18"/>
        </w:rPr>
        <w:t>in de chemische sector moet stimuleren en belonen</w:t>
      </w:r>
      <w:r w:rsidRPr="00D962AA">
        <w:rPr>
          <w:rFonts w:ascii="Verdana" w:hAnsi="Verdana"/>
          <w:sz w:val="18"/>
          <w:szCs w:val="18"/>
        </w:rPr>
        <w:t xml:space="preserve">. Innovatie zal </w:t>
      </w:r>
      <w:r w:rsidR="00D962AA">
        <w:rPr>
          <w:rFonts w:ascii="Verdana" w:hAnsi="Verdana"/>
          <w:sz w:val="18"/>
          <w:szCs w:val="18"/>
        </w:rPr>
        <w:t xml:space="preserve">daarnaast </w:t>
      </w:r>
      <w:r w:rsidRPr="00D962AA">
        <w:rPr>
          <w:rFonts w:ascii="Verdana" w:hAnsi="Verdana"/>
          <w:sz w:val="18"/>
          <w:szCs w:val="18"/>
        </w:rPr>
        <w:t>worden ondersteund via de oprichting van</w:t>
      </w:r>
      <w:r w:rsidR="00D962AA">
        <w:rPr>
          <w:rFonts w:ascii="Verdana" w:hAnsi="Verdana"/>
          <w:sz w:val="18"/>
          <w:szCs w:val="18"/>
        </w:rPr>
        <w:t xml:space="preserve"> vrijwillige</w:t>
      </w:r>
      <w:r w:rsidRPr="00D962AA">
        <w:rPr>
          <w:rFonts w:ascii="Verdana" w:hAnsi="Verdana"/>
          <w:sz w:val="18"/>
          <w:szCs w:val="18"/>
        </w:rPr>
        <w:t xml:space="preserve"> </w:t>
      </w:r>
      <w:r w:rsidRPr="000A61F5">
        <w:rPr>
          <w:rFonts w:ascii="Verdana" w:hAnsi="Verdana"/>
          <w:i/>
          <w:iCs/>
          <w:sz w:val="18"/>
          <w:szCs w:val="18"/>
        </w:rPr>
        <w:t xml:space="preserve">EU </w:t>
      </w:r>
      <w:proofErr w:type="spellStart"/>
      <w:r w:rsidRPr="000A61F5">
        <w:rPr>
          <w:rFonts w:ascii="Verdana" w:hAnsi="Verdana"/>
          <w:i/>
          <w:iCs/>
          <w:sz w:val="18"/>
          <w:szCs w:val="18"/>
        </w:rPr>
        <w:t>Chemicals</w:t>
      </w:r>
      <w:proofErr w:type="spellEnd"/>
      <w:r w:rsidRPr="000A61F5">
        <w:rPr>
          <w:rFonts w:ascii="Verdana" w:hAnsi="Verdana"/>
          <w:i/>
          <w:iCs/>
          <w:sz w:val="18"/>
          <w:szCs w:val="18"/>
        </w:rPr>
        <w:t xml:space="preserve"> </w:t>
      </w:r>
      <w:proofErr w:type="spellStart"/>
      <w:r w:rsidRPr="000A61F5">
        <w:rPr>
          <w:rFonts w:ascii="Verdana" w:hAnsi="Verdana"/>
          <w:i/>
          <w:iCs/>
          <w:sz w:val="18"/>
          <w:szCs w:val="18"/>
        </w:rPr>
        <w:t>Innovation</w:t>
      </w:r>
      <w:proofErr w:type="spellEnd"/>
      <w:r w:rsidRPr="000A61F5">
        <w:rPr>
          <w:rFonts w:ascii="Verdana" w:hAnsi="Verdana"/>
          <w:i/>
          <w:iCs/>
          <w:sz w:val="18"/>
          <w:szCs w:val="18"/>
        </w:rPr>
        <w:t xml:space="preserve"> Hubs</w:t>
      </w:r>
      <w:r w:rsidRPr="00D962AA">
        <w:rPr>
          <w:rFonts w:ascii="Verdana" w:hAnsi="Verdana"/>
          <w:sz w:val="18"/>
          <w:szCs w:val="18"/>
        </w:rPr>
        <w:t>, regionale samenwerkingsstructuren met betrokkenheid van industrie, kennisinstellingen en overheden.</w:t>
      </w:r>
      <w:r w:rsidR="00E155BC">
        <w:rPr>
          <w:rFonts w:ascii="Verdana" w:hAnsi="Verdana"/>
          <w:sz w:val="18"/>
          <w:szCs w:val="18"/>
        </w:rPr>
        <w:t xml:space="preserve"> Tot slot wordt onder dit spoor het belang van veiligheid van chemicaliën benoemd, alsook de ambitie om het </w:t>
      </w:r>
      <w:proofErr w:type="spellStart"/>
      <w:r w:rsidR="00E155BC">
        <w:rPr>
          <w:rFonts w:ascii="Verdana" w:hAnsi="Verdana"/>
          <w:sz w:val="18"/>
          <w:szCs w:val="18"/>
        </w:rPr>
        <w:t>uitfaseren</w:t>
      </w:r>
      <w:proofErr w:type="spellEnd"/>
      <w:r w:rsidR="00E155BC">
        <w:rPr>
          <w:rFonts w:ascii="Verdana" w:hAnsi="Verdana"/>
          <w:sz w:val="18"/>
          <w:szCs w:val="18"/>
        </w:rPr>
        <w:t xml:space="preserve"> van dier</w:t>
      </w:r>
      <w:r w:rsidR="00F11E19">
        <w:rPr>
          <w:rFonts w:ascii="Verdana" w:hAnsi="Verdana"/>
          <w:sz w:val="18"/>
          <w:szCs w:val="18"/>
        </w:rPr>
        <w:t>proev</w:t>
      </w:r>
      <w:r w:rsidR="00E155BC">
        <w:rPr>
          <w:rFonts w:ascii="Verdana" w:hAnsi="Verdana"/>
          <w:sz w:val="18"/>
          <w:szCs w:val="18"/>
        </w:rPr>
        <w:t>en</w:t>
      </w:r>
      <w:r w:rsidR="007B1983">
        <w:rPr>
          <w:rFonts w:ascii="Verdana" w:hAnsi="Verdana"/>
          <w:sz w:val="18"/>
          <w:szCs w:val="18"/>
        </w:rPr>
        <w:t xml:space="preserve"> voor de veiligheid van chemicaliën</w:t>
      </w:r>
      <w:r w:rsidR="00E155BC">
        <w:rPr>
          <w:rFonts w:ascii="Verdana" w:hAnsi="Verdana"/>
          <w:sz w:val="18"/>
          <w:szCs w:val="18"/>
        </w:rPr>
        <w:t xml:space="preserve"> te versnellen. </w:t>
      </w:r>
    </w:p>
    <w:p w:rsidRPr="00CC79E6" w:rsidR="00F7798C" w:rsidP="00F7798C" w:rsidRDefault="00F7798C" w14:paraId="77DD933C" w14:textId="77777777">
      <w:pPr>
        <w:tabs>
          <w:tab w:val="left" w:pos="360"/>
          <w:tab w:val="left" w:pos="4500"/>
          <w:tab w:val="left" w:pos="5580"/>
        </w:tabs>
        <w:spacing w:line="360" w:lineRule="auto"/>
        <w:rPr>
          <w:rFonts w:ascii="Verdana" w:hAnsi="Verdana"/>
          <w:sz w:val="18"/>
          <w:szCs w:val="18"/>
          <w:highlight w:val="red"/>
        </w:rPr>
      </w:pPr>
    </w:p>
    <w:p w:rsidR="00CE63AA" w:rsidP="0064352A" w:rsidRDefault="00F7798C" w14:paraId="54C9B3BB" w14:textId="34C950F0">
      <w:pPr>
        <w:tabs>
          <w:tab w:val="left" w:pos="360"/>
          <w:tab w:val="left" w:pos="4500"/>
          <w:tab w:val="left" w:pos="5580"/>
        </w:tabs>
        <w:spacing w:line="360" w:lineRule="auto"/>
        <w:rPr>
          <w:rFonts w:ascii="Verdana" w:hAnsi="Verdana"/>
          <w:sz w:val="18"/>
          <w:szCs w:val="18"/>
        </w:rPr>
      </w:pPr>
      <w:r w:rsidRPr="00E155BC">
        <w:rPr>
          <w:rFonts w:ascii="Verdana" w:hAnsi="Verdana"/>
          <w:sz w:val="18"/>
          <w:szCs w:val="18"/>
        </w:rPr>
        <w:t xml:space="preserve">Het vierde spoor richt zich op </w:t>
      </w:r>
      <w:r w:rsidRPr="00E155BC" w:rsidR="00E155BC">
        <w:rPr>
          <w:rFonts w:ascii="Verdana" w:hAnsi="Verdana"/>
          <w:sz w:val="18"/>
          <w:szCs w:val="18"/>
        </w:rPr>
        <w:t xml:space="preserve">het </w:t>
      </w:r>
      <w:r w:rsidR="00770223">
        <w:rPr>
          <w:rFonts w:ascii="Verdana" w:hAnsi="Verdana"/>
          <w:sz w:val="18"/>
          <w:szCs w:val="18"/>
        </w:rPr>
        <w:t>verbeteren</w:t>
      </w:r>
      <w:r w:rsidRPr="00E155BC">
        <w:rPr>
          <w:rFonts w:ascii="Verdana" w:hAnsi="Verdana"/>
          <w:sz w:val="18"/>
          <w:szCs w:val="18"/>
        </w:rPr>
        <w:t xml:space="preserve"> van het regelgevend </w:t>
      </w:r>
      <w:r w:rsidRPr="00E155BC" w:rsidR="00E155BC">
        <w:rPr>
          <w:rFonts w:ascii="Verdana" w:hAnsi="Verdana"/>
          <w:sz w:val="18"/>
          <w:szCs w:val="18"/>
        </w:rPr>
        <w:t>kader</w:t>
      </w:r>
      <w:r w:rsidR="00623311">
        <w:rPr>
          <w:rFonts w:ascii="Verdana" w:hAnsi="Verdana"/>
          <w:sz w:val="18"/>
          <w:szCs w:val="18"/>
        </w:rPr>
        <w:t xml:space="preserve"> dat de chemische industrie raakt</w:t>
      </w:r>
      <w:r w:rsidRPr="00E155BC" w:rsidR="00E155BC">
        <w:rPr>
          <w:rFonts w:ascii="Verdana" w:hAnsi="Verdana"/>
          <w:sz w:val="18"/>
          <w:szCs w:val="18"/>
        </w:rPr>
        <w:t>.</w:t>
      </w:r>
      <w:r w:rsidRPr="00E155BC">
        <w:rPr>
          <w:rFonts w:ascii="Verdana" w:hAnsi="Verdana"/>
          <w:sz w:val="18"/>
          <w:szCs w:val="18"/>
        </w:rPr>
        <w:t xml:space="preserve"> De Commissie </w:t>
      </w:r>
      <w:r w:rsidR="0031683F">
        <w:rPr>
          <w:rFonts w:ascii="Verdana" w:hAnsi="Verdana"/>
          <w:sz w:val="18"/>
          <w:szCs w:val="18"/>
        </w:rPr>
        <w:t xml:space="preserve">verwijst </w:t>
      </w:r>
      <w:r w:rsidR="00E92584">
        <w:rPr>
          <w:rFonts w:ascii="Verdana" w:hAnsi="Verdana"/>
          <w:sz w:val="18"/>
          <w:szCs w:val="18"/>
        </w:rPr>
        <w:t>in dit kader naar</w:t>
      </w:r>
      <w:r w:rsidR="0031683F">
        <w:rPr>
          <w:rFonts w:ascii="Verdana" w:hAnsi="Verdana"/>
          <w:sz w:val="18"/>
          <w:szCs w:val="18"/>
        </w:rPr>
        <w:t xml:space="preserve"> de</w:t>
      </w:r>
      <w:r w:rsidRPr="00E155BC">
        <w:rPr>
          <w:rFonts w:ascii="Verdana" w:hAnsi="Verdana"/>
          <w:sz w:val="18"/>
          <w:szCs w:val="18"/>
        </w:rPr>
        <w:t xml:space="preserve"> chemie-omnibusverordening</w:t>
      </w:r>
      <w:r w:rsidR="00E92584">
        <w:rPr>
          <w:rFonts w:ascii="Verdana" w:hAnsi="Verdana"/>
          <w:sz w:val="18"/>
          <w:szCs w:val="18"/>
        </w:rPr>
        <w:t>,</w:t>
      </w:r>
      <w:r w:rsidRPr="00E155BC">
        <w:rPr>
          <w:rFonts w:ascii="Verdana" w:hAnsi="Verdana"/>
          <w:sz w:val="18"/>
          <w:szCs w:val="18"/>
        </w:rPr>
        <w:t xml:space="preserve"> waarin verschillende vereenvoudigingen worden gebundeld</w:t>
      </w:r>
      <w:r w:rsidR="00E92584">
        <w:rPr>
          <w:rFonts w:ascii="Verdana" w:hAnsi="Verdana"/>
          <w:sz w:val="18"/>
          <w:szCs w:val="18"/>
        </w:rPr>
        <w:t xml:space="preserve">, en naar de </w:t>
      </w:r>
      <w:r w:rsidRPr="00E155BC" w:rsidR="00E92584">
        <w:rPr>
          <w:rFonts w:ascii="Verdana" w:hAnsi="Verdana"/>
          <w:sz w:val="18"/>
          <w:szCs w:val="18"/>
        </w:rPr>
        <w:t>vereenvoudiging</w:t>
      </w:r>
      <w:r w:rsidR="00E92584">
        <w:rPr>
          <w:rFonts w:ascii="Verdana" w:hAnsi="Verdana"/>
          <w:sz w:val="18"/>
          <w:szCs w:val="18"/>
        </w:rPr>
        <w:t>en</w:t>
      </w:r>
      <w:r w:rsidRPr="00E155BC" w:rsidR="00E92584">
        <w:rPr>
          <w:rFonts w:ascii="Verdana" w:hAnsi="Verdana"/>
          <w:sz w:val="18"/>
          <w:szCs w:val="18"/>
        </w:rPr>
        <w:t xml:space="preserve"> van procedures binnen</w:t>
      </w:r>
      <w:r w:rsidR="00E92584">
        <w:rPr>
          <w:rFonts w:ascii="Verdana" w:hAnsi="Verdana"/>
          <w:sz w:val="18"/>
          <w:szCs w:val="18"/>
        </w:rPr>
        <w:t xml:space="preserve"> ECHA</w:t>
      </w:r>
      <w:r w:rsidRPr="00E155BC">
        <w:rPr>
          <w:rFonts w:ascii="Verdana" w:hAnsi="Verdana"/>
          <w:sz w:val="18"/>
          <w:szCs w:val="18"/>
        </w:rPr>
        <w:t>.</w:t>
      </w:r>
      <w:r w:rsidR="000A61F5">
        <w:rPr>
          <w:rStyle w:val="FootnoteReference"/>
          <w:rFonts w:ascii="Verdana" w:hAnsi="Verdana"/>
          <w:sz w:val="18"/>
          <w:szCs w:val="18"/>
        </w:rPr>
        <w:footnoteReference w:id="9"/>
      </w:r>
      <w:r w:rsidRPr="00E155BC">
        <w:rPr>
          <w:rFonts w:ascii="Verdana" w:hAnsi="Verdana"/>
          <w:sz w:val="18"/>
          <w:szCs w:val="18"/>
        </w:rPr>
        <w:t xml:space="preserve"> Daarnaast volg</w:t>
      </w:r>
      <w:r w:rsidR="008324C4">
        <w:rPr>
          <w:rFonts w:ascii="Verdana" w:hAnsi="Verdana"/>
          <w:sz w:val="18"/>
          <w:szCs w:val="18"/>
        </w:rPr>
        <w:t>t</w:t>
      </w:r>
      <w:r w:rsidRPr="00E155BC">
        <w:rPr>
          <w:rFonts w:ascii="Verdana" w:hAnsi="Verdana"/>
          <w:sz w:val="18"/>
          <w:szCs w:val="18"/>
        </w:rPr>
        <w:t xml:space="preserve"> in 202</w:t>
      </w:r>
      <w:r w:rsidR="005C18D9">
        <w:rPr>
          <w:rFonts w:ascii="Verdana" w:hAnsi="Verdana"/>
          <w:sz w:val="18"/>
          <w:szCs w:val="18"/>
        </w:rPr>
        <w:t>5</w:t>
      </w:r>
      <w:r w:rsidRPr="00E155BC">
        <w:rPr>
          <w:rFonts w:ascii="Verdana" w:hAnsi="Verdana"/>
          <w:sz w:val="18"/>
          <w:szCs w:val="18"/>
        </w:rPr>
        <w:t xml:space="preserve"> een gerichte herziening van REACH</w:t>
      </w:r>
      <w:r w:rsidRPr="00E155BC" w:rsidR="00E155BC">
        <w:rPr>
          <w:rFonts w:ascii="Verdana" w:hAnsi="Verdana"/>
          <w:sz w:val="18"/>
          <w:szCs w:val="18"/>
        </w:rPr>
        <w:t xml:space="preserve"> (regulering van chemi</w:t>
      </w:r>
      <w:r w:rsidR="006E403D">
        <w:rPr>
          <w:rFonts w:ascii="Verdana" w:hAnsi="Verdana"/>
          <w:sz w:val="18"/>
          <w:szCs w:val="18"/>
        </w:rPr>
        <w:t>s</w:t>
      </w:r>
      <w:r w:rsidRPr="00E155BC" w:rsidR="00E155BC">
        <w:rPr>
          <w:rFonts w:ascii="Verdana" w:hAnsi="Verdana"/>
          <w:sz w:val="18"/>
          <w:szCs w:val="18"/>
        </w:rPr>
        <w:t>c</w:t>
      </w:r>
      <w:r w:rsidR="006E403D">
        <w:rPr>
          <w:rFonts w:ascii="Verdana" w:hAnsi="Verdana"/>
          <w:sz w:val="18"/>
          <w:szCs w:val="18"/>
        </w:rPr>
        <w:t>he stoffen</w:t>
      </w:r>
      <w:r w:rsidRPr="00E155BC" w:rsidR="00E155BC">
        <w:rPr>
          <w:rFonts w:ascii="Verdana" w:hAnsi="Verdana"/>
          <w:sz w:val="18"/>
          <w:szCs w:val="18"/>
        </w:rPr>
        <w:t>)</w:t>
      </w:r>
      <w:r w:rsidR="00141B33">
        <w:rPr>
          <w:rFonts w:ascii="Verdana" w:hAnsi="Verdana"/>
          <w:sz w:val="18"/>
          <w:szCs w:val="18"/>
        </w:rPr>
        <w:t>.</w:t>
      </w:r>
      <w:r w:rsidR="000A61F5">
        <w:rPr>
          <w:rFonts w:ascii="Verdana" w:hAnsi="Verdana"/>
          <w:sz w:val="18"/>
          <w:szCs w:val="18"/>
        </w:rPr>
        <w:t xml:space="preserve"> Dit alles</w:t>
      </w:r>
      <w:r w:rsidRPr="00E155BC" w:rsidR="00E155BC">
        <w:rPr>
          <w:rFonts w:ascii="Verdana" w:hAnsi="Verdana"/>
          <w:sz w:val="18"/>
          <w:szCs w:val="18"/>
        </w:rPr>
        <w:t xml:space="preserve"> met als doel om procedures te versnellen en te vergemakkelijken voor bedrijven, met name</w:t>
      </w:r>
      <w:r w:rsidR="00E155BC">
        <w:rPr>
          <w:rFonts w:ascii="Verdana" w:hAnsi="Verdana"/>
          <w:sz w:val="18"/>
          <w:szCs w:val="18"/>
        </w:rPr>
        <w:t xml:space="preserve"> voor het</w:t>
      </w:r>
      <w:r w:rsidRPr="00E155BC" w:rsidR="00E155BC">
        <w:rPr>
          <w:rFonts w:ascii="Verdana" w:hAnsi="Verdana"/>
          <w:sz w:val="18"/>
          <w:szCs w:val="18"/>
        </w:rPr>
        <w:t xml:space="preserve"> MKB.</w:t>
      </w:r>
      <w:r w:rsidR="0079280A">
        <w:rPr>
          <w:rFonts w:ascii="Verdana" w:hAnsi="Verdana"/>
          <w:sz w:val="18"/>
          <w:szCs w:val="18"/>
        </w:rPr>
        <w:t xml:space="preserve"> </w:t>
      </w:r>
      <w:r w:rsidRPr="0079280A">
        <w:rPr>
          <w:rFonts w:ascii="Verdana" w:hAnsi="Verdana"/>
          <w:sz w:val="18"/>
          <w:szCs w:val="18"/>
        </w:rPr>
        <w:t xml:space="preserve">De Commissie benoemt </w:t>
      </w:r>
      <w:r w:rsidRPr="0079280A" w:rsidR="00E155BC">
        <w:rPr>
          <w:rFonts w:ascii="Verdana" w:hAnsi="Verdana"/>
          <w:sz w:val="18"/>
          <w:szCs w:val="18"/>
        </w:rPr>
        <w:t xml:space="preserve">ook </w:t>
      </w:r>
      <w:r w:rsidRPr="0079280A">
        <w:rPr>
          <w:rFonts w:ascii="Verdana" w:hAnsi="Verdana"/>
          <w:sz w:val="18"/>
          <w:szCs w:val="18"/>
        </w:rPr>
        <w:t>specifieke acties op het g</w:t>
      </w:r>
      <w:r w:rsidR="00B301AF">
        <w:rPr>
          <w:rFonts w:ascii="Verdana" w:hAnsi="Verdana"/>
          <w:sz w:val="18"/>
          <w:szCs w:val="18"/>
        </w:rPr>
        <w:t>e</w:t>
      </w:r>
      <w:r w:rsidRPr="0079280A">
        <w:rPr>
          <w:rFonts w:ascii="Verdana" w:hAnsi="Verdana"/>
          <w:sz w:val="18"/>
          <w:szCs w:val="18"/>
        </w:rPr>
        <w:t xml:space="preserve">bied van PFAS, waaronder verduidelijking van richtsnoeren en versterking van de </w:t>
      </w:r>
      <w:r w:rsidRPr="0079280A" w:rsidR="0079280A">
        <w:rPr>
          <w:rFonts w:ascii="Verdana" w:hAnsi="Verdana"/>
          <w:sz w:val="18"/>
          <w:szCs w:val="18"/>
        </w:rPr>
        <w:t>Europese</w:t>
      </w:r>
      <w:r w:rsidRPr="0079280A">
        <w:rPr>
          <w:rFonts w:ascii="Verdana" w:hAnsi="Verdana"/>
          <w:sz w:val="18"/>
          <w:szCs w:val="18"/>
        </w:rPr>
        <w:t xml:space="preserve"> coördinatie.</w:t>
      </w:r>
      <w:r w:rsidR="0079280A">
        <w:rPr>
          <w:rFonts w:ascii="Verdana" w:hAnsi="Verdana"/>
          <w:sz w:val="18"/>
          <w:szCs w:val="18"/>
        </w:rPr>
        <w:t xml:space="preserve"> Al het bovenstaande zal plaatsvinden met inachtneming van het </w:t>
      </w:r>
      <w:r w:rsidRPr="0079280A" w:rsidR="0079280A">
        <w:rPr>
          <w:rFonts w:ascii="Verdana" w:hAnsi="Verdana"/>
          <w:sz w:val="18"/>
          <w:szCs w:val="18"/>
        </w:rPr>
        <w:t>concurrentievermogen, veiligheid</w:t>
      </w:r>
      <w:r w:rsidR="0079280A">
        <w:rPr>
          <w:rFonts w:ascii="Verdana" w:hAnsi="Verdana"/>
          <w:sz w:val="18"/>
          <w:szCs w:val="18"/>
        </w:rPr>
        <w:t xml:space="preserve"> </w:t>
      </w:r>
      <w:r w:rsidRPr="0079280A" w:rsidR="0079280A">
        <w:rPr>
          <w:rFonts w:ascii="Verdana" w:hAnsi="Verdana"/>
          <w:sz w:val="18"/>
          <w:szCs w:val="18"/>
        </w:rPr>
        <w:t xml:space="preserve">en duurzaamheidsoverwegingen, </w:t>
      </w:r>
      <w:r w:rsidR="0079280A">
        <w:rPr>
          <w:rFonts w:ascii="Verdana" w:hAnsi="Verdana"/>
          <w:sz w:val="18"/>
          <w:szCs w:val="18"/>
        </w:rPr>
        <w:t>met behoud van</w:t>
      </w:r>
      <w:r w:rsidRPr="0079280A" w:rsidR="0079280A">
        <w:rPr>
          <w:rFonts w:ascii="Verdana" w:hAnsi="Verdana"/>
          <w:sz w:val="18"/>
          <w:szCs w:val="18"/>
        </w:rPr>
        <w:t xml:space="preserve"> een hoog niveau van bescherming van de </w:t>
      </w:r>
      <w:r w:rsidR="00B910A9">
        <w:rPr>
          <w:rFonts w:ascii="Verdana" w:hAnsi="Verdana"/>
          <w:sz w:val="18"/>
          <w:szCs w:val="18"/>
        </w:rPr>
        <w:t>volks</w:t>
      </w:r>
      <w:r w:rsidRPr="0079280A" w:rsidR="0079280A">
        <w:rPr>
          <w:rFonts w:ascii="Verdana" w:hAnsi="Verdana"/>
          <w:sz w:val="18"/>
          <w:szCs w:val="18"/>
        </w:rPr>
        <w:t xml:space="preserve">gezondheid en </w:t>
      </w:r>
      <w:r w:rsidR="00526B78">
        <w:rPr>
          <w:rFonts w:ascii="Verdana" w:hAnsi="Verdana"/>
          <w:sz w:val="18"/>
          <w:szCs w:val="18"/>
        </w:rPr>
        <w:t>de leefomgeving</w:t>
      </w:r>
      <w:r w:rsidRPr="0079280A" w:rsidR="0079280A">
        <w:rPr>
          <w:rFonts w:ascii="Verdana" w:hAnsi="Verdana"/>
          <w:sz w:val="18"/>
          <w:szCs w:val="18"/>
        </w:rPr>
        <w:t>.</w:t>
      </w:r>
    </w:p>
    <w:p w:rsidR="00CE63AA" w:rsidP="0064352A" w:rsidRDefault="00CE63AA" w14:paraId="1220C86D" w14:textId="77777777">
      <w:pPr>
        <w:tabs>
          <w:tab w:val="left" w:pos="360"/>
          <w:tab w:val="left" w:pos="4500"/>
          <w:tab w:val="left" w:pos="5580"/>
        </w:tabs>
        <w:spacing w:line="360" w:lineRule="auto"/>
        <w:rPr>
          <w:rFonts w:ascii="Verdana" w:hAnsi="Verdana"/>
          <w:sz w:val="18"/>
          <w:szCs w:val="18"/>
        </w:rPr>
      </w:pPr>
    </w:p>
    <w:p w:rsidRPr="0064352A" w:rsidR="008528D9" w:rsidP="008528D9" w:rsidRDefault="008528D9" w14:paraId="1A639749" w14:textId="77777777">
      <w:pPr>
        <w:numPr>
          <w:ilvl w:val="0"/>
          <w:numId w:val="15"/>
        </w:numPr>
        <w:tabs>
          <w:tab w:val="left" w:pos="360"/>
        </w:tabs>
        <w:spacing w:line="360" w:lineRule="auto"/>
        <w:rPr>
          <w:rFonts w:ascii="Verdana" w:hAnsi="Verdana"/>
          <w:b/>
          <w:sz w:val="18"/>
          <w:szCs w:val="18"/>
        </w:rPr>
      </w:pPr>
      <w:r w:rsidRPr="0064352A">
        <w:rPr>
          <w:rFonts w:ascii="Verdana" w:hAnsi="Verdana"/>
          <w:b/>
          <w:sz w:val="18"/>
          <w:szCs w:val="18"/>
        </w:rPr>
        <w:t>Nederla</w:t>
      </w:r>
      <w:r>
        <w:rPr>
          <w:rFonts w:ascii="Verdana" w:hAnsi="Verdana"/>
          <w:b/>
          <w:sz w:val="18"/>
          <w:szCs w:val="18"/>
        </w:rPr>
        <w:t>ndse positie ten aanzien van het voorstel</w:t>
      </w:r>
    </w:p>
    <w:p w:rsidR="00292A51" w:rsidP="00292A51" w:rsidRDefault="00FD0CBD" w14:paraId="79AF8A28" w14:textId="77777777">
      <w:pPr>
        <w:numPr>
          <w:ilvl w:val="0"/>
          <w:numId w:val="21"/>
        </w:numPr>
        <w:spacing w:line="360" w:lineRule="auto"/>
        <w:rPr>
          <w:rFonts w:ascii="Verdana" w:hAnsi="Verdana"/>
          <w:i/>
          <w:sz w:val="18"/>
          <w:szCs w:val="18"/>
        </w:rPr>
      </w:pPr>
      <w:r w:rsidRPr="00FD0CBD">
        <w:rPr>
          <w:rFonts w:ascii="Verdana" w:hAnsi="Verdana"/>
          <w:i/>
          <w:sz w:val="18"/>
          <w:szCs w:val="18"/>
        </w:rPr>
        <w:t>Essentie Nederlands beleid op dit terrein</w:t>
      </w:r>
    </w:p>
    <w:p w:rsidR="00182A05" w:rsidP="00B31605" w:rsidRDefault="00B31605" w14:paraId="2A9B5A15" w14:textId="4497956F">
      <w:pPr>
        <w:spacing w:line="360" w:lineRule="auto"/>
        <w:rPr>
          <w:rFonts w:ascii="Verdana" w:hAnsi="Verdana"/>
          <w:sz w:val="18"/>
          <w:szCs w:val="18"/>
        </w:rPr>
      </w:pPr>
      <w:r w:rsidRPr="00B31605">
        <w:rPr>
          <w:rFonts w:ascii="Verdana" w:hAnsi="Verdana"/>
          <w:sz w:val="18"/>
          <w:szCs w:val="18"/>
        </w:rPr>
        <w:t>Conform de Kamerbrief EU-concurrentievermogen</w:t>
      </w:r>
      <w:r>
        <w:rPr>
          <w:rStyle w:val="FootnoteReference"/>
          <w:rFonts w:ascii="Verdana" w:hAnsi="Verdana"/>
          <w:sz w:val="18"/>
          <w:szCs w:val="18"/>
        </w:rPr>
        <w:footnoteReference w:id="10"/>
      </w:r>
      <w:r w:rsidRPr="00B31605">
        <w:rPr>
          <w:rFonts w:ascii="Verdana" w:hAnsi="Verdana"/>
          <w:sz w:val="18"/>
          <w:szCs w:val="18"/>
        </w:rPr>
        <w:t xml:space="preserve"> is het voor Nederland</w:t>
      </w:r>
      <w:r>
        <w:rPr>
          <w:rFonts w:ascii="Verdana" w:hAnsi="Verdana"/>
          <w:sz w:val="18"/>
          <w:szCs w:val="18"/>
        </w:rPr>
        <w:t xml:space="preserve"> </w:t>
      </w:r>
      <w:r w:rsidRPr="00B31605">
        <w:rPr>
          <w:rFonts w:ascii="Verdana" w:hAnsi="Verdana"/>
          <w:sz w:val="18"/>
          <w:szCs w:val="18"/>
        </w:rPr>
        <w:t>van belang dat het concurrentievermogen en de weerbaarheid van de EU</w:t>
      </w:r>
      <w:r>
        <w:rPr>
          <w:rFonts w:ascii="Verdana" w:hAnsi="Verdana"/>
          <w:sz w:val="18"/>
          <w:szCs w:val="18"/>
        </w:rPr>
        <w:t xml:space="preserve"> </w:t>
      </w:r>
      <w:r w:rsidRPr="00B31605">
        <w:rPr>
          <w:rFonts w:ascii="Verdana" w:hAnsi="Verdana"/>
          <w:sz w:val="18"/>
          <w:szCs w:val="18"/>
        </w:rPr>
        <w:t>mede worden versterkt via (duurzaam) industriebeleid gericht op sterke</w:t>
      </w:r>
      <w:r>
        <w:rPr>
          <w:rFonts w:ascii="Verdana" w:hAnsi="Verdana"/>
          <w:sz w:val="18"/>
          <w:szCs w:val="18"/>
        </w:rPr>
        <w:t xml:space="preserve"> </w:t>
      </w:r>
      <w:r w:rsidRPr="00B31605">
        <w:rPr>
          <w:rFonts w:ascii="Verdana" w:hAnsi="Verdana"/>
          <w:sz w:val="18"/>
          <w:szCs w:val="18"/>
        </w:rPr>
        <w:t>randvoorwaarden, met programma’s voor strategische sectoren die</w:t>
      </w:r>
      <w:r>
        <w:rPr>
          <w:rFonts w:ascii="Verdana" w:hAnsi="Verdana"/>
          <w:sz w:val="18"/>
          <w:szCs w:val="18"/>
        </w:rPr>
        <w:t xml:space="preserve"> </w:t>
      </w:r>
      <w:r w:rsidRPr="00B31605">
        <w:rPr>
          <w:rFonts w:ascii="Verdana" w:hAnsi="Verdana"/>
          <w:sz w:val="18"/>
          <w:szCs w:val="18"/>
        </w:rPr>
        <w:t>gefocust zijn op toekomstgerichte productie en het behalen van de</w:t>
      </w:r>
      <w:r>
        <w:rPr>
          <w:rFonts w:ascii="Verdana" w:hAnsi="Verdana"/>
          <w:sz w:val="18"/>
          <w:szCs w:val="18"/>
        </w:rPr>
        <w:t xml:space="preserve"> </w:t>
      </w:r>
      <w:r w:rsidRPr="00B31605">
        <w:rPr>
          <w:rFonts w:ascii="Verdana" w:hAnsi="Verdana"/>
          <w:sz w:val="18"/>
          <w:szCs w:val="18"/>
        </w:rPr>
        <w:t>klimaat</w:t>
      </w:r>
      <w:r w:rsidR="008E51FF">
        <w:rPr>
          <w:rFonts w:ascii="Verdana" w:hAnsi="Verdana"/>
          <w:sz w:val="18"/>
          <w:szCs w:val="18"/>
        </w:rPr>
        <w:t>- en milieu</w:t>
      </w:r>
      <w:r w:rsidRPr="00B31605">
        <w:rPr>
          <w:rFonts w:ascii="Verdana" w:hAnsi="Verdana"/>
          <w:sz w:val="18"/>
          <w:szCs w:val="18"/>
        </w:rPr>
        <w:t xml:space="preserve">doelen. </w:t>
      </w:r>
      <w:r w:rsidR="008F678F">
        <w:rPr>
          <w:rFonts w:ascii="Verdana" w:hAnsi="Verdana"/>
          <w:sz w:val="18"/>
          <w:szCs w:val="18"/>
        </w:rPr>
        <w:t xml:space="preserve">Bovendien zet het kabinet in op verduurzaming in brede zin, waarbij een ‘schone industrie’ </w:t>
      </w:r>
      <w:proofErr w:type="spellStart"/>
      <w:r w:rsidR="00E7436C">
        <w:rPr>
          <w:rFonts w:ascii="Verdana" w:hAnsi="Verdana"/>
          <w:sz w:val="18"/>
          <w:szCs w:val="18"/>
        </w:rPr>
        <w:t>gedecarboniseerd</w:t>
      </w:r>
      <w:proofErr w:type="spellEnd"/>
      <w:r w:rsidR="00E7436C">
        <w:rPr>
          <w:rFonts w:ascii="Verdana" w:hAnsi="Verdana"/>
          <w:sz w:val="18"/>
          <w:szCs w:val="18"/>
        </w:rPr>
        <w:t xml:space="preserve">, circulair en in lijn is met de </w:t>
      </w:r>
      <w:r w:rsidRPr="00FA3ACD" w:rsidR="00C15978">
        <w:rPr>
          <w:rFonts w:ascii="Verdana" w:hAnsi="Verdana"/>
          <w:i/>
          <w:iCs/>
          <w:sz w:val="18"/>
          <w:szCs w:val="18"/>
        </w:rPr>
        <w:t xml:space="preserve">Zero </w:t>
      </w:r>
      <w:proofErr w:type="spellStart"/>
      <w:r w:rsidRPr="00FA3ACD" w:rsidR="00C15978">
        <w:rPr>
          <w:rFonts w:ascii="Verdana" w:hAnsi="Verdana"/>
          <w:i/>
          <w:iCs/>
          <w:sz w:val="18"/>
          <w:szCs w:val="18"/>
        </w:rPr>
        <w:t>Pollution</w:t>
      </w:r>
      <w:proofErr w:type="spellEnd"/>
      <w:r w:rsidR="00224F2B">
        <w:rPr>
          <w:rFonts w:ascii="Verdana" w:hAnsi="Verdana"/>
          <w:sz w:val="18"/>
          <w:szCs w:val="18"/>
        </w:rPr>
        <w:t xml:space="preserve"> ambitie</w:t>
      </w:r>
      <w:r w:rsidR="00E7436C">
        <w:rPr>
          <w:rFonts w:ascii="Verdana" w:hAnsi="Verdana"/>
          <w:sz w:val="18"/>
          <w:szCs w:val="18"/>
        </w:rPr>
        <w:t xml:space="preserve"> van de EU. </w:t>
      </w:r>
      <w:r w:rsidR="00BB01FD">
        <w:rPr>
          <w:rFonts w:ascii="Verdana" w:hAnsi="Verdana"/>
          <w:sz w:val="18"/>
          <w:szCs w:val="18"/>
        </w:rPr>
        <w:t xml:space="preserve">Het kabinet heeft ook de ambitie om de negatieve impact op de gezondheid van omwonenden te verminderen. </w:t>
      </w:r>
    </w:p>
    <w:p w:rsidR="00E74E93" w:rsidP="00CE7DD3" w:rsidRDefault="002A515E" w14:paraId="6D1E9582" w14:textId="528A4F5E">
      <w:pPr>
        <w:pStyle w:val="ListBullet"/>
        <w:numPr>
          <w:ilvl w:val="0"/>
          <w:numId w:val="0"/>
        </w:numPr>
        <w:spacing w:line="360" w:lineRule="auto"/>
        <w:rPr>
          <w:rFonts w:ascii="Verdana" w:hAnsi="Verdana"/>
          <w:sz w:val="18"/>
          <w:szCs w:val="18"/>
        </w:rPr>
      </w:pPr>
      <w:r>
        <w:rPr>
          <w:rFonts w:ascii="Verdana" w:hAnsi="Verdana"/>
          <w:sz w:val="18"/>
          <w:szCs w:val="18"/>
        </w:rPr>
        <w:lastRenderedPageBreak/>
        <w:t xml:space="preserve">De mededeling geeft terecht aan dat </w:t>
      </w:r>
      <w:r w:rsidR="006E1D3C">
        <w:rPr>
          <w:rFonts w:ascii="Verdana" w:hAnsi="Verdana"/>
          <w:sz w:val="18"/>
          <w:szCs w:val="18"/>
        </w:rPr>
        <w:t>de sector</w:t>
      </w:r>
      <w:r w:rsidR="00BC2D1A">
        <w:rPr>
          <w:rFonts w:ascii="Verdana" w:hAnsi="Verdana"/>
          <w:sz w:val="18"/>
          <w:szCs w:val="18"/>
        </w:rPr>
        <w:t xml:space="preserve">, met </w:t>
      </w:r>
      <w:r w:rsidR="00D60454">
        <w:rPr>
          <w:rFonts w:ascii="Verdana" w:hAnsi="Verdana"/>
          <w:sz w:val="18"/>
          <w:szCs w:val="18"/>
        </w:rPr>
        <w:t xml:space="preserve">een bijdrage aan meer dan </w:t>
      </w:r>
      <w:r w:rsidR="00BC2D1A">
        <w:rPr>
          <w:rFonts w:ascii="Verdana" w:hAnsi="Verdana"/>
          <w:sz w:val="18"/>
          <w:szCs w:val="18"/>
        </w:rPr>
        <w:t xml:space="preserve">96% </w:t>
      </w:r>
      <w:r w:rsidR="00D60454">
        <w:rPr>
          <w:rFonts w:ascii="Verdana" w:hAnsi="Verdana"/>
          <w:sz w:val="18"/>
          <w:szCs w:val="18"/>
        </w:rPr>
        <w:t>van alle</w:t>
      </w:r>
      <w:r w:rsidR="00B730DE">
        <w:rPr>
          <w:rFonts w:ascii="Verdana" w:hAnsi="Verdana"/>
          <w:sz w:val="18"/>
          <w:szCs w:val="18"/>
        </w:rPr>
        <w:t xml:space="preserve"> gefabriceerde producten, </w:t>
      </w:r>
      <w:r w:rsidR="006E1D3C">
        <w:rPr>
          <w:rFonts w:ascii="Verdana" w:hAnsi="Verdana"/>
          <w:sz w:val="18"/>
          <w:szCs w:val="18"/>
        </w:rPr>
        <w:t xml:space="preserve">de hoeksteen van </w:t>
      </w:r>
      <w:r w:rsidR="00AD0E76">
        <w:rPr>
          <w:rFonts w:ascii="Verdana" w:hAnsi="Verdana"/>
          <w:sz w:val="18"/>
          <w:szCs w:val="18"/>
        </w:rPr>
        <w:t xml:space="preserve">de </w:t>
      </w:r>
      <w:r w:rsidR="00BC2D1A">
        <w:rPr>
          <w:rFonts w:ascii="Verdana" w:hAnsi="Verdana"/>
          <w:sz w:val="18"/>
          <w:szCs w:val="18"/>
        </w:rPr>
        <w:t>industriële</w:t>
      </w:r>
      <w:r w:rsidR="00AD0E76">
        <w:rPr>
          <w:rFonts w:ascii="Verdana" w:hAnsi="Verdana"/>
          <w:sz w:val="18"/>
          <w:szCs w:val="18"/>
        </w:rPr>
        <w:t xml:space="preserve"> weerbaarheid en </w:t>
      </w:r>
      <w:r w:rsidR="00BC2D1A">
        <w:rPr>
          <w:rFonts w:ascii="Verdana" w:hAnsi="Verdana"/>
          <w:sz w:val="18"/>
          <w:szCs w:val="18"/>
        </w:rPr>
        <w:t>concurrentiekracht v</w:t>
      </w:r>
      <w:r w:rsidR="00B730DE">
        <w:rPr>
          <w:rFonts w:ascii="Verdana" w:hAnsi="Verdana"/>
          <w:sz w:val="18"/>
          <w:szCs w:val="18"/>
        </w:rPr>
        <w:t>an de EU v</w:t>
      </w:r>
      <w:r w:rsidR="00BC2D1A">
        <w:rPr>
          <w:rFonts w:ascii="Verdana" w:hAnsi="Verdana"/>
          <w:sz w:val="18"/>
          <w:szCs w:val="18"/>
        </w:rPr>
        <w:t>ertegenwoordig</w:t>
      </w:r>
      <w:r w:rsidR="007235B9">
        <w:rPr>
          <w:rFonts w:ascii="Verdana" w:hAnsi="Verdana"/>
          <w:sz w:val="18"/>
          <w:szCs w:val="18"/>
        </w:rPr>
        <w:t>t</w:t>
      </w:r>
      <w:r w:rsidR="00162070">
        <w:rPr>
          <w:rFonts w:ascii="Verdana" w:hAnsi="Verdana"/>
          <w:sz w:val="18"/>
          <w:szCs w:val="18"/>
        </w:rPr>
        <w:t>.</w:t>
      </w:r>
      <w:r w:rsidRPr="00A061CC" w:rsidR="00A061CC">
        <w:rPr>
          <w:rFonts w:ascii="Verdana" w:hAnsi="Verdana"/>
          <w:sz w:val="18"/>
          <w:szCs w:val="18"/>
        </w:rPr>
        <w:t xml:space="preserve"> </w:t>
      </w:r>
      <w:r w:rsidRPr="2876F6D4" w:rsidR="00F31965">
        <w:rPr>
          <w:rFonts w:ascii="Verdana" w:hAnsi="Verdana"/>
          <w:sz w:val="18"/>
          <w:szCs w:val="18"/>
        </w:rPr>
        <w:t xml:space="preserve">De chemie is </w:t>
      </w:r>
      <w:r w:rsidR="00F31965">
        <w:rPr>
          <w:rFonts w:ascii="Verdana" w:hAnsi="Verdana"/>
          <w:sz w:val="18"/>
          <w:szCs w:val="18"/>
        </w:rPr>
        <w:t xml:space="preserve">ook </w:t>
      </w:r>
      <w:r w:rsidRPr="2876F6D4" w:rsidR="00F31965">
        <w:rPr>
          <w:rFonts w:ascii="Verdana" w:hAnsi="Verdana"/>
          <w:sz w:val="18"/>
          <w:szCs w:val="18"/>
        </w:rPr>
        <w:t xml:space="preserve">voor Nederland een </w:t>
      </w:r>
      <w:r w:rsidR="00F31965">
        <w:rPr>
          <w:rFonts w:ascii="Verdana" w:hAnsi="Verdana"/>
          <w:sz w:val="18"/>
          <w:szCs w:val="18"/>
        </w:rPr>
        <w:t>sector van groot strategisch en economisch belang</w:t>
      </w:r>
      <w:r w:rsidRPr="2876F6D4" w:rsidR="00F31965">
        <w:rPr>
          <w:rFonts w:ascii="Verdana" w:hAnsi="Verdana"/>
          <w:sz w:val="18"/>
          <w:szCs w:val="18"/>
        </w:rPr>
        <w:t xml:space="preserve">, die een centrale rol heeft in tal van </w:t>
      </w:r>
      <w:proofErr w:type="spellStart"/>
      <w:r w:rsidRPr="2876F6D4" w:rsidR="00F31965">
        <w:rPr>
          <w:rFonts w:ascii="Verdana" w:hAnsi="Verdana"/>
          <w:sz w:val="18"/>
          <w:szCs w:val="18"/>
        </w:rPr>
        <w:t>waardeketens</w:t>
      </w:r>
      <w:proofErr w:type="spellEnd"/>
      <w:r w:rsidRPr="2876F6D4" w:rsidR="00F31965">
        <w:rPr>
          <w:rFonts w:ascii="Verdana" w:hAnsi="Verdana"/>
          <w:sz w:val="18"/>
          <w:szCs w:val="18"/>
        </w:rPr>
        <w:t xml:space="preserve"> en bijdraagt aan </w:t>
      </w:r>
      <w:r w:rsidR="00F31965">
        <w:rPr>
          <w:rFonts w:ascii="Verdana" w:hAnsi="Verdana"/>
          <w:sz w:val="18"/>
          <w:szCs w:val="18"/>
        </w:rPr>
        <w:t xml:space="preserve">verschillende </w:t>
      </w:r>
      <w:r w:rsidRPr="2876F6D4" w:rsidR="00F31965">
        <w:rPr>
          <w:rFonts w:ascii="Verdana" w:hAnsi="Verdana"/>
          <w:sz w:val="18"/>
          <w:szCs w:val="18"/>
        </w:rPr>
        <w:t xml:space="preserve">strategische sectoren (van gezondheid </w:t>
      </w:r>
      <w:r w:rsidR="00F31965">
        <w:rPr>
          <w:rFonts w:ascii="Verdana" w:hAnsi="Verdana"/>
          <w:sz w:val="18"/>
          <w:szCs w:val="18"/>
        </w:rPr>
        <w:t>tot</w:t>
      </w:r>
      <w:r w:rsidRPr="2876F6D4" w:rsidR="00F31965">
        <w:rPr>
          <w:rFonts w:ascii="Verdana" w:hAnsi="Verdana"/>
          <w:sz w:val="18"/>
          <w:szCs w:val="18"/>
        </w:rPr>
        <w:t xml:space="preserve"> defensie), grondig verweven is in de energie-infrastructuur en groot potentieel kent voor circulariteit en innovatie.</w:t>
      </w:r>
      <w:r w:rsidR="00F31965">
        <w:rPr>
          <w:rFonts w:ascii="Verdana" w:hAnsi="Verdana"/>
          <w:sz w:val="18"/>
          <w:szCs w:val="18"/>
        </w:rPr>
        <w:t xml:space="preserve"> </w:t>
      </w:r>
      <w:r w:rsidRPr="0C446C32" w:rsidR="00B62AF3">
        <w:rPr>
          <w:rFonts w:ascii="Verdana" w:hAnsi="Verdana"/>
          <w:sz w:val="18"/>
          <w:szCs w:val="18"/>
        </w:rPr>
        <w:t>Tegelijkertijd kent deze sector grote fossiele afhankelijkheid</w:t>
      </w:r>
      <w:r w:rsidR="00B62AF3">
        <w:rPr>
          <w:rFonts w:ascii="Verdana" w:hAnsi="Verdana"/>
          <w:sz w:val="18"/>
          <w:szCs w:val="18"/>
        </w:rPr>
        <w:t xml:space="preserve"> en is deze</w:t>
      </w:r>
      <w:r w:rsidRPr="0C446C32" w:rsidR="00B62AF3">
        <w:rPr>
          <w:rFonts w:ascii="Verdana" w:hAnsi="Verdana"/>
          <w:sz w:val="18"/>
          <w:szCs w:val="18"/>
        </w:rPr>
        <w:t xml:space="preserve"> verantwoordelijk voor </w:t>
      </w:r>
      <w:r w:rsidR="006D1653">
        <w:rPr>
          <w:rFonts w:ascii="Verdana" w:hAnsi="Verdana"/>
          <w:sz w:val="18"/>
          <w:szCs w:val="18"/>
        </w:rPr>
        <w:t>een groot deel van de industriële uitstoot in Nederland en de</w:t>
      </w:r>
      <w:r w:rsidRPr="0C446C32" w:rsidR="009F6596">
        <w:rPr>
          <w:rFonts w:ascii="Verdana" w:hAnsi="Verdana"/>
          <w:sz w:val="18"/>
          <w:szCs w:val="18"/>
        </w:rPr>
        <w:t xml:space="preserve"> EU</w:t>
      </w:r>
      <w:r w:rsidR="00A8588E">
        <w:rPr>
          <w:rFonts w:ascii="Verdana" w:hAnsi="Verdana"/>
          <w:sz w:val="18"/>
          <w:szCs w:val="18"/>
        </w:rPr>
        <w:t>.</w:t>
      </w:r>
      <w:r w:rsidRPr="0C446C32" w:rsidR="00B62AF3">
        <w:rPr>
          <w:rStyle w:val="FootnoteReference"/>
          <w:rFonts w:ascii="Verdana" w:hAnsi="Verdana"/>
          <w:sz w:val="18"/>
          <w:szCs w:val="18"/>
        </w:rPr>
        <w:footnoteReference w:id="11"/>
      </w:r>
      <w:r w:rsidRPr="0C446C32" w:rsidR="00B62AF3">
        <w:rPr>
          <w:rFonts w:ascii="Verdana" w:hAnsi="Verdana"/>
          <w:sz w:val="18"/>
          <w:szCs w:val="18"/>
        </w:rPr>
        <w:t xml:space="preserve"> </w:t>
      </w:r>
      <w:r w:rsidR="009F25D7">
        <w:rPr>
          <w:rFonts w:ascii="Verdana" w:hAnsi="Verdana"/>
          <w:sz w:val="18"/>
          <w:szCs w:val="18"/>
        </w:rPr>
        <w:t xml:space="preserve">Het is </w:t>
      </w:r>
      <w:r w:rsidR="005270E4">
        <w:rPr>
          <w:rFonts w:ascii="Verdana" w:hAnsi="Verdana"/>
          <w:sz w:val="18"/>
          <w:szCs w:val="18"/>
        </w:rPr>
        <w:t xml:space="preserve">daarom ook de inzet van het kabinet om </w:t>
      </w:r>
      <w:r w:rsidR="006F01F5">
        <w:rPr>
          <w:rFonts w:ascii="Verdana" w:hAnsi="Verdana"/>
          <w:sz w:val="18"/>
          <w:szCs w:val="18"/>
        </w:rPr>
        <w:t xml:space="preserve">de industrie te verduurzamen als beste weg naar </w:t>
      </w:r>
      <w:r w:rsidR="005270E4">
        <w:rPr>
          <w:rFonts w:ascii="Verdana" w:hAnsi="Verdana"/>
          <w:sz w:val="18"/>
          <w:szCs w:val="18"/>
        </w:rPr>
        <w:t>een sterke chemiesector</w:t>
      </w:r>
      <w:r w:rsidR="006F01F5">
        <w:rPr>
          <w:rFonts w:ascii="Verdana" w:hAnsi="Verdana"/>
          <w:sz w:val="18"/>
          <w:szCs w:val="18"/>
        </w:rPr>
        <w:t xml:space="preserve"> die zorgt voor welvaart, weerbaarheid en</w:t>
      </w:r>
      <w:r w:rsidR="00271668">
        <w:rPr>
          <w:rFonts w:ascii="Verdana" w:hAnsi="Verdana"/>
          <w:sz w:val="18"/>
          <w:szCs w:val="18"/>
        </w:rPr>
        <w:t xml:space="preserve"> open strategische</w:t>
      </w:r>
      <w:r w:rsidR="006F01F5">
        <w:rPr>
          <w:rFonts w:ascii="Verdana" w:hAnsi="Verdana"/>
          <w:sz w:val="18"/>
          <w:szCs w:val="18"/>
        </w:rPr>
        <w:t xml:space="preserve"> autonomie</w:t>
      </w:r>
      <w:r w:rsidR="00125452">
        <w:rPr>
          <w:rFonts w:ascii="Verdana" w:hAnsi="Verdana"/>
          <w:sz w:val="18"/>
          <w:szCs w:val="18"/>
        </w:rPr>
        <w:t xml:space="preserve">. </w:t>
      </w:r>
    </w:p>
    <w:p w:rsidR="00E74E93" w:rsidP="00CE7DD3" w:rsidRDefault="00E74E93" w14:paraId="1154A681" w14:textId="77777777">
      <w:pPr>
        <w:pStyle w:val="ListBullet"/>
        <w:numPr>
          <w:ilvl w:val="0"/>
          <w:numId w:val="0"/>
        </w:numPr>
        <w:spacing w:line="360" w:lineRule="auto"/>
        <w:rPr>
          <w:rFonts w:ascii="Verdana" w:hAnsi="Verdana"/>
          <w:sz w:val="18"/>
          <w:szCs w:val="18"/>
        </w:rPr>
      </w:pPr>
    </w:p>
    <w:p w:rsidR="00777119" w:rsidP="00CE7DD3" w:rsidRDefault="005C493E" w14:paraId="470F339D" w14:textId="1F139D38">
      <w:pPr>
        <w:pStyle w:val="ListBullet"/>
        <w:numPr>
          <w:ilvl w:val="0"/>
          <w:numId w:val="0"/>
        </w:numPr>
        <w:spacing w:line="360" w:lineRule="auto"/>
        <w:rPr>
          <w:rFonts w:ascii="Verdana" w:hAnsi="Verdana"/>
          <w:sz w:val="18"/>
          <w:szCs w:val="18"/>
        </w:rPr>
      </w:pPr>
      <w:r>
        <w:rPr>
          <w:rFonts w:ascii="Verdana" w:hAnsi="Verdana" w:cstheme="minorBidi"/>
          <w:sz w:val="18"/>
          <w:szCs w:val="18"/>
        </w:rPr>
        <w:t xml:space="preserve">Het </w:t>
      </w:r>
      <w:r w:rsidR="00CD3EFB">
        <w:rPr>
          <w:rFonts w:ascii="Verdana" w:hAnsi="Verdana"/>
          <w:sz w:val="18"/>
          <w:szCs w:val="18"/>
        </w:rPr>
        <w:t>kabinet</w:t>
      </w:r>
      <w:r w:rsidRPr="006302AA" w:rsidR="00CD3EFB">
        <w:rPr>
          <w:rFonts w:ascii="Verdana" w:hAnsi="Verdana"/>
          <w:sz w:val="18"/>
          <w:szCs w:val="18"/>
        </w:rPr>
        <w:t xml:space="preserve"> </w:t>
      </w:r>
      <w:r>
        <w:rPr>
          <w:rFonts w:ascii="Verdana" w:hAnsi="Verdana"/>
          <w:sz w:val="18"/>
          <w:szCs w:val="18"/>
        </w:rPr>
        <w:t xml:space="preserve">heeft </w:t>
      </w:r>
      <w:r w:rsidRPr="006302AA" w:rsidR="00E74E93">
        <w:rPr>
          <w:rFonts w:ascii="Verdana" w:hAnsi="Verdana"/>
          <w:sz w:val="18"/>
          <w:szCs w:val="18"/>
        </w:rPr>
        <w:t>de ambitie om in 2050 volledig circulair</w:t>
      </w:r>
      <w:r w:rsidRPr="0021217C" w:rsidR="0021217C">
        <w:rPr>
          <w:rFonts w:ascii="Verdana" w:hAnsi="Verdana"/>
          <w:sz w:val="18"/>
          <w:szCs w:val="18"/>
        </w:rPr>
        <w:t xml:space="preserve"> </w:t>
      </w:r>
      <w:r w:rsidR="0021217C">
        <w:rPr>
          <w:rFonts w:ascii="Verdana" w:hAnsi="Verdana"/>
          <w:sz w:val="18"/>
          <w:szCs w:val="18"/>
        </w:rPr>
        <w:t>en klimaatneutraal</w:t>
      </w:r>
      <w:r w:rsidRPr="006302AA" w:rsidR="00E74E93">
        <w:rPr>
          <w:rFonts w:ascii="Verdana" w:hAnsi="Verdana"/>
          <w:sz w:val="18"/>
          <w:szCs w:val="18"/>
        </w:rPr>
        <w:t xml:space="preserve"> te zijn. Voor de chemie betekent dit</w:t>
      </w:r>
      <w:r w:rsidR="005364FB">
        <w:rPr>
          <w:rFonts w:ascii="Verdana" w:hAnsi="Verdana"/>
          <w:sz w:val="18"/>
          <w:szCs w:val="18"/>
        </w:rPr>
        <w:t xml:space="preserve">, naast </w:t>
      </w:r>
      <w:proofErr w:type="spellStart"/>
      <w:r w:rsidR="005364FB">
        <w:rPr>
          <w:rFonts w:ascii="Verdana" w:hAnsi="Verdana"/>
          <w:sz w:val="18"/>
          <w:szCs w:val="18"/>
        </w:rPr>
        <w:t>decarbonisatie</w:t>
      </w:r>
      <w:proofErr w:type="spellEnd"/>
      <w:r w:rsidR="005364FB">
        <w:rPr>
          <w:rFonts w:ascii="Verdana" w:hAnsi="Verdana"/>
          <w:sz w:val="18"/>
          <w:szCs w:val="18"/>
        </w:rPr>
        <w:t>,</w:t>
      </w:r>
      <w:r w:rsidRPr="006302AA" w:rsidR="00E74E93">
        <w:rPr>
          <w:rFonts w:ascii="Verdana" w:hAnsi="Verdana"/>
          <w:sz w:val="18"/>
          <w:szCs w:val="18"/>
        </w:rPr>
        <w:t xml:space="preserve"> een transitie van </w:t>
      </w:r>
      <w:r w:rsidR="00E74E93">
        <w:rPr>
          <w:rFonts w:ascii="Verdana" w:hAnsi="Verdana"/>
          <w:sz w:val="18"/>
          <w:szCs w:val="18"/>
        </w:rPr>
        <w:t xml:space="preserve">primaire </w:t>
      </w:r>
      <w:r w:rsidRPr="006302AA" w:rsidR="00E74E93">
        <w:rPr>
          <w:rFonts w:ascii="Verdana" w:hAnsi="Verdana"/>
          <w:sz w:val="18"/>
          <w:szCs w:val="18"/>
        </w:rPr>
        <w:t>fossiele grondstoffen naar</w:t>
      </w:r>
      <w:r w:rsidR="003B0367">
        <w:rPr>
          <w:rFonts w:ascii="Verdana" w:hAnsi="Verdana"/>
          <w:sz w:val="18"/>
          <w:szCs w:val="18"/>
        </w:rPr>
        <w:t xml:space="preserve"> het gebruik van</w:t>
      </w:r>
      <w:r w:rsidRPr="006302AA" w:rsidR="00E74E93">
        <w:rPr>
          <w:rFonts w:ascii="Verdana" w:hAnsi="Verdana"/>
          <w:sz w:val="18"/>
          <w:szCs w:val="18"/>
        </w:rPr>
        <w:t xml:space="preserve"> </w:t>
      </w:r>
      <w:r w:rsidR="00E74E93">
        <w:rPr>
          <w:rFonts w:ascii="Verdana" w:hAnsi="Verdana"/>
          <w:sz w:val="18"/>
          <w:szCs w:val="18"/>
        </w:rPr>
        <w:t>afval</w:t>
      </w:r>
      <w:r w:rsidRPr="006302AA" w:rsidR="00E74E93">
        <w:rPr>
          <w:rFonts w:ascii="Verdana" w:hAnsi="Verdana"/>
          <w:sz w:val="18"/>
          <w:szCs w:val="18"/>
        </w:rPr>
        <w:t xml:space="preserve"> (recyclaat), </w:t>
      </w:r>
      <w:r w:rsidR="00E74E93">
        <w:rPr>
          <w:rFonts w:ascii="Verdana" w:hAnsi="Verdana"/>
          <w:sz w:val="18"/>
          <w:szCs w:val="18"/>
        </w:rPr>
        <w:t xml:space="preserve">duurzame </w:t>
      </w:r>
      <w:r w:rsidRPr="006302AA" w:rsidR="00E74E93">
        <w:rPr>
          <w:rFonts w:ascii="Verdana" w:hAnsi="Verdana"/>
          <w:sz w:val="18"/>
          <w:szCs w:val="18"/>
        </w:rPr>
        <w:t>bio</w:t>
      </w:r>
      <w:r w:rsidR="00E74E93">
        <w:rPr>
          <w:rFonts w:ascii="Verdana" w:hAnsi="Verdana"/>
          <w:sz w:val="18"/>
          <w:szCs w:val="18"/>
        </w:rPr>
        <w:t>massa</w:t>
      </w:r>
      <w:r w:rsidRPr="006302AA" w:rsidR="00E74E93">
        <w:rPr>
          <w:rFonts w:ascii="Verdana" w:hAnsi="Verdana"/>
          <w:sz w:val="18"/>
          <w:szCs w:val="18"/>
        </w:rPr>
        <w:t xml:space="preserve"> en </w:t>
      </w:r>
      <w:r w:rsidR="00A243CE">
        <w:rPr>
          <w:rFonts w:ascii="Verdana" w:hAnsi="Verdana"/>
          <w:sz w:val="18"/>
          <w:szCs w:val="18"/>
        </w:rPr>
        <w:t xml:space="preserve">afgevangen </w:t>
      </w:r>
      <w:r w:rsidRPr="006302AA" w:rsidR="00E74E93">
        <w:rPr>
          <w:rFonts w:ascii="Verdana" w:hAnsi="Verdana"/>
          <w:sz w:val="18"/>
          <w:szCs w:val="18"/>
        </w:rPr>
        <w:t>CO</w:t>
      </w:r>
      <w:r w:rsidRPr="006302AA" w:rsidR="00E74E93">
        <w:rPr>
          <w:rFonts w:ascii="Verdana" w:hAnsi="Verdana"/>
          <w:sz w:val="18"/>
          <w:szCs w:val="18"/>
          <w:vertAlign w:val="subscript"/>
        </w:rPr>
        <w:t>2</w:t>
      </w:r>
      <w:r w:rsidRPr="006302AA" w:rsidR="00E74E93">
        <w:rPr>
          <w:rFonts w:ascii="Verdana" w:hAnsi="Verdana"/>
          <w:sz w:val="18"/>
          <w:szCs w:val="18"/>
        </w:rPr>
        <w:t xml:space="preserve">. Deze transitie bevordert ook </w:t>
      </w:r>
      <w:r w:rsidR="004B6AA2">
        <w:rPr>
          <w:rFonts w:ascii="Verdana" w:hAnsi="Verdana"/>
          <w:sz w:val="18"/>
          <w:szCs w:val="18"/>
        </w:rPr>
        <w:t>de</w:t>
      </w:r>
      <w:r w:rsidR="00AA557E">
        <w:rPr>
          <w:rFonts w:ascii="Verdana" w:hAnsi="Verdana"/>
          <w:sz w:val="18"/>
          <w:szCs w:val="18"/>
        </w:rPr>
        <w:t xml:space="preserve"> open</w:t>
      </w:r>
      <w:r w:rsidRPr="006302AA" w:rsidR="004B6AA2">
        <w:rPr>
          <w:rFonts w:ascii="Verdana" w:hAnsi="Verdana"/>
          <w:sz w:val="18"/>
          <w:szCs w:val="18"/>
        </w:rPr>
        <w:t xml:space="preserve"> </w:t>
      </w:r>
      <w:r w:rsidRPr="006302AA" w:rsidR="00E74E93">
        <w:rPr>
          <w:rFonts w:ascii="Verdana" w:hAnsi="Verdana"/>
          <w:sz w:val="18"/>
          <w:szCs w:val="18"/>
        </w:rPr>
        <w:t xml:space="preserve">strategische autonomie </w:t>
      </w:r>
      <w:r w:rsidR="00AA557E">
        <w:rPr>
          <w:rFonts w:ascii="Verdana" w:hAnsi="Verdana"/>
          <w:sz w:val="18"/>
          <w:szCs w:val="18"/>
        </w:rPr>
        <w:t xml:space="preserve">van Nederland </w:t>
      </w:r>
      <w:r w:rsidRPr="006302AA" w:rsidR="00E74E93">
        <w:rPr>
          <w:rFonts w:ascii="Verdana" w:hAnsi="Verdana"/>
          <w:sz w:val="18"/>
          <w:szCs w:val="18"/>
        </w:rPr>
        <w:t xml:space="preserve">en de competitiviteit van de chemische sector in een </w:t>
      </w:r>
      <w:proofErr w:type="spellStart"/>
      <w:r w:rsidRPr="006302AA" w:rsidR="00E74E93">
        <w:rPr>
          <w:rFonts w:ascii="Verdana" w:hAnsi="Verdana"/>
          <w:sz w:val="18"/>
          <w:szCs w:val="18"/>
        </w:rPr>
        <w:t>klimaatneutrale</w:t>
      </w:r>
      <w:proofErr w:type="spellEnd"/>
      <w:r w:rsidRPr="006302AA" w:rsidR="00E74E93">
        <w:rPr>
          <w:rFonts w:ascii="Verdana" w:hAnsi="Verdana"/>
          <w:sz w:val="18"/>
          <w:szCs w:val="18"/>
        </w:rPr>
        <w:t xml:space="preserve"> samenleving. </w:t>
      </w:r>
      <w:r w:rsidR="00E74E93">
        <w:rPr>
          <w:rFonts w:ascii="Verdana" w:hAnsi="Verdana"/>
          <w:sz w:val="18"/>
          <w:szCs w:val="18"/>
        </w:rPr>
        <w:t>Na de zomer</w:t>
      </w:r>
      <w:r w:rsidRPr="006302AA" w:rsidR="00E74E93">
        <w:rPr>
          <w:rFonts w:ascii="Verdana" w:hAnsi="Verdana"/>
          <w:sz w:val="18"/>
          <w:szCs w:val="18"/>
        </w:rPr>
        <w:t xml:space="preserve"> </w:t>
      </w:r>
      <w:r w:rsidR="00AA557E">
        <w:rPr>
          <w:rFonts w:ascii="Verdana" w:hAnsi="Verdana"/>
          <w:sz w:val="18"/>
          <w:szCs w:val="18"/>
        </w:rPr>
        <w:t xml:space="preserve">2025 </w:t>
      </w:r>
      <w:r w:rsidRPr="006302AA" w:rsidR="00E74E93">
        <w:rPr>
          <w:rFonts w:ascii="Verdana" w:hAnsi="Verdana"/>
          <w:sz w:val="18"/>
          <w:szCs w:val="18"/>
        </w:rPr>
        <w:t xml:space="preserve">komt het kabinet met een </w:t>
      </w:r>
      <w:r w:rsidR="00E74E93">
        <w:rPr>
          <w:rFonts w:ascii="Verdana" w:hAnsi="Verdana"/>
          <w:sz w:val="18"/>
          <w:szCs w:val="18"/>
        </w:rPr>
        <w:t xml:space="preserve">Nationale </w:t>
      </w:r>
      <w:r w:rsidRPr="006302AA" w:rsidR="00E74E93">
        <w:rPr>
          <w:rFonts w:ascii="Verdana" w:hAnsi="Verdana"/>
          <w:sz w:val="18"/>
          <w:szCs w:val="18"/>
        </w:rPr>
        <w:t>Visie op Duurzame Koolstof binnen de Chemie</w:t>
      </w:r>
      <w:r w:rsidR="00A65EED">
        <w:rPr>
          <w:rFonts w:ascii="Verdana" w:hAnsi="Verdana"/>
          <w:sz w:val="18"/>
          <w:szCs w:val="18"/>
        </w:rPr>
        <w:t xml:space="preserve"> en</w:t>
      </w:r>
      <w:r w:rsidR="00952316">
        <w:rPr>
          <w:rFonts w:ascii="Verdana" w:hAnsi="Verdana"/>
          <w:sz w:val="18"/>
          <w:szCs w:val="18"/>
        </w:rPr>
        <w:t xml:space="preserve"> </w:t>
      </w:r>
      <w:r w:rsidR="008511AA">
        <w:rPr>
          <w:rFonts w:ascii="Verdana" w:hAnsi="Verdana"/>
          <w:sz w:val="18"/>
          <w:szCs w:val="18"/>
        </w:rPr>
        <w:t>een visie op de chemische industrie</w:t>
      </w:r>
      <w:r w:rsidRPr="006302AA" w:rsidR="00E74E93">
        <w:rPr>
          <w:rFonts w:ascii="Verdana" w:hAnsi="Verdana"/>
          <w:sz w:val="18"/>
          <w:szCs w:val="18"/>
        </w:rPr>
        <w:t>.</w:t>
      </w:r>
      <w:r w:rsidR="00426B7F">
        <w:rPr>
          <w:rFonts w:ascii="Verdana" w:hAnsi="Verdana"/>
          <w:sz w:val="18"/>
          <w:szCs w:val="18"/>
        </w:rPr>
        <w:t xml:space="preserve"> </w:t>
      </w:r>
      <w:r w:rsidRPr="00EA3B84" w:rsidR="00E74E93">
        <w:rPr>
          <w:rFonts w:ascii="Verdana" w:hAnsi="Verdana"/>
          <w:sz w:val="18"/>
          <w:szCs w:val="18"/>
        </w:rPr>
        <w:t xml:space="preserve">In april dit jaar is de kabinetsvisie op biotechnologie uitgekomen, waarin </w:t>
      </w:r>
      <w:r w:rsidR="003E6879">
        <w:rPr>
          <w:rFonts w:ascii="Verdana" w:hAnsi="Verdana"/>
          <w:sz w:val="18"/>
          <w:szCs w:val="18"/>
        </w:rPr>
        <w:t>het kabinet</w:t>
      </w:r>
      <w:r w:rsidRPr="00EA3B84" w:rsidR="003E6879">
        <w:rPr>
          <w:rFonts w:ascii="Verdana" w:hAnsi="Verdana"/>
          <w:sz w:val="18"/>
          <w:szCs w:val="18"/>
        </w:rPr>
        <w:t xml:space="preserve"> </w:t>
      </w:r>
      <w:r w:rsidRPr="00EA3B84" w:rsidR="00E74E93">
        <w:rPr>
          <w:rFonts w:ascii="Verdana" w:hAnsi="Verdana"/>
          <w:sz w:val="18"/>
          <w:szCs w:val="18"/>
        </w:rPr>
        <w:t>aangeeft wereldwijd tot de kopgroep in biotechnologisch onderzoek te willen behoren</w:t>
      </w:r>
      <w:r w:rsidR="00D3577C">
        <w:rPr>
          <w:rFonts w:ascii="Verdana" w:hAnsi="Verdana"/>
          <w:sz w:val="18"/>
          <w:szCs w:val="18"/>
        </w:rPr>
        <w:t>.</w:t>
      </w:r>
      <w:r w:rsidR="00E74B36">
        <w:rPr>
          <w:rStyle w:val="FootnoteReference"/>
          <w:rFonts w:ascii="Verdana" w:hAnsi="Verdana"/>
          <w:sz w:val="18"/>
          <w:szCs w:val="18"/>
        </w:rPr>
        <w:footnoteReference w:id="12"/>
      </w:r>
      <w:r w:rsidR="00E74E93">
        <w:rPr>
          <w:rFonts w:ascii="Verdana" w:hAnsi="Verdana"/>
          <w:sz w:val="18"/>
          <w:szCs w:val="18"/>
        </w:rPr>
        <w:t xml:space="preserve"> </w:t>
      </w:r>
      <w:r w:rsidR="00724096">
        <w:rPr>
          <w:rFonts w:ascii="Verdana" w:hAnsi="Verdana"/>
          <w:sz w:val="18"/>
          <w:szCs w:val="18"/>
        </w:rPr>
        <w:t xml:space="preserve">Industriële biotechnologie is een veelbelovende chemische route voor de productie van o.a. biomaterialen, </w:t>
      </w:r>
      <w:r w:rsidR="00457356">
        <w:rPr>
          <w:rFonts w:ascii="Verdana" w:hAnsi="Verdana"/>
          <w:sz w:val="18"/>
          <w:szCs w:val="18"/>
        </w:rPr>
        <w:t xml:space="preserve">innovatieve </w:t>
      </w:r>
      <w:r w:rsidR="00724096">
        <w:rPr>
          <w:rFonts w:ascii="Verdana" w:hAnsi="Verdana"/>
          <w:sz w:val="18"/>
          <w:szCs w:val="18"/>
        </w:rPr>
        <w:t xml:space="preserve">geneesmiddelen, geur- en smaakstoffen en andere </w:t>
      </w:r>
      <w:proofErr w:type="spellStart"/>
      <w:r w:rsidR="00724096">
        <w:rPr>
          <w:rFonts w:ascii="Verdana" w:hAnsi="Verdana"/>
          <w:sz w:val="18"/>
          <w:szCs w:val="18"/>
        </w:rPr>
        <w:t>fijnchemische</w:t>
      </w:r>
      <w:proofErr w:type="spellEnd"/>
      <w:r w:rsidR="00724096">
        <w:rPr>
          <w:rFonts w:ascii="Verdana" w:hAnsi="Verdana"/>
          <w:sz w:val="18"/>
          <w:szCs w:val="18"/>
        </w:rPr>
        <w:t xml:space="preserve"> producten.</w:t>
      </w:r>
      <w:r w:rsidRPr="00E74E93" w:rsidR="00724096">
        <w:rPr>
          <w:rFonts w:ascii="Verdana" w:hAnsi="Verdana"/>
          <w:sz w:val="18"/>
          <w:szCs w:val="18"/>
        </w:rPr>
        <w:t xml:space="preserve"> </w:t>
      </w:r>
    </w:p>
    <w:p w:rsidR="00E0161A" w:rsidP="00CE7DD3" w:rsidRDefault="00E0161A" w14:paraId="04708987" w14:textId="77777777">
      <w:pPr>
        <w:pStyle w:val="ListBullet"/>
        <w:numPr>
          <w:ilvl w:val="0"/>
          <w:numId w:val="0"/>
        </w:numPr>
        <w:spacing w:line="360" w:lineRule="auto"/>
        <w:rPr>
          <w:rFonts w:ascii="Verdana" w:hAnsi="Verdana"/>
          <w:sz w:val="18"/>
          <w:szCs w:val="18"/>
        </w:rPr>
      </w:pPr>
    </w:p>
    <w:p w:rsidRPr="00E74E93" w:rsidR="00E74E93" w:rsidP="00CE7DD3" w:rsidRDefault="00E74E93" w14:paraId="4E5281BF" w14:textId="244EF743">
      <w:pPr>
        <w:pStyle w:val="ListBullet"/>
        <w:numPr>
          <w:ilvl w:val="0"/>
          <w:numId w:val="0"/>
        </w:numPr>
        <w:spacing w:line="360" w:lineRule="auto"/>
        <w:rPr>
          <w:rFonts w:ascii="Verdana" w:hAnsi="Verdana"/>
          <w:sz w:val="18"/>
          <w:szCs w:val="18"/>
          <w:highlight w:val="yellow"/>
        </w:rPr>
      </w:pPr>
      <w:r w:rsidRPr="00E74E93">
        <w:rPr>
          <w:rFonts w:ascii="Verdana" w:hAnsi="Verdana"/>
          <w:sz w:val="18"/>
          <w:szCs w:val="18"/>
        </w:rPr>
        <w:t xml:space="preserve">Nederland neemt in Europa al langere tijd een voortrekkersrol </w:t>
      </w:r>
      <w:r w:rsidR="000A705D">
        <w:rPr>
          <w:rFonts w:ascii="Verdana" w:hAnsi="Verdana"/>
          <w:sz w:val="18"/>
          <w:szCs w:val="18"/>
        </w:rPr>
        <w:t>ten aanzien van</w:t>
      </w:r>
      <w:r w:rsidR="00CA3FD1">
        <w:rPr>
          <w:rFonts w:ascii="Verdana" w:hAnsi="Verdana"/>
          <w:sz w:val="18"/>
          <w:szCs w:val="18"/>
        </w:rPr>
        <w:t xml:space="preserve"> het bevorderen van de transitie naar duurzame grondstoffen in de</w:t>
      </w:r>
      <w:r w:rsidR="00A10918">
        <w:rPr>
          <w:rFonts w:ascii="Verdana" w:hAnsi="Verdana"/>
          <w:sz w:val="18"/>
          <w:szCs w:val="18"/>
        </w:rPr>
        <w:t xml:space="preserve"> chemische</w:t>
      </w:r>
      <w:r w:rsidR="00CA3FD1">
        <w:rPr>
          <w:rFonts w:ascii="Verdana" w:hAnsi="Verdana"/>
          <w:sz w:val="18"/>
          <w:szCs w:val="18"/>
        </w:rPr>
        <w:t xml:space="preserve"> industrie</w:t>
      </w:r>
      <w:r w:rsidRPr="00E74E93" w:rsidDel="00CA3FD1" w:rsidR="00CA3FD1">
        <w:rPr>
          <w:rFonts w:ascii="Verdana" w:hAnsi="Verdana"/>
          <w:sz w:val="18"/>
          <w:szCs w:val="18"/>
        </w:rPr>
        <w:t xml:space="preserve"> </w:t>
      </w:r>
      <w:r w:rsidRPr="00E74E93">
        <w:rPr>
          <w:rFonts w:ascii="Verdana" w:hAnsi="Verdana"/>
          <w:sz w:val="18"/>
          <w:szCs w:val="18"/>
        </w:rPr>
        <w:t xml:space="preserve">en heeft zo ook het initiatief genomen voor een </w:t>
      </w:r>
      <w:r w:rsidRPr="599F6E24">
        <w:rPr>
          <w:rFonts w:ascii="Verdana" w:hAnsi="Verdana"/>
          <w:i/>
          <w:iCs/>
          <w:sz w:val="18"/>
          <w:szCs w:val="18"/>
        </w:rPr>
        <w:t xml:space="preserve">Joint Statement on a European </w:t>
      </w:r>
      <w:proofErr w:type="spellStart"/>
      <w:r w:rsidRPr="599F6E24">
        <w:rPr>
          <w:rFonts w:ascii="Verdana" w:hAnsi="Verdana"/>
          <w:i/>
          <w:iCs/>
          <w:sz w:val="18"/>
          <w:szCs w:val="18"/>
        </w:rPr>
        <w:t>Sustainable</w:t>
      </w:r>
      <w:proofErr w:type="spellEnd"/>
      <w:r w:rsidRPr="599F6E24">
        <w:rPr>
          <w:rFonts w:ascii="Verdana" w:hAnsi="Verdana"/>
          <w:i/>
          <w:iCs/>
          <w:sz w:val="18"/>
          <w:szCs w:val="18"/>
        </w:rPr>
        <w:t xml:space="preserve"> Carbon Policy Package</w:t>
      </w:r>
      <w:r w:rsidR="00A10918">
        <w:rPr>
          <w:rFonts w:ascii="Verdana" w:hAnsi="Verdana"/>
          <w:sz w:val="18"/>
          <w:szCs w:val="18"/>
        </w:rPr>
        <w:t>.</w:t>
      </w:r>
      <w:r w:rsidRPr="00E74E93">
        <w:rPr>
          <w:rFonts w:ascii="Verdana" w:hAnsi="Verdana"/>
          <w:sz w:val="18"/>
          <w:szCs w:val="18"/>
        </w:rPr>
        <w:t xml:space="preserve"> </w:t>
      </w:r>
      <w:r w:rsidR="00A10918">
        <w:rPr>
          <w:rFonts w:ascii="Verdana" w:hAnsi="Verdana"/>
          <w:sz w:val="18"/>
          <w:szCs w:val="18"/>
        </w:rPr>
        <w:t>Di</w:t>
      </w:r>
      <w:r w:rsidRPr="00E74E93">
        <w:rPr>
          <w:rFonts w:ascii="Verdana" w:hAnsi="Verdana"/>
          <w:sz w:val="18"/>
          <w:szCs w:val="18"/>
        </w:rPr>
        <w:t>t</w:t>
      </w:r>
      <w:r w:rsidR="00A10918">
        <w:rPr>
          <w:rFonts w:ascii="Verdana" w:hAnsi="Verdana"/>
          <w:sz w:val="18"/>
          <w:szCs w:val="18"/>
        </w:rPr>
        <w:t xml:space="preserve"> statement roept</w:t>
      </w:r>
      <w:r w:rsidRPr="00E74E93">
        <w:rPr>
          <w:rFonts w:ascii="Verdana" w:hAnsi="Verdana"/>
          <w:sz w:val="18"/>
          <w:szCs w:val="18"/>
        </w:rPr>
        <w:t xml:space="preserve"> op tot marktcreatie voor duurzame producten, het vergroten van het aanbod van duurzame grondstoffen en een wereldwijd gelijk speelveld. Daarnaast roept het op tot maatregelen voor het beschermen van de</w:t>
      </w:r>
      <w:r w:rsidR="00610FD5">
        <w:rPr>
          <w:rFonts w:ascii="Verdana" w:hAnsi="Verdana"/>
          <w:sz w:val="18"/>
          <w:szCs w:val="18"/>
        </w:rPr>
        <w:t xml:space="preserve"> chemische</w:t>
      </w:r>
      <w:r w:rsidRPr="00E74E93">
        <w:rPr>
          <w:rFonts w:ascii="Verdana" w:hAnsi="Verdana"/>
          <w:sz w:val="18"/>
          <w:szCs w:val="18"/>
        </w:rPr>
        <w:t xml:space="preserve"> productiecapaciteit in </w:t>
      </w:r>
      <w:r w:rsidR="00C05C65">
        <w:rPr>
          <w:rFonts w:ascii="Verdana" w:hAnsi="Verdana"/>
          <w:sz w:val="18"/>
          <w:szCs w:val="18"/>
        </w:rPr>
        <w:t>de EU</w:t>
      </w:r>
      <w:r w:rsidRPr="00E74E93">
        <w:rPr>
          <w:rFonts w:ascii="Verdana" w:hAnsi="Verdana"/>
          <w:sz w:val="18"/>
          <w:szCs w:val="18"/>
        </w:rPr>
        <w:t>.</w:t>
      </w:r>
      <w:r w:rsidRPr="00707312">
        <w:rPr>
          <w:rStyle w:val="FootnoteReference"/>
          <w:rFonts w:ascii="Verdana" w:hAnsi="Verdana"/>
          <w:sz w:val="18"/>
          <w:szCs w:val="18"/>
        </w:rPr>
        <w:footnoteReference w:id="13"/>
      </w:r>
      <w:r w:rsidRPr="00E74E93">
        <w:rPr>
          <w:rFonts w:ascii="Verdana" w:hAnsi="Verdana"/>
          <w:sz w:val="18"/>
          <w:szCs w:val="18"/>
        </w:rPr>
        <w:t xml:space="preserve"> </w:t>
      </w:r>
      <w:r w:rsidRPr="00192B51" w:rsidR="00207ABA">
        <w:rPr>
          <w:rFonts w:ascii="Verdana" w:hAnsi="Verdana"/>
          <w:sz w:val="18"/>
          <w:szCs w:val="18"/>
        </w:rPr>
        <w:t>Het kabinet heeft groene marktcreatie hoog op de agenda staan en blijft nauw aangehaakt</w:t>
      </w:r>
      <w:r w:rsidR="00207ABA">
        <w:rPr>
          <w:rFonts w:ascii="Verdana" w:hAnsi="Verdana"/>
          <w:sz w:val="18"/>
          <w:szCs w:val="18"/>
        </w:rPr>
        <w:t xml:space="preserve"> </w:t>
      </w:r>
      <w:r w:rsidRPr="00192B51" w:rsidR="00207ABA">
        <w:rPr>
          <w:rFonts w:ascii="Verdana" w:hAnsi="Verdana"/>
          <w:sz w:val="18"/>
          <w:szCs w:val="18"/>
        </w:rPr>
        <w:t>op de ontwikkelingen op dit onderwerp om zo ook de eigen ideeën actief in te brengen</w:t>
      </w:r>
      <w:r w:rsidR="00207ABA">
        <w:rPr>
          <w:rFonts w:ascii="Verdana" w:hAnsi="Verdana"/>
          <w:sz w:val="18"/>
          <w:szCs w:val="18"/>
        </w:rPr>
        <w:t xml:space="preserve"> </w:t>
      </w:r>
      <w:r w:rsidRPr="00192B51" w:rsidR="00207ABA">
        <w:rPr>
          <w:rFonts w:ascii="Verdana" w:hAnsi="Verdana"/>
          <w:sz w:val="18"/>
          <w:szCs w:val="18"/>
        </w:rPr>
        <w:t>in Europese context. </w:t>
      </w:r>
      <w:r w:rsidRPr="00E74E93">
        <w:rPr>
          <w:rFonts w:ascii="Verdana" w:hAnsi="Verdana"/>
          <w:sz w:val="18"/>
          <w:szCs w:val="18"/>
        </w:rPr>
        <w:t xml:space="preserve">Naar aanleiding van de verwachte </w:t>
      </w:r>
      <w:r w:rsidRPr="599F6E24">
        <w:rPr>
          <w:rFonts w:ascii="Verdana" w:hAnsi="Verdana"/>
          <w:i/>
          <w:iCs/>
          <w:sz w:val="18"/>
          <w:szCs w:val="18"/>
        </w:rPr>
        <w:t xml:space="preserve">EU </w:t>
      </w:r>
      <w:proofErr w:type="spellStart"/>
      <w:r w:rsidRPr="599F6E24">
        <w:rPr>
          <w:rFonts w:ascii="Verdana" w:hAnsi="Verdana"/>
          <w:i/>
          <w:iCs/>
          <w:sz w:val="18"/>
          <w:szCs w:val="18"/>
        </w:rPr>
        <w:t>Bioeconomy</w:t>
      </w:r>
      <w:proofErr w:type="spellEnd"/>
      <w:r w:rsidRPr="599F6E24">
        <w:rPr>
          <w:rFonts w:ascii="Verdana" w:hAnsi="Verdana"/>
          <w:i/>
          <w:iCs/>
          <w:sz w:val="18"/>
          <w:szCs w:val="18"/>
        </w:rPr>
        <w:t xml:space="preserve"> </w:t>
      </w:r>
      <w:proofErr w:type="spellStart"/>
      <w:r w:rsidRPr="599F6E24">
        <w:rPr>
          <w:rFonts w:ascii="Verdana" w:hAnsi="Verdana"/>
          <w:i/>
          <w:iCs/>
          <w:sz w:val="18"/>
          <w:szCs w:val="18"/>
        </w:rPr>
        <w:t>Strategy</w:t>
      </w:r>
      <w:proofErr w:type="spellEnd"/>
      <w:r w:rsidRPr="00E74E93">
        <w:rPr>
          <w:rFonts w:ascii="Verdana" w:hAnsi="Verdana"/>
          <w:sz w:val="18"/>
          <w:szCs w:val="18"/>
        </w:rPr>
        <w:t xml:space="preserve"> update heeft het kabinet opnieuw opgeroepen tot marktcreatie voor </w:t>
      </w:r>
      <w:proofErr w:type="spellStart"/>
      <w:r w:rsidRPr="00E74E93">
        <w:rPr>
          <w:rFonts w:ascii="Verdana" w:hAnsi="Verdana"/>
          <w:sz w:val="18"/>
          <w:szCs w:val="18"/>
        </w:rPr>
        <w:t>biogebaseerde</w:t>
      </w:r>
      <w:proofErr w:type="spellEnd"/>
      <w:r w:rsidRPr="00E74E93">
        <w:rPr>
          <w:rFonts w:ascii="Verdana" w:hAnsi="Verdana"/>
          <w:sz w:val="18"/>
          <w:szCs w:val="18"/>
        </w:rPr>
        <w:t xml:space="preserve"> producten, alsook het ondersteunen van boeren en bedrijven en het vergroten van het aanbod aan duurzame </w:t>
      </w:r>
      <w:proofErr w:type="spellStart"/>
      <w:r w:rsidRPr="00E74E93">
        <w:rPr>
          <w:rFonts w:ascii="Verdana" w:hAnsi="Verdana"/>
          <w:sz w:val="18"/>
          <w:szCs w:val="18"/>
        </w:rPr>
        <w:t>biogrondstoffen</w:t>
      </w:r>
      <w:proofErr w:type="spellEnd"/>
      <w:r w:rsidRPr="00206583" w:rsidR="00206583">
        <w:rPr>
          <w:rFonts w:ascii="Verdana" w:hAnsi="Verdana"/>
          <w:sz w:val="18"/>
          <w:szCs w:val="18"/>
        </w:rPr>
        <w:t xml:space="preserve">. Deze duurzame </w:t>
      </w:r>
      <w:proofErr w:type="spellStart"/>
      <w:r w:rsidRPr="00206583" w:rsidR="00206583">
        <w:rPr>
          <w:rFonts w:ascii="Verdana" w:hAnsi="Verdana"/>
          <w:sz w:val="18"/>
          <w:szCs w:val="18"/>
        </w:rPr>
        <w:t>biogrondstoffen</w:t>
      </w:r>
      <w:proofErr w:type="spellEnd"/>
      <w:r w:rsidRPr="00206583" w:rsidR="00206583">
        <w:rPr>
          <w:rFonts w:ascii="Verdana" w:hAnsi="Verdana"/>
          <w:sz w:val="18"/>
          <w:szCs w:val="18"/>
        </w:rPr>
        <w:t xml:space="preserve"> dienen zo hoogwaardig mogelijk te worden ingezet aan de hand van te </w:t>
      </w:r>
      <w:r w:rsidRPr="00206583" w:rsidR="00206583">
        <w:rPr>
          <w:rFonts w:ascii="Verdana" w:hAnsi="Verdana"/>
          <w:sz w:val="18"/>
          <w:szCs w:val="18"/>
        </w:rPr>
        <w:lastRenderedPageBreak/>
        <w:t>implementeren duu</w:t>
      </w:r>
      <w:r w:rsidR="00657A58">
        <w:rPr>
          <w:rFonts w:ascii="Verdana" w:hAnsi="Verdana"/>
          <w:sz w:val="18"/>
          <w:szCs w:val="18"/>
        </w:rPr>
        <w:t>r</w:t>
      </w:r>
      <w:r w:rsidRPr="00206583" w:rsidR="00206583">
        <w:rPr>
          <w:rFonts w:ascii="Verdana" w:hAnsi="Verdana"/>
          <w:sz w:val="18"/>
          <w:szCs w:val="18"/>
        </w:rPr>
        <w:t>zaamheidscr</w:t>
      </w:r>
      <w:r w:rsidR="00657A58">
        <w:rPr>
          <w:rFonts w:ascii="Verdana" w:hAnsi="Verdana"/>
          <w:sz w:val="18"/>
          <w:szCs w:val="18"/>
        </w:rPr>
        <w:t>i</w:t>
      </w:r>
      <w:r w:rsidRPr="00206583" w:rsidR="00206583">
        <w:rPr>
          <w:rFonts w:ascii="Verdana" w:hAnsi="Verdana"/>
          <w:sz w:val="18"/>
          <w:szCs w:val="18"/>
        </w:rPr>
        <w:t>teria en</w:t>
      </w:r>
      <w:r w:rsidRPr="00E74E93">
        <w:rPr>
          <w:rFonts w:ascii="Verdana" w:hAnsi="Verdana"/>
          <w:sz w:val="18"/>
          <w:szCs w:val="18"/>
        </w:rPr>
        <w:t xml:space="preserve"> door </w:t>
      </w:r>
      <w:proofErr w:type="spellStart"/>
      <w:r w:rsidRPr="00E74E93">
        <w:rPr>
          <w:rFonts w:ascii="Verdana" w:hAnsi="Verdana"/>
          <w:sz w:val="18"/>
          <w:szCs w:val="18"/>
        </w:rPr>
        <w:t>cascaderingsprincipes</w:t>
      </w:r>
      <w:proofErr w:type="spellEnd"/>
      <w:r w:rsidR="002D5169">
        <w:rPr>
          <w:rStyle w:val="FootnoteReference"/>
          <w:rFonts w:ascii="Verdana" w:hAnsi="Verdana"/>
          <w:sz w:val="18"/>
          <w:szCs w:val="18"/>
        </w:rPr>
        <w:footnoteReference w:id="14"/>
      </w:r>
      <w:r w:rsidRPr="00E74E93">
        <w:rPr>
          <w:rFonts w:ascii="Verdana" w:hAnsi="Verdana"/>
          <w:sz w:val="18"/>
          <w:szCs w:val="18"/>
        </w:rPr>
        <w:t xml:space="preserve"> toe te passen.</w:t>
      </w:r>
      <w:r w:rsidRPr="00E74E93">
        <w:rPr>
          <w:rStyle w:val="FootnoteReference"/>
          <w:rFonts w:ascii="Verdana" w:hAnsi="Verdana"/>
          <w:sz w:val="18"/>
          <w:szCs w:val="18"/>
        </w:rPr>
        <w:footnoteReference w:id="15"/>
      </w:r>
      <w:r w:rsidRPr="004A7466" w:rsidR="004A7466">
        <w:rPr>
          <w:rFonts w:ascii="Verdana" w:hAnsi="Verdana"/>
          <w:sz w:val="18"/>
          <w:szCs w:val="18"/>
        </w:rPr>
        <w:t xml:space="preserve"> </w:t>
      </w:r>
      <w:r w:rsidR="004A7466">
        <w:rPr>
          <w:rFonts w:ascii="Verdana" w:hAnsi="Verdana"/>
          <w:sz w:val="18"/>
          <w:szCs w:val="18"/>
        </w:rPr>
        <w:t xml:space="preserve">Daarnaast komt het kabinet met een Nationale </w:t>
      </w:r>
      <w:proofErr w:type="spellStart"/>
      <w:r w:rsidR="004A7466">
        <w:rPr>
          <w:rFonts w:ascii="Verdana" w:hAnsi="Verdana"/>
          <w:sz w:val="18"/>
          <w:szCs w:val="18"/>
        </w:rPr>
        <w:t>Biogrondstoffenstrategie</w:t>
      </w:r>
      <w:proofErr w:type="spellEnd"/>
      <w:r w:rsidR="004A7466">
        <w:rPr>
          <w:rFonts w:ascii="Verdana" w:hAnsi="Verdana"/>
          <w:sz w:val="18"/>
          <w:szCs w:val="18"/>
        </w:rPr>
        <w:t xml:space="preserve"> en een Actieplan Aanbod Duurzame Koolstofdragers, met daarin aandacht voor de benodigde acties om voldoende aanbod aan duurzame koolstof voor de verduurzaming van onder andere de chemische sector te bewerkstelligen</w:t>
      </w:r>
      <w:r w:rsidRPr="006302AA" w:rsidR="004A7466">
        <w:rPr>
          <w:rFonts w:ascii="Verdana" w:hAnsi="Verdana"/>
          <w:sz w:val="18"/>
          <w:szCs w:val="18"/>
        </w:rPr>
        <w:t>.</w:t>
      </w:r>
    </w:p>
    <w:p w:rsidRPr="003C6403" w:rsidR="00292A51" w:rsidP="0015296C" w:rsidRDefault="00292A51" w14:paraId="1D3B0C58" w14:textId="3E45BF80">
      <w:pPr>
        <w:spacing w:line="360" w:lineRule="auto"/>
        <w:ind w:left="360"/>
        <w:rPr>
          <w:rFonts w:ascii="Verdana" w:hAnsi="Verdana"/>
          <w:color w:val="FF0000"/>
          <w:sz w:val="18"/>
          <w:szCs w:val="18"/>
        </w:rPr>
      </w:pPr>
    </w:p>
    <w:p w:rsidR="00923230" w:rsidP="00923230" w:rsidRDefault="00543F7C" w14:paraId="3670DDBD" w14:textId="2576AD7A">
      <w:pPr>
        <w:spacing w:line="360" w:lineRule="auto"/>
        <w:rPr>
          <w:rFonts w:ascii="Verdana" w:hAnsi="Verdana"/>
          <w:sz w:val="18"/>
          <w:szCs w:val="18"/>
        </w:rPr>
      </w:pPr>
      <w:r w:rsidRPr="00543F7C">
        <w:rPr>
          <w:rFonts w:ascii="Verdana" w:hAnsi="Verdana"/>
          <w:sz w:val="18"/>
          <w:szCs w:val="18"/>
        </w:rPr>
        <w:t>Het Nederlandse chemicaliënbeleid is gebaseerd op de Europese REACH-verordening, waarbij fabrikanten en importeurs chemische stoffen moeten registreren en de veiligheid ervan moeten aantonen. Het beleid is gebaseerd op het voorzorgsprincipe</w:t>
      </w:r>
      <w:r w:rsidR="004D2B57">
        <w:rPr>
          <w:rFonts w:ascii="Verdana" w:hAnsi="Verdana"/>
          <w:sz w:val="18"/>
          <w:szCs w:val="18"/>
        </w:rPr>
        <w:t xml:space="preserve"> en is gericht </w:t>
      </w:r>
      <w:r w:rsidRPr="002813B9" w:rsidR="004D2B57">
        <w:rPr>
          <w:rFonts w:ascii="Verdana" w:hAnsi="Verdana"/>
          <w:sz w:val="18"/>
          <w:szCs w:val="18"/>
        </w:rPr>
        <w:t>op het realiseren en behouden van een gezonde, schone en veilige leefomgeving</w:t>
      </w:r>
      <w:r w:rsidRPr="00543F7C">
        <w:rPr>
          <w:rFonts w:ascii="Verdana" w:hAnsi="Verdana"/>
          <w:sz w:val="18"/>
          <w:szCs w:val="18"/>
        </w:rPr>
        <w:t xml:space="preserve">. </w:t>
      </w:r>
      <w:r w:rsidR="003B36C5">
        <w:rPr>
          <w:rFonts w:ascii="Verdana" w:hAnsi="Verdana"/>
          <w:sz w:val="18"/>
          <w:szCs w:val="18"/>
        </w:rPr>
        <w:t>Het kabinet</w:t>
      </w:r>
      <w:r w:rsidRPr="00543F7C" w:rsidR="003B36C5">
        <w:rPr>
          <w:rFonts w:ascii="Verdana" w:hAnsi="Verdana"/>
          <w:sz w:val="18"/>
          <w:szCs w:val="18"/>
        </w:rPr>
        <w:t xml:space="preserve"> </w:t>
      </w:r>
      <w:r w:rsidRPr="00543F7C">
        <w:rPr>
          <w:rFonts w:ascii="Verdana" w:hAnsi="Verdana"/>
          <w:sz w:val="18"/>
          <w:szCs w:val="18"/>
        </w:rPr>
        <w:t xml:space="preserve">streeft naar een circulaire economie, waarin gevaarlijke stoffen </w:t>
      </w:r>
      <w:r w:rsidR="00707C5F">
        <w:rPr>
          <w:rFonts w:ascii="Verdana" w:hAnsi="Verdana"/>
          <w:sz w:val="18"/>
          <w:szCs w:val="18"/>
        </w:rPr>
        <w:t xml:space="preserve">zoveel als mogelijk </w:t>
      </w:r>
      <w:r w:rsidRPr="00543F7C">
        <w:rPr>
          <w:rFonts w:ascii="Verdana" w:hAnsi="Verdana"/>
          <w:sz w:val="18"/>
          <w:szCs w:val="18"/>
        </w:rPr>
        <w:t xml:space="preserve">worden vervangen door veiligere alternatieven. Deze inzet is zowel nationaal als Europees gericht, met als voorbeeld het indienen van een </w:t>
      </w:r>
      <w:bookmarkStart w:name="OLE_LINK1" w:id="3"/>
      <w:r w:rsidRPr="00543F7C">
        <w:rPr>
          <w:rFonts w:ascii="Verdana" w:hAnsi="Verdana"/>
          <w:sz w:val="18"/>
          <w:szCs w:val="18"/>
        </w:rPr>
        <w:t xml:space="preserve">PFAS-restrictievoorstel </w:t>
      </w:r>
      <w:bookmarkEnd w:id="3"/>
      <w:r w:rsidRPr="00543F7C">
        <w:rPr>
          <w:rFonts w:ascii="Verdana" w:hAnsi="Verdana"/>
          <w:sz w:val="18"/>
          <w:szCs w:val="18"/>
        </w:rPr>
        <w:t>begin 2023</w:t>
      </w:r>
      <w:r w:rsidR="00F9201F">
        <w:rPr>
          <w:rFonts w:ascii="Verdana" w:hAnsi="Verdana"/>
          <w:sz w:val="18"/>
          <w:szCs w:val="18"/>
        </w:rPr>
        <w:t>.</w:t>
      </w:r>
      <w:r>
        <w:rPr>
          <w:rStyle w:val="FootnoteReference"/>
          <w:rFonts w:ascii="Verdana" w:hAnsi="Verdana"/>
          <w:sz w:val="18"/>
          <w:szCs w:val="18"/>
        </w:rPr>
        <w:footnoteReference w:id="16"/>
      </w:r>
      <w:r w:rsidR="004E07F3">
        <w:rPr>
          <w:rFonts w:ascii="Verdana" w:hAnsi="Verdana"/>
          <w:sz w:val="18"/>
          <w:szCs w:val="18"/>
        </w:rPr>
        <w:t xml:space="preserve"> Om een gelijk speelveld te bewaken, </w:t>
      </w:r>
      <w:r w:rsidR="004573EC">
        <w:rPr>
          <w:rFonts w:ascii="Verdana" w:hAnsi="Verdana"/>
          <w:sz w:val="18"/>
          <w:szCs w:val="18"/>
        </w:rPr>
        <w:t>wordt ingezet om nationale ambities veelal via Europese chemicaliënwetgeving te realiseren (e.g. testmethode en validatiestrategie, “</w:t>
      </w:r>
      <w:r w:rsidR="004573EC">
        <w:rPr>
          <w:rFonts w:ascii="Verdana" w:hAnsi="Verdana"/>
          <w:i/>
          <w:iCs/>
          <w:sz w:val="18"/>
          <w:szCs w:val="18"/>
        </w:rPr>
        <w:t xml:space="preserve">Safe </w:t>
      </w:r>
      <w:proofErr w:type="spellStart"/>
      <w:r w:rsidR="004573EC">
        <w:rPr>
          <w:rFonts w:ascii="Verdana" w:hAnsi="Verdana"/>
          <w:i/>
          <w:iCs/>
          <w:sz w:val="18"/>
          <w:szCs w:val="18"/>
        </w:rPr>
        <w:t>and</w:t>
      </w:r>
      <w:proofErr w:type="spellEnd"/>
      <w:r w:rsidR="004573EC">
        <w:rPr>
          <w:rFonts w:ascii="Verdana" w:hAnsi="Verdana"/>
          <w:i/>
          <w:iCs/>
          <w:sz w:val="18"/>
          <w:szCs w:val="18"/>
        </w:rPr>
        <w:t xml:space="preserve"> </w:t>
      </w:r>
      <w:proofErr w:type="spellStart"/>
      <w:r w:rsidR="004573EC">
        <w:rPr>
          <w:rFonts w:ascii="Verdana" w:hAnsi="Verdana"/>
          <w:i/>
          <w:iCs/>
          <w:sz w:val="18"/>
          <w:szCs w:val="18"/>
        </w:rPr>
        <w:t>Sustainable</w:t>
      </w:r>
      <w:proofErr w:type="spellEnd"/>
      <w:r w:rsidR="004573EC">
        <w:rPr>
          <w:rFonts w:ascii="Verdana" w:hAnsi="Verdana"/>
          <w:i/>
          <w:iCs/>
          <w:sz w:val="18"/>
          <w:szCs w:val="18"/>
        </w:rPr>
        <w:t xml:space="preserve"> </w:t>
      </w:r>
      <w:proofErr w:type="spellStart"/>
      <w:r w:rsidR="004573EC">
        <w:rPr>
          <w:rFonts w:ascii="Verdana" w:hAnsi="Verdana"/>
          <w:i/>
          <w:iCs/>
          <w:sz w:val="18"/>
          <w:szCs w:val="18"/>
        </w:rPr>
        <w:t>by</w:t>
      </w:r>
      <w:proofErr w:type="spellEnd"/>
      <w:r w:rsidR="004573EC">
        <w:rPr>
          <w:rFonts w:ascii="Verdana" w:hAnsi="Verdana"/>
          <w:i/>
          <w:iCs/>
          <w:sz w:val="18"/>
          <w:szCs w:val="18"/>
        </w:rPr>
        <w:t xml:space="preserve"> Design”)</w:t>
      </w:r>
      <w:r w:rsidR="004573EC">
        <w:rPr>
          <w:rFonts w:ascii="Verdana" w:hAnsi="Verdana"/>
          <w:sz w:val="18"/>
          <w:szCs w:val="18"/>
        </w:rPr>
        <w:t>.</w:t>
      </w:r>
    </w:p>
    <w:p w:rsidR="00543F7C" w:rsidP="00923230" w:rsidRDefault="00543F7C" w14:paraId="7CDB58D8" w14:textId="77777777">
      <w:pPr>
        <w:spacing w:line="360" w:lineRule="auto"/>
        <w:rPr>
          <w:rFonts w:ascii="Verdana" w:hAnsi="Verdana"/>
          <w:sz w:val="18"/>
          <w:szCs w:val="18"/>
          <w:highlight w:val="yellow"/>
        </w:rPr>
      </w:pPr>
    </w:p>
    <w:p w:rsidRPr="00923230" w:rsidR="00923230" w:rsidP="00923230" w:rsidRDefault="00442E73" w14:paraId="67D24B5B" w14:textId="1C2974F1">
      <w:pPr>
        <w:spacing w:line="360" w:lineRule="auto"/>
        <w:rPr>
          <w:rFonts w:ascii="Verdana" w:hAnsi="Verdana"/>
          <w:sz w:val="18"/>
          <w:szCs w:val="18"/>
        </w:rPr>
      </w:pPr>
      <w:r>
        <w:rPr>
          <w:rFonts w:ascii="Verdana" w:hAnsi="Verdana"/>
          <w:sz w:val="18"/>
          <w:szCs w:val="18"/>
        </w:rPr>
        <w:t xml:space="preserve">Het kabinet </w:t>
      </w:r>
      <w:r w:rsidRPr="00923230" w:rsidR="00923230">
        <w:rPr>
          <w:rFonts w:ascii="Verdana" w:hAnsi="Verdana"/>
          <w:sz w:val="18"/>
          <w:szCs w:val="18"/>
        </w:rPr>
        <w:t>zet</w:t>
      </w:r>
      <w:r>
        <w:rPr>
          <w:rFonts w:ascii="Verdana" w:hAnsi="Verdana"/>
          <w:sz w:val="18"/>
          <w:szCs w:val="18"/>
        </w:rPr>
        <w:t xml:space="preserve"> in</w:t>
      </w:r>
      <w:r w:rsidRPr="00923230" w:rsidR="00923230">
        <w:rPr>
          <w:rFonts w:ascii="Verdana" w:hAnsi="Verdana"/>
          <w:sz w:val="18"/>
          <w:szCs w:val="18"/>
        </w:rPr>
        <w:t xml:space="preserve"> op behoud en</w:t>
      </w:r>
      <w:r w:rsidR="00923230">
        <w:rPr>
          <w:rFonts w:ascii="Verdana" w:hAnsi="Verdana"/>
          <w:sz w:val="18"/>
          <w:szCs w:val="18"/>
        </w:rPr>
        <w:t xml:space="preserve"> versterking van het gelijke speelveld binnen de EU</w:t>
      </w:r>
      <w:r w:rsidR="00ED06F0">
        <w:rPr>
          <w:rFonts w:ascii="Verdana" w:hAnsi="Verdana"/>
          <w:sz w:val="18"/>
          <w:szCs w:val="18"/>
        </w:rPr>
        <w:t xml:space="preserve"> en mondiaal</w:t>
      </w:r>
      <w:r w:rsidR="00923230">
        <w:rPr>
          <w:rFonts w:ascii="Verdana" w:hAnsi="Verdana"/>
          <w:sz w:val="18"/>
          <w:szCs w:val="18"/>
        </w:rPr>
        <w:t>. Ook de kracht van de interne markt dient te worden gewaarborgd</w:t>
      </w:r>
      <w:r w:rsidR="00EA170A">
        <w:rPr>
          <w:rFonts w:ascii="Verdana" w:hAnsi="Verdana"/>
          <w:sz w:val="18"/>
          <w:szCs w:val="18"/>
        </w:rPr>
        <w:t xml:space="preserve"> en versterkt, waarbij ongerechtvaardigde belemmeringen voor ondernemers en burgers worden weggenomen en voorkomen</w:t>
      </w:r>
      <w:r w:rsidR="00923230">
        <w:rPr>
          <w:rFonts w:ascii="Verdana" w:hAnsi="Verdana"/>
          <w:sz w:val="18"/>
          <w:szCs w:val="18"/>
        </w:rPr>
        <w:t>.</w:t>
      </w:r>
      <w:r w:rsidR="00EA170A">
        <w:rPr>
          <w:rStyle w:val="FootnoteReference"/>
          <w:rFonts w:ascii="Verdana" w:hAnsi="Verdana"/>
          <w:sz w:val="18"/>
          <w:szCs w:val="18"/>
        </w:rPr>
        <w:footnoteReference w:id="17"/>
      </w:r>
      <w:r w:rsidR="00923230">
        <w:rPr>
          <w:rFonts w:ascii="Verdana" w:hAnsi="Verdana"/>
          <w:sz w:val="18"/>
          <w:szCs w:val="18"/>
        </w:rPr>
        <w:t xml:space="preserve"> Het kabinet </w:t>
      </w:r>
      <w:r w:rsidR="00046551">
        <w:rPr>
          <w:rFonts w:ascii="Verdana" w:hAnsi="Verdana"/>
          <w:sz w:val="18"/>
          <w:szCs w:val="18"/>
        </w:rPr>
        <w:t xml:space="preserve">zet </w:t>
      </w:r>
      <w:r w:rsidR="00923230">
        <w:rPr>
          <w:rFonts w:ascii="Verdana" w:hAnsi="Verdana"/>
          <w:sz w:val="18"/>
          <w:szCs w:val="18"/>
        </w:rPr>
        <w:t>in op gericht en pragmatisch handelsbeleid. In EU-context moet bekeken worden welke instrumenten op welke wijze proportioneel ingezet kunnen worden. Dit dient in conformiteit met internationale verplichtingen te geschieden</w:t>
      </w:r>
      <w:r w:rsidR="00363225">
        <w:rPr>
          <w:rFonts w:ascii="Verdana" w:hAnsi="Verdana"/>
          <w:sz w:val="18"/>
          <w:szCs w:val="18"/>
        </w:rPr>
        <w:t xml:space="preserve">, zoals die </w:t>
      </w:r>
      <w:r w:rsidR="00C93596">
        <w:rPr>
          <w:rFonts w:ascii="Verdana" w:hAnsi="Verdana"/>
          <w:sz w:val="18"/>
          <w:szCs w:val="18"/>
        </w:rPr>
        <w:t xml:space="preserve">van </w:t>
      </w:r>
      <w:r w:rsidR="00363225">
        <w:rPr>
          <w:rFonts w:ascii="Verdana" w:hAnsi="Verdana"/>
          <w:sz w:val="18"/>
          <w:szCs w:val="18"/>
        </w:rPr>
        <w:t xml:space="preserve">de </w:t>
      </w:r>
      <w:r w:rsidR="00C93596">
        <w:rPr>
          <w:rFonts w:ascii="Verdana" w:hAnsi="Verdana"/>
          <w:sz w:val="18"/>
          <w:szCs w:val="18"/>
        </w:rPr>
        <w:t>Wereldhandelsorganisatie (</w:t>
      </w:r>
      <w:r w:rsidR="00363225">
        <w:rPr>
          <w:rFonts w:ascii="Verdana" w:hAnsi="Verdana"/>
          <w:sz w:val="18"/>
          <w:szCs w:val="18"/>
        </w:rPr>
        <w:t>WTO</w:t>
      </w:r>
      <w:r w:rsidR="00C93596">
        <w:rPr>
          <w:rFonts w:ascii="Verdana" w:hAnsi="Verdana"/>
          <w:sz w:val="18"/>
          <w:szCs w:val="18"/>
        </w:rPr>
        <w:t>)</w:t>
      </w:r>
      <w:r w:rsidR="00923230">
        <w:rPr>
          <w:rFonts w:ascii="Verdana" w:hAnsi="Verdana"/>
          <w:sz w:val="18"/>
          <w:szCs w:val="18"/>
        </w:rPr>
        <w:t xml:space="preserve">. Het uitgangspunt van het kabinet op het gebied van staatssteun is in beginsel terughoudend. Dit neemt niet weg dat er in het licht van de transities en in geval van </w:t>
      </w:r>
      <w:proofErr w:type="spellStart"/>
      <w:r w:rsidR="00923230">
        <w:rPr>
          <w:rFonts w:ascii="Verdana" w:hAnsi="Verdana"/>
          <w:sz w:val="18"/>
          <w:szCs w:val="18"/>
        </w:rPr>
        <w:t>marktfalen</w:t>
      </w:r>
      <w:proofErr w:type="spellEnd"/>
      <w:r w:rsidR="00923230">
        <w:rPr>
          <w:rFonts w:ascii="Verdana" w:hAnsi="Verdana"/>
          <w:sz w:val="18"/>
          <w:szCs w:val="18"/>
        </w:rPr>
        <w:t xml:space="preserve"> gerichte staatssteun nodig kan zijn, mits goed onderbouwd, met inachtneming van internationale verplichtingen, in lijn met motie Postma.</w:t>
      </w:r>
      <w:r w:rsidR="00923230">
        <w:rPr>
          <w:rStyle w:val="FootnoteReference"/>
          <w:rFonts w:ascii="Verdana" w:hAnsi="Verdana"/>
          <w:sz w:val="18"/>
          <w:szCs w:val="18"/>
        </w:rPr>
        <w:footnoteReference w:id="18"/>
      </w:r>
    </w:p>
    <w:p w:rsidRPr="003C6403" w:rsidR="00B31605" w:rsidP="00B31605" w:rsidRDefault="00B31605" w14:paraId="7122E807" w14:textId="77777777">
      <w:pPr>
        <w:spacing w:line="360" w:lineRule="auto"/>
        <w:rPr>
          <w:rFonts w:ascii="Verdana" w:hAnsi="Verdana"/>
          <w:sz w:val="18"/>
          <w:szCs w:val="18"/>
        </w:rPr>
      </w:pPr>
    </w:p>
    <w:p w:rsidR="003C6403" w:rsidP="003C6403" w:rsidRDefault="00FD0CBD" w14:paraId="4C8C31C6" w14:textId="77777777">
      <w:pPr>
        <w:numPr>
          <w:ilvl w:val="0"/>
          <w:numId w:val="21"/>
        </w:numPr>
        <w:spacing w:line="360" w:lineRule="auto"/>
        <w:rPr>
          <w:rFonts w:ascii="Verdana" w:hAnsi="Verdana"/>
          <w:i/>
          <w:sz w:val="18"/>
          <w:szCs w:val="18"/>
        </w:rPr>
      </w:pPr>
      <w:r w:rsidRPr="00FD0CBD">
        <w:rPr>
          <w:rFonts w:ascii="Verdana" w:hAnsi="Verdana"/>
          <w:i/>
          <w:sz w:val="18"/>
          <w:szCs w:val="18"/>
        </w:rPr>
        <w:t>Beoordeling + inzet ten aanzien van dit voorstel</w:t>
      </w:r>
    </w:p>
    <w:p w:rsidR="006457A0" w:rsidP="001C6E29" w:rsidRDefault="00CB1580" w14:paraId="046CC5DD" w14:textId="67ED3436">
      <w:pPr>
        <w:spacing w:line="360" w:lineRule="auto"/>
        <w:rPr>
          <w:rFonts w:ascii="Verdana" w:hAnsi="Verdana"/>
          <w:sz w:val="18"/>
          <w:szCs w:val="18"/>
        </w:rPr>
      </w:pPr>
      <w:bookmarkStart w:name="OLE_LINK8" w:id="6"/>
      <w:r>
        <w:rPr>
          <w:rFonts w:ascii="Verdana" w:hAnsi="Verdana"/>
          <w:sz w:val="18"/>
          <w:szCs w:val="18"/>
        </w:rPr>
        <w:t xml:space="preserve">Het kabinet verwelkomt het actieplan en de brede aandacht voor de (problematiek van) de chemische industrie die dit met zich meebrengt. In lijn met </w:t>
      </w:r>
      <w:r w:rsidR="005D5DE9">
        <w:rPr>
          <w:rFonts w:ascii="Verdana" w:hAnsi="Verdana"/>
          <w:sz w:val="18"/>
          <w:szCs w:val="18"/>
        </w:rPr>
        <w:t>het eerste spoor</w:t>
      </w:r>
      <w:r w:rsidR="00C9123A">
        <w:rPr>
          <w:rFonts w:ascii="Verdana" w:hAnsi="Verdana"/>
          <w:sz w:val="18"/>
          <w:szCs w:val="18"/>
        </w:rPr>
        <w:t xml:space="preserve"> in het actieplan</w:t>
      </w:r>
      <w:r>
        <w:rPr>
          <w:rFonts w:ascii="Verdana" w:hAnsi="Verdana"/>
          <w:sz w:val="18"/>
          <w:szCs w:val="18"/>
        </w:rPr>
        <w:t xml:space="preserve"> is het kabinet van mening dat de EU, en daarmee Nederland, </w:t>
      </w:r>
      <w:r w:rsidRPr="00CB1580">
        <w:rPr>
          <w:rFonts w:ascii="Verdana" w:hAnsi="Verdana"/>
          <w:sz w:val="18"/>
          <w:szCs w:val="18"/>
        </w:rPr>
        <w:t xml:space="preserve">haar chemische kernproductiecapaciteit in stand </w:t>
      </w:r>
      <w:r>
        <w:rPr>
          <w:rFonts w:ascii="Verdana" w:hAnsi="Verdana"/>
          <w:sz w:val="18"/>
          <w:szCs w:val="18"/>
        </w:rPr>
        <w:t xml:space="preserve">moet </w:t>
      </w:r>
      <w:r w:rsidRPr="00CB1580">
        <w:rPr>
          <w:rFonts w:ascii="Verdana" w:hAnsi="Verdana"/>
          <w:sz w:val="18"/>
          <w:szCs w:val="18"/>
        </w:rPr>
        <w:t>houden en verbeteren om haar concurrentievermogen te versterken en haar veerkracht te behouden.</w:t>
      </w:r>
      <w:r w:rsidR="006457A0">
        <w:rPr>
          <w:rFonts w:ascii="Verdana" w:hAnsi="Verdana"/>
          <w:sz w:val="18"/>
          <w:szCs w:val="18"/>
        </w:rPr>
        <w:t xml:space="preserve"> </w:t>
      </w:r>
      <w:bookmarkEnd w:id="6"/>
      <w:r w:rsidR="006457A0">
        <w:rPr>
          <w:rFonts w:ascii="Verdana" w:hAnsi="Verdana"/>
          <w:sz w:val="18"/>
          <w:szCs w:val="18"/>
        </w:rPr>
        <w:t xml:space="preserve">Het kabinet kijkt met interesse naar de aangekondigde </w:t>
      </w:r>
      <w:r w:rsidRPr="57EB3157" w:rsidR="006457A0">
        <w:rPr>
          <w:rFonts w:ascii="Verdana" w:hAnsi="Verdana"/>
          <w:i/>
          <w:iCs/>
          <w:sz w:val="18"/>
          <w:szCs w:val="18"/>
        </w:rPr>
        <w:t>Critical Chemical Alliance</w:t>
      </w:r>
      <w:r w:rsidR="00F0524A">
        <w:rPr>
          <w:rFonts w:ascii="Verdana" w:hAnsi="Verdana"/>
          <w:i/>
          <w:iCs/>
          <w:sz w:val="18"/>
          <w:szCs w:val="18"/>
        </w:rPr>
        <w:t xml:space="preserve"> </w:t>
      </w:r>
      <w:r w:rsidR="00F0524A">
        <w:rPr>
          <w:rFonts w:ascii="Verdana" w:hAnsi="Verdana"/>
          <w:sz w:val="18"/>
          <w:szCs w:val="18"/>
        </w:rPr>
        <w:t xml:space="preserve">en ziet </w:t>
      </w:r>
      <w:r w:rsidR="00BF18C3">
        <w:rPr>
          <w:rFonts w:ascii="Verdana" w:hAnsi="Verdana"/>
          <w:sz w:val="18"/>
          <w:szCs w:val="18"/>
        </w:rPr>
        <w:t xml:space="preserve">de </w:t>
      </w:r>
      <w:r w:rsidR="00CF2ADE">
        <w:rPr>
          <w:rFonts w:ascii="Verdana" w:hAnsi="Verdana"/>
          <w:sz w:val="18"/>
          <w:szCs w:val="18"/>
        </w:rPr>
        <w:t>nadere</w:t>
      </w:r>
      <w:r w:rsidR="00BF18C3">
        <w:rPr>
          <w:rFonts w:ascii="Verdana" w:hAnsi="Verdana"/>
          <w:sz w:val="18"/>
          <w:szCs w:val="18"/>
        </w:rPr>
        <w:t xml:space="preserve"> </w:t>
      </w:r>
      <w:r w:rsidR="002774AF">
        <w:rPr>
          <w:rFonts w:ascii="Verdana" w:hAnsi="Verdana"/>
          <w:sz w:val="18"/>
          <w:szCs w:val="18"/>
        </w:rPr>
        <w:t>invulling</w:t>
      </w:r>
      <w:r w:rsidR="00BF18C3">
        <w:rPr>
          <w:rFonts w:ascii="Verdana" w:hAnsi="Verdana"/>
          <w:sz w:val="18"/>
          <w:szCs w:val="18"/>
        </w:rPr>
        <w:t xml:space="preserve"> hiervan graag tegemoet</w:t>
      </w:r>
      <w:r w:rsidR="00982EA5">
        <w:rPr>
          <w:rFonts w:ascii="Verdana" w:hAnsi="Verdana"/>
          <w:sz w:val="18"/>
          <w:szCs w:val="18"/>
        </w:rPr>
        <w:t xml:space="preserve">, waarbij de ervaringen </w:t>
      </w:r>
      <w:r w:rsidR="00231FA2">
        <w:rPr>
          <w:rFonts w:ascii="Verdana" w:hAnsi="Verdana"/>
          <w:sz w:val="18"/>
          <w:szCs w:val="18"/>
        </w:rPr>
        <w:t>met</w:t>
      </w:r>
      <w:r w:rsidR="00982EA5">
        <w:rPr>
          <w:rFonts w:ascii="Verdana" w:hAnsi="Verdana"/>
          <w:sz w:val="18"/>
          <w:szCs w:val="18"/>
        </w:rPr>
        <w:t xml:space="preserve"> de </w:t>
      </w:r>
      <w:r w:rsidR="00CF7DA5">
        <w:rPr>
          <w:rFonts w:ascii="Verdana" w:hAnsi="Verdana"/>
          <w:i/>
          <w:iCs/>
          <w:sz w:val="18"/>
          <w:szCs w:val="18"/>
        </w:rPr>
        <w:t xml:space="preserve">Critical </w:t>
      </w:r>
      <w:proofErr w:type="spellStart"/>
      <w:r w:rsidR="00CF7DA5">
        <w:rPr>
          <w:rFonts w:ascii="Verdana" w:hAnsi="Verdana"/>
          <w:i/>
          <w:iCs/>
          <w:sz w:val="18"/>
          <w:szCs w:val="18"/>
        </w:rPr>
        <w:lastRenderedPageBreak/>
        <w:t>Medicines</w:t>
      </w:r>
      <w:proofErr w:type="spellEnd"/>
      <w:r w:rsidR="00CF7DA5">
        <w:rPr>
          <w:rFonts w:ascii="Verdana" w:hAnsi="Verdana"/>
          <w:i/>
          <w:iCs/>
          <w:sz w:val="18"/>
          <w:szCs w:val="18"/>
        </w:rPr>
        <w:t xml:space="preserve"> Alliance</w:t>
      </w:r>
      <w:r w:rsidR="003916F4">
        <w:rPr>
          <w:rStyle w:val="FootnoteReference"/>
          <w:rFonts w:ascii="Verdana" w:hAnsi="Verdana"/>
          <w:sz w:val="18"/>
          <w:szCs w:val="18"/>
        </w:rPr>
        <w:footnoteReference w:id="19"/>
      </w:r>
      <w:r w:rsidR="003916F4">
        <w:rPr>
          <w:rFonts w:ascii="Verdana" w:hAnsi="Verdana"/>
          <w:sz w:val="18"/>
          <w:szCs w:val="18"/>
        </w:rPr>
        <w:t xml:space="preserve"> </w:t>
      </w:r>
      <w:r w:rsidR="00A34092">
        <w:rPr>
          <w:rFonts w:ascii="Verdana" w:hAnsi="Verdana"/>
          <w:sz w:val="18"/>
          <w:szCs w:val="18"/>
        </w:rPr>
        <w:t xml:space="preserve">meegenomen dienen te </w:t>
      </w:r>
      <w:r w:rsidR="00CF7DA5">
        <w:rPr>
          <w:rFonts w:ascii="Verdana" w:hAnsi="Verdana"/>
          <w:sz w:val="18"/>
          <w:szCs w:val="18"/>
        </w:rPr>
        <w:t>worden</w:t>
      </w:r>
      <w:r w:rsidR="006457A0">
        <w:rPr>
          <w:rFonts w:ascii="Verdana" w:hAnsi="Verdana"/>
          <w:sz w:val="18"/>
          <w:szCs w:val="18"/>
        </w:rPr>
        <w:t xml:space="preserve">. Het is een goede zaak dat stakeholders direct worden betrokken bij dit initiatief. </w:t>
      </w:r>
      <w:r w:rsidR="00CC2FB6">
        <w:rPr>
          <w:rFonts w:ascii="Verdana" w:hAnsi="Verdana"/>
          <w:sz w:val="18"/>
          <w:szCs w:val="18"/>
        </w:rPr>
        <w:t xml:space="preserve">Daarnaast is het van groot belang dat </w:t>
      </w:r>
      <w:r w:rsidR="000A541B">
        <w:rPr>
          <w:rFonts w:ascii="Verdana" w:hAnsi="Verdana"/>
          <w:sz w:val="18"/>
          <w:szCs w:val="18"/>
        </w:rPr>
        <w:t xml:space="preserve">beleid in deze context </w:t>
      </w:r>
      <w:r w:rsidR="00006F07">
        <w:rPr>
          <w:rFonts w:ascii="Verdana" w:hAnsi="Verdana"/>
          <w:sz w:val="18"/>
          <w:szCs w:val="18"/>
        </w:rPr>
        <w:t>gedegen wordt afgestemd op Europees niveau</w:t>
      </w:r>
      <w:r w:rsidR="00F53B62">
        <w:rPr>
          <w:rFonts w:ascii="Verdana" w:hAnsi="Verdana"/>
          <w:sz w:val="18"/>
          <w:szCs w:val="18"/>
        </w:rPr>
        <w:t>, mede omwille van het</w:t>
      </w:r>
      <w:r w:rsidR="00006F07">
        <w:rPr>
          <w:rFonts w:ascii="Verdana" w:hAnsi="Verdana"/>
          <w:sz w:val="18"/>
          <w:szCs w:val="18"/>
        </w:rPr>
        <w:t xml:space="preserve"> grensoverschrijdende</w:t>
      </w:r>
      <w:r w:rsidR="00F53B62">
        <w:rPr>
          <w:rFonts w:ascii="Verdana" w:hAnsi="Verdana"/>
          <w:sz w:val="18"/>
          <w:szCs w:val="18"/>
        </w:rPr>
        <w:t xml:space="preserve"> karakter van chemische</w:t>
      </w:r>
      <w:r w:rsidR="00006F07">
        <w:rPr>
          <w:rFonts w:ascii="Verdana" w:hAnsi="Verdana"/>
          <w:sz w:val="18"/>
          <w:szCs w:val="18"/>
        </w:rPr>
        <w:t xml:space="preserve"> clusters</w:t>
      </w:r>
      <w:r w:rsidR="00F53B62">
        <w:rPr>
          <w:rFonts w:ascii="Verdana" w:hAnsi="Verdana"/>
          <w:sz w:val="18"/>
          <w:szCs w:val="18"/>
        </w:rPr>
        <w:t xml:space="preserve">. </w:t>
      </w:r>
      <w:r w:rsidR="006457A0">
        <w:rPr>
          <w:rFonts w:ascii="Verdana" w:hAnsi="Verdana"/>
          <w:sz w:val="18"/>
          <w:szCs w:val="18"/>
        </w:rPr>
        <w:t xml:space="preserve">Ook ziet het kabinet de potentie dat hierdoor sneller ingegrepen kan worden bij oneerlijke handelspraktijken. Ook het streven om de Alliantie criteria op te laten stellen om kritieke installaties en moleculen te identificeren wordt door het kabinet ondersteund. Zo heeft </w:t>
      </w:r>
      <w:r w:rsidR="001569EA">
        <w:rPr>
          <w:rFonts w:ascii="Verdana" w:hAnsi="Verdana"/>
          <w:sz w:val="18"/>
          <w:szCs w:val="18"/>
        </w:rPr>
        <w:t xml:space="preserve">het kabinet </w:t>
      </w:r>
      <w:r w:rsidR="006457A0">
        <w:rPr>
          <w:rFonts w:ascii="Verdana" w:hAnsi="Verdana"/>
          <w:sz w:val="18"/>
          <w:szCs w:val="18"/>
        </w:rPr>
        <w:t>reeds een initiatief gesteund om op Europees niveau wetgeving te introduceren om kritieke chemicaliën in Europa te behouden</w:t>
      </w:r>
      <w:r w:rsidR="006457A0">
        <w:rPr>
          <w:rStyle w:val="FootnoteReference"/>
          <w:rFonts w:ascii="Verdana" w:hAnsi="Verdana"/>
          <w:sz w:val="18"/>
          <w:szCs w:val="18"/>
        </w:rPr>
        <w:footnoteReference w:id="20"/>
      </w:r>
      <w:r w:rsidR="006457A0">
        <w:rPr>
          <w:rFonts w:ascii="Verdana" w:hAnsi="Verdana"/>
          <w:sz w:val="18"/>
          <w:szCs w:val="18"/>
        </w:rPr>
        <w:t xml:space="preserve"> en het kabinet zal zich dan ook inzetten om Europese wetgeving in deze context te ondersteunen. </w:t>
      </w:r>
      <w:r w:rsidR="00DC707A">
        <w:rPr>
          <w:rFonts w:ascii="Verdana" w:hAnsi="Verdana"/>
          <w:sz w:val="18"/>
          <w:szCs w:val="18"/>
        </w:rPr>
        <w:t xml:space="preserve">In relatie tot IPCEI is het belangrijk dat </w:t>
      </w:r>
      <w:r w:rsidRPr="004F4267" w:rsidR="00DC707A">
        <w:rPr>
          <w:rFonts w:ascii="Verdana" w:hAnsi="Verdana"/>
          <w:sz w:val="18"/>
          <w:szCs w:val="18"/>
        </w:rPr>
        <w:t xml:space="preserve">de taken van het </w:t>
      </w:r>
      <w:r w:rsidRPr="00FA3ACD" w:rsidR="00DC707A">
        <w:rPr>
          <w:rFonts w:ascii="Verdana" w:hAnsi="Verdana"/>
          <w:i/>
          <w:iCs/>
          <w:sz w:val="18"/>
          <w:szCs w:val="18"/>
        </w:rPr>
        <w:t>Joint European Forum on IPCEI</w:t>
      </w:r>
      <w:r w:rsidRPr="004F4267" w:rsidR="00DC707A">
        <w:rPr>
          <w:rFonts w:ascii="Verdana" w:hAnsi="Verdana"/>
          <w:sz w:val="18"/>
          <w:szCs w:val="18"/>
        </w:rPr>
        <w:t xml:space="preserve"> en de alliantie elkaar niet overlappen.</w:t>
      </w:r>
      <w:r w:rsidR="00DC707A">
        <w:rPr>
          <w:rFonts w:ascii="Verdana" w:hAnsi="Verdana"/>
          <w:sz w:val="18"/>
          <w:szCs w:val="18"/>
        </w:rPr>
        <w:t xml:space="preserve"> </w:t>
      </w:r>
      <w:r w:rsidRPr="2876F6D4" w:rsidR="00C610DF">
        <w:rPr>
          <w:rFonts w:ascii="Verdana" w:hAnsi="Verdana"/>
          <w:sz w:val="18"/>
          <w:szCs w:val="18"/>
        </w:rPr>
        <w:t xml:space="preserve">Het kabinet verwelkomt het </w:t>
      </w:r>
      <w:r w:rsidRPr="2876F6D4" w:rsidR="00ED3700">
        <w:rPr>
          <w:rFonts w:ascii="Verdana" w:hAnsi="Verdana"/>
          <w:sz w:val="18"/>
          <w:szCs w:val="18"/>
        </w:rPr>
        <w:t xml:space="preserve">voorstel voor </w:t>
      </w:r>
      <w:r w:rsidR="007833ED">
        <w:rPr>
          <w:rFonts w:ascii="Verdana" w:hAnsi="Verdana"/>
          <w:sz w:val="18"/>
          <w:szCs w:val="18"/>
        </w:rPr>
        <w:t>de</w:t>
      </w:r>
      <w:r w:rsidRPr="2876F6D4" w:rsidR="00ED3700">
        <w:rPr>
          <w:rFonts w:ascii="Verdana" w:hAnsi="Verdana"/>
          <w:sz w:val="18"/>
          <w:szCs w:val="18"/>
        </w:rPr>
        <w:t xml:space="preserve"> </w:t>
      </w:r>
      <w:r w:rsidRPr="2876F6D4" w:rsidR="004C37DE">
        <w:rPr>
          <w:rFonts w:ascii="Verdana" w:hAnsi="Verdana"/>
          <w:sz w:val="18"/>
          <w:szCs w:val="18"/>
        </w:rPr>
        <w:t xml:space="preserve">Kritieke Chemische </w:t>
      </w:r>
      <w:r w:rsidR="0057061A">
        <w:rPr>
          <w:rFonts w:ascii="Verdana" w:hAnsi="Verdana"/>
          <w:sz w:val="18"/>
          <w:szCs w:val="18"/>
        </w:rPr>
        <w:t>Productlocaties</w:t>
      </w:r>
      <w:r w:rsidRPr="2876F6D4" w:rsidR="004C37DE">
        <w:rPr>
          <w:rFonts w:ascii="Verdana" w:hAnsi="Verdana"/>
          <w:sz w:val="18"/>
          <w:szCs w:val="18"/>
        </w:rPr>
        <w:t xml:space="preserve">, </w:t>
      </w:r>
      <w:r w:rsidR="007833ED">
        <w:rPr>
          <w:rFonts w:ascii="Verdana" w:hAnsi="Verdana"/>
          <w:sz w:val="18"/>
          <w:szCs w:val="18"/>
        </w:rPr>
        <w:t xml:space="preserve">die de Commissie op basis van </w:t>
      </w:r>
      <w:r w:rsidR="005779A2">
        <w:rPr>
          <w:rFonts w:ascii="Verdana" w:hAnsi="Verdana"/>
          <w:sz w:val="18"/>
          <w:szCs w:val="18"/>
        </w:rPr>
        <w:t>bestaande industriële clusters met nationale en decentrale overheden wil vormgeven.</w:t>
      </w:r>
      <w:r w:rsidRPr="2876F6D4" w:rsidR="005D689A">
        <w:rPr>
          <w:rFonts w:ascii="Verdana" w:hAnsi="Verdana"/>
          <w:sz w:val="18"/>
          <w:szCs w:val="18"/>
        </w:rPr>
        <w:t xml:space="preserve"> </w:t>
      </w:r>
      <w:r w:rsidR="00F33B3C">
        <w:rPr>
          <w:rFonts w:ascii="Verdana" w:hAnsi="Verdana"/>
          <w:sz w:val="18"/>
          <w:szCs w:val="18"/>
        </w:rPr>
        <w:t xml:space="preserve">Het kabinet is </w:t>
      </w:r>
      <w:r w:rsidR="00804BDE">
        <w:rPr>
          <w:rFonts w:ascii="Verdana" w:hAnsi="Verdana"/>
          <w:sz w:val="18"/>
          <w:szCs w:val="18"/>
        </w:rPr>
        <w:t xml:space="preserve">van mening dat </w:t>
      </w:r>
      <w:r w:rsidR="007C6FE8">
        <w:rPr>
          <w:rFonts w:ascii="Verdana" w:hAnsi="Verdana"/>
          <w:sz w:val="18"/>
          <w:szCs w:val="18"/>
        </w:rPr>
        <w:t>de positie van de industriecluster</w:t>
      </w:r>
      <w:r w:rsidR="00A77540">
        <w:rPr>
          <w:rFonts w:ascii="Verdana" w:hAnsi="Verdana"/>
          <w:sz w:val="18"/>
          <w:szCs w:val="18"/>
        </w:rPr>
        <w:t>s</w:t>
      </w:r>
      <w:r w:rsidR="007C6FE8">
        <w:rPr>
          <w:rFonts w:ascii="Verdana" w:hAnsi="Verdana"/>
          <w:sz w:val="18"/>
          <w:szCs w:val="18"/>
        </w:rPr>
        <w:t xml:space="preserve"> uitgelezen plekken zijn voor de verschillende transities, </w:t>
      </w:r>
      <w:r w:rsidR="00511C20">
        <w:rPr>
          <w:rFonts w:ascii="Verdana" w:hAnsi="Verdana"/>
          <w:sz w:val="18"/>
          <w:szCs w:val="18"/>
        </w:rPr>
        <w:t xml:space="preserve">de open </w:t>
      </w:r>
      <w:r w:rsidR="007C6FE8">
        <w:rPr>
          <w:rFonts w:ascii="Verdana" w:hAnsi="Verdana"/>
          <w:sz w:val="18"/>
          <w:szCs w:val="18"/>
        </w:rPr>
        <w:t>strategische autonomie</w:t>
      </w:r>
      <w:r w:rsidR="00511C20">
        <w:rPr>
          <w:rFonts w:ascii="Verdana" w:hAnsi="Verdana"/>
          <w:sz w:val="18"/>
          <w:szCs w:val="18"/>
        </w:rPr>
        <w:t xml:space="preserve"> van Nederland</w:t>
      </w:r>
      <w:r w:rsidR="007C6FE8">
        <w:rPr>
          <w:rFonts w:ascii="Verdana" w:hAnsi="Verdana"/>
          <w:sz w:val="18"/>
          <w:szCs w:val="18"/>
        </w:rPr>
        <w:t xml:space="preserve"> en concurrentiepositie</w:t>
      </w:r>
      <w:r w:rsidR="00D07369">
        <w:rPr>
          <w:rFonts w:ascii="Verdana" w:hAnsi="Verdana"/>
          <w:sz w:val="18"/>
          <w:szCs w:val="18"/>
        </w:rPr>
        <w:t>.</w:t>
      </w:r>
      <w:r w:rsidR="007C6FE8">
        <w:rPr>
          <w:rStyle w:val="FootnoteReference"/>
          <w:rFonts w:ascii="Verdana" w:hAnsi="Verdana"/>
          <w:sz w:val="18"/>
          <w:szCs w:val="18"/>
        </w:rPr>
        <w:footnoteReference w:id="21"/>
      </w:r>
      <w:r w:rsidR="007C6FE8">
        <w:rPr>
          <w:rFonts w:ascii="Verdana" w:hAnsi="Verdana"/>
          <w:sz w:val="18"/>
          <w:szCs w:val="18"/>
        </w:rPr>
        <w:t xml:space="preserve"> </w:t>
      </w:r>
      <w:r w:rsidRPr="2876F6D4" w:rsidR="00205CD7">
        <w:rPr>
          <w:rFonts w:ascii="Verdana" w:hAnsi="Verdana"/>
          <w:sz w:val="18"/>
          <w:szCs w:val="18"/>
        </w:rPr>
        <w:t>Het is daarbij van belang ook</w:t>
      </w:r>
      <w:r w:rsidRPr="2876F6D4" w:rsidR="00B3432D">
        <w:rPr>
          <w:rFonts w:ascii="Verdana" w:hAnsi="Verdana"/>
          <w:sz w:val="18"/>
          <w:szCs w:val="18"/>
        </w:rPr>
        <w:t xml:space="preserve"> grensoverschrijdende samenwerking binnen en tussen clusters te bevorderen</w:t>
      </w:r>
      <w:r w:rsidR="00D07369">
        <w:rPr>
          <w:rFonts w:ascii="Verdana" w:hAnsi="Verdana"/>
          <w:sz w:val="18"/>
          <w:szCs w:val="18"/>
        </w:rPr>
        <w:t>.</w:t>
      </w:r>
      <w:r w:rsidR="001C6E29">
        <w:rPr>
          <w:rStyle w:val="FootnoteReference"/>
          <w:rFonts w:ascii="Verdana" w:hAnsi="Verdana"/>
          <w:sz w:val="18"/>
          <w:szCs w:val="18"/>
        </w:rPr>
        <w:footnoteReference w:id="22"/>
      </w:r>
      <w:r w:rsidRPr="2876F6D4" w:rsidR="00C610DF">
        <w:rPr>
          <w:rFonts w:ascii="Verdana" w:hAnsi="Verdana"/>
          <w:sz w:val="18"/>
          <w:szCs w:val="18"/>
        </w:rPr>
        <w:t xml:space="preserve"> </w:t>
      </w:r>
    </w:p>
    <w:p w:rsidR="006375DE" w:rsidP="006457A0" w:rsidRDefault="006375DE" w14:paraId="7C8F96E4" w14:textId="77777777">
      <w:pPr>
        <w:spacing w:line="360" w:lineRule="auto"/>
        <w:ind w:left="360"/>
        <w:rPr>
          <w:rFonts w:ascii="Verdana" w:hAnsi="Verdana"/>
          <w:sz w:val="18"/>
          <w:szCs w:val="18"/>
        </w:rPr>
      </w:pPr>
    </w:p>
    <w:p w:rsidR="006375DE" w:rsidP="001C6E29" w:rsidRDefault="006375DE" w14:paraId="3540FBE4" w14:textId="133B6E81">
      <w:pPr>
        <w:spacing w:line="360" w:lineRule="auto"/>
        <w:rPr>
          <w:rFonts w:ascii="Verdana" w:hAnsi="Verdana"/>
          <w:sz w:val="18"/>
          <w:szCs w:val="18"/>
        </w:rPr>
      </w:pPr>
      <w:r>
        <w:rPr>
          <w:rFonts w:ascii="Verdana" w:hAnsi="Verdana"/>
          <w:sz w:val="18"/>
          <w:szCs w:val="18"/>
        </w:rPr>
        <w:t>Het kabinet ondersteun</w:t>
      </w:r>
      <w:r w:rsidR="006A27ED">
        <w:rPr>
          <w:rFonts w:ascii="Verdana" w:hAnsi="Verdana"/>
          <w:sz w:val="18"/>
          <w:szCs w:val="18"/>
        </w:rPr>
        <w:t>t</w:t>
      </w:r>
      <w:r>
        <w:rPr>
          <w:rFonts w:ascii="Verdana" w:hAnsi="Verdana"/>
          <w:sz w:val="18"/>
          <w:szCs w:val="18"/>
        </w:rPr>
        <w:t xml:space="preserve"> het streven van de Commissie om </w:t>
      </w:r>
      <w:r w:rsidR="00A41981">
        <w:rPr>
          <w:rFonts w:ascii="Verdana" w:hAnsi="Verdana"/>
          <w:sz w:val="18"/>
          <w:szCs w:val="18"/>
        </w:rPr>
        <w:t xml:space="preserve">het netwerk van </w:t>
      </w:r>
      <w:r>
        <w:rPr>
          <w:rFonts w:ascii="Verdana" w:hAnsi="Verdana"/>
          <w:sz w:val="18"/>
          <w:szCs w:val="18"/>
        </w:rPr>
        <w:t>vrijhandelsverdragen uit te breiden</w:t>
      </w:r>
      <w:r w:rsidR="009B7E8C">
        <w:rPr>
          <w:rFonts w:ascii="Verdana" w:hAnsi="Verdana"/>
          <w:sz w:val="18"/>
          <w:szCs w:val="18"/>
        </w:rPr>
        <w:t xml:space="preserve">, </w:t>
      </w:r>
      <w:r>
        <w:rPr>
          <w:rFonts w:ascii="Verdana" w:hAnsi="Verdana"/>
          <w:sz w:val="18"/>
          <w:szCs w:val="18"/>
        </w:rPr>
        <w:t>handelsbarrières, o.a. specifiek voor de chemie, zo goed mogelijk te mitigeren</w:t>
      </w:r>
      <w:r w:rsidR="00274813">
        <w:rPr>
          <w:rFonts w:ascii="Verdana" w:hAnsi="Verdana"/>
          <w:sz w:val="18"/>
          <w:szCs w:val="18"/>
        </w:rPr>
        <w:t xml:space="preserve"> </w:t>
      </w:r>
      <w:r w:rsidRPr="00274813" w:rsidR="00274813">
        <w:rPr>
          <w:rFonts w:ascii="Verdana" w:hAnsi="Verdana"/>
          <w:sz w:val="18"/>
          <w:szCs w:val="18"/>
        </w:rPr>
        <w:t>en bestaande akkoorden te evalueren om handel in chemicaliën te verbeteren. Daarbij onderstreept het kabinet ook het belang van effectieve implementatie van deze handelsakkoorden</w:t>
      </w:r>
      <w:r>
        <w:rPr>
          <w:rFonts w:ascii="Verdana" w:hAnsi="Verdana"/>
          <w:sz w:val="18"/>
          <w:szCs w:val="18"/>
        </w:rPr>
        <w:t xml:space="preserve">. </w:t>
      </w:r>
      <w:r w:rsidR="007D3BA8">
        <w:rPr>
          <w:rFonts w:ascii="Verdana" w:hAnsi="Verdana"/>
          <w:sz w:val="18"/>
          <w:szCs w:val="18"/>
        </w:rPr>
        <w:t>Ook is het staand beleid dat</w:t>
      </w:r>
      <w:r w:rsidRPr="006A1806" w:rsidR="006A1CDF">
        <w:rPr>
          <w:rFonts w:ascii="Verdana" w:hAnsi="Verdana"/>
          <w:sz w:val="18"/>
          <w:szCs w:val="18"/>
        </w:rPr>
        <w:t xml:space="preserve"> toeleveringsketens voor </w:t>
      </w:r>
      <w:r w:rsidR="006A1CDF">
        <w:rPr>
          <w:rFonts w:ascii="Verdana" w:hAnsi="Verdana"/>
          <w:sz w:val="18"/>
          <w:szCs w:val="18"/>
        </w:rPr>
        <w:t>kritieke</w:t>
      </w:r>
      <w:r w:rsidRPr="006A1806" w:rsidR="006A1CDF">
        <w:rPr>
          <w:rFonts w:ascii="Verdana" w:hAnsi="Verdana"/>
          <w:sz w:val="18"/>
          <w:szCs w:val="18"/>
        </w:rPr>
        <w:t xml:space="preserve"> grondstoffen </w:t>
      </w:r>
      <w:r w:rsidR="007D3BA8">
        <w:rPr>
          <w:rFonts w:ascii="Verdana" w:hAnsi="Verdana"/>
          <w:sz w:val="18"/>
          <w:szCs w:val="18"/>
        </w:rPr>
        <w:t>moeten worden versterkt en gediversifieerd</w:t>
      </w:r>
      <w:r w:rsidRPr="00592CE6" w:rsidR="00592CE6">
        <w:rPr>
          <w:rFonts w:ascii="Verdana" w:hAnsi="Verdana"/>
          <w:sz w:val="18"/>
          <w:szCs w:val="18"/>
        </w:rPr>
        <w:t>, met voldoende aandacht voor mens en</w:t>
      </w:r>
      <w:r w:rsidR="00592CE6">
        <w:rPr>
          <w:rFonts w:ascii="Verdana" w:hAnsi="Verdana"/>
          <w:sz w:val="18"/>
          <w:szCs w:val="18"/>
        </w:rPr>
        <w:t xml:space="preserve"> milieu</w:t>
      </w:r>
      <w:r w:rsidR="007D3BA8">
        <w:rPr>
          <w:rFonts w:ascii="Verdana" w:hAnsi="Verdana"/>
          <w:sz w:val="18"/>
          <w:szCs w:val="18"/>
        </w:rPr>
        <w:t>.</w:t>
      </w:r>
      <w:r w:rsidR="007D3BA8">
        <w:rPr>
          <w:rStyle w:val="FootnoteReference"/>
          <w:rFonts w:ascii="Verdana" w:hAnsi="Verdana"/>
          <w:sz w:val="18"/>
          <w:szCs w:val="18"/>
        </w:rPr>
        <w:footnoteReference w:id="23"/>
      </w:r>
      <w:r w:rsidR="007D3BA8">
        <w:rPr>
          <w:rFonts w:ascii="Verdana" w:hAnsi="Verdana"/>
          <w:sz w:val="18"/>
          <w:szCs w:val="18"/>
        </w:rPr>
        <w:t xml:space="preserve"> </w:t>
      </w:r>
      <w:r>
        <w:rPr>
          <w:rFonts w:ascii="Verdana" w:hAnsi="Verdana"/>
          <w:sz w:val="18"/>
          <w:szCs w:val="18"/>
        </w:rPr>
        <w:t>Nederland is een handelsland bij uitstek en de chemiesector is een grote exporteur.</w:t>
      </w:r>
      <w:r>
        <w:rPr>
          <w:rStyle w:val="FootnoteReference"/>
          <w:rFonts w:ascii="Verdana" w:hAnsi="Verdana"/>
          <w:sz w:val="18"/>
          <w:szCs w:val="18"/>
        </w:rPr>
        <w:footnoteReference w:id="24"/>
      </w:r>
      <w:r>
        <w:rPr>
          <w:rFonts w:ascii="Verdana" w:hAnsi="Verdana"/>
          <w:sz w:val="18"/>
          <w:szCs w:val="18"/>
        </w:rPr>
        <w:t xml:space="preserve"> Het kabinet ondersteun</w:t>
      </w:r>
      <w:r w:rsidR="00A1696B">
        <w:rPr>
          <w:rFonts w:ascii="Verdana" w:hAnsi="Verdana"/>
          <w:sz w:val="18"/>
          <w:szCs w:val="18"/>
        </w:rPr>
        <w:t xml:space="preserve">t </w:t>
      </w:r>
      <w:r>
        <w:rPr>
          <w:rFonts w:ascii="Verdana" w:hAnsi="Verdana"/>
          <w:sz w:val="18"/>
          <w:szCs w:val="18"/>
        </w:rPr>
        <w:t xml:space="preserve">het streven van de Commissie om ingrijpen bij ongeoorloofde handelspraktijken te versnellen. Daarnaast ziet het met interesse de ideeën </w:t>
      </w:r>
      <w:r w:rsidR="00DB2383">
        <w:rPr>
          <w:rFonts w:ascii="Verdana" w:hAnsi="Verdana"/>
          <w:sz w:val="18"/>
          <w:szCs w:val="18"/>
        </w:rPr>
        <w:t xml:space="preserve">van de Commissie </w:t>
      </w:r>
      <w:r>
        <w:rPr>
          <w:rFonts w:ascii="Verdana" w:hAnsi="Verdana"/>
          <w:sz w:val="18"/>
          <w:szCs w:val="18"/>
        </w:rPr>
        <w:t xml:space="preserve">tegemoet </w:t>
      </w:r>
      <w:r w:rsidR="00895A0B">
        <w:rPr>
          <w:rFonts w:ascii="Verdana" w:hAnsi="Verdana"/>
          <w:sz w:val="18"/>
          <w:szCs w:val="18"/>
        </w:rPr>
        <w:t>die</w:t>
      </w:r>
      <w:r>
        <w:rPr>
          <w:rFonts w:ascii="Verdana" w:hAnsi="Verdana"/>
          <w:sz w:val="18"/>
          <w:szCs w:val="18"/>
        </w:rPr>
        <w:t xml:space="preserve"> de </w:t>
      </w:r>
      <w:proofErr w:type="spellStart"/>
      <w:r>
        <w:rPr>
          <w:rFonts w:ascii="Verdana" w:hAnsi="Verdana"/>
          <w:sz w:val="18"/>
          <w:szCs w:val="18"/>
        </w:rPr>
        <w:t>handelsdefensieve</w:t>
      </w:r>
      <w:proofErr w:type="spellEnd"/>
      <w:r>
        <w:rPr>
          <w:rFonts w:ascii="Verdana" w:hAnsi="Verdana"/>
          <w:sz w:val="18"/>
          <w:szCs w:val="18"/>
        </w:rPr>
        <w:t xml:space="preserve"> </w:t>
      </w:r>
      <w:proofErr w:type="spellStart"/>
      <w:r>
        <w:rPr>
          <w:rFonts w:ascii="Verdana" w:hAnsi="Verdana"/>
          <w:i/>
          <w:iCs/>
          <w:sz w:val="18"/>
          <w:szCs w:val="18"/>
        </w:rPr>
        <w:t>toolbox</w:t>
      </w:r>
      <w:proofErr w:type="spellEnd"/>
      <w:r w:rsidR="00895A0B">
        <w:rPr>
          <w:rFonts w:ascii="Verdana" w:hAnsi="Verdana"/>
          <w:sz w:val="18"/>
          <w:szCs w:val="18"/>
        </w:rPr>
        <w:t xml:space="preserve"> moeten versterken</w:t>
      </w:r>
      <w:r>
        <w:rPr>
          <w:rFonts w:ascii="Verdana" w:hAnsi="Verdana"/>
          <w:sz w:val="18"/>
          <w:szCs w:val="18"/>
        </w:rPr>
        <w:t xml:space="preserve"> </w:t>
      </w:r>
      <w:r w:rsidRPr="006375DE">
        <w:rPr>
          <w:rFonts w:ascii="Verdana" w:hAnsi="Verdana"/>
          <w:sz w:val="18"/>
          <w:szCs w:val="18"/>
        </w:rPr>
        <w:t>om sneller en effectiever te reageren op oneerlijke prijspraktijken in de chemische sector</w:t>
      </w:r>
      <w:r>
        <w:rPr>
          <w:rFonts w:ascii="Verdana" w:hAnsi="Verdana"/>
          <w:sz w:val="18"/>
          <w:szCs w:val="18"/>
        </w:rPr>
        <w:t>.</w:t>
      </w:r>
    </w:p>
    <w:p w:rsidR="007919D1" w:rsidP="006457A0" w:rsidRDefault="007919D1" w14:paraId="31C3D07B" w14:textId="77777777">
      <w:pPr>
        <w:spacing w:line="360" w:lineRule="auto"/>
        <w:ind w:left="360"/>
        <w:rPr>
          <w:rFonts w:ascii="Verdana" w:hAnsi="Verdana"/>
          <w:sz w:val="18"/>
          <w:szCs w:val="18"/>
        </w:rPr>
      </w:pPr>
    </w:p>
    <w:p w:rsidR="007919D1" w:rsidP="001C6E29" w:rsidRDefault="007D542E" w14:paraId="6E4E34E9" w14:textId="550F1861">
      <w:pPr>
        <w:spacing w:line="360" w:lineRule="auto"/>
        <w:rPr>
          <w:rFonts w:ascii="Verdana" w:hAnsi="Verdana"/>
          <w:sz w:val="18"/>
          <w:szCs w:val="18"/>
        </w:rPr>
      </w:pPr>
      <w:bookmarkStart w:name="OLE_LINK9" w:id="8"/>
      <w:r>
        <w:rPr>
          <w:rFonts w:ascii="Verdana" w:hAnsi="Verdana"/>
          <w:sz w:val="18"/>
          <w:szCs w:val="18"/>
        </w:rPr>
        <w:t xml:space="preserve">Het kabinet erkent, zoals de Commissie </w:t>
      </w:r>
      <w:r w:rsidR="00CA6CBB">
        <w:rPr>
          <w:rFonts w:ascii="Verdana" w:hAnsi="Verdana"/>
          <w:sz w:val="18"/>
          <w:szCs w:val="18"/>
        </w:rPr>
        <w:t>in het tweede spoor</w:t>
      </w:r>
      <w:r>
        <w:rPr>
          <w:rFonts w:ascii="Verdana" w:hAnsi="Verdana"/>
          <w:sz w:val="18"/>
          <w:szCs w:val="18"/>
        </w:rPr>
        <w:t xml:space="preserve"> schetst, de problematiek die de chemiesector ondervindt als gevolg van de relatief hoge energieprijzen.</w:t>
      </w:r>
      <w:r w:rsidR="00740857">
        <w:rPr>
          <w:rFonts w:ascii="Verdana" w:hAnsi="Verdana"/>
          <w:sz w:val="18"/>
          <w:szCs w:val="18"/>
        </w:rPr>
        <w:t xml:space="preserve"> </w:t>
      </w:r>
      <w:bookmarkEnd w:id="8"/>
      <w:r w:rsidR="00351082">
        <w:rPr>
          <w:rFonts w:ascii="Verdana" w:hAnsi="Verdana"/>
          <w:sz w:val="18"/>
          <w:szCs w:val="18"/>
        </w:rPr>
        <w:t xml:space="preserve">Evenals </w:t>
      </w:r>
      <w:r w:rsidR="00740857">
        <w:rPr>
          <w:rFonts w:ascii="Verdana" w:hAnsi="Verdana"/>
          <w:sz w:val="18"/>
          <w:szCs w:val="18"/>
        </w:rPr>
        <w:t>de</w:t>
      </w:r>
      <w:r w:rsidR="007B7BB4">
        <w:rPr>
          <w:rFonts w:ascii="Verdana" w:hAnsi="Verdana"/>
          <w:sz w:val="18"/>
          <w:szCs w:val="18"/>
        </w:rPr>
        <w:t xml:space="preserve"> ontstane</w:t>
      </w:r>
      <w:r w:rsidR="00740857">
        <w:rPr>
          <w:rFonts w:ascii="Verdana" w:hAnsi="Verdana"/>
          <w:sz w:val="18"/>
          <w:szCs w:val="18"/>
        </w:rPr>
        <w:t xml:space="preserve"> discrepantie </w:t>
      </w:r>
      <w:r w:rsidR="00724CC7">
        <w:rPr>
          <w:rFonts w:ascii="Verdana" w:hAnsi="Verdana"/>
          <w:sz w:val="18"/>
          <w:szCs w:val="18"/>
        </w:rPr>
        <w:t xml:space="preserve">in de afgelopen jaren </w:t>
      </w:r>
      <w:r w:rsidR="00740857">
        <w:rPr>
          <w:rFonts w:ascii="Verdana" w:hAnsi="Verdana"/>
          <w:sz w:val="18"/>
          <w:szCs w:val="18"/>
        </w:rPr>
        <w:t>tussen het risico op koolstoflekkage en de inclusie van bepaalde sectoren binnen de scope van de IKC</w:t>
      </w:r>
      <w:r w:rsidR="00351082">
        <w:rPr>
          <w:rFonts w:ascii="Verdana" w:hAnsi="Verdana"/>
          <w:sz w:val="18"/>
          <w:szCs w:val="18"/>
        </w:rPr>
        <w:t>,</w:t>
      </w:r>
      <w:r w:rsidR="00F371BA">
        <w:rPr>
          <w:rFonts w:ascii="Verdana" w:hAnsi="Verdana"/>
          <w:sz w:val="18"/>
          <w:szCs w:val="18"/>
        </w:rPr>
        <w:t xml:space="preserve"> voortkomend uit de </w:t>
      </w:r>
      <w:r w:rsidR="00DD7B68">
        <w:rPr>
          <w:rFonts w:ascii="Verdana" w:hAnsi="Verdana"/>
          <w:sz w:val="18"/>
          <w:szCs w:val="18"/>
        </w:rPr>
        <w:t>aanhoudende achteruitgang van</w:t>
      </w:r>
      <w:r w:rsidR="00C60F68">
        <w:rPr>
          <w:rFonts w:ascii="Verdana" w:hAnsi="Verdana"/>
          <w:sz w:val="18"/>
          <w:szCs w:val="18"/>
        </w:rPr>
        <w:t xml:space="preserve"> </w:t>
      </w:r>
      <w:r w:rsidR="00DD7B68">
        <w:rPr>
          <w:rFonts w:ascii="Verdana" w:hAnsi="Verdana"/>
          <w:sz w:val="18"/>
          <w:szCs w:val="18"/>
        </w:rPr>
        <w:t>de</w:t>
      </w:r>
      <w:r w:rsidR="00C50C43">
        <w:rPr>
          <w:rFonts w:ascii="Verdana" w:hAnsi="Verdana"/>
          <w:sz w:val="18"/>
          <w:szCs w:val="18"/>
        </w:rPr>
        <w:t xml:space="preserve"> concurrentiepositie van de chemische industrie</w:t>
      </w:r>
      <w:r w:rsidR="00740857">
        <w:rPr>
          <w:rFonts w:ascii="Verdana" w:hAnsi="Verdana"/>
          <w:sz w:val="18"/>
          <w:szCs w:val="18"/>
        </w:rPr>
        <w:t>.</w:t>
      </w:r>
      <w:r w:rsidR="00A538F8">
        <w:rPr>
          <w:rFonts w:ascii="Verdana" w:hAnsi="Verdana"/>
          <w:sz w:val="18"/>
          <w:szCs w:val="18"/>
        </w:rPr>
        <w:t xml:space="preserve"> </w:t>
      </w:r>
      <w:r w:rsidR="000E4712">
        <w:rPr>
          <w:rFonts w:ascii="Verdana" w:hAnsi="Verdana"/>
          <w:sz w:val="18"/>
          <w:szCs w:val="18"/>
        </w:rPr>
        <w:t xml:space="preserve">Het </w:t>
      </w:r>
      <w:r w:rsidR="00D03273">
        <w:rPr>
          <w:rFonts w:ascii="Verdana" w:hAnsi="Verdana"/>
          <w:sz w:val="18"/>
          <w:szCs w:val="18"/>
        </w:rPr>
        <w:t xml:space="preserve">kabinet acht het van belang dat staatssteunrichtsnoeren </w:t>
      </w:r>
      <w:r w:rsidRPr="006C1F93" w:rsidR="00D03273">
        <w:rPr>
          <w:rFonts w:ascii="Verdana" w:hAnsi="Verdana"/>
          <w:i/>
          <w:iCs/>
          <w:sz w:val="18"/>
          <w:szCs w:val="18"/>
        </w:rPr>
        <w:t xml:space="preserve">fit </w:t>
      </w:r>
      <w:proofErr w:type="spellStart"/>
      <w:r w:rsidRPr="006C1F93" w:rsidR="00D03273">
        <w:rPr>
          <w:rFonts w:ascii="Verdana" w:hAnsi="Verdana"/>
          <w:i/>
          <w:iCs/>
          <w:sz w:val="18"/>
          <w:szCs w:val="18"/>
        </w:rPr>
        <w:t>for</w:t>
      </w:r>
      <w:proofErr w:type="spellEnd"/>
      <w:r w:rsidRPr="006C1F93" w:rsidR="00D03273">
        <w:rPr>
          <w:rFonts w:ascii="Verdana" w:hAnsi="Verdana"/>
          <w:i/>
          <w:iCs/>
          <w:sz w:val="18"/>
          <w:szCs w:val="18"/>
        </w:rPr>
        <w:t xml:space="preserve"> </w:t>
      </w:r>
      <w:proofErr w:type="spellStart"/>
      <w:r w:rsidRPr="006C1F93" w:rsidR="00D03273">
        <w:rPr>
          <w:rFonts w:ascii="Verdana" w:hAnsi="Verdana"/>
          <w:i/>
          <w:iCs/>
          <w:sz w:val="18"/>
          <w:szCs w:val="18"/>
        </w:rPr>
        <w:t>purpose</w:t>
      </w:r>
      <w:proofErr w:type="spellEnd"/>
      <w:r w:rsidR="00D03273">
        <w:rPr>
          <w:rFonts w:ascii="Verdana" w:hAnsi="Verdana"/>
          <w:sz w:val="18"/>
          <w:szCs w:val="18"/>
        </w:rPr>
        <w:t xml:space="preserve"> zijn. </w:t>
      </w:r>
      <w:r w:rsidR="00740857">
        <w:rPr>
          <w:rFonts w:ascii="Verdana" w:hAnsi="Verdana"/>
          <w:sz w:val="18"/>
          <w:szCs w:val="18"/>
        </w:rPr>
        <w:t>Het kabinet ondersteun</w:t>
      </w:r>
      <w:r w:rsidR="00FD6C26">
        <w:rPr>
          <w:rFonts w:ascii="Verdana" w:hAnsi="Verdana"/>
          <w:sz w:val="18"/>
          <w:szCs w:val="18"/>
        </w:rPr>
        <w:t>t</w:t>
      </w:r>
      <w:r w:rsidR="00740857">
        <w:rPr>
          <w:rFonts w:ascii="Verdana" w:hAnsi="Verdana"/>
          <w:sz w:val="18"/>
          <w:szCs w:val="18"/>
        </w:rPr>
        <w:t xml:space="preserve"> daarom het </w:t>
      </w:r>
      <w:r w:rsidR="007A72A1">
        <w:rPr>
          <w:rFonts w:ascii="Verdana" w:hAnsi="Verdana"/>
          <w:sz w:val="18"/>
          <w:szCs w:val="18"/>
        </w:rPr>
        <w:t xml:space="preserve">actualiseren van </w:t>
      </w:r>
      <w:r w:rsidR="00040554">
        <w:rPr>
          <w:rFonts w:ascii="Verdana" w:hAnsi="Verdana"/>
          <w:sz w:val="18"/>
          <w:szCs w:val="18"/>
        </w:rPr>
        <w:lastRenderedPageBreak/>
        <w:t>de richtsnoeren in het kader van het ETS</w:t>
      </w:r>
      <w:r w:rsidR="00564B31">
        <w:rPr>
          <w:rFonts w:ascii="Verdana" w:hAnsi="Verdana"/>
          <w:sz w:val="18"/>
          <w:szCs w:val="18"/>
        </w:rPr>
        <w:t>, waarbij eventuele gerichte aanpassingen goed moeten worden onderbouwd met inachtneming van het gelijk speelveld op de interne markt</w:t>
      </w:r>
      <w:r w:rsidR="00040554">
        <w:rPr>
          <w:rFonts w:ascii="Verdana" w:hAnsi="Verdana"/>
          <w:sz w:val="18"/>
          <w:szCs w:val="18"/>
        </w:rPr>
        <w:t>.</w:t>
      </w:r>
      <w:r w:rsidR="00740857">
        <w:rPr>
          <w:rFonts w:ascii="Verdana" w:hAnsi="Verdana"/>
          <w:sz w:val="18"/>
          <w:szCs w:val="18"/>
        </w:rPr>
        <w:t xml:space="preserve"> </w:t>
      </w:r>
    </w:p>
    <w:p w:rsidR="00740857" w:rsidP="006457A0" w:rsidRDefault="00740857" w14:paraId="3B2C6FCD" w14:textId="77777777">
      <w:pPr>
        <w:spacing w:line="360" w:lineRule="auto"/>
        <w:ind w:left="360"/>
        <w:rPr>
          <w:rFonts w:ascii="Verdana" w:hAnsi="Verdana"/>
          <w:sz w:val="18"/>
          <w:szCs w:val="18"/>
        </w:rPr>
      </w:pPr>
    </w:p>
    <w:p w:rsidR="00740857" w:rsidP="001C6E29" w:rsidRDefault="00740857" w14:paraId="060A6444" w14:textId="53759049">
      <w:pPr>
        <w:spacing w:line="360" w:lineRule="auto"/>
        <w:rPr>
          <w:rFonts w:ascii="Verdana" w:hAnsi="Verdana"/>
          <w:sz w:val="18"/>
          <w:szCs w:val="18"/>
        </w:rPr>
      </w:pPr>
      <w:r>
        <w:rPr>
          <w:rFonts w:ascii="Verdana" w:hAnsi="Verdana"/>
          <w:sz w:val="18"/>
          <w:szCs w:val="18"/>
        </w:rPr>
        <w:t xml:space="preserve">Het kabinet steunt het streven van de Commissie om vergunningverlening te versnellen en kijkt uit naar de voorstellen die hiervoor zullen worden gedaan onder de aangekondigde </w:t>
      </w:r>
      <w:r w:rsidRPr="657D265B">
        <w:rPr>
          <w:rFonts w:ascii="Verdana" w:hAnsi="Verdana"/>
          <w:i/>
          <w:iCs/>
          <w:sz w:val="18"/>
          <w:szCs w:val="18"/>
        </w:rPr>
        <w:t xml:space="preserve">Industrial </w:t>
      </w:r>
      <w:proofErr w:type="spellStart"/>
      <w:r w:rsidRPr="657D265B">
        <w:rPr>
          <w:rFonts w:ascii="Verdana" w:hAnsi="Verdana"/>
          <w:i/>
          <w:iCs/>
          <w:sz w:val="18"/>
          <w:szCs w:val="18"/>
        </w:rPr>
        <w:t>Decarbonisation</w:t>
      </w:r>
      <w:proofErr w:type="spellEnd"/>
      <w:r w:rsidRPr="657D265B">
        <w:rPr>
          <w:rFonts w:ascii="Verdana" w:hAnsi="Verdana"/>
          <w:i/>
          <w:iCs/>
          <w:sz w:val="18"/>
          <w:szCs w:val="18"/>
        </w:rPr>
        <w:t xml:space="preserve"> Accelerator Act</w:t>
      </w:r>
      <w:r w:rsidR="00D41066">
        <w:rPr>
          <w:rFonts w:ascii="Verdana" w:hAnsi="Verdana"/>
          <w:sz w:val="18"/>
          <w:szCs w:val="18"/>
        </w:rPr>
        <w:t>.</w:t>
      </w:r>
      <w:r w:rsidRPr="00F33D2C" w:rsidR="00F33D2C">
        <w:t xml:space="preserve"> </w:t>
      </w:r>
      <w:r w:rsidR="00A45AA3">
        <w:rPr>
          <w:rFonts w:ascii="Verdana" w:hAnsi="Verdana"/>
          <w:sz w:val="18"/>
          <w:szCs w:val="18"/>
        </w:rPr>
        <w:t>Mogelijke e</w:t>
      </w:r>
      <w:r w:rsidR="002717D4">
        <w:rPr>
          <w:rFonts w:ascii="Verdana" w:hAnsi="Verdana"/>
          <w:sz w:val="18"/>
          <w:szCs w:val="18"/>
        </w:rPr>
        <w:t>ffecten</w:t>
      </w:r>
      <w:r w:rsidRPr="00F33D2C" w:rsidR="00F33D2C">
        <w:rPr>
          <w:rFonts w:ascii="Verdana" w:hAnsi="Verdana"/>
          <w:sz w:val="18"/>
          <w:szCs w:val="18"/>
        </w:rPr>
        <w:t xml:space="preserve"> </w:t>
      </w:r>
      <w:r w:rsidR="0002258C">
        <w:rPr>
          <w:rFonts w:ascii="Verdana" w:hAnsi="Verdana"/>
          <w:sz w:val="18"/>
          <w:szCs w:val="18"/>
        </w:rPr>
        <w:t xml:space="preserve">op het </w:t>
      </w:r>
      <w:r w:rsidRPr="00F33D2C" w:rsidR="00F33D2C">
        <w:rPr>
          <w:rFonts w:ascii="Verdana" w:hAnsi="Verdana"/>
          <w:sz w:val="18"/>
          <w:szCs w:val="18"/>
        </w:rPr>
        <w:t>behoud van milieuwaarborgen en bescherming van de menselijke gezondheid moet</w:t>
      </w:r>
      <w:r w:rsidR="002717D4">
        <w:rPr>
          <w:rFonts w:ascii="Verdana" w:hAnsi="Verdana"/>
          <w:sz w:val="18"/>
          <w:szCs w:val="18"/>
        </w:rPr>
        <w:t xml:space="preserve"> n</w:t>
      </w:r>
      <w:r w:rsidRPr="00F33D2C" w:rsidR="00F33D2C">
        <w:rPr>
          <w:rFonts w:ascii="Verdana" w:hAnsi="Verdana"/>
          <w:sz w:val="18"/>
          <w:szCs w:val="18"/>
        </w:rPr>
        <w:t xml:space="preserve">adrukkelijk </w:t>
      </w:r>
      <w:r w:rsidRPr="00F33D2C" w:rsidR="002717D4">
        <w:rPr>
          <w:rFonts w:ascii="Verdana" w:hAnsi="Verdana"/>
          <w:sz w:val="18"/>
          <w:szCs w:val="18"/>
        </w:rPr>
        <w:t xml:space="preserve">worden </w:t>
      </w:r>
      <w:r w:rsidRPr="00F33D2C" w:rsidR="00F33D2C">
        <w:rPr>
          <w:rFonts w:ascii="Verdana" w:hAnsi="Verdana"/>
          <w:sz w:val="18"/>
          <w:szCs w:val="18"/>
        </w:rPr>
        <w:t>meegenomen in de uitwerking</w:t>
      </w:r>
      <w:r w:rsidR="002717D4">
        <w:rPr>
          <w:rFonts w:ascii="Verdana" w:hAnsi="Verdana"/>
          <w:sz w:val="18"/>
          <w:szCs w:val="18"/>
        </w:rPr>
        <w:t xml:space="preserve"> hiervan.</w:t>
      </w:r>
      <w:r w:rsidR="00D41066">
        <w:rPr>
          <w:rFonts w:ascii="Verdana" w:hAnsi="Verdana"/>
          <w:sz w:val="18"/>
          <w:szCs w:val="18"/>
        </w:rPr>
        <w:t xml:space="preserve"> Het kabinet ziet hier graag</w:t>
      </w:r>
      <w:r w:rsidR="00412731">
        <w:rPr>
          <w:rFonts w:ascii="Verdana" w:hAnsi="Verdana"/>
          <w:sz w:val="18"/>
          <w:szCs w:val="18"/>
        </w:rPr>
        <w:t xml:space="preserve"> voorstellen voor</w:t>
      </w:r>
      <w:r w:rsidR="00D41066">
        <w:rPr>
          <w:rFonts w:ascii="Verdana" w:hAnsi="Verdana"/>
          <w:sz w:val="18"/>
          <w:szCs w:val="18"/>
        </w:rPr>
        <w:t xml:space="preserve"> onder andere </w:t>
      </w:r>
      <w:r w:rsidR="009B459C">
        <w:rPr>
          <w:rFonts w:ascii="Verdana" w:hAnsi="Verdana"/>
          <w:sz w:val="18"/>
          <w:szCs w:val="18"/>
        </w:rPr>
        <w:t xml:space="preserve">geclusterde </w:t>
      </w:r>
      <w:r w:rsidR="00E46163">
        <w:rPr>
          <w:rFonts w:ascii="Verdana" w:hAnsi="Verdana"/>
          <w:sz w:val="18"/>
          <w:szCs w:val="18"/>
        </w:rPr>
        <w:t>co</w:t>
      </w:r>
      <w:r w:rsidRPr="657D265B" w:rsidR="00E46163">
        <w:rPr>
          <w:rFonts w:ascii="Verdana" w:hAnsi="Verdana"/>
          <w:sz w:val="18"/>
          <w:szCs w:val="18"/>
        </w:rPr>
        <w:t>ördinatie van vergunning</w:t>
      </w:r>
      <w:r w:rsidR="00C002C1">
        <w:rPr>
          <w:rFonts w:ascii="Verdana" w:hAnsi="Verdana"/>
          <w:sz w:val="18"/>
          <w:szCs w:val="18"/>
        </w:rPr>
        <w:t>verlening</w:t>
      </w:r>
      <w:r w:rsidRPr="657D265B" w:rsidR="00E46163">
        <w:rPr>
          <w:rFonts w:ascii="Verdana" w:hAnsi="Verdana"/>
          <w:sz w:val="18"/>
          <w:szCs w:val="18"/>
        </w:rPr>
        <w:t xml:space="preserve"> </w:t>
      </w:r>
      <w:r w:rsidR="00F93B6A">
        <w:rPr>
          <w:rFonts w:ascii="Verdana" w:hAnsi="Verdana"/>
          <w:sz w:val="18"/>
          <w:szCs w:val="18"/>
        </w:rPr>
        <w:t>per</w:t>
      </w:r>
      <w:r w:rsidR="00E3414D">
        <w:rPr>
          <w:rFonts w:ascii="Verdana" w:hAnsi="Verdana"/>
          <w:sz w:val="18"/>
          <w:szCs w:val="18"/>
        </w:rPr>
        <w:t xml:space="preserve"> </w:t>
      </w:r>
      <w:r w:rsidRPr="657D265B" w:rsidR="00A64592">
        <w:rPr>
          <w:rFonts w:ascii="Verdana" w:hAnsi="Verdana"/>
          <w:sz w:val="18"/>
          <w:szCs w:val="18"/>
        </w:rPr>
        <w:t>strategisch project</w:t>
      </w:r>
      <w:r w:rsidRPr="657D265B" w:rsidR="00C15D3A">
        <w:rPr>
          <w:rFonts w:ascii="Verdana" w:hAnsi="Verdana"/>
          <w:sz w:val="18"/>
          <w:szCs w:val="18"/>
        </w:rPr>
        <w:t xml:space="preserve"> </w:t>
      </w:r>
      <w:r w:rsidRPr="657D265B" w:rsidR="00D41066">
        <w:rPr>
          <w:rFonts w:ascii="Verdana" w:hAnsi="Verdana"/>
          <w:sz w:val="18"/>
          <w:szCs w:val="18"/>
        </w:rPr>
        <w:t>en</w:t>
      </w:r>
      <w:r w:rsidRPr="657D265B" w:rsidR="00C15D3A">
        <w:rPr>
          <w:rFonts w:ascii="Verdana" w:hAnsi="Verdana"/>
          <w:sz w:val="18"/>
          <w:szCs w:val="18"/>
        </w:rPr>
        <w:t xml:space="preserve"> </w:t>
      </w:r>
      <w:r w:rsidRPr="657D265B" w:rsidR="00E022B8">
        <w:rPr>
          <w:rFonts w:ascii="Verdana" w:hAnsi="Verdana"/>
          <w:sz w:val="18"/>
          <w:szCs w:val="18"/>
        </w:rPr>
        <w:t>duidelijke afba</w:t>
      </w:r>
      <w:r w:rsidRPr="657D265B" w:rsidR="000D5D84">
        <w:rPr>
          <w:rFonts w:ascii="Verdana" w:hAnsi="Verdana"/>
          <w:sz w:val="18"/>
          <w:szCs w:val="18"/>
        </w:rPr>
        <w:t xml:space="preserve">kening van </w:t>
      </w:r>
      <w:r w:rsidRPr="657D265B" w:rsidR="002C4C0F">
        <w:rPr>
          <w:rFonts w:ascii="Verdana" w:hAnsi="Verdana"/>
          <w:sz w:val="18"/>
          <w:szCs w:val="18"/>
        </w:rPr>
        <w:t xml:space="preserve">energie-intensieve </w:t>
      </w:r>
      <w:r w:rsidRPr="657D265B" w:rsidR="004451FF">
        <w:rPr>
          <w:rFonts w:ascii="Verdana" w:hAnsi="Verdana"/>
          <w:sz w:val="18"/>
          <w:szCs w:val="18"/>
        </w:rPr>
        <w:t>in</w:t>
      </w:r>
      <w:r w:rsidRPr="657D265B" w:rsidR="003A27E7">
        <w:rPr>
          <w:rFonts w:ascii="Verdana" w:hAnsi="Verdana"/>
          <w:sz w:val="18"/>
          <w:szCs w:val="18"/>
        </w:rPr>
        <w:t>dustri</w:t>
      </w:r>
      <w:r w:rsidRPr="657D265B" w:rsidR="003D1C2F">
        <w:rPr>
          <w:rFonts w:ascii="Verdana" w:hAnsi="Verdana"/>
          <w:sz w:val="18"/>
          <w:szCs w:val="18"/>
        </w:rPr>
        <w:t xml:space="preserve">elocaties ten behoeve van </w:t>
      </w:r>
      <w:r w:rsidRPr="657D265B" w:rsidR="00D41066">
        <w:rPr>
          <w:rFonts w:ascii="Verdana" w:hAnsi="Verdana"/>
          <w:sz w:val="18"/>
          <w:szCs w:val="18"/>
        </w:rPr>
        <w:t>vergunningverlening in terug</w:t>
      </w:r>
      <w:r>
        <w:rPr>
          <w:rFonts w:ascii="Verdana" w:hAnsi="Verdana"/>
          <w:sz w:val="18"/>
          <w:szCs w:val="18"/>
        </w:rPr>
        <w:t>.</w:t>
      </w:r>
      <w:r w:rsidR="00E95682">
        <w:rPr>
          <w:rStyle w:val="FootnoteReference"/>
          <w:rFonts w:ascii="Verdana" w:hAnsi="Verdana"/>
          <w:sz w:val="18"/>
          <w:szCs w:val="18"/>
        </w:rPr>
        <w:footnoteReference w:id="25"/>
      </w:r>
      <w:r>
        <w:rPr>
          <w:rFonts w:ascii="Verdana" w:hAnsi="Verdana"/>
          <w:sz w:val="18"/>
          <w:szCs w:val="18"/>
        </w:rPr>
        <w:t xml:space="preserve"> Ook ziet het </w:t>
      </w:r>
      <w:r w:rsidR="004371CD">
        <w:rPr>
          <w:rFonts w:ascii="Verdana" w:hAnsi="Verdana"/>
          <w:sz w:val="18"/>
          <w:szCs w:val="18"/>
        </w:rPr>
        <w:t xml:space="preserve">kabinet </w:t>
      </w:r>
      <w:r>
        <w:rPr>
          <w:rFonts w:ascii="Verdana" w:hAnsi="Verdana"/>
          <w:sz w:val="18"/>
          <w:szCs w:val="18"/>
        </w:rPr>
        <w:t xml:space="preserve">het aangekondigde milieu-omnibusvoorstel met interesse tegemoet, waarin uitdagingen voor vergunningverlening in deze context aan bod moeten komen. Verder kijkt het kabinet uit naar de plannen </w:t>
      </w:r>
      <w:r w:rsidR="00787EAB">
        <w:rPr>
          <w:rFonts w:ascii="Verdana" w:hAnsi="Verdana"/>
          <w:sz w:val="18"/>
          <w:szCs w:val="18"/>
        </w:rPr>
        <w:t xml:space="preserve">in het kader van </w:t>
      </w:r>
      <w:r>
        <w:rPr>
          <w:rFonts w:ascii="Verdana" w:hAnsi="Verdana"/>
          <w:sz w:val="18"/>
          <w:szCs w:val="18"/>
        </w:rPr>
        <w:t xml:space="preserve">het </w:t>
      </w:r>
      <w:r w:rsidRPr="657D265B">
        <w:rPr>
          <w:rFonts w:ascii="Verdana" w:hAnsi="Verdana"/>
          <w:i/>
          <w:iCs/>
          <w:sz w:val="18"/>
          <w:szCs w:val="18"/>
        </w:rPr>
        <w:t xml:space="preserve">European </w:t>
      </w:r>
      <w:proofErr w:type="spellStart"/>
      <w:r w:rsidRPr="657D265B">
        <w:rPr>
          <w:rFonts w:ascii="Verdana" w:hAnsi="Verdana"/>
          <w:i/>
          <w:iCs/>
          <w:sz w:val="18"/>
          <w:szCs w:val="18"/>
        </w:rPr>
        <w:t>Grid</w:t>
      </w:r>
      <w:proofErr w:type="spellEnd"/>
      <w:r w:rsidRPr="657D265B">
        <w:rPr>
          <w:rFonts w:ascii="Verdana" w:hAnsi="Verdana"/>
          <w:i/>
          <w:iCs/>
          <w:sz w:val="18"/>
          <w:szCs w:val="18"/>
        </w:rPr>
        <w:t xml:space="preserve"> Package</w:t>
      </w:r>
      <w:r>
        <w:rPr>
          <w:rFonts w:ascii="Verdana" w:hAnsi="Verdana"/>
          <w:sz w:val="18"/>
          <w:szCs w:val="18"/>
        </w:rPr>
        <w:t xml:space="preserve"> om de toegang tot het elektriciteitsnet te versnellen. </w:t>
      </w:r>
    </w:p>
    <w:p w:rsidR="00FD6C26" w:rsidP="006457A0" w:rsidRDefault="00FD6C26" w14:paraId="5A4803FB" w14:textId="77777777">
      <w:pPr>
        <w:spacing w:line="360" w:lineRule="auto"/>
        <w:ind w:left="360"/>
        <w:rPr>
          <w:rFonts w:ascii="Verdana" w:hAnsi="Verdana"/>
          <w:sz w:val="18"/>
          <w:szCs w:val="18"/>
        </w:rPr>
      </w:pPr>
    </w:p>
    <w:p w:rsidR="007B3BCA" w:rsidP="004F36C5" w:rsidRDefault="00C20438" w14:paraId="1B00D864" w14:textId="78972312">
      <w:pPr>
        <w:spacing w:line="360" w:lineRule="auto"/>
        <w:rPr>
          <w:rFonts w:ascii="Verdana" w:hAnsi="Verdana"/>
          <w:sz w:val="18"/>
          <w:szCs w:val="18"/>
        </w:rPr>
      </w:pPr>
      <w:r>
        <w:rPr>
          <w:rFonts w:ascii="Verdana" w:hAnsi="Verdana"/>
          <w:sz w:val="18"/>
          <w:szCs w:val="18"/>
        </w:rPr>
        <w:t xml:space="preserve">De Commissie geeft terecht aan dat de chemiesector, als producent en consument, een wezenlijke rol speelt in de ontwikkeling van de Europese waterstofeconomie. Het kabinet verwelkomt het feit dat in deze context zowel hernieuwbare als </w:t>
      </w:r>
      <w:r w:rsidRPr="0088196A" w:rsidR="00B52CF0">
        <w:rPr>
          <w:rFonts w:ascii="Verdana" w:hAnsi="Verdana"/>
          <w:sz w:val="18"/>
          <w:szCs w:val="18"/>
        </w:rPr>
        <w:t>koolstofarm</w:t>
      </w:r>
      <w:r w:rsidR="00852D4B">
        <w:rPr>
          <w:rFonts w:ascii="Verdana" w:hAnsi="Verdana"/>
          <w:sz w:val="18"/>
          <w:szCs w:val="18"/>
        </w:rPr>
        <w:t>e</w:t>
      </w:r>
      <w:r>
        <w:rPr>
          <w:rFonts w:ascii="Verdana" w:hAnsi="Verdana"/>
          <w:sz w:val="18"/>
          <w:szCs w:val="18"/>
        </w:rPr>
        <w:t xml:space="preserve"> waterstof door de Commissie wordt aangehaald. </w:t>
      </w:r>
      <w:r w:rsidR="00C1793E">
        <w:rPr>
          <w:rFonts w:ascii="Verdana" w:hAnsi="Verdana"/>
          <w:sz w:val="18"/>
          <w:szCs w:val="18"/>
        </w:rPr>
        <w:t>Dit sluit aan bij de ontwikkelingen van het waterstofbeleid in Nederland.</w:t>
      </w:r>
      <w:r w:rsidR="00C1793E">
        <w:rPr>
          <w:rStyle w:val="FootnoteReference"/>
          <w:rFonts w:ascii="Verdana" w:hAnsi="Verdana"/>
          <w:sz w:val="18"/>
          <w:szCs w:val="18"/>
        </w:rPr>
        <w:footnoteReference w:id="26"/>
      </w:r>
    </w:p>
    <w:p w:rsidR="00C20438" w:rsidP="006457A0" w:rsidRDefault="00C20438" w14:paraId="0A1DBB7A" w14:textId="77777777">
      <w:pPr>
        <w:spacing w:line="360" w:lineRule="auto"/>
        <w:ind w:left="360"/>
        <w:rPr>
          <w:rFonts w:ascii="Verdana" w:hAnsi="Verdana"/>
          <w:sz w:val="18"/>
          <w:szCs w:val="18"/>
        </w:rPr>
      </w:pPr>
    </w:p>
    <w:p w:rsidR="003E5C65" w:rsidP="004F36C5" w:rsidRDefault="7F54F4BA" w14:paraId="2F975599" w14:textId="3495337A">
      <w:pPr>
        <w:spacing w:line="360" w:lineRule="auto"/>
        <w:rPr>
          <w:rFonts w:ascii="Verdana" w:hAnsi="Verdana"/>
          <w:sz w:val="18"/>
          <w:szCs w:val="18"/>
        </w:rPr>
      </w:pPr>
      <w:r>
        <w:rPr>
          <w:rFonts w:ascii="Verdana" w:hAnsi="Verdana"/>
          <w:sz w:val="18"/>
          <w:szCs w:val="18"/>
        </w:rPr>
        <w:t xml:space="preserve">Het kabinet verwelkomt de erkenning van de Commissie dat het bereiken van netto-nul en het verminderen van strategische afhankelijkheden, waar technisch en economisch uitvoerbaar, een stapsgewijze afbouw van fossiele energie én </w:t>
      </w:r>
      <w:r w:rsidRPr="2876F6D4" w:rsidR="00FD6C26">
        <w:rPr>
          <w:rFonts w:ascii="Verdana" w:hAnsi="Verdana"/>
          <w:sz w:val="18"/>
          <w:szCs w:val="18"/>
        </w:rPr>
        <w:t xml:space="preserve">primaire </w:t>
      </w:r>
      <w:r>
        <w:rPr>
          <w:rFonts w:ascii="Verdana" w:hAnsi="Verdana"/>
          <w:sz w:val="18"/>
          <w:szCs w:val="18"/>
        </w:rPr>
        <w:t xml:space="preserve">fossiele grondstoffen vereist. </w:t>
      </w:r>
      <w:r w:rsidR="003E5C65">
        <w:rPr>
          <w:rFonts w:ascii="Verdana" w:hAnsi="Verdana"/>
          <w:sz w:val="18"/>
          <w:szCs w:val="18"/>
        </w:rPr>
        <w:t xml:space="preserve">Het kabinet is van mening dat in de verdere uitwerking van de plannen, daar waar </w:t>
      </w:r>
      <w:r w:rsidRPr="00972448" w:rsidR="00972448">
        <w:rPr>
          <w:rFonts w:ascii="Verdana" w:hAnsi="Verdana"/>
          <w:sz w:val="18"/>
          <w:szCs w:val="18"/>
        </w:rPr>
        <w:t>mogelijk en wenselijk</w:t>
      </w:r>
      <w:r w:rsidR="003E5C65">
        <w:rPr>
          <w:rFonts w:ascii="Verdana" w:hAnsi="Verdana"/>
          <w:sz w:val="18"/>
          <w:szCs w:val="18"/>
        </w:rPr>
        <w:t xml:space="preserve">, ook aandacht voor het effectueren van de nul-vervuilingsambitie van de EU benodigd is. </w:t>
      </w:r>
    </w:p>
    <w:p w:rsidR="003E5C65" w:rsidP="004F36C5" w:rsidRDefault="003E5C65" w14:paraId="1BE00D6E" w14:textId="77777777">
      <w:pPr>
        <w:spacing w:line="360" w:lineRule="auto"/>
        <w:rPr>
          <w:rFonts w:ascii="Verdana" w:hAnsi="Verdana"/>
          <w:sz w:val="18"/>
          <w:szCs w:val="18"/>
        </w:rPr>
      </w:pPr>
    </w:p>
    <w:p w:rsidR="005E4E50" w:rsidP="00895228" w:rsidRDefault="003E5C65" w14:paraId="624DB740" w14:textId="5A497FCF">
      <w:pPr>
        <w:spacing w:line="360" w:lineRule="auto"/>
        <w:rPr>
          <w:rFonts w:ascii="Verdana" w:hAnsi="Verdana"/>
          <w:sz w:val="18"/>
          <w:szCs w:val="18"/>
        </w:rPr>
      </w:pPr>
      <w:r>
        <w:rPr>
          <w:rFonts w:ascii="Verdana" w:hAnsi="Verdana"/>
          <w:sz w:val="18"/>
          <w:szCs w:val="18"/>
        </w:rPr>
        <w:t xml:space="preserve">Voor de stapsgewijze afbouw van fossiele bronnen zijn </w:t>
      </w:r>
      <w:r w:rsidR="0033352A">
        <w:rPr>
          <w:rFonts w:ascii="Verdana" w:hAnsi="Verdana"/>
          <w:sz w:val="18"/>
          <w:szCs w:val="18"/>
        </w:rPr>
        <w:t xml:space="preserve">ook </w:t>
      </w:r>
      <w:r>
        <w:rPr>
          <w:rFonts w:ascii="Verdana" w:hAnsi="Verdana"/>
          <w:sz w:val="18"/>
          <w:szCs w:val="18"/>
        </w:rPr>
        <w:t>a</w:t>
      </w:r>
      <w:r w:rsidRPr="007821E6" w:rsidR="007821E6">
        <w:rPr>
          <w:rFonts w:ascii="Verdana" w:hAnsi="Verdana"/>
          <w:sz w:val="18"/>
          <w:szCs w:val="18"/>
        </w:rPr>
        <w:t>lternatieve koolstofbronnen</w:t>
      </w:r>
      <w:r w:rsidR="005B7602">
        <w:rPr>
          <w:rFonts w:ascii="Verdana" w:hAnsi="Verdana"/>
          <w:sz w:val="18"/>
          <w:szCs w:val="18"/>
        </w:rPr>
        <w:t>,</w:t>
      </w:r>
      <w:r w:rsidRPr="007821E6" w:rsidR="007821E6">
        <w:rPr>
          <w:rFonts w:ascii="Verdana" w:hAnsi="Verdana"/>
          <w:sz w:val="18"/>
          <w:szCs w:val="18"/>
        </w:rPr>
        <w:t xml:space="preserve"> zoals </w:t>
      </w:r>
      <w:r w:rsidRPr="007821E6" w:rsidR="003F5244">
        <w:rPr>
          <w:rFonts w:ascii="Verdana" w:hAnsi="Verdana"/>
          <w:sz w:val="18"/>
          <w:szCs w:val="18"/>
        </w:rPr>
        <w:t>secundaire grondstoffen</w:t>
      </w:r>
      <w:r w:rsidR="003F5244">
        <w:rPr>
          <w:rFonts w:ascii="Verdana" w:hAnsi="Verdana"/>
          <w:sz w:val="18"/>
          <w:szCs w:val="18"/>
        </w:rPr>
        <w:t xml:space="preserve"> (recyclaat), </w:t>
      </w:r>
      <w:r w:rsidRPr="007821E6" w:rsidR="007821E6">
        <w:rPr>
          <w:rFonts w:ascii="Verdana" w:hAnsi="Verdana"/>
          <w:sz w:val="18"/>
          <w:szCs w:val="18"/>
        </w:rPr>
        <w:t>duurzame bio</w:t>
      </w:r>
      <w:r w:rsidR="00DB0E2B">
        <w:rPr>
          <w:rFonts w:ascii="Verdana" w:hAnsi="Verdana"/>
          <w:sz w:val="18"/>
          <w:szCs w:val="18"/>
        </w:rPr>
        <w:t>massa</w:t>
      </w:r>
      <w:r w:rsidR="00E0157F">
        <w:rPr>
          <w:rFonts w:ascii="Verdana" w:hAnsi="Verdana"/>
          <w:sz w:val="18"/>
          <w:szCs w:val="18"/>
        </w:rPr>
        <w:t xml:space="preserve"> </w:t>
      </w:r>
      <w:r w:rsidRPr="007821E6" w:rsidR="007821E6">
        <w:rPr>
          <w:rFonts w:ascii="Verdana" w:hAnsi="Verdana"/>
          <w:sz w:val="18"/>
          <w:szCs w:val="18"/>
        </w:rPr>
        <w:t xml:space="preserve">en </w:t>
      </w:r>
      <w:r w:rsidR="00847343">
        <w:rPr>
          <w:rFonts w:ascii="Verdana" w:hAnsi="Verdana"/>
          <w:sz w:val="18"/>
          <w:szCs w:val="18"/>
        </w:rPr>
        <w:t xml:space="preserve">afgevangen </w:t>
      </w:r>
      <w:r w:rsidRPr="007821E6" w:rsidR="007821E6">
        <w:rPr>
          <w:rFonts w:ascii="Verdana" w:hAnsi="Verdana"/>
          <w:sz w:val="18"/>
          <w:szCs w:val="18"/>
        </w:rPr>
        <w:t>CO</w:t>
      </w:r>
      <w:r w:rsidRPr="0088196A" w:rsidR="007821E6">
        <w:rPr>
          <w:rFonts w:ascii="Verdana" w:hAnsi="Verdana"/>
          <w:sz w:val="18"/>
          <w:szCs w:val="18"/>
          <w:vertAlign w:val="subscript"/>
        </w:rPr>
        <w:t>2</w:t>
      </w:r>
      <w:r w:rsidR="005B7602">
        <w:rPr>
          <w:rFonts w:ascii="Verdana" w:hAnsi="Verdana"/>
          <w:sz w:val="18"/>
          <w:szCs w:val="18"/>
        </w:rPr>
        <w:t xml:space="preserve">, </w:t>
      </w:r>
      <w:r w:rsidRPr="00DE2378" w:rsidR="72AF12A3">
        <w:rPr>
          <w:rFonts w:ascii="Verdana" w:hAnsi="Verdana"/>
          <w:sz w:val="18"/>
          <w:szCs w:val="18"/>
        </w:rPr>
        <w:t>cruciaal</w:t>
      </w:r>
      <w:r w:rsidR="00E0157F">
        <w:rPr>
          <w:rFonts w:ascii="Verdana" w:hAnsi="Verdana"/>
          <w:sz w:val="18"/>
          <w:szCs w:val="18"/>
        </w:rPr>
        <w:t>.</w:t>
      </w:r>
      <w:r w:rsidR="72AF12A3">
        <w:rPr>
          <w:rFonts w:ascii="Verdana" w:hAnsi="Verdana"/>
          <w:sz w:val="18"/>
          <w:szCs w:val="18"/>
        </w:rPr>
        <w:t xml:space="preserve"> Nederland heeft als initiatiefnemer in </w:t>
      </w:r>
      <w:r w:rsidR="00F56726">
        <w:rPr>
          <w:rFonts w:ascii="Verdana" w:hAnsi="Verdana"/>
          <w:sz w:val="18"/>
          <w:szCs w:val="18"/>
        </w:rPr>
        <w:t xml:space="preserve">de EU </w:t>
      </w:r>
      <w:r w:rsidR="72AF12A3">
        <w:rPr>
          <w:rFonts w:ascii="Verdana" w:hAnsi="Verdana"/>
          <w:sz w:val="18"/>
          <w:szCs w:val="18"/>
        </w:rPr>
        <w:t>gepleit voor concrete wetgeving in deze context.</w:t>
      </w:r>
      <w:r w:rsidR="00FC41FC">
        <w:rPr>
          <w:rStyle w:val="FootnoteReference"/>
          <w:rFonts w:ascii="Verdana" w:hAnsi="Verdana"/>
          <w:sz w:val="18"/>
          <w:szCs w:val="18"/>
        </w:rPr>
        <w:footnoteReference w:id="27"/>
      </w:r>
      <w:r w:rsidR="72AF12A3">
        <w:rPr>
          <w:rFonts w:ascii="Verdana" w:hAnsi="Verdana"/>
          <w:sz w:val="18"/>
          <w:szCs w:val="18"/>
        </w:rPr>
        <w:t xml:space="preserve"> Het kabinet</w:t>
      </w:r>
      <w:r w:rsidR="7F54F4BA">
        <w:rPr>
          <w:rFonts w:ascii="Verdana" w:hAnsi="Verdana"/>
          <w:sz w:val="18"/>
          <w:szCs w:val="18"/>
        </w:rPr>
        <w:t xml:space="preserve"> kijkt </w:t>
      </w:r>
      <w:r w:rsidR="72AF12A3">
        <w:rPr>
          <w:rFonts w:ascii="Verdana" w:hAnsi="Verdana"/>
          <w:sz w:val="18"/>
          <w:szCs w:val="18"/>
        </w:rPr>
        <w:t xml:space="preserve">dan ook </w:t>
      </w:r>
      <w:r w:rsidR="7F54F4BA">
        <w:rPr>
          <w:rFonts w:ascii="Verdana" w:hAnsi="Verdana"/>
          <w:sz w:val="18"/>
          <w:szCs w:val="18"/>
        </w:rPr>
        <w:t>uit naar de stimuleringsmaatregelen die de Commissie zal ontwikkelen</w:t>
      </w:r>
      <w:r w:rsidRPr="2876F6D4" w:rsidR="4088870D">
        <w:rPr>
          <w:rFonts w:ascii="Verdana" w:hAnsi="Verdana"/>
          <w:sz w:val="18"/>
          <w:szCs w:val="18"/>
        </w:rPr>
        <w:t xml:space="preserve"> voor circulariteit</w:t>
      </w:r>
      <w:r w:rsidR="7F54F4BA">
        <w:rPr>
          <w:rFonts w:ascii="Verdana" w:hAnsi="Verdana"/>
          <w:sz w:val="18"/>
          <w:szCs w:val="18"/>
        </w:rPr>
        <w:t>.</w:t>
      </w:r>
      <w:r w:rsidRPr="2876F6D4" w:rsidR="4088870D">
        <w:rPr>
          <w:rFonts w:ascii="Verdana" w:hAnsi="Verdana"/>
          <w:sz w:val="18"/>
          <w:szCs w:val="18"/>
        </w:rPr>
        <w:t xml:space="preserve"> </w:t>
      </w:r>
      <w:r w:rsidRPr="00EA2EC6" w:rsidR="00EA2EC6">
        <w:rPr>
          <w:rFonts w:ascii="Verdana" w:hAnsi="Verdana"/>
          <w:sz w:val="18"/>
          <w:szCs w:val="18"/>
        </w:rPr>
        <w:t xml:space="preserve">Het kabinet verzoekt de Commissie om zo snel mogelijk in 2026 met het voorstel voor een </w:t>
      </w:r>
      <w:proofErr w:type="spellStart"/>
      <w:r w:rsidRPr="00FA3ACD" w:rsidR="00EA2EC6">
        <w:rPr>
          <w:rFonts w:ascii="Verdana" w:hAnsi="Verdana"/>
          <w:i/>
          <w:iCs/>
          <w:sz w:val="18"/>
          <w:szCs w:val="18"/>
        </w:rPr>
        <w:t>Circular</w:t>
      </w:r>
      <w:proofErr w:type="spellEnd"/>
      <w:r w:rsidRPr="00FA3ACD" w:rsidR="00EA2EC6">
        <w:rPr>
          <w:rFonts w:ascii="Verdana" w:hAnsi="Verdana"/>
          <w:i/>
          <w:iCs/>
          <w:sz w:val="18"/>
          <w:szCs w:val="18"/>
        </w:rPr>
        <w:t xml:space="preserve"> </w:t>
      </w:r>
      <w:proofErr w:type="spellStart"/>
      <w:r w:rsidRPr="00FA3ACD" w:rsidR="00EA2EC6">
        <w:rPr>
          <w:rFonts w:ascii="Verdana" w:hAnsi="Verdana"/>
          <w:i/>
          <w:iCs/>
          <w:sz w:val="18"/>
          <w:szCs w:val="18"/>
        </w:rPr>
        <w:t>Economy</w:t>
      </w:r>
      <w:proofErr w:type="spellEnd"/>
      <w:r w:rsidRPr="00FA3ACD" w:rsidR="00EA2EC6">
        <w:rPr>
          <w:rFonts w:ascii="Verdana" w:hAnsi="Verdana"/>
          <w:i/>
          <w:iCs/>
          <w:sz w:val="18"/>
          <w:szCs w:val="18"/>
        </w:rPr>
        <w:t xml:space="preserve"> Act</w:t>
      </w:r>
      <w:r w:rsidRPr="00EA2EC6" w:rsidR="00EA2EC6">
        <w:rPr>
          <w:rFonts w:ascii="Verdana" w:hAnsi="Verdana"/>
          <w:sz w:val="18"/>
          <w:szCs w:val="18"/>
        </w:rPr>
        <w:t xml:space="preserve"> te komen, en circulariteit ook goed mee te nemen in de andere voorstellen onder de </w:t>
      </w:r>
      <w:r w:rsidRPr="00BD7CE0" w:rsidR="005E4E50">
        <w:rPr>
          <w:rFonts w:ascii="Verdana" w:hAnsi="Verdana"/>
          <w:sz w:val="18"/>
          <w:szCs w:val="18"/>
        </w:rPr>
        <w:t>CID</w:t>
      </w:r>
      <w:r w:rsidRPr="00EA2EC6" w:rsidR="00EA2EC6">
        <w:rPr>
          <w:rFonts w:ascii="Verdana" w:hAnsi="Verdana"/>
          <w:sz w:val="18"/>
          <w:szCs w:val="18"/>
        </w:rPr>
        <w:t xml:space="preserve">. Het kabinet </w:t>
      </w:r>
      <w:r w:rsidR="00103CD1">
        <w:rPr>
          <w:rFonts w:ascii="Verdana" w:hAnsi="Verdana"/>
          <w:sz w:val="18"/>
          <w:szCs w:val="18"/>
        </w:rPr>
        <w:t>staat achter</w:t>
      </w:r>
      <w:r w:rsidRPr="00EA2EC6" w:rsidR="00EA2EC6">
        <w:rPr>
          <w:rFonts w:ascii="Verdana" w:hAnsi="Verdana"/>
          <w:sz w:val="18"/>
          <w:szCs w:val="18"/>
        </w:rPr>
        <w:t xml:space="preserve"> de focus op bio-economie binnen de context van </w:t>
      </w:r>
      <w:proofErr w:type="spellStart"/>
      <w:r w:rsidRPr="00EA2EC6" w:rsidR="00EA2EC6">
        <w:rPr>
          <w:rFonts w:ascii="Verdana" w:hAnsi="Verdana"/>
          <w:sz w:val="18"/>
          <w:szCs w:val="18"/>
        </w:rPr>
        <w:t>decarbonisatie</w:t>
      </w:r>
      <w:proofErr w:type="spellEnd"/>
      <w:r w:rsidRPr="00EA2EC6" w:rsidR="00EA2EC6">
        <w:rPr>
          <w:rFonts w:ascii="Verdana" w:hAnsi="Verdana"/>
          <w:sz w:val="18"/>
          <w:szCs w:val="18"/>
        </w:rPr>
        <w:t xml:space="preserve"> en circulaire economie</w:t>
      </w:r>
      <w:r w:rsidRPr="2876F6D4" w:rsidR="55FF6F1B">
        <w:rPr>
          <w:rFonts w:ascii="Verdana" w:hAnsi="Verdana"/>
          <w:sz w:val="18"/>
          <w:szCs w:val="18"/>
        </w:rPr>
        <w:t xml:space="preserve">, en </w:t>
      </w:r>
      <w:r w:rsidRPr="2876F6D4" w:rsidR="05DA945B">
        <w:rPr>
          <w:rFonts w:ascii="Verdana" w:hAnsi="Verdana"/>
          <w:sz w:val="18"/>
          <w:szCs w:val="18"/>
        </w:rPr>
        <w:t xml:space="preserve">verwelkomt maatregelen ter </w:t>
      </w:r>
      <w:r w:rsidRPr="2876F6D4" w:rsidR="27F14A5B">
        <w:rPr>
          <w:rFonts w:ascii="Verdana" w:hAnsi="Verdana"/>
          <w:sz w:val="18"/>
          <w:szCs w:val="18"/>
        </w:rPr>
        <w:t xml:space="preserve">ondersteuning van </w:t>
      </w:r>
      <w:r w:rsidRPr="2876F6D4" w:rsidR="0269486E">
        <w:rPr>
          <w:rFonts w:ascii="Verdana" w:hAnsi="Verdana"/>
          <w:sz w:val="18"/>
          <w:szCs w:val="18"/>
        </w:rPr>
        <w:t xml:space="preserve">opschaling en </w:t>
      </w:r>
      <w:r w:rsidRPr="2876F6D4" w:rsidR="05DA945B">
        <w:rPr>
          <w:rFonts w:ascii="Verdana" w:hAnsi="Verdana"/>
          <w:sz w:val="18"/>
          <w:szCs w:val="18"/>
        </w:rPr>
        <w:t xml:space="preserve">bevordering van </w:t>
      </w:r>
      <w:r w:rsidRPr="2876F6D4" w:rsidR="282F010C">
        <w:rPr>
          <w:rFonts w:ascii="Verdana" w:hAnsi="Verdana"/>
          <w:sz w:val="18"/>
          <w:szCs w:val="18"/>
        </w:rPr>
        <w:t>toegang tot grondstoffen.</w:t>
      </w:r>
      <w:r w:rsidR="0025431B">
        <w:rPr>
          <w:rFonts w:ascii="Verdana" w:hAnsi="Verdana"/>
          <w:sz w:val="18"/>
          <w:szCs w:val="18"/>
        </w:rPr>
        <w:t xml:space="preserve"> Het </w:t>
      </w:r>
      <w:proofErr w:type="spellStart"/>
      <w:r w:rsidR="0025431B">
        <w:rPr>
          <w:rFonts w:ascii="Verdana" w:hAnsi="Verdana"/>
          <w:sz w:val="18"/>
          <w:szCs w:val="18"/>
        </w:rPr>
        <w:t>cascaderingsprincipe</w:t>
      </w:r>
      <w:proofErr w:type="spellEnd"/>
      <w:r w:rsidR="0025431B">
        <w:rPr>
          <w:rFonts w:ascii="Verdana" w:hAnsi="Verdana"/>
          <w:sz w:val="18"/>
          <w:szCs w:val="18"/>
        </w:rPr>
        <w:t xml:space="preserve"> is hierbij </w:t>
      </w:r>
      <w:r w:rsidR="008B1609">
        <w:rPr>
          <w:rFonts w:ascii="Verdana" w:hAnsi="Verdana"/>
          <w:sz w:val="18"/>
          <w:szCs w:val="18"/>
        </w:rPr>
        <w:t xml:space="preserve">voor het kabinet </w:t>
      </w:r>
      <w:r w:rsidR="0025431B">
        <w:rPr>
          <w:rFonts w:ascii="Verdana" w:hAnsi="Verdana"/>
          <w:sz w:val="18"/>
          <w:szCs w:val="18"/>
        </w:rPr>
        <w:t>van belang.</w:t>
      </w:r>
      <w:r w:rsidRPr="2876F6D4" w:rsidR="282F010C">
        <w:rPr>
          <w:rFonts w:ascii="Verdana" w:hAnsi="Verdana"/>
          <w:sz w:val="18"/>
          <w:szCs w:val="18"/>
        </w:rPr>
        <w:t xml:space="preserve"> </w:t>
      </w:r>
    </w:p>
    <w:p w:rsidR="005E4E50" w:rsidP="00895228" w:rsidRDefault="005E4E50" w14:paraId="63484D7A" w14:textId="77777777">
      <w:pPr>
        <w:spacing w:line="360" w:lineRule="auto"/>
        <w:rPr>
          <w:rFonts w:ascii="Verdana" w:hAnsi="Verdana"/>
          <w:sz w:val="18"/>
          <w:szCs w:val="18"/>
        </w:rPr>
      </w:pPr>
    </w:p>
    <w:p w:rsidRPr="00D52796" w:rsidR="00C20438" w:rsidP="00895228" w:rsidRDefault="55EA2FB1" w14:paraId="39BECDBC" w14:textId="22B05F64">
      <w:pPr>
        <w:spacing w:line="360" w:lineRule="auto"/>
        <w:rPr>
          <w:rFonts w:ascii="Verdana" w:hAnsi="Verdana"/>
          <w:i/>
          <w:iCs/>
          <w:sz w:val="18"/>
          <w:szCs w:val="18"/>
        </w:rPr>
      </w:pPr>
      <w:r w:rsidRPr="2876F6D4">
        <w:rPr>
          <w:rFonts w:ascii="Verdana" w:hAnsi="Verdana"/>
          <w:sz w:val="18"/>
          <w:szCs w:val="18"/>
        </w:rPr>
        <w:t xml:space="preserve">Ter bevordering van de markt voor </w:t>
      </w:r>
      <w:r w:rsidR="00E7692F">
        <w:rPr>
          <w:rFonts w:ascii="Verdana" w:hAnsi="Verdana"/>
          <w:sz w:val="18"/>
          <w:szCs w:val="18"/>
        </w:rPr>
        <w:t>duurzame</w:t>
      </w:r>
      <w:r w:rsidRPr="2876F6D4" w:rsidR="00E7692F">
        <w:rPr>
          <w:rFonts w:ascii="Verdana" w:hAnsi="Verdana"/>
          <w:sz w:val="18"/>
          <w:szCs w:val="18"/>
        </w:rPr>
        <w:t xml:space="preserve"> </w:t>
      </w:r>
      <w:r w:rsidRPr="2876F6D4">
        <w:rPr>
          <w:rFonts w:ascii="Verdana" w:hAnsi="Verdana"/>
          <w:sz w:val="18"/>
          <w:szCs w:val="18"/>
        </w:rPr>
        <w:t>producten</w:t>
      </w:r>
      <w:r w:rsidR="00245CA6">
        <w:rPr>
          <w:rFonts w:ascii="Verdana" w:hAnsi="Verdana"/>
          <w:sz w:val="18"/>
          <w:szCs w:val="18"/>
        </w:rPr>
        <w:t>, essentieel voor de grondstoffentransitie,</w:t>
      </w:r>
      <w:r w:rsidRPr="2876F6D4">
        <w:rPr>
          <w:rFonts w:ascii="Verdana" w:hAnsi="Verdana"/>
          <w:sz w:val="18"/>
          <w:szCs w:val="18"/>
        </w:rPr>
        <w:t xml:space="preserve"> pleit het kabinet </w:t>
      </w:r>
      <w:r w:rsidR="004F17D9">
        <w:rPr>
          <w:rFonts w:ascii="Verdana" w:hAnsi="Verdana"/>
          <w:sz w:val="18"/>
          <w:szCs w:val="18"/>
        </w:rPr>
        <w:t xml:space="preserve">voor </w:t>
      </w:r>
      <w:r w:rsidRPr="2876F6D4" w:rsidR="1B860C6F">
        <w:rPr>
          <w:rFonts w:ascii="Verdana" w:hAnsi="Verdana"/>
          <w:sz w:val="18"/>
          <w:szCs w:val="18"/>
        </w:rPr>
        <w:t xml:space="preserve">productnormering </w:t>
      </w:r>
      <w:r w:rsidRPr="2876F6D4">
        <w:rPr>
          <w:rFonts w:ascii="Verdana" w:hAnsi="Verdana"/>
          <w:sz w:val="18"/>
          <w:szCs w:val="18"/>
        </w:rPr>
        <w:t xml:space="preserve">voor </w:t>
      </w:r>
      <w:r w:rsidR="004F17D9">
        <w:rPr>
          <w:rFonts w:ascii="Verdana" w:hAnsi="Verdana"/>
          <w:sz w:val="18"/>
          <w:szCs w:val="18"/>
        </w:rPr>
        <w:t xml:space="preserve">hoogwaardige toepassingen </w:t>
      </w:r>
      <w:r w:rsidRPr="2876F6D4">
        <w:rPr>
          <w:rFonts w:ascii="Verdana" w:hAnsi="Verdana"/>
          <w:sz w:val="18"/>
          <w:szCs w:val="18"/>
        </w:rPr>
        <w:t xml:space="preserve">van </w:t>
      </w:r>
      <w:r w:rsidR="00866490">
        <w:rPr>
          <w:rFonts w:ascii="Verdana" w:hAnsi="Verdana"/>
          <w:sz w:val="18"/>
          <w:szCs w:val="18"/>
        </w:rPr>
        <w:t xml:space="preserve">duurzame </w:t>
      </w:r>
      <w:proofErr w:type="spellStart"/>
      <w:r w:rsidRPr="2876F6D4">
        <w:rPr>
          <w:rFonts w:ascii="Verdana" w:hAnsi="Verdana"/>
          <w:sz w:val="18"/>
          <w:szCs w:val="18"/>
        </w:rPr>
        <w:lastRenderedPageBreak/>
        <w:t>biogrondstoffen</w:t>
      </w:r>
      <w:proofErr w:type="spellEnd"/>
      <w:r w:rsidR="00866490">
        <w:rPr>
          <w:rFonts w:ascii="Verdana" w:hAnsi="Verdana"/>
          <w:sz w:val="18"/>
          <w:szCs w:val="18"/>
        </w:rPr>
        <w:t xml:space="preserve"> en secundaire</w:t>
      </w:r>
      <w:r w:rsidRPr="2876F6D4" w:rsidR="64BE9E5C">
        <w:rPr>
          <w:rFonts w:ascii="Verdana" w:hAnsi="Verdana"/>
          <w:sz w:val="18"/>
          <w:szCs w:val="18"/>
        </w:rPr>
        <w:t xml:space="preserve"> grondstoffen</w:t>
      </w:r>
      <w:r w:rsidR="00866490">
        <w:rPr>
          <w:rFonts w:ascii="Verdana" w:hAnsi="Verdana"/>
          <w:sz w:val="18"/>
          <w:szCs w:val="18"/>
        </w:rPr>
        <w:t>,</w:t>
      </w:r>
      <w:r w:rsidRPr="001A07EA" w:rsidR="001A07EA">
        <w:rPr>
          <w:rFonts w:ascii="Verdana" w:hAnsi="Verdana"/>
          <w:sz w:val="18"/>
          <w:szCs w:val="18"/>
        </w:rPr>
        <w:t xml:space="preserve"> </w:t>
      </w:r>
      <w:r w:rsidR="007D28F8">
        <w:rPr>
          <w:rFonts w:ascii="Verdana" w:hAnsi="Verdana"/>
          <w:sz w:val="18"/>
          <w:szCs w:val="18"/>
        </w:rPr>
        <w:t>in aanvulling op</w:t>
      </w:r>
      <w:r w:rsidRPr="2876F6D4" w:rsidR="007D28F8">
        <w:rPr>
          <w:rFonts w:ascii="Verdana" w:hAnsi="Verdana"/>
          <w:sz w:val="18"/>
          <w:szCs w:val="18"/>
        </w:rPr>
        <w:t xml:space="preserve"> </w:t>
      </w:r>
      <w:r w:rsidR="00876ED7">
        <w:rPr>
          <w:rFonts w:ascii="Verdana" w:hAnsi="Verdana"/>
          <w:sz w:val="18"/>
          <w:szCs w:val="18"/>
        </w:rPr>
        <w:t xml:space="preserve">geharmoniseerde en eenduidige </w:t>
      </w:r>
      <w:r w:rsidRPr="2876F6D4" w:rsidR="001A07EA">
        <w:rPr>
          <w:rFonts w:ascii="Verdana" w:hAnsi="Verdana"/>
          <w:sz w:val="18"/>
          <w:szCs w:val="18"/>
        </w:rPr>
        <w:t xml:space="preserve">vrijwillige </w:t>
      </w:r>
      <w:proofErr w:type="spellStart"/>
      <w:r w:rsidRPr="2876F6D4" w:rsidR="001A07EA">
        <w:rPr>
          <w:rFonts w:ascii="Verdana" w:hAnsi="Verdana"/>
          <w:sz w:val="18"/>
          <w:szCs w:val="18"/>
        </w:rPr>
        <w:t>labelling</w:t>
      </w:r>
      <w:proofErr w:type="spellEnd"/>
      <w:r w:rsidR="004A3DC2">
        <w:rPr>
          <w:rFonts w:ascii="Verdana" w:hAnsi="Verdana"/>
          <w:sz w:val="18"/>
          <w:szCs w:val="18"/>
        </w:rPr>
        <w:t>,</w:t>
      </w:r>
      <w:r w:rsidR="000D64DD">
        <w:rPr>
          <w:rFonts w:ascii="Verdana" w:hAnsi="Verdana"/>
          <w:sz w:val="18"/>
          <w:szCs w:val="18"/>
        </w:rPr>
        <w:t xml:space="preserve"> op Europees niveau</w:t>
      </w:r>
      <w:r w:rsidRPr="2876F6D4" w:rsidR="64BE9E5C">
        <w:rPr>
          <w:rFonts w:ascii="Verdana" w:hAnsi="Verdana"/>
          <w:sz w:val="18"/>
          <w:szCs w:val="18"/>
        </w:rPr>
        <w:t>.</w:t>
      </w:r>
      <w:r w:rsidRPr="2876F6D4" w:rsidR="5B12A9DD">
        <w:rPr>
          <w:rFonts w:ascii="Verdana" w:hAnsi="Verdana"/>
          <w:sz w:val="18"/>
          <w:szCs w:val="18"/>
        </w:rPr>
        <w:t xml:space="preserve"> </w:t>
      </w:r>
      <w:r w:rsidR="00526DE8">
        <w:rPr>
          <w:rFonts w:ascii="Verdana" w:hAnsi="Verdana"/>
          <w:sz w:val="18"/>
          <w:szCs w:val="18"/>
        </w:rPr>
        <w:t xml:space="preserve">Een eenduidige implementatie van een dergelijke normering door de lidstaten is essentieel om een gelijk speelveld binnen de EU te waarborgen. </w:t>
      </w:r>
      <w:r w:rsidRPr="00D52796" w:rsidR="0056437B">
        <w:rPr>
          <w:rFonts w:ascii="Verdana" w:hAnsi="Verdana"/>
          <w:sz w:val="18"/>
          <w:szCs w:val="18"/>
        </w:rPr>
        <w:t>Ook is het positief dat de mogelijkheden om niet-permanente CCU-producten binnen het ETS te betrekken worden verkend, waarbij de milieu-integriteit van het ETS-systeem gewaarborgd moet blijven en er geen risico op het te weinig inleveren van emissierechten geïntroduceerd mag worden</w:t>
      </w:r>
      <w:r w:rsidR="0056437B">
        <w:rPr>
          <w:rFonts w:ascii="Verdana" w:hAnsi="Verdana"/>
          <w:sz w:val="18"/>
          <w:szCs w:val="18"/>
        </w:rPr>
        <w:t>.</w:t>
      </w:r>
      <w:r w:rsidRPr="2876F6D4" w:rsidR="150EFDF3">
        <w:rPr>
          <w:rFonts w:ascii="Verdana" w:hAnsi="Verdana"/>
          <w:sz w:val="18"/>
          <w:szCs w:val="18"/>
        </w:rPr>
        <w:t xml:space="preserve"> </w:t>
      </w:r>
      <w:r w:rsidRPr="2876F6D4" w:rsidR="4A12547A">
        <w:rPr>
          <w:rFonts w:ascii="Verdana" w:hAnsi="Verdana"/>
          <w:sz w:val="18"/>
          <w:szCs w:val="18"/>
        </w:rPr>
        <w:t>H</w:t>
      </w:r>
      <w:r w:rsidRPr="2876F6D4" w:rsidR="288407F3">
        <w:rPr>
          <w:rFonts w:ascii="Verdana" w:hAnsi="Verdana"/>
          <w:sz w:val="18"/>
          <w:szCs w:val="18"/>
        </w:rPr>
        <w:t xml:space="preserve">et kabinet </w:t>
      </w:r>
      <w:r w:rsidRPr="2876F6D4" w:rsidR="4A12547A">
        <w:rPr>
          <w:rFonts w:ascii="Verdana" w:hAnsi="Verdana"/>
          <w:sz w:val="18"/>
          <w:szCs w:val="18"/>
        </w:rPr>
        <w:t>zal zich inspan</w:t>
      </w:r>
      <w:r w:rsidRPr="2876F6D4" w:rsidR="64C81390">
        <w:rPr>
          <w:rFonts w:ascii="Verdana" w:hAnsi="Verdana"/>
          <w:sz w:val="18"/>
          <w:szCs w:val="18"/>
        </w:rPr>
        <w:t xml:space="preserve">nen om </w:t>
      </w:r>
      <w:r w:rsidRPr="2876F6D4" w:rsidR="62E74FA4">
        <w:rPr>
          <w:rFonts w:ascii="Verdana" w:hAnsi="Verdana"/>
          <w:sz w:val="18"/>
          <w:szCs w:val="18"/>
        </w:rPr>
        <w:t>afvalver</w:t>
      </w:r>
      <w:r w:rsidR="007F63A6">
        <w:rPr>
          <w:rFonts w:ascii="Verdana" w:hAnsi="Verdana"/>
          <w:sz w:val="18"/>
          <w:szCs w:val="18"/>
        </w:rPr>
        <w:t>branding</w:t>
      </w:r>
      <w:r w:rsidRPr="2876F6D4" w:rsidR="62E74FA4">
        <w:rPr>
          <w:rFonts w:ascii="Verdana" w:hAnsi="Verdana"/>
          <w:sz w:val="18"/>
          <w:szCs w:val="18"/>
        </w:rPr>
        <w:t xml:space="preserve"> in het ETS</w:t>
      </w:r>
      <w:r w:rsidRPr="2876F6D4" w:rsidR="64C81390">
        <w:rPr>
          <w:rFonts w:ascii="Verdana" w:hAnsi="Verdana"/>
          <w:sz w:val="18"/>
          <w:szCs w:val="18"/>
        </w:rPr>
        <w:t xml:space="preserve"> op te nemen</w:t>
      </w:r>
      <w:r w:rsidRPr="2876F6D4" w:rsidR="4737A763">
        <w:rPr>
          <w:rFonts w:ascii="Verdana" w:hAnsi="Verdana"/>
          <w:sz w:val="18"/>
          <w:szCs w:val="18"/>
        </w:rPr>
        <w:t xml:space="preserve"> ten behoeve van het gelijke speelveld en CO</w:t>
      </w:r>
      <w:r w:rsidRPr="0088196A" w:rsidR="4737A763">
        <w:rPr>
          <w:rFonts w:ascii="Verdana" w:hAnsi="Verdana"/>
          <w:sz w:val="18"/>
          <w:szCs w:val="18"/>
          <w:vertAlign w:val="subscript"/>
        </w:rPr>
        <w:t>2</w:t>
      </w:r>
      <w:r w:rsidRPr="2876F6D4" w:rsidR="4737A763">
        <w:rPr>
          <w:rFonts w:ascii="Verdana" w:hAnsi="Verdana"/>
          <w:sz w:val="18"/>
          <w:szCs w:val="18"/>
        </w:rPr>
        <w:t>-reductie</w:t>
      </w:r>
      <w:r w:rsidRPr="2876F6D4" w:rsidR="62F72F4B">
        <w:rPr>
          <w:rFonts w:ascii="Verdana" w:hAnsi="Verdana"/>
          <w:sz w:val="18"/>
          <w:szCs w:val="18"/>
        </w:rPr>
        <w:t>.</w:t>
      </w:r>
      <w:r w:rsidR="00C06661">
        <w:rPr>
          <w:rStyle w:val="FootnoteReference"/>
          <w:rFonts w:ascii="Verdana" w:hAnsi="Verdana"/>
          <w:sz w:val="18"/>
          <w:szCs w:val="18"/>
        </w:rPr>
        <w:footnoteReference w:id="28"/>
      </w:r>
    </w:p>
    <w:p w:rsidR="000C6C27" w:rsidP="00FC41FC" w:rsidRDefault="000C6C27" w14:paraId="012E4023" w14:textId="77777777">
      <w:pPr>
        <w:spacing w:line="360" w:lineRule="auto"/>
        <w:ind w:left="360"/>
        <w:rPr>
          <w:rFonts w:ascii="Verdana" w:hAnsi="Verdana"/>
          <w:sz w:val="18"/>
          <w:szCs w:val="18"/>
        </w:rPr>
      </w:pPr>
    </w:p>
    <w:p w:rsidR="000C6C27" w:rsidP="004F36C5" w:rsidRDefault="3520B223" w14:paraId="6D884E4C" w14:textId="50B8FD78">
      <w:pPr>
        <w:spacing w:line="360" w:lineRule="auto"/>
        <w:rPr>
          <w:rFonts w:ascii="Verdana" w:hAnsi="Verdana"/>
          <w:sz w:val="18"/>
          <w:szCs w:val="18"/>
        </w:rPr>
      </w:pPr>
      <w:bookmarkStart w:name="OLE_LINK11" w:id="9"/>
      <w:r w:rsidRPr="599F6E24">
        <w:rPr>
          <w:rFonts w:ascii="Verdana" w:hAnsi="Verdana"/>
          <w:sz w:val="18"/>
          <w:szCs w:val="18"/>
        </w:rPr>
        <w:t>Het kabinet is zich bewust van de situatie, als geschetst door de Commissie</w:t>
      </w:r>
      <w:r w:rsidRPr="00897404" w:rsidR="00897404">
        <w:rPr>
          <w:rFonts w:ascii="Verdana" w:hAnsi="Verdana"/>
          <w:sz w:val="18"/>
          <w:szCs w:val="18"/>
        </w:rPr>
        <w:t xml:space="preserve"> </w:t>
      </w:r>
      <w:r w:rsidR="00897404">
        <w:rPr>
          <w:rFonts w:ascii="Verdana" w:hAnsi="Verdana"/>
          <w:sz w:val="18"/>
          <w:szCs w:val="18"/>
        </w:rPr>
        <w:t>in het derde spoor</w:t>
      </w:r>
      <w:r w:rsidRPr="599F6E24">
        <w:rPr>
          <w:rFonts w:ascii="Verdana" w:hAnsi="Verdana"/>
          <w:sz w:val="18"/>
          <w:szCs w:val="18"/>
        </w:rPr>
        <w:t xml:space="preserve">, dat investeringen in niet-fossiele grondstoffen en koolstofarme technologieën worden beperkt door het gebrek aan afnemers, </w:t>
      </w:r>
      <w:bookmarkEnd w:id="9"/>
      <w:r w:rsidRPr="599F6E24">
        <w:rPr>
          <w:rFonts w:ascii="Verdana" w:hAnsi="Verdana"/>
          <w:sz w:val="18"/>
          <w:szCs w:val="18"/>
        </w:rPr>
        <w:t xml:space="preserve">waardoor het voor bedrijven die vooroplopen moeilijk is om een “groene premie” te innen en te profiteren van de gedane investeringen. </w:t>
      </w:r>
      <w:r w:rsidRPr="00B81E13" w:rsidR="0014534A">
        <w:rPr>
          <w:rFonts w:ascii="Verdana" w:hAnsi="Verdana"/>
          <w:sz w:val="18"/>
          <w:szCs w:val="18"/>
        </w:rPr>
        <w:t xml:space="preserve">Het </w:t>
      </w:r>
      <w:r w:rsidR="0014534A">
        <w:rPr>
          <w:rFonts w:ascii="Verdana" w:hAnsi="Verdana"/>
          <w:sz w:val="18"/>
          <w:szCs w:val="18"/>
        </w:rPr>
        <w:t>k</w:t>
      </w:r>
      <w:r w:rsidRPr="00B81E13" w:rsidR="0014534A">
        <w:rPr>
          <w:rFonts w:ascii="Verdana" w:hAnsi="Verdana"/>
          <w:sz w:val="18"/>
          <w:szCs w:val="18"/>
        </w:rPr>
        <w:t xml:space="preserve">abinet erkent dat een Europees voorkeursprincipe in bepaalde gevallen wenselijk kan zijn. </w:t>
      </w:r>
      <w:r w:rsidR="0014534A">
        <w:rPr>
          <w:rFonts w:ascii="Verdana" w:hAnsi="Verdana"/>
          <w:sz w:val="18"/>
          <w:szCs w:val="18"/>
        </w:rPr>
        <w:t>E</w:t>
      </w:r>
      <w:r w:rsidRPr="00A64755" w:rsidR="0014534A">
        <w:rPr>
          <w:rFonts w:ascii="Verdana" w:hAnsi="Verdana"/>
          <w:sz w:val="18"/>
          <w:szCs w:val="18"/>
        </w:rPr>
        <w:t xml:space="preserve">en dergelijke maatregel </w:t>
      </w:r>
      <w:r w:rsidR="0014534A">
        <w:rPr>
          <w:rFonts w:ascii="Verdana" w:hAnsi="Verdana"/>
          <w:sz w:val="18"/>
          <w:szCs w:val="18"/>
        </w:rPr>
        <w:t xml:space="preserve">kan echter </w:t>
      </w:r>
      <w:r w:rsidRPr="00A64755" w:rsidR="0014534A">
        <w:rPr>
          <w:rFonts w:ascii="Verdana" w:hAnsi="Verdana"/>
          <w:sz w:val="18"/>
          <w:szCs w:val="18"/>
        </w:rPr>
        <w:t xml:space="preserve">ook negatieve effecten met zich meebrengen zoals prijsopdrijvende effecten, ondermijning van de </w:t>
      </w:r>
      <w:r w:rsidR="009D52F8">
        <w:rPr>
          <w:rFonts w:ascii="Verdana" w:hAnsi="Verdana"/>
          <w:sz w:val="18"/>
          <w:szCs w:val="18"/>
        </w:rPr>
        <w:t>EU-</w:t>
      </w:r>
      <w:r w:rsidRPr="00A64755" w:rsidR="0014534A">
        <w:rPr>
          <w:rFonts w:ascii="Verdana" w:hAnsi="Verdana"/>
          <w:sz w:val="18"/>
          <w:szCs w:val="18"/>
        </w:rPr>
        <w:t>inzet op betere aanbestedingsmarkttoegang in derde landen en extra administratieve lasten</w:t>
      </w:r>
      <w:r w:rsidR="0014534A">
        <w:rPr>
          <w:rFonts w:ascii="Verdana" w:hAnsi="Verdana"/>
          <w:sz w:val="18"/>
          <w:szCs w:val="18"/>
        </w:rPr>
        <w:t xml:space="preserve">. </w:t>
      </w:r>
      <w:r w:rsidRPr="00B81E13" w:rsidR="0014534A">
        <w:rPr>
          <w:rFonts w:ascii="Verdana" w:hAnsi="Verdana"/>
          <w:sz w:val="18"/>
          <w:szCs w:val="18"/>
        </w:rPr>
        <w:t>Het kabinet geeft daarom vooralsnog de voorkeur aan een gerichte inzet van kwalitatieve eisen om de vraag naar producten van EU-bedrijven te bevorderen in strategische sectoren.</w:t>
      </w:r>
      <w:r w:rsidR="0014534A">
        <w:rPr>
          <w:rFonts w:ascii="Verdana" w:hAnsi="Verdana"/>
          <w:sz w:val="18"/>
          <w:szCs w:val="18"/>
        </w:rPr>
        <w:t xml:space="preserve"> </w:t>
      </w:r>
      <w:r w:rsidRPr="599F6E24" w:rsidR="0014534A">
        <w:rPr>
          <w:rFonts w:ascii="Verdana" w:hAnsi="Verdana"/>
          <w:sz w:val="18"/>
          <w:szCs w:val="18"/>
        </w:rPr>
        <w:t>Het is in elk geval een goede zaak dat de Commissie hierbij expliciet vermeldt dat een dergelijke clausule in overeenstemming moet zijn met de internationale verplichtingen van de Unie.</w:t>
      </w:r>
    </w:p>
    <w:p w:rsidR="00622B52" w:rsidP="000C6C27" w:rsidRDefault="00622B52" w14:paraId="1A529457" w14:textId="77777777">
      <w:pPr>
        <w:spacing w:line="360" w:lineRule="auto"/>
        <w:ind w:left="360"/>
        <w:rPr>
          <w:rFonts w:ascii="Verdana" w:hAnsi="Verdana"/>
          <w:sz w:val="18"/>
          <w:szCs w:val="18"/>
        </w:rPr>
      </w:pPr>
    </w:p>
    <w:p w:rsidR="00622B52" w:rsidP="00E04033" w:rsidRDefault="55B05840" w14:paraId="58B48852" w14:textId="69E87A9A">
      <w:pPr>
        <w:spacing w:line="360" w:lineRule="auto"/>
        <w:rPr>
          <w:rFonts w:ascii="Verdana" w:hAnsi="Verdana"/>
          <w:sz w:val="18"/>
          <w:szCs w:val="18"/>
        </w:rPr>
      </w:pPr>
      <w:r>
        <w:rPr>
          <w:rFonts w:ascii="Verdana" w:hAnsi="Verdana"/>
          <w:sz w:val="18"/>
          <w:szCs w:val="18"/>
        </w:rPr>
        <w:t>In lijn met de eerdergenoemde</w:t>
      </w:r>
      <w:r w:rsidR="70201802">
        <w:rPr>
          <w:rFonts w:ascii="Verdana" w:hAnsi="Verdana"/>
          <w:sz w:val="18"/>
          <w:szCs w:val="18"/>
        </w:rPr>
        <w:t xml:space="preserve"> Commissie-aanbeveling aangaande </w:t>
      </w:r>
      <w:r w:rsidRPr="00DE2378" w:rsidR="70201802">
        <w:rPr>
          <w:rFonts w:ascii="Verdana" w:hAnsi="Verdana"/>
          <w:sz w:val="18"/>
          <w:szCs w:val="18"/>
        </w:rPr>
        <w:t>fiscale stimulansen om investeringen in schone technologieën te bevorderen</w:t>
      </w:r>
      <w:r w:rsidR="33E900CE">
        <w:rPr>
          <w:rFonts w:ascii="Verdana" w:hAnsi="Verdana"/>
          <w:sz w:val="18"/>
          <w:szCs w:val="18"/>
        </w:rPr>
        <w:t xml:space="preserve">, </w:t>
      </w:r>
      <w:r w:rsidR="3E7EB463">
        <w:rPr>
          <w:rFonts w:ascii="Verdana" w:hAnsi="Verdana"/>
          <w:sz w:val="18"/>
          <w:szCs w:val="18"/>
        </w:rPr>
        <w:t xml:space="preserve">erkent het kabinet dat fiscale instrumenten </w:t>
      </w:r>
      <w:r w:rsidR="7C9FB96F">
        <w:rPr>
          <w:rFonts w:ascii="Verdana" w:hAnsi="Verdana"/>
          <w:sz w:val="18"/>
          <w:szCs w:val="18"/>
        </w:rPr>
        <w:t xml:space="preserve">gericht op de </w:t>
      </w:r>
      <w:proofErr w:type="spellStart"/>
      <w:r w:rsidRPr="00FA3ACD" w:rsidR="7C9FB96F">
        <w:rPr>
          <w:rFonts w:ascii="Verdana" w:hAnsi="Verdana"/>
          <w:sz w:val="18"/>
          <w:szCs w:val="18"/>
        </w:rPr>
        <w:t>cleantech</w:t>
      </w:r>
      <w:proofErr w:type="spellEnd"/>
      <w:r w:rsidR="7C9FB96F">
        <w:rPr>
          <w:rFonts w:ascii="Verdana" w:hAnsi="Verdana"/>
          <w:sz w:val="18"/>
          <w:szCs w:val="18"/>
        </w:rPr>
        <w:t>-maakindustrie en zware industrieën</w:t>
      </w:r>
      <w:r w:rsidR="761C328B">
        <w:rPr>
          <w:rFonts w:ascii="Verdana" w:hAnsi="Verdana"/>
          <w:sz w:val="18"/>
          <w:szCs w:val="18"/>
        </w:rPr>
        <w:t xml:space="preserve"> </w:t>
      </w:r>
      <w:r w:rsidR="61089EE4">
        <w:rPr>
          <w:rFonts w:ascii="Verdana" w:hAnsi="Verdana"/>
          <w:sz w:val="18"/>
          <w:szCs w:val="18"/>
        </w:rPr>
        <w:t xml:space="preserve">een positieve invloed </w:t>
      </w:r>
      <w:r w:rsidR="12FD9F67">
        <w:rPr>
          <w:rFonts w:ascii="Verdana" w:hAnsi="Verdana"/>
          <w:sz w:val="18"/>
          <w:szCs w:val="18"/>
        </w:rPr>
        <w:t xml:space="preserve">kunnen hebben </w:t>
      </w:r>
      <w:r w:rsidR="61089EE4">
        <w:rPr>
          <w:rFonts w:ascii="Verdana" w:hAnsi="Verdana"/>
          <w:sz w:val="18"/>
          <w:szCs w:val="18"/>
        </w:rPr>
        <w:t xml:space="preserve">op </w:t>
      </w:r>
      <w:r w:rsidR="008E7972">
        <w:rPr>
          <w:rFonts w:ascii="Verdana" w:hAnsi="Verdana"/>
          <w:sz w:val="18"/>
          <w:szCs w:val="18"/>
        </w:rPr>
        <w:t xml:space="preserve">de verduurzamingsopgave </w:t>
      </w:r>
      <w:r w:rsidR="34C6CF80">
        <w:rPr>
          <w:rFonts w:ascii="Verdana" w:hAnsi="Verdana"/>
          <w:sz w:val="18"/>
          <w:szCs w:val="18"/>
        </w:rPr>
        <w:t>van de chemiesector</w:t>
      </w:r>
      <w:r w:rsidR="008E7972">
        <w:rPr>
          <w:rFonts w:ascii="Verdana" w:hAnsi="Verdana"/>
          <w:sz w:val="18"/>
          <w:szCs w:val="18"/>
        </w:rPr>
        <w:t>.</w:t>
      </w:r>
      <w:r w:rsidR="005E5544">
        <w:rPr>
          <w:rStyle w:val="FootnoteReference"/>
          <w:rFonts w:ascii="Verdana" w:hAnsi="Verdana"/>
          <w:sz w:val="18"/>
          <w:szCs w:val="18"/>
        </w:rPr>
        <w:footnoteReference w:id="29"/>
      </w:r>
      <w:r w:rsidRPr="007A6315" w:rsidR="43489855">
        <w:rPr>
          <w:rFonts w:ascii="Verdana" w:hAnsi="Verdana"/>
          <w:sz w:val="18"/>
          <w:szCs w:val="18"/>
        </w:rPr>
        <w:t xml:space="preserve"> Nederland </w:t>
      </w:r>
      <w:r w:rsidRPr="1E7F230D" w:rsidR="6FA9BF07">
        <w:rPr>
          <w:rFonts w:ascii="Verdana" w:hAnsi="Verdana"/>
          <w:sz w:val="18"/>
          <w:szCs w:val="18"/>
        </w:rPr>
        <w:t xml:space="preserve">heeft </w:t>
      </w:r>
      <w:r w:rsidRPr="007A6315" w:rsidR="43489855">
        <w:rPr>
          <w:rFonts w:ascii="Verdana" w:hAnsi="Verdana"/>
          <w:sz w:val="18"/>
          <w:szCs w:val="18"/>
        </w:rPr>
        <w:t>reeds een aantal bestaande</w:t>
      </w:r>
      <w:r w:rsidRPr="1E7F230D" w:rsidR="6FA9BF07">
        <w:rPr>
          <w:rFonts w:ascii="Verdana" w:hAnsi="Verdana"/>
          <w:sz w:val="18"/>
          <w:szCs w:val="18"/>
        </w:rPr>
        <w:t xml:space="preserve"> fiscale</w:t>
      </w:r>
      <w:r w:rsidRPr="007A6315" w:rsidR="43489855">
        <w:rPr>
          <w:rFonts w:ascii="Verdana" w:hAnsi="Verdana"/>
          <w:sz w:val="18"/>
          <w:szCs w:val="18"/>
        </w:rPr>
        <w:t xml:space="preserve"> instrumenten</w:t>
      </w:r>
      <w:r w:rsidRPr="1E7F230D" w:rsidR="6FA9BF07">
        <w:rPr>
          <w:rFonts w:ascii="Verdana" w:hAnsi="Verdana"/>
          <w:sz w:val="18"/>
          <w:szCs w:val="18"/>
        </w:rPr>
        <w:t xml:space="preserve"> gericht op verduurzaming</w:t>
      </w:r>
      <w:r w:rsidRPr="007A6315" w:rsidR="43489855">
        <w:rPr>
          <w:rFonts w:ascii="Verdana" w:hAnsi="Verdana"/>
          <w:sz w:val="18"/>
          <w:szCs w:val="18"/>
        </w:rPr>
        <w:t>: de energie-investeringsaftrek (EIA), de milieu-investeringsaftrek (MIA) en de willekeurige afschrijving milieubedrijfsmiddelen (</w:t>
      </w:r>
      <w:proofErr w:type="spellStart"/>
      <w:r w:rsidRPr="007A6315" w:rsidR="43489855">
        <w:rPr>
          <w:rFonts w:ascii="Verdana" w:hAnsi="Verdana"/>
          <w:sz w:val="18"/>
          <w:szCs w:val="18"/>
        </w:rPr>
        <w:t>Vamil</w:t>
      </w:r>
      <w:proofErr w:type="spellEnd"/>
      <w:r w:rsidRPr="007A6315" w:rsidR="43489855">
        <w:rPr>
          <w:rFonts w:ascii="Verdana" w:hAnsi="Verdana"/>
          <w:sz w:val="18"/>
          <w:szCs w:val="18"/>
        </w:rPr>
        <w:t xml:space="preserve">). </w:t>
      </w:r>
      <w:r w:rsidR="43489855">
        <w:rPr>
          <w:rFonts w:ascii="Verdana" w:hAnsi="Verdana"/>
          <w:sz w:val="18"/>
          <w:szCs w:val="18"/>
        </w:rPr>
        <w:t>Het kabinet</w:t>
      </w:r>
      <w:r w:rsidRPr="007A6315" w:rsidR="43489855">
        <w:rPr>
          <w:rFonts w:ascii="Verdana" w:hAnsi="Verdana"/>
          <w:sz w:val="18"/>
          <w:szCs w:val="18"/>
        </w:rPr>
        <w:t xml:space="preserve"> vindt het belangrijk om te beoordelen of een fiscale stimuleringsregeling het meest effectieve en efficiënte instrument is om een specifieke beleidsdoelstelling te bereiken. Daarnaast is monitor</w:t>
      </w:r>
      <w:r w:rsidR="5F2C878D">
        <w:rPr>
          <w:rFonts w:ascii="Verdana" w:hAnsi="Verdana"/>
          <w:sz w:val="18"/>
          <w:szCs w:val="18"/>
        </w:rPr>
        <w:t xml:space="preserve">ing en evaluatie van </w:t>
      </w:r>
      <w:r w:rsidRPr="1E7F230D" w:rsidR="586DE25D">
        <w:rPr>
          <w:rFonts w:ascii="Verdana" w:hAnsi="Verdana"/>
          <w:sz w:val="18"/>
          <w:szCs w:val="18"/>
        </w:rPr>
        <w:t xml:space="preserve">fiscale stimuleringsregelingen van </w:t>
      </w:r>
      <w:r w:rsidR="5F2C878D">
        <w:rPr>
          <w:rFonts w:ascii="Verdana" w:hAnsi="Verdana"/>
          <w:sz w:val="18"/>
          <w:szCs w:val="18"/>
        </w:rPr>
        <w:t>belang.</w:t>
      </w:r>
    </w:p>
    <w:p w:rsidR="00622B52" w:rsidP="000C6C27" w:rsidRDefault="00622B52" w14:paraId="6824FD2D" w14:textId="77777777">
      <w:pPr>
        <w:spacing w:line="360" w:lineRule="auto"/>
        <w:ind w:left="360"/>
        <w:rPr>
          <w:rFonts w:ascii="Verdana" w:hAnsi="Verdana"/>
          <w:sz w:val="18"/>
          <w:szCs w:val="18"/>
        </w:rPr>
      </w:pPr>
    </w:p>
    <w:p w:rsidR="008309FB" w:rsidP="00E04033" w:rsidRDefault="3284AE49" w14:paraId="1384EAF4" w14:textId="5070F96D">
      <w:pPr>
        <w:spacing w:line="360" w:lineRule="auto"/>
        <w:rPr>
          <w:rFonts w:ascii="Verdana" w:hAnsi="Verdana"/>
          <w:sz w:val="18"/>
          <w:szCs w:val="18"/>
        </w:rPr>
      </w:pPr>
      <w:r>
        <w:rPr>
          <w:rFonts w:ascii="Verdana" w:hAnsi="Verdana"/>
          <w:sz w:val="18"/>
          <w:szCs w:val="18"/>
        </w:rPr>
        <w:t xml:space="preserve">Het kabinet verwelkomt het feit dat de aangekondigde </w:t>
      </w:r>
      <w:r w:rsidRPr="1E7F230D">
        <w:rPr>
          <w:rFonts w:ascii="Verdana" w:hAnsi="Verdana"/>
          <w:i/>
          <w:iCs/>
          <w:sz w:val="18"/>
          <w:szCs w:val="18"/>
        </w:rPr>
        <w:t xml:space="preserve">Advanced </w:t>
      </w:r>
      <w:proofErr w:type="spellStart"/>
      <w:r w:rsidRPr="1E7F230D">
        <w:rPr>
          <w:rFonts w:ascii="Verdana" w:hAnsi="Verdana"/>
          <w:i/>
          <w:iCs/>
          <w:sz w:val="18"/>
          <w:szCs w:val="18"/>
        </w:rPr>
        <w:t>Materials</w:t>
      </w:r>
      <w:proofErr w:type="spellEnd"/>
      <w:r w:rsidRPr="1E7F230D">
        <w:rPr>
          <w:rFonts w:ascii="Verdana" w:hAnsi="Verdana"/>
          <w:i/>
          <w:iCs/>
          <w:sz w:val="18"/>
          <w:szCs w:val="18"/>
        </w:rPr>
        <w:t xml:space="preserve"> Act</w:t>
      </w:r>
      <w:r>
        <w:rPr>
          <w:rFonts w:ascii="Verdana" w:hAnsi="Verdana"/>
          <w:sz w:val="18"/>
          <w:szCs w:val="18"/>
        </w:rPr>
        <w:t xml:space="preserve"> innovatie in de chemie zal stimuleren en belonen. Het is een goede zaak dat de Commissie expliciete vermelding maakt van het feit dat de volledige keten van R&amp;D tot productie en toepassing zal worden ondersteund. Het is een bekend probleem dat start- en </w:t>
      </w:r>
      <w:proofErr w:type="spellStart"/>
      <w:r>
        <w:rPr>
          <w:rFonts w:ascii="Verdana" w:hAnsi="Verdana"/>
          <w:sz w:val="18"/>
          <w:szCs w:val="18"/>
        </w:rPr>
        <w:t>scale</w:t>
      </w:r>
      <w:proofErr w:type="spellEnd"/>
      <w:r>
        <w:rPr>
          <w:rFonts w:ascii="Verdana" w:hAnsi="Verdana"/>
          <w:sz w:val="18"/>
          <w:szCs w:val="18"/>
        </w:rPr>
        <w:t>-ups vaak enkel ondersteuning ervaren in de vroege innovatiestadia, waarna sommige</w:t>
      </w:r>
      <w:r w:rsidR="00DF5E1E">
        <w:rPr>
          <w:rFonts w:ascii="Verdana" w:hAnsi="Verdana"/>
          <w:sz w:val="18"/>
          <w:szCs w:val="18"/>
        </w:rPr>
        <w:t xml:space="preserve"> start- en </w:t>
      </w:r>
      <w:proofErr w:type="spellStart"/>
      <w:r w:rsidR="00DF5E1E">
        <w:rPr>
          <w:rFonts w:ascii="Verdana" w:hAnsi="Verdana"/>
          <w:sz w:val="18"/>
          <w:szCs w:val="18"/>
        </w:rPr>
        <w:t>scale</w:t>
      </w:r>
      <w:proofErr w:type="spellEnd"/>
      <w:r w:rsidR="00DF5E1E">
        <w:rPr>
          <w:rFonts w:ascii="Verdana" w:hAnsi="Verdana"/>
          <w:sz w:val="18"/>
          <w:szCs w:val="18"/>
        </w:rPr>
        <w:t>-ups</w:t>
      </w:r>
      <w:r>
        <w:rPr>
          <w:rFonts w:ascii="Verdana" w:hAnsi="Verdana"/>
          <w:sz w:val="18"/>
          <w:szCs w:val="18"/>
        </w:rPr>
        <w:t xml:space="preserve"> zich genoodzaakt voelen om buiten </w:t>
      </w:r>
      <w:r w:rsidR="00DF5E1E">
        <w:rPr>
          <w:rFonts w:ascii="Verdana" w:hAnsi="Verdana"/>
          <w:sz w:val="18"/>
          <w:szCs w:val="18"/>
        </w:rPr>
        <w:t xml:space="preserve">de EU </w:t>
      </w:r>
      <w:r>
        <w:rPr>
          <w:rFonts w:ascii="Verdana" w:hAnsi="Verdana"/>
          <w:sz w:val="18"/>
          <w:szCs w:val="18"/>
        </w:rPr>
        <w:t xml:space="preserve">verder op te schalen. </w:t>
      </w:r>
      <w:r w:rsidR="5C7782E5">
        <w:rPr>
          <w:rFonts w:ascii="Verdana" w:hAnsi="Verdana"/>
          <w:sz w:val="18"/>
          <w:szCs w:val="18"/>
        </w:rPr>
        <w:t xml:space="preserve">Het kabinet </w:t>
      </w:r>
      <w:r>
        <w:rPr>
          <w:rFonts w:ascii="Verdana" w:hAnsi="Verdana"/>
          <w:sz w:val="18"/>
          <w:szCs w:val="18"/>
        </w:rPr>
        <w:t xml:space="preserve">heeft in </w:t>
      </w:r>
      <w:r w:rsidR="00DF5E1E">
        <w:rPr>
          <w:rFonts w:ascii="Verdana" w:hAnsi="Verdana"/>
          <w:sz w:val="18"/>
          <w:szCs w:val="18"/>
        </w:rPr>
        <w:t xml:space="preserve">de EU </w:t>
      </w:r>
      <w:r>
        <w:rPr>
          <w:rFonts w:ascii="Verdana" w:hAnsi="Verdana"/>
          <w:sz w:val="18"/>
          <w:szCs w:val="18"/>
        </w:rPr>
        <w:t>dan ook gepleit voor ondersteuning in elke fase van de ontwikkelingsketen.</w:t>
      </w:r>
      <w:r w:rsidR="008309FB">
        <w:rPr>
          <w:rStyle w:val="FootnoteReference"/>
          <w:rFonts w:ascii="Verdana" w:hAnsi="Verdana"/>
          <w:sz w:val="18"/>
          <w:szCs w:val="18"/>
        </w:rPr>
        <w:footnoteReference w:id="30"/>
      </w:r>
      <w:r w:rsidRPr="00F73155" w:rsidR="3A2D215D">
        <w:rPr>
          <w:rFonts w:ascii="Verdana" w:hAnsi="Verdana"/>
          <w:sz w:val="18"/>
          <w:szCs w:val="18"/>
        </w:rPr>
        <w:t xml:space="preserve"> </w:t>
      </w:r>
      <w:r w:rsidR="3A2D215D">
        <w:rPr>
          <w:rFonts w:ascii="Verdana" w:hAnsi="Verdana"/>
          <w:sz w:val="18"/>
          <w:szCs w:val="18"/>
        </w:rPr>
        <w:t xml:space="preserve">Eveneens is het kabinet voorstander </w:t>
      </w:r>
      <w:r w:rsidR="60342B16">
        <w:rPr>
          <w:rFonts w:ascii="Verdana" w:hAnsi="Verdana"/>
          <w:sz w:val="18"/>
          <w:szCs w:val="18"/>
        </w:rPr>
        <w:t xml:space="preserve">van </w:t>
      </w:r>
      <w:r w:rsidR="60342B16">
        <w:rPr>
          <w:rFonts w:ascii="Verdana" w:hAnsi="Verdana"/>
          <w:sz w:val="18"/>
          <w:szCs w:val="18"/>
        </w:rPr>
        <w:lastRenderedPageBreak/>
        <w:t>het afbouwen van dierproeven voor chemische veiligheidste</w:t>
      </w:r>
      <w:r w:rsidR="63261B77">
        <w:rPr>
          <w:rFonts w:ascii="Verdana" w:hAnsi="Verdana"/>
          <w:sz w:val="18"/>
          <w:szCs w:val="18"/>
        </w:rPr>
        <w:t xml:space="preserve">sten. </w:t>
      </w:r>
      <w:r w:rsidR="2249DE88">
        <w:rPr>
          <w:rFonts w:ascii="Verdana" w:hAnsi="Verdana"/>
          <w:sz w:val="18"/>
          <w:szCs w:val="18"/>
        </w:rPr>
        <w:t>In dit kader</w:t>
      </w:r>
      <w:r w:rsidR="2D4E1753">
        <w:rPr>
          <w:rFonts w:ascii="Verdana" w:hAnsi="Verdana"/>
          <w:sz w:val="18"/>
          <w:szCs w:val="18"/>
        </w:rPr>
        <w:t xml:space="preserve"> heeft het kabinet gepleit voor</w:t>
      </w:r>
      <w:r w:rsidR="2249DE88">
        <w:rPr>
          <w:rFonts w:ascii="Verdana" w:hAnsi="Verdana"/>
          <w:sz w:val="18"/>
          <w:szCs w:val="18"/>
        </w:rPr>
        <w:t xml:space="preserve"> </w:t>
      </w:r>
      <w:r w:rsidR="3A2D215D">
        <w:rPr>
          <w:rFonts w:ascii="Verdana" w:hAnsi="Verdana"/>
          <w:sz w:val="18"/>
          <w:szCs w:val="18"/>
        </w:rPr>
        <w:t>het opzetten van een Europese testmethode en validatiestrategie</w:t>
      </w:r>
      <w:r w:rsidR="00F73155">
        <w:rPr>
          <w:rStyle w:val="FootnoteReference"/>
          <w:rFonts w:ascii="Verdana" w:hAnsi="Verdana"/>
          <w:sz w:val="18"/>
          <w:szCs w:val="18"/>
        </w:rPr>
        <w:footnoteReference w:id="31"/>
      </w:r>
      <w:r w:rsidR="3A2D215D">
        <w:rPr>
          <w:rFonts w:ascii="Verdana" w:hAnsi="Verdana"/>
          <w:sz w:val="18"/>
          <w:szCs w:val="18"/>
        </w:rPr>
        <w:t xml:space="preserve"> om tot vernieuwing in testmethoden te komen waarmee effectiever en efficiënter de risico’s van chemische stoffen in kaart kunnen worden gebracht</w:t>
      </w:r>
      <w:r w:rsidR="2119D8A9">
        <w:rPr>
          <w:rFonts w:ascii="Verdana" w:hAnsi="Verdana"/>
          <w:sz w:val="18"/>
          <w:szCs w:val="18"/>
        </w:rPr>
        <w:t>.</w:t>
      </w:r>
    </w:p>
    <w:p w:rsidR="008309FB" w:rsidP="000C6C27" w:rsidRDefault="008309FB" w14:paraId="4E791D97" w14:textId="77777777">
      <w:pPr>
        <w:spacing w:line="360" w:lineRule="auto"/>
        <w:ind w:left="360"/>
        <w:rPr>
          <w:rFonts w:ascii="Verdana" w:hAnsi="Verdana"/>
          <w:sz w:val="18"/>
          <w:szCs w:val="18"/>
        </w:rPr>
      </w:pPr>
    </w:p>
    <w:p w:rsidRPr="00FC5FDB" w:rsidR="00FC5FDB" w:rsidP="00FC5FDB" w:rsidRDefault="00FC5FDB" w14:paraId="2B6762C8" w14:textId="69EDA6FC">
      <w:pPr>
        <w:spacing w:line="360" w:lineRule="auto"/>
        <w:rPr>
          <w:rFonts w:ascii="Verdana" w:hAnsi="Verdana"/>
          <w:sz w:val="18"/>
          <w:szCs w:val="18"/>
        </w:rPr>
      </w:pPr>
      <w:bookmarkStart w:name="OLE_LINK12" w:id="10"/>
      <w:r w:rsidRPr="00FC5FDB">
        <w:rPr>
          <w:rFonts w:ascii="Verdana" w:hAnsi="Verdana"/>
          <w:sz w:val="18"/>
          <w:szCs w:val="18"/>
        </w:rPr>
        <w:t>Het kabinet verwelkomt de voorgestelde initiatieven</w:t>
      </w:r>
      <w:r w:rsidR="00215600">
        <w:rPr>
          <w:rFonts w:ascii="Verdana" w:hAnsi="Verdana"/>
          <w:sz w:val="18"/>
          <w:szCs w:val="18"/>
        </w:rPr>
        <w:t xml:space="preserve"> in het vierde spoor van het actieplan</w:t>
      </w:r>
      <w:r w:rsidRPr="00FC5FDB">
        <w:rPr>
          <w:rFonts w:ascii="Verdana" w:hAnsi="Verdana"/>
          <w:sz w:val="18"/>
          <w:szCs w:val="18"/>
        </w:rPr>
        <w:t xml:space="preserve"> op innovatie </w:t>
      </w:r>
      <w:bookmarkEnd w:id="10"/>
      <w:r w:rsidRPr="00FC5FDB">
        <w:rPr>
          <w:rFonts w:ascii="Verdana" w:hAnsi="Verdana"/>
          <w:sz w:val="18"/>
          <w:szCs w:val="18"/>
        </w:rPr>
        <w:t xml:space="preserve">voor de chemische sector via het </w:t>
      </w:r>
      <w:r w:rsidRPr="00FF7420">
        <w:rPr>
          <w:rFonts w:ascii="Verdana" w:hAnsi="Verdana"/>
          <w:sz w:val="18"/>
          <w:szCs w:val="18"/>
        </w:rPr>
        <w:t>chemicaliënbeleid, alsook de aankomende herziening REACH</w:t>
      </w:r>
      <w:r w:rsidR="0008659E">
        <w:rPr>
          <w:rFonts w:ascii="Verdana" w:hAnsi="Verdana"/>
          <w:sz w:val="18"/>
          <w:szCs w:val="18"/>
        </w:rPr>
        <w:t xml:space="preserve"> (Q4 2025)</w:t>
      </w:r>
      <w:r w:rsidRPr="00FF7420">
        <w:rPr>
          <w:rFonts w:ascii="Verdana" w:hAnsi="Verdana"/>
          <w:sz w:val="18"/>
          <w:szCs w:val="18"/>
        </w:rPr>
        <w:t xml:space="preserve">. </w:t>
      </w:r>
      <w:r w:rsidRPr="00FF7420" w:rsidR="00413293">
        <w:rPr>
          <w:rFonts w:ascii="Verdana" w:hAnsi="Verdana"/>
          <w:sz w:val="18"/>
          <w:szCs w:val="18"/>
        </w:rPr>
        <w:t>De Commissie benoemt in het</w:t>
      </w:r>
      <w:r w:rsidR="00413293">
        <w:rPr>
          <w:rFonts w:ascii="Verdana" w:hAnsi="Verdana"/>
          <w:sz w:val="18"/>
          <w:szCs w:val="18"/>
        </w:rPr>
        <w:t xml:space="preserve"> </w:t>
      </w:r>
      <w:r w:rsidR="0050394D">
        <w:rPr>
          <w:rFonts w:ascii="Verdana" w:hAnsi="Verdana"/>
          <w:sz w:val="18"/>
          <w:szCs w:val="18"/>
        </w:rPr>
        <w:t>actieplan</w:t>
      </w:r>
      <w:r w:rsidRPr="00FC5FDB">
        <w:rPr>
          <w:rFonts w:ascii="Verdana" w:hAnsi="Verdana"/>
          <w:sz w:val="18"/>
          <w:szCs w:val="18"/>
        </w:rPr>
        <w:t xml:space="preserve"> </w:t>
      </w:r>
      <w:r w:rsidR="0050394D">
        <w:rPr>
          <w:rFonts w:ascii="Verdana" w:hAnsi="Verdana"/>
          <w:sz w:val="18"/>
          <w:szCs w:val="18"/>
        </w:rPr>
        <w:t>een aantal</w:t>
      </w:r>
      <w:r w:rsidRPr="00FC5FDB" w:rsidR="0050394D">
        <w:rPr>
          <w:rFonts w:ascii="Verdana" w:hAnsi="Verdana"/>
          <w:sz w:val="18"/>
          <w:szCs w:val="18"/>
        </w:rPr>
        <w:t xml:space="preserve"> </w:t>
      </w:r>
      <w:r w:rsidRPr="00FC5FDB">
        <w:rPr>
          <w:rFonts w:ascii="Verdana" w:hAnsi="Verdana"/>
          <w:sz w:val="18"/>
          <w:szCs w:val="18"/>
        </w:rPr>
        <w:t xml:space="preserve">voor </w:t>
      </w:r>
      <w:r w:rsidR="00AE4643">
        <w:rPr>
          <w:rFonts w:ascii="Verdana" w:hAnsi="Verdana"/>
          <w:sz w:val="18"/>
          <w:szCs w:val="18"/>
        </w:rPr>
        <w:t>het kabinet</w:t>
      </w:r>
      <w:r w:rsidRPr="00FC5FDB" w:rsidR="00AE4643">
        <w:rPr>
          <w:rFonts w:ascii="Verdana" w:hAnsi="Verdana"/>
          <w:sz w:val="18"/>
          <w:szCs w:val="18"/>
        </w:rPr>
        <w:t xml:space="preserve"> </w:t>
      </w:r>
      <w:r w:rsidRPr="00FC5FDB">
        <w:rPr>
          <w:rFonts w:ascii="Verdana" w:hAnsi="Verdana"/>
          <w:sz w:val="18"/>
          <w:szCs w:val="18"/>
        </w:rPr>
        <w:t xml:space="preserve">belangrijke randvoorwaarden, zoals het centraal </w:t>
      </w:r>
      <w:r w:rsidR="00302B12">
        <w:rPr>
          <w:rFonts w:ascii="Verdana" w:hAnsi="Verdana"/>
          <w:sz w:val="18"/>
          <w:szCs w:val="18"/>
        </w:rPr>
        <w:t>stellen</w:t>
      </w:r>
      <w:r w:rsidRPr="00FC5FDB" w:rsidR="00302B12">
        <w:rPr>
          <w:rFonts w:ascii="Verdana" w:hAnsi="Verdana"/>
          <w:sz w:val="18"/>
          <w:szCs w:val="18"/>
        </w:rPr>
        <w:t xml:space="preserve"> </w:t>
      </w:r>
      <w:r w:rsidRPr="00FC5FDB">
        <w:rPr>
          <w:rFonts w:ascii="Verdana" w:hAnsi="Verdana"/>
          <w:sz w:val="18"/>
          <w:szCs w:val="18"/>
        </w:rPr>
        <w:t xml:space="preserve">van </w:t>
      </w:r>
      <w:r w:rsidRPr="00FC5FDB">
        <w:rPr>
          <w:rFonts w:ascii="Verdana" w:hAnsi="Verdana"/>
          <w:i/>
          <w:iCs/>
          <w:sz w:val="18"/>
          <w:szCs w:val="18"/>
        </w:rPr>
        <w:t xml:space="preserve">Safe </w:t>
      </w:r>
      <w:proofErr w:type="spellStart"/>
      <w:r w:rsidRPr="00FC5FDB">
        <w:rPr>
          <w:rFonts w:ascii="Verdana" w:hAnsi="Verdana"/>
          <w:i/>
          <w:iCs/>
          <w:sz w:val="18"/>
          <w:szCs w:val="18"/>
        </w:rPr>
        <w:t>and</w:t>
      </w:r>
      <w:proofErr w:type="spellEnd"/>
      <w:r w:rsidRPr="00FC5FDB">
        <w:rPr>
          <w:rFonts w:ascii="Verdana" w:hAnsi="Verdana"/>
          <w:i/>
          <w:iCs/>
          <w:sz w:val="18"/>
          <w:szCs w:val="18"/>
        </w:rPr>
        <w:t xml:space="preserve"> </w:t>
      </w:r>
      <w:proofErr w:type="spellStart"/>
      <w:r w:rsidRPr="00FC5FDB">
        <w:rPr>
          <w:rFonts w:ascii="Verdana" w:hAnsi="Verdana"/>
          <w:i/>
          <w:iCs/>
          <w:sz w:val="18"/>
          <w:szCs w:val="18"/>
        </w:rPr>
        <w:t>Sustainable</w:t>
      </w:r>
      <w:proofErr w:type="spellEnd"/>
      <w:r w:rsidRPr="00FC5FDB">
        <w:rPr>
          <w:rFonts w:ascii="Verdana" w:hAnsi="Verdana"/>
          <w:i/>
          <w:iCs/>
          <w:sz w:val="18"/>
          <w:szCs w:val="18"/>
        </w:rPr>
        <w:t xml:space="preserve"> </w:t>
      </w:r>
      <w:proofErr w:type="spellStart"/>
      <w:r w:rsidRPr="00FC5FDB">
        <w:rPr>
          <w:rFonts w:ascii="Verdana" w:hAnsi="Verdana"/>
          <w:i/>
          <w:iCs/>
          <w:sz w:val="18"/>
          <w:szCs w:val="18"/>
        </w:rPr>
        <w:t>by</w:t>
      </w:r>
      <w:proofErr w:type="spellEnd"/>
      <w:r w:rsidRPr="00FC5FDB">
        <w:rPr>
          <w:rFonts w:ascii="Verdana" w:hAnsi="Verdana"/>
          <w:i/>
          <w:iCs/>
          <w:sz w:val="18"/>
          <w:szCs w:val="18"/>
        </w:rPr>
        <w:t xml:space="preserve"> Design</w:t>
      </w:r>
      <w:r w:rsidRPr="00FC5FDB">
        <w:rPr>
          <w:rFonts w:ascii="Verdana" w:hAnsi="Verdana"/>
          <w:sz w:val="18"/>
          <w:szCs w:val="18"/>
        </w:rPr>
        <w:t xml:space="preserve"> binnen de innovatiehubs en dierproefvrije testmethodieken. Het kabinet ziet graag de uitwerking van deze voorstellen tegemoet om </w:t>
      </w:r>
      <w:r w:rsidR="0006674E">
        <w:rPr>
          <w:rFonts w:ascii="Verdana" w:hAnsi="Verdana"/>
          <w:sz w:val="18"/>
          <w:szCs w:val="18"/>
        </w:rPr>
        <w:t xml:space="preserve">deze </w:t>
      </w:r>
      <w:r w:rsidRPr="00FC5FDB">
        <w:rPr>
          <w:rFonts w:ascii="Verdana" w:hAnsi="Verdana"/>
          <w:sz w:val="18"/>
          <w:szCs w:val="18"/>
        </w:rPr>
        <w:t>te beoordelen. Voor het kabinet is</w:t>
      </w:r>
      <w:r w:rsidR="0006674E">
        <w:rPr>
          <w:rFonts w:ascii="Verdana" w:hAnsi="Verdana"/>
          <w:sz w:val="18"/>
          <w:szCs w:val="18"/>
        </w:rPr>
        <w:t xml:space="preserve"> het</w:t>
      </w:r>
      <w:r w:rsidRPr="00FC5FDB">
        <w:rPr>
          <w:rFonts w:ascii="Verdana" w:hAnsi="Verdana"/>
          <w:sz w:val="18"/>
          <w:szCs w:val="18"/>
        </w:rPr>
        <w:t xml:space="preserve"> essentieel dat deze </w:t>
      </w:r>
      <w:r w:rsidR="0006674E">
        <w:rPr>
          <w:rFonts w:ascii="Verdana" w:hAnsi="Verdana"/>
          <w:sz w:val="18"/>
          <w:szCs w:val="18"/>
        </w:rPr>
        <w:t xml:space="preserve">voorstellen </w:t>
      </w:r>
      <w:r w:rsidRPr="00FC5FDB">
        <w:rPr>
          <w:rFonts w:ascii="Verdana" w:hAnsi="Verdana"/>
          <w:sz w:val="18"/>
          <w:szCs w:val="18"/>
        </w:rPr>
        <w:t>bijdragen aan zowel de versterking van de concurrentiepositie van de chemiesector als aan de hoge bescherming van de volksgezondheid en leefomgeving.</w:t>
      </w:r>
    </w:p>
    <w:p w:rsidRPr="00FC5FDB" w:rsidR="003C6403" w:rsidP="2340420D" w:rsidRDefault="003C6403" w14:paraId="5B087F97" w14:textId="28CF6876">
      <w:pPr>
        <w:spacing w:line="360" w:lineRule="auto"/>
        <w:rPr>
          <w:rFonts w:ascii="Verdana" w:hAnsi="Verdana"/>
          <w:i/>
          <w:iCs/>
          <w:sz w:val="18"/>
          <w:szCs w:val="18"/>
          <w:u w:val="single"/>
        </w:rPr>
      </w:pPr>
    </w:p>
    <w:p w:rsidRPr="00FD0CBD" w:rsidR="00FD0CBD" w:rsidP="00FD0CBD" w:rsidRDefault="009B3EED" w14:paraId="7013A988" w14:textId="77777777">
      <w:pPr>
        <w:numPr>
          <w:ilvl w:val="0"/>
          <w:numId w:val="21"/>
        </w:numPr>
        <w:spacing w:line="360" w:lineRule="auto"/>
        <w:rPr>
          <w:rFonts w:ascii="Verdana" w:hAnsi="Verdana"/>
          <w:i/>
          <w:sz w:val="18"/>
          <w:szCs w:val="18"/>
        </w:rPr>
      </w:pPr>
      <w:r>
        <w:rPr>
          <w:rFonts w:ascii="Verdana" w:hAnsi="Verdana"/>
          <w:i/>
          <w:sz w:val="18"/>
          <w:szCs w:val="18"/>
        </w:rPr>
        <w:t>Eerste inschatting van k</w:t>
      </w:r>
      <w:r w:rsidR="00FD0CBD">
        <w:rPr>
          <w:rFonts w:ascii="Verdana" w:hAnsi="Verdana"/>
          <w:i/>
          <w:sz w:val="18"/>
          <w:szCs w:val="18"/>
        </w:rPr>
        <w:t>rachtenveld</w:t>
      </w:r>
    </w:p>
    <w:p w:rsidR="00CC6185" w:rsidP="0064352A" w:rsidRDefault="00196AEB" w14:paraId="610DD95E" w14:textId="191DAD5B">
      <w:pPr>
        <w:tabs>
          <w:tab w:val="left" w:pos="360"/>
          <w:tab w:val="left" w:pos="4500"/>
          <w:tab w:val="left" w:pos="5580"/>
        </w:tabs>
        <w:spacing w:line="360" w:lineRule="auto"/>
        <w:rPr>
          <w:rFonts w:ascii="Verdana" w:hAnsi="Verdana"/>
          <w:sz w:val="18"/>
          <w:szCs w:val="18"/>
        </w:rPr>
      </w:pPr>
      <w:r w:rsidRPr="00196AEB">
        <w:rPr>
          <w:rFonts w:ascii="Verdana" w:hAnsi="Verdana"/>
          <w:sz w:val="18"/>
          <w:szCs w:val="18"/>
        </w:rPr>
        <w:t>Er is consensus onder de lidstaten over de noodzaak om het concurrentievermogen van de Europese industrie actief te versterken. Verschillen tussen lidstaten zijn er met name in de mate waarin en</w:t>
      </w:r>
      <w:r w:rsidR="00256C4E">
        <w:rPr>
          <w:rFonts w:ascii="Verdana" w:hAnsi="Verdana"/>
          <w:sz w:val="18"/>
          <w:szCs w:val="18"/>
        </w:rPr>
        <w:t xml:space="preserve"> de</w:t>
      </w:r>
      <w:r w:rsidRPr="00196AEB">
        <w:rPr>
          <w:rFonts w:ascii="Verdana" w:hAnsi="Verdana"/>
          <w:sz w:val="18"/>
          <w:szCs w:val="18"/>
        </w:rPr>
        <w:t xml:space="preserve"> manier waarop het concurrentievermogen van de Europese industrie versterkt dient te worden. Ook leek er initieel </w:t>
      </w:r>
      <w:r w:rsidR="00793FD2">
        <w:rPr>
          <w:rFonts w:ascii="Verdana" w:hAnsi="Verdana"/>
          <w:sz w:val="18"/>
          <w:szCs w:val="18"/>
        </w:rPr>
        <w:t>een</w:t>
      </w:r>
      <w:r w:rsidRPr="00196AEB">
        <w:rPr>
          <w:rFonts w:ascii="Verdana" w:hAnsi="Verdana"/>
          <w:sz w:val="18"/>
          <w:szCs w:val="18"/>
        </w:rPr>
        <w:t xml:space="preserve"> tweedeling te ontstaan met betrekking tot de mate waarin klimaatambities en concurrentiekracht elkaar zouden versterken dan wel tegenwerken. De Commissie houdt met dit voorstel de benadering aan dat klimaatambities en concurrentiekracht elkaar kunnen versterken. Daarbij is de </w:t>
      </w:r>
      <w:r w:rsidR="00CC6185">
        <w:rPr>
          <w:rFonts w:ascii="Verdana" w:hAnsi="Verdana"/>
          <w:sz w:val="18"/>
          <w:szCs w:val="18"/>
        </w:rPr>
        <w:t>chemie</w:t>
      </w:r>
      <w:r w:rsidRPr="00196AEB">
        <w:rPr>
          <w:rFonts w:ascii="Verdana" w:hAnsi="Verdana"/>
          <w:sz w:val="18"/>
          <w:szCs w:val="18"/>
        </w:rPr>
        <w:t xml:space="preserve">sector niet in elk land even groot en zal dit actieplan mogelijk niet voor elke lidstaat </w:t>
      </w:r>
      <w:r w:rsidR="006A13B6">
        <w:rPr>
          <w:rFonts w:ascii="Verdana" w:hAnsi="Verdana"/>
          <w:sz w:val="18"/>
          <w:szCs w:val="18"/>
        </w:rPr>
        <w:t xml:space="preserve">even </w:t>
      </w:r>
      <w:r w:rsidRPr="00196AEB">
        <w:rPr>
          <w:rFonts w:ascii="Verdana" w:hAnsi="Verdana"/>
          <w:sz w:val="18"/>
          <w:szCs w:val="18"/>
        </w:rPr>
        <w:t xml:space="preserve">hoge prioriteit genieten. </w:t>
      </w:r>
      <w:r w:rsidR="007407EB">
        <w:rPr>
          <w:rFonts w:ascii="Verdana" w:hAnsi="Verdana"/>
          <w:sz w:val="18"/>
          <w:szCs w:val="18"/>
        </w:rPr>
        <w:t>Wel valt op te merken dat landen met een traditioneel sterke industriesector</w:t>
      </w:r>
      <w:r w:rsidR="006A13B6">
        <w:rPr>
          <w:rFonts w:ascii="Verdana" w:hAnsi="Verdana"/>
          <w:sz w:val="18"/>
          <w:szCs w:val="18"/>
        </w:rPr>
        <w:t xml:space="preserve">, waaronder Nederland, </w:t>
      </w:r>
      <w:r w:rsidR="00CE2A9B">
        <w:rPr>
          <w:rFonts w:ascii="Verdana" w:hAnsi="Verdana"/>
          <w:sz w:val="18"/>
          <w:szCs w:val="18"/>
        </w:rPr>
        <w:t xml:space="preserve">zich steeds meer gestructureerd beginnen te verenigen. </w:t>
      </w:r>
    </w:p>
    <w:p w:rsidR="00CC6185" w:rsidP="0064352A" w:rsidRDefault="00CC6185" w14:paraId="76D30F29" w14:textId="77777777">
      <w:pPr>
        <w:tabs>
          <w:tab w:val="left" w:pos="360"/>
          <w:tab w:val="left" w:pos="4500"/>
          <w:tab w:val="left" w:pos="5580"/>
        </w:tabs>
        <w:spacing w:line="360" w:lineRule="auto"/>
        <w:rPr>
          <w:rFonts w:ascii="Verdana" w:hAnsi="Verdana"/>
          <w:sz w:val="18"/>
          <w:szCs w:val="18"/>
        </w:rPr>
      </w:pPr>
    </w:p>
    <w:p w:rsidR="00E64FDC" w:rsidP="0064352A" w:rsidRDefault="00196AEB" w14:paraId="65CCB4C9" w14:textId="49CB4160">
      <w:pPr>
        <w:tabs>
          <w:tab w:val="left" w:pos="360"/>
          <w:tab w:val="left" w:pos="4500"/>
          <w:tab w:val="left" w:pos="5580"/>
        </w:tabs>
        <w:spacing w:line="360" w:lineRule="auto"/>
        <w:rPr>
          <w:rFonts w:ascii="Verdana" w:hAnsi="Verdana"/>
          <w:b/>
          <w:sz w:val="18"/>
          <w:szCs w:val="18"/>
        </w:rPr>
      </w:pPr>
      <w:r w:rsidRPr="00196AEB">
        <w:rPr>
          <w:rFonts w:ascii="Verdana" w:hAnsi="Verdana"/>
          <w:sz w:val="18"/>
          <w:szCs w:val="18"/>
        </w:rPr>
        <w:t xml:space="preserve">Het Europees Parlement </w:t>
      </w:r>
      <w:r w:rsidR="00335264">
        <w:rPr>
          <w:rFonts w:ascii="Verdana" w:hAnsi="Verdana"/>
          <w:sz w:val="18"/>
          <w:szCs w:val="18"/>
        </w:rPr>
        <w:t xml:space="preserve">(hierna: EP) </w:t>
      </w:r>
      <w:r w:rsidRPr="00196AEB">
        <w:rPr>
          <w:rFonts w:ascii="Verdana" w:hAnsi="Verdana"/>
          <w:sz w:val="18"/>
          <w:szCs w:val="18"/>
        </w:rPr>
        <w:t>laat enigszins dezelfde ideologische lijnen zien als bij de CID. Het E</w:t>
      </w:r>
      <w:r w:rsidR="00335264">
        <w:rPr>
          <w:rFonts w:ascii="Verdana" w:hAnsi="Verdana"/>
          <w:sz w:val="18"/>
          <w:szCs w:val="18"/>
        </w:rPr>
        <w:t>P</w:t>
      </w:r>
      <w:r w:rsidRPr="00196AEB">
        <w:rPr>
          <w:rFonts w:ascii="Verdana" w:hAnsi="Verdana"/>
          <w:sz w:val="18"/>
          <w:szCs w:val="18"/>
        </w:rPr>
        <w:t xml:space="preserve"> is voorzichtig positief over het </w:t>
      </w:r>
      <w:r w:rsidR="003B56C4">
        <w:rPr>
          <w:rFonts w:ascii="Verdana" w:hAnsi="Verdana"/>
          <w:sz w:val="18"/>
          <w:szCs w:val="18"/>
        </w:rPr>
        <w:t xml:space="preserve">gepresenteerde pakket aan </w:t>
      </w:r>
      <w:r w:rsidRPr="00196AEB">
        <w:rPr>
          <w:rFonts w:ascii="Verdana" w:hAnsi="Verdana"/>
          <w:sz w:val="18"/>
          <w:szCs w:val="18"/>
        </w:rPr>
        <w:t>voorstel</w:t>
      </w:r>
      <w:r w:rsidR="003B56C4">
        <w:rPr>
          <w:rFonts w:ascii="Verdana" w:hAnsi="Verdana"/>
          <w:sz w:val="18"/>
          <w:szCs w:val="18"/>
        </w:rPr>
        <w:t>len</w:t>
      </w:r>
      <w:r w:rsidRPr="00196AEB">
        <w:rPr>
          <w:rFonts w:ascii="Verdana" w:hAnsi="Verdana"/>
          <w:sz w:val="18"/>
          <w:szCs w:val="18"/>
        </w:rPr>
        <w:t xml:space="preserve"> van de Commissie. In verschillende politieke fracties wordt de noodzaak van de gestelde doelen erkend en bestaat tevredenheid over het feit dat de relevante problematiek een Europees antwoord krijgt. Wel bestaat </w:t>
      </w:r>
      <w:r w:rsidR="00E829D6">
        <w:rPr>
          <w:rFonts w:ascii="Verdana" w:hAnsi="Verdana"/>
          <w:sz w:val="18"/>
          <w:szCs w:val="18"/>
        </w:rPr>
        <w:t xml:space="preserve">een verschil van inzicht </w:t>
      </w:r>
      <w:r w:rsidRPr="00196AEB">
        <w:rPr>
          <w:rFonts w:ascii="Verdana" w:hAnsi="Verdana"/>
          <w:sz w:val="18"/>
          <w:szCs w:val="18"/>
        </w:rPr>
        <w:t xml:space="preserve">over </w:t>
      </w:r>
      <w:r w:rsidR="001B2622">
        <w:rPr>
          <w:rFonts w:ascii="Verdana" w:hAnsi="Verdana"/>
          <w:sz w:val="18"/>
          <w:szCs w:val="18"/>
        </w:rPr>
        <w:t xml:space="preserve">de mate </w:t>
      </w:r>
      <w:r w:rsidR="00CF4EE6">
        <w:rPr>
          <w:rFonts w:ascii="Verdana" w:hAnsi="Verdana"/>
          <w:sz w:val="18"/>
          <w:szCs w:val="18"/>
        </w:rPr>
        <w:t>waarin</w:t>
      </w:r>
      <w:r w:rsidRPr="00196AEB" w:rsidR="00CF4EE6">
        <w:rPr>
          <w:rFonts w:ascii="Verdana" w:hAnsi="Verdana"/>
          <w:sz w:val="18"/>
          <w:szCs w:val="18"/>
        </w:rPr>
        <w:t xml:space="preserve"> </w:t>
      </w:r>
      <w:r w:rsidRPr="00196AEB">
        <w:rPr>
          <w:rFonts w:ascii="Verdana" w:hAnsi="Verdana"/>
          <w:sz w:val="18"/>
          <w:szCs w:val="18"/>
        </w:rPr>
        <w:t>ingrijpen noodzakelijk is vanuit veiligheid</w:t>
      </w:r>
      <w:r w:rsidR="00FA0573">
        <w:rPr>
          <w:rFonts w:ascii="Verdana" w:hAnsi="Verdana"/>
          <w:sz w:val="18"/>
          <w:szCs w:val="18"/>
        </w:rPr>
        <w:t>- en gezondheid</w:t>
      </w:r>
      <w:r w:rsidRPr="00196AEB">
        <w:rPr>
          <w:rFonts w:ascii="Verdana" w:hAnsi="Verdana"/>
          <w:sz w:val="18"/>
          <w:szCs w:val="18"/>
        </w:rPr>
        <w:t xml:space="preserve">sperspectief. </w:t>
      </w:r>
    </w:p>
    <w:p w:rsidR="00E04033" w:rsidP="00E04033" w:rsidRDefault="00E04033" w14:paraId="043CB65C" w14:textId="77777777">
      <w:pPr>
        <w:rPr>
          <w:b/>
          <w:sz w:val="18"/>
          <w:szCs w:val="18"/>
        </w:rPr>
      </w:pPr>
    </w:p>
    <w:p w:rsidR="00366529" w:rsidP="00E04033" w:rsidRDefault="00366529" w14:paraId="74A04277" w14:textId="77777777">
      <w:pPr>
        <w:rPr>
          <w:b/>
          <w:sz w:val="18"/>
          <w:szCs w:val="18"/>
        </w:rPr>
      </w:pPr>
    </w:p>
    <w:p w:rsidR="00366529" w:rsidP="00E04033" w:rsidRDefault="00366529" w14:paraId="2A06A0DD" w14:textId="77777777">
      <w:pPr>
        <w:rPr>
          <w:b/>
          <w:sz w:val="18"/>
          <w:szCs w:val="18"/>
        </w:rPr>
      </w:pPr>
    </w:p>
    <w:p w:rsidR="00366529" w:rsidP="00E04033" w:rsidRDefault="00366529" w14:paraId="10FC7465" w14:textId="77777777">
      <w:pPr>
        <w:rPr>
          <w:b/>
          <w:sz w:val="18"/>
          <w:szCs w:val="18"/>
        </w:rPr>
      </w:pPr>
    </w:p>
    <w:p w:rsidR="00366529" w:rsidP="00E04033" w:rsidRDefault="00366529" w14:paraId="5B2AE5A5" w14:textId="77777777">
      <w:pPr>
        <w:rPr>
          <w:b/>
          <w:sz w:val="18"/>
          <w:szCs w:val="18"/>
        </w:rPr>
      </w:pPr>
    </w:p>
    <w:p w:rsidRPr="00E04033" w:rsidR="00366529" w:rsidP="00E04033" w:rsidRDefault="00366529" w14:paraId="26539EFA" w14:textId="77777777">
      <w:pPr>
        <w:rPr>
          <w:b/>
          <w:sz w:val="18"/>
          <w:szCs w:val="18"/>
        </w:rPr>
      </w:pPr>
    </w:p>
    <w:p w:rsidRPr="00E04033" w:rsidR="00EB4488" w:rsidP="00E04033" w:rsidRDefault="00EB4488" w14:paraId="10DA8C3D" w14:textId="6B200239">
      <w:pPr>
        <w:pStyle w:val="ListParagraph"/>
        <w:numPr>
          <w:ilvl w:val="0"/>
          <w:numId w:val="15"/>
        </w:numPr>
        <w:rPr>
          <w:rFonts w:ascii="Verdana" w:hAnsi="Verdana"/>
          <w:b/>
          <w:sz w:val="18"/>
          <w:szCs w:val="18"/>
        </w:rPr>
      </w:pPr>
      <w:r w:rsidRPr="00E04033">
        <w:rPr>
          <w:rFonts w:ascii="Verdana" w:hAnsi="Verdana"/>
          <w:b/>
          <w:sz w:val="18"/>
          <w:szCs w:val="18"/>
        </w:rPr>
        <w:lastRenderedPageBreak/>
        <w:t xml:space="preserve">Grondhouding ten aanzien van bevoegdheid, subsidiariteit, proportionaliteit, financiële gevolgen en gevolgen voor regeldruk, concurrentiekracht en geopolitieke aspecten </w:t>
      </w:r>
    </w:p>
    <w:p w:rsidR="00EB4488" w:rsidP="00EB4488" w:rsidRDefault="00EB4488" w14:paraId="2B42B117" w14:textId="77777777">
      <w:pPr>
        <w:spacing w:line="360" w:lineRule="auto"/>
        <w:ind w:left="360"/>
        <w:rPr>
          <w:rFonts w:ascii="Verdana" w:hAnsi="Verdana"/>
          <w:b/>
          <w:sz w:val="18"/>
          <w:szCs w:val="18"/>
        </w:rPr>
      </w:pPr>
    </w:p>
    <w:p w:rsidR="00EB4488" w:rsidP="00EB4488" w:rsidRDefault="00EB4488" w14:paraId="38908A49" w14:textId="77777777">
      <w:pPr>
        <w:numPr>
          <w:ilvl w:val="0"/>
          <w:numId w:val="42"/>
        </w:numPr>
        <w:spacing w:line="360" w:lineRule="auto"/>
        <w:rPr>
          <w:rFonts w:ascii="Verdana" w:hAnsi="Verdana"/>
          <w:i/>
          <w:sz w:val="18"/>
          <w:szCs w:val="18"/>
        </w:rPr>
      </w:pPr>
      <w:r>
        <w:rPr>
          <w:rFonts w:ascii="Verdana" w:hAnsi="Verdana"/>
          <w:i/>
          <w:sz w:val="18"/>
          <w:szCs w:val="18"/>
        </w:rPr>
        <w:t>Bevoegdheid</w:t>
      </w:r>
    </w:p>
    <w:p w:rsidR="00EB4488" w:rsidP="00EB4488" w:rsidRDefault="00EB4488" w14:paraId="1C15DE93" w14:textId="744D6215">
      <w:pPr>
        <w:tabs>
          <w:tab w:val="left" w:pos="340"/>
          <w:tab w:val="left" w:pos="680"/>
          <w:tab w:val="left" w:pos="1021"/>
          <w:tab w:val="left" w:pos="1361"/>
          <w:tab w:val="left" w:pos="1701"/>
          <w:tab w:val="left" w:pos="3402"/>
        </w:tabs>
        <w:spacing w:line="360" w:lineRule="auto"/>
        <w:rPr>
          <w:rFonts w:ascii="Verdana" w:hAnsi="Verdana"/>
          <w:sz w:val="18"/>
          <w:szCs w:val="18"/>
        </w:rPr>
      </w:pPr>
      <w:r>
        <w:rPr>
          <w:rFonts w:ascii="Verdana" w:hAnsi="Verdana"/>
          <w:sz w:val="18"/>
          <w:szCs w:val="18"/>
        </w:rPr>
        <w:t>De grondhouding van het kabinet is positief. De mededeling heeft betrekking op industrie-, handels-</w:t>
      </w:r>
      <w:r w:rsidR="00256C4E">
        <w:rPr>
          <w:rFonts w:ascii="Verdana" w:hAnsi="Verdana"/>
          <w:sz w:val="18"/>
          <w:szCs w:val="18"/>
        </w:rPr>
        <w:t>,</w:t>
      </w:r>
      <w:r>
        <w:rPr>
          <w:rFonts w:ascii="Verdana" w:hAnsi="Verdana"/>
          <w:sz w:val="18"/>
          <w:szCs w:val="18"/>
        </w:rPr>
        <w:t xml:space="preserve"> klimaat-, energie- en interne marktbeleid. Op het terrein van industrie is sprake van een aanvullende bevoegdheid tussen de EU en lidstaten, conform artikel 6, sub b VWEU. Op </w:t>
      </w:r>
      <w:r w:rsidR="0047402A">
        <w:rPr>
          <w:rFonts w:ascii="Verdana" w:hAnsi="Verdana"/>
          <w:sz w:val="18"/>
          <w:szCs w:val="18"/>
        </w:rPr>
        <w:t xml:space="preserve">interne markt-, </w:t>
      </w:r>
      <w:r>
        <w:rPr>
          <w:rFonts w:ascii="Verdana" w:hAnsi="Verdana"/>
          <w:sz w:val="18"/>
          <w:szCs w:val="18"/>
        </w:rPr>
        <w:t xml:space="preserve">milieu- en energiegebied is sprake van een gedeelde bevoegdheid, conform artikel 4, lid 2, sub </w:t>
      </w:r>
      <w:r w:rsidR="0047402A">
        <w:rPr>
          <w:rFonts w:ascii="Verdana" w:hAnsi="Verdana"/>
          <w:sz w:val="18"/>
          <w:szCs w:val="18"/>
        </w:rPr>
        <w:t xml:space="preserve">a, </w:t>
      </w:r>
      <w:r>
        <w:rPr>
          <w:rFonts w:ascii="Verdana" w:hAnsi="Verdana"/>
          <w:sz w:val="18"/>
          <w:szCs w:val="18"/>
        </w:rPr>
        <w:t>e en i VWEU. Op het terrein van gemeenschappelijke handelspolitiek en van de vaststelling van mededingingsregels die voor de werking van de interne markt nodig zijn, waar ook de staatssteunregels onder vallen, is sprake van een exclusieve bevoegdheid van de EU, conform artikel 3, lid 1, sub b en e VWEU.</w:t>
      </w:r>
    </w:p>
    <w:p w:rsidR="00EB4488" w:rsidP="00EB4488" w:rsidRDefault="00EB4488" w14:paraId="7492F139" w14:textId="77777777">
      <w:pPr>
        <w:tabs>
          <w:tab w:val="left" w:pos="340"/>
          <w:tab w:val="left" w:pos="680"/>
          <w:tab w:val="left" w:pos="1021"/>
          <w:tab w:val="left" w:pos="1361"/>
          <w:tab w:val="left" w:pos="1701"/>
          <w:tab w:val="left" w:pos="3402"/>
        </w:tabs>
        <w:spacing w:line="360" w:lineRule="auto"/>
        <w:rPr>
          <w:rFonts w:ascii="Verdana" w:hAnsi="Verdana"/>
          <w:i/>
          <w:sz w:val="18"/>
          <w:szCs w:val="18"/>
        </w:rPr>
      </w:pPr>
    </w:p>
    <w:p w:rsidR="00EB4488" w:rsidP="00EB4488" w:rsidRDefault="00EB4488" w14:paraId="443D1417" w14:textId="77777777">
      <w:pPr>
        <w:numPr>
          <w:ilvl w:val="0"/>
          <w:numId w:val="42"/>
        </w:numPr>
        <w:spacing w:line="360" w:lineRule="auto"/>
        <w:rPr>
          <w:rFonts w:ascii="Verdana" w:hAnsi="Verdana"/>
          <w:i/>
          <w:sz w:val="18"/>
          <w:szCs w:val="18"/>
        </w:rPr>
      </w:pPr>
      <w:r>
        <w:rPr>
          <w:rFonts w:ascii="Verdana" w:hAnsi="Verdana"/>
          <w:i/>
          <w:sz w:val="18"/>
          <w:szCs w:val="18"/>
        </w:rPr>
        <w:t>Subsidiariteit</w:t>
      </w:r>
    </w:p>
    <w:p w:rsidR="00EB4488" w:rsidP="00EB4488" w:rsidRDefault="00EB4488" w14:paraId="76387DE9" w14:textId="3DB13003">
      <w:pPr>
        <w:spacing w:line="360" w:lineRule="auto"/>
        <w:rPr>
          <w:rFonts w:ascii="Verdana" w:hAnsi="Verdana"/>
          <w:iCs/>
          <w:color w:val="FF0000"/>
          <w:sz w:val="18"/>
          <w:szCs w:val="18"/>
        </w:rPr>
      </w:pPr>
      <w:bookmarkStart w:name="OLE_LINK10" w:id="11"/>
      <w:r>
        <w:rPr>
          <w:rFonts w:ascii="Verdana" w:hAnsi="Verdana"/>
          <w:iCs/>
          <w:sz w:val="18"/>
          <w:szCs w:val="18"/>
        </w:rPr>
        <w:t xml:space="preserve">De grondhouding van het kabinet is positief. De mededeling heeft tot doel de Europese chemiesector te ondersteunen in de mondiale transitie naar groene, weerbare en concurrerende processen. </w:t>
      </w:r>
      <w:bookmarkEnd w:id="11"/>
      <w:r w:rsidRPr="57EB3157" w:rsidR="00C13432">
        <w:rPr>
          <w:rFonts w:ascii="Verdana" w:hAnsi="Verdana"/>
          <w:sz w:val="18"/>
          <w:szCs w:val="18"/>
        </w:rPr>
        <w:t xml:space="preserve">Coördinatie op Europees niveau is wenselijk om de verschillende beleidsambities voor het verbeteren van concurrentievermogen, vergroten van weerbaarheid en verduurzaming integraal te benaderen. </w:t>
      </w:r>
      <w:r>
        <w:rPr>
          <w:rFonts w:ascii="Verdana" w:hAnsi="Verdana"/>
          <w:iCs/>
          <w:sz w:val="18"/>
          <w:szCs w:val="18"/>
        </w:rPr>
        <w:t>Gezien de were</w:t>
      </w:r>
      <w:r w:rsidR="00484C0B">
        <w:rPr>
          <w:rFonts w:ascii="Verdana" w:hAnsi="Verdana"/>
          <w:iCs/>
          <w:sz w:val="18"/>
          <w:szCs w:val="18"/>
        </w:rPr>
        <w:t>l</w:t>
      </w:r>
      <w:r>
        <w:rPr>
          <w:rFonts w:ascii="Verdana" w:hAnsi="Verdana"/>
          <w:iCs/>
          <w:sz w:val="18"/>
          <w:szCs w:val="18"/>
        </w:rPr>
        <w:t xml:space="preserve">dwijde </w:t>
      </w:r>
      <w:proofErr w:type="spellStart"/>
      <w:r>
        <w:rPr>
          <w:rFonts w:ascii="Verdana" w:hAnsi="Verdana"/>
          <w:iCs/>
          <w:sz w:val="18"/>
          <w:szCs w:val="18"/>
        </w:rPr>
        <w:t>waardeketens</w:t>
      </w:r>
      <w:proofErr w:type="spellEnd"/>
      <w:r>
        <w:rPr>
          <w:rFonts w:ascii="Verdana" w:hAnsi="Verdana"/>
          <w:iCs/>
          <w:sz w:val="18"/>
          <w:szCs w:val="18"/>
        </w:rPr>
        <w:t>, marktontwikkelingen en Europese belangen kan dit onvoldoende door de lidstaten op centraal, regionaal of lokaal niveau worden verwezenlijkt, daarom is EU-coördinatie benodigd. De aangekondigde maatregelen, investeringen en aanbevelingen hebben de potentie om het gelijk speelveld in de EU en mondiaal te verbeteren en om belemmeringen op de interne markt voor groene productie weg te nemen en te voorkomen. Om die redenen is optreden op het niveau van de EU gerechtvaardigd.</w:t>
      </w:r>
    </w:p>
    <w:p w:rsidR="00EB4488" w:rsidP="00EB4488" w:rsidRDefault="00EB4488" w14:paraId="70433F64" w14:textId="77777777">
      <w:pPr>
        <w:spacing w:line="360" w:lineRule="auto"/>
        <w:rPr>
          <w:rFonts w:ascii="Verdana" w:hAnsi="Verdana"/>
          <w:color w:val="FF0000"/>
          <w:sz w:val="18"/>
          <w:szCs w:val="18"/>
        </w:rPr>
      </w:pPr>
    </w:p>
    <w:p w:rsidR="00EB4488" w:rsidP="00EB4488" w:rsidRDefault="00EB4488" w14:paraId="5EE3C0CF" w14:textId="77777777">
      <w:pPr>
        <w:numPr>
          <w:ilvl w:val="0"/>
          <w:numId w:val="42"/>
        </w:numPr>
        <w:spacing w:line="360" w:lineRule="auto"/>
        <w:rPr>
          <w:rFonts w:ascii="Verdana" w:hAnsi="Verdana"/>
          <w:i/>
          <w:sz w:val="18"/>
          <w:szCs w:val="18"/>
        </w:rPr>
      </w:pPr>
      <w:r>
        <w:rPr>
          <w:rFonts w:ascii="Verdana" w:hAnsi="Verdana"/>
          <w:i/>
          <w:sz w:val="18"/>
          <w:szCs w:val="18"/>
        </w:rPr>
        <w:t>Proportionaliteit</w:t>
      </w:r>
    </w:p>
    <w:p w:rsidR="00EB4488" w:rsidP="57EB3157" w:rsidRDefault="00EB4488" w14:paraId="6268AB2D" w14:textId="3E388A8F">
      <w:pPr>
        <w:spacing w:line="360" w:lineRule="auto"/>
        <w:rPr>
          <w:rFonts w:ascii="Verdana" w:hAnsi="Verdana" w:eastAsiaTheme="minorEastAsia" w:cstheme="minorBidi"/>
          <w:sz w:val="18"/>
          <w:szCs w:val="18"/>
          <w:lang w:eastAsia="en-US"/>
        </w:rPr>
      </w:pPr>
      <w:r w:rsidRPr="57EB3157">
        <w:rPr>
          <w:rFonts w:ascii="Verdana" w:hAnsi="Verdana"/>
          <w:sz w:val="18"/>
          <w:szCs w:val="18"/>
        </w:rPr>
        <w:t>De grondhouding van het kabinet is positief. De mededeling heeft tot doel de Europese chemiesector te ondersteunen in de mondiale transitie naar groene, weerbare en concurrerende processen. Het voorgestelde optreden is geschikt om deze doelstellingen te bereiken</w:t>
      </w:r>
      <w:r w:rsidR="006278BF">
        <w:rPr>
          <w:rFonts w:ascii="Verdana" w:hAnsi="Verdana"/>
          <w:sz w:val="18"/>
          <w:szCs w:val="18"/>
        </w:rPr>
        <w:t>.</w:t>
      </w:r>
      <w:r w:rsidRPr="57EB3157">
        <w:rPr>
          <w:rFonts w:ascii="Verdana" w:hAnsi="Verdana"/>
          <w:sz w:val="18"/>
          <w:szCs w:val="18"/>
        </w:rPr>
        <w:t xml:space="preserve"> </w:t>
      </w:r>
      <w:r w:rsidR="006278BF">
        <w:rPr>
          <w:rFonts w:ascii="Verdana" w:hAnsi="Verdana"/>
          <w:sz w:val="18"/>
          <w:szCs w:val="18"/>
        </w:rPr>
        <w:t>D</w:t>
      </w:r>
      <w:r w:rsidRPr="57EB3157">
        <w:rPr>
          <w:rFonts w:ascii="Verdana" w:hAnsi="Verdana"/>
          <w:sz w:val="18"/>
          <w:szCs w:val="18"/>
        </w:rPr>
        <w:t xml:space="preserve">e mededeling </w:t>
      </w:r>
      <w:r w:rsidR="006278BF">
        <w:rPr>
          <w:rFonts w:ascii="Verdana" w:hAnsi="Verdana"/>
          <w:sz w:val="18"/>
          <w:szCs w:val="18"/>
        </w:rPr>
        <w:t xml:space="preserve">bevat </w:t>
      </w:r>
      <w:r w:rsidRPr="57EB3157">
        <w:rPr>
          <w:rFonts w:ascii="Verdana" w:hAnsi="Verdana"/>
          <w:sz w:val="18"/>
          <w:szCs w:val="18"/>
        </w:rPr>
        <w:t>een integrale beleidsbenadering</w:t>
      </w:r>
      <w:r w:rsidR="00CC0215">
        <w:rPr>
          <w:rFonts w:ascii="Verdana" w:hAnsi="Verdana"/>
          <w:sz w:val="18"/>
          <w:szCs w:val="18"/>
        </w:rPr>
        <w:t xml:space="preserve"> met gerichte acties om de genoemde uitdagingen te mitigeren, waardoor het</w:t>
      </w:r>
      <w:r w:rsidRPr="57EB3157">
        <w:rPr>
          <w:rFonts w:ascii="Verdana" w:hAnsi="Verdana"/>
          <w:sz w:val="18"/>
          <w:szCs w:val="18"/>
        </w:rPr>
        <w:t xml:space="preserve"> kan dragen aan de versterking van deze doelen en de nadere invulling van beleid en regelgeving hieromtrent. Bovendien gaat het voorgestelde optreden niet verder dan noodzakelijk, omdat het bieden van een beleidskader en strategische visie op versterking van het EU-concurrentievermogen, verduurzaming en weerbaarheid voldoende ruimte laat aan de EU-lidstaten om hier ook nationaal invulling aan te geven en verdere uitwerking daarvan mede vorm te geven.</w:t>
      </w:r>
    </w:p>
    <w:p w:rsidRPr="009B3EED" w:rsidR="00A34501" w:rsidP="00A34501" w:rsidRDefault="00A34501" w14:paraId="411C0C32" w14:textId="77777777">
      <w:pPr>
        <w:spacing w:line="360" w:lineRule="auto"/>
        <w:rPr>
          <w:rFonts w:ascii="Verdana" w:hAnsi="Verdana"/>
          <w:i/>
          <w:sz w:val="18"/>
          <w:szCs w:val="18"/>
        </w:rPr>
      </w:pPr>
    </w:p>
    <w:p w:rsidR="002B6A9E" w:rsidP="002B6A9E" w:rsidRDefault="00FD0CBD" w14:paraId="098C9E4B" w14:textId="2F9903B0">
      <w:pPr>
        <w:numPr>
          <w:ilvl w:val="0"/>
          <w:numId w:val="22"/>
        </w:numPr>
        <w:spacing w:line="360" w:lineRule="auto"/>
        <w:rPr>
          <w:rFonts w:ascii="Verdana" w:hAnsi="Verdana"/>
          <w:i/>
          <w:sz w:val="18"/>
          <w:szCs w:val="18"/>
        </w:rPr>
      </w:pPr>
      <w:r w:rsidRPr="009B3EED">
        <w:rPr>
          <w:rFonts w:ascii="Verdana" w:hAnsi="Verdana"/>
          <w:i/>
          <w:sz w:val="18"/>
          <w:szCs w:val="18"/>
        </w:rPr>
        <w:t>Financië</w:t>
      </w:r>
      <w:r w:rsidRPr="009B3EED" w:rsidR="006810FB">
        <w:rPr>
          <w:rFonts w:ascii="Verdana" w:hAnsi="Verdana"/>
          <w:i/>
          <w:sz w:val="18"/>
          <w:szCs w:val="18"/>
        </w:rPr>
        <w:t>le gevolgen</w:t>
      </w:r>
    </w:p>
    <w:p w:rsidRPr="002C4F28" w:rsidR="002C4F28" w:rsidP="17DD03A9" w:rsidRDefault="002C4F28" w14:paraId="064EBCC0" w14:textId="71DB86DD">
      <w:pPr>
        <w:spacing w:line="360" w:lineRule="auto"/>
        <w:rPr>
          <w:rFonts w:ascii="Verdana" w:hAnsi="Verdana"/>
          <w:sz w:val="18"/>
          <w:szCs w:val="18"/>
          <w:lang w:eastAsia="en-US"/>
        </w:rPr>
      </w:pPr>
      <w:r w:rsidRPr="17DD03A9">
        <w:rPr>
          <w:rFonts w:ascii="Verdana" w:hAnsi="Verdana"/>
          <w:sz w:val="18"/>
          <w:szCs w:val="18"/>
        </w:rPr>
        <w:t xml:space="preserve">Het actieplan zelf heeft geen gevolgen voor de nationale begroting. De toekomstige voorstellen kennen mogelijk wel financiële gevolgen. Deze zullen beoordeeld worden, zodra deze voorstellen gepubliceerd worden. Eventueel benodigde EU-middelen zullen gevonden moeten worden binnen de in de Raad afgesproken financiële kaders van de EU-begroting 2021-2027 en deze moeten </w:t>
      </w:r>
      <w:r w:rsidRPr="17DD03A9">
        <w:rPr>
          <w:rFonts w:ascii="Verdana" w:hAnsi="Verdana"/>
          <w:sz w:val="18"/>
          <w:szCs w:val="18"/>
        </w:rPr>
        <w:lastRenderedPageBreak/>
        <w:t>passen bij een prudente ontwikkeling van de jaarbegroting. Eventuele budgettaire gevolgen voor het Rijk worden ingepast op de begroting van het/de beleidsverantwoordelijk(e)) departement(en), conform de regels van de budgetdiscipline.</w:t>
      </w:r>
    </w:p>
    <w:p w:rsidRPr="009B088C" w:rsidR="009B088C" w:rsidP="002B6A9E" w:rsidRDefault="009B088C" w14:paraId="262A89D1" w14:textId="77777777">
      <w:pPr>
        <w:spacing w:line="360" w:lineRule="auto"/>
        <w:rPr>
          <w:rFonts w:ascii="Verdana" w:hAnsi="Verdana"/>
          <w:i/>
          <w:iCs/>
          <w:sz w:val="18"/>
          <w:szCs w:val="18"/>
        </w:rPr>
      </w:pPr>
    </w:p>
    <w:p w:rsidRPr="009B3EED" w:rsidR="006810FB" w:rsidP="00FD0CBD" w:rsidRDefault="006810FB" w14:paraId="3C1AD64A" w14:textId="77777777">
      <w:pPr>
        <w:numPr>
          <w:ilvl w:val="0"/>
          <w:numId w:val="22"/>
        </w:numPr>
        <w:spacing w:line="360" w:lineRule="auto"/>
        <w:rPr>
          <w:rFonts w:ascii="Verdana" w:hAnsi="Verdana"/>
          <w:i/>
          <w:sz w:val="18"/>
          <w:szCs w:val="18"/>
        </w:rPr>
      </w:pPr>
      <w:r w:rsidRPr="009B3EED">
        <w:rPr>
          <w:rFonts w:ascii="Verdana" w:hAnsi="Verdana"/>
          <w:i/>
          <w:sz w:val="18"/>
          <w:szCs w:val="18"/>
        </w:rPr>
        <w:t>Gevolgen voor regeldruk</w:t>
      </w:r>
      <w:r w:rsidR="00DB2696">
        <w:rPr>
          <w:rFonts w:ascii="Verdana" w:hAnsi="Verdana"/>
          <w:i/>
          <w:sz w:val="18"/>
          <w:szCs w:val="18"/>
        </w:rPr>
        <w:t>,</w:t>
      </w:r>
      <w:r w:rsidR="00881F26">
        <w:rPr>
          <w:rFonts w:ascii="Verdana" w:hAnsi="Verdana"/>
          <w:i/>
          <w:sz w:val="18"/>
          <w:szCs w:val="18"/>
        </w:rPr>
        <w:t xml:space="preserve"> concurrentiekracht</w:t>
      </w:r>
      <w:r w:rsidR="00A21B6F">
        <w:rPr>
          <w:rFonts w:ascii="Verdana" w:hAnsi="Verdana"/>
          <w:i/>
          <w:sz w:val="18"/>
          <w:szCs w:val="18"/>
        </w:rPr>
        <w:t xml:space="preserve"> en geopolitieke aspecten</w:t>
      </w:r>
    </w:p>
    <w:p w:rsidR="00123E4F" w:rsidP="3F0B4289" w:rsidRDefault="00123E4F" w14:paraId="358FFA7B" w14:textId="714CFB82">
      <w:pPr>
        <w:spacing w:line="360" w:lineRule="auto"/>
        <w:rPr>
          <w:rFonts w:ascii="Verdana" w:hAnsi="Verdana"/>
          <w:sz w:val="18"/>
          <w:szCs w:val="18"/>
        </w:rPr>
      </w:pPr>
      <w:r w:rsidRPr="00E04033">
        <w:rPr>
          <w:rFonts w:ascii="Verdana" w:hAnsi="Verdana"/>
          <w:sz w:val="18"/>
          <w:szCs w:val="18"/>
        </w:rPr>
        <w:t xml:space="preserve">Regeldruk is één van de uitdagingen waar de chemische industrie </w:t>
      </w:r>
      <w:r w:rsidR="00D97E69">
        <w:rPr>
          <w:rFonts w:ascii="Verdana" w:hAnsi="Verdana"/>
          <w:sz w:val="18"/>
          <w:szCs w:val="18"/>
        </w:rPr>
        <w:t xml:space="preserve">en </w:t>
      </w:r>
      <w:r w:rsidR="007314E2">
        <w:rPr>
          <w:rFonts w:ascii="Verdana" w:hAnsi="Verdana"/>
          <w:sz w:val="18"/>
          <w:szCs w:val="18"/>
        </w:rPr>
        <w:t xml:space="preserve">relevante </w:t>
      </w:r>
      <w:r w:rsidR="00A8313B">
        <w:rPr>
          <w:rFonts w:ascii="Verdana" w:hAnsi="Verdana"/>
          <w:sz w:val="18"/>
          <w:szCs w:val="18"/>
        </w:rPr>
        <w:t>MKB</w:t>
      </w:r>
      <w:r w:rsidR="007314E2">
        <w:rPr>
          <w:rFonts w:ascii="Verdana" w:hAnsi="Verdana"/>
          <w:sz w:val="18"/>
          <w:szCs w:val="18"/>
        </w:rPr>
        <w:t>-sectoren</w:t>
      </w:r>
      <w:r w:rsidR="00A8313B">
        <w:rPr>
          <w:rFonts w:ascii="Verdana" w:hAnsi="Verdana"/>
          <w:sz w:val="18"/>
          <w:szCs w:val="18"/>
        </w:rPr>
        <w:t xml:space="preserve"> </w:t>
      </w:r>
      <w:r w:rsidRPr="00E04033">
        <w:rPr>
          <w:rFonts w:ascii="Verdana" w:hAnsi="Verdana"/>
          <w:sz w:val="18"/>
          <w:szCs w:val="18"/>
        </w:rPr>
        <w:t>mee kamp</w:t>
      </w:r>
      <w:r w:rsidR="007314E2">
        <w:rPr>
          <w:rFonts w:ascii="Verdana" w:hAnsi="Verdana"/>
          <w:sz w:val="18"/>
          <w:szCs w:val="18"/>
        </w:rPr>
        <w:t>en</w:t>
      </w:r>
      <w:r w:rsidRPr="00E04033">
        <w:rPr>
          <w:rFonts w:ascii="Verdana" w:hAnsi="Verdana"/>
          <w:sz w:val="18"/>
          <w:szCs w:val="18"/>
        </w:rPr>
        <w:t xml:space="preserve">. Het streven van het actieplan is dan ook om regeldruk te reduceren, in lijn met het eerder gepubliceerde Kompas voor concurrentievermogen, door regelgeving te verminderen, te versimpelen en flexibeler te maken. </w:t>
      </w:r>
      <w:r w:rsidR="00A13F3A">
        <w:rPr>
          <w:rFonts w:ascii="Verdana" w:hAnsi="Verdana"/>
          <w:sz w:val="18"/>
          <w:szCs w:val="18"/>
        </w:rPr>
        <w:t>Het kabinet ondersteunt het reduceren en versimpelen van regels, zodat de regeldruk verlaagd kan worden</w:t>
      </w:r>
      <w:r w:rsidR="000F175F">
        <w:rPr>
          <w:rFonts w:ascii="Verdana" w:hAnsi="Verdana"/>
          <w:sz w:val="18"/>
          <w:szCs w:val="18"/>
        </w:rPr>
        <w:t>. Het</w:t>
      </w:r>
      <w:r w:rsidR="00DF568C">
        <w:rPr>
          <w:rFonts w:ascii="Verdana" w:hAnsi="Verdana"/>
          <w:sz w:val="18"/>
          <w:szCs w:val="18"/>
        </w:rPr>
        <w:t xml:space="preserve"> </w:t>
      </w:r>
      <w:r w:rsidR="000F175F">
        <w:rPr>
          <w:rFonts w:ascii="Verdana" w:hAnsi="Verdana"/>
          <w:sz w:val="18"/>
          <w:szCs w:val="18"/>
        </w:rPr>
        <w:t xml:space="preserve">in </w:t>
      </w:r>
      <w:r w:rsidR="00DF568C">
        <w:rPr>
          <w:rFonts w:ascii="Verdana" w:hAnsi="Verdana"/>
          <w:sz w:val="18"/>
          <w:szCs w:val="18"/>
        </w:rPr>
        <w:t>achtnem</w:t>
      </w:r>
      <w:r w:rsidR="000F175F">
        <w:rPr>
          <w:rFonts w:ascii="Verdana" w:hAnsi="Verdana"/>
          <w:sz w:val="18"/>
          <w:szCs w:val="18"/>
        </w:rPr>
        <w:t>en</w:t>
      </w:r>
      <w:r w:rsidR="00DF568C">
        <w:rPr>
          <w:rFonts w:ascii="Verdana" w:hAnsi="Verdana"/>
          <w:sz w:val="18"/>
          <w:szCs w:val="18"/>
        </w:rPr>
        <w:t xml:space="preserve"> van een </w:t>
      </w:r>
      <w:r w:rsidRPr="00FC5FDB" w:rsidR="00B84CB1">
        <w:rPr>
          <w:rFonts w:ascii="Verdana" w:hAnsi="Verdana"/>
          <w:sz w:val="18"/>
          <w:szCs w:val="18"/>
        </w:rPr>
        <w:t>hoge bescherming van de volksgezondheid en leefomgeving</w:t>
      </w:r>
      <w:r w:rsidR="000F175F">
        <w:rPr>
          <w:rFonts w:ascii="Verdana" w:hAnsi="Verdana"/>
          <w:sz w:val="18"/>
          <w:szCs w:val="18"/>
        </w:rPr>
        <w:t xml:space="preserve"> is hierbij van belang.</w:t>
      </w:r>
      <w:r w:rsidR="00B84CB1">
        <w:rPr>
          <w:rFonts w:ascii="Verdana" w:hAnsi="Verdana"/>
          <w:sz w:val="18"/>
          <w:szCs w:val="18"/>
        </w:rPr>
        <w:t xml:space="preserve"> </w:t>
      </w:r>
      <w:r w:rsidRPr="00E04033">
        <w:rPr>
          <w:rFonts w:ascii="Verdana" w:hAnsi="Verdana"/>
          <w:sz w:val="18"/>
          <w:szCs w:val="18"/>
        </w:rPr>
        <w:t xml:space="preserve">De mededeling van de Commissie bevat geen nieuw beleid, maar kondigt wel nieuwe </w:t>
      </w:r>
      <w:r w:rsidRPr="00E04033" w:rsidR="0041020D">
        <w:rPr>
          <w:rFonts w:ascii="Verdana" w:hAnsi="Verdana"/>
          <w:sz w:val="18"/>
          <w:szCs w:val="18"/>
        </w:rPr>
        <w:t xml:space="preserve">en gewijzigde </w:t>
      </w:r>
      <w:r w:rsidRPr="00E04033">
        <w:rPr>
          <w:rFonts w:ascii="Verdana" w:hAnsi="Verdana"/>
          <w:sz w:val="18"/>
          <w:szCs w:val="18"/>
        </w:rPr>
        <w:t>regelgeving aan. Concrete voorstellen zullen later in 2025 en in 2026 gepubliceerd worden. Hoe deze voorstellen zich zullen verhouden tot bestaande regelgeving is nog niet bekend</w:t>
      </w:r>
      <w:r w:rsidR="00A4343D">
        <w:rPr>
          <w:rFonts w:ascii="Verdana" w:hAnsi="Verdana"/>
          <w:sz w:val="18"/>
          <w:szCs w:val="18"/>
        </w:rPr>
        <w:t xml:space="preserve">, zo kan het aanpakken van uitdagingen rondom milieuvergunningen en het versnellen van vergunningen </w:t>
      </w:r>
      <w:r w:rsidR="00685086">
        <w:rPr>
          <w:rFonts w:ascii="Verdana" w:hAnsi="Verdana"/>
          <w:sz w:val="18"/>
          <w:szCs w:val="18"/>
        </w:rPr>
        <w:t xml:space="preserve">effect hebben op de </w:t>
      </w:r>
      <w:r w:rsidR="00A4343D">
        <w:rPr>
          <w:rFonts w:ascii="Verdana" w:hAnsi="Verdana"/>
          <w:sz w:val="18"/>
          <w:szCs w:val="18"/>
        </w:rPr>
        <w:t>regeldruk voor medeoverheden.</w:t>
      </w:r>
      <w:r w:rsidR="00685086">
        <w:rPr>
          <w:rFonts w:ascii="Verdana" w:hAnsi="Verdana"/>
          <w:sz w:val="18"/>
          <w:szCs w:val="18"/>
        </w:rPr>
        <w:t xml:space="preserve"> </w:t>
      </w:r>
      <w:r w:rsidR="008710D1">
        <w:rPr>
          <w:rFonts w:ascii="Verdana" w:hAnsi="Verdana"/>
          <w:sz w:val="18"/>
          <w:szCs w:val="18"/>
        </w:rPr>
        <w:t xml:space="preserve">Daarom pleit Nederland voor het voeren van impact assessments voor alle nieuwe en gewijzigde regelgeving, zodat de regeldruk goed in kaart kan worden gebracht. </w:t>
      </w:r>
      <w:r w:rsidR="00685086">
        <w:rPr>
          <w:rFonts w:ascii="Verdana" w:hAnsi="Verdana"/>
          <w:sz w:val="18"/>
          <w:szCs w:val="18"/>
        </w:rPr>
        <w:t xml:space="preserve">Ook </w:t>
      </w:r>
      <w:r w:rsidR="00ED4D3F">
        <w:rPr>
          <w:rFonts w:ascii="Verdana" w:hAnsi="Verdana"/>
          <w:sz w:val="18"/>
          <w:szCs w:val="18"/>
        </w:rPr>
        <w:t>kan een Critical Chemical Alliance op EU-niveau effect hebben op de regeldruk voor de Rijksoverheid en betrokken stakeholders.</w:t>
      </w:r>
      <w:r w:rsidR="00A4343D">
        <w:rPr>
          <w:rFonts w:ascii="Verdana" w:hAnsi="Verdana"/>
          <w:sz w:val="18"/>
          <w:szCs w:val="18"/>
        </w:rPr>
        <w:t xml:space="preserve"> </w:t>
      </w:r>
      <w:r w:rsidRPr="00E04033">
        <w:rPr>
          <w:rFonts w:ascii="Verdana" w:hAnsi="Verdana"/>
          <w:sz w:val="18"/>
          <w:szCs w:val="18"/>
        </w:rPr>
        <w:t>Het kabinet is van mening dat een impact assessment van de Commissie in principe bij elk voorstel wenselijk is.</w:t>
      </w:r>
    </w:p>
    <w:p w:rsidR="008C3ECD" w:rsidP="3F0B4289" w:rsidRDefault="008C3ECD" w14:paraId="2C417E55" w14:textId="77777777">
      <w:pPr>
        <w:spacing w:line="360" w:lineRule="auto"/>
        <w:rPr>
          <w:rFonts w:ascii="Verdana" w:hAnsi="Verdana"/>
          <w:sz w:val="18"/>
          <w:szCs w:val="18"/>
        </w:rPr>
      </w:pPr>
    </w:p>
    <w:p w:rsidR="006673FE" w:rsidP="3F0B4289" w:rsidRDefault="008133AD" w14:paraId="64DAACCF" w14:textId="13C23048">
      <w:pPr>
        <w:spacing w:line="360" w:lineRule="auto"/>
        <w:rPr>
          <w:rFonts w:ascii="Verdana" w:hAnsi="Verdana"/>
          <w:sz w:val="18"/>
          <w:szCs w:val="18"/>
        </w:rPr>
      </w:pPr>
      <w:r>
        <w:rPr>
          <w:rFonts w:ascii="Verdana" w:hAnsi="Verdana"/>
          <w:sz w:val="18"/>
          <w:szCs w:val="18"/>
        </w:rPr>
        <w:t xml:space="preserve">De </w:t>
      </w:r>
      <w:r w:rsidR="00312337">
        <w:rPr>
          <w:rFonts w:ascii="Verdana" w:hAnsi="Verdana"/>
          <w:sz w:val="18"/>
          <w:szCs w:val="18"/>
        </w:rPr>
        <w:t>geschatte</w:t>
      </w:r>
      <w:r w:rsidR="00B571F5">
        <w:rPr>
          <w:rFonts w:ascii="Verdana" w:hAnsi="Verdana"/>
          <w:sz w:val="18"/>
          <w:szCs w:val="18"/>
        </w:rPr>
        <w:t xml:space="preserve"> effecten op </w:t>
      </w:r>
      <w:r w:rsidR="00312337">
        <w:rPr>
          <w:rFonts w:ascii="Verdana" w:hAnsi="Verdana"/>
          <w:sz w:val="18"/>
          <w:szCs w:val="18"/>
        </w:rPr>
        <w:t xml:space="preserve">het </w:t>
      </w:r>
      <w:r w:rsidR="00DC6F76">
        <w:rPr>
          <w:rFonts w:ascii="Verdana" w:hAnsi="Verdana"/>
          <w:sz w:val="18"/>
          <w:szCs w:val="18"/>
        </w:rPr>
        <w:t xml:space="preserve">Europese </w:t>
      </w:r>
      <w:r w:rsidR="00312337">
        <w:rPr>
          <w:rFonts w:ascii="Verdana" w:hAnsi="Verdana"/>
          <w:sz w:val="18"/>
          <w:szCs w:val="18"/>
        </w:rPr>
        <w:t>concurrentievermogen zijn positief</w:t>
      </w:r>
      <w:r w:rsidR="00094145">
        <w:rPr>
          <w:rFonts w:ascii="Verdana" w:hAnsi="Verdana"/>
          <w:sz w:val="18"/>
          <w:szCs w:val="18"/>
        </w:rPr>
        <w:t xml:space="preserve">, </w:t>
      </w:r>
      <w:r w:rsidRPr="00DC6F76" w:rsidR="00DC6F76">
        <w:rPr>
          <w:rFonts w:ascii="Verdana" w:hAnsi="Verdana"/>
          <w:sz w:val="18"/>
          <w:szCs w:val="18"/>
        </w:rPr>
        <w:t>indien de aangekondigde maatregelen gericht op het verlagen van energieprijzen voor onder andere het bedrijfsleven en de industrie het gewenste effect hebben</w:t>
      </w:r>
      <w:r w:rsidR="00B571F5">
        <w:rPr>
          <w:rFonts w:ascii="Verdana" w:hAnsi="Verdana"/>
          <w:sz w:val="18"/>
          <w:szCs w:val="18"/>
        </w:rPr>
        <w:t xml:space="preserve">. </w:t>
      </w:r>
      <w:r w:rsidRPr="00D03A66" w:rsidR="00D03A66">
        <w:rPr>
          <w:rFonts w:ascii="Verdana" w:hAnsi="Verdana"/>
          <w:sz w:val="18"/>
          <w:szCs w:val="18"/>
        </w:rPr>
        <w:t>Daarmee kan ook verwacht worden dat ondernemers uit derde landen die op de Europese markt willen ondernemen meer concurrentie zullen ervaren.</w:t>
      </w:r>
    </w:p>
    <w:p w:rsidR="008C3ECD" w:rsidP="008F1661" w:rsidRDefault="008C3ECD" w14:paraId="19F333FB" w14:textId="77777777">
      <w:pPr>
        <w:tabs>
          <w:tab w:val="left" w:pos="0"/>
        </w:tabs>
        <w:spacing w:line="360" w:lineRule="auto"/>
        <w:rPr>
          <w:rFonts w:ascii="Verdana" w:hAnsi="Verdana"/>
          <w:sz w:val="18"/>
          <w:szCs w:val="18"/>
        </w:rPr>
      </w:pPr>
    </w:p>
    <w:p w:rsidRPr="008F1661" w:rsidR="00F54AFF" w:rsidP="008F1661" w:rsidRDefault="00B427A2" w14:paraId="6C9BA6ED" w14:textId="0DD1C66C">
      <w:pPr>
        <w:tabs>
          <w:tab w:val="left" w:pos="0"/>
        </w:tabs>
        <w:spacing w:line="360" w:lineRule="auto"/>
        <w:rPr>
          <w:rFonts w:ascii="Verdana" w:hAnsi="Verdana"/>
          <w:i/>
          <w:color w:val="FF0000"/>
          <w:sz w:val="18"/>
          <w:szCs w:val="18"/>
        </w:rPr>
      </w:pPr>
      <w:r w:rsidRPr="00E04033">
        <w:rPr>
          <w:rFonts w:ascii="Verdana" w:hAnsi="Verdana"/>
          <w:sz w:val="18"/>
          <w:szCs w:val="18"/>
        </w:rPr>
        <w:t xml:space="preserve">De uitwerking van het voorstel heeft mogelijk geopolitieke gevolgen, omdat een van de doelen van de </w:t>
      </w:r>
      <w:r w:rsidR="00627D38">
        <w:rPr>
          <w:rFonts w:ascii="Verdana" w:hAnsi="Verdana"/>
          <w:sz w:val="18"/>
          <w:szCs w:val="18"/>
        </w:rPr>
        <w:t>CID</w:t>
      </w:r>
      <w:r w:rsidRPr="00E04033">
        <w:rPr>
          <w:rFonts w:ascii="Verdana" w:hAnsi="Verdana"/>
          <w:sz w:val="18"/>
          <w:szCs w:val="18"/>
        </w:rPr>
        <w:t xml:space="preserve"> is om de positie van de industrie ook in mondiale context te versterken en</w:t>
      </w:r>
      <w:r w:rsidR="0097343C">
        <w:rPr>
          <w:rFonts w:ascii="Verdana" w:hAnsi="Verdana"/>
          <w:sz w:val="18"/>
          <w:szCs w:val="18"/>
        </w:rPr>
        <w:t xml:space="preserve"> </w:t>
      </w:r>
      <w:r w:rsidRPr="00E04033">
        <w:rPr>
          <w:rFonts w:ascii="Verdana" w:hAnsi="Verdana"/>
          <w:sz w:val="18"/>
          <w:szCs w:val="18"/>
        </w:rPr>
        <w:t>afhankelijkheden van derde landen te verkleinen. Daarbij komt dat een spoor in de CID en het actieplan toezien op het borgen van een mondiaal gelijk speelveld en verdere diversificatie van handelsrelaties ten behoeve van het verminderen van risicovolle strategische afhankelijkheden. De concrete uitwerking in voorstellen zal moeten laten zien hoe dit geopolitieke verhoudingen beïnvloedt. Daarbij hecht het kabinet eraan dat de EU bij de nadere uitwerking van de plannen voldoende rekening houdt met de mogelijke externe effecten op (de handelsrelatie met) derde landen.</w:t>
      </w:r>
    </w:p>
    <w:p w:rsidRPr="0064352A" w:rsidR="002057D6" w:rsidP="0064352A" w:rsidRDefault="002057D6" w14:paraId="64606B69" w14:textId="77777777">
      <w:pPr>
        <w:spacing w:line="360" w:lineRule="auto"/>
        <w:rPr>
          <w:rFonts w:ascii="Verdana" w:hAnsi="Verdana"/>
          <w:sz w:val="18"/>
          <w:szCs w:val="18"/>
        </w:rPr>
      </w:pPr>
    </w:p>
    <w:p w:rsidRPr="005263B1" w:rsidR="00D52796" w:rsidP="57EB3157" w:rsidRDefault="00D52796" w14:paraId="287A1BCF" w14:textId="30A46D8D">
      <w:pPr>
        <w:spacing w:line="360" w:lineRule="auto"/>
        <w:rPr>
          <w:rFonts w:ascii="Verdana" w:hAnsi="Verdana"/>
          <w:sz w:val="18"/>
          <w:szCs w:val="18"/>
        </w:rPr>
      </w:pPr>
    </w:p>
    <w:sectPr w:rsidRPr="005263B1" w:rsidR="00D52796" w:rsidSect="00862967">
      <w:footerReference w:type="even" r:id="rId14"/>
      <w:footerReference w:type="default" r:id="rId15"/>
      <w:pgSz w:w="11906" w:h="16838"/>
      <w:pgMar w:top="1440" w:right="1440" w:bottom="1440" w:left="1440" w:header="708" w:footer="708" w:gutter="0"/>
      <w:cols w:space="708"/>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01AEA" w14:textId="77777777" w:rsidR="0088670C" w:rsidRDefault="0088670C">
      <w:r>
        <w:separator/>
      </w:r>
    </w:p>
  </w:endnote>
  <w:endnote w:type="continuationSeparator" w:id="0">
    <w:p w14:paraId="7616A8B6" w14:textId="77777777" w:rsidR="0088670C" w:rsidRDefault="0088670C">
      <w:r>
        <w:continuationSeparator/>
      </w:r>
    </w:p>
  </w:endnote>
  <w:endnote w:type="continuationNotice" w:id="1">
    <w:p w14:paraId="3B21A66F" w14:textId="77777777" w:rsidR="0088670C" w:rsidRDefault="0088670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DAD93" w14:textId="77777777" w:rsidR="00F54AFF" w:rsidRDefault="00F54AF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16B4C">
      <w:rPr>
        <w:rStyle w:val="PageNumber"/>
        <w:noProof/>
      </w:rPr>
      <w:t>2</w:t>
    </w:r>
    <w:r>
      <w:rPr>
        <w:rStyle w:val="PageNumber"/>
      </w:rPr>
      <w:fldChar w:fldCharType="end"/>
    </w:r>
  </w:p>
  <w:p w14:paraId="4188D285" w14:textId="77777777" w:rsidR="00F54AFF" w:rsidRDefault="00F54A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E9220" w14:textId="77777777" w:rsidR="00F54AFF" w:rsidRDefault="00F54AFF">
    <w:pPr>
      <w:pStyle w:val="Footer"/>
    </w:pPr>
    <w:r>
      <w:fldChar w:fldCharType="begin"/>
    </w:r>
    <w:r>
      <w:instrText xml:space="preserve"> PAGE  \* LOWER </w:instrText>
    </w:r>
    <w:r>
      <w:fldChar w:fldCharType="separate"/>
    </w:r>
    <w:r w:rsidR="00DB2696">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3A56E" w14:textId="77777777" w:rsidR="0088670C" w:rsidRDefault="0088670C">
      <w:r>
        <w:separator/>
      </w:r>
    </w:p>
  </w:footnote>
  <w:footnote w:type="continuationSeparator" w:id="0">
    <w:p w14:paraId="4426FA6C" w14:textId="77777777" w:rsidR="0088670C" w:rsidRDefault="0088670C">
      <w:r>
        <w:continuationSeparator/>
      </w:r>
    </w:p>
  </w:footnote>
  <w:footnote w:type="continuationNotice" w:id="1">
    <w:p w14:paraId="1074F83A" w14:textId="77777777" w:rsidR="0088670C" w:rsidRDefault="0088670C">
      <w:pPr>
        <w:spacing w:line="240" w:lineRule="auto"/>
      </w:pPr>
    </w:p>
  </w:footnote>
  <w:footnote w:id="2">
    <w:p w14:paraId="5D379A34" w14:textId="16B4555E" w:rsidR="00C72E39" w:rsidRPr="00B554F1" w:rsidRDefault="00C72E39" w:rsidP="00B554F1">
      <w:pPr>
        <w:pStyle w:val="NoSpacing"/>
        <w:rPr>
          <w:rFonts w:ascii="Verdana" w:hAnsi="Verdana"/>
          <w:sz w:val="16"/>
          <w:szCs w:val="16"/>
          <w:lang w:val="pt-PT"/>
        </w:rPr>
      </w:pPr>
      <w:r w:rsidRPr="00B554F1">
        <w:rPr>
          <w:rStyle w:val="FootnoteReference"/>
          <w:rFonts w:ascii="Verdana" w:hAnsi="Verdana"/>
          <w:sz w:val="16"/>
          <w:szCs w:val="16"/>
        </w:rPr>
        <w:footnoteRef/>
      </w:r>
      <w:r w:rsidRPr="00B554F1">
        <w:rPr>
          <w:rFonts w:ascii="Verdana" w:hAnsi="Verdana"/>
          <w:sz w:val="16"/>
          <w:szCs w:val="16"/>
          <w:lang w:val="pt-PT"/>
        </w:rPr>
        <w:t xml:space="preserve"> </w:t>
      </w:r>
      <w:r w:rsidR="00307C55" w:rsidRPr="00B554F1">
        <w:rPr>
          <w:rFonts w:ascii="Verdana" w:hAnsi="Verdana"/>
          <w:sz w:val="16"/>
          <w:szCs w:val="16"/>
          <w:lang w:val="pt-PT"/>
        </w:rPr>
        <w:t>COM</w:t>
      </w:r>
      <w:r w:rsidR="0071083F" w:rsidRPr="00B554F1">
        <w:rPr>
          <w:rFonts w:ascii="Verdana" w:hAnsi="Verdana"/>
          <w:sz w:val="16"/>
          <w:szCs w:val="16"/>
          <w:lang w:val="pt-PT"/>
        </w:rPr>
        <w:t>(2025) 85 final</w:t>
      </w:r>
      <w:r w:rsidR="00335264">
        <w:fldChar w:fldCharType="begin"/>
      </w:r>
      <w:r w:rsidR="00335264">
        <w:instrText>HYPERLINK "https://eur-lex.europa.eu/legal-content/EN/TXT/?uri=celex:52025DC0085"</w:instrText>
      </w:r>
      <w:r w:rsidR="00335264">
        <w:fldChar w:fldCharType="separate"/>
      </w:r>
      <w:r w:rsidR="00335264">
        <w:fldChar w:fldCharType="end"/>
      </w:r>
      <w:r w:rsidR="007E2590" w:rsidRPr="00B554F1">
        <w:rPr>
          <w:rFonts w:ascii="Verdana" w:hAnsi="Verdana"/>
          <w:sz w:val="16"/>
          <w:szCs w:val="16"/>
          <w:lang w:val="pt-PT"/>
        </w:rPr>
        <w:t xml:space="preserve">; </w:t>
      </w:r>
      <w:r w:rsidR="00F54A43" w:rsidRPr="00B554F1">
        <w:rPr>
          <w:rFonts w:ascii="Verdana" w:hAnsi="Verdana"/>
          <w:sz w:val="16"/>
          <w:szCs w:val="16"/>
          <w:lang w:val="pt-PT"/>
        </w:rPr>
        <w:t xml:space="preserve">Kamerstuk </w:t>
      </w:r>
      <w:r w:rsidR="00DB719E" w:rsidRPr="00B554F1">
        <w:rPr>
          <w:rFonts w:ascii="Verdana" w:hAnsi="Verdana"/>
          <w:sz w:val="16"/>
          <w:szCs w:val="16"/>
          <w:lang w:val="pt-PT"/>
        </w:rPr>
        <w:t xml:space="preserve">II 2024-2025, </w:t>
      </w:r>
      <w:r w:rsidR="00F54A43" w:rsidRPr="00B554F1">
        <w:rPr>
          <w:rFonts w:ascii="Verdana" w:hAnsi="Verdana"/>
          <w:sz w:val="16"/>
          <w:szCs w:val="16"/>
          <w:lang w:val="pt-PT"/>
        </w:rPr>
        <w:t xml:space="preserve">22112, nr. 4020; </w:t>
      </w:r>
      <w:r w:rsidR="00AE5BD4" w:rsidRPr="00B554F1">
        <w:rPr>
          <w:rFonts w:ascii="Verdana" w:hAnsi="Verdana"/>
          <w:sz w:val="16"/>
          <w:szCs w:val="16"/>
          <w:lang w:val="pt-PT"/>
        </w:rPr>
        <w:t xml:space="preserve">COM(2025) 30 final; Kamerstuk </w:t>
      </w:r>
      <w:r w:rsidR="00FE0848" w:rsidRPr="00B554F1">
        <w:rPr>
          <w:rFonts w:ascii="Verdana" w:hAnsi="Verdana"/>
          <w:sz w:val="16"/>
          <w:szCs w:val="16"/>
          <w:lang w:val="pt-PT"/>
        </w:rPr>
        <w:t>II 20</w:t>
      </w:r>
      <w:r w:rsidR="0059544E" w:rsidRPr="00B554F1">
        <w:rPr>
          <w:rFonts w:ascii="Verdana" w:hAnsi="Verdana"/>
          <w:sz w:val="16"/>
          <w:szCs w:val="16"/>
          <w:lang w:val="pt-PT"/>
        </w:rPr>
        <w:t xml:space="preserve">24-2025, </w:t>
      </w:r>
      <w:r w:rsidR="00F01D20" w:rsidRPr="00B554F1">
        <w:rPr>
          <w:rFonts w:ascii="Verdana" w:hAnsi="Verdana"/>
          <w:sz w:val="16"/>
          <w:szCs w:val="16"/>
          <w:lang w:val="pt-PT"/>
        </w:rPr>
        <w:t>22112, nr. 4004</w:t>
      </w:r>
      <w:r w:rsidR="00071365" w:rsidRPr="00B554F1">
        <w:rPr>
          <w:rFonts w:ascii="Verdana" w:hAnsi="Verdana"/>
          <w:sz w:val="16"/>
          <w:szCs w:val="16"/>
          <w:lang w:val="pt-PT"/>
        </w:rPr>
        <w:t>.</w:t>
      </w:r>
    </w:p>
  </w:footnote>
  <w:footnote w:id="3">
    <w:p w14:paraId="3B8C7A57" w14:textId="13C07777" w:rsidR="00512860" w:rsidRPr="00B554F1" w:rsidRDefault="00512860" w:rsidP="00B554F1">
      <w:pPr>
        <w:pStyle w:val="NoSpacing"/>
        <w:rPr>
          <w:rFonts w:ascii="Verdana" w:hAnsi="Verdana"/>
          <w:sz w:val="16"/>
          <w:szCs w:val="16"/>
          <w:lang w:val="pt-PT"/>
        </w:rPr>
      </w:pPr>
      <w:r w:rsidRPr="00B554F1">
        <w:rPr>
          <w:rStyle w:val="FootnoteReference"/>
          <w:rFonts w:ascii="Verdana" w:hAnsi="Verdana"/>
          <w:sz w:val="16"/>
          <w:szCs w:val="16"/>
        </w:rPr>
        <w:footnoteRef/>
      </w:r>
      <w:r w:rsidRPr="00B554F1">
        <w:rPr>
          <w:rFonts w:ascii="Verdana" w:hAnsi="Verdana"/>
          <w:sz w:val="16"/>
          <w:szCs w:val="16"/>
          <w:lang w:val="pt-PT"/>
        </w:rPr>
        <w:t xml:space="preserve"> </w:t>
      </w:r>
      <w:r w:rsidRPr="00B554F1">
        <w:rPr>
          <w:rFonts w:ascii="Verdana" w:hAnsi="Verdana"/>
          <w:sz w:val="16"/>
          <w:szCs w:val="16"/>
          <w:lang w:val="pt-PT"/>
        </w:rPr>
        <w:t>COM(2025) 531; SWD(2025) 531; COM(2025) 526.</w:t>
      </w:r>
    </w:p>
  </w:footnote>
  <w:footnote w:id="4">
    <w:p w14:paraId="40B9D4CC" w14:textId="1C2DA524" w:rsidR="00512860" w:rsidRPr="003B497B" w:rsidRDefault="00512860" w:rsidP="00B554F1">
      <w:pPr>
        <w:pStyle w:val="NoSpacing"/>
        <w:rPr>
          <w:lang w:val="en-US"/>
        </w:rPr>
      </w:pPr>
      <w:r w:rsidRPr="00B554F1">
        <w:rPr>
          <w:rStyle w:val="FootnoteReference"/>
          <w:rFonts w:ascii="Verdana" w:hAnsi="Verdana"/>
          <w:sz w:val="16"/>
          <w:szCs w:val="16"/>
        </w:rPr>
        <w:footnoteRef/>
      </w:r>
      <w:r w:rsidRPr="00B554F1">
        <w:rPr>
          <w:rFonts w:ascii="Verdana" w:hAnsi="Verdana"/>
          <w:sz w:val="16"/>
          <w:szCs w:val="16"/>
          <w:lang w:val="en-US"/>
        </w:rPr>
        <w:t xml:space="preserve"> </w:t>
      </w:r>
      <w:r w:rsidR="003B497B" w:rsidRPr="00B554F1">
        <w:rPr>
          <w:rFonts w:ascii="Verdana" w:hAnsi="Verdana"/>
          <w:sz w:val="16"/>
          <w:szCs w:val="16"/>
          <w:lang w:val="en-US"/>
        </w:rPr>
        <w:t>COM(2025) 386.</w:t>
      </w:r>
    </w:p>
  </w:footnote>
  <w:footnote w:id="5">
    <w:p w14:paraId="781EB843" w14:textId="02479D94" w:rsidR="00C069C5" w:rsidRPr="00366529" w:rsidRDefault="00C069C5">
      <w:pPr>
        <w:pStyle w:val="FootnoteText"/>
        <w:rPr>
          <w:rFonts w:ascii="Verdana" w:hAnsi="Verdana"/>
          <w:i/>
          <w:iCs/>
          <w:sz w:val="16"/>
          <w:szCs w:val="16"/>
          <w:lang w:val="en-US"/>
        </w:rPr>
      </w:pPr>
      <w:r w:rsidRPr="00366529">
        <w:rPr>
          <w:rStyle w:val="FootnoteReference"/>
          <w:rFonts w:ascii="Verdana" w:hAnsi="Verdana"/>
          <w:i/>
          <w:iCs/>
          <w:sz w:val="16"/>
          <w:szCs w:val="16"/>
        </w:rPr>
        <w:footnoteRef/>
      </w:r>
      <w:r w:rsidRPr="00366529">
        <w:rPr>
          <w:rFonts w:ascii="Verdana" w:hAnsi="Verdana"/>
          <w:i/>
          <w:iCs/>
          <w:sz w:val="16"/>
          <w:szCs w:val="16"/>
          <w:lang w:val="en-US"/>
        </w:rPr>
        <w:t xml:space="preserve"> </w:t>
      </w:r>
      <w:r w:rsidR="006F3E54" w:rsidRPr="00366529">
        <w:rPr>
          <w:rFonts w:ascii="Verdana" w:hAnsi="Verdana"/>
          <w:i/>
          <w:iCs/>
          <w:sz w:val="16"/>
          <w:szCs w:val="16"/>
          <w:lang w:val="en-US"/>
        </w:rPr>
        <w:t>Important Projects of Common European Interest</w:t>
      </w:r>
      <w:r w:rsidR="00071365" w:rsidRPr="00366529">
        <w:rPr>
          <w:rFonts w:ascii="Verdana" w:hAnsi="Verdana"/>
          <w:i/>
          <w:iCs/>
          <w:sz w:val="16"/>
          <w:szCs w:val="16"/>
          <w:lang w:val="en-US"/>
        </w:rPr>
        <w:t>.</w:t>
      </w:r>
    </w:p>
  </w:footnote>
  <w:footnote w:id="6">
    <w:p w14:paraId="07714AAA" w14:textId="1F3BAE73" w:rsidR="00C72E39" w:rsidRPr="00B554F1" w:rsidRDefault="00C72E39">
      <w:pPr>
        <w:pStyle w:val="FootnoteText"/>
        <w:rPr>
          <w:lang w:val="pt-PT"/>
        </w:rPr>
      </w:pPr>
      <w:r w:rsidRPr="00D52796">
        <w:rPr>
          <w:rStyle w:val="FootnoteReference"/>
          <w:rFonts w:ascii="Verdana" w:hAnsi="Verdana"/>
          <w:sz w:val="16"/>
          <w:szCs w:val="16"/>
        </w:rPr>
        <w:footnoteRef/>
      </w:r>
      <w:r w:rsidRPr="00B554F1">
        <w:rPr>
          <w:rFonts w:ascii="Verdana" w:hAnsi="Verdana"/>
          <w:sz w:val="16"/>
          <w:szCs w:val="16"/>
          <w:lang w:val="pt-PT"/>
        </w:rPr>
        <w:t xml:space="preserve"> </w:t>
      </w:r>
      <w:r w:rsidR="00CF1CC5" w:rsidRPr="00B554F1">
        <w:rPr>
          <w:rFonts w:ascii="Verdana" w:hAnsi="Verdana"/>
          <w:sz w:val="16"/>
          <w:szCs w:val="16"/>
          <w:lang w:val="pt-PT"/>
        </w:rPr>
        <w:t xml:space="preserve">COM(2025) 79 final; </w:t>
      </w:r>
      <w:r w:rsidR="00202FB2" w:rsidRPr="00B554F1">
        <w:rPr>
          <w:rFonts w:ascii="Verdana" w:hAnsi="Verdana"/>
          <w:sz w:val="16"/>
          <w:szCs w:val="16"/>
          <w:lang w:val="pt-PT"/>
        </w:rPr>
        <w:t xml:space="preserve">Kamerstuk </w:t>
      </w:r>
      <w:r w:rsidR="0059544E" w:rsidRPr="00B554F1">
        <w:rPr>
          <w:rFonts w:ascii="Verdana" w:hAnsi="Verdana"/>
          <w:sz w:val="16"/>
          <w:szCs w:val="16"/>
          <w:lang w:val="pt-PT"/>
        </w:rPr>
        <w:t>II 20</w:t>
      </w:r>
      <w:r w:rsidR="00E12839" w:rsidRPr="00B554F1">
        <w:rPr>
          <w:rFonts w:ascii="Verdana" w:hAnsi="Verdana"/>
          <w:sz w:val="16"/>
          <w:szCs w:val="16"/>
          <w:lang w:val="pt-PT"/>
        </w:rPr>
        <w:t xml:space="preserve">24-2025, </w:t>
      </w:r>
      <w:r w:rsidR="004B3CCE" w:rsidRPr="00B554F1">
        <w:rPr>
          <w:rFonts w:ascii="Verdana" w:hAnsi="Verdana"/>
          <w:sz w:val="16"/>
          <w:szCs w:val="16"/>
          <w:lang w:val="pt-PT"/>
        </w:rPr>
        <w:t>22112, nr. 4021</w:t>
      </w:r>
      <w:r w:rsidR="00071365" w:rsidRPr="00B554F1">
        <w:rPr>
          <w:rFonts w:ascii="Verdana" w:hAnsi="Verdana"/>
          <w:sz w:val="16"/>
          <w:szCs w:val="16"/>
          <w:lang w:val="pt-PT"/>
        </w:rPr>
        <w:t>.</w:t>
      </w:r>
    </w:p>
  </w:footnote>
  <w:footnote w:id="7">
    <w:p w14:paraId="04DA11F1" w14:textId="51828C75" w:rsidR="003132BB" w:rsidRPr="00B554F1" w:rsidRDefault="003132BB">
      <w:pPr>
        <w:pStyle w:val="FootnoteText"/>
        <w:rPr>
          <w:rFonts w:ascii="Verdana" w:hAnsi="Verdana"/>
          <w:sz w:val="16"/>
          <w:szCs w:val="16"/>
          <w:lang w:val="pt-PT"/>
        </w:rPr>
      </w:pPr>
      <w:r w:rsidRPr="00BD7CE0">
        <w:rPr>
          <w:rStyle w:val="FootnoteReference"/>
          <w:rFonts w:ascii="Verdana" w:hAnsi="Verdana"/>
          <w:sz w:val="16"/>
          <w:szCs w:val="16"/>
        </w:rPr>
        <w:footnoteRef/>
      </w:r>
      <w:r w:rsidRPr="00B554F1">
        <w:rPr>
          <w:rFonts w:ascii="Verdana" w:hAnsi="Verdana"/>
          <w:sz w:val="16"/>
          <w:szCs w:val="16"/>
          <w:lang w:val="pt-PT"/>
        </w:rPr>
        <w:t xml:space="preserve"> </w:t>
      </w:r>
      <w:r w:rsidRPr="00B554F1">
        <w:rPr>
          <w:rFonts w:ascii="Verdana" w:hAnsi="Verdana"/>
          <w:sz w:val="16"/>
          <w:szCs w:val="16"/>
          <w:lang w:val="pt-PT"/>
        </w:rPr>
        <w:t>C/2025/3602.</w:t>
      </w:r>
    </w:p>
  </w:footnote>
  <w:footnote w:id="8">
    <w:p w14:paraId="3EAFC633" w14:textId="379BFF9C" w:rsidR="000A61F5" w:rsidRPr="00B554F1" w:rsidRDefault="000A61F5">
      <w:pPr>
        <w:pStyle w:val="FootnoteText"/>
        <w:rPr>
          <w:rFonts w:ascii="Verdana" w:hAnsi="Verdana"/>
          <w:sz w:val="16"/>
          <w:szCs w:val="16"/>
          <w:lang w:val="pt-PT"/>
        </w:rPr>
      </w:pPr>
      <w:r w:rsidRPr="00D52796">
        <w:rPr>
          <w:rStyle w:val="FootnoteReference"/>
          <w:rFonts w:ascii="Verdana" w:hAnsi="Verdana"/>
          <w:sz w:val="16"/>
          <w:szCs w:val="16"/>
        </w:rPr>
        <w:footnoteRef/>
      </w:r>
      <w:r w:rsidRPr="00B554F1">
        <w:rPr>
          <w:rFonts w:ascii="Verdana" w:hAnsi="Verdana"/>
          <w:sz w:val="16"/>
          <w:szCs w:val="16"/>
          <w:lang w:val="pt-PT"/>
        </w:rPr>
        <w:t xml:space="preserve"> </w:t>
      </w:r>
      <w:bookmarkStart w:id="0" w:name="OLE_LINK7"/>
      <w:r w:rsidR="00967ED0" w:rsidRPr="00B554F1">
        <w:rPr>
          <w:rFonts w:ascii="Verdana" w:hAnsi="Verdana"/>
          <w:sz w:val="16"/>
          <w:szCs w:val="16"/>
          <w:lang w:val="pt-PT"/>
        </w:rPr>
        <w:t xml:space="preserve">C(2025) </w:t>
      </w:r>
      <w:r w:rsidR="00967ED0" w:rsidRPr="00B554F1">
        <w:rPr>
          <w:rFonts w:ascii="Verdana" w:hAnsi="Verdana"/>
          <w:sz w:val="16"/>
          <w:szCs w:val="16"/>
          <w:lang w:val="pt-PT"/>
        </w:rPr>
        <w:t>4319 final</w:t>
      </w:r>
      <w:bookmarkEnd w:id="0"/>
      <w:r w:rsidR="00071365" w:rsidRPr="00B554F1">
        <w:rPr>
          <w:rFonts w:ascii="Verdana" w:hAnsi="Verdana"/>
          <w:sz w:val="16"/>
          <w:szCs w:val="16"/>
          <w:lang w:val="pt-PT"/>
        </w:rPr>
        <w:t>.</w:t>
      </w:r>
    </w:p>
  </w:footnote>
  <w:footnote w:id="9">
    <w:p w14:paraId="00C22C33" w14:textId="0C0C04C2" w:rsidR="000A61F5" w:rsidRPr="00D52796" w:rsidRDefault="000A61F5">
      <w:pPr>
        <w:pStyle w:val="FootnoteText"/>
        <w:rPr>
          <w:rFonts w:ascii="Verdana" w:hAnsi="Verdana"/>
          <w:sz w:val="16"/>
          <w:szCs w:val="16"/>
        </w:rPr>
      </w:pPr>
      <w:r w:rsidRPr="00D52796">
        <w:rPr>
          <w:rStyle w:val="FootnoteReference"/>
          <w:rFonts w:ascii="Verdana" w:hAnsi="Verdana"/>
          <w:sz w:val="16"/>
          <w:szCs w:val="16"/>
        </w:rPr>
        <w:footnoteRef/>
      </w:r>
      <w:r w:rsidRPr="00D52796">
        <w:rPr>
          <w:rFonts w:ascii="Verdana" w:hAnsi="Verdana"/>
          <w:sz w:val="16"/>
          <w:szCs w:val="16"/>
        </w:rPr>
        <w:t xml:space="preserve"> </w:t>
      </w:r>
      <w:r w:rsidR="002639B0" w:rsidRPr="00145AB2">
        <w:rPr>
          <w:rFonts w:ascii="Verdana" w:hAnsi="Verdana"/>
          <w:sz w:val="16"/>
          <w:szCs w:val="16"/>
        </w:rPr>
        <w:t>COM</w:t>
      </w:r>
      <w:r w:rsidR="00E5397B" w:rsidRPr="00145AB2">
        <w:rPr>
          <w:rFonts w:ascii="Verdana" w:hAnsi="Verdana"/>
          <w:sz w:val="16"/>
          <w:szCs w:val="16"/>
        </w:rPr>
        <w:t xml:space="preserve">(2025) 526; COM(2025) 531; </w:t>
      </w:r>
      <w:r w:rsidRPr="00D52796">
        <w:rPr>
          <w:rFonts w:ascii="Verdana" w:hAnsi="Verdana"/>
          <w:sz w:val="16"/>
          <w:szCs w:val="16"/>
        </w:rPr>
        <w:t>PM BNC</w:t>
      </w:r>
      <w:r w:rsidR="008559D8">
        <w:rPr>
          <w:rFonts w:ascii="Verdana" w:hAnsi="Verdana"/>
          <w:sz w:val="16"/>
          <w:szCs w:val="16"/>
        </w:rPr>
        <w:t>-</w:t>
      </w:r>
      <w:r w:rsidRPr="00D52796">
        <w:rPr>
          <w:rFonts w:ascii="Verdana" w:hAnsi="Verdana"/>
          <w:sz w:val="16"/>
          <w:szCs w:val="16"/>
        </w:rPr>
        <w:t>omnibus</w:t>
      </w:r>
      <w:r w:rsidR="00DA651A" w:rsidRPr="00D52796">
        <w:rPr>
          <w:rFonts w:ascii="Verdana" w:hAnsi="Verdana"/>
          <w:sz w:val="16"/>
          <w:szCs w:val="16"/>
        </w:rPr>
        <w:t xml:space="preserve">; COM(2025) </w:t>
      </w:r>
      <w:r w:rsidR="00A751EF" w:rsidRPr="00D52796">
        <w:rPr>
          <w:rFonts w:ascii="Verdana" w:hAnsi="Verdana"/>
          <w:sz w:val="16"/>
          <w:szCs w:val="16"/>
        </w:rPr>
        <w:t>38</w:t>
      </w:r>
      <w:r w:rsidR="00653EB9" w:rsidRPr="00D52796">
        <w:rPr>
          <w:rFonts w:ascii="Verdana" w:hAnsi="Verdana"/>
          <w:sz w:val="16"/>
          <w:szCs w:val="16"/>
        </w:rPr>
        <w:t xml:space="preserve">6; BNC-fiche </w:t>
      </w:r>
      <w:r w:rsidR="00145AB2" w:rsidRPr="00D52796">
        <w:rPr>
          <w:rFonts w:ascii="Verdana" w:hAnsi="Verdana"/>
          <w:sz w:val="16"/>
          <w:szCs w:val="16"/>
        </w:rPr>
        <w:t xml:space="preserve">ECHA </w:t>
      </w:r>
      <w:r w:rsidR="00653EB9" w:rsidRPr="00D52796">
        <w:rPr>
          <w:rFonts w:ascii="Verdana" w:hAnsi="Verdana"/>
          <w:sz w:val="16"/>
          <w:szCs w:val="16"/>
        </w:rPr>
        <w:t xml:space="preserve">is gelijktijdig </w:t>
      </w:r>
      <w:r w:rsidR="00145AB2" w:rsidRPr="00D52796">
        <w:rPr>
          <w:rFonts w:ascii="Verdana" w:hAnsi="Verdana"/>
          <w:sz w:val="16"/>
          <w:szCs w:val="16"/>
        </w:rPr>
        <w:t>naar de Kamer verstuurd</w:t>
      </w:r>
      <w:r w:rsidR="00071365">
        <w:rPr>
          <w:rFonts w:ascii="Verdana" w:hAnsi="Verdana"/>
          <w:sz w:val="16"/>
          <w:szCs w:val="16"/>
        </w:rPr>
        <w:t>.</w:t>
      </w:r>
    </w:p>
  </w:footnote>
  <w:footnote w:id="10">
    <w:p w14:paraId="4E933BD2" w14:textId="441F49D6" w:rsidR="00B31605" w:rsidRPr="00883351" w:rsidRDefault="00B31605">
      <w:pPr>
        <w:pStyle w:val="FootnoteText"/>
      </w:pPr>
      <w:r w:rsidRPr="00D52796">
        <w:rPr>
          <w:rStyle w:val="FootnoteReference"/>
          <w:rFonts w:ascii="Verdana" w:hAnsi="Verdana"/>
          <w:sz w:val="16"/>
          <w:szCs w:val="16"/>
        </w:rPr>
        <w:footnoteRef/>
      </w:r>
      <w:r w:rsidRPr="00D52796">
        <w:rPr>
          <w:rFonts w:ascii="Verdana" w:hAnsi="Verdana"/>
          <w:sz w:val="16"/>
          <w:szCs w:val="16"/>
        </w:rPr>
        <w:t xml:space="preserve"> </w:t>
      </w:r>
      <w:r w:rsidR="00223323" w:rsidRPr="00855CF5">
        <w:rPr>
          <w:rFonts w:ascii="Verdana" w:hAnsi="Verdana"/>
          <w:sz w:val="16"/>
          <w:szCs w:val="16"/>
        </w:rPr>
        <w:t>Kamerstuk</w:t>
      </w:r>
      <w:r w:rsidR="00223323">
        <w:rPr>
          <w:rFonts w:ascii="Verdana" w:hAnsi="Verdana"/>
          <w:sz w:val="16"/>
          <w:szCs w:val="16"/>
        </w:rPr>
        <w:t xml:space="preserve"> </w:t>
      </w:r>
      <w:bookmarkStart w:id="1" w:name="OLE_LINK4"/>
      <w:r w:rsidR="00DB719E" w:rsidRPr="00D52796">
        <w:rPr>
          <w:rFonts w:ascii="Verdana" w:hAnsi="Verdana"/>
          <w:sz w:val="16"/>
          <w:szCs w:val="16"/>
        </w:rPr>
        <w:t>II</w:t>
      </w:r>
      <w:r w:rsidR="00DB719E">
        <w:rPr>
          <w:rFonts w:ascii="Verdana" w:hAnsi="Verdana"/>
          <w:sz w:val="16"/>
          <w:szCs w:val="16"/>
        </w:rPr>
        <w:t xml:space="preserve"> </w:t>
      </w:r>
      <w:r w:rsidR="00EC5AE5">
        <w:rPr>
          <w:rFonts w:ascii="Verdana" w:hAnsi="Verdana"/>
          <w:sz w:val="16"/>
          <w:szCs w:val="16"/>
        </w:rPr>
        <w:t xml:space="preserve">2024-2025, </w:t>
      </w:r>
      <w:r w:rsidR="00223323">
        <w:rPr>
          <w:rFonts w:ascii="Verdana" w:hAnsi="Verdana"/>
          <w:sz w:val="16"/>
          <w:szCs w:val="16"/>
        </w:rPr>
        <w:t>21501</w:t>
      </w:r>
      <w:r w:rsidR="00612CF1">
        <w:rPr>
          <w:rFonts w:ascii="Verdana" w:hAnsi="Verdana"/>
          <w:sz w:val="16"/>
          <w:szCs w:val="16"/>
        </w:rPr>
        <w:t>-30, nr. 621</w:t>
      </w:r>
      <w:bookmarkEnd w:id="1"/>
      <w:r w:rsidR="00071365">
        <w:rPr>
          <w:rFonts w:ascii="Verdana" w:hAnsi="Verdana"/>
          <w:sz w:val="16"/>
          <w:szCs w:val="16"/>
        </w:rPr>
        <w:t>.</w:t>
      </w:r>
    </w:p>
  </w:footnote>
  <w:footnote w:id="11">
    <w:p w14:paraId="3E79CCC8" w14:textId="77777777" w:rsidR="00B62AF3" w:rsidRPr="00B554F1" w:rsidRDefault="00B62AF3" w:rsidP="00B62AF3">
      <w:pPr>
        <w:pStyle w:val="FootnoteText"/>
        <w:rPr>
          <w:rFonts w:ascii="Verdana" w:hAnsi="Verdana"/>
          <w:sz w:val="16"/>
          <w:szCs w:val="16"/>
        </w:rPr>
      </w:pPr>
      <w:r w:rsidRPr="00B554F1">
        <w:rPr>
          <w:rStyle w:val="FootnoteReference"/>
          <w:rFonts w:ascii="Verdana" w:hAnsi="Verdana"/>
          <w:sz w:val="16"/>
          <w:szCs w:val="16"/>
        </w:rPr>
        <w:footnoteRef/>
      </w:r>
      <w:r w:rsidRPr="00B554F1">
        <w:rPr>
          <w:rFonts w:ascii="Verdana" w:hAnsi="Verdana"/>
          <w:sz w:val="16"/>
          <w:szCs w:val="16"/>
        </w:rPr>
        <w:t xml:space="preserve"> CBS 2023 </w:t>
      </w:r>
      <w:hyperlink r:id="rId1" w:history="1">
        <w:r w:rsidRPr="00B554F1">
          <w:rPr>
            <w:rStyle w:val="Hyperlink"/>
            <w:rFonts w:ascii="Verdana" w:hAnsi="Verdana"/>
            <w:sz w:val="16"/>
            <w:szCs w:val="16"/>
          </w:rPr>
          <w:t>https://www.cbs.nl/nl-nl/dossier/dossier-broeikasgassen/welke-sectoren-stoten-broeikasgassen-uit-</w:t>
        </w:r>
      </w:hyperlink>
      <w:r w:rsidRPr="00B554F1">
        <w:rPr>
          <w:rFonts w:ascii="Verdana" w:hAnsi="Verdana"/>
          <w:sz w:val="16"/>
          <w:szCs w:val="16"/>
        </w:rPr>
        <w:t>;</w:t>
      </w:r>
    </w:p>
    <w:p w14:paraId="61B1E427" w14:textId="72A499E2" w:rsidR="00B62AF3" w:rsidRPr="00B554F1" w:rsidRDefault="00B62AF3" w:rsidP="00B62AF3">
      <w:pPr>
        <w:pStyle w:val="FootnoteText"/>
        <w:rPr>
          <w:rFonts w:ascii="Verdana" w:hAnsi="Verdana"/>
          <w:sz w:val="16"/>
          <w:szCs w:val="16"/>
          <w:lang w:val="es-ES"/>
        </w:rPr>
      </w:pPr>
      <w:r w:rsidRPr="00B554F1">
        <w:rPr>
          <w:rFonts w:ascii="Verdana" w:hAnsi="Verdana"/>
          <w:sz w:val="16"/>
          <w:szCs w:val="16"/>
          <w:lang w:val="es-ES"/>
        </w:rPr>
        <w:t xml:space="preserve">EEA 2025 </w:t>
      </w:r>
      <w:r w:rsidR="00335264">
        <w:fldChar w:fldCharType="begin"/>
      </w:r>
      <w:r w:rsidR="00335264" w:rsidRPr="00335264">
        <w:rPr>
          <w:lang w:val="es-ES"/>
        </w:rPr>
        <w:instrText>HYPERLINK "https://www.eea.europa.eu/en/european-zero-pollution-dashboards/indicators/total-greenhouse-gas-emissions-in-the-chemical-industry"</w:instrText>
      </w:r>
      <w:r w:rsidR="00335264">
        <w:fldChar w:fldCharType="separate"/>
      </w:r>
      <w:r w:rsidR="00612CF1" w:rsidRPr="00B554F1">
        <w:rPr>
          <w:rStyle w:val="Hyperlink"/>
          <w:rFonts w:ascii="Verdana" w:hAnsi="Verdana"/>
          <w:sz w:val="16"/>
          <w:szCs w:val="16"/>
          <w:lang w:val="es-ES"/>
        </w:rPr>
        <w:t>https://www.eea.europa.eu/en/european-zero-pollution-dashboards/indicators/total-greenhouse-gas-emissions-in-the-chemical-industry</w:t>
      </w:r>
      <w:r w:rsidR="00335264">
        <w:rPr>
          <w:rStyle w:val="Hyperlink"/>
          <w:rFonts w:ascii="Verdana" w:hAnsi="Verdana"/>
          <w:sz w:val="16"/>
          <w:szCs w:val="16"/>
          <w:lang w:val="es-ES"/>
        </w:rPr>
        <w:fldChar w:fldCharType="end"/>
      </w:r>
      <w:r w:rsidR="00071365" w:rsidRPr="00B554F1">
        <w:rPr>
          <w:rFonts w:ascii="Verdana" w:hAnsi="Verdana"/>
          <w:sz w:val="16"/>
          <w:szCs w:val="16"/>
          <w:lang w:val="es-ES"/>
        </w:rPr>
        <w:t>.</w:t>
      </w:r>
    </w:p>
  </w:footnote>
  <w:footnote w:id="12">
    <w:p w14:paraId="5B416145" w14:textId="50FE457D" w:rsidR="00E74B36" w:rsidRPr="00B554F1" w:rsidRDefault="00E74B36">
      <w:pPr>
        <w:pStyle w:val="FootnoteText"/>
        <w:rPr>
          <w:rFonts w:ascii="Verdana" w:hAnsi="Verdana"/>
          <w:sz w:val="16"/>
          <w:szCs w:val="16"/>
        </w:rPr>
      </w:pPr>
      <w:r w:rsidRPr="00B554F1">
        <w:rPr>
          <w:rStyle w:val="FootnoteReference"/>
          <w:rFonts w:ascii="Verdana" w:hAnsi="Verdana"/>
          <w:sz w:val="16"/>
          <w:szCs w:val="16"/>
        </w:rPr>
        <w:footnoteRef/>
      </w:r>
      <w:r w:rsidRPr="00B554F1">
        <w:rPr>
          <w:rFonts w:ascii="Verdana" w:hAnsi="Verdana"/>
          <w:sz w:val="16"/>
          <w:szCs w:val="16"/>
        </w:rPr>
        <w:t xml:space="preserve"> </w:t>
      </w:r>
      <w:r w:rsidR="0034036A" w:rsidRPr="00B554F1">
        <w:rPr>
          <w:rFonts w:ascii="Verdana" w:hAnsi="Verdana"/>
          <w:sz w:val="16"/>
          <w:szCs w:val="16"/>
        </w:rPr>
        <w:t xml:space="preserve">Kamerstuk </w:t>
      </w:r>
      <w:r w:rsidR="00DB719E" w:rsidRPr="00B554F1">
        <w:rPr>
          <w:rFonts w:ascii="Verdana" w:hAnsi="Verdana"/>
          <w:sz w:val="16"/>
          <w:szCs w:val="16"/>
        </w:rPr>
        <w:t xml:space="preserve">II </w:t>
      </w:r>
      <w:r w:rsidR="008559D8" w:rsidRPr="00B554F1">
        <w:rPr>
          <w:rFonts w:ascii="Verdana" w:hAnsi="Verdana"/>
          <w:sz w:val="16"/>
          <w:szCs w:val="16"/>
        </w:rPr>
        <w:t xml:space="preserve">2024-2025, </w:t>
      </w:r>
      <w:r w:rsidR="0034036A" w:rsidRPr="00B554F1">
        <w:rPr>
          <w:rFonts w:ascii="Verdana" w:hAnsi="Verdana"/>
          <w:sz w:val="16"/>
          <w:szCs w:val="16"/>
        </w:rPr>
        <w:t>27428, nr. 408</w:t>
      </w:r>
      <w:r w:rsidR="00071365" w:rsidRPr="00B554F1">
        <w:rPr>
          <w:rFonts w:ascii="Verdana" w:hAnsi="Verdana"/>
          <w:sz w:val="16"/>
          <w:szCs w:val="16"/>
        </w:rPr>
        <w:t>.</w:t>
      </w:r>
    </w:p>
  </w:footnote>
  <w:footnote w:id="13">
    <w:p w14:paraId="70312F77" w14:textId="45BCA6EC" w:rsidR="00E74E93" w:rsidRPr="0088196A" w:rsidRDefault="00E74E93" w:rsidP="00E74E93">
      <w:pPr>
        <w:pStyle w:val="FootnoteText"/>
      </w:pPr>
      <w:r w:rsidRPr="00B554F1">
        <w:rPr>
          <w:rStyle w:val="FootnoteReference"/>
          <w:rFonts w:ascii="Verdana" w:hAnsi="Verdana"/>
          <w:sz w:val="16"/>
          <w:szCs w:val="16"/>
        </w:rPr>
        <w:footnoteRef/>
      </w:r>
      <w:r w:rsidRPr="00B554F1">
        <w:rPr>
          <w:rFonts w:ascii="Verdana" w:hAnsi="Verdana"/>
          <w:sz w:val="16"/>
          <w:szCs w:val="16"/>
        </w:rPr>
        <w:t xml:space="preserve"> </w:t>
      </w:r>
      <w:bookmarkStart w:id="2" w:name="OLE_LINK3"/>
      <w:r w:rsidR="007339EA" w:rsidRPr="00B554F1">
        <w:rPr>
          <w:rFonts w:ascii="Verdana" w:hAnsi="Verdana"/>
          <w:sz w:val="16"/>
          <w:szCs w:val="16"/>
        </w:rPr>
        <w:t xml:space="preserve">Kamerstuk </w:t>
      </w:r>
      <w:r w:rsidR="00DB719E" w:rsidRPr="00B554F1">
        <w:rPr>
          <w:rFonts w:ascii="Verdana" w:hAnsi="Verdana"/>
          <w:sz w:val="16"/>
          <w:szCs w:val="16"/>
        </w:rPr>
        <w:t xml:space="preserve">II </w:t>
      </w:r>
      <w:r w:rsidR="00C149A7" w:rsidRPr="00B554F1">
        <w:rPr>
          <w:rFonts w:ascii="Verdana" w:hAnsi="Verdana"/>
          <w:sz w:val="16"/>
          <w:szCs w:val="16"/>
        </w:rPr>
        <w:t xml:space="preserve">2023-2024, </w:t>
      </w:r>
      <w:r w:rsidR="007339EA" w:rsidRPr="00B554F1">
        <w:rPr>
          <w:rFonts w:ascii="Verdana" w:hAnsi="Verdana"/>
          <w:sz w:val="16"/>
          <w:szCs w:val="16"/>
        </w:rPr>
        <w:t xml:space="preserve">32852, nr. </w:t>
      </w:r>
      <w:r w:rsidR="00B9628E" w:rsidRPr="00B554F1">
        <w:rPr>
          <w:rFonts w:ascii="Verdana" w:hAnsi="Verdana"/>
          <w:sz w:val="16"/>
          <w:szCs w:val="16"/>
        </w:rPr>
        <w:t>315</w:t>
      </w:r>
      <w:bookmarkEnd w:id="2"/>
      <w:r w:rsidR="00071365" w:rsidRPr="00B554F1">
        <w:rPr>
          <w:rFonts w:ascii="Verdana" w:hAnsi="Verdana"/>
          <w:sz w:val="16"/>
          <w:szCs w:val="16"/>
        </w:rPr>
        <w:t>.</w:t>
      </w:r>
    </w:p>
  </w:footnote>
  <w:footnote w:id="14">
    <w:p w14:paraId="3AB8B95B" w14:textId="4D44A4F7" w:rsidR="002D5169" w:rsidRPr="00D52796" w:rsidRDefault="002D5169">
      <w:pPr>
        <w:pStyle w:val="FootnoteText"/>
        <w:rPr>
          <w:rFonts w:ascii="Verdana" w:hAnsi="Verdana"/>
          <w:sz w:val="16"/>
          <w:szCs w:val="16"/>
          <w:highlight w:val="yellow"/>
        </w:rPr>
      </w:pPr>
      <w:r w:rsidRPr="00D52796">
        <w:rPr>
          <w:rStyle w:val="FootnoteReference"/>
          <w:rFonts w:ascii="Verdana" w:hAnsi="Verdana"/>
          <w:sz w:val="16"/>
          <w:szCs w:val="16"/>
        </w:rPr>
        <w:footnoteRef/>
      </w:r>
      <w:r w:rsidRPr="00D52796">
        <w:rPr>
          <w:rFonts w:ascii="Verdana" w:hAnsi="Verdana"/>
          <w:sz w:val="16"/>
          <w:szCs w:val="16"/>
        </w:rPr>
        <w:t xml:space="preserve"> </w:t>
      </w:r>
      <w:r w:rsidR="00263D74" w:rsidRPr="00D52796">
        <w:rPr>
          <w:rFonts w:ascii="Verdana" w:hAnsi="Verdana"/>
          <w:sz w:val="16"/>
          <w:szCs w:val="16"/>
        </w:rPr>
        <w:t xml:space="preserve">Hierin is hoogwaardige inzet van </w:t>
      </w:r>
      <w:proofErr w:type="spellStart"/>
      <w:r w:rsidR="00263D74" w:rsidRPr="00D52796">
        <w:rPr>
          <w:rFonts w:ascii="Verdana" w:hAnsi="Verdana"/>
          <w:sz w:val="16"/>
          <w:szCs w:val="16"/>
        </w:rPr>
        <w:t>biogrondstoffen</w:t>
      </w:r>
      <w:proofErr w:type="spellEnd"/>
      <w:r w:rsidR="00263D74" w:rsidRPr="00D52796">
        <w:rPr>
          <w:rFonts w:ascii="Verdana" w:hAnsi="Verdana"/>
          <w:sz w:val="16"/>
          <w:szCs w:val="16"/>
        </w:rPr>
        <w:t xml:space="preserve"> de toepassing in materialen, zoals in de chemie of de bouw, terwijl het gebruik van </w:t>
      </w:r>
      <w:proofErr w:type="spellStart"/>
      <w:r w:rsidR="00263D74" w:rsidRPr="00D52796">
        <w:rPr>
          <w:rFonts w:ascii="Verdana" w:hAnsi="Verdana"/>
          <w:sz w:val="16"/>
          <w:szCs w:val="16"/>
        </w:rPr>
        <w:t>biogrondstoffen</w:t>
      </w:r>
      <w:proofErr w:type="spellEnd"/>
      <w:r w:rsidR="00263D74" w:rsidRPr="00D52796">
        <w:rPr>
          <w:rFonts w:ascii="Verdana" w:hAnsi="Verdana"/>
          <w:sz w:val="16"/>
          <w:szCs w:val="16"/>
        </w:rPr>
        <w:t xml:space="preserve"> voor energie laagwaardige- of transitie toepassingen zijn.</w:t>
      </w:r>
    </w:p>
  </w:footnote>
  <w:footnote w:id="15">
    <w:p w14:paraId="29F6CA2A" w14:textId="15E5E13E" w:rsidR="00E74E93" w:rsidRPr="009505B7" w:rsidRDefault="00E74E93" w:rsidP="00E74E93">
      <w:pPr>
        <w:pStyle w:val="FootnoteText"/>
        <w:rPr>
          <w:rFonts w:ascii="Verdana" w:hAnsi="Verdana"/>
          <w:sz w:val="16"/>
          <w:szCs w:val="16"/>
        </w:rPr>
      </w:pPr>
      <w:r w:rsidRPr="00D52796">
        <w:rPr>
          <w:rStyle w:val="FootnoteReference"/>
          <w:rFonts w:ascii="Verdana" w:hAnsi="Verdana"/>
          <w:sz w:val="16"/>
          <w:szCs w:val="16"/>
        </w:rPr>
        <w:footnoteRef/>
      </w:r>
      <w:r w:rsidRPr="00066D42">
        <w:rPr>
          <w:rFonts w:ascii="Verdana" w:hAnsi="Verdana"/>
          <w:sz w:val="16"/>
          <w:szCs w:val="16"/>
        </w:rPr>
        <w:t xml:space="preserve"> </w:t>
      </w:r>
      <w:r w:rsidR="00B8200F" w:rsidRPr="00066D42">
        <w:rPr>
          <w:rFonts w:ascii="Verdana" w:hAnsi="Verdana"/>
          <w:sz w:val="16"/>
          <w:szCs w:val="16"/>
        </w:rPr>
        <w:t>Kamerstu</w:t>
      </w:r>
      <w:r w:rsidR="00096501" w:rsidRPr="00066D42">
        <w:rPr>
          <w:rFonts w:ascii="Verdana" w:hAnsi="Verdana"/>
          <w:sz w:val="16"/>
          <w:szCs w:val="16"/>
        </w:rPr>
        <w:t>k II 2025-2026, 21501-08, nr. 1004</w:t>
      </w:r>
    </w:p>
  </w:footnote>
  <w:footnote w:id="16">
    <w:p w14:paraId="1CD72D03" w14:textId="5D7966EE" w:rsidR="00543F7C" w:rsidRPr="00D52796" w:rsidRDefault="00543F7C">
      <w:pPr>
        <w:pStyle w:val="FootnoteText"/>
        <w:rPr>
          <w:rFonts w:ascii="Verdana" w:hAnsi="Verdana"/>
          <w:sz w:val="16"/>
          <w:szCs w:val="16"/>
        </w:rPr>
      </w:pPr>
      <w:r w:rsidRPr="00D52796">
        <w:rPr>
          <w:rStyle w:val="FootnoteReference"/>
          <w:rFonts w:ascii="Verdana" w:hAnsi="Verdana"/>
          <w:sz w:val="16"/>
          <w:szCs w:val="16"/>
        </w:rPr>
        <w:footnoteRef/>
      </w:r>
      <w:r w:rsidRPr="00D52796">
        <w:rPr>
          <w:rFonts w:ascii="Verdana" w:hAnsi="Verdana"/>
          <w:sz w:val="16"/>
          <w:szCs w:val="16"/>
        </w:rPr>
        <w:t xml:space="preserve"> </w:t>
      </w:r>
      <w:bookmarkStart w:id="4" w:name="OLE_LINK2"/>
      <w:r w:rsidR="00882A30">
        <w:rPr>
          <w:rFonts w:ascii="Verdana" w:hAnsi="Verdana"/>
          <w:sz w:val="16"/>
          <w:szCs w:val="16"/>
        </w:rPr>
        <w:t xml:space="preserve">Kamerstuk </w:t>
      </w:r>
      <w:r w:rsidR="00DB719E" w:rsidRPr="00D52796">
        <w:rPr>
          <w:rFonts w:ascii="Verdana" w:hAnsi="Verdana"/>
          <w:sz w:val="16"/>
          <w:szCs w:val="16"/>
        </w:rPr>
        <w:t>II</w:t>
      </w:r>
      <w:r w:rsidR="00DB719E">
        <w:rPr>
          <w:rFonts w:ascii="Verdana" w:hAnsi="Verdana"/>
          <w:sz w:val="16"/>
          <w:szCs w:val="16"/>
        </w:rPr>
        <w:t xml:space="preserve"> </w:t>
      </w:r>
      <w:r w:rsidR="000E3565">
        <w:rPr>
          <w:rFonts w:ascii="Verdana" w:hAnsi="Verdana"/>
          <w:sz w:val="16"/>
          <w:szCs w:val="16"/>
        </w:rPr>
        <w:t xml:space="preserve">2022-2023, </w:t>
      </w:r>
      <w:r w:rsidR="00882A30">
        <w:rPr>
          <w:rFonts w:ascii="Verdana" w:hAnsi="Verdana"/>
          <w:sz w:val="16"/>
          <w:szCs w:val="16"/>
        </w:rPr>
        <w:t>35334, nr. 220</w:t>
      </w:r>
      <w:bookmarkEnd w:id="4"/>
      <w:r w:rsidR="00071365">
        <w:rPr>
          <w:rFonts w:ascii="Verdana" w:hAnsi="Verdana"/>
          <w:sz w:val="16"/>
          <w:szCs w:val="16"/>
        </w:rPr>
        <w:t>.</w:t>
      </w:r>
    </w:p>
  </w:footnote>
  <w:footnote w:id="17">
    <w:p w14:paraId="43598F98" w14:textId="364A31E9" w:rsidR="00EA170A" w:rsidRPr="00D52796" w:rsidRDefault="00EA170A">
      <w:pPr>
        <w:pStyle w:val="FootnoteText"/>
        <w:rPr>
          <w:rFonts w:ascii="Verdana" w:hAnsi="Verdana"/>
          <w:sz w:val="16"/>
          <w:szCs w:val="16"/>
        </w:rPr>
      </w:pPr>
      <w:r w:rsidRPr="00D52796">
        <w:rPr>
          <w:rStyle w:val="FootnoteReference"/>
          <w:rFonts w:ascii="Verdana" w:hAnsi="Verdana"/>
          <w:sz w:val="16"/>
          <w:szCs w:val="16"/>
        </w:rPr>
        <w:footnoteRef/>
      </w:r>
      <w:r w:rsidRPr="00D52796">
        <w:rPr>
          <w:rFonts w:ascii="Verdana" w:hAnsi="Verdana"/>
          <w:sz w:val="16"/>
          <w:szCs w:val="16"/>
        </w:rPr>
        <w:t xml:space="preserve"> </w:t>
      </w:r>
      <w:r w:rsidR="00377FAC" w:rsidRPr="00D52796">
        <w:rPr>
          <w:rFonts w:ascii="Verdana" w:hAnsi="Verdana"/>
          <w:sz w:val="16"/>
          <w:szCs w:val="16"/>
        </w:rPr>
        <w:t>Het kabinet werkt aan versterking van de interne markt op basis van de kabinetsbrede interne-</w:t>
      </w:r>
      <w:proofErr w:type="spellStart"/>
      <w:r w:rsidR="00377FAC" w:rsidRPr="00D52796">
        <w:rPr>
          <w:rFonts w:ascii="Verdana" w:hAnsi="Verdana"/>
          <w:sz w:val="16"/>
          <w:szCs w:val="16"/>
        </w:rPr>
        <w:t>marktactieagenda</w:t>
      </w:r>
      <w:proofErr w:type="spellEnd"/>
      <w:r w:rsidR="00377FAC" w:rsidRPr="00D52796">
        <w:rPr>
          <w:rFonts w:ascii="Verdana" w:hAnsi="Verdana"/>
          <w:sz w:val="16"/>
          <w:szCs w:val="16"/>
        </w:rPr>
        <w:t>. Zie Kamerstukken 2021-2022, 22112, nr. 3437.</w:t>
      </w:r>
    </w:p>
  </w:footnote>
  <w:footnote w:id="18">
    <w:p w14:paraId="6A237820" w14:textId="0740A14E" w:rsidR="00923230" w:rsidRPr="0056437B" w:rsidRDefault="00923230">
      <w:pPr>
        <w:pStyle w:val="FootnoteText"/>
        <w:rPr>
          <w:rFonts w:ascii="Verdana" w:hAnsi="Verdana"/>
        </w:rPr>
      </w:pPr>
      <w:r w:rsidRPr="00D52796">
        <w:rPr>
          <w:rStyle w:val="FootnoteReference"/>
          <w:rFonts w:ascii="Verdana" w:hAnsi="Verdana"/>
          <w:sz w:val="16"/>
          <w:szCs w:val="16"/>
        </w:rPr>
        <w:footnoteRef/>
      </w:r>
      <w:r w:rsidRPr="00D52796">
        <w:rPr>
          <w:rFonts w:ascii="Verdana" w:hAnsi="Verdana"/>
          <w:sz w:val="16"/>
          <w:szCs w:val="16"/>
        </w:rPr>
        <w:t xml:space="preserve"> </w:t>
      </w:r>
      <w:r w:rsidR="00071365" w:rsidRPr="0056437B">
        <w:rPr>
          <w:rFonts w:ascii="Verdana" w:hAnsi="Verdana"/>
          <w:sz w:val="16"/>
          <w:szCs w:val="16"/>
        </w:rPr>
        <w:t xml:space="preserve">Kamerstuk </w:t>
      </w:r>
      <w:bookmarkStart w:id="5" w:name="OLE_LINK5"/>
      <w:r w:rsidR="00DB719E" w:rsidRPr="00D52796">
        <w:rPr>
          <w:rFonts w:ascii="Verdana" w:hAnsi="Verdana"/>
          <w:sz w:val="16"/>
          <w:szCs w:val="16"/>
        </w:rPr>
        <w:t>II</w:t>
      </w:r>
      <w:bookmarkEnd w:id="5"/>
      <w:r w:rsidR="00DB719E" w:rsidRPr="00D52796">
        <w:rPr>
          <w:rFonts w:ascii="Verdana" w:hAnsi="Verdana"/>
          <w:sz w:val="16"/>
          <w:szCs w:val="16"/>
        </w:rPr>
        <w:t xml:space="preserve"> </w:t>
      </w:r>
      <w:r w:rsidR="00071365" w:rsidRPr="0056437B">
        <w:rPr>
          <w:rFonts w:ascii="Verdana" w:hAnsi="Verdana"/>
          <w:sz w:val="16"/>
          <w:szCs w:val="16"/>
        </w:rPr>
        <w:t>2024-2025, 21501</w:t>
      </w:r>
      <w:r w:rsidR="00071365" w:rsidRPr="00D52796">
        <w:rPr>
          <w:rFonts w:ascii="Verdana" w:hAnsi="Verdana"/>
          <w:sz w:val="16"/>
          <w:szCs w:val="16"/>
        </w:rPr>
        <w:t>-33, nr. 1119.</w:t>
      </w:r>
    </w:p>
  </w:footnote>
  <w:footnote w:id="19">
    <w:p w14:paraId="24434E82" w14:textId="74561E19" w:rsidR="003916F4" w:rsidRPr="00B554F1" w:rsidRDefault="003916F4" w:rsidP="003916F4">
      <w:pPr>
        <w:pStyle w:val="FootnoteText"/>
        <w:rPr>
          <w:rFonts w:ascii="Verdana" w:hAnsi="Verdana"/>
          <w:sz w:val="16"/>
          <w:szCs w:val="16"/>
        </w:rPr>
      </w:pPr>
      <w:r w:rsidRPr="00B554F1">
        <w:rPr>
          <w:rStyle w:val="FootnoteReference"/>
          <w:rFonts w:ascii="Verdana" w:hAnsi="Verdana"/>
          <w:sz w:val="16"/>
          <w:szCs w:val="16"/>
        </w:rPr>
        <w:footnoteRef/>
      </w:r>
      <w:r w:rsidRPr="00B554F1">
        <w:rPr>
          <w:rFonts w:ascii="Verdana" w:hAnsi="Verdana"/>
          <w:sz w:val="16"/>
          <w:szCs w:val="16"/>
        </w:rPr>
        <w:t xml:space="preserve"> </w:t>
      </w:r>
      <w:hyperlink r:id="rId2" w:history="1">
        <w:r w:rsidRPr="00B554F1">
          <w:rPr>
            <w:rStyle w:val="Hyperlink"/>
            <w:rFonts w:ascii="Verdana" w:hAnsi="Verdana"/>
            <w:sz w:val="16"/>
            <w:szCs w:val="16"/>
          </w:rPr>
          <w:t xml:space="preserve">Critical </w:t>
        </w:r>
        <w:proofErr w:type="spellStart"/>
        <w:r w:rsidRPr="00B554F1">
          <w:rPr>
            <w:rStyle w:val="Hyperlink"/>
            <w:rFonts w:ascii="Verdana" w:hAnsi="Verdana"/>
            <w:sz w:val="16"/>
            <w:szCs w:val="16"/>
          </w:rPr>
          <w:t>Medicines</w:t>
        </w:r>
        <w:proofErr w:type="spellEnd"/>
        <w:r w:rsidRPr="00B554F1">
          <w:rPr>
            <w:rStyle w:val="Hyperlink"/>
            <w:rFonts w:ascii="Verdana" w:hAnsi="Verdana"/>
            <w:sz w:val="16"/>
            <w:szCs w:val="16"/>
          </w:rPr>
          <w:t xml:space="preserve"> Alliance - European </w:t>
        </w:r>
        <w:proofErr w:type="spellStart"/>
        <w:r w:rsidRPr="00B554F1">
          <w:rPr>
            <w:rStyle w:val="Hyperlink"/>
            <w:rFonts w:ascii="Verdana" w:hAnsi="Verdana"/>
            <w:sz w:val="16"/>
            <w:szCs w:val="16"/>
          </w:rPr>
          <w:t>Commission</w:t>
        </w:r>
        <w:proofErr w:type="spellEnd"/>
      </w:hyperlink>
      <w:r w:rsidR="00DB719E" w:rsidRPr="00B554F1">
        <w:rPr>
          <w:rFonts w:ascii="Verdana" w:hAnsi="Verdana"/>
          <w:sz w:val="16"/>
          <w:szCs w:val="16"/>
        </w:rPr>
        <w:t>.</w:t>
      </w:r>
    </w:p>
  </w:footnote>
  <w:footnote w:id="20">
    <w:p w14:paraId="6EA7EDBB" w14:textId="6F3D8F66" w:rsidR="006457A0" w:rsidRPr="00B554F1" w:rsidRDefault="006457A0">
      <w:pPr>
        <w:pStyle w:val="FootnoteText"/>
        <w:rPr>
          <w:rFonts w:ascii="Verdana" w:hAnsi="Verdana"/>
          <w:sz w:val="16"/>
          <w:szCs w:val="16"/>
        </w:rPr>
      </w:pPr>
      <w:r w:rsidRPr="00B554F1">
        <w:rPr>
          <w:rStyle w:val="FootnoteReference"/>
          <w:rFonts w:ascii="Verdana" w:hAnsi="Verdana"/>
          <w:sz w:val="16"/>
          <w:szCs w:val="16"/>
        </w:rPr>
        <w:footnoteRef/>
      </w:r>
      <w:r w:rsidRPr="00B554F1">
        <w:rPr>
          <w:rFonts w:ascii="Verdana" w:hAnsi="Verdana"/>
          <w:sz w:val="16"/>
          <w:szCs w:val="16"/>
        </w:rPr>
        <w:t xml:space="preserve"> </w:t>
      </w:r>
      <w:r w:rsidR="0010167E" w:rsidRPr="00B554F1">
        <w:rPr>
          <w:rFonts w:ascii="Verdana" w:hAnsi="Verdana"/>
          <w:sz w:val="16"/>
          <w:szCs w:val="16"/>
        </w:rPr>
        <w:t>Aanhangsel Handelingen</w:t>
      </w:r>
      <w:r w:rsidR="00C6735B" w:rsidRPr="00B554F1">
        <w:rPr>
          <w:rFonts w:ascii="Verdana" w:hAnsi="Verdana"/>
          <w:sz w:val="16"/>
          <w:szCs w:val="16"/>
        </w:rPr>
        <w:t xml:space="preserve"> II</w:t>
      </w:r>
      <w:r w:rsidR="008F3B68" w:rsidRPr="00B554F1">
        <w:rPr>
          <w:rFonts w:ascii="Verdana" w:hAnsi="Verdana"/>
          <w:sz w:val="16"/>
          <w:szCs w:val="16"/>
        </w:rPr>
        <w:t xml:space="preserve"> 2024-2025, </w:t>
      </w:r>
      <w:r w:rsidR="00DB719E" w:rsidRPr="00B554F1">
        <w:rPr>
          <w:rFonts w:ascii="Verdana" w:hAnsi="Verdana"/>
          <w:sz w:val="16"/>
          <w:szCs w:val="16"/>
        </w:rPr>
        <w:t>nr. 2453.</w:t>
      </w:r>
    </w:p>
  </w:footnote>
  <w:footnote w:id="21">
    <w:p w14:paraId="0A378EF3" w14:textId="27B33717" w:rsidR="007C6FE8" w:rsidRPr="00B554F1" w:rsidRDefault="007C6FE8">
      <w:pPr>
        <w:pStyle w:val="FootnoteText"/>
        <w:rPr>
          <w:rFonts w:ascii="Verdana" w:hAnsi="Verdana"/>
          <w:sz w:val="16"/>
          <w:szCs w:val="16"/>
        </w:rPr>
      </w:pPr>
      <w:r w:rsidRPr="00B554F1">
        <w:rPr>
          <w:rStyle w:val="FootnoteReference"/>
          <w:rFonts w:ascii="Verdana" w:hAnsi="Verdana"/>
          <w:sz w:val="16"/>
          <w:szCs w:val="16"/>
        </w:rPr>
        <w:footnoteRef/>
      </w:r>
      <w:r w:rsidRPr="00B554F1">
        <w:rPr>
          <w:rFonts w:ascii="Verdana" w:hAnsi="Verdana"/>
          <w:sz w:val="16"/>
          <w:szCs w:val="16"/>
        </w:rPr>
        <w:t xml:space="preserve"> </w:t>
      </w:r>
      <w:r w:rsidR="001D31FC" w:rsidRPr="00B554F1">
        <w:rPr>
          <w:rFonts w:ascii="Verdana" w:hAnsi="Verdana"/>
          <w:sz w:val="16"/>
          <w:szCs w:val="16"/>
        </w:rPr>
        <w:t>Kamerstuk II 2024-2025, 29826, nr. 258.</w:t>
      </w:r>
    </w:p>
  </w:footnote>
  <w:footnote w:id="22">
    <w:p w14:paraId="26E87736" w14:textId="7FE2225B" w:rsidR="001C6E29" w:rsidRPr="00B554F1" w:rsidRDefault="001C6E29" w:rsidP="001C6E29">
      <w:pPr>
        <w:pStyle w:val="FootnoteText"/>
        <w:rPr>
          <w:rFonts w:ascii="Verdana" w:hAnsi="Verdana"/>
          <w:sz w:val="16"/>
          <w:szCs w:val="16"/>
          <w:lang w:val="en-US"/>
        </w:rPr>
      </w:pPr>
      <w:r w:rsidRPr="00B554F1">
        <w:rPr>
          <w:rStyle w:val="FootnoteReference"/>
          <w:rFonts w:ascii="Verdana" w:hAnsi="Verdana"/>
          <w:sz w:val="16"/>
          <w:szCs w:val="16"/>
        </w:rPr>
        <w:footnoteRef/>
      </w:r>
      <w:r w:rsidRPr="00B554F1">
        <w:rPr>
          <w:rFonts w:ascii="Verdana" w:hAnsi="Verdana"/>
          <w:sz w:val="16"/>
          <w:szCs w:val="16"/>
          <w:lang w:val="en-US"/>
        </w:rPr>
        <w:t xml:space="preserve"> </w:t>
      </w:r>
      <w:r w:rsidR="00335264">
        <w:fldChar w:fldCharType="begin"/>
      </w:r>
      <w:r w:rsidR="00335264" w:rsidRPr="00335264">
        <w:rPr>
          <w:lang w:val="en-US"/>
        </w:rPr>
        <w:instrText>HYPERLINK "https://ec.europa.eu/info/law/better-regulation/have-your-say/initiatives/14505-Industrial-Decarbonisation-Accelerator-Act-speeding-up-decarbonisation/F3572734_en"</w:instrText>
      </w:r>
      <w:r w:rsidR="00335264">
        <w:fldChar w:fldCharType="separate"/>
      </w:r>
      <w:r w:rsidR="00A73BAB" w:rsidRPr="00B554F1">
        <w:rPr>
          <w:rStyle w:val="Hyperlink"/>
          <w:rFonts w:ascii="Verdana" w:hAnsi="Verdana"/>
          <w:sz w:val="16"/>
          <w:szCs w:val="16"/>
          <w:lang w:val="en-US"/>
        </w:rPr>
        <w:t>Feedback from: Ministry of Climate Policy and Green Growth</w:t>
      </w:r>
      <w:r w:rsidR="00335264">
        <w:rPr>
          <w:rStyle w:val="Hyperlink"/>
          <w:rFonts w:ascii="Verdana" w:hAnsi="Verdana"/>
          <w:sz w:val="16"/>
          <w:szCs w:val="16"/>
          <w:lang w:val="en-US"/>
        </w:rPr>
        <w:fldChar w:fldCharType="end"/>
      </w:r>
      <w:r w:rsidR="00FF58B6" w:rsidRPr="00B554F1">
        <w:rPr>
          <w:rFonts w:ascii="Verdana" w:hAnsi="Verdana"/>
          <w:sz w:val="16"/>
          <w:szCs w:val="16"/>
          <w:lang w:val="en-US"/>
        </w:rPr>
        <w:t>.</w:t>
      </w:r>
    </w:p>
  </w:footnote>
  <w:footnote w:id="23">
    <w:p w14:paraId="6B9DB298" w14:textId="5B4F0C3D" w:rsidR="007D3BA8" w:rsidRPr="00B554F1" w:rsidRDefault="007D3BA8">
      <w:pPr>
        <w:pStyle w:val="FootnoteText"/>
        <w:rPr>
          <w:rFonts w:ascii="Verdana" w:hAnsi="Verdana"/>
          <w:sz w:val="16"/>
          <w:szCs w:val="16"/>
        </w:rPr>
      </w:pPr>
      <w:r w:rsidRPr="00B554F1">
        <w:rPr>
          <w:rStyle w:val="FootnoteReference"/>
          <w:rFonts w:ascii="Verdana" w:hAnsi="Verdana"/>
          <w:sz w:val="16"/>
          <w:szCs w:val="16"/>
        </w:rPr>
        <w:footnoteRef/>
      </w:r>
      <w:r w:rsidRPr="00B554F1">
        <w:rPr>
          <w:rFonts w:ascii="Verdana" w:hAnsi="Verdana"/>
          <w:sz w:val="16"/>
          <w:szCs w:val="16"/>
        </w:rPr>
        <w:t xml:space="preserve"> </w:t>
      </w:r>
      <w:r w:rsidR="00FF58B6" w:rsidRPr="00B554F1">
        <w:rPr>
          <w:rFonts w:ascii="Verdana" w:hAnsi="Verdana"/>
          <w:sz w:val="16"/>
          <w:szCs w:val="16"/>
        </w:rPr>
        <w:t>Kamerstuk II 2022-2023, 32852, nr. 224.</w:t>
      </w:r>
      <w:r w:rsidRPr="00B554F1">
        <w:rPr>
          <w:rFonts w:ascii="Verdana" w:hAnsi="Verdana"/>
          <w:sz w:val="16"/>
          <w:szCs w:val="16"/>
        </w:rPr>
        <w:t xml:space="preserve"> </w:t>
      </w:r>
    </w:p>
  </w:footnote>
  <w:footnote w:id="24">
    <w:p w14:paraId="085FE89D" w14:textId="02955AE7" w:rsidR="006375DE" w:rsidRPr="00883351" w:rsidRDefault="006375DE">
      <w:pPr>
        <w:pStyle w:val="FootnoteText"/>
      </w:pPr>
      <w:r w:rsidRPr="00B554F1">
        <w:rPr>
          <w:rStyle w:val="FootnoteReference"/>
          <w:rFonts w:ascii="Verdana" w:hAnsi="Verdana"/>
          <w:sz w:val="16"/>
          <w:szCs w:val="16"/>
        </w:rPr>
        <w:footnoteRef/>
      </w:r>
      <w:r w:rsidRPr="00B554F1">
        <w:rPr>
          <w:rFonts w:ascii="Verdana" w:hAnsi="Verdana"/>
          <w:sz w:val="16"/>
          <w:szCs w:val="16"/>
        </w:rPr>
        <w:t xml:space="preserve"> </w:t>
      </w:r>
      <w:bookmarkStart w:id="7" w:name="OLE_LINK6"/>
      <w:r w:rsidR="000E4F71" w:rsidRPr="00B554F1">
        <w:rPr>
          <w:rFonts w:ascii="Verdana" w:hAnsi="Verdana"/>
          <w:sz w:val="16"/>
          <w:szCs w:val="16"/>
        </w:rPr>
        <w:t xml:space="preserve">Kamerstuk </w:t>
      </w:r>
      <w:r w:rsidR="00FF58B6" w:rsidRPr="00B554F1">
        <w:rPr>
          <w:rFonts w:ascii="Verdana" w:hAnsi="Verdana"/>
          <w:sz w:val="16"/>
          <w:szCs w:val="16"/>
        </w:rPr>
        <w:t xml:space="preserve">II </w:t>
      </w:r>
      <w:r w:rsidR="008158DE" w:rsidRPr="00B554F1">
        <w:rPr>
          <w:rFonts w:ascii="Verdana" w:hAnsi="Verdana"/>
          <w:sz w:val="16"/>
          <w:szCs w:val="16"/>
        </w:rPr>
        <w:t>2024-2025</w:t>
      </w:r>
      <w:r w:rsidR="00B20FF4" w:rsidRPr="00B554F1">
        <w:rPr>
          <w:rFonts w:ascii="Verdana" w:hAnsi="Verdana"/>
          <w:sz w:val="16"/>
          <w:szCs w:val="16"/>
        </w:rPr>
        <w:t>,</w:t>
      </w:r>
      <w:r w:rsidR="008158DE" w:rsidRPr="00B554F1">
        <w:rPr>
          <w:rFonts w:ascii="Verdana" w:hAnsi="Verdana"/>
          <w:sz w:val="16"/>
          <w:szCs w:val="16"/>
        </w:rPr>
        <w:t xml:space="preserve"> </w:t>
      </w:r>
      <w:r w:rsidR="000E4F71" w:rsidRPr="00B554F1">
        <w:rPr>
          <w:rFonts w:ascii="Verdana" w:hAnsi="Verdana"/>
          <w:sz w:val="16"/>
          <w:szCs w:val="16"/>
        </w:rPr>
        <w:t>36180, nr</w:t>
      </w:r>
      <w:r w:rsidR="00FF58B6" w:rsidRPr="00B554F1">
        <w:rPr>
          <w:rFonts w:ascii="Verdana" w:hAnsi="Verdana"/>
          <w:sz w:val="16"/>
          <w:szCs w:val="16"/>
        </w:rPr>
        <w:t>.</w:t>
      </w:r>
      <w:r w:rsidR="000E4F71" w:rsidRPr="00B554F1">
        <w:rPr>
          <w:rFonts w:ascii="Verdana" w:hAnsi="Verdana"/>
          <w:sz w:val="16"/>
          <w:szCs w:val="16"/>
        </w:rPr>
        <w:t xml:space="preserve"> 164</w:t>
      </w:r>
      <w:bookmarkEnd w:id="7"/>
      <w:r w:rsidR="008158DE" w:rsidRPr="00B554F1">
        <w:rPr>
          <w:rFonts w:ascii="Verdana" w:hAnsi="Verdana"/>
          <w:sz w:val="16"/>
          <w:szCs w:val="16"/>
        </w:rPr>
        <w:t>.</w:t>
      </w:r>
    </w:p>
  </w:footnote>
  <w:footnote w:id="25">
    <w:p w14:paraId="5762E986" w14:textId="10B7F482" w:rsidR="00E95682" w:rsidRPr="00B554F1" w:rsidRDefault="00E95682">
      <w:pPr>
        <w:pStyle w:val="FootnoteText"/>
        <w:rPr>
          <w:rFonts w:ascii="Verdana" w:hAnsi="Verdana"/>
          <w:sz w:val="16"/>
          <w:szCs w:val="16"/>
          <w:lang w:val="en-US"/>
        </w:rPr>
      </w:pPr>
      <w:r w:rsidRPr="00B554F1">
        <w:rPr>
          <w:rStyle w:val="FootnoteReference"/>
          <w:rFonts w:ascii="Verdana" w:hAnsi="Verdana"/>
          <w:sz w:val="16"/>
          <w:szCs w:val="16"/>
        </w:rPr>
        <w:footnoteRef/>
      </w:r>
      <w:r w:rsidR="00A73BAB" w:rsidRPr="00B554F1">
        <w:rPr>
          <w:rFonts w:ascii="Verdana" w:hAnsi="Verdana"/>
          <w:sz w:val="16"/>
          <w:szCs w:val="16"/>
          <w:lang w:val="en-US"/>
        </w:rPr>
        <w:t xml:space="preserve"> </w:t>
      </w:r>
      <w:r w:rsidR="00335264">
        <w:fldChar w:fldCharType="begin"/>
      </w:r>
      <w:r w:rsidR="00335264" w:rsidRPr="00335264">
        <w:rPr>
          <w:lang w:val="en-US"/>
        </w:rPr>
        <w:instrText>HYPERLINK "https://ec.europa.eu/info/law/better-regulation/have-your-say/initiatives/14505-Industrial-Decarbonisation-Accelerator-Act-speeding-up-decarbonisation/F3572734_en"</w:instrText>
      </w:r>
      <w:r w:rsidR="00335264">
        <w:fldChar w:fldCharType="separate"/>
      </w:r>
      <w:r w:rsidR="00A73BAB" w:rsidRPr="00B554F1">
        <w:rPr>
          <w:rStyle w:val="Hyperlink"/>
          <w:rFonts w:ascii="Verdana" w:hAnsi="Verdana"/>
          <w:sz w:val="16"/>
          <w:szCs w:val="16"/>
          <w:lang w:val="en-US"/>
        </w:rPr>
        <w:t>Feedback from: Ministry of Climate Policy and Green Growth</w:t>
      </w:r>
      <w:r w:rsidR="00335264">
        <w:rPr>
          <w:rStyle w:val="Hyperlink"/>
          <w:rFonts w:ascii="Verdana" w:hAnsi="Verdana"/>
          <w:sz w:val="16"/>
          <w:szCs w:val="16"/>
          <w:lang w:val="en-US"/>
        </w:rPr>
        <w:fldChar w:fldCharType="end"/>
      </w:r>
      <w:r w:rsidR="00A73BAB" w:rsidRPr="00B554F1">
        <w:rPr>
          <w:rFonts w:ascii="Verdana" w:hAnsi="Verdana"/>
          <w:sz w:val="16"/>
          <w:szCs w:val="16"/>
          <w:lang w:val="en-US"/>
        </w:rPr>
        <w:t>.</w:t>
      </w:r>
    </w:p>
  </w:footnote>
  <w:footnote w:id="26">
    <w:p w14:paraId="68BC1CAC" w14:textId="21E140F8" w:rsidR="00C1793E" w:rsidRPr="00B554F1" w:rsidRDefault="00C1793E" w:rsidP="00C1793E">
      <w:pPr>
        <w:pStyle w:val="FootnoteText"/>
        <w:rPr>
          <w:rFonts w:ascii="Verdana" w:hAnsi="Verdana"/>
          <w:sz w:val="16"/>
          <w:szCs w:val="16"/>
        </w:rPr>
      </w:pPr>
      <w:r w:rsidRPr="00B554F1">
        <w:rPr>
          <w:rStyle w:val="FootnoteReference"/>
          <w:rFonts w:ascii="Verdana" w:hAnsi="Verdana"/>
          <w:sz w:val="16"/>
          <w:szCs w:val="16"/>
        </w:rPr>
        <w:footnoteRef/>
      </w:r>
      <w:r w:rsidRPr="00B554F1">
        <w:rPr>
          <w:rFonts w:ascii="Verdana" w:hAnsi="Verdana"/>
          <w:sz w:val="16"/>
          <w:szCs w:val="16"/>
        </w:rPr>
        <w:t xml:space="preserve"> Kamerstukken II 2024</w:t>
      </w:r>
      <w:r w:rsidR="00C3661A" w:rsidRPr="00B554F1">
        <w:rPr>
          <w:rFonts w:ascii="Verdana" w:hAnsi="Verdana"/>
          <w:sz w:val="16"/>
          <w:szCs w:val="16"/>
        </w:rPr>
        <w:t>-</w:t>
      </w:r>
      <w:r w:rsidRPr="00B554F1">
        <w:rPr>
          <w:rFonts w:ascii="Verdana" w:hAnsi="Verdana"/>
          <w:sz w:val="16"/>
          <w:szCs w:val="16"/>
        </w:rPr>
        <w:t>2025, 32813, nr. 1529</w:t>
      </w:r>
      <w:r w:rsidR="00C3661A" w:rsidRPr="00B554F1">
        <w:rPr>
          <w:rFonts w:ascii="Verdana" w:hAnsi="Verdana"/>
          <w:sz w:val="16"/>
          <w:szCs w:val="16"/>
        </w:rPr>
        <w:t>.</w:t>
      </w:r>
    </w:p>
  </w:footnote>
  <w:footnote w:id="27">
    <w:p w14:paraId="6BA70EDC" w14:textId="598637A5" w:rsidR="00FC41FC" w:rsidRPr="00D52796" w:rsidRDefault="00FC41FC">
      <w:pPr>
        <w:pStyle w:val="FootnoteText"/>
        <w:rPr>
          <w:rFonts w:ascii="Verdana" w:hAnsi="Verdana"/>
          <w:sz w:val="16"/>
          <w:szCs w:val="16"/>
        </w:rPr>
      </w:pPr>
      <w:r w:rsidRPr="00B554F1">
        <w:rPr>
          <w:rStyle w:val="FootnoteReference"/>
          <w:rFonts w:ascii="Verdana" w:hAnsi="Verdana"/>
          <w:sz w:val="16"/>
          <w:szCs w:val="16"/>
        </w:rPr>
        <w:footnoteRef/>
      </w:r>
      <w:r w:rsidRPr="00B554F1">
        <w:rPr>
          <w:rFonts w:ascii="Verdana" w:hAnsi="Verdana"/>
          <w:sz w:val="16"/>
          <w:szCs w:val="16"/>
        </w:rPr>
        <w:t xml:space="preserve"> </w:t>
      </w:r>
      <w:r w:rsidR="00C3661A" w:rsidRPr="00B554F1">
        <w:rPr>
          <w:rFonts w:ascii="Verdana" w:hAnsi="Verdana"/>
          <w:sz w:val="16"/>
          <w:szCs w:val="16"/>
        </w:rPr>
        <w:t>Kamerstuk II 2023-2024, 32852, nr. 315.</w:t>
      </w:r>
    </w:p>
  </w:footnote>
  <w:footnote w:id="28">
    <w:p w14:paraId="5453CDCC" w14:textId="5FE4D5B4" w:rsidR="00C06661" w:rsidRPr="00B554F1" w:rsidRDefault="00C06661">
      <w:pPr>
        <w:pStyle w:val="FootnoteText"/>
        <w:rPr>
          <w:rFonts w:ascii="Verdana" w:hAnsi="Verdana"/>
          <w:sz w:val="16"/>
          <w:szCs w:val="16"/>
        </w:rPr>
      </w:pPr>
      <w:r w:rsidRPr="00B554F1">
        <w:rPr>
          <w:rStyle w:val="FootnoteReference"/>
          <w:rFonts w:ascii="Verdana" w:hAnsi="Verdana"/>
          <w:sz w:val="16"/>
          <w:szCs w:val="16"/>
        </w:rPr>
        <w:footnoteRef/>
      </w:r>
      <w:r w:rsidRPr="00B554F1">
        <w:rPr>
          <w:rFonts w:ascii="Verdana" w:hAnsi="Verdana"/>
          <w:sz w:val="16"/>
          <w:szCs w:val="16"/>
        </w:rPr>
        <w:t xml:space="preserve"> </w:t>
      </w:r>
      <w:hyperlink r:id="rId3" w:history="1">
        <w:r w:rsidR="00066D42" w:rsidRPr="00B554F1">
          <w:rPr>
            <w:rStyle w:val="Hyperlink"/>
            <w:rFonts w:ascii="Verdana" w:hAnsi="Verdana"/>
            <w:sz w:val="16"/>
            <w:szCs w:val="16"/>
          </w:rPr>
          <w:t>https://ec.europa.eu/info/law/better-regulation/have-your-say/initiatives/14549-EU-emissions-trading-system-for-maritime-aviation-and-stationary-installations-and-market-stability-reserve-review/F3572994_en</w:t>
        </w:r>
      </w:hyperlink>
      <w:r w:rsidR="00066D42" w:rsidRPr="00B554F1">
        <w:rPr>
          <w:rFonts w:ascii="Verdana" w:hAnsi="Verdana"/>
          <w:sz w:val="16"/>
          <w:szCs w:val="16"/>
        </w:rPr>
        <w:t xml:space="preserve">. </w:t>
      </w:r>
    </w:p>
  </w:footnote>
  <w:footnote w:id="29">
    <w:p w14:paraId="6BFF479F" w14:textId="0FF8E605" w:rsidR="005E5544" w:rsidRPr="00B554F1" w:rsidRDefault="005E5544">
      <w:pPr>
        <w:pStyle w:val="FootnoteText"/>
        <w:rPr>
          <w:rFonts w:ascii="Verdana" w:hAnsi="Verdana"/>
          <w:sz w:val="16"/>
          <w:szCs w:val="16"/>
        </w:rPr>
      </w:pPr>
      <w:r w:rsidRPr="00B554F1">
        <w:rPr>
          <w:rStyle w:val="FootnoteReference"/>
          <w:rFonts w:ascii="Verdana" w:hAnsi="Verdana"/>
          <w:sz w:val="16"/>
          <w:szCs w:val="16"/>
        </w:rPr>
        <w:footnoteRef/>
      </w:r>
      <w:r w:rsidRPr="00B554F1">
        <w:rPr>
          <w:rFonts w:ascii="Verdana" w:hAnsi="Verdana"/>
          <w:sz w:val="16"/>
          <w:szCs w:val="16"/>
        </w:rPr>
        <w:t xml:space="preserve"> </w:t>
      </w:r>
      <w:r w:rsidR="00380672" w:rsidRPr="00B554F1">
        <w:rPr>
          <w:rFonts w:ascii="Verdana" w:hAnsi="Verdana"/>
          <w:sz w:val="16"/>
          <w:szCs w:val="16"/>
        </w:rPr>
        <w:t xml:space="preserve">C(2025) 4319 </w:t>
      </w:r>
      <w:proofErr w:type="spellStart"/>
      <w:r w:rsidR="00380672" w:rsidRPr="00B554F1">
        <w:rPr>
          <w:rFonts w:ascii="Verdana" w:hAnsi="Verdana"/>
          <w:sz w:val="16"/>
          <w:szCs w:val="16"/>
        </w:rPr>
        <w:t>final</w:t>
      </w:r>
      <w:proofErr w:type="spellEnd"/>
      <w:r w:rsidR="00380672" w:rsidRPr="00B554F1">
        <w:rPr>
          <w:rFonts w:ascii="Verdana" w:hAnsi="Verdana"/>
          <w:sz w:val="16"/>
          <w:szCs w:val="16"/>
        </w:rPr>
        <w:t>.</w:t>
      </w:r>
    </w:p>
  </w:footnote>
  <w:footnote w:id="30">
    <w:p w14:paraId="298C4C61" w14:textId="5A9CF54D" w:rsidR="008309FB" w:rsidRPr="001F7857" w:rsidRDefault="008309FB">
      <w:pPr>
        <w:pStyle w:val="FootnoteText"/>
        <w:rPr>
          <w:rFonts w:ascii="Verdana" w:hAnsi="Verdana"/>
        </w:rPr>
      </w:pPr>
      <w:r w:rsidRPr="00B554F1">
        <w:rPr>
          <w:rStyle w:val="FootnoteReference"/>
          <w:rFonts w:ascii="Verdana" w:hAnsi="Verdana"/>
          <w:sz w:val="16"/>
          <w:szCs w:val="16"/>
        </w:rPr>
        <w:footnoteRef/>
      </w:r>
      <w:r w:rsidRPr="00B554F1">
        <w:rPr>
          <w:rFonts w:ascii="Verdana" w:hAnsi="Verdana"/>
          <w:sz w:val="16"/>
          <w:szCs w:val="16"/>
        </w:rPr>
        <w:t xml:space="preserve"> </w:t>
      </w:r>
      <w:r w:rsidR="000D73DA" w:rsidRPr="00B554F1">
        <w:rPr>
          <w:rFonts w:ascii="Verdana" w:hAnsi="Verdana"/>
          <w:sz w:val="16"/>
          <w:szCs w:val="16"/>
        </w:rPr>
        <w:t>Kamerstuk II 2022-2023</w:t>
      </w:r>
      <w:r w:rsidR="00332287" w:rsidRPr="00B554F1">
        <w:rPr>
          <w:rFonts w:ascii="Verdana" w:hAnsi="Verdana"/>
          <w:sz w:val="16"/>
          <w:szCs w:val="16"/>
        </w:rPr>
        <w:t>, 32637, nr. 567</w:t>
      </w:r>
      <w:r w:rsidR="00812B10" w:rsidRPr="00B554F1">
        <w:rPr>
          <w:rFonts w:ascii="Verdana" w:hAnsi="Verdana"/>
          <w:sz w:val="16"/>
          <w:szCs w:val="16"/>
        </w:rPr>
        <w:t>.</w:t>
      </w:r>
    </w:p>
  </w:footnote>
  <w:footnote w:id="31">
    <w:p w14:paraId="59110F6D" w14:textId="44F4F613" w:rsidR="00F73155" w:rsidRPr="00B554F1" w:rsidRDefault="00F73155" w:rsidP="00F73155">
      <w:pPr>
        <w:pStyle w:val="FootnoteText"/>
        <w:rPr>
          <w:rFonts w:ascii="Verdana" w:hAnsi="Verdana"/>
          <w:sz w:val="16"/>
          <w:szCs w:val="16"/>
        </w:rPr>
      </w:pPr>
      <w:r w:rsidRPr="00B554F1">
        <w:rPr>
          <w:rStyle w:val="FootnoteReference"/>
          <w:rFonts w:ascii="Verdana" w:hAnsi="Verdana"/>
          <w:sz w:val="16"/>
          <w:szCs w:val="16"/>
        </w:rPr>
        <w:footnoteRef/>
      </w:r>
      <w:r w:rsidRPr="00B554F1">
        <w:rPr>
          <w:rFonts w:ascii="Verdana" w:hAnsi="Verdana"/>
          <w:sz w:val="16"/>
          <w:szCs w:val="16"/>
        </w:rPr>
        <w:t xml:space="preserve"> In de conclusies van de Milieuraad van 17 juni 2024 over de </w:t>
      </w:r>
      <w:proofErr w:type="spellStart"/>
      <w:r w:rsidRPr="00B554F1">
        <w:rPr>
          <w:rFonts w:ascii="Verdana" w:hAnsi="Verdana"/>
          <w:sz w:val="16"/>
          <w:szCs w:val="16"/>
        </w:rPr>
        <w:t>mid</w:t>
      </w:r>
      <w:proofErr w:type="spellEnd"/>
      <w:r w:rsidRPr="00B554F1">
        <w:rPr>
          <w:rFonts w:ascii="Verdana" w:hAnsi="Verdana"/>
          <w:sz w:val="16"/>
          <w:szCs w:val="16"/>
        </w:rPr>
        <w:t xml:space="preserve">-term review van het 8ste Milieuactieprogramma wordt de Europese Commissie opgeroepen met een dergelijke strategie te komen </w:t>
      </w:r>
      <w:hyperlink r:id="rId4" w:history="1">
        <w:r w:rsidR="008A1A91" w:rsidRPr="00B554F1">
          <w:rPr>
            <w:rStyle w:val="Hyperlink"/>
            <w:rFonts w:ascii="Verdana" w:hAnsi="Verdana"/>
            <w:sz w:val="16"/>
            <w:szCs w:val="16"/>
          </w:rPr>
          <w:t>https://www.consilium.europa.eu/en/meetings/env/2024/06/17/</w:t>
        </w:r>
      </w:hyperlink>
      <w:r w:rsidR="008A1A91" w:rsidRPr="00B554F1">
        <w:rPr>
          <w:rFonts w:ascii="Verdana" w:hAnsi="Verdana"/>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2F0F3C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FFFFFFFF"/>
    <w:lvl w:ilvl="0">
      <w:start w:val="1"/>
      <w:numFmt w:val="decimal"/>
      <w:pStyle w:val="Heading1"/>
      <w:lvlText w:val="%1"/>
      <w:legacy w:legacy="1" w:legacySpace="284" w:legacyIndent="0"/>
      <w:lvlJc w:val="left"/>
      <w:rPr>
        <w:rFonts w:ascii="Tms Rmn" w:hAnsi="Tms Rmn" w:hint="default"/>
        <w:b w:val="0"/>
        <w:i w:val="0"/>
        <w:strike w:val="0"/>
        <w:u w:val="none"/>
      </w:rPr>
    </w:lvl>
    <w:lvl w:ilvl="1">
      <w:start w:val="1"/>
      <w:numFmt w:val="decimal"/>
      <w:pStyle w:val="Heading2"/>
      <w:lvlText w:val="%1.%2"/>
      <w:legacy w:legacy="1" w:legacySpace="284" w:legacyIndent="0"/>
      <w:lvlJc w:val="left"/>
      <w:rPr>
        <w:rFonts w:ascii="Tms Rmn" w:hAnsi="Tms Rmn" w:hint="default"/>
        <w:b w:val="0"/>
        <w:i w:val="0"/>
        <w:strike w:val="0"/>
        <w:u w:val="none"/>
      </w:rPr>
    </w:lvl>
    <w:lvl w:ilvl="2">
      <w:start w:val="1"/>
      <w:numFmt w:val="decimal"/>
      <w:pStyle w:val="Heading3"/>
      <w:lvlText w:val="%1.%2.%3"/>
      <w:legacy w:legacy="1" w:legacySpace="284" w:legacyIndent="0"/>
      <w:lvlJc w:val="left"/>
      <w:rPr>
        <w:rFonts w:ascii="Tms Rmn" w:hAnsi="Tms Rmn" w:hint="default"/>
        <w:b w:val="0"/>
        <w:i w:val="0"/>
        <w:strike w:val="0"/>
        <w:u w:val="none"/>
      </w:rPr>
    </w:lvl>
    <w:lvl w:ilvl="3">
      <w:numFmt w:val="none"/>
      <w:pStyle w:val="Heading4"/>
      <w:suff w:val="nothing"/>
      <w:lvlText w:val=""/>
      <w:lvlJc w:val="left"/>
      <w:rPr>
        <w:rFonts w:ascii="Tms Rmn" w:hAnsi="Tms Rmn" w:hint="default"/>
        <w:b w:val="0"/>
        <w:i w:val="0"/>
        <w:strike w:val="0"/>
        <w:u w:val="none"/>
      </w:rPr>
    </w:lvl>
    <w:lvl w:ilvl="4">
      <w:start w:val="1"/>
      <w:numFmt w:val="decimal"/>
      <w:pStyle w:val="Heading5"/>
      <w:lvlText w:val="(%5)"/>
      <w:legacy w:legacy="1" w:legacySpace="0" w:legacyIndent="708"/>
      <w:lvlJc w:val="left"/>
      <w:pPr>
        <w:ind w:left="708" w:hanging="708"/>
      </w:pPr>
    </w:lvl>
    <w:lvl w:ilvl="5">
      <w:start w:val="1"/>
      <w:numFmt w:val="lowerLetter"/>
      <w:pStyle w:val="Heading6"/>
      <w:lvlText w:val="(%6)"/>
      <w:legacy w:legacy="1" w:legacySpace="0" w:legacyIndent="708"/>
      <w:lvlJc w:val="left"/>
      <w:pPr>
        <w:ind w:left="1416" w:hanging="708"/>
      </w:pPr>
    </w:lvl>
    <w:lvl w:ilvl="6">
      <w:start w:val="1"/>
      <w:numFmt w:val="lowerRoman"/>
      <w:pStyle w:val="Heading7"/>
      <w:lvlText w:val="(%7)"/>
      <w:legacy w:legacy="1" w:legacySpace="0" w:legacyIndent="708"/>
      <w:lvlJc w:val="left"/>
      <w:pPr>
        <w:ind w:left="2124" w:hanging="708"/>
      </w:pPr>
    </w:lvl>
    <w:lvl w:ilvl="7">
      <w:start w:val="1"/>
      <w:numFmt w:val="lowerLetter"/>
      <w:pStyle w:val="Heading8"/>
      <w:lvlText w:val="(%8)"/>
      <w:legacy w:legacy="1" w:legacySpace="0" w:legacyIndent="708"/>
      <w:lvlJc w:val="left"/>
      <w:pPr>
        <w:ind w:left="2832" w:hanging="708"/>
      </w:pPr>
    </w:lvl>
    <w:lvl w:ilvl="8">
      <w:start w:val="1"/>
      <w:numFmt w:val="lowerRoman"/>
      <w:pStyle w:val="Heading9"/>
      <w:lvlText w:val="(%9)"/>
      <w:legacy w:legacy="1" w:legacySpace="0" w:legacyIndent="708"/>
      <w:lvlJc w:val="left"/>
      <w:pPr>
        <w:ind w:left="3540" w:hanging="708"/>
      </w:pPr>
    </w:lvl>
  </w:abstractNum>
  <w:abstractNum w:abstractNumId="2" w15:restartNumberingAfterBreak="0">
    <w:nsid w:val="03B144B0"/>
    <w:multiLevelType w:val="hybridMultilevel"/>
    <w:tmpl w:val="C9A4419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4711D05"/>
    <w:multiLevelType w:val="hybridMultilevel"/>
    <w:tmpl w:val="D4D0AEE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05C45050"/>
    <w:multiLevelType w:val="hybridMultilevel"/>
    <w:tmpl w:val="B5E81E14"/>
    <w:lvl w:ilvl="0" w:tplc="0413000F">
      <w:start w:val="1"/>
      <w:numFmt w:val="decimal"/>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5" w15:restartNumberingAfterBreak="0">
    <w:nsid w:val="05CB75C7"/>
    <w:multiLevelType w:val="hybridMultilevel"/>
    <w:tmpl w:val="DE70FBE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0A31381F"/>
    <w:multiLevelType w:val="hybridMultilevel"/>
    <w:tmpl w:val="FD86BB62"/>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0D3A19E9"/>
    <w:multiLevelType w:val="hybridMultilevel"/>
    <w:tmpl w:val="D2D840CC"/>
    <w:lvl w:ilvl="0" w:tplc="04130011">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8" w15:restartNumberingAfterBreak="0">
    <w:nsid w:val="0E784166"/>
    <w:multiLevelType w:val="hybridMultilevel"/>
    <w:tmpl w:val="D102C374"/>
    <w:lvl w:ilvl="0" w:tplc="AAF03966">
      <w:start w:val="1"/>
      <w:numFmt w:val="lowerLetter"/>
      <w:lvlText w:val="%1)"/>
      <w:lvlJc w:val="left"/>
      <w:pPr>
        <w:ind w:left="360" w:hanging="360"/>
      </w:pPr>
      <w:rPr>
        <w:rFonts w:ascii="Verdana" w:hAnsi="Verdana" w:hint="default"/>
        <w:i/>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1220166B"/>
    <w:multiLevelType w:val="hybridMultilevel"/>
    <w:tmpl w:val="BD04BFD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64A467A"/>
    <w:multiLevelType w:val="hybridMultilevel"/>
    <w:tmpl w:val="6C22C40E"/>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181B6705"/>
    <w:multiLevelType w:val="hybridMultilevel"/>
    <w:tmpl w:val="DC843BDC"/>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2" w15:restartNumberingAfterBreak="0">
    <w:nsid w:val="1B4A24E4"/>
    <w:multiLevelType w:val="hybridMultilevel"/>
    <w:tmpl w:val="DF1A7300"/>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3" w15:restartNumberingAfterBreak="0">
    <w:nsid w:val="1EFA1DA4"/>
    <w:multiLevelType w:val="hybridMultilevel"/>
    <w:tmpl w:val="B59814B4"/>
    <w:lvl w:ilvl="0" w:tplc="150E1B3A">
      <w:start w:val="1"/>
      <w:numFmt w:val="bullet"/>
      <w:pStyle w:val="Spreekpunten"/>
      <w:lvlText w:val=""/>
      <w:lvlJc w:val="left"/>
      <w:pPr>
        <w:tabs>
          <w:tab w:val="num" w:pos="717"/>
        </w:tabs>
        <w:ind w:left="717" w:hanging="360"/>
      </w:pPr>
      <w:rPr>
        <w:rFonts w:ascii="Symbol" w:hAnsi="Symbol" w:hint="default"/>
        <w:color w:val="auto"/>
      </w:rPr>
    </w:lvl>
    <w:lvl w:ilvl="1" w:tplc="25A8F248">
      <w:numFmt w:val="bullet"/>
      <w:lvlText w:val="-"/>
      <w:lvlJc w:val="left"/>
      <w:pPr>
        <w:tabs>
          <w:tab w:val="num" w:pos="1785"/>
        </w:tabs>
        <w:ind w:left="1785" w:hanging="705"/>
      </w:pPr>
      <w:rPr>
        <w:rFonts w:ascii="Arial" w:eastAsia="Times New Roman" w:hAnsi="Arial" w:cs="Aria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3424CA7"/>
    <w:multiLevelType w:val="hybridMultilevel"/>
    <w:tmpl w:val="CD40977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237C1792"/>
    <w:multiLevelType w:val="hybridMultilevel"/>
    <w:tmpl w:val="DF0EA7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5E27C27"/>
    <w:multiLevelType w:val="hybridMultilevel"/>
    <w:tmpl w:val="001EFEB6"/>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31F65AF0"/>
    <w:multiLevelType w:val="hybridMultilevel"/>
    <w:tmpl w:val="4DC6103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4E60BAD"/>
    <w:multiLevelType w:val="hybridMultilevel"/>
    <w:tmpl w:val="2828D4B0"/>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362B59E3"/>
    <w:multiLevelType w:val="hybridMultilevel"/>
    <w:tmpl w:val="345E7DD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433205C0"/>
    <w:multiLevelType w:val="hybridMultilevel"/>
    <w:tmpl w:val="06FC520A"/>
    <w:lvl w:ilvl="0" w:tplc="04130017">
      <w:start w:val="2"/>
      <w:numFmt w:val="decimal"/>
      <w:lvlText w:val="%1."/>
      <w:lvlJc w:val="left"/>
      <w:pPr>
        <w:tabs>
          <w:tab w:val="num" w:pos="3420"/>
        </w:tabs>
        <w:ind w:left="3420" w:hanging="3060"/>
      </w:pPr>
      <w:rPr>
        <w:rFonts w:hint="default"/>
        <w:b/>
        <w:i w:val="0"/>
      </w:rPr>
    </w:lvl>
    <w:lvl w:ilvl="1" w:tplc="0413000F"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1" w15:restartNumberingAfterBreak="0">
    <w:nsid w:val="4E2E10A0"/>
    <w:multiLevelType w:val="hybridMultilevel"/>
    <w:tmpl w:val="35DE0876"/>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15:restartNumberingAfterBreak="0">
    <w:nsid w:val="54E0546F"/>
    <w:multiLevelType w:val="hybridMultilevel"/>
    <w:tmpl w:val="ED6C03B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583F28CB"/>
    <w:multiLevelType w:val="hybridMultilevel"/>
    <w:tmpl w:val="7C24DE6C"/>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4" w15:restartNumberingAfterBreak="0">
    <w:nsid w:val="592412BE"/>
    <w:multiLevelType w:val="hybridMultilevel"/>
    <w:tmpl w:val="5D8C1F5A"/>
    <w:lvl w:ilvl="0" w:tplc="04130003">
      <w:start w:val="1"/>
      <w:numFmt w:val="bullet"/>
      <w:lvlText w:val="o"/>
      <w:lvlJc w:val="left"/>
      <w:pPr>
        <w:ind w:left="1080" w:hanging="360"/>
      </w:pPr>
      <w:rPr>
        <w:rFonts w:ascii="Courier New" w:hAnsi="Courier New" w:cs="Courier New"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5" w15:restartNumberingAfterBreak="0">
    <w:nsid w:val="5E29222B"/>
    <w:multiLevelType w:val="hybridMultilevel"/>
    <w:tmpl w:val="24CABD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601F4847"/>
    <w:multiLevelType w:val="hybridMultilevel"/>
    <w:tmpl w:val="A918879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7" w15:restartNumberingAfterBreak="0">
    <w:nsid w:val="646E2261"/>
    <w:multiLevelType w:val="hybridMultilevel"/>
    <w:tmpl w:val="585C475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65F81549"/>
    <w:multiLevelType w:val="hybridMultilevel"/>
    <w:tmpl w:val="76B43EAC"/>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9" w15:restartNumberingAfterBreak="0">
    <w:nsid w:val="67794FA9"/>
    <w:multiLevelType w:val="hybridMultilevel"/>
    <w:tmpl w:val="29D2BB7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0" w15:restartNumberingAfterBreak="0">
    <w:nsid w:val="67E04376"/>
    <w:multiLevelType w:val="hybridMultilevel"/>
    <w:tmpl w:val="8698D532"/>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1" w15:restartNumberingAfterBreak="0">
    <w:nsid w:val="67F61863"/>
    <w:multiLevelType w:val="hybridMultilevel"/>
    <w:tmpl w:val="6A5253F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6D8D0D2B"/>
    <w:multiLevelType w:val="hybridMultilevel"/>
    <w:tmpl w:val="B37E8D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72F14C24"/>
    <w:multiLevelType w:val="hybridMultilevel"/>
    <w:tmpl w:val="FADA25F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4" w15:restartNumberingAfterBreak="0">
    <w:nsid w:val="75807088"/>
    <w:multiLevelType w:val="hybridMultilevel"/>
    <w:tmpl w:val="2A742B8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5" w15:restartNumberingAfterBreak="0">
    <w:nsid w:val="78FF33D9"/>
    <w:multiLevelType w:val="hybridMultilevel"/>
    <w:tmpl w:val="ED628B70"/>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6" w15:restartNumberingAfterBreak="0">
    <w:nsid w:val="7C481BF2"/>
    <w:multiLevelType w:val="hybridMultilevel"/>
    <w:tmpl w:val="3FFE4F6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7" w15:restartNumberingAfterBreak="0">
    <w:nsid w:val="7D1328A3"/>
    <w:multiLevelType w:val="hybridMultilevel"/>
    <w:tmpl w:val="4612A22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7D630221"/>
    <w:multiLevelType w:val="hybridMultilevel"/>
    <w:tmpl w:val="93DAAC8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7E665595"/>
    <w:multiLevelType w:val="hybridMultilevel"/>
    <w:tmpl w:val="EDE4C9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992903624">
    <w:abstractNumId w:val="1"/>
  </w:num>
  <w:num w:numId="2" w16cid:durableId="36787004">
    <w:abstractNumId w:val="20"/>
  </w:num>
  <w:num w:numId="3" w16cid:durableId="1995798554">
    <w:abstractNumId w:val="7"/>
  </w:num>
  <w:num w:numId="4" w16cid:durableId="1453016486">
    <w:abstractNumId w:val="37"/>
  </w:num>
  <w:num w:numId="5" w16cid:durableId="1027828017">
    <w:abstractNumId w:val="29"/>
  </w:num>
  <w:num w:numId="6" w16cid:durableId="1250039345">
    <w:abstractNumId w:val="27"/>
  </w:num>
  <w:num w:numId="7" w16cid:durableId="186456395">
    <w:abstractNumId w:val="16"/>
  </w:num>
  <w:num w:numId="8" w16cid:durableId="252469847">
    <w:abstractNumId w:val="30"/>
  </w:num>
  <w:num w:numId="9" w16cid:durableId="1875847224">
    <w:abstractNumId w:val="18"/>
  </w:num>
  <w:num w:numId="10" w16cid:durableId="385109209">
    <w:abstractNumId w:val="8"/>
  </w:num>
  <w:num w:numId="11" w16cid:durableId="1900247664">
    <w:abstractNumId w:val="14"/>
  </w:num>
  <w:num w:numId="12" w16cid:durableId="1799491775">
    <w:abstractNumId w:val="19"/>
  </w:num>
  <w:num w:numId="13" w16cid:durableId="798955899">
    <w:abstractNumId w:val="34"/>
  </w:num>
  <w:num w:numId="14" w16cid:durableId="707796603">
    <w:abstractNumId w:val="36"/>
  </w:num>
  <w:num w:numId="15" w16cid:durableId="65032477">
    <w:abstractNumId w:val="26"/>
  </w:num>
  <w:num w:numId="16" w16cid:durableId="2112846944">
    <w:abstractNumId w:val="33"/>
  </w:num>
  <w:num w:numId="17" w16cid:durableId="927732689">
    <w:abstractNumId w:val="22"/>
  </w:num>
  <w:num w:numId="18" w16cid:durableId="1731077041">
    <w:abstractNumId w:val="10"/>
  </w:num>
  <w:num w:numId="19" w16cid:durableId="1922136658">
    <w:abstractNumId w:val="35"/>
  </w:num>
  <w:num w:numId="20" w16cid:durableId="1690371593">
    <w:abstractNumId w:val="39"/>
  </w:num>
  <w:num w:numId="21" w16cid:durableId="791631190">
    <w:abstractNumId w:val="28"/>
  </w:num>
  <w:num w:numId="22" w16cid:durableId="2091656024">
    <w:abstractNumId w:val="21"/>
  </w:num>
  <w:num w:numId="23" w16cid:durableId="584843795">
    <w:abstractNumId w:val="13"/>
  </w:num>
  <w:num w:numId="24" w16cid:durableId="1234849174">
    <w:abstractNumId w:val="5"/>
  </w:num>
  <w:num w:numId="25" w16cid:durableId="962612239">
    <w:abstractNumId w:val="23"/>
  </w:num>
  <w:num w:numId="26" w16cid:durableId="849948556">
    <w:abstractNumId w:val="12"/>
  </w:num>
  <w:num w:numId="27" w16cid:durableId="1262029919">
    <w:abstractNumId w:val="17"/>
  </w:num>
  <w:num w:numId="28" w16cid:durableId="1388068133">
    <w:abstractNumId w:val="24"/>
  </w:num>
  <w:num w:numId="29" w16cid:durableId="485633586">
    <w:abstractNumId w:val="3"/>
  </w:num>
  <w:num w:numId="30" w16cid:durableId="1260988695">
    <w:abstractNumId w:val="2"/>
  </w:num>
  <w:num w:numId="31" w16cid:durableId="507257726">
    <w:abstractNumId w:val="38"/>
  </w:num>
  <w:num w:numId="32" w16cid:durableId="1831676505">
    <w:abstractNumId w:val="9"/>
  </w:num>
  <w:num w:numId="33" w16cid:durableId="1621371959">
    <w:abstractNumId w:val="32"/>
  </w:num>
  <w:num w:numId="34" w16cid:durableId="1683972017">
    <w:abstractNumId w:val="11"/>
  </w:num>
  <w:num w:numId="35" w16cid:durableId="943196449">
    <w:abstractNumId w:val="25"/>
  </w:num>
  <w:num w:numId="36" w16cid:durableId="1463961820">
    <w:abstractNumId w:val="31"/>
  </w:num>
  <w:num w:numId="37" w16cid:durableId="1295715304">
    <w:abstractNumId w:val="6"/>
  </w:num>
  <w:num w:numId="38" w16cid:durableId="726606153">
    <w:abstractNumId w:val="15"/>
  </w:num>
  <w:num w:numId="39" w16cid:durableId="864758730">
    <w:abstractNumId w:val="0"/>
  </w:num>
  <w:num w:numId="40" w16cid:durableId="1432505949">
    <w:abstractNumId w:val="4"/>
  </w:num>
  <w:num w:numId="41" w16cid:durableId="78966556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45849937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antalTreden" w:val=" 2"/>
    <w:docVar w:name="Small" w:val=" 0"/>
    <w:docVar w:name="SoortNum" w:val=" 1"/>
    <w:docVar w:name="wtRelease TemplateAuthor" w:val="Ivar Fennema"/>
    <w:docVar w:name="wtRelease TemplateCreatedBy" w:val="Winthesis - Hoofddorp"/>
    <w:docVar w:name="wtRelease TemplateCreatedFor" w:val="Ministerie van Economische Zaken"/>
    <w:docVar w:name="wtRelease TemplateDate" w:val="9 januari 1996"/>
    <w:docVar w:name="wtRelease TemplateName" w:val="Blanco"/>
    <w:docVar w:name="wtRelease TemplateRevision" w:val="3.0.3"/>
    <w:docVar w:name="wtRelease TemplateRevMajor" w:val="3"/>
    <w:docVar w:name="wtRelease TemplateRevMinor" w:val="0"/>
    <w:docVar w:name="wtRelease TemplateRevRev" w:val="3"/>
  </w:docVars>
  <w:rsids>
    <w:rsidRoot w:val="00FB216B"/>
    <w:rsid w:val="000010A1"/>
    <w:rsid w:val="00001CF6"/>
    <w:rsid w:val="00003B6F"/>
    <w:rsid w:val="00004B76"/>
    <w:rsid w:val="0000557A"/>
    <w:rsid w:val="0000687E"/>
    <w:rsid w:val="00006F07"/>
    <w:rsid w:val="000071B6"/>
    <w:rsid w:val="000107F9"/>
    <w:rsid w:val="000115FC"/>
    <w:rsid w:val="0001467F"/>
    <w:rsid w:val="00014DAD"/>
    <w:rsid w:val="00016B4C"/>
    <w:rsid w:val="00020887"/>
    <w:rsid w:val="0002258C"/>
    <w:rsid w:val="00025629"/>
    <w:rsid w:val="00025B31"/>
    <w:rsid w:val="00027D09"/>
    <w:rsid w:val="00031DFB"/>
    <w:rsid w:val="00033622"/>
    <w:rsid w:val="0003403F"/>
    <w:rsid w:val="000347C0"/>
    <w:rsid w:val="00036169"/>
    <w:rsid w:val="00040554"/>
    <w:rsid w:val="00043AD1"/>
    <w:rsid w:val="00043D80"/>
    <w:rsid w:val="0004551F"/>
    <w:rsid w:val="00046551"/>
    <w:rsid w:val="00050B9E"/>
    <w:rsid w:val="0005378C"/>
    <w:rsid w:val="00054733"/>
    <w:rsid w:val="0005522D"/>
    <w:rsid w:val="000554D4"/>
    <w:rsid w:val="00056D36"/>
    <w:rsid w:val="000572EB"/>
    <w:rsid w:val="00061A13"/>
    <w:rsid w:val="00061E91"/>
    <w:rsid w:val="0006210D"/>
    <w:rsid w:val="00062195"/>
    <w:rsid w:val="00064051"/>
    <w:rsid w:val="00064806"/>
    <w:rsid w:val="00065AD4"/>
    <w:rsid w:val="0006674E"/>
    <w:rsid w:val="00066C36"/>
    <w:rsid w:val="00066D42"/>
    <w:rsid w:val="00070E4D"/>
    <w:rsid w:val="00071365"/>
    <w:rsid w:val="00071C3E"/>
    <w:rsid w:val="00071F9B"/>
    <w:rsid w:val="0007228E"/>
    <w:rsid w:val="000724FD"/>
    <w:rsid w:val="000727C9"/>
    <w:rsid w:val="0007614D"/>
    <w:rsid w:val="00077111"/>
    <w:rsid w:val="000774FB"/>
    <w:rsid w:val="00077CD7"/>
    <w:rsid w:val="00081162"/>
    <w:rsid w:val="00081FE2"/>
    <w:rsid w:val="00082322"/>
    <w:rsid w:val="000836C8"/>
    <w:rsid w:val="000836CC"/>
    <w:rsid w:val="00083A3D"/>
    <w:rsid w:val="0008659E"/>
    <w:rsid w:val="000868C2"/>
    <w:rsid w:val="000919EA"/>
    <w:rsid w:val="000920C8"/>
    <w:rsid w:val="00092B4F"/>
    <w:rsid w:val="00094145"/>
    <w:rsid w:val="00096501"/>
    <w:rsid w:val="0009677D"/>
    <w:rsid w:val="00097FD2"/>
    <w:rsid w:val="000A42D6"/>
    <w:rsid w:val="000A541B"/>
    <w:rsid w:val="000A61F5"/>
    <w:rsid w:val="000A705D"/>
    <w:rsid w:val="000B0057"/>
    <w:rsid w:val="000B34C6"/>
    <w:rsid w:val="000B613A"/>
    <w:rsid w:val="000B629E"/>
    <w:rsid w:val="000B653A"/>
    <w:rsid w:val="000C188C"/>
    <w:rsid w:val="000C24C9"/>
    <w:rsid w:val="000C3766"/>
    <w:rsid w:val="000C4F57"/>
    <w:rsid w:val="000C6C27"/>
    <w:rsid w:val="000D01B7"/>
    <w:rsid w:val="000D30AF"/>
    <w:rsid w:val="000D5018"/>
    <w:rsid w:val="000D57C0"/>
    <w:rsid w:val="000D5D84"/>
    <w:rsid w:val="000D64DD"/>
    <w:rsid w:val="000D73DA"/>
    <w:rsid w:val="000D7E44"/>
    <w:rsid w:val="000D7EFF"/>
    <w:rsid w:val="000E09CA"/>
    <w:rsid w:val="000E0D50"/>
    <w:rsid w:val="000E2F98"/>
    <w:rsid w:val="000E3494"/>
    <w:rsid w:val="000E3565"/>
    <w:rsid w:val="000E4712"/>
    <w:rsid w:val="000E4CD5"/>
    <w:rsid w:val="000E4F71"/>
    <w:rsid w:val="000E7250"/>
    <w:rsid w:val="000E74DF"/>
    <w:rsid w:val="000E7E54"/>
    <w:rsid w:val="000F003E"/>
    <w:rsid w:val="000F175F"/>
    <w:rsid w:val="000F42A2"/>
    <w:rsid w:val="000F4EE1"/>
    <w:rsid w:val="000F68E4"/>
    <w:rsid w:val="000F6E21"/>
    <w:rsid w:val="000F7AE0"/>
    <w:rsid w:val="0010167E"/>
    <w:rsid w:val="00102002"/>
    <w:rsid w:val="0010208D"/>
    <w:rsid w:val="00102895"/>
    <w:rsid w:val="00103BB6"/>
    <w:rsid w:val="00103CD1"/>
    <w:rsid w:val="00105334"/>
    <w:rsid w:val="0011020B"/>
    <w:rsid w:val="00110E43"/>
    <w:rsid w:val="00113A68"/>
    <w:rsid w:val="00113DF4"/>
    <w:rsid w:val="00114CEA"/>
    <w:rsid w:val="00115E78"/>
    <w:rsid w:val="00117218"/>
    <w:rsid w:val="001237B7"/>
    <w:rsid w:val="00123E4F"/>
    <w:rsid w:val="00125452"/>
    <w:rsid w:val="00125A56"/>
    <w:rsid w:val="0012782F"/>
    <w:rsid w:val="001309D0"/>
    <w:rsid w:val="001335F0"/>
    <w:rsid w:val="00141B33"/>
    <w:rsid w:val="00142118"/>
    <w:rsid w:val="00143275"/>
    <w:rsid w:val="0014534A"/>
    <w:rsid w:val="00145AB2"/>
    <w:rsid w:val="001478F4"/>
    <w:rsid w:val="0015195C"/>
    <w:rsid w:val="001524FE"/>
    <w:rsid w:val="0015296C"/>
    <w:rsid w:val="00156734"/>
    <w:rsid w:val="001569EA"/>
    <w:rsid w:val="00156E93"/>
    <w:rsid w:val="0015787C"/>
    <w:rsid w:val="0015792C"/>
    <w:rsid w:val="00160EB0"/>
    <w:rsid w:val="00162070"/>
    <w:rsid w:val="00164D1E"/>
    <w:rsid w:val="0017031A"/>
    <w:rsid w:val="00170BFE"/>
    <w:rsid w:val="00171000"/>
    <w:rsid w:val="001725B2"/>
    <w:rsid w:val="00173A7A"/>
    <w:rsid w:val="00174C38"/>
    <w:rsid w:val="001761BC"/>
    <w:rsid w:val="00176A68"/>
    <w:rsid w:val="00177861"/>
    <w:rsid w:val="001818B4"/>
    <w:rsid w:val="00181C92"/>
    <w:rsid w:val="00182A05"/>
    <w:rsid w:val="00182E80"/>
    <w:rsid w:val="00185CE7"/>
    <w:rsid w:val="00187926"/>
    <w:rsid w:val="00191AC1"/>
    <w:rsid w:val="0019243C"/>
    <w:rsid w:val="00192B51"/>
    <w:rsid w:val="00193CAF"/>
    <w:rsid w:val="0019592B"/>
    <w:rsid w:val="00195AF5"/>
    <w:rsid w:val="00195D56"/>
    <w:rsid w:val="0019673C"/>
    <w:rsid w:val="00196AEB"/>
    <w:rsid w:val="00196E80"/>
    <w:rsid w:val="00197627"/>
    <w:rsid w:val="00197E77"/>
    <w:rsid w:val="001A07EA"/>
    <w:rsid w:val="001A0845"/>
    <w:rsid w:val="001A45AB"/>
    <w:rsid w:val="001A4F87"/>
    <w:rsid w:val="001A5322"/>
    <w:rsid w:val="001A56A7"/>
    <w:rsid w:val="001A6052"/>
    <w:rsid w:val="001A6279"/>
    <w:rsid w:val="001A6D9A"/>
    <w:rsid w:val="001A7058"/>
    <w:rsid w:val="001B1FA3"/>
    <w:rsid w:val="001B2461"/>
    <w:rsid w:val="001B2622"/>
    <w:rsid w:val="001B3626"/>
    <w:rsid w:val="001B4261"/>
    <w:rsid w:val="001C0A97"/>
    <w:rsid w:val="001C1EF2"/>
    <w:rsid w:val="001C6E29"/>
    <w:rsid w:val="001C7F04"/>
    <w:rsid w:val="001D064E"/>
    <w:rsid w:val="001D27D7"/>
    <w:rsid w:val="001D31FC"/>
    <w:rsid w:val="001D3E90"/>
    <w:rsid w:val="001D526F"/>
    <w:rsid w:val="001D558D"/>
    <w:rsid w:val="001E2D0C"/>
    <w:rsid w:val="001E3BAC"/>
    <w:rsid w:val="001E4DE2"/>
    <w:rsid w:val="001E5826"/>
    <w:rsid w:val="001E6105"/>
    <w:rsid w:val="001E76A4"/>
    <w:rsid w:val="001E77F4"/>
    <w:rsid w:val="001E7B78"/>
    <w:rsid w:val="001E7C42"/>
    <w:rsid w:val="001F440E"/>
    <w:rsid w:val="001F49A4"/>
    <w:rsid w:val="001F4D3E"/>
    <w:rsid w:val="001F5E61"/>
    <w:rsid w:val="001F7857"/>
    <w:rsid w:val="002008A1"/>
    <w:rsid w:val="0020223E"/>
    <w:rsid w:val="00202FB2"/>
    <w:rsid w:val="002031D9"/>
    <w:rsid w:val="002032BA"/>
    <w:rsid w:val="00203A69"/>
    <w:rsid w:val="0020461F"/>
    <w:rsid w:val="00204B11"/>
    <w:rsid w:val="002054D8"/>
    <w:rsid w:val="002057D6"/>
    <w:rsid w:val="00205CD7"/>
    <w:rsid w:val="00206583"/>
    <w:rsid w:val="002079B0"/>
    <w:rsid w:val="00207ABA"/>
    <w:rsid w:val="002103CA"/>
    <w:rsid w:val="00210A92"/>
    <w:rsid w:val="00211F29"/>
    <w:rsid w:val="0021204A"/>
    <w:rsid w:val="0021217C"/>
    <w:rsid w:val="00212706"/>
    <w:rsid w:val="00213762"/>
    <w:rsid w:val="00215600"/>
    <w:rsid w:val="002165DA"/>
    <w:rsid w:val="0021707D"/>
    <w:rsid w:val="0022230A"/>
    <w:rsid w:val="00223323"/>
    <w:rsid w:val="00224F2B"/>
    <w:rsid w:val="0022532E"/>
    <w:rsid w:val="0022565A"/>
    <w:rsid w:val="0022598D"/>
    <w:rsid w:val="00225A41"/>
    <w:rsid w:val="00226EDA"/>
    <w:rsid w:val="00230DA7"/>
    <w:rsid w:val="00231FA2"/>
    <w:rsid w:val="00232BA1"/>
    <w:rsid w:val="002357C3"/>
    <w:rsid w:val="00240AD8"/>
    <w:rsid w:val="00240BAA"/>
    <w:rsid w:val="00241278"/>
    <w:rsid w:val="00243355"/>
    <w:rsid w:val="00245CA6"/>
    <w:rsid w:val="00246275"/>
    <w:rsid w:val="002465B2"/>
    <w:rsid w:val="0024674D"/>
    <w:rsid w:val="00246C8B"/>
    <w:rsid w:val="0024717F"/>
    <w:rsid w:val="002473C2"/>
    <w:rsid w:val="00247BBF"/>
    <w:rsid w:val="00250842"/>
    <w:rsid w:val="00250B56"/>
    <w:rsid w:val="00251118"/>
    <w:rsid w:val="002527A0"/>
    <w:rsid w:val="0025431B"/>
    <w:rsid w:val="00256C4E"/>
    <w:rsid w:val="00256CDD"/>
    <w:rsid w:val="00257AF6"/>
    <w:rsid w:val="00260C9F"/>
    <w:rsid w:val="00261C07"/>
    <w:rsid w:val="002639B0"/>
    <w:rsid w:val="00263B88"/>
    <w:rsid w:val="00263D74"/>
    <w:rsid w:val="00265ED2"/>
    <w:rsid w:val="00266CE5"/>
    <w:rsid w:val="00271668"/>
    <w:rsid w:val="002717D4"/>
    <w:rsid w:val="00274813"/>
    <w:rsid w:val="00275415"/>
    <w:rsid w:val="002774AF"/>
    <w:rsid w:val="00280797"/>
    <w:rsid w:val="00280B2E"/>
    <w:rsid w:val="00281C04"/>
    <w:rsid w:val="0028254F"/>
    <w:rsid w:val="00283B8B"/>
    <w:rsid w:val="00285DF6"/>
    <w:rsid w:val="00286A2B"/>
    <w:rsid w:val="00287BEB"/>
    <w:rsid w:val="002918F8"/>
    <w:rsid w:val="00292A51"/>
    <w:rsid w:val="0029317E"/>
    <w:rsid w:val="00294006"/>
    <w:rsid w:val="00294716"/>
    <w:rsid w:val="002950DF"/>
    <w:rsid w:val="00297D74"/>
    <w:rsid w:val="002A2C14"/>
    <w:rsid w:val="002A3603"/>
    <w:rsid w:val="002A505F"/>
    <w:rsid w:val="002A515E"/>
    <w:rsid w:val="002B0745"/>
    <w:rsid w:val="002B6A9E"/>
    <w:rsid w:val="002C1107"/>
    <w:rsid w:val="002C1814"/>
    <w:rsid w:val="002C2464"/>
    <w:rsid w:val="002C3CF2"/>
    <w:rsid w:val="002C4C0F"/>
    <w:rsid w:val="002C4F28"/>
    <w:rsid w:val="002C50A0"/>
    <w:rsid w:val="002C5981"/>
    <w:rsid w:val="002D136B"/>
    <w:rsid w:val="002D32A2"/>
    <w:rsid w:val="002D395F"/>
    <w:rsid w:val="002D5169"/>
    <w:rsid w:val="002E1930"/>
    <w:rsid w:val="002E499D"/>
    <w:rsid w:val="002E7D9C"/>
    <w:rsid w:val="002F2AD4"/>
    <w:rsid w:val="002F4E03"/>
    <w:rsid w:val="002F628A"/>
    <w:rsid w:val="002F719B"/>
    <w:rsid w:val="002F7BEE"/>
    <w:rsid w:val="00300FFE"/>
    <w:rsid w:val="0030282C"/>
    <w:rsid w:val="00302B12"/>
    <w:rsid w:val="00304789"/>
    <w:rsid w:val="00307C55"/>
    <w:rsid w:val="00310D07"/>
    <w:rsid w:val="00312337"/>
    <w:rsid w:val="003132BB"/>
    <w:rsid w:val="00313AB2"/>
    <w:rsid w:val="00314A12"/>
    <w:rsid w:val="00314B02"/>
    <w:rsid w:val="00314FEA"/>
    <w:rsid w:val="0031527E"/>
    <w:rsid w:val="0031683F"/>
    <w:rsid w:val="00316CCC"/>
    <w:rsid w:val="00317DA7"/>
    <w:rsid w:val="00317DB7"/>
    <w:rsid w:val="00320FF4"/>
    <w:rsid w:val="00323870"/>
    <w:rsid w:val="0032567D"/>
    <w:rsid w:val="00326F68"/>
    <w:rsid w:val="00332287"/>
    <w:rsid w:val="00332466"/>
    <w:rsid w:val="003330F3"/>
    <w:rsid w:val="0033352A"/>
    <w:rsid w:val="00335264"/>
    <w:rsid w:val="00335B73"/>
    <w:rsid w:val="00335BB8"/>
    <w:rsid w:val="00337003"/>
    <w:rsid w:val="0034036A"/>
    <w:rsid w:val="00340809"/>
    <w:rsid w:val="00343FB4"/>
    <w:rsid w:val="00345971"/>
    <w:rsid w:val="00346FD0"/>
    <w:rsid w:val="00347E36"/>
    <w:rsid w:val="00351082"/>
    <w:rsid w:val="003532C0"/>
    <w:rsid w:val="00353601"/>
    <w:rsid w:val="00353AB6"/>
    <w:rsid w:val="00353CE2"/>
    <w:rsid w:val="00353EF8"/>
    <w:rsid w:val="003565E2"/>
    <w:rsid w:val="00356C46"/>
    <w:rsid w:val="00361644"/>
    <w:rsid w:val="003620FB"/>
    <w:rsid w:val="00362E4D"/>
    <w:rsid w:val="00363225"/>
    <w:rsid w:val="00364D9C"/>
    <w:rsid w:val="00365443"/>
    <w:rsid w:val="00366529"/>
    <w:rsid w:val="00370189"/>
    <w:rsid w:val="00371DAF"/>
    <w:rsid w:val="00371E52"/>
    <w:rsid w:val="00373239"/>
    <w:rsid w:val="003734B6"/>
    <w:rsid w:val="00373818"/>
    <w:rsid w:val="00373B7A"/>
    <w:rsid w:val="00374D0A"/>
    <w:rsid w:val="00374E79"/>
    <w:rsid w:val="00375726"/>
    <w:rsid w:val="0037790E"/>
    <w:rsid w:val="00377BF8"/>
    <w:rsid w:val="00377FAC"/>
    <w:rsid w:val="00380672"/>
    <w:rsid w:val="00381992"/>
    <w:rsid w:val="00381C15"/>
    <w:rsid w:val="0038418E"/>
    <w:rsid w:val="00385156"/>
    <w:rsid w:val="003859F9"/>
    <w:rsid w:val="00385C19"/>
    <w:rsid w:val="00386B86"/>
    <w:rsid w:val="00390674"/>
    <w:rsid w:val="003911CC"/>
    <w:rsid w:val="003916F4"/>
    <w:rsid w:val="003921FF"/>
    <w:rsid w:val="00393685"/>
    <w:rsid w:val="00394FC8"/>
    <w:rsid w:val="003966AA"/>
    <w:rsid w:val="003972BF"/>
    <w:rsid w:val="003A0218"/>
    <w:rsid w:val="003A0D3C"/>
    <w:rsid w:val="003A1BFB"/>
    <w:rsid w:val="003A1E3B"/>
    <w:rsid w:val="003A27E7"/>
    <w:rsid w:val="003A35AF"/>
    <w:rsid w:val="003A589C"/>
    <w:rsid w:val="003A6C15"/>
    <w:rsid w:val="003B0367"/>
    <w:rsid w:val="003B1737"/>
    <w:rsid w:val="003B1D99"/>
    <w:rsid w:val="003B36C5"/>
    <w:rsid w:val="003B497B"/>
    <w:rsid w:val="003B50B9"/>
    <w:rsid w:val="003B56C4"/>
    <w:rsid w:val="003C0E6E"/>
    <w:rsid w:val="003C2713"/>
    <w:rsid w:val="003C4F9C"/>
    <w:rsid w:val="003C5C81"/>
    <w:rsid w:val="003C5D1C"/>
    <w:rsid w:val="003C62B4"/>
    <w:rsid w:val="003C6403"/>
    <w:rsid w:val="003C6A01"/>
    <w:rsid w:val="003D0E74"/>
    <w:rsid w:val="003D10C3"/>
    <w:rsid w:val="003D1BA0"/>
    <w:rsid w:val="003D1C2F"/>
    <w:rsid w:val="003D44C5"/>
    <w:rsid w:val="003D552A"/>
    <w:rsid w:val="003D56CF"/>
    <w:rsid w:val="003D5B36"/>
    <w:rsid w:val="003D7F1A"/>
    <w:rsid w:val="003D7F61"/>
    <w:rsid w:val="003E405E"/>
    <w:rsid w:val="003E4BA9"/>
    <w:rsid w:val="003E4DF6"/>
    <w:rsid w:val="003E57ED"/>
    <w:rsid w:val="003E59C6"/>
    <w:rsid w:val="003E5C65"/>
    <w:rsid w:val="003E6879"/>
    <w:rsid w:val="003E6E9E"/>
    <w:rsid w:val="003F10F7"/>
    <w:rsid w:val="003F134D"/>
    <w:rsid w:val="003F138B"/>
    <w:rsid w:val="003F5244"/>
    <w:rsid w:val="003F63CC"/>
    <w:rsid w:val="003F6E12"/>
    <w:rsid w:val="003F708A"/>
    <w:rsid w:val="003F70F1"/>
    <w:rsid w:val="00400C31"/>
    <w:rsid w:val="004013B1"/>
    <w:rsid w:val="00403757"/>
    <w:rsid w:val="00405A89"/>
    <w:rsid w:val="004101AE"/>
    <w:rsid w:val="0041020D"/>
    <w:rsid w:val="00412731"/>
    <w:rsid w:val="00413293"/>
    <w:rsid w:val="004140B4"/>
    <w:rsid w:val="00414445"/>
    <w:rsid w:val="00416E3A"/>
    <w:rsid w:val="004171F6"/>
    <w:rsid w:val="00417A0B"/>
    <w:rsid w:val="00420312"/>
    <w:rsid w:val="004210E8"/>
    <w:rsid w:val="00421376"/>
    <w:rsid w:val="00423FD7"/>
    <w:rsid w:val="00426B7F"/>
    <w:rsid w:val="00427E2B"/>
    <w:rsid w:val="00432474"/>
    <w:rsid w:val="00433AB0"/>
    <w:rsid w:val="004371CD"/>
    <w:rsid w:val="0043793A"/>
    <w:rsid w:val="00441809"/>
    <w:rsid w:val="00442E73"/>
    <w:rsid w:val="00444C70"/>
    <w:rsid w:val="004451FF"/>
    <w:rsid w:val="00454674"/>
    <w:rsid w:val="00456623"/>
    <w:rsid w:val="00456C39"/>
    <w:rsid w:val="00457356"/>
    <w:rsid w:val="004573EC"/>
    <w:rsid w:val="00460ADA"/>
    <w:rsid w:val="00461C48"/>
    <w:rsid w:val="00462D4B"/>
    <w:rsid w:val="00463C2F"/>
    <w:rsid w:val="00464270"/>
    <w:rsid w:val="004648C5"/>
    <w:rsid w:val="004664B7"/>
    <w:rsid w:val="004670C3"/>
    <w:rsid w:val="00467442"/>
    <w:rsid w:val="00467D60"/>
    <w:rsid w:val="00473542"/>
    <w:rsid w:val="0047402A"/>
    <w:rsid w:val="00474BA3"/>
    <w:rsid w:val="004768DB"/>
    <w:rsid w:val="00477AC8"/>
    <w:rsid w:val="00484C0B"/>
    <w:rsid w:val="004851B3"/>
    <w:rsid w:val="004858F1"/>
    <w:rsid w:val="004866FE"/>
    <w:rsid w:val="0048769D"/>
    <w:rsid w:val="004877E2"/>
    <w:rsid w:val="00492010"/>
    <w:rsid w:val="00493C8A"/>
    <w:rsid w:val="004957C4"/>
    <w:rsid w:val="00495887"/>
    <w:rsid w:val="00495DFA"/>
    <w:rsid w:val="00496131"/>
    <w:rsid w:val="00497C1E"/>
    <w:rsid w:val="004A0F6A"/>
    <w:rsid w:val="004A3DC2"/>
    <w:rsid w:val="004A69D1"/>
    <w:rsid w:val="004A6A67"/>
    <w:rsid w:val="004A7466"/>
    <w:rsid w:val="004B22FC"/>
    <w:rsid w:val="004B3CCE"/>
    <w:rsid w:val="004B3D07"/>
    <w:rsid w:val="004B5000"/>
    <w:rsid w:val="004B563B"/>
    <w:rsid w:val="004B60C3"/>
    <w:rsid w:val="004B6AA2"/>
    <w:rsid w:val="004C34BE"/>
    <w:rsid w:val="004C3726"/>
    <w:rsid w:val="004C37DE"/>
    <w:rsid w:val="004C49F5"/>
    <w:rsid w:val="004C4FE0"/>
    <w:rsid w:val="004C63D5"/>
    <w:rsid w:val="004D043C"/>
    <w:rsid w:val="004D079D"/>
    <w:rsid w:val="004D092A"/>
    <w:rsid w:val="004D1661"/>
    <w:rsid w:val="004D16B7"/>
    <w:rsid w:val="004D2B57"/>
    <w:rsid w:val="004D5552"/>
    <w:rsid w:val="004D78A1"/>
    <w:rsid w:val="004E07F3"/>
    <w:rsid w:val="004E090F"/>
    <w:rsid w:val="004E206F"/>
    <w:rsid w:val="004E2872"/>
    <w:rsid w:val="004E4D04"/>
    <w:rsid w:val="004E651C"/>
    <w:rsid w:val="004E737E"/>
    <w:rsid w:val="004F17D9"/>
    <w:rsid w:val="004F2AC1"/>
    <w:rsid w:val="004F36C5"/>
    <w:rsid w:val="004F487D"/>
    <w:rsid w:val="004F678F"/>
    <w:rsid w:val="004F6A78"/>
    <w:rsid w:val="004F6BB8"/>
    <w:rsid w:val="0050135B"/>
    <w:rsid w:val="0050394D"/>
    <w:rsid w:val="005048C4"/>
    <w:rsid w:val="00506413"/>
    <w:rsid w:val="005066E9"/>
    <w:rsid w:val="00507319"/>
    <w:rsid w:val="00511317"/>
    <w:rsid w:val="0051160A"/>
    <w:rsid w:val="00511C20"/>
    <w:rsid w:val="00511C9B"/>
    <w:rsid w:val="005122B8"/>
    <w:rsid w:val="00512860"/>
    <w:rsid w:val="00513990"/>
    <w:rsid w:val="00513C1E"/>
    <w:rsid w:val="0051473B"/>
    <w:rsid w:val="00517CA3"/>
    <w:rsid w:val="00520072"/>
    <w:rsid w:val="00520B81"/>
    <w:rsid w:val="00521228"/>
    <w:rsid w:val="00521809"/>
    <w:rsid w:val="005236F5"/>
    <w:rsid w:val="005257FC"/>
    <w:rsid w:val="005263B1"/>
    <w:rsid w:val="00526B78"/>
    <w:rsid w:val="00526DE8"/>
    <w:rsid w:val="005270E4"/>
    <w:rsid w:val="00527134"/>
    <w:rsid w:val="005300ED"/>
    <w:rsid w:val="005307D9"/>
    <w:rsid w:val="00530835"/>
    <w:rsid w:val="00531F8A"/>
    <w:rsid w:val="0053252B"/>
    <w:rsid w:val="005340AE"/>
    <w:rsid w:val="005364FB"/>
    <w:rsid w:val="0054365F"/>
    <w:rsid w:val="00543F54"/>
    <w:rsid w:val="00543F7C"/>
    <w:rsid w:val="0054491D"/>
    <w:rsid w:val="005459F8"/>
    <w:rsid w:val="0054623A"/>
    <w:rsid w:val="00546806"/>
    <w:rsid w:val="00546F69"/>
    <w:rsid w:val="0054798E"/>
    <w:rsid w:val="00547E1A"/>
    <w:rsid w:val="00550480"/>
    <w:rsid w:val="0055292B"/>
    <w:rsid w:val="00553477"/>
    <w:rsid w:val="0055414E"/>
    <w:rsid w:val="00555E63"/>
    <w:rsid w:val="005569FC"/>
    <w:rsid w:val="00557499"/>
    <w:rsid w:val="0056082B"/>
    <w:rsid w:val="00561423"/>
    <w:rsid w:val="00563040"/>
    <w:rsid w:val="0056374C"/>
    <w:rsid w:val="00563EF1"/>
    <w:rsid w:val="005640DB"/>
    <w:rsid w:val="0056437B"/>
    <w:rsid w:val="00564B31"/>
    <w:rsid w:val="005705E5"/>
    <w:rsid w:val="0057061A"/>
    <w:rsid w:val="005707E3"/>
    <w:rsid w:val="0057520C"/>
    <w:rsid w:val="005760C3"/>
    <w:rsid w:val="00576C01"/>
    <w:rsid w:val="005779A2"/>
    <w:rsid w:val="00580112"/>
    <w:rsid w:val="005802D1"/>
    <w:rsid w:val="00580B1C"/>
    <w:rsid w:val="00581092"/>
    <w:rsid w:val="00583EDD"/>
    <w:rsid w:val="00584258"/>
    <w:rsid w:val="00585C6A"/>
    <w:rsid w:val="00586660"/>
    <w:rsid w:val="0059088F"/>
    <w:rsid w:val="005915B2"/>
    <w:rsid w:val="0059235B"/>
    <w:rsid w:val="00592CE6"/>
    <w:rsid w:val="00592E76"/>
    <w:rsid w:val="00593D41"/>
    <w:rsid w:val="005948D3"/>
    <w:rsid w:val="00594B4A"/>
    <w:rsid w:val="0059544E"/>
    <w:rsid w:val="0059662A"/>
    <w:rsid w:val="005A12F2"/>
    <w:rsid w:val="005A199A"/>
    <w:rsid w:val="005A4D45"/>
    <w:rsid w:val="005A5D70"/>
    <w:rsid w:val="005A600E"/>
    <w:rsid w:val="005A6C4B"/>
    <w:rsid w:val="005A798A"/>
    <w:rsid w:val="005B0411"/>
    <w:rsid w:val="005B1F18"/>
    <w:rsid w:val="005B281D"/>
    <w:rsid w:val="005B3664"/>
    <w:rsid w:val="005B369E"/>
    <w:rsid w:val="005B4C21"/>
    <w:rsid w:val="005B7602"/>
    <w:rsid w:val="005B7BDA"/>
    <w:rsid w:val="005C0BE7"/>
    <w:rsid w:val="005C0F09"/>
    <w:rsid w:val="005C1008"/>
    <w:rsid w:val="005C18D9"/>
    <w:rsid w:val="005C2C4C"/>
    <w:rsid w:val="005C493E"/>
    <w:rsid w:val="005C501C"/>
    <w:rsid w:val="005C65F5"/>
    <w:rsid w:val="005C6F52"/>
    <w:rsid w:val="005D0276"/>
    <w:rsid w:val="005D1666"/>
    <w:rsid w:val="005D26EE"/>
    <w:rsid w:val="005D5908"/>
    <w:rsid w:val="005D5DE9"/>
    <w:rsid w:val="005D6740"/>
    <w:rsid w:val="005D689A"/>
    <w:rsid w:val="005D7FD8"/>
    <w:rsid w:val="005E20EA"/>
    <w:rsid w:val="005E321D"/>
    <w:rsid w:val="005E37D7"/>
    <w:rsid w:val="005E4E50"/>
    <w:rsid w:val="005E5544"/>
    <w:rsid w:val="005E7C0E"/>
    <w:rsid w:val="005F3FBC"/>
    <w:rsid w:val="005F47D9"/>
    <w:rsid w:val="005F792C"/>
    <w:rsid w:val="00601FB5"/>
    <w:rsid w:val="00603697"/>
    <w:rsid w:val="00603E03"/>
    <w:rsid w:val="00604B65"/>
    <w:rsid w:val="00610FD5"/>
    <w:rsid w:val="00610FDF"/>
    <w:rsid w:val="00612CF1"/>
    <w:rsid w:val="006140F3"/>
    <w:rsid w:val="00615482"/>
    <w:rsid w:val="006161CB"/>
    <w:rsid w:val="0061790A"/>
    <w:rsid w:val="006207B5"/>
    <w:rsid w:val="006211DC"/>
    <w:rsid w:val="00622B52"/>
    <w:rsid w:val="00623311"/>
    <w:rsid w:val="006259E4"/>
    <w:rsid w:val="00626202"/>
    <w:rsid w:val="006278BF"/>
    <w:rsid w:val="00627D38"/>
    <w:rsid w:val="00630187"/>
    <w:rsid w:val="006308BA"/>
    <w:rsid w:val="00632433"/>
    <w:rsid w:val="00633DB9"/>
    <w:rsid w:val="006375DE"/>
    <w:rsid w:val="0064006A"/>
    <w:rsid w:val="006416B9"/>
    <w:rsid w:val="00641FA0"/>
    <w:rsid w:val="0064352A"/>
    <w:rsid w:val="00643FCB"/>
    <w:rsid w:val="006440A1"/>
    <w:rsid w:val="006457A0"/>
    <w:rsid w:val="00646A71"/>
    <w:rsid w:val="00650D30"/>
    <w:rsid w:val="00653EB9"/>
    <w:rsid w:val="00655E81"/>
    <w:rsid w:val="00657A58"/>
    <w:rsid w:val="00657FB3"/>
    <w:rsid w:val="00663375"/>
    <w:rsid w:val="006673FE"/>
    <w:rsid w:val="0066757A"/>
    <w:rsid w:val="00670635"/>
    <w:rsid w:val="006713AB"/>
    <w:rsid w:val="006722A6"/>
    <w:rsid w:val="0067429E"/>
    <w:rsid w:val="006758E0"/>
    <w:rsid w:val="006810FB"/>
    <w:rsid w:val="00681D8C"/>
    <w:rsid w:val="00681E55"/>
    <w:rsid w:val="006831EC"/>
    <w:rsid w:val="00683E89"/>
    <w:rsid w:val="00685086"/>
    <w:rsid w:val="006878AE"/>
    <w:rsid w:val="00690A68"/>
    <w:rsid w:val="00690B78"/>
    <w:rsid w:val="006914A7"/>
    <w:rsid w:val="00692FC8"/>
    <w:rsid w:val="0069342D"/>
    <w:rsid w:val="006938BE"/>
    <w:rsid w:val="00694600"/>
    <w:rsid w:val="00694EEE"/>
    <w:rsid w:val="00696E5B"/>
    <w:rsid w:val="006A13B6"/>
    <w:rsid w:val="006A1CDF"/>
    <w:rsid w:val="006A22A7"/>
    <w:rsid w:val="006A27ED"/>
    <w:rsid w:val="006A3A0B"/>
    <w:rsid w:val="006A4DE2"/>
    <w:rsid w:val="006A7977"/>
    <w:rsid w:val="006A7BCD"/>
    <w:rsid w:val="006A7ED7"/>
    <w:rsid w:val="006B077D"/>
    <w:rsid w:val="006B3795"/>
    <w:rsid w:val="006B3D26"/>
    <w:rsid w:val="006B62E6"/>
    <w:rsid w:val="006C264D"/>
    <w:rsid w:val="006C30BA"/>
    <w:rsid w:val="006C42A2"/>
    <w:rsid w:val="006C5EE4"/>
    <w:rsid w:val="006C5F64"/>
    <w:rsid w:val="006C708A"/>
    <w:rsid w:val="006D0B42"/>
    <w:rsid w:val="006D0B75"/>
    <w:rsid w:val="006D1653"/>
    <w:rsid w:val="006D2A37"/>
    <w:rsid w:val="006D35A4"/>
    <w:rsid w:val="006E1639"/>
    <w:rsid w:val="006E1D3C"/>
    <w:rsid w:val="006E395F"/>
    <w:rsid w:val="006E403D"/>
    <w:rsid w:val="006E6D43"/>
    <w:rsid w:val="006E78D3"/>
    <w:rsid w:val="006E7C5E"/>
    <w:rsid w:val="006F01F5"/>
    <w:rsid w:val="006F3E54"/>
    <w:rsid w:val="00700A03"/>
    <w:rsid w:val="00701C62"/>
    <w:rsid w:val="00702FE0"/>
    <w:rsid w:val="007056A4"/>
    <w:rsid w:val="00706052"/>
    <w:rsid w:val="00707312"/>
    <w:rsid w:val="00707C5F"/>
    <w:rsid w:val="0071083F"/>
    <w:rsid w:val="007113B6"/>
    <w:rsid w:val="00715B9B"/>
    <w:rsid w:val="00721AC0"/>
    <w:rsid w:val="00723522"/>
    <w:rsid w:val="007235B9"/>
    <w:rsid w:val="00724096"/>
    <w:rsid w:val="00724B43"/>
    <w:rsid w:val="00724CC7"/>
    <w:rsid w:val="00726253"/>
    <w:rsid w:val="00730FAF"/>
    <w:rsid w:val="007314E2"/>
    <w:rsid w:val="007338D4"/>
    <w:rsid w:val="007339A0"/>
    <w:rsid w:val="007339EA"/>
    <w:rsid w:val="00734043"/>
    <w:rsid w:val="007346A2"/>
    <w:rsid w:val="00734DD1"/>
    <w:rsid w:val="00736F0F"/>
    <w:rsid w:val="007407EB"/>
    <w:rsid w:val="00740857"/>
    <w:rsid w:val="00741315"/>
    <w:rsid w:val="007420AB"/>
    <w:rsid w:val="00742156"/>
    <w:rsid w:val="00742D26"/>
    <w:rsid w:val="0074401E"/>
    <w:rsid w:val="00744A78"/>
    <w:rsid w:val="007454F8"/>
    <w:rsid w:val="007502F1"/>
    <w:rsid w:val="00752E6C"/>
    <w:rsid w:val="00756529"/>
    <w:rsid w:val="007565DD"/>
    <w:rsid w:val="00756B26"/>
    <w:rsid w:val="0075793A"/>
    <w:rsid w:val="00760673"/>
    <w:rsid w:val="00760766"/>
    <w:rsid w:val="0076364A"/>
    <w:rsid w:val="00764EB1"/>
    <w:rsid w:val="00766776"/>
    <w:rsid w:val="00767B4B"/>
    <w:rsid w:val="00770223"/>
    <w:rsid w:val="00771D33"/>
    <w:rsid w:val="00772710"/>
    <w:rsid w:val="00775256"/>
    <w:rsid w:val="00776A21"/>
    <w:rsid w:val="00777119"/>
    <w:rsid w:val="007813E0"/>
    <w:rsid w:val="00781E88"/>
    <w:rsid w:val="007821E6"/>
    <w:rsid w:val="00782335"/>
    <w:rsid w:val="007833ED"/>
    <w:rsid w:val="00785C9B"/>
    <w:rsid w:val="00786711"/>
    <w:rsid w:val="0078707D"/>
    <w:rsid w:val="00787EAB"/>
    <w:rsid w:val="00790C27"/>
    <w:rsid w:val="007919D1"/>
    <w:rsid w:val="0079280A"/>
    <w:rsid w:val="0079316B"/>
    <w:rsid w:val="00793FD2"/>
    <w:rsid w:val="007962A2"/>
    <w:rsid w:val="00796F02"/>
    <w:rsid w:val="0079789D"/>
    <w:rsid w:val="007A102B"/>
    <w:rsid w:val="007A3DE8"/>
    <w:rsid w:val="007A526E"/>
    <w:rsid w:val="007A6315"/>
    <w:rsid w:val="007A72A1"/>
    <w:rsid w:val="007B01DB"/>
    <w:rsid w:val="007B1983"/>
    <w:rsid w:val="007B2E83"/>
    <w:rsid w:val="007B3BCA"/>
    <w:rsid w:val="007B666C"/>
    <w:rsid w:val="007B7BB4"/>
    <w:rsid w:val="007B7C4B"/>
    <w:rsid w:val="007C06C2"/>
    <w:rsid w:val="007C214D"/>
    <w:rsid w:val="007C3A46"/>
    <w:rsid w:val="007C6FE8"/>
    <w:rsid w:val="007D0DB5"/>
    <w:rsid w:val="007D1D7C"/>
    <w:rsid w:val="007D28F8"/>
    <w:rsid w:val="007D2DC7"/>
    <w:rsid w:val="007D3A2A"/>
    <w:rsid w:val="007D3BA8"/>
    <w:rsid w:val="007D3EF0"/>
    <w:rsid w:val="007D4F71"/>
    <w:rsid w:val="007D542E"/>
    <w:rsid w:val="007D64AC"/>
    <w:rsid w:val="007D7964"/>
    <w:rsid w:val="007E081F"/>
    <w:rsid w:val="007E090C"/>
    <w:rsid w:val="007E16A4"/>
    <w:rsid w:val="007E20F9"/>
    <w:rsid w:val="007E233A"/>
    <w:rsid w:val="007E24C5"/>
    <w:rsid w:val="007E2590"/>
    <w:rsid w:val="007E306D"/>
    <w:rsid w:val="007E324F"/>
    <w:rsid w:val="007E4E28"/>
    <w:rsid w:val="007E57B2"/>
    <w:rsid w:val="007E6F2B"/>
    <w:rsid w:val="007F1D5D"/>
    <w:rsid w:val="007F2E3F"/>
    <w:rsid w:val="007F53A5"/>
    <w:rsid w:val="007F63A6"/>
    <w:rsid w:val="007F6557"/>
    <w:rsid w:val="007F68DE"/>
    <w:rsid w:val="0080129E"/>
    <w:rsid w:val="00803C0C"/>
    <w:rsid w:val="00804BDE"/>
    <w:rsid w:val="00812B10"/>
    <w:rsid w:val="008133AD"/>
    <w:rsid w:val="008139BF"/>
    <w:rsid w:val="008158DE"/>
    <w:rsid w:val="00821B7F"/>
    <w:rsid w:val="00826970"/>
    <w:rsid w:val="00827858"/>
    <w:rsid w:val="008309FB"/>
    <w:rsid w:val="00831148"/>
    <w:rsid w:val="008324C4"/>
    <w:rsid w:val="0083331B"/>
    <w:rsid w:val="00835451"/>
    <w:rsid w:val="008362E5"/>
    <w:rsid w:val="00840091"/>
    <w:rsid w:val="00840EFC"/>
    <w:rsid w:val="008414F1"/>
    <w:rsid w:val="008438C6"/>
    <w:rsid w:val="00843BD5"/>
    <w:rsid w:val="0084486A"/>
    <w:rsid w:val="00845319"/>
    <w:rsid w:val="00845A1B"/>
    <w:rsid w:val="00845EE3"/>
    <w:rsid w:val="00847343"/>
    <w:rsid w:val="00847822"/>
    <w:rsid w:val="00847F60"/>
    <w:rsid w:val="0085061F"/>
    <w:rsid w:val="00850D6E"/>
    <w:rsid w:val="008511AA"/>
    <w:rsid w:val="008518EC"/>
    <w:rsid w:val="0085192C"/>
    <w:rsid w:val="008528D9"/>
    <w:rsid w:val="00852D4B"/>
    <w:rsid w:val="008531F0"/>
    <w:rsid w:val="008548A7"/>
    <w:rsid w:val="00855481"/>
    <w:rsid w:val="008559D8"/>
    <w:rsid w:val="00855CF5"/>
    <w:rsid w:val="008569BC"/>
    <w:rsid w:val="00861491"/>
    <w:rsid w:val="00861F53"/>
    <w:rsid w:val="0086256F"/>
    <w:rsid w:val="00862967"/>
    <w:rsid w:val="008642A1"/>
    <w:rsid w:val="008643D9"/>
    <w:rsid w:val="00865FB9"/>
    <w:rsid w:val="00866490"/>
    <w:rsid w:val="0086760D"/>
    <w:rsid w:val="00867BC8"/>
    <w:rsid w:val="008710D1"/>
    <w:rsid w:val="008712C5"/>
    <w:rsid w:val="008723DF"/>
    <w:rsid w:val="00872DA3"/>
    <w:rsid w:val="00874C57"/>
    <w:rsid w:val="00876905"/>
    <w:rsid w:val="00876ED7"/>
    <w:rsid w:val="008802F6"/>
    <w:rsid w:val="008804E5"/>
    <w:rsid w:val="0088196A"/>
    <w:rsid w:val="00881F26"/>
    <w:rsid w:val="00882A30"/>
    <w:rsid w:val="00883351"/>
    <w:rsid w:val="008840B8"/>
    <w:rsid w:val="00884715"/>
    <w:rsid w:val="0088670C"/>
    <w:rsid w:val="00890F91"/>
    <w:rsid w:val="00893480"/>
    <w:rsid w:val="00894B9D"/>
    <w:rsid w:val="008951D5"/>
    <w:rsid w:val="00895228"/>
    <w:rsid w:val="00895719"/>
    <w:rsid w:val="00895A0B"/>
    <w:rsid w:val="00897404"/>
    <w:rsid w:val="008A1A91"/>
    <w:rsid w:val="008A31FD"/>
    <w:rsid w:val="008A3854"/>
    <w:rsid w:val="008A4203"/>
    <w:rsid w:val="008A5569"/>
    <w:rsid w:val="008A5764"/>
    <w:rsid w:val="008A582F"/>
    <w:rsid w:val="008A6255"/>
    <w:rsid w:val="008A627D"/>
    <w:rsid w:val="008B1441"/>
    <w:rsid w:val="008B1609"/>
    <w:rsid w:val="008B192E"/>
    <w:rsid w:val="008B32AA"/>
    <w:rsid w:val="008B3385"/>
    <w:rsid w:val="008B4140"/>
    <w:rsid w:val="008B5561"/>
    <w:rsid w:val="008C2357"/>
    <w:rsid w:val="008C25BA"/>
    <w:rsid w:val="008C315E"/>
    <w:rsid w:val="008C3ECD"/>
    <w:rsid w:val="008C4405"/>
    <w:rsid w:val="008C5C90"/>
    <w:rsid w:val="008C610B"/>
    <w:rsid w:val="008C7731"/>
    <w:rsid w:val="008D19CF"/>
    <w:rsid w:val="008D29D4"/>
    <w:rsid w:val="008D31F2"/>
    <w:rsid w:val="008D3962"/>
    <w:rsid w:val="008D4965"/>
    <w:rsid w:val="008D4E88"/>
    <w:rsid w:val="008D506F"/>
    <w:rsid w:val="008D634B"/>
    <w:rsid w:val="008D6F4B"/>
    <w:rsid w:val="008E2035"/>
    <w:rsid w:val="008E40FE"/>
    <w:rsid w:val="008E4D2A"/>
    <w:rsid w:val="008E51FF"/>
    <w:rsid w:val="008E537D"/>
    <w:rsid w:val="008E6D0D"/>
    <w:rsid w:val="008E76F9"/>
    <w:rsid w:val="008E7972"/>
    <w:rsid w:val="008E7B01"/>
    <w:rsid w:val="008E7F3C"/>
    <w:rsid w:val="008F1661"/>
    <w:rsid w:val="008F234F"/>
    <w:rsid w:val="008F28E4"/>
    <w:rsid w:val="008F3B68"/>
    <w:rsid w:val="008F678F"/>
    <w:rsid w:val="008F7030"/>
    <w:rsid w:val="008F7443"/>
    <w:rsid w:val="008F7571"/>
    <w:rsid w:val="008F79DB"/>
    <w:rsid w:val="00901A30"/>
    <w:rsid w:val="00901D0A"/>
    <w:rsid w:val="00902F70"/>
    <w:rsid w:val="00904527"/>
    <w:rsid w:val="00905362"/>
    <w:rsid w:val="00905E7C"/>
    <w:rsid w:val="00913937"/>
    <w:rsid w:val="009146B1"/>
    <w:rsid w:val="00914EF1"/>
    <w:rsid w:val="00920757"/>
    <w:rsid w:val="00920F9A"/>
    <w:rsid w:val="009212CE"/>
    <w:rsid w:val="00921346"/>
    <w:rsid w:val="00923230"/>
    <w:rsid w:val="00923BF7"/>
    <w:rsid w:val="0092416B"/>
    <w:rsid w:val="00924401"/>
    <w:rsid w:val="009255FB"/>
    <w:rsid w:val="00927737"/>
    <w:rsid w:val="00930891"/>
    <w:rsid w:val="009311BB"/>
    <w:rsid w:val="00934ADC"/>
    <w:rsid w:val="00935045"/>
    <w:rsid w:val="009369B4"/>
    <w:rsid w:val="00940D8B"/>
    <w:rsid w:val="0094421E"/>
    <w:rsid w:val="009443A4"/>
    <w:rsid w:val="0094637A"/>
    <w:rsid w:val="00946777"/>
    <w:rsid w:val="009505B7"/>
    <w:rsid w:val="00950750"/>
    <w:rsid w:val="00950A91"/>
    <w:rsid w:val="00950D19"/>
    <w:rsid w:val="00950F6F"/>
    <w:rsid w:val="009513C7"/>
    <w:rsid w:val="00952316"/>
    <w:rsid w:val="00954A1C"/>
    <w:rsid w:val="00954C75"/>
    <w:rsid w:val="00955FCE"/>
    <w:rsid w:val="00956666"/>
    <w:rsid w:val="00956A7C"/>
    <w:rsid w:val="009604EE"/>
    <w:rsid w:val="0096165A"/>
    <w:rsid w:val="00962F7F"/>
    <w:rsid w:val="00963A07"/>
    <w:rsid w:val="00963BCB"/>
    <w:rsid w:val="00964D0F"/>
    <w:rsid w:val="009651F0"/>
    <w:rsid w:val="00966822"/>
    <w:rsid w:val="00967ED0"/>
    <w:rsid w:val="00972448"/>
    <w:rsid w:val="00972C6C"/>
    <w:rsid w:val="0097343C"/>
    <w:rsid w:val="0097419A"/>
    <w:rsid w:val="009754FC"/>
    <w:rsid w:val="009768FE"/>
    <w:rsid w:val="00977263"/>
    <w:rsid w:val="00980883"/>
    <w:rsid w:val="00982EA5"/>
    <w:rsid w:val="00983A43"/>
    <w:rsid w:val="009840E8"/>
    <w:rsid w:val="009846B5"/>
    <w:rsid w:val="00985550"/>
    <w:rsid w:val="009863B8"/>
    <w:rsid w:val="00986C8F"/>
    <w:rsid w:val="00987F23"/>
    <w:rsid w:val="00990FB5"/>
    <w:rsid w:val="0099764F"/>
    <w:rsid w:val="009A2F47"/>
    <w:rsid w:val="009A470E"/>
    <w:rsid w:val="009A5DAC"/>
    <w:rsid w:val="009A5F11"/>
    <w:rsid w:val="009A68D6"/>
    <w:rsid w:val="009A71EF"/>
    <w:rsid w:val="009A722E"/>
    <w:rsid w:val="009B020A"/>
    <w:rsid w:val="009B088C"/>
    <w:rsid w:val="009B1848"/>
    <w:rsid w:val="009B2194"/>
    <w:rsid w:val="009B3B58"/>
    <w:rsid w:val="009B3EED"/>
    <w:rsid w:val="009B40E9"/>
    <w:rsid w:val="009B459C"/>
    <w:rsid w:val="009B7086"/>
    <w:rsid w:val="009B7E8C"/>
    <w:rsid w:val="009C0CBE"/>
    <w:rsid w:val="009C4400"/>
    <w:rsid w:val="009C4462"/>
    <w:rsid w:val="009C4E06"/>
    <w:rsid w:val="009C7613"/>
    <w:rsid w:val="009C76CC"/>
    <w:rsid w:val="009C7D3F"/>
    <w:rsid w:val="009D007A"/>
    <w:rsid w:val="009D03C8"/>
    <w:rsid w:val="009D0467"/>
    <w:rsid w:val="009D2B4E"/>
    <w:rsid w:val="009D41E6"/>
    <w:rsid w:val="009D52F8"/>
    <w:rsid w:val="009D6BD5"/>
    <w:rsid w:val="009D6C16"/>
    <w:rsid w:val="009D7B66"/>
    <w:rsid w:val="009D7C5B"/>
    <w:rsid w:val="009E0283"/>
    <w:rsid w:val="009E42C4"/>
    <w:rsid w:val="009E45EA"/>
    <w:rsid w:val="009E5E4F"/>
    <w:rsid w:val="009F08ED"/>
    <w:rsid w:val="009F1A36"/>
    <w:rsid w:val="009F25D7"/>
    <w:rsid w:val="009F2C50"/>
    <w:rsid w:val="009F2ED0"/>
    <w:rsid w:val="009F4BA2"/>
    <w:rsid w:val="009F6596"/>
    <w:rsid w:val="00A02D35"/>
    <w:rsid w:val="00A04140"/>
    <w:rsid w:val="00A05719"/>
    <w:rsid w:val="00A061CC"/>
    <w:rsid w:val="00A06266"/>
    <w:rsid w:val="00A07A5F"/>
    <w:rsid w:val="00A10605"/>
    <w:rsid w:val="00A10918"/>
    <w:rsid w:val="00A1096F"/>
    <w:rsid w:val="00A13F3A"/>
    <w:rsid w:val="00A142C7"/>
    <w:rsid w:val="00A14932"/>
    <w:rsid w:val="00A1696B"/>
    <w:rsid w:val="00A21B6F"/>
    <w:rsid w:val="00A229E9"/>
    <w:rsid w:val="00A23C85"/>
    <w:rsid w:val="00A243CE"/>
    <w:rsid w:val="00A3039E"/>
    <w:rsid w:val="00A31EBC"/>
    <w:rsid w:val="00A34092"/>
    <w:rsid w:val="00A3424C"/>
    <w:rsid w:val="00A344A9"/>
    <w:rsid w:val="00A34501"/>
    <w:rsid w:val="00A400ED"/>
    <w:rsid w:val="00A40ACB"/>
    <w:rsid w:val="00A41981"/>
    <w:rsid w:val="00A42317"/>
    <w:rsid w:val="00A429B0"/>
    <w:rsid w:val="00A4343D"/>
    <w:rsid w:val="00A43441"/>
    <w:rsid w:val="00A44E1B"/>
    <w:rsid w:val="00A45AA3"/>
    <w:rsid w:val="00A4642B"/>
    <w:rsid w:val="00A46F74"/>
    <w:rsid w:val="00A475DE"/>
    <w:rsid w:val="00A50D9F"/>
    <w:rsid w:val="00A51E19"/>
    <w:rsid w:val="00A538F8"/>
    <w:rsid w:val="00A54C9A"/>
    <w:rsid w:val="00A556E0"/>
    <w:rsid w:val="00A5624D"/>
    <w:rsid w:val="00A57FAE"/>
    <w:rsid w:val="00A63387"/>
    <w:rsid w:val="00A64202"/>
    <w:rsid w:val="00A64592"/>
    <w:rsid w:val="00A65EED"/>
    <w:rsid w:val="00A66993"/>
    <w:rsid w:val="00A71C93"/>
    <w:rsid w:val="00A73BAB"/>
    <w:rsid w:val="00A73DD4"/>
    <w:rsid w:val="00A744FA"/>
    <w:rsid w:val="00A751EF"/>
    <w:rsid w:val="00A76194"/>
    <w:rsid w:val="00A76AD1"/>
    <w:rsid w:val="00A77540"/>
    <w:rsid w:val="00A80132"/>
    <w:rsid w:val="00A823A9"/>
    <w:rsid w:val="00A8313B"/>
    <w:rsid w:val="00A83DBB"/>
    <w:rsid w:val="00A8588E"/>
    <w:rsid w:val="00A85ACA"/>
    <w:rsid w:val="00A871E1"/>
    <w:rsid w:val="00A9085C"/>
    <w:rsid w:val="00A91CCF"/>
    <w:rsid w:val="00A936B3"/>
    <w:rsid w:val="00A94497"/>
    <w:rsid w:val="00A9508D"/>
    <w:rsid w:val="00A9662D"/>
    <w:rsid w:val="00A9731F"/>
    <w:rsid w:val="00A97DE0"/>
    <w:rsid w:val="00AA07F6"/>
    <w:rsid w:val="00AA1975"/>
    <w:rsid w:val="00AA225D"/>
    <w:rsid w:val="00AA5168"/>
    <w:rsid w:val="00AA557E"/>
    <w:rsid w:val="00AB118B"/>
    <w:rsid w:val="00AB146F"/>
    <w:rsid w:val="00AB3543"/>
    <w:rsid w:val="00AB4380"/>
    <w:rsid w:val="00AB4573"/>
    <w:rsid w:val="00AB7AAC"/>
    <w:rsid w:val="00AC2B35"/>
    <w:rsid w:val="00AC49B7"/>
    <w:rsid w:val="00AC59EA"/>
    <w:rsid w:val="00AC7D53"/>
    <w:rsid w:val="00AD061C"/>
    <w:rsid w:val="00AD0E76"/>
    <w:rsid w:val="00AD24C2"/>
    <w:rsid w:val="00AD4E3C"/>
    <w:rsid w:val="00AD58B8"/>
    <w:rsid w:val="00AD6255"/>
    <w:rsid w:val="00AD62FA"/>
    <w:rsid w:val="00AE01DA"/>
    <w:rsid w:val="00AE0560"/>
    <w:rsid w:val="00AE077D"/>
    <w:rsid w:val="00AE272D"/>
    <w:rsid w:val="00AE39F4"/>
    <w:rsid w:val="00AE4643"/>
    <w:rsid w:val="00AE53A3"/>
    <w:rsid w:val="00AE572E"/>
    <w:rsid w:val="00AE5BD4"/>
    <w:rsid w:val="00AE7C75"/>
    <w:rsid w:val="00AE7D11"/>
    <w:rsid w:val="00AF1EB2"/>
    <w:rsid w:val="00AF532A"/>
    <w:rsid w:val="00AF6B3D"/>
    <w:rsid w:val="00AF72A3"/>
    <w:rsid w:val="00B0289F"/>
    <w:rsid w:val="00B033C0"/>
    <w:rsid w:val="00B0467E"/>
    <w:rsid w:val="00B047FD"/>
    <w:rsid w:val="00B07865"/>
    <w:rsid w:val="00B10689"/>
    <w:rsid w:val="00B10EF3"/>
    <w:rsid w:val="00B12308"/>
    <w:rsid w:val="00B153E1"/>
    <w:rsid w:val="00B15DBC"/>
    <w:rsid w:val="00B16B02"/>
    <w:rsid w:val="00B17780"/>
    <w:rsid w:val="00B17E4B"/>
    <w:rsid w:val="00B20966"/>
    <w:rsid w:val="00B20FF4"/>
    <w:rsid w:val="00B2190F"/>
    <w:rsid w:val="00B21AB3"/>
    <w:rsid w:val="00B22B9B"/>
    <w:rsid w:val="00B230BE"/>
    <w:rsid w:val="00B23DF5"/>
    <w:rsid w:val="00B2701F"/>
    <w:rsid w:val="00B301AF"/>
    <w:rsid w:val="00B31605"/>
    <w:rsid w:val="00B33319"/>
    <w:rsid w:val="00B3432D"/>
    <w:rsid w:val="00B35128"/>
    <w:rsid w:val="00B36752"/>
    <w:rsid w:val="00B37204"/>
    <w:rsid w:val="00B41F0D"/>
    <w:rsid w:val="00B42221"/>
    <w:rsid w:val="00B427A2"/>
    <w:rsid w:val="00B42862"/>
    <w:rsid w:val="00B42924"/>
    <w:rsid w:val="00B43933"/>
    <w:rsid w:val="00B43AC3"/>
    <w:rsid w:val="00B44529"/>
    <w:rsid w:val="00B4693A"/>
    <w:rsid w:val="00B4734F"/>
    <w:rsid w:val="00B51AFE"/>
    <w:rsid w:val="00B52CF0"/>
    <w:rsid w:val="00B52E43"/>
    <w:rsid w:val="00B554F1"/>
    <w:rsid w:val="00B55AC8"/>
    <w:rsid w:val="00B55C37"/>
    <w:rsid w:val="00B56D18"/>
    <w:rsid w:val="00B571F5"/>
    <w:rsid w:val="00B57F66"/>
    <w:rsid w:val="00B6139F"/>
    <w:rsid w:val="00B62AF3"/>
    <w:rsid w:val="00B635FA"/>
    <w:rsid w:val="00B64200"/>
    <w:rsid w:val="00B6489D"/>
    <w:rsid w:val="00B64D01"/>
    <w:rsid w:val="00B64D42"/>
    <w:rsid w:val="00B65F03"/>
    <w:rsid w:val="00B7065C"/>
    <w:rsid w:val="00B71714"/>
    <w:rsid w:val="00B72861"/>
    <w:rsid w:val="00B730DE"/>
    <w:rsid w:val="00B7340D"/>
    <w:rsid w:val="00B75136"/>
    <w:rsid w:val="00B7645F"/>
    <w:rsid w:val="00B8200F"/>
    <w:rsid w:val="00B83D72"/>
    <w:rsid w:val="00B84CB1"/>
    <w:rsid w:val="00B853A3"/>
    <w:rsid w:val="00B8747D"/>
    <w:rsid w:val="00B9033D"/>
    <w:rsid w:val="00B910A9"/>
    <w:rsid w:val="00B917ED"/>
    <w:rsid w:val="00B951D0"/>
    <w:rsid w:val="00B9572C"/>
    <w:rsid w:val="00B9628E"/>
    <w:rsid w:val="00B96C54"/>
    <w:rsid w:val="00B9711F"/>
    <w:rsid w:val="00BA003F"/>
    <w:rsid w:val="00BA18FB"/>
    <w:rsid w:val="00BA3A4C"/>
    <w:rsid w:val="00BA3B51"/>
    <w:rsid w:val="00BA652E"/>
    <w:rsid w:val="00BB01FD"/>
    <w:rsid w:val="00BB0207"/>
    <w:rsid w:val="00BB08B0"/>
    <w:rsid w:val="00BB1355"/>
    <w:rsid w:val="00BB2ED2"/>
    <w:rsid w:val="00BB4726"/>
    <w:rsid w:val="00BB4B33"/>
    <w:rsid w:val="00BB4FAD"/>
    <w:rsid w:val="00BB5686"/>
    <w:rsid w:val="00BB780C"/>
    <w:rsid w:val="00BB7B92"/>
    <w:rsid w:val="00BC198D"/>
    <w:rsid w:val="00BC288C"/>
    <w:rsid w:val="00BC2D1A"/>
    <w:rsid w:val="00BC4A57"/>
    <w:rsid w:val="00BC76D9"/>
    <w:rsid w:val="00BD10E3"/>
    <w:rsid w:val="00BD1692"/>
    <w:rsid w:val="00BD24C2"/>
    <w:rsid w:val="00BD26C6"/>
    <w:rsid w:val="00BD281E"/>
    <w:rsid w:val="00BD45BC"/>
    <w:rsid w:val="00BD5CE8"/>
    <w:rsid w:val="00BD5E71"/>
    <w:rsid w:val="00BD7CE0"/>
    <w:rsid w:val="00BE0812"/>
    <w:rsid w:val="00BE085A"/>
    <w:rsid w:val="00BE118F"/>
    <w:rsid w:val="00BE2B6E"/>
    <w:rsid w:val="00BE5C38"/>
    <w:rsid w:val="00BE6C4F"/>
    <w:rsid w:val="00BF0041"/>
    <w:rsid w:val="00BF0871"/>
    <w:rsid w:val="00BF18C3"/>
    <w:rsid w:val="00BF46FD"/>
    <w:rsid w:val="00BF6D24"/>
    <w:rsid w:val="00BF76C6"/>
    <w:rsid w:val="00C002C1"/>
    <w:rsid w:val="00C022AB"/>
    <w:rsid w:val="00C022D3"/>
    <w:rsid w:val="00C02B61"/>
    <w:rsid w:val="00C04952"/>
    <w:rsid w:val="00C049BA"/>
    <w:rsid w:val="00C04BC8"/>
    <w:rsid w:val="00C04CD3"/>
    <w:rsid w:val="00C05079"/>
    <w:rsid w:val="00C05C65"/>
    <w:rsid w:val="00C06661"/>
    <w:rsid w:val="00C06832"/>
    <w:rsid w:val="00C069C5"/>
    <w:rsid w:val="00C069E9"/>
    <w:rsid w:val="00C06E80"/>
    <w:rsid w:val="00C078F6"/>
    <w:rsid w:val="00C10B5D"/>
    <w:rsid w:val="00C11525"/>
    <w:rsid w:val="00C1155D"/>
    <w:rsid w:val="00C11D29"/>
    <w:rsid w:val="00C13432"/>
    <w:rsid w:val="00C147A3"/>
    <w:rsid w:val="00C149A7"/>
    <w:rsid w:val="00C15978"/>
    <w:rsid w:val="00C15D3A"/>
    <w:rsid w:val="00C16809"/>
    <w:rsid w:val="00C16EE4"/>
    <w:rsid w:val="00C1793E"/>
    <w:rsid w:val="00C20438"/>
    <w:rsid w:val="00C2062D"/>
    <w:rsid w:val="00C21C70"/>
    <w:rsid w:val="00C23EEA"/>
    <w:rsid w:val="00C2455E"/>
    <w:rsid w:val="00C25B0D"/>
    <w:rsid w:val="00C27FCC"/>
    <w:rsid w:val="00C3040C"/>
    <w:rsid w:val="00C30477"/>
    <w:rsid w:val="00C30D44"/>
    <w:rsid w:val="00C317C4"/>
    <w:rsid w:val="00C318A1"/>
    <w:rsid w:val="00C338FA"/>
    <w:rsid w:val="00C34BE5"/>
    <w:rsid w:val="00C3661A"/>
    <w:rsid w:val="00C36646"/>
    <w:rsid w:val="00C36B6B"/>
    <w:rsid w:val="00C370B1"/>
    <w:rsid w:val="00C3798A"/>
    <w:rsid w:val="00C473BC"/>
    <w:rsid w:val="00C4745C"/>
    <w:rsid w:val="00C4791C"/>
    <w:rsid w:val="00C50C43"/>
    <w:rsid w:val="00C53060"/>
    <w:rsid w:val="00C55407"/>
    <w:rsid w:val="00C57AF1"/>
    <w:rsid w:val="00C60F68"/>
    <w:rsid w:val="00C610DF"/>
    <w:rsid w:val="00C61FA3"/>
    <w:rsid w:val="00C620A4"/>
    <w:rsid w:val="00C6450F"/>
    <w:rsid w:val="00C6735B"/>
    <w:rsid w:val="00C72E39"/>
    <w:rsid w:val="00C75AF5"/>
    <w:rsid w:val="00C75ECC"/>
    <w:rsid w:val="00C76255"/>
    <w:rsid w:val="00C76957"/>
    <w:rsid w:val="00C77172"/>
    <w:rsid w:val="00C82B4D"/>
    <w:rsid w:val="00C83C1C"/>
    <w:rsid w:val="00C84DD1"/>
    <w:rsid w:val="00C84E2F"/>
    <w:rsid w:val="00C904E6"/>
    <w:rsid w:val="00C90A04"/>
    <w:rsid w:val="00C9123A"/>
    <w:rsid w:val="00C919D4"/>
    <w:rsid w:val="00C93596"/>
    <w:rsid w:val="00C956D1"/>
    <w:rsid w:val="00CA2C3A"/>
    <w:rsid w:val="00CA3467"/>
    <w:rsid w:val="00CA3FD1"/>
    <w:rsid w:val="00CA423B"/>
    <w:rsid w:val="00CA5966"/>
    <w:rsid w:val="00CA63AF"/>
    <w:rsid w:val="00CA692A"/>
    <w:rsid w:val="00CA6CBB"/>
    <w:rsid w:val="00CB0BC3"/>
    <w:rsid w:val="00CB1580"/>
    <w:rsid w:val="00CB32E0"/>
    <w:rsid w:val="00CB5A9C"/>
    <w:rsid w:val="00CB7640"/>
    <w:rsid w:val="00CC0215"/>
    <w:rsid w:val="00CC0A3B"/>
    <w:rsid w:val="00CC2224"/>
    <w:rsid w:val="00CC2FB6"/>
    <w:rsid w:val="00CC50B0"/>
    <w:rsid w:val="00CC567C"/>
    <w:rsid w:val="00CC6185"/>
    <w:rsid w:val="00CC79E6"/>
    <w:rsid w:val="00CC7F37"/>
    <w:rsid w:val="00CD29CD"/>
    <w:rsid w:val="00CD335C"/>
    <w:rsid w:val="00CD3EFB"/>
    <w:rsid w:val="00CD5B2E"/>
    <w:rsid w:val="00CE062F"/>
    <w:rsid w:val="00CE0AEB"/>
    <w:rsid w:val="00CE167C"/>
    <w:rsid w:val="00CE2A9B"/>
    <w:rsid w:val="00CE3CD7"/>
    <w:rsid w:val="00CE4815"/>
    <w:rsid w:val="00CE63AA"/>
    <w:rsid w:val="00CE68B8"/>
    <w:rsid w:val="00CE7DD3"/>
    <w:rsid w:val="00CF1CC5"/>
    <w:rsid w:val="00CF2811"/>
    <w:rsid w:val="00CF2ADE"/>
    <w:rsid w:val="00CF3C12"/>
    <w:rsid w:val="00CF4EE6"/>
    <w:rsid w:val="00CF74AE"/>
    <w:rsid w:val="00CF7675"/>
    <w:rsid w:val="00CF7DA5"/>
    <w:rsid w:val="00D0180C"/>
    <w:rsid w:val="00D03273"/>
    <w:rsid w:val="00D03A66"/>
    <w:rsid w:val="00D04076"/>
    <w:rsid w:val="00D05F0E"/>
    <w:rsid w:val="00D062AC"/>
    <w:rsid w:val="00D07369"/>
    <w:rsid w:val="00D111D9"/>
    <w:rsid w:val="00D11A7B"/>
    <w:rsid w:val="00D11E7F"/>
    <w:rsid w:val="00D120E2"/>
    <w:rsid w:val="00D1238A"/>
    <w:rsid w:val="00D14A38"/>
    <w:rsid w:val="00D15CDE"/>
    <w:rsid w:val="00D1697E"/>
    <w:rsid w:val="00D16DF6"/>
    <w:rsid w:val="00D22323"/>
    <w:rsid w:val="00D22DDC"/>
    <w:rsid w:val="00D23544"/>
    <w:rsid w:val="00D2621B"/>
    <w:rsid w:val="00D30BCF"/>
    <w:rsid w:val="00D313F9"/>
    <w:rsid w:val="00D31CCB"/>
    <w:rsid w:val="00D326AA"/>
    <w:rsid w:val="00D3577C"/>
    <w:rsid w:val="00D367A1"/>
    <w:rsid w:val="00D36D57"/>
    <w:rsid w:val="00D36F29"/>
    <w:rsid w:val="00D40210"/>
    <w:rsid w:val="00D40743"/>
    <w:rsid w:val="00D40BAC"/>
    <w:rsid w:val="00D41066"/>
    <w:rsid w:val="00D43D2E"/>
    <w:rsid w:val="00D45863"/>
    <w:rsid w:val="00D460BF"/>
    <w:rsid w:val="00D51C32"/>
    <w:rsid w:val="00D52796"/>
    <w:rsid w:val="00D53CEF"/>
    <w:rsid w:val="00D57FEE"/>
    <w:rsid w:val="00D60454"/>
    <w:rsid w:val="00D6059A"/>
    <w:rsid w:val="00D63FB7"/>
    <w:rsid w:val="00D67A7E"/>
    <w:rsid w:val="00D705D5"/>
    <w:rsid w:val="00D72253"/>
    <w:rsid w:val="00D730A2"/>
    <w:rsid w:val="00D73EF2"/>
    <w:rsid w:val="00D74A15"/>
    <w:rsid w:val="00D74F4E"/>
    <w:rsid w:val="00D75CB4"/>
    <w:rsid w:val="00D763AC"/>
    <w:rsid w:val="00D77727"/>
    <w:rsid w:val="00D77A67"/>
    <w:rsid w:val="00D81E0A"/>
    <w:rsid w:val="00D84D01"/>
    <w:rsid w:val="00D85399"/>
    <w:rsid w:val="00D859B2"/>
    <w:rsid w:val="00D85FEA"/>
    <w:rsid w:val="00D86F90"/>
    <w:rsid w:val="00D921FE"/>
    <w:rsid w:val="00D928DC"/>
    <w:rsid w:val="00D962AA"/>
    <w:rsid w:val="00D97E69"/>
    <w:rsid w:val="00DA05A9"/>
    <w:rsid w:val="00DA6010"/>
    <w:rsid w:val="00DA651A"/>
    <w:rsid w:val="00DB0E2B"/>
    <w:rsid w:val="00DB1026"/>
    <w:rsid w:val="00DB2383"/>
    <w:rsid w:val="00DB2696"/>
    <w:rsid w:val="00DB2C9F"/>
    <w:rsid w:val="00DB38BB"/>
    <w:rsid w:val="00DB4A2F"/>
    <w:rsid w:val="00DB65BC"/>
    <w:rsid w:val="00DB68AC"/>
    <w:rsid w:val="00DB6D96"/>
    <w:rsid w:val="00DB719E"/>
    <w:rsid w:val="00DB7AFB"/>
    <w:rsid w:val="00DC2D9E"/>
    <w:rsid w:val="00DC4808"/>
    <w:rsid w:val="00DC59A5"/>
    <w:rsid w:val="00DC6E8B"/>
    <w:rsid w:val="00DC6F76"/>
    <w:rsid w:val="00DC707A"/>
    <w:rsid w:val="00DC7591"/>
    <w:rsid w:val="00DC766F"/>
    <w:rsid w:val="00DD0FCB"/>
    <w:rsid w:val="00DD14EA"/>
    <w:rsid w:val="00DD1AB9"/>
    <w:rsid w:val="00DD2146"/>
    <w:rsid w:val="00DD2455"/>
    <w:rsid w:val="00DD24BF"/>
    <w:rsid w:val="00DD3BB7"/>
    <w:rsid w:val="00DD5608"/>
    <w:rsid w:val="00DD5F05"/>
    <w:rsid w:val="00DD6700"/>
    <w:rsid w:val="00DD7B68"/>
    <w:rsid w:val="00DE05B2"/>
    <w:rsid w:val="00DE2378"/>
    <w:rsid w:val="00DE60F7"/>
    <w:rsid w:val="00DE721C"/>
    <w:rsid w:val="00DF00F6"/>
    <w:rsid w:val="00DF17DF"/>
    <w:rsid w:val="00DF3DA1"/>
    <w:rsid w:val="00DF47D6"/>
    <w:rsid w:val="00DF568C"/>
    <w:rsid w:val="00DF5E1E"/>
    <w:rsid w:val="00DF642E"/>
    <w:rsid w:val="00DF65E2"/>
    <w:rsid w:val="00DF673A"/>
    <w:rsid w:val="00DF69A5"/>
    <w:rsid w:val="00DF69EF"/>
    <w:rsid w:val="00E00189"/>
    <w:rsid w:val="00E0157F"/>
    <w:rsid w:val="00E0161A"/>
    <w:rsid w:val="00E019A5"/>
    <w:rsid w:val="00E022B8"/>
    <w:rsid w:val="00E02C18"/>
    <w:rsid w:val="00E04033"/>
    <w:rsid w:val="00E044AD"/>
    <w:rsid w:val="00E04529"/>
    <w:rsid w:val="00E05554"/>
    <w:rsid w:val="00E068E9"/>
    <w:rsid w:val="00E11EBD"/>
    <w:rsid w:val="00E12839"/>
    <w:rsid w:val="00E12DCC"/>
    <w:rsid w:val="00E155BC"/>
    <w:rsid w:val="00E15E78"/>
    <w:rsid w:val="00E16D7F"/>
    <w:rsid w:val="00E1768A"/>
    <w:rsid w:val="00E20464"/>
    <w:rsid w:val="00E22020"/>
    <w:rsid w:val="00E235F5"/>
    <w:rsid w:val="00E24190"/>
    <w:rsid w:val="00E24E6A"/>
    <w:rsid w:val="00E258F2"/>
    <w:rsid w:val="00E30377"/>
    <w:rsid w:val="00E318C1"/>
    <w:rsid w:val="00E333DE"/>
    <w:rsid w:val="00E33B84"/>
    <w:rsid w:val="00E3414D"/>
    <w:rsid w:val="00E3461A"/>
    <w:rsid w:val="00E42CBD"/>
    <w:rsid w:val="00E43AC3"/>
    <w:rsid w:val="00E46163"/>
    <w:rsid w:val="00E5103C"/>
    <w:rsid w:val="00E5244B"/>
    <w:rsid w:val="00E52B04"/>
    <w:rsid w:val="00E52EB5"/>
    <w:rsid w:val="00E52F00"/>
    <w:rsid w:val="00E5327B"/>
    <w:rsid w:val="00E5397B"/>
    <w:rsid w:val="00E546F7"/>
    <w:rsid w:val="00E554C0"/>
    <w:rsid w:val="00E56604"/>
    <w:rsid w:val="00E60244"/>
    <w:rsid w:val="00E60546"/>
    <w:rsid w:val="00E60EBD"/>
    <w:rsid w:val="00E614CC"/>
    <w:rsid w:val="00E62B06"/>
    <w:rsid w:val="00E62DBC"/>
    <w:rsid w:val="00E6406D"/>
    <w:rsid w:val="00E64FDC"/>
    <w:rsid w:val="00E67509"/>
    <w:rsid w:val="00E67641"/>
    <w:rsid w:val="00E67B0B"/>
    <w:rsid w:val="00E72D20"/>
    <w:rsid w:val="00E72F66"/>
    <w:rsid w:val="00E73345"/>
    <w:rsid w:val="00E7436C"/>
    <w:rsid w:val="00E74471"/>
    <w:rsid w:val="00E74B36"/>
    <w:rsid w:val="00E74E93"/>
    <w:rsid w:val="00E7692F"/>
    <w:rsid w:val="00E77F3E"/>
    <w:rsid w:val="00E811C6"/>
    <w:rsid w:val="00E829D6"/>
    <w:rsid w:val="00E860F8"/>
    <w:rsid w:val="00E90E21"/>
    <w:rsid w:val="00E9231C"/>
    <w:rsid w:val="00E92584"/>
    <w:rsid w:val="00E93479"/>
    <w:rsid w:val="00E94D33"/>
    <w:rsid w:val="00E9511B"/>
    <w:rsid w:val="00E95682"/>
    <w:rsid w:val="00E957B2"/>
    <w:rsid w:val="00E96D5E"/>
    <w:rsid w:val="00EA170A"/>
    <w:rsid w:val="00EA193F"/>
    <w:rsid w:val="00EA1A77"/>
    <w:rsid w:val="00EA1B27"/>
    <w:rsid w:val="00EA261B"/>
    <w:rsid w:val="00EA2EC6"/>
    <w:rsid w:val="00EA3B84"/>
    <w:rsid w:val="00EA4C91"/>
    <w:rsid w:val="00EA515D"/>
    <w:rsid w:val="00EA5E72"/>
    <w:rsid w:val="00EA5FAA"/>
    <w:rsid w:val="00EA6F61"/>
    <w:rsid w:val="00EA780D"/>
    <w:rsid w:val="00EA7E50"/>
    <w:rsid w:val="00EB0597"/>
    <w:rsid w:val="00EB2465"/>
    <w:rsid w:val="00EB2E8A"/>
    <w:rsid w:val="00EB31DD"/>
    <w:rsid w:val="00EB4090"/>
    <w:rsid w:val="00EB4488"/>
    <w:rsid w:val="00EB4652"/>
    <w:rsid w:val="00EB4764"/>
    <w:rsid w:val="00EB4DC4"/>
    <w:rsid w:val="00EB5AE4"/>
    <w:rsid w:val="00EC1AE9"/>
    <w:rsid w:val="00EC2A03"/>
    <w:rsid w:val="00EC2EF7"/>
    <w:rsid w:val="00EC30E3"/>
    <w:rsid w:val="00EC53D2"/>
    <w:rsid w:val="00EC5486"/>
    <w:rsid w:val="00EC5AE5"/>
    <w:rsid w:val="00EC6063"/>
    <w:rsid w:val="00EC697B"/>
    <w:rsid w:val="00ED06F0"/>
    <w:rsid w:val="00ED11EF"/>
    <w:rsid w:val="00ED2AC7"/>
    <w:rsid w:val="00ED3615"/>
    <w:rsid w:val="00ED3700"/>
    <w:rsid w:val="00ED4BD4"/>
    <w:rsid w:val="00ED4D3F"/>
    <w:rsid w:val="00EE16FD"/>
    <w:rsid w:val="00EE25B1"/>
    <w:rsid w:val="00EE29F0"/>
    <w:rsid w:val="00EE50A6"/>
    <w:rsid w:val="00EE5A10"/>
    <w:rsid w:val="00EE6746"/>
    <w:rsid w:val="00EE7CB5"/>
    <w:rsid w:val="00EF5C95"/>
    <w:rsid w:val="00F00ED6"/>
    <w:rsid w:val="00F01B1A"/>
    <w:rsid w:val="00F01D20"/>
    <w:rsid w:val="00F0524A"/>
    <w:rsid w:val="00F0575A"/>
    <w:rsid w:val="00F070C8"/>
    <w:rsid w:val="00F07220"/>
    <w:rsid w:val="00F0764A"/>
    <w:rsid w:val="00F10980"/>
    <w:rsid w:val="00F11E19"/>
    <w:rsid w:val="00F11EED"/>
    <w:rsid w:val="00F13377"/>
    <w:rsid w:val="00F138E9"/>
    <w:rsid w:val="00F14F5B"/>
    <w:rsid w:val="00F17452"/>
    <w:rsid w:val="00F2078A"/>
    <w:rsid w:val="00F21501"/>
    <w:rsid w:val="00F230D0"/>
    <w:rsid w:val="00F24022"/>
    <w:rsid w:val="00F240AE"/>
    <w:rsid w:val="00F26B48"/>
    <w:rsid w:val="00F2749C"/>
    <w:rsid w:val="00F31965"/>
    <w:rsid w:val="00F322DE"/>
    <w:rsid w:val="00F323A2"/>
    <w:rsid w:val="00F33B3C"/>
    <w:rsid w:val="00F33D2C"/>
    <w:rsid w:val="00F36B76"/>
    <w:rsid w:val="00F371BA"/>
    <w:rsid w:val="00F4303D"/>
    <w:rsid w:val="00F43487"/>
    <w:rsid w:val="00F4391A"/>
    <w:rsid w:val="00F44AC8"/>
    <w:rsid w:val="00F457B1"/>
    <w:rsid w:val="00F53B62"/>
    <w:rsid w:val="00F53FAA"/>
    <w:rsid w:val="00F54A43"/>
    <w:rsid w:val="00F54AFF"/>
    <w:rsid w:val="00F55AF0"/>
    <w:rsid w:val="00F56726"/>
    <w:rsid w:val="00F60613"/>
    <w:rsid w:val="00F63B03"/>
    <w:rsid w:val="00F640A5"/>
    <w:rsid w:val="00F64BC3"/>
    <w:rsid w:val="00F65639"/>
    <w:rsid w:val="00F66930"/>
    <w:rsid w:val="00F67B88"/>
    <w:rsid w:val="00F709B1"/>
    <w:rsid w:val="00F72A66"/>
    <w:rsid w:val="00F73155"/>
    <w:rsid w:val="00F73A96"/>
    <w:rsid w:val="00F7550E"/>
    <w:rsid w:val="00F77448"/>
    <w:rsid w:val="00F7798C"/>
    <w:rsid w:val="00F81A59"/>
    <w:rsid w:val="00F81B9F"/>
    <w:rsid w:val="00F836E5"/>
    <w:rsid w:val="00F84697"/>
    <w:rsid w:val="00F84A5C"/>
    <w:rsid w:val="00F8597F"/>
    <w:rsid w:val="00F85E13"/>
    <w:rsid w:val="00F86253"/>
    <w:rsid w:val="00F8667F"/>
    <w:rsid w:val="00F878BC"/>
    <w:rsid w:val="00F91E50"/>
    <w:rsid w:val="00F9201F"/>
    <w:rsid w:val="00F93B6A"/>
    <w:rsid w:val="00F94FFF"/>
    <w:rsid w:val="00FA013D"/>
    <w:rsid w:val="00FA0573"/>
    <w:rsid w:val="00FA19CC"/>
    <w:rsid w:val="00FA2B02"/>
    <w:rsid w:val="00FA34DF"/>
    <w:rsid w:val="00FA39CA"/>
    <w:rsid w:val="00FA3ACD"/>
    <w:rsid w:val="00FA3E79"/>
    <w:rsid w:val="00FA49BE"/>
    <w:rsid w:val="00FA57C2"/>
    <w:rsid w:val="00FA6777"/>
    <w:rsid w:val="00FB0B12"/>
    <w:rsid w:val="00FB14F0"/>
    <w:rsid w:val="00FB216B"/>
    <w:rsid w:val="00FB3CE2"/>
    <w:rsid w:val="00FB5610"/>
    <w:rsid w:val="00FB6580"/>
    <w:rsid w:val="00FB78C2"/>
    <w:rsid w:val="00FB7DBF"/>
    <w:rsid w:val="00FC12B7"/>
    <w:rsid w:val="00FC3332"/>
    <w:rsid w:val="00FC41FC"/>
    <w:rsid w:val="00FC5F77"/>
    <w:rsid w:val="00FC5FDB"/>
    <w:rsid w:val="00FD07B2"/>
    <w:rsid w:val="00FD0CBD"/>
    <w:rsid w:val="00FD130D"/>
    <w:rsid w:val="00FD2CC7"/>
    <w:rsid w:val="00FD326B"/>
    <w:rsid w:val="00FD39E9"/>
    <w:rsid w:val="00FD6C26"/>
    <w:rsid w:val="00FD7B7E"/>
    <w:rsid w:val="00FE0622"/>
    <w:rsid w:val="00FE0848"/>
    <w:rsid w:val="00FE1350"/>
    <w:rsid w:val="00FE1754"/>
    <w:rsid w:val="00FE6E23"/>
    <w:rsid w:val="00FE6E64"/>
    <w:rsid w:val="00FE7565"/>
    <w:rsid w:val="00FF02E9"/>
    <w:rsid w:val="00FF0626"/>
    <w:rsid w:val="00FF0910"/>
    <w:rsid w:val="00FF0BA6"/>
    <w:rsid w:val="00FF0FDB"/>
    <w:rsid w:val="00FF1E9C"/>
    <w:rsid w:val="00FF28B3"/>
    <w:rsid w:val="00FF34CA"/>
    <w:rsid w:val="00FF56FA"/>
    <w:rsid w:val="00FF58B6"/>
    <w:rsid w:val="00FF5B5C"/>
    <w:rsid w:val="00FF7420"/>
    <w:rsid w:val="02448A14"/>
    <w:rsid w:val="0269486E"/>
    <w:rsid w:val="02C3CE3D"/>
    <w:rsid w:val="0334B802"/>
    <w:rsid w:val="03625C46"/>
    <w:rsid w:val="03A952E7"/>
    <w:rsid w:val="03DEC95A"/>
    <w:rsid w:val="03EE22B7"/>
    <w:rsid w:val="04576987"/>
    <w:rsid w:val="05347E2B"/>
    <w:rsid w:val="05DA945B"/>
    <w:rsid w:val="060F622C"/>
    <w:rsid w:val="0644CB9A"/>
    <w:rsid w:val="066C58C4"/>
    <w:rsid w:val="07B8E8DF"/>
    <w:rsid w:val="07E9F3D8"/>
    <w:rsid w:val="089A73E1"/>
    <w:rsid w:val="09083FDE"/>
    <w:rsid w:val="091C4263"/>
    <w:rsid w:val="094672C6"/>
    <w:rsid w:val="0967E5EB"/>
    <w:rsid w:val="097F270C"/>
    <w:rsid w:val="098290DB"/>
    <w:rsid w:val="09DC493E"/>
    <w:rsid w:val="0A0CE3EE"/>
    <w:rsid w:val="0A43F780"/>
    <w:rsid w:val="0B56A086"/>
    <w:rsid w:val="0BF0BE2E"/>
    <w:rsid w:val="0C315D1E"/>
    <w:rsid w:val="0C804DB8"/>
    <w:rsid w:val="0C8C0E86"/>
    <w:rsid w:val="0CD927A8"/>
    <w:rsid w:val="0CEBE4A8"/>
    <w:rsid w:val="0D938D73"/>
    <w:rsid w:val="0DC18714"/>
    <w:rsid w:val="0E43F006"/>
    <w:rsid w:val="0EA0DC6F"/>
    <w:rsid w:val="0EA53D25"/>
    <w:rsid w:val="0EB47FBE"/>
    <w:rsid w:val="0F4164F9"/>
    <w:rsid w:val="0F6B2D9C"/>
    <w:rsid w:val="0F81D53C"/>
    <w:rsid w:val="0FA4F0EC"/>
    <w:rsid w:val="11178578"/>
    <w:rsid w:val="117D8BB2"/>
    <w:rsid w:val="11A2873B"/>
    <w:rsid w:val="125742EA"/>
    <w:rsid w:val="12FD9F67"/>
    <w:rsid w:val="148116A0"/>
    <w:rsid w:val="1493A6B0"/>
    <w:rsid w:val="14ABD884"/>
    <w:rsid w:val="150EFDF3"/>
    <w:rsid w:val="1545F3DB"/>
    <w:rsid w:val="1580475C"/>
    <w:rsid w:val="15E82272"/>
    <w:rsid w:val="1628E446"/>
    <w:rsid w:val="16E3A786"/>
    <w:rsid w:val="17DD03A9"/>
    <w:rsid w:val="181DEF5B"/>
    <w:rsid w:val="183E8B7E"/>
    <w:rsid w:val="19ABAFB1"/>
    <w:rsid w:val="19F8A99B"/>
    <w:rsid w:val="1A945E64"/>
    <w:rsid w:val="1B860C6F"/>
    <w:rsid w:val="1BB2B6E8"/>
    <w:rsid w:val="1BE68726"/>
    <w:rsid w:val="1C3917F6"/>
    <w:rsid w:val="1CBCDEB6"/>
    <w:rsid w:val="1D954ADF"/>
    <w:rsid w:val="1E7F230D"/>
    <w:rsid w:val="1E86123B"/>
    <w:rsid w:val="1EAC0262"/>
    <w:rsid w:val="1F4CA4DB"/>
    <w:rsid w:val="1FEFE054"/>
    <w:rsid w:val="202080DB"/>
    <w:rsid w:val="2055C8A9"/>
    <w:rsid w:val="2065E9BF"/>
    <w:rsid w:val="20E055E0"/>
    <w:rsid w:val="2119D8A9"/>
    <w:rsid w:val="21295561"/>
    <w:rsid w:val="2179592D"/>
    <w:rsid w:val="2190A8C5"/>
    <w:rsid w:val="2249DE88"/>
    <w:rsid w:val="2290F785"/>
    <w:rsid w:val="2340420D"/>
    <w:rsid w:val="2387AFD0"/>
    <w:rsid w:val="238EE017"/>
    <w:rsid w:val="23D48BB4"/>
    <w:rsid w:val="24369A02"/>
    <w:rsid w:val="245897FD"/>
    <w:rsid w:val="254C6B97"/>
    <w:rsid w:val="25E9AD2F"/>
    <w:rsid w:val="2600A817"/>
    <w:rsid w:val="2641D360"/>
    <w:rsid w:val="277170EC"/>
    <w:rsid w:val="27948E53"/>
    <w:rsid w:val="27BF23FE"/>
    <w:rsid w:val="27F14A5B"/>
    <w:rsid w:val="282F010C"/>
    <w:rsid w:val="2876F6D4"/>
    <w:rsid w:val="288407F3"/>
    <w:rsid w:val="28A541E6"/>
    <w:rsid w:val="28FD75A7"/>
    <w:rsid w:val="29437345"/>
    <w:rsid w:val="2973FB54"/>
    <w:rsid w:val="29853EF8"/>
    <w:rsid w:val="2A0AC679"/>
    <w:rsid w:val="2B4CB8DF"/>
    <w:rsid w:val="2B59FD93"/>
    <w:rsid w:val="2B9E9EA3"/>
    <w:rsid w:val="2C237D3E"/>
    <w:rsid w:val="2C7790BA"/>
    <w:rsid w:val="2C7CF179"/>
    <w:rsid w:val="2C8D0DD0"/>
    <w:rsid w:val="2C900975"/>
    <w:rsid w:val="2D4E1753"/>
    <w:rsid w:val="2DCB2629"/>
    <w:rsid w:val="2E384B8A"/>
    <w:rsid w:val="2E7B9277"/>
    <w:rsid w:val="2EA608FB"/>
    <w:rsid w:val="2ED4A37D"/>
    <w:rsid w:val="2F31A6DB"/>
    <w:rsid w:val="2F9159BE"/>
    <w:rsid w:val="2FB20C17"/>
    <w:rsid w:val="2FFE204F"/>
    <w:rsid w:val="30094A8D"/>
    <w:rsid w:val="3113CFEC"/>
    <w:rsid w:val="314FCF98"/>
    <w:rsid w:val="318D2551"/>
    <w:rsid w:val="31B8D766"/>
    <w:rsid w:val="32602FE0"/>
    <w:rsid w:val="3284AE49"/>
    <w:rsid w:val="32E44CCE"/>
    <w:rsid w:val="33E900CE"/>
    <w:rsid w:val="3488666A"/>
    <w:rsid w:val="34C6CF80"/>
    <w:rsid w:val="3520B223"/>
    <w:rsid w:val="35AE113B"/>
    <w:rsid w:val="362E1753"/>
    <w:rsid w:val="36596756"/>
    <w:rsid w:val="365BD2E4"/>
    <w:rsid w:val="369EE497"/>
    <w:rsid w:val="37270471"/>
    <w:rsid w:val="376AF1FA"/>
    <w:rsid w:val="37769D4B"/>
    <w:rsid w:val="37B2D179"/>
    <w:rsid w:val="37CDC9DB"/>
    <w:rsid w:val="38FBE45C"/>
    <w:rsid w:val="39BE17F6"/>
    <w:rsid w:val="3A2D215D"/>
    <w:rsid w:val="3A31F0F2"/>
    <w:rsid w:val="3A9D5BF0"/>
    <w:rsid w:val="3AB187A2"/>
    <w:rsid w:val="3B3D782C"/>
    <w:rsid w:val="3B5C5CA4"/>
    <w:rsid w:val="3C3AD1F2"/>
    <w:rsid w:val="3D460C7B"/>
    <w:rsid w:val="3D5DC5C7"/>
    <w:rsid w:val="3D8EF234"/>
    <w:rsid w:val="3DC4BDFA"/>
    <w:rsid w:val="3DD156E4"/>
    <w:rsid w:val="3DE2143C"/>
    <w:rsid w:val="3E1A9DC8"/>
    <w:rsid w:val="3E7EB463"/>
    <w:rsid w:val="3F0B4289"/>
    <w:rsid w:val="3F39D529"/>
    <w:rsid w:val="3F89E4FC"/>
    <w:rsid w:val="3FDAE8B9"/>
    <w:rsid w:val="40150FBE"/>
    <w:rsid w:val="4079EE2A"/>
    <w:rsid w:val="4088870D"/>
    <w:rsid w:val="410DDBFB"/>
    <w:rsid w:val="41296191"/>
    <w:rsid w:val="4139288C"/>
    <w:rsid w:val="41476945"/>
    <w:rsid w:val="417F498D"/>
    <w:rsid w:val="41A14FD2"/>
    <w:rsid w:val="42191B6C"/>
    <w:rsid w:val="4329CB52"/>
    <w:rsid w:val="43489855"/>
    <w:rsid w:val="43819D5E"/>
    <w:rsid w:val="43F5014F"/>
    <w:rsid w:val="4406CA1C"/>
    <w:rsid w:val="443EA817"/>
    <w:rsid w:val="450D172F"/>
    <w:rsid w:val="453C4A2B"/>
    <w:rsid w:val="45AA0BE0"/>
    <w:rsid w:val="45E2D2CA"/>
    <w:rsid w:val="46083342"/>
    <w:rsid w:val="4737A763"/>
    <w:rsid w:val="47D6DEA7"/>
    <w:rsid w:val="48ABAF35"/>
    <w:rsid w:val="48E88FB6"/>
    <w:rsid w:val="491066F3"/>
    <w:rsid w:val="4A12547A"/>
    <w:rsid w:val="4A46F3E2"/>
    <w:rsid w:val="4AD9E701"/>
    <w:rsid w:val="4AF1D870"/>
    <w:rsid w:val="4C12175D"/>
    <w:rsid w:val="4C6A487D"/>
    <w:rsid w:val="4D68D2B4"/>
    <w:rsid w:val="4DF54A3F"/>
    <w:rsid w:val="4E49D61D"/>
    <w:rsid w:val="4EB3E856"/>
    <w:rsid w:val="4EB810B8"/>
    <w:rsid w:val="4F0E766D"/>
    <w:rsid w:val="4F64C226"/>
    <w:rsid w:val="4F7E3A09"/>
    <w:rsid w:val="4F951D80"/>
    <w:rsid w:val="500161AC"/>
    <w:rsid w:val="50340A60"/>
    <w:rsid w:val="50CDB5FA"/>
    <w:rsid w:val="50F52C44"/>
    <w:rsid w:val="5271D217"/>
    <w:rsid w:val="529B9EB4"/>
    <w:rsid w:val="52C12BED"/>
    <w:rsid w:val="535D27E6"/>
    <w:rsid w:val="53AC359B"/>
    <w:rsid w:val="53BD546A"/>
    <w:rsid w:val="54B89DF7"/>
    <w:rsid w:val="5518D56F"/>
    <w:rsid w:val="55B05840"/>
    <w:rsid w:val="55C15E7B"/>
    <w:rsid w:val="55EA2FB1"/>
    <w:rsid w:val="55FF6F1B"/>
    <w:rsid w:val="5602DE27"/>
    <w:rsid w:val="5609B161"/>
    <w:rsid w:val="568B6AB8"/>
    <w:rsid w:val="569A53DA"/>
    <w:rsid w:val="56BFB3DC"/>
    <w:rsid w:val="57120D75"/>
    <w:rsid w:val="576C831C"/>
    <w:rsid w:val="577DB20A"/>
    <w:rsid w:val="5786FC56"/>
    <w:rsid w:val="5791291B"/>
    <w:rsid w:val="57EB3157"/>
    <w:rsid w:val="586DE25D"/>
    <w:rsid w:val="58A78ADC"/>
    <w:rsid w:val="58BD48B3"/>
    <w:rsid w:val="592F00FF"/>
    <w:rsid w:val="59898F2C"/>
    <w:rsid w:val="599F6E24"/>
    <w:rsid w:val="59B6949D"/>
    <w:rsid w:val="59C8CFCE"/>
    <w:rsid w:val="5A81BC4B"/>
    <w:rsid w:val="5A88B028"/>
    <w:rsid w:val="5AE28778"/>
    <w:rsid w:val="5B12A9DD"/>
    <w:rsid w:val="5B1D9AC2"/>
    <w:rsid w:val="5B506946"/>
    <w:rsid w:val="5C7782E5"/>
    <w:rsid w:val="5C996B8A"/>
    <w:rsid w:val="5D0EBADB"/>
    <w:rsid w:val="5D5DC964"/>
    <w:rsid w:val="5DA26CF3"/>
    <w:rsid w:val="5DE0C6D6"/>
    <w:rsid w:val="5E12BC86"/>
    <w:rsid w:val="5E673654"/>
    <w:rsid w:val="5F2B858E"/>
    <w:rsid w:val="5F2C878D"/>
    <w:rsid w:val="5FDF1CB4"/>
    <w:rsid w:val="6021417B"/>
    <w:rsid w:val="60342B16"/>
    <w:rsid w:val="61089EE4"/>
    <w:rsid w:val="61FF4E4E"/>
    <w:rsid w:val="620355B1"/>
    <w:rsid w:val="62E74FA4"/>
    <w:rsid w:val="62F72F4B"/>
    <w:rsid w:val="63261B77"/>
    <w:rsid w:val="63E2749F"/>
    <w:rsid w:val="63F778B4"/>
    <w:rsid w:val="640752C5"/>
    <w:rsid w:val="644EEC8D"/>
    <w:rsid w:val="64BE9E5C"/>
    <w:rsid w:val="64C81390"/>
    <w:rsid w:val="64CEB198"/>
    <w:rsid w:val="657D265B"/>
    <w:rsid w:val="66FB37AB"/>
    <w:rsid w:val="6701188C"/>
    <w:rsid w:val="67143D93"/>
    <w:rsid w:val="68089DE3"/>
    <w:rsid w:val="68BA2913"/>
    <w:rsid w:val="696028FF"/>
    <w:rsid w:val="6A4356B8"/>
    <w:rsid w:val="6AB5FB92"/>
    <w:rsid w:val="6AC83DF0"/>
    <w:rsid w:val="6C028A99"/>
    <w:rsid w:val="6C19B9BD"/>
    <w:rsid w:val="6CC1C826"/>
    <w:rsid w:val="6D2BEDE4"/>
    <w:rsid w:val="6D2F5CF0"/>
    <w:rsid w:val="6D30F8BC"/>
    <w:rsid w:val="6D31A36C"/>
    <w:rsid w:val="6D3A6E96"/>
    <w:rsid w:val="6E268270"/>
    <w:rsid w:val="6E418E25"/>
    <w:rsid w:val="6EDEC897"/>
    <w:rsid w:val="6F2A5A0C"/>
    <w:rsid w:val="6F4A056C"/>
    <w:rsid w:val="6FA9BF07"/>
    <w:rsid w:val="70201802"/>
    <w:rsid w:val="711D337C"/>
    <w:rsid w:val="7159C27C"/>
    <w:rsid w:val="72AF12A3"/>
    <w:rsid w:val="7355A345"/>
    <w:rsid w:val="73E3BA7F"/>
    <w:rsid w:val="75DD6047"/>
    <w:rsid w:val="75EACA46"/>
    <w:rsid w:val="76021632"/>
    <w:rsid w:val="761C328B"/>
    <w:rsid w:val="76514877"/>
    <w:rsid w:val="76767544"/>
    <w:rsid w:val="76F1CBD9"/>
    <w:rsid w:val="7728E31D"/>
    <w:rsid w:val="773DF3A7"/>
    <w:rsid w:val="7877C114"/>
    <w:rsid w:val="79456973"/>
    <w:rsid w:val="795ABDAC"/>
    <w:rsid w:val="798BF84B"/>
    <w:rsid w:val="7A4D635E"/>
    <w:rsid w:val="7ABC2C08"/>
    <w:rsid w:val="7B62FAF5"/>
    <w:rsid w:val="7C3BAE9D"/>
    <w:rsid w:val="7C9FB96F"/>
    <w:rsid w:val="7D12FD1B"/>
    <w:rsid w:val="7D725E97"/>
    <w:rsid w:val="7D8E3FD8"/>
    <w:rsid w:val="7DAB08D3"/>
    <w:rsid w:val="7DD9DE9F"/>
    <w:rsid w:val="7E282A53"/>
    <w:rsid w:val="7E4669A8"/>
    <w:rsid w:val="7E5B5788"/>
    <w:rsid w:val="7E60064B"/>
    <w:rsid w:val="7F54F4BA"/>
    <w:rsid w:val="7F5BEA88"/>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500E21"/>
  <w15:chartTrackingRefBased/>
  <w15:docId w15:val="{0D499504-F727-443C-9736-8C4541633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80" w:lineRule="atLeast"/>
    </w:pPr>
    <w:rPr>
      <w:sz w:val="22"/>
      <w:lang w:eastAsia="zh-CN"/>
    </w:rPr>
  </w:style>
  <w:style w:type="paragraph" w:styleId="Heading1">
    <w:name w:val="heading 1"/>
    <w:basedOn w:val="Normal"/>
    <w:next w:val="Normal"/>
    <w:qFormat/>
    <w:pPr>
      <w:keepNext/>
      <w:numPr>
        <w:numId w:val="1"/>
      </w:numPr>
      <w:spacing w:after="560"/>
      <w:outlineLvl w:val="0"/>
    </w:pPr>
    <w:rPr>
      <w:sz w:val="28"/>
    </w:rPr>
  </w:style>
  <w:style w:type="paragraph" w:styleId="Heading2">
    <w:name w:val="heading 2"/>
    <w:basedOn w:val="Heading1"/>
    <w:next w:val="Normal"/>
    <w:qFormat/>
    <w:pPr>
      <w:numPr>
        <w:ilvl w:val="1"/>
      </w:numPr>
      <w:spacing w:after="280"/>
      <w:outlineLvl w:val="1"/>
    </w:pPr>
    <w:rPr>
      <w:b/>
      <w:sz w:val="22"/>
    </w:rPr>
  </w:style>
  <w:style w:type="paragraph" w:styleId="Heading3">
    <w:name w:val="heading 3"/>
    <w:basedOn w:val="Heading2"/>
    <w:next w:val="Normal"/>
    <w:qFormat/>
    <w:pPr>
      <w:numPr>
        <w:ilvl w:val="2"/>
      </w:numPr>
      <w:spacing w:after="0"/>
      <w:outlineLvl w:val="2"/>
    </w:pPr>
    <w:rPr>
      <w:b w:val="0"/>
      <w:i/>
    </w:rPr>
  </w:style>
  <w:style w:type="paragraph" w:styleId="Heading4">
    <w:name w:val="heading 4"/>
    <w:basedOn w:val="Heading3"/>
    <w:next w:val="Normal"/>
    <w:qFormat/>
    <w:pPr>
      <w:numPr>
        <w:ilvl w:val="3"/>
      </w:numPr>
      <w:outlineLvl w:val="3"/>
    </w:pPr>
  </w:style>
  <w:style w:type="paragraph" w:styleId="Heading5">
    <w:name w:val="heading 5"/>
    <w:basedOn w:val="Normal"/>
    <w:next w:val="Normal"/>
    <w:qFormat/>
    <w:pPr>
      <w:numPr>
        <w:ilvl w:val="4"/>
        <w:numId w:val="1"/>
      </w:numPr>
      <w:spacing w:before="240" w:after="60"/>
      <w:outlineLvl w:val="4"/>
    </w:pPr>
    <w:rPr>
      <w:rFonts w:ascii="Arial" w:hAnsi="Arial"/>
    </w:rPr>
  </w:style>
  <w:style w:type="paragraph" w:styleId="Heading6">
    <w:name w:val="heading 6"/>
    <w:basedOn w:val="Normal"/>
    <w:next w:val="Normal"/>
    <w:qFormat/>
    <w:pPr>
      <w:numPr>
        <w:ilvl w:val="5"/>
        <w:numId w:val="1"/>
      </w:numPr>
      <w:spacing w:before="240" w:after="60"/>
      <w:outlineLvl w:val="5"/>
    </w:pPr>
    <w:rPr>
      <w:rFonts w:ascii="Arial" w:hAnsi="Arial"/>
      <w:i/>
    </w:rPr>
  </w:style>
  <w:style w:type="paragraph" w:styleId="Heading7">
    <w:name w:val="heading 7"/>
    <w:basedOn w:val="Normal"/>
    <w:next w:val="Normal"/>
    <w:qFormat/>
    <w:pPr>
      <w:numPr>
        <w:ilvl w:val="6"/>
        <w:numId w:val="1"/>
      </w:numPr>
      <w:spacing w:before="240" w:after="60"/>
      <w:outlineLvl w:val="6"/>
    </w:pPr>
    <w:rPr>
      <w:rFonts w:ascii="Arial" w:hAnsi="Arial"/>
      <w:sz w:val="20"/>
    </w:rPr>
  </w:style>
  <w:style w:type="paragraph" w:styleId="Heading8">
    <w:name w:val="heading 8"/>
    <w:basedOn w:val="Normal"/>
    <w:next w:val="Normal"/>
    <w:qFormat/>
    <w:pPr>
      <w:numPr>
        <w:ilvl w:val="7"/>
        <w:numId w:val="1"/>
      </w:numPr>
      <w:spacing w:before="240" w:after="60"/>
      <w:outlineLvl w:val="7"/>
    </w:pPr>
    <w:rPr>
      <w:rFonts w:ascii="Arial" w:hAnsi="Arial"/>
      <w:i/>
      <w:sz w:val="20"/>
    </w:rPr>
  </w:style>
  <w:style w:type="paragraph" w:styleId="Heading9">
    <w:name w:val="heading 9"/>
    <w:basedOn w:val="Normal"/>
    <w:next w:val="Normal"/>
    <w:qFormat/>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semiHidden/>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s>
      <w:spacing w:line="280" w:lineRule="atLeast"/>
      <w:ind w:right="-5670"/>
    </w:pPr>
    <w:rPr>
      <w:rFonts w:ascii="Courier New" w:hAnsi="Courier New"/>
    </w:rPr>
  </w:style>
  <w:style w:type="paragraph" w:styleId="Header">
    <w:name w:val="header"/>
    <w:basedOn w:val="Normal"/>
    <w:pPr>
      <w:spacing w:before="60"/>
    </w:pPr>
    <w:rPr>
      <w:rFonts w:ascii="Univers" w:hAnsi="Univers"/>
      <w:sz w:val="28"/>
    </w:rPr>
  </w:style>
  <w:style w:type="paragraph" w:customStyle="1" w:styleId="Opsomming1">
    <w:name w:val="Opsomming 1"/>
    <w:basedOn w:val="Normal"/>
    <w:pPr>
      <w:ind w:left="284" w:hanging="284"/>
    </w:pPr>
  </w:style>
  <w:style w:type="paragraph" w:customStyle="1" w:styleId="Opsomming2">
    <w:name w:val="Opsomming 2"/>
    <w:basedOn w:val="Opsomming1"/>
  </w:style>
  <w:style w:type="paragraph" w:customStyle="1" w:styleId="Opsomming3">
    <w:name w:val="Opsomming 3"/>
    <w:basedOn w:val="Opsomming2"/>
  </w:style>
  <w:style w:type="paragraph" w:customStyle="1" w:styleId="OpsommingLetter">
    <w:name w:val="Opsomming Letter"/>
    <w:basedOn w:val="Opsomming1"/>
    <w:pPr>
      <w:ind w:left="283" w:hanging="283"/>
    </w:pPr>
  </w:style>
  <w:style w:type="paragraph" w:customStyle="1" w:styleId="OpsommingNummer">
    <w:name w:val="Opsomming Nummer"/>
    <w:basedOn w:val="Opsomming1"/>
  </w:style>
  <w:style w:type="paragraph" w:customStyle="1" w:styleId="OpsommingStreep">
    <w:name w:val="Opsomming Streep"/>
    <w:basedOn w:val="Normal"/>
    <w:pPr>
      <w:ind w:left="283" w:hanging="283"/>
    </w:pPr>
  </w:style>
  <w:style w:type="character" w:styleId="PageNumber">
    <w:name w:val="page number"/>
    <w:rPr>
      <w:rFonts w:ascii="Univers" w:hAnsi="Univers"/>
      <w:color w:val="auto"/>
      <w:spacing w:val="0"/>
      <w:kern w:val="0"/>
      <w:position w:val="0"/>
      <w:sz w:val="14"/>
      <w:u w:val="none"/>
      <w:vertAlign w:val="baseline"/>
    </w:rPr>
  </w:style>
  <w:style w:type="paragraph" w:customStyle="1" w:styleId="Tabelkopregel">
    <w:name w:val="Tabel kopregel"/>
    <w:basedOn w:val="Normal"/>
    <w:pPr>
      <w:spacing w:before="240" w:after="240"/>
    </w:pPr>
  </w:style>
  <w:style w:type="paragraph" w:customStyle="1" w:styleId="Vastetekst">
    <w:name w:val="Vaste tekst"/>
    <w:basedOn w:val="Footer"/>
    <w:next w:val="Normal"/>
  </w:style>
  <w:style w:type="paragraph" w:styleId="Footer">
    <w:name w:val="footer"/>
    <w:basedOn w:val="Normal"/>
    <w:pPr>
      <w:tabs>
        <w:tab w:val="center" w:pos="4252"/>
        <w:tab w:val="right" w:pos="8504"/>
      </w:tabs>
      <w:spacing w:after="360" w:line="240" w:lineRule="exact"/>
      <w:ind w:left="3969"/>
    </w:pPr>
    <w:rPr>
      <w:rFonts w:ascii="Univers" w:hAnsi="Univers"/>
      <w:sz w:val="14"/>
    </w:rPr>
  </w:style>
  <w:style w:type="paragraph" w:styleId="BalloonText">
    <w:name w:val="Balloon Text"/>
    <w:basedOn w:val="Normal"/>
    <w:semiHidden/>
    <w:rPr>
      <w:rFonts w:ascii="Tahoma" w:hAnsi="Tahoma"/>
      <w:sz w:val="16"/>
      <w:szCs w:val="16"/>
    </w:rPr>
  </w:style>
  <w:style w:type="paragraph" w:customStyle="1" w:styleId="StandaardAnderhalf">
    <w:name w:val="Standaard Anderhalf"/>
    <w:basedOn w:val="Normal"/>
    <w:pPr>
      <w:spacing w:line="420" w:lineRule="exact"/>
    </w:pPr>
  </w:style>
  <w:style w:type="paragraph" w:styleId="DocumentMap">
    <w:name w:val="Document Map"/>
    <w:basedOn w:val="Normal"/>
    <w:semiHidden/>
    <w:pPr>
      <w:shd w:val="clear" w:color="auto" w:fill="000080"/>
    </w:pPr>
    <w:rPr>
      <w:rFonts w:ascii="Tahoma" w:hAnsi="Tahoma" w:cs="Tahoma"/>
      <w:sz w:val="20"/>
    </w:rPr>
  </w:style>
  <w:style w:type="character" w:styleId="Hyperlink">
    <w:name w:val="Hyperlink"/>
    <w:rPr>
      <w:color w:val="0000FF"/>
      <w:u w:val="single"/>
    </w:rPr>
  </w:style>
  <w:style w:type="character" w:styleId="FollowedHyperlink">
    <w:name w:val="FollowedHyperlink"/>
    <w:rPr>
      <w:color w:val="800080"/>
      <w:u w:val="single"/>
    </w:rPr>
  </w:style>
  <w:style w:type="paragraph" w:styleId="FootnoteText">
    <w:name w:val="footnote text"/>
    <w:basedOn w:val="Normal"/>
    <w:link w:val="FootnoteTextChar"/>
    <w:semiHidden/>
    <w:rPr>
      <w:sz w:val="20"/>
    </w:rPr>
  </w:style>
  <w:style w:type="character" w:styleId="FootnoteReference">
    <w:name w:val="footnote reference"/>
    <w:semiHidden/>
    <w:rPr>
      <w:vertAlign w:val="superscript"/>
    </w:rPr>
  </w:style>
  <w:style w:type="paragraph" w:styleId="ListParagraph">
    <w:name w:val="List Paragraph"/>
    <w:basedOn w:val="Normal"/>
    <w:uiPriority w:val="34"/>
    <w:qFormat/>
    <w:rsid w:val="000D01B7"/>
    <w:pPr>
      <w:ind w:left="720"/>
    </w:pPr>
  </w:style>
  <w:style w:type="character" w:styleId="CommentReference">
    <w:name w:val="annotation reference"/>
    <w:rsid w:val="00A57FAE"/>
    <w:rPr>
      <w:sz w:val="16"/>
      <w:szCs w:val="16"/>
    </w:rPr>
  </w:style>
  <w:style w:type="paragraph" w:styleId="CommentText">
    <w:name w:val="annotation text"/>
    <w:basedOn w:val="Normal"/>
    <w:link w:val="CommentTextChar"/>
    <w:rsid w:val="00A57FAE"/>
    <w:rPr>
      <w:sz w:val="20"/>
    </w:rPr>
  </w:style>
  <w:style w:type="character" w:customStyle="1" w:styleId="CommentTextChar">
    <w:name w:val="Comment Text Char"/>
    <w:link w:val="CommentText"/>
    <w:rsid w:val="00A57FAE"/>
    <w:rPr>
      <w:lang w:eastAsia="zh-CN"/>
    </w:rPr>
  </w:style>
  <w:style w:type="paragraph" w:styleId="CommentSubject">
    <w:name w:val="annotation subject"/>
    <w:basedOn w:val="CommentText"/>
    <w:next w:val="CommentText"/>
    <w:link w:val="CommentSubjectChar"/>
    <w:rsid w:val="00A57FAE"/>
    <w:rPr>
      <w:b/>
      <w:bCs/>
    </w:rPr>
  </w:style>
  <w:style w:type="character" w:customStyle="1" w:styleId="CommentSubjectChar">
    <w:name w:val="Comment Subject Char"/>
    <w:link w:val="CommentSubject"/>
    <w:rsid w:val="00A57FAE"/>
    <w:rPr>
      <w:b/>
      <w:bCs/>
      <w:lang w:eastAsia="zh-CN"/>
    </w:rPr>
  </w:style>
  <w:style w:type="paragraph" w:customStyle="1" w:styleId="Spreekpunten">
    <w:name w:val="Spreekpunten"/>
    <w:basedOn w:val="Normal"/>
    <w:rsid w:val="00A34501"/>
    <w:pPr>
      <w:numPr>
        <w:numId w:val="23"/>
      </w:numPr>
      <w:spacing w:line="360" w:lineRule="auto"/>
    </w:pPr>
    <w:rPr>
      <w:rFonts w:eastAsia="MS Mincho"/>
      <w:bCs/>
      <w:sz w:val="28"/>
      <w:lang w:val="en-GB" w:eastAsia="nl-NL"/>
    </w:rPr>
  </w:style>
  <w:style w:type="character" w:styleId="UnresolvedMention">
    <w:name w:val="Unresolved Mention"/>
    <w:uiPriority w:val="99"/>
    <w:semiHidden/>
    <w:unhideWhenUsed/>
    <w:rsid w:val="00292A51"/>
    <w:rPr>
      <w:color w:val="605E5C"/>
      <w:shd w:val="clear" w:color="auto" w:fill="E1DFDD"/>
    </w:rPr>
  </w:style>
  <w:style w:type="character" w:customStyle="1" w:styleId="FootnoteTextChar">
    <w:name w:val="Footnote Text Char"/>
    <w:link w:val="FootnoteText"/>
    <w:semiHidden/>
    <w:rsid w:val="00292A51"/>
  </w:style>
  <w:style w:type="paragraph" w:styleId="Revision">
    <w:name w:val="Revision"/>
    <w:hidden/>
    <w:uiPriority w:val="99"/>
    <w:semiHidden/>
    <w:rsid w:val="00373818"/>
    <w:rPr>
      <w:sz w:val="22"/>
      <w:lang w:eastAsia="zh-CN"/>
    </w:rPr>
  </w:style>
  <w:style w:type="character" w:customStyle="1" w:styleId="normaltextrun">
    <w:name w:val="normaltextrun"/>
    <w:basedOn w:val="DefaultParagraphFont"/>
    <w:rsid w:val="000F68E4"/>
  </w:style>
  <w:style w:type="paragraph" w:styleId="ListBullet">
    <w:name w:val="List Bullet"/>
    <w:basedOn w:val="Normal"/>
    <w:rsid w:val="00D928DC"/>
    <w:pPr>
      <w:numPr>
        <w:numId w:val="39"/>
      </w:numPr>
      <w:contextualSpacing/>
    </w:pPr>
  </w:style>
  <w:style w:type="character" w:styleId="Mention">
    <w:name w:val="Mention"/>
    <w:basedOn w:val="DefaultParagraphFont"/>
    <w:uiPriority w:val="99"/>
    <w:unhideWhenUsed/>
    <w:rsid w:val="00081FE2"/>
    <w:rPr>
      <w:color w:val="2B579A"/>
      <w:shd w:val="clear" w:color="auto" w:fill="E1DFDD"/>
    </w:rPr>
  </w:style>
  <w:style w:type="paragraph" w:styleId="NoSpacing">
    <w:name w:val="No Spacing"/>
    <w:uiPriority w:val="1"/>
    <w:qFormat/>
    <w:rsid w:val="00B554F1"/>
    <w:rPr>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94535">
      <w:bodyDiv w:val="1"/>
      <w:marLeft w:val="0"/>
      <w:marRight w:val="0"/>
      <w:marTop w:val="0"/>
      <w:marBottom w:val="0"/>
      <w:divBdr>
        <w:top w:val="none" w:sz="0" w:space="0" w:color="auto"/>
        <w:left w:val="none" w:sz="0" w:space="0" w:color="auto"/>
        <w:bottom w:val="none" w:sz="0" w:space="0" w:color="auto"/>
        <w:right w:val="none" w:sz="0" w:space="0" w:color="auto"/>
      </w:divBdr>
    </w:div>
    <w:div w:id="380137621">
      <w:bodyDiv w:val="1"/>
      <w:marLeft w:val="0"/>
      <w:marRight w:val="0"/>
      <w:marTop w:val="0"/>
      <w:marBottom w:val="0"/>
      <w:divBdr>
        <w:top w:val="none" w:sz="0" w:space="0" w:color="auto"/>
        <w:left w:val="none" w:sz="0" w:space="0" w:color="auto"/>
        <w:bottom w:val="none" w:sz="0" w:space="0" w:color="auto"/>
        <w:right w:val="none" w:sz="0" w:space="0" w:color="auto"/>
      </w:divBdr>
    </w:div>
    <w:div w:id="457994221">
      <w:bodyDiv w:val="1"/>
      <w:marLeft w:val="0"/>
      <w:marRight w:val="0"/>
      <w:marTop w:val="0"/>
      <w:marBottom w:val="0"/>
      <w:divBdr>
        <w:top w:val="none" w:sz="0" w:space="0" w:color="auto"/>
        <w:left w:val="none" w:sz="0" w:space="0" w:color="auto"/>
        <w:bottom w:val="none" w:sz="0" w:space="0" w:color="auto"/>
        <w:right w:val="none" w:sz="0" w:space="0" w:color="auto"/>
      </w:divBdr>
    </w:div>
    <w:div w:id="664554844">
      <w:bodyDiv w:val="1"/>
      <w:marLeft w:val="0"/>
      <w:marRight w:val="0"/>
      <w:marTop w:val="0"/>
      <w:marBottom w:val="0"/>
      <w:divBdr>
        <w:top w:val="none" w:sz="0" w:space="0" w:color="auto"/>
        <w:left w:val="none" w:sz="0" w:space="0" w:color="auto"/>
        <w:bottom w:val="none" w:sz="0" w:space="0" w:color="auto"/>
        <w:right w:val="none" w:sz="0" w:space="0" w:color="auto"/>
      </w:divBdr>
    </w:div>
    <w:div w:id="744766700">
      <w:bodyDiv w:val="1"/>
      <w:marLeft w:val="0"/>
      <w:marRight w:val="0"/>
      <w:marTop w:val="0"/>
      <w:marBottom w:val="0"/>
      <w:divBdr>
        <w:top w:val="none" w:sz="0" w:space="0" w:color="auto"/>
        <w:left w:val="none" w:sz="0" w:space="0" w:color="auto"/>
        <w:bottom w:val="none" w:sz="0" w:space="0" w:color="auto"/>
        <w:right w:val="none" w:sz="0" w:space="0" w:color="auto"/>
      </w:divBdr>
    </w:div>
    <w:div w:id="757021736">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26627565">
      <w:bodyDiv w:val="1"/>
      <w:marLeft w:val="0"/>
      <w:marRight w:val="0"/>
      <w:marTop w:val="0"/>
      <w:marBottom w:val="0"/>
      <w:divBdr>
        <w:top w:val="none" w:sz="0" w:space="0" w:color="auto"/>
        <w:left w:val="none" w:sz="0" w:space="0" w:color="auto"/>
        <w:bottom w:val="none" w:sz="0" w:space="0" w:color="auto"/>
        <w:right w:val="none" w:sz="0" w:space="0" w:color="auto"/>
      </w:divBdr>
    </w:div>
    <w:div w:id="828865825">
      <w:bodyDiv w:val="1"/>
      <w:marLeft w:val="0"/>
      <w:marRight w:val="0"/>
      <w:marTop w:val="0"/>
      <w:marBottom w:val="0"/>
      <w:divBdr>
        <w:top w:val="none" w:sz="0" w:space="0" w:color="auto"/>
        <w:left w:val="none" w:sz="0" w:space="0" w:color="auto"/>
        <w:bottom w:val="none" w:sz="0" w:space="0" w:color="auto"/>
        <w:right w:val="none" w:sz="0" w:space="0" w:color="auto"/>
      </w:divBdr>
    </w:div>
    <w:div w:id="1157577005">
      <w:bodyDiv w:val="1"/>
      <w:marLeft w:val="0"/>
      <w:marRight w:val="0"/>
      <w:marTop w:val="0"/>
      <w:marBottom w:val="0"/>
      <w:divBdr>
        <w:top w:val="none" w:sz="0" w:space="0" w:color="auto"/>
        <w:left w:val="none" w:sz="0" w:space="0" w:color="auto"/>
        <w:bottom w:val="none" w:sz="0" w:space="0" w:color="auto"/>
        <w:right w:val="none" w:sz="0" w:space="0" w:color="auto"/>
      </w:divBdr>
    </w:div>
    <w:div w:id="1174226310">
      <w:bodyDiv w:val="1"/>
      <w:marLeft w:val="0"/>
      <w:marRight w:val="0"/>
      <w:marTop w:val="0"/>
      <w:marBottom w:val="0"/>
      <w:divBdr>
        <w:top w:val="none" w:sz="0" w:space="0" w:color="auto"/>
        <w:left w:val="none" w:sz="0" w:space="0" w:color="auto"/>
        <w:bottom w:val="none" w:sz="0" w:space="0" w:color="auto"/>
        <w:right w:val="none" w:sz="0" w:space="0" w:color="auto"/>
      </w:divBdr>
    </w:div>
    <w:div w:id="1477987003">
      <w:bodyDiv w:val="1"/>
      <w:marLeft w:val="0"/>
      <w:marRight w:val="0"/>
      <w:marTop w:val="0"/>
      <w:marBottom w:val="0"/>
      <w:divBdr>
        <w:top w:val="none" w:sz="0" w:space="0" w:color="auto"/>
        <w:left w:val="none" w:sz="0" w:space="0" w:color="auto"/>
        <w:bottom w:val="none" w:sz="0" w:space="0" w:color="auto"/>
        <w:right w:val="none" w:sz="0" w:space="0" w:color="auto"/>
      </w:divBdr>
    </w:div>
    <w:div w:id="1625651992">
      <w:bodyDiv w:val="1"/>
      <w:marLeft w:val="0"/>
      <w:marRight w:val="0"/>
      <w:marTop w:val="0"/>
      <w:marBottom w:val="0"/>
      <w:divBdr>
        <w:top w:val="none" w:sz="0" w:space="0" w:color="auto"/>
        <w:left w:val="none" w:sz="0" w:space="0" w:color="auto"/>
        <w:bottom w:val="none" w:sz="0" w:space="0" w:color="auto"/>
        <w:right w:val="none" w:sz="0" w:space="0" w:color="auto"/>
      </w:divBdr>
    </w:div>
    <w:div w:id="1866095957">
      <w:bodyDiv w:val="1"/>
      <w:marLeft w:val="0"/>
      <w:marRight w:val="0"/>
      <w:marTop w:val="0"/>
      <w:marBottom w:val="0"/>
      <w:divBdr>
        <w:top w:val="none" w:sz="0" w:space="0" w:color="auto"/>
        <w:left w:val="none" w:sz="0" w:space="0" w:color="auto"/>
        <w:bottom w:val="none" w:sz="0" w:space="0" w:color="auto"/>
        <w:right w:val="none" w:sz="0" w:space="0" w:color="auto"/>
      </w:divBdr>
    </w:div>
    <w:div w:id="2060547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yperlink" Target="https://eur-lex.europa.eu/legal-content/EN/TXT/?uri=CELEX%3A52025DC0530&amp;qid=1753972822207" TargetMode="External" Id="rId13"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footnotes" Target="footnotes.xml" Id="rId11" /><Relationship Type="http://schemas.openxmlformats.org/officeDocument/2006/relationships/footer" Target="footer2.xml" Id="rId15" /><Relationship Type="http://schemas.openxmlformats.org/officeDocument/2006/relationships/webSettings" Target="webSettings.xml" Id="rId10" /><Relationship Type="http://schemas.openxmlformats.org/officeDocument/2006/relationships/settings" Target="settings.xml" Id="rId9" /><Relationship Type="http://schemas.openxmlformats.org/officeDocument/2006/relationships/footer" Target="footer1.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ec.europa.eu/info/law/better-regulation/have-your-say/initiatives/14549-EU-emissions-trading-system-for-maritime-aviation-and-stationary-installations-and-market-stability-reserve-review/F3572994_en" TargetMode="External"/><Relationship Id="rId2" Type="http://schemas.openxmlformats.org/officeDocument/2006/relationships/hyperlink" Target="https://health.ec.europa.eu/health-emergency-preparedness-and-response-hera/overview/critical-medicines-alliance_en" TargetMode="External"/><Relationship Id="rId1" Type="http://schemas.openxmlformats.org/officeDocument/2006/relationships/hyperlink" Target="https://www.cbs.nl/nl-nl/dossier/dossier-broeikasgassen/welke-sectoren-stoten-broeikasgassen-uit-" TargetMode="External"/><Relationship Id="rId4" Type="http://schemas.openxmlformats.org/officeDocument/2006/relationships/hyperlink" Target="https://www.consilium.europa.eu/en/meetings/env/2024/06/17/"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acd88dc2-102c-473d-aa45-6161565a3617}" enabled="1" method="Standard" siteId="{1321633e-f6b9-44e2-a44f-59b9d264ecb7}" removed="0"/>
</clbl:labelList>
</file>

<file path=docProps/app.xml><?xml version="1.0" encoding="utf-8"?>
<ap:Properties xmlns:vt="http://schemas.openxmlformats.org/officeDocument/2006/docPropsVTypes" xmlns:ap="http://schemas.openxmlformats.org/officeDocument/2006/extended-properties">
  <ap:Pages>12</ap:Pages>
  <ap:Words>4670</ap:Words>
  <ap:Characters>28980</ap:Characters>
  <ap:DocSecurity>0</ap:DocSecurity>
  <ap:Lines>241</ap:Lines>
  <ap:Paragraphs>67</ap:Paragraphs>
  <ap:ScaleCrop>false</ap:ScaleCrop>
  <ap:LinksUpToDate>false</ap:LinksUpToDate>
  <ap:CharactersWithSpaces>33583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2025-09-10T12:44:00.0000000Z</lastPrinted>
  <dcterms:created xsi:type="dcterms:W3CDTF">2025-09-10T12:43:00.0000000Z</dcterms:created>
  <dcterms:modified xsi:type="dcterms:W3CDTF">2025-09-12T14:00:00.0000000Z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ga509c7afcac4f5cb939db754ffece25">
    <vt:lpwstr>UNCLASSIFIED|d92c6340-bc14-4cb2-a9a6-6deda93c493b</vt:lpwstr>
  </property>
  <property fmtid="{D5CDD505-2E9C-101B-9397-08002B2CF9AE}" pid="3" name="nf4434b3fae540fe847866e45672fb3a">
    <vt:lpwstr>European cooperation (non-EU) general|32cb20cb-36c6-4655-9372-780089c6b4ef</vt:lpwstr>
  </property>
  <property fmtid="{D5CDD505-2E9C-101B-9397-08002B2CF9AE}" pid="4" name="a45510494d1a450e9cee6905c7ad8168">
    <vt:lpwstr>Not applicable|ec01d90b-9d0f-4785-8785-e1ea615196bf</vt:lpwstr>
  </property>
  <property fmtid="{D5CDD505-2E9C-101B-9397-08002B2CF9AE}" pid="5" name="ge4bd621e46a403e97baf402a410deb5">
    <vt:lpwstr>EU|4d8f9873-61b3-4ee5-b6f7-0bb00c6df5e8</vt:lpwstr>
  </property>
  <property fmtid="{D5CDD505-2E9C-101B-9397-08002B2CF9AE}" pid="6" name="TaxCatchAll">
    <vt:lpwstr>4;#UNCLASSIFIED|d92c6340-bc14-4cb2-a9a6-6deda93c493b;#3;#EU|4d8f9873-61b3-4ee5-b6f7-0bb00c6df5e8;#2;#Not applicable|ec01d90b-9d0f-4785-8785-e1ea615196bf;#1;#European cooperation (non-EU) general|32cb20cb-36c6-4655-9372-780089c6b4ef</vt:lpwstr>
  </property>
  <property fmtid="{D5CDD505-2E9C-101B-9397-08002B2CF9AE}" pid="7" name="BZ_Forum">
    <vt:lpwstr>3;#EU|4d8f9873-61b3-4ee5-b6f7-0bb00c6df5e8</vt:lpwstr>
  </property>
  <property fmtid="{D5CDD505-2E9C-101B-9397-08002B2CF9AE}" pid="8" name="BZ_Classification">
    <vt:lpwstr>4;#UNCLASSIFIED|d92c6340-bc14-4cb2-a9a6-6deda93c493b</vt:lpwstr>
  </property>
  <property fmtid="{D5CDD505-2E9C-101B-9397-08002B2CF9AE}" pid="9" name="BZ_Country">
    <vt:lpwstr>2;#Not applicable|ec01d90b-9d0f-4785-8785-e1ea615196bf</vt:lpwstr>
  </property>
  <property fmtid="{D5CDD505-2E9C-101B-9397-08002B2CF9AE}" pid="10" name="BZ_Theme">
    <vt:lpwstr>1;#European cooperation (non-EU) general|32cb20cb-36c6-4655-9372-780089c6b4ef</vt:lpwstr>
  </property>
  <property fmtid="{D5CDD505-2E9C-101B-9397-08002B2CF9AE}" pid="11" name="ContentTypeId">
    <vt:lpwstr>0x0101009C7CE436063D44E9BE7DC0259EF7C32F006EB9F9836A634AE58B6169785FD3936F00EC4ABB6A373EEC4B8476FB85D9BD4979</vt:lpwstr>
  </property>
  <property fmtid="{D5CDD505-2E9C-101B-9397-08002B2CF9AE}" pid="12" name="MSIP_Label_acd88dc2-102c-473d-aa45-6161565a3617_Enabled">
    <vt:lpwstr>true</vt:lpwstr>
  </property>
  <property fmtid="{D5CDD505-2E9C-101B-9397-08002B2CF9AE}" pid="13" name="MSIP_Label_acd88dc2-102c-473d-aa45-6161565a3617_SetDate">
    <vt:lpwstr>2024-01-12T10:13:34Z</vt:lpwstr>
  </property>
  <property fmtid="{D5CDD505-2E9C-101B-9397-08002B2CF9AE}" pid="14" name="MSIP_Label_acd88dc2-102c-473d-aa45-6161565a3617_Method">
    <vt:lpwstr>Standard</vt:lpwstr>
  </property>
  <property fmtid="{D5CDD505-2E9C-101B-9397-08002B2CF9AE}" pid="15" name="MSIP_Label_acd88dc2-102c-473d-aa45-6161565a3617_Name">
    <vt:lpwstr>Sublabel-Interngebruik-onversleuteld</vt:lpwstr>
  </property>
  <property fmtid="{D5CDD505-2E9C-101B-9397-08002B2CF9AE}" pid="16" name="MSIP_Label_acd88dc2-102c-473d-aa45-6161565a3617_SiteId">
    <vt:lpwstr>1321633e-f6b9-44e2-a44f-59b9d264ecb7</vt:lpwstr>
  </property>
  <property fmtid="{D5CDD505-2E9C-101B-9397-08002B2CF9AE}" pid="17" name="MSIP_Label_acd88dc2-102c-473d-aa45-6161565a3617_ActionId">
    <vt:lpwstr>38dbc595-f7fc-4f44-8dde-c80f0210cc38</vt:lpwstr>
  </property>
  <property fmtid="{D5CDD505-2E9C-101B-9397-08002B2CF9AE}" pid="18" name="MSIP_Label_acd88dc2-102c-473d-aa45-6161565a3617_ContentBits">
    <vt:lpwstr>0</vt:lpwstr>
  </property>
  <property fmtid="{D5CDD505-2E9C-101B-9397-08002B2CF9AE}" pid="19" name="MediaServiceImageTags">
    <vt:lpwstr/>
  </property>
  <property fmtid="{D5CDD505-2E9C-101B-9397-08002B2CF9AE}" pid="20" name="BZForumOrganisation">
    <vt:lpwstr>2;#Not applicable|0049e722-bfb1-4a3f-9d08-af7366a9af40</vt:lpwstr>
  </property>
  <property fmtid="{D5CDD505-2E9C-101B-9397-08002B2CF9AE}" pid="21" name="BZTheme">
    <vt:lpwstr>1;#Not applicable|ec01d90b-9d0f-4785-8785-e1ea615196bf</vt:lpwstr>
  </property>
  <property fmtid="{D5CDD505-2E9C-101B-9397-08002B2CF9AE}" pid="22" name="BZCountryState">
    <vt:lpwstr>3;#Not applicable|ec01d90b-9d0f-4785-8785-e1ea615196bf</vt:lpwstr>
  </property>
  <property fmtid="{D5CDD505-2E9C-101B-9397-08002B2CF9AE}" pid="23" name="BZMarking">
    <vt:lpwstr>5;#NO MARKING|0a4eb9ae-69eb-4d9e-b573-43ab99ef8592</vt:lpwstr>
  </property>
  <property fmtid="{D5CDD505-2E9C-101B-9397-08002B2CF9AE}" pid="24" name="_dlc_DocIdItemGuid">
    <vt:lpwstr>4615d13f-88d9-4527-a490-f250b83809c9</vt:lpwstr>
  </property>
  <property fmtid="{D5CDD505-2E9C-101B-9397-08002B2CF9AE}" pid="25" name="BZClassification">
    <vt:lpwstr>4;#UNCLASSIFIED (U)|284e6a62-15ab-4017-be27-a1e965f4e940</vt:lpwstr>
  </property>
</Properties>
</file>