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618B" w:rsidR="004C5C3D" w:rsidP="004C5C3D" w:rsidRDefault="004F5B78" w14:paraId="6A5D8BB5" w14:textId="705F3E24">
      <w:pPr>
        <w:rPr>
          <w:rFonts w:ascii="Verdana" w:hAnsi="Verdana"/>
          <w:b/>
          <w:bCs/>
          <w:sz w:val="18"/>
          <w:szCs w:val="18"/>
        </w:rPr>
      </w:pPr>
      <w:r w:rsidRPr="00B0618B">
        <w:rPr>
          <w:rFonts w:ascii="Verdana" w:hAnsi="Verdana"/>
          <w:b/>
          <w:bCs/>
          <w:sz w:val="18"/>
          <w:szCs w:val="18"/>
        </w:rPr>
        <w:t xml:space="preserve">Bijlage 1 </w:t>
      </w:r>
      <w:r w:rsidR="00DD1221">
        <w:rPr>
          <w:rFonts w:ascii="Verdana" w:hAnsi="Verdana"/>
          <w:b/>
          <w:bCs/>
          <w:sz w:val="18"/>
          <w:szCs w:val="18"/>
        </w:rPr>
        <w:t>Onderliggende evaluaties/recente onderzoeken</w:t>
      </w:r>
    </w:p>
    <w:p w:rsidRPr="00B0618B" w:rsidR="00494FF9" w:rsidP="004C5C3D" w:rsidRDefault="00494FF9" w14:paraId="332F6422" w14:textId="6A914C32">
      <w:p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De hieronder genoemde evaluaties en onderzoeken maken onder andere onderdeel uit van de Strategische Evaluatie</w:t>
      </w:r>
      <w:r w:rsidR="001941B9">
        <w:rPr>
          <w:rFonts w:ascii="Verdana" w:hAnsi="Verdana"/>
          <w:sz w:val="18"/>
          <w:szCs w:val="18"/>
        </w:rPr>
        <w:t>a</w:t>
      </w:r>
      <w:r w:rsidRPr="00B0618B">
        <w:rPr>
          <w:rFonts w:ascii="Verdana" w:hAnsi="Verdana"/>
          <w:sz w:val="18"/>
          <w:szCs w:val="18"/>
        </w:rPr>
        <w:t xml:space="preserve">genda, aangevuld met andere (externe) relevante onderzoeken. Deze lijst </w:t>
      </w:r>
      <w:r w:rsidR="00DD1221">
        <w:rPr>
          <w:rFonts w:ascii="Verdana" w:hAnsi="Verdana"/>
          <w:sz w:val="18"/>
          <w:szCs w:val="18"/>
        </w:rPr>
        <w:t xml:space="preserve">strekt van medio 2018 tot en met medio 2025. De lijst is </w:t>
      </w:r>
      <w:r w:rsidRPr="00B0618B">
        <w:rPr>
          <w:rFonts w:ascii="Verdana" w:hAnsi="Verdana"/>
          <w:sz w:val="18"/>
          <w:szCs w:val="18"/>
        </w:rPr>
        <w:t>niet uitputtend en wordt mogelijk nog aangevuld tijdens de uitvoering van de periodieke rapportage.</w:t>
      </w:r>
    </w:p>
    <w:p w:rsidRPr="00A64E40" w:rsidR="00494FF9" w:rsidP="00494FF9" w:rsidRDefault="005B0F25" w14:paraId="6007499C" w14:textId="127F1EBE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 xml:space="preserve">Eindrapportage </w:t>
      </w:r>
      <w:r w:rsidRPr="00A64E40" w:rsidR="00494FF9">
        <w:rPr>
          <w:rFonts w:ascii="Verdana" w:hAnsi="Verdana"/>
          <w:sz w:val="18"/>
          <w:szCs w:val="18"/>
        </w:rPr>
        <w:t>Beveiligde zorg voor asielzoekers. Zoektocht naar alternatieven voor CTP Veldzicht (</w:t>
      </w:r>
      <w:hyperlink w:history="1" r:id="rId5">
        <w:r w:rsidRPr="00A64E40">
          <w:rPr>
            <w:rStyle w:val="Hyperlink"/>
            <w:rFonts w:ascii="Verdana" w:hAnsi="Verdana"/>
            <w:sz w:val="18"/>
            <w:szCs w:val="18"/>
          </w:rPr>
          <w:t xml:space="preserve">Significant, </w:t>
        </w:r>
        <w:r w:rsidRPr="00A64E40" w:rsidR="00494FF9">
          <w:rPr>
            <w:rStyle w:val="Hyperlink"/>
            <w:rFonts w:ascii="Verdana" w:hAnsi="Verdana"/>
            <w:sz w:val="18"/>
            <w:szCs w:val="18"/>
          </w:rPr>
          <w:t>2025</w:t>
        </w:r>
      </w:hyperlink>
      <w:r w:rsidRPr="00A64E40" w:rsidR="00494FF9">
        <w:rPr>
          <w:rFonts w:ascii="Verdana" w:hAnsi="Verdana"/>
          <w:sz w:val="18"/>
          <w:szCs w:val="18"/>
        </w:rPr>
        <w:t>).</w:t>
      </w:r>
    </w:p>
    <w:p w:rsidRPr="00A64E40" w:rsidR="005B0F25" w:rsidP="00494FF9" w:rsidRDefault="005B0F25" w14:paraId="7AB4D00B" w14:textId="0716419C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 xml:space="preserve">Toekomstverkenning sector Forensische Zorg </w:t>
      </w:r>
      <w:hyperlink w:history="1" r:id="rId6">
        <w:r w:rsidRPr="00A64E40">
          <w:rPr>
            <w:rStyle w:val="Hyperlink"/>
            <w:rFonts w:ascii="Verdana" w:hAnsi="Verdana"/>
            <w:sz w:val="18"/>
            <w:szCs w:val="18"/>
          </w:rPr>
          <w:t>(De Ruijter strategie</w:t>
        </w:r>
        <w:r w:rsidRPr="00A64E40" w:rsidR="00B11082">
          <w:rPr>
            <w:rStyle w:val="Hyperlink"/>
            <w:rFonts w:ascii="Verdana" w:hAnsi="Verdana"/>
            <w:sz w:val="18"/>
            <w:szCs w:val="18"/>
          </w:rPr>
          <w:t>,</w:t>
        </w:r>
        <w:r w:rsidRPr="00A64E40">
          <w:rPr>
            <w:rStyle w:val="Hyperlink"/>
            <w:rFonts w:ascii="Verdana" w:hAnsi="Verdana"/>
            <w:sz w:val="18"/>
            <w:szCs w:val="18"/>
          </w:rPr>
          <w:t xml:space="preserve"> 2024).</w:t>
        </w:r>
      </w:hyperlink>
    </w:p>
    <w:p w:rsidRPr="00A64E40" w:rsidR="00BD2783" w:rsidP="00BD2783" w:rsidRDefault="00BD2783" w14:paraId="1EFDCB31" w14:textId="7E64D911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>Rapportage bekostiging coördinatiekosten levensloopaanpak (</w:t>
      </w:r>
      <w:hyperlink w:history="1" r:id="rId7">
        <w:r w:rsidRPr="00A64E40">
          <w:rPr>
            <w:rStyle w:val="Hyperlink"/>
            <w:rFonts w:ascii="Verdana" w:hAnsi="Verdana"/>
            <w:sz w:val="18"/>
            <w:szCs w:val="18"/>
          </w:rPr>
          <w:t>AEF, 2024</w:t>
        </w:r>
      </w:hyperlink>
      <w:r w:rsidRPr="00A64E40">
        <w:rPr>
          <w:rFonts w:ascii="Verdana" w:hAnsi="Verdana"/>
          <w:sz w:val="18"/>
          <w:szCs w:val="18"/>
        </w:rPr>
        <w:t>)</w:t>
      </w:r>
      <w:r w:rsidRPr="00A64E40" w:rsidR="0069371B">
        <w:rPr>
          <w:rFonts w:ascii="Verdana" w:hAnsi="Verdana"/>
          <w:sz w:val="18"/>
          <w:szCs w:val="18"/>
        </w:rPr>
        <w:t>.</w:t>
      </w:r>
    </w:p>
    <w:p w:rsidRPr="00A64E40" w:rsidR="00BD2783" w:rsidP="00BD2783" w:rsidRDefault="00BD2783" w14:paraId="0968E6E7" w14:textId="3B54AFA6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>Samenwerking tussen forensische zorg en gemeenten (</w:t>
      </w:r>
      <w:hyperlink w:history="1" r:id="rId8">
        <w:r w:rsidRPr="00A64E40">
          <w:rPr>
            <w:rStyle w:val="Hyperlink"/>
            <w:rFonts w:ascii="Verdana" w:hAnsi="Verdana"/>
            <w:sz w:val="18"/>
            <w:szCs w:val="18"/>
          </w:rPr>
          <w:t>Significant Public</w:t>
        </w:r>
        <w:r w:rsidRPr="00A64E40" w:rsidR="00A64E40">
          <w:rPr>
            <w:rStyle w:val="Hyperlink"/>
            <w:rFonts w:ascii="Verdana" w:hAnsi="Verdana"/>
            <w:sz w:val="18"/>
            <w:szCs w:val="18"/>
          </w:rPr>
          <w:t>,</w:t>
        </w:r>
        <w:r w:rsidRPr="00A64E40">
          <w:rPr>
            <w:rStyle w:val="Hyperlink"/>
            <w:rFonts w:ascii="Verdana" w:hAnsi="Verdana"/>
            <w:sz w:val="18"/>
            <w:szCs w:val="18"/>
          </w:rPr>
          <w:t xml:space="preserve"> 2024</w:t>
        </w:r>
      </w:hyperlink>
      <w:r w:rsidRPr="00A64E40">
        <w:rPr>
          <w:rFonts w:ascii="Verdana" w:hAnsi="Verdana"/>
          <w:sz w:val="18"/>
          <w:szCs w:val="18"/>
        </w:rPr>
        <w:t>)</w:t>
      </w:r>
      <w:r w:rsidRPr="00A64E40" w:rsidR="0069371B">
        <w:rPr>
          <w:rFonts w:ascii="Verdana" w:hAnsi="Verdana"/>
          <w:sz w:val="18"/>
          <w:szCs w:val="18"/>
        </w:rPr>
        <w:t>.</w:t>
      </w:r>
    </w:p>
    <w:p w:rsidRPr="00A64E40" w:rsidR="00081828" w:rsidP="00081828" w:rsidRDefault="00081828" w14:paraId="531B67AE" w14:textId="74AEB928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A64E40">
        <w:rPr>
          <w:rFonts w:ascii="Verdana" w:hAnsi="Verdana"/>
          <w:sz w:val="18"/>
          <w:szCs w:val="18"/>
        </w:rPr>
        <w:t>Kwaliteitskader indicatiestelling forensische zorg</w:t>
      </w:r>
      <w:r w:rsidRPr="00A64E40">
        <w:rPr>
          <w:rStyle w:val="Hyperlink"/>
          <w:rFonts w:ascii="Verdana" w:hAnsi="Verdana"/>
          <w:sz w:val="18"/>
          <w:szCs w:val="18"/>
        </w:rPr>
        <w:t xml:space="preserve"> </w:t>
      </w:r>
      <w:hyperlink w:history="1" r:id="rId9">
        <w:r w:rsidRPr="00A64E40">
          <w:rPr>
            <w:rStyle w:val="Hyperlink"/>
            <w:rFonts w:ascii="Verdana" w:hAnsi="Verdana"/>
            <w:sz w:val="18"/>
            <w:szCs w:val="18"/>
          </w:rPr>
          <w:t>(2024)</w:t>
        </w:r>
      </w:hyperlink>
    </w:p>
    <w:p w:rsidRPr="00A64E40" w:rsidR="00F232FC" w:rsidP="00081828" w:rsidRDefault="00F232FC" w14:paraId="6F66C19A" w14:textId="2B5620D8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A64E40">
        <w:rPr>
          <w:rStyle w:val="Hyperlink"/>
          <w:rFonts w:ascii="Verdana" w:hAnsi="Verdana"/>
          <w:color w:val="auto"/>
          <w:sz w:val="18"/>
          <w:szCs w:val="18"/>
          <w:u w:val="none"/>
        </w:rPr>
        <w:t>Maatschappelijke businesscase levensloopaanpak</w:t>
      </w:r>
      <w:r w:rsidRPr="00A64E40">
        <w:rPr>
          <w:rStyle w:val="Hyperlink"/>
          <w:rFonts w:ascii="Verdana" w:hAnsi="Verdana"/>
          <w:color w:val="auto"/>
          <w:sz w:val="18"/>
          <w:szCs w:val="18"/>
        </w:rPr>
        <w:t xml:space="preserve"> </w:t>
      </w:r>
      <w:hyperlink w:history="1" r:id="rId10">
        <w:r w:rsidRPr="00A64E40">
          <w:rPr>
            <w:rStyle w:val="Hyperlink"/>
            <w:rFonts w:ascii="Verdana" w:hAnsi="Verdana"/>
            <w:sz w:val="18"/>
            <w:szCs w:val="18"/>
          </w:rPr>
          <w:t>(</w:t>
        </w:r>
        <w:r w:rsidRPr="00A64E40" w:rsidR="00D22A81">
          <w:rPr>
            <w:rStyle w:val="Hyperlink"/>
            <w:rFonts w:ascii="Verdana" w:hAnsi="Verdana"/>
            <w:sz w:val="18"/>
            <w:szCs w:val="18"/>
          </w:rPr>
          <w:t xml:space="preserve">Significant, </w:t>
        </w:r>
        <w:r w:rsidRPr="00A64E40">
          <w:rPr>
            <w:rStyle w:val="Hyperlink"/>
            <w:rFonts w:ascii="Verdana" w:hAnsi="Verdana"/>
            <w:sz w:val="18"/>
            <w:szCs w:val="18"/>
          </w:rPr>
          <w:t>2022)</w:t>
        </w:r>
      </w:hyperlink>
    </w:p>
    <w:p w:rsidRPr="00A64E40" w:rsidR="00A64E40" w:rsidP="00A64E40" w:rsidRDefault="00A64E40" w14:paraId="52B12CCA" w14:textId="0E7D437F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A64E40">
        <w:rPr>
          <w:rFonts w:ascii="Verdana" w:hAnsi="Verdana"/>
          <w:sz w:val="18"/>
          <w:szCs w:val="18"/>
        </w:rPr>
        <w:t>Kwaliteitskader Forensische zorg</w:t>
      </w:r>
      <w:r w:rsidRPr="00A64E40">
        <w:rPr>
          <w:rStyle w:val="Hyperlink"/>
          <w:rFonts w:ascii="Verdana" w:hAnsi="Verdana"/>
          <w:sz w:val="18"/>
          <w:szCs w:val="18"/>
        </w:rPr>
        <w:t xml:space="preserve"> </w:t>
      </w:r>
      <w:hyperlink w:history="1" r:id="rId11">
        <w:r w:rsidRPr="00A64E40">
          <w:rPr>
            <w:rStyle w:val="Hyperlink"/>
            <w:rFonts w:ascii="Verdana" w:hAnsi="Verdana"/>
            <w:sz w:val="18"/>
            <w:szCs w:val="18"/>
          </w:rPr>
          <w:t>(2022)</w:t>
        </w:r>
      </w:hyperlink>
    </w:p>
    <w:p w:rsidRPr="00A64E40" w:rsidR="00A64E40" w:rsidP="00A64E40" w:rsidRDefault="00A64E40" w14:paraId="79EA61CC" w14:textId="77777777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>In de zorg, uit het zicht. Krijgen patiënten goede forensische zorg? (</w:t>
      </w:r>
      <w:hyperlink w:history="1" r:id="rId12">
        <w:r w:rsidRPr="00A64E40">
          <w:rPr>
            <w:rStyle w:val="Hyperlink"/>
            <w:rFonts w:ascii="Verdana" w:hAnsi="Verdana"/>
            <w:sz w:val="18"/>
            <w:szCs w:val="18"/>
          </w:rPr>
          <w:t>Algemene Rekenkamer, 2022</w:t>
        </w:r>
      </w:hyperlink>
      <w:r w:rsidRPr="00A64E40">
        <w:rPr>
          <w:rFonts w:ascii="Verdana" w:hAnsi="Verdana"/>
          <w:sz w:val="18"/>
          <w:szCs w:val="18"/>
        </w:rPr>
        <w:t>).</w:t>
      </w:r>
    </w:p>
    <w:p w:rsidRPr="00A64E40" w:rsidR="00A64E40" w:rsidP="00A64E40" w:rsidRDefault="00A64E40" w14:paraId="2FB6B670" w14:textId="77777777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 xml:space="preserve">Eerste evaluatie Wet verplichte geestelijke gezondheidszorg en Wet zorg en dwang, deel 2 </w:t>
      </w:r>
      <w:hyperlink w:history="1" r:id="rId13">
        <w:r w:rsidRPr="00A64E40">
          <w:rPr>
            <w:rStyle w:val="Hyperlink"/>
            <w:rFonts w:ascii="Verdana" w:hAnsi="Verdana"/>
            <w:sz w:val="18"/>
            <w:szCs w:val="18"/>
          </w:rPr>
          <w:t>(</w:t>
        </w:r>
        <w:proofErr w:type="spellStart"/>
        <w:r w:rsidRPr="00A64E40">
          <w:rPr>
            <w:rStyle w:val="Hyperlink"/>
            <w:rFonts w:ascii="Verdana" w:hAnsi="Verdana"/>
            <w:sz w:val="18"/>
            <w:szCs w:val="18"/>
          </w:rPr>
          <w:t>ZonMw</w:t>
        </w:r>
        <w:proofErr w:type="spellEnd"/>
        <w:r w:rsidRPr="00A64E40">
          <w:rPr>
            <w:rStyle w:val="Hyperlink"/>
            <w:rFonts w:ascii="Verdana" w:hAnsi="Verdana"/>
            <w:sz w:val="18"/>
            <w:szCs w:val="18"/>
          </w:rPr>
          <w:t>, 2022).</w:t>
        </w:r>
      </w:hyperlink>
    </w:p>
    <w:p w:rsidRPr="00A64E40" w:rsidR="00A64E40" w:rsidP="00A64E40" w:rsidRDefault="00A64E40" w14:paraId="0F81ACC0" w14:textId="77777777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>Eerste evaluatie Wet verplichte geestelijke gezondheidszorg en Wet zorg en dwang, deel 1 (</w:t>
      </w:r>
      <w:proofErr w:type="spellStart"/>
      <w:r w:rsidR="0041050D">
        <w:fldChar w:fldCharType="begin"/>
      </w:r>
      <w:r w:rsidR="0041050D">
        <w:instrText>HYPERLINK "https://www.zonmw.nl/sites/zonmw/files/typo3-migrated-files/Evaluatie_Wvggz-Wzd_1_webversie.pdf"</w:instrText>
      </w:r>
      <w:r w:rsidR="0041050D">
        <w:fldChar w:fldCharType="separate"/>
      </w:r>
      <w:r w:rsidRPr="00A64E40">
        <w:rPr>
          <w:rStyle w:val="Hyperlink"/>
          <w:rFonts w:ascii="Verdana" w:hAnsi="Verdana"/>
          <w:sz w:val="18"/>
          <w:szCs w:val="18"/>
        </w:rPr>
        <w:t>ZonMw</w:t>
      </w:r>
      <w:proofErr w:type="spellEnd"/>
      <w:r w:rsidRPr="00A64E40">
        <w:rPr>
          <w:rStyle w:val="Hyperlink"/>
          <w:rFonts w:ascii="Verdana" w:hAnsi="Verdana"/>
          <w:sz w:val="18"/>
          <w:szCs w:val="18"/>
        </w:rPr>
        <w:t>, 2021</w:t>
      </w:r>
      <w:r w:rsidR="0041050D">
        <w:rPr>
          <w:rStyle w:val="Hyperlink"/>
          <w:rFonts w:ascii="Verdana" w:hAnsi="Verdana"/>
          <w:sz w:val="18"/>
          <w:szCs w:val="18"/>
        </w:rPr>
        <w:fldChar w:fldCharType="end"/>
      </w:r>
      <w:r w:rsidRPr="00A64E40">
        <w:rPr>
          <w:rFonts w:ascii="Verdana" w:hAnsi="Verdana"/>
          <w:sz w:val="18"/>
          <w:szCs w:val="18"/>
        </w:rPr>
        <w:t>).</w:t>
      </w:r>
    </w:p>
    <w:p w:rsidRPr="00A64E40" w:rsidR="00A64E40" w:rsidP="00A64E40" w:rsidRDefault="00A64E40" w14:paraId="7CCCEEDA" w14:textId="77777777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>Kiezen voor houdbare zorg…mensen, middelen en maatschappelijk draagvlak (</w:t>
      </w:r>
      <w:hyperlink w:history="1" r:id="rId14">
        <w:r w:rsidRPr="00A64E40">
          <w:rPr>
            <w:rStyle w:val="Hyperlink"/>
            <w:rFonts w:ascii="Verdana" w:hAnsi="Verdana"/>
            <w:sz w:val="18"/>
            <w:szCs w:val="18"/>
          </w:rPr>
          <w:t>WRR, 2021</w:t>
        </w:r>
      </w:hyperlink>
      <w:r w:rsidRPr="00A64E40">
        <w:rPr>
          <w:rFonts w:ascii="Verdana" w:hAnsi="Verdana"/>
          <w:sz w:val="18"/>
          <w:szCs w:val="18"/>
        </w:rPr>
        <w:t>).</w:t>
      </w:r>
    </w:p>
    <w:p w:rsidRPr="00A64E40" w:rsidR="00A64E40" w:rsidP="00A64E40" w:rsidRDefault="00A64E40" w14:paraId="5CF42EBC" w14:textId="77777777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 xml:space="preserve">PPC in positie. Onderzoek naar de plek van de </w:t>
      </w:r>
      <w:proofErr w:type="spellStart"/>
      <w:r w:rsidRPr="00A64E40">
        <w:rPr>
          <w:rFonts w:ascii="Verdana" w:hAnsi="Verdana"/>
          <w:sz w:val="18"/>
          <w:szCs w:val="18"/>
        </w:rPr>
        <w:t>PPC’s</w:t>
      </w:r>
      <w:proofErr w:type="spellEnd"/>
      <w:r w:rsidRPr="00A64E40">
        <w:rPr>
          <w:rFonts w:ascii="Verdana" w:hAnsi="Verdana"/>
          <w:sz w:val="18"/>
          <w:szCs w:val="18"/>
        </w:rPr>
        <w:t xml:space="preserve"> in het forensische zorgstelsel </w:t>
      </w:r>
      <w:hyperlink w:history="1" r:id="rId15">
        <w:r w:rsidRPr="00A64E40">
          <w:rPr>
            <w:rStyle w:val="Hyperlink"/>
            <w:rFonts w:ascii="Verdana" w:hAnsi="Verdana"/>
            <w:sz w:val="18"/>
            <w:szCs w:val="18"/>
          </w:rPr>
          <w:t>(AEF, 2021)</w:t>
        </w:r>
      </w:hyperlink>
    </w:p>
    <w:p w:rsidRPr="00A64E40" w:rsidR="00A64E40" w:rsidP="00A64E40" w:rsidRDefault="00A64E40" w14:paraId="1EB1C0C9" w14:textId="77777777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Fonts w:ascii="Verdana" w:hAnsi="Verdana"/>
          <w:sz w:val="18"/>
          <w:szCs w:val="18"/>
        </w:rPr>
        <w:t>Zorg en veiligheid onder druk in het PPC? Onderzoek naar randvoorwaarden voor goede zorg en veiligheid in de penitentiair psychiatrische centra (</w:t>
      </w:r>
      <w:hyperlink w:history="1" r:id="rId16">
        <w:r w:rsidRPr="00A64E40">
          <w:rPr>
            <w:rStyle w:val="Hyperlink"/>
            <w:rFonts w:ascii="Verdana" w:hAnsi="Verdana"/>
            <w:sz w:val="18"/>
            <w:szCs w:val="18"/>
          </w:rPr>
          <w:t>AEF, 2020)</w:t>
        </w:r>
      </w:hyperlink>
      <w:r w:rsidRPr="00A64E40">
        <w:rPr>
          <w:rFonts w:ascii="Verdana" w:hAnsi="Verdana"/>
          <w:sz w:val="18"/>
          <w:szCs w:val="18"/>
        </w:rPr>
        <w:t>.</w:t>
      </w:r>
    </w:p>
    <w:p w:rsidRPr="00A64E40" w:rsidR="00A64E40" w:rsidP="00A64E40" w:rsidRDefault="00A64E40" w14:paraId="280F9C42" w14:textId="6621D77C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A64E40">
        <w:rPr>
          <w:rFonts w:ascii="Verdana" w:hAnsi="Verdana"/>
          <w:sz w:val="18"/>
          <w:szCs w:val="18"/>
        </w:rPr>
        <w:t xml:space="preserve">Zorg voor een veilige omgeving </w:t>
      </w:r>
      <w:hyperlink w:history="1" r:id="rId17">
        <w:r w:rsidRPr="00A64E40">
          <w:rPr>
            <w:rStyle w:val="Hyperlink"/>
            <w:rFonts w:ascii="Verdana" w:hAnsi="Verdana"/>
            <w:sz w:val="18"/>
            <w:szCs w:val="18"/>
          </w:rPr>
          <w:t>(Brede maatschappelijke heroverwegingen 2020)</w:t>
        </w:r>
      </w:hyperlink>
    </w:p>
    <w:p w:rsidRPr="00A64E40" w:rsidR="00A64E40" w:rsidP="00A64E40" w:rsidRDefault="00A64E40" w14:paraId="2FE173D2" w14:textId="46B48195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A64E40">
        <w:rPr>
          <w:rFonts w:ascii="Verdana" w:hAnsi="Verdana"/>
          <w:sz w:val="18"/>
          <w:szCs w:val="18"/>
        </w:rPr>
        <w:t xml:space="preserve">Wie zijn geschiedenis niet kent…: Een overzichtelijke tijdlijn van de stelselwijzigingen inde forensische zorg sinds 1988 </w:t>
      </w:r>
      <w:hyperlink w:history="1" r:id="rId18">
        <w:r w:rsidRPr="00A64E40">
          <w:rPr>
            <w:rStyle w:val="Hyperlink"/>
            <w:rFonts w:ascii="Verdana" w:hAnsi="Verdana"/>
            <w:sz w:val="18"/>
            <w:szCs w:val="18"/>
          </w:rPr>
          <w:t>(M.J.F. van der Wolf, J. Reef &amp; A.C. Wams, 2020)</w:t>
        </w:r>
      </w:hyperlink>
    </w:p>
    <w:p w:rsidRPr="00A64E40" w:rsidR="00F232FC" w:rsidP="00081828" w:rsidRDefault="00F232FC" w14:paraId="79787F91" w14:textId="4C1275D3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A64E40">
        <w:rPr>
          <w:rStyle w:val="Hyperlink"/>
          <w:rFonts w:ascii="Verdana" w:hAnsi="Verdana"/>
          <w:color w:val="auto"/>
          <w:sz w:val="18"/>
          <w:szCs w:val="18"/>
          <w:u w:val="none"/>
        </w:rPr>
        <w:t>Continuïteit van en na forensische zorg een grote zorg</w:t>
      </w:r>
      <w:r w:rsidRPr="00A64E40">
        <w:rPr>
          <w:rStyle w:val="Hyperlink"/>
          <w:rFonts w:ascii="Verdana" w:hAnsi="Verdana"/>
          <w:sz w:val="18"/>
          <w:szCs w:val="18"/>
        </w:rPr>
        <w:t xml:space="preserve"> </w:t>
      </w:r>
      <w:hyperlink w:history="1" r:id="rId19">
        <w:r w:rsidRPr="00A64E40">
          <w:rPr>
            <w:rStyle w:val="Hyperlink"/>
            <w:rFonts w:ascii="Verdana" w:hAnsi="Verdana"/>
            <w:sz w:val="18"/>
            <w:szCs w:val="18"/>
          </w:rPr>
          <w:t>(</w:t>
        </w:r>
        <w:r w:rsidRPr="00A64E40" w:rsidR="00D22A81">
          <w:rPr>
            <w:rStyle w:val="Hyperlink"/>
            <w:rFonts w:ascii="Verdana" w:hAnsi="Verdana"/>
            <w:sz w:val="18"/>
            <w:szCs w:val="18"/>
          </w:rPr>
          <w:t xml:space="preserve">P. Schaftenaar, </w:t>
        </w:r>
        <w:proofErr w:type="spellStart"/>
        <w:r w:rsidRPr="00A64E40" w:rsidR="00D22A81">
          <w:rPr>
            <w:rStyle w:val="Hyperlink"/>
            <w:rFonts w:ascii="Verdana" w:hAnsi="Verdana"/>
            <w:sz w:val="18"/>
            <w:szCs w:val="18"/>
          </w:rPr>
          <w:t>Viviënne</w:t>
        </w:r>
        <w:proofErr w:type="spellEnd"/>
        <w:r w:rsidRPr="00A64E40" w:rsidR="00D22A81">
          <w:rPr>
            <w:rStyle w:val="Hyperlink"/>
            <w:rFonts w:ascii="Verdana" w:hAnsi="Verdana"/>
            <w:sz w:val="18"/>
            <w:szCs w:val="18"/>
          </w:rPr>
          <w:t xml:space="preserve"> de Vogel, M. </w:t>
        </w:r>
        <w:proofErr w:type="spellStart"/>
        <w:r w:rsidRPr="00A64E40" w:rsidR="00D22A81">
          <w:rPr>
            <w:rStyle w:val="Hyperlink"/>
            <w:rFonts w:ascii="Verdana" w:hAnsi="Verdana"/>
            <w:sz w:val="18"/>
            <w:szCs w:val="18"/>
          </w:rPr>
          <w:t>Clercx</w:t>
        </w:r>
        <w:proofErr w:type="spellEnd"/>
        <w:r w:rsidRPr="00A64E40" w:rsidR="00D22A81">
          <w:rPr>
            <w:rStyle w:val="Hyperlink"/>
            <w:rFonts w:ascii="Verdana" w:hAnsi="Verdana"/>
            <w:sz w:val="18"/>
            <w:szCs w:val="18"/>
          </w:rPr>
          <w:t xml:space="preserve">, </w:t>
        </w:r>
        <w:r w:rsidRPr="00A64E40">
          <w:rPr>
            <w:rStyle w:val="Hyperlink"/>
            <w:rFonts w:ascii="Verdana" w:hAnsi="Verdana"/>
            <w:sz w:val="18"/>
            <w:szCs w:val="18"/>
          </w:rPr>
          <w:t>2019)</w:t>
        </w:r>
      </w:hyperlink>
    </w:p>
    <w:p w:rsidRPr="00A64E40" w:rsidR="00A64E40" w:rsidP="00A64E40" w:rsidRDefault="00A64E40" w14:paraId="5EA7CCA0" w14:textId="03ABCDE5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A64E40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Mind </w:t>
      </w:r>
      <w:proofErr w:type="spellStart"/>
      <w:r w:rsidRPr="00A64E40">
        <w:rPr>
          <w:rStyle w:val="Hyperlink"/>
          <w:rFonts w:ascii="Verdana" w:hAnsi="Verdana"/>
          <w:color w:val="auto"/>
          <w:sz w:val="18"/>
          <w:szCs w:val="18"/>
          <w:u w:val="none"/>
        </w:rPr>
        <w:t>the</w:t>
      </w:r>
      <w:proofErr w:type="spellEnd"/>
      <w:r w:rsidRPr="00A64E40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gap – Continuïteit in de forensische zorgketen</w:t>
      </w:r>
      <w:r w:rsidRPr="00A64E40">
        <w:rPr>
          <w:rStyle w:val="Hyperlink"/>
          <w:rFonts w:ascii="Verdana" w:hAnsi="Verdana"/>
          <w:sz w:val="18"/>
          <w:szCs w:val="18"/>
        </w:rPr>
        <w:t xml:space="preserve"> </w:t>
      </w:r>
      <w:hyperlink w:history="1" r:id="rId20">
        <w:r w:rsidRPr="00A64E40">
          <w:rPr>
            <w:rStyle w:val="Hyperlink"/>
            <w:rFonts w:ascii="Verdana" w:hAnsi="Verdana"/>
            <w:sz w:val="18"/>
            <w:szCs w:val="18"/>
          </w:rPr>
          <w:t xml:space="preserve">(V. de Vogel, P. Schaftenaar, M. </w:t>
        </w:r>
        <w:proofErr w:type="spellStart"/>
        <w:r w:rsidRPr="00A64E40">
          <w:rPr>
            <w:rStyle w:val="Hyperlink"/>
            <w:rFonts w:ascii="Verdana" w:hAnsi="Verdana"/>
            <w:sz w:val="18"/>
            <w:szCs w:val="18"/>
          </w:rPr>
          <w:t>Clercx</w:t>
        </w:r>
        <w:proofErr w:type="spellEnd"/>
        <w:r w:rsidRPr="00A64E40">
          <w:rPr>
            <w:rStyle w:val="Hyperlink"/>
            <w:rFonts w:ascii="Verdana" w:hAnsi="Verdana"/>
            <w:sz w:val="18"/>
            <w:szCs w:val="18"/>
          </w:rPr>
          <w:t>, 2019)</w:t>
        </w:r>
      </w:hyperlink>
    </w:p>
    <w:p w:rsidRPr="00A64E40" w:rsidR="00A64E40" w:rsidP="00A64E40" w:rsidRDefault="00A64E40" w14:paraId="3EFEE000" w14:textId="271EB3B8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Stelselwijziging forensische zorg – verklarend onderzoek naar een centralisatie van sturing in de zorg </w:t>
      </w:r>
      <w:hyperlink w:history="1" r:id="rId21">
        <w:r w:rsidRPr="00A64E40">
          <w:rPr>
            <w:rStyle w:val="Hyperlink"/>
            <w:rFonts w:ascii="Verdana" w:hAnsi="Verdana"/>
            <w:sz w:val="18"/>
            <w:szCs w:val="18"/>
          </w:rPr>
          <w:t>(P. Steinmann, 2019)</w:t>
        </w:r>
      </w:hyperlink>
    </w:p>
    <w:p w:rsidRPr="00A64E40" w:rsidR="00A64E40" w:rsidP="00A64E40" w:rsidRDefault="00A64E40" w14:paraId="57046F8A" w14:textId="7F2E177C">
      <w:pPr>
        <w:pStyle w:val="Lijstalinea"/>
        <w:numPr>
          <w:ilvl w:val="0"/>
          <w:numId w:val="2"/>
        </w:numPr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A64E40">
        <w:rPr>
          <w:rStyle w:val="Hyperlink"/>
          <w:rFonts w:ascii="Verdana" w:hAnsi="Verdana"/>
          <w:color w:val="auto"/>
          <w:sz w:val="18"/>
          <w:szCs w:val="18"/>
          <w:u w:val="none"/>
        </w:rPr>
        <w:t>Continuïteit van zorg Eindrapport</w:t>
      </w:r>
      <w:r w:rsidRPr="00A64E40">
        <w:rPr>
          <w:rStyle w:val="Hyperlink"/>
          <w:rFonts w:ascii="Verdana" w:hAnsi="Verdana"/>
          <w:color w:val="auto"/>
          <w:sz w:val="18"/>
          <w:szCs w:val="18"/>
        </w:rPr>
        <w:t xml:space="preserve"> </w:t>
      </w:r>
      <w:hyperlink w:history="1" r:id="rId22">
        <w:r w:rsidRPr="00A64E40">
          <w:rPr>
            <w:rStyle w:val="Hyperlink"/>
            <w:rFonts w:ascii="Verdana" w:hAnsi="Verdana"/>
            <w:sz w:val="18"/>
            <w:szCs w:val="18"/>
          </w:rPr>
          <w:t>(2018)</w:t>
        </w:r>
      </w:hyperlink>
    </w:p>
    <w:p w:rsidRPr="00A64E40" w:rsidR="00A64E40" w:rsidP="00A64E40" w:rsidRDefault="00A64E40" w14:paraId="75063289" w14:textId="136413E1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A64E40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Forensische zorgen. Onderzoek naar kwaliteit en veiligheid in de forensische zorg </w:t>
      </w:r>
      <w:hyperlink w:history="1" r:id="rId23">
        <w:r w:rsidRPr="00A64E40">
          <w:rPr>
            <w:rStyle w:val="Hyperlink"/>
            <w:rFonts w:ascii="Verdana" w:hAnsi="Verdana"/>
            <w:sz w:val="18"/>
            <w:szCs w:val="18"/>
          </w:rPr>
          <w:t>(AEF, 2018)</w:t>
        </w:r>
      </w:hyperlink>
    </w:p>
    <w:p w:rsidRPr="00B0618B" w:rsidR="00953195" w:rsidP="00953195" w:rsidRDefault="00953195" w14:paraId="080D4F19" w14:textId="77777777">
      <w:pPr>
        <w:pStyle w:val="Lijstalinea"/>
        <w:rPr>
          <w:rFonts w:ascii="Verdana" w:hAnsi="Verdana"/>
          <w:sz w:val="18"/>
          <w:szCs w:val="18"/>
        </w:rPr>
      </w:pPr>
    </w:p>
    <w:p w:rsidRPr="00B0618B" w:rsidR="004E1D10" w:rsidP="004E1D10" w:rsidRDefault="00494FF9" w14:paraId="1FD6F980" w14:textId="24CB43A1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u w:val="single"/>
        </w:rPr>
      </w:pPr>
      <w:r w:rsidRPr="00B0618B">
        <w:rPr>
          <w:rFonts w:ascii="Verdana" w:hAnsi="Verdana"/>
          <w:sz w:val="18"/>
          <w:szCs w:val="18"/>
          <w:u w:val="single"/>
        </w:rPr>
        <w:t xml:space="preserve">WODC </w:t>
      </w:r>
      <w:r w:rsidRPr="00B0618B" w:rsidR="004E1D10">
        <w:rPr>
          <w:rFonts w:ascii="Verdana" w:hAnsi="Verdana"/>
          <w:sz w:val="18"/>
          <w:szCs w:val="18"/>
          <w:u w:val="single"/>
        </w:rPr>
        <w:t xml:space="preserve">Onderzoeksprogramma </w:t>
      </w:r>
      <w:r w:rsidRPr="00B0618B" w:rsidR="009C355D">
        <w:rPr>
          <w:rFonts w:ascii="Verdana" w:hAnsi="Verdana"/>
          <w:sz w:val="18"/>
          <w:szCs w:val="18"/>
          <w:u w:val="single"/>
        </w:rPr>
        <w:t>R</w:t>
      </w:r>
      <w:r w:rsidRPr="00B0618B" w:rsidR="004E1D10">
        <w:rPr>
          <w:rFonts w:ascii="Verdana" w:hAnsi="Verdana"/>
          <w:sz w:val="18"/>
          <w:szCs w:val="18"/>
          <w:u w:val="single"/>
        </w:rPr>
        <w:t>ecidive forensische zorg</w:t>
      </w:r>
    </w:p>
    <w:p w:rsidRPr="00B0618B" w:rsidR="004E1D10" w:rsidP="004E1D10" w:rsidRDefault="004E1D10" w14:paraId="0116EFE0" w14:textId="36B7C31A">
      <w:pPr>
        <w:pStyle w:val="Lijstalinea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Recidive tijdens forensische zorgtrajecten 2013-2017 (2021).</w:t>
      </w:r>
    </w:p>
    <w:p w:rsidRPr="00B0618B" w:rsidR="004E1D10" w:rsidP="004E1D10" w:rsidRDefault="004E1D10" w14:paraId="075987A4" w14:textId="1F218FC5">
      <w:pPr>
        <w:pStyle w:val="Lijstalinea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Recidive na forensische zorgtrajecten met uitstroom 2013-2015 (2020)</w:t>
      </w:r>
    </w:p>
    <w:p w:rsidRPr="00B0618B" w:rsidR="004E1D10" w:rsidP="004E1D10" w:rsidRDefault="004E1D10" w14:paraId="29C13166" w14:textId="5E83B805">
      <w:pPr>
        <w:pStyle w:val="Lijstalinea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Recidive na tbs, ISD en overige forensische zorg (2018)</w:t>
      </w:r>
    </w:p>
    <w:p w:rsidRPr="00B0618B" w:rsidR="004E1D10" w:rsidP="004E1D10" w:rsidRDefault="004E1D10" w14:paraId="3019932C" w14:textId="77777777">
      <w:pPr>
        <w:pStyle w:val="Lijstalinea"/>
        <w:rPr>
          <w:rFonts w:ascii="Verdana" w:hAnsi="Verdana"/>
          <w:sz w:val="18"/>
          <w:szCs w:val="18"/>
        </w:rPr>
      </w:pPr>
    </w:p>
    <w:p w:rsidRPr="00B0618B" w:rsidR="003206D9" w:rsidP="0069371B" w:rsidRDefault="003206D9" w14:paraId="09372CD9" w14:textId="24EE3994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u w:val="single"/>
        </w:rPr>
      </w:pPr>
      <w:r w:rsidRPr="00B0618B">
        <w:rPr>
          <w:rFonts w:ascii="Verdana" w:hAnsi="Verdana"/>
          <w:sz w:val="18"/>
          <w:szCs w:val="18"/>
          <w:u w:val="single"/>
        </w:rPr>
        <w:t xml:space="preserve">WODC </w:t>
      </w:r>
      <w:r w:rsidRPr="00B0618B" w:rsidR="009C355D">
        <w:rPr>
          <w:rFonts w:ascii="Verdana" w:hAnsi="Verdana"/>
          <w:sz w:val="18"/>
          <w:szCs w:val="18"/>
          <w:u w:val="single"/>
        </w:rPr>
        <w:t>O</w:t>
      </w:r>
      <w:r w:rsidRPr="00B0618B">
        <w:rPr>
          <w:rFonts w:ascii="Verdana" w:hAnsi="Verdana"/>
          <w:sz w:val="18"/>
          <w:szCs w:val="18"/>
          <w:u w:val="single"/>
        </w:rPr>
        <w:t xml:space="preserve">nderzoeksprogramma </w:t>
      </w:r>
      <w:r w:rsidRPr="00B0618B" w:rsidR="009C355D">
        <w:rPr>
          <w:rFonts w:ascii="Verdana" w:hAnsi="Verdana"/>
          <w:sz w:val="18"/>
          <w:szCs w:val="18"/>
          <w:u w:val="single"/>
        </w:rPr>
        <w:t xml:space="preserve">Evaluatie </w:t>
      </w:r>
      <w:r w:rsidRPr="00B0618B">
        <w:rPr>
          <w:rFonts w:ascii="Verdana" w:hAnsi="Verdana"/>
          <w:sz w:val="18"/>
          <w:szCs w:val="18"/>
          <w:u w:val="single"/>
        </w:rPr>
        <w:t>Wet forensische zorg (</w:t>
      </w:r>
      <w:proofErr w:type="spellStart"/>
      <w:r w:rsidRPr="00B0618B">
        <w:rPr>
          <w:rFonts w:ascii="Verdana" w:hAnsi="Verdana"/>
          <w:sz w:val="18"/>
          <w:szCs w:val="18"/>
          <w:u w:val="single"/>
        </w:rPr>
        <w:t>Wfz</w:t>
      </w:r>
      <w:proofErr w:type="spellEnd"/>
      <w:r w:rsidRPr="00B0618B">
        <w:rPr>
          <w:rFonts w:ascii="Verdana" w:hAnsi="Verdana"/>
          <w:sz w:val="18"/>
          <w:szCs w:val="18"/>
          <w:u w:val="single"/>
        </w:rPr>
        <w:t>)</w:t>
      </w:r>
    </w:p>
    <w:p w:rsidRPr="00B0618B" w:rsidR="003206D9" w:rsidP="003206D9" w:rsidRDefault="003206D9" w14:paraId="5BC317C3" w14:textId="65019828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Procesevaluatie Wet forensische zorg (2024).</w:t>
      </w:r>
    </w:p>
    <w:p w:rsidRPr="00B0618B" w:rsidR="004C5F5D" w:rsidP="003206D9" w:rsidRDefault="004C5F5D" w14:paraId="2CD390F6" w14:textId="1E9FFE79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Artikel 2.3 Wet forensische z</w:t>
      </w:r>
      <w:r w:rsidRPr="00B0618B" w:rsidR="005B05CC">
        <w:rPr>
          <w:rFonts w:ascii="Verdana" w:hAnsi="Verdana"/>
          <w:sz w:val="18"/>
          <w:szCs w:val="18"/>
        </w:rPr>
        <w:t>o</w:t>
      </w:r>
      <w:r w:rsidRPr="00B0618B">
        <w:rPr>
          <w:rFonts w:ascii="Verdana" w:hAnsi="Verdana"/>
          <w:sz w:val="18"/>
          <w:szCs w:val="18"/>
        </w:rPr>
        <w:t>rg in cijfers 2020 tot en met 2022 (</w:t>
      </w:r>
      <w:proofErr w:type="spellStart"/>
      <w:r w:rsidRPr="00B0618B" w:rsidR="005B05CC">
        <w:rPr>
          <w:rFonts w:ascii="Verdana" w:hAnsi="Verdana"/>
          <w:sz w:val="18"/>
          <w:szCs w:val="18"/>
        </w:rPr>
        <w:t>factsheet</w:t>
      </w:r>
      <w:proofErr w:type="spellEnd"/>
      <w:r w:rsidRPr="00B0618B" w:rsidR="005B05CC">
        <w:rPr>
          <w:rFonts w:ascii="Verdana" w:hAnsi="Verdana"/>
          <w:sz w:val="18"/>
          <w:szCs w:val="18"/>
        </w:rPr>
        <w:t xml:space="preserve"> </w:t>
      </w:r>
      <w:r w:rsidRPr="00B0618B">
        <w:rPr>
          <w:rFonts w:ascii="Verdana" w:hAnsi="Verdana"/>
          <w:sz w:val="18"/>
          <w:szCs w:val="18"/>
        </w:rPr>
        <w:t>2024)</w:t>
      </w:r>
    </w:p>
    <w:p w:rsidRPr="00B0618B" w:rsidR="00B75F3A" w:rsidP="003206D9" w:rsidRDefault="005B05CC" w14:paraId="682426A2" w14:textId="0B784C7E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Toepassing van</w:t>
      </w:r>
      <w:r w:rsidRPr="00B0618B" w:rsidR="00B75F3A">
        <w:rPr>
          <w:rFonts w:ascii="Verdana" w:hAnsi="Verdana"/>
          <w:sz w:val="18"/>
          <w:szCs w:val="18"/>
        </w:rPr>
        <w:t xml:space="preserve"> artikel 2.3 </w:t>
      </w:r>
      <w:proofErr w:type="spellStart"/>
      <w:r w:rsidRPr="00B0618B" w:rsidR="00B75F3A">
        <w:rPr>
          <w:rFonts w:ascii="Verdana" w:hAnsi="Verdana"/>
          <w:sz w:val="18"/>
          <w:szCs w:val="18"/>
        </w:rPr>
        <w:t>Wfz</w:t>
      </w:r>
      <w:proofErr w:type="spellEnd"/>
      <w:r w:rsidRPr="00B0618B" w:rsidR="00B75F3A">
        <w:rPr>
          <w:rFonts w:ascii="Verdana" w:hAnsi="Verdana"/>
          <w:sz w:val="18"/>
          <w:szCs w:val="18"/>
        </w:rPr>
        <w:t xml:space="preserve">: </w:t>
      </w:r>
      <w:r w:rsidRPr="00B0618B">
        <w:rPr>
          <w:rFonts w:ascii="Verdana" w:hAnsi="Verdana"/>
          <w:sz w:val="18"/>
          <w:szCs w:val="18"/>
        </w:rPr>
        <w:t>Verkennend jurisprudentieonderzoek januari 2020 tot juli 2021</w:t>
      </w:r>
      <w:r w:rsidRPr="00B0618B" w:rsidR="00B5664A">
        <w:rPr>
          <w:rFonts w:ascii="Verdana" w:hAnsi="Verdana"/>
          <w:sz w:val="18"/>
          <w:szCs w:val="18"/>
        </w:rPr>
        <w:t xml:space="preserve"> (2022)</w:t>
      </w:r>
      <w:r w:rsidRPr="00B0618B" w:rsidR="0069371B">
        <w:rPr>
          <w:rFonts w:ascii="Verdana" w:hAnsi="Verdana"/>
          <w:sz w:val="18"/>
          <w:szCs w:val="18"/>
        </w:rPr>
        <w:t>.</w:t>
      </w:r>
    </w:p>
    <w:p w:rsidRPr="00B0618B" w:rsidR="003206D9" w:rsidP="003206D9" w:rsidRDefault="003206D9" w14:paraId="01729235" w14:textId="76FB60D6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Planevaluatie Wet forensische zorg; reconstructie en evaluatie van de beleidstheorie (2022).</w:t>
      </w:r>
    </w:p>
    <w:p w:rsidRPr="00B0618B" w:rsidR="00B75F3A" w:rsidP="00B75F3A" w:rsidRDefault="00B75F3A" w14:paraId="4A7F3D79" w14:textId="28F2D04E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Toepassing </w:t>
      </w:r>
      <w:r w:rsidRPr="00B0618B" w:rsidR="005B05CC">
        <w:rPr>
          <w:rFonts w:ascii="Verdana" w:hAnsi="Verdana"/>
          <w:sz w:val="18"/>
          <w:szCs w:val="18"/>
        </w:rPr>
        <w:t>van de zorgmachtiging door de strafrechter</w:t>
      </w:r>
      <w:r w:rsidRPr="00B0618B">
        <w:rPr>
          <w:rFonts w:ascii="Verdana" w:hAnsi="Verdana"/>
          <w:sz w:val="18"/>
          <w:szCs w:val="18"/>
        </w:rPr>
        <w:t xml:space="preserve">; verkennend </w:t>
      </w:r>
      <w:r w:rsidRPr="00B0618B" w:rsidR="005B05CC">
        <w:rPr>
          <w:rFonts w:ascii="Verdana" w:hAnsi="Verdana"/>
          <w:sz w:val="18"/>
          <w:szCs w:val="18"/>
        </w:rPr>
        <w:t>beeld uit jurisprudentie</w:t>
      </w:r>
      <w:r w:rsidRPr="00B0618B">
        <w:rPr>
          <w:rFonts w:ascii="Verdana" w:hAnsi="Verdana"/>
          <w:sz w:val="18"/>
          <w:szCs w:val="18"/>
        </w:rPr>
        <w:t xml:space="preserve"> (</w:t>
      </w:r>
      <w:proofErr w:type="spellStart"/>
      <w:r w:rsidRPr="00B0618B" w:rsidR="005B05CC">
        <w:rPr>
          <w:rFonts w:ascii="Verdana" w:hAnsi="Verdana"/>
          <w:sz w:val="18"/>
          <w:szCs w:val="18"/>
        </w:rPr>
        <w:t>factsheet</w:t>
      </w:r>
      <w:proofErr w:type="spellEnd"/>
      <w:r w:rsidRPr="00B0618B" w:rsidR="005B05CC">
        <w:rPr>
          <w:rFonts w:ascii="Verdana" w:hAnsi="Verdana"/>
          <w:sz w:val="18"/>
          <w:szCs w:val="18"/>
        </w:rPr>
        <w:t xml:space="preserve">, </w:t>
      </w:r>
      <w:r w:rsidRPr="00B0618B">
        <w:rPr>
          <w:rFonts w:ascii="Verdana" w:hAnsi="Verdana"/>
          <w:sz w:val="18"/>
          <w:szCs w:val="18"/>
        </w:rPr>
        <w:t>2022).</w:t>
      </w:r>
    </w:p>
    <w:p w:rsidRPr="00B0618B" w:rsidR="008F023B" w:rsidP="008F023B" w:rsidRDefault="003206D9" w14:paraId="5F7491FB" w14:textId="3D587426">
      <w:pPr>
        <w:pStyle w:val="Lijstaline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Artikel 2.3 Wet forensische zorg in de praktijk. Toepassing en ervaringen van </w:t>
      </w:r>
      <w:r w:rsidRPr="00B0618B" w:rsidR="00B75F3A">
        <w:rPr>
          <w:rFonts w:ascii="Verdana" w:hAnsi="Verdana"/>
          <w:sz w:val="18"/>
          <w:szCs w:val="18"/>
        </w:rPr>
        <w:t>ketenpartners in de eerste anderhalf jaar na inwerkingtreding (2021)</w:t>
      </w:r>
      <w:r w:rsidRPr="00B0618B" w:rsidR="0069371B">
        <w:rPr>
          <w:rFonts w:ascii="Verdana" w:hAnsi="Verdana"/>
          <w:sz w:val="18"/>
          <w:szCs w:val="18"/>
        </w:rPr>
        <w:t>.</w:t>
      </w:r>
      <w:r w:rsidRPr="00B0618B" w:rsidR="00615AA8">
        <w:rPr>
          <w:rFonts w:ascii="Verdana" w:hAnsi="Verdana"/>
          <w:sz w:val="18"/>
          <w:szCs w:val="18"/>
        </w:rPr>
        <w:br/>
      </w:r>
    </w:p>
    <w:p w:rsidRPr="00B0618B" w:rsidR="008F023B" w:rsidP="008F023B" w:rsidRDefault="008F023B" w14:paraId="52F6C259" w14:textId="062E166F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u w:val="single"/>
        </w:rPr>
      </w:pPr>
      <w:r w:rsidRPr="00B0618B">
        <w:rPr>
          <w:rFonts w:ascii="Verdana" w:hAnsi="Verdana"/>
          <w:sz w:val="18"/>
          <w:szCs w:val="18"/>
          <w:u w:val="single"/>
        </w:rPr>
        <w:t xml:space="preserve">WODC Onderzoeksprogramma </w:t>
      </w:r>
      <w:r w:rsidRPr="00B0618B" w:rsidR="009C355D">
        <w:rPr>
          <w:rFonts w:ascii="Verdana" w:hAnsi="Verdana"/>
          <w:sz w:val="18"/>
          <w:szCs w:val="18"/>
          <w:u w:val="single"/>
        </w:rPr>
        <w:t>E</w:t>
      </w:r>
      <w:r w:rsidRPr="00B0618B">
        <w:rPr>
          <w:rFonts w:ascii="Verdana" w:hAnsi="Verdana"/>
          <w:sz w:val="18"/>
          <w:szCs w:val="18"/>
          <w:u w:val="single"/>
        </w:rPr>
        <w:t xml:space="preserve">valuatie aanpak weigerende </w:t>
      </w:r>
      <w:proofErr w:type="spellStart"/>
      <w:r w:rsidRPr="00B0618B">
        <w:rPr>
          <w:rFonts w:ascii="Verdana" w:hAnsi="Verdana"/>
          <w:sz w:val="18"/>
          <w:szCs w:val="18"/>
          <w:u w:val="single"/>
        </w:rPr>
        <w:t>observandi</w:t>
      </w:r>
      <w:proofErr w:type="spellEnd"/>
    </w:p>
    <w:p w:rsidRPr="00B0618B" w:rsidR="008F023B" w:rsidP="008F023B" w:rsidRDefault="008F023B" w14:paraId="525FB40C" w14:textId="42FF830B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Evaluatie van de aanpak van weigerende </w:t>
      </w:r>
      <w:proofErr w:type="spellStart"/>
      <w:r w:rsidRPr="00B0618B">
        <w:rPr>
          <w:rFonts w:ascii="Verdana" w:hAnsi="Verdana"/>
          <w:sz w:val="18"/>
          <w:szCs w:val="18"/>
        </w:rPr>
        <w:t>observandi</w:t>
      </w:r>
      <w:proofErr w:type="spellEnd"/>
      <w:r w:rsidRPr="00B0618B">
        <w:rPr>
          <w:rFonts w:ascii="Verdana" w:hAnsi="Verdana"/>
          <w:sz w:val="18"/>
          <w:szCs w:val="18"/>
        </w:rPr>
        <w:t>. Prevalentie weigeren, mate van beantwoording pro Justitia-vragen en opgelegde sancties (2024)</w:t>
      </w:r>
    </w:p>
    <w:p w:rsidRPr="00B0618B" w:rsidR="008F023B" w:rsidP="008F023B" w:rsidRDefault="008F023B" w14:paraId="263E4858" w14:textId="77777777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Deelevaluatie vier maatregelen weigeraanpak (2022)</w:t>
      </w:r>
    </w:p>
    <w:p w:rsidRPr="00B0618B" w:rsidR="00D76DD9" w:rsidP="00B0618B" w:rsidRDefault="00B75F3A" w14:paraId="69C57936" w14:textId="311F487D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lastRenderedPageBreak/>
        <w:t>De effectiviteit van de aanpak weigerende verdachten in Pro Justitia onderzoek</w:t>
      </w:r>
      <w:r w:rsidRPr="00B0618B" w:rsidR="00D76DD9">
        <w:rPr>
          <w:rFonts w:ascii="Verdana" w:hAnsi="Verdana"/>
          <w:sz w:val="18"/>
          <w:szCs w:val="18"/>
        </w:rPr>
        <w:t xml:space="preserve">. Achtergrond en contouren van een onderzoeksprogramma </w:t>
      </w:r>
      <w:r w:rsidRPr="00B0618B">
        <w:rPr>
          <w:rFonts w:ascii="Verdana" w:hAnsi="Verdana"/>
          <w:sz w:val="18"/>
          <w:szCs w:val="18"/>
        </w:rPr>
        <w:t>(2021)</w:t>
      </w:r>
      <w:r w:rsidRPr="00B0618B" w:rsidR="00D76DD9">
        <w:rPr>
          <w:rFonts w:ascii="Verdana" w:hAnsi="Verdana"/>
          <w:sz w:val="18"/>
          <w:szCs w:val="18"/>
        </w:rPr>
        <w:t>.</w:t>
      </w:r>
    </w:p>
    <w:p w:rsidRPr="00B0618B" w:rsidR="00D76DD9" w:rsidP="00D76DD9" w:rsidRDefault="00D76DD9" w14:paraId="10F19557" w14:textId="3CB84068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Eindevaluatie Unit 3 Pieter Baan Centrum. Heeft een aparte afdeling voor weigerende verdachten zin? (2019). </w:t>
      </w:r>
    </w:p>
    <w:p w:rsidRPr="00B0618B" w:rsidR="00094D92" w:rsidP="008F023B" w:rsidRDefault="00D76DD9" w14:paraId="6311AE03" w14:textId="77E59181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Weigerende </w:t>
      </w:r>
      <w:proofErr w:type="spellStart"/>
      <w:r w:rsidRPr="00B0618B">
        <w:rPr>
          <w:rFonts w:ascii="Verdana" w:hAnsi="Verdana"/>
          <w:sz w:val="18"/>
          <w:szCs w:val="18"/>
        </w:rPr>
        <w:t>observandi</w:t>
      </w:r>
      <w:proofErr w:type="spellEnd"/>
      <w:r w:rsidRPr="00B0618B">
        <w:rPr>
          <w:rFonts w:ascii="Verdana" w:hAnsi="Verdana"/>
          <w:sz w:val="18"/>
          <w:szCs w:val="18"/>
        </w:rPr>
        <w:t xml:space="preserve"> op een speciale afdeling in het Pieter Baan Centrum: Planevaluatie en bevindingen over het eerste half jaar (2018). </w:t>
      </w:r>
    </w:p>
    <w:p w:rsidRPr="00B0618B" w:rsidR="00B75F3A" w:rsidP="008F023B" w:rsidRDefault="00B75F3A" w14:paraId="719A86D2" w14:textId="5492D45B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Vijftien jaar weigerende verdachten in het pro Justitia onderzoek: prevalentie, informatiebehoefte officieren van justitie, en afdoeningen door de rechter (2018). </w:t>
      </w:r>
    </w:p>
    <w:p w:rsidRPr="00B0618B" w:rsidR="00494FF9" w:rsidP="00494FF9" w:rsidRDefault="00494FF9" w14:paraId="24E4DCCC" w14:textId="77777777">
      <w:pPr>
        <w:pStyle w:val="Lijstalinea"/>
        <w:ind w:left="1440"/>
        <w:rPr>
          <w:rFonts w:ascii="Verdana" w:hAnsi="Verdana"/>
          <w:sz w:val="18"/>
          <w:szCs w:val="18"/>
        </w:rPr>
      </w:pPr>
    </w:p>
    <w:p w:rsidRPr="00B0618B" w:rsidR="008F023B" w:rsidP="008F023B" w:rsidRDefault="008F023B" w14:paraId="5BB0DDB2" w14:textId="182CA4AD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u w:val="single"/>
        </w:rPr>
      </w:pPr>
      <w:r w:rsidRPr="00B0618B">
        <w:rPr>
          <w:rFonts w:ascii="Verdana" w:hAnsi="Verdana"/>
          <w:sz w:val="18"/>
          <w:szCs w:val="18"/>
          <w:u w:val="single"/>
        </w:rPr>
        <w:t xml:space="preserve">WODC </w:t>
      </w:r>
      <w:r w:rsidRPr="00B0618B" w:rsidR="009C355D">
        <w:rPr>
          <w:rFonts w:ascii="Verdana" w:hAnsi="Verdana"/>
          <w:sz w:val="18"/>
          <w:szCs w:val="18"/>
          <w:u w:val="single"/>
        </w:rPr>
        <w:t>O</w:t>
      </w:r>
      <w:r w:rsidRPr="00B0618B">
        <w:rPr>
          <w:rFonts w:ascii="Verdana" w:hAnsi="Verdana"/>
          <w:sz w:val="18"/>
          <w:szCs w:val="18"/>
          <w:u w:val="single"/>
        </w:rPr>
        <w:t>nderzoeksprogramma Wet langdurig toezicht</w:t>
      </w:r>
    </w:p>
    <w:p w:rsidRPr="00B0618B" w:rsidR="000E6211" w:rsidP="000E6211" w:rsidRDefault="000E6211" w14:paraId="23C0F659" w14:textId="44AC4830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Inzicht in toezicht; tbs-gestelden langdurig(er) voorwaardelijk vrij. De evaluatie van twee wetswijzigingen (2025)</w:t>
      </w:r>
      <w:r w:rsidRPr="00B0618B" w:rsidR="0069371B">
        <w:rPr>
          <w:rFonts w:ascii="Verdana" w:hAnsi="Verdana"/>
          <w:sz w:val="18"/>
          <w:szCs w:val="18"/>
        </w:rPr>
        <w:t>.</w:t>
      </w:r>
    </w:p>
    <w:p w:rsidRPr="00B0618B" w:rsidR="00837705" w:rsidP="00837705" w:rsidRDefault="00837705" w14:paraId="65665876" w14:textId="77777777">
      <w:pPr>
        <w:pStyle w:val="Lijstalinea"/>
        <w:numPr>
          <w:ilvl w:val="0"/>
          <w:numId w:val="7"/>
        </w:numPr>
        <w:tabs>
          <w:tab w:val="num" w:pos="432"/>
        </w:tabs>
        <w:suppressAutoHyphens/>
        <w:spacing w:after="0" w:line="240" w:lineRule="auto"/>
        <w:rPr>
          <w:rFonts w:ascii="Verdana" w:hAnsi="Verdana" w:cs="Verdana"/>
          <w:sz w:val="18"/>
          <w:szCs w:val="18"/>
        </w:rPr>
      </w:pPr>
      <w:r w:rsidRPr="00B0618B">
        <w:rPr>
          <w:rFonts w:ascii="Verdana" w:hAnsi="Verdana" w:cs="Verdana"/>
          <w:sz w:val="18"/>
          <w:szCs w:val="18"/>
        </w:rPr>
        <w:t xml:space="preserve">De </w:t>
      </w:r>
      <w:proofErr w:type="spellStart"/>
      <w:r w:rsidRPr="00B0618B">
        <w:rPr>
          <w:rFonts w:ascii="Verdana" w:hAnsi="Verdana" w:cs="Verdana"/>
          <w:sz w:val="18"/>
          <w:szCs w:val="18"/>
        </w:rPr>
        <w:t>gedragsbeïnvloedende</w:t>
      </w:r>
      <w:proofErr w:type="spellEnd"/>
      <w:r w:rsidRPr="00B0618B">
        <w:rPr>
          <w:rFonts w:ascii="Verdana" w:hAnsi="Verdana" w:cs="Verdana"/>
          <w:sz w:val="18"/>
          <w:szCs w:val="18"/>
        </w:rPr>
        <w:t xml:space="preserve"> en vrijheidsbeperkende maatregel in 2022. Kenmerken van uitspraken tot opleggingen en tenuitvoerleggingen (2024).</w:t>
      </w:r>
    </w:p>
    <w:p w:rsidRPr="00B0618B" w:rsidR="00837705" w:rsidP="00837705" w:rsidRDefault="00837705" w14:paraId="225C99CF" w14:textId="77777777">
      <w:pPr>
        <w:pStyle w:val="Lijstalinea"/>
        <w:numPr>
          <w:ilvl w:val="0"/>
          <w:numId w:val="7"/>
        </w:numPr>
        <w:tabs>
          <w:tab w:val="num" w:pos="432"/>
        </w:tabs>
        <w:suppressAutoHyphens/>
        <w:spacing w:after="0" w:line="240" w:lineRule="auto"/>
        <w:rPr>
          <w:rFonts w:ascii="Verdana" w:hAnsi="Verdana" w:cs="Verdana"/>
          <w:sz w:val="18"/>
          <w:szCs w:val="18"/>
        </w:rPr>
      </w:pPr>
      <w:r w:rsidRPr="00B0618B">
        <w:rPr>
          <w:rFonts w:ascii="Verdana" w:hAnsi="Verdana" w:cs="Verdana"/>
          <w:sz w:val="18"/>
          <w:szCs w:val="18"/>
        </w:rPr>
        <w:t>Langdurig toezicht bij ernstige gewelds- en zedendelinquenten. Een meta-review naar effectieve (elementen van) toezicht/behandelprogramma’s en veronderstelde werkzame mechanismen (2024).</w:t>
      </w:r>
    </w:p>
    <w:p w:rsidRPr="00B0618B" w:rsidR="00837705" w:rsidP="00837705" w:rsidRDefault="00837705" w14:paraId="5585661A" w14:textId="77777777">
      <w:pPr>
        <w:pStyle w:val="Lijstalinea"/>
        <w:numPr>
          <w:ilvl w:val="0"/>
          <w:numId w:val="7"/>
        </w:numPr>
        <w:tabs>
          <w:tab w:val="num" w:pos="432"/>
        </w:tabs>
        <w:suppressAutoHyphens/>
        <w:spacing w:after="0" w:line="240" w:lineRule="auto"/>
        <w:rPr>
          <w:rFonts w:ascii="Verdana" w:hAnsi="Verdana" w:cs="Verdana"/>
          <w:sz w:val="18"/>
          <w:szCs w:val="18"/>
        </w:rPr>
      </w:pPr>
      <w:r w:rsidRPr="00B0618B">
        <w:rPr>
          <w:rFonts w:ascii="Verdana" w:hAnsi="Verdana" w:cs="Verdana"/>
          <w:sz w:val="18"/>
          <w:szCs w:val="18"/>
        </w:rPr>
        <w:t xml:space="preserve">De </w:t>
      </w:r>
      <w:proofErr w:type="spellStart"/>
      <w:r w:rsidRPr="00B0618B">
        <w:rPr>
          <w:rFonts w:ascii="Verdana" w:hAnsi="Verdana" w:cs="Verdana"/>
          <w:sz w:val="18"/>
          <w:szCs w:val="18"/>
        </w:rPr>
        <w:t>gedragsbeïnvloedende</w:t>
      </w:r>
      <w:proofErr w:type="spellEnd"/>
      <w:r w:rsidRPr="00B0618B">
        <w:rPr>
          <w:rFonts w:ascii="Verdana" w:hAnsi="Verdana" w:cs="Verdana"/>
          <w:sz w:val="18"/>
          <w:szCs w:val="18"/>
        </w:rPr>
        <w:t xml:space="preserve"> en vrijheidsbeperkende maatregel in 2021. Aantal en kenmerken (2023).</w:t>
      </w:r>
    </w:p>
    <w:p w:rsidRPr="00B0618B" w:rsidR="00837705" w:rsidP="00B0618B" w:rsidRDefault="00837705" w14:paraId="33743C60" w14:textId="45348C42">
      <w:pPr>
        <w:pStyle w:val="Lijstalinea"/>
        <w:numPr>
          <w:ilvl w:val="0"/>
          <w:numId w:val="7"/>
        </w:numPr>
        <w:tabs>
          <w:tab w:val="num" w:pos="432"/>
        </w:tabs>
        <w:suppressAutoHyphens/>
        <w:spacing w:after="0" w:line="240" w:lineRule="auto"/>
        <w:rPr>
          <w:rFonts w:ascii="Verdana" w:hAnsi="Verdana" w:cs="Verdana"/>
          <w:sz w:val="18"/>
          <w:szCs w:val="18"/>
        </w:rPr>
      </w:pPr>
      <w:r w:rsidRPr="00B0618B">
        <w:rPr>
          <w:rFonts w:ascii="Verdana" w:hAnsi="Verdana" w:cs="Verdana"/>
          <w:sz w:val="18"/>
          <w:szCs w:val="18"/>
        </w:rPr>
        <w:t>Het gebiedsverbod in perspectief. Wettelijke (on)mogelijkheden, cijfers en ervaringen (2023).</w:t>
      </w:r>
    </w:p>
    <w:p w:rsidRPr="00B0618B" w:rsidR="000E6211" w:rsidP="000E6211" w:rsidRDefault="00837705" w14:paraId="394EEC03" w14:textId="03B63C58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Gewelds- en zedendelinquenten </w:t>
      </w:r>
      <w:r w:rsidRPr="00B0618B" w:rsidR="000E6211">
        <w:rPr>
          <w:rFonts w:ascii="Verdana" w:hAnsi="Verdana"/>
          <w:sz w:val="18"/>
          <w:szCs w:val="18"/>
        </w:rPr>
        <w:t xml:space="preserve">onder langdurig toezicht. Opleggingen en kenmerken van de </w:t>
      </w:r>
      <w:proofErr w:type="spellStart"/>
      <w:r w:rsidRPr="00B0618B" w:rsidR="000E6211">
        <w:rPr>
          <w:rFonts w:ascii="Verdana" w:hAnsi="Verdana"/>
          <w:sz w:val="18"/>
          <w:szCs w:val="18"/>
        </w:rPr>
        <w:t>gedragsbeïnvloedende</w:t>
      </w:r>
      <w:proofErr w:type="spellEnd"/>
      <w:r w:rsidRPr="00B0618B" w:rsidR="000E6211">
        <w:rPr>
          <w:rFonts w:ascii="Verdana" w:hAnsi="Verdana"/>
          <w:sz w:val="18"/>
          <w:szCs w:val="18"/>
        </w:rPr>
        <w:t xml:space="preserve"> en vrijheidsbeperkende maatregel in 2020 (2022). </w:t>
      </w:r>
    </w:p>
    <w:p w:rsidRPr="00B0618B" w:rsidR="000E6211" w:rsidP="008F023B" w:rsidRDefault="000E6211" w14:paraId="3EF06165" w14:textId="23D18E5B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Reconstructie van de beleidstheorie, eerste evidentie en nadere onderzoeksthema’s (2020).</w:t>
      </w:r>
    </w:p>
    <w:p w:rsidRPr="00B0618B" w:rsidR="000E6211" w:rsidP="008F023B" w:rsidRDefault="000E6211" w14:paraId="12F8752B" w14:textId="6A2E97B2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Toepassingen van de Wet langdurig toezicht in 2017-2020. Een eerste verkenning (2021). </w:t>
      </w:r>
    </w:p>
    <w:p w:rsidRPr="00B0618B" w:rsidR="00837705" w:rsidP="00837705" w:rsidRDefault="00837705" w14:paraId="2E5A0D86" w14:textId="21F97B6C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Wet langdurig toezicht: </w:t>
      </w:r>
      <w:r w:rsidRPr="00B0618B">
        <w:rPr>
          <w:rFonts w:ascii="Verdana" w:hAnsi="Verdana" w:cs="Verdana"/>
          <w:sz w:val="18"/>
          <w:szCs w:val="18"/>
        </w:rPr>
        <w:t>Onderzoeksprogramma naar de toepassingen van de Wet langdurig toezicht in 2017-2022 (2020).</w:t>
      </w:r>
    </w:p>
    <w:p w:rsidRPr="00B0618B" w:rsidR="008F023B" w:rsidP="008F023B" w:rsidRDefault="00B75F3A" w14:paraId="57300CBA" w14:textId="343E24D2">
      <w:pPr>
        <w:rPr>
          <w:rFonts w:ascii="Verdana" w:hAnsi="Verdana"/>
          <w:sz w:val="18"/>
          <w:szCs w:val="18"/>
          <w:u w:val="single"/>
        </w:rPr>
      </w:pPr>
      <w:r w:rsidRPr="00B0618B">
        <w:rPr>
          <w:rFonts w:ascii="Verdana" w:hAnsi="Verdana"/>
          <w:sz w:val="18"/>
          <w:szCs w:val="18"/>
          <w:u w:val="single"/>
        </w:rPr>
        <w:t>Overig WODC onderzoek/extern uitgezet</w:t>
      </w:r>
    </w:p>
    <w:p w:rsidRPr="00B0618B" w:rsidR="00E44541" w:rsidP="00A5617B" w:rsidRDefault="00E44541" w14:paraId="08EECB7A" w14:textId="44778762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Capaciteitsbehoefte justitiële ketens t/m 2030 – </w:t>
      </w:r>
      <w:proofErr w:type="spellStart"/>
      <w:r w:rsidRPr="00B0618B">
        <w:rPr>
          <w:rFonts w:ascii="Verdana" w:hAnsi="Verdana"/>
          <w:sz w:val="18"/>
          <w:szCs w:val="18"/>
        </w:rPr>
        <w:t>Beleidsneutrale</w:t>
      </w:r>
      <w:proofErr w:type="spellEnd"/>
      <w:r w:rsidRPr="00B0618B">
        <w:rPr>
          <w:rFonts w:ascii="Verdana" w:hAnsi="Verdana"/>
          <w:sz w:val="18"/>
          <w:szCs w:val="18"/>
        </w:rPr>
        <w:t xml:space="preserve"> ramingen (2025)</w:t>
      </w:r>
    </w:p>
    <w:p w:rsidRPr="00B0618B" w:rsidR="00A5617B" w:rsidP="00A5617B" w:rsidRDefault="008F023B" w14:paraId="156D55F9" w14:textId="0C648FD6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Een veelkleurig vergezicht. Kenmerken, behoeften, besluitvorming en beleid rond langverblijf in de tbs (2025).</w:t>
      </w:r>
    </w:p>
    <w:p w:rsidRPr="00B0618B" w:rsidR="00463563" w:rsidP="00463563" w:rsidRDefault="00463563" w14:paraId="4FCE1D2E" w14:textId="77777777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Capaciteitsbehoefte justitiële ketens t/m 2029 – </w:t>
      </w:r>
      <w:proofErr w:type="spellStart"/>
      <w:r w:rsidRPr="00B0618B">
        <w:rPr>
          <w:rFonts w:ascii="Verdana" w:hAnsi="Verdana"/>
          <w:sz w:val="18"/>
          <w:szCs w:val="18"/>
        </w:rPr>
        <w:t>Beleidsneutrale</w:t>
      </w:r>
      <w:proofErr w:type="spellEnd"/>
      <w:r w:rsidRPr="00B0618B">
        <w:rPr>
          <w:rFonts w:ascii="Verdana" w:hAnsi="Verdana"/>
          <w:sz w:val="18"/>
          <w:szCs w:val="18"/>
        </w:rPr>
        <w:t xml:space="preserve"> ramingen (2024)</w:t>
      </w:r>
    </w:p>
    <w:p w:rsidRPr="00B0618B" w:rsidR="00463563" w:rsidP="00463563" w:rsidRDefault="00463563" w14:paraId="31424959" w14:textId="77777777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Casestudie verloop traject uitgeplaatste en niet-uitgeplaatste gedetineerden – na een zeden of ernstig geweldsdelict naar aanleiding van de maatregelen Michael P. (2023)</w:t>
      </w:r>
    </w:p>
    <w:p w:rsidRPr="00B0618B" w:rsidR="00B0618B" w:rsidP="00463563" w:rsidRDefault="00B0618B" w14:paraId="6132E3E7" w14:textId="40AE4F1F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6468A">
        <w:rPr>
          <w:rFonts w:ascii="Verdana" w:hAnsi="Verdana"/>
          <w:sz w:val="18"/>
          <w:szCs w:val="18"/>
        </w:rPr>
        <w:t xml:space="preserve">Binnen. Beeld. Buiten. Een evaluatie van zorgconferenties bij </w:t>
      </w:r>
      <w:proofErr w:type="spellStart"/>
      <w:r w:rsidRPr="00B6468A">
        <w:rPr>
          <w:rFonts w:ascii="Verdana" w:hAnsi="Verdana"/>
          <w:sz w:val="18"/>
          <w:szCs w:val="18"/>
        </w:rPr>
        <w:t>langverblijvers</w:t>
      </w:r>
      <w:proofErr w:type="spellEnd"/>
      <w:r w:rsidRPr="00B6468A">
        <w:rPr>
          <w:rFonts w:ascii="Verdana" w:hAnsi="Verdana"/>
          <w:sz w:val="18"/>
          <w:szCs w:val="18"/>
        </w:rPr>
        <w:t xml:space="preserve"> (15+) in de tbs</w:t>
      </w:r>
      <w:r w:rsidR="00B6468A">
        <w:rPr>
          <w:rFonts w:ascii="Verdana" w:hAnsi="Verdana"/>
          <w:sz w:val="18"/>
          <w:szCs w:val="18"/>
        </w:rPr>
        <w:t xml:space="preserve"> (2022). </w:t>
      </w:r>
      <w:r w:rsidRPr="00B0618B">
        <w:rPr>
          <w:rFonts w:ascii="Verdana" w:hAnsi="Verdana"/>
          <w:sz w:val="18"/>
          <w:szCs w:val="18"/>
        </w:rPr>
        <w:t xml:space="preserve"> </w:t>
      </w:r>
    </w:p>
    <w:p w:rsidRPr="00B0618B" w:rsidR="00463563" w:rsidP="00A5617B" w:rsidRDefault="00CD1FF9" w14:paraId="78B649D4" w14:textId="316BEC98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Onbenut potentieel – Kwalitatief onderzoek naar werkzame factoren in de opzet en uitvoering van de maatregel plaatsing in een Inrichting voor Stelselmatige Daders (ISD) (2022)</w:t>
      </w:r>
    </w:p>
    <w:p w:rsidRPr="00B0618B" w:rsidR="0044476B" w:rsidP="00A5617B" w:rsidRDefault="0044476B" w14:paraId="183E1470" w14:textId="0D3CE642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Sociale robots in de forensische zorg – Een exploratief onderzoek (2022)</w:t>
      </w:r>
    </w:p>
    <w:p w:rsidRPr="00B0618B" w:rsidR="005C0A5B" w:rsidP="00A5617B" w:rsidRDefault="005C0A5B" w14:paraId="78424F2F" w14:textId="549CE7C0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Kansen en risico’s van de inzet van neurotechnologie in het strafrecht (2022)</w:t>
      </w:r>
    </w:p>
    <w:p w:rsidRPr="00B0618B" w:rsidR="00094D92" w:rsidP="00A5617B" w:rsidRDefault="00094D92" w14:paraId="1E6B804E" w14:textId="76A67B63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Dataveiligheid en privacy bij het gebruik van fysiologische w</w:t>
      </w:r>
      <w:r w:rsidRPr="00B0618B" w:rsidR="002E5F51">
        <w:rPr>
          <w:rFonts w:ascii="Verdana" w:hAnsi="Verdana"/>
          <w:sz w:val="18"/>
          <w:szCs w:val="18"/>
        </w:rPr>
        <w:t>e</w:t>
      </w:r>
      <w:r w:rsidRPr="00B0618B">
        <w:rPr>
          <w:rFonts w:ascii="Verdana" w:hAnsi="Verdana"/>
          <w:sz w:val="18"/>
          <w:szCs w:val="18"/>
        </w:rPr>
        <w:t xml:space="preserve">arables in de justitiële context (2021). </w:t>
      </w:r>
    </w:p>
    <w:p w:rsidRPr="00B0618B" w:rsidR="00AB05B0" w:rsidP="00A5617B" w:rsidRDefault="00AB05B0" w14:paraId="2667EA27" w14:textId="154C86B9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Agressie en geweld in het veiligheidsveld – Literatuurstudie naar agressie en geweld jegens beroepsgroepen werkend onder beleidsverantwoordelijkheid van </w:t>
      </w:r>
      <w:proofErr w:type="spellStart"/>
      <w:r w:rsidRPr="00B0618B">
        <w:rPr>
          <w:rFonts w:ascii="Verdana" w:hAnsi="Verdana"/>
          <w:sz w:val="18"/>
          <w:szCs w:val="18"/>
        </w:rPr>
        <w:t>JenV</w:t>
      </w:r>
      <w:proofErr w:type="spellEnd"/>
      <w:r w:rsidRPr="00B0618B">
        <w:rPr>
          <w:rFonts w:ascii="Verdana" w:hAnsi="Verdana"/>
          <w:sz w:val="18"/>
          <w:szCs w:val="18"/>
        </w:rPr>
        <w:t xml:space="preserve"> (2020)</w:t>
      </w:r>
    </w:p>
    <w:p w:rsidRPr="00B0618B" w:rsidR="00B75F3A" w:rsidP="00A5617B" w:rsidRDefault="00B75F3A" w14:paraId="4F769481" w14:textId="0135B7FE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Rol van de leefgroep in de behandeling. Kwalitatief onderzoek naar de afstemming tussen individuele behandeling op de lee</w:t>
      </w:r>
      <w:r w:rsidRPr="00B0618B" w:rsidR="00B0618B">
        <w:rPr>
          <w:rFonts w:ascii="Verdana" w:hAnsi="Verdana"/>
          <w:sz w:val="18"/>
          <w:szCs w:val="18"/>
        </w:rPr>
        <w:t>f</w:t>
      </w:r>
      <w:r w:rsidRPr="00B0618B">
        <w:rPr>
          <w:rFonts w:ascii="Verdana" w:hAnsi="Verdana"/>
          <w:sz w:val="18"/>
          <w:szCs w:val="18"/>
        </w:rPr>
        <w:t>groep in een forensische setting (2019).</w:t>
      </w:r>
    </w:p>
    <w:p w:rsidRPr="00B0618B" w:rsidR="00B75F3A" w:rsidP="00A5617B" w:rsidRDefault="00B75F3A" w14:paraId="3116B9BD" w14:textId="205A4244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Effectiviteit van de ISD-maatregel (2019)</w:t>
      </w:r>
      <w:r w:rsidRPr="00B0618B" w:rsidR="0069371B">
        <w:rPr>
          <w:rFonts w:ascii="Verdana" w:hAnsi="Verdana"/>
          <w:sz w:val="18"/>
          <w:szCs w:val="18"/>
        </w:rPr>
        <w:t>.</w:t>
      </w:r>
    </w:p>
    <w:p w:rsidR="00FC0125" w:rsidP="00A5617B" w:rsidRDefault="00FC0125" w14:paraId="4E7C742A" w14:textId="300904B8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NZA monitor continuïteit van </w:t>
      </w:r>
      <w:r w:rsidRPr="00B0618B" w:rsidR="00F57413">
        <w:rPr>
          <w:rFonts w:ascii="Verdana" w:hAnsi="Verdana"/>
          <w:sz w:val="18"/>
          <w:szCs w:val="18"/>
        </w:rPr>
        <w:t xml:space="preserve">forensische </w:t>
      </w:r>
      <w:r w:rsidRPr="00B0618B">
        <w:rPr>
          <w:rFonts w:ascii="Verdana" w:hAnsi="Verdana"/>
          <w:sz w:val="18"/>
          <w:szCs w:val="18"/>
        </w:rPr>
        <w:t>zorg aangepaste versie (2018)</w:t>
      </w:r>
    </w:p>
    <w:p w:rsidRPr="00B0618B" w:rsidR="00491434" w:rsidP="00491434" w:rsidRDefault="00491434" w14:paraId="6B6B8BF9" w14:textId="77777777">
      <w:pPr>
        <w:pStyle w:val="Lijstalinea"/>
        <w:ind w:left="1440"/>
        <w:rPr>
          <w:rFonts w:ascii="Verdana" w:hAnsi="Verdana"/>
          <w:sz w:val="18"/>
          <w:szCs w:val="18"/>
        </w:rPr>
      </w:pPr>
    </w:p>
    <w:p w:rsidRPr="00B0618B" w:rsidR="00953195" w:rsidP="00953195" w:rsidRDefault="00953195" w14:paraId="3A6EA25D" w14:textId="77777777">
      <w:pPr>
        <w:pStyle w:val="Lijstalinea"/>
        <w:ind w:left="1440"/>
        <w:rPr>
          <w:rFonts w:ascii="Verdana" w:hAnsi="Verdana"/>
          <w:sz w:val="18"/>
          <w:szCs w:val="18"/>
        </w:rPr>
      </w:pPr>
    </w:p>
    <w:p w:rsidRPr="00B0618B" w:rsidR="00A5617B" w:rsidP="00B0618B" w:rsidRDefault="00A5617B" w14:paraId="3EBF72FB" w14:textId="77777777">
      <w:pPr>
        <w:rPr>
          <w:rFonts w:ascii="Verdana" w:hAnsi="Verdana"/>
          <w:sz w:val="18"/>
          <w:szCs w:val="18"/>
          <w:u w:val="single"/>
        </w:rPr>
      </w:pPr>
      <w:r w:rsidRPr="00B0618B">
        <w:rPr>
          <w:rFonts w:ascii="Verdana" w:hAnsi="Verdana"/>
          <w:sz w:val="18"/>
          <w:szCs w:val="18"/>
          <w:u w:val="single"/>
        </w:rPr>
        <w:t>Raad voor Strafrechtstoepassing en Jeugdbescherming</w:t>
      </w:r>
    </w:p>
    <w:p w:rsidRPr="00B0618B" w:rsidR="00A5617B" w:rsidP="00A5617B" w:rsidRDefault="00A5617B" w14:paraId="51AADF73" w14:textId="41ACE29A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lastRenderedPageBreak/>
        <w:t>Advies Technologische innovaties in de forensische zorg (2024)</w:t>
      </w:r>
      <w:r w:rsidRPr="00B0618B" w:rsidR="0069371B">
        <w:rPr>
          <w:rFonts w:ascii="Verdana" w:hAnsi="Verdana"/>
          <w:sz w:val="18"/>
          <w:szCs w:val="18"/>
        </w:rPr>
        <w:t>.</w:t>
      </w:r>
    </w:p>
    <w:p w:rsidRPr="00B0618B" w:rsidR="00A5617B" w:rsidP="00A5617B" w:rsidRDefault="00A5617B" w14:paraId="234B1792" w14:textId="207DF4C1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Advies Risicotaxatie in de strafrechtstoepassing (2021)</w:t>
      </w:r>
      <w:r w:rsidRPr="00B0618B" w:rsidR="0069371B">
        <w:rPr>
          <w:rFonts w:ascii="Verdana" w:hAnsi="Verdana"/>
          <w:sz w:val="18"/>
          <w:szCs w:val="18"/>
        </w:rPr>
        <w:t>.</w:t>
      </w:r>
    </w:p>
    <w:p w:rsidRPr="00B0618B" w:rsidR="00A5617B" w:rsidP="00A5617B" w:rsidRDefault="00A5617B" w14:paraId="12D3F8E2" w14:textId="1B235C8B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Advies Vreemdelingen in de tbs (2021)</w:t>
      </w:r>
      <w:r w:rsidRPr="00B0618B" w:rsidR="0069371B">
        <w:rPr>
          <w:rFonts w:ascii="Verdana" w:hAnsi="Verdana"/>
          <w:sz w:val="18"/>
          <w:szCs w:val="18"/>
        </w:rPr>
        <w:t>.</w:t>
      </w:r>
    </w:p>
    <w:p w:rsidRPr="00B0618B" w:rsidR="00A5617B" w:rsidP="00A5617B" w:rsidRDefault="00A5617B" w14:paraId="68FFBC75" w14:textId="36A1FE76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>Advies langdurig in de tbs (2020)</w:t>
      </w:r>
      <w:r w:rsidRPr="00B0618B" w:rsidR="0069371B">
        <w:rPr>
          <w:rFonts w:ascii="Verdana" w:hAnsi="Verdana"/>
          <w:sz w:val="18"/>
          <w:szCs w:val="18"/>
        </w:rPr>
        <w:t>.</w:t>
      </w:r>
    </w:p>
    <w:p w:rsidRPr="00B0618B" w:rsidR="00A5617B" w:rsidP="00A5617B" w:rsidRDefault="00A5617B" w14:paraId="35EDC3D9" w14:textId="7FABD705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B0618B">
        <w:rPr>
          <w:rFonts w:ascii="Verdana" w:hAnsi="Verdana"/>
          <w:sz w:val="18"/>
          <w:szCs w:val="18"/>
        </w:rPr>
        <w:t xml:space="preserve">Advies Ontwikkelingen en knelpunten bij </w:t>
      </w:r>
      <w:proofErr w:type="spellStart"/>
      <w:r w:rsidRPr="00B0618B">
        <w:rPr>
          <w:rFonts w:ascii="Verdana" w:hAnsi="Verdana"/>
          <w:sz w:val="18"/>
          <w:szCs w:val="18"/>
        </w:rPr>
        <w:t>fpk’s</w:t>
      </w:r>
      <w:proofErr w:type="spellEnd"/>
      <w:r w:rsidRPr="00B0618B">
        <w:rPr>
          <w:rFonts w:ascii="Verdana" w:hAnsi="Verdana"/>
          <w:sz w:val="18"/>
          <w:szCs w:val="18"/>
        </w:rPr>
        <w:t xml:space="preserve"> en </w:t>
      </w:r>
      <w:proofErr w:type="spellStart"/>
      <w:r w:rsidRPr="00B0618B">
        <w:rPr>
          <w:rFonts w:ascii="Verdana" w:hAnsi="Verdana"/>
          <w:sz w:val="18"/>
          <w:szCs w:val="18"/>
        </w:rPr>
        <w:t>fpa’s</w:t>
      </w:r>
      <w:proofErr w:type="spellEnd"/>
      <w:r w:rsidRPr="00B0618B">
        <w:rPr>
          <w:rFonts w:ascii="Verdana" w:hAnsi="Verdana"/>
          <w:sz w:val="18"/>
          <w:szCs w:val="18"/>
        </w:rPr>
        <w:t xml:space="preserve"> (2018)</w:t>
      </w:r>
      <w:r w:rsidRPr="00B0618B" w:rsidR="0069371B">
        <w:rPr>
          <w:rFonts w:ascii="Verdana" w:hAnsi="Verdana"/>
          <w:sz w:val="18"/>
          <w:szCs w:val="18"/>
        </w:rPr>
        <w:t>.</w:t>
      </w:r>
    </w:p>
    <w:p w:rsidRPr="00B0618B" w:rsidR="003206D9" w:rsidP="00494FF9" w:rsidRDefault="003206D9" w14:paraId="6C22B7DC" w14:textId="7AF74C08">
      <w:pPr>
        <w:pStyle w:val="Lijstalinea"/>
        <w:rPr>
          <w:rFonts w:ascii="Verdana" w:hAnsi="Verdana"/>
          <w:sz w:val="18"/>
          <w:szCs w:val="18"/>
        </w:rPr>
      </w:pPr>
    </w:p>
    <w:p w:rsidRPr="00B0618B" w:rsidR="00D34421" w:rsidP="00953195" w:rsidRDefault="00953195" w14:paraId="23AB5352" w14:textId="6ACC4004">
      <w:pPr>
        <w:ind w:left="360"/>
        <w:rPr>
          <w:rFonts w:ascii="Verdana" w:hAnsi="Verdana"/>
          <w:sz w:val="18"/>
          <w:szCs w:val="18"/>
          <w:u w:val="single"/>
        </w:rPr>
      </w:pPr>
      <w:r w:rsidRPr="00B0618B">
        <w:rPr>
          <w:rFonts w:ascii="Verdana" w:hAnsi="Verdana"/>
          <w:sz w:val="18"/>
          <w:szCs w:val="18"/>
          <w:u w:val="single"/>
        </w:rPr>
        <w:t>Vorige periodieke rapportage/beleidsdoorlichting</w:t>
      </w:r>
    </w:p>
    <w:p w:rsidRPr="00B0618B" w:rsidR="00953195" w:rsidP="00953195" w:rsidRDefault="00953195" w14:paraId="5565C213" w14:textId="12B8DDFE">
      <w:pPr>
        <w:pStyle w:val="Lijstalinea"/>
        <w:numPr>
          <w:ilvl w:val="0"/>
          <w:numId w:val="8"/>
        </w:numPr>
        <w:rPr>
          <w:rFonts w:ascii="Verdana" w:hAnsi="Verdana"/>
          <w:sz w:val="18"/>
          <w:szCs w:val="18"/>
        </w:rPr>
      </w:pPr>
      <w:hyperlink w:history="1" r:id="rId24">
        <w:r w:rsidRPr="00B0618B">
          <w:rPr>
            <w:rStyle w:val="Hyperlink"/>
            <w:rFonts w:ascii="Verdana" w:hAnsi="Verdana"/>
            <w:sz w:val="18"/>
            <w:szCs w:val="18"/>
          </w:rPr>
          <w:t>Beleidsdoorlichting artikel 34.3</w:t>
        </w:r>
      </w:hyperlink>
      <w:r w:rsidRPr="00B0618B">
        <w:rPr>
          <w:rFonts w:ascii="Verdana" w:hAnsi="Verdana"/>
          <w:sz w:val="18"/>
          <w:szCs w:val="18"/>
        </w:rPr>
        <w:t>, Tenuitvoerlegging strafrechtelijke sancties en maatregelen (2008-2014), juni 2018.</w:t>
      </w:r>
    </w:p>
    <w:sectPr w:rsidRPr="00B0618B" w:rsidR="0095319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600"/>
    <w:multiLevelType w:val="hybridMultilevel"/>
    <w:tmpl w:val="C6124058"/>
    <w:lvl w:ilvl="0" w:tplc="D526CC40">
      <w:start w:val="1"/>
      <w:numFmt w:val="decimal"/>
      <w:lvlText w:val="%1)"/>
      <w:lvlJc w:val="left"/>
      <w:pPr>
        <w:ind w:left="1020" w:hanging="360"/>
      </w:pPr>
    </w:lvl>
    <w:lvl w:ilvl="1" w:tplc="278694EC">
      <w:start w:val="1"/>
      <w:numFmt w:val="decimal"/>
      <w:lvlText w:val="%2)"/>
      <w:lvlJc w:val="left"/>
      <w:pPr>
        <w:ind w:left="1020" w:hanging="360"/>
      </w:pPr>
    </w:lvl>
    <w:lvl w:ilvl="2" w:tplc="B33EDD1A">
      <w:start w:val="1"/>
      <w:numFmt w:val="decimal"/>
      <w:lvlText w:val="%3)"/>
      <w:lvlJc w:val="left"/>
      <w:pPr>
        <w:ind w:left="1020" w:hanging="360"/>
      </w:pPr>
    </w:lvl>
    <w:lvl w:ilvl="3" w:tplc="B4B285AC">
      <w:start w:val="1"/>
      <w:numFmt w:val="decimal"/>
      <w:lvlText w:val="%4)"/>
      <w:lvlJc w:val="left"/>
      <w:pPr>
        <w:ind w:left="1020" w:hanging="360"/>
      </w:pPr>
    </w:lvl>
    <w:lvl w:ilvl="4" w:tplc="BDBEAE76">
      <w:start w:val="1"/>
      <w:numFmt w:val="decimal"/>
      <w:lvlText w:val="%5)"/>
      <w:lvlJc w:val="left"/>
      <w:pPr>
        <w:ind w:left="1020" w:hanging="360"/>
      </w:pPr>
    </w:lvl>
    <w:lvl w:ilvl="5" w:tplc="9A123CCA">
      <w:start w:val="1"/>
      <w:numFmt w:val="decimal"/>
      <w:lvlText w:val="%6)"/>
      <w:lvlJc w:val="left"/>
      <w:pPr>
        <w:ind w:left="1020" w:hanging="360"/>
      </w:pPr>
    </w:lvl>
    <w:lvl w:ilvl="6" w:tplc="5F6E668A">
      <w:start w:val="1"/>
      <w:numFmt w:val="decimal"/>
      <w:lvlText w:val="%7)"/>
      <w:lvlJc w:val="left"/>
      <w:pPr>
        <w:ind w:left="1020" w:hanging="360"/>
      </w:pPr>
    </w:lvl>
    <w:lvl w:ilvl="7" w:tplc="4E3A7BB2">
      <w:start w:val="1"/>
      <w:numFmt w:val="decimal"/>
      <w:lvlText w:val="%8)"/>
      <w:lvlJc w:val="left"/>
      <w:pPr>
        <w:ind w:left="1020" w:hanging="360"/>
      </w:pPr>
    </w:lvl>
    <w:lvl w:ilvl="8" w:tplc="F09E6702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6C0203C"/>
    <w:multiLevelType w:val="hybridMultilevel"/>
    <w:tmpl w:val="BD0A9C2A"/>
    <w:lvl w:ilvl="0" w:tplc="95767A8E">
      <w:start w:val="1"/>
      <w:numFmt w:val="decimal"/>
      <w:lvlText w:val="%1)"/>
      <w:lvlJc w:val="left"/>
      <w:pPr>
        <w:ind w:left="1020" w:hanging="360"/>
      </w:pPr>
    </w:lvl>
    <w:lvl w:ilvl="1" w:tplc="410A7BC2">
      <w:start w:val="1"/>
      <w:numFmt w:val="decimal"/>
      <w:lvlText w:val="%2)"/>
      <w:lvlJc w:val="left"/>
      <w:pPr>
        <w:ind w:left="1020" w:hanging="360"/>
      </w:pPr>
    </w:lvl>
    <w:lvl w:ilvl="2" w:tplc="5F0E3880">
      <w:start w:val="1"/>
      <w:numFmt w:val="decimal"/>
      <w:lvlText w:val="%3)"/>
      <w:lvlJc w:val="left"/>
      <w:pPr>
        <w:ind w:left="1020" w:hanging="360"/>
      </w:pPr>
    </w:lvl>
    <w:lvl w:ilvl="3" w:tplc="D99E1E2E">
      <w:start w:val="1"/>
      <w:numFmt w:val="decimal"/>
      <w:lvlText w:val="%4)"/>
      <w:lvlJc w:val="left"/>
      <w:pPr>
        <w:ind w:left="1020" w:hanging="360"/>
      </w:pPr>
    </w:lvl>
    <w:lvl w:ilvl="4" w:tplc="2F24D3EA">
      <w:start w:val="1"/>
      <w:numFmt w:val="decimal"/>
      <w:lvlText w:val="%5)"/>
      <w:lvlJc w:val="left"/>
      <w:pPr>
        <w:ind w:left="1020" w:hanging="360"/>
      </w:pPr>
    </w:lvl>
    <w:lvl w:ilvl="5" w:tplc="30382C74">
      <w:start w:val="1"/>
      <w:numFmt w:val="decimal"/>
      <w:lvlText w:val="%6)"/>
      <w:lvlJc w:val="left"/>
      <w:pPr>
        <w:ind w:left="1020" w:hanging="360"/>
      </w:pPr>
    </w:lvl>
    <w:lvl w:ilvl="6" w:tplc="B8B6AD30">
      <w:start w:val="1"/>
      <w:numFmt w:val="decimal"/>
      <w:lvlText w:val="%7)"/>
      <w:lvlJc w:val="left"/>
      <w:pPr>
        <w:ind w:left="1020" w:hanging="360"/>
      </w:pPr>
    </w:lvl>
    <w:lvl w:ilvl="7" w:tplc="AD1C8724">
      <w:start w:val="1"/>
      <w:numFmt w:val="decimal"/>
      <w:lvlText w:val="%8)"/>
      <w:lvlJc w:val="left"/>
      <w:pPr>
        <w:ind w:left="1020" w:hanging="360"/>
      </w:pPr>
    </w:lvl>
    <w:lvl w:ilvl="8" w:tplc="105E578C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0A5A4964"/>
    <w:multiLevelType w:val="hybridMultilevel"/>
    <w:tmpl w:val="35B822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81B"/>
    <w:multiLevelType w:val="hybridMultilevel"/>
    <w:tmpl w:val="54886690"/>
    <w:lvl w:ilvl="0" w:tplc="375C3160">
      <w:start w:val="1"/>
      <w:numFmt w:val="decimal"/>
      <w:lvlText w:val="%1)"/>
      <w:lvlJc w:val="left"/>
      <w:pPr>
        <w:ind w:left="1020" w:hanging="360"/>
      </w:pPr>
    </w:lvl>
    <w:lvl w:ilvl="1" w:tplc="816CAE4A">
      <w:start w:val="1"/>
      <w:numFmt w:val="decimal"/>
      <w:lvlText w:val="%2)"/>
      <w:lvlJc w:val="left"/>
      <w:pPr>
        <w:ind w:left="1020" w:hanging="360"/>
      </w:pPr>
    </w:lvl>
    <w:lvl w:ilvl="2" w:tplc="F7089CC0">
      <w:start w:val="1"/>
      <w:numFmt w:val="decimal"/>
      <w:lvlText w:val="%3)"/>
      <w:lvlJc w:val="left"/>
      <w:pPr>
        <w:ind w:left="1020" w:hanging="360"/>
      </w:pPr>
    </w:lvl>
    <w:lvl w:ilvl="3" w:tplc="18061DBC">
      <w:start w:val="1"/>
      <w:numFmt w:val="decimal"/>
      <w:lvlText w:val="%4)"/>
      <w:lvlJc w:val="left"/>
      <w:pPr>
        <w:ind w:left="1020" w:hanging="360"/>
      </w:pPr>
    </w:lvl>
    <w:lvl w:ilvl="4" w:tplc="F49465B6">
      <w:start w:val="1"/>
      <w:numFmt w:val="decimal"/>
      <w:lvlText w:val="%5)"/>
      <w:lvlJc w:val="left"/>
      <w:pPr>
        <w:ind w:left="1020" w:hanging="360"/>
      </w:pPr>
    </w:lvl>
    <w:lvl w:ilvl="5" w:tplc="89D41FEA">
      <w:start w:val="1"/>
      <w:numFmt w:val="decimal"/>
      <w:lvlText w:val="%6)"/>
      <w:lvlJc w:val="left"/>
      <w:pPr>
        <w:ind w:left="1020" w:hanging="360"/>
      </w:pPr>
    </w:lvl>
    <w:lvl w:ilvl="6" w:tplc="D7883FC8">
      <w:start w:val="1"/>
      <w:numFmt w:val="decimal"/>
      <w:lvlText w:val="%7)"/>
      <w:lvlJc w:val="left"/>
      <w:pPr>
        <w:ind w:left="1020" w:hanging="360"/>
      </w:pPr>
    </w:lvl>
    <w:lvl w:ilvl="7" w:tplc="63F04806">
      <w:start w:val="1"/>
      <w:numFmt w:val="decimal"/>
      <w:lvlText w:val="%8)"/>
      <w:lvlJc w:val="left"/>
      <w:pPr>
        <w:ind w:left="1020" w:hanging="360"/>
      </w:pPr>
    </w:lvl>
    <w:lvl w:ilvl="8" w:tplc="95ECEA6E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179026BF"/>
    <w:multiLevelType w:val="hybridMultilevel"/>
    <w:tmpl w:val="4DE6CF8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14BB7"/>
    <w:multiLevelType w:val="hybridMultilevel"/>
    <w:tmpl w:val="F70E991C"/>
    <w:lvl w:ilvl="0" w:tplc="43F211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C24CF6"/>
    <w:multiLevelType w:val="hybridMultilevel"/>
    <w:tmpl w:val="76225D9A"/>
    <w:lvl w:ilvl="0" w:tplc="4D507452">
      <w:start w:val="1"/>
      <w:numFmt w:val="decimal"/>
      <w:lvlText w:val="%1)"/>
      <w:lvlJc w:val="left"/>
      <w:pPr>
        <w:ind w:left="1020" w:hanging="360"/>
      </w:pPr>
    </w:lvl>
    <w:lvl w:ilvl="1" w:tplc="CB840DE4">
      <w:start w:val="1"/>
      <w:numFmt w:val="decimal"/>
      <w:lvlText w:val="%2)"/>
      <w:lvlJc w:val="left"/>
      <w:pPr>
        <w:ind w:left="1020" w:hanging="360"/>
      </w:pPr>
    </w:lvl>
    <w:lvl w:ilvl="2" w:tplc="30A6B4AE">
      <w:start w:val="1"/>
      <w:numFmt w:val="decimal"/>
      <w:lvlText w:val="%3)"/>
      <w:lvlJc w:val="left"/>
      <w:pPr>
        <w:ind w:left="1020" w:hanging="360"/>
      </w:pPr>
    </w:lvl>
    <w:lvl w:ilvl="3" w:tplc="F0A0B8B2">
      <w:start w:val="1"/>
      <w:numFmt w:val="decimal"/>
      <w:lvlText w:val="%4)"/>
      <w:lvlJc w:val="left"/>
      <w:pPr>
        <w:ind w:left="1020" w:hanging="360"/>
      </w:pPr>
    </w:lvl>
    <w:lvl w:ilvl="4" w:tplc="3CF4B086">
      <w:start w:val="1"/>
      <w:numFmt w:val="decimal"/>
      <w:lvlText w:val="%5)"/>
      <w:lvlJc w:val="left"/>
      <w:pPr>
        <w:ind w:left="1020" w:hanging="360"/>
      </w:pPr>
    </w:lvl>
    <w:lvl w:ilvl="5" w:tplc="8430AF56">
      <w:start w:val="1"/>
      <w:numFmt w:val="decimal"/>
      <w:lvlText w:val="%6)"/>
      <w:lvlJc w:val="left"/>
      <w:pPr>
        <w:ind w:left="1020" w:hanging="360"/>
      </w:pPr>
    </w:lvl>
    <w:lvl w:ilvl="6" w:tplc="FB08F370">
      <w:start w:val="1"/>
      <w:numFmt w:val="decimal"/>
      <w:lvlText w:val="%7)"/>
      <w:lvlJc w:val="left"/>
      <w:pPr>
        <w:ind w:left="1020" w:hanging="360"/>
      </w:pPr>
    </w:lvl>
    <w:lvl w:ilvl="7" w:tplc="D2441118">
      <w:start w:val="1"/>
      <w:numFmt w:val="decimal"/>
      <w:lvlText w:val="%8)"/>
      <w:lvlJc w:val="left"/>
      <w:pPr>
        <w:ind w:left="1020" w:hanging="360"/>
      </w:pPr>
    </w:lvl>
    <w:lvl w:ilvl="8" w:tplc="14C6589A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38DE562F"/>
    <w:multiLevelType w:val="hybridMultilevel"/>
    <w:tmpl w:val="2A28893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581734"/>
    <w:multiLevelType w:val="hybridMultilevel"/>
    <w:tmpl w:val="B7CCBEBA"/>
    <w:lvl w:ilvl="0" w:tplc="979CB21E">
      <w:start w:val="1"/>
      <w:numFmt w:val="decimal"/>
      <w:lvlText w:val="%1)"/>
      <w:lvlJc w:val="left"/>
      <w:pPr>
        <w:ind w:left="1020" w:hanging="360"/>
      </w:pPr>
    </w:lvl>
    <w:lvl w:ilvl="1" w:tplc="D9CAB474">
      <w:start w:val="1"/>
      <w:numFmt w:val="decimal"/>
      <w:lvlText w:val="%2)"/>
      <w:lvlJc w:val="left"/>
      <w:pPr>
        <w:ind w:left="1020" w:hanging="360"/>
      </w:pPr>
    </w:lvl>
    <w:lvl w:ilvl="2" w:tplc="5DB69868">
      <w:start w:val="1"/>
      <w:numFmt w:val="decimal"/>
      <w:lvlText w:val="%3)"/>
      <w:lvlJc w:val="left"/>
      <w:pPr>
        <w:ind w:left="1020" w:hanging="360"/>
      </w:pPr>
    </w:lvl>
    <w:lvl w:ilvl="3" w:tplc="61C656D8">
      <w:start w:val="1"/>
      <w:numFmt w:val="decimal"/>
      <w:lvlText w:val="%4)"/>
      <w:lvlJc w:val="left"/>
      <w:pPr>
        <w:ind w:left="1020" w:hanging="360"/>
      </w:pPr>
    </w:lvl>
    <w:lvl w:ilvl="4" w:tplc="269EDE7E">
      <w:start w:val="1"/>
      <w:numFmt w:val="decimal"/>
      <w:lvlText w:val="%5)"/>
      <w:lvlJc w:val="left"/>
      <w:pPr>
        <w:ind w:left="1020" w:hanging="360"/>
      </w:pPr>
    </w:lvl>
    <w:lvl w:ilvl="5" w:tplc="4B44D002">
      <w:start w:val="1"/>
      <w:numFmt w:val="decimal"/>
      <w:lvlText w:val="%6)"/>
      <w:lvlJc w:val="left"/>
      <w:pPr>
        <w:ind w:left="1020" w:hanging="360"/>
      </w:pPr>
    </w:lvl>
    <w:lvl w:ilvl="6" w:tplc="5412BE9A">
      <w:start w:val="1"/>
      <w:numFmt w:val="decimal"/>
      <w:lvlText w:val="%7)"/>
      <w:lvlJc w:val="left"/>
      <w:pPr>
        <w:ind w:left="1020" w:hanging="360"/>
      </w:pPr>
    </w:lvl>
    <w:lvl w:ilvl="7" w:tplc="B8287480">
      <w:start w:val="1"/>
      <w:numFmt w:val="decimal"/>
      <w:lvlText w:val="%8)"/>
      <w:lvlJc w:val="left"/>
      <w:pPr>
        <w:ind w:left="1020" w:hanging="360"/>
      </w:pPr>
    </w:lvl>
    <w:lvl w:ilvl="8" w:tplc="C506185E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476A7A72"/>
    <w:multiLevelType w:val="hybridMultilevel"/>
    <w:tmpl w:val="8F40FEE0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C0AE4"/>
    <w:multiLevelType w:val="hybridMultilevel"/>
    <w:tmpl w:val="F418C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13ADA"/>
    <w:multiLevelType w:val="hybridMultilevel"/>
    <w:tmpl w:val="E5AA41A6"/>
    <w:lvl w:ilvl="0" w:tplc="43F21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B1E46"/>
    <w:multiLevelType w:val="hybridMultilevel"/>
    <w:tmpl w:val="390A953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BB6C93"/>
    <w:multiLevelType w:val="hybridMultilevel"/>
    <w:tmpl w:val="2BB07CEE"/>
    <w:lvl w:ilvl="0" w:tplc="569ADDDA">
      <w:start w:val="1"/>
      <w:numFmt w:val="decimal"/>
      <w:lvlText w:val="%1)"/>
      <w:lvlJc w:val="left"/>
      <w:pPr>
        <w:ind w:left="1020" w:hanging="360"/>
      </w:pPr>
    </w:lvl>
    <w:lvl w:ilvl="1" w:tplc="6D48D2BE">
      <w:start w:val="1"/>
      <w:numFmt w:val="decimal"/>
      <w:lvlText w:val="%2)"/>
      <w:lvlJc w:val="left"/>
      <w:pPr>
        <w:ind w:left="1020" w:hanging="360"/>
      </w:pPr>
    </w:lvl>
    <w:lvl w:ilvl="2" w:tplc="6D060C22">
      <w:start w:val="1"/>
      <w:numFmt w:val="decimal"/>
      <w:lvlText w:val="%3)"/>
      <w:lvlJc w:val="left"/>
      <w:pPr>
        <w:ind w:left="1020" w:hanging="360"/>
      </w:pPr>
    </w:lvl>
    <w:lvl w:ilvl="3" w:tplc="B57603F6">
      <w:start w:val="1"/>
      <w:numFmt w:val="decimal"/>
      <w:lvlText w:val="%4)"/>
      <w:lvlJc w:val="left"/>
      <w:pPr>
        <w:ind w:left="1020" w:hanging="360"/>
      </w:pPr>
    </w:lvl>
    <w:lvl w:ilvl="4" w:tplc="730ACBCC">
      <w:start w:val="1"/>
      <w:numFmt w:val="decimal"/>
      <w:lvlText w:val="%5)"/>
      <w:lvlJc w:val="left"/>
      <w:pPr>
        <w:ind w:left="1020" w:hanging="360"/>
      </w:pPr>
    </w:lvl>
    <w:lvl w:ilvl="5" w:tplc="E2662572">
      <w:start w:val="1"/>
      <w:numFmt w:val="decimal"/>
      <w:lvlText w:val="%6)"/>
      <w:lvlJc w:val="left"/>
      <w:pPr>
        <w:ind w:left="1020" w:hanging="360"/>
      </w:pPr>
    </w:lvl>
    <w:lvl w:ilvl="6" w:tplc="13F066AC">
      <w:start w:val="1"/>
      <w:numFmt w:val="decimal"/>
      <w:lvlText w:val="%7)"/>
      <w:lvlJc w:val="left"/>
      <w:pPr>
        <w:ind w:left="1020" w:hanging="360"/>
      </w:pPr>
    </w:lvl>
    <w:lvl w:ilvl="7" w:tplc="4D7ACCC2">
      <w:start w:val="1"/>
      <w:numFmt w:val="decimal"/>
      <w:lvlText w:val="%8)"/>
      <w:lvlJc w:val="left"/>
      <w:pPr>
        <w:ind w:left="1020" w:hanging="360"/>
      </w:pPr>
    </w:lvl>
    <w:lvl w:ilvl="8" w:tplc="D570CB5A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517828E2"/>
    <w:multiLevelType w:val="hybridMultilevel"/>
    <w:tmpl w:val="3A1EFC3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F0112"/>
    <w:multiLevelType w:val="hybridMultilevel"/>
    <w:tmpl w:val="9080025E"/>
    <w:lvl w:ilvl="0" w:tplc="536CE1CE">
      <w:start w:val="1"/>
      <w:numFmt w:val="decimal"/>
      <w:lvlText w:val="%1)"/>
      <w:lvlJc w:val="left"/>
      <w:pPr>
        <w:ind w:left="1020" w:hanging="360"/>
      </w:pPr>
    </w:lvl>
    <w:lvl w:ilvl="1" w:tplc="497EBFBE">
      <w:start w:val="1"/>
      <w:numFmt w:val="decimal"/>
      <w:lvlText w:val="%2)"/>
      <w:lvlJc w:val="left"/>
      <w:pPr>
        <w:ind w:left="1020" w:hanging="360"/>
      </w:pPr>
    </w:lvl>
    <w:lvl w:ilvl="2" w:tplc="70DE936C">
      <w:start w:val="1"/>
      <w:numFmt w:val="decimal"/>
      <w:lvlText w:val="%3)"/>
      <w:lvlJc w:val="left"/>
      <w:pPr>
        <w:ind w:left="1020" w:hanging="360"/>
      </w:pPr>
    </w:lvl>
    <w:lvl w:ilvl="3" w:tplc="04F44A64">
      <w:start w:val="1"/>
      <w:numFmt w:val="decimal"/>
      <w:lvlText w:val="%4)"/>
      <w:lvlJc w:val="left"/>
      <w:pPr>
        <w:ind w:left="1020" w:hanging="360"/>
      </w:pPr>
    </w:lvl>
    <w:lvl w:ilvl="4" w:tplc="2F1C95AA">
      <w:start w:val="1"/>
      <w:numFmt w:val="decimal"/>
      <w:lvlText w:val="%5)"/>
      <w:lvlJc w:val="left"/>
      <w:pPr>
        <w:ind w:left="1020" w:hanging="360"/>
      </w:pPr>
    </w:lvl>
    <w:lvl w:ilvl="5" w:tplc="1A824376">
      <w:start w:val="1"/>
      <w:numFmt w:val="decimal"/>
      <w:lvlText w:val="%6)"/>
      <w:lvlJc w:val="left"/>
      <w:pPr>
        <w:ind w:left="1020" w:hanging="360"/>
      </w:pPr>
    </w:lvl>
    <w:lvl w:ilvl="6" w:tplc="837A4442">
      <w:start w:val="1"/>
      <w:numFmt w:val="decimal"/>
      <w:lvlText w:val="%7)"/>
      <w:lvlJc w:val="left"/>
      <w:pPr>
        <w:ind w:left="1020" w:hanging="360"/>
      </w:pPr>
    </w:lvl>
    <w:lvl w:ilvl="7" w:tplc="E31AEC86">
      <w:start w:val="1"/>
      <w:numFmt w:val="decimal"/>
      <w:lvlText w:val="%8)"/>
      <w:lvlJc w:val="left"/>
      <w:pPr>
        <w:ind w:left="1020" w:hanging="360"/>
      </w:pPr>
    </w:lvl>
    <w:lvl w:ilvl="8" w:tplc="74E4CF98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61512A34"/>
    <w:multiLevelType w:val="hybridMultilevel"/>
    <w:tmpl w:val="6B9829B0"/>
    <w:lvl w:ilvl="0" w:tplc="8F8676F6">
      <w:start w:val="1"/>
      <w:numFmt w:val="decimal"/>
      <w:lvlText w:val="%1)"/>
      <w:lvlJc w:val="left"/>
      <w:pPr>
        <w:ind w:left="1020" w:hanging="360"/>
      </w:pPr>
    </w:lvl>
    <w:lvl w:ilvl="1" w:tplc="3F786EB6">
      <w:start w:val="1"/>
      <w:numFmt w:val="decimal"/>
      <w:lvlText w:val="%2)"/>
      <w:lvlJc w:val="left"/>
      <w:pPr>
        <w:ind w:left="1020" w:hanging="360"/>
      </w:pPr>
    </w:lvl>
    <w:lvl w:ilvl="2" w:tplc="D228D7BE">
      <w:start w:val="1"/>
      <w:numFmt w:val="decimal"/>
      <w:lvlText w:val="%3)"/>
      <w:lvlJc w:val="left"/>
      <w:pPr>
        <w:ind w:left="1020" w:hanging="360"/>
      </w:pPr>
    </w:lvl>
    <w:lvl w:ilvl="3" w:tplc="21423006">
      <w:start w:val="1"/>
      <w:numFmt w:val="decimal"/>
      <w:lvlText w:val="%4)"/>
      <w:lvlJc w:val="left"/>
      <w:pPr>
        <w:ind w:left="1020" w:hanging="360"/>
      </w:pPr>
    </w:lvl>
    <w:lvl w:ilvl="4" w:tplc="B4A4A890">
      <w:start w:val="1"/>
      <w:numFmt w:val="decimal"/>
      <w:lvlText w:val="%5)"/>
      <w:lvlJc w:val="left"/>
      <w:pPr>
        <w:ind w:left="1020" w:hanging="360"/>
      </w:pPr>
    </w:lvl>
    <w:lvl w:ilvl="5" w:tplc="1DBAC420">
      <w:start w:val="1"/>
      <w:numFmt w:val="decimal"/>
      <w:lvlText w:val="%6)"/>
      <w:lvlJc w:val="left"/>
      <w:pPr>
        <w:ind w:left="1020" w:hanging="360"/>
      </w:pPr>
    </w:lvl>
    <w:lvl w:ilvl="6" w:tplc="ACAA79C6">
      <w:start w:val="1"/>
      <w:numFmt w:val="decimal"/>
      <w:lvlText w:val="%7)"/>
      <w:lvlJc w:val="left"/>
      <w:pPr>
        <w:ind w:left="1020" w:hanging="360"/>
      </w:pPr>
    </w:lvl>
    <w:lvl w:ilvl="7" w:tplc="44EA4ADE">
      <w:start w:val="1"/>
      <w:numFmt w:val="decimal"/>
      <w:lvlText w:val="%8)"/>
      <w:lvlJc w:val="left"/>
      <w:pPr>
        <w:ind w:left="1020" w:hanging="360"/>
      </w:pPr>
    </w:lvl>
    <w:lvl w:ilvl="8" w:tplc="8870AF32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7D976EA4"/>
    <w:multiLevelType w:val="hybridMultilevel"/>
    <w:tmpl w:val="9C9A2DB2"/>
    <w:lvl w:ilvl="0" w:tplc="5DC4B168">
      <w:start w:val="1"/>
      <w:numFmt w:val="decimal"/>
      <w:lvlText w:val="%1)"/>
      <w:lvlJc w:val="left"/>
      <w:pPr>
        <w:ind w:left="1020" w:hanging="360"/>
      </w:pPr>
    </w:lvl>
    <w:lvl w:ilvl="1" w:tplc="7F6E2CCE">
      <w:start w:val="1"/>
      <w:numFmt w:val="decimal"/>
      <w:lvlText w:val="%2)"/>
      <w:lvlJc w:val="left"/>
      <w:pPr>
        <w:ind w:left="1020" w:hanging="360"/>
      </w:pPr>
    </w:lvl>
    <w:lvl w:ilvl="2" w:tplc="654802BC">
      <w:start w:val="1"/>
      <w:numFmt w:val="decimal"/>
      <w:lvlText w:val="%3)"/>
      <w:lvlJc w:val="left"/>
      <w:pPr>
        <w:ind w:left="1020" w:hanging="360"/>
      </w:pPr>
    </w:lvl>
    <w:lvl w:ilvl="3" w:tplc="47529700">
      <w:start w:val="1"/>
      <w:numFmt w:val="decimal"/>
      <w:lvlText w:val="%4)"/>
      <w:lvlJc w:val="left"/>
      <w:pPr>
        <w:ind w:left="1020" w:hanging="360"/>
      </w:pPr>
    </w:lvl>
    <w:lvl w:ilvl="4" w:tplc="438A5824">
      <w:start w:val="1"/>
      <w:numFmt w:val="decimal"/>
      <w:lvlText w:val="%5)"/>
      <w:lvlJc w:val="left"/>
      <w:pPr>
        <w:ind w:left="1020" w:hanging="360"/>
      </w:pPr>
    </w:lvl>
    <w:lvl w:ilvl="5" w:tplc="AFE0D9CA">
      <w:start w:val="1"/>
      <w:numFmt w:val="decimal"/>
      <w:lvlText w:val="%6)"/>
      <w:lvlJc w:val="left"/>
      <w:pPr>
        <w:ind w:left="1020" w:hanging="360"/>
      </w:pPr>
    </w:lvl>
    <w:lvl w:ilvl="6" w:tplc="AA16AFAE">
      <w:start w:val="1"/>
      <w:numFmt w:val="decimal"/>
      <w:lvlText w:val="%7)"/>
      <w:lvlJc w:val="left"/>
      <w:pPr>
        <w:ind w:left="1020" w:hanging="360"/>
      </w:pPr>
    </w:lvl>
    <w:lvl w:ilvl="7" w:tplc="4F9690B6">
      <w:start w:val="1"/>
      <w:numFmt w:val="decimal"/>
      <w:lvlText w:val="%8)"/>
      <w:lvlJc w:val="left"/>
      <w:pPr>
        <w:ind w:left="1020" w:hanging="360"/>
      </w:pPr>
    </w:lvl>
    <w:lvl w:ilvl="8" w:tplc="388A66AA">
      <w:start w:val="1"/>
      <w:numFmt w:val="decimal"/>
      <w:lvlText w:val="%9)"/>
      <w:lvlJc w:val="left"/>
      <w:pPr>
        <w:ind w:left="1020" w:hanging="360"/>
      </w:pPr>
    </w:lvl>
  </w:abstractNum>
  <w:num w:numId="1" w16cid:durableId="121510159">
    <w:abstractNumId w:val="2"/>
  </w:num>
  <w:num w:numId="2" w16cid:durableId="1590500378">
    <w:abstractNumId w:val="11"/>
  </w:num>
  <w:num w:numId="3" w16cid:durableId="336930713">
    <w:abstractNumId w:val="9"/>
  </w:num>
  <w:num w:numId="4" w16cid:durableId="1598633695">
    <w:abstractNumId w:val="10"/>
  </w:num>
  <w:num w:numId="5" w16cid:durableId="308753159">
    <w:abstractNumId w:val="12"/>
  </w:num>
  <w:num w:numId="6" w16cid:durableId="298658398">
    <w:abstractNumId w:val="4"/>
  </w:num>
  <w:num w:numId="7" w16cid:durableId="377434503">
    <w:abstractNumId w:val="7"/>
  </w:num>
  <w:num w:numId="8" w16cid:durableId="853879887">
    <w:abstractNumId w:val="5"/>
  </w:num>
  <w:num w:numId="9" w16cid:durableId="1161118936">
    <w:abstractNumId w:val="14"/>
  </w:num>
  <w:num w:numId="10" w16cid:durableId="362482729">
    <w:abstractNumId w:val="0"/>
  </w:num>
  <w:num w:numId="11" w16cid:durableId="184372524">
    <w:abstractNumId w:val="8"/>
  </w:num>
  <w:num w:numId="12" w16cid:durableId="1140422544">
    <w:abstractNumId w:val="16"/>
  </w:num>
  <w:num w:numId="13" w16cid:durableId="1050304936">
    <w:abstractNumId w:val="6"/>
  </w:num>
  <w:num w:numId="14" w16cid:durableId="1575435819">
    <w:abstractNumId w:val="13"/>
  </w:num>
  <w:num w:numId="15" w16cid:durableId="332227382">
    <w:abstractNumId w:val="3"/>
  </w:num>
  <w:num w:numId="16" w16cid:durableId="319240769">
    <w:abstractNumId w:val="17"/>
  </w:num>
  <w:num w:numId="17" w16cid:durableId="1535069902">
    <w:abstractNumId w:val="15"/>
  </w:num>
  <w:num w:numId="18" w16cid:durableId="7864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3D"/>
    <w:rsid w:val="00081828"/>
    <w:rsid w:val="00094D92"/>
    <w:rsid w:val="000B0888"/>
    <w:rsid w:val="000E6211"/>
    <w:rsid w:val="001941B9"/>
    <w:rsid w:val="001F5995"/>
    <w:rsid w:val="0028576E"/>
    <w:rsid w:val="002A011C"/>
    <w:rsid w:val="002A2EB7"/>
    <w:rsid w:val="002E5F51"/>
    <w:rsid w:val="003206D9"/>
    <w:rsid w:val="00326A08"/>
    <w:rsid w:val="00344080"/>
    <w:rsid w:val="003A1BA2"/>
    <w:rsid w:val="0041050D"/>
    <w:rsid w:val="0044476B"/>
    <w:rsid w:val="00463563"/>
    <w:rsid w:val="00491434"/>
    <w:rsid w:val="00494FF9"/>
    <w:rsid w:val="004C5C3D"/>
    <w:rsid w:val="004C5F5D"/>
    <w:rsid w:val="004E1D10"/>
    <w:rsid w:val="004F5B78"/>
    <w:rsid w:val="00535CA9"/>
    <w:rsid w:val="005B05CC"/>
    <w:rsid w:val="005B0F25"/>
    <w:rsid w:val="005C0A5B"/>
    <w:rsid w:val="006041CD"/>
    <w:rsid w:val="00612E56"/>
    <w:rsid w:val="00615AA8"/>
    <w:rsid w:val="00667CD1"/>
    <w:rsid w:val="00676B8F"/>
    <w:rsid w:val="00687A0B"/>
    <w:rsid w:val="0069371B"/>
    <w:rsid w:val="006F35F0"/>
    <w:rsid w:val="007045B5"/>
    <w:rsid w:val="00754063"/>
    <w:rsid w:val="00837705"/>
    <w:rsid w:val="008E3027"/>
    <w:rsid w:val="008E36ED"/>
    <w:rsid w:val="008F023B"/>
    <w:rsid w:val="00900A08"/>
    <w:rsid w:val="00904BFF"/>
    <w:rsid w:val="00905A94"/>
    <w:rsid w:val="00953195"/>
    <w:rsid w:val="009C355D"/>
    <w:rsid w:val="00A5617B"/>
    <w:rsid w:val="00A64E40"/>
    <w:rsid w:val="00AB05B0"/>
    <w:rsid w:val="00B0618B"/>
    <w:rsid w:val="00B07F77"/>
    <w:rsid w:val="00B11082"/>
    <w:rsid w:val="00B15F2A"/>
    <w:rsid w:val="00B5664A"/>
    <w:rsid w:val="00B60B0C"/>
    <w:rsid w:val="00B6468A"/>
    <w:rsid w:val="00B75F3A"/>
    <w:rsid w:val="00BB07B1"/>
    <w:rsid w:val="00BD2783"/>
    <w:rsid w:val="00C161AA"/>
    <w:rsid w:val="00CD1FF9"/>
    <w:rsid w:val="00CE0CF2"/>
    <w:rsid w:val="00D22A81"/>
    <w:rsid w:val="00D32BAA"/>
    <w:rsid w:val="00D34421"/>
    <w:rsid w:val="00D721B0"/>
    <w:rsid w:val="00D76DD9"/>
    <w:rsid w:val="00D961BB"/>
    <w:rsid w:val="00DA5FC4"/>
    <w:rsid w:val="00DB1440"/>
    <w:rsid w:val="00DB476B"/>
    <w:rsid w:val="00DD1221"/>
    <w:rsid w:val="00E35C81"/>
    <w:rsid w:val="00E44541"/>
    <w:rsid w:val="00E93F75"/>
    <w:rsid w:val="00F218D2"/>
    <w:rsid w:val="00F232FC"/>
    <w:rsid w:val="00F262A1"/>
    <w:rsid w:val="00F57413"/>
    <w:rsid w:val="00F7545F"/>
    <w:rsid w:val="00F956AC"/>
    <w:rsid w:val="00F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9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5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5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5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5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5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5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5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5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5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5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5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5C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5C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5C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5C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5C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5C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5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5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5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5C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5C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5C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5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5C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5C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5B7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B7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206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206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206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06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06D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0F25"/>
    <w:rPr>
      <w:color w:val="96607D" w:themeColor="followedHyperlink"/>
      <w:u w:val="single"/>
    </w:rPr>
  </w:style>
  <w:style w:type="paragraph" w:styleId="Revisie">
    <w:name w:val="Revision"/>
    <w:hidden/>
    <w:uiPriority w:val="99"/>
    <w:semiHidden/>
    <w:rsid w:val="009C3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documenten/rapporten/2024/09/30/tk-bijlage-2-significant-samenwerking-fz-gemeenten" TargetMode="External"/><Relationship Id="rId13" Type="http://schemas.openxmlformats.org/officeDocument/2006/relationships/hyperlink" Target="https://www.zonmw.nl/sites/zonmw/files/2023-01/Evaluatie_wvggz-wzd_2_webV2.pdf" TargetMode="External"/><Relationship Id="rId18" Type="http://schemas.openxmlformats.org/officeDocument/2006/relationships/hyperlink" Target="https://zoek.officielebekendmakingen.nl/blg-9551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twente.nl/nl/bms/agenda/2019/7/338983/promotie-petra-steinmann" TargetMode="External"/><Relationship Id="rId7" Type="http://schemas.openxmlformats.org/officeDocument/2006/relationships/hyperlink" Target="https://levensloopaanpak.nl/wp-content/uploads/2024/12/Rapportage-bekostiging-coordinatiekosten-levensloopaanpak.pdf" TargetMode="External"/><Relationship Id="rId12" Type="http://schemas.openxmlformats.org/officeDocument/2006/relationships/hyperlink" Target="https://www.rekenkamer.nl/publicaties/rapporten/2022/03/23/in-de-zorg-uit-het-zicht" TargetMode="External"/><Relationship Id="rId17" Type="http://schemas.openxmlformats.org/officeDocument/2006/relationships/hyperlink" Target="https://www.tweedekamer.nl/kamerstukken/brieven_regering/detail?id=2020D15415&amp;did=2020D1541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://Downloads/Onderzoek%20naar%20randvoorwaarden%20voor%20goede%20zorg%20en%20veiligheid%20in%20de%20penitentiair%20psychiatrische%20centra.%20Zorg%20en%20veiligheid%20onder%20druk%20in%20het%20PPC_%20(2).pdf" TargetMode="External"/><Relationship Id="rId20" Type="http://schemas.openxmlformats.org/officeDocument/2006/relationships/hyperlink" Target="https://www.hu.nl/onderzoek/publicaties/mind-the-gap-continuiteit-in-de-forensische-zorgket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documenten/rapporten/2024/01/31/tk-bijlage-3-voortgangsbrief-fz-jan-2024-rapport-toekomstverkenning" TargetMode="External"/><Relationship Id="rId11" Type="http://schemas.openxmlformats.org/officeDocument/2006/relationships/hyperlink" Target="https://www.forensischezorg.nl/documenten/publicaties/2022/10/01/kwaliteitskader-forensische-zorg" TargetMode="External"/><Relationship Id="rId24" Type="http://schemas.openxmlformats.org/officeDocument/2006/relationships/hyperlink" Target="https://www.tweedekamer.nl/kamerstukken/brieven_regering/detail?id=2018D34843&amp;did=2018D34843" TargetMode="External"/><Relationship Id="rId5" Type="http://schemas.openxmlformats.org/officeDocument/2006/relationships/hyperlink" Target="https://www.rijksoverheid.nl/documenten/rapporten/2025/03/20/eindrapportage-beveiligde-zorg-voor-asielzoekers-zoektocht-naar-alternatieven-voor-ctp-veldzicht" TargetMode="External"/><Relationship Id="rId15" Type="http://schemas.openxmlformats.org/officeDocument/2006/relationships/hyperlink" Target="https://www.eerstekamer.nl/overig/20211126/ppc_in_positie_onderzoek_naar_de/document" TargetMode="External"/><Relationship Id="rId23" Type="http://schemas.openxmlformats.org/officeDocument/2006/relationships/hyperlink" Target="https://www.aef.nl/storage/images/Onderzoek_naar_kwaliteit_en_veiligheid_in_de_forensische_zorg__Forensische_zorgen.pdf" TargetMode="External"/><Relationship Id="rId10" Type="http://schemas.openxmlformats.org/officeDocument/2006/relationships/hyperlink" Target="https://levensloopaanpak.nl/wp-content/uploads/2024/11/Rapportage-maatschappelijke-businesscase-levensloopaanpak.pdfhttps:/levensloopaanpak.nl/wp-content/uploads/2024/11/Rapportage-maatschappelijke-businesscase-levensloopaanpak.pdf" TargetMode="External"/><Relationship Id="rId19" Type="http://schemas.openxmlformats.org/officeDocument/2006/relationships/hyperlink" Target="https://www.hu.nl/onderzoek/publicaties/continuiteit-van-en-na-forensische-zorg-een-grote-z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ensischezorg.nl/documenten/publicaties/2024/06/06/kwaliteitskader-indicatiestelling-forzo" TargetMode="External"/><Relationship Id="rId14" Type="http://schemas.openxmlformats.org/officeDocument/2006/relationships/hyperlink" Target="https://www.wrr.nl/publicaties/rapporten/2021/09/15/kiezen-voor-houdbare-zorg" TargetMode="External"/><Relationship Id="rId22" Type="http://schemas.openxmlformats.org/officeDocument/2006/relationships/hyperlink" Target="https://levensloopaanpak.nl/wp-content/uploads/2024/11/Eindrapport-Continuiteit-van-zorg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1482</ap:Words>
  <ap:Characters>8155</ap:Characters>
  <ap:DocSecurity>0</ap:DocSecurity>
  <ap:Lines>67</ap:Lines>
  <ap:Paragraphs>19</ap:Paragraphs>
  <ap:ScaleCrop>false</ap:ScaleCrop>
  <ap:LinksUpToDate>false</ap:LinksUpToDate>
  <ap:CharactersWithSpaces>9618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2025-09-11T11:32:00.0000000Z</dcterms:created>
  <dcterms:modified xsi:type="dcterms:W3CDTF">2025-09-11T11:32:00.0000000Z</dcterms:modified>
  <version/>
  <category/>
</coreProperties>
</file>