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1826" w:rsidR="00DC21C3" w:rsidP="00DC21C3" w:rsidRDefault="00DC21C3" w14:paraId="75B059EC" w14:textId="77777777">
      <w:r w:rsidRPr="00251826">
        <w:t>Hierbij informeer ik uw Kamer over het doel, de reikwijdte en opzet van de Periodieke rapportage forensische zorg die is gepland voor 2026. Deze Periodieke rapportage vindt plaats in het kader van de Strategische Evaluatieagenda, met betrekking tot artikel 34 (Straffen en beschermen) van de Begrotingswet.</w:t>
      </w:r>
      <w:r w:rsidRPr="00251826">
        <w:rPr>
          <w:rStyle w:val="Voetnootmarkering"/>
        </w:rPr>
        <w:footnoteReference w:id="1"/>
      </w:r>
      <w:r w:rsidRPr="00251826">
        <w:t xml:space="preserve"> Deze rapportage behelst een syntheseonderzoek naar de doeltreffend- en doelmatigheid van het beleid gericht op het voorkomen van (herhaald) crimineel gedrag en is toegespitst op de forensische zorg.</w:t>
      </w:r>
      <w:r w:rsidRPr="00251826">
        <w:rPr>
          <w:rStyle w:val="Voetnootmarkering"/>
        </w:rPr>
        <w:footnoteReference w:id="2"/>
      </w:r>
      <w:r w:rsidRPr="00251826">
        <w:t xml:space="preserve"> Voor dit syntheseonderzoek geldt een afbakening van halverwege 2018 tot en met halverwege 2025. De uitkomsten van deze Periodieke rapportage zijn van belang om waar nodig te kunnen bijsturen en het beleid zoveel mogelijk te laten aansluiten op actuele ontwikkelingen. </w:t>
      </w:r>
    </w:p>
    <w:p w:rsidRPr="00251826" w:rsidR="00DC21C3" w:rsidP="00DC21C3" w:rsidRDefault="00DC21C3" w14:paraId="09769E56" w14:textId="77777777"/>
    <w:p w:rsidRPr="00251826" w:rsidR="00DC21C3" w:rsidP="00DC21C3" w:rsidRDefault="00DC21C3" w14:paraId="26A4F66D" w14:textId="77777777">
      <w:pPr>
        <w:pStyle w:val="Lijstalinea"/>
        <w:numPr>
          <w:ilvl w:val="0"/>
          <w:numId w:val="36"/>
        </w:numPr>
        <w:rPr>
          <w:b/>
          <w:bCs/>
        </w:rPr>
      </w:pPr>
      <w:r w:rsidRPr="00251826">
        <w:rPr>
          <w:b/>
          <w:bCs/>
        </w:rPr>
        <w:t>Inleiding</w:t>
      </w:r>
    </w:p>
    <w:p w:rsidRPr="00251826" w:rsidR="00DC21C3" w:rsidP="00DC21C3" w:rsidRDefault="00DC21C3" w14:paraId="218E7B62" w14:textId="77777777">
      <w:r w:rsidRPr="00251826">
        <w:t>Het Directoraat-generaal Straffen en Beschermen van het ministerie van Justitie en Veiligheid (</w:t>
      </w:r>
      <w:proofErr w:type="spellStart"/>
      <w:r w:rsidRPr="00251826">
        <w:t>JenV</w:t>
      </w:r>
      <w:proofErr w:type="spellEnd"/>
      <w:r w:rsidRPr="00251826">
        <w:t>) werkt aan het voorkomen van (herhaald) crimineel gedrag onder meer door te zorgen voor een voldoende en passend forensisch zorgaanbod. Forensische zorg draagt bij aan het voorkomen van recidive door mensen met psychische of psychiatrische problemen, een verstandelijke beperking en/of verslavingsproblematiek die in aanraking komen met justitie, adequaat te behandelen en te begeleiden. Hierdoor verkleint de kans op herhaling van crimineel gedrag en neemt de maatschappelijke veiligheid toe. Door nauwe samenwerking met onder meer reclassering, de reguliere gezondheidszorg en gemeenten wordt ook ingezet op passende nazorg, wat de resocialisatie van de cliënten in de samenleving bevordert. Naast samenwerking in de nazorg, is samenwerking ‘aan de voorkant’ ook van belang, om te voorkomen dat mensen in aanraking komen met justitie. Zo is forensische zorg niet alleen een rechtstatelijke reactie op een strafbaar feit, maar werkt het ook preventief.</w:t>
      </w:r>
    </w:p>
    <w:p w:rsidRPr="00251826" w:rsidR="00DC21C3" w:rsidP="00DC21C3" w:rsidRDefault="00DC21C3" w14:paraId="72201286" w14:textId="77777777"/>
    <w:p w:rsidRPr="00251826" w:rsidR="00DC21C3" w:rsidP="00DC21C3" w:rsidRDefault="00DC21C3" w14:paraId="53739A29" w14:textId="77777777">
      <w:r w:rsidRPr="00251826">
        <w:t>In deze brief ga ik achtereenvolgens in op de volgende onderdelen:</w:t>
      </w:r>
    </w:p>
    <w:p w:rsidRPr="00251826" w:rsidR="00DC21C3" w:rsidP="00DC21C3" w:rsidRDefault="00DC21C3" w14:paraId="14EDFDED" w14:textId="77777777">
      <w:pPr>
        <w:pStyle w:val="Lijstalinea"/>
        <w:numPr>
          <w:ilvl w:val="0"/>
          <w:numId w:val="16"/>
        </w:numPr>
      </w:pPr>
      <w:r w:rsidRPr="00251826">
        <w:t>De beleidstheorie forensische zorg</w:t>
      </w:r>
    </w:p>
    <w:p w:rsidRPr="00251826" w:rsidR="00DC21C3" w:rsidP="00DC21C3" w:rsidRDefault="00DC21C3" w14:paraId="09331736" w14:textId="77777777">
      <w:pPr>
        <w:pStyle w:val="Lijstalinea"/>
        <w:numPr>
          <w:ilvl w:val="0"/>
          <w:numId w:val="16"/>
        </w:numPr>
      </w:pPr>
      <w:r w:rsidRPr="00251826">
        <w:t>De inzichtbehoefte van de Periodieke rapportage</w:t>
      </w:r>
    </w:p>
    <w:p w:rsidRPr="00251826" w:rsidR="00DC21C3" w:rsidP="00DC21C3" w:rsidRDefault="00DC21C3" w14:paraId="080E293E" w14:textId="77777777">
      <w:pPr>
        <w:pStyle w:val="Lijstalinea"/>
        <w:numPr>
          <w:ilvl w:val="0"/>
          <w:numId w:val="16"/>
        </w:numPr>
      </w:pPr>
      <w:r w:rsidRPr="00251826">
        <w:t>De financiële onderbouwing</w:t>
      </w:r>
    </w:p>
    <w:p w:rsidRPr="00251826" w:rsidR="00DC21C3" w:rsidP="00DC21C3" w:rsidRDefault="00DC21C3" w14:paraId="2250F2F6" w14:textId="77777777">
      <w:pPr>
        <w:pStyle w:val="Lijstalinea"/>
        <w:numPr>
          <w:ilvl w:val="0"/>
          <w:numId w:val="16"/>
        </w:numPr>
      </w:pPr>
      <w:r w:rsidRPr="00251826">
        <w:t>De reikwijdte, opzet en vraagstelling van de Periodieke rapportage</w:t>
      </w:r>
    </w:p>
    <w:p w:rsidRPr="00251826" w:rsidR="00DC21C3" w:rsidP="00DC21C3" w:rsidRDefault="00DC21C3" w14:paraId="16858D21" w14:textId="77777777">
      <w:pPr>
        <w:pStyle w:val="Lijstalinea"/>
        <w:numPr>
          <w:ilvl w:val="0"/>
          <w:numId w:val="16"/>
        </w:numPr>
      </w:pPr>
      <w:r w:rsidRPr="00251826">
        <w:t>De aansturing van de Periodieke rapportage, betrokken partijen en externe uitvoering</w:t>
      </w:r>
    </w:p>
    <w:p w:rsidRPr="00251826" w:rsidR="00DC21C3" w:rsidP="00DC21C3" w:rsidRDefault="00DC21C3" w14:paraId="1C83E296" w14:textId="77777777">
      <w:pPr>
        <w:pStyle w:val="Lijstalinea"/>
        <w:numPr>
          <w:ilvl w:val="0"/>
          <w:numId w:val="16"/>
        </w:numPr>
      </w:pPr>
      <w:r w:rsidRPr="00251826">
        <w:t>De planning</w:t>
      </w:r>
    </w:p>
    <w:p w:rsidRPr="00251826" w:rsidR="00DC21C3" w:rsidP="00DC21C3" w:rsidRDefault="00DC21C3" w14:paraId="0A9865CB" w14:textId="77777777">
      <w:pPr>
        <w:pStyle w:val="WitregelW1bodytekst"/>
      </w:pPr>
    </w:p>
    <w:p w:rsidRPr="00251826" w:rsidR="00DC21C3" w:rsidP="00DC21C3" w:rsidRDefault="00DC21C3" w14:paraId="1385D34C" w14:textId="77777777">
      <w:pPr>
        <w:pStyle w:val="Lijstalinea"/>
        <w:numPr>
          <w:ilvl w:val="0"/>
          <w:numId w:val="36"/>
        </w:numPr>
        <w:rPr>
          <w:b/>
          <w:bCs/>
        </w:rPr>
      </w:pPr>
      <w:bookmarkStart w:name="_Hlk201649139" w:id="0"/>
      <w:r w:rsidRPr="00251826">
        <w:rPr>
          <w:b/>
          <w:bCs/>
        </w:rPr>
        <w:t>Beleidstheorie forensische zorg</w:t>
      </w:r>
    </w:p>
    <w:p w:rsidRPr="00251826" w:rsidR="00DC21C3" w:rsidP="00DC21C3" w:rsidRDefault="00DC21C3" w14:paraId="1007C714" w14:textId="77777777">
      <w:r w:rsidRPr="00251826">
        <w:t>De Wet forensische zorg (</w:t>
      </w:r>
      <w:proofErr w:type="spellStart"/>
      <w:r w:rsidRPr="00251826">
        <w:t>Wfz</w:t>
      </w:r>
      <w:proofErr w:type="spellEnd"/>
      <w:r w:rsidRPr="00251826">
        <w:t>)</w:t>
      </w:r>
      <w:r w:rsidRPr="00251826">
        <w:rPr>
          <w:rStyle w:val="Voetnootmarkering"/>
        </w:rPr>
        <w:footnoteReference w:id="3"/>
      </w:r>
      <w:r w:rsidRPr="00251826">
        <w:t xml:space="preserve"> biedt het wettelijk kader voor de forensische zorg en heeft als doel</w:t>
      </w:r>
      <w:r w:rsidRPr="00251826">
        <w:rPr>
          <w:rStyle w:val="Voetnootmarkering"/>
        </w:rPr>
        <w:footnoteReference w:id="4"/>
      </w:r>
      <w:r w:rsidRPr="00251826">
        <w:t xml:space="preserve"> om mensen met een psychiatrische of psychische stoornis, verstandelijke beperking en/of verslavingsproblematiek die een strafbaar feit hebben gepleegd of daarvan worden verdacht, passende zorg te bieden.</w:t>
      </w:r>
      <w:r w:rsidRPr="00251826">
        <w:rPr>
          <w:rStyle w:val="Voetnootmarkering"/>
        </w:rPr>
        <w:footnoteReference w:id="5"/>
      </w:r>
      <w:r w:rsidRPr="00251826">
        <w:t xml:space="preserve"> Onder andere door het herstel van de forensische patiënt te bevorderen, wordt de kans op recidive verkleind en daarmee de veiligheid van de samenleving vergroot.</w:t>
      </w:r>
    </w:p>
    <w:p w:rsidRPr="00251826" w:rsidR="00DC21C3" w:rsidP="00DC21C3" w:rsidRDefault="00DC21C3" w14:paraId="156D1426" w14:textId="77777777"/>
    <w:p w:rsidRPr="00251826" w:rsidR="00DC21C3" w:rsidP="00DC21C3" w:rsidRDefault="00DC21C3" w14:paraId="14AAAD08" w14:textId="076693D0">
      <w:r w:rsidRPr="00251826">
        <w:t xml:space="preserve">De </w:t>
      </w:r>
      <w:proofErr w:type="spellStart"/>
      <w:r w:rsidRPr="00251826">
        <w:t>Wfz</w:t>
      </w:r>
      <w:proofErr w:type="spellEnd"/>
      <w:r w:rsidRPr="00251826">
        <w:t xml:space="preserve"> is sinds 1 januari 2019 van kracht</w:t>
      </w:r>
      <w:r w:rsidRPr="00251826" w:rsidR="004C29A2">
        <w:t>, als opvolger van het Interimbesluit forensische zorg</w:t>
      </w:r>
      <w:r w:rsidRPr="00251826">
        <w:t xml:space="preserve">. Met deze wet is beoogd een kader te bieden voor de wijziging van het forensische zorgstelsel. Deze stelselwijziging werd al vanaf 2008 doorgevoerd en </w:t>
      </w:r>
      <w:r w:rsidRPr="00251826" w:rsidR="00CC3FB6">
        <w:t>hield</w:t>
      </w:r>
      <w:r w:rsidRPr="00251826">
        <w:t xml:space="preserve"> in dat het budget voor forensische zorg</w:t>
      </w:r>
      <w:r w:rsidRPr="00251826" w:rsidR="004C29A2">
        <w:t xml:space="preserve"> in strafrechtelijk kader</w:t>
      </w:r>
      <w:r w:rsidRPr="00251826">
        <w:t xml:space="preserve"> werd overgeheveld vanuit het ministerie van Volksgezondheid, Welzijn en Sport (VWS) naar </w:t>
      </w:r>
      <w:proofErr w:type="spellStart"/>
      <w:r w:rsidRPr="00251826">
        <w:t>JenV</w:t>
      </w:r>
      <w:proofErr w:type="spellEnd"/>
      <w:r w:rsidRPr="00251826">
        <w:t>.</w:t>
      </w:r>
      <w:r w:rsidRPr="00251826">
        <w:rPr>
          <w:rStyle w:val="Voetnootmarkering"/>
        </w:rPr>
        <w:footnoteReference w:id="6"/>
      </w:r>
      <w:r w:rsidRPr="00251826">
        <w:t xml:space="preserve"> Hiermee werd de minister van Justitie </w:t>
      </w:r>
      <w:r w:rsidRPr="00251826" w:rsidR="004C29A2">
        <w:t xml:space="preserve">en Veiligheid </w:t>
      </w:r>
      <w:r w:rsidRPr="00251826">
        <w:t xml:space="preserve">eindverantwoordelijk voor de plaatsing van personen met een strafrechtelijke titel die geestelijke gezondheidszorg, verslavingszorg of verstandelijk gehandicaptenzorg nodig hebben. De </w:t>
      </w:r>
      <w:r w:rsidRPr="00251826" w:rsidR="004C29A2">
        <w:t>Divisie</w:t>
      </w:r>
      <w:r w:rsidRPr="00251826">
        <w:t xml:space="preserve"> Forensische Zorg (</w:t>
      </w:r>
      <w:proofErr w:type="spellStart"/>
      <w:r w:rsidRPr="00251826">
        <w:t>DForZo</w:t>
      </w:r>
      <w:proofErr w:type="spellEnd"/>
      <w:r w:rsidRPr="00251826" w:rsidR="004C29A2">
        <w:t>/JJI</w:t>
      </w:r>
      <w:r w:rsidRPr="00251826">
        <w:t xml:space="preserve">) van DJI voert sinds 2008 deze taak namens de Minister uit. </w:t>
      </w:r>
    </w:p>
    <w:p w:rsidRPr="00251826" w:rsidR="00DC21C3" w:rsidP="00DC21C3" w:rsidRDefault="00DC21C3" w14:paraId="72BCBA5C" w14:textId="77777777"/>
    <w:p w:rsidRPr="00251826" w:rsidR="00DC21C3" w:rsidP="00DC21C3" w:rsidRDefault="00DC21C3" w14:paraId="4D464CF0" w14:textId="77777777">
      <w:r w:rsidRPr="00251826">
        <w:t xml:space="preserve">Forensische zorg kent verschillende vormen. Er kan onderscheid worden gemaakt tussen de volgende vormen: 1. de tbs-maatregel met dwangverpleging (tbs-dwang), 2. de zorg binnen penitentiaire psychiatrische centra, 3. forensische zorg met verblijf, niet zijnde tbs met dwang (dit betreft zowel klinische behandeling als forensisch beschermd wonen), en 4. ambulante forensische zorg. </w:t>
      </w:r>
    </w:p>
    <w:p w:rsidRPr="00251826" w:rsidR="00DC21C3" w:rsidP="00DC21C3" w:rsidRDefault="00DC21C3" w14:paraId="1D027439" w14:textId="77777777"/>
    <w:p w:rsidRPr="00251826" w:rsidR="00DC21C3" w:rsidP="00DC21C3" w:rsidRDefault="00DC21C3" w14:paraId="02316ACE" w14:textId="77777777">
      <w:r w:rsidRPr="00251826">
        <w:t xml:space="preserve">Het beleid voor de forensische zorg wordt gemaakt met het oog op twee strategische hoofddoelen, die sterk met elkaar samenhangen, conform artikel 2.1 lid 1 </w:t>
      </w:r>
      <w:proofErr w:type="spellStart"/>
      <w:r w:rsidRPr="00251826">
        <w:t>Wfz</w:t>
      </w:r>
      <w:proofErr w:type="spellEnd"/>
      <w:r w:rsidRPr="00251826">
        <w:t xml:space="preserve">:  </w:t>
      </w:r>
    </w:p>
    <w:p w:rsidRPr="00251826" w:rsidR="00DC21C3" w:rsidP="00DC21C3" w:rsidRDefault="00DC21C3" w14:paraId="3CDB07E0" w14:textId="77777777">
      <w:pPr>
        <w:pStyle w:val="Lijstalinea"/>
        <w:numPr>
          <w:ilvl w:val="0"/>
          <w:numId w:val="18"/>
        </w:numPr>
      </w:pPr>
      <w:r w:rsidRPr="00251826">
        <w:t>Het bevorderen van het herstel van de forensische patiënt;</w:t>
      </w:r>
      <w:bookmarkStart w:name="_Hlk194256546" w:id="1"/>
    </w:p>
    <w:p w:rsidRPr="00251826" w:rsidR="00DC21C3" w:rsidP="00DC21C3" w:rsidRDefault="00DC21C3" w14:paraId="39C9E835" w14:textId="77777777">
      <w:pPr>
        <w:pStyle w:val="Lijstalinea"/>
        <w:numPr>
          <w:ilvl w:val="0"/>
          <w:numId w:val="18"/>
        </w:numPr>
      </w:pPr>
      <w:r w:rsidRPr="00251826">
        <w:t>Het verkleinen van de kans op recidive en daarmee het vergroten van de veiligheid van de samenleving.</w:t>
      </w:r>
      <w:r w:rsidRPr="00251826">
        <w:rPr>
          <w:rStyle w:val="Voetnootmarkering"/>
        </w:rPr>
        <w:footnoteReference w:id="7"/>
      </w:r>
      <w:r w:rsidRPr="00251826">
        <w:t xml:space="preserve"> </w:t>
      </w:r>
      <w:bookmarkEnd w:id="1"/>
    </w:p>
    <w:p w:rsidRPr="00251826" w:rsidR="00DC21C3" w:rsidP="00DC21C3" w:rsidRDefault="00DC21C3" w14:paraId="11DDFCD8" w14:textId="77777777"/>
    <w:p w:rsidRPr="00251826" w:rsidR="00DC21C3" w:rsidP="00DC21C3" w:rsidRDefault="00DC21C3" w14:paraId="0C3997CE" w14:textId="092F2241">
      <w:r w:rsidRPr="00251826">
        <w:t>Naast de strategische hoofddoelen (kort gezegd: behandelen</w:t>
      </w:r>
      <w:r w:rsidRPr="00251826" w:rsidR="004C29A2">
        <w:t>/begeleiden</w:t>
      </w:r>
      <w:r w:rsidRPr="00251826">
        <w:t xml:space="preserve"> en beveiligen) is er een derde dimensie waar binnen de forensische zorg rekening mee moet worden gehouden. Dit betreft de rechtsbescherming ofwel rechtspositie van de patiënt. In het beleid moet </w:t>
      </w:r>
      <w:proofErr w:type="spellStart"/>
      <w:r w:rsidRPr="00251826">
        <w:t>JenV</w:t>
      </w:r>
      <w:proofErr w:type="spellEnd"/>
      <w:r w:rsidRPr="00251826">
        <w:t xml:space="preserve"> zorgen voor een balans tussen de strategische hoofddoelen en de rechtspositie van de patiënt.</w:t>
      </w:r>
      <w:r w:rsidRPr="00251826">
        <w:rPr>
          <w:rStyle w:val="Voetnootmarkering"/>
        </w:rPr>
        <w:footnoteReference w:id="8"/>
      </w:r>
      <w:r w:rsidRPr="00251826">
        <w:t xml:space="preserve"> Deze rechtspositie wordt niet bepaald vanuit de </w:t>
      </w:r>
      <w:proofErr w:type="spellStart"/>
      <w:r w:rsidRPr="00251826">
        <w:t>Wfz</w:t>
      </w:r>
      <w:proofErr w:type="spellEnd"/>
      <w:r w:rsidRPr="00251826">
        <w:t>.</w:t>
      </w:r>
      <w:r w:rsidRPr="00251826">
        <w:rPr>
          <w:rStyle w:val="Voetnootmarkering"/>
        </w:rPr>
        <w:footnoteReference w:id="9"/>
      </w:r>
      <w:r w:rsidRPr="00251826">
        <w:t xml:space="preserve"> De rechtspositie van de patiënt is dan ook niet </w:t>
      </w:r>
      <w:r w:rsidRPr="00251826">
        <w:lastRenderedPageBreak/>
        <w:t>geformuleerd als strategisch hoofddoel, het wordt meer beschouwd als een randvoorwaarde bij het leveren van forensische zorg.</w:t>
      </w:r>
    </w:p>
    <w:p w:rsidRPr="00251826" w:rsidR="00DC21C3" w:rsidP="00DC21C3" w:rsidRDefault="00DC21C3" w14:paraId="18816931" w14:textId="77777777"/>
    <w:p w:rsidRPr="00251826" w:rsidR="00DC21C3" w:rsidP="00DC21C3" w:rsidRDefault="00DC21C3" w14:paraId="37AD4ED9" w14:textId="586A0CB6">
      <w:r w:rsidRPr="00251826">
        <w:t>Binnen de strategische hoofddoelen van de forensische zorg, zijn verschillende subdoelen gedefinieerd</w:t>
      </w:r>
      <w:r w:rsidRPr="00251826" w:rsidR="00CC3FB6">
        <w:t>,</w:t>
      </w:r>
      <w:r w:rsidRPr="00251826">
        <w:t xml:space="preserve"> die zijn afgeleid uit de memorie van toelichting </w:t>
      </w:r>
      <w:r w:rsidRPr="00251826" w:rsidR="00CC3FB6">
        <w:t>bij</w:t>
      </w:r>
      <w:r w:rsidRPr="00251826">
        <w:t xml:space="preserve"> de </w:t>
      </w:r>
      <w:proofErr w:type="spellStart"/>
      <w:r w:rsidRPr="00251826">
        <w:t>Wfz</w:t>
      </w:r>
      <w:proofErr w:type="spellEnd"/>
      <w:r w:rsidRPr="00251826">
        <w:t>:</w:t>
      </w:r>
      <w:r w:rsidRPr="00251826">
        <w:rPr>
          <w:rStyle w:val="Voetnootmarkering"/>
        </w:rPr>
        <w:footnoteReference w:id="10"/>
      </w:r>
      <w:r w:rsidRPr="00251826">
        <w:t xml:space="preserve"> </w:t>
      </w:r>
    </w:p>
    <w:p w:rsidRPr="00251826" w:rsidR="00DC21C3" w:rsidP="00DC21C3" w:rsidRDefault="00DC21C3" w14:paraId="0EB6B0B4" w14:textId="77777777">
      <w:pPr>
        <w:pStyle w:val="Lijstalinea"/>
        <w:numPr>
          <w:ilvl w:val="0"/>
          <w:numId w:val="19"/>
        </w:numPr>
      </w:pPr>
      <w:r w:rsidRPr="00251826">
        <w:t xml:space="preserve">Kwalitatief goede forensische zorg, gericht op de veiligheid van de samenleving.  </w:t>
      </w:r>
    </w:p>
    <w:p w:rsidRPr="00251826" w:rsidR="00DC21C3" w:rsidP="00DC21C3" w:rsidRDefault="00DC21C3" w14:paraId="11A5A303" w14:textId="77777777">
      <w:pPr>
        <w:pStyle w:val="Lijstalinea"/>
        <w:numPr>
          <w:ilvl w:val="0"/>
          <w:numId w:val="19"/>
        </w:numPr>
      </w:pPr>
      <w:r w:rsidRPr="00251826">
        <w:t xml:space="preserve">Voldoende forensische zorgcapaciteit.  </w:t>
      </w:r>
    </w:p>
    <w:p w:rsidRPr="00251826" w:rsidR="00DC21C3" w:rsidP="00DC21C3" w:rsidRDefault="00DC21C3" w14:paraId="1A6B77B8" w14:textId="77777777">
      <w:pPr>
        <w:pStyle w:val="Lijstalinea"/>
        <w:numPr>
          <w:ilvl w:val="0"/>
          <w:numId w:val="19"/>
        </w:numPr>
      </w:pPr>
      <w:r w:rsidRPr="00251826">
        <w:t xml:space="preserve">Verbetering aansluiting forensische zorg en curatieve zorg (continuïteit van zorg).  </w:t>
      </w:r>
    </w:p>
    <w:p w:rsidRPr="00251826" w:rsidR="00DC21C3" w:rsidP="00DC21C3" w:rsidRDefault="00DC21C3" w14:paraId="27DC8837" w14:textId="77777777">
      <w:pPr>
        <w:pStyle w:val="Lijstalinea"/>
        <w:numPr>
          <w:ilvl w:val="0"/>
          <w:numId w:val="19"/>
        </w:numPr>
      </w:pPr>
      <w:r w:rsidRPr="00251826">
        <w:t xml:space="preserve">Patiënt op de juiste plek.  </w:t>
      </w:r>
    </w:p>
    <w:p w:rsidRPr="00251826" w:rsidR="00DC21C3" w:rsidP="00DC21C3" w:rsidRDefault="00DC21C3" w14:paraId="52626C90" w14:textId="77777777"/>
    <w:p w:rsidRPr="00251826" w:rsidR="00DC21C3" w:rsidP="00DC21C3" w:rsidRDefault="00DC21C3" w14:paraId="24EBAE33" w14:textId="1991E779">
      <w:r w:rsidRPr="00251826">
        <w:t xml:space="preserve">Het Wetenschappelijk Onderzoek- en </w:t>
      </w:r>
      <w:r w:rsidRPr="00251826" w:rsidR="004C29A2">
        <w:t>Datacentrum</w:t>
      </w:r>
      <w:r w:rsidRPr="00251826">
        <w:t xml:space="preserve"> (WODC) heeft in 2022 een Planevaluatie naar de </w:t>
      </w:r>
      <w:proofErr w:type="spellStart"/>
      <w:r w:rsidRPr="00251826">
        <w:t>Wfz</w:t>
      </w:r>
      <w:proofErr w:type="spellEnd"/>
      <w:r w:rsidRPr="00251826">
        <w:t xml:space="preserve"> uitgevoerd. In deze planevaluatie is de beleidstheorie van de </w:t>
      </w:r>
      <w:proofErr w:type="spellStart"/>
      <w:r w:rsidRPr="00251826">
        <w:t>Wfz</w:t>
      </w:r>
      <w:proofErr w:type="spellEnd"/>
      <w:r w:rsidRPr="00251826">
        <w:t xml:space="preserve"> gereconstrueerd en geëvalueerd.</w:t>
      </w:r>
      <w:r w:rsidRPr="00251826">
        <w:rPr>
          <w:rStyle w:val="Voetnootmarkering"/>
        </w:rPr>
        <w:footnoteReference w:id="11"/>
      </w:r>
      <w:r w:rsidRPr="00251826">
        <w:t xml:space="preserve"> Het WODC concludeert dat de samenhang tussen de twee strategische hoofddoelen grondig is onderzocht en onderschreven. Rehabilitatieprogramma’s en behandelprogramma’s leiden tot een duidelijke vermindering van het aantal recidive, in tegenstelling tot strengere bestraffing en supervisie. Deze conclusie laat ook de samenhang zien tussen de strategische hoofd- en subdoelen. Voor een vermindering van recidive is het onder andere van belang dat de forensische zorg kwalitatief goed is, en dat patiënten op de juiste plek verblijven.</w:t>
      </w:r>
      <w:r w:rsidRPr="00251826">
        <w:rPr>
          <w:rStyle w:val="Voetnootmarkering"/>
        </w:rPr>
        <w:footnoteReference w:id="12"/>
      </w:r>
      <w:r w:rsidRPr="00251826">
        <w:t xml:space="preserve"> Op de kwaliteit van forensische zorg wordt gestuurd via het kwaliteitskader forensische zorg.</w:t>
      </w:r>
      <w:r w:rsidRPr="00251826">
        <w:rPr>
          <w:vertAlign w:val="superscript"/>
        </w:rPr>
        <w:footnoteReference w:id="13"/>
      </w:r>
      <w:r w:rsidRPr="00251826">
        <w:t xml:space="preserve"> Vanwege deze onderlinge afhankelijkheid moeten de strategische hoofd- en subdoelen zoveel mogelijk in samenhang worden </w:t>
      </w:r>
      <w:r w:rsidRPr="00251826" w:rsidR="00CC3FB6">
        <w:t>bezien</w:t>
      </w:r>
      <w:r w:rsidRPr="00251826">
        <w:t xml:space="preserve">. </w:t>
      </w:r>
    </w:p>
    <w:p w:rsidRPr="00251826" w:rsidR="00DC21C3" w:rsidP="00DC21C3" w:rsidRDefault="00DC21C3" w14:paraId="0086A4DC" w14:textId="77777777"/>
    <w:p w:rsidRPr="00251826" w:rsidR="00DC21C3" w:rsidP="00DC21C3" w:rsidRDefault="00DC21C3" w14:paraId="486F4697" w14:textId="77777777">
      <w:r w:rsidRPr="00251826">
        <w:t xml:space="preserve">Een ander voorbeeld van de wisselwerking tussen hoofd- en subdoelen is de relatie tussen de passende capaciteit enerzijds, en continuïteit van zorg en de patiënt op de juiste plaats anderzijds. </w:t>
      </w:r>
    </w:p>
    <w:p w:rsidRPr="00251826" w:rsidR="00DC21C3" w:rsidP="00DC21C3" w:rsidRDefault="00DC21C3" w14:paraId="6FF3F14F" w14:textId="14C22C87">
      <w:r w:rsidRPr="00251826">
        <w:t>Het subdoel ‘passende capaciteit’ voor de forensische zorg vormt een belangrijke randvoorwaarde om de strategische hoofddoelen te bereiken. De forensische zorg kampt met ernstige capaciteitsproblemen, met name op beveiligingsniveau 4</w:t>
      </w:r>
      <w:r w:rsidRPr="00251826" w:rsidR="004C29A2">
        <w:t xml:space="preserve"> (</w:t>
      </w:r>
      <w:proofErr w:type="spellStart"/>
      <w:r w:rsidRPr="00251826" w:rsidR="004C29A2">
        <w:t>FPC’s</w:t>
      </w:r>
      <w:proofErr w:type="spellEnd"/>
      <w:r w:rsidRPr="00251826" w:rsidR="004C29A2">
        <w:t>)</w:t>
      </w:r>
      <w:r w:rsidRPr="00251826">
        <w:t>. De oorzaken hiervoor zijn de afbouw van de capaciteit sinds 2014 en vanaf 2017 een stijgende instroom.</w:t>
      </w:r>
      <w:r w:rsidRPr="00251826">
        <w:rPr>
          <w:rStyle w:val="Voetnootmarkering"/>
        </w:rPr>
        <w:footnoteReference w:id="14"/>
      </w:r>
      <w:r w:rsidRPr="00251826">
        <w:t xml:space="preserve"> Daarnaast stagneert de door- en uitstroom. De huidige beleidsinspanningen richten zich niet alleen op het vergroten van de capaciteit en het uitbreiden van het aantal plekken op beveiligingsniveau 4. De inspanningen zijn ook gericht op het beperken van de instroom door in te zetten op een betere aansluiting tussen de forensische en reguliere zorg, en op het bevorderen van de re-integratiebegeleiding in de gemeenten na de beëindiging van de forensische zorgtitel. Deze beleidsinspanningen vallen weer onder de subdoelen ‘patiënt op de juiste </w:t>
      </w:r>
      <w:r w:rsidRPr="00251826" w:rsidR="004C29A2">
        <w:t>plek’</w:t>
      </w:r>
      <w:r w:rsidRPr="00251826">
        <w:t xml:space="preserve"> en ‘continuïteit van zorg’. Zo heeft </w:t>
      </w:r>
      <w:proofErr w:type="spellStart"/>
      <w:r w:rsidRPr="00251826">
        <w:t>JenV</w:t>
      </w:r>
      <w:proofErr w:type="spellEnd"/>
      <w:r w:rsidRPr="00251826">
        <w:t xml:space="preserve"> samen met VWS de Werkagenda Aansluiting forensische zorg en reguliere zorg opgezet. Het doel van deze Werkagenda is om te zorgen dat personen met </w:t>
      </w:r>
      <w:r w:rsidRPr="00251826">
        <w:lastRenderedPageBreak/>
        <w:t xml:space="preserve">behoefte aan een combinatie van zorg en beveiliging de hulp krijgen die zij nodig hebben. Op dit moment wordt door </w:t>
      </w:r>
      <w:proofErr w:type="spellStart"/>
      <w:r w:rsidRPr="00251826">
        <w:t>JenV</w:t>
      </w:r>
      <w:proofErr w:type="spellEnd"/>
      <w:r w:rsidRPr="00251826">
        <w:t xml:space="preserve"> en VWS in het kader van deze Werkagenda gewerkt aan de uitvoering van elf maatregelen in samenwerking met DJI, De Nederlandse ggz, Vereniging Gehandicaptenzorg Nederland, </w:t>
      </w:r>
      <w:proofErr w:type="spellStart"/>
      <w:r w:rsidRPr="00251826">
        <w:t>Valente</w:t>
      </w:r>
      <w:proofErr w:type="spellEnd"/>
      <w:r w:rsidRPr="00251826">
        <w:t>, Vereniging van Nederlandse Gemeenten en Zorgverzekeraars Nederland.</w:t>
      </w:r>
      <w:r w:rsidRPr="00251826">
        <w:rPr>
          <w:rStyle w:val="Voetnootmarkering"/>
        </w:rPr>
        <w:footnoteReference w:id="15"/>
      </w:r>
      <w:r w:rsidRPr="00251826">
        <w:t xml:space="preserve"> De inzet van </w:t>
      </w:r>
      <w:proofErr w:type="spellStart"/>
      <w:r w:rsidRPr="00251826">
        <w:t>JenV</w:t>
      </w:r>
      <w:proofErr w:type="spellEnd"/>
      <w:r w:rsidRPr="00251826">
        <w:t xml:space="preserve"> binnen deze werkagenda maakt specifiek onderdeel uit van de periodieke rapportage.</w:t>
      </w:r>
    </w:p>
    <w:p w:rsidRPr="00251826" w:rsidR="00DC21C3" w:rsidP="00DC21C3" w:rsidRDefault="00DC21C3" w14:paraId="7C7D62ED" w14:textId="77777777"/>
    <w:p w:rsidRPr="00251826" w:rsidR="00DC21C3" w:rsidP="00DC21C3" w:rsidRDefault="00DC21C3" w14:paraId="7149086B" w14:textId="7A0808A6">
      <w:r w:rsidRPr="00251826">
        <w:t>Om de hoofd- en subdoelen te realiseren, zijn de afgelopen periode diverse beleidsinitiatieven ingezet. In 2019 is het programma forensische zorg ingericht om de visie op de forensische zorg te herijken en een stevig fundament voor forensische zorg neer te leggen.</w:t>
      </w:r>
      <w:r w:rsidRPr="00251826">
        <w:rPr>
          <w:rStyle w:val="Voetnootmarkering"/>
        </w:rPr>
        <w:footnoteReference w:id="16"/>
      </w:r>
      <w:r w:rsidRPr="00251826">
        <w:t xml:space="preserve"> Dit programma is inmiddels afgerond. Vanaf de start van dit programma en ook na de beëindiging daarvan, is de Tweede Kamer via de periodieke voortgangsbrieven forensische zorg op de hoogte gehouden van de diverse beleidsinitiatieven.</w:t>
      </w:r>
      <w:r w:rsidRPr="00251826">
        <w:rPr>
          <w:rStyle w:val="Voetnootmarkering"/>
        </w:rPr>
        <w:footnoteReference w:id="17"/>
      </w:r>
      <w:r w:rsidRPr="00251826">
        <w:t xml:space="preserve"> In deze voortgangsbrieven word</w:t>
      </w:r>
      <w:r w:rsidRPr="00251826" w:rsidR="000B196A">
        <w:t>en</w:t>
      </w:r>
      <w:r w:rsidRPr="00251826">
        <w:t xml:space="preserve"> de </w:t>
      </w:r>
      <w:r w:rsidRPr="00251826">
        <w:rPr>
          <w:i/>
          <w:iCs/>
        </w:rPr>
        <w:t>output</w:t>
      </w:r>
      <w:r w:rsidRPr="00251826">
        <w:t xml:space="preserve">, </w:t>
      </w:r>
      <w:proofErr w:type="spellStart"/>
      <w:r w:rsidRPr="00251826">
        <w:rPr>
          <w:i/>
          <w:iCs/>
        </w:rPr>
        <w:t>outcome</w:t>
      </w:r>
      <w:proofErr w:type="spellEnd"/>
      <w:r w:rsidRPr="00251826">
        <w:t xml:space="preserve"> en </w:t>
      </w:r>
      <w:r w:rsidRPr="00251826">
        <w:rPr>
          <w:i/>
          <w:iCs/>
        </w:rPr>
        <w:t>impact</w:t>
      </w:r>
      <w:r w:rsidRPr="00251826">
        <w:t xml:space="preserve"> van het beleid met de Kamer gedeeld. </w:t>
      </w:r>
      <w:r w:rsidRPr="00251826" w:rsidR="000B196A">
        <w:t xml:space="preserve">Een reconstructie hiervan zal samen met de </w:t>
      </w:r>
      <w:r w:rsidRPr="00251826">
        <w:t xml:space="preserve">onderzoeken en evaluaties uit bijlage 1, </w:t>
      </w:r>
      <w:r w:rsidRPr="00251826" w:rsidR="000B196A">
        <w:t>worden meegenomen in de uitvoering van de</w:t>
      </w:r>
      <w:r w:rsidRPr="00251826">
        <w:t xml:space="preserve"> Periodieke rapportage.</w:t>
      </w:r>
      <w:bookmarkEnd w:id="0"/>
    </w:p>
    <w:p w:rsidRPr="00251826" w:rsidR="00DC21C3" w:rsidP="00DC21C3" w:rsidRDefault="00DC21C3" w14:paraId="19D4E77C" w14:textId="77777777"/>
    <w:p w:rsidRPr="00251826" w:rsidR="00DC21C3" w:rsidP="00DC21C3" w:rsidRDefault="00DC21C3" w14:paraId="17C14835" w14:textId="77777777">
      <w:pPr>
        <w:pStyle w:val="Lijstalinea"/>
        <w:numPr>
          <w:ilvl w:val="0"/>
          <w:numId w:val="36"/>
        </w:numPr>
        <w:rPr>
          <w:b/>
          <w:bCs/>
        </w:rPr>
      </w:pPr>
      <w:r w:rsidRPr="00251826">
        <w:rPr>
          <w:b/>
          <w:bCs/>
        </w:rPr>
        <w:t>Inzichtbehoefte Periodieke rapportage</w:t>
      </w:r>
    </w:p>
    <w:p w:rsidRPr="00251826" w:rsidR="00DC21C3" w:rsidP="00DC21C3" w:rsidRDefault="00DC21C3" w14:paraId="6CFBC9A8" w14:textId="77777777">
      <w:r w:rsidRPr="00251826">
        <w:t>De afgelopen jaren is reeds veel onderzoek verricht, dat inzicht geeft in de doelmatigheid en doeltreffendheid van het beleid voor de forensische zorg. Een groot deel van de onderzoeken dat de afgelopen jaren is uitgevoerd, staat genoemd in het overzicht van (evaluatie)onderzoeken in bijlage 1. Dit zijn onder andere onderzoeken die de afgelopen jaren binnen het kader van de Strategische Evaluatieagenda zijn uitgevoerd gerelateerd aan begrotingsartikel 34. Het overzicht in bijlage 1 is niet uitputtend, deze lijst kan op basis van voortschrijdend inzicht tijdens de uitvoering van de Periodieke rapportage nog worden gewijzigd. Daarnaast worden er gedurende de looptijd van de Periodieke rapportage nog enkele onderzoeken en evaluaties uitgevoerd.</w:t>
      </w:r>
      <w:r w:rsidRPr="00251826">
        <w:rPr>
          <w:rStyle w:val="Voetnootmarkering"/>
        </w:rPr>
        <w:footnoteReference w:id="18"/>
      </w:r>
      <w:r w:rsidRPr="00251826">
        <w:t xml:space="preserve"> Afhankelijk van de opleverdata worden deze evaluaties al dan niet meegenomen ter onderbouwing van de Periodieke rapportage. Voortbouwend op deze eerdere inzichten, bestaat er onder andere een inzichtbehoefte op de hieronder beschreven onderwerpen. </w:t>
      </w:r>
    </w:p>
    <w:p w:rsidRPr="00251826" w:rsidR="00DC21C3" w:rsidP="00DC21C3" w:rsidRDefault="00DC21C3" w14:paraId="127418E9" w14:textId="77777777">
      <w:r w:rsidRPr="00251826">
        <w:t xml:space="preserve"> </w:t>
      </w:r>
    </w:p>
    <w:p w:rsidRPr="00251826" w:rsidR="00DC21C3" w:rsidP="00DC21C3" w:rsidRDefault="00DC21C3" w14:paraId="0AEC6542" w14:textId="0D69CA8D">
      <w:r w:rsidRPr="00251826">
        <w:t xml:space="preserve">In de toekomstverkenning voor de forensische zorg uit 2024 wordt een zorgelijk scenario voor de toekomst geschetst, waarbij de instroom van patiënten in de forensische zorg in de toekomst verder stijgt, gecombineerd met een aanhoudend </w:t>
      </w:r>
      <w:r w:rsidRPr="00251826">
        <w:lastRenderedPageBreak/>
        <w:t>personeelstekort.</w:t>
      </w:r>
      <w:r w:rsidRPr="00251826">
        <w:rPr>
          <w:rStyle w:val="Voetnootmarkering"/>
        </w:rPr>
        <w:footnoteReference w:id="19"/>
      </w:r>
      <w:r w:rsidRPr="00251826">
        <w:t xml:space="preserve"> Veel van het beleid van </w:t>
      </w:r>
      <w:proofErr w:type="spellStart"/>
      <w:r w:rsidRPr="00251826">
        <w:t>JenV</w:t>
      </w:r>
      <w:proofErr w:type="spellEnd"/>
      <w:r w:rsidRPr="00251826">
        <w:t xml:space="preserve"> is erop gericht deze capaciteitsknel het hoofd te kunnen bieden. Een essentiële vraag voor deze Periodieke rapportage is hoe de forensische zorg binnen dit toekomstbeeld doelmatig en doeltreffend kan blijven. Daarbij worden de beleidsdoelstellingen van de </w:t>
      </w:r>
      <w:proofErr w:type="spellStart"/>
      <w:r w:rsidRPr="00251826">
        <w:t>Meerjarenagenda</w:t>
      </w:r>
      <w:proofErr w:type="spellEnd"/>
      <w:r w:rsidRPr="00251826">
        <w:t xml:space="preserve"> forensische zorg 2024-2029 meegenomen, die op basis van de toekomstverkenning is opgesteld. Onderdeel hiervan is onder andere de inzet op technologie en innovatie om een duurzame en veilige forensische zorg te realiseren. </w:t>
      </w:r>
    </w:p>
    <w:p w:rsidRPr="00251826" w:rsidR="00DC21C3" w:rsidP="00DC21C3" w:rsidRDefault="00DC21C3" w14:paraId="29F55AD0" w14:textId="77777777"/>
    <w:p w:rsidRPr="00251826" w:rsidR="00DC21C3" w:rsidP="00DC21C3" w:rsidRDefault="00DC21C3" w14:paraId="44A99C21" w14:textId="77777777">
      <w:r w:rsidRPr="00251826">
        <w:t>Daarnaast heeft de Algemene Rekenkamer in 2022 een rapport uitgebracht waaruit blijkt dat er tekortkomingen bestaan in de beschikbare data waardoor het moeilijk is de kwaliteit en effectiviteit van de forensische zorg te beoordelen. De Rekenkamer pleit voor het beter benutten en combineren van de beschikbare data.</w:t>
      </w:r>
      <w:r w:rsidRPr="00251826">
        <w:rPr>
          <w:rStyle w:val="Voetnootmarkering"/>
        </w:rPr>
        <w:footnoteReference w:id="20"/>
      </w:r>
      <w:r w:rsidRPr="00251826">
        <w:t xml:space="preserve"> In reactie op de aanbevelingen van de Rekenkamer is in samenwerking met de betrokken ketenpartners (DJI, reclassering en zorginstellingen) gestart met het programma ‘Digitalisering Forensische Zorg’.</w:t>
      </w:r>
      <w:r w:rsidRPr="00251826">
        <w:rPr>
          <w:rStyle w:val="Voetnootmarkering"/>
        </w:rPr>
        <w:footnoteReference w:id="21"/>
      </w:r>
      <w:r w:rsidRPr="00251826">
        <w:t xml:space="preserve"> Dit programma richt zich op het verbeteren van de digitale ondersteuning van de (keten)processen in de forensische zorg en op het beschikbaar krijgen van meer sturingsinformatie op ketenniveau. Daarmee maakt ook de kwaliteit van de informatievoorziening en beschikbare data deel uit van deze Periodieke rapportage, met name met betrekking tot de vraag in hoeverre de beleidsinspanningen van </w:t>
      </w:r>
      <w:proofErr w:type="spellStart"/>
      <w:r w:rsidRPr="00251826">
        <w:t>JenV</w:t>
      </w:r>
      <w:proofErr w:type="spellEnd"/>
      <w:r w:rsidRPr="00251826">
        <w:t xml:space="preserve"> de digitale samenwerking bevorderen. Een en ander is ook aan bod gekomen in de procesevaluatie ‘Patiënt op de juiste plek’ in de forensische zorg, zoals uitgevoerd door het WODC.</w:t>
      </w:r>
      <w:r w:rsidRPr="00251826">
        <w:rPr>
          <w:rStyle w:val="Voetnootmarkering"/>
        </w:rPr>
        <w:footnoteReference w:id="22"/>
      </w:r>
    </w:p>
    <w:p w:rsidRPr="00251826" w:rsidR="00DC21C3" w:rsidP="00DC21C3" w:rsidRDefault="00DC21C3" w14:paraId="39D76B2A" w14:textId="77777777"/>
    <w:p w:rsidRPr="00251826" w:rsidR="00DC21C3" w:rsidP="00DC21C3" w:rsidRDefault="00DC21C3" w14:paraId="1837078C" w14:textId="15BCA801">
      <w:r w:rsidRPr="00251826">
        <w:t>Tot slot wordt opgemerkt dat het beleid voor de forensische zorg moeilijk afzonderlijk is te beoordelen. Dit hangt samen met het specifieke en vaak niet-lineaire karakter van forensische zorgtrajecten, waarin behandeling</w:t>
      </w:r>
      <w:r w:rsidRPr="00251826" w:rsidR="004C29A2">
        <w:t xml:space="preserve"> en begeleiding</w:t>
      </w:r>
      <w:r w:rsidRPr="00251826">
        <w:t xml:space="preserve">, risicobeheersing en maatschappelijke resocialisatie op complexe wijze samenkomen. Ook de verwevenheid met andere domeinen, zoals de </w:t>
      </w:r>
      <w:r w:rsidRPr="00251826" w:rsidR="00BC74AC">
        <w:t xml:space="preserve">brede </w:t>
      </w:r>
      <w:r w:rsidRPr="00251826">
        <w:t>strafrechtketen en reguliere gezondheidszorg</w:t>
      </w:r>
      <w:r w:rsidRPr="00251826" w:rsidR="00BC74AC">
        <w:t>,</w:t>
      </w:r>
      <w:r w:rsidRPr="00251826">
        <w:t xml:space="preserve"> maakt dat beleidsresultaten niet eenduidig aan één beleidsmaatregel zijn toe te schrijven. Deze dynamiek vraagt om een bredere en meer contextgevoelige benadering van doeltreffendheid en doelmatigheid. Daarmee wordt in de uitvoering van de Periodieke rapportage nadrukkelijk rekening gehouden.</w:t>
      </w:r>
    </w:p>
    <w:p w:rsidR="00DC21C3" w:rsidP="00DC21C3" w:rsidRDefault="00DC21C3" w14:paraId="12293ECF" w14:textId="77777777"/>
    <w:p w:rsidR="00E0033D" w:rsidP="00DC21C3" w:rsidRDefault="00E0033D" w14:paraId="7A7B872D" w14:textId="77777777"/>
    <w:p w:rsidR="00E0033D" w:rsidP="00DC21C3" w:rsidRDefault="00E0033D" w14:paraId="70D9CAD0" w14:textId="77777777"/>
    <w:p w:rsidR="00E0033D" w:rsidP="00DC21C3" w:rsidRDefault="00E0033D" w14:paraId="20EACA49" w14:textId="77777777"/>
    <w:p w:rsidR="00E0033D" w:rsidP="00DC21C3" w:rsidRDefault="00E0033D" w14:paraId="5A9E177F" w14:textId="77777777"/>
    <w:p w:rsidRPr="00251826" w:rsidR="00E0033D" w:rsidP="00DC21C3" w:rsidRDefault="00E0033D" w14:paraId="3A10F46C" w14:textId="77777777"/>
    <w:p w:rsidRPr="00251826" w:rsidR="00DC21C3" w:rsidP="00DC21C3" w:rsidRDefault="00DC21C3" w14:paraId="535B4079" w14:textId="77777777">
      <w:pPr>
        <w:pStyle w:val="Lijstalinea"/>
        <w:numPr>
          <w:ilvl w:val="0"/>
          <w:numId w:val="36"/>
        </w:numPr>
        <w:rPr>
          <w:b/>
          <w:bCs/>
        </w:rPr>
      </w:pPr>
      <w:r w:rsidRPr="00251826">
        <w:rPr>
          <w:b/>
          <w:bCs/>
        </w:rPr>
        <w:lastRenderedPageBreak/>
        <w:t>Financiële onderbouwing</w:t>
      </w:r>
    </w:p>
    <w:p w:rsidRPr="00251826" w:rsidR="00DC21C3" w:rsidP="00DC21C3" w:rsidRDefault="00DC21C3" w14:paraId="6EC5416A" w14:textId="77777777">
      <w:r w:rsidRPr="00251826">
        <w:t xml:space="preserve">Realisatie op begrotingsartikel 34.3.1.21. </w:t>
      </w:r>
    </w:p>
    <w:p w:rsidRPr="00251826" w:rsidR="00DC21C3" w:rsidP="00DC21C3" w:rsidRDefault="00DC21C3" w14:paraId="206B6916" w14:textId="77777777"/>
    <w:p w:rsidRPr="00251826" w:rsidR="00DC21C3" w:rsidP="00DC21C3" w:rsidRDefault="00DC21C3" w14:paraId="53AB21EB" w14:textId="77777777">
      <w:r w:rsidRPr="00251826">
        <w:rPr>
          <w:noProof/>
        </w:rPr>
        <w:drawing>
          <wp:inline distT="0" distB="0" distL="0" distR="0" wp14:anchorId="6E705068" wp14:editId="65C98A7C">
            <wp:extent cx="4172673" cy="2525704"/>
            <wp:effectExtent l="0" t="0" r="0" b="8255"/>
            <wp:docPr id="4485598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33168" cy="2562321"/>
                    </a:xfrm>
                    <a:prstGeom prst="rect">
                      <a:avLst/>
                    </a:prstGeom>
                    <a:noFill/>
                    <a:ln>
                      <a:noFill/>
                    </a:ln>
                  </pic:spPr>
                </pic:pic>
              </a:graphicData>
            </a:graphic>
          </wp:inline>
        </w:drawing>
      </w:r>
    </w:p>
    <w:p w:rsidRPr="00251826" w:rsidR="00DC21C3" w:rsidP="00DC21C3" w:rsidRDefault="00DC21C3" w14:paraId="674125A9" w14:textId="77777777"/>
    <w:p w:rsidRPr="00251826" w:rsidR="00DC21C3" w:rsidP="00DC21C3" w:rsidRDefault="00DC21C3" w14:paraId="494EB6CF" w14:textId="3D1D57F0">
      <w:r w:rsidRPr="00251826">
        <w:t>De kosten van de forensische zorg zijn in de afgelopen periode gestegen als gevolg van meerdere ontwikkelingen. Allereerst is het aantal cliënten dat in aanmerking komt voor forensische zorg toegenomen. Daarnaast is de zorgvraag zwaarder en complexer geworden, bijvoorbeeld door cliënten met meervoudige problematiek waardoor intensievere en langdurigere zorgtrajecten nodig zijn. Beperkingen bij de beschikbaarheid van vervolgzorg zorgen voor vertraging in de doorstroom, wat eveneens bijdraagt aan oplopende kosten en blijven cliënten langer in zorg, onder meer vanwege knelpunten bij uitstroom naar passende vervolgvoorzieningen in het gemeentelijk domein.</w:t>
      </w:r>
      <w:r w:rsidRPr="00251826">
        <w:rPr>
          <w:rStyle w:val="Voetnootmarkering"/>
        </w:rPr>
        <w:footnoteReference w:id="23"/>
      </w:r>
      <w:r w:rsidRPr="00251826" w:rsidR="004C29A2">
        <w:t xml:space="preserve"> Tenslotte heeft ook de jaarlijkse loon- en prijsontwikkeling bijgedragen aan de toename van kosten.</w:t>
      </w:r>
    </w:p>
    <w:p w:rsidRPr="00251826" w:rsidR="00DC21C3" w:rsidP="00DC21C3" w:rsidRDefault="00DC21C3" w14:paraId="6BC80B0C" w14:textId="77777777"/>
    <w:p w:rsidRPr="00251826" w:rsidR="00DC21C3" w:rsidP="00DC21C3" w:rsidRDefault="00DC21C3" w14:paraId="745CC21E" w14:textId="77777777">
      <w:pPr>
        <w:pStyle w:val="Lijstalinea"/>
        <w:numPr>
          <w:ilvl w:val="0"/>
          <w:numId w:val="36"/>
        </w:numPr>
        <w:rPr>
          <w:b/>
          <w:bCs/>
        </w:rPr>
      </w:pPr>
      <w:r w:rsidRPr="00251826">
        <w:rPr>
          <w:b/>
          <w:bCs/>
        </w:rPr>
        <w:t>Reikwijdte, opzet en vraagstelling van de Periodieke rapportage</w:t>
      </w:r>
    </w:p>
    <w:p w:rsidRPr="00251826" w:rsidR="00DC21C3" w:rsidP="00DC21C3" w:rsidRDefault="00DC21C3" w14:paraId="258FF55B" w14:textId="77777777">
      <w:pPr>
        <w:rPr>
          <w:i/>
          <w:iCs/>
        </w:rPr>
      </w:pPr>
      <w:bookmarkStart w:name="_Hlk201649527" w:id="2"/>
      <w:r w:rsidRPr="00251826">
        <w:rPr>
          <w:i/>
          <w:iCs/>
        </w:rPr>
        <w:t>Reikwijdte van de Periodieke rapportage</w:t>
      </w:r>
    </w:p>
    <w:p w:rsidRPr="00251826" w:rsidR="00DC21C3" w:rsidP="00DC21C3" w:rsidRDefault="00DC21C3" w14:paraId="1EC472A9" w14:textId="1F01CE0F">
      <w:r w:rsidRPr="00251826">
        <w:t>De vorige beleidsdoorlichting (2008-2014)</w:t>
      </w:r>
      <w:r w:rsidRPr="00251826">
        <w:rPr>
          <w:rStyle w:val="Voetnootmarkering"/>
        </w:rPr>
        <w:footnoteReference w:id="24"/>
      </w:r>
      <w:r w:rsidRPr="00251826">
        <w:t xml:space="preserve"> betrof het beleid omtrent de tenuitvoerlegging van strafrechtelijke sancties en maatregelen in brede zin. Het beleid omtrent de forensische zorg maakte hier deel van uit. Deze beleidsdoorlichting was eveneens gericht op het verkleinen van de kans op recidive en daarmee het vergroten van de veiligheid van de samenleving.</w:t>
      </w:r>
      <w:r w:rsidRPr="00251826" w:rsidR="000B196A">
        <w:t xml:space="preserve"> Op basis van de</w:t>
      </w:r>
      <w:r w:rsidRPr="00251826" w:rsidR="00886AEC">
        <w:t>ze</w:t>
      </w:r>
      <w:r w:rsidRPr="00251826" w:rsidR="000B196A">
        <w:t xml:space="preserve"> beleidsdoorlichting is geconcludeerd, dat de doelstelling tot het terugdringen van recidive is gerealiseerd en dat het aannemelijk is dat het beleid daaraan een positieve bijdrage heeft geleverd.</w:t>
      </w:r>
      <w:r w:rsidRPr="00251826" w:rsidR="000B196A">
        <w:rPr>
          <w:rStyle w:val="Voetnootmarkering"/>
        </w:rPr>
        <w:footnoteReference w:id="25"/>
      </w:r>
      <w:r w:rsidRPr="00251826" w:rsidR="000B196A">
        <w:t xml:space="preserve"> </w:t>
      </w:r>
      <w:r w:rsidRPr="00251826">
        <w:t xml:space="preserve"> </w:t>
      </w:r>
    </w:p>
    <w:p w:rsidRPr="00251826" w:rsidR="00DC21C3" w:rsidP="00DC21C3" w:rsidRDefault="00DC21C3" w14:paraId="716F859F" w14:textId="77777777">
      <w:pPr>
        <w:rPr>
          <w:i/>
          <w:iCs/>
        </w:rPr>
      </w:pPr>
    </w:p>
    <w:p w:rsidRPr="00251826" w:rsidR="00DC21C3" w:rsidP="00DC21C3" w:rsidRDefault="00DC21C3" w14:paraId="5E6628DC" w14:textId="77777777">
      <w:r w:rsidRPr="00251826">
        <w:t xml:space="preserve">Net als in de vorige rapportage ligt de nadruk in deze Periodieke rapportage op het beleid dat is gericht op het verkleinen van de kans op recidive en daarmee op </w:t>
      </w:r>
      <w:r w:rsidRPr="00251826">
        <w:lastRenderedPageBreak/>
        <w:t xml:space="preserve">het verbeteren van de veiligheid van de samenleving, aldus het tweede strategische hoofddoel van de forensische zorg. Een grondige evaluatie van het eerste hoofddoel – het bevorderen van het herstel van de patiënten in de forensische zorg - zou vragen om een evaluatie van het herstelproces en de effectiviteit van zorg. Dit valt buiten de verantwoordelijkheid en het expertisegebied van </w:t>
      </w:r>
      <w:proofErr w:type="spellStart"/>
      <w:r w:rsidRPr="00251826">
        <w:t>JenV</w:t>
      </w:r>
      <w:proofErr w:type="spellEnd"/>
      <w:r w:rsidRPr="00251826">
        <w:t>. De zorgaanbieders zijn in de eerste plaats zelf verantwoordelijk voor het bevorderen van het herstel van forensische patiënten. Via een gericht inkoopbeleid van het zorgaanbod en afspraken met zorgaanbieders over kwaliteitsstandaarden, zoals vastgelegd in het Kwaliteitskader Forensische Zorg, wordt ingezet op  bevorderen van het herstel van patiënten in de forensische zorg.</w:t>
      </w:r>
      <w:r w:rsidRPr="00251826">
        <w:rPr>
          <w:rStyle w:val="Voetnootmarkering"/>
        </w:rPr>
        <w:footnoteReference w:id="26"/>
      </w:r>
      <w:r w:rsidRPr="00251826">
        <w:t xml:space="preserve"> In 2021 is een advies over de inkoopstrategie van DJI met uw Kamer gedeeld.</w:t>
      </w:r>
      <w:r w:rsidRPr="00251826">
        <w:rPr>
          <w:rStyle w:val="Voetnootmarkering"/>
        </w:rPr>
        <w:footnoteReference w:id="27"/>
      </w:r>
      <w:r w:rsidRPr="00251826">
        <w:t xml:space="preserve"> Daarnaast houden ook de inspecties (Inspectie Justitie en Veiligheid en Inspectie Gezondheidszorg en Jeugd) toezicht op de instellingen voor forensische zorg, dergelijke inspectierapporten zullen ook onderdeel uitmaken van deze Periodieke rapportage.</w:t>
      </w:r>
    </w:p>
    <w:p w:rsidRPr="00251826" w:rsidR="00DC21C3" w:rsidP="00DC21C3" w:rsidRDefault="00DC21C3" w14:paraId="103A62C1" w14:textId="77777777"/>
    <w:p w:rsidRPr="00251826" w:rsidR="00DC21C3" w:rsidP="00DC21C3" w:rsidRDefault="00DC21C3" w14:paraId="2AEB4FFF" w14:textId="689A8DFB">
      <w:r w:rsidRPr="00251826">
        <w:t xml:space="preserve">Vanuit de verantwoordelijkheid van </w:t>
      </w:r>
      <w:proofErr w:type="spellStart"/>
      <w:r w:rsidRPr="00251826">
        <w:t>JenV</w:t>
      </w:r>
      <w:proofErr w:type="spellEnd"/>
      <w:r w:rsidRPr="00251826">
        <w:t xml:space="preserve"> richt deze Periodieke rapportage zich primair op het tweede strategische hoofddoel van de forensische zorg. Gezien de onderlinge verwevenheid van de strategische doelen wordt ook het beleid dat zich richt op het bevorderen van het herstel van de patiënt meegenomen. Bij de evaluatie van d</w:t>
      </w:r>
      <w:r w:rsidRPr="00251826" w:rsidR="00C35949">
        <w:t>i</w:t>
      </w:r>
      <w:r w:rsidRPr="00251826">
        <w:t xml:space="preserve">t eerste strategische </w:t>
      </w:r>
      <w:r w:rsidRPr="00251826" w:rsidR="00613781">
        <w:t>hoofd</w:t>
      </w:r>
      <w:r w:rsidRPr="00251826">
        <w:t xml:space="preserve">doel ligt de nadruk op de wijze waarop </w:t>
      </w:r>
      <w:proofErr w:type="spellStart"/>
      <w:r w:rsidRPr="00251826">
        <w:t>JenV</w:t>
      </w:r>
      <w:proofErr w:type="spellEnd"/>
      <w:r w:rsidRPr="00251826">
        <w:t xml:space="preserve"> hierop stuurt binnen haar beleidskader, alsmede de manier waarop de zorg wordt ingekocht en de kwaliteitseisen die daarbij worden gesteld aan private zorgaanbieders.  </w:t>
      </w:r>
    </w:p>
    <w:bookmarkEnd w:id="2"/>
    <w:p w:rsidRPr="00251826" w:rsidR="00DC21C3" w:rsidP="00DC21C3" w:rsidRDefault="00DC21C3" w14:paraId="2068A0DC" w14:textId="77777777"/>
    <w:p w:rsidRPr="00251826" w:rsidR="00DC21C3" w:rsidP="00DC21C3" w:rsidRDefault="00DC21C3" w14:paraId="68EFECBD" w14:textId="77777777">
      <w:bookmarkStart w:name="_Hlk201649697" w:id="3"/>
      <w:r w:rsidRPr="00251826">
        <w:rPr>
          <w:i/>
          <w:iCs/>
        </w:rPr>
        <w:t>Opzet van het onderzoek</w:t>
      </w:r>
    </w:p>
    <w:p w:rsidRPr="00251826" w:rsidR="00DC21C3" w:rsidP="00DC21C3" w:rsidRDefault="00DC21C3" w14:paraId="575A002D" w14:textId="77777777">
      <w:r w:rsidRPr="00251826">
        <w:t xml:space="preserve">Deze Periodieke rapportage behelst een syntheseonderzoek waarbij wordt teruggekeken op het beleid. Hierbij volgt ook een scenario met een bezuinigingsdoelstelling van 20%. </w:t>
      </w:r>
    </w:p>
    <w:p w:rsidRPr="00251826" w:rsidR="00DC21C3" w:rsidP="00DC21C3" w:rsidRDefault="00DC21C3" w14:paraId="32C59F4E" w14:textId="77777777">
      <w:r w:rsidRPr="00251826">
        <w:t xml:space="preserve">De volgende opzet staat centraal: </w:t>
      </w:r>
    </w:p>
    <w:p w:rsidRPr="00251826" w:rsidR="00DC21C3" w:rsidP="00DC21C3" w:rsidRDefault="00DC21C3" w14:paraId="627D4ED2" w14:textId="77777777">
      <w:pPr>
        <w:pStyle w:val="Lijstalinea"/>
        <w:numPr>
          <w:ilvl w:val="0"/>
          <w:numId w:val="39"/>
        </w:numPr>
      </w:pPr>
      <w:r w:rsidRPr="00251826">
        <w:t>In welke mate was het beleid doeltreffend en doelmatig?;</w:t>
      </w:r>
    </w:p>
    <w:p w:rsidRPr="00251826" w:rsidR="00DC21C3" w:rsidP="00DC21C3" w:rsidRDefault="00DC21C3" w14:paraId="7C45C62C" w14:textId="77777777">
      <w:pPr>
        <w:pStyle w:val="Lijstalinea"/>
        <w:numPr>
          <w:ilvl w:val="0"/>
          <w:numId w:val="39"/>
        </w:numPr>
      </w:pPr>
      <w:r w:rsidRPr="00251826">
        <w:t>Worden de mogelijkheden voor verbetering geïnventariseerd; kan het doelmatiger en doeltreffender?;</w:t>
      </w:r>
    </w:p>
    <w:p w:rsidRPr="00251826" w:rsidR="00DC21C3" w:rsidP="00DC21C3" w:rsidRDefault="00DC21C3" w14:paraId="1BD077CE" w14:textId="77777777">
      <w:pPr>
        <w:pStyle w:val="Lijstalinea"/>
        <w:numPr>
          <w:ilvl w:val="0"/>
          <w:numId w:val="39"/>
        </w:numPr>
      </w:pPr>
      <w:r w:rsidRPr="00251826">
        <w:t xml:space="preserve">Worden er beleidsscenario’s uitgewerkt voor de toekomst; welke beleidsveranderingen zijn nodig en hoe zijn deze het best te realiseren? </w:t>
      </w:r>
    </w:p>
    <w:p w:rsidRPr="00251826" w:rsidR="00DC21C3" w:rsidP="00DC21C3" w:rsidRDefault="00DC21C3" w14:paraId="2790CA04" w14:textId="77777777"/>
    <w:p w:rsidRPr="00251826" w:rsidR="00DC21C3" w:rsidP="00DC21C3" w:rsidRDefault="00DC21C3" w14:paraId="78A2CD6C" w14:textId="77777777">
      <w:r w:rsidRPr="00251826">
        <w:t xml:space="preserve">Om de hoofd- en deelvragen te kunnen beantwoorden worden onderzoeken en evaluaties gebruikt die sinds 2018 verschenen zijn, zowel in opdracht van </w:t>
      </w:r>
      <w:proofErr w:type="spellStart"/>
      <w:r w:rsidRPr="00251826">
        <w:t>JenV</w:t>
      </w:r>
      <w:proofErr w:type="spellEnd"/>
      <w:r w:rsidRPr="00251826">
        <w:t xml:space="preserve"> als daarbuiten. In bijlage 1 is een niet uitputtend overzicht opgenomen van de reeds verschenen onderzoeken en evaluaties. </w:t>
      </w:r>
    </w:p>
    <w:p w:rsidRPr="00251826" w:rsidR="00DC21C3" w:rsidP="00DC21C3" w:rsidRDefault="00DC21C3" w14:paraId="18AF9D80" w14:textId="77777777"/>
    <w:p w:rsidRPr="00251826" w:rsidR="00DC21C3" w:rsidP="00DC21C3" w:rsidRDefault="00DC21C3" w14:paraId="2439F551" w14:textId="77777777">
      <w:pPr>
        <w:rPr>
          <w:i/>
          <w:iCs/>
        </w:rPr>
      </w:pPr>
      <w:r w:rsidRPr="00251826">
        <w:rPr>
          <w:i/>
          <w:iCs/>
        </w:rPr>
        <w:t>Hoofd- en deelvragen</w:t>
      </w:r>
    </w:p>
    <w:p w:rsidRPr="00251826" w:rsidR="00DC21C3" w:rsidP="00DC21C3" w:rsidRDefault="00DC21C3" w14:paraId="5E84F8A5" w14:textId="77777777">
      <w:pPr>
        <w:pStyle w:val="Lijstalinea"/>
        <w:numPr>
          <w:ilvl w:val="0"/>
          <w:numId w:val="20"/>
        </w:numPr>
      </w:pPr>
      <w:r w:rsidRPr="00251826">
        <w:t>In welke mate is het beleid in de forensische zorg van medio 2018 tot en met medio 2025, gericht op de vermindering van de kans op recidive, doelmatig en doeltreffend geweest?</w:t>
      </w:r>
    </w:p>
    <w:p w:rsidRPr="00251826" w:rsidR="00DC21C3" w:rsidP="00DC21C3" w:rsidRDefault="00DC21C3" w14:paraId="2E43B213" w14:textId="77777777">
      <w:pPr>
        <w:pStyle w:val="Lijstalinea"/>
        <w:numPr>
          <w:ilvl w:val="0"/>
          <w:numId w:val="37"/>
        </w:numPr>
      </w:pPr>
      <w:r w:rsidRPr="00251826">
        <w:lastRenderedPageBreak/>
        <w:t xml:space="preserve">Welke beleidsinspanningen dragen bij aan de specifieke subdoelen voor de forensische zorg? En in welke mate zijn deze eerdere initiatieven en inspanningen op de te behalen hoofd- en subdoelen effectief geweest? </w:t>
      </w:r>
    </w:p>
    <w:p w:rsidRPr="00251826" w:rsidR="00DC21C3" w:rsidP="00DC21C3" w:rsidRDefault="00DC21C3" w14:paraId="76135E76" w14:textId="703CE89A">
      <w:pPr>
        <w:pStyle w:val="Lijstalinea"/>
        <w:numPr>
          <w:ilvl w:val="0"/>
          <w:numId w:val="37"/>
        </w:numPr>
      </w:pPr>
      <w:r w:rsidRPr="00251826">
        <w:t xml:space="preserve">In welke mate is de rol van </w:t>
      </w:r>
      <w:proofErr w:type="spellStart"/>
      <w:r w:rsidRPr="00251826">
        <w:t>JenV</w:t>
      </w:r>
      <w:proofErr w:type="spellEnd"/>
      <w:r w:rsidRPr="00251826">
        <w:t xml:space="preserve"> doelmatig en doeltreffend in de (digitale) samenwerking met </w:t>
      </w:r>
      <w:r w:rsidRPr="00251826" w:rsidR="004C29A2">
        <w:t>DJI en ketenpartners</w:t>
      </w:r>
      <w:r w:rsidRPr="00251826">
        <w:t xml:space="preserve">? En hoe worden de (digitale) samenwerking en processen in de keten door </w:t>
      </w:r>
      <w:proofErr w:type="spellStart"/>
      <w:r w:rsidRPr="00251826">
        <w:t>JenV</w:t>
      </w:r>
      <w:proofErr w:type="spellEnd"/>
      <w:r w:rsidRPr="00251826">
        <w:t xml:space="preserve"> bevorderd? </w:t>
      </w:r>
    </w:p>
    <w:p w:rsidRPr="00251826" w:rsidR="00DC21C3" w:rsidP="00DC21C3" w:rsidRDefault="00DC21C3" w14:paraId="601BD3B8" w14:textId="77777777">
      <w:pPr>
        <w:pStyle w:val="Lijstalinea"/>
        <w:numPr>
          <w:ilvl w:val="0"/>
          <w:numId w:val="37"/>
        </w:numPr>
      </w:pPr>
      <w:r w:rsidRPr="00251826">
        <w:t>Welke beleidsinzet is niet doelmatig gebleken, en hoe kan naar aanleiding daarvan een besparing van 20% op de budgettaire grondslag worden gerealiseerd?</w:t>
      </w:r>
    </w:p>
    <w:p w:rsidRPr="00251826" w:rsidR="00DC21C3" w:rsidP="00DC21C3" w:rsidRDefault="00DC21C3" w14:paraId="2696279E" w14:textId="18F66A90">
      <w:pPr>
        <w:pStyle w:val="Lijstalinea"/>
        <w:numPr>
          <w:ilvl w:val="0"/>
          <w:numId w:val="20"/>
        </w:numPr>
      </w:pPr>
      <w:r w:rsidRPr="00251826">
        <w:t>Wat zijn de mogelijkheden voor verbetering, om het beleid doelmatiger en doeltreffender te maken?</w:t>
      </w:r>
      <w:r w:rsidRPr="00251826" w:rsidR="00F413F8">
        <w:t xml:space="preserve"> Daarbij wordt onder meer gekeken naar:</w:t>
      </w:r>
    </w:p>
    <w:p w:rsidRPr="00251826" w:rsidR="00DC21C3" w:rsidP="00DC21C3" w:rsidRDefault="00DC21C3" w14:paraId="697A8FD8" w14:textId="77777777">
      <w:pPr>
        <w:pStyle w:val="Lijstalinea"/>
        <w:numPr>
          <w:ilvl w:val="0"/>
          <w:numId w:val="38"/>
        </w:numPr>
      </w:pPr>
      <w:r w:rsidRPr="00251826">
        <w:t>Hoe zou de aansluiting tussen de forensische zorg en de aanpalende zorgdomeinen georganiseerd kunnen worden, en heeft dit invloed op de capaciteit (met name de instroom en de uitstroom)?</w:t>
      </w:r>
    </w:p>
    <w:p w:rsidRPr="00251826" w:rsidR="00DC21C3" w:rsidP="00DC21C3" w:rsidRDefault="00DC21C3" w14:paraId="1DED3B32" w14:textId="77777777">
      <w:pPr>
        <w:pStyle w:val="Lijstalinea"/>
        <w:numPr>
          <w:ilvl w:val="0"/>
          <w:numId w:val="38"/>
        </w:numPr>
      </w:pPr>
      <w:r w:rsidRPr="00251826">
        <w:t xml:space="preserve">In hoeverre zou een verschuiving van zorg (bijvoorbeeld meer ambulante zorg) kunnen bijdragen aan kostenbesparing, zonder grotere maatschappelijke risico’s? </w:t>
      </w:r>
    </w:p>
    <w:p w:rsidRPr="00251826" w:rsidR="00DC21C3" w:rsidP="00DC21C3" w:rsidRDefault="00DC21C3" w14:paraId="3104ABF5" w14:textId="77777777">
      <w:pPr>
        <w:pStyle w:val="Lijstalinea"/>
        <w:numPr>
          <w:ilvl w:val="0"/>
          <w:numId w:val="20"/>
        </w:numPr>
      </w:pPr>
      <w:r w:rsidRPr="00251826">
        <w:t xml:space="preserve">Welke beleidsveranderingen zijn met het oog op de toekomst nodig, en hoe zijn deze het best te realiseren? </w:t>
      </w:r>
    </w:p>
    <w:p w:rsidRPr="00251826" w:rsidR="00DC21C3" w:rsidP="00DC21C3" w:rsidRDefault="00DC21C3" w14:paraId="1B4591B9" w14:textId="51559A12">
      <w:pPr>
        <w:pStyle w:val="Lijstalinea"/>
        <w:numPr>
          <w:ilvl w:val="0"/>
          <w:numId w:val="37"/>
        </w:numPr>
      </w:pPr>
      <w:r w:rsidRPr="00251826">
        <w:t>Welke beleidsinstrumenten zijn nodig om toekomstige problematiek het hoofd te bieden, met name de capaciteitsproblematiek binnen de instellingen op beveiligingsniveau 4</w:t>
      </w:r>
      <w:r w:rsidRPr="00251826" w:rsidR="004C29A2">
        <w:t xml:space="preserve"> en de arbeidsmarktproblematiek</w:t>
      </w:r>
      <w:r w:rsidRPr="00251826">
        <w:t>, en waarom?</w:t>
      </w:r>
    </w:p>
    <w:p w:rsidRPr="00251826" w:rsidR="00DC21C3" w:rsidP="00DC21C3" w:rsidRDefault="00DC21C3" w14:paraId="56F43721" w14:textId="77777777">
      <w:pPr>
        <w:pStyle w:val="Lijstalinea"/>
        <w:numPr>
          <w:ilvl w:val="0"/>
          <w:numId w:val="37"/>
        </w:numPr>
      </w:pPr>
      <w:r w:rsidRPr="00251826">
        <w:t xml:space="preserve">Welke beleidsscenario’s zijn denkbaar voor de verbetering van het beleid, om te komen tot een doelmatigere en doeltreffendere wijze van terugdringing van recidive? </w:t>
      </w:r>
    </w:p>
    <w:bookmarkEnd w:id="3"/>
    <w:p w:rsidRPr="00251826" w:rsidR="00DC21C3" w:rsidP="00DC21C3" w:rsidRDefault="00DC21C3" w14:paraId="71F3CD6B" w14:textId="77777777"/>
    <w:p w:rsidRPr="00251826" w:rsidR="00DC21C3" w:rsidP="00DC21C3" w:rsidRDefault="00DC21C3" w14:paraId="311C794F" w14:textId="77777777">
      <w:pPr>
        <w:pStyle w:val="Lijstalinea"/>
        <w:numPr>
          <w:ilvl w:val="0"/>
          <w:numId w:val="36"/>
        </w:numPr>
        <w:rPr>
          <w:b/>
          <w:bCs/>
        </w:rPr>
      </w:pPr>
      <w:bookmarkStart w:name="_Hlk201650335" w:id="4"/>
      <w:r w:rsidRPr="00251826">
        <w:rPr>
          <w:b/>
          <w:bCs/>
        </w:rPr>
        <w:t>Aansturing Periodieke rapportage, betrokken partijen en externe uitvoering</w:t>
      </w:r>
      <w:bookmarkEnd w:id="4"/>
    </w:p>
    <w:p w:rsidRPr="00251826" w:rsidR="00DC21C3" w:rsidP="00DC21C3" w:rsidRDefault="00DC21C3" w14:paraId="2C6693DB" w14:textId="77777777">
      <w:r w:rsidRPr="00251826">
        <w:t xml:space="preserve">De Periodieke rapportage wordt uitgevoerd </w:t>
      </w:r>
      <w:r w:rsidRPr="00251826" w:rsidDel="00B87C06">
        <w:t>door een extern</w:t>
      </w:r>
      <w:r w:rsidRPr="00251826">
        <w:t xml:space="preserve"> onderzoeksbureau, waarvoor een wervingsprocedure is gestart. Het onderzoek wordt begeleid door een commissie onder leiding van een onafhankelijke voorzitter, prof. dr. mr. M.J.F. van der Wolf. De begeleidingscommissie bewaakt de kwaliteit en voortgang van het onderzoek. De begeleidingscommissie bestaat voorts uit een multidisciplinair team waarin zijn afgevaardigd: de forensische zorg aanbieders, DJI, de wetenschap, de Reclassering, patiëntenvereniging MIND, het ministerie van VWS en het ministerie van Financiën. Een vertegenwoordiger van het WODC zal als onafhankelijke deskundige het eindproduct toetsen op validiteit en betrouwbaarheid, en ook deelnemen aan de begeleidingscommissie. De beoordeling van de onafhankelijke deskundige wordt met uw Kamer gedeeld.</w:t>
      </w:r>
    </w:p>
    <w:p w:rsidR="00DC21C3" w:rsidP="00DC21C3" w:rsidRDefault="00DC21C3" w14:paraId="76430F53" w14:textId="77777777"/>
    <w:p w:rsidR="00E0033D" w:rsidP="00DC21C3" w:rsidRDefault="00E0033D" w14:paraId="67AB2E82" w14:textId="77777777"/>
    <w:p w:rsidR="00E0033D" w:rsidP="00DC21C3" w:rsidRDefault="00E0033D" w14:paraId="5E8971A7" w14:textId="77777777"/>
    <w:p w:rsidR="00E0033D" w:rsidP="00DC21C3" w:rsidRDefault="00E0033D" w14:paraId="191A5EA9" w14:textId="77777777"/>
    <w:p w:rsidR="00E0033D" w:rsidP="00DC21C3" w:rsidRDefault="00E0033D" w14:paraId="6BD3FA7E" w14:textId="77777777"/>
    <w:p w:rsidRPr="00251826" w:rsidR="00E0033D" w:rsidP="00DC21C3" w:rsidRDefault="00E0033D" w14:paraId="5D42F131" w14:textId="77777777"/>
    <w:p w:rsidRPr="00251826" w:rsidR="00DC21C3" w:rsidP="00DC21C3" w:rsidRDefault="00DC21C3" w14:paraId="05AFCA08" w14:textId="77777777">
      <w:pPr>
        <w:pStyle w:val="Lijstalinea"/>
        <w:numPr>
          <w:ilvl w:val="0"/>
          <w:numId w:val="36"/>
        </w:numPr>
        <w:rPr>
          <w:b/>
          <w:bCs/>
        </w:rPr>
      </w:pPr>
      <w:r w:rsidRPr="00251826">
        <w:rPr>
          <w:b/>
          <w:bCs/>
        </w:rPr>
        <w:lastRenderedPageBreak/>
        <w:t>Planning</w:t>
      </w:r>
    </w:p>
    <w:p w:rsidRPr="00251826" w:rsidR="00DC21C3" w:rsidP="00DC21C3" w:rsidRDefault="0056504A" w14:paraId="76B84F26" w14:textId="680D2E87">
      <w:r w:rsidRPr="00251826">
        <w:t>Hieronder</w:t>
      </w:r>
      <w:r w:rsidRPr="00251826" w:rsidR="00DC21C3">
        <w:t xml:space="preserve"> treft u een overzicht aan van de voorlopige planning. In het najaar van 2026 verwacht ik het resultaat van de Periodieke rapportage, inclusief de bevindingen van de onafhankelijk deskundige en de beleidsreactie, aan uw Kamer te kunnen aanbieden.</w:t>
      </w:r>
    </w:p>
    <w:p w:rsidRPr="00251826" w:rsidR="00911156" w:rsidP="00DC21C3" w:rsidRDefault="00911156" w14:paraId="4015E224" w14:textId="77777777">
      <w:pPr>
        <w:rPr>
          <w:b/>
          <w:bCs/>
        </w:rPr>
      </w:pPr>
    </w:p>
    <w:p w:rsidRPr="00251826" w:rsidR="00886AEC" w:rsidP="00DC21C3" w:rsidRDefault="00886AEC" w14:paraId="0A3E38EA" w14:textId="77777777">
      <w:pPr>
        <w:rPr>
          <w:b/>
          <w:bCs/>
        </w:rPr>
      </w:pPr>
    </w:p>
    <w:p w:rsidRPr="00251826" w:rsidR="00886AEC" w:rsidP="00DC21C3" w:rsidRDefault="00886AEC" w14:paraId="56E89A04" w14:textId="77777777">
      <w:pPr>
        <w:rPr>
          <w:b/>
          <w:bCs/>
        </w:rPr>
      </w:pPr>
    </w:p>
    <w:p w:rsidRPr="00251826" w:rsidR="00911156" w:rsidP="00DC21C3" w:rsidRDefault="00911156" w14:paraId="3A38A1A2" w14:textId="77777777">
      <w:pPr>
        <w:rPr>
          <w:b/>
          <w:bCs/>
        </w:rPr>
      </w:pPr>
    </w:p>
    <w:tbl>
      <w:tblPr>
        <w:tblStyle w:val="Onopgemaaktetabel2"/>
        <w:tblW w:w="0" w:type="auto"/>
        <w:tblLook w:val="04A0" w:firstRow="1" w:lastRow="0" w:firstColumn="1" w:lastColumn="0" w:noHBand="0" w:noVBand="1"/>
      </w:tblPr>
      <w:tblGrid>
        <w:gridCol w:w="2267"/>
        <w:gridCol w:w="2501"/>
        <w:gridCol w:w="2771"/>
      </w:tblGrid>
      <w:tr w:rsidRPr="00251826" w:rsidR="00DC21C3" w:rsidTr="007B34FD" w14:paraId="7A4824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17C149BC" w14:textId="77777777">
            <w:pPr>
              <w:spacing w:line="360" w:lineRule="auto"/>
              <w:jc w:val="both"/>
            </w:pPr>
            <w:r w:rsidRPr="00251826">
              <w:t>Fase</w:t>
            </w:r>
          </w:p>
        </w:tc>
        <w:tc>
          <w:tcPr>
            <w:tcW w:w="2502" w:type="dxa"/>
          </w:tcPr>
          <w:p w:rsidRPr="00251826" w:rsidR="00DC21C3" w:rsidP="007B34FD" w:rsidRDefault="00DC21C3" w14:paraId="6D367E8C" w14:textId="77777777">
            <w:pPr>
              <w:spacing w:line="360" w:lineRule="auto"/>
              <w:jc w:val="both"/>
              <w:cnfStyle w:val="100000000000" w:firstRow="1" w:lastRow="0" w:firstColumn="0" w:lastColumn="0" w:oddVBand="0" w:evenVBand="0" w:oddHBand="0" w:evenHBand="0" w:firstRowFirstColumn="0" w:firstRowLastColumn="0" w:lastRowFirstColumn="0" w:lastRowLastColumn="0"/>
            </w:pPr>
            <w:r w:rsidRPr="00251826">
              <w:t>Wanneer</w:t>
            </w:r>
          </w:p>
        </w:tc>
        <w:tc>
          <w:tcPr>
            <w:tcW w:w="2771" w:type="dxa"/>
          </w:tcPr>
          <w:p w:rsidRPr="00251826" w:rsidR="00DC21C3" w:rsidP="007B34FD" w:rsidRDefault="00DC21C3" w14:paraId="5EA1A51D" w14:textId="77777777">
            <w:pPr>
              <w:spacing w:line="360" w:lineRule="auto"/>
              <w:jc w:val="both"/>
              <w:cnfStyle w:val="100000000000" w:firstRow="1" w:lastRow="0" w:firstColumn="0" w:lastColumn="0" w:oddVBand="0" w:evenVBand="0" w:oddHBand="0" w:evenHBand="0" w:firstRowFirstColumn="0" w:firstRowLastColumn="0" w:lastRowFirstColumn="0" w:lastRowLastColumn="0"/>
            </w:pPr>
            <w:r w:rsidRPr="00251826">
              <w:t>Wat</w:t>
            </w:r>
          </w:p>
        </w:tc>
      </w:tr>
      <w:tr w:rsidRPr="00251826" w:rsidR="00DC21C3" w:rsidTr="007B34FD" w14:paraId="25FACF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3CBB68F6" w14:textId="77777777">
            <w:pPr>
              <w:spacing w:line="360" w:lineRule="auto"/>
              <w:jc w:val="both"/>
            </w:pPr>
            <w:r w:rsidRPr="00251826">
              <w:rPr>
                <w:b w:val="0"/>
                <w:bCs w:val="0"/>
              </w:rPr>
              <w:t>Informeren</w:t>
            </w:r>
          </w:p>
          <w:p w:rsidRPr="00251826" w:rsidR="00DC21C3" w:rsidP="007B34FD" w:rsidRDefault="00DC21C3" w14:paraId="7CB67935" w14:textId="77777777">
            <w:pPr>
              <w:spacing w:line="360" w:lineRule="auto"/>
              <w:jc w:val="both"/>
              <w:rPr>
                <w:b w:val="0"/>
                <w:bCs w:val="0"/>
              </w:rPr>
            </w:pPr>
            <w:r w:rsidRPr="00251826">
              <w:rPr>
                <w:b w:val="0"/>
                <w:bCs w:val="0"/>
              </w:rPr>
              <w:t>Tweede Kamer</w:t>
            </w:r>
          </w:p>
        </w:tc>
        <w:tc>
          <w:tcPr>
            <w:tcW w:w="2502" w:type="dxa"/>
          </w:tcPr>
          <w:p w:rsidRPr="00251826" w:rsidR="00DC21C3" w:rsidP="007B34FD" w:rsidRDefault="00DC21C3" w14:paraId="7F54F045"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September 2025</w:t>
            </w:r>
          </w:p>
        </w:tc>
        <w:tc>
          <w:tcPr>
            <w:tcW w:w="2771" w:type="dxa"/>
          </w:tcPr>
          <w:p w:rsidRPr="00251826" w:rsidR="00DC21C3" w:rsidP="007B34FD" w:rsidRDefault="00DC21C3" w14:paraId="78927761"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 xml:space="preserve">Harbersbrief </w:t>
            </w:r>
          </w:p>
        </w:tc>
      </w:tr>
      <w:tr w:rsidRPr="00251826" w:rsidR="00DC21C3" w:rsidTr="007B34FD" w14:paraId="237D9B4B" w14:textId="77777777">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21ECE22D" w14:textId="77777777">
            <w:pPr>
              <w:spacing w:line="360" w:lineRule="auto"/>
              <w:jc w:val="both"/>
              <w:rPr>
                <w:b w:val="0"/>
                <w:bCs w:val="0"/>
              </w:rPr>
            </w:pPr>
          </w:p>
        </w:tc>
        <w:tc>
          <w:tcPr>
            <w:tcW w:w="2502" w:type="dxa"/>
          </w:tcPr>
          <w:p w:rsidRPr="00251826" w:rsidR="00DC21C3" w:rsidP="007B34FD" w:rsidRDefault="00DC21C3" w14:paraId="17ADA6BA" w14:textId="77777777">
            <w:pPr>
              <w:spacing w:line="360" w:lineRule="auto"/>
              <w:jc w:val="both"/>
              <w:cnfStyle w:val="000000000000" w:firstRow="0" w:lastRow="0" w:firstColumn="0" w:lastColumn="0" w:oddVBand="0" w:evenVBand="0" w:oddHBand="0" w:evenHBand="0" w:firstRowFirstColumn="0" w:firstRowLastColumn="0" w:lastRowFirstColumn="0" w:lastRowLastColumn="0"/>
            </w:pPr>
            <w:r w:rsidRPr="00251826">
              <w:t>September/oktober 2025</w:t>
            </w:r>
          </w:p>
        </w:tc>
        <w:tc>
          <w:tcPr>
            <w:tcW w:w="2771" w:type="dxa"/>
          </w:tcPr>
          <w:p w:rsidRPr="00251826" w:rsidR="00DC21C3" w:rsidP="007B34FD" w:rsidRDefault="00DC21C3" w14:paraId="7BE1E0E5" w14:textId="77777777">
            <w:pPr>
              <w:spacing w:line="360" w:lineRule="auto"/>
              <w:cnfStyle w:val="000000000000" w:firstRow="0" w:lastRow="0" w:firstColumn="0" w:lastColumn="0" w:oddVBand="0" w:evenVBand="0" w:oddHBand="0" w:evenHBand="0" w:firstRowFirstColumn="0" w:firstRowLastColumn="0" w:lastRowFirstColumn="0" w:lastRowLastColumn="0"/>
            </w:pPr>
            <w:r w:rsidRPr="00251826">
              <w:t>Verwerken verbeterpunten, invullen randvoorwaardelijkheden, start inkoopprocedure onderzoeksbureau</w:t>
            </w:r>
          </w:p>
        </w:tc>
      </w:tr>
      <w:tr w:rsidRPr="00251826" w:rsidR="00DC21C3" w:rsidTr="007B34FD" w14:paraId="50CE42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24BB4784" w14:textId="77777777">
            <w:pPr>
              <w:spacing w:line="360" w:lineRule="auto"/>
              <w:jc w:val="both"/>
            </w:pPr>
            <w:r w:rsidRPr="00251826">
              <w:rPr>
                <w:b w:val="0"/>
                <w:bCs w:val="0"/>
              </w:rPr>
              <w:t xml:space="preserve">Uitvoeren </w:t>
            </w:r>
          </w:p>
          <w:p w:rsidRPr="00251826" w:rsidR="00DC21C3" w:rsidP="007B34FD" w:rsidRDefault="00DC21C3" w14:paraId="3FB3606E" w14:textId="77777777">
            <w:pPr>
              <w:spacing w:line="360" w:lineRule="auto"/>
              <w:jc w:val="both"/>
              <w:rPr>
                <w:b w:val="0"/>
                <w:bCs w:val="0"/>
              </w:rPr>
            </w:pPr>
            <w:r w:rsidRPr="00251826">
              <w:rPr>
                <w:b w:val="0"/>
                <w:bCs w:val="0"/>
              </w:rPr>
              <w:t>Periodieke rapportage</w:t>
            </w:r>
          </w:p>
        </w:tc>
        <w:tc>
          <w:tcPr>
            <w:tcW w:w="2502" w:type="dxa"/>
          </w:tcPr>
          <w:p w:rsidRPr="00251826" w:rsidR="00DC21C3" w:rsidP="007B34FD" w:rsidRDefault="00DC21C3" w14:paraId="5F872EC1"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November 2025</w:t>
            </w:r>
          </w:p>
        </w:tc>
        <w:tc>
          <w:tcPr>
            <w:tcW w:w="2771" w:type="dxa"/>
          </w:tcPr>
          <w:p w:rsidRPr="00251826" w:rsidR="00DC21C3" w:rsidP="007B34FD" w:rsidRDefault="00DC21C3" w14:paraId="6019974D"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Verwerven onderzoeksbureau</w:t>
            </w:r>
          </w:p>
        </w:tc>
      </w:tr>
      <w:tr w:rsidRPr="00251826" w:rsidR="00DC21C3" w:rsidTr="007B34FD" w14:paraId="79A04ABE" w14:textId="77777777">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13CAFD8C" w14:textId="77777777">
            <w:pPr>
              <w:spacing w:line="360" w:lineRule="auto"/>
              <w:jc w:val="both"/>
              <w:rPr>
                <w:b w:val="0"/>
                <w:bCs w:val="0"/>
              </w:rPr>
            </w:pPr>
          </w:p>
        </w:tc>
        <w:tc>
          <w:tcPr>
            <w:tcW w:w="2502" w:type="dxa"/>
          </w:tcPr>
          <w:p w:rsidRPr="00251826" w:rsidR="00DC21C3" w:rsidP="007B34FD" w:rsidRDefault="00DC21C3" w14:paraId="6D6DA160" w14:textId="77777777">
            <w:pPr>
              <w:spacing w:line="360" w:lineRule="auto"/>
              <w:jc w:val="both"/>
              <w:cnfStyle w:val="000000000000" w:firstRow="0" w:lastRow="0" w:firstColumn="0" w:lastColumn="0" w:oddVBand="0" w:evenVBand="0" w:oddHBand="0" w:evenHBand="0" w:firstRowFirstColumn="0" w:firstRowLastColumn="0" w:lastRowFirstColumn="0" w:lastRowLastColumn="0"/>
            </w:pPr>
            <w:r w:rsidRPr="00251826">
              <w:t>December 2025</w:t>
            </w:r>
          </w:p>
        </w:tc>
        <w:tc>
          <w:tcPr>
            <w:tcW w:w="2771" w:type="dxa"/>
          </w:tcPr>
          <w:p w:rsidRPr="00251826" w:rsidR="00DC21C3" w:rsidP="007B34FD" w:rsidRDefault="00DC21C3" w14:paraId="21D4BE96" w14:textId="38B6EAF4">
            <w:pPr>
              <w:spacing w:line="360" w:lineRule="auto"/>
              <w:jc w:val="both"/>
              <w:cnfStyle w:val="000000000000" w:firstRow="0" w:lastRow="0" w:firstColumn="0" w:lastColumn="0" w:oddVBand="0" w:evenVBand="0" w:oddHBand="0" w:evenHBand="0" w:firstRowFirstColumn="0" w:firstRowLastColumn="0" w:lastRowFirstColumn="0" w:lastRowLastColumn="0"/>
            </w:pPr>
            <w:r w:rsidRPr="00251826">
              <w:t>Fine tunen onderzoek</w:t>
            </w:r>
          </w:p>
        </w:tc>
      </w:tr>
      <w:tr w:rsidRPr="00251826" w:rsidR="00DC21C3" w:rsidTr="007B34FD" w14:paraId="579418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15605B74" w14:textId="77777777">
            <w:pPr>
              <w:spacing w:line="360" w:lineRule="auto"/>
              <w:jc w:val="both"/>
              <w:rPr>
                <w:b w:val="0"/>
                <w:bCs w:val="0"/>
              </w:rPr>
            </w:pPr>
          </w:p>
        </w:tc>
        <w:tc>
          <w:tcPr>
            <w:tcW w:w="2502" w:type="dxa"/>
          </w:tcPr>
          <w:p w:rsidRPr="00251826" w:rsidR="00DC21C3" w:rsidP="007B34FD" w:rsidRDefault="00DC21C3" w14:paraId="2CA13181"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Januari 2026</w:t>
            </w:r>
          </w:p>
        </w:tc>
        <w:tc>
          <w:tcPr>
            <w:tcW w:w="2771" w:type="dxa"/>
          </w:tcPr>
          <w:p w:rsidRPr="00251826" w:rsidR="00DC21C3" w:rsidP="007B34FD" w:rsidRDefault="00DC21C3" w14:paraId="3EF4FCD4" w14:textId="77777777">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 xml:space="preserve">Start onderzoek </w:t>
            </w:r>
          </w:p>
        </w:tc>
      </w:tr>
      <w:tr w:rsidRPr="00251826" w:rsidR="00DC21C3" w:rsidTr="007B34FD" w14:paraId="1557163F" w14:textId="77777777">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676E458F" w14:textId="77777777">
            <w:pPr>
              <w:spacing w:line="360" w:lineRule="auto"/>
              <w:jc w:val="both"/>
              <w:rPr>
                <w:b w:val="0"/>
                <w:bCs w:val="0"/>
              </w:rPr>
            </w:pPr>
          </w:p>
        </w:tc>
        <w:tc>
          <w:tcPr>
            <w:tcW w:w="2502" w:type="dxa"/>
          </w:tcPr>
          <w:p w:rsidRPr="00251826" w:rsidR="00DC21C3" w:rsidP="007B34FD" w:rsidRDefault="00DC21C3" w14:paraId="0C6F7929" w14:textId="77777777">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771" w:type="dxa"/>
          </w:tcPr>
          <w:p w:rsidRPr="00251826" w:rsidR="00DC21C3" w:rsidP="007B34FD" w:rsidRDefault="00DC21C3" w14:paraId="2B87D730" w14:textId="77777777">
            <w:pPr>
              <w:spacing w:line="360" w:lineRule="auto"/>
              <w:cnfStyle w:val="000000000000" w:firstRow="0" w:lastRow="0" w:firstColumn="0" w:lastColumn="0" w:oddVBand="0" w:evenVBand="0" w:oddHBand="0" w:evenHBand="0" w:firstRowFirstColumn="0" w:firstRowLastColumn="0" w:lastRowFirstColumn="0" w:lastRowLastColumn="0"/>
            </w:pPr>
            <w:r w:rsidRPr="00251826">
              <w:t>Doorlopende afstemming begeleidingscommissie</w:t>
            </w:r>
          </w:p>
        </w:tc>
      </w:tr>
      <w:tr w:rsidRPr="00251826" w:rsidR="00DC21C3" w:rsidTr="007B34FD" w14:paraId="24EC9A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48FD1F24" w14:textId="77777777">
            <w:pPr>
              <w:spacing w:line="360" w:lineRule="auto"/>
              <w:jc w:val="both"/>
              <w:rPr>
                <w:b w:val="0"/>
                <w:bCs w:val="0"/>
              </w:rPr>
            </w:pPr>
          </w:p>
        </w:tc>
        <w:tc>
          <w:tcPr>
            <w:tcW w:w="2502" w:type="dxa"/>
          </w:tcPr>
          <w:p w:rsidRPr="00251826" w:rsidR="00DC21C3" w:rsidP="007B34FD" w:rsidRDefault="000B196A" w14:paraId="31A08105" w14:textId="077CDEF5">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Medio</w:t>
            </w:r>
            <w:r w:rsidRPr="00251826" w:rsidR="00DC21C3">
              <w:t xml:space="preserve"> 2026</w:t>
            </w:r>
          </w:p>
        </w:tc>
        <w:tc>
          <w:tcPr>
            <w:tcW w:w="2771" w:type="dxa"/>
          </w:tcPr>
          <w:p w:rsidRPr="00251826" w:rsidR="00DC21C3" w:rsidP="007B34FD" w:rsidRDefault="00DC21C3" w14:paraId="75826798" w14:textId="77777777">
            <w:pPr>
              <w:spacing w:line="360" w:lineRule="auto"/>
              <w:cnfStyle w:val="000000100000" w:firstRow="0" w:lastRow="0" w:firstColumn="0" w:lastColumn="0" w:oddVBand="0" w:evenVBand="0" w:oddHBand="1" w:evenHBand="0" w:firstRowFirstColumn="0" w:firstRowLastColumn="0" w:lastRowFirstColumn="0" w:lastRowLastColumn="0"/>
            </w:pPr>
            <w:r w:rsidRPr="00251826">
              <w:t>Ontvangst Periodieke rapportage en</w:t>
            </w:r>
          </w:p>
          <w:p w:rsidRPr="00251826" w:rsidR="00DC21C3" w:rsidP="007B34FD" w:rsidRDefault="00DC21C3" w14:paraId="26CD16B3" w14:textId="77777777">
            <w:pPr>
              <w:spacing w:line="360" w:lineRule="auto"/>
              <w:cnfStyle w:val="000000100000" w:firstRow="0" w:lastRow="0" w:firstColumn="0" w:lastColumn="0" w:oddVBand="0" w:evenVBand="0" w:oddHBand="1" w:evenHBand="0" w:firstRowFirstColumn="0" w:firstRowLastColumn="0" w:lastRowFirstColumn="0" w:lastRowLastColumn="0"/>
            </w:pPr>
            <w:r w:rsidRPr="00251826">
              <w:t xml:space="preserve">oordeel onafhankelijke deskundige </w:t>
            </w:r>
          </w:p>
        </w:tc>
      </w:tr>
      <w:tr w:rsidRPr="00251826" w:rsidR="00DC21C3" w:rsidTr="007B34FD" w14:paraId="0E9716FA" w14:textId="77777777">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23FCB400" w14:textId="77777777">
            <w:pPr>
              <w:spacing w:line="360" w:lineRule="auto"/>
              <w:jc w:val="both"/>
              <w:rPr>
                <w:b w:val="0"/>
                <w:bCs w:val="0"/>
              </w:rPr>
            </w:pPr>
          </w:p>
        </w:tc>
        <w:tc>
          <w:tcPr>
            <w:tcW w:w="2502" w:type="dxa"/>
          </w:tcPr>
          <w:p w:rsidRPr="00251826" w:rsidR="00DC21C3" w:rsidP="007B34FD" w:rsidRDefault="000B196A" w14:paraId="30921694" w14:textId="1119AAB9">
            <w:pPr>
              <w:spacing w:line="360" w:lineRule="auto"/>
              <w:jc w:val="both"/>
              <w:cnfStyle w:val="000000000000" w:firstRow="0" w:lastRow="0" w:firstColumn="0" w:lastColumn="0" w:oddVBand="0" w:evenVBand="0" w:oddHBand="0" w:evenHBand="0" w:firstRowFirstColumn="0" w:firstRowLastColumn="0" w:lastRowFirstColumn="0" w:lastRowLastColumn="0"/>
            </w:pPr>
            <w:r w:rsidRPr="00251826">
              <w:t>Tweede helft</w:t>
            </w:r>
            <w:r w:rsidRPr="00251826" w:rsidR="00DC21C3">
              <w:t xml:space="preserve"> 2026</w:t>
            </w:r>
          </w:p>
        </w:tc>
        <w:tc>
          <w:tcPr>
            <w:tcW w:w="2771" w:type="dxa"/>
          </w:tcPr>
          <w:p w:rsidRPr="00251826" w:rsidR="00DC21C3" w:rsidP="007B34FD" w:rsidRDefault="00DC21C3" w14:paraId="6F78F68B" w14:textId="77777777">
            <w:pPr>
              <w:spacing w:line="360" w:lineRule="auto"/>
              <w:cnfStyle w:val="000000000000" w:firstRow="0" w:lastRow="0" w:firstColumn="0" w:lastColumn="0" w:oddVBand="0" w:evenVBand="0" w:oddHBand="0" w:evenHBand="0" w:firstRowFirstColumn="0" w:firstRowLastColumn="0" w:lastRowFirstColumn="0" w:lastRowLastColumn="0"/>
            </w:pPr>
            <w:r w:rsidRPr="00251826">
              <w:t xml:space="preserve">Opstellen kabinetsreactie, aanbieding Periodieke rapportage aan minister, bespreking in relevante onderraden en ministerraad </w:t>
            </w:r>
          </w:p>
        </w:tc>
      </w:tr>
      <w:tr w:rsidRPr="00251826" w:rsidR="00DC21C3" w:rsidTr="007B34FD" w14:paraId="340F7C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55593EA0" w14:textId="77777777">
            <w:pPr>
              <w:spacing w:line="360" w:lineRule="auto"/>
              <w:jc w:val="both"/>
            </w:pPr>
            <w:r w:rsidRPr="00251826">
              <w:rPr>
                <w:b w:val="0"/>
                <w:bCs w:val="0"/>
              </w:rPr>
              <w:t>Informeren</w:t>
            </w:r>
          </w:p>
          <w:p w:rsidRPr="00251826" w:rsidR="00DC21C3" w:rsidP="007B34FD" w:rsidRDefault="00DC21C3" w14:paraId="5BC456BE" w14:textId="77777777">
            <w:pPr>
              <w:spacing w:line="360" w:lineRule="auto"/>
              <w:jc w:val="both"/>
              <w:rPr>
                <w:b w:val="0"/>
                <w:bCs w:val="0"/>
              </w:rPr>
            </w:pPr>
            <w:r w:rsidRPr="00251826">
              <w:rPr>
                <w:b w:val="0"/>
                <w:bCs w:val="0"/>
              </w:rPr>
              <w:t>Tweede Kamer</w:t>
            </w:r>
          </w:p>
        </w:tc>
        <w:tc>
          <w:tcPr>
            <w:tcW w:w="2502" w:type="dxa"/>
          </w:tcPr>
          <w:p w:rsidRPr="00251826" w:rsidR="00DC21C3" w:rsidP="007B34FD" w:rsidRDefault="000B196A" w14:paraId="16408FF7" w14:textId="7AA4EE5C">
            <w:pPr>
              <w:spacing w:line="360" w:lineRule="auto"/>
              <w:jc w:val="both"/>
              <w:cnfStyle w:val="000000100000" w:firstRow="0" w:lastRow="0" w:firstColumn="0" w:lastColumn="0" w:oddVBand="0" w:evenVBand="0" w:oddHBand="1" w:evenHBand="0" w:firstRowFirstColumn="0" w:firstRowLastColumn="0" w:lastRowFirstColumn="0" w:lastRowLastColumn="0"/>
            </w:pPr>
            <w:r w:rsidRPr="00251826">
              <w:t>Ultimo</w:t>
            </w:r>
            <w:r w:rsidRPr="00251826" w:rsidR="00DC21C3">
              <w:t xml:space="preserve"> 2026</w:t>
            </w:r>
          </w:p>
        </w:tc>
        <w:tc>
          <w:tcPr>
            <w:tcW w:w="2771" w:type="dxa"/>
          </w:tcPr>
          <w:p w:rsidRPr="00251826" w:rsidR="00DC21C3" w:rsidP="007B34FD" w:rsidRDefault="00DC21C3" w14:paraId="45DFC182" w14:textId="77777777">
            <w:pPr>
              <w:spacing w:line="360" w:lineRule="auto"/>
              <w:cnfStyle w:val="000000100000" w:firstRow="0" w:lastRow="0" w:firstColumn="0" w:lastColumn="0" w:oddVBand="0" w:evenVBand="0" w:oddHBand="1" w:evenHBand="0" w:firstRowFirstColumn="0" w:firstRowLastColumn="0" w:lastRowFirstColumn="0" w:lastRowLastColumn="0"/>
            </w:pPr>
            <w:r w:rsidRPr="00251826">
              <w:t>Verzending naar Tweede Kamer en publicatie Periodieke rapportage</w:t>
            </w:r>
          </w:p>
        </w:tc>
      </w:tr>
      <w:tr w:rsidRPr="00251826" w:rsidR="00DC21C3" w:rsidTr="007B34FD" w14:paraId="67ACBBF9" w14:textId="77777777">
        <w:tc>
          <w:tcPr>
            <w:cnfStyle w:val="001000000000" w:firstRow="0" w:lastRow="0" w:firstColumn="1" w:lastColumn="0" w:oddVBand="0" w:evenVBand="0" w:oddHBand="0" w:evenHBand="0" w:firstRowFirstColumn="0" w:firstRowLastColumn="0" w:lastRowFirstColumn="0" w:lastRowLastColumn="0"/>
            <w:tcW w:w="2268" w:type="dxa"/>
          </w:tcPr>
          <w:p w:rsidRPr="00251826" w:rsidR="00DC21C3" w:rsidP="007B34FD" w:rsidRDefault="00DC21C3" w14:paraId="512FF57C" w14:textId="77777777">
            <w:pPr>
              <w:spacing w:line="360" w:lineRule="auto"/>
              <w:jc w:val="both"/>
              <w:rPr>
                <w:b w:val="0"/>
                <w:bCs w:val="0"/>
              </w:rPr>
            </w:pPr>
            <w:r w:rsidRPr="00251826">
              <w:rPr>
                <w:b w:val="0"/>
                <w:bCs w:val="0"/>
              </w:rPr>
              <w:t xml:space="preserve">Leren en verbeteren </w:t>
            </w:r>
          </w:p>
        </w:tc>
        <w:tc>
          <w:tcPr>
            <w:tcW w:w="2502" w:type="dxa"/>
          </w:tcPr>
          <w:p w:rsidRPr="00251826" w:rsidR="00DC21C3" w:rsidP="007B34FD" w:rsidRDefault="00DC21C3" w14:paraId="37E965B2" w14:textId="77777777">
            <w:pPr>
              <w:spacing w:line="360" w:lineRule="auto"/>
              <w:jc w:val="both"/>
              <w:cnfStyle w:val="000000000000" w:firstRow="0" w:lastRow="0" w:firstColumn="0" w:lastColumn="0" w:oddVBand="0" w:evenVBand="0" w:oddHBand="0" w:evenHBand="0" w:firstRowFirstColumn="0" w:firstRowLastColumn="0" w:lastRowFirstColumn="0" w:lastRowLastColumn="0"/>
            </w:pPr>
            <w:r w:rsidRPr="00251826">
              <w:t>z.s.m. na afronding</w:t>
            </w:r>
          </w:p>
        </w:tc>
        <w:tc>
          <w:tcPr>
            <w:tcW w:w="2771" w:type="dxa"/>
          </w:tcPr>
          <w:p w:rsidRPr="00251826" w:rsidR="00DC21C3" w:rsidP="007B34FD" w:rsidRDefault="00DC21C3" w14:paraId="0FEF3ABA" w14:textId="77777777">
            <w:pPr>
              <w:spacing w:line="360" w:lineRule="auto"/>
              <w:cnfStyle w:val="000000000000" w:firstRow="0" w:lastRow="0" w:firstColumn="0" w:lastColumn="0" w:oddVBand="0" w:evenVBand="0" w:oddHBand="0" w:evenHBand="0" w:firstRowFirstColumn="0" w:firstRowLastColumn="0" w:lastRowFirstColumn="0" w:lastRowLastColumn="0"/>
            </w:pPr>
            <w:r w:rsidRPr="00251826">
              <w:t xml:space="preserve">Beleidsverbeteringen in gang zetten, bredere lessen </w:t>
            </w:r>
            <w:r w:rsidRPr="00251826">
              <w:lastRenderedPageBreak/>
              <w:t>borgen, nieuwe SEA opstellen</w:t>
            </w:r>
          </w:p>
        </w:tc>
      </w:tr>
    </w:tbl>
    <w:p w:rsidR="00DC21C3" w:rsidP="00DC21C3" w:rsidRDefault="00DC21C3" w14:paraId="625A91D6" w14:textId="77777777"/>
    <w:p w:rsidRPr="00251826" w:rsidR="00E0033D" w:rsidP="00DC21C3" w:rsidRDefault="00E0033D" w14:paraId="65D004A7" w14:textId="77777777"/>
    <w:p w:rsidRPr="00251826" w:rsidR="00DC21C3" w:rsidP="00DC21C3" w:rsidRDefault="0056504A" w14:paraId="4799B2E2" w14:textId="0150E79B">
      <w:r w:rsidRPr="00251826">
        <w:t xml:space="preserve">De </w:t>
      </w:r>
      <w:r w:rsidRPr="00251826" w:rsidR="008D278F">
        <w:t xml:space="preserve">Staatssecretaris </w:t>
      </w:r>
      <w:r w:rsidRPr="00251826" w:rsidR="00F11AED">
        <w:t>van Justitie en Veiligheid</w:t>
      </w:r>
      <w:r w:rsidRPr="00251826">
        <w:t>,</w:t>
      </w:r>
    </w:p>
    <w:p w:rsidRPr="00251826" w:rsidR="0056504A" w:rsidP="00DC21C3" w:rsidRDefault="0056504A" w14:paraId="4B126E85" w14:textId="77777777"/>
    <w:p w:rsidRPr="00251826" w:rsidR="0056504A" w:rsidP="00DC21C3" w:rsidRDefault="0056504A" w14:paraId="71B8DD71" w14:textId="77777777"/>
    <w:p w:rsidRPr="00251826" w:rsidR="008D278F" w:rsidP="00DC21C3" w:rsidRDefault="008D278F" w14:paraId="176BD936" w14:textId="77777777"/>
    <w:p w:rsidRPr="00251826" w:rsidR="0056504A" w:rsidP="00DC21C3" w:rsidRDefault="0056504A" w14:paraId="0EC4A71B" w14:textId="77777777"/>
    <w:p w:rsidR="0006437F" w:rsidP="002F12B1" w:rsidRDefault="002F12B1" w14:paraId="6FD9ACB6" w14:textId="3790B108">
      <w:r w:rsidRPr="00251826">
        <w:t xml:space="preserve">mr. </w:t>
      </w:r>
      <w:r w:rsidRPr="00251826" w:rsidR="008D278F">
        <w:t>A.C.L.</w:t>
      </w:r>
      <w:r w:rsidRPr="00251826" w:rsidR="0044221E">
        <w:t xml:space="preserve"> </w:t>
      </w:r>
      <w:r w:rsidRPr="00251826" w:rsidR="008D278F">
        <w:t>Rutte</w:t>
      </w:r>
    </w:p>
    <w:sectPr w:rsidR="0006437F" w:rsidSect="0030691D">
      <w:headerReference w:type="default" r:id="rId11"/>
      <w:headerReference w:type="first" r:id="rId12"/>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10D3" w14:textId="77777777" w:rsidR="0004006F" w:rsidRDefault="0004006F">
      <w:pPr>
        <w:spacing w:line="240" w:lineRule="auto"/>
      </w:pPr>
      <w:r>
        <w:separator/>
      </w:r>
    </w:p>
  </w:endnote>
  <w:endnote w:type="continuationSeparator" w:id="0">
    <w:p w14:paraId="12BE4FBD" w14:textId="77777777" w:rsidR="0004006F" w:rsidRDefault="00040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C80F" w14:textId="77777777" w:rsidR="0004006F" w:rsidRDefault="0004006F">
      <w:pPr>
        <w:spacing w:line="240" w:lineRule="auto"/>
      </w:pPr>
      <w:r>
        <w:separator/>
      </w:r>
    </w:p>
  </w:footnote>
  <w:footnote w:type="continuationSeparator" w:id="0">
    <w:p w14:paraId="4C61D918" w14:textId="77777777" w:rsidR="0004006F" w:rsidRDefault="0004006F">
      <w:pPr>
        <w:spacing w:line="240" w:lineRule="auto"/>
      </w:pPr>
      <w:r>
        <w:continuationSeparator/>
      </w:r>
    </w:p>
  </w:footnote>
  <w:footnote w:id="1">
    <w:p w14:paraId="367BCA77" w14:textId="77777777" w:rsidR="00DC21C3" w:rsidRPr="004F1027" w:rsidRDefault="00DC21C3" w:rsidP="0056504A">
      <w:pPr>
        <w:pStyle w:val="Voetnoottekst"/>
        <w:rPr>
          <w:sz w:val="16"/>
          <w:szCs w:val="16"/>
        </w:rPr>
      </w:pPr>
      <w:r w:rsidRPr="002B35E2">
        <w:rPr>
          <w:rStyle w:val="Voetnootmarkering"/>
          <w:sz w:val="16"/>
          <w:szCs w:val="16"/>
        </w:rPr>
        <w:footnoteRef/>
      </w:r>
      <w:r w:rsidRPr="002B35E2">
        <w:rPr>
          <w:sz w:val="16"/>
          <w:szCs w:val="16"/>
        </w:rPr>
        <w:t xml:space="preserve"> Regeling periodiek </w:t>
      </w:r>
      <w:r w:rsidRPr="004F1027">
        <w:rPr>
          <w:sz w:val="16"/>
          <w:szCs w:val="16"/>
        </w:rPr>
        <w:t>evaluatieonderzoek 2022.</w:t>
      </w:r>
    </w:p>
  </w:footnote>
  <w:footnote w:id="2">
    <w:p w14:paraId="461300CF"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Zie voor een eerde beleidsdoorlichting op dit thema: Beleidsdoorlichting artikel 34.3, Tenuitvoerlegging strafrechtelijke sancties en maatregelen (2008-2014), juni 2018.</w:t>
      </w:r>
    </w:p>
  </w:footnote>
  <w:footnote w:id="3">
    <w:p w14:paraId="6212ED46"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De inwerkingtreding van de Wet forensische zorg is gedeeltelijk in 2019 en gedeeltelijk in 2020 geweest. De Memorie van Toelichting is van </w:t>
      </w:r>
      <w:r>
        <w:rPr>
          <w:sz w:val="16"/>
          <w:szCs w:val="16"/>
        </w:rPr>
        <w:t>2009-</w:t>
      </w:r>
      <w:r w:rsidRPr="004F1027">
        <w:rPr>
          <w:sz w:val="16"/>
          <w:szCs w:val="16"/>
        </w:rPr>
        <w:t xml:space="preserve">2010.  </w:t>
      </w:r>
    </w:p>
  </w:footnote>
  <w:footnote w:id="4">
    <w:p w14:paraId="0B257BBC" w14:textId="074A1C25"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Wet forensische zorg, artikel 2.1, lid 1; </w:t>
      </w:r>
      <w:r w:rsidRPr="004F1027">
        <w:rPr>
          <w:i/>
          <w:iCs/>
          <w:sz w:val="16"/>
          <w:szCs w:val="16"/>
        </w:rPr>
        <w:t xml:space="preserve">Kamerstukken II </w:t>
      </w:r>
      <w:r w:rsidRPr="004F1027">
        <w:rPr>
          <w:sz w:val="16"/>
          <w:szCs w:val="16"/>
        </w:rPr>
        <w:t>2009-201</w:t>
      </w:r>
      <w:r w:rsidR="00FA3B1A">
        <w:rPr>
          <w:sz w:val="16"/>
          <w:szCs w:val="16"/>
        </w:rPr>
        <w:t>0</w:t>
      </w:r>
      <w:r w:rsidRPr="004F1027">
        <w:rPr>
          <w:sz w:val="16"/>
          <w:szCs w:val="16"/>
        </w:rPr>
        <w:t>, 32 398, nr. 3 (</w:t>
      </w:r>
      <w:proofErr w:type="spellStart"/>
      <w:r w:rsidRPr="004F1027">
        <w:rPr>
          <w:sz w:val="16"/>
          <w:szCs w:val="16"/>
        </w:rPr>
        <w:t>MvT</w:t>
      </w:r>
      <w:proofErr w:type="spellEnd"/>
      <w:r w:rsidRPr="004F1027">
        <w:rPr>
          <w:sz w:val="16"/>
          <w:szCs w:val="16"/>
        </w:rPr>
        <w:t xml:space="preserve">).  </w:t>
      </w:r>
    </w:p>
  </w:footnote>
  <w:footnote w:id="5">
    <w:p w14:paraId="3808A4F4"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Artikel 1 lid 2 </w:t>
      </w:r>
      <w:proofErr w:type="spellStart"/>
      <w:r w:rsidRPr="004F1027">
        <w:rPr>
          <w:sz w:val="16"/>
          <w:szCs w:val="16"/>
        </w:rPr>
        <w:t>Wfz</w:t>
      </w:r>
      <w:proofErr w:type="spellEnd"/>
      <w:r w:rsidRPr="004F1027">
        <w:rPr>
          <w:sz w:val="16"/>
          <w:szCs w:val="16"/>
        </w:rPr>
        <w:t xml:space="preserve">. </w:t>
      </w:r>
    </w:p>
  </w:footnote>
  <w:footnote w:id="6">
    <w:p w14:paraId="3EACED52" w14:textId="7B61B9B6" w:rsidR="00DC21C3" w:rsidRPr="003110CB" w:rsidRDefault="00DC21C3" w:rsidP="0056504A">
      <w:pPr>
        <w:pStyle w:val="Voetnoottekst"/>
        <w:rPr>
          <w:sz w:val="16"/>
          <w:szCs w:val="16"/>
        </w:rPr>
      </w:pPr>
      <w:r w:rsidRPr="003110CB">
        <w:rPr>
          <w:rStyle w:val="Voetnootmarkering"/>
          <w:sz w:val="16"/>
          <w:szCs w:val="16"/>
        </w:rPr>
        <w:footnoteRef/>
      </w:r>
      <w:r w:rsidRPr="003110CB">
        <w:rPr>
          <w:sz w:val="16"/>
          <w:szCs w:val="16"/>
        </w:rPr>
        <w:t xml:space="preserve"> </w:t>
      </w:r>
      <w:r w:rsidRPr="003110CB">
        <w:rPr>
          <w:i/>
          <w:iCs/>
          <w:sz w:val="16"/>
          <w:szCs w:val="16"/>
        </w:rPr>
        <w:t xml:space="preserve">Kamerstukken II, </w:t>
      </w:r>
      <w:r w:rsidRPr="003110CB">
        <w:rPr>
          <w:sz w:val="16"/>
          <w:szCs w:val="16"/>
        </w:rPr>
        <w:t>2009-201</w:t>
      </w:r>
      <w:r w:rsidR="00FA3B1A">
        <w:rPr>
          <w:sz w:val="16"/>
          <w:szCs w:val="16"/>
        </w:rPr>
        <w:t>0</w:t>
      </w:r>
      <w:r w:rsidRPr="003110CB">
        <w:rPr>
          <w:sz w:val="16"/>
          <w:szCs w:val="16"/>
        </w:rPr>
        <w:t>, 32 398, nr. 3, p. 2-3</w:t>
      </w:r>
      <w:r>
        <w:rPr>
          <w:sz w:val="16"/>
          <w:szCs w:val="16"/>
        </w:rPr>
        <w:t xml:space="preserve"> (</w:t>
      </w:r>
      <w:proofErr w:type="spellStart"/>
      <w:r>
        <w:rPr>
          <w:sz w:val="16"/>
          <w:szCs w:val="16"/>
        </w:rPr>
        <w:t>MvT</w:t>
      </w:r>
      <w:proofErr w:type="spellEnd"/>
      <w:r>
        <w:rPr>
          <w:sz w:val="16"/>
          <w:szCs w:val="16"/>
        </w:rPr>
        <w:t>)</w:t>
      </w:r>
      <w:r w:rsidRPr="003110CB">
        <w:rPr>
          <w:sz w:val="16"/>
          <w:szCs w:val="16"/>
        </w:rPr>
        <w:t xml:space="preserve">. </w:t>
      </w:r>
    </w:p>
  </w:footnote>
  <w:footnote w:id="7">
    <w:p w14:paraId="0B1943FA" w14:textId="77777777" w:rsidR="00DC21C3" w:rsidRPr="004F1027" w:rsidRDefault="00DC21C3" w:rsidP="0056504A">
      <w:pPr>
        <w:spacing w:line="240" w:lineRule="auto"/>
        <w:rPr>
          <w:sz w:val="16"/>
          <w:szCs w:val="16"/>
        </w:rPr>
      </w:pPr>
      <w:r w:rsidRPr="004F1027">
        <w:rPr>
          <w:rStyle w:val="Voetnootmarkering"/>
          <w:sz w:val="16"/>
          <w:szCs w:val="16"/>
        </w:rPr>
        <w:footnoteRef/>
      </w:r>
      <w:r w:rsidRPr="004F1027">
        <w:rPr>
          <w:sz w:val="16"/>
          <w:szCs w:val="16"/>
        </w:rPr>
        <w:t xml:space="preserve"> Dit tweede strategische hoofddoel kan ook worden gelezen als het voorkomen van (herhaald) crimineel gedrag, met betrekking tot artikel 34 van de Begrotingswet. </w:t>
      </w:r>
    </w:p>
  </w:footnote>
  <w:footnote w:id="8">
    <w:p w14:paraId="6351717C"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t>
      </w:r>
      <w:r w:rsidRPr="004F1027">
        <w:rPr>
          <w:i/>
          <w:iCs/>
          <w:sz w:val="16"/>
          <w:szCs w:val="16"/>
        </w:rPr>
        <w:t xml:space="preserve">Kamerstukken II </w:t>
      </w:r>
      <w:r w:rsidRPr="004F1027">
        <w:rPr>
          <w:sz w:val="16"/>
          <w:szCs w:val="16"/>
        </w:rPr>
        <w:t>1991-1992, 22</w:t>
      </w:r>
      <w:r>
        <w:rPr>
          <w:sz w:val="16"/>
          <w:szCs w:val="16"/>
        </w:rPr>
        <w:t xml:space="preserve"> </w:t>
      </w:r>
      <w:r w:rsidRPr="004F1027">
        <w:rPr>
          <w:sz w:val="16"/>
          <w:szCs w:val="16"/>
        </w:rPr>
        <w:t xml:space="preserve">329, </w:t>
      </w:r>
      <w:proofErr w:type="spellStart"/>
      <w:r w:rsidRPr="004F1027">
        <w:rPr>
          <w:sz w:val="16"/>
          <w:szCs w:val="16"/>
        </w:rPr>
        <w:t>nrs</w:t>
      </w:r>
      <w:proofErr w:type="spellEnd"/>
      <w:r w:rsidRPr="004F1027">
        <w:rPr>
          <w:sz w:val="16"/>
          <w:szCs w:val="16"/>
        </w:rPr>
        <w:t xml:space="preserve">. 1-2; Van der Wolf, Reef &amp; Wams, </w:t>
      </w:r>
      <w:r w:rsidRPr="004F1027">
        <w:rPr>
          <w:i/>
          <w:iCs/>
          <w:sz w:val="16"/>
          <w:szCs w:val="16"/>
        </w:rPr>
        <w:t xml:space="preserve">Wie zijn geschiedenis niet kent…Een overzichtelijke tijdlijn van de stelselwijzigingen in de forensische zorg sinds 1988, </w:t>
      </w:r>
      <w:r w:rsidRPr="004F1027">
        <w:rPr>
          <w:sz w:val="16"/>
          <w:szCs w:val="16"/>
        </w:rPr>
        <w:t xml:space="preserve">Universiteit Leiden 2020. </w:t>
      </w:r>
    </w:p>
  </w:footnote>
  <w:footnote w:id="9">
    <w:p w14:paraId="467B8D92" w14:textId="77777777" w:rsidR="00DC21C3" w:rsidRPr="00917663" w:rsidRDefault="00DC21C3" w:rsidP="0056504A">
      <w:pPr>
        <w:pStyle w:val="Voetnoottekst"/>
        <w:rPr>
          <w:sz w:val="16"/>
          <w:szCs w:val="16"/>
        </w:rPr>
      </w:pPr>
      <w:r w:rsidRPr="00917663">
        <w:rPr>
          <w:rStyle w:val="Voetnootmarkering"/>
          <w:sz w:val="16"/>
          <w:szCs w:val="16"/>
        </w:rPr>
        <w:footnoteRef/>
      </w:r>
      <w:r w:rsidRPr="00917663">
        <w:rPr>
          <w:sz w:val="16"/>
          <w:szCs w:val="16"/>
        </w:rPr>
        <w:t xml:space="preserve"> WODC, </w:t>
      </w:r>
      <w:r w:rsidRPr="00917663">
        <w:rPr>
          <w:i/>
          <w:iCs/>
          <w:sz w:val="16"/>
          <w:szCs w:val="16"/>
        </w:rPr>
        <w:t xml:space="preserve">Planevaluatie </w:t>
      </w:r>
      <w:proofErr w:type="spellStart"/>
      <w:r w:rsidRPr="00917663">
        <w:rPr>
          <w:i/>
          <w:iCs/>
          <w:sz w:val="16"/>
          <w:szCs w:val="16"/>
        </w:rPr>
        <w:t>Wfz</w:t>
      </w:r>
      <w:proofErr w:type="spellEnd"/>
      <w:r w:rsidRPr="00917663">
        <w:rPr>
          <w:sz w:val="16"/>
          <w:szCs w:val="16"/>
        </w:rPr>
        <w:t>, 2022, p. 34.</w:t>
      </w:r>
    </w:p>
  </w:footnote>
  <w:footnote w:id="10">
    <w:p w14:paraId="0CF2E69F"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t>
      </w:r>
      <w:r w:rsidRPr="004F1027">
        <w:rPr>
          <w:i/>
          <w:iCs/>
          <w:sz w:val="16"/>
          <w:szCs w:val="16"/>
        </w:rPr>
        <w:t xml:space="preserve">Kamerstukken II </w:t>
      </w:r>
      <w:r w:rsidRPr="004F1027">
        <w:rPr>
          <w:sz w:val="16"/>
          <w:szCs w:val="16"/>
        </w:rPr>
        <w:t>2009-2010, 32 398, nr. 3 (</w:t>
      </w:r>
      <w:proofErr w:type="spellStart"/>
      <w:r w:rsidRPr="004F1027">
        <w:rPr>
          <w:sz w:val="16"/>
          <w:szCs w:val="16"/>
        </w:rPr>
        <w:t>MvT</w:t>
      </w:r>
      <w:proofErr w:type="spellEnd"/>
      <w:r w:rsidRPr="004F1027">
        <w:rPr>
          <w:sz w:val="16"/>
          <w:szCs w:val="16"/>
        </w:rPr>
        <w:t>), p. 3.</w:t>
      </w:r>
    </w:p>
  </w:footnote>
  <w:footnote w:id="11">
    <w:p w14:paraId="5D86074D"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WODC, </w:t>
      </w:r>
      <w:r w:rsidRPr="004F1027">
        <w:rPr>
          <w:i/>
          <w:iCs/>
          <w:sz w:val="16"/>
          <w:szCs w:val="16"/>
        </w:rPr>
        <w:t>Planevaluatie Wet forensische zorg</w:t>
      </w:r>
      <w:r w:rsidRPr="004F1027">
        <w:rPr>
          <w:sz w:val="16"/>
          <w:szCs w:val="16"/>
        </w:rPr>
        <w:t xml:space="preserve">, Cahier 2022-4, p. 33. </w:t>
      </w:r>
    </w:p>
  </w:footnote>
  <w:footnote w:id="12">
    <w:p w14:paraId="79D2EEE2"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WODC, </w:t>
      </w:r>
      <w:r w:rsidRPr="004F1027">
        <w:rPr>
          <w:i/>
          <w:iCs/>
          <w:sz w:val="16"/>
          <w:szCs w:val="16"/>
        </w:rPr>
        <w:t>Planevaluatie Wet forensische zorg</w:t>
      </w:r>
      <w:r w:rsidRPr="004F1027">
        <w:rPr>
          <w:sz w:val="16"/>
          <w:szCs w:val="16"/>
        </w:rPr>
        <w:t xml:space="preserve">, Cahier 2022-4, p. 33. </w:t>
      </w:r>
    </w:p>
  </w:footnote>
  <w:footnote w:id="13">
    <w:p w14:paraId="2C23531B"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De afspraken uit het Kwaliteitskader Forensische Zorg moeten in 2028 zijn geïmplementeerd.</w:t>
      </w:r>
    </w:p>
  </w:footnote>
  <w:footnote w:id="14">
    <w:p w14:paraId="62380826"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Bron: Cijfers DJI.</w:t>
      </w:r>
    </w:p>
  </w:footnote>
  <w:footnote w:id="15">
    <w:p w14:paraId="1A9D95BD"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w:t>
      </w:r>
      <w:hyperlink r:id="rId1" w:history="1">
        <w:r w:rsidRPr="004F1027">
          <w:rPr>
            <w:rStyle w:val="Hyperlink"/>
            <w:sz w:val="16"/>
            <w:szCs w:val="16"/>
          </w:rPr>
          <w:t>Werkagenda Verbeteren van de aansluiting tussen de forensische zorg en reguliere zorg | Rapport | Rijksoverheid.nl</w:t>
        </w:r>
      </w:hyperlink>
    </w:p>
  </w:footnote>
  <w:footnote w:id="16">
    <w:p w14:paraId="2A8637C6"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Zie onder andere: </w:t>
      </w:r>
      <w:hyperlink r:id="rId2" w:history="1">
        <w:r w:rsidRPr="004F1027">
          <w:rPr>
            <w:rStyle w:val="Hyperlink"/>
            <w:sz w:val="16"/>
            <w:szCs w:val="16"/>
          </w:rPr>
          <w:t>Visie forensische zorg 2020 | Rapport | Rijksoverheid.nl</w:t>
        </w:r>
      </w:hyperlink>
      <w:r w:rsidRPr="004F1027">
        <w:rPr>
          <w:sz w:val="16"/>
          <w:szCs w:val="16"/>
        </w:rPr>
        <w:t xml:space="preserve">; </w:t>
      </w:r>
      <w:hyperlink r:id="rId3" w:history="1">
        <w:r w:rsidRPr="004F1027">
          <w:rPr>
            <w:rStyle w:val="Hyperlink"/>
            <w:sz w:val="16"/>
            <w:szCs w:val="16"/>
          </w:rPr>
          <w:t>Bestuurlijke agenda forensische zorg | Rapport | Rijksoverheid.nl</w:t>
        </w:r>
      </w:hyperlink>
      <w:r w:rsidRPr="004F1027">
        <w:rPr>
          <w:sz w:val="16"/>
          <w:szCs w:val="16"/>
        </w:rPr>
        <w:t>.</w:t>
      </w:r>
    </w:p>
  </w:footnote>
  <w:footnote w:id="17">
    <w:p w14:paraId="7A165EAC"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Twee keer per jaar wordt een voortgangsbrief forensische zorg naar de Tweede Kamer verzonden. Zie voor de meest recente voortgangsbrief: </w:t>
      </w:r>
      <w:hyperlink r:id="rId4" w:history="1">
        <w:r w:rsidRPr="004F1027">
          <w:rPr>
            <w:rStyle w:val="Hyperlink"/>
            <w:sz w:val="16"/>
            <w:szCs w:val="16"/>
          </w:rPr>
          <w:t>Forensische zorg | Tweede Kamer der Staten-Generaal</w:t>
        </w:r>
      </w:hyperlink>
      <w:r w:rsidRPr="004F1027">
        <w:rPr>
          <w:sz w:val="16"/>
          <w:szCs w:val="16"/>
        </w:rPr>
        <w:t>.</w:t>
      </w:r>
    </w:p>
  </w:footnote>
  <w:footnote w:id="18">
    <w:p w14:paraId="473AF215"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Deze evaluaties worden uitgevoerd door het WODC, het betreft onder andere een doelbereikingsevaluatie van de Wet forensische zorg als vervolg op de Planevaluatie Wet forensische zorg. Ook wordt op dit moment onder andere een kwalitatieve studie opgestart naar vervolgzorg voor forensische cliënten. </w:t>
      </w:r>
    </w:p>
  </w:footnote>
  <w:footnote w:id="19">
    <w:p w14:paraId="3B65E460" w14:textId="77777777" w:rsidR="00DC21C3" w:rsidRPr="00CF0EE9" w:rsidRDefault="00DC21C3" w:rsidP="0056504A">
      <w:pPr>
        <w:pStyle w:val="Voetnoottekst"/>
        <w:rPr>
          <w:sz w:val="16"/>
          <w:szCs w:val="16"/>
        </w:rPr>
      </w:pPr>
      <w:r w:rsidRPr="00CF0EE9">
        <w:rPr>
          <w:rStyle w:val="Voetnootmarkering"/>
          <w:sz w:val="16"/>
          <w:szCs w:val="16"/>
        </w:rPr>
        <w:footnoteRef/>
      </w:r>
      <w:r w:rsidRPr="00CF0EE9">
        <w:rPr>
          <w:sz w:val="16"/>
          <w:szCs w:val="16"/>
        </w:rPr>
        <w:t xml:space="preserve"> De Ruijter Strategie, </w:t>
      </w:r>
      <w:r w:rsidRPr="00CF0EE9">
        <w:rPr>
          <w:i/>
          <w:iCs/>
          <w:sz w:val="16"/>
          <w:szCs w:val="16"/>
        </w:rPr>
        <w:t xml:space="preserve">Toekomstverkenning sector Forensische Zorg. Startpunt voor prioritering, richting en strategische samenwerking, </w:t>
      </w:r>
      <w:r w:rsidRPr="00CF0EE9">
        <w:rPr>
          <w:sz w:val="16"/>
          <w:szCs w:val="16"/>
        </w:rPr>
        <w:t xml:space="preserve">2024 (In opdracht van het Bestuurlijk Overleg Forensische Zorg).  </w:t>
      </w:r>
    </w:p>
  </w:footnote>
  <w:footnote w:id="20">
    <w:p w14:paraId="4EF6FB0F" w14:textId="77777777" w:rsidR="00DC21C3" w:rsidRPr="00CF0EE9" w:rsidRDefault="00DC21C3" w:rsidP="0056504A">
      <w:pPr>
        <w:pStyle w:val="Voetnoottekst"/>
        <w:rPr>
          <w:sz w:val="16"/>
          <w:szCs w:val="16"/>
        </w:rPr>
      </w:pPr>
      <w:r w:rsidRPr="00CF0EE9">
        <w:rPr>
          <w:rStyle w:val="Voetnootmarkering"/>
          <w:sz w:val="16"/>
          <w:szCs w:val="16"/>
        </w:rPr>
        <w:footnoteRef/>
      </w:r>
      <w:r w:rsidRPr="00CF0EE9">
        <w:rPr>
          <w:sz w:val="16"/>
          <w:szCs w:val="16"/>
        </w:rPr>
        <w:t xml:space="preserve"> Algemene Rekenkamer, </w:t>
      </w:r>
      <w:r w:rsidRPr="00CF0EE9">
        <w:rPr>
          <w:i/>
          <w:iCs/>
          <w:sz w:val="16"/>
          <w:szCs w:val="16"/>
        </w:rPr>
        <w:t xml:space="preserve">In de zorg, uit het zicht. Krijgen patiënten goede forensische zorg? </w:t>
      </w:r>
      <w:r w:rsidRPr="00CF0EE9">
        <w:rPr>
          <w:sz w:val="16"/>
          <w:szCs w:val="16"/>
        </w:rPr>
        <w:t xml:space="preserve">2022. Zie </w:t>
      </w:r>
      <w:r w:rsidRPr="00CF0EE9">
        <w:rPr>
          <w:i/>
          <w:iCs/>
          <w:sz w:val="16"/>
          <w:szCs w:val="16"/>
        </w:rPr>
        <w:t xml:space="preserve">Kamerstukken II </w:t>
      </w:r>
      <w:r w:rsidRPr="00CF0EE9">
        <w:rPr>
          <w:sz w:val="16"/>
          <w:szCs w:val="16"/>
        </w:rPr>
        <w:t>2021-2022, 33628, nr. 90.</w:t>
      </w:r>
    </w:p>
  </w:footnote>
  <w:footnote w:id="21">
    <w:p w14:paraId="740A5386" w14:textId="77777777" w:rsidR="00DC21C3" w:rsidRPr="00CF0EE9" w:rsidRDefault="00DC21C3" w:rsidP="0056504A">
      <w:pPr>
        <w:pStyle w:val="Voetnoottekst"/>
        <w:rPr>
          <w:sz w:val="16"/>
          <w:szCs w:val="16"/>
        </w:rPr>
      </w:pPr>
      <w:r w:rsidRPr="00CF0EE9">
        <w:rPr>
          <w:rStyle w:val="Voetnootmarkering"/>
          <w:sz w:val="16"/>
          <w:szCs w:val="16"/>
        </w:rPr>
        <w:footnoteRef/>
      </w:r>
      <w:r w:rsidRPr="00CF0EE9">
        <w:rPr>
          <w:sz w:val="16"/>
          <w:szCs w:val="16"/>
        </w:rPr>
        <w:t xml:space="preserve"> Hierbij wordt rekening gehouden met de uitkomsten van de procesevaluatie van het WODC naar de ‘patiënt op de juiste plek in de forensische zorg’: WODC, </w:t>
      </w:r>
      <w:r w:rsidRPr="00CF0EE9">
        <w:rPr>
          <w:i/>
          <w:iCs/>
          <w:sz w:val="16"/>
          <w:szCs w:val="16"/>
        </w:rPr>
        <w:t xml:space="preserve">Procesevaluatie ‘Patiënt op de juiste plek’ in de forensische zorg, </w:t>
      </w:r>
      <w:r w:rsidRPr="00CF0EE9">
        <w:rPr>
          <w:sz w:val="16"/>
          <w:szCs w:val="16"/>
        </w:rPr>
        <w:t>Cahier 2024-18.</w:t>
      </w:r>
    </w:p>
  </w:footnote>
  <w:footnote w:id="22">
    <w:p w14:paraId="4B333D28" w14:textId="77777777" w:rsidR="00DC21C3" w:rsidRPr="001462C4" w:rsidRDefault="00DC21C3" w:rsidP="0056504A">
      <w:pPr>
        <w:pStyle w:val="Voetnoottekst"/>
        <w:rPr>
          <w:sz w:val="16"/>
          <w:szCs w:val="16"/>
        </w:rPr>
      </w:pPr>
      <w:r>
        <w:rPr>
          <w:rStyle w:val="Voetnootmarkering"/>
        </w:rPr>
        <w:footnoteRef/>
      </w:r>
      <w:r>
        <w:t xml:space="preserve"> </w:t>
      </w:r>
      <w:r w:rsidRPr="00CF0EE9">
        <w:rPr>
          <w:sz w:val="16"/>
          <w:szCs w:val="16"/>
        </w:rPr>
        <w:t xml:space="preserve">WODC, </w:t>
      </w:r>
      <w:r w:rsidRPr="00CF0EE9">
        <w:rPr>
          <w:i/>
          <w:iCs/>
          <w:sz w:val="16"/>
          <w:szCs w:val="16"/>
        </w:rPr>
        <w:t xml:space="preserve">Procesevaluatie ‘Patiënt op de juiste plek’ in de forensische zorg, </w:t>
      </w:r>
      <w:r w:rsidRPr="00CF0EE9">
        <w:rPr>
          <w:sz w:val="16"/>
          <w:szCs w:val="16"/>
        </w:rPr>
        <w:t>Cahier 2024-18.</w:t>
      </w:r>
    </w:p>
  </w:footnote>
  <w:footnote w:id="23">
    <w:p w14:paraId="07BDFC94" w14:textId="77777777" w:rsidR="00DC21C3" w:rsidRPr="00CF0EE9" w:rsidRDefault="00DC21C3" w:rsidP="0056504A">
      <w:pPr>
        <w:pStyle w:val="Voetnoottekst"/>
      </w:pPr>
      <w:r w:rsidRPr="00CF0EE9">
        <w:rPr>
          <w:rStyle w:val="Voetnootmarkering"/>
          <w:sz w:val="16"/>
          <w:szCs w:val="16"/>
        </w:rPr>
        <w:footnoteRef/>
      </w:r>
      <w:r w:rsidRPr="00CF0EE9">
        <w:rPr>
          <w:sz w:val="16"/>
          <w:szCs w:val="16"/>
        </w:rPr>
        <w:t xml:space="preserve"> Zie onder andere: WODC, </w:t>
      </w:r>
      <w:r w:rsidRPr="00CF0EE9">
        <w:rPr>
          <w:i/>
          <w:iCs/>
          <w:sz w:val="16"/>
          <w:szCs w:val="16"/>
        </w:rPr>
        <w:t xml:space="preserve">Procesevaluatie ‘Patiënt op de juiste plek’ in de forensische zorg, </w:t>
      </w:r>
      <w:r w:rsidRPr="00CF0EE9">
        <w:rPr>
          <w:sz w:val="16"/>
          <w:szCs w:val="16"/>
        </w:rPr>
        <w:t>Cahier 2024-18, vanaf p. 13.</w:t>
      </w:r>
      <w:r>
        <w:rPr>
          <w:sz w:val="16"/>
          <w:szCs w:val="16"/>
        </w:rPr>
        <w:t xml:space="preserve"> </w:t>
      </w:r>
    </w:p>
  </w:footnote>
  <w:footnote w:id="24">
    <w:p w14:paraId="1E8F7376"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Beleidsdoorlichting artikel 34.3, Tenuitvoerlegging strafrechtelijke sancties en maatregelen (2008-2014), juni 2018. </w:t>
      </w:r>
    </w:p>
  </w:footnote>
  <w:footnote w:id="25">
    <w:p w14:paraId="70F72CE1" w14:textId="74187ACC" w:rsidR="000B196A" w:rsidRPr="000B196A" w:rsidRDefault="000B196A">
      <w:pPr>
        <w:pStyle w:val="Voetnoottekst"/>
        <w:rPr>
          <w:sz w:val="16"/>
          <w:szCs w:val="16"/>
        </w:rPr>
      </w:pPr>
      <w:r w:rsidRPr="000B196A">
        <w:rPr>
          <w:rStyle w:val="Voetnootmarkering"/>
          <w:sz w:val="16"/>
          <w:szCs w:val="16"/>
        </w:rPr>
        <w:footnoteRef/>
      </w:r>
      <w:r w:rsidRPr="000B196A">
        <w:rPr>
          <w:sz w:val="16"/>
          <w:szCs w:val="16"/>
        </w:rPr>
        <w:t xml:space="preserve"> </w:t>
      </w:r>
      <w:r w:rsidRPr="000B196A">
        <w:rPr>
          <w:i/>
          <w:iCs/>
          <w:sz w:val="16"/>
          <w:szCs w:val="16"/>
        </w:rPr>
        <w:t xml:space="preserve">Kamerstukken II </w:t>
      </w:r>
      <w:r w:rsidRPr="000B196A">
        <w:rPr>
          <w:sz w:val="16"/>
          <w:szCs w:val="16"/>
        </w:rPr>
        <w:t xml:space="preserve">2017-2018, 33 199, nr. 25. </w:t>
      </w:r>
    </w:p>
  </w:footnote>
  <w:footnote w:id="26">
    <w:p w14:paraId="302E6D7B" w14:textId="77777777" w:rsidR="00DC21C3" w:rsidRPr="004F1027" w:rsidRDefault="00DC21C3" w:rsidP="0056504A">
      <w:pPr>
        <w:pStyle w:val="Voetnoottekst"/>
        <w:rPr>
          <w:sz w:val="16"/>
          <w:szCs w:val="16"/>
        </w:rPr>
      </w:pPr>
      <w:r w:rsidRPr="004F1027">
        <w:rPr>
          <w:rStyle w:val="Voetnootmarkering"/>
          <w:sz w:val="16"/>
          <w:szCs w:val="16"/>
        </w:rPr>
        <w:footnoteRef/>
      </w:r>
      <w:r w:rsidRPr="004F1027">
        <w:rPr>
          <w:sz w:val="16"/>
          <w:szCs w:val="16"/>
        </w:rPr>
        <w:t xml:space="preserve"> De afspraken uit het Kwaliteitskader Forensische Zorg moeten in 2028 zijn geïmplementeerd.</w:t>
      </w:r>
    </w:p>
  </w:footnote>
  <w:footnote w:id="27">
    <w:p w14:paraId="002ACEA5" w14:textId="77777777" w:rsidR="00DC21C3" w:rsidRPr="004F1027" w:rsidRDefault="00DC21C3" w:rsidP="0056504A">
      <w:pPr>
        <w:pStyle w:val="Voetnoottekst"/>
      </w:pPr>
      <w:r w:rsidRPr="004F1027">
        <w:rPr>
          <w:rStyle w:val="Voetnootmarkering"/>
          <w:sz w:val="16"/>
          <w:szCs w:val="16"/>
        </w:rPr>
        <w:footnoteRef/>
      </w:r>
      <w:r w:rsidRPr="004F1027">
        <w:rPr>
          <w:sz w:val="16"/>
          <w:szCs w:val="16"/>
        </w:rPr>
        <w:t xml:space="preserve"> Zie: </w:t>
      </w:r>
      <w:hyperlink r:id="rId5" w:history="1">
        <w:r w:rsidRPr="004F1027">
          <w:rPr>
            <w:rStyle w:val="Hyperlink"/>
            <w:sz w:val="16"/>
            <w:szCs w:val="16"/>
          </w:rPr>
          <w:t>Forensische zorg | Tweede Kamer der Staten-Generaal</w:t>
        </w:r>
      </w:hyperlink>
      <w:r>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A59A" w14:textId="5B93DD04" w:rsidR="009C08A6" w:rsidRDefault="00C82B7B">
    <w:r>
      <w:rPr>
        <w:noProof/>
      </w:rPr>
      <mc:AlternateContent>
        <mc:Choice Requires="wps">
          <w:drawing>
            <wp:anchor distT="0" distB="0" distL="0" distR="0" simplePos="0" relativeHeight="251651584" behindDoc="0" locked="1" layoutInCell="1" allowOverlap="1" wp14:anchorId="23E9E147" wp14:editId="5E7417C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427AB7" w14:textId="77777777" w:rsidR="00C82B7B" w:rsidRDefault="00C82B7B"/>
                      </w:txbxContent>
                    </wps:txbx>
                    <wps:bodyPr vert="horz" wrap="square" lIns="0" tIns="0" rIns="0" bIns="0" anchor="t" anchorCtr="0"/>
                  </wps:wsp>
                </a:graphicData>
              </a:graphic>
            </wp:anchor>
          </w:drawing>
        </mc:Choice>
        <mc:Fallback>
          <w:pict>
            <v:shapetype w14:anchorId="23E9E1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F427AB7"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6C016BA" wp14:editId="3234A40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D91EB7" w14:textId="77777777" w:rsidR="009C08A6" w:rsidRDefault="00C82B7B">
                          <w:pPr>
                            <w:pStyle w:val="Referentiegegevensbold"/>
                          </w:pPr>
                          <w:r>
                            <w:t>Directoraat-Generaal Straffen en Beschermen</w:t>
                          </w:r>
                        </w:p>
                        <w:p w14:paraId="3B7C0BBA" w14:textId="77777777" w:rsidR="009C08A6" w:rsidRDefault="00C82B7B">
                          <w:pPr>
                            <w:pStyle w:val="Referentiegegevens"/>
                          </w:pPr>
                          <w:r>
                            <w:t>Directie Sanctie- en Slachtofferbeleid</w:t>
                          </w:r>
                        </w:p>
                        <w:p w14:paraId="20DAAFB8" w14:textId="77777777" w:rsidR="009C08A6" w:rsidRDefault="00C82B7B">
                          <w:pPr>
                            <w:pStyle w:val="Referentiegegevens"/>
                          </w:pPr>
                          <w:r>
                            <w:t>For. zorg en verwarden</w:t>
                          </w:r>
                        </w:p>
                        <w:p w14:paraId="0093F4D3" w14:textId="77777777" w:rsidR="009C08A6" w:rsidRDefault="009C08A6">
                          <w:pPr>
                            <w:pStyle w:val="WitregelW2"/>
                          </w:pPr>
                        </w:p>
                        <w:p w14:paraId="4723E100" w14:textId="77777777" w:rsidR="009C08A6" w:rsidRDefault="00C82B7B">
                          <w:pPr>
                            <w:pStyle w:val="Referentiegegevensbold"/>
                          </w:pPr>
                          <w:r>
                            <w:t>Datum</w:t>
                          </w:r>
                        </w:p>
                        <w:p w14:paraId="467B8622" w14:textId="4E064886" w:rsidR="009C08A6" w:rsidRDefault="003C1454">
                          <w:pPr>
                            <w:pStyle w:val="Referentiegegevens"/>
                          </w:pPr>
                          <w:sdt>
                            <w:sdtPr>
                              <w:id w:val="341674353"/>
                              <w:date w:fullDate="2025-09-11T00:00:00Z">
                                <w:dateFormat w:val="d MMMM yyyy"/>
                                <w:lid w:val="nl"/>
                                <w:storeMappedDataAs w:val="dateTime"/>
                                <w:calendar w:val="gregorian"/>
                              </w:date>
                            </w:sdtPr>
                            <w:sdtEndPr/>
                            <w:sdtContent>
                              <w:r w:rsidR="00E0033D">
                                <w:rPr>
                                  <w:lang w:val="nl"/>
                                </w:rPr>
                                <w:t>11 september 2025</w:t>
                              </w:r>
                            </w:sdtContent>
                          </w:sdt>
                        </w:p>
                        <w:p w14:paraId="0BD59016" w14:textId="77777777" w:rsidR="009C08A6" w:rsidRDefault="009C08A6">
                          <w:pPr>
                            <w:pStyle w:val="WitregelW1"/>
                          </w:pPr>
                        </w:p>
                        <w:p w14:paraId="1B054548" w14:textId="77777777" w:rsidR="009C08A6" w:rsidRDefault="00C82B7B">
                          <w:pPr>
                            <w:pStyle w:val="Referentiegegevensbold"/>
                          </w:pPr>
                          <w:r>
                            <w:t>Onze referentie</w:t>
                          </w:r>
                        </w:p>
                        <w:p w14:paraId="343F91DB" w14:textId="77777777" w:rsidR="009C08A6" w:rsidRDefault="00C82B7B">
                          <w:pPr>
                            <w:pStyle w:val="Referentiegegevens"/>
                          </w:pPr>
                          <w:r>
                            <w:t>6638379</w:t>
                          </w:r>
                        </w:p>
                      </w:txbxContent>
                    </wps:txbx>
                    <wps:bodyPr vert="horz" wrap="square" lIns="0" tIns="0" rIns="0" bIns="0" anchor="t" anchorCtr="0"/>
                  </wps:wsp>
                </a:graphicData>
              </a:graphic>
            </wp:anchor>
          </w:drawing>
        </mc:Choice>
        <mc:Fallback>
          <w:pict>
            <v:shape w14:anchorId="26C016BA"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D91EB7" w14:textId="77777777" w:rsidR="009C08A6" w:rsidRDefault="00C82B7B">
                    <w:pPr>
                      <w:pStyle w:val="Referentiegegevensbold"/>
                    </w:pPr>
                    <w:r>
                      <w:t>Directoraat-Generaal Straffen en Beschermen</w:t>
                    </w:r>
                  </w:p>
                  <w:p w14:paraId="3B7C0BBA" w14:textId="77777777" w:rsidR="009C08A6" w:rsidRDefault="00C82B7B">
                    <w:pPr>
                      <w:pStyle w:val="Referentiegegevens"/>
                    </w:pPr>
                    <w:r>
                      <w:t>Directie Sanctie- en Slachtofferbeleid</w:t>
                    </w:r>
                  </w:p>
                  <w:p w14:paraId="20DAAFB8" w14:textId="77777777" w:rsidR="009C08A6" w:rsidRDefault="00C82B7B">
                    <w:pPr>
                      <w:pStyle w:val="Referentiegegevens"/>
                    </w:pPr>
                    <w:r>
                      <w:t>For. zorg en verwarden</w:t>
                    </w:r>
                  </w:p>
                  <w:p w14:paraId="0093F4D3" w14:textId="77777777" w:rsidR="009C08A6" w:rsidRDefault="009C08A6">
                    <w:pPr>
                      <w:pStyle w:val="WitregelW2"/>
                    </w:pPr>
                  </w:p>
                  <w:p w14:paraId="4723E100" w14:textId="77777777" w:rsidR="009C08A6" w:rsidRDefault="00C82B7B">
                    <w:pPr>
                      <w:pStyle w:val="Referentiegegevensbold"/>
                    </w:pPr>
                    <w:r>
                      <w:t>Datum</w:t>
                    </w:r>
                  </w:p>
                  <w:p w14:paraId="467B8622" w14:textId="4E064886" w:rsidR="009C08A6" w:rsidRDefault="003C1454">
                    <w:pPr>
                      <w:pStyle w:val="Referentiegegevens"/>
                    </w:pPr>
                    <w:sdt>
                      <w:sdtPr>
                        <w:id w:val="341674353"/>
                        <w:date w:fullDate="2025-09-11T00:00:00Z">
                          <w:dateFormat w:val="d MMMM yyyy"/>
                          <w:lid w:val="nl"/>
                          <w:storeMappedDataAs w:val="dateTime"/>
                          <w:calendar w:val="gregorian"/>
                        </w:date>
                      </w:sdtPr>
                      <w:sdtEndPr/>
                      <w:sdtContent>
                        <w:r w:rsidR="00E0033D">
                          <w:rPr>
                            <w:lang w:val="nl"/>
                          </w:rPr>
                          <w:t>11 september 2025</w:t>
                        </w:r>
                      </w:sdtContent>
                    </w:sdt>
                  </w:p>
                  <w:p w14:paraId="0BD59016" w14:textId="77777777" w:rsidR="009C08A6" w:rsidRDefault="009C08A6">
                    <w:pPr>
                      <w:pStyle w:val="WitregelW1"/>
                    </w:pPr>
                  </w:p>
                  <w:p w14:paraId="1B054548" w14:textId="77777777" w:rsidR="009C08A6" w:rsidRDefault="00C82B7B">
                    <w:pPr>
                      <w:pStyle w:val="Referentiegegevensbold"/>
                    </w:pPr>
                    <w:r>
                      <w:t>Onze referentie</w:t>
                    </w:r>
                  </w:p>
                  <w:p w14:paraId="343F91DB" w14:textId="77777777" w:rsidR="009C08A6" w:rsidRDefault="00C82B7B">
                    <w:pPr>
                      <w:pStyle w:val="Referentiegegevens"/>
                    </w:pPr>
                    <w:r>
                      <w:t>6638379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8848A50" wp14:editId="7FBAF1A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BAED5E" w14:textId="77777777" w:rsidR="00C82B7B" w:rsidRDefault="00C82B7B"/>
                      </w:txbxContent>
                    </wps:txbx>
                    <wps:bodyPr vert="horz" wrap="square" lIns="0" tIns="0" rIns="0" bIns="0" anchor="t" anchorCtr="0"/>
                  </wps:wsp>
                </a:graphicData>
              </a:graphic>
            </wp:anchor>
          </w:drawing>
        </mc:Choice>
        <mc:Fallback>
          <w:pict>
            <v:shape w14:anchorId="28848A50"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BAED5E"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D4B422" wp14:editId="180F65E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DF1BD2" w14:textId="792EA743" w:rsidR="009C08A6" w:rsidRDefault="00C82B7B">
                          <w:pPr>
                            <w:pStyle w:val="Referentiegegevens"/>
                          </w:pPr>
                          <w:r>
                            <w:t xml:space="preserve">Pagina </w:t>
                          </w:r>
                          <w:r>
                            <w:fldChar w:fldCharType="begin"/>
                          </w:r>
                          <w:r>
                            <w:instrText>PAGE</w:instrText>
                          </w:r>
                          <w:r>
                            <w:fldChar w:fldCharType="separate"/>
                          </w:r>
                          <w:r w:rsidR="00A06019">
                            <w:rPr>
                              <w:noProof/>
                            </w:rPr>
                            <w:t>13</w:t>
                          </w:r>
                          <w:r>
                            <w:fldChar w:fldCharType="end"/>
                          </w:r>
                          <w:r>
                            <w:t xml:space="preserve"> van </w:t>
                          </w:r>
                          <w:r>
                            <w:fldChar w:fldCharType="begin"/>
                          </w:r>
                          <w:r>
                            <w:instrText>NUMPAGES</w:instrText>
                          </w:r>
                          <w:r>
                            <w:fldChar w:fldCharType="separate"/>
                          </w:r>
                          <w:r w:rsidR="00A06019">
                            <w:rPr>
                              <w:noProof/>
                            </w:rPr>
                            <w:t>13</w:t>
                          </w:r>
                          <w:r>
                            <w:fldChar w:fldCharType="end"/>
                          </w:r>
                        </w:p>
                      </w:txbxContent>
                    </wps:txbx>
                    <wps:bodyPr vert="horz" wrap="square" lIns="0" tIns="0" rIns="0" bIns="0" anchor="t" anchorCtr="0"/>
                  </wps:wsp>
                </a:graphicData>
              </a:graphic>
            </wp:anchor>
          </w:drawing>
        </mc:Choice>
        <mc:Fallback>
          <w:pict>
            <v:shape w14:anchorId="41D4B422"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DF1BD2" w14:textId="792EA743" w:rsidR="009C08A6" w:rsidRDefault="00C82B7B">
                    <w:pPr>
                      <w:pStyle w:val="Referentiegegevens"/>
                    </w:pPr>
                    <w:r>
                      <w:t xml:space="preserve">Pagina </w:t>
                    </w:r>
                    <w:r>
                      <w:fldChar w:fldCharType="begin"/>
                    </w:r>
                    <w:r>
                      <w:instrText>PAGE</w:instrText>
                    </w:r>
                    <w:r>
                      <w:fldChar w:fldCharType="separate"/>
                    </w:r>
                    <w:r w:rsidR="00A06019">
                      <w:rPr>
                        <w:noProof/>
                      </w:rPr>
                      <w:t>13</w:t>
                    </w:r>
                    <w:r>
                      <w:fldChar w:fldCharType="end"/>
                    </w:r>
                    <w:r>
                      <w:t xml:space="preserve"> van </w:t>
                    </w:r>
                    <w:r>
                      <w:fldChar w:fldCharType="begin"/>
                    </w:r>
                    <w:r>
                      <w:instrText>NUMPAGES</w:instrText>
                    </w:r>
                    <w:r>
                      <w:fldChar w:fldCharType="separate"/>
                    </w:r>
                    <w:r w:rsidR="00A06019">
                      <w:rPr>
                        <w:noProof/>
                      </w:rPr>
                      <w:t>13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FADF" w14:textId="77777777" w:rsidR="009C08A6" w:rsidRDefault="00C82B7B">
    <w:pPr>
      <w:spacing w:after="6377" w:line="14" w:lineRule="exact"/>
    </w:pPr>
    <w:r>
      <w:rPr>
        <w:noProof/>
      </w:rPr>
      <mc:AlternateContent>
        <mc:Choice Requires="wps">
          <w:drawing>
            <wp:anchor distT="0" distB="0" distL="0" distR="0" simplePos="0" relativeHeight="251655680" behindDoc="0" locked="1" layoutInCell="1" allowOverlap="1" wp14:anchorId="21C60C51" wp14:editId="45D3436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91DCB5" w14:textId="77777777" w:rsidR="009C08A6" w:rsidRDefault="00C82B7B">
                          <w:pPr>
                            <w:spacing w:line="240" w:lineRule="auto"/>
                          </w:pPr>
                          <w:r>
                            <w:rPr>
                              <w:noProof/>
                            </w:rPr>
                            <w:drawing>
                              <wp:inline distT="0" distB="0" distL="0" distR="0" wp14:anchorId="50847D18" wp14:editId="05BFEC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C60C5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891DCB5" w14:textId="77777777" w:rsidR="009C08A6" w:rsidRDefault="00C82B7B">
                    <w:pPr>
                      <w:spacing w:line="240" w:lineRule="auto"/>
                    </w:pPr>
                    <w:r>
                      <w:rPr>
                        <w:noProof/>
                      </w:rPr>
                      <w:drawing>
                        <wp:inline distT="0" distB="0" distL="0" distR="0" wp14:anchorId="50847D18" wp14:editId="05BFEC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CCFD23" wp14:editId="57180F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48C19D" w14:textId="77777777" w:rsidR="009C08A6" w:rsidRDefault="00C82B7B">
                          <w:pPr>
                            <w:spacing w:line="240" w:lineRule="auto"/>
                          </w:pPr>
                          <w:r>
                            <w:rPr>
                              <w:noProof/>
                            </w:rPr>
                            <w:drawing>
                              <wp:inline distT="0" distB="0" distL="0" distR="0" wp14:anchorId="2EEED0C0" wp14:editId="1ACB0FE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CCFD23"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648C19D" w14:textId="77777777" w:rsidR="009C08A6" w:rsidRDefault="00C82B7B">
                    <w:pPr>
                      <w:spacing w:line="240" w:lineRule="auto"/>
                    </w:pPr>
                    <w:r>
                      <w:rPr>
                        <w:noProof/>
                      </w:rPr>
                      <w:drawing>
                        <wp:inline distT="0" distB="0" distL="0" distR="0" wp14:anchorId="2EEED0C0" wp14:editId="1ACB0FE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10B9EB8" wp14:editId="45D4E37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E8848C" w14:textId="77777777" w:rsidR="009C08A6" w:rsidRDefault="00C82B7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10B9EB8" id="f053fe88-db2b-430b-bcc5-fbb915a19314" o:spid="_x0000_s1032" type="#_x0000_t202" style="position:absolute;margin-left:79.6pt;margin-top:135.4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2E8848C" w14:textId="77777777" w:rsidR="009C08A6" w:rsidRDefault="00C82B7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273848" wp14:editId="62A6D2C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96826B" w14:textId="77777777" w:rsidR="00E0033D" w:rsidRDefault="00C82B7B">
                          <w:r>
                            <w:t xml:space="preserve">Aan de Voorzitter van de Tweede kamer </w:t>
                          </w:r>
                        </w:p>
                        <w:p w14:paraId="1888DCBD" w14:textId="7C937258" w:rsidR="009C08A6" w:rsidRDefault="00C82B7B">
                          <w:r>
                            <w:t>der Staten-Generaal</w:t>
                          </w:r>
                        </w:p>
                        <w:p w14:paraId="5588FDF9" w14:textId="77777777" w:rsidR="009C08A6" w:rsidRDefault="00C82B7B">
                          <w:r>
                            <w:t xml:space="preserve">Postbus 20018 </w:t>
                          </w:r>
                        </w:p>
                        <w:p w14:paraId="038425F5" w14:textId="7C2A6466" w:rsidR="009C08A6" w:rsidRDefault="00C82B7B">
                          <w:r>
                            <w:t>2500 EA</w:t>
                          </w:r>
                          <w:r w:rsidR="00E0033D">
                            <w:t xml:space="preserve">  </w:t>
                          </w:r>
                          <w:r>
                            <w:t>DEN HAAG</w:t>
                          </w:r>
                        </w:p>
                      </w:txbxContent>
                    </wps:txbx>
                    <wps:bodyPr vert="horz" wrap="square" lIns="0" tIns="0" rIns="0" bIns="0" anchor="t" anchorCtr="0"/>
                  </wps:wsp>
                </a:graphicData>
              </a:graphic>
            </wp:anchor>
          </w:drawing>
        </mc:Choice>
        <mc:Fallback>
          <w:pict>
            <v:shape w14:anchorId="13273848"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F96826B" w14:textId="77777777" w:rsidR="00E0033D" w:rsidRDefault="00C82B7B">
                    <w:r>
                      <w:t xml:space="preserve">Aan de Voorzitter van de Tweede kamer </w:t>
                    </w:r>
                  </w:p>
                  <w:p w14:paraId="1888DCBD" w14:textId="7C937258" w:rsidR="009C08A6" w:rsidRDefault="00C82B7B">
                    <w:r>
                      <w:t>der Staten-Generaal</w:t>
                    </w:r>
                  </w:p>
                  <w:p w14:paraId="5588FDF9" w14:textId="77777777" w:rsidR="009C08A6" w:rsidRDefault="00C82B7B">
                    <w:r>
                      <w:t xml:space="preserve">Postbus 20018 </w:t>
                    </w:r>
                  </w:p>
                  <w:p w14:paraId="038425F5" w14:textId="7C2A6466" w:rsidR="009C08A6" w:rsidRDefault="00C82B7B">
                    <w:r>
                      <w:t>2500 EA</w:t>
                    </w:r>
                    <w:r w:rsidR="00E0033D">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F13E70" wp14:editId="25F52B3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08A6" w:rsidRPr="00AE6D0C" w14:paraId="44E2DE5E" w14:textId="77777777">
                            <w:trPr>
                              <w:trHeight w:val="240"/>
                            </w:trPr>
                            <w:tc>
                              <w:tcPr>
                                <w:tcW w:w="1140" w:type="dxa"/>
                              </w:tcPr>
                              <w:p w14:paraId="3EF7CE52" w14:textId="77777777" w:rsidR="009C08A6" w:rsidRPr="00AE6D0C" w:rsidRDefault="00C82B7B">
                                <w:r w:rsidRPr="00AE6D0C">
                                  <w:t>Datum</w:t>
                                </w:r>
                              </w:p>
                            </w:tc>
                            <w:tc>
                              <w:tcPr>
                                <w:tcW w:w="5918" w:type="dxa"/>
                              </w:tcPr>
                              <w:p w14:paraId="43B2FEB9" w14:textId="488EB5D2" w:rsidR="009C08A6" w:rsidRPr="00AE6D0C" w:rsidRDefault="003C1454">
                                <w:sdt>
                                  <w:sdtPr>
                                    <w:id w:val="804747272"/>
                                    <w:date w:fullDate="2025-09-11T00:00:00Z">
                                      <w:dateFormat w:val="d MMMM yyyy"/>
                                      <w:lid w:val="nl"/>
                                      <w:storeMappedDataAs w:val="dateTime"/>
                                      <w:calendar w:val="gregorian"/>
                                    </w:date>
                                  </w:sdtPr>
                                  <w:sdtEndPr/>
                                  <w:sdtContent>
                                    <w:r w:rsidR="00E0033D">
                                      <w:rPr>
                                        <w:lang w:val="nl"/>
                                      </w:rPr>
                                      <w:t>11 september 2025</w:t>
                                    </w:r>
                                  </w:sdtContent>
                                </w:sdt>
                              </w:p>
                            </w:tc>
                          </w:tr>
                          <w:tr w:rsidR="009C08A6" w14:paraId="473B173B" w14:textId="77777777">
                            <w:trPr>
                              <w:trHeight w:val="240"/>
                            </w:trPr>
                            <w:tc>
                              <w:tcPr>
                                <w:tcW w:w="1140" w:type="dxa"/>
                              </w:tcPr>
                              <w:p w14:paraId="4E7989D9" w14:textId="77777777" w:rsidR="009C08A6" w:rsidRPr="00AE6D0C" w:rsidRDefault="00C82B7B">
                                <w:r w:rsidRPr="00AE6D0C">
                                  <w:t>Betreft</w:t>
                                </w:r>
                              </w:p>
                            </w:tc>
                            <w:tc>
                              <w:tcPr>
                                <w:tcW w:w="5918" w:type="dxa"/>
                              </w:tcPr>
                              <w:p w14:paraId="27AA3189" w14:textId="7EFD7613" w:rsidR="009C08A6" w:rsidRDefault="00DC21C3">
                                <w:r w:rsidRPr="00AE6D0C">
                                  <w:t>Periodieke rapportage forensische zorg</w:t>
                                </w:r>
                                <w:r w:rsidR="00E63FF3" w:rsidRPr="00AE6D0C">
                                  <w:t xml:space="preserve"> (art. 34.3.1.21 Begrotingswet)</w:t>
                                </w:r>
                              </w:p>
                            </w:tc>
                          </w:tr>
                        </w:tbl>
                        <w:p w14:paraId="40F710B2" w14:textId="77777777" w:rsidR="00C82B7B" w:rsidRDefault="00C82B7B"/>
                      </w:txbxContent>
                    </wps:txbx>
                    <wps:bodyPr vert="horz" wrap="square" lIns="0" tIns="0" rIns="0" bIns="0" anchor="t" anchorCtr="0"/>
                  </wps:wsp>
                </a:graphicData>
              </a:graphic>
            </wp:anchor>
          </w:drawing>
        </mc:Choice>
        <mc:Fallback>
          <w:pict>
            <v:shape w14:anchorId="34F13E70" id="1670fa0c-13cb-45ec-92be-ef1f34d237c5" o:spid="_x0000_s1034" type="#_x0000_t202" style="position:absolute;margin-left:79.45pt;margin-top:264.15pt;width:377pt;height:50.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08A6" w:rsidRPr="00AE6D0C" w14:paraId="44E2DE5E" w14:textId="77777777">
                      <w:trPr>
                        <w:trHeight w:val="240"/>
                      </w:trPr>
                      <w:tc>
                        <w:tcPr>
                          <w:tcW w:w="1140" w:type="dxa"/>
                        </w:tcPr>
                        <w:p w14:paraId="3EF7CE52" w14:textId="77777777" w:rsidR="009C08A6" w:rsidRPr="00AE6D0C" w:rsidRDefault="00C82B7B">
                          <w:r w:rsidRPr="00AE6D0C">
                            <w:t>Datum</w:t>
                          </w:r>
                        </w:p>
                      </w:tc>
                      <w:tc>
                        <w:tcPr>
                          <w:tcW w:w="5918" w:type="dxa"/>
                        </w:tcPr>
                        <w:p w14:paraId="43B2FEB9" w14:textId="488EB5D2" w:rsidR="009C08A6" w:rsidRPr="00AE6D0C" w:rsidRDefault="003C1454">
                          <w:sdt>
                            <w:sdtPr>
                              <w:id w:val="804747272"/>
                              <w:date w:fullDate="2025-09-11T00:00:00Z">
                                <w:dateFormat w:val="d MMMM yyyy"/>
                                <w:lid w:val="nl"/>
                                <w:storeMappedDataAs w:val="dateTime"/>
                                <w:calendar w:val="gregorian"/>
                              </w:date>
                            </w:sdtPr>
                            <w:sdtEndPr/>
                            <w:sdtContent>
                              <w:r w:rsidR="00E0033D">
                                <w:rPr>
                                  <w:lang w:val="nl"/>
                                </w:rPr>
                                <w:t>11 september 2025</w:t>
                              </w:r>
                            </w:sdtContent>
                          </w:sdt>
                        </w:p>
                      </w:tc>
                    </w:tr>
                    <w:tr w:rsidR="009C08A6" w14:paraId="473B173B" w14:textId="77777777">
                      <w:trPr>
                        <w:trHeight w:val="240"/>
                      </w:trPr>
                      <w:tc>
                        <w:tcPr>
                          <w:tcW w:w="1140" w:type="dxa"/>
                        </w:tcPr>
                        <w:p w14:paraId="4E7989D9" w14:textId="77777777" w:rsidR="009C08A6" w:rsidRPr="00AE6D0C" w:rsidRDefault="00C82B7B">
                          <w:r w:rsidRPr="00AE6D0C">
                            <w:t>Betreft</w:t>
                          </w:r>
                        </w:p>
                      </w:tc>
                      <w:tc>
                        <w:tcPr>
                          <w:tcW w:w="5918" w:type="dxa"/>
                        </w:tcPr>
                        <w:p w14:paraId="27AA3189" w14:textId="7EFD7613" w:rsidR="009C08A6" w:rsidRDefault="00DC21C3">
                          <w:r w:rsidRPr="00AE6D0C">
                            <w:t>Periodieke rapportage forensische zorg</w:t>
                          </w:r>
                          <w:r w:rsidR="00E63FF3" w:rsidRPr="00AE6D0C">
                            <w:t xml:space="preserve"> (art. 34.3.1.21 Begrotingswet)</w:t>
                          </w:r>
                        </w:p>
                      </w:tc>
                    </w:tr>
                  </w:tbl>
                  <w:p w14:paraId="40F710B2"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988100F" wp14:editId="03DCEDF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514563" w14:textId="77777777" w:rsidR="009C08A6" w:rsidRDefault="00C82B7B">
                          <w:pPr>
                            <w:pStyle w:val="Referentiegegevensbold"/>
                          </w:pPr>
                          <w:r>
                            <w:t>Directoraat-Generaal Straffen en Beschermen</w:t>
                          </w:r>
                        </w:p>
                        <w:p w14:paraId="44DFA4EE" w14:textId="77777777" w:rsidR="009C08A6" w:rsidRDefault="00C82B7B">
                          <w:pPr>
                            <w:pStyle w:val="Referentiegegevens"/>
                          </w:pPr>
                          <w:r>
                            <w:t>Directie Sanctie- en Slachtofferbeleid</w:t>
                          </w:r>
                        </w:p>
                        <w:p w14:paraId="52C7209E" w14:textId="77777777" w:rsidR="009C08A6" w:rsidRDefault="00C82B7B">
                          <w:pPr>
                            <w:pStyle w:val="Referentiegegevens"/>
                          </w:pPr>
                          <w:r>
                            <w:t>For. zorg en verwarden</w:t>
                          </w:r>
                        </w:p>
                        <w:p w14:paraId="3C3B254A" w14:textId="77777777" w:rsidR="009C08A6" w:rsidRDefault="009C08A6">
                          <w:pPr>
                            <w:pStyle w:val="WitregelW1"/>
                          </w:pPr>
                        </w:p>
                        <w:p w14:paraId="44126432" w14:textId="77777777" w:rsidR="009C08A6" w:rsidRDefault="00C82B7B">
                          <w:pPr>
                            <w:pStyle w:val="Referentiegegevens"/>
                          </w:pPr>
                          <w:r>
                            <w:t>Turfmarkt 147</w:t>
                          </w:r>
                        </w:p>
                        <w:p w14:paraId="109AA39D" w14:textId="77777777" w:rsidR="009C08A6" w:rsidRPr="00366695" w:rsidRDefault="00C82B7B">
                          <w:pPr>
                            <w:pStyle w:val="Referentiegegevens"/>
                            <w:rPr>
                              <w:lang w:val="de-DE"/>
                            </w:rPr>
                          </w:pPr>
                          <w:r w:rsidRPr="00366695">
                            <w:rPr>
                              <w:lang w:val="de-DE"/>
                            </w:rPr>
                            <w:t>2511 DP   Den Haag</w:t>
                          </w:r>
                        </w:p>
                        <w:p w14:paraId="17838286" w14:textId="77777777" w:rsidR="009C08A6" w:rsidRPr="00366695" w:rsidRDefault="00C82B7B">
                          <w:pPr>
                            <w:pStyle w:val="Referentiegegevens"/>
                            <w:rPr>
                              <w:lang w:val="de-DE"/>
                            </w:rPr>
                          </w:pPr>
                          <w:r w:rsidRPr="00366695">
                            <w:rPr>
                              <w:lang w:val="de-DE"/>
                            </w:rPr>
                            <w:t>Postbus 20301</w:t>
                          </w:r>
                        </w:p>
                        <w:p w14:paraId="2B3302E8" w14:textId="77777777" w:rsidR="009C08A6" w:rsidRPr="00366695" w:rsidRDefault="00C82B7B">
                          <w:pPr>
                            <w:pStyle w:val="Referentiegegevens"/>
                            <w:rPr>
                              <w:lang w:val="de-DE"/>
                            </w:rPr>
                          </w:pPr>
                          <w:r w:rsidRPr="00366695">
                            <w:rPr>
                              <w:lang w:val="de-DE"/>
                            </w:rPr>
                            <w:t>2500 EH   Den Haag</w:t>
                          </w:r>
                        </w:p>
                        <w:p w14:paraId="5F0348E9" w14:textId="77777777" w:rsidR="009C08A6" w:rsidRPr="00366695" w:rsidRDefault="00C82B7B">
                          <w:pPr>
                            <w:pStyle w:val="Referentiegegevens"/>
                            <w:rPr>
                              <w:lang w:val="de-DE"/>
                            </w:rPr>
                          </w:pPr>
                          <w:r w:rsidRPr="00366695">
                            <w:rPr>
                              <w:lang w:val="de-DE"/>
                            </w:rPr>
                            <w:t>www.rijksoverheid.nl/jenv</w:t>
                          </w:r>
                        </w:p>
                        <w:p w14:paraId="1C10E930" w14:textId="77777777" w:rsidR="009C08A6" w:rsidRPr="00366695" w:rsidRDefault="009C08A6">
                          <w:pPr>
                            <w:pStyle w:val="WitregelW1"/>
                            <w:rPr>
                              <w:lang w:val="de-DE"/>
                            </w:rPr>
                          </w:pPr>
                        </w:p>
                        <w:p w14:paraId="139C1EF7" w14:textId="77777777" w:rsidR="009C08A6" w:rsidRPr="00FA564C" w:rsidRDefault="009C08A6">
                          <w:pPr>
                            <w:pStyle w:val="WitregelW2"/>
                            <w:rPr>
                              <w:lang w:val="de-DE"/>
                            </w:rPr>
                          </w:pPr>
                        </w:p>
                        <w:p w14:paraId="675C9F4D" w14:textId="77777777" w:rsidR="009C08A6" w:rsidRDefault="00C82B7B">
                          <w:pPr>
                            <w:pStyle w:val="Referentiegegevensbold"/>
                          </w:pPr>
                          <w:r>
                            <w:t>Onze referentie</w:t>
                          </w:r>
                        </w:p>
                        <w:p w14:paraId="6758484D" w14:textId="77777777" w:rsidR="009C08A6" w:rsidRDefault="00C82B7B">
                          <w:pPr>
                            <w:pStyle w:val="Referentiegegevens"/>
                          </w:pPr>
                          <w:r>
                            <w:t>6638379</w:t>
                          </w:r>
                        </w:p>
                        <w:p w14:paraId="7CAF6916" w14:textId="77777777" w:rsidR="00366695" w:rsidRDefault="00366695" w:rsidP="00366695"/>
                        <w:p w14:paraId="67FD5146" w14:textId="3A129951" w:rsidR="00366695" w:rsidRDefault="00366695" w:rsidP="00366695">
                          <w:pPr>
                            <w:pStyle w:val="Referentiegegevensbold"/>
                          </w:pPr>
                          <w:r>
                            <w:t>Bijlagen</w:t>
                          </w:r>
                        </w:p>
                        <w:p w14:paraId="2305EF5A" w14:textId="2772B104" w:rsidR="00366695" w:rsidRPr="00402EC0" w:rsidRDefault="00DC21C3" w:rsidP="00366695">
                          <w:pPr>
                            <w:rPr>
                              <w:sz w:val="13"/>
                              <w:szCs w:val="13"/>
                            </w:rPr>
                          </w:pPr>
                          <w:r>
                            <w:rPr>
                              <w:sz w:val="13"/>
                              <w:szCs w:val="13"/>
                            </w:rPr>
                            <w:t>1</w:t>
                          </w:r>
                        </w:p>
                        <w:p w14:paraId="17726954" w14:textId="4D87A622" w:rsidR="00366695" w:rsidRPr="00366695" w:rsidRDefault="00366695" w:rsidP="00366695"/>
                      </w:txbxContent>
                    </wps:txbx>
                    <wps:bodyPr vert="horz" wrap="square" lIns="0" tIns="0" rIns="0" bIns="0" anchor="t" anchorCtr="0"/>
                  </wps:wsp>
                </a:graphicData>
              </a:graphic>
            </wp:anchor>
          </w:drawing>
        </mc:Choice>
        <mc:Fallback>
          <w:pict>
            <v:shape w14:anchorId="4988100F" id="aa29ef58-fa5a-4ef1-bc47-43f659f7c670" o:spid="_x0000_s1035"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C514563" w14:textId="77777777" w:rsidR="009C08A6" w:rsidRDefault="00C82B7B">
                    <w:pPr>
                      <w:pStyle w:val="Referentiegegevensbold"/>
                    </w:pPr>
                    <w:r>
                      <w:t>Directoraat-Generaal Straffen en Beschermen</w:t>
                    </w:r>
                  </w:p>
                  <w:p w14:paraId="44DFA4EE" w14:textId="77777777" w:rsidR="009C08A6" w:rsidRDefault="00C82B7B">
                    <w:pPr>
                      <w:pStyle w:val="Referentiegegevens"/>
                    </w:pPr>
                    <w:r>
                      <w:t>Directie Sanctie- en Slachtofferbeleid</w:t>
                    </w:r>
                  </w:p>
                  <w:p w14:paraId="52C7209E" w14:textId="77777777" w:rsidR="009C08A6" w:rsidRDefault="00C82B7B">
                    <w:pPr>
                      <w:pStyle w:val="Referentiegegevens"/>
                    </w:pPr>
                    <w:r>
                      <w:t>For. zorg en verwarden</w:t>
                    </w:r>
                  </w:p>
                  <w:p w14:paraId="3C3B254A" w14:textId="77777777" w:rsidR="009C08A6" w:rsidRDefault="009C08A6">
                    <w:pPr>
                      <w:pStyle w:val="WitregelW1"/>
                    </w:pPr>
                  </w:p>
                  <w:p w14:paraId="44126432" w14:textId="77777777" w:rsidR="009C08A6" w:rsidRDefault="00C82B7B">
                    <w:pPr>
                      <w:pStyle w:val="Referentiegegevens"/>
                    </w:pPr>
                    <w:r>
                      <w:t>Turfmarkt 147</w:t>
                    </w:r>
                  </w:p>
                  <w:p w14:paraId="109AA39D" w14:textId="77777777" w:rsidR="009C08A6" w:rsidRPr="00366695" w:rsidRDefault="00C82B7B">
                    <w:pPr>
                      <w:pStyle w:val="Referentiegegevens"/>
                      <w:rPr>
                        <w:lang w:val="de-DE"/>
                      </w:rPr>
                    </w:pPr>
                    <w:r w:rsidRPr="00366695">
                      <w:rPr>
                        <w:lang w:val="de-DE"/>
                      </w:rPr>
                      <w:t>2511 DP   Den Haag</w:t>
                    </w:r>
                  </w:p>
                  <w:p w14:paraId="17838286" w14:textId="77777777" w:rsidR="009C08A6" w:rsidRPr="00366695" w:rsidRDefault="00C82B7B">
                    <w:pPr>
                      <w:pStyle w:val="Referentiegegevens"/>
                      <w:rPr>
                        <w:lang w:val="de-DE"/>
                      </w:rPr>
                    </w:pPr>
                    <w:r w:rsidRPr="00366695">
                      <w:rPr>
                        <w:lang w:val="de-DE"/>
                      </w:rPr>
                      <w:t>Postbus 20301</w:t>
                    </w:r>
                  </w:p>
                  <w:p w14:paraId="2B3302E8" w14:textId="77777777" w:rsidR="009C08A6" w:rsidRPr="00366695" w:rsidRDefault="00C82B7B">
                    <w:pPr>
                      <w:pStyle w:val="Referentiegegevens"/>
                      <w:rPr>
                        <w:lang w:val="de-DE"/>
                      </w:rPr>
                    </w:pPr>
                    <w:r w:rsidRPr="00366695">
                      <w:rPr>
                        <w:lang w:val="de-DE"/>
                      </w:rPr>
                      <w:t>2500 EH   Den Haag</w:t>
                    </w:r>
                  </w:p>
                  <w:p w14:paraId="5F0348E9" w14:textId="77777777" w:rsidR="009C08A6" w:rsidRPr="00366695" w:rsidRDefault="00C82B7B">
                    <w:pPr>
                      <w:pStyle w:val="Referentiegegevens"/>
                      <w:rPr>
                        <w:lang w:val="de-DE"/>
                      </w:rPr>
                    </w:pPr>
                    <w:r w:rsidRPr="00366695">
                      <w:rPr>
                        <w:lang w:val="de-DE"/>
                      </w:rPr>
                      <w:t>www.rijksoverheid.nl/jenv</w:t>
                    </w:r>
                  </w:p>
                  <w:p w14:paraId="1C10E930" w14:textId="77777777" w:rsidR="009C08A6" w:rsidRPr="00366695" w:rsidRDefault="009C08A6">
                    <w:pPr>
                      <w:pStyle w:val="WitregelW1"/>
                      <w:rPr>
                        <w:lang w:val="de-DE"/>
                      </w:rPr>
                    </w:pPr>
                  </w:p>
                  <w:p w14:paraId="139C1EF7" w14:textId="77777777" w:rsidR="009C08A6" w:rsidRPr="00FA564C" w:rsidRDefault="009C08A6">
                    <w:pPr>
                      <w:pStyle w:val="WitregelW2"/>
                      <w:rPr>
                        <w:lang w:val="de-DE"/>
                      </w:rPr>
                    </w:pPr>
                  </w:p>
                  <w:p w14:paraId="675C9F4D" w14:textId="77777777" w:rsidR="009C08A6" w:rsidRDefault="00C82B7B">
                    <w:pPr>
                      <w:pStyle w:val="Referentiegegevensbold"/>
                    </w:pPr>
                    <w:r>
                      <w:t>Onze referentie</w:t>
                    </w:r>
                  </w:p>
                  <w:p w14:paraId="6758484D" w14:textId="77777777" w:rsidR="009C08A6" w:rsidRDefault="00C82B7B">
                    <w:pPr>
                      <w:pStyle w:val="Referentiegegevens"/>
                    </w:pPr>
                    <w:r>
                      <w:t>6638379</w:t>
                    </w:r>
                  </w:p>
                  <w:p w14:paraId="7CAF6916" w14:textId="77777777" w:rsidR="00366695" w:rsidRDefault="00366695" w:rsidP="00366695"/>
                  <w:p w14:paraId="67FD5146" w14:textId="3A129951" w:rsidR="00366695" w:rsidRDefault="00366695" w:rsidP="00366695">
                    <w:pPr>
                      <w:pStyle w:val="Referentiegegevensbold"/>
                    </w:pPr>
                    <w:r>
                      <w:t>Bijlagen</w:t>
                    </w:r>
                  </w:p>
                  <w:p w14:paraId="2305EF5A" w14:textId="2772B104" w:rsidR="00366695" w:rsidRPr="00402EC0" w:rsidRDefault="00DC21C3" w:rsidP="00366695">
                    <w:pPr>
                      <w:rPr>
                        <w:sz w:val="13"/>
                        <w:szCs w:val="13"/>
                      </w:rPr>
                    </w:pPr>
                    <w:r>
                      <w:rPr>
                        <w:sz w:val="13"/>
                        <w:szCs w:val="13"/>
                      </w:rPr>
                      <w:t>1</w:t>
                    </w:r>
                  </w:p>
                  <w:p w14:paraId="17726954" w14:textId="4D87A622" w:rsidR="00366695" w:rsidRPr="00366695" w:rsidRDefault="00366695" w:rsidP="0036669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A0C589" wp14:editId="2BC6FF3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D57B51" w14:textId="4B7EFC50" w:rsidR="009C08A6" w:rsidRDefault="00C82B7B">
                          <w:pPr>
                            <w:pStyle w:val="Referentiegegevens"/>
                          </w:pPr>
                          <w:r>
                            <w:t xml:space="preserve">Pagina </w:t>
                          </w:r>
                          <w:r>
                            <w:fldChar w:fldCharType="begin"/>
                          </w:r>
                          <w:r>
                            <w:instrText>PAGE</w:instrText>
                          </w:r>
                          <w:r>
                            <w:fldChar w:fldCharType="separate"/>
                          </w:r>
                          <w:r w:rsidR="00A06019">
                            <w:rPr>
                              <w:noProof/>
                            </w:rPr>
                            <w:t>1</w:t>
                          </w:r>
                          <w:r>
                            <w:fldChar w:fldCharType="end"/>
                          </w:r>
                          <w:r>
                            <w:t xml:space="preserve"> van </w:t>
                          </w:r>
                          <w:r>
                            <w:fldChar w:fldCharType="begin"/>
                          </w:r>
                          <w:r>
                            <w:instrText>NUMPAGES</w:instrText>
                          </w:r>
                          <w:r>
                            <w:fldChar w:fldCharType="separate"/>
                          </w:r>
                          <w:r w:rsidR="00A06019">
                            <w:rPr>
                              <w:noProof/>
                            </w:rPr>
                            <w:t>3</w:t>
                          </w:r>
                          <w:r>
                            <w:fldChar w:fldCharType="end"/>
                          </w:r>
                        </w:p>
                      </w:txbxContent>
                    </wps:txbx>
                    <wps:bodyPr vert="horz" wrap="square" lIns="0" tIns="0" rIns="0" bIns="0" anchor="t" anchorCtr="0"/>
                  </wps:wsp>
                </a:graphicData>
              </a:graphic>
            </wp:anchor>
          </w:drawing>
        </mc:Choice>
        <mc:Fallback>
          <w:pict>
            <v:shape w14:anchorId="4DA0C589" id="fc795519-edb4-40fa-b772-922592680a29" o:spid="_x0000_s1036"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0D57B51" w14:textId="4B7EFC50" w:rsidR="009C08A6" w:rsidRDefault="00C82B7B">
                    <w:pPr>
                      <w:pStyle w:val="Referentiegegevens"/>
                    </w:pPr>
                    <w:r>
                      <w:t xml:space="preserve">Pagina </w:t>
                    </w:r>
                    <w:r>
                      <w:fldChar w:fldCharType="begin"/>
                    </w:r>
                    <w:r>
                      <w:instrText>PAGE</w:instrText>
                    </w:r>
                    <w:r>
                      <w:fldChar w:fldCharType="separate"/>
                    </w:r>
                    <w:r w:rsidR="00A06019">
                      <w:rPr>
                        <w:noProof/>
                      </w:rPr>
                      <w:t>1</w:t>
                    </w:r>
                    <w:r>
                      <w:fldChar w:fldCharType="end"/>
                    </w:r>
                    <w:r>
                      <w:t xml:space="preserve"> van </w:t>
                    </w:r>
                    <w:r>
                      <w:fldChar w:fldCharType="begin"/>
                    </w:r>
                    <w:r>
                      <w:instrText>NUMPAGES</w:instrText>
                    </w:r>
                    <w:r>
                      <w:fldChar w:fldCharType="separate"/>
                    </w:r>
                    <w:r w:rsidR="00A06019">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C39069F" wp14:editId="02BFB2F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C1BC73" w14:textId="77777777" w:rsidR="00C82B7B" w:rsidRDefault="00C82B7B"/>
                      </w:txbxContent>
                    </wps:txbx>
                    <wps:bodyPr vert="horz" wrap="square" lIns="0" tIns="0" rIns="0" bIns="0" anchor="t" anchorCtr="0"/>
                  </wps:wsp>
                </a:graphicData>
              </a:graphic>
            </wp:anchor>
          </w:drawing>
        </mc:Choice>
        <mc:Fallback>
          <w:pict>
            <v:shape w14:anchorId="0C39069F" id="ea113d41-b39a-4e3b-9a6a-dce66e72abe4" o:spid="_x0000_s1037" type="#_x0000_t202" style="position:absolute;margin-left:78.6pt;margin-top:802.9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BC1BC73" w14:textId="77777777" w:rsidR="00C82B7B" w:rsidRDefault="00C82B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6D46DD"/>
    <w:multiLevelType w:val="multilevel"/>
    <w:tmpl w:val="DC6D4A6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22D004"/>
    <w:multiLevelType w:val="multilevel"/>
    <w:tmpl w:val="81F6F9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9D86069"/>
    <w:multiLevelType w:val="multilevel"/>
    <w:tmpl w:val="E04992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226C87"/>
    <w:multiLevelType w:val="hybridMultilevel"/>
    <w:tmpl w:val="C846D0F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1A643BF"/>
    <w:multiLevelType w:val="hybridMultilevel"/>
    <w:tmpl w:val="DD0C989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4BE17"/>
    <w:multiLevelType w:val="multilevel"/>
    <w:tmpl w:val="8C85A5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46517A6"/>
    <w:multiLevelType w:val="hybridMultilevel"/>
    <w:tmpl w:val="F0B29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E65C2A"/>
    <w:multiLevelType w:val="hybridMultilevel"/>
    <w:tmpl w:val="62B2A6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FA2409"/>
    <w:multiLevelType w:val="hybridMultilevel"/>
    <w:tmpl w:val="4B9055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E4A3DCE"/>
    <w:multiLevelType w:val="hybridMultilevel"/>
    <w:tmpl w:val="729EA9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E33A5B"/>
    <w:multiLevelType w:val="hybridMultilevel"/>
    <w:tmpl w:val="736A1EA4"/>
    <w:lvl w:ilvl="0" w:tplc="1EF8733E">
      <w:start w:val="1"/>
      <w:numFmt w:val="decimal"/>
      <w:lvlText w:val="%1."/>
      <w:lvlJc w:val="left"/>
      <w:pPr>
        <w:ind w:left="720" w:hanging="360"/>
      </w:pPr>
      <w:rPr>
        <w:rFonts w:hint="default"/>
        <w:b/>
      </w:rPr>
    </w:lvl>
    <w:lvl w:ilvl="1" w:tplc="04130001">
      <w:start w:val="1"/>
      <w:numFmt w:val="bullet"/>
      <w:lvlText w:val=""/>
      <w:lvlJc w:val="left"/>
      <w:pPr>
        <w:ind w:left="1070" w:hanging="360"/>
      </w:pPr>
      <w:rPr>
        <w:rFonts w:ascii="Symbol" w:hAnsi="Symbol" w:hint="default"/>
      </w:rPr>
    </w:lvl>
    <w:lvl w:ilvl="2" w:tplc="0413001B">
      <w:start w:val="1"/>
      <w:numFmt w:val="lowerRoman"/>
      <w:lvlText w:val="%3."/>
      <w:lvlJc w:val="right"/>
      <w:pPr>
        <w:ind w:left="1315"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0002DC"/>
    <w:multiLevelType w:val="hybridMultilevel"/>
    <w:tmpl w:val="42FC2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E13A19"/>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727373C"/>
    <w:multiLevelType w:val="hybridMultilevel"/>
    <w:tmpl w:val="812E4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42138D"/>
    <w:multiLevelType w:val="hybridMultilevel"/>
    <w:tmpl w:val="71F8A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D030AB"/>
    <w:multiLevelType w:val="hybridMultilevel"/>
    <w:tmpl w:val="A5CE504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E2C0570"/>
    <w:multiLevelType w:val="hybridMultilevel"/>
    <w:tmpl w:val="E99A6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D07360"/>
    <w:multiLevelType w:val="hybridMultilevel"/>
    <w:tmpl w:val="1E6C70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ED2411"/>
    <w:multiLevelType w:val="hybridMultilevel"/>
    <w:tmpl w:val="72CC59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CC177E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D17437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9A0AE0"/>
    <w:multiLevelType w:val="hybridMultilevel"/>
    <w:tmpl w:val="C63095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3B15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A71B54"/>
    <w:multiLevelType w:val="hybridMultilevel"/>
    <w:tmpl w:val="6728D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CADC76"/>
    <w:multiLevelType w:val="multilevel"/>
    <w:tmpl w:val="8ABF37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5BDC49D1"/>
    <w:multiLevelType w:val="hybridMultilevel"/>
    <w:tmpl w:val="735A9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A320D1"/>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8E305A"/>
    <w:multiLevelType w:val="multilevel"/>
    <w:tmpl w:val="0AE09F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F434FF6"/>
    <w:multiLevelType w:val="hybridMultilevel"/>
    <w:tmpl w:val="CA7ED7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9816BF"/>
    <w:multiLevelType w:val="hybridMultilevel"/>
    <w:tmpl w:val="A524CDC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0" w15:restartNumberingAfterBreak="0">
    <w:nsid w:val="652465CA"/>
    <w:multiLevelType w:val="hybridMultilevel"/>
    <w:tmpl w:val="86CEF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6404D0"/>
    <w:multiLevelType w:val="hybridMultilevel"/>
    <w:tmpl w:val="FDEE170E"/>
    <w:lvl w:ilvl="0" w:tplc="F5EABBB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E70F54"/>
    <w:multiLevelType w:val="multilevel"/>
    <w:tmpl w:val="642C592C"/>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E22EE2"/>
    <w:multiLevelType w:val="multilevel"/>
    <w:tmpl w:val="FED6F9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7874CFE"/>
    <w:multiLevelType w:val="hybridMultilevel"/>
    <w:tmpl w:val="4BB4A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4528928">
    <w:abstractNumId w:val="24"/>
  </w:num>
  <w:num w:numId="2" w16cid:durableId="1058549135">
    <w:abstractNumId w:val="0"/>
  </w:num>
  <w:num w:numId="3" w16cid:durableId="742996184">
    <w:abstractNumId w:val="2"/>
  </w:num>
  <w:num w:numId="4" w16cid:durableId="116611596">
    <w:abstractNumId w:val="1"/>
  </w:num>
  <w:num w:numId="5" w16cid:durableId="680856775">
    <w:abstractNumId w:val="5"/>
  </w:num>
  <w:num w:numId="6" w16cid:durableId="1958829013">
    <w:abstractNumId w:val="33"/>
  </w:num>
  <w:num w:numId="7" w16cid:durableId="2120833739">
    <w:abstractNumId w:val="31"/>
  </w:num>
  <w:num w:numId="8" w16cid:durableId="824470220">
    <w:abstractNumId w:val="25"/>
  </w:num>
  <w:num w:numId="9" w16cid:durableId="1610696334">
    <w:abstractNumId w:val="16"/>
  </w:num>
  <w:num w:numId="10" w16cid:durableId="1437603879">
    <w:abstractNumId w:val="26"/>
  </w:num>
  <w:num w:numId="11" w16cid:durableId="1017391875">
    <w:abstractNumId w:val="29"/>
  </w:num>
  <w:num w:numId="12" w16cid:durableId="725029799">
    <w:abstractNumId w:val="27"/>
  </w:num>
  <w:num w:numId="13" w16cid:durableId="721635763">
    <w:abstractNumId w:val="17"/>
  </w:num>
  <w:num w:numId="14" w16cid:durableId="2008551829">
    <w:abstractNumId w:val="13"/>
  </w:num>
  <w:num w:numId="15" w16cid:durableId="675229032">
    <w:abstractNumId w:val="19"/>
  </w:num>
  <w:num w:numId="16" w16cid:durableId="1403214844">
    <w:abstractNumId w:val="11"/>
  </w:num>
  <w:num w:numId="17" w16cid:durableId="957875189">
    <w:abstractNumId w:val="23"/>
  </w:num>
  <w:num w:numId="18" w16cid:durableId="399526305">
    <w:abstractNumId w:val="21"/>
  </w:num>
  <w:num w:numId="19" w16cid:durableId="972979322">
    <w:abstractNumId w:val="4"/>
  </w:num>
  <w:num w:numId="20" w16cid:durableId="494684787">
    <w:abstractNumId w:val="30"/>
  </w:num>
  <w:num w:numId="21" w16cid:durableId="64108433">
    <w:abstractNumId w:val="28"/>
  </w:num>
  <w:num w:numId="22" w16cid:durableId="1515725763">
    <w:abstractNumId w:val="34"/>
  </w:num>
  <w:num w:numId="23" w16cid:durableId="1859342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644847">
    <w:abstractNumId w:val="32"/>
  </w:num>
  <w:num w:numId="25" w16cid:durableId="526797782">
    <w:abstractNumId w:val="12"/>
  </w:num>
  <w:num w:numId="26" w16cid:durableId="1020200533">
    <w:abstractNumId w:val="10"/>
  </w:num>
  <w:num w:numId="27" w16cid:durableId="1666393700">
    <w:abstractNumId w:val="26"/>
  </w:num>
  <w:num w:numId="28" w16cid:durableId="186529985">
    <w:abstractNumId w:val="29"/>
  </w:num>
  <w:num w:numId="29" w16cid:durableId="753630383">
    <w:abstractNumId w:val="6"/>
  </w:num>
  <w:num w:numId="30" w16cid:durableId="2055956204">
    <w:abstractNumId w:val="14"/>
  </w:num>
  <w:num w:numId="31" w16cid:durableId="1612737759">
    <w:abstractNumId w:val="5"/>
  </w:num>
  <w:num w:numId="32" w16cid:durableId="739988778">
    <w:abstractNumId w:val="20"/>
  </w:num>
  <w:num w:numId="33" w16cid:durableId="811144703">
    <w:abstractNumId w:val="5"/>
  </w:num>
  <w:num w:numId="34" w16cid:durableId="208733773">
    <w:abstractNumId w:val="8"/>
  </w:num>
  <w:num w:numId="35" w16cid:durableId="243074663">
    <w:abstractNumId w:val="22"/>
  </w:num>
  <w:num w:numId="36" w16cid:durableId="1314331880">
    <w:abstractNumId w:val="18"/>
  </w:num>
  <w:num w:numId="37" w16cid:durableId="782383848">
    <w:abstractNumId w:val="3"/>
  </w:num>
  <w:num w:numId="38" w16cid:durableId="757560722">
    <w:abstractNumId w:val="15"/>
  </w:num>
  <w:num w:numId="39" w16cid:durableId="234821226">
    <w:abstractNumId w:val="9"/>
  </w:num>
  <w:num w:numId="40" w16cid:durableId="57450989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95"/>
    <w:rsid w:val="0000091C"/>
    <w:rsid w:val="00001FEB"/>
    <w:rsid w:val="0000219A"/>
    <w:rsid w:val="00002EBB"/>
    <w:rsid w:val="000060A9"/>
    <w:rsid w:val="00006FA1"/>
    <w:rsid w:val="00007300"/>
    <w:rsid w:val="0000766E"/>
    <w:rsid w:val="00007AA1"/>
    <w:rsid w:val="000110DD"/>
    <w:rsid w:val="000205D9"/>
    <w:rsid w:val="00022D2B"/>
    <w:rsid w:val="000244F9"/>
    <w:rsid w:val="00026F8F"/>
    <w:rsid w:val="00030820"/>
    <w:rsid w:val="0003248C"/>
    <w:rsid w:val="00032E22"/>
    <w:rsid w:val="0003469C"/>
    <w:rsid w:val="00035991"/>
    <w:rsid w:val="0004006F"/>
    <w:rsid w:val="00043DB3"/>
    <w:rsid w:val="00044985"/>
    <w:rsid w:val="000451E4"/>
    <w:rsid w:val="00045395"/>
    <w:rsid w:val="000558FD"/>
    <w:rsid w:val="00060A83"/>
    <w:rsid w:val="0006437F"/>
    <w:rsid w:val="000645C5"/>
    <w:rsid w:val="00066D5A"/>
    <w:rsid w:val="00070B28"/>
    <w:rsid w:val="00072C80"/>
    <w:rsid w:val="00072CB3"/>
    <w:rsid w:val="000742C8"/>
    <w:rsid w:val="00084D76"/>
    <w:rsid w:val="00085DC7"/>
    <w:rsid w:val="00085DD0"/>
    <w:rsid w:val="0009038A"/>
    <w:rsid w:val="00090F21"/>
    <w:rsid w:val="00091B95"/>
    <w:rsid w:val="00093B94"/>
    <w:rsid w:val="00097376"/>
    <w:rsid w:val="000A1161"/>
    <w:rsid w:val="000A6305"/>
    <w:rsid w:val="000B055A"/>
    <w:rsid w:val="000B196A"/>
    <w:rsid w:val="000B1C38"/>
    <w:rsid w:val="000C3C24"/>
    <w:rsid w:val="000C4127"/>
    <w:rsid w:val="000C4746"/>
    <w:rsid w:val="000C6C91"/>
    <w:rsid w:val="000D0CE0"/>
    <w:rsid w:val="000D211A"/>
    <w:rsid w:val="000D3C23"/>
    <w:rsid w:val="000E0EAE"/>
    <w:rsid w:val="000E2CA5"/>
    <w:rsid w:val="000E3133"/>
    <w:rsid w:val="000E508A"/>
    <w:rsid w:val="000E70E4"/>
    <w:rsid w:val="000F1AC1"/>
    <w:rsid w:val="000F271C"/>
    <w:rsid w:val="000F63AF"/>
    <w:rsid w:val="000F75C1"/>
    <w:rsid w:val="000F7F9A"/>
    <w:rsid w:val="00100244"/>
    <w:rsid w:val="00101887"/>
    <w:rsid w:val="00101DDB"/>
    <w:rsid w:val="00101F85"/>
    <w:rsid w:val="001036F8"/>
    <w:rsid w:val="00105588"/>
    <w:rsid w:val="001124EF"/>
    <w:rsid w:val="00112D07"/>
    <w:rsid w:val="00117CCE"/>
    <w:rsid w:val="001206A2"/>
    <w:rsid w:val="001208A3"/>
    <w:rsid w:val="00120C1E"/>
    <w:rsid w:val="00121202"/>
    <w:rsid w:val="0012473D"/>
    <w:rsid w:val="00124BAC"/>
    <w:rsid w:val="00127E67"/>
    <w:rsid w:val="001313A3"/>
    <w:rsid w:val="00131684"/>
    <w:rsid w:val="00131EF7"/>
    <w:rsid w:val="0013394D"/>
    <w:rsid w:val="00133EF4"/>
    <w:rsid w:val="0013608A"/>
    <w:rsid w:val="00136E19"/>
    <w:rsid w:val="00141B3E"/>
    <w:rsid w:val="001422EE"/>
    <w:rsid w:val="00142EB9"/>
    <w:rsid w:val="00143683"/>
    <w:rsid w:val="0014677C"/>
    <w:rsid w:val="0015241A"/>
    <w:rsid w:val="00152BE6"/>
    <w:rsid w:val="001533C8"/>
    <w:rsid w:val="001569AE"/>
    <w:rsid w:val="00160FE2"/>
    <w:rsid w:val="00165ED2"/>
    <w:rsid w:val="00170887"/>
    <w:rsid w:val="00171216"/>
    <w:rsid w:val="00172EF4"/>
    <w:rsid w:val="00175846"/>
    <w:rsid w:val="00176737"/>
    <w:rsid w:val="001801CE"/>
    <w:rsid w:val="00180B91"/>
    <w:rsid w:val="00182A62"/>
    <w:rsid w:val="00183321"/>
    <w:rsid w:val="001850B2"/>
    <w:rsid w:val="00185195"/>
    <w:rsid w:val="00191DDD"/>
    <w:rsid w:val="001954B0"/>
    <w:rsid w:val="00197885"/>
    <w:rsid w:val="001A060E"/>
    <w:rsid w:val="001A6BFF"/>
    <w:rsid w:val="001B1FC4"/>
    <w:rsid w:val="001B743D"/>
    <w:rsid w:val="001B7F19"/>
    <w:rsid w:val="001C0904"/>
    <w:rsid w:val="001C2770"/>
    <w:rsid w:val="001C3B3D"/>
    <w:rsid w:val="001C67CB"/>
    <w:rsid w:val="001C75E1"/>
    <w:rsid w:val="001D1ED3"/>
    <w:rsid w:val="001D25AA"/>
    <w:rsid w:val="001D4B41"/>
    <w:rsid w:val="001D5BFE"/>
    <w:rsid w:val="001D5CED"/>
    <w:rsid w:val="001E00BD"/>
    <w:rsid w:val="001E141A"/>
    <w:rsid w:val="001E2636"/>
    <w:rsid w:val="001E2797"/>
    <w:rsid w:val="001E44D5"/>
    <w:rsid w:val="001E6344"/>
    <w:rsid w:val="001E6C64"/>
    <w:rsid w:val="001F0395"/>
    <w:rsid w:val="001F1D3E"/>
    <w:rsid w:val="001F3128"/>
    <w:rsid w:val="001F5FAE"/>
    <w:rsid w:val="001F669F"/>
    <w:rsid w:val="00205F58"/>
    <w:rsid w:val="00206731"/>
    <w:rsid w:val="0021111B"/>
    <w:rsid w:val="002128C2"/>
    <w:rsid w:val="00213A4B"/>
    <w:rsid w:val="002154DC"/>
    <w:rsid w:val="002209D9"/>
    <w:rsid w:val="0022153A"/>
    <w:rsid w:val="002302E3"/>
    <w:rsid w:val="0023443C"/>
    <w:rsid w:val="00240AB0"/>
    <w:rsid w:val="002455EE"/>
    <w:rsid w:val="002507C7"/>
    <w:rsid w:val="00251826"/>
    <w:rsid w:val="00256270"/>
    <w:rsid w:val="00257C31"/>
    <w:rsid w:val="00257E6B"/>
    <w:rsid w:val="00264E4D"/>
    <w:rsid w:val="00267B42"/>
    <w:rsid w:val="00270D6A"/>
    <w:rsid w:val="00273D02"/>
    <w:rsid w:val="00276119"/>
    <w:rsid w:val="00277483"/>
    <w:rsid w:val="0028734B"/>
    <w:rsid w:val="00287D0C"/>
    <w:rsid w:val="002901A6"/>
    <w:rsid w:val="00291427"/>
    <w:rsid w:val="00291AEE"/>
    <w:rsid w:val="00294ED3"/>
    <w:rsid w:val="002A38CF"/>
    <w:rsid w:val="002A3C42"/>
    <w:rsid w:val="002A7C75"/>
    <w:rsid w:val="002A7DFC"/>
    <w:rsid w:val="002B2538"/>
    <w:rsid w:val="002C10FA"/>
    <w:rsid w:val="002C45E0"/>
    <w:rsid w:val="002C583C"/>
    <w:rsid w:val="002C5ACB"/>
    <w:rsid w:val="002C67D8"/>
    <w:rsid w:val="002D4BA1"/>
    <w:rsid w:val="002D6C43"/>
    <w:rsid w:val="002D7485"/>
    <w:rsid w:val="002D75D0"/>
    <w:rsid w:val="002E2830"/>
    <w:rsid w:val="002E43AE"/>
    <w:rsid w:val="002E622E"/>
    <w:rsid w:val="002F12B1"/>
    <w:rsid w:val="002F208D"/>
    <w:rsid w:val="002F4DD8"/>
    <w:rsid w:val="002F72B9"/>
    <w:rsid w:val="00303388"/>
    <w:rsid w:val="0030691D"/>
    <w:rsid w:val="00333B6C"/>
    <w:rsid w:val="003365D0"/>
    <w:rsid w:val="00337A7E"/>
    <w:rsid w:val="00342DBB"/>
    <w:rsid w:val="00343CE6"/>
    <w:rsid w:val="00344080"/>
    <w:rsid w:val="003440C0"/>
    <w:rsid w:val="00347466"/>
    <w:rsid w:val="00347AE0"/>
    <w:rsid w:val="00350416"/>
    <w:rsid w:val="003540CC"/>
    <w:rsid w:val="00354D20"/>
    <w:rsid w:val="0035574D"/>
    <w:rsid w:val="00355E6C"/>
    <w:rsid w:val="00357A2F"/>
    <w:rsid w:val="00363FBA"/>
    <w:rsid w:val="0036554A"/>
    <w:rsid w:val="00366695"/>
    <w:rsid w:val="00367DF2"/>
    <w:rsid w:val="00372529"/>
    <w:rsid w:val="003737BE"/>
    <w:rsid w:val="003764C0"/>
    <w:rsid w:val="0038150D"/>
    <w:rsid w:val="003815F7"/>
    <w:rsid w:val="003A0C6B"/>
    <w:rsid w:val="003A1F8D"/>
    <w:rsid w:val="003B4FA6"/>
    <w:rsid w:val="003B534C"/>
    <w:rsid w:val="003C04B9"/>
    <w:rsid w:val="003C1454"/>
    <w:rsid w:val="003D0058"/>
    <w:rsid w:val="003D4438"/>
    <w:rsid w:val="003D7157"/>
    <w:rsid w:val="003E0AD6"/>
    <w:rsid w:val="003E4E8E"/>
    <w:rsid w:val="003E5C45"/>
    <w:rsid w:val="003E5E90"/>
    <w:rsid w:val="003E6569"/>
    <w:rsid w:val="003E683C"/>
    <w:rsid w:val="003E78C0"/>
    <w:rsid w:val="003F12CB"/>
    <w:rsid w:val="003F377E"/>
    <w:rsid w:val="00400BC3"/>
    <w:rsid w:val="00402EC0"/>
    <w:rsid w:val="00403826"/>
    <w:rsid w:val="0040516F"/>
    <w:rsid w:val="00407C16"/>
    <w:rsid w:val="00413E73"/>
    <w:rsid w:val="00415D18"/>
    <w:rsid w:val="00416DF1"/>
    <w:rsid w:val="00417264"/>
    <w:rsid w:val="00417587"/>
    <w:rsid w:val="00424226"/>
    <w:rsid w:val="00431EC2"/>
    <w:rsid w:val="00441DC5"/>
    <w:rsid w:val="0044221E"/>
    <w:rsid w:val="00453A9B"/>
    <w:rsid w:val="00460661"/>
    <w:rsid w:val="00461E5C"/>
    <w:rsid w:val="004652B2"/>
    <w:rsid w:val="00467744"/>
    <w:rsid w:val="00467902"/>
    <w:rsid w:val="00470280"/>
    <w:rsid w:val="00471BDA"/>
    <w:rsid w:val="00475DCF"/>
    <w:rsid w:val="00481894"/>
    <w:rsid w:val="00482B11"/>
    <w:rsid w:val="00484129"/>
    <w:rsid w:val="00486372"/>
    <w:rsid w:val="004870F5"/>
    <w:rsid w:val="0049108B"/>
    <w:rsid w:val="00491555"/>
    <w:rsid w:val="00491EC7"/>
    <w:rsid w:val="00492E71"/>
    <w:rsid w:val="00493430"/>
    <w:rsid w:val="00495EEE"/>
    <w:rsid w:val="004978CA"/>
    <w:rsid w:val="004A3A47"/>
    <w:rsid w:val="004A72BF"/>
    <w:rsid w:val="004B22AE"/>
    <w:rsid w:val="004B5AE2"/>
    <w:rsid w:val="004B7FD6"/>
    <w:rsid w:val="004C0D8C"/>
    <w:rsid w:val="004C29A2"/>
    <w:rsid w:val="004C3E44"/>
    <w:rsid w:val="004C614A"/>
    <w:rsid w:val="004D2909"/>
    <w:rsid w:val="004D3933"/>
    <w:rsid w:val="004D5DFF"/>
    <w:rsid w:val="004D6A1A"/>
    <w:rsid w:val="004E1FFF"/>
    <w:rsid w:val="004E2DE0"/>
    <w:rsid w:val="004E2E46"/>
    <w:rsid w:val="004E3B7A"/>
    <w:rsid w:val="004E627E"/>
    <w:rsid w:val="004E67F3"/>
    <w:rsid w:val="004F073B"/>
    <w:rsid w:val="004F11F7"/>
    <w:rsid w:val="004F1526"/>
    <w:rsid w:val="004F2475"/>
    <w:rsid w:val="004F465F"/>
    <w:rsid w:val="004F53D9"/>
    <w:rsid w:val="004F6BC9"/>
    <w:rsid w:val="004F6F41"/>
    <w:rsid w:val="00501C11"/>
    <w:rsid w:val="00503F9D"/>
    <w:rsid w:val="00505ED3"/>
    <w:rsid w:val="00506375"/>
    <w:rsid w:val="0050678D"/>
    <w:rsid w:val="00515A0B"/>
    <w:rsid w:val="0052041E"/>
    <w:rsid w:val="00520427"/>
    <w:rsid w:val="00521026"/>
    <w:rsid w:val="005236DA"/>
    <w:rsid w:val="005238F1"/>
    <w:rsid w:val="0052602F"/>
    <w:rsid w:val="00527714"/>
    <w:rsid w:val="00527A77"/>
    <w:rsid w:val="0053056A"/>
    <w:rsid w:val="005319B1"/>
    <w:rsid w:val="00534496"/>
    <w:rsid w:val="0053451E"/>
    <w:rsid w:val="0053546A"/>
    <w:rsid w:val="005376B8"/>
    <w:rsid w:val="00543125"/>
    <w:rsid w:val="005440DF"/>
    <w:rsid w:val="00544FD9"/>
    <w:rsid w:val="005460F4"/>
    <w:rsid w:val="00547219"/>
    <w:rsid w:val="00556195"/>
    <w:rsid w:val="00557985"/>
    <w:rsid w:val="00560BAC"/>
    <w:rsid w:val="0056301C"/>
    <w:rsid w:val="00563380"/>
    <w:rsid w:val="00564EF3"/>
    <w:rsid w:val="0056504A"/>
    <w:rsid w:val="0056587A"/>
    <w:rsid w:val="00567ABE"/>
    <w:rsid w:val="00582ED5"/>
    <w:rsid w:val="0058772A"/>
    <w:rsid w:val="005907F2"/>
    <w:rsid w:val="0059279C"/>
    <w:rsid w:val="005930B8"/>
    <w:rsid w:val="005949D5"/>
    <w:rsid w:val="005A0E92"/>
    <w:rsid w:val="005A1743"/>
    <w:rsid w:val="005A1EE9"/>
    <w:rsid w:val="005A572A"/>
    <w:rsid w:val="005A684A"/>
    <w:rsid w:val="005B0C07"/>
    <w:rsid w:val="005B33BA"/>
    <w:rsid w:val="005B5D68"/>
    <w:rsid w:val="005C0F64"/>
    <w:rsid w:val="005C2886"/>
    <w:rsid w:val="005C3A76"/>
    <w:rsid w:val="005C70AD"/>
    <w:rsid w:val="005E2FE4"/>
    <w:rsid w:val="005E3285"/>
    <w:rsid w:val="005E4973"/>
    <w:rsid w:val="005E4A7A"/>
    <w:rsid w:val="005E5404"/>
    <w:rsid w:val="005F32D2"/>
    <w:rsid w:val="005F3B7B"/>
    <w:rsid w:val="005F67F8"/>
    <w:rsid w:val="00600C79"/>
    <w:rsid w:val="00601CB7"/>
    <w:rsid w:val="006020AA"/>
    <w:rsid w:val="00603169"/>
    <w:rsid w:val="00605D59"/>
    <w:rsid w:val="00607CE2"/>
    <w:rsid w:val="00613781"/>
    <w:rsid w:val="0061544E"/>
    <w:rsid w:val="00621494"/>
    <w:rsid w:val="006238C1"/>
    <w:rsid w:val="00627E45"/>
    <w:rsid w:val="00630D65"/>
    <w:rsid w:val="006312DD"/>
    <w:rsid w:val="00633D16"/>
    <w:rsid w:val="006361DA"/>
    <w:rsid w:val="006432B6"/>
    <w:rsid w:val="0064336B"/>
    <w:rsid w:val="00643DDB"/>
    <w:rsid w:val="00644194"/>
    <w:rsid w:val="00644AD5"/>
    <w:rsid w:val="00645B7A"/>
    <w:rsid w:val="0064753B"/>
    <w:rsid w:val="00650BD1"/>
    <w:rsid w:val="0065213D"/>
    <w:rsid w:val="00653839"/>
    <w:rsid w:val="006538E1"/>
    <w:rsid w:val="00654264"/>
    <w:rsid w:val="00655611"/>
    <w:rsid w:val="00656F3C"/>
    <w:rsid w:val="00656FA4"/>
    <w:rsid w:val="0066357C"/>
    <w:rsid w:val="00666D68"/>
    <w:rsid w:val="00667F6B"/>
    <w:rsid w:val="00671C7C"/>
    <w:rsid w:val="006767E0"/>
    <w:rsid w:val="00677682"/>
    <w:rsid w:val="0068003C"/>
    <w:rsid w:val="00680FDC"/>
    <w:rsid w:val="00682D2D"/>
    <w:rsid w:val="00683A0D"/>
    <w:rsid w:val="00683AB4"/>
    <w:rsid w:val="006951BF"/>
    <w:rsid w:val="006B7B3F"/>
    <w:rsid w:val="006C2116"/>
    <w:rsid w:val="006C6C4C"/>
    <w:rsid w:val="006D1A67"/>
    <w:rsid w:val="006D238C"/>
    <w:rsid w:val="006D6CD8"/>
    <w:rsid w:val="006E60EC"/>
    <w:rsid w:val="006E6A13"/>
    <w:rsid w:val="006E7186"/>
    <w:rsid w:val="006F080F"/>
    <w:rsid w:val="006F0F9E"/>
    <w:rsid w:val="006F7F0D"/>
    <w:rsid w:val="0070743A"/>
    <w:rsid w:val="00710C1A"/>
    <w:rsid w:val="00715F78"/>
    <w:rsid w:val="0072059E"/>
    <w:rsid w:val="00720FB8"/>
    <w:rsid w:val="00721FC6"/>
    <w:rsid w:val="00726809"/>
    <w:rsid w:val="00727494"/>
    <w:rsid w:val="0073073A"/>
    <w:rsid w:val="00730D67"/>
    <w:rsid w:val="00731E4A"/>
    <w:rsid w:val="007353BA"/>
    <w:rsid w:val="00737E51"/>
    <w:rsid w:val="007404DB"/>
    <w:rsid w:val="0074341D"/>
    <w:rsid w:val="00755AB9"/>
    <w:rsid w:val="00761F5E"/>
    <w:rsid w:val="00762CE3"/>
    <w:rsid w:val="007659BA"/>
    <w:rsid w:val="0076606A"/>
    <w:rsid w:val="00766211"/>
    <w:rsid w:val="00767AD2"/>
    <w:rsid w:val="00770315"/>
    <w:rsid w:val="00776AF8"/>
    <w:rsid w:val="007802BC"/>
    <w:rsid w:val="0079161F"/>
    <w:rsid w:val="0079264B"/>
    <w:rsid w:val="00792755"/>
    <w:rsid w:val="00792DEC"/>
    <w:rsid w:val="00797215"/>
    <w:rsid w:val="007973A1"/>
    <w:rsid w:val="007B0DA8"/>
    <w:rsid w:val="007B1245"/>
    <w:rsid w:val="007C2CF1"/>
    <w:rsid w:val="007C53F5"/>
    <w:rsid w:val="007C595C"/>
    <w:rsid w:val="007C6B73"/>
    <w:rsid w:val="007D1774"/>
    <w:rsid w:val="007D3CDE"/>
    <w:rsid w:val="007D5DA1"/>
    <w:rsid w:val="007D6897"/>
    <w:rsid w:val="007D6B56"/>
    <w:rsid w:val="007E1A04"/>
    <w:rsid w:val="007E32E1"/>
    <w:rsid w:val="007E74A4"/>
    <w:rsid w:val="007E778B"/>
    <w:rsid w:val="007E77FD"/>
    <w:rsid w:val="007F0E49"/>
    <w:rsid w:val="007F52DD"/>
    <w:rsid w:val="007F75A2"/>
    <w:rsid w:val="00801895"/>
    <w:rsid w:val="00801E25"/>
    <w:rsid w:val="00803FAA"/>
    <w:rsid w:val="0080571C"/>
    <w:rsid w:val="0080623F"/>
    <w:rsid w:val="0080699B"/>
    <w:rsid w:val="008128BB"/>
    <w:rsid w:val="00815373"/>
    <w:rsid w:val="008170B4"/>
    <w:rsid w:val="00820083"/>
    <w:rsid w:val="00822129"/>
    <w:rsid w:val="00822232"/>
    <w:rsid w:val="00824927"/>
    <w:rsid w:val="00825ECD"/>
    <w:rsid w:val="00826861"/>
    <w:rsid w:val="00826A13"/>
    <w:rsid w:val="008322B3"/>
    <w:rsid w:val="008337FA"/>
    <w:rsid w:val="00835591"/>
    <w:rsid w:val="008429D4"/>
    <w:rsid w:val="00844359"/>
    <w:rsid w:val="008474FB"/>
    <w:rsid w:val="008508B8"/>
    <w:rsid w:val="00851FA2"/>
    <w:rsid w:val="008522A2"/>
    <w:rsid w:val="00852782"/>
    <w:rsid w:val="00853177"/>
    <w:rsid w:val="00853F1A"/>
    <w:rsid w:val="00855FA9"/>
    <w:rsid w:val="00863123"/>
    <w:rsid w:val="00864086"/>
    <w:rsid w:val="00867922"/>
    <w:rsid w:val="00870B45"/>
    <w:rsid w:val="008711A1"/>
    <w:rsid w:val="008744BB"/>
    <w:rsid w:val="00882213"/>
    <w:rsid w:val="00882E8D"/>
    <w:rsid w:val="00885A82"/>
    <w:rsid w:val="0088650C"/>
    <w:rsid w:val="00886AEC"/>
    <w:rsid w:val="0089255C"/>
    <w:rsid w:val="008926D6"/>
    <w:rsid w:val="0089399C"/>
    <w:rsid w:val="00896C32"/>
    <w:rsid w:val="00897AF0"/>
    <w:rsid w:val="008A304D"/>
    <w:rsid w:val="008A31F1"/>
    <w:rsid w:val="008A4995"/>
    <w:rsid w:val="008A6CD4"/>
    <w:rsid w:val="008B11BE"/>
    <w:rsid w:val="008B1D39"/>
    <w:rsid w:val="008B22AE"/>
    <w:rsid w:val="008B326D"/>
    <w:rsid w:val="008B4BC2"/>
    <w:rsid w:val="008C006A"/>
    <w:rsid w:val="008C2A8D"/>
    <w:rsid w:val="008C4240"/>
    <w:rsid w:val="008C5799"/>
    <w:rsid w:val="008D278F"/>
    <w:rsid w:val="008D598F"/>
    <w:rsid w:val="008E3630"/>
    <w:rsid w:val="008F2213"/>
    <w:rsid w:val="008F40F7"/>
    <w:rsid w:val="0090028C"/>
    <w:rsid w:val="0090036E"/>
    <w:rsid w:val="009013EA"/>
    <w:rsid w:val="00902A6F"/>
    <w:rsid w:val="009043B3"/>
    <w:rsid w:val="00904730"/>
    <w:rsid w:val="009065A9"/>
    <w:rsid w:val="0091070E"/>
    <w:rsid w:val="009107F9"/>
    <w:rsid w:val="00911156"/>
    <w:rsid w:val="0091328A"/>
    <w:rsid w:val="00914CE8"/>
    <w:rsid w:val="00915BD6"/>
    <w:rsid w:val="0092252E"/>
    <w:rsid w:val="009246BE"/>
    <w:rsid w:val="00930107"/>
    <w:rsid w:val="00930B6C"/>
    <w:rsid w:val="00931EFA"/>
    <w:rsid w:val="00932590"/>
    <w:rsid w:val="00932635"/>
    <w:rsid w:val="00936215"/>
    <w:rsid w:val="00936F8C"/>
    <w:rsid w:val="009452F8"/>
    <w:rsid w:val="00951C6D"/>
    <w:rsid w:val="009572C0"/>
    <w:rsid w:val="00957CE0"/>
    <w:rsid w:val="00960BC8"/>
    <w:rsid w:val="0096111B"/>
    <w:rsid w:val="0096310A"/>
    <w:rsid w:val="0096492B"/>
    <w:rsid w:val="00964E26"/>
    <w:rsid w:val="00966417"/>
    <w:rsid w:val="00970CB1"/>
    <w:rsid w:val="00971513"/>
    <w:rsid w:val="0097290B"/>
    <w:rsid w:val="00972A87"/>
    <w:rsid w:val="00975D0B"/>
    <w:rsid w:val="00976B44"/>
    <w:rsid w:val="00983EA4"/>
    <w:rsid w:val="0098472A"/>
    <w:rsid w:val="0098752C"/>
    <w:rsid w:val="00987E20"/>
    <w:rsid w:val="009954C3"/>
    <w:rsid w:val="00996469"/>
    <w:rsid w:val="00996A86"/>
    <w:rsid w:val="009A1C3C"/>
    <w:rsid w:val="009A1D22"/>
    <w:rsid w:val="009A31B8"/>
    <w:rsid w:val="009A6D39"/>
    <w:rsid w:val="009A7A0F"/>
    <w:rsid w:val="009B0575"/>
    <w:rsid w:val="009B23CD"/>
    <w:rsid w:val="009B24D2"/>
    <w:rsid w:val="009B294F"/>
    <w:rsid w:val="009B2C2F"/>
    <w:rsid w:val="009B3408"/>
    <w:rsid w:val="009B47CF"/>
    <w:rsid w:val="009C08A6"/>
    <w:rsid w:val="009C2183"/>
    <w:rsid w:val="009C61C3"/>
    <w:rsid w:val="009D2616"/>
    <w:rsid w:val="009D2E69"/>
    <w:rsid w:val="009D2F5B"/>
    <w:rsid w:val="009D31BB"/>
    <w:rsid w:val="009D4A2C"/>
    <w:rsid w:val="009E23ED"/>
    <w:rsid w:val="009E31DC"/>
    <w:rsid w:val="009F38D5"/>
    <w:rsid w:val="00A001E3"/>
    <w:rsid w:val="00A024F0"/>
    <w:rsid w:val="00A03C3B"/>
    <w:rsid w:val="00A055F4"/>
    <w:rsid w:val="00A06019"/>
    <w:rsid w:val="00A102F2"/>
    <w:rsid w:val="00A11A7E"/>
    <w:rsid w:val="00A12322"/>
    <w:rsid w:val="00A156CB"/>
    <w:rsid w:val="00A179A6"/>
    <w:rsid w:val="00A17C79"/>
    <w:rsid w:val="00A2000A"/>
    <w:rsid w:val="00A25060"/>
    <w:rsid w:val="00A278A3"/>
    <w:rsid w:val="00A317C9"/>
    <w:rsid w:val="00A31C23"/>
    <w:rsid w:val="00A363EE"/>
    <w:rsid w:val="00A43AB6"/>
    <w:rsid w:val="00A43E0A"/>
    <w:rsid w:val="00A5594B"/>
    <w:rsid w:val="00A5631F"/>
    <w:rsid w:val="00A6042C"/>
    <w:rsid w:val="00A60B6B"/>
    <w:rsid w:val="00A615FE"/>
    <w:rsid w:val="00A62488"/>
    <w:rsid w:val="00A7352F"/>
    <w:rsid w:val="00A827B2"/>
    <w:rsid w:val="00A8539F"/>
    <w:rsid w:val="00A944E5"/>
    <w:rsid w:val="00A9485C"/>
    <w:rsid w:val="00AA13D0"/>
    <w:rsid w:val="00AA25FF"/>
    <w:rsid w:val="00AA34E0"/>
    <w:rsid w:val="00AA561C"/>
    <w:rsid w:val="00AA768E"/>
    <w:rsid w:val="00AA77F5"/>
    <w:rsid w:val="00AB7912"/>
    <w:rsid w:val="00AD036B"/>
    <w:rsid w:val="00AD23E0"/>
    <w:rsid w:val="00AD369D"/>
    <w:rsid w:val="00AE07B2"/>
    <w:rsid w:val="00AE152D"/>
    <w:rsid w:val="00AE2CE8"/>
    <w:rsid w:val="00AE3AEE"/>
    <w:rsid w:val="00AE51D1"/>
    <w:rsid w:val="00AE6D0C"/>
    <w:rsid w:val="00AF358E"/>
    <w:rsid w:val="00AF4A89"/>
    <w:rsid w:val="00AF585F"/>
    <w:rsid w:val="00AF6B2F"/>
    <w:rsid w:val="00B067EF"/>
    <w:rsid w:val="00B079C2"/>
    <w:rsid w:val="00B12614"/>
    <w:rsid w:val="00B12D0A"/>
    <w:rsid w:val="00B248AD"/>
    <w:rsid w:val="00B310F4"/>
    <w:rsid w:val="00B33932"/>
    <w:rsid w:val="00B34B4D"/>
    <w:rsid w:val="00B35BCB"/>
    <w:rsid w:val="00B35E7C"/>
    <w:rsid w:val="00B37970"/>
    <w:rsid w:val="00B40DEA"/>
    <w:rsid w:val="00B43B0F"/>
    <w:rsid w:val="00B4505A"/>
    <w:rsid w:val="00B459B6"/>
    <w:rsid w:val="00B45A21"/>
    <w:rsid w:val="00B473E0"/>
    <w:rsid w:val="00B5196B"/>
    <w:rsid w:val="00B52FA4"/>
    <w:rsid w:val="00B6661F"/>
    <w:rsid w:val="00B71A97"/>
    <w:rsid w:val="00B937DC"/>
    <w:rsid w:val="00B93F68"/>
    <w:rsid w:val="00B9522C"/>
    <w:rsid w:val="00B9618E"/>
    <w:rsid w:val="00BA2071"/>
    <w:rsid w:val="00BA41A4"/>
    <w:rsid w:val="00BA5E6B"/>
    <w:rsid w:val="00BA6E01"/>
    <w:rsid w:val="00BB111B"/>
    <w:rsid w:val="00BB1B00"/>
    <w:rsid w:val="00BB2EC8"/>
    <w:rsid w:val="00BB44BF"/>
    <w:rsid w:val="00BC32C0"/>
    <w:rsid w:val="00BC5E37"/>
    <w:rsid w:val="00BC74AC"/>
    <w:rsid w:val="00BD302B"/>
    <w:rsid w:val="00BD3251"/>
    <w:rsid w:val="00BE0CB7"/>
    <w:rsid w:val="00BE173F"/>
    <w:rsid w:val="00BE4788"/>
    <w:rsid w:val="00BE4D7B"/>
    <w:rsid w:val="00BF2A27"/>
    <w:rsid w:val="00BF6201"/>
    <w:rsid w:val="00BF6A88"/>
    <w:rsid w:val="00BF70FE"/>
    <w:rsid w:val="00BF76BB"/>
    <w:rsid w:val="00BF77AD"/>
    <w:rsid w:val="00C00E79"/>
    <w:rsid w:val="00C01F39"/>
    <w:rsid w:val="00C01F51"/>
    <w:rsid w:val="00C0427D"/>
    <w:rsid w:val="00C07DD7"/>
    <w:rsid w:val="00C10661"/>
    <w:rsid w:val="00C16F4C"/>
    <w:rsid w:val="00C2110F"/>
    <w:rsid w:val="00C21615"/>
    <w:rsid w:val="00C21642"/>
    <w:rsid w:val="00C221E3"/>
    <w:rsid w:val="00C22D0B"/>
    <w:rsid w:val="00C2526C"/>
    <w:rsid w:val="00C3171C"/>
    <w:rsid w:val="00C331B3"/>
    <w:rsid w:val="00C34B93"/>
    <w:rsid w:val="00C35908"/>
    <w:rsid w:val="00C35949"/>
    <w:rsid w:val="00C41369"/>
    <w:rsid w:val="00C41877"/>
    <w:rsid w:val="00C45268"/>
    <w:rsid w:val="00C47C95"/>
    <w:rsid w:val="00C50241"/>
    <w:rsid w:val="00C51EB3"/>
    <w:rsid w:val="00C60D88"/>
    <w:rsid w:val="00C668F4"/>
    <w:rsid w:val="00C67EBE"/>
    <w:rsid w:val="00C70F1A"/>
    <w:rsid w:val="00C77056"/>
    <w:rsid w:val="00C82B7B"/>
    <w:rsid w:val="00C83FA7"/>
    <w:rsid w:val="00C85762"/>
    <w:rsid w:val="00C95EE1"/>
    <w:rsid w:val="00C96E23"/>
    <w:rsid w:val="00C970C3"/>
    <w:rsid w:val="00CA1536"/>
    <w:rsid w:val="00CA3FB1"/>
    <w:rsid w:val="00CA5FEB"/>
    <w:rsid w:val="00CB2CDA"/>
    <w:rsid w:val="00CB538D"/>
    <w:rsid w:val="00CB6526"/>
    <w:rsid w:val="00CB6D6F"/>
    <w:rsid w:val="00CB7A71"/>
    <w:rsid w:val="00CC19F4"/>
    <w:rsid w:val="00CC2436"/>
    <w:rsid w:val="00CC3FB6"/>
    <w:rsid w:val="00CC72E1"/>
    <w:rsid w:val="00CC793B"/>
    <w:rsid w:val="00CD3A9A"/>
    <w:rsid w:val="00CD4632"/>
    <w:rsid w:val="00CD4D42"/>
    <w:rsid w:val="00CD5BE0"/>
    <w:rsid w:val="00CE0CF2"/>
    <w:rsid w:val="00CE2F77"/>
    <w:rsid w:val="00CE3275"/>
    <w:rsid w:val="00CE363A"/>
    <w:rsid w:val="00CE3A37"/>
    <w:rsid w:val="00CE5AF8"/>
    <w:rsid w:val="00CF06F4"/>
    <w:rsid w:val="00CF1FDD"/>
    <w:rsid w:val="00D0114D"/>
    <w:rsid w:val="00D01E29"/>
    <w:rsid w:val="00D01E43"/>
    <w:rsid w:val="00D02BFE"/>
    <w:rsid w:val="00D052F3"/>
    <w:rsid w:val="00D0689E"/>
    <w:rsid w:val="00D071B5"/>
    <w:rsid w:val="00D07348"/>
    <w:rsid w:val="00D11980"/>
    <w:rsid w:val="00D11FDE"/>
    <w:rsid w:val="00D12759"/>
    <w:rsid w:val="00D17A53"/>
    <w:rsid w:val="00D20386"/>
    <w:rsid w:val="00D21E10"/>
    <w:rsid w:val="00D23532"/>
    <w:rsid w:val="00D239DD"/>
    <w:rsid w:val="00D2444A"/>
    <w:rsid w:val="00D2628B"/>
    <w:rsid w:val="00D27C9C"/>
    <w:rsid w:val="00D3189B"/>
    <w:rsid w:val="00D36B55"/>
    <w:rsid w:val="00D37605"/>
    <w:rsid w:val="00D4013D"/>
    <w:rsid w:val="00D41AE6"/>
    <w:rsid w:val="00D436B8"/>
    <w:rsid w:val="00D43C61"/>
    <w:rsid w:val="00D45AEB"/>
    <w:rsid w:val="00D46D57"/>
    <w:rsid w:val="00D516A3"/>
    <w:rsid w:val="00D52EBB"/>
    <w:rsid w:val="00D54E37"/>
    <w:rsid w:val="00D62436"/>
    <w:rsid w:val="00D63A7D"/>
    <w:rsid w:val="00D66267"/>
    <w:rsid w:val="00D66757"/>
    <w:rsid w:val="00D667D1"/>
    <w:rsid w:val="00D67499"/>
    <w:rsid w:val="00D71BBC"/>
    <w:rsid w:val="00D72253"/>
    <w:rsid w:val="00D754F0"/>
    <w:rsid w:val="00D8612E"/>
    <w:rsid w:val="00DA1372"/>
    <w:rsid w:val="00DA29B3"/>
    <w:rsid w:val="00DA308B"/>
    <w:rsid w:val="00DA3FD6"/>
    <w:rsid w:val="00DB059B"/>
    <w:rsid w:val="00DB262D"/>
    <w:rsid w:val="00DB2FB4"/>
    <w:rsid w:val="00DB314D"/>
    <w:rsid w:val="00DB43EF"/>
    <w:rsid w:val="00DB4973"/>
    <w:rsid w:val="00DB4C9A"/>
    <w:rsid w:val="00DB4D72"/>
    <w:rsid w:val="00DC0C70"/>
    <w:rsid w:val="00DC1E6F"/>
    <w:rsid w:val="00DC21C3"/>
    <w:rsid w:val="00DC5F41"/>
    <w:rsid w:val="00DD3437"/>
    <w:rsid w:val="00DD34F6"/>
    <w:rsid w:val="00DD4B0E"/>
    <w:rsid w:val="00DD654A"/>
    <w:rsid w:val="00DE25DE"/>
    <w:rsid w:val="00DE475A"/>
    <w:rsid w:val="00DF17F2"/>
    <w:rsid w:val="00DF2C2D"/>
    <w:rsid w:val="00DF3511"/>
    <w:rsid w:val="00DF481B"/>
    <w:rsid w:val="00DF5663"/>
    <w:rsid w:val="00DF774E"/>
    <w:rsid w:val="00DF7B32"/>
    <w:rsid w:val="00E00224"/>
    <w:rsid w:val="00E0033D"/>
    <w:rsid w:val="00E00495"/>
    <w:rsid w:val="00E008E2"/>
    <w:rsid w:val="00E02D94"/>
    <w:rsid w:val="00E0342F"/>
    <w:rsid w:val="00E06AE7"/>
    <w:rsid w:val="00E07056"/>
    <w:rsid w:val="00E11589"/>
    <w:rsid w:val="00E11C8B"/>
    <w:rsid w:val="00E20C1A"/>
    <w:rsid w:val="00E21A0E"/>
    <w:rsid w:val="00E238C0"/>
    <w:rsid w:val="00E251F0"/>
    <w:rsid w:val="00E27BD9"/>
    <w:rsid w:val="00E37B36"/>
    <w:rsid w:val="00E411A6"/>
    <w:rsid w:val="00E41286"/>
    <w:rsid w:val="00E42258"/>
    <w:rsid w:val="00E50B77"/>
    <w:rsid w:val="00E511B5"/>
    <w:rsid w:val="00E53260"/>
    <w:rsid w:val="00E5385C"/>
    <w:rsid w:val="00E62AE6"/>
    <w:rsid w:val="00E63FF3"/>
    <w:rsid w:val="00E67610"/>
    <w:rsid w:val="00E705FA"/>
    <w:rsid w:val="00E73853"/>
    <w:rsid w:val="00E73DF1"/>
    <w:rsid w:val="00E7626E"/>
    <w:rsid w:val="00E8036D"/>
    <w:rsid w:val="00E80C30"/>
    <w:rsid w:val="00E81D79"/>
    <w:rsid w:val="00E836EF"/>
    <w:rsid w:val="00E84F02"/>
    <w:rsid w:val="00E858C0"/>
    <w:rsid w:val="00E86746"/>
    <w:rsid w:val="00E936DB"/>
    <w:rsid w:val="00E94921"/>
    <w:rsid w:val="00E94BD2"/>
    <w:rsid w:val="00EA05C6"/>
    <w:rsid w:val="00EA2B69"/>
    <w:rsid w:val="00EA3F5D"/>
    <w:rsid w:val="00EA526E"/>
    <w:rsid w:val="00EA55EA"/>
    <w:rsid w:val="00EB0653"/>
    <w:rsid w:val="00EB63E8"/>
    <w:rsid w:val="00EC14CC"/>
    <w:rsid w:val="00EC28D6"/>
    <w:rsid w:val="00EC334B"/>
    <w:rsid w:val="00EC38FF"/>
    <w:rsid w:val="00EC41B3"/>
    <w:rsid w:val="00EC5687"/>
    <w:rsid w:val="00EC7BCF"/>
    <w:rsid w:val="00ED3DC1"/>
    <w:rsid w:val="00ED7768"/>
    <w:rsid w:val="00EE3E96"/>
    <w:rsid w:val="00EE7F94"/>
    <w:rsid w:val="00EF1B41"/>
    <w:rsid w:val="00EF2EB0"/>
    <w:rsid w:val="00EF486B"/>
    <w:rsid w:val="00EF5B56"/>
    <w:rsid w:val="00EF7660"/>
    <w:rsid w:val="00EF7CBD"/>
    <w:rsid w:val="00F016A5"/>
    <w:rsid w:val="00F021CF"/>
    <w:rsid w:val="00F02B6D"/>
    <w:rsid w:val="00F063F1"/>
    <w:rsid w:val="00F07F54"/>
    <w:rsid w:val="00F100DF"/>
    <w:rsid w:val="00F11AED"/>
    <w:rsid w:val="00F15AB1"/>
    <w:rsid w:val="00F1775E"/>
    <w:rsid w:val="00F27733"/>
    <w:rsid w:val="00F31E54"/>
    <w:rsid w:val="00F40194"/>
    <w:rsid w:val="00F40C9F"/>
    <w:rsid w:val="00F413F8"/>
    <w:rsid w:val="00F42428"/>
    <w:rsid w:val="00F43B53"/>
    <w:rsid w:val="00F452CF"/>
    <w:rsid w:val="00F45561"/>
    <w:rsid w:val="00F46362"/>
    <w:rsid w:val="00F56576"/>
    <w:rsid w:val="00F611B2"/>
    <w:rsid w:val="00F61692"/>
    <w:rsid w:val="00F62C22"/>
    <w:rsid w:val="00F648D6"/>
    <w:rsid w:val="00F703AA"/>
    <w:rsid w:val="00F74C59"/>
    <w:rsid w:val="00F81357"/>
    <w:rsid w:val="00F8166D"/>
    <w:rsid w:val="00F81DEF"/>
    <w:rsid w:val="00F84893"/>
    <w:rsid w:val="00F8643B"/>
    <w:rsid w:val="00F90CA2"/>
    <w:rsid w:val="00F911C8"/>
    <w:rsid w:val="00F91D9B"/>
    <w:rsid w:val="00F97BF8"/>
    <w:rsid w:val="00FA0E01"/>
    <w:rsid w:val="00FA1C5D"/>
    <w:rsid w:val="00FA392F"/>
    <w:rsid w:val="00FA3B1A"/>
    <w:rsid w:val="00FA564C"/>
    <w:rsid w:val="00FA5AE6"/>
    <w:rsid w:val="00FA6A8B"/>
    <w:rsid w:val="00FA7AA0"/>
    <w:rsid w:val="00FB0F56"/>
    <w:rsid w:val="00FB4714"/>
    <w:rsid w:val="00FB6B4D"/>
    <w:rsid w:val="00FB7359"/>
    <w:rsid w:val="00FC3312"/>
    <w:rsid w:val="00FC4ED8"/>
    <w:rsid w:val="00FC6920"/>
    <w:rsid w:val="00FD167B"/>
    <w:rsid w:val="00FD1A9F"/>
    <w:rsid w:val="00FD4EED"/>
    <w:rsid w:val="00FD5463"/>
    <w:rsid w:val="00FD673D"/>
    <w:rsid w:val="00FD6C59"/>
    <w:rsid w:val="00FE0EF0"/>
    <w:rsid w:val="00FE12DE"/>
    <w:rsid w:val="00FE1C3C"/>
    <w:rsid w:val="00FE39E7"/>
    <w:rsid w:val="00FF3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66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6695"/>
    <w:rPr>
      <w:rFonts w:ascii="Verdana" w:hAnsi="Verdana"/>
      <w:color w:val="000000"/>
      <w:sz w:val="18"/>
      <w:szCs w:val="18"/>
    </w:rPr>
  </w:style>
  <w:style w:type="paragraph" w:styleId="Lijstalinea">
    <w:name w:val="List Paragraph"/>
    <w:basedOn w:val="Standaard"/>
    <w:uiPriority w:val="34"/>
    <w:qFormat/>
    <w:rsid w:val="00117CCE"/>
    <w:pPr>
      <w:ind w:left="720"/>
      <w:contextualSpacing/>
    </w:pPr>
  </w:style>
  <w:style w:type="character" w:styleId="Verwijzingopmerking">
    <w:name w:val="annotation reference"/>
    <w:basedOn w:val="Standaardalinea-lettertype"/>
    <w:uiPriority w:val="99"/>
    <w:semiHidden/>
    <w:unhideWhenUsed/>
    <w:rsid w:val="00117CCE"/>
    <w:rPr>
      <w:sz w:val="16"/>
      <w:szCs w:val="16"/>
    </w:rPr>
  </w:style>
  <w:style w:type="paragraph" w:styleId="Tekstopmerking">
    <w:name w:val="annotation text"/>
    <w:basedOn w:val="Standaard"/>
    <w:link w:val="TekstopmerkingChar"/>
    <w:uiPriority w:val="99"/>
    <w:unhideWhenUsed/>
    <w:rsid w:val="00117CCE"/>
    <w:pPr>
      <w:spacing w:line="240" w:lineRule="auto"/>
    </w:pPr>
    <w:rPr>
      <w:sz w:val="20"/>
      <w:szCs w:val="20"/>
    </w:rPr>
  </w:style>
  <w:style w:type="character" w:customStyle="1" w:styleId="TekstopmerkingChar">
    <w:name w:val="Tekst opmerking Char"/>
    <w:basedOn w:val="Standaardalinea-lettertype"/>
    <w:link w:val="Tekstopmerking"/>
    <w:uiPriority w:val="99"/>
    <w:rsid w:val="00117CC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7CCE"/>
    <w:rPr>
      <w:b/>
      <w:bCs/>
    </w:rPr>
  </w:style>
  <w:style w:type="character" w:customStyle="1" w:styleId="OnderwerpvanopmerkingChar">
    <w:name w:val="Onderwerp van opmerking Char"/>
    <w:basedOn w:val="TekstopmerkingChar"/>
    <w:link w:val="Onderwerpvanopmerking"/>
    <w:uiPriority w:val="99"/>
    <w:semiHidden/>
    <w:rsid w:val="00117CCE"/>
    <w:rPr>
      <w:rFonts w:ascii="Verdana" w:hAnsi="Verdana"/>
      <w:b/>
      <w:bCs/>
      <w:color w:val="000000"/>
    </w:rPr>
  </w:style>
  <w:style w:type="paragraph" w:styleId="Voetnoottekst">
    <w:name w:val="footnote text"/>
    <w:basedOn w:val="Standaard"/>
    <w:link w:val="VoetnoottekstChar"/>
    <w:uiPriority w:val="99"/>
    <w:semiHidden/>
    <w:unhideWhenUsed/>
    <w:rsid w:val="00BB44BF"/>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BB44BF"/>
    <w:rPr>
      <w:rFonts w:ascii="Verdana" w:hAnsi="Verdana"/>
      <w:color w:val="000000"/>
    </w:rPr>
  </w:style>
  <w:style w:type="character" w:styleId="Voetnootmarkering">
    <w:name w:val="footnote reference"/>
    <w:basedOn w:val="Standaardalinea-lettertype"/>
    <w:uiPriority w:val="99"/>
    <w:semiHidden/>
    <w:unhideWhenUsed/>
    <w:rsid w:val="00BB44BF"/>
    <w:rPr>
      <w:vertAlign w:val="superscript"/>
    </w:rPr>
  </w:style>
  <w:style w:type="paragraph" w:styleId="Revisie">
    <w:name w:val="Revision"/>
    <w:hidden/>
    <w:uiPriority w:val="99"/>
    <w:semiHidden/>
    <w:rsid w:val="00D37605"/>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15241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5241A"/>
    <w:rPr>
      <w:rFonts w:ascii="Segoe UI" w:hAnsi="Segoe UI" w:cs="Segoe UI"/>
      <w:color w:val="000000"/>
      <w:sz w:val="18"/>
      <w:szCs w:val="18"/>
    </w:rPr>
  </w:style>
  <w:style w:type="paragraph" w:customStyle="1" w:styleId="xmsonormal">
    <w:name w:val="x_msonormal"/>
    <w:basedOn w:val="Standaard"/>
    <w:rsid w:val="009065A9"/>
    <w:pPr>
      <w:autoSpaceDN/>
      <w:spacing w:line="240" w:lineRule="auto"/>
      <w:textAlignment w:val="auto"/>
    </w:pPr>
    <w:rPr>
      <w:rFonts w:ascii="Aptos" w:eastAsiaTheme="minorHAnsi" w:hAnsi="Aptos" w:cs="Aptos"/>
      <w:color w:val="auto"/>
      <w:sz w:val="24"/>
      <w:szCs w:val="24"/>
    </w:rPr>
  </w:style>
  <w:style w:type="paragraph" w:styleId="Eindnoottekst">
    <w:name w:val="endnote text"/>
    <w:basedOn w:val="Standaard"/>
    <w:link w:val="EindnoottekstChar"/>
    <w:uiPriority w:val="99"/>
    <w:semiHidden/>
    <w:unhideWhenUsed/>
    <w:rsid w:val="00C7705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C77056"/>
    <w:rPr>
      <w:rFonts w:ascii="Verdana" w:hAnsi="Verdana"/>
      <w:color w:val="000000"/>
    </w:rPr>
  </w:style>
  <w:style w:type="character" w:styleId="Eindnootmarkering">
    <w:name w:val="endnote reference"/>
    <w:basedOn w:val="Standaardalinea-lettertype"/>
    <w:uiPriority w:val="99"/>
    <w:semiHidden/>
    <w:unhideWhenUsed/>
    <w:rsid w:val="00C77056"/>
    <w:rPr>
      <w:vertAlign w:val="superscript"/>
    </w:rPr>
  </w:style>
  <w:style w:type="character" w:styleId="Onopgelostemelding">
    <w:name w:val="Unresolved Mention"/>
    <w:basedOn w:val="Standaardalinea-lettertype"/>
    <w:uiPriority w:val="99"/>
    <w:semiHidden/>
    <w:unhideWhenUsed/>
    <w:rsid w:val="00D11FDE"/>
    <w:rPr>
      <w:color w:val="605E5C"/>
      <w:shd w:val="clear" w:color="auto" w:fill="E1DFDD"/>
    </w:rPr>
  </w:style>
  <w:style w:type="table" w:styleId="Onopgemaaktetabel2">
    <w:name w:val="Plain Table 2"/>
    <w:basedOn w:val="Standaardtabel"/>
    <w:uiPriority w:val="42"/>
    <w:rsid w:val="004F53D9"/>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3957">
      <w:bodyDiv w:val="1"/>
      <w:marLeft w:val="0"/>
      <w:marRight w:val="0"/>
      <w:marTop w:val="0"/>
      <w:marBottom w:val="0"/>
      <w:divBdr>
        <w:top w:val="none" w:sz="0" w:space="0" w:color="auto"/>
        <w:left w:val="none" w:sz="0" w:space="0" w:color="auto"/>
        <w:bottom w:val="none" w:sz="0" w:space="0" w:color="auto"/>
        <w:right w:val="none" w:sz="0" w:space="0" w:color="auto"/>
      </w:divBdr>
    </w:div>
    <w:div w:id="84227314">
      <w:bodyDiv w:val="1"/>
      <w:marLeft w:val="0"/>
      <w:marRight w:val="0"/>
      <w:marTop w:val="0"/>
      <w:marBottom w:val="0"/>
      <w:divBdr>
        <w:top w:val="none" w:sz="0" w:space="0" w:color="auto"/>
        <w:left w:val="none" w:sz="0" w:space="0" w:color="auto"/>
        <w:bottom w:val="none" w:sz="0" w:space="0" w:color="auto"/>
        <w:right w:val="none" w:sz="0" w:space="0" w:color="auto"/>
      </w:divBdr>
    </w:div>
    <w:div w:id="137846569">
      <w:bodyDiv w:val="1"/>
      <w:marLeft w:val="0"/>
      <w:marRight w:val="0"/>
      <w:marTop w:val="0"/>
      <w:marBottom w:val="0"/>
      <w:divBdr>
        <w:top w:val="none" w:sz="0" w:space="0" w:color="auto"/>
        <w:left w:val="none" w:sz="0" w:space="0" w:color="auto"/>
        <w:bottom w:val="none" w:sz="0" w:space="0" w:color="auto"/>
        <w:right w:val="none" w:sz="0" w:space="0" w:color="auto"/>
      </w:divBdr>
    </w:div>
    <w:div w:id="209733542">
      <w:bodyDiv w:val="1"/>
      <w:marLeft w:val="0"/>
      <w:marRight w:val="0"/>
      <w:marTop w:val="0"/>
      <w:marBottom w:val="0"/>
      <w:divBdr>
        <w:top w:val="none" w:sz="0" w:space="0" w:color="auto"/>
        <w:left w:val="none" w:sz="0" w:space="0" w:color="auto"/>
        <w:bottom w:val="none" w:sz="0" w:space="0" w:color="auto"/>
        <w:right w:val="none" w:sz="0" w:space="0" w:color="auto"/>
      </w:divBdr>
    </w:div>
    <w:div w:id="280036664">
      <w:bodyDiv w:val="1"/>
      <w:marLeft w:val="0"/>
      <w:marRight w:val="0"/>
      <w:marTop w:val="0"/>
      <w:marBottom w:val="0"/>
      <w:divBdr>
        <w:top w:val="none" w:sz="0" w:space="0" w:color="auto"/>
        <w:left w:val="none" w:sz="0" w:space="0" w:color="auto"/>
        <w:bottom w:val="none" w:sz="0" w:space="0" w:color="auto"/>
        <w:right w:val="none" w:sz="0" w:space="0" w:color="auto"/>
      </w:divBdr>
    </w:div>
    <w:div w:id="376047606">
      <w:bodyDiv w:val="1"/>
      <w:marLeft w:val="0"/>
      <w:marRight w:val="0"/>
      <w:marTop w:val="0"/>
      <w:marBottom w:val="0"/>
      <w:divBdr>
        <w:top w:val="none" w:sz="0" w:space="0" w:color="auto"/>
        <w:left w:val="none" w:sz="0" w:space="0" w:color="auto"/>
        <w:bottom w:val="none" w:sz="0" w:space="0" w:color="auto"/>
        <w:right w:val="none" w:sz="0" w:space="0" w:color="auto"/>
      </w:divBdr>
    </w:div>
    <w:div w:id="505024855">
      <w:bodyDiv w:val="1"/>
      <w:marLeft w:val="0"/>
      <w:marRight w:val="0"/>
      <w:marTop w:val="0"/>
      <w:marBottom w:val="0"/>
      <w:divBdr>
        <w:top w:val="none" w:sz="0" w:space="0" w:color="auto"/>
        <w:left w:val="none" w:sz="0" w:space="0" w:color="auto"/>
        <w:bottom w:val="none" w:sz="0" w:space="0" w:color="auto"/>
        <w:right w:val="none" w:sz="0" w:space="0" w:color="auto"/>
      </w:divBdr>
    </w:div>
    <w:div w:id="505290747">
      <w:bodyDiv w:val="1"/>
      <w:marLeft w:val="0"/>
      <w:marRight w:val="0"/>
      <w:marTop w:val="0"/>
      <w:marBottom w:val="0"/>
      <w:divBdr>
        <w:top w:val="none" w:sz="0" w:space="0" w:color="auto"/>
        <w:left w:val="none" w:sz="0" w:space="0" w:color="auto"/>
        <w:bottom w:val="none" w:sz="0" w:space="0" w:color="auto"/>
        <w:right w:val="none" w:sz="0" w:space="0" w:color="auto"/>
      </w:divBdr>
    </w:div>
    <w:div w:id="646863230">
      <w:bodyDiv w:val="1"/>
      <w:marLeft w:val="0"/>
      <w:marRight w:val="0"/>
      <w:marTop w:val="0"/>
      <w:marBottom w:val="0"/>
      <w:divBdr>
        <w:top w:val="none" w:sz="0" w:space="0" w:color="auto"/>
        <w:left w:val="none" w:sz="0" w:space="0" w:color="auto"/>
        <w:bottom w:val="none" w:sz="0" w:space="0" w:color="auto"/>
        <w:right w:val="none" w:sz="0" w:space="0" w:color="auto"/>
      </w:divBdr>
    </w:div>
    <w:div w:id="668487422">
      <w:bodyDiv w:val="1"/>
      <w:marLeft w:val="0"/>
      <w:marRight w:val="0"/>
      <w:marTop w:val="0"/>
      <w:marBottom w:val="0"/>
      <w:divBdr>
        <w:top w:val="none" w:sz="0" w:space="0" w:color="auto"/>
        <w:left w:val="none" w:sz="0" w:space="0" w:color="auto"/>
        <w:bottom w:val="none" w:sz="0" w:space="0" w:color="auto"/>
        <w:right w:val="none" w:sz="0" w:space="0" w:color="auto"/>
      </w:divBdr>
    </w:div>
    <w:div w:id="850144917">
      <w:bodyDiv w:val="1"/>
      <w:marLeft w:val="0"/>
      <w:marRight w:val="0"/>
      <w:marTop w:val="0"/>
      <w:marBottom w:val="0"/>
      <w:divBdr>
        <w:top w:val="none" w:sz="0" w:space="0" w:color="auto"/>
        <w:left w:val="none" w:sz="0" w:space="0" w:color="auto"/>
        <w:bottom w:val="none" w:sz="0" w:space="0" w:color="auto"/>
        <w:right w:val="none" w:sz="0" w:space="0" w:color="auto"/>
      </w:divBdr>
    </w:div>
    <w:div w:id="905341658">
      <w:bodyDiv w:val="1"/>
      <w:marLeft w:val="0"/>
      <w:marRight w:val="0"/>
      <w:marTop w:val="0"/>
      <w:marBottom w:val="0"/>
      <w:divBdr>
        <w:top w:val="none" w:sz="0" w:space="0" w:color="auto"/>
        <w:left w:val="none" w:sz="0" w:space="0" w:color="auto"/>
        <w:bottom w:val="none" w:sz="0" w:space="0" w:color="auto"/>
        <w:right w:val="none" w:sz="0" w:space="0" w:color="auto"/>
      </w:divBdr>
    </w:div>
    <w:div w:id="923033310">
      <w:bodyDiv w:val="1"/>
      <w:marLeft w:val="0"/>
      <w:marRight w:val="0"/>
      <w:marTop w:val="0"/>
      <w:marBottom w:val="0"/>
      <w:divBdr>
        <w:top w:val="none" w:sz="0" w:space="0" w:color="auto"/>
        <w:left w:val="none" w:sz="0" w:space="0" w:color="auto"/>
        <w:bottom w:val="none" w:sz="0" w:space="0" w:color="auto"/>
        <w:right w:val="none" w:sz="0" w:space="0" w:color="auto"/>
      </w:divBdr>
    </w:div>
    <w:div w:id="933510305">
      <w:bodyDiv w:val="1"/>
      <w:marLeft w:val="0"/>
      <w:marRight w:val="0"/>
      <w:marTop w:val="0"/>
      <w:marBottom w:val="0"/>
      <w:divBdr>
        <w:top w:val="none" w:sz="0" w:space="0" w:color="auto"/>
        <w:left w:val="none" w:sz="0" w:space="0" w:color="auto"/>
        <w:bottom w:val="none" w:sz="0" w:space="0" w:color="auto"/>
        <w:right w:val="none" w:sz="0" w:space="0" w:color="auto"/>
      </w:divBdr>
    </w:div>
    <w:div w:id="948897529">
      <w:bodyDiv w:val="1"/>
      <w:marLeft w:val="0"/>
      <w:marRight w:val="0"/>
      <w:marTop w:val="0"/>
      <w:marBottom w:val="0"/>
      <w:divBdr>
        <w:top w:val="none" w:sz="0" w:space="0" w:color="auto"/>
        <w:left w:val="none" w:sz="0" w:space="0" w:color="auto"/>
        <w:bottom w:val="none" w:sz="0" w:space="0" w:color="auto"/>
        <w:right w:val="none" w:sz="0" w:space="0" w:color="auto"/>
      </w:divBdr>
    </w:div>
    <w:div w:id="1009065565">
      <w:bodyDiv w:val="1"/>
      <w:marLeft w:val="0"/>
      <w:marRight w:val="0"/>
      <w:marTop w:val="0"/>
      <w:marBottom w:val="0"/>
      <w:divBdr>
        <w:top w:val="none" w:sz="0" w:space="0" w:color="auto"/>
        <w:left w:val="none" w:sz="0" w:space="0" w:color="auto"/>
        <w:bottom w:val="none" w:sz="0" w:space="0" w:color="auto"/>
        <w:right w:val="none" w:sz="0" w:space="0" w:color="auto"/>
      </w:divBdr>
    </w:div>
    <w:div w:id="1012339415">
      <w:bodyDiv w:val="1"/>
      <w:marLeft w:val="0"/>
      <w:marRight w:val="0"/>
      <w:marTop w:val="0"/>
      <w:marBottom w:val="0"/>
      <w:divBdr>
        <w:top w:val="none" w:sz="0" w:space="0" w:color="auto"/>
        <w:left w:val="none" w:sz="0" w:space="0" w:color="auto"/>
        <w:bottom w:val="none" w:sz="0" w:space="0" w:color="auto"/>
        <w:right w:val="none" w:sz="0" w:space="0" w:color="auto"/>
      </w:divBdr>
    </w:div>
    <w:div w:id="1022705930">
      <w:bodyDiv w:val="1"/>
      <w:marLeft w:val="0"/>
      <w:marRight w:val="0"/>
      <w:marTop w:val="0"/>
      <w:marBottom w:val="0"/>
      <w:divBdr>
        <w:top w:val="none" w:sz="0" w:space="0" w:color="auto"/>
        <w:left w:val="none" w:sz="0" w:space="0" w:color="auto"/>
        <w:bottom w:val="none" w:sz="0" w:space="0" w:color="auto"/>
        <w:right w:val="none" w:sz="0" w:space="0" w:color="auto"/>
      </w:divBdr>
    </w:div>
    <w:div w:id="1040669434">
      <w:bodyDiv w:val="1"/>
      <w:marLeft w:val="0"/>
      <w:marRight w:val="0"/>
      <w:marTop w:val="0"/>
      <w:marBottom w:val="0"/>
      <w:divBdr>
        <w:top w:val="none" w:sz="0" w:space="0" w:color="auto"/>
        <w:left w:val="none" w:sz="0" w:space="0" w:color="auto"/>
        <w:bottom w:val="none" w:sz="0" w:space="0" w:color="auto"/>
        <w:right w:val="none" w:sz="0" w:space="0" w:color="auto"/>
      </w:divBdr>
    </w:div>
    <w:div w:id="1055158173">
      <w:bodyDiv w:val="1"/>
      <w:marLeft w:val="0"/>
      <w:marRight w:val="0"/>
      <w:marTop w:val="0"/>
      <w:marBottom w:val="0"/>
      <w:divBdr>
        <w:top w:val="none" w:sz="0" w:space="0" w:color="auto"/>
        <w:left w:val="none" w:sz="0" w:space="0" w:color="auto"/>
        <w:bottom w:val="none" w:sz="0" w:space="0" w:color="auto"/>
        <w:right w:val="none" w:sz="0" w:space="0" w:color="auto"/>
      </w:divBdr>
    </w:div>
    <w:div w:id="1106732188">
      <w:bodyDiv w:val="1"/>
      <w:marLeft w:val="0"/>
      <w:marRight w:val="0"/>
      <w:marTop w:val="0"/>
      <w:marBottom w:val="0"/>
      <w:divBdr>
        <w:top w:val="none" w:sz="0" w:space="0" w:color="auto"/>
        <w:left w:val="none" w:sz="0" w:space="0" w:color="auto"/>
        <w:bottom w:val="none" w:sz="0" w:space="0" w:color="auto"/>
        <w:right w:val="none" w:sz="0" w:space="0" w:color="auto"/>
      </w:divBdr>
    </w:div>
    <w:div w:id="1129324310">
      <w:bodyDiv w:val="1"/>
      <w:marLeft w:val="0"/>
      <w:marRight w:val="0"/>
      <w:marTop w:val="0"/>
      <w:marBottom w:val="0"/>
      <w:divBdr>
        <w:top w:val="none" w:sz="0" w:space="0" w:color="auto"/>
        <w:left w:val="none" w:sz="0" w:space="0" w:color="auto"/>
        <w:bottom w:val="none" w:sz="0" w:space="0" w:color="auto"/>
        <w:right w:val="none" w:sz="0" w:space="0" w:color="auto"/>
      </w:divBdr>
    </w:div>
    <w:div w:id="1257405115">
      <w:bodyDiv w:val="1"/>
      <w:marLeft w:val="0"/>
      <w:marRight w:val="0"/>
      <w:marTop w:val="0"/>
      <w:marBottom w:val="0"/>
      <w:divBdr>
        <w:top w:val="none" w:sz="0" w:space="0" w:color="auto"/>
        <w:left w:val="none" w:sz="0" w:space="0" w:color="auto"/>
        <w:bottom w:val="none" w:sz="0" w:space="0" w:color="auto"/>
        <w:right w:val="none" w:sz="0" w:space="0" w:color="auto"/>
      </w:divBdr>
    </w:div>
    <w:div w:id="1270043511">
      <w:bodyDiv w:val="1"/>
      <w:marLeft w:val="0"/>
      <w:marRight w:val="0"/>
      <w:marTop w:val="0"/>
      <w:marBottom w:val="0"/>
      <w:divBdr>
        <w:top w:val="none" w:sz="0" w:space="0" w:color="auto"/>
        <w:left w:val="none" w:sz="0" w:space="0" w:color="auto"/>
        <w:bottom w:val="none" w:sz="0" w:space="0" w:color="auto"/>
        <w:right w:val="none" w:sz="0" w:space="0" w:color="auto"/>
      </w:divBdr>
    </w:div>
    <w:div w:id="1298220734">
      <w:bodyDiv w:val="1"/>
      <w:marLeft w:val="0"/>
      <w:marRight w:val="0"/>
      <w:marTop w:val="0"/>
      <w:marBottom w:val="0"/>
      <w:divBdr>
        <w:top w:val="none" w:sz="0" w:space="0" w:color="auto"/>
        <w:left w:val="none" w:sz="0" w:space="0" w:color="auto"/>
        <w:bottom w:val="none" w:sz="0" w:space="0" w:color="auto"/>
        <w:right w:val="none" w:sz="0" w:space="0" w:color="auto"/>
      </w:divBdr>
    </w:div>
    <w:div w:id="1387417120">
      <w:bodyDiv w:val="1"/>
      <w:marLeft w:val="0"/>
      <w:marRight w:val="0"/>
      <w:marTop w:val="0"/>
      <w:marBottom w:val="0"/>
      <w:divBdr>
        <w:top w:val="none" w:sz="0" w:space="0" w:color="auto"/>
        <w:left w:val="none" w:sz="0" w:space="0" w:color="auto"/>
        <w:bottom w:val="none" w:sz="0" w:space="0" w:color="auto"/>
        <w:right w:val="none" w:sz="0" w:space="0" w:color="auto"/>
      </w:divBdr>
    </w:div>
    <w:div w:id="1390961913">
      <w:bodyDiv w:val="1"/>
      <w:marLeft w:val="0"/>
      <w:marRight w:val="0"/>
      <w:marTop w:val="0"/>
      <w:marBottom w:val="0"/>
      <w:divBdr>
        <w:top w:val="none" w:sz="0" w:space="0" w:color="auto"/>
        <w:left w:val="none" w:sz="0" w:space="0" w:color="auto"/>
        <w:bottom w:val="none" w:sz="0" w:space="0" w:color="auto"/>
        <w:right w:val="none" w:sz="0" w:space="0" w:color="auto"/>
      </w:divBdr>
    </w:div>
    <w:div w:id="1448811184">
      <w:bodyDiv w:val="1"/>
      <w:marLeft w:val="0"/>
      <w:marRight w:val="0"/>
      <w:marTop w:val="0"/>
      <w:marBottom w:val="0"/>
      <w:divBdr>
        <w:top w:val="none" w:sz="0" w:space="0" w:color="auto"/>
        <w:left w:val="none" w:sz="0" w:space="0" w:color="auto"/>
        <w:bottom w:val="none" w:sz="0" w:space="0" w:color="auto"/>
        <w:right w:val="none" w:sz="0" w:space="0" w:color="auto"/>
      </w:divBdr>
    </w:div>
    <w:div w:id="1460803161">
      <w:bodyDiv w:val="1"/>
      <w:marLeft w:val="0"/>
      <w:marRight w:val="0"/>
      <w:marTop w:val="0"/>
      <w:marBottom w:val="0"/>
      <w:divBdr>
        <w:top w:val="none" w:sz="0" w:space="0" w:color="auto"/>
        <w:left w:val="none" w:sz="0" w:space="0" w:color="auto"/>
        <w:bottom w:val="none" w:sz="0" w:space="0" w:color="auto"/>
        <w:right w:val="none" w:sz="0" w:space="0" w:color="auto"/>
      </w:divBdr>
    </w:div>
    <w:div w:id="1493830407">
      <w:bodyDiv w:val="1"/>
      <w:marLeft w:val="0"/>
      <w:marRight w:val="0"/>
      <w:marTop w:val="0"/>
      <w:marBottom w:val="0"/>
      <w:divBdr>
        <w:top w:val="none" w:sz="0" w:space="0" w:color="auto"/>
        <w:left w:val="none" w:sz="0" w:space="0" w:color="auto"/>
        <w:bottom w:val="none" w:sz="0" w:space="0" w:color="auto"/>
        <w:right w:val="none" w:sz="0" w:space="0" w:color="auto"/>
      </w:divBdr>
    </w:div>
    <w:div w:id="1509563893">
      <w:bodyDiv w:val="1"/>
      <w:marLeft w:val="0"/>
      <w:marRight w:val="0"/>
      <w:marTop w:val="0"/>
      <w:marBottom w:val="0"/>
      <w:divBdr>
        <w:top w:val="none" w:sz="0" w:space="0" w:color="auto"/>
        <w:left w:val="none" w:sz="0" w:space="0" w:color="auto"/>
        <w:bottom w:val="none" w:sz="0" w:space="0" w:color="auto"/>
        <w:right w:val="none" w:sz="0" w:space="0" w:color="auto"/>
      </w:divBdr>
    </w:div>
    <w:div w:id="1614435672">
      <w:bodyDiv w:val="1"/>
      <w:marLeft w:val="0"/>
      <w:marRight w:val="0"/>
      <w:marTop w:val="0"/>
      <w:marBottom w:val="0"/>
      <w:divBdr>
        <w:top w:val="none" w:sz="0" w:space="0" w:color="auto"/>
        <w:left w:val="none" w:sz="0" w:space="0" w:color="auto"/>
        <w:bottom w:val="none" w:sz="0" w:space="0" w:color="auto"/>
        <w:right w:val="none" w:sz="0" w:space="0" w:color="auto"/>
      </w:divBdr>
    </w:div>
    <w:div w:id="1622567857">
      <w:bodyDiv w:val="1"/>
      <w:marLeft w:val="0"/>
      <w:marRight w:val="0"/>
      <w:marTop w:val="0"/>
      <w:marBottom w:val="0"/>
      <w:divBdr>
        <w:top w:val="none" w:sz="0" w:space="0" w:color="auto"/>
        <w:left w:val="none" w:sz="0" w:space="0" w:color="auto"/>
        <w:bottom w:val="none" w:sz="0" w:space="0" w:color="auto"/>
        <w:right w:val="none" w:sz="0" w:space="0" w:color="auto"/>
      </w:divBdr>
    </w:div>
    <w:div w:id="1725255355">
      <w:bodyDiv w:val="1"/>
      <w:marLeft w:val="0"/>
      <w:marRight w:val="0"/>
      <w:marTop w:val="0"/>
      <w:marBottom w:val="0"/>
      <w:divBdr>
        <w:top w:val="none" w:sz="0" w:space="0" w:color="auto"/>
        <w:left w:val="none" w:sz="0" w:space="0" w:color="auto"/>
        <w:bottom w:val="none" w:sz="0" w:space="0" w:color="auto"/>
        <w:right w:val="none" w:sz="0" w:space="0" w:color="auto"/>
      </w:divBdr>
    </w:div>
    <w:div w:id="1744836743">
      <w:bodyDiv w:val="1"/>
      <w:marLeft w:val="0"/>
      <w:marRight w:val="0"/>
      <w:marTop w:val="0"/>
      <w:marBottom w:val="0"/>
      <w:divBdr>
        <w:top w:val="none" w:sz="0" w:space="0" w:color="auto"/>
        <w:left w:val="none" w:sz="0" w:space="0" w:color="auto"/>
        <w:bottom w:val="none" w:sz="0" w:space="0" w:color="auto"/>
        <w:right w:val="none" w:sz="0" w:space="0" w:color="auto"/>
      </w:divBdr>
    </w:div>
    <w:div w:id="1759910643">
      <w:bodyDiv w:val="1"/>
      <w:marLeft w:val="0"/>
      <w:marRight w:val="0"/>
      <w:marTop w:val="0"/>
      <w:marBottom w:val="0"/>
      <w:divBdr>
        <w:top w:val="none" w:sz="0" w:space="0" w:color="auto"/>
        <w:left w:val="none" w:sz="0" w:space="0" w:color="auto"/>
        <w:bottom w:val="none" w:sz="0" w:space="0" w:color="auto"/>
        <w:right w:val="none" w:sz="0" w:space="0" w:color="auto"/>
      </w:divBdr>
    </w:div>
    <w:div w:id="1768964271">
      <w:bodyDiv w:val="1"/>
      <w:marLeft w:val="0"/>
      <w:marRight w:val="0"/>
      <w:marTop w:val="0"/>
      <w:marBottom w:val="0"/>
      <w:divBdr>
        <w:top w:val="none" w:sz="0" w:space="0" w:color="auto"/>
        <w:left w:val="none" w:sz="0" w:space="0" w:color="auto"/>
        <w:bottom w:val="none" w:sz="0" w:space="0" w:color="auto"/>
        <w:right w:val="none" w:sz="0" w:space="0" w:color="auto"/>
      </w:divBdr>
    </w:div>
    <w:div w:id="1807434184">
      <w:bodyDiv w:val="1"/>
      <w:marLeft w:val="0"/>
      <w:marRight w:val="0"/>
      <w:marTop w:val="0"/>
      <w:marBottom w:val="0"/>
      <w:divBdr>
        <w:top w:val="none" w:sz="0" w:space="0" w:color="auto"/>
        <w:left w:val="none" w:sz="0" w:space="0" w:color="auto"/>
        <w:bottom w:val="none" w:sz="0" w:space="0" w:color="auto"/>
        <w:right w:val="none" w:sz="0" w:space="0" w:color="auto"/>
      </w:divBdr>
    </w:div>
    <w:div w:id="1844202496">
      <w:bodyDiv w:val="1"/>
      <w:marLeft w:val="0"/>
      <w:marRight w:val="0"/>
      <w:marTop w:val="0"/>
      <w:marBottom w:val="0"/>
      <w:divBdr>
        <w:top w:val="none" w:sz="0" w:space="0" w:color="auto"/>
        <w:left w:val="none" w:sz="0" w:space="0" w:color="auto"/>
        <w:bottom w:val="none" w:sz="0" w:space="0" w:color="auto"/>
        <w:right w:val="none" w:sz="0" w:space="0" w:color="auto"/>
      </w:divBdr>
    </w:div>
    <w:div w:id="1845240660">
      <w:bodyDiv w:val="1"/>
      <w:marLeft w:val="0"/>
      <w:marRight w:val="0"/>
      <w:marTop w:val="0"/>
      <w:marBottom w:val="0"/>
      <w:divBdr>
        <w:top w:val="none" w:sz="0" w:space="0" w:color="auto"/>
        <w:left w:val="none" w:sz="0" w:space="0" w:color="auto"/>
        <w:bottom w:val="none" w:sz="0" w:space="0" w:color="auto"/>
        <w:right w:val="none" w:sz="0" w:space="0" w:color="auto"/>
      </w:divBdr>
    </w:div>
    <w:div w:id="1865821700">
      <w:bodyDiv w:val="1"/>
      <w:marLeft w:val="0"/>
      <w:marRight w:val="0"/>
      <w:marTop w:val="0"/>
      <w:marBottom w:val="0"/>
      <w:divBdr>
        <w:top w:val="none" w:sz="0" w:space="0" w:color="auto"/>
        <w:left w:val="none" w:sz="0" w:space="0" w:color="auto"/>
        <w:bottom w:val="none" w:sz="0" w:space="0" w:color="auto"/>
        <w:right w:val="none" w:sz="0" w:space="0" w:color="auto"/>
      </w:divBdr>
    </w:div>
    <w:div w:id="1873837636">
      <w:bodyDiv w:val="1"/>
      <w:marLeft w:val="0"/>
      <w:marRight w:val="0"/>
      <w:marTop w:val="0"/>
      <w:marBottom w:val="0"/>
      <w:divBdr>
        <w:top w:val="none" w:sz="0" w:space="0" w:color="auto"/>
        <w:left w:val="none" w:sz="0" w:space="0" w:color="auto"/>
        <w:bottom w:val="none" w:sz="0" w:space="0" w:color="auto"/>
        <w:right w:val="none" w:sz="0" w:space="0" w:color="auto"/>
      </w:divBdr>
    </w:div>
    <w:div w:id="1911303730">
      <w:bodyDiv w:val="1"/>
      <w:marLeft w:val="0"/>
      <w:marRight w:val="0"/>
      <w:marTop w:val="0"/>
      <w:marBottom w:val="0"/>
      <w:divBdr>
        <w:top w:val="none" w:sz="0" w:space="0" w:color="auto"/>
        <w:left w:val="none" w:sz="0" w:space="0" w:color="auto"/>
        <w:bottom w:val="none" w:sz="0" w:space="0" w:color="auto"/>
        <w:right w:val="none" w:sz="0" w:space="0" w:color="auto"/>
      </w:divBdr>
    </w:div>
    <w:div w:id="1918435433">
      <w:bodyDiv w:val="1"/>
      <w:marLeft w:val="0"/>
      <w:marRight w:val="0"/>
      <w:marTop w:val="0"/>
      <w:marBottom w:val="0"/>
      <w:divBdr>
        <w:top w:val="none" w:sz="0" w:space="0" w:color="auto"/>
        <w:left w:val="none" w:sz="0" w:space="0" w:color="auto"/>
        <w:bottom w:val="none" w:sz="0" w:space="0" w:color="auto"/>
        <w:right w:val="none" w:sz="0" w:space="0" w:color="auto"/>
      </w:divBdr>
    </w:div>
    <w:div w:id="1976565850">
      <w:bodyDiv w:val="1"/>
      <w:marLeft w:val="0"/>
      <w:marRight w:val="0"/>
      <w:marTop w:val="0"/>
      <w:marBottom w:val="0"/>
      <w:divBdr>
        <w:top w:val="none" w:sz="0" w:space="0" w:color="auto"/>
        <w:left w:val="none" w:sz="0" w:space="0" w:color="auto"/>
        <w:bottom w:val="none" w:sz="0" w:space="0" w:color="auto"/>
        <w:right w:val="none" w:sz="0" w:space="0" w:color="auto"/>
      </w:divBdr>
    </w:div>
    <w:div w:id="2068256012">
      <w:bodyDiv w:val="1"/>
      <w:marLeft w:val="0"/>
      <w:marRight w:val="0"/>
      <w:marTop w:val="0"/>
      <w:marBottom w:val="0"/>
      <w:divBdr>
        <w:top w:val="none" w:sz="0" w:space="0" w:color="auto"/>
        <w:left w:val="none" w:sz="0" w:space="0" w:color="auto"/>
        <w:bottom w:val="none" w:sz="0" w:space="0" w:color="auto"/>
        <w:right w:val="none" w:sz="0" w:space="0" w:color="auto"/>
      </w:divBdr>
    </w:div>
    <w:div w:id="2081167724">
      <w:bodyDiv w:val="1"/>
      <w:marLeft w:val="0"/>
      <w:marRight w:val="0"/>
      <w:marTop w:val="0"/>
      <w:marBottom w:val="0"/>
      <w:divBdr>
        <w:top w:val="none" w:sz="0" w:space="0" w:color="auto"/>
        <w:left w:val="none" w:sz="0" w:space="0" w:color="auto"/>
        <w:bottom w:val="none" w:sz="0" w:space="0" w:color="auto"/>
        <w:right w:val="none" w:sz="0" w:space="0" w:color="auto"/>
      </w:divBdr>
    </w:div>
    <w:div w:id="2088069502">
      <w:bodyDiv w:val="1"/>
      <w:marLeft w:val="0"/>
      <w:marRight w:val="0"/>
      <w:marTop w:val="0"/>
      <w:marBottom w:val="0"/>
      <w:divBdr>
        <w:top w:val="none" w:sz="0" w:space="0" w:color="auto"/>
        <w:left w:val="none" w:sz="0" w:space="0" w:color="auto"/>
        <w:bottom w:val="none" w:sz="0" w:space="0" w:color="auto"/>
        <w:right w:val="none" w:sz="0" w:space="0" w:color="auto"/>
      </w:divBdr>
    </w:div>
    <w:div w:id="2092919889">
      <w:bodyDiv w:val="1"/>
      <w:marLeft w:val="0"/>
      <w:marRight w:val="0"/>
      <w:marTop w:val="0"/>
      <w:marBottom w:val="0"/>
      <w:divBdr>
        <w:top w:val="none" w:sz="0" w:space="0" w:color="auto"/>
        <w:left w:val="none" w:sz="0" w:space="0" w:color="auto"/>
        <w:bottom w:val="none" w:sz="0" w:space="0" w:color="auto"/>
        <w:right w:val="none" w:sz="0" w:space="0" w:color="auto"/>
      </w:divBdr>
    </w:div>
    <w:div w:id="209836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cid:image003.png@01DC0622.6DBFBFD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0/11/02/tk-bijlage-bestuurlijke-agenda-forensische-zorg" TargetMode="External"/><Relationship Id="rId2" Type="http://schemas.openxmlformats.org/officeDocument/2006/relationships/hyperlink" Target="https://www.rijksoverheid.nl/documenten/rapporten/2020/11/02/visie-forensische-zorg-2020" TargetMode="External"/><Relationship Id="rId1" Type="http://schemas.openxmlformats.org/officeDocument/2006/relationships/hyperlink" Target="https://www.rijksoverheid.nl/documenten/rapporten/2024/11/25/tk-bijlage-werkagenda-fz-reguliere-zorg-tk-editie" TargetMode="External"/><Relationship Id="rId5" Type="http://schemas.openxmlformats.org/officeDocument/2006/relationships/hyperlink" Target="https://www.tweedekamer.nl/kamerstukken/brieven_regering/detail?id=2021Z07930&amp;did=2021D17413" TargetMode="External"/><Relationship Id="rId4" Type="http://schemas.openxmlformats.org/officeDocument/2006/relationships/hyperlink" Target="https://www.tweedekamer.nl/kamerstukken/brieven_regering/detail?id=2025Z13715&amp;did=2025D3106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3110</ap:Words>
  <ap:Characters>17105</ap:Characters>
  <ap:DocSecurity>0</ap:DocSecurity>
  <ap:Lines>142</ap:Lines>
  <ap:Paragraphs>40</ap:Paragraphs>
  <ap:ScaleCrop>false</ap:ScaleCrop>
  <ap:LinksUpToDate>false</ap:LinksUpToDate>
  <ap:CharactersWithSpaces>20175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2025-09-11T11:24:00.0000000Z</dcterms:created>
  <dcterms:modified xsi:type="dcterms:W3CDTF">2025-09-11T11:24:00.0000000Z</dcterms:modified>
  <dc:description>------------------------</dc:description>
  <dc:subject/>
  <keywords/>
  <version/>
  <category/>
</coreProperties>
</file>