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5B06" w:rsidR="002048C4" w:rsidP="002048C4" w:rsidRDefault="002048C4" w14:paraId="3C767073" w14:textId="77777777">
      <w:pPr>
        <w:spacing w:after="160" w:line="259" w:lineRule="auto"/>
      </w:pPr>
      <w:r>
        <w:t>Recent gepubliceerde onderzoeksrapporten</w:t>
      </w:r>
      <w:r>
        <w:rPr>
          <w:rStyle w:val="Voetnootmarkering"/>
        </w:rPr>
        <w:footnoteReference w:id="1"/>
      </w:r>
      <w:r>
        <w:t xml:space="preserve"> </w:t>
      </w:r>
      <w:r w:rsidRPr="00DB5B06">
        <w:t>ge</w:t>
      </w:r>
      <w:r>
        <w:t>ven</w:t>
      </w:r>
      <w:r w:rsidRPr="00DB5B06">
        <w:t xml:space="preserve"> aanleiding om het </w:t>
      </w:r>
      <w:r>
        <w:t>landen</w:t>
      </w:r>
      <w:r w:rsidRPr="00DB5B06">
        <w:t>beleid</w:t>
      </w:r>
      <w:r>
        <w:t xml:space="preserve"> ten aanzien van Ethiopië en Gambia te wijzigen, omdat in zijn algemeenheid aangenomen kan worden dat voor alleenstaande minderjarige vreemdelingen </w:t>
      </w:r>
      <w:r w:rsidRPr="00DB5B06">
        <w:t>adequate opvang</w:t>
      </w:r>
      <w:r>
        <w:t xml:space="preserve"> </w:t>
      </w:r>
      <w:r w:rsidRPr="00DB5B06">
        <w:t>aanwezig is</w:t>
      </w:r>
      <w:r>
        <w:t xml:space="preserve">. </w:t>
      </w:r>
    </w:p>
    <w:p w:rsidRPr="00DB5B06" w:rsidR="002048C4" w:rsidP="002048C4" w:rsidRDefault="002048C4" w14:paraId="26C4CB3D" w14:textId="6F99A827">
      <w:pPr>
        <w:spacing w:after="160" w:line="259" w:lineRule="auto"/>
      </w:pPr>
      <w:r>
        <w:t xml:space="preserve">Voorwaarde voor het nemen van een terugkeerbesluit ten aanzien van een </w:t>
      </w:r>
      <w:proofErr w:type="spellStart"/>
      <w:r>
        <w:t>amv</w:t>
      </w:r>
      <w:proofErr w:type="spellEnd"/>
      <w:r>
        <w:t xml:space="preserve"> </w:t>
      </w:r>
      <w:r w:rsidRPr="00DB5B06">
        <w:t>is dat in het</w:t>
      </w:r>
      <w:r w:rsidR="00DA1DCD">
        <w:t xml:space="preserve"> </w:t>
      </w:r>
      <w:r w:rsidRPr="00DB5B06">
        <w:t xml:space="preserve">land van herkomst sprake </w:t>
      </w:r>
      <w:r>
        <w:t>is</w:t>
      </w:r>
      <w:r w:rsidRPr="00DB5B06">
        <w:t xml:space="preserve"> van adequate opvang (omschreven in paragraaf</w:t>
      </w:r>
      <w:r>
        <w:t xml:space="preserve"> </w:t>
      </w:r>
      <w:r w:rsidRPr="00DB5B06">
        <w:t xml:space="preserve">B8/6.1 van de </w:t>
      </w:r>
      <w:proofErr w:type="spellStart"/>
      <w:r w:rsidRPr="00DB5B06">
        <w:t>Vc</w:t>
      </w:r>
      <w:proofErr w:type="spellEnd"/>
      <w:r w:rsidRPr="00DB5B06">
        <w:t xml:space="preserve"> 2000). </w:t>
      </w:r>
      <w:r>
        <w:t>P</w:t>
      </w:r>
      <w:r w:rsidRPr="000D3A14">
        <w:t xml:space="preserve">rimair </w:t>
      </w:r>
      <w:r>
        <w:t xml:space="preserve">zal </w:t>
      </w:r>
      <w:r w:rsidRPr="000D3A14">
        <w:t>worden getracht</w:t>
      </w:r>
      <w:r>
        <w:t xml:space="preserve"> </w:t>
      </w:r>
      <w:r w:rsidRPr="00DB5B06">
        <w:t xml:space="preserve">om de </w:t>
      </w:r>
      <w:proofErr w:type="spellStart"/>
      <w:r w:rsidRPr="00DB5B06">
        <w:t>amv</w:t>
      </w:r>
      <w:proofErr w:type="spellEnd"/>
      <w:r w:rsidRPr="00DB5B06">
        <w:t xml:space="preserve"> te herenigen met zijn ouder(s),</w:t>
      </w:r>
      <w:r>
        <w:t xml:space="preserve"> </w:t>
      </w:r>
      <w:r w:rsidRPr="00DB5B06">
        <w:t>familieleden tot in de vierde graad, of een meerderjarige waarvan uit feiten en omstandigheden</w:t>
      </w:r>
      <w:r>
        <w:t xml:space="preserve"> </w:t>
      </w:r>
      <w:r w:rsidRPr="00DB5B06">
        <w:t>is gebleken dat hij/zij adequate opvang kan bieden. Als dat niet lukt</w:t>
      </w:r>
      <w:r w:rsidR="00DA1DCD">
        <w:t>,</w:t>
      </w:r>
      <w:r w:rsidRPr="00DB5B06">
        <w:t xml:space="preserve"> wordt bekeken</w:t>
      </w:r>
      <w:r>
        <w:t xml:space="preserve"> </w:t>
      </w:r>
      <w:r w:rsidRPr="00DB5B06">
        <w:t>of opvang mogelijk is in een adequate opvangvoorziening. De opvangvoorziening dient</w:t>
      </w:r>
      <w:r>
        <w:t xml:space="preserve"> </w:t>
      </w:r>
      <w:r w:rsidRPr="00DB5B06">
        <w:t>in ieder geval naar lokale maatstaven het volgende te bieden:</w:t>
      </w:r>
    </w:p>
    <w:p w:rsidRPr="00DB5B06" w:rsidR="002048C4" w:rsidP="002048C4" w:rsidRDefault="002048C4" w14:paraId="66B5A65E" w14:textId="77777777">
      <w:pPr>
        <w:pStyle w:val="Lijstalinea"/>
        <w:numPr>
          <w:ilvl w:val="0"/>
          <w:numId w:val="9"/>
        </w:numPr>
        <w:spacing w:after="160" w:line="259" w:lineRule="auto"/>
      </w:pPr>
      <w:r w:rsidRPr="00DB5B06">
        <w:t>onderdak tot de leeftijd van 18 jaar, of tot het moment dat de minderjarige kan worden</w:t>
      </w:r>
      <w:r>
        <w:t xml:space="preserve"> </w:t>
      </w:r>
      <w:r w:rsidRPr="00DB5B06">
        <w:t>opgevangen door zijn eigen familie;</w:t>
      </w:r>
    </w:p>
    <w:p w:rsidRPr="00DB5B06" w:rsidR="002048C4" w:rsidP="002048C4" w:rsidRDefault="002048C4" w14:paraId="61BC61BA" w14:textId="77777777">
      <w:pPr>
        <w:pStyle w:val="Lijstalinea"/>
        <w:numPr>
          <w:ilvl w:val="0"/>
          <w:numId w:val="9"/>
        </w:numPr>
        <w:spacing w:after="160" w:line="259" w:lineRule="auto"/>
      </w:pPr>
      <w:r w:rsidRPr="00DB5B06">
        <w:t>beschikbaarheid van voedsel, kleding en hygiëne;</w:t>
      </w:r>
    </w:p>
    <w:p w:rsidRPr="00DB5B06" w:rsidR="002048C4" w:rsidP="002048C4" w:rsidRDefault="002048C4" w14:paraId="12FE06E6" w14:textId="77777777">
      <w:pPr>
        <w:pStyle w:val="Lijstalinea"/>
        <w:numPr>
          <w:ilvl w:val="0"/>
          <w:numId w:val="9"/>
        </w:numPr>
        <w:spacing w:after="160" w:line="259" w:lineRule="auto"/>
      </w:pPr>
      <w:r w:rsidRPr="00DB5B06">
        <w:t>toegang tot onderwijsvoorzieningen; en,</w:t>
      </w:r>
    </w:p>
    <w:p w:rsidRPr="00DB5B06" w:rsidR="002048C4" w:rsidP="002048C4" w:rsidRDefault="002048C4" w14:paraId="365B4F5E" w14:textId="77777777">
      <w:pPr>
        <w:pStyle w:val="Lijstalinea"/>
        <w:numPr>
          <w:ilvl w:val="0"/>
          <w:numId w:val="9"/>
        </w:numPr>
        <w:spacing w:after="160" w:line="259" w:lineRule="auto"/>
      </w:pPr>
      <w:r w:rsidRPr="00DB5B06">
        <w:t>aanwezigheid van medische verzorging.</w:t>
      </w:r>
    </w:p>
    <w:p w:rsidR="002048C4" w:rsidP="002048C4" w:rsidRDefault="002048C4" w14:paraId="68008A42" w14:textId="3A544AB1">
      <w:pPr>
        <w:spacing w:after="160" w:line="259" w:lineRule="auto"/>
      </w:pPr>
      <w:r w:rsidRPr="00DB5B06">
        <w:t xml:space="preserve">Uit </w:t>
      </w:r>
      <w:r>
        <w:t>het onderzoek dat in opdracht van de IND is uitgevoerd</w:t>
      </w:r>
      <w:r w:rsidR="00DA1DCD">
        <w:t>,</w:t>
      </w:r>
      <w:r>
        <w:t xml:space="preserve"> blijkt dat </w:t>
      </w:r>
      <w:r w:rsidR="00DA1DCD">
        <w:t xml:space="preserve">een </w:t>
      </w:r>
      <w:r>
        <w:t xml:space="preserve">opvangvoorziening in Ethiopië en twee opvangvoorzieningen in Gambia in zijn algemeenheid kunnen worden aangemerkt als adequaat. Uit de gedetailleerde onderzoeksrapporten blijkt dat aan </w:t>
      </w:r>
      <w:r w:rsidR="00C57C5D">
        <w:t>bovengenoemde</w:t>
      </w:r>
      <w:r>
        <w:t xml:space="preserve"> voorwaarden om adequate opvang aan te nemen, wordt voldaan. De opvangvoorzieningen bieden onderdak aan alleenstaande minderjarigen tot 18 jaar. De beschikbaarheid van maaltijden, kleding en hygiëne is geborgd. D</w:t>
      </w:r>
      <w:r w:rsidRPr="00615DB3">
        <w:t xml:space="preserve">e </w:t>
      </w:r>
      <w:r>
        <w:t>opvang</w:t>
      </w:r>
      <w:r w:rsidRPr="00615DB3">
        <w:t>voorziening</w:t>
      </w:r>
      <w:r>
        <w:t xml:space="preserve">en garanderen </w:t>
      </w:r>
      <w:r w:rsidRPr="00615DB3">
        <w:t xml:space="preserve">toegang tot onderwijs </w:t>
      </w:r>
      <w:r>
        <w:t xml:space="preserve">en medische zorg. </w:t>
      </w:r>
    </w:p>
    <w:p w:rsidR="005B2800" w:rsidP="002048C4" w:rsidRDefault="002048C4" w14:paraId="4C59B855" w14:textId="77777777">
      <w:pPr>
        <w:spacing w:after="160" w:line="259" w:lineRule="auto"/>
      </w:pPr>
      <w:r>
        <w:t>Daarom</w:t>
      </w:r>
      <w:r w:rsidRPr="00DB5B06">
        <w:t xml:space="preserve"> wordt in de </w:t>
      </w:r>
      <w:proofErr w:type="spellStart"/>
      <w:r w:rsidRPr="00DB5B06">
        <w:t>Vc</w:t>
      </w:r>
      <w:proofErr w:type="spellEnd"/>
      <w:r w:rsidRPr="00DB5B06">
        <w:t xml:space="preserve"> 2000 opgenomen dat </w:t>
      </w:r>
      <w:r>
        <w:t xml:space="preserve">er </w:t>
      </w:r>
      <w:r w:rsidRPr="00DB5B06">
        <w:t xml:space="preserve">in </w:t>
      </w:r>
      <w:r>
        <w:t xml:space="preserve">Ethiopië en Gambia </w:t>
      </w:r>
      <w:r w:rsidRPr="00DB5B06">
        <w:t>adequate opvang in de zin van paragraaf B8/6.1 van</w:t>
      </w:r>
      <w:r>
        <w:t xml:space="preserve"> </w:t>
      </w:r>
      <w:r w:rsidRPr="00DB5B06">
        <w:t xml:space="preserve">de </w:t>
      </w:r>
      <w:proofErr w:type="spellStart"/>
      <w:r w:rsidRPr="00DB5B06">
        <w:t>Vc</w:t>
      </w:r>
      <w:proofErr w:type="spellEnd"/>
      <w:r w:rsidRPr="00DB5B06">
        <w:t xml:space="preserve"> 2000 aanwezig is. Met deze beleidswijziging </w:t>
      </w:r>
      <w:r>
        <w:t xml:space="preserve">is het voor de IND mogelijk om in beginsel aan te nemen dat voor </w:t>
      </w:r>
      <w:proofErr w:type="spellStart"/>
      <w:r>
        <w:t>amv</w:t>
      </w:r>
      <w:proofErr w:type="spellEnd"/>
      <w:r>
        <w:t xml:space="preserve"> uit Ethiopië en Gambia adequate opvang aanwezig is zodat na afwijzing van de asielaanvraag een terugkeerbesluit kan worden opgelegd.</w:t>
      </w:r>
    </w:p>
    <w:p w:rsidRPr="00DB5B06" w:rsidR="002048C4" w:rsidP="002048C4" w:rsidRDefault="002048C4" w14:paraId="77C50042" w14:textId="290175C3">
      <w:pPr>
        <w:spacing w:after="160" w:line="259" w:lineRule="auto"/>
      </w:pPr>
      <w:proofErr w:type="spellStart"/>
      <w:r w:rsidRPr="00DB5B06">
        <w:t>DT</w:t>
      </w:r>
      <w:r>
        <w:t>en</w:t>
      </w:r>
      <w:r w:rsidRPr="00DB5B06">
        <w:t>V</w:t>
      </w:r>
      <w:proofErr w:type="spellEnd"/>
      <w:r w:rsidRPr="00DB5B06">
        <w:t xml:space="preserve"> zal in elke individuele zaak waar feitelijke</w:t>
      </w:r>
      <w:r>
        <w:t xml:space="preserve"> </w:t>
      </w:r>
      <w:r w:rsidRPr="00DB5B06">
        <w:t xml:space="preserve">terugkeer aan de orde is, </w:t>
      </w:r>
      <w:r>
        <w:t xml:space="preserve">organiseren dat er voor de </w:t>
      </w:r>
      <w:proofErr w:type="spellStart"/>
      <w:r>
        <w:t>amv</w:t>
      </w:r>
      <w:proofErr w:type="spellEnd"/>
      <w:r>
        <w:t xml:space="preserve"> na aankomst ook daadwerkelijk toegang tot de adequate opvang is geregeld.</w:t>
      </w:r>
      <w:r w:rsidRPr="00DB5B06">
        <w:t xml:space="preserve"> </w:t>
      </w:r>
    </w:p>
    <w:p w:rsidRPr="00256A73" w:rsidR="002048C4" w:rsidP="002048C4" w:rsidRDefault="002048C4" w14:paraId="5BA7CE99" w14:textId="086A3C49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  <w:r>
        <w:br/>
      </w:r>
      <w:r>
        <w:rPr>
          <w:rFonts w:eastAsia="Aptos" w:cs="Calibri"/>
          <w:color w:val="auto"/>
          <w:lang w:eastAsia="en-US"/>
          <w14:ligatures w14:val="standardContextual"/>
        </w:rPr>
        <w:t xml:space="preserve">De </w:t>
      </w:r>
      <w:r w:rsidRPr="00256A73">
        <w:rPr>
          <w:rFonts w:eastAsia="Aptos" w:cs="Calibri"/>
          <w:color w:val="auto"/>
          <w:lang w:eastAsia="en-US"/>
          <w14:ligatures w14:val="standardContextual"/>
        </w:rPr>
        <w:t xml:space="preserve">Minister van </w:t>
      </w:r>
      <w:r>
        <w:rPr>
          <w:rFonts w:eastAsia="Aptos" w:cs="Calibri"/>
          <w:color w:val="auto"/>
          <w:lang w:eastAsia="en-US"/>
          <w14:ligatures w14:val="standardContextual"/>
        </w:rPr>
        <w:t>A</w:t>
      </w:r>
      <w:r w:rsidRPr="00256A73">
        <w:rPr>
          <w:rFonts w:eastAsia="Aptos" w:cs="Calibri"/>
          <w:color w:val="auto"/>
          <w:lang w:eastAsia="en-US"/>
          <w14:ligatures w14:val="standardContextual"/>
        </w:rPr>
        <w:t xml:space="preserve">siel en </w:t>
      </w:r>
      <w:r>
        <w:rPr>
          <w:rFonts w:eastAsia="Aptos" w:cs="Calibri"/>
          <w:color w:val="auto"/>
          <w:lang w:eastAsia="en-US"/>
          <w14:ligatures w14:val="standardContextual"/>
        </w:rPr>
        <w:t>M</w:t>
      </w:r>
      <w:r w:rsidRPr="00256A73">
        <w:rPr>
          <w:rFonts w:eastAsia="Aptos" w:cs="Calibri"/>
          <w:color w:val="auto"/>
          <w:lang w:eastAsia="en-US"/>
          <w14:ligatures w14:val="standardContextual"/>
        </w:rPr>
        <w:t>igratie,</w:t>
      </w:r>
    </w:p>
    <w:p w:rsidR="002048C4" w:rsidP="002048C4" w:rsidRDefault="002048C4" w14:paraId="4FADAFB4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553A6A5A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3D0ECFFE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7C4E202E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5C358DE7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  <w:r w:rsidRPr="00256A73">
        <w:rPr>
          <w:rFonts w:eastAsia="Aptos" w:cs="Calibri"/>
          <w:color w:val="auto"/>
          <w:lang w:eastAsia="en-US"/>
          <w14:ligatures w14:val="standardContextual"/>
        </w:rPr>
        <w:t>D.M. van Weel</w:t>
      </w:r>
    </w:p>
    <w:p w:rsidR="002048C4" w:rsidP="002048C4" w:rsidRDefault="002048C4" w14:paraId="0D91C73D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2C952D5A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71F9A664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1713C39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40200DC8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28BD788A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07C61988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55CE3040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621DE9C7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309E7207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49893E40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3125F092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78AEA48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474A8C72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1FAC569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5C74185F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6CD7DC6F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30308C0E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5179C722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47D93938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7374F953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698DD924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01D01AD1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27A16426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758BBD53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0CEB20DA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3357FCE0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518CE142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24AA908C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3E781018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F0E3C44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002AC47D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03C0A357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046EF5E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0C5991D3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633C0070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0FE9B466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3BA77D6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73940ADB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17163A8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4608CD51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5AB9797C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8767AD1" w14:textId="77777777">
      <w:pPr>
        <w:autoSpaceDN/>
        <w:spacing w:line="240" w:lineRule="auto"/>
        <w:textAlignment w:val="auto"/>
        <w:rPr>
          <w:rFonts w:eastAsia="Aptos" w:cs="Calibri"/>
          <w:color w:val="auto"/>
          <w:lang w:eastAsia="en-US"/>
          <w14:ligatures w14:val="standardContextual"/>
        </w:rPr>
      </w:pPr>
    </w:p>
    <w:p w:rsidR="002048C4" w:rsidP="002048C4" w:rsidRDefault="002048C4" w14:paraId="14526591" w14:textId="77777777"/>
    <w:p w:rsidRPr="002048C4" w:rsidR="00806FCC" w:rsidP="002048C4" w:rsidRDefault="00806FCC" w14:paraId="6CE73842" w14:textId="77777777"/>
    <w:sectPr w:rsidRPr="002048C4" w:rsidR="00806FCC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FBAF" w14:textId="77777777" w:rsidR="00951988" w:rsidRDefault="00951988">
      <w:pPr>
        <w:spacing w:line="240" w:lineRule="auto"/>
      </w:pPr>
      <w:r>
        <w:separator/>
      </w:r>
    </w:p>
  </w:endnote>
  <w:endnote w:type="continuationSeparator" w:id="0">
    <w:p w14:paraId="26122B98" w14:textId="77777777" w:rsidR="00951988" w:rsidRDefault="00951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F03D" w14:textId="77777777" w:rsidR="00806FCC" w:rsidRDefault="00806FC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AC3E" w14:textId="77777777" w:rsidR="00951988" w:rsidRDefault="00951988">
      <w:pPr>
        <w:spacing w:line="240" w:lineRule="auto"/>
      </w:pPr>
      <w:r>
        <w:separator/>
      </w:r>
    </w:p>
  </w:footnote>
  <w:footnote w:type="continuationSeparator" w:id="0">
    <w:p w14:paraId="4F9EE7AA" w14:textId="77777777" w:rsidR="00951988" w:rsidRDefault="00951988">
      <w:pPr>
        <w:spacing w:line="240" w:lineRule="auto"/>
      </w:pPr>
      <w:r>
        <w:continuationSeparator/>
      </w:r>
    </w:p>
  </w:footnote>
  <w:footnote w:id="1">
    <w:p w14:paraId="380F23A6" w14:textId="77777777" w:rsidR="002048C4" w:rsidRPr="00C57C5D" w:rsidRDefault="002048C4" w:rsidP="002048C4">
      <w:pPr>
        <w:pStyle w:val="Voetnoottekst"/>
        <w:rPr>
          <w:color w:val="auto"/>
          <w:sz w:val="16"/>
          <w:szCs w:val="16"/>
        </w:rPr>
      </w:pPr>
      <w:r w:rsidRPr="00C57C5D">
        <w:rPr>
          <w:rStyle w:val="Voetnootmarkering"/>
          <w:color w:val="auto"/>
          <w:sz w:val="16"/>
          <w:szCs w:val="16"/>
        </w:rPr>
        <w:footnoteRef/>
      </w:r>
      <w:r w:rsidRPr="00C57C5D">
        <w:rPr>
          <w:color w:val="auto"/>
          <w:sz w:val="16"/>
          <w:szCs w:val="16"/>
        </w:rPr>
        <w:t xml:space="preserve"> </w:t>
      </w:r>
      <w:hyperlink r:id="rId1" w:history="1">
        <w:r w:rsidRPr="00C57C5D">
          <w:rPr>
            <w:rStyle w:val="Hyperlink"/>
            <w:color w:val="auto"/>
            <w:sz w:val="16"/>
            <w:szCs w:val="16"/>
          </w:rPr>
          <w:t>Ethiopië: General Report on a shelter (1) in Addis Ababa - Immigratie- en Naturalisatiedienst</w:t>
        </w:r>
      </w:hyperlink>
      <w:r w:rsidRPr="00C57C5D">
        <w:rPr>
          <w:color w:val="auto"/>
          <w:sz w:val="16"/>
          <w:szCs w:val="16"/>
        </w:rPr>
        <w:t>;</w:t>
      </w:r>
    </w:p>
    <w:bookmarkStart w:id="0" w:name="_Hlk204014722"/>
    <w:p w14:paraId="5D4D9EEF" w14:textId="77777777" w:rsidR="002048C4" w:rsidRPr="00C57C5D" w:rsidRDefault="002048C4" w:rsidP="002048C4">
      <w:pPr>
        <w:pStyle w:val="Voetnoottekst"/>
        <w:rPr>
          <w:color w:val="auto"/>
          <w:sz w:val="16"/>
          <w:szCs w:val="16"/>
        </w:rPr>
      </w:pPr>
      <w:r w:rsidRPr="00C57C5D">
        <w:rPr>
          <w:color w:val="auto"/>
          <w:sz w:val="16"/>
          <w:szCs w:val="16"/>
        </w:rPr>
        <w:fldChar w:fldCharType="begin"/>
      </w:r>
      <w:r w:rsidRPr="00C57C5D">
        <w:rPr>
          <w:color w:val="auto"/>
          <w:sz w:val="16"/>
          <w:szCs w:val="16"/>
        </w:rPr>
        <w:instrText>HYPERLINK "https://puc.overheid.nl/ind/doc/PUC_1374245_1/1/"</w:instrText>
      </w:r>
      <w:r w:rsidRPr="00C57C5D">
        <w:rPr>
          <w:color w:val="auto"/>
          <w:sz w:val="16"/>
          <w:szCs w:val="16"/>
        </w:rPr>
      </w:r>
      <w:r w:rsidRPr="00C57C5D">
        <w:rPr>
          <w:color w:val="auto"/>
          <w:sz w:val="16"/>
          <w:szCs w:val="16"/>
        </w:rPr>
        <w:fldChar w:fldCharType="separate"/>
      </w:r>
      <w:r w:rsidRPr="00C57C5D">
        <w:rPr>
          <w:rStyle w:val="Hyperlink"/>
          <w:color w:val="auto"/>
          <w:sz w:val="16"/>
          <w:szCs w:val="16"/>
        </w:rPr>
        <w:t xml:space="preserve">Gambia: </w:t>
      </w:r>
      <w:proofErr w:type="spellStart"/>
      <w:r w:rsidRPr="00C57C5D">
        <w:rPr>
          <w:rStyle w:val="Hyperlink"/>
          <w:color w:val="auto"/>
          <w:sz w:val="16"/>
          <w:szCs w:val="16"/>
        </w:rPr>
        <w:t>Visit</w:t>
      </w:r>
      <w:proofErr w:type="spellEnd"/>
      <w:r w:rsidRPr="00C57C5D">
        <w:rPr>
          <w:rStyle w:val="Hyperlink"/>
          <w:color w:val="auto"/>
          <w:sz w:val="16"/>
          <w:szCs w:val="16"/>
        </w:rPr>
        <w:t xml:space="preserve"> </w:t>
      </w:r>
      <w:proofErr w:type="spellStart"/>
      <w:r w:rsidRPr="00C57C5D">
        <w:rPr>
          <w:rStyle w:val="Hyperlink"/>
          <w:color w:val="auto"/>
          <w:sz w:val="16"/>
          <w:szCs w:val="16"/>
        </w:rPr>
        <w:t>to</w:t>
      </w:r>
      <w:proofErr w:type="spellEnd"/>
      <w:r w:rsidRPr="00C57C5D">
        <w:rPr>
          <w:rStyle w:val="Hyperlink"/>
          <w:color w:val="auto"/>
          <w:sz w:val="16"/>
          <w:szCs w:val="16"/>
        </w:rPr>
        <w:t xml:space="preserve"> a Shelter </w:t>
      </w:r>
      <w:proofErr w:type="spellStart"/>
      <w:r w:rsidRPr="00C57C5D">
        <w:rPr>
          <w:rStyle w:val="Hyperlink"/>
          <w:color w:val="auto"/>
          <w:sz w:val="16"/>
          <w:szCs w:val="16"/>
        </w:rPr>
        <w:t>for</w:t>
      </w:r>
      <w:proofErr w:type="spellEnd"/>
      <w:r w:rsidRPr="00C57C5D">
        <w:rPr>
          <w:rStyle w:val="Hyperlink"/>
          <w:color w:val="auto"/>
          <w:sz w:val="16"/>
          <w:szCs w:val="16"/>
        </w:rPr>
        <w:t xml:space="preserve"> </w:t>
      </w:r>
      <w:proofErr w:type="spellStart"/>
      <w:r w:rsidRPr="00C57C5D">
        <w:rPr>
          <w:rStyle w:val="Hyperlink"/>
          <w:color w:val="auto"/>
          <w:sz w:val="16"/>
          <w:szCs w:val="16"/>
        </w:rPr>
        <w:t>Children</w:t>
      </w:r>
      <w:proofErr w:type="spellEnd"/>
      <w:r w:rsidRPr="00C57C5D">
        <w:rPr>
          <w:rStyle w:val="Hyperlink"/>
          <w:color w:val="auto"/>
          <w:sz w:val="16"/>
          <w:szCs w:val="16"/>
        </w:rPr>
        <w:t xml:space="preserve"> (1) - Immigratie- en Naturalisatiedienst</w:t>
      </w:r>
      <w:r w:rsidRPr="00C57C5D">
        <w:rPr>
          <w:color w:val="auto"/>
          <w:sz w:val="16"/>
          <w:szCs w:val="16"/>
        </w:rPr>
        <w:fldChar w:fldCharType="end"/>
      </w:r>
      <w:r w:rsidRPr="00C57C5D">
        <w:rPr>
          <w:color w:val="auto"/>
          <w:sz w:val="16"/>
          <w:szCs w:val="16"/>
        </w:rPr>
        <w:t>;</w:t>
      </w:r>
    </w:p>
    <w:bookmarkStart w:id="1" w:name="_Hlk204014732"/>
    <w:bookmarkEnd w:id="0"/>
    <w:p w14:paraId="05D71B88" w14:textId="77777777" w:rsidR="002048C4" w:rsidRPr="00C04A52" w:rsidRDefault="002048C4" w:rsidP="002048C4">
      <w:pPr>
        <w:pStyle w:val="Voetnoottekst"/>
        <w:rPr>
          <w:lang w:val="en-US"/>
        </w:rPr>
      </w:pPr>
      <w:r w:rsidRPr="00C57C5D">
        <w:rPr>
          <w:color w:val="auto"/>
          <w:sz w:val="16"/>
          <w:szCs w:val="16"/>
        </w:rPr>
        <w:fldChar w:fldCharType="begin"/>
      </w:r>
      <w:r w:rsidRPr="005B2800">
        <w:rPr>
          <w:color w:val="auto"/>
          <w:sz w:val="16"/>
          <w:szCs w:val="16"/>
          <w:lang w:val="en-US"/>
        </w:rPr>
        <w:instrText>HYPERLINK "https://puc.overheid.nl/ind/doc/PUC_1374242_1/1/"</w:instrText>
      </w:r>
      <w:r w:rsidRPr="00C57C5D">
        <w:rPr>
          <w:color w:val="auto"/>
          <w:sz w:val="16"/>
          <w:szCs w:val="16"/>
        </w:rPr>
      </w:r>
      <w:r w:rsidRPr="00C57C5D">
        <w:rPr>
          <w:color w:val="auto"/>
          <w:sz w:val="16"/>
          <w:szCs w:val="16"/>
        </w:rPr>
        <w:fldChar w:fldCharType="separate"/>
      </w:r>
      <w:r w:rsidRPr="005B2800">
        <w:rPr>
          <w:rStyle w:val="Hyperlink"/>
          <w:color w:val="auto"/>
          <w:sz w:val="16"/>
          <w:szCs w:val="16"/>
          <w:lang w:val="en-US"/>
        </w:rPr>
        <w:t>Gambia: Visit to a Shelter for Children (2) - Immigratie- en Naturalisatiedienst</w:t>
      </w:r>
      <w:r w:rsidRPr="00C57C5D">
        <w:rPr>
          <w:color w:val="auto"/>
          <w:sz w:val="16"/>
          <w:szCs w:val="16"/>
        </w:rPr>
        <w:fldChar w:fldCharType="end"/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8DF1" w14:textId="77777777" w:rsidR="00806FCC" w:rsidRDefault="006238F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6F22C3B" wp14:editId="4397C37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9D204" w14:textId="77777777" w:rsidR="00806FCC" w:rsidRDefault="006238F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5D6A9AAC" w14:textId="77777777" w:rsidR="00806FCC" w:rsidRDefault="00806FCC">
                          <w:pPr>
                            <w:pStyle w:val="WitregelW2"/>
                          </w:pPr>
                        </w:p>
                        <w:p w14:paraId="5DBCB3AA" w14:textId="77777777" w:rsidR="00806FCC" w:rsidRDefault="006238F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B457247" w14:textId="2F524AA3" w:rsidR="00806FCC" w:rsidRDefault="00951988">
                          <w:pPr>
                            <w:pStyle w:val="Referentiegegevens"/>
                          </w:pPr>
                          <w:sdt>
                            <w:sdtPr>
                              <w:id w:val="820931243"/>
                              <w:date w:fullDate="2025-09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2800">
                                <w:rPr>
                                  <w:lang w:val="nl"/>
                                </w:rPr>
                                <w:t>9 september 2025</w:t>
                              </w:r>
                            </w:sdtContent>
                          </w:sdt>
                        </w:p>
                        <w:p w14:paraId="223DC864" w14:textId="77777777" w:rsidR="00806FCC" w:rsidRDefault="00806FCC">
                          <w:pPr>
                            <w:pStyle w:val="WitregelW1"/>
                          </w:pPr>
                        </w:p>
                        <w:p w14:paraId="373D5974" w14:textId="77777777" w:rsidR="00806FCC" w:rsidRDefault="006238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79D88AA" w14:textId="77777777" w:rsidR="00806FCC" w:rsidRDefault="006238F5">
                          <w:pPr>
                            <w:pStyle w:val="Referentiegegevens"/>
                          </w:pPr>
                          <w:r>
                            <w:t>6541196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F22C3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629D204" w14:textId="77777777" w:rsidR="00806FCC" w:rsidRDefault="006238F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5D6A9AAC" w14:textId="77777777" w:rsidR="00806FCC" w:rsidRDefault="00806FCC">
                    <w:pPr>
                      <w:pStyle w:val="WitregelW2"/>
                    </w:pPr>
                  </w:p>
                  <w:p w14:paraId="5DBCB3AA" w14:textId="77777777" w:rsidR="00806FCC" w:rsidRDefault="006238F5">
                    <w:pPr>
                      <w:pStyle w:val="Referentiegegevensbold"/>
                    </w:pPr>
                    <w:r>
                      <w:t>Datum</w:t>
                    </w:r>
                  </w:p>
                  <w:p w14:paraId="2B457247" w14:textId="2F524AA3" w:rsidR="00806FCC" w:rsidRDefault="00951988">
                    <w:pPr>
                      <w:pStyle w:val="Referentiegegevens"/>
                    </w:pPr>
                    <w:sdt>
                      <w:sdtPr>
                        <w:id w:val="820931243"/>
                        <w:date w:fullDate="2025-09-0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B2800">
                          <w:rPr>
                            <w:lang w:val="nl"/>
                          </w:rPr>
                          <w:t>9 september 2025</w:t>
                        </w:r>
                      </w:sdtContent>
                    </w:sdt>
                  </w:p>
                  <w:p w14:paraId="223DC864" w14:textId="77777777" w:rsidR="00806FCC" w:rsidRDefault="00806FCC">
                    <w:pPr>
                      <w:pStyle w:val="WitregelW1"/>
                    </w:pPr>
                  </w:p>
                  <w:p w14:paraId="373D5974" w14:textId="77777777" w:rsidR="00806FCC" w:rsidRDefault="006238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79D88AA" w14:textId="77777777" w:rsidR="00806FCC" w:rsidRDefault="006238F5">
                    <w:pPr>
                      <w:pStyle w:val="Referentiegegevens"/>
                    </w:pPr>
                    <w:r>
                      <w:t>6541196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03201E6" wp14:editId="097F965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1C716" w14:textId="77777777" w:rsidR="007160AD" w:rsidRDefault="007160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3201E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651C716" w14:textId="77777777" w:rsidR="007160AD" w:rsidRDefault="007160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EB773E0" wp14:editId="5EE5444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F5229" w14:textId="248B0142" w:rsidR="00806FCC" w:rsidRDefault="006238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7B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7B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B773E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26F5229" w14:textId="248B0142" w:rsidR="00806FCC" w:rsidRDefault="006238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7B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7B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20F7" w14:textId="77777777" w:rsidR="00806FCC" w:rsidRDefault="006238F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78FA7D" wp14:editId="682E44B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FC705" w14:textId="77777777" w:rsidR="005B2800" w:rsidRDefault="00297A55" w:rsidP="00297A55">
                          <w:r>
                            <w:t xml:space="preserve">Aan de Voorzitter van de Tweede Kamer </w:t>
                          </w:r>
                        </w:p>
                        <w:p w14:paraId="2D10D728" w14:textId="14557896" w:rsidR="00297A55" w:rsidRDefault="00297A55" w:rsidP="00297A55">
                          <w:r>
                            <w:t>der Staten-Generaal</w:t>
                          </w:r>
                        </w:p>
                        <w:p w14:paraId="7A1AE4D5" w14:textId="77777777" w:rsidR="00297A55" w:rsidRDefault="00297A55" w:rsidP="00297A55">
                          <w:r>
                            <w:t xml:space="preserve">Postbus 20018 </w:t>
                          </w:r>
                        </w:p>
                        <w:p w14:paraId="74C9AE45" w14:textId="77777777" w:rsidR="00297A55" w:rsidRDefault="00297A55" w:rsidP="00297A55">
                          <w:r>
                            <w:t>2500 EA  DEN HAAG</w:t>
                          </w:r>
                        </w:p>
                        <w:p w14:paraId="2CD5C4B5" w14:textId="69C45C2B" w:rsidR="00806FCC" w:rsidRDefault="00806F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78FA7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DFFC705" w14:textId="77777777" w:rsidR="005B2800" w:rsidRDefault="00297A55" w:rsidP="00297A55">
                    <w:r>
                      <w:t xml:space="preserve">Aan de Voorzitter van de Tweede Kamer </w:t>
                    </w:r>
                  </w:p>
                  <w:p w14:paraId="2D10D728" w14:textId="14557896" w:rsidR="00297A55" w:rsidRDefault="00297A55" w:rsidP="00297A55">
                    <w:r>
                      <w:t>der Staten-Generaal</w:t>
                    </w:r>
                  </w:p>
                  <w:p w14:paraId="7A1AE4D5" w14:textId="77777777" w:rsidR="00297A55" w:rsidRDefault="00297A55" w:rsidP="00297A55">
                    <w:r>
                      <w:t xml:space="preserve">Postbus 20018 </w:t>
                    </w:r>
                  </w:p>
                  <w:p w14:paraId="74C9AE45" w14:textId="77777777" w:rsidR="00297A55" w:rsidRDefault="00297A55" w:rsidP="00297A55">
                    <w:r>
                      <w:t>2500 EA  DEN HAAG</w:t>
                    </w:r>
                  </w:p>
                  <w:p w14:paraId="2CD5C4B5" w14:textId="69C45C2B" w:rsidR="00806FCC" w:rsidRDefault="00806F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20EAF8A" wp14:editId="18712E88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5810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81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06FCC" w14:paraId="34E6DB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810790" w14:textId="77777777" w:rsidR="00806FCC" w:rsidRDefault="006238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0BE899" w14:textId="5CB0DF0F" w:rsidR="00806FCC" w:rsidRDefault="00951988">
                                <w:sdt>
                                  <w:sdtPr>
                                    <w:id w:val="-241794292"/>
                                    <w:date w:fullDate="2025-09-0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B2800">
                                      <w:rPr>
                                        <w:lang w:val="nl"/>
                                      </w:rPr>
                                      <w:t>9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06FCC" w14:paraId="37DF7BFE" w14:textId="77777777" w:rsidTr="0036359C">
                            <w:trPr>
                              <w:trHeight w:val="333"/>
                            </w:trPr>
                            <w:tc>
                              <w:tcPr>
                                <w:tcW w:w="1140" w:type="dxa"/>
                              </w:tcPr>
                              <w:p w14:paraId="177C8DA9" w14:textId="77777777" w:rsidR="00806FCC" w:rsidRDefault="006238F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53548E" w14:textId="7516D1C8" w:rsidR="00806FCC" w:rsidRDefault="009413CC">
                                <w:r w:rsidRPr="009413CC">
                                  <w:t>Adequate opvang alleenstaande minderjarige vreemdelingen Ethiopië en Gambia</w:t>
                                </w:r>
                              </w:p>
                            </w:tc>
                          </w:tr>
                        </w:tbl>
                        <w:p w14:paraId="13A47FCA" w14:textId="77777777" w:rsidR="007160AD" w:rsidRDefault="007160A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0EAF8A" id="46feebd0-aa3c-11ea-a756-beb5f67e67be" o:spid="_x0000_s1030" type="#_x0000_t202" style="position:absolute;margin-left:79.5pt;margin-top:263.95pt;width:377pt;height:45.7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06FCC" w14:paraId="34E6DB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810790" w14:textId="77777777" w:rsidR="00806FCC" w:rsidRDefault="006238F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0BE899" w14:textId="5CB0DF0F" w:rsidR="00806FCC" w:rsidRDefault="00951988">
                          <w:sdt>
                            <w:sdtPr>
                              <w:id w:val="-241794292"/>
                              <w:date w:fullDate="2025-09-0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2800">
                                <w:rPr>
                                  <w:lang w:val="nl"/>
                                </w:rPr>
                                <w:t>9 september 2025</w:t>
                              </w:r>
                            </w:sdtContent>
                          </w:sdt>
                        </w:p>
                      </w:tc>
                    </w:tr>
                    <w:tr w:rsidR="00806FCC" w14:paraId="37DF7BFE" w14:textId="77777777" w:rsidTr="0036359C">
                      <w:trPr>
                        <w:trHeight w:val="333"/>
                      </w:trPr>
                      <w:tc>
                        <w:tcPr>
                          <w:tcW w:w="1140" w:type="dxa"/>
                        </w:tcPr>
                        <w:p w14:paraId="177C8DA9" w14:textId="77777777" w:rsidR="00806FCC" w:rsidRDefault="006238F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53548E" w14:textId="7516D1C8" w:rsidR="00806FCC" w:rsidRDefault="009413CC">
                          <w:r w:rsidRPr="009413CC">
                            <w:t>Adequate opvang alleenstaande minderjarige vreemdelingen Ethiopië en Gambia</w:t>
                          </w:r>
                        </w:p>
                      </w:tc>
                    </w:tr>
                  </w:tbl>
                  <w:p w14:paraId="13A47FCA" w14:textId="77777777" w:rsidR="007160AD" w:rsidRDefault="007160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12D260" wp14:editId="721D84D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65E99" w14:textId="77777777" w:rsidR="00806FCC" w:rsidRDefault="006238F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427FCA3" w14:textId="77777777" w:rsidR="00806FCC" w:rsidRDefault="00806FCC">
                          <w:pPr>
                            <w:pStyle w:val="WitregelW1"/>
                          </w:pPr>
                        </w:p>
                        <w:p w14:paraId="0D139FCE" w14:textId="77777777" w:rsidR="00806FCC" w:rsidRDefault="006238F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4E66A37" w14:textId="77777777" w:rsidR="00806FCC" w:rsidRDefault="006238F5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5685ABA7" w14:textId="77777777" w:rsidR="00806FCC" w:rsidRPr="005B2800" w:rsidRDefault="006238F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B280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117002E" w14:textId="77777777" w:rsidR="00806FCC" w:rsidRPr="005B2800" w:rsidRDefault="006238F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B280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A6ECEBC" w14:textId="77777777" w:rsidR="00806FCC" w:rsidRPr="005B2800" w:rsidRDefault="006238F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B280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7FDDCF6" w14:textId="77777777" w:rsidR="00806FCC" w:rsidRPr="005B2800" w:rsidRDefault="00806FC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1129AF8" w14:textId="77777777" w:rsidR="00806FCC" w:rsidRDefault="006238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CFC827" w14:textId="77777777" w:rsidR="00806FCC" w:rsidRDefault="006238F5">
                          <w:pPr>
                            <w:pStyle w:val="Referentiegegevens"/>
                          </w:pPr>
                          <w:r>
                            <w:t>6541196</w:t>
                          </w:r>
                        </w:p>
                        <w:p w14:paraId="5B3E5284" w14:textId="77777777" w:rsidR="00806FCC" w:rsidRDefault="00806FCC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12D26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BC65E99" w14:textId="77777777" w:rsidR="00806FCC" w:rsidRDefault="006238F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427FCA3" w14:textId="77777777" w:rsidR="00806FCC" w:rsidRDefault="00806FCC">
                    <w:pPr>
                      <w:pStyle w:val="WitregelW1"/>
                    </w:pPr>
                  </w:p>
                  <w:p w14:paraId="0D139FCE" w14:textId="77777777" w:rsidR="00806FCC" w:rsidRDefault="006238F5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4E66A37" w14:textId="77777777" w:rsidR="00806FCC" w:rsidRDefault="006238F5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5685ABA7" w14:textId="77777777" w:rsidR="00806FCC" w:rsidRPr="005B2800" w:rsidRDefault="006238F5">
                    <w:pPr>
                      <w:pStyle w:val="Referentiegegevens"/>
                      <w:rPr>
                        <w:lang w:val="de-DE"/>
                      </w:rPr>
                    </w:pPr>
                    <w:r w:rsidRPr="005B2800">
                      <w:rPr>
                        <w:lang w:val="de-DE"/>
                      </w:rPr>
                      <w:t>Postbus 20011</w:t>
                    </w:r>
                  </w:p>
                  <w:p w14:paraId="6117002E" w14:textId="77777777" w:rsidR="00806FCC" w:rsidRPr="005B2800" w:rsidRDefault="006238F5">
                    <w:pPr>
                      <w:pStyle w:val="Referentiegegevens"/>
                      <w:rPr>
                        <w:lang w:val="de-DE"/>
                      </w:rPr>
                    </w:pPr>
                    <w:r w:rsidRPr="005B2800">
                      <w:rPr>
                        <w:lang w:val="de-DE"/>
                      </w:rPr>
                      <w:t>2500 EH   Den Haag</w:t>
                    </w:r>
                  </w:p>
                  <w:p w14:paraId="4A6ECEBC" w14:textId="77777777" w:rsidR="00806FCC" w:rsidRPr="005B2800" w:rsidRDefault="006238F5">
                    <w:pPr>
                      <w:pStyle w:val="Referentiegegevens"/>
                      <w:rPr>
                        <w:lang w:val="de-DE"/>
                      </w:rPr>
                    </w:pPr>
                    <w:r w:rsidRPr="005B2800">
                      <w:rPr>
                        <w:lang w:val="de-DE"/>
                      </w:rPr>
                      <w:t>www.rijksoverheid.nl/jenv</w:t>
                    </w:r>
                  </w:p>
                  <w:p w14:paraId="17FDDCF6" w14:textId="77777777" w:rsidR="00806FCC" w:rsidRPr="005B2800" w:rsidRDefault="00806FC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1129AF8" w14:textId="77777777" w:rsidR="00806FCC" w:rsidRDefault="006238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CFC827" w14:textId="77777777" w:rsidR="00806FCC" w:rsidRDefault="006238F5">
                    <w:pPr>
                      <w:pStyle w:val="Referentiegegevens"/>
                    </w:pPr>
                    <w:r>
                      <w:t>6541196</w:t>
                    </w:r>
                  </w:p>
                  <w:p w14:paraId="5B3E5284" w14:textId="77777777" w:rsidR="00806FCC" w:rsidRDefault="00806FCC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17E0F62" wp14:editId="0C21165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A71F6" w14:textId="77777777" w:rsidR="007160AD" w:rsidRDefault="007160A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7E0F6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77A71F6" w14:textId="77777777" w:rsidR="007160AD" w:rsidRDefault="007160A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C63E00C" wp14:editId="4E972CA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F6DF6" w14:textId="21A01A09" w:rsidR="00806FCC" w:rsidRDefault="006238F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7B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7B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3E00C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94F6DF6" w14:textId="21A01A09" w:rsidR="00806FCC" w:rsidRDefault="006238F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7B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7B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89841DC" wp14:editId="242343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7800C" w14:textId="77777777" w:rsidR="00806FCC" w:rsidRDefault="006238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9A7EC2" wp14:editId="66FDBA4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841D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4C7800C" w14:textId="77777777" w:rsidR="00806FCC" w:rsidRDefault="006238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9A7EC2" wp14:editId="66FDBA4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7EDEA9D" wp14:editId="7D4E77A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EF23E" w14:textId="77777777" w:rsidR="00806FCC" w:rsidRDefault="006238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DF5164" wp14:editId="484233E2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EDEA9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22EF23E" w14:textId="77777777" w:rsidR="00806FCC" w:rsidRDefault="006238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DF5164" wp14:editId="484233E2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6503939" wp14:editId="0EB0228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D0A27" w14:textId="77777777" w:rsidR="00806FCC" w:rsidRDefault="006238F5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50393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49D0A27" w14:textId="77777777" w:rsidR="00806FCC" w:rsidRDefault="006238F5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AEBCBC"/>
    <w:multiLevelType w:val="multilevel"/>
    <w:tmpl w:val="0327917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E3A6B55"/>
    <w:multiLevelType w:val="multilevel"/>
    <w:tmpl w:val="70F2994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69EC883"/>
    <w:multiLevelType w:val="multilevel"/>
    <w:tmpl w:val="AECE83E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8B6CD5A"/>
    <w:multiLevelType w:val="multilevel"/>
    <w:tmpl w:val="95CCB3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95FCF26"/>
    <w:multiLevelType w:val="multilevel"/>
    <w:tmpl w:val="33C6B6E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09F67342"/>
    <w:multiLevelType w:val="multilevel"/>
    <w:tmpl w:val="21D2C0E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DF4DF3"/>
    <w:multiLevelType w:val="hybridMultilevel"/>
    <w:tmpl w:val="97229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27CED"/>
    <w:multiLevelType w:val="hybridMultilevel"/>
    <w:tmpl w:val="EBB2A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80E20"/>
    <w:multiLevelType w:val="hybridMultilevel"/>
    <w:tmpl w:val="0C8C955C"/>
    <w:lvl w:ilvl="0" w:tplc="6B50403E">
      <w:numFmt w:val="bullet"/>
      <w:lvlText w:val="–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06420">
    <w:abstractNumId w:val="0"/>
  </w:num>
  <w:num w:numId="2" w16cid:durableId="322514126">
    <w:abstractNumId w:val="4"/>
  </w:num>
  <w:num w:numId="3" w16cid:durableId="1554852681">
    <w:abstractNumId w:val="1"/>
  </w:num>
  <w:num w:numId="4" w16cid:durableId="1029523280">
    <w:abstractNumId w:val="2"/>
  </w:num>
  <w:num w:numId="5" w16cid:durableId="74792506">
    <w:abstractNumId w:val="3"/>
  </w:num>
  <w:num w:numId="6" w16cid:durableId="1503008548">
    <w:abstractNumId w:val="5"/>
  </w:num>
  <w:num w:numId="7" w16cid:durableId="721830586">
    <w:abstractNumId w:val="7"/>
  </w:num>
  <w:num w:numId="8" w16cid:durableId="931351137">
    <w:abstractNumId w:val="8"/>
  </w:num>
  <w:num w:numId="9" w16cid:durableId="487016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CC"/>
    <w:rsid w:val="000146B5"/>
    <w:rsid w:val="00020757"/>
    <w:rsid w:val="0013384C"/>
    <w:rsid w:val="001476C9"/>
    <w:rsid w:val="002048C4"/>
    <w:rsid w:val="00247146"/>
    <w:rsid w:val="00276EA3"/>
    <w:rsid w:val="00297A55"/>
    <w:rsid w:val="0036359C"/>
    <w:rsid w:val="003832EE"/>
    <w:rsid w:val="003D294E"/>
    <w:rsid w:val="00444FB6"/>
    <w:rsid w:val="0046776E"/>
    <w:rsid w:val="004779C7"/>
    <w:rsid w:val="0049430D"/>
    <w:rsid w:val="004A07A8"/>
    <w:rsid w:val="004A2B7A"/>
    <w:rsid w:val="004B5511"/>
    <w:rsid w:val="00504926"/>
    <w:rsid w:val="0053323D"/>
    <w:rsid w:val="00533666"/>
    <w:rsid w:val="00541E5E"/>
    <w:rsid w:val="00564F12"/>
    <w:rsid w:val="005957B9"/>
    <w:rsid w:val="005B2800"/>
    <w:rsid w:val="005F5B21"/>
    <w:rsid w:val="006238F5"/>
    <w:rsid w:val="00660699"/>
    <w:rsid w:val="006A0D66"/>
    <w:rsid w:val="006A2416"/>
    <w:rsid w:val="006A635D"/>
    <w:rsid w:val="006A7D1C"/>
    <w:rsid w:val="007160AD"/>
    <w:rsid w:val="00717DD3"/>
    <w:rsid w:val="00787BF8"/>
    <w:rsid w:val="00790E8A"/>
    <w:rsid w:val="007C6956"/>
    <w:rsid w:val="007E2A21"/>
    <w:rsid w:val="007F3F50"/>
    <w:rsid w:val="00806FCC"/>
    <w:rsid w:val="0087574B"/>
    <w:rsid w:val="008C7F88"/>
    <w:rsid w:val="008D712F"/>
    <w:rsid w:val="009413CC"/>
    <w:rsid w:val="00951988"/>
    <w:rsid w:val="009A41E1"/>
    <w:rsid w:val="00A54739"/>
    <w:rsid w:val="00A75F58"/>
    <w:rsid w:val="00B021AC"/>
    <w:rsid w:val="00B43879"/>
    <w:rsid w:val="00B45DCC"/>
    <w:rsid w:val="00B474D0"/>
    <w:rsid w:val="00C04A52"/>
    <w:rsid w:val="00C0568A"/>
    <w:rsid w:val="00C46A9C"/>
    <w:rsid w:val="00C57C5D"/>
    <w:rsid w:val="00CE4AB8"/>
    <w:rsid w:val="00D17FC2"/>
    <w:rsid w:val="00D64544"/>
    <w:rsid w:val="00D75FE1"/>
    <w:rsid w:val="00DA1DCD"/>
    <w:rsid w:val="00DA3EB2"/>
    <w:rsid w:val="00DA4D96"/>
    <w:rsid w:val="00DC7AC6"/>
    <w:rsid w:val="00DF2BD8"/>
    <w:rsid w:val="00E26083"/>
    <w:rsid w:val="00EC2189"/>
    <w:rsid w:val="00F20346"/>
    <w:rsid w:val="00F86568"/>
    <w:rsid w:val="00F90334"/>
    <w:rsid w:val="00FD430A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A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474D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74D0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DA4D96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customStyle="1" w:styleId="in-table">
    <w:name w:val="in-table"/>
    <w:basedOn w:val="broodtekst"/>
    <w:rsid w:val="00DF2BD8"/>
    <w:pPr>
      <w:spacing w:line="0" w:lineRule="atLeast"/>
    </w:pPr>
    <w:rPr>
      <w:sz w:val="2"/>
    </w:rPr>
  </w:style>
  <w:style w:type="paragraph" w:styleId="Lijstalinea">
    <w:name w:val="List Paragraph"/>
    <w:basedOn w:val="Standaard"/>
    <w:uiPriority w:val="34"/>
    <w:semiHidden/>
    <w:rsid w:val="00444FB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4A5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4A5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4A52"/>
    <w:rPr>
      <w:vertAlign w:val="superscript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0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c.overheid.nl/ind/doc/PUC_1374235_1/1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353</ap:Words>
  <ap:Characters>1945</ap:Characters>
  <ap:DocSecurity>0</ap:DocSecurity>
  <ap:Lines>16</ap:Lines>
  <ap:Paragraphs>4</ap:Paragraphs>
  <ap:ScaleCrop>false</ap:ScaleCrop>
  <ap:LinksUpToDate>false</ap:LinksUpToDate>
  <ap:CharactersWithSpaces>2294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2025-09-09T14:28:00.0000000Z</dcterms:created>
  <dcterms:modified xsi:type="dcterms:W3CDTF">2025-09-09T14:28:00.0000000Z</dcterms:modified>
  <dc:description>------------------------</dc:description>
  <dc:subject/>
  <keywords/>
  <version/>
  <category/>
</coreProperties>
</file>