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3EBD" w:rsidRDefault="0044062E" w14:paraId="5C8A073B" w14:textId="77777777">
      <w:r>
        <w:t>Geachte voorzitter,</w:t>
      </w:r>
    </w:p>
    <w:p w:rsidR="00693EBD" w:rsidRDefault="00693EBD" w14:paraId="5C8A073C" w14:textId="77777777"/>
    <w:p w:rsidR="0044062E" w:rsidP="0044062E" w:rsidRDefault="0044062E" w14:paraId="370A438F" w14:textId="77777777">
      <w:pPr>
        <w:pStyle w:val="BodyText"/>
        <w:spacing w:line="264" w:lineRule="auto"/>
        <w:ind w:right="38"/>
      </w:pPr>
      <w:r>
        <w:t>Hierbij informeer ik uw Kamer, mede namens de minister van Justitie en</w:t>
      </w:r>
      <w:r>
        <w:rPr>
          <w:spacing w:val="40"/>
        </w:rPr>
        <w:t xml:space="preserve"> </w:t>
      </w:r>
      <w:r>
        <w:t>Veiligheid</w:t>
      </w:r>
      <w:r>
        <w:rPr>
          <w:spacing w:val="-3"/>
        </w:rPr>
        <w:t xml:space="preserve"> </w:t>
      </w:r>
      <w:r>
        <w:t>en</w:t>
      </w:r>
      <w:r>
        <w:rPr>
          <w:spacing w:val="-4"/>
        </w:rPr>
        <w:t xml:space="preserve"> </w:t>
      </w:r>
      <w:r>
        <w:t>de</w:t>
      </w:r>
      <w:r>
        <w:rPr>
          <w:spacing w:val="-4"/>
        </w:rPr>
        <w:t xml:space="preserve"> </w:t>
      </w:r>
      <w:r>
        <w:t>minister</w:t>
      </w:r>
      <w:r>
        <w:rPr>
          <w:spacing w:val="-4"/>
        </w:rPr>
        <w:t xml:space="preserve"> </w:t>
      </w:r>
      <w:r>
        <w:t>van</w:t>
      </w:r>
      <w:r>
        <w:rPr>
          <w:spacing w:val="-3"/>
        </w:rPr>
        <w:t xml:space="preserve"> </w:t>
      </w:r>
      <w:r>
        <w:t>Infrastructuur</w:t>
      </w:r>
      <w:r>
        <w:rPr>
          <w:spacing w:val="-4"/>
        </w:rPr>
        <w:t xml:space="preserve"> </w:t>
      </w:r>
      <w:r>
        <w:t>en</w:t>
      </w:r>
      <w:r>
        <w:rPr>
          <w:spacing w:val="-4"/>
        </w:rPr>
        <w:t xml:space="preserve"> </w:t>
      </w:r>
      <w:r>
        <w:t>Waterstaat,</w:t>
      </w:r>
      <w:r>
        <w:rPr>
          <w:spacing w:val="-4"/>
        </w:rPr>
        <w:t xml:space="preserve"> </w:t>
      </w:r>
      <w:r>
        <w:t>over</w:t>
      </w:r>
      <w:r>
        <w:rPr>
          <w:spacing w:val="-3"/>
        </w:rPr>
        <w:t xml:space="preserve"> het besluit van de Raad van de </w:t>
      </w:r>
      <w:r>
        <w:t>Internationale Burgerluchtvaartorganisatie</w:t>
      </w:r>
      <w:r>
        <w:rPr>
          <w:spacing w:val="40"/>
        </w:rPr>
        <w:t xml:space="preserve"> </w:t>
      </w:r>
      <w:r>
        <w:t>(ICAO-Raad) in de procedure die Nederland op 14 maart 2022, samen met Australië, startte tegen de Russische Federatie en over de uitspraak van het Europees Hof voor de Rechten van de Mens (EHRM, het Hof) in de statenklacht ingediend op 10 juli 2020 door Nederland tegen de Russische Federatie over diens verantwoordelijkheid voor het neerhalen van Malaysia Airlines-</w:t>
      </w:r>
      <w:r w:rsidRPr="00532C38">
        <w:t>vlucht</w:t>
      </w:r>
      <w:r>
        <w:t xml:space="preserve"> MH17 (vlucht MH17) op 17 juli 2014. </w:t>
      </w:r>
    </w:p>
    <w:p w:rsidR="0044062E" w:rsidP="0044062E" w:rsidRDefault="0044062E" w14:paraId="1FCE8E3B" w14:textId="77777777">
      <w:pPr>
        <w:pStyle w:val="BodyText"/>
        <w:spacing w:line="264" w:lineRule="auto"/>
        <w:ind w:right="38"/>
      </w:pPr>
    </w:p>
    <w:p w:rsidRPr="00FD4310" w:rsidR="0044062E" w:rsidP="0044062E" w:rsidRDefault="0044062E" w14:paraId="523339A3" w14:textId="77777777">
      <w:pPr>
        <w:pStyle w:val="BodyText"/>
        <w:spacing w:line="264" w:lineRule="auto"/>
        <w:ind w:right="38"/>
        <w:rPr>
          <w:u w:val="single"/>
        </w:rPr>
      </w:pPr>
      <w:r w:rsidRPr="00FD4310">
        <w:rPr>
          <w:u w:val="single"/>
        </w:rPr>
        <w:t>ICAO-Raad procedure</w:t>
      </w:r>
    </w:p>
    <w:p w:rsidR="0044062E" w:rsidP="0044062E" w:rsidRDefault="0044062E" w14:paraId="1236F1A4" w14:textId="77777777">
      <w:pPr>
        <w:pStyle w:val="BodyText"/>
        <w:spacing w:line="264" w:lineRule="auto"/>
        <w:ind w:right="38"/>
      </w:pPr>
    </w:p>
    <w:p w:rsidR="0044062E" w:rsidP="0044062E" w:rsidRDefault="0044062E" w14:paraId="60E0E8BB" w14:textId="5F56C7C4">
      <w:pPr>
        <w:pStyle w:val="BodyText"/>
        <w:spacing w:line="264" w:lineRule="auto"/>
        <w:ind w:right="38"/>
      </w:pPr>
      <w:r w:rsidRPr="00532C38">
        <w:t xml:space="preserve">Australië en Nederland </w:t>
      </w:r>
      <w:r>
        <w:t xml:space="preserve">hebben </w:t>
      </w:r>
      <w:r w:rsidRPr="00532C38">
        <w:t xml:space="preserve">de ICAO-Raad </w:t>
      </w:r>
      <w:r>
        <w:t xml:space="preserve">gevraagd </w:t>
      </w:r>
      <w:r w:rsidRPr="00532C38">
        <w:t xml:space="preserve">vast te stellen dat </w:t>
      </w:r>
      <w:r>
        <w:t>de Russische Federatie</w:t>
      </w:r>
      <w:r w:rsidRPr="00532C38">
        <w:t xml:space="preserve"> </w:t>
      </w:r>
      <w:r>
        <w:t>diens</w:t>
      </w:r>
      <w:r w:rsidRPr="00532C38">
        <w:t xml:space="preserve"> verplichtingen onder het Verdrag van Chicago </w:t>
      </w:r>
      <w:r>
        <w:t xml:space="preserve">inzake de internationale burgerluchtvaart </w:t>
      </w:r>
      <w:r w:rsidRPr="00532C38">
        <w:t xml:space="preserve">geschonden heeft door het onrechtmatig gebruik van een wapen tegen </w:t>
      </w:r>
      <w:r>
        <w:t>vlucht MH17</w:t>
      </w:r>
      <w:r w:rsidRPr="00532C38">
        <w:t xml:space="preserve"> tijdens </w:t>
      </w:r>
      <w:r>
        <w:t>de vlucht op 17 juli 2014</w:t>
      </w:r>
      <w:r w:rsidRPr="00532C38">
        <w:t xml:space="preserve">, waarbij </w:t>
      </w:r>
      <w:r>
        <w:t xml:space="preserve">alle </w:t>
      </w:r>
      <w:r w:rsidRPr="00532C38">
        <w:t xml:space="preserve">298 </w:t>
      </w:r>
      <w:r>
        <w:t>inzittenden</w:t>
      </w:r>
      <w:r w:rsidRPr="00532C38">
        <w:t xml:space="preserve"> om</w:t>
      </w:r>
      <w:r w:rsidRPr="00532C38">
        <w:rPr>
          <w:spacing w:val="-4"/>
        </w:rPr>
        <w:t xml:space="preserve"> </w:t>
      </w:r>
      <w:r w:rsidRPr="00532C38">
        <w:t>het</w:t>
      </w:r>
      <w:r w:rsidRPr="00532C38">
        <w:rPr>
          <w:spacing w:val="-3"/>
        </w:rPr>
        <w:t xml:space="preserve"> </w:t>
      </w:r>
      <w:r w:rsidRPr="00532C38">
        <w:t>leven</w:t>
      </w:r>
      <w:r w:rsidRPr="00532C38">
        <w:rPr>
          <w:spacing w:val="-4"/>
        </w:rPr>
        <w:t xml:space="preserve"> </w:t>
      </w:r>
      <w:r>
        <w:t>kwamen</w:t>
      </w:r>
      <w:r w:rsidRPr="00532C38">
        <w:t>,</w:t>
      </w:r>
      <w:r w:rsidRPr="00532C38">
        <w:rPr>
          <w:spacing w:val="-3"/>
        </w:rPr>
        <w:t xml:space="preserve"> </w:t>
      </w:r>
      <w:r w:rsidRPr="00532C38">
        <w:t>en</w:t>
      </w:r>
      <w:r w:rsidRPr="00532C38">
        <w:rPr>
          <w:spacing w:val="-4"/>
        </w:rPr>
        <w:t xml:space="preserve"> </w:t>
      </w:r>
      <w:r>
        <w:rPr>
          <w:spacing w:val="-4"/>
        </w:rPr>
        <w:t xml:space="preserve">om </w:t>
      </w:r>
      <w:r w:rsidRPr="00532C38">
        <w:t>daaraan</w:t>
      </w:r>
      <w:r w:rsidRPr="00532C38">
        <w:rPr>
          <w:spacing w:val="-4"/>
        </w:rPr>
        <w:t xml:space="preserve"> </w:t>
      </w:r>
      <w:r w:rsidRPr="00532C38">
        <w:t>rechtsgevolgen</w:t>
      </w:r>
      <w:r w:rsidRPr="00532C38">
        <w:rPr>
          <w:spacing w:val="-4"/>
        </w:rPr>
        <w:t xml:space="preserve"> </w:t>
      </w:r>
      <w:r w:rsidRPr="00532C38">
        <w:t>te</w:t>
      </w:r>
      <w:r w:rsidRPr="00532C38">
        <w:rPr>
          <w:spacing w:val="-4"/>
        </w:rPr>
        <w:t xml:space="preserve"> </w:t>
      </w:r>
      <w:r w:rsidRPr="00532C38">
        <w:t>verbinden,</w:t>
      </w:r>
      <w:r w:rsidRPr="00532C38">
        <w:rPr>
          <w:spacing w:val="-3"/>
        </w:rPr>
        <w:t xml:space="preserve"> </w:t>
      </w:r>
      <w:r w:rsidRPr="00532C38">
        <w:t xml:space="preserve">waaronder een vergoeding van de geleden schade. De hoorzittingen van de ICAO-Raad over de inhoud van de zaak vonden plaats </w:t>
      </w:r>
      <w:r>
        <w:t>in</w:t>
      </w:r>
      <w:r w:rsidRPr="00532C38">
        <w:t xml:space="preserve"> juni </w:t>
      </w:r>
      <w:r>
        <w:t xml:space="preserve">en oktober 2024 en in februari 2025, in afwezigheid van de </w:t>
      </w:r>
      <w:r w:rsidRPr="00532C38">
        <w:t xml:space="preserve">Russische Federatie, die zich </w:t>
      </w:r>
      <w:r>
        <w:t>op 17 juni</w:t>
      </w:r>
      <w:r w:rsidRPr="00532C38">
        <w:t xml:space="preserve"> </w:t>
      </w:r>
      <w:r>
        <w:t xml:space="preserve">2024 uit de procedure </w:t>
      </w:r>
      <w:r w:rsidRPr="00532C38">
        <w:t>terugtrok. Uw Kamer werd eerder over de ICAO</w:t>
      </w:r>
      <w:r>
        <w:t>-Raad</w:t>
      </w:r>
      <w:r w:rsidRPr="00532C38">
        <w:t xml:space="preserve"> procedure geïnformeerd (Kamerstukken 33 997, </w:t>
      </w:r>
      <w:proofErr w:type="spellStart"/>
      <w:r w:rsidRPr="00532C38">
        <w:t>nrs</w:t>
      </w:r>
      <w:proofErr w:type="spellEnd"/>
      <w:r w:rsidRPr="00532C38">
        <w:t xml:space="preserve"> 172, 175, 176, 177, 178</w:t>
      </w:r>
      <w:r>
        <w:t>, 182</w:t>
      </w:r>
      <w:r w:rsidRPr="00532C38">
        <w:t>).</w:t>
      </w:r>
    </w:p>
    <w:p w:rsidR="0044062E" w:rsidP="0044062E" w:rsidRDefault="0044062E" w14:paraId="2F4D4B11" w14:textId="77777777">
      <w:pPr>
        <w:pStyle w:val="BodyText"/>
        <w:spacing w:line="264" w:lineRule="auto"/>
        <w:ind w:right="38"/>
      </w:pPr>
    </w:p>
    <w:p w:rsidR="0044062E" w:rsidP="0044062E" w:rsidRDefault="0044062E" w14:paraId="43458BB0" w14:textId="77777777">
      <w:pPr>
        <w:pStyle w:val="BodyText"/>
        <w:spacing w:line="264" w:lineRule="auto"/>
        <w:ind w:right="38"/>
      </w:pPr>
      <w:r>
        <w:t>De</w:t>
      </w:r>
      <w:r w:rsidRPr="00FB4A59">
        <w:t xml:space="preserve"> ICAO-</w:t>
      </w:r>
      <w:r>
        <w:t>R</w:t>
      </w:r>
      <w:r w:rsidRPr="00FB4A59">
        <w:t xml:space="preserve">aad </w:t>
      </w:r>
      <w:r>
        <w:t xml:space="preserve">heeft op </w:t>
      </w:r>
      <w:r w:rsidRPr="00FD4310">
        <w:t>12 mei 2025</w:t>
      </w:r>
      <w:r>
        <w:t xml:space="preserve"> besloten</w:t>
      </w:r>
      <w:r w:rsidRPr="00FB4A59">
        <w:t xml:space="preserve"> </w:t>
      </w:r>
      <w:r>
        <w:t xml:space="preserve">dat de Russische Federatie met </w:t>
      </w:r>
      <w:r w:rsidRPr="00FB4A59">
        <w:t xml:space="preserve">het neerschieten van vlucht MH17 </w:t>
      </w:r>
      <w:r>
        <w:t>diens</w:t>
      </w:r>
      <w:r w:rsidRPr="00FB4A59">
        <w:t xml:space="preserve"> verplichtingen onder artikel 3</w:t>
      </w:r>
      <w:r w:rsidRPr="00D87976">
        <w:rPr>
          <w:i/>
          <w:iCs/>
        </w:rPr>
        <w:t>bis</w:t>
      </w:r>
      <w:r w:rsidRPr="00FB4A59">
        <w:t xml:space="preserve"> van het Verdrag van Chicago</w:t>
      </w:r>
      <w:r>
        <w:t xml:space="preserve"> heeft geschonden</w:t>
      </w:r>
      <w:r w:rsidRPr="00FB4A59">
        <w:t xml:space="preserve">. </w:t>
      </w:r>
      <w:r>
        <w:t>Nederland en Australië zijn hiermee in het gelijk gesteld. Het besluit van de ICAO-Raad kwam tot stand middels een geheime stemming waarbij 22 van de 35 stemgerechtigde Raadsleden voor de claims van Nederland en Australië stemden, 3 Raadsleden tegenstemden en 10 hun stem onthielden. De</w:t>
      </w:r>
      <w:r w:rsidRPr="001A1252">
        <w:t xml:space="preserve"> ICAO-R</w:t>
      </w:r>
      <w:r>
        <w:t xml:space="preserve">aad besloot daarnaast op 21 mei 2025 unaniem dat partijen </w:t>
      </w:r>
      <w:r w:rsidRPr="001A1252">
        <w:t xml:space="preserve">onmiddellijk te goeder trouw onderhandelingen </w:t>
      </w:r>
      <w:r>
        <w:t xml:space="preserve">dienen te starten over de rechtsgevolgen, en dat zij de ICAO-Raad regelmatig van terugkoppeling </w:t>
      </w:r>
      <w:r>
        <w:lastRenderedPageBreak/>
        <w:t xml:space="preserve">moeten voorzien over de voortgang van de onderhandelingen. Het volledige schriftelijk besluit werd op 30 juni 2025 vastgesteld. </w:t>
      </w:r>
      <w:r w:rsidRPr="00532C38">
        <w:t xml:space="preserve">Dit is de eerste keer in de geschiedenis van </w:t>
      </w:r>
      <w:r>
        <w:t xml:space="preserve">de </w:t>
      </w:r>
      <w:r w:rsidRPr="00532C38">
        <w:t>ICAO dat de ICAO-</w:t>
      </w:r>
      <w:r>
        <w:t>R</w:t>
      </w:r>
      <w:r w:rsidRPr="00532C38">
        <w:t>aad een beslissing heeft genomen in de inhoudelijke fase van een geschillenbeslechtingsprocedure.</w:t>
      </w:r>
    </w:p>
    <w:p w:rsidR="0044062E" w:rsidP="0044062E" w:rsidRDefault="0044062E" w14:paraId="5E0CC7D6" w14:textId="77777777">
      <w:pPr>
        <w:pStyle w:val="BodyText"/>
        <w:spacing w:line="264" w:lineRule="auto"/>
        <w:ind w:right="38"/>
      </w:pPr>
    </w:p>
    <w:p w:rsidR="0044062E" w:rsidP="0044062E" w:rsidRDefault="0044062E" w14:paraId="2B5B41F9" w14:textId="77777777">
      <w:pPr>
        <w:pStyle w:val="BodyText"/>
        <w:spacing w:line="264" w:lineRule="auto"/>
        <w:ind w:right="38"/>
      </w:pPr>
      <w:r>
        <w:t>Tegen het besluit van de ICAO-Raad kan door de partijen bij de zaak binnen 60 dagen na de notificatie van het besluit (25 juli 2025) beroep worden aangetekend bij het Internationaal Gerechtshof. De deadline hiervoor is 23 september 2025.</w:t>
      </w:r>
    </w:p>
    <w:p w:rsidR="0044062E" w:rsidP="0044062E" w:rsidRDefault="0044062E" w14:paraId="66FEB024" w14:textId="77777777">
      <w:pPr>
        <w:pStyle w:val="BodyText"/>
        <w:spacing w:line="264" w:lineRule="auto"/>
        <w:ind w:right="38"/>
      </w:pPr>
    </w:p>
    <w:p w:rsidR="0044062E" w:rsidP="0044062E" w:rsidRDefault="0044062E" w14:paraId="53B8483E" w14:textId="77777777">
      <w:pPr>
        <w:pStyle w:val="BodyText"/>
        <w:spacing w:line="264" w:lineRule="auto"/>
        <w:ind w:right="38"/>
      </w:pPr>
      <w:r>
        <w:t xml:space="preserve">Nederland en Australië hebben inmiddels de Russische Federatie verzocht te goeder trouw de onderhandelingen over de rechtsgevolgen te starten. </w:t>
      </w:r>
    </w:p>
    <w:p w:rsidRPr="001E51E4" w:rsidR="0044062E" w:rsidP="0044062E" w:rsidRDefault="0044062E" w14:paraId="5FB85354" w14:textId="77777777">
      <w:pPr>
        <w:pStyle w:val="BodyText"/>
        <w:spacing w:line="264" w:lineRule="auto"/>
        <w:ind w:right="38"/>
      </w:pPr>
      <w:r>
        <w:br/>
      </w:r>
      <w:r w:rsidRPr="004E463F">
        <w:rPr>
          <w:u w:val="single"/>
        </w:rPr>
        <w:t>EHRM-procedure</w:t>
      </w:r>
    </w:p>
    <w:p w:rsidR="0044062E" w:rsidP="0044062E" w:rsidRDefault="0044062E" w14:paraId="3D61B16E" w14:textId="77777777">
      <w:pPr>
        <w:pStyle w:val="BodyText"/>
        <w:spacing w:line="264" w:lineRule="auto"/>
        <w:ind w:right="38"/>
      </w:pPr>
    </w:p>
    <w:p w:rsidRPr="00FD4310" w:rsidR="0044062E" w:rsidP="0044062E" w:rsidRDefault="0044062E" w14:paraId="67E0A2B9" w14:textId="77777777">
      <w:pPr>
        <w:pStyle w:val="BodyText"/>
        <w:spacing w:line="264" w:lineRule="auto"/>
        <w:ind w:right="38"/>
      </w:pPr>
      <w:r>
        <w:t>Nederland diende op 10 juli 2020 een statenklacht in bij het EHRM waarin het heeft gevraagd vast te stellen dat Rusland het EVRM heeft geschonden door het neerhalen van vlucht MH17, de dood van alle inzittenden, de ontkenning door de Russische Federatie van iedere betrokkenheid bij het neerhalen van vlucht MH17 en de implicaties daarvan.</w:t>
      </w:r>
      <w:r w:rsidRPr="00513D5B">
        <w:t xml:space="preserve"> </w:t>
      </w:r>
      <w:r>
        <w:t xml:space="preserve">De statenklacht werd ingediend om </w:t>
      </w:r>
      <w:r w:rsidRPr="008276BF">
        <w:t>de</w:t>
      </w:r>
      <w:r>
        <w:t xml:space="preserve"> </w:t>
      </w:r>
      <w:r w:rsidRPr="008276BF">
        <w:t xml:space="preserve">individuele klachtprocedures van nabestaanden </w:t>
      </w:r>
      <w:r>
        <w:t xml:space="preserve">bij het EHRM </w:t>
      </w:r>
      <w:r w:rsidRPr="008276BF">
        <w:t xml:space="preserve">maximaal </w:t>
      </w:r>
      <w:r>
        <w:t xml:space="preserve">te ondersteunen </w:t>
      </w:r>
      <w:r w:rsidRPr="008276BF">
        <w:t xml:space="preserve">en op </w:t>
      </w:r>
      <w:r>
        <w:t xml:space="preserve">te komen </w:t>
      </w:r>
      <w:r w:rsidRPr="008276BF">
        <w:t>voor alle 298 slachtoffers en hun nabestaanden.</w:t>
      </w:r>
      <w:r w:rsidRPr="008276BF">
        <w:rPr>
          <w:rFonts w:ascii="Times New Roman" w:hAnsi="Times New Roman" w:cs="Times New Roman"/>
          <w:sz w:val="24"/>
          <w:szCs w:val="24"/>
        </w:rPr>
        <w:t xml:space="preserve"> </w:t>
      </w:r>
      <w:r>
        <w:t xml:space="preserve">Uw Kamer werd eerder over het verloop van </w:t>
      </w:r>
      <w:r w:rsidRPr="004A70A6">
        <w:t xml:space="preserve">de EHRM-procedure geïnformeerd (Kamerstukken 33 997, </w:t>
      </w:r>
      <w:proofErr w:type="spellStart"/>
      <w:r w:rsidRPr="004A70A6">
        <w:t>nrs</w:t>
      </w:r>
      <w:proofErr w:type="spellEnd"/>
      <w:r w:rsidRPr="004A70A6">
        <w:t xml:space="preserve"> </w:t>
      </w:r>
      <w:r w:rsidRPr="00F67BCF">
        <w:t>152, 156, 182).</w:t>
      </w:r>
    </w:p>
    <w:p w:rsidR="0044062E" w:rsidP="0044062E" w:rsidRDefault="0044062E" w14:paraId="2FCF8446" w14:textId="77777777">
      <w:pPr>
        <w:pStyle w:val="BodyText"/>
        <w:spacing w:line="264" w:lineRule="auto"/>
        <w:ind w:right="29"/>
      </w:pPr>
    </w:p>
    <w:p w:rsidR="0044062E" w:rsidP="0044062E" w:rsidRDefault="0044062E" w14:paraId="47124EF1" w14:textId="77777777">
      <w:pPr>
        <w:pStyle w:val="BodyText"/>
        <w:spacing w:line="264" w:lineRule="auto"/>
        <w:ind w:right="29"/>
      </w:pPr>
      <w:r>
        <w:t xml:space="preserve">In de uitspraak van 9 juli jl. </w:t>
      </w:r>
      <w:r w:rsidRPr="0066553C">
        <w:t>oordeelde</w:t>
      </w:r>
      <w:r>
        <w:t xml:space="preserve"> de Grote Kamer van</w:t>
      </w:r>
      <w:r w:rsidRPr="0066553C">
        <w:t xml:space="preserve"> het EHRM</w:t>
      </w:r>
      <w:r>
        <w:t xml:space="preserve"> </w:t>
      </w:r>
      <w:r w:rsidRPr="0066553C">
        <w:t>dat de Russische Federatie verantwoordelijk is voor het neerhalen van vlucht MH</w:t>
      </w:r>
      <w:r>
        <w:t>1</w:t>
      </w:r>
      <w:r w:rsidRPr="0066553C">
        <w:t xml:space="preserve">7 en </w:t>
      </w:r>
      <w:r>
        <w:t xml:space="preserve">de </w:t>
      </w:r>
      <w:r w:rsidRPr="0066553C">
        <w:t>dood van alle 298 inzittenden</w:t>
      </w:r>
      <w:r>
        <w:t>. Rusland heeft zijn verplichting onder artikel 2 EVRM (recht op leven - materieel) geschonden door</w:t>
      </w:r>
      <w:r w:rsidRPr="004E463F">
        <w:t xml:space="preserve"> </w:t>
      </w:r>
      <w:r>
        <w:t>de inzet van de Buk-TELAR die de dood van alle inzittenden tot gevolg had en door geen</w:t>
      </w:r>
      <w:r w:rsidRPr="004E463F">
        <w:t xml:space="preserve"> passende maatregelen te nemen om </w:t>
      </w:r>
      <w:r>
        <w:t>dit te voorkomen</w:t>
      </w:r>
      <w:r w:rsidRPr="004E463F">
        <w:t xml:space="preserve">. </w:t>
      </w:r>
    </w:p>
    <w:p w:rsidR="0044062E" w:rsidP="0044062E" w:rsidRDefault="0044062E" w14:paraId="246B4167" w14:textId="77777777">
      <w:pPr>
        <w:pStyle w:val="BodyText"/>
        <w:spacing w:line="264" w:lineRule="auto"/>
        <w:ind w:right="29"/>
      </w:pPr>
    </w:p>
    <w:p w:rsidR="0044062E" w:rsidP="0044062E" w:rsidRDefault="0044062E" w14:paraId="41B8DBB1" w14:textId="77777777">
      <w:pPr>
        <w:pStyle w:val="BodyText"/>
        <w:spacing w:line="264" w:lineRule="auto"/>
        <w:ind w:right="29"/>
      </w:pPr>
      <w:r>
        <w:t>Het EHRM</w:t>
      </w:r>
      <w:r w:rsidRPr="0066553C">
        <w:t xml:space="preserve"> </w:t>
      </w:r>
      <w:r>
        <w:t>heeft tevens</w:t>
      </w:r>
      <w:r w:rsidRPr="0066553C">
        <w:t xml:space="preserve"> vast</w:t>
      </w:r>
      <w:r>
        <w:t>gesteld</w:t>
      </w:r>
      <w:r w:rsidRPr="0066553C">
        <w:t xml:space="preserve"> dat de Russische Federatie</w:t>
      </w:r>
      <w:r>
        <w:t xml:space="preserve"> artikel 2 EVRM (recht op leven – procedureel) heeft geschonden omdat het geen eigen gedegen onderzoek naar het neerhalen van vlucht MH17 heeft gedaan en </w:t>
      </w:r>
      <w:r w:rsidRPr="0066553C">
        <w:t>onvoldoende medewerking</w:t>
      </w:r>
      <w:r>
        <w:t xml:space="preserve"> heeft verleend</w:t>
      </w:r>
      <w:r w:rsidRPr="0066553C">
        <w:t xml:space="preserve"> a</w:t>
      </w:r>
      <w:r>
        <w:t xml:space="preserve">an verzoeken om informatie van Nederland en het </w:t>
      </w:r>
      <w:r>
        <w:rPr>
          <w:i/>
          <w:iCs/>
        </w:rPr>
        <w:t xml:space="preserve">Joint </w:t>
      </w:r>
      <w:proofErr w:type="spellStart"/>
      <w:r>
        <w:rPr>
          <w:i/>
          <w:iCs/>
        </w:rPr>
        <w:t>Investigation</w:t>
      </w:r>
      <w:proofErr w:type="spellEnd"/>
      <w:r>
        <w:rPr>
          <w:i/>
          <w:iCs/>
        </w:rPr>
        <w:t xml:space="preserve"> Team</w:t>
      </w:r>
      <w:r>
        <w:t xml:space="preserve">. </w:t>
      </w:r>
      <w:r>
        <w:br/>
      </w:r>
    </w:p>
    <w:p w:rsidR="0044062E" w:rsidP="0044062E" w:rsidRDefault="0044062E" w14:paraId="6BD0F5E2" w14:textId="77777777">
      <w:pPr>
        <w:pStyle w:val="BodyText"/>
        <w:spacing w:line="264" w:lineRule="auto"/>
        <w:ind w:right="29"/>
      </w:pPr>
      <w:r>
        <w:t xml:space="preserve">Het EHRM oordeelde dat het </w:t>
      </w:r>
      <w:r w:rsidRPr="004E463F">
        <w:t>aanhoudende intense lijden van de nabestaanden van een dermate ernstig niveau is</w:t>
      </w:r>
      <w:r>
        <w:t>, mede door</w:t>
      </w:r>
      <w:r w:rsidRPr="00C42BD7">
        <w:rPr>
          <w:sz w:val="20"/>
          <w:szCs w:val="20"/>
        </w:rPr>
        <w:t xml:space="preserve"> </w:t>
      </w:r>
      <w:proofErr w:type="spellStart"/>
      <w:r>
        <w:t>Rusland’s</w:t>
      </w:r>
      <w:proofErr w:type="spellEnd"/>
      <w:r>
        <w:t xml:space="preserve"> </w:t>
      </w:r>
      <w:r w:rsidRPr="0066553C">
        <w:t>ontkenning van iedere betrokkenheid bij het neerhalen van vlucht MH17</w:t>
      </w:r>
      <w:r>
        <w:t xml:space="preserve">, dat dit een schending oplevert van artikel 3 van het EVRM, waarin het verbod op foltering en onmenselijke behandeling is neergelegd. </w:t>
      </w:r>
    </w:p>
    <w:p w:rsidR="0044062E" w:rsidP="0044062E" w:rsidRDefault="0044062E" w14:paraId="4A75BE1C" w14:textId="77777777">
      <w:pPr>
        <w:pStyle w:val="BodyText"/>
        <w:spacing w:line="264" w:lineRule="auto"/>
        <w:ind w:right="29"/>
      </w:pPr>
    </w:p>
    <w:p w:rsidR="0044062E" w:rsidP="0044062E" w:rsidRDefault="0044062E" w14:paraId="220B1E4D" w14:textId="77777777">
      <w:pPr>
        <w:pStyle w:val="BodyText"/>
        <w:spacing w:line="264" w:lineRule="auto"/>
        <w:ind w:right="29"/>
      </w:pPr>
      <w:r>
        <w:t xml:space="preserve">Doordat er in </w:t>
      </w:r>
      <w:r w:rsidRPr="008802B8">
        <w:t>Rus</w:t>
      </w:r>
      <w:r>
        <w:t xml:space="preserve">land </w:t>
      </w:r>
      <w:r w:rsidRPr="008802B8">
        <w:t xml:space="preserve">geen </w:t>
      </w:r>
      <w:r>
        <w:t xml:space="preserve">daadwerkelijke </w:t>
      </w:r>
      <w:r w:rsidRPr="008802B8">
        <w:t>rechtsmiddelen voor de nabestaanden</w:t>
      </w:r>
      <w:r>
        <w:t xml:space="preserve"> waren die konden</w:t>
      </w:r>
      <w:r w:rsidRPr="004E463F">
        <w:t xml:space="preserve"> leiden tot de vaststelling van verantwoordelijkheid en het toekennen van compensatie</w:t>
      </w:r>
      <w:r>
        <w:t xml:space="preserve"> was ook sprake van een schending van a</w:t>
      </w:r>
      <w:r w:rsidRPr="008802B8">
        <w:t>rtikel 13</w:t>
      </w:r>
      <w:r>
        <w:t xml:space="preserve"> (recht op een daadwerkelijk rechtsmiddel) in samenhang met artikel 2 EVRM. </w:t>
      </w:r>
    </w:p>
    <w:p w:rsidR="0044062E" w:rsidP="0044062E" w:rsidRDefault="0044062E" w14:paraId="1F96398E" w14:textId="77777777">
      <w:pPr>
        <w:pStyle w:val="BodyText"/>
        <w:spacing w:line="264" w:lineRule="auto"/>
        <w:ind w:right="29"/>
      </w:pPr>
    </w:p>
    <w:p w:rsidR="0044062E" w:rsidP="0044062E" w:rsidRDefault="0044062E" w14:paraId="612ABE4C" w14:textId="77777777">
      <w:pPr>
        <w:pStyle w:val="BodyText"/>
        <w:spacing w:line="264" w:lineRule="auto"/>
        <w:ind w:right="29"/>
      </w:pPr>
      <w:r>
        <w:t xml:space="preserve">Het EHRM oordeelde ook dat Rusland zijn verplichtingen in verband met het belang van de zaak niet is nagekomen (artikel 38 EVRM – plicht om mee te werken in de behandeling van de zaak) door het </w:t>
      </w:r>
      <w:r w:rsidRPr="004E463F">
        <w:t xml:space="preserve">niet verstrekken </w:t>
      </w:r>
      <w:r>
        <w:t>v</w:t>
      </w:r>
      <w:r w:rsidRPr="004E463F">
        <w:t xml:space="preserve">an informatie, het gebrek aan constructieve betrokkenheid tijdens de ontvankelijkheidsfase, en </w:t>
      </w:r>
      <w:r w:rsidRPr="004E463F">
        <w:lastRenderedPageBreak/>
        <w:t xml:space="preserve">het algehele gebrek aan deelname </w:t>
      </w:r>
      <w:r>
        <w:t xml:space="preserve">bij </w:t>
      </w:r>
      <w:r w:rsidRPr="004E463F">
        <w:t>de inhoudelijke behandeling van de zaak</w:t>
      </w:r>
      <w:r>
        <w:t>.</w:t>
      </w:r>
      <w:r>
        <w:br/>
      </w:r>
    </w:p>
    <w:p w:rsidR="0044062E" w:rsidP="0044062E" w:rsidRDefault="0044062E" w14:paraId="3FD34EEA" w14:textId="77777777">
      <w:pPr>
        <w:jc w:val="both"/>
        <w:rPr>
          <w:rFonts w:eastAsia="Verdana" w:cs="Verdana"/>
        </w:rPr>
      </w:pPr>
      <w:r w:rsidRPr="00C83766">
        <w:rPr>
          <w:rFonts w:eastAsia="Verdana" w:cs="Verdana"/>
        </w:rPr>
        <w:t xml:space="preserve">Het </w:t>
      </w:r>
      <w:r>
        <w:rPr>
          <w:rFonts w:eastAsia="Verdana" w:cs="Verdana"/>
        </w:rPr>
        <w:t>EHRM stelde de beoordeling van</w:t>
      </w:r>
      <w:r w:rsidRPr="00C83766">
        <w:rPr>
          <w:rFonts w:eastAsia="Verdana" w:cs="Verdana"/>
        </w:rPr>
        <w:t xml:space="preserve"> </w:t>
      </w:r>
      <w:proofErr w:type="spellStart"/>
      <w:r>
        <w:rPr>
          <w:rFonts w:eastAsia="Verdana" w:cs="Verdana"/>
        </w:rPr>
        <w:t>Nederland’s</w:t>
      </w:r>
      <w:proofErr w:type="spellEnd"/>
      <w:r>
        <w:rPr>
          <w:rFonts w:eastAsia="Verdana" w:cs="Verdana"/>
        </w:rPr>
        <w:t xml:space="preserve"> verzoek tot </w:t>
      </w:r>
      <w:r w:rsidRPr="00C83766">
        <w:rPr>
          <w:rFonts w:eastAsia="Verdana" w:cs="Verdana"/>
        </w:rPr>
        <w:t>billijke genoegdoening uit</w:t>
      </w:r>
      <w:r>
        <w:rPr>
          <w:rFonts w:eastAsia="Verdana" w:cs="Verdana"/>
        </w:rPr>
        <w:t xml:space="preserve">, omdat het rekening moet houden met eventuele ontwikkelingen naar aanleiding van de beslissing van de ICAO Raad en toekenning van schadevergoeding aan Nederland in die procedure, en met </w:t>
      </w:r>
      <w:r w:rsidRPr="00C83766">
        <w:rPr>
          <w:rFonts w:eastAsia="Verdana" w:cs="Verdana"/>
        </w:rPr>
        <w:t xml:space="preserve">de verdere </w:t>
      </w:r>
      <w:r>
        <w:rPr>
          <w:rFonts w:eastAsia="Verdana" w:cs="Verdana"/>
        </w:rPr>
        <w:t>behandeling</w:t>
      </w:r>
      <w:r w:rsidRPr="00C83766">
        <w:rPr>
          <w:rFonts w:eastAsia="Verdana" w:cs="Verdana"/>
        </w:rPr>
        <w:t xml:space="preserve"> van de individuele klachten, ingediend bij het </w:t>
      </w:r>
      <w:r>
        <w:rPr>
          <w:rFonts w:eastAsia="Verdana" w:cs="Verdana"/>
        </w:rPr>
        <w:t xml:space="preserve">EHRM </w:t>
      </w:r>
      <w:r w:rsidRPr="00C83766">
        <w:rPr>
          <w:rFonts w:eastAsia="Verdana" w:cs="Verdana"/>
        </w:rPr>
        <w:t xml:space="preserve">door </w:t>
      </w:r>
      <w:r>
        <w:rPr>
          <w:rFonts w:eastAsia="Verdana" w:cs="Verdana"/>
        </w:rPr>
        <w:t xml:space="preserve">de </w:t>
      </w:r>
      <w:r w:rsidRPr="00C83766">
        <w:rPr>
          <w:rFonts w:eastAsia="Verdana" w:cs="Verdana"/>
        </w:rPr>
        <w:t>nabestaanden</w:t>
      </w:r>
      <w:r>
        <w:rPr>
          <w:rFonts w:eastAsia="Verdana" w:cs="Verdana"/>
        </w:rPr>
        <w:t xml:space="preserve"> van slachtoffers van het neerhalen van vlucht MH17</w:t>
      </w:r>
      <w:r w:rsidRPr="00C83766">
        <w:rPr>
          <w:rFonts w:eastAsia="Verdana" w:cs="Verdana"/>
        </w:rPr>
        <w:t xml:space="preserve">. </w:t>
      </w:r>
      <w:r w:rsidRPr="004E463F">
        <w:rPr>
          <w:rFonts w:eastAsia="Verdana" w:cs="Verdana"/>
        </w:rPr>
        <w:t xml:space="preserve">In de vervolgprocedure </w:t>
      </w:r>
      <w:r>
        <w:rPr>
          <w:rFonts w:eastAsia="Verdana" w:cs="Verdana"/>
        </w:rPr>
        <w:t xml:space="preserve">van de statenklacht over de hoogte en modaliteiten van eventuele schadevergoeding, </w:t>
      </w:r>
      <w:r w:rsidRPr="004E463F">
        <w:rPr>
          <w:rFonts w:eastAsia="Verdana" w:cs="Verdana"/>
        </w:rPr>
        <w:t>zal Nederland in nauw contact blijven met de nabestaanden.</w:t>
      </w:r>
    </w:p>
    <w:p w:rsidR="0044062E" w:rsidP="0044062E" w:rsidRDefault="0044062E" w14:paraId="288730AA" w14:textId="77777777">
      <w:pPr>
        <w:pStyle w:val="BodyText"/>
        <w:spacing w:line="264" w:lineRule="auto"/>
        <w:ind w:right="29"/>
      </w:pPr>
      <w:r>
        <w:t xml:space="preserve">De uitspraak van het EHRM is definitief, er is geen hoger beroep mogelijk. </w:t>
      </w:r>
    </w:p>
    <w:p w:rsidR="0044062E" w:rsidP="0044062E" w:rsidRDefault="0044062E" w14:paraId="6562B270" w14:textId="77777777">
      <w:pPr>
        <w:pStyle w:val="BodyText"/>
        <w:spacing w:line="264" w:lineRule="auto"/>
        <w:ind w:right="38"/>
      </w:pPr>
    </w:p>
    <w:p w:rsidRPr="00EF54D0" w:rsidR="0044062E" w:rsidP="0044062E" w:rsidRDefault="0044062E" w14:paraId="166453DF" w14:textId="2A07FA37">
      <w:pPr>
        <w:pStyle w:val="BodyText"/>
        <w:spacing w:line="264" w:lineRule="auto"/>
        <w:ind w:right="38"/>
      </w:pPr>
      <w:r w:rsidRPr="003D1539">
        <w:t xml:space="preserve">Het besluit van de </w:t>
      </w:r>
      <w:r>
        <w:t>ICAO-Raad</w:t>
      </w:r>
      <w:r w:rsidRPr="003D1539">
        <w:t xml:space="preserve"> </w:t>
      </w:r>
      <w:r>
        <w:t>en de uitspraak van het EHRM zijn cruciale</w:t>
      </w:r>
      <w:r w:rsidRPr="003D1539">
        <w:t xml:space="preserve"> stap</w:t>
      </w:r>
      <w:r>
        <w:t>pen</w:t>
      </w:r>
      <w:r w:rsidRPr="003D1539">
        <w:t xml:space="preserve"> in de richting van waarheid</w:t>
      </w:r>
      <w:r>
        <w:t>svinding</w:t>
      </w:r>
      <w:r w:rsidRPr="003D1539">
        <w:t xml:space="preserve">, gerechtigheid en </w:t>
      </w:r>
      <w:r>
        <w:t>rekenschap</w:t>
      </w:r>
      <w:r w:rsidRPr="003D1539">
        <w:t xml:space="preserve"> voor de 298 slachtoffers van </w:t>
      </w:r>
      <w:r>
        <w:t xml:space="preserve">het neerhalen van vlucht MH17 </w:t>
      </w:r>
      <w:r w:rsidRPr="003D1539">
        <w:t xml:space="preserve">en hun nabestaanden. </w:t>
      </w:r>
      <w:r>
        <w:t xml:space="preserve">Twee keer in korte tijd is op internationaal niveau vastgesteld dat de Russische Federatie verantwoordelijk is voor het neerhalen van vlucht MH17 en daarmee het internationaal recht heeft geschonden. Het </w:t>
      </w:r>
      <w:r w:rsidR="003116C0">
        <w:t>k</w:t>
      </w:r>
      <w:r>
        <w:t xml:space="preserve">abinet blijft zich maximaal inspannen </w:t>
      </w:r>
      <w:r w:rsidRPr="00197505">
        <w:t>voor waarheidsvinding, gerechtigheid en rekenschap voor de</w:t>
      </w:r>
      <w:r>
        <w:t xml:space="preserve"> </w:t>
      </w:r>
      <w:r w:rsidRPr="00197505">
        <w:t>298 slachtoffers van het neerhalen van vlucht MH17 en hun nabestaanden.</w:t>
      </w:r>
    </w:p>
    <w:p w:rsidR="0044062E" w:rsidP="0044062E" w:rsidRDefault="0044062E" w14:paraId="21F25C0B" w14:textId="77777777">
      <w:pPr>
        <w:pStyle w:val="BodyText"/>
      </w:pPr>
    </w:p>
    <w:p w:rsidR="0044062E" w:rsidP="0044062E" w:rsidRDefault="0044062E" w14:paraId="69C1D727" w14:textId="77777777">
      <w:pPr>
        <w:pStyle w:val="BodyText"/>
        <w:spacing w:before="1"/>
      </w:pPr>
      <w:r>
        <w:t>De</w:t>
      </w:r>
      <w:r w:rsidRPr="00FA23EB">
        <w:t xml:space="preserve"> </w:t>
      </w:r>
      <w:r>
        <w:t>minister</w:t>
      </w:r>
      <w:r w:rsidRPr="00FA23EB">
        <w:t xml:space="preserve"> </w:t>
      </w:r>
      <w:r>
        <w:t>van</w:t>
      </w:r>
      <w:r w:rsidRPr="00FA23EB">
        <w:t xml:space="preserve"> </w:t>
      </w:r>
      <w:r>
        <w:t>Buitenlandse</w:t>
      </w:r>
      <w:r w:rsidRPr="00FA23EB">
        <w:t xml:space="preserve"> Zaken,</w:t>
      </w:r>
    </w:p>
    <w:p w:rsidR="0044062E" w:rsidP="0044062E" w:rsidRDefault="0044062E" w14:paraId="4C67E61C" w14:textId="77777777">
      <w:pPr>
        <w:pStyle w:val="BodyText"/>
        <w:ind w:left="135"/>
      </w:pPr>
    </w:p>
    <w:p w:rsidR="0044062E" w:rsidP="0044062E" w:rsidRDefault="0044062E" w14:paraId="48F38C13" w14:textId="77777777">
      <w:pPr>
        <w:pStyle w:val="BodyText"/>
        <w:ind w:left="135"/>
      </w:pPr>
    </w:p>
    <w:p w:rsidR="0044062E" w:rsidP="0044062E" w:rsidRDefault="0044062E" w14:paraId="42518ED1" w14:textId="77777777">
      <w:pPr>
        <w:pStyle w:val="BodyText"/>
        <w:ind w:left="135"/>
      </w:pPr>
    </w:p>
    <w:p w:rsidR="0044062E" w:rsidP="0044062E" w:rsidRDefault="0044062E" w14:paraId="4DE0C091" w14:textId="77777777">
      <w:pPr>
        <w:pStyle w:val="BodyText"/>
        <w:spacing w:before="106"/>
        <w:ind w:left="135"/>
      </w:pPr>
    </w:p>
    <w:p w:rsidR="0044062E" w:rsidP="0044062E" w:rsidRDefault="0044062E" w14:paraId="6B2FC583" w14:textId="77777777"/>
    <w:p w:rsidR="00693EBD" w:rsidRDefault="003826D4" w14:paraId="5C8A073D" w14:textId="1FB1B13C">
      <w:r>
        <w:t>Ruben Brekelmans</w:t>
      </w:r>
    </w:p>
    <w:p w:rsidR="00693EBD" w:rsidRDefault="00693EBD" w14:paraId="5C8A073E" w14:textId="77777777"/>
    <w:p w:rsidR="00693EBD" w:rsidRDefault="00693EBD" w14:paraId="5C8A073F" w14:textId="77777777"/>
    <w:p w:rsidR="00693EBD" w:rsidRDefault="00693EBD" w14:paraId="5C8A0740" w14:textId="77777777"/>
    <w:p w:rsidR="00693EBD" w:rsidRDefault="00693EBD" w14:paraId="5C8A0741" w14:textId="77777777"/>
    <w:p w:rsidR="00693EBD" w:rsidRDefault="00693EBD" w14:paraId="5C8A0742" w14:textId="77777777"/>
    <w:p w:rsidR="00693EBD" w:rsidRDefault="00693EBD" w14:paraId="5C8A0743" w14:textId="77777777"/>
    <w:sectPr w:rsidR="00693EBD">
      <w:headerReference w:type="default" r:id="rId13"/>
      <w:footerReference w:type="default" r:id="rId14"/>
      <w:headerReference w:type="first" r:id="rId15"/>
      <w:footerReference w:type="first" r:id="rId16"/>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A074C" w14:textId="77777777" w:rsidR="0044062E" w:rsidRDefault="0044062E">
      <w:pPr>
        <w:spacing w:line="240" w:lineRule="auto"/>
      </w:pPr>
      <w:r>
        <w:separator/>
      </w:r>
    </w:p>
  </w:endnote>
  <w:endnote w:type="continuationSeparator" w:id="0">
    <w:p w14:paraId="5C8A074E" w14:textId="77777777" w:rsidR="0044062E" w:rsidRDefault="004406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590509"/>
      <w:docPartObj>
        <w:docPartGallery w:val="Page Numbers (Bottom of Page)"/>
        <w:docPartUnique/>
      </w:docPartObj>
    </w:sdtPr>
    <w:sdtEndPr/>
    <w:sdtContent>
      <w:p w14:paraId="2817C1E6" w14:textId="626C6384" w:rsidR="003826D4" w:rsidRDefault="003826D4">
        <w:pPr>
          <w:pStyle w:val="Footer"/>
          <w:jc w:val="center"/>
        </w:pPr>
        <w:r>
          <w:fldChar w:fldCharType="begin"/>
        </w:r>
        <w:r>
          <w:instrText>PAGE   \* MERGEFORMAT</w:instrText>
        </w:r>
        <w:r>
          <w:fldChar w:fldCharType="separate"/>
        </w:r>
        <w:r>
          <w:t>2</w:t>
        </w:r>
        <w:r>
          <w:fldChar w:fldCharType="end"/>
        </w:r>
      </w:p>
    </w:sdtContent>
  </w:sdt>
  <w:p w14:paraId="015B56A6" w14:textId="77777777" w:rsidR="003826D4" w:rsidRDefault="003826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830797"/>
      <w:docPartObj>
        <w:docPartGallery w:val="Page Numbers (Bottom of Page)"/>
        <w:docPartUnique/>
      </w:docPartObj>
    </w:sdtPr>
    <w:sdtEndPr/>
    <w:sdtContent>
      <w:p w14:paraId="2BBD4748" w14:textId="65B0916A" w:rsidR="003826D4" w:rsidRDefault="003826D4">
        <w:pPr>
          <w:pStyle w:val="Footer"/>
          <w:jc w:val="center"/>
        </w:pPr>
        <w:r>
          <w:fldChar w:fldCharType="begin"/>
        </w:r>
        <w:r>
          <w:instrText>PAGE   \* MERGEFORMAT</w:instrText>
        </w:r>
        <w:r>
          <w:fldChar w:fldCharType="separate"/>
        </w:r>
        <w:r>
          <w:t>2</w:t>
        </w:r>
        <w:r>
          <w:fldChar w:fldCharType="end"/>
        </w:r>
      </w:p>
    </w:sdtContent>
  </w:sdt>
  <w:p w14:paraId="2FFA2DD6" w14:textId="77777777" w:rsidR="003826D4" w:rsidRDefault="003826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A0748" w14:textId="77777777" w:rsidR="0044062E" w:rsidRDefault="0044062E">
      <w:pPr>
        <w:spacing w:line="240" w:lineRule="auto"/>
      </w:pPr>
      <w:r>
        <w:separator/>
      </w:r>
    </w:p>
  </w:footnote>
  <w:footnote w:type="continuationSeparator" w:id="0">
    <w:p w14:paraId="5C8A074A" w14:textId="77777777" w:rsidR="0044062E" w:rsidRDefault="004406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0744" w14:textId="2900CA6B" w:rsidR="00693EBD" w:rsidRDefault="0044062E">
    <w:r>
      <w:rPr>
        <w:noProof/>
      </w:rPr>
      <mc:AlternateContent>
        <mc:Choice Requires="wps">
          <w:drawing>
            <wp:anchor distT="0" distB="0" distL="0" distR="0" simplePos="0" relativeHeight="251652608" behindDoc="0" locked="1" layoutInCell="1" allowOverlap="1" wp14:anchorId="5C8A0748" wp14:editId="5C8A0749">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C8A0776" w14:textId="77777777" w:rsidR="00693EBD" w:rsidRDefault="0044062E">
                          <w:pPr>
                            <w:pStyle w:val="Referentiegegevensbold"/>
                          </w:pPr>
                          <w:r>
                            <w:t>Ministerie van Buitenlandse Zaken</w:t>
                          </w:r>
                        </w:p>
                        <w:p w14:paraId="5C8A0777" w14:textId="77777777" w:rsidR="00693EBD" w:rsidRDefault="00693EBD">
                          <w:pPr>
                            <w:pStyle w:val="WitregelW2"/>
                          </w:pPr>
                        </w:p>
                        <w:p w14:paraId="5C8A0778" w14:textId="77777777" w:rsidR="00693EBD" w:rsidRDefault="0044062E">
                          <w:pPr>
                            <w:pStyle w:val="Referentiegegevensbold"/>
                          </w:pPr>
                          <w:r>
                            <w:t>Onze referentie</w:t>
                          </w:r>
                        </w:p>
                        <w:p w14:paraId="5C8A0779" w14:textId="77777777" w:rsidR="00693EBD" w:rsidRDefault="0044062E">
                          <w:pPr>
                            <w:pStyle w:val="Referentiegegevens"/>
                          </w:pPr>
                          <w:r>
                            <w:t>BZ2519504</w:t>
                          </w:r>
                        </w:p>
                      </w:txbxContent>
                    </wps:txbx>
                    <wps:bodyPr vert="horz" wrap="square" lIns="0" tIns="0" rIns="0" bIns="0" anchor="t" anchorCtr="0"/>
                  </wps:wsp>
                </a:graphicData>
              </a:graphic>
            </wp:anchor>
          </w:drawing>
        </mc:Choice>
        <mc:Fallback>
          <w:pict>
            <v:shapetype w14:anchorId="5C8A0748"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5C8A0776" w14:textId="77777777" w:rsidR="00693EBD" w:rsidRDefault="0044062E">
                    <w:pPr>
                      <w:pStyle w:val="Referentiegegevensbold"/>
                    </w:pPr>
                    <w:r>
                      <w:t>Ministerie van Buitenlandse Zaken</w:t>
                    </w:r>
                  </w:p>
                  <w:p w14:paraId="5C8A0777" w14:textId="77777777" w:rsidR="00693EBD" w:rsidRDefault="00693EBD">
                    <w:pPr>
                      <w:pStyle w:val="WitregelW2"/>
                    </w:pPr>
                  </w:p>
                  <w:p w14:paraId="5C8A0778" w14:textId="77777777" w:rsidR="00693EBD" w:rsidRDefault="0044062E">
                    <w:pPr>
                      <w:pStyle w:val="Referentiegegevensbold"/>
                    </w:pPr>
                    <w:r>
                      <w:t>Onze referentie</w:t>
                    </w:r>
                  </w:p>
                  <w:p w14:paraId="5C8A0779" w14:textId="77777777" w:rsidR="00693EBD" w:rsidRDefault="0044062E">
                    <w:pPr>
                      <w:pStyle w:val="Referentiegegevens"/>
                    </w:pPr>
                    <w:r>
                      <w:t>BZ2519504</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C8A074C" wp14:editId="03621E6E">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C8A0788" w14:textId="77777777" w:rsidR="0044062E" w:rsidRDefault="0044062E"/>
                      </w:txbxContent>
                    </wps:txbx>
                    <wps:bodyPr vert="horz" wrap="square" lIns="0" tIns="0" rIns="0" bIns="0" anchor="t" anchorCtr="0"/>
                  </wps:wsp>
                </a:graphicData>
              </a:graphic>
            </wp:anchor>
          </w:drawing>
        </mc:Choice>
        <mc:Fallback>
          <w:pict>
            <v:shape w14:anchorId="5C8A074C"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5C8A0788" w14:textId="77777777" w:rsidR="0044062E" w:rsidRDefault="0044062E"/>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0746" w14:textId="1A352B28" w:rsidR="00693EBD" w:rsidRDefault="0044062E">
    <w:pPr>
      <w:spacing w:after="7131" w:line="14" w:lineRule="exact"/>
    </w:pPr>
    <w:r>
      <w:rPr>
        <w:noProof/>
      </w:rPr>
      <mc:AlternateContent>
        <mc:Choice Requires="wps">
          <w:drawing>
            <wp:anchor distT="0" distB="0" distL="0" distR="0" simplePos="0" relativeHeight="251655680" behindDoc="0" locked="1" layoutInCell="1" allowOverlap="1" wp14:anchorId="5C8A074E" wp14:editId="5C8A074F">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5C8A077B" w14:textId="77777777" w:rsidR="0044062E" w:rsidRDefault="0044062E"/>
                      </w:txbxContent>
                    </wps:txbx>
                    <wps:bodyPr vert="horz" wrap="square" lIns="0" tIns="0" rIns="0" bIns="0" anchor="t" anchorCtr="0"/>
                  </wps:wsp>
                </a:graphicData>
              </a:graphic>
            </wp:anchor>
          </w:drawing>
        </mc:Choice>
        <mc:Fallback>
          <w:pict>
            <v:shapetype w14:anchorId="5C8A074E"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5C8A077B" w14:textId="77777777" w:rsidR="0044062E" w:rsidRDefault="0044062E"/>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C8A0750" wp14:editId="5C8A0751">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C8A075F" w14:textId="77777777" w:rsidR="00693EBD" w:rsidRDefault="0044062E">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5C8A0750"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5C8A075F" w14:textId="77777777" w:rsidR="00693EBD" w:rsidRDefault="0044062E">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C8A0752" wp14:editId="5C8A0753">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693EBD" w14:paraId="5C8A0762" w14:textId="77777777">
                            <w:tc>
                              <w:tcPr>
                                <w:tcW w:w="678" w:type="dxa"/>
                              </w:tcPr>
                              <w:p w14:paraId="5C8A0760" w14:textId="77777777" w:rsidR="00693EBD" w:rsidRDefault="0044062E">
                                <w:r>
                                  <w:t>Datum</w:t>
                                </w:r>
                              </w:p>
                            </w:tc>
                            <w:tc>
                              <w:tcPr>
                                <w:tcW w:w="6851" w:type="dxa"/>
                              </w:tcPr>
                              <w:p w14:paraId="5C8A0761" w14:textId="4341109F" w:rsidR="00693EBD" w:rsidRDefault="003826D4">
                                <w:r>
                                  <w:t xml:space="preserve"> </w:t>
                                </w:r>
                                <w:r w:rsidR="005B3CBC">
                                  <w:t xml:space="preserve">4 september </w:t>
                                </w:r>
                                <w:r w:rsidR="0044062E">
                                  <w:t>2025</w:t>
                                </w:r>
                              </w:p>
                            </w:tc>
                          </w:tr>
                          <w:tr w:rsidR="00693EBD" w14:paraId="5C8A0767" w14:textId="77777777">
                            <w:tc>
                              <w:tcPr>
                                <w:tcW w:w="678" w:type="dxa"/>
                              </w:tcPr>
                              <w:p w14:paraId="5C8A0763" w14:textId="77777777" w:rsidR="00693EBD" w:rsidRDefault="0044062E">
                                <w:r>
                                  <w:t>Betreft</w:t>
                                </w:r>
                              </w:p>
                              <w:p w14:paraId="5C8A0764" w14:textId="77777777" w:rsidR="00693EBD" w:rsidRDefault="00693EBD"/>
                            </w:tc>
                            <w:tc>
                              <w:tcPr>
                                <w:tcW w:w="6851" w:type="dxa"/>
                              </w:tcPr>
                              <w:p w14:paraId="5C8A0765" w14:textId="77777777" w:rsidR="00693EBD" w:rsidRDefault="0044062E">
                                <w:r>
                                  <w:t>Internationaalrechtelijke procedures neerhalen vlucht MH17</w:t>
                                </w:r>
                              </w:p>
                              <w:p w14:paraId="5C8A0766" w14:textId="77777777" w:rsidR="00693EBD" w:rsidRDefault="00693EBD"/>
                            </w:tc>
                          </w:tr>
                        </w:tbl>
                        <w:p w14:paraId="5C8A0768" w14:textId="77777777" w:rsidR="00693EBD" w:rsidRDefault="00693EBD"/>
                        <w:p w14:paraId="5C8A0769" w14:textId="77777777" w:rsidR="00693EBD" w:rsidRDefault="00693EBD"/>
                      </w:txbxContent>
                    </wps:txbx>
                    <wps:bodyPr vert="horz" wrap="square" lIns="0" tIns="0" rIns="0" bIns="0" anchor="t" anchorCtr="0"/>
                  </wps:wsp>
                </a:graphicData>
              </a:graphic>
            </wp:anchor>
          </w:drawing>
        </mc:Choice>
        <mc:Fallback>
          <w:pict>
            <v:shape w14:anchorId="5C8A0752"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693EBD" w14:paraId="5C8A0762" w14:textId="77777777">
                      <w:tc>
                        <w:tcPr>
                          <w:tcW w:w="678" w:type="dxa"/>
                        </w:tcPr>
                        <w:p w14:paraId="5C8A0760" w14:textId="77777777" w:rsidR="00693EBD" w:rsidRDefault="0044062E">
                          <w:r>
                            <w:t>Datum</w:t>
                          </w:r>
                        </w:p>
                      </w:tc>
                      <w:tc>
                        <w:tcPr>
                          <w:tcW w:w="6851" w:type="dxa"/>
                        </w:tcPr>
                        <w:p w14:paraId="5C8A0761" w14:textId="4341109F" w:rsidR="00693EBD" w:rsidRDefault="003826D4">
                          <w:r>
                            <w:t xml:space="preserve"> </w:t>
                          </w:r>
                          <w:r w:rsidR="005B3CBC">
                            <w:t xml:space="preserve">4 september </w:t>
                          </w:r>
                          <w:r w:rsidR="0044062E">
                            <w:t>2025</w:t>
                          </w:r>
                        </w:p>
                      </w:tc>
                    </w:tr>
                    <w:tr w:rsidR="00693EBD" w14:paraId="5C8A0767" w14:textId="77777777">
                      <w:tc>
                        <w:tcPr>
                          <w:tcW w:w="678" w:type="dxa"/>
                        </w:tcPr>
                        <w:p w14:paraId="5C8A0763" w14:textId="77777777" w:rsidR="00693EBD" w:rsidRDefault="0044062E">
                          <w:r>
                            <w:t>Betreft</w:t>
                          </w:r>
                        </w:p>
                        <w:p w14:paraId="5C8A0764" w14:textId="77777777" w:rsidR="00693EBD" w:rsidRDefault="00693EBD"/>
                      </w:tc>
                      <w:tc>
                        <w:tcPr>
                          <w:tcW w:w="6851" w:type="dxa"/>
                        </w:tcPr>
                        <w:p w14:paraId="5C8A0765" w14:textId="77777777" w:rsidR="00693EBD" w:rsidRDefault="0044062E">
                          <w:r>
                            <w:t>Internationaalrechtelijke procedures neerhalen vlucht MH17</w:t>
                          </w:r>
                        </w:p>
                        <w:p w14:paraId="5C8A0766" w14:textId="77777777" w:rsidR="00693EBD" w:rsidRDefault="00693EBD"/>
                      </w:tc>
                    </w:tr>
                  </w:tbl>
                  <w:p w14:paraId="5C8A0768" w14:textId="77777777" w:rsidR="00693EBD" w:rsidRDefault="00693EBD"/>
                  <w:p w14:paraId="5C8A0769" w14:textId="77777777" w:rsidR="00693EBD" w:rsidRDefault="00693EBD"/>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C8A0754" wp14:editId="5C8A0755">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C8A076A" w14:textId="77777777" w:rsidR="00693EBD" w:rsidRDefault="0044062E">
                          <w:pPr>
                            <w:pStyle w:val="Referentiegegevensbold"/>
                          </w:pPr>
                          <w:r>
                            <w:t>Ministerie van Buitenlandse Zaken</w:t>
                          </w:r>
                        </w:p>
                        <w:p w14:paraId="5C8A076B" w14:textId="77777777" w:rsidR="00693EBD" w:rsidRDefault="00693EBD">
                          <w:pPr>
                            <w:pStyle w:val="WitregelW1"/>
                          </w:pPr>
                        </w:p>
                        <w:p w14:paraId="5C8A076C" w14:textId="6231BB77" w:rsidR="00693EBD" w:rsidRPr="003826D4" w:rsidRDefault="003826D4">
                          <w:pPr>
                            <w:pStyle w:val="Referentiegegevens"/>
                          </w:pPr>
                          <w:r w:rsidRPr="003826D4">
                            <w:t>Rijnstraat 8</w:t>
                          </w:r>
                        </w:p>
                        <w:p w14:paraId="5B4F276C" w14:textId="01F2966A" w:rsidR="003826D4" w:rsidRPr="003826D4" w:rsidRDefault="003826D4" w:rsidP="003826D4">
                          <w:pPr>
                            <w:rPr>
                              <w:sz w:val="13"/>
                              <w:szCs w:val="13"/>
                              <w:lang w:val="da-DK"/>
                            </w:rPr>
                          </w:pPr>
                          <w:r w:rsidRPr="003826D4">
                            <w:rPr>
                              <w:sz w:val="13"/>
                              <w:szCs w:val="13"/>
                              <w:lang w:val="da-DK"/>
                            </w:rPr>
                            <w:t>2515XP Den Haag</w:t>
                          </w:r>
                        </w:p>
                        <w:p w14:paraId="3F6F3F20" w14:textId="16F391FC" w:rsidR="003826D4" w:rsidRPr="003826D4" w:rsidRDefault="003826D4" w:rsidP="003826D4">
                          <w:pPr>
                            <w:rPr>
                              <w:sz w:val="13"/>
                              <w:szCs w:val="13"/>
                              <w:lang w:val="da-DK"/>
                            </w:rPr>
                          </w:pPr>
                          <w:proofErr w:type="spellStart"/>
                          <w:r w:rsidRPr="003826D4">
                            <w:rPr>
                              <w:sz w:val="13"/>
                              <w:szCs w:val="13"/>
                              <w:lang w:val="da-DK"/>
                            </w:rPr>
                            <w:t>Postbus</w:t>
                          </w:r>
                          <w:proofErr w:type="spellEnd"/>
                          <w:r w:rsidRPr="003826D4">
                            <w:rPr>
                              <w:sz w:val="13"/>
                              <w:szCs w:val="13"/>
                              <w:lang w:val="da-DK"/>
                            </w:rPr>
                            <w:t xml:space="preserve"> 20061</w:t>
                          </w:r>
                        </w:p>
                        <w:p w14:paraId="029E519A" w14:textId="11B3D6E9" w:rsidR="003826D4" w:rsidRPr="003826D4" w:rsidRDefault="003826D4" w:rsidP="003826D4">
                          <w:pPr>
                            <w:rPr>
                              <w:sz w:val="13"/>
                              <w:szCs w:val="13"/>
                              <w:lang w:val="da-DK"/>
                            </w:rPr>
                          </w:pPr>
                          <w:r w:rsidRPr="003826D4">
                            <w:rPr>
                              <w:sz w:val="13"/>
                              <w:szCs w:val="13"/>
                              <w:lang w:val="da-DK"/>
                            </w:rPr>
                            <w:t>Nederland</w:t>
                          </w:r>
                        </w:p>
                        <w:p w14:paraId="5C8A076D" w14:textId="77777777" w:rsidR="00693EBD" w:rsidRPr="003826D4" w:rsidRDefault="0044062E">
                          <w:pPr>
                            <w:pStyle w:val="Referentiegegevens"/>
                            <w:rPr>
                              <w:lang w:val="da-DK"/>
                            </w:rPr>
                          </w:pPr>
                          <w:r w:rsidRPr="003826D4">
                            <w:rPr>
                              <w:lang w:val="da-DK"/>
                            </w:rPr>
                            <w:t>www.minbuza.nl</w:t>
                          </w:r>
                        </w:p>
                        <w:p w14:paraId="5C8A076E" w14:textId="77777777" w:rsidR="00693EBD" w:rsidRPr="003826D4" w:rsidRDefault="00693EBD">
                          <w:pPr>
                            <w:pStyle w:val="WitregelW2"/>
                            <w:rPr>
                              <w:lang w:val="da-DK"/>
                            </w:rPr>
                          </w:pPr>
                        </w:p>
                        <w:p w14:paraId="5C8A076F" w14:textId="77777777" w:rsidR="00693EBD" w:rsidRDefault="0044062E">
                          <w:pPr>
                            <w:pStyle w:val="Referentiegegevensbold"/>
                          </w:pPr>
                          <w:r>
                            <w:t>Onze referentie</w:t>
                          </w:r>
                        </w:p>
                        <w:p w14:paraId="5C8A0770" w14:textId="77777777" w:rsidR="00693EBD" w:rsidRDefault="0044062E">
                          <w:pPr>
                            <w:pStyle w:val="Referentiegegevens"/>
                          </w:pPr>
                          <w:r>
                            <w:t>BZ2519504</w:t>
                          </w:r>
                        </w:p>
                        <w:p w14:paraId="5C8A0771" w14:textId="77777777" w:rsidR="00693EBD" w:rsidRDefault="00693EBD">
                          <w:pPr>
                            <w:pStyle w:val="WitregelW1"/>
                          </w:pPr>
                        </w:p>
                        <w:p w14:paraId="5C8A0772" w14:textId="77777777" w:rsidR="00693EBD" w:rsidRDefault="0044062E">
                          <w:pPr>
                            <w:pStyle w:val="Referentiegegevensbold"/>
                          </w:pPr>
                          <w:r>
                            <w:t>Bijlage(n)</w:t>
                          </w:r>
                        </w:p>
                        <w:p w14:paraId="5C8A0773" w14:textId="77777777" w:rsidR="00693EBD" w:rsidRDefault="0044062E">
                          <w:pPr>
                            <w:pStyle w:val="Referentiegegevens"/>
                          </w:pPr>
                          <w:r>
                            <w:t>-</w:t>
                          </w:r>
                        </w:p>
                      </w:txbxContent>
                    </wps:txbx>
                    <wps:bodyPr vert="horz" wrap="square" lIns="0" tIns="0" rIns="0" bIns="0" anchor="t" anchorCtr="0"/>
                  </wps:wsp>
                </a:graphicData>
              </a:graphic>
            </wp:anchor>
          </w:drawing>
        </mc:Choice>
        <mc:Fallback>
          <w:pict>
            <v:shape w14:anchorId="5C8A0754" id="41b10cd4-80a4-11ea-b356-6230a4311406" o:spid="_x0000_s1031" type="#_x0000_t202" style="position:absolute;margin-left:466.25pt;margin-top:154.75pt;width:100.6pt;height:630.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5C8A076A" w14:textId="77777777" w:rsidR="00693EBD" w:rsidRDefault="0044062E">
                    <w:pPr>
                      <w:pStyle w:val="Referentiegegevensbold"/>
                    </w:pPr>
                    <w:r>
                      <w:t>Ministerie van Buitenlandse Zaken</w:t>
                    </w:r>
                  </w:p>
                  <w:p w14:paraId="5C8A076B" w14:textId="77777777" w:rsidR="00693EBD" w:rsidRDefault="00693EBD">
                    <w:pPr>
                      <w:pStyle w:val="WitregelW1"/>
                    </w:pPr>
                  </w:p>
                  <w:p w14:paraId="5C8A076C" w14:textId="6231BB77" w:rsidR="00693EBD" w:rsidRPr="003826D4" w:rsidRDefault="003826D4">
                    <w:pPr>
                      <w:pStyle w:val="Referentiegegevens"/>
                    </w:pPr>
                    <w:r w:rsidRPr="003826D4">
                      <w:t>Rijnstraat 8</w:t>
                    </w:r>
                  </w:p>
                  <w:p w14:paraId="5B4F276C" w14:textId="01F2966A" w:rsidR="003826D4" w:rsidRPr="003826D4" w:rsidRDefault="003826D4" w:rsidP="003826D4">
                    <w:pPr>
                      <w:rPr>
                        <w:sz w:val="13"/>
                        <w:szCs w:val="13"/>
                        <w:lang w:val="da-DK"/>
                      </w:rPr>
                    </w:pPr>
                    <w:r w:rsidRPr="003826D4">
                      <w:rPr>
                        <w:sz w:val="13"/>
                        <w:szCs w:val="13"/>
                        <w:lang w:val="da-DK"/>
                      </w:rPr>
                      <w:t>2515XP Den Haag</w:t>
                    </w:r>
                  </w:p>
                  <w:p w14:paraId="3F6F3F20" w14:textId="16F391FC" w:rsidR="003826D4" w:rsidRPr="003826D4" w:rsidRDefault="003826D4" w:rsidP="003826D4">
                    <w:pPr>
                      <w:rPr>
                        <w:sz w:val="13"/>
                        <w:szCs w:val="13"/>
                        <w:lang w:val="da-DK"/>
                      </w:rPr>
                    </w:pPr>
                    <w:proofErr w:type="spellStart"/>
                    <w:r w:rsidRPr="003826D4">
                      <w:rPr>
                        <w:sz w:val="13"/>
                        <w:szCs w:val="13"/>
                        <w:lang w:val="da-DK"/>
                      </w:rPr>
                      <w:t>Postbus</w:t>
                    </w:r>
                    <w:proofErr w:type="spellEnd"/>
                    <w:r w:rsidRPr="003826D4">
                      <w:rPr>
                        <w:sz w:val="13"/>
                        <w:szCs w:val="13"/>
                        <w:lang w:val="da-DK"/>
                      </w:rPr>
                      <w:t xml:space="preserve"> 20061</w:t>
                    </w:r>
                  </w:p>
                  <w:p w14:paraId="029E519A" w14:textId="11B3D6E9" w:rsidR="003826D4" w:rsidRPr="003826D4" w:rsidRDefault="003826D4" w:rsidP="003826D4">
                    <w:pPr>
                      <w:rPr>
                        <w:sz w:val="13"/>
                        <w:szCs w:val="13"/>
                        <w:lang w:val="da-DK"/>
                      </w:rPr>
                    </w:pPr>
                    <w:r w:rsidRPr="003826D4">
                      <w:rPr>
                        <w:sz w:val="13"/>
                        <w:szCs w:val="13"/>
                        <w:lang w:val="da-DK"/>
                      </w:rPr>
                      <w:t>Nederland</w:t>
                    </w:r>
                  </w:p>
                  <w:p w14:paraId="5C8A076D" w14:textId="77777777" w:rsidR="00693EBD" w:rsidRPr="003826D4" w:rsidRDefault="0044062E">
                    <w:pPr>
                      <w:pStyle w:val="Referentiegegevens"/>
                      <w:rPr>
                        <w:lang w:val="da-DK"/>
                      </w:rPr>
                    </w:pPr>
                    <w:r w:rsidRPr="003826D4">
                      <w:rPr>
                        <w:lang w:val="da-DK"/>
                      </w:rPr>
                      <w:t>www.minbuza.nl</w:t>
                    </w:r>
                  </w:p>
                  <w:p w14:paraId="5C8A076E" w14:textId="77777777" w:rsidR="00693EBD" w:rsidRPr="003826D4" w:rsidRDefault="00693EBD">
                    <w:pPr>
                      <w:pStyle w:val="WitregelW2"/>
                      <w:rPr>
                        <w:lang w:val="da-DK"/>
                      </w:rPr>
                    </w:pPr>
                  </w:p>
                  <w:p w14:paraId="5C8A076F" w14:textId="77777777" w:rsidR="00693EBD" w:rsidRDefault="0044062E">
                    <w:pPr>
                      <w:pStyle w:val="Referentiegegevensbold"/>
                    </w:pPr>
                    <w:r>
                      <w:t>Onze referentie</w:t>
                    </w:r>
                  </w:p>
                  <w:p w14:paraId="5C8A0770" w14:textId="77777777" w:rsidR="00693EBD" w:rsidRDefault="0044062E">
                    <w:pPr>
                      <w:pStyle w:val="Referentiegegevens"/>
                    </w:pPr>
                    <w:r>
                      <w:t>BZ2519504</w:t>
                    </w:r>
                  </w:p>
                  <w:p w14:paraId="5C8A0771" w14:textId="77777777" w:rsidR="00693EBD" w:rsidRDefault="00693EBD">
                    <w:pPr>
                      <w:pStyle w:val="WitregelW1"/>
                    </w:pPr>
                  </w:p>
                  <w:p w14:paraId="5C8A0772" w14:textId="77777777" w:rsidR="00693EBD" w:rsidRDefault="0044062E">
                    <w:pPr>
                      <w:pStyle w:val="Referentiegegevensbold"/>
                    </w:pPr>
                    <w:r>
                      <w:t>Bijlage(n)</w:t>
                    </w:r>
                  </w:p>
                  <w:p w14:paraId="5C8A0773" w14:textId="77777777" w:rsidR="00693EBD" w:rsidRDefault="0044062E">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C8A0758" wp14:editId="04C56AF0">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C8A0781" w14:textId="77777777" w:rsidR="0044062E" w:rsidRDefault="0044062E"/>
                      </w:txbxContent>
                    </wps:txbx>
                    <wps:bodyPr vert="horz" wrap="square" lIns="0" tIns="0" rIns="0" bIns="0" anchor="t" anchorCtr="0"/>
                  </wps:wsp>
                </a:graphicData>
              </a:graphic>
            </wp:anchor>
          </w:drawing>
        </mc:Choice>
        <mc:Fallback>
          <w:pict>
            <v:shape w14:anchorId="5C8A0758"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5C8A0781" w14:textId="77777777" w:rsidR="0044062E" w:rsidRDefault="0044062E"/>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C8A075A" wp14:editId="5C8A075B">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C8A0783" w14:textId="77777777" w:rsidR="0044062E" w:rsidRDefault="0044062E"/>
                      </w:txbxContent>
                    </wps:txbx>
                    <wps:bodyPr vert="horz" wrap="square" lIns="0" tIns="0" rIns="0" bIns="0" anchor="t" anchorCtr="0"/>
                  </wps:wsp>
                </a:graphicData>
              </a:graphic>
            </wp:anchor>
          </w:drawing>
        </mc:Choice>
        <mc:Fallback>
          <w:pict>
            <v:shape w14:anchorId="5C8A075A"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5C8A0783" w14:textId="77777777" w:rsidR="0044062E" w:rsidRDefault="0044062E"/>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C8A075C" wp14:editId="5C8A075D">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C8A0775" w14:textId="77777777" w:rsidR="00693EBD" w:rsidRDefault="0044062E">
                          <w:pPr>
                            <w:spacing w:line="240" w:lineRule="auto"/>
                          </w:pPr>
                          <w:r>
                            <w:rPr>
                              <w:noProof/>
                            </w:rPr>
                            <w:drawing>
                              <wp:inline distT="0" distB="0" distL="0" distR="0" wp14:anchorId="5C8A077B" wp14:editId="5C8A077C">
                                <wp:extent cx="2339975" cy="1582834"/>
                                <wp:effectExtent l="0" t="0" r="0" b="0"/>
                                <wp:docPr id="20763428"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C8A075C"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5C8A0775" w14:textId="77777777" w:rsidR="00693EBD" w:rsidRDefault="0044062E">
                    <w:pPr>
                      <w:spacing w:line="240" w:lineRule="auto"/>
                    </w:pPr>
                    <w:r>
                      <w:rPr>
                        <w:noProof/>
                      </w:rPr>
                      <w:drawing>
                        <wp:inline distT="0" distB="0" distL="0" distR="0" wp14:anchorId="5C8A077B" wp14:editId="5C8A077C">
                          <wp:extent cx="2339975" cy="1582834"/>
                          <wp:effectExtent l="0" t="0" r="0" b="0"/>
                          <wp:docPr id="20763428"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B11794"/>
    <w:multiLevelType w:val="multilevel"/>
    <w:tmpl w:val="B02F3FE9"/>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 w15:restartNumberingAfterBreak="0">
    <w:nsid w:val="D4D7F70F"/>
    <w:multiLevelType w:val="multilevel"/>
    <w:tmpl w:val="B1514457"/>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E0EA3668"/>
    <w:multiLevelType w:val="multilevel"/>
    <w:tmpl w:val="12AA9D16"/>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DB200F"/>
    <w:multiLevelType w:val="multilevel"/>
    <w:tmpl w:val="16374B6D"/>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46ABB014"/>
    <w:multiLevelType w:val="multilevel"/>
    <w:tmpl w:val="FBDBFFB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175847316">
    <w:abstractNumId w:val="0"/>
  </w:num>
  <w:num w:numId="2" w16cid:durableId="680739966">
    <w:abstractNumId w:val="3"/>
  </w:num>
  <w:num w:numId="3" w16cid:durableId="23870914">
    <w:abstractNumId w:val="4"/>
  </w:num>
  <w:num w:numId="4" w16cid:durableId="237599386">
    <w:abstractNumId w:val="1"/>
  </w:num>
  <w:num w:numId="5" w16cid:durableId="1968117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EBD"/>
    <w:rsid w:val="000825C6"/>
    <w:rsid w:val="000A7DA1"/>
    <w:rsid w:val="00163486"/>
    <w:rsid w:val="00175D39"/>
    <w:rsid w:val="001B1427"/>
    <w:rsid w:val="001B3D25"/>
    <w:rsid w:val="003116C0"/>
    <w:rsid w:val="00323F10"/>
    <w:rsid w:val="003826D4"/>
    <w:rsid w:val="0044062E"/>
    <w:rsid w:val="004B102A"/>
    <w:rsid w:val="005B3CBC"/>
    <w:rsid w:val="005F6FCB"/>
    <w:rsid w:val="00693EBD"/>
    <w:rsid w:val="007F3921"/>
    <w:rsid w:val="007F3F4A"/>
    <w:rsid w:val="009B1F64"/>
    <w:rsid w:val="00A416D3"/>
    <w:rsid w:val="00A43BA3"/>
    <w:rsid w:val="00B77571"/>
    <w:rsid w:val="00CC3986"/>
    <w:rsid w:val="00D41B21"/>
    <w:rsid w:val="00EE08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5C8A073B"/>
  <w15:docId w15:val="{BB7C341F-28E0-4B91-BC7C-D8F9B629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44062E"/>
    <w:pPr>
      <w:tabs>
        <w:tab w:val="center" w:pos="4513"/>
        <w:tab w:val="right" w:pos="9026"/>
      </w:tabs>
      <w:spacing w:line="240" w:lineRule="auto"/>
    </w:pPr>
  </w:style>
  <w:style w:type="character" w:customStyle="1" w:styleId="HeaderChar">
    <w:name w:val="Header Char"/>
    <w:basedOn w:val="DefaultParagraphFont"/>
    <w:link w:val="Header"/>
    <w:uiPriority w:val="99"/>
    <w:rsid w:val="0044062E"/>
    <w:rPr>
      <w:rFonts w:ascii="Verdana" w:hAnsi="Verdana"/>
      <w:color w:val="000000"/>
      <w:sz w:val="18"/>
      <w:szCs w:val="18"/>
    </w:rPr>
  </w:style>
  <w:style w:type="paragraph" w:styleId="Footer">
    <w:name w:val="footer"/>
    <w:basedOn w:val="Normal"/>
    <w:link w:val="FooterChar"/>
    <w:uiPriority w:val="99"/>
    <w:unhideWhenUsed/>
    <w:rsid w:val="0044062E"/>
    <w:pPr>
      <w:tabs>
        <w:tab w:val="center" w:pos="4513"/>
        <w:tab w:val="right" w:pos="9026"/>
      </w:tabs>
      <w:spacing w:line="240" w:lineRule="auto"/>
    </w:pPr>
  </w:style>
  <w:style w:type="character" w:customStyle="1" w:styleId="FooterChar">
    <w:name w:val="Footer Char"/>
    <w:basedOn w:val="DefaultParagraphFont"/>
    <w:link w:val="Footer"/>
    <w:uiPriority w:val="99"/>
    <w:rsid w:val="0044062E"/>
    <w:rPr>
      <w:rFonts w:ascii="Verdana" w:hAnsi="Verdana"/>
      <w:color w:val="000000"/>
      <w:sz w:val="18"/>
      <w:szCs w:val="18"/>
    </w:rPr>
  </w:style>
  <w:style w:type="paragraph" w:styleId="BodyText">
    <w:name w:val="Body Text"/>
    <w:basedOn w:val="Normal"/>
    <w:link w:val="BodyTextChar"/>
    <w:uiPriority w:val="1"/>
    <w:qFormat/>
    <w:rsid w:val="0044062E"/>
    <w:pPr>
      <w:widowControl w:val="0"/>
      <w:autoSpaceDE w:val="0"/>
      <w:spacing w:line="240" w:lineRule="auto"/>
      <w:textAlignment w:val="auto"/>
    </w:pPr>
    <w:rPr>
      <w:rFonts w:eastAsia="Verdana" w:cs="Verdana"/>
      <w:color w:val="auto"/>
      <w:lang w:eastAsia="en-US"/>
      <w14:ligatures w14:val="standardContextual"/>
    </w:rPr>
  </w:style>
  <w:style w:type="character" w:customStyle="1" w:styleId="BodyTextChar">
    <w:name w:val="Body Text Char"/>
    <w:basedOn w:val="DefaultParagraphFont"/>
    <w:link w:val="BodyText"/>
    <w:uiPriority w:val="1"/>
    <w:rsid w:val="0044062E"/>
    <w:rPr>
      <w:rFonts w:ascii="Verdana" w:eastAsia="Verdana" w:hAnsi="Verdana" w:cs="Verdana"/>
      <w:sz w:val="18"/>
      <w:szCs w:val="18"/>
      <w:lang w:eastAsia="en-US"/>
      <w14:ligatures w14:val="standardContextual"/>
    </w:rPr>
  </w:style>
  <w:style w:type="paragraph" w:styleId="Revision">
    <w:name w:val="Revision"/>
    <w:hidden/>
    <w:uiPriority w:val="99"/>
    <w:semiHidden/>
    <w:rsid w:val="003116C0"/>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3116C0"/>
    <w:rPr>
      <w:sz w:val="16"/>
      <w:szCs w:val="16"/>
    </w:rPr>
  </w:style>
  <w:style w:type="paragraph" w:styleId="CommentText">
    <w:name w:val="annotation text"/>
    <w:basedOn w:val="Normal"/>
    <w:link w:val="CommentTextChar"/>
    <w:uiPriority w:val="99"/>
    <w:unhideWhenUsed/>
    <w:rsid w:val="003116C0"/>
    <w:pPr>
      <w:spacing w:line="240" w:lineRule="auto"/>
    </w:pPr>
    <w:rPr>
      <w:sz w:val="20"/>
      <w:szCs w:val="20"/>
    </w:rPr>
  </w:style>
  <w:style w:type="character" w:customStyle="1" w:styleId="CommentTextChar">
    <w:name w:val="Comment Text Char"/>
    <w:basedOn w:val="DefaultParagraphFont"/>
    <w:link w:val="CommentText"/>
    <w:uiPriority w:val="99"/>
    <w:rsid w:val="003116C0"/>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3116C0"/>
    <w:rPr>
      <w:b/>
      <w:bCs/>
    </w:rPr>
  </w:style>
  <w:style w:type="character" w:customStyle="1" w:styleId="CommentSubjectChar">
    <w:name w:val="Comment Subject Char"/>
    <w:basedOn w:val="CommentTextChar"/>
    <w:link w:val="CommentSubject"/>
    <w:uiPriority w:val="99"/>
    <w:semiHidden/>
    <w:rsid w:val="003116C0"/>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webSetting" Target="webSettings0.xml" Id="rId26"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footer" Target="footer2.xml" Id="rId16" /><Relationship Type="http://schemas.openxmlformats.org/officeDocument/2006/relationships/footnotes" Target="footnotes.xml" Id="rId11"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1010</ap:Words>
  <ap:Characters>5559</ap:Characters>
  <ap:DocSecurity>0</ap:DocSecurity>
  <ap:Lines>46</ap:Lines>
  <ap:Paragraphs>13</ap:Paragraphs>
  <ap:ScaleCrop>false</ap:ScaleCrop>
  <ap:LinksUpToDate>false</ap:LinksUpToDate>
  <ap:CharactersWithSpaces>6556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2025-09-04T10:20:00.0000000Z</dcterms:created>
  <dcterms:modified xsi:type="dcterms:W3CDTF">2025-09-04T10:20:00.0000000Z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0x0101009C7CE436063D44E9BE7DC0259EF7C32F006EB9F9836A634AE58B6169785FD3936F00EC4ABB6A373EEC4B8476FB85D9BD4979</vt:lpwstr>
  </property>
  <property fmtid="{D5CDD505-2E9C-101B-9397-08002B2CF9AE}" pid="3" name="_dlc_DocIdItemGuid">
    <vt:lpwstr>438ac8d4-7785-48a7-88bd-7561d9f1ca53</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